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A3AC898" w14:textId="77777777" w:rsidR="0050273B" w:rsidRDefault="0050273B" w:rsidP="009335A2">
      <w:pPr>
        <w:rPr>
          <w:rFonts w:ascii="Arial" w:hAnsi="Arial" w:cs="Arial"/>
          <w:bCs/>
          <w:color w:val="000000" w:themeColor="text1"/>
          <w:sz w:val="16"/>
          <w:szCs w:val="16"/>
          <w:lang w:val="es-ES_tradnl" w:eastAsia="es-ES"/>
        </w:rPr>
      </w:pPr>
      <w:bookmarkStart w:id="0" w:name="_Hlk28946138"/>
      <w:bookmarkStart w:id="1" w:name="_Hlk29548183"/>
    </w:p>
    <w:p w14:paraId="78F9963B" w14:textId="77777777" w:rsidR="00E05AA3" w:rsidRDefault="00E05AA3" w:rsidP="008536BB">
      <w:pPr>
        <w:jc w:val="right"/>
        <w:rPr>
          <w:rFonts w:ascii="Arial" w:hAnsi="Arial" w:cs="Arial"/>
          <w:bCs/>
          <w:color w:val="000000" w:themeColor="text1"/>
          <w:sz w:val="16"/>
          <w:szCs w:val="16"/>
          <w:lang w:val="es-ES_tradnl" w:eastAsia="es-ES"/>
        </w:rPr>
      </w:pPr>
    </w:p>
    <w:p w14:paraId="363CAC71" w14:textId="65FF39C2" w:rsidR="002415B8" w:rsidRPr="00481C44" w:rsidRDefault="00B55C69" w:rsidP="008536BB">
      <w:pPr>
        <w:jc w:val="right"/>
        <w:rPr>
          <w:rFonts w:ascii="Arial" w:eastAsia="Calibri" w:hAnsi="Arial" w:cs="Arial"/>
          <w:b/>
          <w:color w:val="000000" w:themeColor="text1"/>
          <w:sz w:val="20"/>
          <w:szCs w:val="20"/>
          <w:highlight w:val="green"/>
          <w:lang w:val="es-ES_tradnl"/>
        </w:rPr>
      </w:pPr>
      <w:r w:rsidRPr="009335A2">
        <w:rPr>
          <w:rFonts w:ascii="Arial" w:hAnsi="Arial" w:cs="Arial"/>
          <w:bCs/>
          <w:color w:val="000000" w:themeColor="text1"/>
          <w:sz w:val="16"/>
          <w:szCs w:val="16"/>
          <w:lang w:val="es-ES_tradnl" w:eastAsia="es-ES"/>
        </w:rPr>
        <w:t>CCE-DES-FM-17</w:t>
      </w:r>
      <w:bookmarkEnd w:id="0"/>
      <w:bookmarkEnd w:id="1"/>
    </w:p>
    <w:p w14:paraId="21F7CED6" w14:textId="794AE642" w:rsidR="00BB0E58" w:rsidRPr="0083419E" w:rsidRDefault="0083419E" w:rsidP="0083419E">
      <w:pPr>
        <w:jc w:val="both"/>
        <w:rPr>
          <w:rFonts w:ascii="Arial" w:hAnsi="Arial" w:cs="Arial"/>
          <w:b/>
          <w:bCs/>
          <w:color w:val="000000" w:themeColor="text1"/>
          <w:sz w:val="22"/>
          <w:lang w:val="es-ES_tradnl"/>
        </w:rPr>
      </w:pPr>
      <w:r w:rsidRPr="0083419E">
        <w:rPr>
          <w:rFonts w:ascii="Arial" w:hAnsi="Arial" w:cs="Arial"/>
          <w:b/>
          <w:bCs/>
          <w:color w:val="000000" w:themeColor="text1"/>
          <w:sz w:val="22"/>
          <w:lang w:val="es-ES_tradnl"/>
        </w:rPr>
        <w:t>DOCUMENTO</w:t>
      </w:r>
      <w:r w:rsidRPr="0083419E">
        <w:rPr>
          <w:rFonts w:ascii="Arial" w:hAnsi="Arial" w:cs="Arial"/>
          <w:b/>
          <w:bCs/>
          <w:color w:val="000000" w:themeColor="text1"/>
          <w:sz w:val="22"/>
          <w:lang w:val="es-ES_tradnl"/>
        </w:rPr>
        <w:t xml:space="preserve">S TIPO – Fundamento normativo </w:t>
      </w:r>
    </w:p>
    <w:p w14:paraId="2E7FA82F" w14:textId="77777777" w:rsidR="0083419E" w:rsidRDefault="0083419E" w:rsidP="0083419E">
      <w:pPr>
        <w:jc w:val="both"/>
        <w:rPr>
          <w:rFonts w:ascii="Arial" w:hAnsi="Arial" w:cs="Arial"/>
          <w:bCs/>
          <w:color w:val="000000" w:themeColor="text1"/>
          <w:sz w:val="20"/>
          <w:szCs w:val="20"/>
          <w:lang w:val="es-ES_tradnl"/>
        </w:rPr>
      </w:pPr>
    </w:p>
    <w:p w14:paraId="787B10CB" w14:textId="4A988423" w:rsidR="0083419E" w:rsidRPr="0083419E" w:rsidRDefault="0083419E" w:rsidP="0083419E">
      <w:pPr>
        <w:jc w:val="both"/>
        <w:rPr>
          <w:rFonts w:ascii="Arial" w:eastAsia="Calibri" w:hAnsi="Arial" w:cs="Arial"/>
          <w:color w:val="000000"/>
          <w:sz w:val="20"/>
          <w:szCs w:val="20"/>
          <w:lang w:val="es-ES_tradnl"/>
        </w:rPr>
      </w:pPr>
      <w:r>
        <w:rPr>
          <w:rFonts w:ascii="Arial" w:eastAsia="Calibri" w:hAnsi="Arial" w:cs="Arial"/>
          <w:color w:val="000000"/>
          <w:sz w:val="20"/>
          <w:szCs w:val="20"/>
          <w:lang w:val="es-ES_tradnl"/>
        </w:rPr>
        <w:t>E</w:t>
      </w:r>
      <w:r w:rsidRPr="0083419E">
        <w:rPr>
          <w:rFonts w:ascii="Arial" w:eastAsia="Calibri" w:hAnsi="Arial" w:cs="Arial"/>
          <w:color w:val="000000"/>
          <w:sz w:val="20"/>
          <w:szCs w:val="20"/>
          <w:lang w:val="es-ES_tradnl"/>
        </w:rPr>
        <w:t xml:space="preserve">l artículo 4 de la Ley 1882 de 2018 se convierte en el antecedente más relevante respecto a los documentos tipo. A partir de esta norma se determinó la obligatoriedad por parte de todas las entidades sometidas al Estatuto General de Contratación de la Administración Pública de aplicar los documentos tipo adoptados por el gobierno nacional. Ahora bien, en virtud de la Ley 1882 de 2018 se expidieron varios documentos tipo para el sector de infraestructura de transporte y, por tanto, es importante explicar el proceso previsto en dicho cuerpo normativo. </w:t>
      </w:r>
    </w:p>
    <w:p w14:paraId="1C439535" w14:textId="753B9F09" w:rsidR="0083419E" w:rsidRDefault="0083419E" w:rsidP="0083419E">
      <w:pPr>
        <w:jc w:val="both"/>
        <w:rPr>
          <w:rFonts w:ascii="Arial" w:eastAsia="Calibri" w:hAnsi="Arial" w:cs="Arial"/>
          <w:color w:val="000000"/>
          <w:sz w:val="20"/>
          <w:szCs w:val="20"/>
          <w:lang w:val="es-ES_tradnl"/>
        </w:rPr>
      </w:pPr>
      <w:r w:rsidRPr="0083419E">
        <w:rPr>
          <w:rFonts w:ascii="Arial" w:eastAsia="Calibri" w:hAnsi="Arial" w:cs="Arial"/>
          <w:color w:val="000000"/>
          <w:sz w:val="20"/>
          <w:szCs w:val="20"/>
          <w:lang w:val="es-ES_tradnl"/>
        </w:rPr>
        <w:t>La Ley 1882 de 2018, en el artículo 4, establecía que el gobierno nacional adoptaría los documentos tipo para los pliegos de condiciones de los procesos de selección de obras públicas, interventoría para las obras públicas, interventoría para consultoría de estudios y diseños para obras públicas y consultoría en ingeniería para obras, los cuales debían ser utilizados por todas las entidades sometidas al Estatuto General de Contratación de la Administración Pública en los procesos de selección que adelantaran</w:t>
      </w:r>
      <w:r>
        <w:rPr>
          <w:rFonts w:ascii="Arial" w:eastAsia="Calibri" w:hAnsi="Arial" w:cs="Arial"/>
          <w:color w:val="000000"/>
          <w:sz w:val="20"/>
          <w:szCs w:val="20"/>
          <w:lang w:val="es-ES_tradnl"/>
        </w:rPr>
        <w:t xml:space="preserve">. </w:t>
      </w:r>
    </w:p>
    <w:p w14:paraId="0B510A1E" w14:textId="77777777" w:rsidR="0083419E" w:rsidRPr="0083419E" w:rsidRDefault="0083419E" w:rsidP="0083419E">
      <w:pPr>
        <w:jc w:val="both"/>
        <w:rPr>
          <w:rFonts w:ascii="Arial" w:eastAsia="Calibri" w:hAnsi="Arial" w:cs="Arial"/>
          <w:color w:val="000000"/>
          <w:sz w:val="20"/>
          <w:szCs w:val="20"/>
          <w:lang w:val="es-ES_tradnl"/>
        </w:rPr>
      </w:pPr>
    </w:p>
    <w:p w14:paraId="4358BAD7" w14:textId="1C2D12DD" w:rsidR="0083419E" w:rsidRPr="0083419E" w:rsidRDefault="0083419E" w:rsidP="0083419E">
      <w:pPr>
        <w:jc w:val="both"/>
        <w:rPr>
          <w:rFonts w:ascii="Arial" w:hAnsi="Arial" w:cs="Arial"/>
          <w:b/>
          <w:bCs/>
          <w:color w:val="000000" w:themeColor="text1"/>
          <w:sz w:val="22"/>
          <w:lang w:val="es-ES_tradnl"/>
        </w:rPr>
      </w:pPr>
      <w:r w:rsidRPr="0083419E">
        <w:rPr>
          <w:rFonts w:ascii="Arial" w:hAnsi="Arial" w:cs="Arial"/>
          <w:b/>
          <w:bCs/>
          <w:color w:val="000000" w:themeColor="text1"/>
          <w:sz w:val="22"/>
          <w:lang w:val="es-ES_tradnl"/>
        </w:rPr>
        <w:t>DOCUMENTOS</w:t>
      </w:r>
      <w:r w:rsidRPr="0083419E">
        <w:rPr>
          <w:rFonts w:ascii="Arial" w:hAnsi="Arial" w:cs="Arial"/>
          <w:b/>
          <w:bCs/>
          <w:color w:val="000000" w:themeColor="text1"/>
          <w:sz w:val="22"/>
          <w:lang w:val="es-ES_tradnl"/>
        </w:rPr>
        <w:t xml:space="preserve">TIPO – Obligatoriedad – </w:t>
      </w:r>
      <w:r w:rsidRPr="0083419E">
        <w:rPr>
          <w:rFonts w:ascii="Arial" w:hAnsi="Arial" w:cs="Arial"/>
          <w:b/>
          <w:bCs/>
          <w:color w:val="000000" w:themeColor="text1"/>
          <w:sz w:val="22"/>
          <w:lang w:val="es-ES_tradnl"/>
        </w:rPr>
        <w:t xml:space="preserve">Entidades estatales – Alcance </w:t>
      </w:r>
    </w:p>
    <w:p w14:paraId="3EFDDF77" w14:textId="0605FB20" w:rsidR="0083419E" w:rsidRPr="0083419E" w:rsidRDefault="0083419E" w:rsidP="0083419E">
      <w:pPr>
        <w:spacing w:before="120" w:after="120"/>
        <w:jc w:val="both"/>
        <w:rPr>
          <w:rFonts w:ascii="Arial" w:eastAsia="Calibri" w:hAnsi="Arial" w:cs="Arial"/>
          <w:color w:val="000000"/>
          <w:sz w:val="20"/>
          <w:szCs w:val="20"/>
          <w:lang w:val="es-ES_tradnl"/>
        </w:rPr>
      </w:pPr>
      <w:r w:rsidRPr="0083419E">
        <w:rPr>
          <w:rFonts w:ascii="Arial" w:eastAsia="Calibri" w:hAnsi="Arial" w:cs="Arial"/>
          <w:color w:val="000000"/>
          <w:sz w:val="20"/>
          <w:szCs w:val="20"/>
          <w:lang w:val="es-ES_tradnl"/>
        </w:rPr>
        <w:t>L</w:t>
      </w:r>
      <w:r w:rsidRPr="0083419E">
        <w:rPr>
          <w:rFonts w:ascii="Arial" w:eastAsia="Calibri" w:hAnsi="Arial" w:cs="Arial"/>
          <w:color w:val="000000"/>
          <w:sz w:val="20"/>
          <w:szCs w:val="20"/>
          <w:lang w:val="es-ES_tradnl"/>
        </w:rPr>
        <w:t>os documentos tipo no afectan la autonomía de las entidades territoriales. Lo anterior, debido a que la definición de los requisitos habilitantes y de aspectos técnicos de la selección del contratista en los procesos de selección, son aspectos en los que el legislador tiene amplia libertad de configuración legislativa y, por tanto, puede atribuir dicha regulación al gobierno nacional. Ahora, dicha autonomía se materializa cuando las entidades territoriales deciden iniciar un proceso de convocatoria para satisfacer sus necesidades para la adquisición de un bien, obra o servicio, y además se incluyen en la minuta del contrato las condiciones particulares del negocio jurídico a celebrar.</w:t>
      </w:r>
    </w:p>
    <w:p w14:paraId="318AA27C" w14:textId="1BD63161" w:rsidR="0083419E" w:rsidRDefault="0083419E" w:rsidP="0083419E">
      <w:pPr>
        <w:jc w:val="both"/>
        <w:rPr>
          <w:rFonts w:ascii="Arial" w:hAnsi="Arial" w:cs="Arial"/>
          <w:b/>
          <w:bCs/>
          <w:color w:val="000000" w:themeColor="text1"/>
          <w:sz w:val="22"/>
          <w:lang w:val="es-ES_tradnl"/>
        </w:rPr>
      </w:pPr>
      <w:r w:rsidRPr="0083419E">
        <w:rPr>
          <w:rFonts w:ascii="Arial" w:hAnsi="Arial" w:cs="Arial"/>
          <w:b/>
          <w:bCs/>
          <w:color w:val="000000" w:themeColor="text1"/>
          <w:sz w:val="22"/>
          <w:lang w:val="es-ES_tradnl"/>
        </w:rPr>
        <w:t>MATRIZ</w:t>
      </w:r>
      <w:r w:rsidRPr="0083419E">
        <w:rPr>
          <w:rFonts w:ascii="Arial" w:hAnsi="Arial" w:cs="Arial"/>
          <w:b/>
          <w:bCs/>
          <w:color w:val="000000" w:themeColor="text1"/>
          <w:sz w:val="22"/>
          <w:lang w:val="es-ES_tradnl"/>
        </w:rPr>
        <w:t>1 – EXPERIENCIA – Infraestruc</w:t>
      </w:r>
      <w:r w:rsidRPr="0083419E">
        <w:rPr>
          <w:rFonts w:ascii="Arial" w:hAnsi="Arial" w:cs="Arial"/>
          <w:b/>
          <w:bCs/>
          <w:color w:val="000000" w:themeColor="text1"/>
          <w:sz w:val="22"/>
          <w:lang w:val="es-ES_tradnl"/>
        </w:rPr>
        <w:t xml:space="preserve">tura de transporte – </w:t>
      </w:r>
      <w:r w:rsidR="00F05F8E">
        <w:rPr>
          <w:rFonts w:ascii="Arial" w:hAnsi="Arial" w:cs="Arial"/>
          <w:b/>
          <w:bCs/>
          <w:color w:val="000000" w:themeColor="text1"/>
          <w:sz w:val="22"/>
          <w:lang w:val="es-ES_tradnl"/>
        </w:rPr>
        <w:t xml:space="preserve"> Consultoría –  </w:t>
      </w:r>
      <w:r w:rsidRPr="0083419E">
        <w:rPr>
          <w:rFonts w:ascii="Arial" w:hAnsi="Arial" w:cs="Arial"/>
          <w:b/>
          <w:bCs/>
          <w:color w:val="000000" w:themeColor="text1"/>
          <w:sz w:val="22"/>
          <w:lang w:val="es-ES_tradnl"/>
        </w:rPr>
        <w:t xml:space="preserve">Contenido </w:t>
      </w:r>
    </w:p>
    <w:p w14:paraId="295A3DEA" w14:textId="77777777" w:rsidR="0083419E" w:rsidRPr="0083419E" w:rsidRDefault="0083419E" w:rsidP="0083419E">
      <w:pPr>
        <w:jc w:val="both"/>
        <w:rPr>
          <w:rFonts w:ascii="Arial" w:hAnsi="Arial" w:cs="Arial"/>
          <w:b/>
          <w:bCs/>
          <w:color w:val="000000" w:themeColor="text1"/>
          <w:sz w:val="22"/>
          <w:lang w:val="es-ES_tradnl"/>
        </w:rPr>
      </w:pPr>
    </w:p>
    <w:p w14:paraId="03311435" w14:textId="77777777" w:rsidR="00F05F8E" w:rsidRPr="00F05F8E" w:rsidRDefault="00F05F8E" w:rsidP="00F05F8E">
      <w:pPr>
        <w:spacing w:before="120"/>
        <w:jc w:val="both"/>
        <w:rPr>
          <w:rFonts w:ascii="Arial" w:eastAsiaTheme="minorHAnsi" w:hAnsi="Arial" w:cs="Arial"/>
          <w:color w:val="0D0D0D" w:themeColor="text1" w:themeTint="F2"/>
          <w:sz w:val="20"/>
          <w:szCs w:val="20"/>
          <w:lang w:val="es-MX" w:eastAsia="en-US"/>
        </w:rPr>
      </w:pPr>
      <w:r w:rsidRPr="00F05F8E">
        <w:rPr>
          <w:rFonts w:ascii="Arial" w:eastAsiaTheme="minorHAnsi" w:hAnsi="Arial" w:cs="Arial"/>
          <w:color w:val="0D0D0D" w:themeColor="text1" w:themeTint="F2"/>
          <w:sz w:val="20"/>
          <w:szCs w:val="20"/>
          <w:lang w:val="es-MX" w:eastAsia="en-US"/>
        </w:rPr>
        <w:t>Una estructura similar aplica en relación con los recientes documentos tipo adoptados para los procesos de selección de concurso de méritos, para contratar la consultoría de estudios de ingeniería de infraestructura de transporte, donde la «Matriz 1 – Experiencia» está constituida por los siguientes tipos de consultoría, sin perjuicio de que al revisar la matriz indicada se precisen los tipos de proyectos o actividades concretas de consultoría que se encuentran contenidos al interior de los siguientes tipos de consultorías generales: 1. consultoría para obras en vías primarias o secundarias; 2. consultoría para obras en vias terciarias; 3. consultoría para obras maritimas y fluviales; 4. consultoría para obras en vias primarias o secundarias o terciarias o urbanas para atención, prevención o mitigación de emergencias diferentes a contratación directa; 5. consultoría para obras ferreas; 6. consultoría para obras de infraestructura vial urbana; 7. consultoría para obras en puentes; 8. consultoría para obras aeroportuarias.</w:t>
      </w:r>
    </w:p>
    <w:p w14:paraId="650D8DA3" w14:textId="77777777" w:rsidR="0083419E" w:rsidRPr="0083419E" w:rsidRDefault="0083419E" w:rsidP="0083419E">
      <w:pPr>
        <w:jc w:val="both"/>
        <w:rPr>
          <w:rFonts w:ascii="Arial" w:hAnsi="Arial" w:cs="Arial"/>
          <w:b/>
          <w:bCs/>
          <w:color w:val="000000" w:themeColor="text1"/>
          <w:sz w:val="22"/>
          <w:lang w:val="es-ES_tradnl"/>
        </w:rPr>
      </w:pPr>
    </w:p>
    <w:p w14:paraId="379A1CFA" w14:textId="08611257" w:rsidR="0083419E" w:rsidRPr="0083419E" w:rsidRDefault="0083419E" w:rsidP="0083419E">
      <w:pPr>
        <w:jc w:val="both"/>
        <w:rPr>
          <w:rFonts w:ascii="Arial" w:hAnsi="Arial" w:cs="Arial"/>
          <w:b/>
          <w:bCs/>
          <w:color w:val="000000" w:themeColor="text1"/>
          <w:sz w:val="22"/>
          <w:lang w:val="es-ES_tradnl"/>
        </w:rPr>
      </w:pPr>
      <w:r w:rsidRPr="0083419E">
        <w:rPr>
          <w:rFonts w:ascii="Arial" w:hAnsi="Arial" w:cs="Arial"/>
          <w:b/>
          <w:bCs/>
          <w:color w:val="000000" w:themeColor="text1"/>
          <w:sz w:val="22"/>
          <w:lang w:val="es-ES_tradnl"/>
        </w:rPr>
        <w:t>MATRIZ 1 – EXPERIENCIA – Infr</w:t>
      </w:r>
      <w:r w:rsidRPr="0083419E">
        <w:rPr>
          <w:rFonts w:ascii="Arial" w:hAnsi="Arial" w:cs="Arial"/>
          <w:b/>
          <w:bCs/>
          <w:color w:val="000000" w:themeColor="text1"/>
          <w:sz w:val="22"/>
          <w:lang w:val="es-ES_tradnl"/>
        </w:rPr>
        <w:t xml:space="preserve">aestructura de transporte – </w:t>
      </w:r>
      <w:r w:rsidRPr="0083419E">
        <w:rPr>
          <w:rFonts w:ascii="Arial" w:hAnsi="Arial" w:cs="Arial"/>
          <w:b/>
          <w:bCs/>
          <w:color w:val="000000" w:themeColor="text1"/>
          <w:sz w:val="22"/>
          <w:lang w:val="es-ES_tradnl"/>
        </w:rPr>
        <w:t>Doble función –Condicio</w:t>
      </w:r>
      <w:r w:rsidRPr="0083419E">
        <w:rPr>
          <w:rFonts w:ascii="Arial" w:hAnsi="Arial" w:cs="Arial"/>
          <w:b/>
          <w:bCs/>
          <w:color w:val="000000" w:themeColor="text1"/>
          <w:sz w:val="22"/>
          <w:lang w:val="es-ES_tradnl"/>
        </w:rPr>
        <w:t xml:space="preserve">nes de experiencia – Aplicación - </w:t>
      </w:r>
      <w:r w:rsidRPr="0083419E">
        <w:rPr>
          <w:rFonts w:ascii="Arial" w:hAnsi="Arial" w:cs="Arial"/>
          <w:b/>
          <w:bCs/>
          <w:color w:val="000000" w:themeColor="text1"/>
          <w:sz w:val="22"/>
          <w:lang w:val="es-ES_tradnl"/>
        </w:rPr>
        <w:t>documentos tipo</w:t>
      </w:r>
    </w:p>
    <w:p w14:paraId="3B81CE0D" w14:textId="77777777" w:rsidR="0083419E" w:rsidRDefault="0083419E" w:rsidP="00B95C30">
      <w:pPr>
        <w:jc w:val="both"/>
        <w:rPr>
          <w:rFonts w:ascii="Arial" w:hAnsi="Arial" w:cs="Arial"/>
          <w:bCs/>
          <w:color w:val="000000" w:themeColor="text1"/>
          <w:sz w:val="22"/>
          <w:lang w:val="es-ES_tradnl"/>
        </w:rPr>
      </w:pPr>
    </w:p>
    <w:p w14:paraId="4F868540" w14:textId="77777777" w:rsidR="00F05F8E" w:rsidRDefault="0083419E" w:rsidP="00F05F8E">
      <w:pPr>
        <w:spacing w:before="120"/>
        <w:jc w:val="both"/>
        <w:rPr>
          <w:rFonts w:ascii="Arial" w:eastAsiaTheme="minorHAnsi" w:hAnsi="Arial" w:cs="Arial"/>
          <w:color w:val="0D0D0D" w:themeColor="text1" w:themeTint="F2"/>
          <w:sz w:val="20"/>
          <w:szCs w:val="20"/>
          <w:lang w:val="es-MX" w:eastAsia="en-US"/>
        </w:rPr>
      </w:pPr>
      <w:r w:rsidRPr="0083419E">
        <w:rPr>
          <w:rFonts w:ascii="Arial" w:eastAsiaTheme="minorHAnsi" w:hAnsi="Arial" w:cs="Arial"/>
          <w:color w:val="0D0D0D" w:themeColor="text1" w:themeTint="F2"/>
          <w:sz w:val="20"/>
          <w:szCs w:val="20"/>
          <w:lang w:val="es-MX" w:eastAsia="en-US"/>
        </w:rPr>
        <w:t>L</w:t>
      </w:r>
      <w:r w:rsidRPr="0083419E">
        <w:rPr>
          <w:rFonts w:ascii="Arial" w:eastAsiaTheme="minorHAnsi" w:hAnsi="Arial" w:cs="Arial"/>
          <w:color w:val="0D0D0D" w:themeColor="text1" w:themeTint="F2"/>
          <w:sz w:val="20"/>
          <w:szCs w:val="20"/>
          <w:lang w:val="es-MX" w:eastAsia="en-US"/>
        </w:rPr>
        <w:t xml:space="preserve">a Matriz 1, en el marco de la aplicación de los documentos tipo de infraestructura de transporte, cumple una doble función. Por un lado, sirve para estandarizar las condiciones de experiencia, conforme al parágrafo 7 del artículo 2 de la Ley 1150 de 2007. De otro lado, dicha matriz permite determinar el ámbito de aplicación más concreto de los documentos tipo respecto de objetos </w:t>
      </w:r>
      <w:r w:rsidRPr="0083419E">
        <w:rPr>
          <w:rFonts w:ascii="Arial" w:eastAsiaTheme="minorHAnsi" w:hAnsi="Arial" w:cs="Arial"/>
          <w:color w:val="0D0D0D" w:themeColor="text1" w:themeTint="F2"/>
          <w:sz w:val="20"/>
          <w:szCs w:val="20"/>
          <w:lang w:val="es-MX" w:eastAsia="en-US"/>
        </w:rPr>
        <w:lastRenderedPageBreak/>
        <w:t xml:space="preserve">contractuales asociados, ya que son las actividades descritas en esta las que, obligatoriamente, deben contratarse aplicando documentos tipo. </w:t>
      </w:r>
    </w:p>
    <w:p w14:paraId="42820164" w14:textId="77777777" w:rsidR="00F05F8E" w:rsidRDefault="00F05F8E" w:rsidP="00F05F8E">
      <w:pPr>
        <w:spacing w:before="120"/>
        <w:jc w:val="both"/>
        <w:rPr>
          <w:rFonts w:ascii="Arial" w:eastAsiaTheme="minorHAnsi" w:hAnsi="Arial" w:cs="Arial"/>
          <w:color w:val="0D0D0D" w:themeColor="text1" w:themeTint="F2"/>
          <w:sz w:val="20"/>
          <w:szCs w:val="20"/>
          <w:lang w:val="es-MX" w:eastAsia="en-US"/>
        </w:rPr>
      </w:pPr>
    </w:p>
    <w:p w14:paraId="107C2AC7" w14:textId="75B53ACB" w:rsidR="00F05F8E" w:rsidRDefault="00F05F8E" w:rsidP="00F05F8E">
      <w:pPr>
        <w:spacing w:before="120"/>
        <w:jc w:val="right"/>
        <w:rPr>
          <w:rFonts w:ascii="Arial" w:eastAsiaTheme="minorHAnsi" w:hAnsi="Arial" w:cs="Arial"/>
          <w:color w:val="0D0D0D" w:themeColor="text1" w:themeTint="F2"/>
          <w:sz w:val="20"/>
          <w:szCs w:val="20"/>
          <w:lang w:val="es-MX" w:eastAsia="en-US"/>
        </w:rPr>
      </w:pPr>
      <w:r>
        <w:rPr>
          <w:noProof/>
          <w:lang w:eastAsia="es-CO"/>
        </w:rPr>
        <w:drawing>
          <wp:inline distT="0" distB="0" distL="0" distR="0" wp14:anchorId="449D6AC4" wp14:editId="6615C621">
            <wp:extent cx="2562225" cy="657225"/>
            <wp:effectExtent l="0" t="0" r="9525"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562225" cy="657225"/>
                    </a:xfrm>
                    <a:prstGeom prst="rect">
                      <a:avLst/>
                    </a:prstGeom>
                  </pic:spPr>
                </pic:pic>
              </a:graphicData>
            </a:graphic>
          </wp:inline>
        </w:drawing>
      </w:r>
      <w:bookmarkStart w:id="2" w:name="_GoBack"/>
      <w:bookmarkEnd w:id="2"/>
    </w:p>
    <w:p w14:paraId="0157F30C" w14:textId="3E6624E2" w:rsidR="002F3E4E" w:rsidRPr="00F05F8E" w:rsidRDefault="002F3E4E" w:rsidP="00F05F8E">
      <w:pPr>
        <w:spacing w:before="120"/>
        <w:jc w:val="both"/>
        <w:rPr>
          <w:rFonts w:ascii="Arial" w:eastAsiaTheme="minorHAnsi" w:hAnsi="Arial" w:cs="Arial"/>
          <w:color w:val="0D0D0D" w:themeColor="text1" w:themeTint="F2"/>
          <w:sz w:val="20"/>
          <w:szCs w:val="20"/>
          <w:lang w:val="es-MX" w:eastAsia="en-US"/>
        </w:rPr>
      </w:pPr>
      <w:r w:rsidRPr="00827918">
        <w:rPr>
          <w:rFonts w:ascii="Arial" w:hAnsi="Arial" w:cs="Arial"/>
          <w:color w:val="000000" w:themeColor="text1"/>
          <w:sz w:val="22"/>
        </w:rPr>
        <w:t xml:space="preserve">Bogotá D.C., </w:t>
      </w:r>
      <w:r w:rsidR="00F05F8E">
        <w:rPr>
          <w:rFonts w:ascii="Arial" w:hAnsi="Arial" w:cs="Arial"/>
          <w:color w:val="000000" w:themeColor="text1"/>
          <w:sz w:val="22"/>
        </w:rPr>
        <w:t xml:space="preserve">29 julio 2021 </w:t>
      </w:r>
    </w:p>
    <w:p w14:paraId="32F9970B" w14:textId="0B214BBF" w:rsidR="00A25F2F" w:rsidRPr="00827918" w:rsidRDefault="00A25F2F" w:rsidP="00B95C30">
      <w:pPr>
        <w:jc w:val="both"/>
        <w:rPr>
          <w:rFonts w:ascii="Arial" w:hAnsi="Arial" w:cs="Arial"/>
          <w:bCs/>
          <w:color w:val="000000" w:themeColor="text1"/>
          <w:sz w:val="22"/>
          <w:lang w:val="es-ES_tradnl"/>
        </w:rPr>
      </w:pPr>
    </w:p>
    <w:p w14:paraId="176395FC" w14:textId="77777777" w:rsidR="002F3E4E" w:rsidRPr="00827918" w:rsidRDefault="002F3E4E" w:rsidP="00B95C30">
      <w:pPr>
        <w:jc w:val="both"/>
        <w:rPr>
          <w:rFonts w:ascii="Arial" w:hAnsi="Arial" w:cs="Arial"/>
          <w:bCs/>
          <w:color w:val="000000" w:themeColor="text1"/>
          <w:sz w:val="22"/>
          <w:lang w:val="es-ES_tradnl"/>
        </w:rPr>
      </w:pPr>
    </w:p>
    <w:p w14:paraId="5F5AE9EF" w14:textId="3921F53A" w:rsidR="00B95C30" w:rsidRPr="00827918" w:rsidRDefault="00BE4FBF" w:rsidP="00B95C30">
      <w:pPr>
        <w:jc w:val="both"/>
        <w:rPr>
          <w:rFonts w:ascii="Arial" w:eastAsia="Calibri" w:hAnsi="Arial" w:cs="Arial"/>
          <w:color w:val="000000" w:themeColor="text1"/>
          <w:sz w:val="22"/>
          <w:lang w:val="es-ES_tradnl"/>
        </w:rPr>
      </w:pPr>
      <w:r w:rsidRPr="00827918">
        <w:rPr>
          <w:rFonts w:ascii="Arial" w:eastAsia="Calibri" w:hAnsi="Arial" w:cs="Arial"/>
          <w:color w:val="000000" w:themeColor="text1"/>
          <w:sz w:val="22"/>
          <w:lang w:val="es-ES_tradnl"/>
        </w:rPr>
        <w:t>Señor</w:t>
      </w:r>
      <w:r w:rsidR="00481C44">
        <w:rPr>
          <w:rFonts w:ascii="Arial" w:eastAsia="Calibri" w:hAnsi="Arial" w:cs="Arial"/>
          <w:color w:val="000000" w:themeColor="text1"/>
          <w:sz w:val="22"/>
          <w:lang w:val="es-ES_tradnl"/>
        </w:rPr>
        <w:t>a</w:t>
      </w:r>
    </w:p>
    <w:p w14:paraId="3DCD58CE" w14:textId="73F0E0F7" w:rsidR="00B95C30" w:rsidRPr="00827918" w:rsidRDefault="00481C44" w:rsidP="00B95C30">
      <w:pPr>
        <w:jc w:val="both"/>
        <w:rPr>
          <w:rFonts w:ascii="Arial" w:eastAsia="Calibri" w:hAnsi="Arial" w:cs="Arial"/>
          <w:b/>
          <w:color w:val="000000" w:themeColor="text1"/>
          <w:sz w:val="22"/>
          <w:lang w:val="es-ES_tradnl"/>
        </w:rPr>
      </w:pPr>
      <w:r>
        <w:rPr>
          <w:rFonts w:ascii="Arial" w:eastAsia="Calibri" w:hAnsi="Arial" w:cs="Arial"/>
          <w:b/>
          <w:color w:val="000000" w:themeColor="text1"/>
          <w:sz w:val="22"/>
          <w:lang w:val="es-ES_tradnl"/>
        </w:rPr>
        <w:t>María del Pilar Barrera Cano</w:t>
      </w:r>
    </w:p>
    <w:p w14:paraId="29D388D5" w14:textId="08523603" w:rsidR="002540F1" w:rsidRDefault="00481C44" w:rsidP="00B95C30">
      <w:pPr>
        <w:jc w:val="both"/>
        <w:rPr>
          <w:rFonts w:ascii="Arial" w:hAnsi="Arial" w:cs="Arial"/>
          <w:color w:val="000000" w:themeColor="text1"/>
          <w:sz w:val="22"/>
        </w:rPr>
      </w:pPr>
      <w:r>
        <w:rPr>
          <w:rFonts w:ascii="Arial" w:hAnsi="Arial" w:cs="Arial"/>
          <w:color w:val="000000" w:themeColor="text1"/>
          <w:sz w:val="22"/>
        </w:rPr>
        <w:t>Secretaría Distrital de Habitat</w:t>
      </w:r>
    </w:p>
    <w:p w14:paraId="490C0C2D" w14:textId="3188354C" w:rsidR="00A25F2F" w:rsidRPr="00827918" w:rsidRDefault="00AC5897" w:rsidP="00B95C30">
      <w:pPr>
        <w:jc w:val="both"/>
        <w:rPr>
          <w:rFonts w:ascii="Arial" w:eastAsia="Calibri" w:hAnsi="Arial" w:cs="Arial"/>
          <w:color w:val="000000" w:themeColor="text1"/>
          <w:sz w:val="22"/>
          <w:lang w:val="es-ES_tradnl"/>
        </w:rPr>
      </w:pPr>
      <w:r w:rsidRPr="00827918">
        <w:rPr>
          <w:rFonts w:ascii="Arial" w:hAnsi="Arial" w:cs="Arial"/>
          <w:color w:val="000000" w:themeColor="text1"/>
          <w:sz w:val="22"/>
        </w:rPr>
        <w:t>Bogotá D.C.</w:t>
      </w:r>
    </w:p>
    <w:p w14:paraId="0B5EBAC5" w14:textId="11E72E8C" w:rsidR="00A25F2F" w:rsidRPr="00827918" w:rsidRDefault="00A25F2F" w:rsidP="00B95C30">
      <w:pPr>
        <w:jc w:val="both"/>
        <w:rPr>
          <w:rFonts w:ascii="Arial" w:eastAsia="Calibri" w:hAnsi="Arial" w:cs="Arial"/>
          <w:color w:val="000000" w:themeColor="text1"/>
          <w:sz w:val="22"/>
          <w:lang w:val="es-ES_tradnl"/>
        </w:rPr>
      </w:pPr>
    </w:p>
    <w:p w14:paraId="6CF15DAA" w14:textId="77777777" w:rsidR="00AC5897" w:rsidRPr="00827918" w:rsidRDefault="00AC5897" w:rsidP="00B95C30">
      <w:pPr>
        <w:jc w:val="both"/>
        <w:rPr>
          <w:rFonts w:ascii="Arial" w:eastAsia="Calibri" w:hAnsi="Arial" w:cs="Arial"/>
          <w:color w:val="000000" w:themeColor="text1"/>
          <w:sz w:val="22"/>
          <w:lang w:val="es-ES_tradnl"/>
        </w:rPr>
      </w:pPr>
    </w:p>
    <w:p w14:paraId="12E66182" w14:textId="4578DA1B" w:rsidR="00B95C30" w:rsidRPr="00827918" w:rsidRDefault="00A25F2F" w:rsidP="004004C2">
      <w:pPr>
        <w:rPr>
          <w:rFonts w:ascii="Arial" w:eastAsia="Calibri" w:hAnsi="Arial" w:cs="Arial"/>
          <w:b/>
          <w:bCs/>
          <w:color w:val="000000" w:themeColor="text1"/>
          <w:sz w:val="22"/>
          <w:lang w:val="es-ES_tradnl"/>
        </w:rPr>
      </w:pPr>
      <w:r w:rsidRPr="00827918">
        <w:rPr>
          <w:rFonts w:ascii="Arial" w:eastAsia="Calibri" w:hAnsi="Arial" w:cs="Arial"/>
          <w:b/>
          <w:bCs/>
          <w:color w:val="000000" w:themeColor="text1"/>
          <w:sz w:val="22"/>
          <w:lang w:val="es-ES_tradnl"/>
        </w:rPr>
        <w:t xml:space="preserve">                                          </w:t>
      </w:r>
      <w:r w:rsidR="00B95C30" w:rsidRPr="00827918">
        <w:rPr>
          <w:rFonts w:ascii="Arial" w:eastAsia="Calibri" w:hAnsi="Arial" w:cs="Arial"/>
          <w:b/>
          <w:bCs/>
          <w:color w:val="000000" w:themeColor="text1"/>
          <w:sz w:val="22"/>
          <w:lang w:val="es-ES_tradnl"/>
        </w:rPr>
        <w:t>Concepto C ‒</w:t>
      </w:r>
      <w:r w:rsidR="0082406D">
        <w:rPr>
          <w:rFonts w:ascii="Arial" w:eastAsia="Calibri" w:hAnsi="Arial" w:cs="Arial"/>
          <w:b/>
          <w:bCs/>
          <w:color w:val="000000" w:themeColor="text1"/>
          <w:sz w:val="22"/>
          <w:lang w:val="es-ES_tradnl"/>
        </w:rPr>
        <w:t xml:space="preserve"> 380</w:t>
      </w:r>
      <w:r w:rsidR="00BB1466" w:rsidRPr="00827918">
        <w:rPr>
          <w:rFonts w:ascii="Arial" w:eastAsia="Calibri" w:hAnsi="Arial" w:cs="Arial"/>
          <w:b/>
          <w:bCs/>
          <w:color w:val="000000" w:themeColor="text1"/>
          <w:sz w:val="22"/>
          <w:lang w:val="es-ES_tradnl"/>
        </w:rPr>
        <w:t xml:space="preserve"> </w:t>
      </w:r>
      <w:r w:rsidR="00646D69" w:rsidRPr="00827918">
        <w:rPr>
          <w:rFonts w:ascii="Arial" w:eastAsia="Calibri" w:hAnsi="Arial" w:cs="Arial"/>
          <w:b/>
          <w:bCs/>
          <w:color w:val="000000" w:themeColor="text1"/>
          <w:sz w:val="22"/>
          <w:lang w:val="es-ES_tradnl"/>
        </w:rPr>
        <w:t>d</w:t>
      </w:r>
      <w:r w:rsidR="0031184C" w:rsidRPr="00827918">
        <w:rPr>
          <w:rFonts w:ascii="Arial" w:eastAsia="Calibri" w:hAnsi="Arial" w:cs="Arial"/>
          <w:b/>
          <w:bCs/>
          <w:color w:val="000000" w:themeColor="text1"/>
          <w:sz w:val="22"/>
          <w:lang w:val="es-ES_tradnl"/>
        </w:rPr>
        <w:t>e 2021</w:t>
      </w:r>
    </w:p>
    <w:p w14:paraId="1BD594F9" w14:textId="77777777" w:rsidR="00B95C30" w:rsidRPr="00827918" w:rsidRDefault="00B95C30" w:rsidP="00B95C30">
      <w:pPr>
        <w:jc w:val="both"/>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552"/>
        <w:gridCol w:w="6374"/>
      </w:tblGrid>
      <w:tr w:rsidR="00B95C30" w:rsidRPr="00827918" w14:paraId="19DFC051" w14:textId="77777777" w:rsidTr="00930B21">
        <w:tc>
          <w:tcPr>
            <w:tcW w:w="2552" w:type="dxa"/>
          </w:tcPr>
          <w:p w14:paraId="6BC0D1AC" w14:textId="77777777" w:rsidR="00B95C30" w:rsidRPr="00827918" w:rsidRDefault="00B95C30" w:rsidP="008F4163">
            <w:pPr>
              <w:jc w:val="both"/>
              <w:rPr>
                <w:rFonts w:ascii="Arial" w:eastAsia="Calibri" w:hAnsi="Arial" w:cs="Arial"/>
                <w:color w:val="000000" w:themeColor="text1"/>
                <w:sz w:val="22"/>
                <w:lang w:val="es-ES_tradnl"/>
              </w:rPr>
            </w:pPr>
            <w:r w:rsidRPr="00827918">
              <w:rPr>
                <w:rFonts w:ascii="Arial" w:eastAsia="Calibri" w:hAnsi="Arial" w:cs="Arial"/>
                <w:b/>
                <w:color w:val="000000" w:themeColor="text1"/>
                <w:sz w:val="22"/>
                <w:lang w:val="es-ES_tradnl"/>
              </w:rPr>
              <w:t>Temas:</w:t>
            </w:r>
            <w:r w:rsidRPr="00827918">
              <w:rPr>
                <w:rFonts w:ascii="Arial" w:eastAsia="Calibri" w:hAnsi="Arial" w:cs="Arial"/>
                <w:color w:val="000000" w:themeColor="text1"/>
                <w:sz w:val="22"/>
                <w:lang w:val="es-ES_tradnl"/>
              </w:rPr>
              <w:t xml:space="preserve">                                      </w:t>
            </w:r>
          </w:p>
        </w:tc>
        <w:tc>
          <w:tcPr>
            <w:tcW w:w="6374" w:type="dxa"/>
          </w:tcPr>
          <w:p w14:paraId="5F389CAF" w14:textId="587E491A" w:rsidR="00B95C30" w:rsidRPr="0083419E" w:rsidRDefault="0083419E" w:rsidP="009335A2">
            <w:pPr>
              <w:jc w:val="both"/>
              <w:rPr>
                <w:rFonts w:ascii="Arial" w:hAnsi="Arial" w:cs="Arial"/>
                <w:bCs/>
                <w:color w:val="000000" w:themeColor="text1"/>
                <w:sz w:val="22"/>
                <w:lang w:val="es-ES_tradnl"/>
              </w:rPr>
            </w:pPr>
            <w:r>
              <w:rPr>
                <w:rFonts w:ascii="Arial" w:hAnsi="Arial" w:cs="Arial"/>
                <w:bCs/>
                <w:color w:val="000000" w:themeColor="text1"/>
                <w:sz w:val="22"/>
                <w:lang w:val="es-ES_tradnl"/>
              </w:rPr>
              <w:t>DOCUMENTOS</w:t>
            </w:r>
            <w:r w:rsidRPr="0083419E">
              <w:rPr>
                <w:rFonts w:ascii="Arial" w:hAnsi="Arial" w:cs="Arial"/>
                <w:bCs/>
                <w:color w:val="000000" w:themeColor="text1"/>
                <w:sz w:val="22"/>
                <w:lang w:val="es-ES_tradnl"/>
              </w:rPr>
              <w:t>TIPO – Obligatoriedad – Entidad</w:t>
            </w:r>
            <w:r>
              <w:rPr>
                <w:rFonts w:ascii="Arial" w:hAnsi="Arial" w:cs="Arial"/>
                <w:bCs/>
                <w:color w:val="000000" w:themeColor="text1"/>
                <w:sz w:val="22"/>
                <w:lang w:val="es-ES_tradnl"/>
              </w:rPr>
              <w:t xml:space="preserve">es estatales – Alcance / MATRIZ </w:t>
            </w:r>
            <w:r w:rsidRPr="0083419E">
              <w:rPr>
                <w:rFonts w:ascii="Arial" w:hAnsi="Arial" w:cs="Arial"/>
                <w:bCs/>
                <w:color w:val="000000" w:themeColor="text1"/>
                <w:sz w:val="22"/>
                <w:lang w:val="es-ES_tradnl"/>
              </w:rPr>
              <w:t>1 – EXPERIENCIA – Infraestruct</w:t>
            </w:r>
            <w:r>
              <w:rPr>
                <w:rFonts w:ascii="Arial" w:hAnsi="Arial" w:cs="Arial"/>
                <w:bCs/>
                <w:color w:val="000000" w:themeColor="text1"/>
                <w:sz w:val="22"/>
                <w:lang w:val="es-ES_tradnl"/>
              </w:rPr>
              <w:t xml:space="preserve">ura de transporte – </w:t>
            </w:r>
            <w:r w:rsidR="00F05F8E">
              <w:rPr>
                <w:rFonts w:ascii="Arial" w:hAnsi="Arial" w:cs="Arial"/>
                <w:bCs/>
                <w:color w:val="000000" w:themeColor="text1"/>
                <w:sz w:val="22"/>
                <w:lang w:val="es-ES_tradnl"/>
              </w:rPr>
              <w:t xml:space="preserve">Consultoría - </w:t>
            </w:r>
            <w:r>
              <w:rPr>
                <w:rFonts w:ascii="Arial" w:hAnsi="Arial" w:cs="Arial"/>
                <w:bCs/>
                <w:color w:val="000000" w:themeColor="text1"/>
                <w:sz w:val="22"/>
                <w:lang w:val="es-ES_tradnl"/>
              </w:rPr>
              <w:t>Contenido /</w:t>
            </w:r>
            <w:r w:rsidRPr="0083419E">
              <w:rPr>
                <w:rFonts w:ascii="Arial" w:hAnsi="Arial" w:cs="Arial"/>
                <w:bCs/>
                <w:color w:val="000000" w:themeColor="text1"/>
                <w:sz w:val="22"/>
                <w:lang w:val="es-ES_tradnl"/>
              </w:rPr>
              <w:t>MATRIZ 1 – EXPERIENCIA – Infr</w:t>
            </w:r>
            <w:r>
              <w:rPr>
                <w:rFonts w:ascii="Arial" w:hAnsi="Arial" w:cs="Arial"/>
                <w:bCs/>
                <w:color w:val="000000" w:themeColor="text1"/>
                <w:sz w:val="22"/>
                <w:lang w:val="es-ES_tradnl"/>
              </w:rPr>
              <w:t xml:space="preserve">aestructura de transporte – </w:t>
            </w:r>
            <w:r w:rsidRPr="0083419E">
              <w:rPr>
                <w:rFonts w:ascii="Arial" w:hAnsi="Arial" w:cs="Arial"/>
                <w:bCs/>
                <w:color w:val="000000" w:themeColor="text1"/>
                <w:sz w:val="22"/>
                <w:lang w:val="es-ES_tradnl"/>
              </w:rPr>
              <w:t>Doble función –Condicio</w:t>
            </w:r>
            <w:r>
              <w:rPr>
                <w:rFonts w:ascii="Arial" w:hAnsi="Arial" w:cs="Arial"/>
                <w:bCs/>
                <w:color w:val="000000" w:themeColor="text1"/>
                <w:sz w:val="22"/>
                <w:lang w:val="es-ES_tradnl"/>
              </w:rPr>
              <w:t>nes de experiencia – Aplicación – D</w:t>
            </w:r>
            <w:r w:rsidRPr="0083419E">
              <w:rPr>
                <w:rFonts w:ascii="Arial" w:hAnsi="Arial" w:cs="Arial"/>
                <w:bCs/>
                <w:color w:val="000000" w:themeColor="text1"/>
                <w:sz w:val="22"/>
                <w:lang w:val="es-ES_tradnl"/>
              </w:rPr>
              <w:t>ocumentos tipo</w:t>
            </w:r>
            <w:r>
              <w:rPr>
                <w:rFonts w:ascii="Arial" w:hAnsi="Arial" w:cs="Arial"/>
                <w:bCs/>
                <w:color w:val="000000" w:themeColor="text1"/>
                <w:sz w:val="22"/>
                <w:lang w:val="es-ES_tradnl"/>
              </w:rPr>
              <w:t xml:space="preserve"> /</w:t>
            </w:r>
          </w:p>
        </w:tc>
      </w:tr>
      <w:tr w:rsidR="00B95C30" w:rsidRPr="00827918" w14:paraId="27CD52AB" w14:textId="77777777" w:rsidTr="00930B21">
        <w:tc>
          <w:tcPr>
            <w:tcW w:w="2552" w:type="dxa"/>
          </w:tcPr>
          <w:p w14:paraId="37E195A1" w14:textId="1BA218D5" w:rsidR="00B95C30" w:rsidRPr="00827918" w:rsidRDefault="00B95C30" w:rsidP="008F4163">
            <w:pPr>
              <w:spacing w:before="120"/>
              <w:jc w:val="both"/>
              <w:rPr>
                <w:rFonts w:ascii="Arial" w:eastAsia="Calibri" w:hAnsi="Arial" w:cs="Arial"/>
                <w:b/>
                <w:color w:val="000000" w:themeColor="text1"/>
                <w:sz w:val="22"/>
                <w:lang w:val="es-ES_tradnl"/>
              </w:rPr>
            </w:pPr>
            <w:r w:rsidRPr="00827918">
              <w:rPr>
                <w:rFonts w:ascii="Arial" w:eastAsia="Calibri" w:hAnsi="Arial" w:cs="Arial"/>
                <w:b/>
                <w:color w:val="000000" w:themeColor="text1"/>
                <w:sz w:val="22"/>
                <w:lang w:val="es-ES_tradnl"/>
              </w:rPr>
              <w:t>Radicación:</w:t>
            </w:r>
            <w:r w:rsidRPr="00827918">
              <w:rPr>
                <w:rFonts w:ascii="Arial" w:eastAsia="Calibri" w:hAnsi="Arial" w:cs="Arial"/>
                <w:color w:val="000000" w:themeColor="text1"/>
                <w:sz w:val="22"/>
                <w:lang w:val="es-ES_tradnl"/>
              </w:rPr>
              <w:t xml:space="preserve">                              </w:t>
            </w:r>
          </w:p>
        </w:tc>
        <w:tc>
          <w:tcPr>
            <w:tcW w:w="6374" w:type="dxa"/>
          </w:tcPr>
          <w:p w14:paraId="09088B1B" w14:textId="508440CD" w:rsidR="00B95C30" w:rsidRPr="00827918" w:rsidRDefault="00B95C30" w:rsidP="00481C44">
            <w:pPr>
              <w:spacing w:before="120"/>
              <w:jc w:val="both"/>
              <w:rPr>
                <w:rFonts w:ascii="Arial" w:eastAsia="Calibri" w:hAnsi="Arial" w:cs="Arial"/>
                <w:color w:val="000000" w:themeColor="text1"/>
                <w:sz w:val="22"/>
                <w:lang w:val="es-ES_tradnl"/>
              </w:rPr>
            </w:pPr>
            <w:r w:rsidRPr="00827918">
              <w:rPr>
                <w:rFonts w:ascii="Arial" w:eastAsia="Calibri" w:hAnsi="Arial" w:cs="Arial"/>
                <w:color w:val="000000" w:themeColor="text1"/>
                <w:sz w:val="22"/>
                <w:lang w:val="es-ES_tradnl"/>
              </w:rPr>
              <w:t>Respuesta a consulta</w:t>
            </w:r>
            <w:r w:rsidR="00F30C72">
              <w:rPr>
                <w:rFonts w:ascii="Arial" w:eastAsia="Calibri" w:hAnsi="Arial" w:cs="Arial"/>
                <w:color w:val="000000" w:themeColor="text1"/>
                <w:sz w:val="22"/>
                <w:lang w:val="es-ES_tradnl"/>
              </w:rPr>
              <w:t xml:space="preserve"> </w:t>
            </w:r>
            <w:r w:rsidR="00481C44">
              <w:rPr>
                <w:rFonts w:ascii="Arial" w:eastAsia="Calibri" w:hAnsi="Arial" w:cs="Arial"/>
                <w:color w:val="000000" w:themeColor="text1"/>
                <w:sz w:val="22"/>
                <w:lang w:val="es-ES_tradnl"/>
              </w:rPr>
              <w:t>P20210615005241</w:t>
            </w:r>
          </w:p>
        </w:tc>
      </w:tr>
    </w:tbl>
    <w:p w14:paraId="6643BC73" w14:textId="6D94E4B0" w:rsidR="002E3C26" w:rsidRPr="00827918" w:rsidRDefault="002E3C26" w:rsidP="003C3339">
      <w:pPr>
        <w:jc w:val="both"/>
        <w:rPr>
          <w:rFonts w:ascii="Arial" w:eastAsia="Calibri" w:hAnsi="Arial" w:cs="Arial"/>
          <w:color w:val="000000" w:themeColor="text1"/>
          <w:sz w:val="22"/>
          <w:lang w:val="es-ES_tradnl"/>
        </w:rPr>
      </w:pPr>
    </w:p>
    <w:p w14:paraId="0416277B" w14:textId="77777777" w:rsidR="00FD1854" w:rsidRPr="00827918" w:rsidRDefault="00FD1854" w:rsidP="003C3339">
      <w:pPr>
        <w:jc w:val="both"/>
        <w:rPr>
          <w:rFonts w:ascii="Arial" w:eastAsia="Calibri" w:hAnsi="Arial" w:cs="Arial"/>
          <w:color w:val="000000" w:themeColor="text1"/>
          <w:sz w:val="22"/>
          <w:lang w:val="es-ES_tradnl"/>
        </w:rPr>
      </w:pPr>
    </w:p>
    <w:p w14:paraId="1CF4AEA0" w14:textId="0E8F2324" w:rsidR="003C3339" w:rsidRPr="00827918" w:rsidRDefault="003C3339" w:rsidP="003C3339">
      <w:pPr>
        <w:jc w:val="both"/>
        <w:rPr>
          <w:rFonts w:ascii="Arial" w:eastAsia="Calibri" w:hAnsi="Arial" w:cs="Arial"/>
          <w:color w:val="000000" w:themeColor="text1"/>
          <w:sz w:val="22"/>
          <w:lang w:val="es-ES_tradnl"/>
        </w:rPr>
      </w:pPr>
      <w:r w:rsidRPr="00827918">
        <w:rPr>
          <w:rFonts w:ascii="Arial" w:eastAsia="Calibri" w:hAnsi="Arial" w:cs="Arial"/>
          <w:color w:val="000000" w:themeColor="text1"/>
          <w:sz w:val="22"/>
          <w:lang w:val="es-ES_tradnl"/>
        </w:rPr>
        <w:t>Estimad</w:t>
      </w:r>
      <w:r w:rsidR="00BF762B">
        <w:rPr>
          <w:rFonts w:ascii="Arial" w:eastAsia="Calibri" w:hAnsi="Arial" w:cs="Arial"/>
          <w:color w:val="000000" w:themeColor="text1"/>
          <w:sz w:val="22"/>
          <w:lang w:val="es-ES_tradnl"/>
        </w:rPr>
        <w:t>a</w:t>
      </w:r>
      <w:r w:rsidRPr="00827918">
        <w:rPr>
          <w:rFonts w:ascii="Arial" w:eastAsia="Calibri" w:hAnsi="Arial" w:cs="Arial"/>
          <w:color w:val="000000" w:themeColor="text1"/>
          <w:sz w:val="22"/>
          <w:lang w:val="es-ES_tradnl"/>
        </w:rPr>
        <w:t xml:space="preserve"> </w:t>
      </w:r>
      <w:r w:rsidR="00B549B3" w:rsidRPr="00827918">
        <w:rPr>
          <w:rFonts w:ascii="Arial" w:eastAsia="Calibri" w:hAnsi="Arial" w:cs="Arial"/>
          <w:color w:val="000000" w:themeColor="text1"/>
          <w:sz w:val="22"/>
          <w:lang w:val="es-ES_tradnl"/>
        </w:rPr>
        <w:t>señor</w:t>
      </w:r>
      <w:r w:rsidR="00BF762B">
        <w:rPr>
          <w:rFonts w:ascii="Arial" w:eastAsia="Calibri" w:hAnsi="Arial" w:cs="Arial"/>
          <w:color w:val="000000" w:themeColor="text1"/>
          <w:sz w:val="22"/>
          <w:lang w:val="es-ES_tradnl"/>
        </w:rPr>
        <w:t>a</w:t>
      </w:r>
      <w:r w:rsidR="00B549B3" w:rsidRPr="00827918">
        <w:rPr>
          <w:rFonts w:ascii="Arial" w:eastAsia="Calibri" w:hAnsi="Arial" w:cs="Arial"/>
          <w:color w:val="000000" w:themeColor="text1"/>
          <w:sz w:val="22"/>
          <w:lang w:val="es-ES_tradnl"/>
        </w:rPr>
        <w:t xml:space="preserve"> </w:t>
      </w:r>
      <w:r w:rsidR="00BF762B">
        <w:rPr>
          <w:rFonts w:ascii="Arial" w:eastAsia="Calibri" w:hAnsi="Arial" w:cs="Arial"/>
          <w:color w:val="000000" w:themeColor="text1"/>
          <w:sz w:val="22"/>
          <w:lang w:val="es-ES_tradnl"/>
        </w:rPr>
        <w:t>Barrera</w:t>
      </w:r>
      <w:r w:rsidRPr="00827918">
        <w:rPr>
          <w:rFonts w:ascii="Arial" w:eastAsia="Calibri" w:hAnsi="Arial" w:cs="Arial"/>
          <w:color w:val="000000" w:themeColor="text1"/>
          <w:sz w:val="22"/>
          <w:lang w:val="es-ES_tradnl"/>
        </w:rPr>
        <w:t>:</w:t>
      </w:r>
    </w:p>
    <w:p w14:paraId="1EAE5543" w14:textId="77777777" w:rsidR="00DD5B04" w:rsidRPr="00827918" w:rsidRDefault="00DD5B04" w:rsidP="00DF76A2">
      <w:pPr>
        <w:jc w:val="both"/>
        <w:rPr>
          <w:rFonts w:ascii="Arial" w:eastAsia="Calibri" w:hAnsi="Arial" w:cs="Arial"/>
          <w:color w:val="000000" w:themeColor="text1"/>
          <w:sz w:val="22"/>
          <w:lang w:val="es-ES_tradnl"/>
        </w:rPr>
      </w:pPr>
    </w:p>
    <w:p w14:paraId="2109B2D3" w14:textId="3424ED9E" w:rsidR="00DD5B04" w:rsidRPr="00827918" w:rsidRDefault="00DD5B04" w:rsidP="00DF76A2">
      <w:pPr>
        <w:spacing w:line="276" w:lineRule="auto"/>
        <w:jc w:val="both"/>
        <w:rPr>
          <w:rFonts w:ascii="Arial" w:eastAsia="Calibri" w:hAnsi="Arial" w:cs="Arial"/>
          <w:color w:val="000000" w:themeColor="text1"/>
          <w:sz w:val="22"/>
          <w:lang w:val="es-ES_tradnl"/>
        </w:rPr>
      </w:pPr>
      <w:r w:rsidRPr="00827918">
        <w:rPr>
          <w:rFonts w:ascii="Arial" w:eastAsia="Calibri" w:hAnsi="Arial" w:cs="Arial"/>
          <w:color w:val="000000" w:themeColor="text1"/>
          <w:sz w:val="22"/>
          <w:lang w:val="es-ES_tradnl"/>
        </w:rPr>
        <w:t xml:space="preserve">En ejercicio de la competencia otorgada por el numeral 8 del artículo 11 y el numeral 5 del artículo 3 del Decreto Ley 4170 de 2011, la Agencia Nacional de Contratación Pública </w:t>
      </w:r>
      <w:r w:rsidR="00426FB4" w:rsidRPr="00827918">
        <w:rPr>
          <w:rFonts w:ascii="Arial" w:eastAsia="Calibri" w:hAnsi="Arial" w:cs="Arial"/>
          <w:color w:val="000000" w:themeColor="text1"/>
          <w:sz w:val="22"/>
          <w:lang w:val="es-ES_tradnl"/>
        </w:rPr>
        <w:t>–</w:t>
      </w:r>
      <w:r w:rsidRPr="00827918">
        <w:rPr>
          <w:rFonts w:ascii="Arial" w:eastAsia="Calibri" w:hAnsi="Arial" w:cs="Arial"/>
          <w:color w:val="000000" w:themeColor="text1"/>
          <w:sz w:val="22"/>
          <w:lang w:val="es-ES_tradnl"/>
        </w:rPr>
        <w:t xml:space="preserve"> Colombia Compra Eficiente</w:t>
      </w:r>
      <w:r w:rsidR="008C3C57" w:rsidRPr="00827918">
        <w:rPr>
          <w:rFonts w:ascii="Arial" w:eastAsia="Calibri" w:hAnsi="Arial" w:cs="Arial"/>
          <w:color w:val="000000" w:themeColor="text1"/>
          <w:sz w:val="22"/>
          <w:lang w:val="es-ES_tradnl"/>
        </w:rPr>
        <w:t xml:space="preserve"> </w:t>
      </w:r>
      <w:r w:rsidRPr="00827918">
        <w:rPr>
          <w:rFonts w:ascii="Arial" w:eastAsia="Calibri" w:hAnsi="Arial" w:cs="Arial"/>
          <w:color w:val="000000" w:themeColor="text1"/>
          <w:sz w:val="22"/>
          <w:lang w:val="es-ES_tradnl"/>
        </w:rPr>
        <w:t xml:space="preserve">responde su consulta del </w:t>
      </w:r>
      <w:r w:rsidR="00481C44">
        <w:rPr>
          <w:rFonts w:ascii="Arial" w:eastAsia="Calibri" w:hAnsi="Arial" w:cs="Arial"/>
          <w:color w:val="000000" w:themeColor="text1"/>
          <w:sz w:val="22"/>
          <w:lang w:val="es-ES_tradnl"/>
        </w:rPr>
        <w:t xml:space="preserve">15 de junio de 2021. </w:t>
      </w:r>
    </w:p>
    <w:p w14:paraId="0C1E0712" w14:textId="77777777" w:rsidR="00DD5B04" w:rsidRPr="00827918" w:rsidRDefault="00DD5B04" w:rsidP="00DF76A2">
      <w:pPr>
        <w:spacing w:line="276" w:lineRule="auto"/>
        <w:jc w:val="both"/>
        <w:rPr>
          <w:rFonts w:ascii="Arial" w:eastAsia="Calibri" w:hAnsi="Arial" w:cs="Arial"/>
          <w:b/>
          <w:color w:val="000000" w:themeColor="text1"/>
          <w:sz w:val="22"/>
          <w:lang w:val="es-ES_tradnl"/>
        </w:rPr>
      </w:pPr>
    </w:p>
    <w:p w14:paraId="7701FCC7" w14:textId="77777777" w:rsidR="00DD5B04" w:rsidRPr="00827918"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827918">
        <w:rPr>
          <w:rFonts w:ascii="Arial" w:eastAsia="Calibri" w:hAnsi="Arial" w:cs="Arial"/>
          <w:b/>
          <w:color w:val="000000" w:themeColor="text1"/>
          <w:sz w:val="22"/>
          <w:lang w:val="es-ES_tradnl"/>
        </w:rPr>
        <w:t xml:space="preserve">Problema planteado </w:t>
      </w:r>
    </w:p>
    <w:p w14:paraId="224B43D3" w14:textId="77777777" w:rsidR="00DD5B04" w:rsidRPr="00827918"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07720E61" w14:textId="65CECF6D" w:rsidR="00803AB0" w:rsidRPr="00827918" w:rsidRDefault="00DD5B04" w:rsidP="009305E3">
      <w:pPr>
        <w:spacing w:line="276" w:lineRule="auto"/>
        <w:jc w:val="both"/>
        <w:rPr>
          <w:rFonts w:ascii="Arial" w:hAnsi="Arial" w:cs="Arial"/>
          <w:color w:val="000000" w:themeColor="text1"/>
          <w:sz w:val="22"/>
          <w:szCs w:val="22"/>
          <w:lang w:val="es-ES_tradnl"/>
        </w:rPr>
      </w:pPr>
      <w:r w:rsidRPr="00827918">
        <w:rPr>
          <w:rFonts w:ascii="Arial" w:hAnsi="Arial" w:cs="Arial"/>
          <w:color w:val="000000" w:themeColor="text1"/>
          <w:sz w:val="22"/>
          <w:lang w:val="es-ES_tradnl"/>
        </w:rPr>
        <w:t xml:space="preserve">Usted </w:t>
      </w:r>
      <w:r w:rsidR="00426FB4" w:rsidRPr="00827918">
        <w:rPr>
          <w:rFonts w:ascii="Arial" w:hAnsi="Arial" w:cs="Arial"/>
          <w:color w:val="000000" w:themeColor="text1"/>
          <w:sz w:val="22"/>
          <w:lang w:val="es-ES_tradnl"/>
        </w:rPr>
        <w:t>realiza</w:t>
      </w:r>
      <w:r w:rsidR="006D46A3" w:rsidRPr="00827918">
        <w:rPr>
          <w:rFonts w:ascii="Arial" w:hAnsi="Arial" w:cs="Arial"/>
          <w:color w:val="000000" w:themeColor="text1"/>
          <w:sz w:val="22"/>
          <w:lang w:val="es-ES_tradnl"/>
        </w:rPr>
        <w:t xml:space="preserve"> la</w:t>
      </w:r>
      <w:r w:rsidR="00481C44">
        <w:rPr>
          <w:rFonts w:ascii="Arial" w:hAnsi="Arial" w:cs="Arial"/>
          <w:color w:val="000000" w:themeColor="text1"/>
          <w:sz w:val="22"/>
          <w:lang w:val="es-ES_tradnl"/>
        </w:rPr>
        <w:t>s siguientes consultas</w:t>
      </w:r>
      <w:r w:rsidR="006251D3" w:rsidRPr="00827918">
        <w:rPr>
          <w:rFonts w:ascii="Arial" w:hAnsi="Arial" w:cs="Arial"/>
          <w:color w:val="000000" w:themeColor="text1"/>
          <w:sz w:val="22"/>
          <w:lang w:val="es-ES_tradnl"/>
        </w:rPr>
        <w:t>:</w:t>
      </w:r>
      <w:r w:rsidR="006251D3" w:rsidRPr="00827918">
        <w:rPr>
          <w:rFonts w:ascii="Arial" w:hAnsi="Arial" w:cs="Arial"/>
          <w:color w:val="000000" w:themeColor="text1"/>
          <w:sz w:val="21"/>
          <w:szCs w:val="21"/>
          <w:lang w:val="es-ES_tradnl"/>
        </w:rPr>
        <w:t xml:space="preserve"> </w:t>
      </w:r>
      <w:r w:rsidR="00F0435D" w:rsidRPr="00827918">
        <w:rPr>
          <w:rFonts w:ascii="Arial" w:hAnsi="Arial" w:cs="Arial"/>
          <w:color w:val="000000" w:themeColor="text1"/>
          <w:sz w:val="22"/>
          <w:szCs w:val="22"/>
          <w:lang w:val="es-ES_tradnl"/>
        </w:rPr>
        <w:t>«</w:t>
      </w:r>
      <w:bookmarkStart w:id="3" w:name="_Hlk75262725"/>
      <w:r w:rsidR="009305E3" w:rsidRPr="00481C44">
        <w:rPr>
          <w:rFonts w:ascii="Arial" w:hAnsi="Arial" w:cs="Arial"/>
          <w:color w:val="000000" w:themeColor="text1"/>
          <w:sz w:val="21"/>
          <w:szCs w:val="21"/>
          <w:lang w:val="es-ES_tradnl"/>
        </w:rPr>
        <w:t>i)</w:t>
      </w:r>
      <w:r w:rsidR="00A73630" w:rsidRPr="00481C44">
        <w:rPr>
          <w:rFonts w:ascii="Arial" w:hAnsi="Arial" w:cs="Arial"/>
          <w:color w:val="000000" w:themeColor="text1"/>
          <w:sz w:val="21"/>
          <w:szCs w:val="21"/>
          <w:lang w:val="es-ES_tradnl"/>
        </w:rPr>
        <w:t xml:space="preserve"> </w:t>
      </w:r>
      <w:bookmarkEnd w:id="3"/>
      <w:r w:rsidR="00481C44" w:rsidRPr="00481C44">
        <w:rPr>
          <w:rFonts w:ascii="Arial" w:hAnsi="Arial" w:cs="Arial"/>
          <w:sz w:val="21"/>
          <w:szCs w:val="21"/>
        </w:rPr>
        <w:t xml:space="preserve">Colombia Compra Eficiente tiene publicados los proyectos de pliegos tipo para adelantar la contratación de estudios y diseños de infraestructura vial de transporte y estos se encuentran en observaciones hasta el día 11 de junio de 2021. Así las cosas, se consulta si la Secretaria Distrital de Habital debe tomar los proyectos de pliegos tipo publicados para adelantar la contratación requerida para la consultoría de estudios y diseños y de su interventoría, antes mencionadas; ii) En caso de no considerar aplicables los proyectos de pliegos tipo para estas contrataciones programadas por la Secretaria Distrital de Habital, se consulta la pertinencia de dar aplicación a los pliegos que maneja la Secretaria Distrital de Hábitat o como una tercera opción manejar los pliegos tipo de obra de infraestructura </w:t>
      </w:r>
      <w:r w:rsidR="00481C44" w:rsidRPr="00481C44">
        <w:rPr>
          <w:rFonts w:ascii="Arial" w:hAnsi="Arial" w:cs="Arial"/>
          <w:sz w:val="21"/>
          <w:szCs w:val="21"/>
        </w:rPr>
        <w:lastRenderedPageBreak/>
        <w:t>vial de transporte en los términos señalados en el artículo 2.2.1.2.6.3.5 del Decreto 1082 de 2015 y el artículo 4 de las Resoluciones 240 y 241 de 2020, es decir, emplear los documentos tipo de obra de infraestructura de transporte vial pero eliminando la experiencia de obra incluyendo la experiencia de estudios y diseños que establezca la entidad Nuestra inquietud se genera en razón a la naturaleza de la contratación y si es pertinente o no trabajar sobre pliegos tipo ya existentes o sobre pliegos que viene manejando la entidad para otro tipo de consultorías diferentes a infraestructura vial</w:t>
      </w:r>
      <w:r w:rsidR="00481C44">
        <w:t>.</w:t>
      </w:r>
      <w:r w:rsidR="00803AB0" w:rsidRPr="00827918">
        <w:rPr>
          <w:rFonts w:ascii="Arial" w:hAnsi="Arial" w:cs="Arial"/>
          <w:color w:val="000000" w:themeColor="text1"/>
          <w:sz w:val="22"/>
          <w:szCs w:val="22"/>
          <w:lang w:val="es-ES_tradnl"/>
        </w:rPr>
        <w:t>».</w:t>
      </w:r>
    </w:p>
    <w:p w14:paraId="0EA7C998" w14:textId="0C45CD32" w:rsidR="006D4AB2" w:rsidRDefault="006D4AB2" w:rsidP="009305E3">
      <w:pPr>
        <w:spacing w:line="276" w:lineRule="auto"/>
        <w:jc w:val="both"/>
        <w:rPr>
          <w:rFonts w:ascii="Arial" w:hAnsi="Arial" w:cs="Arial"/>
          <w:color w:val="000000" w:themeColor="text1"/>
          <w:sz w:val="22"/>
          <w:szCs w:val="22"/>
          <w:lang w:val="es-ES_tradnl"/>
        </w:rPr>
      </w:pPr>
    </w:p>
    <w:p w14:paraId="6CDDAE75" w14:textId="77777777" w:rsidR="00DD453A" w:rsidRPr="00827918" w:rsidRDefault="00DD453A" w:rsidP="009305E3">
      <w:pPr>
        <w:spacing w:line="276" w:lineRule="auto"/>
        <w:jc w:val="both"/>
        <w:rPr>
          <w:rFonts w:ascii="Arial" w:hAnsi="Arial" w:cs="Arial"/>
          <w:color w:val="000000" w:themeColor="text1"/>
          <w:sz w:val="22"/>
          <w:szCs w:val="22"/>
          <w:lang w:val="es-ES_tradnl"/>
        </w:rPr>
      </w:pPr>
    </w:p>
    <w:p w14:paraId="124D2DCA" w14:textId="77777777" w:rsidR="00DD5B04" w:rsidRPr="00827918" w:rsidRDefault="00DD5B04" w:rsidP="00DF76A2">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827918">
        <w:rPr>
          <w:rFonts w:ascii="Arial" w:eastAsia="Calibri" w:hAnsi="Arial" w:cs="Arial"/>
          <w:b/>
          <w:color w:val="000000" w:themeColor="text1"/>
          <w:sz w:val="22"/>
          <w:lang w:val="es-ES_tradnl"/>
        </w:rPr>
        <w:t>Consideraciones</w:t>
      </w:r>
    </w:p>
    <w:p w14:paraId="7D050D2E" w14:textId="77777777" w:rsidR="00435703" w:rsidRPr="00827918" w:rsidRDefault="00435703" w:rsidP="00DF76A2">
      <w:pPr>
        <w:spacing w:line="276" w:lineRule="auto"/>
        <w:jc w:val="both"/>
        <w:rPr>
          <w:rFonts w:ascii="Arial" w:eastAsia="Calibri" w:hAnsi="Arial" w:cs="Arial"/>
          <w:color w:val="000000" w:themeColor="text1"/>
          <w:sz w:val="22"/>
          <w:szCs w:val="22"/>
          <w:lang w:val="es-ES_tradnl"/>
        </w:rPr>
      </w:pPr>
    </w:p>
    <w:p w14:paraId="4220898E" w14:textId="2443D181" w:rsidR="00B00AFD" w:rsidRDefault="00B00AFD" w:rsidP="0083419E">
      <w:pPr>
        <w:spacing w:line="276" w:lineRule="auto"/>
        <w:jc w:val="both"/>
        <w:rPr>
          <w:rFonts w:ascii="Arial" w:eastAsia="Calibri" w:hAnsi="Arial" w:cs="Arial"/>
          <w:color w:val="000000" w:themeColor="text1"/>
          <w:sz w:val="22"/>
          <w:szCs w:val="22"/>
          <w:lang w:val="es-ES_tradnl"/>
        </w:rPr>
      </w:pPr>
      <w:r w:rsidRPr="00B00AFD">
        <w:rPr>
          <w:rFonts w:ascii="Arial" w:eastAsia="Calibri" w:hAnsi="Arial" w:cs="Arial"/>
          <w:color w:val="000000" w:themeColor="text1"/>
          <w:sz w:val="22"/>
          <w:szCs w:val="22"/>
          <w:lang w:val="es-ES_tradnl"/>
        </w:rPr>
        <w:t>La Agencia Nacional de Contratación Pública – Colombia Compra Eficiente ha estudiado del ámbito de aplicación de los documentos tipo en los conceptos C-645 del 6 de noviembre de 2020, C-673 del 11 de noviembre de 2020, C-692 del 27 de noviembre de 2020, C-778 del 18 de enero de 2021, C-021 del 22 de febrero de 2021, C-091 del 23 de marzo de 2021, C-200 del 14 de mayo de 2021, C-231 del 24 de mayo de 2021, C-267 de 2 de junio de 2021</w:t>
      </w:r>
      <w:r w:rsidR="00BF762B">
        <w:rPr>
          <w:rFonts w:ascii="Arial" w:eastAsia="Calibri" w:hAnsi="Arial" w:cs="Arial"/>
          <w:color w:val="000000" w:themeColor="text1"/>
          <w:sz w:val="22"/>
          <w:szCs w:val="22"/>
          <w:lang w:val="es-ES_tradnl"/>
        </w:rPr>
        <w:t xml:space="preserve"> y C-370 del 28 de julio de 2021, </w:t>
      </w:r>
      <w:r w:rsidRPr="00B00AFD">
        <w:rPr>
          <w:rFonts w:ascii="Arial" w:eastAsia="Calibri" w:hAnsi="Arial" w:cs="Arial"/>
          <w:color w:val="000000" w:themeColor="text1"/>
          <w:sz w:val="22"/>
          <w:szCs w:val="22"/>
          <w:lang w:val="es-ES_tradnl"/>
        </w:rPr>
        <w:t>entre otros . En lo pertinente, las tesis expuestas en los conceptos mencionados se reiteran a continuación.</w:t>
      </w:r>
    </w:p>
    <w:p w14:paraId="0D27A697" w14:textId="452E95D1" w:rsidR="00F433CB" w:rsidRPr="00827918" w:rsidRDefault="00F433CB" w:rsidP="004756FD">
      <w:pPr>
        <w:spacing w:line="276" w:lineRule="auto"/>
        <w:jc w:val="both"/>
        <w:rPr>
          <w:rFonts w:ascii="Arial" w:eastAsia="Calibri" w:hAnsi="Arial" w:cs="Arial"/>
          <w:color w:val="000000" w:themeColor="text1"/>
          <w:sz w:val="22"/>
        </w:rPr>
      </w:pPr>
    </w:p>
    <w:p w14:paraId="7261560A" w14:textId="77777777" w:rsidR="00B00AFD" w:rsidRPr="00B00AFD" w:rsidRDefault="00B00AFD" w:rsidP="00B00AFD">
      <w:pPr>
        <w:spacing w:line="276" w:lineRule="auto"/>
        <w:jc w:val="both"/>
        <w:rPr>
          <w:rFonts w:ascii="Arial" w:eastAsia="Arial" w:hAnsi="Arial" w:cs="Arial"/>
          <w:b/>
          <w:bCs/>
          <w:color w:val="000000"/>
          <w:sz w:val="22"/>
          <w:lang w:val="es-ES_tradnl"/>
        </w:rPr>
      </w:pPr>
      <w:r w:rsidRPr="00B00AFD">
        <w:rPr>
          <w:rFonts w:ascii="Arial" w:eastAsia="Arial" w:hAnsi="Arial" w:cs="Arial"/>
          <w:b/>
          <w:bCs/>
          <w:color w:val="000000"/>
          <w:sz w:val="22"/>
          <w:lang w:val="es-ES_tradnl"/>
        </w:rPr>
        <w:t xml:space="preserve">2.1. Fundamento normativo de los documentos tipo adoptados </w:t>
      </w:r>
    </w:p>
    <w:p w14:paraId="1B2EA6AF" w14:textId="77777777" w:rsidR="00B00AFD" w:rsidRPr="00B00AFD" w:rsidRDefault="00B00AFD" w:rsidP="00B00AFD">
      <w:pPr>
        <w:spacing w:line="276" w:lineRule="auto"/>
        <w:jc w:val="both"/>
        <w:rPr>
          <w:rFonts w:ascii="Arial" w:eastAsia="Arial" w:hAnsi="Arial" w:cs="Arial"/>
          <w:b/>
          <w:bCs/>
          <w:color w:val="000000"/>
          <w:sz w:val="22"/>
          <w:lang w:val="es-ES_tradnl"/>
        </w:rPr>
      </w:pPr>
    </w:p>
    <w:p w14:paraId="427B0CD5" w14:textId="77777777" w:rsidR="00BF762B" w:rsidRPr="008918A2" w:rsidRDefault="00BF762B" w:rsidP="00BF762B">
      <w:pPr>
        <w:spacing w:after="120" w:line="276" w:lineRule="auto"/>
        <w:jc w:val="both"/>
        <w:rPr>
          <w:rFonts w:ascii="Arial" w:eastAsia="Calibri" w:hAnsi="Arial" w:cs="Arial"/>
          <w:color w:val="000000"/>
          <w:sz w:val="22"/>
          <w:lang w:val="es-ES_tradnl"/>
        </w:rPr>
      </w:pPr>
      <w:r w:rsidRPr="008918A2">
        <w:rPr>
          <w:rFonts w:ascii="Arial" w:eastAsia="Calibri" w:hAnsi="Arial" w:cs="Arial"/>
          <w:color w:val="000000"/>
          <w:sz w:val="22"/>
          <w:lang w:val="es-ES_tradnl"/>
        </w:rPr>
        <w:t>La adopción de los documentos tipo obligatorios en el ordenamiento jurídico colombiano se incluyó por primera vez en el parágrafo 3 del artículo 2 de la Ley 1150 de 2007</w:t>
      </w:r>
      <w:r w:rsidRPr="008918A2">
        <w:rPr>
          <w:rStyle w:val="Refdenotaalpie"/>
          <w:rFonts w:ascii="Arial" w:eastAsia="Calibri" w:hAnsi="Arial" w:cs="Arial"/>
          <w:color w:val="000000"/>
          <w:sz w:val="22"/>
          <w:lang w:val="es-ES_tradnl"/>
        </w:rPr>
        <w:footnoteReference w:id="2"/>
      </w:r>
      <w:r w:rsidRPr="008918A2">
        <w:rPr>
          <w:rFonts w:ascii="Arial" w:eastAsia="Calibri" w:hAnsi="Arial" w:cs="Arial"/>
          <w:color w:val="000000"/>
          <w:sz w:val="22"/>
          <w:lang w:val="es-ES_tradnl"/>
        </w:rPr>
        <w:t xml:space="preserve">, que facultó al gobierno nacional para expedirlos, pero solo cuando se tratara de la adquisición o suministro de bienes y servicios de características técnicas uniformes y de común utilización. Sin embargo, esta facultad no ha sido ejercida hasta la actualidad. </w:t>
      </w:r>
    </w:p>
    <w:p w14:paraId="05A82D0F" w14:textId="77777777" w:rsidR="00BF762B" w:rsidRPr="008918A2" w:rsidRDefault="00BF762B" w:rsidP="00BF762B">
      <w:pPr>
        <w:spacing w:line="276" w:lineRule="auto"/>
        <w:ind w:firstLine="708"/>
        <w:jc w:val="both"/>
        <w:rPr>
          <w:rFonts w:ascii="Arial" w:eastAsia="Calibri" w:hAnsi="Arial" w:cs="Arial"/>
          <w:color w:val="000000"/>
          <w:sz w:val="22"/>
          <w:lang w:val="es-ES_tradnl"/>
        </w:rPr>
      </w:pPr>
      <w:r w:rsidRPr="008918A2">
        <w:rPr>
          <w:rFonts w:ascii="Arial" w:eastAsia="Calibri" w:hAnsi="Arial" w:cs="Arial"/>
          <w:color w:val="000000"/>
          <w:sz w:val="22"/>
          <w:lang w:val="es-ES_tradnl"/>
        </w:rPr>
        <w:t xml:space="preserve">Debido a lo anterior, el artículo 4 de la Ley 1882 de 2018 se convierte en el antecedente más relevante respecto a los documentos tipo. A partir de esta norma se determinó la obligatoriedad por parte de todas las entidades sometidas al Estatuto General de Contratación de la Administración Pública de aplicar los documentos tipo adoptados por el gobierno nacional. Ahora bien, en virtud de la Ley 1882 de 2018 se expidieron varios documentos tipo para el sector de infraestructura de transporte y, por tanto, es importante explicar el proceso previsto en dicho cuerpo normativo. </w:t>
      </w:r>
    </w:p>
    <w:p w14:paraId="1FD55E96" w14:textId="77777777" w:rsidR="00BF762B" w:rsidRPr="008918A2" w:rsidRDefault="00BF762B" w:rsidP="00BF762B">
      <w:pPr>
        <w:spacing w:before="120" w:after="120" w:line="276" w:lineRule="auto"/>
        <w:ind w:firstLine="708"/>
        <w:jc w:val="both"/>
        <w:rPr>
          <w:rFonts w:ascii="Arial" w:eastAsia="Calibri" w:hAnsi="Arial" w:cs="Arial"/>
          <w:color w:val="000000"/>
          <w:sz w:val="22"/>
          <w:lang w:val="es-ES_tradnl"/>
        </w:rPr>
      </w:pPr>
      <w:r w:rsidRPr="008918A2">
        <w:rPr>
          <w:rFonts w:ascii="Arial" w:eastAsia="Calibri" w:hAnsi="Arial" w:cs="Arial"/>
          <w:color w:val="000000"/>
          <w:sz w:val="22"/>
          <w:lang w:val="es-ES_tradnl"/>
        </w:rPr>
        <w:lastRenderedPageBreak/>
        <w:t>La Ley 1882 de 2018, en el artículo 4, establecía que el gobierno nacional adoptaría los documentos tipo para los pliegos de condiciones de los procesos de selección de obras públicas, interventoría para las obras públicas, interventoría para consultoría de estudios y diseños para obras públicas y consultoría en ingeniería para obras, los cuales debían ser utilizados por todas las entidades sometidas al Estatuto General de Contratación de la Administración Pública en los procesos de selección que adelantaran</w:t>
      </w:r>
      <w:r w:rsidRPr="008918A2">
        <w:rPr>
          <w:rStyle w:val="Refdenotaalpie"/>
          <w:rFonts w:ascii="Arial" w:eastAsia="Calibri" w:hAnsi="Arial" w:cs="Arial"/>
          <w:color w:val="000000"/>
          <w:sz w:val="22"/>
          <w:lang w:val="es-ES_tradnl"/>
        </w:rPr>
        <w:footnoteReference w:id="3"/>
      </w:r>
      <w:r w:rsidRPr="008918A2">
        <w:rPr>
          <w:rFonts w:ascii="Arial" w:eastAsia="Calibri" w:hAnsi="Arial" w:cs="Arial"/>
          <w:color w:val="000000"/>
          <w:sz w:val="22"/>
          <w:lang w:val="es-ES_tradnl"/>
        </w:rPr>
        <w:t>.</w:t>
      </w:r>
    </w:p>
    <w:p w14:paraId="579A5491" w14:textId="77777777" w:rsidR="00BF762B" w:rsidRPr="008918A2" w:rsidRDefault="00BF762B" w:rsidP="00BF762B">
      <w:pPr>
        <w:spacing w:before="120" w:after="120" w:line="276" w:lineRule="auto"/>
        <w:jc w:val="both"/>
        <w:rPr>
          <w:rFonts w:ascii="Arial" w:eastAsia="Calibri" w:hAnsi="Arial" w:cs="Arial"/>
          <w:color w:val="000000"/>
          <w:sz w:val="22"/>
          <w:lang w:val="es-ES_tradnl"/>
        </w:rPr>
      </w:pPr>
      <w:r w:rsidRPr="008918A2">
        <w:rPr>
          <w:rFonts w:ascii="Arial" w:eastAsia="Calibri" w:hAnsi="Arial" w:cs="Arial"/>
          <w:color w:val="000000"/>
          <w:sz w:val="22"/>
          <w:lang w:val="es-ES_tradnl"/>
        </w:rPr>
        <w:tab/>
        <w:t>Asimismo, señalaba que, dentro de los documentos tipo, el gobierno adoptaría de manera general y con alcance obligatorio para todas las entidades las condiciones habilitantes, así como los factores técnicos y económicos de escogencia, según correspondiera a cada modalidad de selección y la ponderación precisa y detallada de los mismos, teniendo en cuenta la naturaleza y cuantía de los contratos. Finalmente, para la adopción de esta reglamentación el gobierno tendría en cuenta las características propias de las regiones</w:t>
      </w:r>
      <w:r>
        <w:rPr>
          <w:rFonts w:ascii="Arial" w:eastAsia="Calibri" w:hAnsi="Arial" w:cs="Arial"/>
          <w:color w:val="000000"/>
          <w:sz w:val="22"/>
          <w:lang w:val="es-ES_tradnl"/>
        </w:rPr>
        <w:t>,</w:t>
      </w:r>
      <w:r w:rsidRPr="008918A2">
        <w:rPr>
          <w:rFonts w:ascii="Arial" w:eastAsia="Calibri" w:hAnsi="Arial" w:cs="Arial"/>
          <w:color w:val="000000"/>
          <w:sz w:val="22"/>
          <w:lang w:val="es-ES_tradnl"/>
        </w:rPr>
        <w:t xml:space="preserve"> con el ánimo de promover el empleo local. Por último, se facultaba al gobierno para adoptar los documentos tipo cuando lo considerara necesario en relación con otros contratos o procesos de selección. </w:t>
      </w:r>
    </w:p>
    <w:p w14:paraId="56AB21BB" w14:textId="77777777" w:rsidR="00BF762B" w:rsidRPr="008918A2" w:rsidRDefault="00BF762B" w:rsidP="00BF762B">
      <w:pPr>
        <w:spacing w:before="120" w:after="120" w:line="276" w:lineRule="auto"/>
        <w:jc w:val="both"/>
        <w:rPr>
          <w:rFonts w:ascii="Arial" w:eastAsia="Calibri" w:hAnsi="Arial" w:cs="Arial"/>
          <w:color w:val="000000"/>
          <w:sz w:val="22"/>
          <w:lang w:val="es-ES_tradnl"/>
        </w:rPr>
      </w:pPr>
      <w:r w:rsidRPr="008918A2">
        <w:rPr>
          <w:rFonts w:ascii="Arial" w:eastAsia="Calibri" w:hAnsi="Arial" w:cs="Arial"/>
          <w:color w:val="000000"/>
          <w:sz w:val="22"/>
          <w:lang w:val="es-ES_tradnl"/>
        </w:rPr>
        <w:tab/>
        <w:t>De la norma descrita se concluía lo siguiente: i) la adopción de los documentos tipo estaba en cabeza del gobierno nacional</w:t>
      </w:r>
      <w:r>
        <w:rPr>
          <w:rFonts w:ascii="Arial" w:eastAsia="Calibri" w:hAnsi="Arial" w:cs="Arial"/>
          <w:color w:val="000000"/>
          <w:sz w:val="22"/>
          <w:lang w:val="es-ES_tradnl"/>
        </w:rPr>
        <w:t>;</w:t>
      </w:r>
      <w:r w:rsidRPr="008918A2">
        <w:rPr>
          <w:rFonts w:ascii="Arial" w:eastAsia="Calibri" w:hAnsi="Arial" w:cs="Arial"/>
          <w:color w:val="000000"/>
          <w:sz w:val="22"/>
          <w:lang w:val="es-ES_tradnl"/>
        </w:rPr>
        <w:t xml:space="preserve"> ii) </w:t>
      </w:r>
      <w:r>
        <w:rPr>
          <w:rFonts w:ascii="Arial" w:eastAsia="Calibri" w:hAnsi="Arial" w:cs="Arial"/>
          <w:color w:val="000000"/>
          <w:sz w:val="22"/>
          <w:lang w:val="es-ES_tradnl"/>
        </w:rPr>
        <w:t>e</w:t>
      </w:r>
      <w:r w:rsidRPr="008918A2">
        <w:rPr>
          <w:rFonts w:ascii="Arial" w:eastAsia="Calibri" w:hAnsi="Arial" w:cs="Arial"/>
          <w:color w:val="000000"/>
          <w:sz w:val="22"/>
          <w:lang w:val="es-ES_tradnl"/>
        </w:rPr>
        <w:t>stos debían relacionarse con procesos de obra públicas, interventoría para las obras públicas, interventoría para consultoría de estudios y diseños y, finalmente, consultoría en ingeniería para obras</w:t>
      </w:r>
      <w:r>
        <w:rPr>
          <w:rFonts w:ascii="Arial" w:eastAsia="Calibri" w:hAnsi="Arial" w:cs="Arial"/>
          <w:color w:val="000000"/>
          <w:sz w:val="22"/>
          <w:lang w:val="es-ES_tradnl"/>
        </w:rPr>
        <w:t>;</w:t>
      </w:r>
      <w:r w:rsidRPr="008918A2">
        <w:rPr>
          <w:rFonts w:ascii="Arial" w:eastAsia="Calibri" w:hAnsi="Arial" w:cs="Arial"/>
          <w:color w:val="000000"/>
          <w:sz w:val="22"/>
          <w:lang w:val="es-ES_tradnl"/>
        </w:rPr>
        <w:t xml:space="preserve"> iii) </w:t>
      </w:r>
      <w:r>
        <w:rPr>
          <w:rFonts w:ascii="Arial" w:eastAsia="Calibri" w:hAnsi="Arial" w:cs="Arial"/>
          <w:color w:val="000000"/>
          <w:sz w:val="22"/>
          <w:lang w:val="es-ES_tradnl"/>
        </w:rPr>
        <w:t>e</w:t>
      </w:r>
      <w:r w:rsidRPr="008918A2">
        <w:rPr>
          <w:rFonts w:ascii="Arial" w:eastAsia="Calibri" w:hAnsi="Arial" w:cs="Arial"/>
          <w:color w:val="000000"/>
          <w:sz w:val="22"/>
          <w:lang w:val="es-ES_tradnl"/>
        </w:rPr>
        <w:t>ran de obligatorio cumplimiento por parte de todas las entidades sometidas al Estatuto General de Contratación de la Administración Pública</w:t>
      </w:r>
      <w:r>
        <w:rPr>
          <w:rFonts w:ascii="Arial" w:eastAsia="Calibri" w:hAnsi="Arial" w:cs="Arial"/>
          <w:color w:val="000000"/>
          <w:sz w:val="22"/>
          <w:lang w:val="es-ES_tradnl"/>
        </w:rPr>
        <w:t>;</w:t>
      </w:r>
      <w:r w:rsidRPr="008918A2">
        <w:rPr>
          <w:rFonts w:ascii="Arial" w:eastAsia="Calibri" w:hAnsi="Arial" w:cs="Arial"/>
          <w:color w:val="000000"/>
          <w:sz w:val="22"/>
          <w:lang w:val="es-ES_tradnl"/>
        </w:rPr>
        <w:t xml:space="preserve"> iv) </w:t>
      </w:r>
      <w:r>
        <w:rPr>
          <w:rFonts w:ascii="Arial" w:eastAsia="Calibri" w:hAnsi="Arial" w:cs="Arial"/>
          <w:color w:val="000000"/>
          <w:sz w:val="22"/>
          <w:lang w:val="es-ES_tradnl"/>
        </w:rPr>
        <w:t>e</w:t>
      </w:r>
      <w:r w:rsidRPr="008918A2">
        <w:rPr>
          <w:rFonts w:ascii="Arial" w:eastAsia="Calibri" w:hAnsi="Arial" w:cs="Arial"/>
          <w:color w:val="000000"/>
          <w:sz w:val="22"/>
          <w:lang w:val="es-ES_tradnl"/>
        </w:rPr>
        <w:t>n los documentos tipo se indicarían las condiciones generales de los requisitos habilitantes, así como los factores técnicos y económicos de escogencia, según correspondiera para cada modalidad de selección</w:t>
      </w:r>
      <w:r>
        <w:rPr>
          <w:rFonts w:ascii="Arial" w:eastAsia="Calibri" w:hAnsi="Arial" w:cs="Arial"/>
          <w:color w:val="000000"/>
          <w:sz w:val="22"/>
          <w:lang w:val="es-ES_tradnl"/>
        </w:rPr>
        <w:t>;</w:t>
      </w:r>
      <w:r w:rsidRPr="008918A2">
        <w:rPr>
          <w:rFonts w:ascii="Arial" w:eastAsia="Calibri" w:hAnsi="Arial" w:cs="Arial"/>
          <w:color w:val="000000"/>
          <w:sz w:val="22"/>
          <w:lang w:val="es-ES_tradnl"/>
        </w:rPr>
        <w:t xml:space="preserve"> v) </w:t>
      </w:r>
      <w:r>
        <w:rPr>
          <w:rFonts w:ascii="Arial" w:eastAsia="Calibri" w:hAnsi="Arial" w:cs="Arial"/>
          <w:color w:val="000000"/>
          <w:sz w:val="22"/>
          <w:lang w:val="es-ES_tradnl"/>
        </w:rPr>
        <w:t>el</w:t>
      </w:r>
      <w:r w:rsidRPr="008918A2">
        <w:rPr>
          <w:rFonts w:ascii="Arial" w:eastAsia="Calibri" w:hAnsi="Arial" w:cs="Arial"/>
          <w:color w:val="000000"/>
          <w:sz w:val="22"/>
          <w:lang w:val="es-ES_tradnl"/>
        </w:rPr>
        <w:t xml:space="preserve"> gobierno nacional tenía la facultad de adoptar documentos tipo en otros contratos o </w:t>
      </w:r>
      <w:r w:rsidRPr="008918A2">
        <w:rPr>
          <w:rFonts w:ascii="Arial" w:eastAsia="Calibri" w:hAnsi="Arial" w:cs="Arial"/>
          <w:color w:val="000000"/>
          <w:sz w:val="22"/>
          <w:lang w:val="es-ES_tradnl"/>
        </w:rPr>
        <w:lastRenderedPageBreak/>
        <w:t>procesos de selección</w:t>
      </w:r>
      <w:r>
        <w:rPr>
          <w:rFonts w:ascii="Arial" w:eastAsia="Calibri" w:hAnsi="Arial" w:cs="Arial"/>
          <w:color w:val="000000"/>
          <w:sz w:val="22"/>
          <w:lang w:val="es-ES_tradnl"/>
        </w:rPr>
        <w:t>; p</w:t>
      </w:r>
      <w:r w:rsidRPr="008918A2">
        <w:rPr>
          <w:rFonts w:ascii="Arial" w:eastAsia="Calibri" w:hAnsi="Arial" w:cs="Arial"/>
          <w:color w:val="000000"/>
          <w:sz w:val="22"/>
          <w:lang w:val="es-ES_tradnl"/>
        </w:rPr>
        <w:t xml:space="preserve">or último, vi) los documentos tipo serían adoptados por categorías de acuerdo con la cuantía de la contratación. </w:t>
      </w:r>
    </w:p>
    <w:p w14:paraId="7E39E1B7" w14:textId="77777777" w:rsidR="00BF762B" w:rsidRPr="008918A2" w:rsidRDefault="00BF762B" w:rsidP="00BF762B">
      <w:pPr>
        <w:spacing w:before="120" w:after="120" w:line="276" w:lineRule="auto"/>
        <w:jc w:val="both"/>
        <w:rPr>
          <w:rFonts w:ascii="Arial" w:eastAsia="Calibri" w:hAnsi="Arial" w:cs="Arial"/>
          <w:color w:val="000000"/>
          <w:sz w:val="22"/>
          <w:lang w:val="es-ES_tradnl"/>
        </w:rPr>
      </w:pPr>
      <w:r w:rsidRPr="008918A2">
        <w:rPr>
          <w:rFonts w:ascii="Arial" w:eastAsia="Calibri" w:hAnsi="Arial" w:cs="Arial"/>
          <w:color w:val="000000"/>
          <w:sz w:val="22"/>
          <w:lang w:val="es-ES_tradnl"/>
        </w:rPr>
        <w:tab/>
        <w:t xml:space="preserve">Esta norma fue estudiada por la Corte Constitucional en la </w:t>
      </w:r>
      <w:r>
        <w:rPr>
          <w:rFonts w:ascii="Arial" w:eastAsia="Calibri" w:hAnsi="Arial" w:cs="Arial"/>
          <w:color w:val="000000"/>
          <w:sz w:val="22"/>
          <w:lang w:val="es-ES_tradnl"/>
        </w:rPr>
        <w:t>S</w:t>
      </w:r>
      <w:r w:rsidRPr="008918A2">
        <w:rPr>
          <w:rFonts w:ascii="Arial" w:eastAsia="Calibri" w:hAnsi="Arial" w:cs="Arial"/>
          <w:color w:val="000000"/>
          <w:sz w:val="22"/>
          <w:lang w:val="es-ES_tradnl"/>
        </w:rPr>
        <w:t>entencia C-119 de 2020. Al respecto, indicó que la adopción de los documentos tipo no afectaba la autonomía de las entidades territoriales, en cuanto la estandarización se predicaba únicamente de los requisitos habilitantes y los criterios de escogencia, elementos propios del procedimiento de selección del contratista, materia en la que existe reserva de ley y que no se encuentra atribuida a la regulación de las entidades territoriales. De igual manera, se establece que esta autonomía se garantiza con la identificación autónoma de sus necesidades y la configuración de los elementos del contrato</w:t>
      </w:r>
      <w:r w:rsidRPr="008918A2">
        <w:rPr>
          <w:rStyle w:val="Refdenotaalpie"/>
          <w:rFonts w:ascii="Arial" w:eastAsia="Calibri" w:hAnsi="Arial" w:cs="Arial"/>
          <w:color w:val="000000"/>
          <w:sz w:val="22"/>
          <w:lang w:val="es-ES_tradnl"/>
        </w:rPr>
        <w:footnoteReference w:id="4"/>
      </w:r>
      <w:r w:rsidRPr="008918A2">
        <w:rPr>
          <w:rFonts w:ascii="Arial" w:eastAsia="Calibri" w:hAnsi="Arial" w:cs="Arial"/>
          <w:color w:val="000000"/>
          <w:sz w:val="22"/>
          <w:lang w:val="es-ES_tradnl"/>
        </w:rPr>
        <w:t>.</w:t>
      </w:r>
    </w:p>
    <w:p w14:paraId="0D952112" w14:textId="77777777" w:rsidR="00BF762B" w:rsidRPr="008918A2" w:rsidRDefault="00BF762B" w:rsidP="00BF762B">
      <w:pPr>
        <w:spacing w:before="120" w:after="120" w:line="276" w:lineRule="auto"/>
        <w:jc w:val="both"/>
        <w:rPr>
          <w:rFonts w:ascii="Arial" w:eastAsia="Calibri" w:hAnsi="Arial" w:cs="Arial"/>
          <w:color w:val="000000"/>
          <w:sz w:val="22"/>
          <w:lang w:val="es-ES_tradnl"/>
        </w:rPr>
      </w:pPr>
      <w:r w:rsidRPr="008918A2">
        <w:rPr>
          <w:rFonts w:ascii="Arial" w:eastAsia="Calibri" w:hAnsi="Arial" w:cs="Arial"/>
          <w:color w:val="000000"/>
          <w:sz w:val="22"/>
          <w:lang w:val="es-ES_tradnl"/>
        </w:rPr>
        <w:tab/>
        <w:t xml:space="preserve">De este modo, los documentos tipo no afectan la autonomía de las entidades territoriales. Lo anterior, debido a que la definición de los requisitos habilitantes y de aspectos técnicos de la selección del contratista en los procesos de selección, son aspectos en los que el legislador tiene amplia libertad de configuración legislativa y, por tanto, puede atribuir dicha regulación al gobierno nacional. Ahora, dicha autonomía se materializa cuando las entidades territoriales deciden </w:t>
      </w:r>
      <w:r>
        <w:rPr>
          <w:rFonts w:ascii="Arial" w:eastAsia="Calibri" w:hAnsi="Arial" w:cs="Arial"/>
          <w:color w:val="000000"/>
          <w:sz w:val="22"/>
          <w:lang w:val="es-ES_tradnl"/>
        </w:rPr>
        <w:t>iniciar</w:t>
      </w:r>
      <w:r w:rsidRPr="008918A2">
        <w:rPr>
          <w:rFonts w:ascii="Arial" w:eastAsia="Calibri" w:hAnsi="Arial" w:cs="Arial"/>
          <w:color w:val="000000"/>
          <w:sz w:val="22"/>
          <w:lang w:val="es-ES_tradnl"/>
        </w:rPr>
        <w:t xml:space="preserve"> un proceso de convocatoria para satisfacer sus necesidades para la adquisición de un bien</w:t>
      </w:r>
      <w:r>
        <w:rPr>
          <w:rFonts w:ascii="Arial" w:eastAsia="Calibri" w:hAnsi="Arial" w:cs="Arial"/>
          <w:color w:val="000000"/>
          <w:sz w:val="22"/>
          <w:lang w:val="es-ES_tradnl"/>
        </w:rPr>
        <w:t>, obra</w:t>
      </w:r>
      <w:r w:rsidRPr="008918A2">
        <w:rPr>
          <w:rFonts w:ascii="Arial" w:eastAsia="Calibri" w:hAnsi="Arial" w:cs="Arial"/>
          <w:color w:val="000000"/>
          <w:sz w:val="22"/>
          <w:lang w:val="es-ES_tradnl"/>
        </w:rPr>
        <w:t xml:space="preserve"> o servicio</w:t>
      </w:r>
      <w:r>
        <w:rPr>
          <w:rFonts w:ascii="Arial" w:eastAsia="Calibri" w:hAnsi="Arial" w:cs="Arial"/>
          <w:color w:val="000000"/>
          <w:sz w:val="22"/>
          <w:lang w:val="es-ES_tradnl"/>
        </w:rPr>
        <w:t>,</w:t>
      </w:r>
      <w:r w:rsidRPr="008918A2">
        <w:rPr>
          <w:rFonts w:ascii="Arial" w:eastAsia="Calibri" w:hAnsi="Arial" w:cs="Arial"/>
          <w:color w:val="000000"/>
          <w:sz w:val="22"/>
          <w:lang w:val="es-ES_tradnl"/>
        </w:rPr>
        <w:t xml:space="preserve"> y además se incluyen en la minuta del contrato las condiciones particulares del negocio jurídico a celebrar.</w:t>
      </w:r>
    </w:p>
    <w:p w14:paraId="2D225F1F" w14:textId="77777777" w:rsidR="00BF762B" w:rsidRDefault="00BF762B" w:rsidP="00BF762B">
      <w:pPr>
        <w:spacing w:before="120" w:after="120" w:line="276" w:lineRule="auto"/>
        <w:jc w:val="both"/>
        <w:rPr>
          <w:rFonts w:ascii="Arial" w:eastAsia="Calibri" w:hAnsi="Arial" w:cs="Arial"/>
          <w:sz w:val="22"/>
          <w:szCs w:val="22"/>
          <w:lang w:val="es-ES_tradnl" w:eastAsia="en-US"/>
        </w:rPr>
      </w:pPr>
      <w:r w:rsidRPr="008918A2">
        <w:rPr>
          <w:rFonts w:ascii="Arial" w:eastAsia="Calibri" w:hAnsi="Arial" w:cs="Arial"/>
          <w:color w:val="000000"/>
          <w:sz w:val="22"/>
          <w:szCs w:val="22"/>
          <w:lang w:val="es-ES_tradnl"/>
        </w:rPr>
        <w:tab/>
        <w:t xml:space="preserve">Explicado el proceso para adoptar los documentos tipo en virtud de la Ley 1882 de 2018 y estudiada su constitucionalidad, de acuerdo con el pronunciamiento de la Corte Constitucional, a continuación se identificarán los documentos tipo adoptados por el gobierno nacional en virtud de esta ley. </w:t>
      </w:r>
      <w:r w:rsidRPr="008918A2">
        <w:rPr>
          <w:rFonts w:ascii="Arial" w:eastAsia="Calibri" w:hAnsi="Arial" w:cs="Arial"/>
          <w:sz w:val="22"/>
          <w:szCs w:val="22"/>
          <w:lang w:val="es-ES_tradnl" w:eastAsia="en-US"/>
        </w:rPr>
        <w:t xml:space="preserve">Dada la relevancia económica y el impacto que tienen en el nivel territorial los proyectos de obra en el sector transporte, el gobierno nacional, en vigencia del artículo 4 de la Ley 1882 de 2018, por el cual se adicionó el parágrafo 7 del artículo 2 de la Ley 1150 de 2007, inició la implementación gradual mediante el Decreto 342 del 5 de marzo de 2019, relacionado con los documentos tipo para los procesos de selección de licitación de obra pública de infraestructura de transporte. </w:t>
      </w:r>
    </w:p>
    <w:p w14:paraId="1AA7E8DA" w14:textId="77777777" w:rsidR="00BF762B" w:rsidRPr="00B53E7C" w:rsidRDefault="00BF762B" w:rsidP="00BF762B">
      <w:pPr>
        <w:spacing w:before="120" w:after="120" w:line="276" w:lineRule="auto"/>
        <w:ind w:firstLine="708"/>
        <w:jc w:val="both"/>
        <w:rPr>
          <w:rFonts w:ascii="Arial" w:eastAsia="Calibri" w:hAnsi="Arial" w:cs="Arial"/>
          <w:sz w:val="22"/>
          <w:szCs w:val="22"/>
          <w:lang w:val="es-ES_tradnl" w:eastAsia="en-US"/>
        </w:rPr>
      </w:pPr>
      <w:r>
        <w:rPr>
          <w:rFonts w:ascii="Arial" w:eastAsia="Calibri" w:hAnsi="Arial" w:cs="Arial"/>
          <w:sz w:val="22"/>
          <w:szCs w:val="22"/>
          <w:lang w:val="es-ES_tradnl" w:eastAsia="en-US"/>
        </w:rPr>
        <w:t>Posteriormente,</w:t>
      </w:r>
      <w:r w:rsidRPr="008918A2">
        <w:rPr>
          <w:rFonts w:ascii="Arial" w:eastAsia="Calibri" w:hAnsi="Arial" w:cs="Arial"/>
          <w:sz w:val="22"/>
          <w:szCs w:val="22"/>
          <w:lang w:val="es-ES_tradnl" w:eastAsia="en-US"/>
        </w:rPr>
        <w:t xml:space="preserve"> se expidió el Decreto 2096 del 21 de noviembre de 2019, que permitió el desarrollo de los documentos tipo para los pliegos de condiciones de los procesos de obras públicas de infraestructura de transporte que se adelantaran por la </w:t>
      </w:r>
      <w:r w:rsidRPr="008918A2">
        <w:rPr>
          <w:rFonts w:ascii="Arial" w:eastAsia="Calibri" w:hAnsi="Arial" w:cs="Arial"/>
          <w:sz w:val="22"/>
          <w:szCs w:val="22"/>
          <w:lang w:val="es-ES_tradnl" w:eastAsia="en-US"/>
        </w:rPr>
        <w:lastRenderedPageBreak/>
        <w:t>modalidad de selección abreviada de menor cuantía. Finalmente, se profirió el Decreto 594 del 25 de abril de 2020, frente a los documentos tipo para los contratos de obra pública</w:t>
      </w:r>
      <w:r w:rsidRPr="008918A2" w:rsidDel="00A434AB">
        <w:rPr>
          <w:rFonts w:ascii="Arial" w:eastAsia="Calibri" w:hAnsi="Arial" w:cs="Arial"/>
          <w:sz w:val="22"/>
          <w:szCs w:val="22"/>
          <w:lang w:val="es-ES_tradnl" w:eastAsia="en-US"/>
        </w:rPr>
        <w:t xml:space="preserve"> </w:t>
      </w:r>
      <w:r w:rsidRPr="008918A2">
        <w:rPr>
          <w:rFonts w:ascii="Arial" w:eastAsia="Calibri" w:hAnsi="Arial" w:cs="Arial"/>
          <w:sz w:val="22"/>
          <w:szCs w:val="22"/>
          <w:lang w:val="es-ES_tradnl" w:eastAsia="en-US"/>
        </w:rPr>
        <w:t>de infraestructura de transporte que se surtieran por la modalidad de mínima cuantía. Estos documentos fueron implementados y desarrollados por la Agencia Nacional de Contratación Pública – Colombia Compra Eficiente, por medio de la Resolución 1798 de 1 de abril de 2019 –derogada por la Resolución 045 del 14 de febrero de 2020–, la Resolución 044 del 14 de febrero de 2020 y la Resolución 094 del 21 de mayo de 2020.</w:t>
      </w:r>
    </w:p>
    <w:p w14:paraId="369CBCB3" w14:textId="77777777" w:rsidR="00BF762B" w:rsidRDefault="00BF762B" w:rsidP="00BF762B">
      <w:pPr>
        <w:spacing w:line="276" w:lineRule="auto"/>
        <w:ind w:firstLine="709"/>
        <w:jc w:val="both"/>
        <w:rPr>
          <w:rFonts w:ascii="Arial" w:eastAsia="Calibri" w:hAnsi="Arial" w:cs="Arial"/>
          <w:sz w:val="22"/>
          <w:szCs w:val="22"/>
          <w:lang w:val="es-ES_tradnl" w:eastAsia="en-US"/>
        </w:rPr>
      </w:pPr>
      <w:r w:rsidRPr="00B53E7C">
        <w:rPr>
          <w:rFonts w:ascii="Arial" w:eastAsia="Calibri" w:hAnsi="Arial" w:cs="Arial"/>
          <w:sz w:val="22"/>
          <w:szCs w:val="22"/>
          <w:lang w:val="es-ES_tradnl" w:eastAsia="en-US"/>
        </w:rPr>
        <w:t>Por otra parte, debe tenerse en cuenta que la Ley 2022 de 2020 fue sancionada por el Presidente de la República el 22 de julio, por lo que su expedición es reciente.</w:t>
      </w:r>
      <w:r>
        <w:rPr>
          <w:rFonts w:ascii="Arial" w:eastAsia="Calibri" w:hAnsi="Arial" w:cs="Arial"/>
          <w:sz w:val="22"/>
          <w:szCs w:val="22"/>
          <w:lang w:val="es-ES_tradnl" w:eastAsia="en-US"/>
        </w:rPr>
        <w:t xml:space="preserve"> En esta Ley, se</w:t>
      </w:r>
      <w:r w:rsidRPr="00B53E7C">
        <w:rPr>
          <w:rFonts w:ascii="Arial" w:eastAsia="Calibri" w:hAnsi="Arial" w:cs="Arial"/>
          <w:sz w:val="22"/>
          <w:szCs w:val="22"/>
          <w:lang w:val="es-ES_tradnl" w:eastAsia="en-US"/>
        </w:rPr>
        <w:t xml:space="preserve"> reiteró la obligatoriedad del uso de los documentos tipo para todas las entidades públicas sometidas al Estatuto General de la Contratación de la Administración Pública ‒EGCAP‒. Esto significa que los documentos tipo son una fuente obligatoria para las entidades </w:t>
      </w:r>
      <w:r>
        <w:rPr>
          <w:rFonts w:ascii="Arial" w:eastAsia="Calibri" w:hAnsi="Arial" w:cs="Arial"/>
          <w:sz w:val="22"/>
          <w:szCs w:val="22"/>
          <w:lang w:val="es-ES_tradnl" w:eastAsia="en-US"/>
        </w:rPr>
        <w:t xml:space="preserve">que se rijan por </w:t>
      </w:r>
      <w:r w:rsidRPr="00B53E7C">
        <w:rPr>
          <w:rFonts w:ascii="Arial" w:eastAsia="Calibri" w:hAnsi="Arial" w:cs="Arial"/>
          <w:sz w:val="22"/>
          <w:szCs w:val="22"/>
          <w:lang w:val="es-ES_tradnl" w:eastAsia="en-US"/>
        </w:rPr>
        <w:t xml:space="preserve">la Ley 80 de 1993 al momento de adelantar los procesos de selección, teniendo en cuenta el ámbito de aplicación de estos. </w:t>
      </w:r>
    </w:p>
    <w:p w14:paraId="36000023" w14:textId="77777777" w:rsidR="00BF762B" w:rsidRPr="00333FFB" w:rsidRDefault="00BF762B" w:rsidP="00BF762B">
      <w:pPr>
        <w:spacing w:before="120" w:line="276" w:lineRule="auto"/>
        <w:ind w:firstLine="709"/>
        <w:jc w:val="both"/>
        <w:rPr>
          <w:rFonts w:ascii="Arial" w:eastAsia="Calibri" w:hAnsi="Arial" w:cs="Arial"/>
          <w:sz w:val="22"/>
          <w:szCs w:val="22"/>
          <w:lang w:val="es-ES_tradnl" w:eastAsia="en-US"/>
        </w:rPr>
      </w:pPr>
      <w:r w:rsidRPr="00333FFB">
        <w:rPr>
          <w:rFonts w:ascii="Arial" w:eastAsia="Calibri" w:hAnsi="Arial" w:cs="Arial"/>
          <w:sz w:val="22"/>
          <w:szCs w:val="22"/>
          <w:lang w:val="es-ES_tradnl" w:eastAsia="en-US"/>
        </w:rPr>
        <w:t xml:space="preserve">En este sentido, con la finalidad de realizar un desarrollo armónico y ajustado a la </w:t>
      </w:r>
      <w:r>
        <w:rPr>
          <w:rFonts w:ascii="Arial" w:eastAsia="Calibri" w:hAnsi="Arial" w:cs="Arial"/>
          <w:sz w:val="22"/>
          <w:szCs w:val="22"/>
          <w:lang w:val="es-ES_tradnl" w:eastAsia="en-US"/>
        </w:rPr>
        <w:t>l</w:t>
      </w:r>
      <w:r w:rsidRPr="00333FFB">
        <w:rPr>
          <w:rFonts w:ascii="Arial" w:eastAsia="Calibri" w:hAnsi="Arial" w:cs="Arial"/>
          <w:sz w:val="22"/>
          <w:szCs w:val="22"/>
          <w:lang w:val="es-ES_tradnl" w:eastAsia="en-US"/>
        </w:rPr>
        <w:t xml:space="preserve">ey que otorga esta competencia, la Agencia Nacional de Contratación Pública expidió la Resolución 160 del 15 de septiembre de 2020, «Por la cual se adopta el procedimiento para implementar los documentos tipo y se define el sistema para su revisión». Asimismo, con fundamento en dicha Ley, se profirió la Resolución 240 del 27 de noviembre de 2020, «Por la cual se actualizan los Documentos Tipo para los procesos de selección de licitación de obra pública de infraestructura de transporte y se deroga la Resolución 0045 de 2020». </w:t>
      </w:r>
    </w:p>
    <w:p w14:paraId="391201C7" w14:textId="77777777" w:rsidR="00BF762B" w:rsidRDefault="00BF762B" w:rsidP="00BF762B">
      <w:pPr>
        <w:pStyle w:val="Normal11pt"/>
        <w:spacing w:before="120" w:line="276" w:lineRule="auto"/>
        <w:ind w:left="0" w:firstLine="709"/>
        <w:rPr>
          <w:rFonts w:eastAsia="Calibri"/>
          <w:color w:val="000000" w:themeColor="text1"/>
        </w:rPr>
      </w:pPr>
      <w:r w:rsidRPr="008918A2">
        <w:rPr>
          <w:rFonts w:eastAsia="Calibri"/>
          <w:color w:val="000000" w:themeColor="text1"/>
        </w:rPr>
        <w:t xml:space="preserve">De igual manera, se expidió la Resolución 241 del 27 de noviembre de 2020, «Por la cual se actualizan los Documentos Tipo para los procesos de selección abreviada de menor cuantía de obra pública de infraestructura de transporte y se deroga la Resolución 0044 de 2020». Adicionalmente, entró en vigencia la Resolución 256 de 2020, «Por la cual se adoptan los documentos tipo para los procesos de selección de concursos de méritos, para contratar la interventoría de obras públicas de infraestructura de transporte». </w:t>
      </w:r>
    </w:p>
    <w:p w14:paraId="02DAF894" w14:textId="77777777" w:rsidR="00BF762B" w:rsidRDefault="00BF762B" w:rsidP="00BF762B">
      <w:pPr>
        <w:pStyle w:val="Normal11pt"/>
        <w:spacing w:before="120" w:line="276" w:lineRule="auto"/>
        <w:ind w:left="0" w:firstLine="709"/>
        <w:rPr>
          <w:rFonts w:eastAsia="Calibri"/>
          <w:color w:val="000000" w:themeColor="text1"/>
        </w:rPr>
      </w:pPr>
      <w:r w:rsidRPr="008918A2">
        <w:rPr>
          <w:rFonts w:eastAsia="Calibri"/>
          <w:color w:val="000000" w:themeColor="text1"/>
        </w:rPr>
        <w:t>Por otra parte, se expidió la Resolución 248 de 2020, «Por la cual se adoptan los documentos tipo para los procesos de licitación pública para obras de infraestructura de agua potable y saneamiento básico»</w:t>
      </w:r>
      <w:r>
        <w:rPr>
          <w:rFonts w:eastAsia="Calibri"/>
          <w:color w:val="000000" w:themeColor="text1"/>
        </w:rPr>
        <w:t>;</w:t>
      </w:r>
      <w:r w:rsidRPr="008918A2">
        <w:rPr>
          <w:rFonts w:eastAsia="Calibri"/>
          <w:color w:val="000000" w:themeColor="text1"/>
        </w:rPr>
        <w:t xml:space="preserve"> la Resolución 249 de 2020, «Por la cual se adoptan los documentos tipo para los procesos de licitación pública para obras de infraestructura de agua potable y saneamiento básico en la modalidad llave en mano»</w:t>
      </w:r>
      <w:r>
        <w:rPr>
          <w:rFonts w:eastAsia="Calibri"/>
          <w:color w:val="000000" w:themeColor="text1"/>
        </w:rPr>
        <w:t>;</w:t>
      </w:r>
      <w:r w:rsidRPr="008918A2">
        <w:rPr>
          <w:rFonts w:eastAsia="Calibri"/>
          <w:color w:val="000000" w:themeColor="text1"/>
        </w:rPr>
        <w:t xml:space="preserve"> </w:t>
      </w:r>
      <w:r>
        <w:rPr>
          <w:rFonts w:eastAsia="Calibri"/>
          <w:color w:val="000000" w:themeColor="text1"/>
        </w:rPr>
        <w:t>así como</w:t>
      </w:r>
      <w:r w:rsidRPr="008918A2">
        <w:rPr>
          <w:rFonts w:eastAsia="Calibri"/>
          <w:color w:val="000000" w:themeColor="text1"/>
        </w:rPr>
        <w:t xml:space="preserve"> la Resolución 269 de 2020, «Por la cual se adopta el documento tipo para los procesos de gestión catastral con enfoque multipropósito que se celebren a través de contratos interadministrativos».</w:t>
      </w:r>
      <w:r>
        <w:rPr>
          <w:rFonts w:eastAsia="Calibri"/>
          <w:color w:val="000000" w:themeColor="text1"/>
        </w:rPr>
        <w:t xml:space="preserve"> Finalmente, se expidió la Resolución 193 del 14 de julio de 2021 «Por la cual se adoptan los documentos tipo para los procesos de selección de concursos de méritos, para contratar la consultoría de estudios de ingeniería de infraestructura de transporte».</w:t>
      </w:r>
    </w:p>
    <w:p w14:paraId="257EEB9B" w14:textId="77777777" w:rsidR="00BF762B" w:rsidRPr="00C677BE" w:rsidRDefault="00BF762B" w:rsidP="00BF762B">
      <w:pPr>
        <w:pStyle w:val="xmsonospacing"/>
        <w:spacing w:before="120" w:beforeAutospacing="0" w:after="0" w:afterAutospacing="0" w:line="276" w:lineRule="auto"/>
        <w:ind w:firstLine="708"/>
        <w:jc w:val="both"/>
        <w:rPr>
          <w:rFonts w:ascii="Arial" w:eastAsia="Calibri" w:hAnsi="Arial" w:cs="Arial"/>
          <w:color w:val="000000" w:themeColor="text1"/>
          <w:sz w:val="22"/>
          <w:szCs w:val="22"/>
          <w:lang w:val="es-ES_tradnl" w:eastAsia="es-ES"/>
        </w:rPr>
      </w:pPr>
      <w:r w:rsidRPr="00C677BE">
        <w:rPr>
          <w:rFonts w:ascii="Arial" w:eastAsia="Calibri" w:hAnsi="Arial" w:cs="Arial"/>
          <w:color w:val="000000" w:themeColor="text1"/>
          <w:sz w:val="22"/>
          <w:szCs w:val="22"/>
          <w:lang w:val="es-ES_tradnl" w:eastAsia="es-ES"/>
        </w:rPr>
        <w:lastRenderedPageBreak/>
        <w:t xml:space="preserve">Las resoluciones señaladas </w:t>
      </w:r>
      <w:r w:rsidRPr="006A443A">
        <w:rPr>
          <w:rFonts w:ascii="Arial" w:hAnsi="Arial" w:cs="Arial"/>
          <w:color w:val="000000"/>
          <w:sz w:val="22"/>
          <w:szCs w:val="22"/>
          <w:bdr w:val="none" w:sz="0" w:space="0" w:color="auto" w:frame="1"/>
        </w:rPr>
        <w:t>reitera</w:t>
      </w:r>
      <w:r>
        <w:rPr>
          <w:rFonts w:ascii="Arial" w:hAnsi="Arial" w:cs="Arial"/>
          <w:color w:val="000000"/>
          <w:sz w:val="22"/>
          <w:szCs w:val="22"/>
          <w:bdr w:val="none" w:sz="0" w:space="0" w:color="auto" w:frame="1"/>
        </w:rPr>
        <w:t>n</w:t>
      </w:r>
      <w:r w:rsidRPr="006A443A">
        <w:rPr>
          <w:rFonts w:ascii="Arial" w:hAnsi="Arial" w:cs="Arial"/>
          <w:color w:val="000000"/>
          <w:sz w:val="22"/>
          <w:szCs w:val="22"/>
          <w:bdr w:val="none" w:sz="0" w:space="0" w:color="auto" w:frame="1"/>
        </w:rPr>
        <w:t xml:space="preserve"> el alcance de la obligatoriedad de los documentos tipo en la materia</w:t>
      </w:r>
      <w:r w:rsidRPr="00C677BE">
        <w:rPr>
          <w:rFonts w:ascii="Arial" w:eastAsia="Calibri" w:hAnsi="Arial" w:cs="Arial"/>
          <w:color w:val="000000" w:themeColor="text1"/>
          <w:sz w:val="22"/>
          <w:szCs w:val="22"/>
          <w:lang w:val="es-ES_tradnl" w:eastAsia="es-ES"/>
        </w:rPr>
        <w:t xml:space="preserve"> </w:t>
      </w:r>
      <w:r>
        <w:rPr>
          <w:rFonts w:ascii="Arial" w:eastAsia="Calibri" w:hAnsi="Arial" w:cs="Arial"/>
          <w:color w:val="000000" w:themeColor="text1"/>
          <w:sz w:val="22"/>
          <w:szCs w:val="22"/>
          <w:lang w:val="es-ES_tradnl" w:eastAsia="es-ES"/>
        </w:rPr>
        <w:t xml:space="preserve">y establecen </w:t>
      </w:r>
      <w:r w:rsidRPr="00C677BE">
        <w:rPr>
          <w:rFonts w:ascii="Arial" w:eastAsia="Calibri" w:hAnsi="Arial" w:cs="Arial"/>
          <w:color w:val="000000" w:themeColor="text1"/>
          <w:sz w:val="22"/>
          <w:szCs w:val="22"/>
          <w:lang w:val="es-ES_tradnl" w:eastAsia="es-ES"/>
        </w:rPr>
        <w:t xml:space="preserve">parámetros obligatorios para </w:t>
      </w:r>
      <w:bookmarkStart w:id="4" w:name="_Hlk71652815"/>
      <w:r w:rsidRPr="00C677BE">
        <w:rPr>
          <w:rFonts w:ascii="Arial" w:eastAsia="Calibri" w:hAnsi="Arial" w:cs="Arial"/>
          <w:color w:val="000000" w:themeColor="text1"/>
          <w:sz w:val="22"/>
          <w:szCs w:val="22"/>
          <w:lang w:val="es-ES_tradnl" w:eastAsia="es-ES"/>
        </w:rPr>
        <w:t>las entidades estatales</w:t>
      </w:r>
      <w:bookmarkEnd w:id="4"/>
      <w:r w:rsidRPr="00C677BE">
        <w:rPr>
          <w:rFonts w:ascii="Arial" w:eastAsia="Calibri" w:hAnsi="Arial" w:cs="Arial"/>
          <w:color w:val="000000" w:themeColor="text1"/>
          <w:sz w:val="22"/>
          <w:szCs w:val="22"/>
          <w:lang w:val="es-ES_tradnl" w:eastAsia="es-ES"/>
        </w:rPr>
        <w:t xml:space="preserve"> cuya contratación se rija por el Estatuto General de Contratación de la Administración Pública, siempre que las actividades que se contraten estén incluidas en la «Matriz 1 – Experiencia», de acuerdo con el documento tipo a aplicar. </w:t>
      </w:r>
      <w:r>
        <w:rPr>
          <w:rFonts w:ascii="Arial" w:eastAsia="Calibri" w:hAnsi="Arial" w:cs="Arial"/>
          <w:color w:val="000000" w:themeColor="text1"/>
          <w:sz w:val="22"/>
          <w:szCs w:val="22"/>
          <w:lang w:val="es-ES_tradnl" w:eastAsia="es-ES"/>
        </w:rPr>
        <w:t>Así, p</w:t>
      </w:r>
      <w:r w:rsidRPr="00C677BE">
        <w:rPr>
          <w:rFonts w:ascii="Arial" w:eastAsia="Calibri" w:hAnsi="Arial" w:cs="Arial"/>
          <w:color w:val="000000" w:themeColor="text1"/>
          <w:sz w:val="22"/>
          <w:szCs w:val="22"/>
          <w:lang w:val="es-ES_tradnl" w:eastAsia="es-ES"/>
        </w:rPr>
        <w:t xml:space="preserve">ara determinar el ámbito de aplicación de los documentos tipo debe acudirse a la «Matriz 1 – Experiencia», en la que se contemplan </w:t>
      </w:r>
      <w:r>
        <w:rPr>
          <w:rFonts w:ascii="Arial" w:eastAsia="Calibri" w:hAnsi="Arial" w:cs="Arial"/>
          <w:color w:val="000000" w:themeColor="text1"/>
          <w:sz w:val="22"/>
          <w:szCs w:val="22"/>
          <w:lang w:val="es-ES_tradnl" w:eastAsia="es-ES"/>
        </w:rPr>
        <w:t xml:space="preserve">las </w:t>
      </w:r>
      <w:r w:rsidRPr="00C677BE">
        <w:rPr>
          <w:rFonts w:ascii="Arial" w:eastAsia="Calibri" w:hAnsi="Arial" w:cs="Arial"/>
          <w:color w:val="000000" w:themeColor="text1"/>
          <w:sz w:val="22"/>
          <w:szCs w:val="22"/>
          <w:lang w:val="es-ES_tradnl" w:eastAsia="es-ES"/>
        </w:rPr>
        <w:t xml:space="preserve">clases de obra de infraestructura </w:t>
      </w:r>
      <w:r>
        <w:rPr>
          <w:rFonts w:ascii="Arial" w:eastAsia="Calibri" w:hAnsi="Arial" w:cs="Arial"/>
          <w:color w:val="000000" w:themeColor="text1"/>
          <w:sz w:val="22"/>
          <w:szCs w:val="22"/>
          <w:lang w:val="es-ES_tradnl" w:eastAsia="es-ES"/>
        </w:rPr>
        <w:t xml:space="preserve">aplicables al sector, sea transporte o agua potable y saneamiento básico. </w:t>
      </w:r>
    </w:p>
    <w:p w14:paraId="112168BD" w14:textId="77777777" w:rsidR="00BF762B" w:rsidRPr="008918A2" w:rsidRDefault="00BF762B" w:rsidP="00BF762B">
      <w:pPr>
        <w:pStyle w:val="Normal11pt"/>
        <w:spacing w:before="120" w:line="276" w:lineRule="auto"/>
        <w:ind w:left="0" w:firstLine="709"/>
        <w:rPr>
          <w:rFonts w:eastAsia="Calibri"/>
          <w:color w:val="000000" w:themeColor="text1"/>
        </w:rPr>
      </w:pPr>
      <w:r w:rsidRPr="008918A2">
        <w:rPr>
          <w:rFonts w:eastAsia="Calibri"/>
          <w:color w:val="000000" w:themeColor="text1"/>
        </w:rPr>
        <w:t xml:space="preserve">En síntesis, hasta el momento se han expedido los siguientes documentos tipo que son obligatorios para todas las entidades </w:t>
      </w:r>
      <w:r>
        <w:rPr>
          <w:rFonts w:eastAsia="Calibri"/>
          <w:color w:val="000000" w:themeColor="text1"/>
        </w:rPr>
        <w:t xml:space="preserve">cuya contratación se rija por el </w:t>
      </w:r>
      <w:r w:rsidRPr="008918A2">
        <w:rPr>
          <w:rFonts w:eastAsia="Calibri"/>
          <w:color w:val="000000" w:themeColor="text1"/>
        </w:rPr>
        <w:t xml:space="preserve">Estatuto General de Contratación de la Administración Pública: </w:t>
      </w:r>
    </w:p>
    <w:p w14:paraId="49BBD375" w14:textId="77777777" w:rsidR="00BF762B" w:rsidRPr="008918A2" w:rsidRDefault="00BF762B" w:rsidP="00BF762B">
      <w:pPr>
        <w:pStyle w:val="Normal11pt"/>
        <w:spacing w:before="120" w:line="276" w:lineRule="auto"/>
        <w:ind w:left="0" w:firstLine="709"/>
        <w:rPr>
          <w:rFonts w:eastAsia="Calibri"/>
          <w:color w:val="000000" w:themeColor="text1"/>
        </w:rPr>
      </w:pPr>
      <w:r w:rsidRPr="008918A2">
        <w:rPr>
          <w:rFonts w:eastAsia="Calibri"/>
          <w:color w:val="000000" w:themeColor="text1"/>
        </w:rPr>
        <w:t xml:space="preserve">i) Documentos tipo para licitación de obra pública de infraestructura de transporte –versión 1–, obligatorios para los procesos cuyo aviso de convocatoria se haya publicado desde el 1 de abril de 2019. </w:t>
      </w:r>
    </w:p>
    <w:p w14:paraId="45ABFD34" w14:textId="77777777" w:rsidR="00BF762B" w:rsidRPr="008918A2" w:rsidRDefault="00BF762B" w:rsidP="00BF762B">
      <w:pPr>
        <w:pStyle w:val="Normal11pt"/>
        <w:spacing w:before="120" w:line="276" w:lineRule="auto"/>
        <w:ind w:left="0" w:firstLine="709"/>
        <w:rPr>
          <w:rFonts w:eastAsia="Calibri"/>
          <w:color w:val="000000" w:themeColor="text1"/>
        </w:rPr>
      </w:pPr>
      <w:r w:rsidRPr="008918A2">
        <w:rPr>
          <w:rFonts w:eastAsia="Calibri"/>
          <w:color w:val="000000" w:themeColor="text1"/>
        </w:rPr>
        <w:t>ii) Documentos tipo para licitación de obra pública de infraestructura de transporte –versión 2–, obligatorios para los procesos cuyo aviso de convocatoria se haya publicado desde el 10 de marzo de 2020.</w:t>
      </w:r>
    </w:p>
    <w:p w14:paraId="721D9B97" w14:textId="77777777" w:rsidR="00BF762B" w:rsidRPr="008918A2" w:rsidRDefault="00BF762B" w:rsidP="00BF762B">
      <w:pPr>
        <w:pStyle w:val="Normal11pt"/>
        <w:spacing w:before="120" w:line="276" w:lineRule="auto"/>
        <w:ind w:left="0" w:firstLine="709"/>
        <w:rPr>
          <w:rFonts w:eastAsia="Calibri"/>
          <w:color w:val="000000" w:themeColor="text1"/>
        </w:rPr>
      </w:pPr>
      <w:r w:rsidRPr="008918A2">
        <w:rPr>
          <w:rFonts w:eastAsia="Calibri"/>
          <w:color w:val="000000" w:themeColor="text1"/>
        </w:rPr>
        <w:t>iii) Documentos tipo para licitación de obra pública de infraestructura de transporte –versión 3–, obligatorios para los procesos cuyo aviso de convocatoria se haya publicado desde el 1 de enero de 2021.</w:t>
      </w:r>
    </w:p>
    <w:p w14:paraId="74E6D8AD" w14:textId="77777777" w:rsidR="00BF762B" w:rsidRPr="008918A2" w:rsidRDefault="00BF762B" w:rsidP="00BF762B">
      <w:pPr>
        <w:pStyle w:val="Normal11pt"/>
        <w:spacing w:before="120" w:line="276" w:lineRule="auto"/>
        <w:ind w:left="0" w:firstLine="709"/>
        <w:rPr>
          <w:rFonts w:eastAsia="Calibri"/>
          <w:color w:val="000000" w:themeColor="text1"/>
        </w:rPr>
      </w:pPr>
      <w:r w:rsidRPr="008918A2">
        <w:rPr>
          <w:rFonts w:eastAsia="Calibri"/>
          <w:color w:val="000000" w:themeColor="text1"/>
        </w:rPr>
        <w:t>iv) Documentos tipo para procesos de selección abreviada de menor cuantía de infraestructura de transporte –versión 1–, obligatorios para los procesos cuyo aviso de convocatoria se haya publicado desde el 17 de febrero de 2020.</w:t>
      </w:r>
    </w:p>
    <w:p w14:paraId="5713698B" w14:textId="77777777" w:rsidR="00BF762B" w:rsidRPr="008918A2" w:rsidRDefault="00BF762B" w:rsidP="00BF762B">
      <w:pPr>
        <w:pStyle w:val="Normal11pt"/>
        <w:spacing w:before="120" w:line="276" w:lineRule="auto"/>
        <w:ind w:left="0" w:firstLine="709"/>
        <w:rPr>
          <w:rFonts w:eastAsia="Calibri"/>
          <w:color w:val="000000" w:themeColor="text1"/>
        </w:rPr>
      </w:pPr>
      <w:r w:rsidRPr="008918A2">
        <w:rPr>
          <w:rFonts w:eastAsia="Calibri"/>
          <w:color w:val="000000" w:themeColor="text1"/>
        </w:rPr>
        <w:t xml:space="preserve">v) Documentos tipo para procesos de selección abreviada de menor cuantía de infraestructura de transporte –versión 2–, obligatorios para los procesos cuyo aviso de convocatoria se haya publicado desde el 1 de enero de 2021. </w:t>
      </w:r>
    </w:p>
    <w:p w14:paraId="1EC4EDB6" w14:textId="77777777" w:rsidR="00BF762B" w:rsidRPr="008918A2" w:rsidRDefault="00BF762B" w:rsidP="00BF762B">
      <w:pPr>
        <w:pStyle w:val="Normal11pt"/>
        <w:spacing w:before="120" w:line="276" w:lineRule="auto"/>
        <w:ind w:left="0" w:firstLine="709"/>
        <w:rPr>
          <w:rFonts w:eastAsia="Calibri"/>
          <w:color w:val="000000" w:themeColor="text1"/>
        </w:rPr>
      </w:pPr>
      <w:r w:rsidRPr="008918A2">
        <w:rPr>
          <w:rFonts w:eastAsia="Calibri"/>
          <w:color w:val="000000" w:themeColor="text1"/>
        </w:rPr>
        <w:t>vi) Documentos tipo para procesos de mínima cuantía de infraestructura de transporte, obligatorios para los procesos cuya invitación pública se haya publicado a partir del 10 de junio de 2020.</w:t>
      </w:r>
    </w:p>
    <w:p w14:paraId="03E02E65" w14:textId="77777777" w:rsidR="00BF762B" w:rsidRPr="008918A2" w:rsidRDefault="00BF762B" w:rsidP="00BF762B">
      <w:pPr>
        <w:pStyle w:val="Normal11pt"/>
        <w:spacing w:before="120" w:line="276" w:lineRule="auto"/>
        <w:ind w:left="0" w:firstLine="709"/>
        <w:rPr>
          <w:rFonts w:eastAsia="Calibri"/>
          <w:color w:val="000000" w:themeColor="text1"/>
        </w:rPr>
      </w:pPr>
      <w:r w:rsidRPr="008918A2">
        <w:rPr>
          <w:rFonts w:eastAsia="Calibri"/>
          <w:color w:val="000000" w:themeColor="text1"/>
        </w:rPr>
        <w:t>vii) Documentos tipo para procesos de concurso de méritos para contratar la interventoría de obras públicas de infraestructura de transporte, obligatorios para los procesos cuyo aviso de convocatoria se haya publicado desde el 1 de enero de 2021.</w:t>
      </w:r>
    </w:p>
    <w:p w14:paraId="4A6092E9" w14:textId="77777777" w:rsidR="00BF762B" w:rsidRPr="008918A2" w:rsidRDefault="00BF762B" w:rsidP="00BF762B">
      <w:pPr>
        <w:pStyle w:val="Normal11pt"/>
        <w:spacing w:before="120" w:line="276" w:lineRule="auto"/>
        <w:ind w:left="0" w:firstLine="709"/>
        <w:rPr>
          <w:rFonts w:eastAsia="Calibri"/>
          <w:color w:val="000000" w:themeColor="text1"/>
        </w:rPr>
      </w:pPr>
      <w:r w:rsidRPr="008918A2">
        <w:rPr>
          <w:rFonts w:eastAsia="Calibri"/>
          <w:color w:val="000000" w:themeColor="text1"/>
        </w:rPr>
        <w:t>viii) Documentos tipo para procesos de licitación pública para obras de infraestructura de agua potable y saneamiento básico, obligatorios para los procesos cuyo aviso de convocatoria se haya publicado desde el 11 de diciembre de 2020.</w:t>
      </w:r>
    </w:p>
    <w:p w14:paraId="75F0D3A7" w14:textId="77777777" w:rsidR="00BF762B" w:rsidRDefault="00BF762B" w:rsidP="00BF762B">
      <w:pPr>
        <w:pStyle w:val="Normal11pt"/>
        <w:spacing w:before="120" w:line="276" w:lineRule="auto"/>
        <w:ind w:left="0" w:firstLine="709"/>
        <w:rPr>
          <w:rFonts w:eastAsia="Calibri"/>
          <w:color w:val="000000" w:themeColor="text1"/>
        </w:rPr>
      </w:pPr>
      <w:r w:rsidRPr="008918A2">
        <w:rPr>
          <w:rFonts w:eastAsia="Calibri"/>
          <w:color w:val="000000" w:themeColor="text1"/>
        </w:rPr>
        <w:lastRenderedPageBreak/>
        <w:t>ix) Documentos tipo para procesos de licitación pública para obras de infraestructura de agua potable y saneamiento básico en la modalidad llave en mano, obligatorios para los procesos cuyo aviso de convocatoria se haya publicado desde el 11 de diciembre de 2020.</w:t>
      </w:r>
    </w:p>
    <w:p w14:paraId="32F493CC" w14:textId="77777777" w:rsidR="00BF762B" w:rsidRDefault="00BF762B" w:rsidP="00BF762B">
      <w:pPr>
        <w:pStyle w:val="Normal11pt"/>
        <w:spacing w:before="120" w:line="276" w:lineRule="auto"/>
        <w:ind w:left="0" w:firstLine="709"/>
        <w:rPr>
          <w:rFonts w:eastAsia="Calibri"/>
          <w:color w:val="000000" w:themeColor="text1"/>
        </w:rPr>
      </w:pPr>
      <w:r w:rsidRPr="008918A2">
        <w:rPr>
          <w:rFonts w:eastAsia="Calibri"/>
          <w:color w:val="000000" w:themeColor="text1"/>
        </w:rPr>
        <w:t>x) Documentos tipo para procesos de gestión catastral con enfoque multipropósito que se celebren a través de contratos interadministrativos, a partir del 1 de febrero de 2021.</w:t>
      </w:r>
    </w:p>
    <w:p w14:paraId="6BD6C2C3" w14:textId="77777777" w:rsidR="00BF762B" w:rsidRPr="008918A2" w:rsidRDefault="00BF762B" w:rsidP="00BF762B">
      <w:pPr>
        <w:pStyle w:val="Normal11pt"/>
        <w:spacing w:before="120" w:line="276" w:lineRule="auto"/>
        <w:ind w:left="0" w:firstLine="709"/>
        <w:rPr>
          <w:rFonts w:eastAsia="Calibri"/>
          <w:color w:val="000000" w:themeColor="text1"/>
        </w:rPr>
      </w:pPr>
      <w:r>
        <w:rPr>
          <w:rFonts w:eastAsia="Calibri"/>
          <w:color w:val="000000" w:themeColor="text1"/>
        </w:rPr>
        <w:t xml:space="preserve">xi) Documentos tipo para los procesos de selección de concursos de méritos, para contratar la consultoría de estudios de ingeniería de infraestructura de transporte, </w:t>
      </w:r>
      <w:r w:rsidRPr="008918A2">
        <w:rPr>
          <w:rFonts w:eastAsia="Calibri"/>
          <w:color w:val="000000" w:themeColor="text1"/>
        </w:rPr>
        <w:t xml:space="preserve">obligatorios para los procesos cuyo aviso de convocatoria se </w:t>
      </w:r>
      <w:r>
        <w:rPr>
          <w:rFonts w:eastAsia="Calibri"/>
          <w:color w:val="000000" w:themeColor="text1"/>
        </w:rPr>
        <w:t>publique a partir</w:t>
      </w:r>
      <w:r w:rsidRPr="008918A2">
        <w:rPr>
          <w:rFonts w:eastAsia="Calibri"/>
          <w:color w:val="000000" w:themeColor="text1"/>
        </w:rPr>
        <w:t xml:space="preserve"> </w:t>
      </w:r>
      <w:r>
        <w:rPr>
          <w:rFonts w:eastAsia="Calibri"/>
          <w:color w:val="000000" w:themeColor="text1"/>
        </w:rPr>
        <w:t>d</w:t>
      </w:r>
      <w:r w:rsidRPr="008918A2">
        <w:rPr>
          <w:rFonts w:eastAsia="Calibri"/>
          <w:color w:val="000000" w:themeColor="text1"/>
        </w:rPr>
        <w:t xml:space="preserve">el </w:t>
      </w:r>
      <w:r>
        <w:rPr>
          <w:rFonts w:eastAsia="Calibri"/>
          <w:color w:val="000000" w:themeColor="text1"/>
        </w:rPr>
        <w:t>9 de agosto de 2021.</w:t>
      </w:r>
    </w:p>
    <w:p w14:paraId="28FAA1E3" w14:textId="77777777" w:rsidR="00BF762B" w:rsidRPr="00C677BE" w:rsidRDefault="00BF762B" w:rsidP="00BF762B">
      <w:pPr>
        <w:pStyle w:val="Normal11pt"/>
        <w:spacing w:before="120" w:line="276" w:lineRule="auto"/>
        <w:ind w:left="0" w:firstLine="709"/>
        <w:rPr>
          <w:rFonts w:eastAsia="Calibri"/>
          <w:color w:val="000000" w:themeColor="text1"/>
        </w:rPr>
      </w:pPr>
      <w:r>
        <w:rPr>
          <w:rFonts w:eastAsia="Calibri"/>
          <w:color w:val="000000" w:themeColor="text1"/>
        </w:rPr>
        <w:t>Estos documentos tipos, con excepción de los relacionados con procesos de gestión catastral con enfoque multipropósito, y los de consultoría de estudios de ingeniería de infraestructura de transporte, fueron modificados por la Resolución 161 del 17 de junio de 2021 en cuanto algunos aspectos puntuales relacionados con los factores de desempate y ajustes de algunos formatos y numerales de los documentos base.</w:t>
      </w:r>
    </w:p>
    <w:p w14:paraId="32213C6F" w14:textId="77777777" w:rsidR="00BF762B" w:rsidRPr="00D77CBA" w:rsidRDefault="00BF762B" w:rsidP="00BF762B">
      <w:pPr>
        <w:pStyle w:val="xmsonospacing"/>
        <w:spacing w:before="120" w:beforeAutospacing="0" w:after="0" w:afterAutospacing="0" w:line="276" w:lineRule="auto"/>
        <w:ind w:firstLine="708"/>
        <w:jc w:val="both"/>
        <w:rPr>
          <w:rFonts w:ascii="Arial" w:hAnsi="Arial" w:cs="Arial"/>
          <w:color w:val="000000"/>
          <w:sz w:val="22"/>
          <w:szCs w:val="22"/>
          <w:bdr w:val="none" w:sz="0" w:space="0" w:color="auto" w:frame="1"/>
        </w:rPr>
      </w:pPr>
      <w:r w:rsidRPr="008A2527">
        <w:rPr>
          <w:rFonts w:ascii="Arial" w:eastAsia="Calibri" w:hAnsi="Arial" w:cs="Arial"/>
          <w:sz w:val="22"/>
          <w:szCs w:val="22"/>
          <w:lang w:eastAsia="en-US"/>
        </w:rPr>
        <w:t>De acuerdo con lo</w:t>
      </w:r>
      <w:r>
        <w:rPr>
          <w:rFonts w:ascii="Arial" w:eastAsia="Calibri" w:hAnsi="Arial" w:cs="Arial"/>
          <w:sz w:val="22"/>
          <w:szCs w:val="22"/>
          <w:lang w:eastAsia="en-US"/>
        </w:rPr>
        <w:t xml:space="preserve"> expuesto</w:t>
      </w:r>
      <w:r w:rsidRPr="008A2527">
        <w:rPr>
          <w:rFonts w:ascii="Arial" w:eastAsia="Calibri" w:hAnsi="Arial" w:cs="Arial"/>
          <w:sz w:val="22"/>
          <w:szCs w:val="22"/>
          <w:lang w:eastAsia="en-US"/>
        </w:rPr>
        <w:t xml:space="preserve">, </w:t>
      </w:r>
      <w:r w:rsidRPr="006A443A">
        <w:rPr>
          <w:rFonts w:ascii="Arial" w:hAnsi="Arial" w:cs="Arial"/>
          <w:color w:val="000000"/>
          <w:sz w:val="22"/>
          <w:szCs w:val="22"/>
          <w:bdr w:val="none" w:sz="0" w:space="0" w:color="auto" w:frame="1"/>
        </w:rPr>
        <w:t xml:space="preserve">los documentos </w:t>
      </w:r>
      <w:r>
        <w:rPr>
          <w:rFonts w:ascii="Arial" w:hAnsi="Arial" w:cs="Arial"/>
          <w:color w:val="000000"/>
          <w:sz w:val="22"/>
          <w:szCs w:val="22"/>
          <w:bdr w:val="none" w:sz="0" w:space="0" w:color="auto" w:frame="1"/>
        </w:rPr>
        <w:t xml:space="preserve">tipo adoptados </w:t>
      </w:r>
      <w:r w:rsidRPr="006A443A">
        <w:rPr>
          <w:rFonts w:ascii="Arial" w:hAnsi="Arial" w:cs="Arial"/>
          <w:color w:val="000000"/>
          <w:sz w:val="22"/>
          <w:szCs w:val="22"/>
          <w:bdr w:val="none" w:sz="0" w:space="0" w:color="auto" w:frame="1"/>
        </w:rPr>
        <w:t>son obligatorios</w:t>
      </w:r>
      <w:r>
        <w:rPr>
          <w:rFonts w:ascii="Arial" w:hAnsi="Arial" w:cs="Arial"/>
          <w:color w:val="000000"/>
          <w:sz w:val="22"/>
          <w:szCs w:val="22"/>
          <w:bdr w:val="none" w:sz="0" w:space="0" w:color="auto" w:frame="1"/>
        </w:rPr>
        <w:t xml:space="preserve"> única y exclusivamente</w:t>
      </w:r>
      <w:r w:rsidRPr="006A443A">
        <w:rPr>
          <w:rFonts w:ascii="Arial" w:hAnsi="Arial" w:cs="Arial"/>
          <w:color w:val="000000"/>
          <w:sz w:val="22"/>
          <w:szCs w:val="22"/>
          <w:bdr w:val="none" w:sz="0" w:space="0" w:color="auto" w:frame="1"/>
        </w:rPr>
        <w:t xml:space="preserve"> para las entidades estatales</w:t>
      </w:r>
      <w:r>
        <w:rPr>
          <w:rFonts w:ascii="Arial" w:hAnsi="Arial" w:cs="Arial"/>
          <w:color w:val="000000"/>
          <w:sz w:val="22"/>
          <w:szCs w:val="22"/>
          <w:bdr w:val="none" w:sz="0" w:space="0" w:color="auto" w:frame="1"/>
        </w:rPr>
        <w:t xml:space="preserve"> cuyos contratos se rijan por el</w:t>
      </w:r>
      <w:r w:rsidRPr="006A443A">
        <w:rPr>
          <w:rFonts w:ascii="Arial" w:hAnsi="Arial" w:cs="Arial"/>
          <w:color w:val="000000"/>
          <w:sz w:val="22"/>
          <w:szCs w:val="22"/>
          <w:bdr w:val="none" w:sz="0" w:space="0" w:color="auto" w:frame="1"/>
        </w:rPr>
        <w:t xml:space="preserve"> Estatuto General de la Contratación Pública,</w:t>
      </w:r>
      <w:r>
        <w:rPr>
          <w:rFonts w:ascii="Arial" w:hAnsi="Arial" w:cs="Arial"/>
          <w:color w:val="000000"/>
          <w:sz w:val="22"/>
          <w:szCs w:val="22"/>
          <w:bdr w:val="none" w:sz="0" w:space="0" w:color="auto" w:frame="1"/>
        </w:rPr>
        <w:t xml:space="preserve"> que adelanten procesos de contratación mediante la modalidad que establecen los documentos tipo para cada sector y teniendo en cuenta el ámbito de aplicación determinado en la Matriz 1 - Experiencia. Por tanto, estos documentos no serían obligatorios para los contratos de entidades públicas que no se rijan por la Ley 80 de 1993. </w:t>
      </w:r>
      <w:r w:rsidRPr="006A443A">
        <w:rPr>
          <w:rFonts w:ascii="Arial" w:hAnsi="Arial" w:cs="Arial"/>
          <w:color w:val="000000"/>
          <w:sz w:val="22"/>
          <w:szCs w:val="22"/>
          <w:bdr w:val="none" w:sz="0" w:space="0" w:color="auto" w:frame="1"/>
        </w:rPr>
        <w:t xml:space="preserve">Sin embargo, </w:t>
      </w:r>
      <w:r>
        <w:rPr>
          <w:rFonts w:ascii="Arial" w:hAnsi="Arial" w:cs="Arial"/>
          <w:color w:val="000000"/>
          <w:sz w:val="22"/>
          <w:szCs w:val="22"/>
          <w:bdr w:val="none" w:sz="0" w:space="0" w:color="auto" w:frame="1"/>
        </w:rPr>
        <w:t xml:space="preserve">estas </w:t>
      </w:r>
      <w:r w:rsidRPr="006A443A">
        <w:rPr>
          <w:rFonts w:ascii="Arial" w:hAnsi="Arial" w:cs="Arial"/>
          <w:color w:val="000000"/>
          <w:sz w:val="22"/>
          <w:szCs w:val="22"/>
          <w:bdr w:val="none" w:sz="0" w:space="0" w:color="auto" w:frame="1"/>
        </w:rPr>
        <w:t>pueden observar los documentos tipo de forma facultativa, como</w:t>
      </w:r>
      <w:r>
        <w:rPr>
          <w:rFonts w:ascii="Arial" w:hAnsi="Arial" w:cs="Arial"/>
          <w:color w:val="000000"/>
          <w:sz w:val="22"/>
          <w:szCs w:val="22"/>
          <w:bdr w:val="none" w:sz="0" w:space="0" w:color="auto" w:frame="1"/>
        </w:rPr>
        <w:t xml:space="preserve"> una forma de</w:t>
      </w:r>
      <w:r w:rsidRPr="006A443A">
        <w:rPr>
          <w:rFonts w:ascii="Arial" w:hAnsi="Arial" w:cs="Arial"/>
          <w:color w:val="000000"/>
          <w:sz w:val="22"/>
          <w:szCs w:val="22"/>
          <w:bdr w:val="none" w:sz="0" w:space="0" w:color="auto" w:frame="1"/>
        </w:rPr>
        <w:t xml:space="preserve"> </w:t>
      </w:r>
      <w:r>
        <w:rPr>
          <w:rFonts w:ascii="Arial" w:hAnsi="Arial" w:cs="Arial"/>
          <w:color w:val="000000"/>
          <w:sz w:val="22"/>
          <w:szCs w:val="22"/>
          <w:bdr w:val="none" w:sz="0" w:space="0" w:color="auto" w:frame="1"/>
        </w:rPr>
        <w:t xml:space="preserve">adoptar e incorporar </w:t>
      </w:r>
      <w:r w:rsidRPr="006A443A">
        <w:rPr>
          <w:rFonts w:ascii="Arial" w:hAnsi="Arial" w:cs="Arial"/>
          <w:color w:val="000000"/>
          <w:sz w:val="22"/>
          <w:szCs w:val="22"/>
          <w:bdr w:val="none" w:sz="0" w:space="0" w:color="auto" w:frame="1"/>
        </w:rPr>
        <w:t>políticas de buenas prácticas contractuales. </w:t>
      </w:r>
    </w:p>
    <w:p w14:paraId="2E763B6A" w14:textId="77777777" w:rsidR="00BF762B" w:rsidRPr="00B00AFD" w:rsidRDefault="00BF762B" w:rsidP="0083419E">
      <w:pPr>
        <w:spacing w:line="276" w:lineRule="auto"/>
        <w:jc w:val="both"/>
        <w:rPr>
          <w:rFonts w:ascii="Arial" w:eastAsia="Calibri" w:hAnsi="Arial" w:cs="Arial"/>
          <w:color w:val="000000"/>
          <w:sz w:val="22"/>
          <w:lang w:val="es-ES_tradnl"/>
        </w:rPr>
      </w:pPr>
    </w:p>
    <w:p w14:paraId="1831D2E4" w14:textId="6B1619B2" w:rsidR="007429F6" w:rsidRPr="007429F6" w:rsidRDefault="007429F6" w:rsidP="0083419E">
      <w:pPr>
        <w:shd w:val="clear" w:color="auto" w:fill="FFFFFF"/>
        <w:spacing w:line="276" w:lineRule="auto"/>
        <w:jc w:val="both"/>
        <w:rPr>
          <w:rFonts w:ascii="Arial" w:eastAsia="Calibri" w:hAnsi="Arial" w:cs="Arial"/>
          <w:b/>
          <w:color w:val="000000" w:themeColor="text1"/>
          <w:sz w:val="22"/>
          <w:szCs w:val="22"/>
        </w:rPr>
      </w:pPr>
      <w:r>
        <w:rPr>
          <w:rFonts w:ascii="Arial" w:eastAsia="Calibri" w:hAnsi="Arial" w:cs="Arial"/>
          <w:b/>
          <w:color w:val="000000" w:themeColor="text1"/>
          <w:sz w:val="22"/>
          <w:szCs w:val="22"/>
        </w:rPr>
        <w:t xml:space="preserve">2.2. </w:t>
      </w:r>
      <w:r w:rsidR="00934588">
        <w:rPr>
          <w:rFonts w:ascii="Arial" w:eastAsia="Calibri" w:hAnsi="Arial" w:cs="Arial"/>
          <w:b/>
          <w:color w:val="000000" w:themeColor="text1"/>
          <w:sz w:val="22"/>
          <w:szCs w:val="22"/>
        </w:rPr>
        <w:t>Aplicación de la Matriz 1 – Experiencia para proyectos de infraestructura de transporte</w:t>
      </w:r>
    </w:p>
    <w:p w14:paraId="40B7D05B" w14:textId="77777777" w:rsidR="00173C9C" w:rsidRDefault="00173C9C">
      <w:pPr>
        <w:spacing w:line="276" w:lineRule="auto"/>
        <w:ind w:right="51"/>
        <w:jc w:val="both"/>
        <w:rPr>
          <w:rFonts w:ascii="Arial" w:eastAsia="Calibri" w:hAnsi="Arial" w:cs="Arial"/>
          <w:sz w:val="22"/>
          <w:szCs w:val="22"/>
          <w:lang w:val="es-MX" w:eastAsia="en-US"/>
        </w:rPr>
      </w:pPr>
    </w:p>
    <w:p w14:paraId="18C0DF4C" w14:textId="77777777" w:rsidR="007830B9" w:rsidRPr="007830B9" w:rsidRDefault="007830B9" w:rsidP="0083419E">
      <w:pPr>
        <w:spacing w:line="276" w:lineRule="auto"/>
        <w:jc w:val="both"/>
        <w:rPr>
          <w:rFonts w:ascii="Arial" w:eastAsiaTheme="minorHAnsi" w:hAnsi="Arial" w:cs="Arial"/>
          <w:color w:val="0D0D0D" w:themeColor="text1" w:themeTint="F2"/>
          <w:sz w:val="22"/>
          <w:szCs w:val="22"/>
          <w:lang w:val="es-MX" w:eastAsia="en-US"/>
        </w:rPr>
      </w:pPr>
      <w:r w:rsidRPr="007830B9">
        <w:rPr>
          <w:rFonts w:ascii="Arial" w:eastAsiaTheme="minorHAnsi" w:hAnsi="Arial" w:cs="Arial"/>
          <w:color w:val="0D0D0D" w:themeColor="text1" w:themeTint="F2"/>
          <w:sz w:val="22"/>
          <w:szCs w:val="22"/>
          <w:lang w:val="es-MX" w:eastAsia="en-US"/>
        </w:rPr>
        <w:t xml:space="preserve">De acuerdo con lo expuesto, los documentos tipo establecen las condiciones habilitantes, los factores técnicos y económicos de escogencia y los sistemas de ponderación de carácter obligatorio para las entidades estatales sometidas al Estatuto General de la Contratación Pública que adelanten procesos de selección de licitación de obra pública de infraestructura de transporte. Estos consisten en un grupo de documentos, conformados por un documento base, anexos, matrices, formatos y formularios, que sirven tanto a las entidades para elaborar los documentos del proceso, como a los proponentes para conformar y presentar sus ofertas. </w:t>
      </w:r>
    </w:p>
    <w:p w14:paraId="3A432D91" w14:textId="53A55138" w:rsidR="007830B9" w:rsidRPr="007830B9" w:rsidRDefault="007830B9" w:rsidP="007830B9">
      <w:pPr>
        <w:spacing w:before="120" w:line="276" w:lineRule="auto"/>
        <w:ind w:firstLine="709"/>
        <w:jc w:val="both"/>
        <w:rPr>
          <w:rFonts w:ascii="Arial" w:eastAsiaTheme="minorHAnsi" w:hAnsi="Arial" w:cs="Arial"/>
          <w:color w:val="0D0D0D" w:themeColor="text1" w:themeTint="F2"/>
          <w:sz w:val="22"/>
          <w:szCs w:val="22"/>
          <w:lang w:val="es-MX" w:eastAsia="en-US"/>
        </w:rPr>
      </w:pPr>
      <w:r w:rsidRPr="007830B9">
        <w:rPr>
          <w:rFonts w:ascii="Arial" w:eastAsiaTheme="minorHAnsi" w:hAnsi="Arial" w:cs="Arial"/>
          <w:color w:val="0D0D0D" w:themeColor="text1" w:themeTint="F2"/>
          <w:sz w:val="22"/>
          <w:szCs w:val="22"/>
          <w:lang w:val="es-MX" w:eastAsia="en-US"/>
        </w:rPr>
        <w:t>Uno de los elementos comunes a los diferentes documentos tipo es la «Matriz 1 – Experiencia»</w:t>
      </w:r>
      <w:r w:rsidR="00BF762B">
        <w:rPr>
          <w:rFonts w:ascii="Arial" w:eastAsiaTheme="minorHAnsi" w:hAnsi="Arial" w:cs="Arial"/>
          <w:color w:val="0D0D0D" w:themeColor="text1" w:themeTint="F2"/>
          <w:sz w:val="22"/>
          <w:szCs w:val="22"/>
          <w:lang w:val="es-MX" w:eastAsia="en-US"/>
        </w:rPr>
        <w:t xml:space="preserve"> </w:t>
      </w:r>
      <w:r w:rsidRPr="007830B9">
        <w:rPr>
          <w:rFonts w:ascii="Arial" w:eastAsiaTheme="minorHAnsi" w:hAnsi="Arial" w:cs="Arial"/>
          <w:color w:val="0D0D0D" w:themeColor="text1" w:themeTint="F2"/>
          <w:sz w:val="22"/>
          <w:szCs w:val="22"/>
          <w:lang w:val="es-MX" w:eastAsia="en-US"/>
        </w:rPr>
        <w:t xml:space="preserve">–en adelante Matriz 1–. Esta consta de unas celdas en las que se describe la experiencia requerida en relación con el objeto a contratar, definiendo además qué tipo de </w:t>
      </w:r>
      <w:r w:rsidR="00BF762B">
        <w:rPr>
          <w:rFonts w:ascii="Arial" w:eastAsiaTheme="minorHAnsi" w:hAnsi="Arial" w:cs="Arial"/>
          <w:color w:val="0D0D0D" w:themeColor="text1" w:themeTint="F2"/>
          <w:sz w:val="22"/>
          <w:szCs w:val="22"/>
          <w:lang w:val="es-MX" w:eastAsia="en-US"/>
        </w:rPr>
        <w:t>actividades</w:t>
      </w:r>
      <w:r w:rsidR="00BF762B" w:rsidRPr="007830B9">
        <w:rPr>
          <w:rFonts w:ascii="Arial" w:eastAsiaTheme="minorHAnsi" w:hAnsi="Arial" w:cs="Arial"/>
          <w:color w:val="0D0D0D" w:themeColor="text1" w:themeTint="F2"/>
          <w:sz w:val="22"/>
          <w:szCs w:val="22"/>
          <w:lang w:val="es-MX" w:eastAsia="en-US"/>
        </w:rPr>
        <w:t xml:space="preserve"> </w:t>
      </w:r>
      <w:r w:rsidR="00BF762B">
        <w:rPr>
          <w:rFonts w:ascii="Arial" w:eastAsiaTheme="minorHAnsi" w:hAnsi="Arial" w:cs="Arial"/>
          <w:color w:val="0D0D0D" w:themeColor="text1" w:themeTint="F2"/>
          <w:sz w:val="22"/>
          <w:szCs w:val="22"/>
          <w:lang w:val="es-MX" w:eastAsia="en-US"/>
        </w:rPr>
        <w:t>relacionadas con</w:t>
      </w:r>
      <w:r w:rsidR="00BF762B" w:rsidRPr="007830B9">
        <w:rPr>
          <w:rFonts w:ascii="Arial" w:eastAsiaTheme="minorHAnsi" w:hAnsi="Arial" w:cs="Arial"/>
          <w:color w:val="0D0D0D" w:themeColor="text1" w:themeTint="F2"/>
          <w:sz w:val="22"/>
          <w:szCs w:val="22"/>
          <w:lang w:val="es-MX" w:eastAsia="en-US"/>
        </w:rPr>
        <w:t xml:space="preserve"> </w:t>
      </w:r>
      <w:r w:rsidRPr="007830B9">
        <w:rPr>
          <w:rFonts w:ascii="Arial" w:eastAsiaTheme="minorHAnsi" w:hAnsi="Arial" w:cs="Arial"/>
          <w:color w:val="0D0D0D" w:themeColor="text1" w:themeTint="F2"/>
          <w:sz w:val="22"/>
          <w:szCs w:val="22"/>
          <w:lang w:val="es-MX" w:eastAsia="en-US"/>
        </w:rPr>
        <w:t xml:space="preserve">infraestructura de transporte deben acogerse a los pliegos </w:t>
      </w:r>
      <w:r w:rsidRPr="007830B9">
        <w:rPr>
          <w:rFonts w:ascii="Arial" w:eastAsiaTheme="minorHAnsi" w:hAnsi="Arial" w:cs="Arial"/>
          <w:color w:val="0D0D0D" w:themeColor="text1" w:themeTint="F2"/>
          <w:sz w:val="22"/>
          <w:szCs w:val="22"/>
          <w:lang w:val="es-MX" w:eastAsia="en-US"/>
        </w:rPr>
        <w:lastRenderedPageBreak/>
        <w:t xml:space="preserve">tipo. Por otro lado, encontramos el «Anexo 3 – Glosario», el cual contiene las definiciones de los términos usados en los documentos del proceso. </w:t>
      </w:r>
      <w:r w:rsidR="00BF762B">
        <w:rPr>
          <w:rFonts w:ascii="Arial" w:eastAsiaTheme="minorHAnsi" w:hAnsi="Arial" w:cs="Arial"/>
          <w:color w:val="0D0D0D" w:themeColor="text1" w:themeTint="F2"/>
          <w:sz w:val="22"/>
          <w:szCs w:val="22"/>
          <w:lang w:val="es-MX" w:eastAsia="en-US"/>
        </w:rPr>
        <w:t>Utilizando</w:t>
      </w:r>
      <w:r w:rsidR="00BF762B" w:rsidRPr="007830B9">
        <w:rPr>
          <w:rFonts w:ascii="Arial" w:eastAsiaTheme="minorHAnsi" w:hAnsi="Arial" w:cs="Arial"/>
          <w:color w:val="0D0D0D" w:themeColor="text1" w:themeTint="F2"/>
          <w:sz w:val="22"/>
          <w:szCs w:val="22"/>
          <w:lang w:val="es-MX" w:eastAsia="en-US"/>
        </w:rPr>
        <w:t xml:space="preserve"> </w:t>
      </w:r>
      <w:r w:rsidRPr="007830B9">
        <w:rPr>
          <w:rFonts w:ascii="Arial" w:eastAsiaTheme="minorHAnsi" w:hAnsi="Arial" w:cs="Arial"/>
          <w:color w:val="0D0D0D" w:themeColor="text1" w:themeTint="F2"/>
          <w:sz w:val="22"/>
          <w:szCs w:val="22"/>
          <w:lang w:val="es-MX" w:eastAsia="en-US"/>
        </w:rPr>
        <w:t xml:space="preserve">estos dos documentos, la entidad estatal puede definir si el objeto a contratarse debe emplear los documentos tipo. </w:t>
      </w:r>
    </w:p>
    <w:p w14:paraId="3E37EE0A" w14:textId="0829B2AE" w:rsidR="007830B9" w:rsidRPr="007830B9" w:rsidRDefault="007830B9" w:rsidP="007830B9">
      <w:pPr>
        <w:spacing w:before="120" w:line="276" w:lineRule="auto"/>
        <w:ind w:firstLine="709"/>
        <w:jc w:val="both"/>
        <w:rPr>
          <w:rFonts w:ascii="Arial" w:eastAsiaTheme="minorHAnsi" w:hAnsi="Arial" w:cs="Arial"/>
          <w:color w:val="0D0D0D" w:themeColor="text1" w:themeTint="F2"/>
          <w:sz w:val="22"/>
          <w:szCs w:val="22"/>
          <w:lang w:val="es-MX" w:eastAsia="en-US"/>
        </w:rPr>
      </w:pPr>
      <w:r w:rsidRPr="007830B9">
        <w:rPr>
          <w:rFonts w:ascii="Arial" w:eastAsiaTheme="minorHAnsi" w:hAnsi="Arial" w:cs="Arial"/>
          <w:color w:val="0D0D0D" w:themeColor="text1" w:themeTint="F2"/>
          <w:sz w:val="22"/>
          <w:szCs w:val="22"/>
          <w:lang w:val="es-MX" w:eastAsia="en-US"/>
        </w:rPr>
        <w:t xml:space="preserve">En los documentos tipo </w:t>
      </w:r>
      <w:r w:rsidR="00F473E5">
        <w:rPr>
          <w:rFonts w:ascii="Arial" w:eastAsiaTheme="minorHAnsi" w:hAnsi="Arial" w:cs="Arial"/>
          <w:color w:val="0D0D0D" w:themeColor="text1" w:themeTint="F2"/>
          <w:sz w:val="22"/>
          <w:szCs w:val="22"/>
          <w:lang w:val="es-MX" w:eastAsia="en-US"/>
        </w:rPr>
        <w:t>relacionados con el sector</w:t>
      </w:r>
      <w:r w:rsidRPr="007830B9">
        <w:rPr>
          <w:rFonts w:ascii="Arial" w:eastAsiaTheme="minorHAnsi" w:hAnsi="Arial" w:cs="Arial"/>
          <w:color w:val="0D0D0D" w:themeColor="text1" w:themeTint="F2"/>
          <w:sz w:val="22"/>
          <w:szCs w:val="22"/>
          <w:lang w:val="es-MX" w:eastAsia="en-US"/>
        </w:rPr>
        <w:t xml:space="preserve"> de infraestructura de transporte, de acuerdo con las condiciones fijadas en los «Documentos Base o Pliego Tipo», la acreditación del requisito habilitante de experiencia se aborda desde distintos criterios. Especialmente, se destaca que los contratos presentados por los proponentes deben corresponder a la actividad o actividades de experiencia general y específica que la entidad exija en el pliego de condiciones de acuerdo con los parámetros señalados en la Matriz 1.</w:t>
      </w:r>
    </w:p>
    <w:p w14:paraId="02B3D1B9" w14:textId="388004D8" w:rsidR="007830B9" w:rsidRDefault="00F473E5" w:rsidP="007830B9">
      <w:pPr>
        <w:spacing w:before="120" w:line="276" w:lineRule="auto"/>
        <w:ind w:firstLine="709"/>
        <w:jc w:val="both"/>
        <w:rPr>
          <w:rFonts w:ascii="Arial" w:eastAsiaTheme="minorHAnsi" w:hAnsi="Arial" w:cs="Arial"/>
          <w:color w:val="0D0D0D" w:themeColor="text1" w:themeTint="F2"/>
          <w:sz w:val="22"/>
          <w:szCs w:val="22"/>
          <w:lang w:val="es-MX" w:eastAsia="en-US"/>
        </w:rPr>
      </w:pPr>
      <w:r>
        <w:rPr>
          <w:rFonts w:ascii="Arial" w:eastAsiaTheme="minorHAnsi" w:hAnsi="Arial" w:cs="Arial"/>
          <w:color w:val="0D0D0D" w:themeColor="text1" w:themeTint="F2"/>
          <w:sz w:val="22"/>
          <w:szCs w:val="22"/>
          <w:lang w:val="es-MX" w:eastAsia="en-US"/>
        </w:rPr>
        <w:t>Por ejemplo, tratándose de los documentos tipo de licitación de obras públicas de infraestructura de transporte, l</w:t>
      </w:r>
      <w:r w:rsidR="007830B9" w:rsidRPr="007830B9">
        <w:rPr>
          <w:rFonts w:ascii="Arial" w:eastAsiaTheme="minorHAnsi" w:hAnsi="Arial" w:cs="Arial"/>
          <w:color w:val="0D0D0D" w:themeColor="text1" w:themeTint="F2"/>
          <w:sz w:val="22"/>
          <w:szCs w:val="22"/>
          <w:lang w:val="es-MX" w:eastAsia="en-US"/>
        </w:rPr>
        <w:t>a Matriz 1 es el documento que estandariza las condiciones de experiencia general y/o experiencia específica que deben requerir las entidades estatales de acuerdo con: i) el tipo de obra de infraestructura de transporte, ii) la actividad a contratar y iii) la cuantía del proceso de contratación. Dicha Matriz 1 está constituida por ocho (8) tipos de obras de infraestructura de transporte, identificadas con un número y su descripción, los cuales son: 1) obras en vías primarias o secundarias, 2) obras en vías terciarias, 3) obras marítimas y fluviales, 4) obras en vías primarias o secundarias o terciarias para atención de emergencias diferentes a contratación directa, 5) obras férreas, 6) obras de infraestructura vial urbana, 7) obras en puentes y 8) obras aeroportuarias. Para cada uno de estos tipos de obras o infraestructura, contempla una serie de actividades, en función de las cuales se establecen los requisitos de experiencia general y especifica que las entidades deben exigir cuando contraten objetos contractuales que impliquen el desarrollo de tales actividades.</w:t>
      </w:r>
    </w:p>
    <w:p w14:paraId="3D155645" w14:textId="64D7C53B" w:rsidR="00F473E5" w:rsidRPr="007830B9" w:rsidRDefault="00F473E5" w:rsidP="00F473E5">
      <w:pPr>
        <w:spacing w:before="120" w:line="276" w:lineRule="auto"/>
        <w:ind w:firstLine="709"/>
        <w:jc w:val="both"/>
        <w:rPr>
          <w:rFonts w:ascii="Arial" w:eastAsiaTheme="minorHAnsi" w:hAnsi="Arial" w:cs="Arial"/>
          <w:color w:val="0D0D0D" w:themeColor="text1" w:themeTint="F2"/>
          <w:sz w:val="22"/>
          <w:szCs w:val="22"/>
          <w:lang w:val="es-MX" w:eastAsia="en-US"/>
        </w:rPr>
      </w:pPr>
      <w:r>
        <w:rPr>
          <w:rFonts w:ascii="Arial" w:eastAsiaTheme="minorHAnsi" w:hAnsi="Arial" w:cs="Arial"/>
          <w:color w:val="0D0D0D" w:themeColor="text1" w:themeTint="F2"/>
          <w:sz w:val="22"/>
          <w:szCs w:val="22"/>
          <w:lang w:val="es-MX" w:eastAsia="en-US"/>
        </w:rPr>
        <w:t xml:space="preserve">Una estructura similar aplica en relación con los recientes documentos tipo adoptados para </w:t>
      </w:r>
      <w:r w:rsidRPr="00F473E5">
        <w:rPr>
          <w:rFonts w:ascii="Arial" w:eastAsiaTheme="minorHAnsi" w:hAnsi="Arial" w:cs="Arial"/>
          <w:color w:val="0D0D0D" w:themeColor="text1" w:themeTint="F2"/>
          <w:sz w:val="22"/>
          <w:szCs w:val="22"/>
          <w:lang w:val="es-MX" w:eastAsia="en-US"/>
        </w:rPr>
        <w:t>los procesos de selección de concurso de</w:t>
      </w:r>
      <w:r>
        <w:rPr>
          <w:rFonts w:ascii="Arial" w:eastAsiaTheme="minorHAnsi" w:hAnsi="Arial" w:cs="Arial"/>
          <w:color w:val="0D0D0D" w:themeColor="text1" w:themeTint="F2"/>
          <w:sz w:val="22"/>
          <w:szCs w:val="22"/>
          <w:lang w:val="es-MX" w:eastAsia="en-US"/>
        </w:rPr>
        <w:t xml:space="preserve"> </w:t>
      </w:r>
      <w:r w:rsidRPr="00F473E5">
        <w:rPr>
          <w:rFonts w:ascii="Arial" w:eastAsiaTheme="minorHAnsi" w:hAnsi="Arial" w:cs="Arial"/>
          <w:color w:val="0D0D0D" w:themeColor="text1" w:themeTint="F2"/>
          <w:sz w:val="22"/>
          <w:szCs w:val="22"/>
          <w:lang w:val="es-MX" w:eastAsia="en-US"/>
        </w:rPr>
        <w:t>méritos, para contratar la consultoría de estudios de ingeniería de infraestruc</w:t>
      </w:r>
      <w:r>
        <w:rPr>
          <w:rFonts w:ascii="Arial" w:eastAsiaTheme="minorHAnsi" w:hAnsi="Arial" w:cs="Arial"/>
          <w:color w:val="0D0D0D" w:themeColor="text1" w:themeTint="F2"/>
          <w:sz w:val="22"/>
          <w:szCs w:val="22"/>
          <w:lang w:val="es-MX" w:eastAsia="en-US"/>
        </w:rPr>
        <w:t>t</w:t>
      </w:r>
      <w:r w:rsidRPr="00F473E5">
        <w:rPr>
          <w:rFonts w:ascii="Arial" w:eastAsiaTheme="minorHAnsi" w:hAnsi="Arial" w:cs="Arial"/>
          <w:color w:val="0D0D0D" w:themeColor="text1" w:themeTint="F2"/>
          <w:sz w:val="22"/>
          <w:szCs w:val="22"/>
          <w:lang w:val="es-MX" w:eastAsia="en-US"/>
        </w:rPr>
        <w:t>ura de transpor</w:t>
      </w:r>
      <w:r>
        <w:rPr>
          <w:rFonts w:ascii="Arial" w:eastAsiaTheme="minorHAnsi" w:hAnsi="Arial" w:cs="Arial"/>
          <w:color w:val="0D0D0D" w:themeColor="text1" w:themeTint="F2"/>
          <w:sz w:val="22"/>
          <w:szCs w:val="22"/>
          <w:lang w:val="es-MX" w:eastAsia="en-US"/>
        </w:rPr>
        <w:t>t</w:t>
      </w:r>
      <w:r w:rsidRPr="00F473E5">
        <w:rPr>
          <w:rFonts w:ascii="Arial" w:eastAsiaTheme="minorHAnsi" w:hAnsi="Arial" w:cs="Arial"/>
          <w:color w:val="0D0D0D" w:themeColor="text1" w:themeTint="F2"/>
          <w:sz w:val="22"/>
          <w:szCs w:val="22"/>
          <w:lang w:val="es-MX" w:eastAsia="en-US"/>
        </w:rPr>
        <w:t>e</w:t>
      </w:r>
      <w:r>
        <w:rPr>
          <w:rFonts w:ascii="Arial" w:eastAsiaTheme="minorHAnsi" w:hAnsi="Arial" w:cs="Arial"/>
          <w:color w:val="0D0D0D" w:themeColor="text1" w:themeTint="F2"/>
          <w:sz w:val="22"/>
          <w:szCs w:val="22"/>
          <w:lang w:val="es-MX" w:eastAsia="en-US"/>
        </w:rPr>
        <w:t xml:space="preserve">, donde la «Matriz 1 – Experiencia» está constituida por los siguientes tipos de consultoría, sin perjuicio de que al revisar la matriz indicada se precisen los tipos de proyectos o actividades concretas de consultoría que se encuentran contenidos al interior de los siguientes tipos de consultorías generales: </w:t>
      </w:r>
      <w:r w:rsidRPr="00F473E5">
        <w:rPr>
          <w:rFonts w:ascii="Arial" w:eastAsiaTheme="minorHAnsi" w:hAnsi="Arial" w:cs="Arial"/>
          <w:color w:val="0D0D0D" w:themeColor="text1" w:themeTint="F2"/>
          <w:sz w:val="22"/>
          <w:szCs w:val="22"/>
          <w:lang w:val="es-MX" w:eastAsia="en-US"/>
        </w:rPr>
        <w:t>1. consultoría para obras en vías primarias o secundarias</w:t>
      </w:r>
      <w:r>
        <w:rPr>
          <w:rFonts w:ascii="Arial" w:eastAsiaTheme="minorHAnsi" w:hAnsi="Arial" w:cs="Arial"/>
          <w:color w:val="0D0D0D" w:themeColor="text1" w:themeTint="F2"/>
          <w:sz w:val="22"/>
          <w:szCs w:val="22"/>
          <w:lang w:val="es-MX" w:eastAsia="en-US"/>
        </w:rPr>
        <w:t xml:space="preserve">; </w:t>
      </w:r>
      <w:r w:rsidRPr="00F473E5">
        <w:rPr>
          <w:rFonts w:ascii="Arial" w:eastAsiaTheme="minorHAnsi" w:hAnsi="Arial" w:cs="Arial"/>
          <w:color w:val="0D0D0D" w:themeColor="text1" w:themeTint="F2"/>
          <w:sz w:val="22"/>
          <w:szCs w:val="22"/>
          <w:lang w:val="es-MX" w:eastAsia="en-US"/>
        </w:rPr>
        <w:t>2. consultoría para obras en vias terciarias</w:t>
      </w:r>
      <w:r>
        <w:rPr>
          <w:rFonts w:ascii="Arial" w:eastAsiaTheme="minorHAnsi" w:hAnsi="Arial" w:cs="Arial"/>
          <w:color w:val="0D0D0D" w:themeColor="text1" w:themeTint="F2"/>
          <w:sz w:val="22"/>
          <w:szCs w:val="22"/>
          <w:lang w:val="es-MX" w:eastAsia="en-US"/>
        </w:rPr>
        <w:t xml:space="preserve">; </w:t>
      </w:r>
      <w:r w:rsidRPr="00F473E5">
        <w:rPr>
          <w:rFonts w:ascii="Arial" w:eastAsiaTheme="minorHAnsi" w:hAnsi="Arial" w:cs="Arial"/>
          <w:color w:val="0D0D0D" w:themeColor="text1" w:themeTint="F2"/>
          <w:sz w:val="22"/>
          <w:szCs w:val="22"/>
          <w:lang w:val="es-MX" w:eastAsia="en-US"/>
        </w:rPr>
        <w:t>3. consultoría para obras maritimas y fluviales</w:t>
      </w:r>
      <w:r>
        <w:rPr>
          <w:rFonts w:ascii="Arial" w:eastAsiaTheme="minorHAnsi" w:hAnsi="Arial" w:cs="Arial"/>
          <w:color w:val="0D0D0D" w:themeColor="text1" w:themeTint="F2"/>
          <w:sz w:val="22"/>
          <w:szCs w:val="22"/>
          <w:lang w:val="es-MX" w:eastAsia="en-US"/>
        </w:rPr>
        <w:t xml:space="preserve">; </w:t>
      </w:r>
      <w:r w:rsidRPr="00F473E5">
        <w:rPr>
          <w:rFonts w:ascii="Arial" w:eastAsiaTheme="minorHAnsi" w:hAnsi="Arial" w:cs="Arial"/>
          <w:color w:val="0D0D0D" w:themeColor="text1" w:themeTint="F2"/>
          <w:sz w:val="22"/>
          <w:szCs w:val="22"/>
          <w:lang w:val="es-MX" w:eastAsia="en-US"/>
        </w:rPr>
        <w:t>4. consultoría para obras en vias primarias o secundarias o terciarias o urbanas para atención, prevención o mitigación de emergencias diferentes a contratación directa</w:t>
      </w:r>
      <w:r>
        <w:rPr>
          <w:rFonts w:ascii="Arial" w:eastAsiaTheme="minorHAnsi" w:hAnsi="Arial" w:cs="Arial"/>
          <w:color w:val="0D0D0D" w:themeColor="text1" w:themeTint="F2"/>
          <w:sz w:val="22"/>
          <w:szCs w:val="22"/>
          <w:lang w:val="es-MX" w:eastAsia="en-US"/>
        </w:rPr>
        <w:t xml:space="preserve">; </w:t>
      </w:r>
      <w:r w:rsidRPr="00F473E5">
        <w:rPr>
          <w:rFonts w:ascii="Arial" w:eastAsiaTheme="minorHAnsi" w:hAnsi="Arial" w:cs="Arial"/>
          <w:color w:val="0D0D0D" w:themeColor="text1" w:themeTint="F2"/>
          <w:sz w:val="22"/>
          <w:szCs w:val="22"/>
          <w:lang w:val="es-MX" w:eastAsia="en-US"/>
        </w:rPr>
        <w:t>5. consultoría para obras ferreas</w:t>
      </w:r>
      <w:r>
        <w:rPr>
          <w:rFonts w:ascii="Arial" w:eastAsiaTheme="minorHAnsi" w:hAnsi="Arial" w:cs="Arial"/>
          <w:color w:val="0D0D0D" w:themeColor="text1" w:themeTint="F2"/>
          <w:sz w:val="22"/>
          <w:szCs w:val="22"/>
          <w:lang w:val="es-MX" w:eastAsia="en-US"/>
        </w:rPr>
        <w:t xml:space="preserve">; </w:t>
      </w:r>
      <w:r w:rsidRPr="00F473E5">
        <w:rPr>
          <w:rFonts w:ascii="Arial" w:eastAsiaTheme="minorHAnsi" w:hAnsi="Arial" w:cs="Arial"/>
          <w:color w:val="0D0D0D" w:themeColor="text1" w:themeTint="F2"/>
          <w:sz w:val="22"/>
          <w:szCs w:val="22"/>
          <w:lang w:val="es-MX" w:eastAsia="en-US"/>
        </w:rPr>
        <w:t>6. consultoría para obras de infraestructura vial urbana</w:t>
      </w:r>
      <w:r>
        <w:rPr>
          <w:rFonts w:ascii="Arial" w:eastAsiaTheme="minorHAnsi" w:hAnsi="Arial" w:cs="Arial"/>
          <w:color w:val="0D0D0D" w:themeColor="text1" w:themeTint="F2"/>
          <w:sz w:val="22"/>
          <w:szCs w:val="22"/>
          <w:lang w:val="es-MX" w:eastAsia="en-US"/>
        </w:rPr>
        <w:t xml:space="preserve">; </w:t>
      </w:r>
      <w:r w:rsidRPr="00F473E5">
        <w:rPr>
          <w:rFonts w:ascii="Arial" w:eastAsiaTheme="minorHAnsi" w:hAnsi="Arial" w:cs="Arial"/>
          <w:color w:val="0D0D0D" w:themeColor="text1" w:themeTint="F2"/>
          <w:sz w:val="22"/>
          <w:szCs w:val="22"/>
          <w:lang w:val="es-MX" w:eastAsia="en-US"/>
        </w:rPr>
        <w:t>7. consultoría para obras en puentes</w:t>
      </w:r>
      <w:r>
        <w:rPr>
          <w:rFonts w:ascii="Arial" w:eastAsiaTheme="minorHAnsi" w:hAnsi="Arial" w:cs="Arial"/>
          <w:color w:val="0D0D0D" w:themeColor="text1" w:themeTint="F2"/>
          <w:sz w:val="22"/>
          <w:szCs w:val="22"/>
          <w:lang w:val="es-MX" w:eastAsia="en-US"/>
        </w:rPr>
        <w:t xml:space="preserve">; </w:t>
      </w:r>
      <w:r w:rsidRPr="00F473E5">
        <w:rPr>
          <w:rFonts w:ascii="Arial" w:eastAsiaTheme="minorHAnsi" w:hAnsi="Arial" w:cs="Arial"/>
          <w:color w:val="0D0D0D" w:themeColor="text1" w:themeTint="F2"/>
          <w:sz w:val="22"/>
          <w:szCs w:val="22"/>
          <w:lang w:val="es-MX" w:eastAsia="en-US"/>
        </w:rPr>
        <w:t>8. consultoría para obras aeroportuarias</w:t>
      </w:r>
      <w:r>
        <w:rPr>
          <w:rFonts w:ascii="Arial" w:eastAsiaTheme="minorHAnsi" w:hAnsi="Arial" w:cs="Arial"/>
          <w:color w:val="0D0D0D" w:themeColor="text1" w:themeTint="F2"/>
          <w:sz w:val="22"/>
          <w:szCs w:val="22"/>
          <w:lang w:val="es-MX" w:eastAsia="en-US"/>
        </w:rPr>
        <w:t>.</w:t>
      </w:r>
    </w:p>
    <w:p w14:paraId="478162C0" w14:textId="31080AD8" w:rsidR="007830B9" w:rsidRPr="007830B9" w:rsidRDefault="007830B9" w:rsidP="007830B9">
      <w:pPr>
        <w:spacing w:before="120" w:line="276" w:lineRule="auto"/>
        <w:ind w:firstLine="709"/>
        <w:jc w:val="both"/>
        <w:rPr>
          <w:rFonts w:ascii="Arial" w:eastAsiaTheme="minorHAnsi" w:hAnsi="Arial" w:cs="Arial"/>
          <w:color w:val="0D0D0D" w:themeColor="text1" w:themeTint="F2"/>
          <w:sz w:val="22"/>
          <w:szCs w:val="22"/>
          <w:lang w:val="es-MX" w:eastAsia="en-US"/>
        </w:rPr>
      </w:pPr>
      <w:r w:rsidRPr="007830B9">
        <w:rPr>
          <w:rFonts w:ascii="Arial" w:eastAsiaTheme="minorHAnsi" w:hAnsi="Arial" w:cs="Arial"/>
          <w:color w:val="0D0D0D" w:themeColor="text1" w:themeTint="F2"/>
          <w:sz w:val="22"/>
          <w:szCs w:val="22"/>
          <w:lang w:val="es-MX" w:eastAsia="en-US"/>
        </w:rPr>
        <w:t xml:space="preserve">Conforme a lo anterior, la Matriz 1, en el marco de la aplicación de los documentos tipo de infraestructura de transporte, cumple una doble función. Por un lado, sirve para estandarizar las condiciones de experiencia, conforme al parágrafo 7 del artículo 2 de la </w:t>
      </w:r>
      <w:r w:rsidRPr="007830B9">
        <w:rPr>
          <w:rFonts w:ascii="Arial" w:eastAsiaTheme="minorHAnsi" w:hAnsi="Arial" w:cs="Arial"/>
          <w:color w:val="0D0D0D" w:themeColor="text1" w:themeTint="F2"/>
          <w:sz w:val="22"/>
          <w:szCs w:val="22"/>
          <w:lang w:val="es-MX" w:eastAsia="en-US"/>
        </w:rPr>
        <w:lastRenderedPageBreak/>
        <w:t>Ley 1150 de 2007. De otro lado, dicha matriz permite determinar el ámbito de aplicación</w:t>
      </w:r>
      <w:r w:rsidR="004922B6">
        <w:rPr>
          <w:rFonts w:ascii="Arial" w:eastAsiaTheme="minorHAnsi" w:hAnsi="Arial" w:cs="Arial"/>
          <w:color w:val="0D0D0D" w:themeColor="text1" w:themeTint="F2"/>
          <w:sz w:val="22"/>
          <w:szCs w:val="22"/>
          <w:lang w:val="es-MX" w:eastAsia="en-US"/>
        </w:rPr>
        <w:t xml:space="preserve"> más concreto</w:t>
      </w:r>
      <w:r w:rsidRPr="007830B9">
        <w:rPr>
          <w:rFonts w:ascii="Arial" w:eastAsiaTheme="minorHAnsi" w:hAnsi="Arial" w:cs="Arial"/>
          <w:color w:val="0D0D0D" w:themeColor="text1" w:themeTint="F2"/>
          <w:sz w:val="22"/>
          <w:szCs w:val="22"/>
          <w:lang w:val="es-MX" w:eastAsia="en-US"/>
        </w:rPr>
        <w:t xml:space="preserve"> de los documentos tipo respecto de objetos contractuales asociados, ya que son las actividades descritas en esta las que, obligatoriamente, deben contratarse aplicando documentos tipo. </w:t>
      </w:r>
    </w:p>
    <w:p w14:paraId="5E5E299A" w14:textId="31C2A19D" w:rsidR="00173C9C" w:rsidRPr="002A40E2" w:rsidRDefault="007830B9" w:rsidP="007830B9">
      <w:pPr>
        <w:spacing w:before="120" w:line="276" w:lineRule="auto"/>
        <w:ind w:firstLine="709"/>
        <w:jc w:val="both"/>
        <w:rPr>
          <w:rFonts w:ascii="Arial" w:eastAsiaTheme="minorHAnsi" w:hAnsi="Arial" w:cs="Arial"/>
          <w:color w:val="0D0D0D" w:themeColor="text1" w:themeTint="F2"/>
          <w:sz w:val="22"/>
          <w:szCs w:val="22"/>
          <w:lang w:val="es-MX" w:eastAsia="en-US"/>
        </w:rPr>
      </w:pPr>
      <w:r w:rsidRPr="007830B9">
        <w:rPr>
          <w:rFonts w:ascii="Arial" w:eastAsiaTheme="minorHAnsi" w:hAnsi="Arial" w:cs="Arial"/>
          <w:color w:val="0D0D0D" w:themeColor="text1" w:themeTint="F2"/>
          <w:sz w:val="22"/>
          <w:szCs w:val="22"/>
          <w:lang w:val="es-MX" w:eastAsia="en-US"/>
        </w:rPr>
        <w:t>De esta manera, para saber si una obra pública</w:t>
      </w:r>
      <w:r w:rsidR="004922B6">
        <w:rPr>
          <w:rFonts w:ascii="Arial" w:eastAsiaTheme="minorHAnsi" w:hAnsi="Arial" w:cs="Arial"/>
          <w:color w:val="0D0D0D" w:themeColor="text1" w:themeTint="F2"/>
          <w:sz w:val="22"/>
          <w:szCs w:val="22"/>
          <w:lang w:val="es-MX" w:eastAsia="en-US"/>
        </w:rPr>
        <w:t xml:space="preserve">, una consultoría para la realización de estudios de ingeniería de infraestructura de transporte o una consultoría para interventorías de obras de infraestructura de transporte </w:t>
      </w:r>
      <w:r w:rsidRPr="007830B9">
        <w:rPr>
          <w:rFonts w:ascii="Arial" w:eastAsiaTheme="minorHAnsi" w:hAnsi="Arial" w:cs="Arial"/>
          <w:color w:val="0D0D0D" w:themeColor="text1" w:themeTint="F2"/>
          <w:sz w:val="22"/>
          <w:szCs w:val="22"/>
          <w:lang w:val="es-MX" w:eastAsia="en-US"/>
        </w:rPr>
        <w:t>debe contratarse aplicando documentos tipo, la entidad debe verificar los que se hayan expedido para la modalidad de selección en la que debe celebrarse el proceso, subsumiendo el objeto a contratarse en los tipos de</w:t>
      </w:r>
      <w:r w:rsidR="00713551">
        <w:rPr>
          <w:rFonts w:ascii="Arial" w:eastAsiaTheme="minorHAnsi" w:hAnsi="Arial" w:cs="Arial"/>
          <w:color w:val="0D0D0D" w:themeColor="text1" w:themeTint="F2"/>
          <w:sz w:val="22"/>
          <w:szCs w:val="22"/>
          <w:lang w:val="es-MX" w:eastAsia="en-US"/>
        </w:rPr>
        <w:t xml:space="preserve"> proyectos de</w:t>
      </w:r>
      <w:r w:rsidRPr="007830B9">
        <w:rPr>
          <w:rFonts w:ascii="Arial" w:eastAsiaTheme="minorHAnsi" w:hAnsi="Arial" w:cs="Arial"/>
          <w:color w:val="0D0D0D" w:themeColor="text1" w:themeTint="F2"/>
          <w:sz w:val="22"/>
          <w:szCs w:val="22"/>
          <w:lang w:val="es-MX" w:eastAsia="en-US"/>
        </w:rPr>
        <w:t xml:space="preserve"> infraestructura a contratarse. </w:t>
      </w:r>
      <w:r w:rsidR="00713551">
        <w:rPr>
          <w:rFonts w:ascii="Arial" w:eastAsiaTheme="minorHAnsi" w:hAnsi="Arial" w:cs="Arial"/>
          <w:color w:val="0D0D0D" w:themeColor="text1" w:themeTint="F2"/>
          <w:sz w:val="22"/>
          <w:szCs w:val="22"/>
          <w:lang w:val="es-MX" w:eastAsia="en-US"/>
        </w:rPr>
        <w:t>De esta manera, s</w:t>
      </w:r>
      <w:r w:rsidRPr="007830B9">
        <w:rPr>
          <w:rFonts w:ascii="Arial" w:eastAsiaTheme="minorHAnsi" w:hAnsi="Arial" w:cs="Arial"/>
          <w:color w:val="0D0D0D" w:themeColor="text1" w:themeTint="F2"/>
          <w:sz w:val="22"/>
          <w:szCs w:val="22"/>
          <w:lang w:val="es-MX" w:eastAsia="en-US"/>
        </w:rPr>
        <w:t xml:space="preserve">i </w:t>
      </w:r>
      <w:r w:rsidR="004922B6">
        <w:rPr>
          <w:rFonts w:ascii="Arial" w:eastAsiaTheme="minorHAnsi" w:hAnsi="Arial" w:cs="Arial"/>
          <w:color w:val="0D0D0D" w:themeColor="text1" w:themeTint="F2"/>
          <w:sz w:val="22"/>
          <w:szCs w:val="22"/>
          <w:lang w:val="es-MX" w:eastAsia="en-US"/>
        </w:rPr>
        <w:t>el objeto contractual a ejecutar</w:t>
      </w:r>
      <w:r w:rsidRPr="007830B9">
        <w:rPr>
          <w:rFonts w:ascii="Arial" w:eastAsiaTheme="minorHAnsi" w:hAnsi="Arial" w:cs="Arial"/>
          <w:color w:val="0D0D0D" w:themeColor="text1" w:themeTint="F2"/>
          <w:sz w:val="22"/>
          <w:szCs w:val="22"/>
          <w:lang w:val="es-MX" w:eastAsia="en-US"/>
        </w:rPr>
        <w:t xml:space="preserve"> se encuadra materialmente dentro de alguno de los tipos de obra</w:t>
      </w:r>
      <w:r w:rsidR="004922B6">
        <w:rPr>
          <w:rFonts w:ascii="Arial" w:eastAsiaTheme="minorHAnsi" w:hAnsi="Arial" w:cs="Arial"/>
          <w:color w:val="0D0D0D" w:themeColor="text1" w:themeTint="F2"/>
          <w:sz w:val="22"/>
          <w:szCs w:val="22"/>
          <w:lang w:val="es-MX" w:eastAsia="en-US"/>
        </w:rPr>
        <w:t xml:space="preserve"> o consultoría</w:t>
      </w:r>
      <w:r w:rsidRPr="007830B9">
        <w:rPr>
          <w:rFonts w:ascii="Arial" w:eastAsiaTheme="minorHAnsi" w:hAnsi="Arial" w:cs="Arial"/>
          <w:color w:val="0D0D0D" w:themeColor="text1" w:themeTint="F2"/>
          <w:sz w:val="22"/>
          <w:szCs w:val="22"/>
          <w:lang w:val="es-MX" w:eastAsia="en-US"/>
        </w:rPr>
        <w:t xml:space="preserve"> y</w:t>
      </w:r>
      <w:r w:rsidR="00713551">
        <w:rPr>
          <w:rFonts w:ascii="Arial" w:eastAsiaTheme="minorHAnsi" w:hAnsi="Arial" w:cs="Arial"/>
          <w:color w:val="0D0D0D" w:themeColor="text1" w:themeTint="F2"/>
          <w:sz w:val="22"/>
          <w:szCs w:val="22"/>
          <w:lang w:val="es-MX" w:eastAsia="en-US"/>
        </w:rPr>
        <w:t xml:space="preserve"> las</w:t>
      </w:r>
      <w:r w:rsidRPr="007830B9">
        <w:rPr>
          <w:rFonts w:ascii="Arial" w:eastAsiaTheme="minorHAnsi" w:hAnsi="Arial" w:cs="Arial"/>
          <w:color w:val="0D0D0D" w:themeColor="text1" w:themeTint="F2"/>
          <w:sz w:val="22"/>
          <w:szCs w:val="22"/>
          <w:lang w:val="es-MX" w:eastAsia="en-US"/>
        </w:rPr>
        <w:t xml:space="preserve"> actividades </w:t>
      </w:r>
      <w:r w:rsidR="00713551">
        <w:rPr>
          <w:rFonts w:ascii="Arial" w:eastAsiaTheme="minorHAnsi" w:hAnsi="Arial" w:cs="Arial"/>
          <w:color w:val="0D0D0D" w:themeColor="text1" w:themeTint="F2"/>
          <w:sz w:val="22"/>
          <w:szCs w:val="22"/>
          <w:lang w:val="es-MX" w:eastAsia="en-US"/>
        </w:rPr>
        <w:t xml:space="preserve">concretas </w:t>
      </w:r>
      <w:r w:rsidRPr="007830B9">
        <w:rPr>
          <w:rFonts w:ascii="Arial" w:eastAsiaTheme="minorHAnsi" w:hAnsi="Arial" w:cs="Arial"/>
          <w:color w:val="0D0D0D" w:themeColor="text1" w:themeTint="F2"/>
          <w:sz w:val="22"/>
          <w:szCs w:val="22"/>
          <w:lang w:val="es-MX" w:eastAsia="en-US"/>
        </w:rPr>
        <w:t xml:space="preserve">señaladas en </w:t>
      </w:r>
      <w:r w:rsidR="00713551">
        <w:rPr>
          <w:rFonts w:ascii="Arial" w:eastAsiaTheme="minorHAnsi" w:hAnsi="Arial" w:cs="Arial"/>
          <w:color w:val="0D0D0D" w:themeColor="text1" w:themeTint="F2"/>
          <w:sz w:val="22"/>
          <w:szCs w:val="22"/>
          <w:lang w:val="es-MX" w:eastAsia="en-US"/>
        </w:rPr>
        <w:t>cada una de las Matrices de experiencia,</w:t>
      </w:r>
      <w:r w:rsidRPr="007830B9">
        <w:rPr>
          <w:rFonts w:ascii="Arial" w:eastAsiaTheme="minorHAnsi" w:hAnsi="Arial" w:cs="Arial"/>
          <w:color w:val="0D0D0D" w:themeColor="text1" w:themeTint="F2"/>
          <w:sz w:val="22"/>
          <w:szCs w:val="22"/>
          <w:lang w:val="es-MX" w:eastAsia="en-US"/>
        </w:rPr>
        <w:t xml:space="preserve"> se tendrán que aplicar los documentos tipo, mientras que en el caso contrario no será forzosa su aplicación. </w:t>
      </w:r>
      <w:r w:rsidR="00713551">
        <w:rPr>
          <w:rFonts w:ascii="Arial" w:eastAsiaTheme="minorHAnsi" w:hAnsi="Arial" w:cs="Arial"/>
          <w:color w:val="0D0D0D" w:themeColor="text1" w:themeTint="F2"/>
          <w:sz w:val="22"/>
          <w:szCs w:val="22"/>
          <w:lang w:val="es-MX" w:eastAsia="en-US"/>
        </w:rPr>
        <w:t>En este sentido</w:t>
      </w:r>
      <w:r w:rsidR="004922B6">
        <w:rPr>
          <w:rFonts w:ascii="Arial" w:eastAsiaTheme="minorHAnsi" w:hAnsi="Arial" w:cs="Arial"/>
          <w:color w:val="0D0D0D" w:themeColor="text1" w:themeTint="F2"/>
          <w:sz w:val="22"/>
          <w:szCs w:val="22"/>
          <w:lang w:val="es-MX" w:eastAsia="en-US"/>
        </w:rPr>
        <w:t xml:space="preserve">, en los </w:t>
      </w:r>
      <w:r w:rsidR="00713551">
        <w:rPr>
          <w:rFonts w:ascii="Arial" w:eastAsiaTheme="minorHAnsi" w:hAnsi="Arial" w:cs="Arial"/>
          <w:color w:val="0D0D0D" w:themeColor="text1" w:themeTint="F2"/>
          <w:sz w:val="22"/>
          <w:szCs w:val="22"/>
          <w:lang w:val="es-MX" w:eastAsia="en-US"/>
        </w:rPr>
        <w:t>d</w:t>
      </w:r>
      <w:r w:rsidR="004922B6">
        <w:rPr>
          <w:rFonts w:ascii="Arial" w:eastAsiaTheme="minorHAnsi" w:hAnsi="Arial" w:cs="Arial"/>
          <w:color w:val="0D0D0D" w:themeColor="text1" w:themeTint="F2"/>
          <w:sz w:val="22"/>
          <w:szCs w:val="22"/>
          <w:lang w:val="es-MX" w:eastAsia="en-US"/>
        </w:rPr>
        <w:t xml:space="preserve">ocumentos </w:t>
      </w:r>
      <w:r w:rsidR="00713551">
        <w:rPr>
          <w:rFonts w:ascii="Arial" w:eastAsiaTheme="minorHAnsi" w:hAnsi="Arial" w:cs="Arial"/>
          <w:color w:val="0D0D0D" w:themeColor="text1" w:themeTint="F2"/>
          <w:sz w:val="22"/>
          <w:szCs w:val="22"/>
          <w:lang w:val="es-MX" w:eastAsia="en-US"/>
        </w:rPr>
        <w:t>b</w:t>
      </w:r>
      <w:r w:rsidR="004922B6">
        <w:rPr>
          <w:rFonts w:ascii="Arial" w:eastAsiaTheme="minorHAnsi" w:hAnsi="Arial" w:cs="Arial"/>
          <w:color w:val="0D0D0D" w:themeColor="text1" w:themeTint="F2"/>
          <w:sz w:val="22"/>
          <w:szCs w:val="22"/>
          <w:lang w:val="es-MX" w:eastAsia="en-US"/>
        </w:rPr>
        <w:t>ase</w:t>
      </w:r>
      <w:r w:rsidR="00713551">
        <w:rPr>
          <w:rFonts w:ascii="Arial" w:eastAsiaTheme="minorHAnsi" w:hAnsi="Arial" w:cs="Arial"/>
          <w:color w:val="0D0D0D" w:themeColor="text1" w:themeTint="F2"/>
          <w:sz w:val="22"/>
          <w:szCs w:val="22"/>
          <w:lang w:val="es-MX" w:eastAsia="en-US"/>
        </w:rPr>
        <w:t xml:space="preserve"> de los documentos tipo</w:t>
      </w:r>
      <w:r w:rsidR="00173C9C">
        <w:rPr>
          <w:rFonts w:ascii="Arial" w:eastAsia="Calibri" w:hAnsi="Arial" w:cs="Arial"/>
          <w:sz w:val="22"/>
          <w:szCs w:val="22"/>
          <w:lang w:val="es-MX" w:eastAsia="en-US"/>
        </w:rPr>
        <w:t>,</w:t>
      </w:r>
      <w:r w:rsidR="00173C9C" w:rsidRPr="002A40E2">
        <w:rPr>
          <w:rFonts w:ascii="Arial" w:eastAsia="Calibri" w:hAnsi="Arial" w:cs="Arial"/>
          <w:sz w:val="22"/>
          <w:szCs w:val="22"/>
          <w:lang w:val="es-MX" w:eastAsia="en-US"/>
        </w:rPr>
        <w:t xml:space="preserve"> se indica que la entidad establecerá las condiciones de experiencia, tanto general como específica en las actividades que van a contratar. </w:t>
      </w:r>
      <w:r w:rsidR="00173C9C">
        <w:rPr>
          <w:rFonts w:ascii="Arial" w:eastAsia="Calibri" w:hAnsi="Arial" w:cs="Arial"/>
          <w:sz w:val="22"/>
          <w:szCs w:val="22"/>
          <w:lang w:val="es-MX" w:eastAsia="en-US"/>
        </w:rPr>
        <w:t xml:space="preserve">En este contexto, </w:t>
      </w:r>
      <w:r w:rsidR="00173C9C" w:rsidRPr="002A40E2">
        <w:rPr>
          <w:rFonts w:ascii="Arial" w:eastAsia="Calibri" w:hAnsi="Arial" w:cs="Arial"/>
          <w:sz w:val="22"/>
          <w:szCs w:val="22"/>
          <w:lang w:val="es-MX" w:eastAsia="en-US"/>
        </w:rPr>
        <w:t xml:space="preserve">la entidad no podrá incluir condiciones distintas a las previstas en la Matriz </w:t>
      </w:r>
      <w:r w:rsidR="00713551">
        <w:rPr>
          <w:rFonts w:ascii="Arial" w:eastAsia="Calibri" w:hAnsi="Arial" w:cs="Arial"/>
          <w:sz w:val="22"/>
          <w:szCs w:val="22"/>
          <w:lang w:val="es-MX" w:eastAsia="en-US"/>
        </w:rPr>
        <w:t xml:space="preserve">de Experiencia </w:t>
      </w:r>
      <w:r w:rsidR="00173C9C" w:rsidRPr="002A40E2">
        <w:rPr>
          <w:rFonts w:ascii="Arial" w:eastAsia="Calibri" w:hAnsi="Arial" w:cs="Arial"/>
          <w:sz w:val="22"/>
          <w:szCs w:val="22"/>
          <w:lang w:val="es-MX" w:eastAsia="en-US"/>
        </w:rPr>
        <w:t>y, por tanto, deberá transcribir textualmente lo indicado en ésta.</w:t>
      </w:r>
    </w:p>
    <w:p w14:paraId="5D6EE597" w14:textId="3D30849F" w:rsidR="00173C9C" w:rsidRPr="002A40E2" w:rsidRDefault="00173C9C" w:rsidP="00173C9C">
      <w:pPr>
        <w:spacing w:before="120" w:after="120" w:line="276" w:lineRule="auto"/>
        <w:jc w:val="both"/>
        <w:rPr>
          <w:rFonts w:ascii="Arial" w:eastAsia="Calibri" w:hAnsi="Arial" w:cs="Arial"/>
          <w:sz w:val="22"/>
          <w:szCs w:val="22"/>
          <w:lang w:val="es-MX" w:eastAsia="en-US"/>
        </w:rPr>
      </w:pPr>
      <w:r w:rsidRPr="002A40E2">
        <w:rPr>
          <w:rFonts w:ascii="Arial" w:eastAsia="Calibri" w:hAnsi="Arial" w:cs="Arial"/>
          <w:sz w:val="22"/>
          <w:szCs w:val="22"/>
          <w:lang w:val="es-MX" w:eastAsia="en-US"/>
        </w:rPr>
        <w:tab/>
      </w:r>
      <w:r>
        <w:rPr>
          <w:rFonts w:ascii="Arial" w:eastAsia="Calibri" w:hAnsi="Arial" w:cs="Arial"/>
          <w:sz w:val="22"/>
          <w:szCs w:val="22"/>
          <w:lang w:val="es-MX" w:eastAsia="en-US"/>
        </w:rPr>
        <w:t xml:space="preserve">Conforme a lo expuesto, </w:t>
      </w:r>
      <w:r w:rsidRPr="002A40E2">
        <w:rPr>
          <w:rFonts w:ascii="Arial" w:eastAsia="Calibri" w:hAnsi="Arial" w:cs="Arial"/>
          <w:sz w:val="22"/>
          <w:szCs w:val="22"/>
          <w:lang w:val="es-MX" w:eastAsia="en-US"/>
        </w:rPr>
        <w:t xml:space="preserve">para definir la experiencia exigible en un proceso de contratación </w:t>
      </w:r>
      <w:r w:rsidR="00713551">
        <w:rPr>
          <w:rFonts w:ascii="Arial" w:eastAsia="Calibri" w:hAnsi="Arial" w:cs="Arial"/>
          <w:sz w:val="22"/>
          <w:szCs w:val="22"/>
          <w:lang w:val="es-MX" w:eastAsia="en-US"/>
        </w:rPr>
        <w:t>regido por los documentos tipo del sector de</w:t>
      </w:r>
      <w:r w:rsidRPr="002A40E2">
        <w:rPr>
          <w:rFonts w:ascii="Arial" w:eastAsia="Calibri" w:hAnsi="Arial" w:cs="Arial"/>
          <w:sz w:val="22"/>
          <w:szCs w:val="22"/>
          <w:lang w:val="es-MX" w:eastAsia="en-US"/>
        </w:rPr>
        <w:t xml:space="preserve"> </w:t>
      </w:r>
      <w:r w:rsidR="007830B9">
        <w:rPr>
          <w:rFonts w:ascii="Arial" w:eastAsia="Calibri" w:hAnsi="Arial" w:cs="Arial"/>
          <w:sz w:val="22"/>
          <w:szCs w:val="22"/>
          <w:lang w:val="es-MX" w:eastAsia="en-US"/>
        </w:rPr>
        <w:t>infraestructura de transporte</w:t>
      </w:r>
      <w:r w:rsidR="00713551">
        <w:rPr>
          <w:rFonts w:ascii="Arial" w:eastAsia="Calibri" w:hAnsi="Arial" w:cs="Arial"/>
          <w:sz w:val="22"/>
          <w:szCs w:val="22"/>
          <w:lang w:val="es-MX" w:eastAsia="en-US"/>
        </w:rPr>
        <w:t>,</w:t>
      </w:r>
      <w:r>
        <w:rPr>
          <w:rFonts w:ascii="Arial" w:eastAsia="Calibri" w:hAnsi="Arial" w:cs="Arial"/>
          <w:sz w:val="22"/>
          <w:szCs w:val="22"/>
          <w:lang w:val="es-MX" w:eastAsia="en-US"/>
        </w:rPr>
        <w:t xml:space="preserve"> se </w:t>
      </w:r>
      <w:r w:rsidRPr="002A40E2">
        <w:rPr>
          <w:rFonts w:ascii="Arial" w:eastAsia="Calibri" w:hAnsi="Arial" w:cs="Arial"/>
          <w:sz w:val="22"/>
          <w:szCs w:val="22"/>
          <w:lang w:val="es-MX" w:eastAsia="en-US"/>
        </w:rPr>
        <w:t>debe</w:t>
      </w:r>
      <w:r>
        <w:rPr>
          <w:rFonts w:ascii="Arial" w:eastAsia="Calibri" w:hAnsi="Arial" w:cs="Arial"/>
          <w:sz w:val="22"/>
          <w:szCs w:val="22"/>
          <w:lang w:val="es-MX" w:eastAsia="en-US"/>
        </w:rPr>
        <w:t>n</w:t>
      </w:r>
      <w:r w:rsidRPr="002A40E2">
        <w:rPr>
          <w:rFonts w:ascii="Arial" w:eastAsia="Calibri" w:hAnsi="Arial" w:cs="Arial"/>
          <w:sz w:val="22"/>
          <w:szCs w:val="22"/>
          <w:lang w:val="es-MX" w:eastAsia="en-US"/>
        </w:rPr>
        <w:t xml:space="preserve"> seguir los siguientes pasos: </w:t>
      </w:r>
    </w:p>
    <w:p w14:paraId="026ABA3C" w14:textId="095C8A87" w:rsidR="00173C9C" w:rsidRPr="002A40E2" w:rsidRDefault="00173C9C" w:rsidP="00173C9C">
      <w:pPr>
        <w:numPr>
          <w:ilvl w:val="0"/>
          <w:numId w:val="29"/>
        </w:numPr>
        <w:tabs>
          <w:tab w:val="left" w:pos="1134"/>
        </w:tabs>
        <w:spacing w:before="120" w:after="120" w:line="276" w:lineRule="auto"/>
        <w:ind w:left="0" w:firstLine="851"/>
        <w:jc w:val="both"/>
        <w:rPr>
          <w:rFonts w:ascii="Arial" w:eastAsia="Calibri" w:hAnsi="Arial" w:cs="Arial"/>
          <w:sz w:val="22"/>
          <w:szCs w:val="22"/>
          <w:lang w:val="es-MX" w:eastAsia="en-US"/>
        </w:rPr>
      </w:pPr>
      <w:r w:rsidRPr="002A40E2">
        <w:rPr>
          <w:rFonts w:ascii="Arial" w:eastAsia="Calibri" w:hAnsi="Arial" w:cs="Arial"/>
          <w:sz w:val="22"/>
          <w:szCs w:val="22"/>
          <w:lang w:val="es-MX" w:eastAsia="en-US"/>
        </w:rPr>
        <w:t xml:space="preserve">Identificar en la «Matriz 1 – Experiencia» el tipo de </w:t>
      </w:r>
      <w:r w:rsidR="00713551">
        <w:rPr>
          <w:rFonts w:ascii="Arial" w:eastAsia="Calibri" w:hAnsi="Arial" w:cs="Arial"/>
          <w:sz w:val="22"/>
          <w:szCs w:val="22"/>
          <w:lang w:val="es-MX" w:eastAsia="en-US"/>
        </w:rPr>
        <w:t xml:space="preserve">obra o consultoría asociada a la </w:t>
      </w:r>
      <w:r w:rsidRPr="002A40E2">
        <w:rPr>
          <w:rFonts w:ascii="Arial" w:eastAsia="Calibri" w:hAnsi="Arial" w:cs="Arial"/>
          <w:sz w:val="22"/>
          <w:szCs w:val="22"/>
          <w:lang w:val="es-MX" w:eastAsia="en-US"/>
        </w:rPr>
        <w:t xml:space="preserve">infraestructura </w:t>
      </w:r>
      <w:r w:rsidR="00713551">
        <w:rPr>
          <w:rFonts w:ascii="Arial" w:eastAsia="Calibri" w:hAnsi="Arial" w:cs="Arial"/>
          <w:sz w:val="22"/>
          <w:szCs w:val="22"/>
          <w:lang w:val="es-MX" w:eastAsia="en-US"/>
        </w:rPr>
        <w:t>de transporte relacionada con el contrato a ejecutar</w:t>
      </w:r>
      <w:r w:rsidRPr="002A40E2">
        <w:rPr>
          <w:rFonts w:ascii="Arial" w:eastAsia="Calibri" w:hAnsi="Arial" w:cs="Arial"/>
          <w:sz w:val="22"/>
          <w:szCs w:val="22"/>
          <w:lang w:val="es-MX" w:eastAsia="en-US"/>
        </w:rPr>
        <w:t xml:space="preserve">. </w:t>
      </w:r>
      <w:r w:rsidR="00713551">
        <w:rPr>
          <w:rFonts w:ascii="Arial" w:eastAsia="Calibri" w:hAnsi="Arial" w:cs="Arial"/>
          <w:sz w:val="22"/>
          <w:szCs w:val="22"/>
          <w:lang w:val="es-MX" w:eastAsia="en-US"/>
        </w:rPr>
        <w:t>Esto a su vez presupone definir la aplicación de la Matriz para proyectos de baja-media complejidad o de alta complejidad técnica.</w:t>
      </w:r>
    </w:p>
    <w:p w14:paraId="5377443F" w14:textId="646E2964" w:rsidR="00173C9C" w:rsidRPr="002A40E2" w:rsidRDefault="00173C9C" w:rsidP="00173C9C">
      <w:pPr>
        <w:numPr>
          <w:ilvl w:val="0"/>
          <w:numId w:val="29"/>
        </w:numPr>
        <w:tabs>
          <w:tab w:val="left" w:pos="1134"/>
        </w:tabs>
        <w:spacing w:before="120" w:line="276" w:lineRule="auto"/>
        <w:ind w:left="0" w:firstLine="851"/>
        <w:jc w:val="both"/>
        <w:rPr>
          <w:rFonts w:ascii="Arial" w:eastAsia="Calibri" w:hAnsi="Arial" w:cs="Arial"/>
          <w:sz w:val="22"/>
          <w:szCs w:val="22"/>
          <w:lang w:val="es-MX" w:eastAsia="en-US"/>
        </w:rPr>
      </w:pPr>
      <w:r w:rsidRPr="002A40E2">
        <w:rPr>
          <w:rFonts w:ascii="Arial" w:eastAsia="Calibri" w:hAnsi="Arial" w:cs="Arial"/>
          <w:sz w:val="22"/>
          <w:szCs w:val="22"/>
          <w:lang w:val="es-MX" w:eastAsia="en-US"/>
        </w:rPr>
        <w:t xml:space="preserve">Una vez definido </w:t>
      </w:r>
      <w:r w:rsidR="00713551">
        <w:rPr>
          <w:rFonts w:ascii="Arial" w:eastAsia="Calibri" w:hAnsi="Arial" w:cs="Arial"/>
          <w:sz w:val="22"/>
          <w:szCs w:val="22"/>
          <w:lang w:val="es-MX" w:eastAsia="en-US"/>
        </w:rPr>
        <w:t>lo anterior</w:t>
      </w:r>
      <w:r w:rsidRPr="002A40E2">
        <w:rPr>
          <w:rFonts w:ascii="Arial" w:eastAsia="Calibri" w:hAnsi="Arial" w:cs="Arial"/>
          <w:sz w:val="22"/>
          <w:szCs w:val="22"/>
          <w:lang w:val="es-MX" w:eastAsia="en-US"/>
        </w:rPr>
        <w:t xml:space="preserve">, identificar la «actividad a contratar» acorde con la Matriz 1 – Experiencia. Esta actividad corresponde </w:t>
      </w:r>
      <w:r w:rsidR="00981178">
        <w:rPr>
          <w:rFonts w:ascii="Arial" w:eastAsia="Calibri" w:hAnsi="Arial" w:cs="Arial"/>
          <w:sz w:val="22"/>
          <w:szCs w:val="22"/>
          <w:lang w:val="es-MX" w:eastAsia="en-US"/>
        </w:rPr>
        <w:t>al proyecto</w:t>
      </w:r>
      <w:r w:rsidRPr="002A40E2">
        <w:rPr>
          <w:rFonts w:ascii="Arial" w:eastAsia="Calibri" w:hAnsi="Arial" w:cs="Arial"/>
          <w:sz w:val="22"/>
          <w:szCs w:val="22"/>
          <w:lang w:val="es-MX" w:eastAsia="en-US"/>
        </w:rPr>
        <w:t xml:space="preserve"> que</w:t>
      </w:r>
      <w:r w:rsidR="00981178">
        <w:rPr>
          <w:rFonts w:ascii="Arial" w:eastAsia="Calibri" w:hAnsi="Arial" w:cs="Arial"/>
          <w:sz w:val="22"/>
          <w:szCs w:val="22"/>
          <w:lang w:val="es-MX" w:eastAsia="en-US"/>
        </w:rPr>
        <w:t xml:space="preserve"> </w:t>
      </w:r>
      <w:r w:rsidRPr="002A40E2">
        <w:rPr>
          <w:rFonts w:ascii="Arial" w:eastAsia="Calibri" w:hAnsi="Arial" w:cs="Arial"/>
          <w:sz w:val="22"/>
          <w:szCs w:val="22"/>
          <w:lang w:val="es-MX" w:eastAsia="en-US"/>
        </w:rPr>
        <w:t xml:space="preserve">pretenda ejecutar la entidad estatal de acuerdo con el objeto y su alcance. En este sentido, la entidad debe identificar cuál o cuáles de las actividades a contratar definidas en la «Matriz 1 – Experiencia» corresponden a </w:t>
      </w:r>
      <w:r w:rsidR="00981178">
        <w:rPr>
          <w:rFonts w:ascii="Arial" w:eastAsia="Calibri" w:hAnsi="Arial" w:cs="Arial"/>
          <w:sz w:val="22"/>
          <w:szCs w:val="22"/>
          <w:lang w:val="es-MX" w:eastAsia="en-US"/>
        </w:rPr>
        <w:t>la obra o consultoría</w:t>
      </w:r>
      <w:r w:rsidRPr="002A40E2">
        <w:rPr>
          <w:rFonts w:ascii="Arial" w:eastAsia="Calibri" w:hAnsi="Arial" w:cs="Arial"/>
          <w:sz w:val="22"/>
          <w:szCs w:val="22"/>
          <w:lang w:val="es-MX" w:eastAsia="en-US"/>
        </w:rPr>
        <w:t xml:space="preserve"> que ejecutará y de esta manera solicitar la experiencia que corresponde.</w:t>
      </w:r>
    </w:p>
    <w:p w14:paraId="2182046D" w14:textId="77777777" w:rsidR="00173C9C" w:rsidRPr="002A40E2" w:rsidRDefault="00173C9C" w:rsidP="00173C9C">
      <w:pPr>
        <w:widowControl w:val="0"/>
        <w:numPr>
          <w:ilvl w:val="0"/>
          <w:numId w:val="29"/>
        </w:numPr>
        <w:tabs>
          <w:tab w:val="left" w:pos="1134"/>
        </w:tabs>
        <w:autoSpaceDE w:val="0"/>
        <w:autoSpaceDN w:val="0"/>
        <w:spacing w:before="120" w:line="276" w:lineRule="auto"/>
        <w:ind w:left="0" w:firstLine="710"/>
        <w:jc w:val="both"/>
        <w:rPr>
          <w:rFonts w:ascii="Arial" w:eastAsia="Arial" w:hAnsi="Arial" w:cs="Arial"/>
          <w:color w:val="000000"/>
          <w:sz w:val="22"/>
          <w:szCs w:val="22"/>
          <w:lang w:val="es-ES" w:eastAsia="es-ES" w:bidi="es-ES"/>
        </w:rPr>
      </w:pPr>
      <w:r w:rsidRPr="002A40E2">
        <w:rPr>
          <w:rFonts w:ascii="Arial" w:eastAsia="Calibri" w:hAnsi="Arial" w:cs="Arial"/>
          <w:sz w:val="22"/>
          <w:szCs w:val="22"/>
          <w:lang w:val="es-MX" w:eastAsia="es-ES" w:bidi="es-ES"/>
        </w:rPr>
        <w:t xml:space="preserve">Identificar el rango </w:t>
      </w:r>
      <w:r>
        <w:rPr>
          <w:rFonts w:ascii="Arial" w:eastAsia="Calibri" w:hAnsi="Arial" w:cs="Arial"/>
          <w:sz w:val="22"/>
          <w:szCs w:val="22"/>
          <w:lang w:val="es-MX" w:eastAsia="es-ES" w:bidi="es-ES"/>
        </w:rPr>
        <w:t xml:space="preserve">de cuantía </w:t>
      </w:r>
      <w:r w:rsidRPr="002A40E2">
        <w:rPr>
          <w:rFonts w:ascii="Arial" w:eastAsia="Calibri" w:hAnsi="Arial" w:cs="Arial"/>
          <w:sz w:val="22"/>
          <w:szCs w:val="22"/>
          <w:lang w:val="es-MX" w:eastAsia="es-ES" w:bidi="es-ES"/>
        </w:rPr>
        <w:t>en el cual se encuentra el proceso de contratación de acuerdo con el presupuesto oficial.</w:t>
      </w:r>
    </w:p>
    <w:p w14:paraId="13F0846B" w14:textId="77777777" w:rsidR="00173C9C" w:rsidRDefault="00173C9C" w:rsidP="00173C9C">
      <w:pPr>
        <w:widowControl w:val="0"/>
        <w:numPr>
          <w:ilvl w:val="0"/>
          <w:numId w:val="29"/>
        </w:numPr>
        <w:tabs>
          <w:tab w:val="left" w:pos="1134"/>
        </w:tabs>
        <w:autoSpaceDE w:val="0"/>
        <w:autoSpaceDN w:val="0"/>
        <w:spacing w:before="120" w:line="276" w:lineRule="auto"/>
        <w:ind w:left="0" w:firstLine="710"/>
        <w:jc w:val="both"/>
        <w:rPr>
          <w:rFonts w:ascii="Arial" w:eastAsia="Arial" w:hAnsi="Arial" w:cs="Arial"/>
          <w:color w:val="000000"/>
          <w:sz w:val="22"/>
          <w:szCs w:val="22"/>
          <w:lang w:val="es-ES" w:eastAsia="es-ES" w:bidi="es-ES"/>
        </w:rPr>
      </w:pPr>
      <w:r w:rsidRPr="002A40E2">
        <w:rPr>
          <w:rFonts w:ascii="Arial" w:eastAsia="Arial" w:hAnsi="Arial" w:cs="Arial"/>
          <w:color w:val="000000"/>
          <w:sz w:val="22"/>
          <w:szCs w:val="22"/>
          <w:lang w:val="es-ES" w:eastAsia="es-ES" w:bidi="es-ES"/>
        </w:rPr>
        <w:t>Identificar la «Experiencia general» exigible acorde con la Matriz 1 – Experiencia</w:t>
      </w:r>
      <w:r>
        <w:rPr>
          <w:rFonts w:ascii="Arial" w:eastAsia="Arial" w:hAnsi="Arial" w:cs="Arial"/>
          <w:color w:val="000000"/>
          <w:sz w:val="22"/>
          <w:szCs w:val="22"/>
          <w:lang w:val="es-ES" w:eastAsia="es-ES" w:bidi="es-ES"/>
        </w:rPr>
        <w:t>,</w:t>
      </w:r>
      <w:r w:rsidRPr="002A40E2">
        <w:rPr>
          <w:rFonts w:ascii="Arial" w:eastAsia="Arial" w:hAnsi="Arial" w:cs="Arial"/>
          <w:color w:val="000000"/>
          <w:sz w:val="22"/>
          <w:szCs w:val="22"/>
          <w:lang w:val="es-ES" w:eastAsia="es-ES" w:bidi="es-ES"/>
        </w:rPr>
        <w:t xml:space="preserve"> teniendo en cuenta la actividad a contratar y el rango de la cuantía del proceso de contratación.</w:t>
      </w:r>
    </w:p>
    <w:p w14:paraId="0D14C6E7" w14:textId="7136C0B6" w:rsidR="00173C9C" w:rsidRDefault="00173C9C" w:rsidP="00173C9C">
      <w:pPr>
        <w:widowControl w:val="0"/>
        <w:numPr>
          <w:ilvl w:val="0"/>
          <w:numId w:val="29"/>
        </w:numPr>
        <w:tabs>
          <w:tab w:val="left" w:pos="1134"/>
        </w:tabs>
        <w:autoSpaceDE w:val="0"/>
        <w:autoSpaceDN w:val="0"/>
        <w:spacing w:before="120" w:line="276" w:lineRule="auto"/>
        <w:ind w:left="0" w:firstLine="710"/>
        <w:jc w:val="both"/>
        <w:rPr>
          <w:rFonts w:ascii="Arial" w:eastAsia="Arial" w:hAnsi="Arial" w:cs="Arial"/>
          <w:color w:val="000000"/>
          <w:sz w:val="22"/>
          <w:szCs w:val="22"/>
          <w:lang w:val="es-ES" w:eastAsia="es-ES" w:bidi="es-ES"/>
        </w:rPr>
      </w:pPr>
      <w:r w:rsidRPr="002A40E2">
        <w:rPr>
          <w:rFonts w:ascii="Arial" w:eastAsia="Arial" w:hAnsi="Arial" w:cs="Arial"/>
          <w:color w:val="000000"/>
          <w:sz w:val="22"/>
          <w:szCs w:val="22"/>
          <w:lang w:val="es-ES" w:eastAsia="es-ES" w:bidi="es-ES"/>
        </w:rPr>
        <w:t xml:space="preserve">Identificar la «Experiencia específica» exigible y el porcentaje de </w:t>
      </w:r>
      <w:r w:rsidRPr="002A40E2">
        <w:rPr>
          <w:rFonts w:ascii="Arial" w:eastAsia="Arial" w:hAnsi="Arial" w:cs="Arial"/>
          <w:color w:val="000000"/>
          <w:sz w:val="22"/>
          <w:szCs w:val="22"/>
          <w:lang w:val="es-ES" w:eastAsia="es-ES" w:bidi="es-ES"/>
        </w:rPr>
        <w:lastRenderedPageBreak/>
        <w:t>dimensionamiento</w:t>
      </w:r>
      <w:r>
        <w:rPr>
          <w:rFonts w:ascii="Arial" w:eastAsia="Arial" w:hAnsi="Arial" w:cs="Arial"/>
          <w:color w:val="000000"/>
          <w:sz w:val="22"/>
          <w:szCs w:val="22"/>
          <w:lang w:val="es-ES" w:eastAsia="es-ES" w:bidi="es-ES"/>
        </w:rPr>
        <w:t>,</w:t>
      </w:r>
      <w:r w:rsidRPr="002A40E2">
        <w:rPr>
          <w:rFonts w:ascii="Arial" w:eastAsia="Arial" w:hAnsi="Arial" w:cs="Arial"/>
          <w:color w:val="000000"/>
          <w:sz w:val="22"/>
          <w:szCs w:val="22"/>
          <w:lang w:val="es-ES" w:eastAsia="es-ES" w:bidi="es-ES"/>
        </w:rPr>
        <w:t xml:space="preserve"> que se puede solicitar acorde con la</w:t>
      </w:r>
      <w:r>
        <w:rPr>
          <w:rFonts w:ascii="Arial" w:eastAsia="Arial" w:hAnsi="Arial" w:cs="Arial"/>
          <w:color w:val="000000"/>
          <w:sz w:val="22"/>
          <w:szCs w:val="22"/>
          <w:lang w:val="es-ES" w:eastAsia="es-ES" w:bidi="es-ES"/>
        </w:rPr>
        <w:t xml:space="preserve">s magnitudes </w:t>
      </w:r>
      <w:r w:rsidRPr="002A40E2">
        <w:rPr>
          <w:rFonts w:ascii="Arial" w:eastAsia="Arial" w:hAnsi="Arial" w:cs="Arial"/>
          <w:color w:val="000000"/>
          <w:sz w:val="22"/>
          <w:szCs w:val="22"/>
          <w:lang w:val="es-ES" w:eastAsia="es-ES" w:bidi="es-ES"/>
        </w:rPr>
        <w:t xml:space="preserve">a ejecutar de acuerdo con la cuantía del proceso de contratación. </w:t>
      </w:r>
      <w:r w:rsidRPr="00F360B6">
        <w:rPr>
          <w:rFonts w:ascii="Arial" w:eastAsia="Arial" w:hAnsi="Arial" w:cs="Arial"/>
          <w:color w:val="000000"/>
          <w:sz w:val="22"/>
          <w:szCs w:val="22"/>
          <w:lang w:val="es-ES" w:eastAsia="es-ES" w:bidi="es-ES"/>
        </w:rPr>
        <w:t>Igualmente, se deberá determinar la actividad representativa acorde con lo señalado en la matriz</w:t>
      </w:r>
      <w:r w:rsidR="00981178">
        <w:rPr>
          <w:rFonts w:ascii="Arial" w:eastAsia="Arial" w:hAnsi="Arial" w:cs="Arial"/>
          <w:color w:val="000000"/>
          <w:sz w:val="22"/>
          <w:szCs w:val="22"/>
          <w:lang w:val="es-ES" w:eastAsia="es-ES" w:bidi="es-ES"/>
        </w:rPr>
        <w:t>, en caso de que aplique.</w:t>
      </w:r>
      <w:r w:rsidRPr="00F360B6">
        <w:rPr>
          <w:rFonts w:ascii="Arial" w:eastAsia="Arial" w:hAnsi="Arial" w:cs="Arial"/>
          <w:color w:val="000000"/>
          <w:sz w:val="22"/>
          <w:szCs w:val="22"/>
          <w:lang w:val="es-ES" w:eastAsia="es-ES" w:bidi="es-ES"/>
        </w:rPr>
        <w:t xml:space="preserve"> </w:t>
      </w:r>
    </w:p>
    <w:p w14:paraId="68518671" w14:textId="09FE30B8" w:rsidR="007429F6" w:rsidRPr="007830B9" w:rsidRDefault="00173C9C" w:rsidP="007830B9">
      <w:pPr>
        <w:widowControl w:val="0"/>
        <w:tabs>
          <w:tab w:val="left" w:pos="1134"/>
        </w:tabs>
        <w:autoSpaceDE w:val="0"/>
        <w:autoSpaceDN w:val="0"/>
        <w:spacing w:before="120" w:line="276" w:lineRule="auto"/>
        <w:ind w:firstLine="709"/>
        <w:jc w:val="both"/>
        <w:rPr>
          <w:rFonts w:ascii="Arial" w:eastAsia="Arial" w:hAnsi="Arial" w:cs="Arial"/>
          <w:color w:val="000000"/>
          <w:sz w:val="22"/>
          <w:szCs w:val="22"/>
          <w:lang w:val="es-ES" w:eastAsia="es-ES" w:bidi="es-ES"/>
        </w:rPr>
      </w:pPr>
      <w:r>
        <w:rPr>
          <w:rFonts w:ascii="Arial" w:eastAsia="Arial" w:hAnsi="Arial" w:cs="Arial"/>
          <w:color w:val="000000"/>
          <w:sz w:val="22"/>
          <w:szCs w:val="22"/>
          <w:lang w:val="es-ES" w:eastAsia="es-ES" w:bidi="es-ES"/>
        </w:rPr>
        <w:t xml:space="preserve">En este orden de ideas, para determinar si procede la aplicación de los documentos tipo de infraestructura de </w:t>
      </w:r>
      <w:r w:rsidR="007830B9">
        <w:rPr>
          <w:rFonts w:ascii="Arial" w:eastAsia="Arial" w:hAnsi="Arial" w:cs="Arial"/>
          <w:color w:val="000000"/>
          <w:sz w:val="22"/>
          <w:szCs w:val="22"/>
          <w:lang w:val="es-ES" w:eastAsia="es-ES" w:bidi="es-ES"/>
        </w:rPr>
        <w:t>transporte</w:t>
      </w:r>
      <w:r>
        <w:rPr>
          <w:rFonts w:ascii="Arial" w:eastAsia="Arial" w:hAnsi="Arial" w:cs="Arial"/>
          <w:color w:val="000000"/>
          <w:sz w:val="22"/>
          <w:szCs w:val="22"/>
          <w:lang w:val="es-ES" w:eastAsia="es-ES" w:bidi="es-ES"/>
        </w:rPr>
        <w:t xml:space="preserve"> y la experiencia que se exigirá, le corresponde a la entidad seguir los pasos expuestos, identificando, de manera preliminar, el tipo de infraestructura sobre la cual recae el objeto a contratar, acorde con lo señalado en la </w:t>
      </w:r>
      <w:r w:rsidRPr="002A40E2">
        <w:rPr>
          <w:rFonts w:ascii="Arial" w:eastAsia="Calibri" w:hAnsi="Arial" w:cs="Arial"/>
          <w:sz w:val="22"/>
          <w:szCs w:val="22"/>
          <w:lang w:val="es-MX" w:eastAsia="en-US"/>
        </w:rPr>
        <w:t>«Matriz 1 – Experiencia»</w:t>
      </w:r>
      <w:r>
        <w:rPr>
          <w:rFonts w:ascii="Arial" w:eastAsia="Calibri" w:hAnsi="Arial" w:cs="Arial"/>
          <w:sz w:val="22"/>
          <w:szCs w:val="22"/>
          <w:lang w:val="es-MX" w:eastAsia="en-US"/>
        </w:rPr>
        <w:t xml:space="preserve">. </w:t>
      </w:r>
    </w:p>
    <w:p w14:paraId="7D2BC861" w14:textId="157E65F9" w:rsidR="00DF769A" w:rsidRDefault="00377CB4" w:rsidP="00DF769A">
      <w:pPr>
        <w:shd w:val="clear" w:color="auto" w:fill="FFFFFF"/>
        <w:spacing w:before="120" w:line="276" w:lineRule="auto"/>
        <w:ind w:firstLine="708"/>
        <w:jc w:val="both"/>
        <w:rPr>
          <w:rFonts w:ascii="Arial" w:eastAsia="Calibri" w:hAnsi="Arial" w:cs="Arial"/>
          <w:color w:val="000000" w:themeColor="text1"/>
          <w:sz w:val="22"/>
          <w:szCs w:val="22"/>
        </w:rPr>
      </w:pPr>
      <w:r>
        <w:rPr>
          <w:rFonts w:ascii="Arial" w:eastAsia="Calibri" w:hAnsi="Arial" w:cs="Arial"/>
          <w:color w:val="000000" w:themeColor="text1"/>
          <w:sz w:val="22"/>
          <w:szCs w:val="22"/>
        </w:rPr>
        <w:t xml:space="preserve">Así las cosas, </w:t>
      </w:r>
      <w:r w:rsidR="00372475">
        <w:rPr>
          <w:rFonts w:ascii="Arial" w:eastAsia="Calibri" w:hAnsi="Arial" w:cs="Arial"/>
          <w:color w:val="000000" w:themeColor="text1"/>
          <w:sz w:val="22"/>
          <w:szCs w:val="22"/>
        </w:rPr>
        <w:t xml:space="preserve">los documentos tipo adoptados hasta este momento en materia de infraestructura son los señalados en el acápite 2.1 del presente concepto. </w:t>
      </w:r>
      <w:r w:rsidR="00981178">
        <w:rPr>
          <w:rFonts w:ascii="Arial" w:eastAsia="Calibri" w:hAnsi="Arial" w:cs="Arial"/>
          <w:color w:val="000000" w:themeColor="text1"/>
          <w:sz w:val="22"/>
          <w:szCs w:val="22"/>
        </w:rPr>
        <w:t xml:space="preserve">En este sentido, </w:t>
      </w:r>
      <w:r w:rsidR="00DF769A">
        <w:rPr>
          <w:rFonts w:ascii="Arial" w:eastAsia="Calibri" w:hAnsi="Arial" w:cs="Arial"/>
          <w:color w:val="000000" w:themeColor="text1"/>
          <w:sz w:val="22"/>
          <w:szCs w:val="22"/>
        </w:rPr>
        <w:t>cabe destacar, en relación con las preguntas del peticionario, que l</w:t>
      </w:r>
      <w:r w:rsidR="00372475">
        <w:rPr>
          <w:rFonts w:ascii="Arial" w:eastAsia="Calibri" w:hAnsi="Arial" w:cs="Arial"/>
          <w:color w:val="000000" w:themeColor="text1"/>
          <w:sz w:val="22"/>
          <w:szCs w:val="22"/>
        </w:rPr>
        <w:t xml:space="preserve">a Agencia Nacional de Contratación Pública – Colombia Compra Eficiente </w:t>
      </w:r>
      <w:r w:rsidR="00DF769A">
        <w:rPr>
          <w:rFonts w:ascii="Arial" w:eastAsia="Calibri" w:hAnsi="Arial" w:cs="Arial"/>
          <w:color w:val="000000" w:themeColor="text1"/>
          <w:sz w:val="22"/>
          <w:szCs w:val="22"/>
        </w:rPr>
        <w:t>ya adoptó los</w:t>
      </w:r>
      <w:r w:rsidR="00372475">
        <w:rPr>
          <w:rFonts w:ascii="Arial" w:eastAsia="Calibri" w:hAnsi="Arial" w:cs="Arial"/>
          <w:color w:val="000000" w:themeColor="text1"/>
          <w:sz w:val="22"/>
          <w:szCs w:val="22"/>
        </w:rPr>
        <w:t xml:space="preserve"> documentos tipo de </w:t>
      </w:r>
      <w:r w:rsidR="00DF769A" w:rsidRPr="00DF769A">
        <w:rPr>
          <w:rFonts w:ascii="Arial" w:eastAsia="Calibri" w:hAnsi="Arial" w:cs="Arial"/>
          <w:color w:val="000000" w:themeColor="text1"/>
          <w:sz w:val="22"/>
          <w:szCs w:val="22"/>
        </w:rPr>
        <w:t>concurso de</w:t>
      </w:r>
      <w:r w:rsidR="00DF769A">
        <w:rPr>
          <w:rFonts w:ascii="Arial" w:eastAsia="Calibri" w:hAnsi="Arial" w:cs="Arial"/>
          <w:color w:val="000000" w:themeColor="text1"/>
          <w:sz w:val="22"/>
          <w:szCs w:val="22"/>
        </w:rPr>
        <w:t xml:space="preserve"> </w:t>
      </w:r>
      <w:r w:rsidR="00DF769A" w:rsidRPr="00DF769A">
        <w:rPr>
          <w:rFonts w:ascii="Arial" w:eastAsia="Calibri" w:hAnsi="Arial" w:cs="Arial"/>
          <w:color w:val="000000" w:themeColor="text1"/>
          <w:sz w:val="22"/>
          <w:szCs w:val="22"/>
        </w:rPr>
        <w:t>méritos, para contratar la consultoría de estudios de ingeniería de infraestruc</w:t>
      </w:r>
      <w:r w:rsidR="00DF769A">
        <w:rPr>
          <w:rFonts w:ascii="Arial" w:eastAsia="Calibri" w:hAnsi="Arial" w:cs="Arial"/>
          <w:color w:val="000000" w:themeColor="text1"/>
          <w:sz w:val="22"/>
          <w:szCs w:val="22"/>
        </w:rPr>
        <w:t>t</w:t>
      </w:r>
      <w:r w:rsidR="00DF769A" w:rsidRPr="00DF769A">
        <w:rPr>
          <w:rFonts w:ascii="Arial" w:eastAsia="Calibri" w:hAnsi="Arial" w:cs="Arial"/>
          <w:color w:val="000000" w:themeColor="text1"/>
          <w:sz w:val="22"/>
          <w:szCs w:val="22"/>
        </w:rPr>
        <w:t>ura de transpor</w:t>
      </w:r>
      <w:r w:rsidR="00DF769A">
        <w:rPr>
          <w:rFonts w:ascii="Arial" w:eastAsia="Calibri" w:hAnsi="Arial" w:cs="Arial"/>
          <w:color w:val="000000" w:themeColor="text1"/>
          <w:sz w:val="22"/>
          <w:szCs w:val="22"/>
        </w:rPr>
        <w:t>t</w:t>
      </w:r>
      <w:r w:rsidR="00DF769A" w:rsidRPr="00DF769A">
        <w:rPr>
          <w:rFonts w:ascii="Arial" w:eastAsia="Calibri" w:hAnsi="Arial" w:cs="Arial"/>
          <w:color w:val="000000" w:themeColor="text1"/>
          <w:sz w:val="22"/>
          <w:szCs w:val="22"/>
        </w:rPr>
        <w:t>e</w:t>
      </w:r>
      <w:r w:rsidR="00DF769A">
        <w:rPr>
          <w:rFonts w:ascii="Arial" w:eastAsia="Calibri" w:hAnsi="Arial" w:cs="Arial"/>
          <w:color w:val="000000" w:themeColor="text1"/>
          <w:sz w:val="22"/>
          <w:szCs w:val="22"/>
        </w:rPr>
        <w:t>, mediante la Resolución 193 del 14 de julio de 2021; sin embargo, estos documentos tipo solo serán obligatorios para los procesos de selección cuyo aviso de convocatoria se publique a partir del 9 de agosto de 2021, como se establece en la Resolución indicada. Lo anterior sin perjuicio de que las entidades estatales actualmente puedan utilizarlos facultativamente por considerarlos buenas prácticas contractuales; pues su aplicación obligatoria solo lo será en las condiciones indicadas.</w:t>
      </w:r>
    </w:p>
    <w:p w14:paraId="5B1DDD93" w14:textId="3DBC695C" w:rsidR="00DF769A" w:rsidRDefault="00DF769A" w:rsidP="00372475">
      <w:pPr>
        <w:shd w:val="clear" w:color="auto" w:fill="FFFFFF"/>
        <w:spacing w:before="120" w:line="276" w:lineRule="auto"/>
        <w:ind w:firstLine="708"/>
        <w:jc w:val="both"/>
        <w:rPr>
          <w:rFonts w:ascii="Arial" w:eastAsia="Calibri" w:hAnsi="Arial" w:cs="Arial"/>
          <w:color w:val="000000" w:themeColor="text1"/>
          <w:sz w:val="22"/>
          <w:szCs w:val="22"/>
        </w:rPr>
      </w:pPr>
      <w:r>
        <w:rPr>
          <w:rFonts w:ascii="Arial" w:eastAsia="Calibri" w:hAnsi="Arial" w:cs="Arial"/>
          <w:color w:val="000000" w:themeColor="text1"/>
          <w:sz w:val="22"/>
          <w:szCs w:val="22"/>
        </w:rPr>
        <w:t>También vale la pena aclarar que esta Agencia ya adoptó los d</w:t>
      </w:r>
      <w:r w:rsidRPr="0083419E">
        <w:rPr>
          <w:rFonts w:ascii="Arial" w:eastAsia="Calibri" w:hAnsi="Arial" w:cs="Arial"/>
          <w:color w:val="000000" w:themeColor="text1"/>
          <w:sz w:val="22"/>
          <w:szCs w:val="22"/>
        </w:rPr>
        <w:t xml:space="preserve">ocumentos tipo para procesos de concurso de méritos para contratar la </w:t>
      </w:r>
      <w:r w:rsidRPr="0083419E">
        <w:rPr>
          <w:rFonts w:ascii="Arial" w:eastAsia="Calibri" w:hAnsi="Arial" w:cs="Arial"/>
          <w:i/>
          <w:iCs/>
          <w:color w:val="000000" w:themeColor="text1"/>
          <w:sz w:val="22"/>
          <w:szCs w:val="22"/>
        </w:rPr>
        <w:t>interventoría de obras públicas de infraestructura de transporte</w:t>
      </w:r>
      <w:r w:rsidRPr="0083419E">
        <w:rPr>
          <w:rFonts w:ascii="Arial" w:eastAsia="Calibri" w:hAnsi="Arial" w:cs="Arial"/>
          <w:color w:val="000000" w:themeColor="text1"/>
          <w:sz w:val="22"/>
          <w:szCs w:val="22"/>
        </w:rPr>
        <w:t>, obligatorios para los procesos cuyo aviso de convocatoria se haya publicado desde el 1 de enero de 2021.</w:t>
      </w:r>
      <w:r>
        <w:rPr>
          <w:rFonts w:ascii="Arial" w:eastAsia="Calibri" w:hAnsi="Arial" w:cs="Arial"/>
          <w:color w:val="000000" w:themeColor="text1"/>
          <w:sz w:val="22"/>
          <w:szCs w:val="22"/>
        </w:rPr>
        <w:t xml:space="preserve"> Sin embargo, estos documentos tipo son obligatorios para la vigilancia de los contratos de obra indicados en la Matriz 1 – Experiencia de estos documentos tipo. Lo anterior implica que estos no aplican para contratar la interventoría a los contratos de consultoría de estudios y diseños, es decir, actualmente no se han expedido documentos tipo para la interventoría </w:t>
      </w:r>
      <w:r w:rsidR="00FD5FFF">
        <w:rPr>
          <w:rFonts w:ascii="Arial" w:eastAsia="Calibri" w:hAnsi="Arial" w:cs="Arial"/>
          <w:color w:val="000000" w:themeColor="text1"/>
          <w:sz w:val="22"/>
          <w:szCs w:val="22"/>
        </w:rPr>
        <w:t xml:space="preserve">a contratos de </w:t>
      </w:r>
      <w:r w:rsidR="00FD5FFF" w:rsidRPr="00DF769A">
        <w:rPr>
          <w:rFonts w:ascii="Arial" w:eastAsia="Calibri" w:hAnsi="Arial" w:cs="Arial"/>
          <w:color w:val="000000" w:themeColor="text1"/>
          <w:sz w:val="22"/>
          <w:szCs w:val="22"/>
        </w:rPr>
        <w:t>consultoría de estudios de ingeniería de infraestruc</w:t>
      </w:r>
      <w:r w:rsidR="00FD5FFF">
        <w:rPr>
          <w:rFonts w:ascii="Arial" w:eastAsia="Calibri" w:hAnsi="Arial" w:cs="Arial"/>
          <w:color w:val="000000" w:themeColor="text1"/>
          <w:sz w:val="22"/>
          <w:szCs w:val="22"/>
        </w:rPr>
        <w:t>t</w:t>
      </w:r>
      <w:r w:rsidR="00FD5FFF" w:rsidRPr="00DF769A">
        <w:rPr>
          <w:rFonts w:ascii="Arial" w:eastAsia="Calibri" w:hAnsi="Arial" w:cs="Arial"/>
          <w:color w:val="000000" w:themeColor="text1"/>
          <w:sz w:val="22"/>
          <w:szCs w:val="22"/>
        </w:rPr>
        <w:t>ura de transpor</w:t>
      </w:r>
      <w:r w:rsidR="00FD5FFF">
        <w:rPr>
          <w:rFonts w:ascii="Arial" w:eastAsia="Calibri" w:hAnsi="Arial" w:cs="Arial"/>
          <w:color w:val="000000" w:themeColor="text1"/>
          <w:sz w:val="22"/>
          <w:szCs w:val="22"/>
        </w:rPr>
        <w:t>t</w:t>
      </w:r>
      <w:r w:rsidR="00FD5FFF" w:rsidRPr="00DF769A">
        <w:rPr>
          <w:rFonts w:ascii="Arial" w:eastAsia="Calibri" w:hAnsi="Arial" w:cs="Arial"/>
          <w:color w:val="000000" w:themeColor="text1"/>
          <w:sz w:val="22"/>
          <w:szCs w:val="22"/>
        </w:rPr>
        <w:t>e</w:t>
      </w:r>
      <w:r w:rsidR="00FD5FFF">
        <w:rPr>
          <w:rFonts w:ascii="Arial" w:eastAsia="Calibri" w:hAnsi="Arial" w:cs="Arial"/>
          <w:color w:val="000000" w:themeColor="text1"/>
          <w:sz w:val="22"/>
          <w:szCs w:val="22"/>
        </w:rPr>
        <w:t>.</w:t>
      </w:r>
    </w:p>
    <w:p w14:paraId="522AB90C" w14:textId="35F3602B" w:rsidR="00372475" w:rsidRDefault="00FD5FFF" w:rsidP="00372475">
      <w:pPr>
        <w:shd w:val="clear" w:color="auto" w:fill="FFFFFF"/>
        <w:spacing w:before="120" w:line="276" w:lineRule="auto"/>
        <w:ind w:firstLine="708"/>
        <w:jc w:val="both"/>
        <w:rPr>
          <w:rFonts w:ascii="Arial" w:hAnsi="Arial" w:cs="Arial"/>
          <w:color w:val="0D0D0D"/>
          <w:sz w:val="22"/>
          <w:bdr w:val="none" w:sz="0" w:space="0" w:color="auto" w:frame="1"/>
          <w:lang w:eastAsia="es-CO"/>
        </w:rPr>
      </w:pPr>
      <w:r>
        <w:rPr>
          <w:rFonts w:ascii="Arial" w:eastAsia="Calibri" w:hAnsi="Arial" w:cs="Arial"/>
          <w:color w:val="000000" w:themeColor="text1"/>
          <w:sz w:val="22"/>
          <w:szCs w:val="22"/>
        </w:rPr>
        <w:t>Sin perjuicio de las aclaraciones anteriores</w:t>
      </w:r>
      <w:r w:rsidR="00372475" w:rsidRPr="005C4DDA">
        <w:rPr>
          <w:rFonts w:ascii="Arial" w:hAnsi="Arial" w:cs="Arial"/>
          <w:sz w:val="22"/>
        </w:rPr>
        <w:t xml:space="preserve">, debe advertirse que es la entidad contratante, al momento de </w:t>
      </w:r>
      <w:r>
        <w:rPr>
          <w:rFonts w:ascii="Arial" w:hAnsi="Arial" w:cs="Arial"/>
          <w:sz w:val="22"/>
        </w:rPr>
        <w:t>adelantar sus actividades de planeación de cada proceso contractual</w:t>
      </w:r>
      <w:r w:rsidR="00372475" w:rsidRPr="005C4DDA">
        <w:rPr>
          <w:rFonts w:ascii="Arial" w:hAnsi="Arial" w:cs="Arial"/>
          <w:sz w:val="22"/>
        </w:rPr>
        <w:t xml:space="preserve">, quien debe determinar si de acuerdo con las particularidades del </w:t>
      </w:r>
      <w:r>
        <w:rPr>
          <w:rFonts w:ascii="Arial" w:hAnsi="Arial" w:cs="Arial"/>
          <w:sz w:val="22"/>
        </w:rPr>
        <w:t>contrato a ejecutar</w:t>
      </w:r>
      <w:r w:rsidR="00372475" w:rsidRPr="005C4DDA">
        <w:rPr>
          <w:rFonts w:ascii="Arial" w:hAnsi="Arial" w:cs="Arial"/>
          <w:sz w:val="22"/>
        </w:rPr>
        <w:t>, este encaja o no dentro de alguna de las actividades de la Matriz 1</w:t>
      </w:r>
      <w:r>
        <w:rPr>
          <w:rFonts w:ascii="Arial" w:hAnsi="Arial" w:cs="Arial"/>
          <w:sz w:val="22"/>
        </w:rPr>
        <w:t xml:space="preserve"> de cada documento tipo</w:t>
      </w:r>
      <w:r w:rsidR="00372475" w:rsidRPr="005C4DDA">
        <w:rPr>
          <w:rFonts w:ascii="Arial" w:hAnsi="Arial" w:cs="Arial"/>
          <w:sz w:val="22"/>
        </w:rPr>
        <w:t xml:space="preserve">, y si en consecuencia deben aplicarse o no </w:t>
      </w:r>
      <w:r>
        <w:rPr>
          <w:rFonts w:ascii="Arial" w:hAnsi="Arial" w:cs="Arial"/>
          <w:sz w:val="22"/>
        </w:rPr>
        <w:t>determinados documentos tipo</w:t>
      </w:r>
      <w:r w:rsidR="00372475" w:rsidRPr="005C4DDA">
        <w:rPr>
          <w:rFonts w:ascii="Arial" w:hAnsi="Arial" w:cs="Arial"/>
          <w:sz w:val="22"/>
        </w:rPr>
        <w:t>,</w:t>
      </w:r>
      <w:r>
        <w:rPr>
          <w:rFonts w:ascii="Arial" w:hAnsi="Arial" w:cs="Arial"/>
          <w:sz w:val="22"/>
        </w:rPr>
        <w:t xml:space="preserve"> conforme a los parámetros indicados en este concepto,</w:t>
      </w:r>
      <w:r w:rsidR="00372475" w:rsidRPr="005C4DDA">
        <w:rPr>
          <w:rFonts w:ascii="Arial" w:hAnsi="Arial" w:cs="Arial"/>
          <w:sz w:val="22"/>
        </w:rPr>
        <w:t xml:space="preserve"> sin que pueda </w:t>
      </w:r>
      <w:r w:rsidR="00372475" w:rsidRPr="00584F4E">
        <w:rPr>
          <w:rFonts w:ascii="Arial" w:hAnsi="Arial" w:cs="Arial"/>
          <w:sz w:val="22"/>
        </w:rPr>
        <w:t>apartarse de</w:t>
      </w:r>
      <w:r w:rsidR="00372475" w:rsidRPr="005C4DDA">
        <w:rPr>
          <w:rFonts w:ascii="Arial" w:hAnsi="Arial" w:cs="Arial"/>
          <w:sz w:val="22"/>
        </w:rPr>
        <w:t xml:space="preserve"> su aplicación cuando materialmente el objeto a contratar corresponde con alguna actividad de contemplada en dicha matriz</w:t>
      </w:r>
      <w:r w:rsidR="00372475">
        <w:rPr>
          <w:rFonts w:ascii="Arial" w:hAnsi="Arial" w:cs="Arial"/>
          <w:sz w:val="22"/>
        </w:rPr>
        <w:t xml:space="preserve">. </w:t>
      </w:r>
    </w:p>
    <w:p w14:paraId="0881812C" w14:textId="77777777" w:rsidR="00E62A00" w:rsidRPr="00827918" w:rsidRDefault="00E62A00" w:rsidP="009305E3">
      <w:pPr>
        <w:spacing w:line="276" w:lineRule="auto"/>
        <w:jc w:val="both"/>
        <w:rPr>
          <w:rFonts w:ascii="Arial" w:hAnsi="Arial" w:cs="Arial"/>
          <w:color w:val="000000" w:themeColor="text1"/>
          <w:sz w:val="22"/>
        </w:rPr>
      </w:pPr>
    </w:p>
    <w:p w14:paraId="5071167E" w14:textId="77777777" w:rsidR="008A6AA1" w:rsidRPr="00827918" w:rsidRDefault="008A6AA1" w:rsidP="008A6AA1">
      <w:pPr>
        <w:tabs>
          <w:tab w:val="left" w:pos="0"/>
        </w:tabs>
        <w:jc w:val="both"/>
        <w:rPr>
          <w:rFonts w:ascii="Arial" w:eastAsia="Calibri" w:hAnsi="Arial" w:cs="Arial"/>
          <w:b/>
          <w:color w:val="000000" w:themeColor="text1"/>
          <w:sz w:val="22"/>
          <w:lang w:val="es-ES_tradnl"/>
        </w:rPr>
      </w:pPr>
      <w:r w:rsidRPr="00827918">
        <w:rPr>
          <w:rFonts w:ascii="Arial" w:eastAsia="Calibri" w:hAnsi="Arial" w:cs="Arial"/>
          <w:b/>
          <w:color w:val="000000" w:themeColor="text1"/>
          <w:sz w:val="22"/>
          <w:lang w:val="es-ES_tradnl"/>
        </w:rPr>
        <w:t>3. Respuestas</w:t>
      </w:r>
    </w:p>
    <w:p w14:paraId="1D78D111" w14:textId="77777777" w:rsidR="008A6AA1" w:rsidRPr="00827918" w:rsidRDefault="008A6AA1" w:rsidP="008A6AA1">
      <w:pPr>
        <w:tabs>
          <w:tab w:val="left" w:pos="0"/>
        </w:tabs>
        <w:jc w:val="both"/>
        <w:rPr>
          <w:rFonts w:ascii="Arial" w:eastAsia="Calibri" w:hAnsi="Arial" w:cs="Arial"/>
          <w:color w:val="000000" w:themeColor="text1"/>
          <w:sz w:val="22"/>
          <w:lang w:val="es-ES_tradnl"/>
        </w:rPr>
      </w:pPr>
    </w:p>
    <w:p w14:paraId="36D51AA8" w14:textId="77777777" w:rsidR="009335A2" w:rsidRDefault="007830B9" w:rsidP="00390C47">
      <w:pPr>
        <w:spacing w:before="120" w:line="276" w:lineRule="auto"/>
        <w:ind w:left="709" w:right="709"/>
        <w:jc w:val="both"/>
        <w:rPr>
          <w:rFonts w:ascii="Arial" w:hAnsi="Arial" w:cs="Arial"/>
          <w:color w:val="000000" w:themeColor="text1"/>
          <w:sz w:val="21"/>
          <w:szCs w:val="21"/>
          <w:lang w:val="es-ES_tradnl"/>
        </w:rPr>
      </w:pPr>
      <w:r w:rsidRPr="007830B9">
        <w:rPr>
          <w:rFonts w:ascii="Arial" w:hAnsi="Arial" w:cs="Arial"/>
          <w:color w:val="000000" w:themeColor="text1"/>
          <w:sz w:val="21"/>
          <w:szCs w:val="21"/>
          <w:lang w:val="es-ES_tradnl"/>
        </w:rPr>
        <w:lastRenderedPageBreak/>
        <w:t xml:space="preserve">«i) Colombia Compra Eficiente tiene publicados los proyectos de pliegos tipo para adelantar la contratación de estudios y diseños de infraestructura vial de transporte y estos se encuentran en observaciones hasta el día 11 de junio de 2021. Así las cosas, se consulta si la </w:t>
      </w:r>
      <w:r w:rsidR="009335A2">
        <w:rPr>
          <w:rFonts w:ascii="Arial" w:hAnsi="Arial" w:cs="Arial"/>
          <w:color w:val="000000" w:themeColor="text1"/>
          <w:sz w:val="21"/>
          <w:szCs w:val="21"/>
          <w:lang w:val="es-ES_tradnl"/>
        </w:rPr>
        <w:t>Secretaria Distrital de Habitat</w:t>
      </w:r>
      <w:r w:rsidRPr="007830B9">
        <w:rPr>
          <w:rFonts w:ascii="Arial" w:hAnsi="Arial" w:cs="Arial"/>
          <w:color w:val="000000" w:themeColor="text1"/>
          <w:sz w:val="21"/>
          <w:szCs w:val="21"/>
          <w:lang w:val="es-ES_tradnl"/>
        </w:rPr>
        <w:t xml:space="preserve"> debe tomar los proyectos de pliegos tipo publicados para adelantar la contratación requerida para la consultoría de estudios y diseños y de su i</w:t>
      </w:r>
      <w:r w:rsidR="009335A2">
        <w:rPr>
          <w:rFonts w:ascii="Arial" w:hAnsi="Arial" w:cs="Arial"/>
          <w:color w:val="000000" w:themeColor="text1"/>
          <w:sz w:val="21"/>
          <w:szCs w:val="21"/>
          <w:lang w:val="es-ES_tradnl"/>
        </w:rPr>
        <w:t>nterventoría, antes mencionadas.</w:t>
      </w:r>
      <w:r w:rsidRPr="007830B9">
        <w:rPr>
          <w:rFonts w:ascii="Arial" w:hAnsi="Arial" w:cs="Arial"/>
          <w:color w:val="000000" w:themeColor="text1"/>
          <w:sz w:val="21"/>
          <w:szCs w:val="21"/>
          <w:lang w:val="es-ES_tradnl"/>
        </w:rPr>
        <w:t xml:space="preserve"> </w:t>
      </w:r>
    </w:p>
    <w:p w14:paraId="1E1CB47D" w14:textId="54BD114F" w:rsidR="00390C47" w:rsidRDefault="007830B9" w:rsidP="00390C47">
      <w:pPr>
        <w:spacing w:before="120" w:line="276" w:lineRule="auto"/>
        <w:ind w:left="709" w:right="709"/>
        <w:jc w:val="both"/>
        <w:rPr>
          <w:rFonts w:ascii="Arial" w:hAnsi="Arial" w:cs="Arial"/>
          <w:color w:val="000000" w:themeColor="text1"/>
          <w:sz w:val="21"/>
          <w:szCs w:val="21"/>
          <w:lang w:val="es-ES_tradnl"/>
        </w:rPr>
      </w:pPr>
      <w:r w:rsidRPr="007830B9">
        <w:rPr>
          <w:rFonts w:ascii="Arial" w:hAnsi="Arial" w:cs="Arial"/>
          <w:color w:val="000000" w:themeColor="text1"/>
          <w:sz w:val="21"/>
          <w:szCs w:val="21"/>
          <w:lang w:val="es-ES_tradnl"/>
        </w:rPr>
        <w:t>ii) En caso de no considerar aplicables los proyectos de pliegos tipo para estas contrataciones programadas por la</w:t>
      </w:r>
      <w:r w:rsidR="009335A2">
        <w:rPr>
          <w:rFonts w:ascii="Arial" w:hAnsi="Arial" w:cs="Arial"/>
          <w:color w:val="000000" w:themeColor="text1"/>
          <w:sz w:val="21"/>
          <w:szCs w:val="21"/>
          <w:lang w:val="es-ES_tradnl"/>
        </w:rPr>
        <w:t xml:space="preserve"> Secretaria Distrital de Habitat</w:t>
      </w:r>
      <w:r w:rsidRPr="007830B9">
        <w:rPr>
          <w:rFonts w:ascii="Arial" w:hAnsi="Arial" w:cs="Arial"/>
          <w:color w:val="000000" w:themeColor="text1"/>
          <w:sz w:val="21"/>
          <w:szCs w:val="21"/>
          <w:lang w:val="es-ES_tradnl"/>
        </w:rPr>
        <w:t>, se consulta la pertinencia de dar aplicación a los pliegos que maneja la Secretaria Distrital de Hábitat o como una tercera opción manejar los pliegos tipo de obra de infraestructura vial de transporte en los términos señalados en el artículo 2.2.1.2.6.3.5 del Decreto 1082 de 2015 y el artículo 4 de las Resoluciones 240 y 241 de 2020, es decir, emplear los documentos tipo de obra de infraestructura de transporte vial pero eliminando la experiencia de obra incluyendo la experiencia de estudios y diseños que establezca la entidad Nuestra inquietud se genera en razón a la naturaleza de la contratación y si es pertinente o no trabajar sobre pliegos tipo ya existentes o sobre pliegos que viene manejando la entidad para otro tipo de consultorías diferentes a infraestructura vial»</w:t>
      </w:r>
      <w:r w:rsidR="00FD5FFF">
        <w:rPr>
          <w:rFonts w:ascii="Arial" w:hAnsi="Arial" w:cs="Arial"/>
          <w:color w:val="000000" w:themeColor="text1"/>
          <w:sz w:val="21"/>
          <w:szCs w:val="21"/>
          <w:lang w:val="es-ES_tradnl"/>
        </w:rPr>
        <w:t>.</w:t>
      </w:r>
    </w:p>
    <w:p w14:paraId="429D9249" w14:textId="77777777" w:rsidR="00FD5FFF" w:rsidRPr="00827918" w:rsidRDefault="00FD5FFF" w:rsidP="00390C47">
      <w:pPr>
        <w:spacing w:before="120" w:line="276" w:lineRule="auto"/>
        <w:ind w:left="709" w:right="709"/>
        <w:jc w:val="both"/>
        <w:rPr>
          <w:rFonts w:ascii="Arial" w:eastAsia="Calibri" w:hAnsi="Arial" w:cs="Arial"/>
          <w:color w:val="000000" w:themeColor="text1"/>
          <w:sz w:val="22"/>
          <w:lang w:val="es-ES_tradnl"/>
        </w:rPr>
      </w:pPr>
    </w:p>
    <w:p w14:paraId="456A1E20" w14:textId="49E64546" w:rsidR="00FD5FFF" w:rsidRDefault="00FD5FFF" w:rsidP="0083419E">
      <w:pPr>
        <w:shd w:val="clear" w:color="auto" w:fill="FFFFFF"/>
        <w:spacing w:line="276" w:lineRule="auto"/>
        <w:jc w:val="both"/>
        <w:rPr>
          <w:rFonts w:ascii="Arial" w:eastAsia="Calibri" w:hAnsi="Arial" w:cs="Arial"/>
          <w:color w:val="000000" w:themeColor="text1"/>
          <w:sz w:val="22"/>
          <w:szCs w:val="22"/>
        </w:rPr>
      </w:pPr>
      <w:r>
        <w:rPr>
          <w:rFonts w:ascii="Arial" w:eastAsia="Calibri" w:hAnsi="Arial" w:cs="Arial"/>
          <w:color w:val="000000" w:themeColor="text1"/>
          <w:sz w:val="22"/>
          <w:szCs w:val="22"/>
        </w:rPr>
        <w:t xml:space="preserve">Los documentos tipo adoptados hasta este momento en materia de infraestructura son los señalados en el acápite 2.1 del presente concepto. En este sentido, cabe destacar, en relación con las preguntas del peticionario, que la Agencia Nacional de Contratación Pública – Colombia Compra Eficiente ya adoptó los documentos tipo de </w:t>
      </w:r>
      <w:r w:rsidRPr="00DF769A">
        <w:rPr>
          <w:rFonts w:ascii="Arial" w:eastAsia="Calibri" w:hAnsi="Arial" w:cs="Arial"/>
          <w:color w:val="000000" w:themeColor="text1"/>
          <w:sz w:val="22"/>
          <w:szCs w:val="22"/>
        </w:rPr>
        <w:t>concurso de</w:t>
      </w:r>
      <w:r>
        <w:rPr>
          <w:rFonts w:ascii="Arial" w:eastAsia="Calibri" w:hAnsi="Arial" w:cs="Arial"/>
          <w:color w:val="000000" w:themeColor="text1"/>
          <w:sz w:val="22"/>
          <w:szCs w:val="22"/>
        </w:rPr>
        <w:t xml:space="preserve"> </w:t>
      </w:r>
      <w:r w:rsidRPr="00DF769A">
        <w:rPr>
          <w:rFonts w:ascii="Arial" w:eastAsia="Calibri" w:hAnsi="Arial" w:cs="Arial"/>
          <w:color w:val="000000" w:themeColor="text1"/>
          <w:sz w:val="22"/>
          <w:szCs w:val="22"/>
        </w:rPr>
        <w:t>méritos, para contratar la consultoría de estudios de ingeniería de infraestruc</w:t>
      </w:r>
      <w:r>
        <w:rPr>
          <w:rFonts w:ascii="Arial" w:eastAsia="Calibri" w:hAnsi="Arial" w:cs="Arial"/>
          <w:color w:val="000000" w:themeColor="text1"/>
          <w:sz w:val="22"/>
          <w:szCs w:val="22"/>
        </w:rPr>
        <w:t>t</w:t>
      </w:r>
      <w:r w:rsidRPr="00DF769A">
        <w:rPr>
          <w:rFonts w:ascii="Arial" w:eastAsia="Calibri" w:hAnsi="Arial" w:cs="Arial"/>
          <w:color w:val="000000" w:themeColor="text1"/>
          <w:sz w:val="22"/>
          <w:szCs w:val="22"/>
        </w:rPr>
        <w:t>ura de transpor</w:t>
      </w:r>
      <w:r>
        <w:rPr>
          <w:rFonts w:ascii="Arial" w:eastAsia="Calibri" w:hAnsi="Arial" w:cs="Arial"/>
          <w:color w:val="000000" w:themeColor="text1"/>
          <w:sz w:val="22"/>
          <w:szCs w:val="22"/>
        </w:rPr>
        <w:t>t</w:t>
      </w:r>
      <w:r w:rsidRPr="00DF769A">
        <w:rPr>
          <w:rFonts w:ascii="Arial" w:eastAsia="Calibri" w:hAnsi="Arial" w:cs="Arial"/>
          <w:color w:val="000000" w:themeColor="text1"/>
          <w:sz w:val="22"/>
          <w:szCs w:val="22"/>
        </w:rPr>
        <w:t>e</w:t>
      </w:r>
      <w:r>
        <w:rPr>
          <w:rFonts w:ascii="Arial" w:eastAsia="Calibri" w:hAnsi="Arial" w:cs="Arial"/>
          <w:color w:val="000000" w:themeColor="text1"/>
          <w:sz w:val="22"/>
          <w:szCs w:val="22"/>
        </w:rPr>
        <w:t>, mediante la Resolución 193 del 14 de julio de 2021; sin embargo, estos documentos tipo solo serán obligatorios para los procesos de selección cuyo aviso de convocatoria se publique a partir del 9 de agosto de 2021, como se establece en la Resolución indicada. Lo anterior sin perjuicio de que las entidades estatales actualmente puedan utilizarlos facultativamente por considerarlos buenas prácticas contractuales; pues su aplicación obligatoria solo lo será en las condiciones indicadas.</w:t>
      </w:r>
    </w:p>
    <w:p w14:paraId="13129A61" w14:textId="23E00FF8" w:rsidR="00FD5FFF" w:rsidRPr="00FD5FFF" w:rsidRDefault="00FD5FFF" w:rsidP="00FD5FFF">
      <w:pPr>
        <w:shd w:val="clear" w:color="auto" w:fill="FFFFFF"/>
        <w:spacing w:before="120" w:line="276" w:lineRule="auto"/>
        <w:ind w:firstLine="708"/>
        <w:jc w:val="both"/>
        <w:rPr>
          <w:rFonts w:ascii="Arial" w:eastAsia="Calibri" w:hAnsi="Arial" w:cs="Arial"/>
          <w:color w:val="000000" w:themeColor="text1"/>
          <w:sz w:val="22"/>
          <w:szCs w:val="22"/>
        </w:rPr>
      </w:pPr>
      <w:r>
        <w:rPr>
          <w:rFonts w:ascii="Arial" w:eastAsia="Calibri" w:hAnsi="Arial" w:cs="Arial"/>
          <w:color w:val="000000" w:themeColor="text1"/>
          <w:sz w:val="22"/>
          <w:szCs w:val="22"/>
        </w:rPr>
        <w:t>También vale la pena aclarar que esta Agencia ya adoptó los d</w:t>
      </w:r>
      <w:r w:rsidRPr="00E87C06">
        <w:rPr>
          <w:rFonts w:ascii="Arial" w:eastAsia="Calibri" w:hAnsi="Arial" w:cs="Arial"/>
          <w:color w:val="000000" w:themeColor="text1"/>
          <w:sz w:val="22"/>
          <w:szCs w:val="22"/>
        </w:rPr>
        <w:t xml:space="preserve">ocumentos tipo para procesos de concurso de méritos para contratar la </w:t>
      </w:r>
      <w:r w:rsidRPr="00E87C06">
        <w:rPr>
          <w:rFonts w:ascii="Arial" w:eastAsia="Calibri" w:hAnsi="Arial" w:cs="Arial"/>
          <w:i/>
          <w:iCs/>
          <w:color w:val="000000" w:themeColor="text1"/>
          <w:sz w:val="22"/>
          <w:szCs w:val="22"/>
        </w:rPr>
        <w:t>interventoría de obras públicas de infraestructura de transporte</w:t>
      </w:r>
      <w:r w:rsidRPr="00E87C06">
        <w:rPr>
          <w:rFonts w:ascii="Arial" w:eastAsia="Calibri" w:hAnsi="Arial" w:cs="Arial"/>
          <w:color w:val="000000" w:themeColor="text1"/>
          <w:sz w:val="22"/>
          <w:szCs w:val="22"/>
        </w:rPr>
        <w:t>, obligatorios para los procesos cuyo aviso de convocatoria se haya publicado desde el 1 de enero de 2021.</w:t>
      </w:r>
      <w:r>
        <w:rPr>
          <w:rFonts w:ascii="Arial" w:eastAsia="Calibri" w:hAnsi="Arial" w:cs="Arial"/>
          <w:color w:val="000000" w:themeColor="text1"/>
          <w:sz w:val="22"/>
          <w:szCs w:val="22"/>
        </w:rPr>
        <w:t xml:space="preserve"> Sin embargo, estos documentos tipo son obligatorios para la vigilancia de los contratos de obra indicados en la Matriz 1 – Experiencia de estos documentos tipo. Lo anterior implica que estos no aplican para contratar la interventoría a los contratos de consultoría de estudios y diseños, es decir, actualmente no se han expedido documentos tipo para la interventoría a contratos de </w:t>
      </w:r>
      <w:r w:rsidRPr="00DF769A">
        <w:rPr>
          <w:rFonts w:ascii="Arial" w:eastAsia="Calibri" w:hAnsi="Arial" w:cs="Arial"/>
          <w:color w:val="000000" w:themeColor="text1"/>
          <w:sz w:val="22"/>
          <w:szCs w:val="22"/>
        </w:rPr>
        <w:t>consultoría de estudios de ingeniería de infraestruc</w:t>
      </w:r>
      <w:r>
        <w:rPr>
          <w:rFonts w:ascii="Arial" w:eastAsia="Calibri" w:hAnsi="Arial" w:cs="Arial"/>
          <w:color w:val="000000" w:themeColor="text1"/>
          <w:sz w:val="22"/>
          <w:szCs w:val="22"/>
        </w:rPr>
        <w:t>t</w:t>
      </w:r>
      <w:r w:rsidRPr="00DF769A">
        <w:rPr>
          <w:rFonts w:ascii="Arial" w:eastAsia="Calibri" w:hAnsi="Arial" w:cs="Arial"/>
          <w:color w:val="000000" w:themeColor="text1"/>
          <w:sz w:val="22"/>
          <w:szCs w:val="22"/>
        </w:rPr>
        <w:t>ura de transpor</w:t>
      </w:r>
      <w:r>
        <w:rPr>
          <w:rFonts w:ascii="Arial" w:eastAsia="Calibri" w:hAnsi="Arial" w:cs="Arial"/>
          <w:color w:val="000000" w:themeColor="text1"/>
          <w:sz w:val="22"/>
          <w:szCs w:val="22"/>
        </w:rPr>
        <w:t>t</w:t>
      </w:r>
      <w:r w:rsidRPr="00DF769A">
        <w:rPr>
          <w:rFonts w:ascii="Arial" w:eastAsia="Calibri" w:hAnsi="Arial" w:cs="Arial"/>
          <w:color w:val="000000" w:themeColor="text1"/>
          <w:sz w:val="22"/>
          <w:szCs w:val="22"/>
        </w:rPr>
        <w:t>e</w:t>
      </w:r>
      <w:r>
        <w:rPr>
          <w:rFonts w:ascii="Arial" w:eastAsia="Calibri" w:hAnsi="Arial" w:cs="Arial"/>
          <w:color w:val="000000" w:themeColor="text1"/>
          <w:sz w:val="22"/>
          <w:szCs w:val="22"/>
        </w:rPr>
        <w:t xml:space="preserve">. Sin perjuicio de lo anterior, en los </w:t>
      </w:r>
      <w:r>
        <w:rPr>
          <w:rFonts w:ascii="Arial" w:eastAsia="Calibri" w:hAnsi="Arial" w:cs="Arial"/>
          <w:color w:val="000000" w:themeColor="text1"/>
          <w:sz w:val="22"/>
          <w:szCs w:val="22"/>
        </w:rPr>
        <w:lastRenderedPageBreak/>
        <w:t xml:space="preserve">casos en que no exista un documento tipo que aplique a determinado proyecto en particular, como, por ejemplo, los indicados, las entidades estatales podrían partir de la regulación establecida en los documentos tipo, por ejemplo, el de concurso de méritos para </w:t>
      </w:r>
      <w:r w:rsidRPr="00E87C06">
        <w:rPr>
          <w:rFonts w:ascii="Arial" w:eastAsia="Calibri" w:hAnsi="Arial" w:cs="Arial"/>
          <w:color w:val="000000" w:themeColor="text1"/>
          <w:sz w:val="22"/>
          <w:szCs w:val="22"/>
        </w:rPr>
        <w:t xml:space="preserve">contratar la </w:t>
      </w:r>
      <w:r w:rsidRPr="0083419E">
        <w:rPr>
          <w:rFonts w:ascii="Arial" w:eastAsia="Calibri" w:hAnsi="Arial" w:cs="Arial"/>
          <w:color w:val="000000" w:themeColor="text1"/>
          <w:sz w:val="22"/>
          <w:szCs w:val="22"/>
        </w:rPr>
        <w:t>interventoría de obras públicas de infraestructura de transporte</w:t>
      </w:r>
      <w:r>
        <w:rPr>
          <w:rFonts w:ascii="Arial" w:eastAsia="Calibri" w:hAnsi="Arial" w:cs="Arial"/>
          <w:color w:val="000000" w:themeColor="text1"/>
          <w:sz w:val="22"/>
          <w:szCs w:val="22"/>
        </w:rPr>
        <w:t xml:space="preserve"> y adaptarlos en todos los contenidos que considere conveniente la entidad, pues en dichos casos no aplicaría </w:t>
      </w:r>
      <w:r w:rsidR="00210214">
        <w:rPr>
          <w:rFonts w:ascii="Arial" w:eastAsia="Calibri" w:hAnsi="Arial" w:cs="Arial"/>
          <w:color w:val="000000" w:themeColor="text1"/>
          <w:sz w:val="22"/>
          <w:szCs w:val="22"/>
        </w:rPr>
        <w:t>forzosamente</w:t>
      </w:r>
      <w:r>
        <w:rPr>
          <w:rFonts w:ascii="Arial" w:eastAsia="Calibri" w:hAnsi="Arial" w:cs="Arial"/>
          <w:color w:val="000000" w:themeColor="text1"/>
          <w:sz w:val="22"/>
          <w:szCs w:val="22"/>
        </w:rPr>
        <w:t xml:space="preserve"> el documento tipo, por no haberse expedido uno que aplique obligatoriamente.</w:t>
      </w:r>
    </w:p>
    <w:p w14:paraId="4BB92C2B" w14:textId="1F3BD715" w:rsidR="00FD5FFF" w:rsidRDefault="00FD5FFF" w:rsidP="00FD5FFF">
      <w:pPr>
        <w:shd w:val="clear" w:color="auto" w:fill="FFFFFF"/>
        <w:spacing w:before="120" w:line="276" w:lineRule="auto"/>
        <w:ind w:firstLine="708"/>
        <w:jc w:val="both"/>
        <w:rPr>
          <w:rFonts w:ascii="Arial" w:hAnsi="Arial" w:cs="Arial"/>
          <w:color w:val="0D0D0D"/>
          <w:sz w:val="22"/>
          <w:bdr w:val="none" w:sz="0" w:space="0" w:color="auto" w:frame="1"/>
          <w:lang w:eastAsia="es-CO"/>
        </w:rPr>
      </w:pPr>
      <w:r>
        <w:rPr>
          <w:rFonts w:ascii="Arial" w:eastAsia="Calibri" w:hAnsi="Arial" w:cs="Arial"/>
          <w:color w:val="000000" w:themeColor="text1"/>
          <w:sz w:val="22"/>
          <w:szCs w:val="22"/>
        </w:rPr>
        <w:t>Sin perjuicio de las aclaraciones anteriores</w:t>
      </w:r>
      <w:r w:rsidRPr="005C4DDA">
        <w:rPr>
          <w:rFonts w:ascii="Arial" w:hAnsi="Arial" w:cs="Arial"/>
          <w:sz w:val="22"/>
        </w:rPr>
        <w:t xml:space="preserve">, debe advertirse que es la entidad contratante, al momento de </w:t>
      </w:r>
      <w:r>
        <w:rPr>
          <w:rFonts w:ascii="Arial" w:hAnsi="Arial" w:cs="Arial"/>
          <w:sz w:val="22"/>
        </w:rPr>
        <w:t>adelantar sus actividades de planeación de cada proceso contractual</w:t>
      </w:r>
      <w:r w:rsidRPr="005C4DDA">
        <w:rPr>
          <w:rFonts w:ascii="Arial" w:hAnsi="Arial" w:cs="Arial"/>
          <w:sz w:val="22"/>
        </w:rPr>
        <w:t xml:space="preserve">, quien debe determinar si de acuerdo con las particularidades del </w:t>
      </w:r>
      <w:r>
        <w:rPr>
          <w:rFonts w:ascii="Arial" w:hAnsi="Arial" w:cs="Arial"/>
          <w:sz w:val="22"/>
        </w:rPr>
        <w:t>contrato a ejecutar</w:t>
      </w:r>
      <w:r w:rsidRPr="005C4DDA">
        <w:rPr>
          <w:rFonts w:ascii="Arial" w:hAnsi="Arial" w:cs="Arial"/>
          <w:sz w:val="22"/>
        </w:rPr>
        <w:t>, este encaja o no dentro de alguna de las actividades de la Matriz 1</w:t>
      </w:r>
      <w:r>
        <w:rPr>
          <w:rFonts w:ascii="Arial" w:hAnsi="Arial" w:cs="Arial"/>
          <w:sz w:val="22"/>
        </w:rPr>
        <w:t xml:space="preserve"> de cada documento tipo</w:t>
      </w:r>
      <w:r w:rsidRPr="005C4DDA">
        <w:rPr>
          <w:rFonts w:ascii="Arial" w:hAnsi="Arial" w:cs="Arial"/>
          <w:sz w:val="22"/>
        </w:rPr>
        <w:t xml:space="preserve">, y si en consecuencia deben aplicarse o no </w:t>
      </w:r>
      <w:r>
        <w:rPr>
          <w:rFonts w:ascii="Arial" w:hAnsi="Arial" w:cs="Arial"/>
          <w:sz w:val="22"/>
        </w:rPr>
        <w:t>determinados documentos tipo</w:t>
      </w:r>
      <w:r w:rsidRPr="005C4DDA">
        <w:rPr>
          <w:rFonts w:ascii="Arial" w:hAnsi="Arial" w:cs="Arial"/>
          <w:sz w:val="22"/>
        </w:rPr>
        <w:t>,</w:t>
      </w:r>
      <w:r>
        <w:rPr>
          <w:rFonts w:ascii="Arial" w:hAnsi="Arial" w:cs="Arial"/>
          <w:sz w:val="22"/>
        </w:rPr>
        <w:t xml:space="preserve"> conforme a los parámetros indicados en este concepto,</w:t>
      </w:r>
      <w:r w:rsidRPr="005C4DDA">
        <w:rPr>
          <w:rFonts w:ascii="Arial" w:hAnsi="Arial" w:cs="Arial"/>
          <w:sz w:val="22"/>
        </w:rPr>
        <w:t xml:space="preserve"> sin que pueda </w:t>
      </w:r>
      <w:r w:rsidRPr="00584F4E">
        <w:rPr>
          <w:rFonts w:ascii="Arial" w:hAnsi="Arial" w:cs="Arial"/>
          <w:sz w:val="22"/>
        </w:rPr>
        <w:t>apartarse de</w:t>
      </w:r>
      <w:r w:rsidRPr="005C4DDA">
        <w:rPr>
          <w:rFonts w:ascii="Arial" w:hAnsi="Arial" w:cs="Arial"/>
          <w:sz w:val="22"/>
        </w:rPr>
        <w:t xml:space="preserve"> su aplicación cuando materialmente el objeto a contratar corresponde con alguna actividad contemplada en dicha matriz</w:t>
      </w:r>
      <w:r>
        <w:rPr>
          <w:rFonts w:ascii="Arial" w:hAnsi="Arial" w:cs="Arial"/>
          <w:sz w:val="22"/>
        </w:rPr>
        <w:t>. Lo anterior</w:t>
      </w:r>
      <w:r w:rsidR="00210214">
        <w:rPr>
          <w:rFonts w:ascii="Arial" w:hAnsi="Arial" w:cs="Arial"/>
          <w:sz w:val="22"/>
        </w:rPr>
        <w:t xml:space="preserve">, se reitera, </w:t>
      </w:r>
      <w:r>
        <w:rPr>
          <w:rFonts w:ascii="Arial" w:hAnsi="Arial" w:cs="Arial"/>
          <w:sz w:val="22"/>
        </w:rPr>
        <w:t>sin perjuicio de que la entida</w:t>
      </w:r>
      <w:r w:rsidR="00210214">
        <w:rPr>
          <w:rFonts w:ascii="Arial" w:hAnsi="Arial" w:cs="Arial"/>
          <w:sz w:val="22"/>
        </w:rPr>
        <w:t>d pese a aun no estar obligada a aplicar determinado documento tipo decida utilizarlo facultativamente por considerar que contiene buenas prácticas contractuales o tomar algunos contenidos del mismo adaptándolos para aplicarlos a otros procesos donde no sean obligatorios, por considerarlos una regulación conveniente.</w:t>
      </w:r>
    </w:p>
    <w:p w14:paraId="6F7D0764" w14:textId="77777777" w:rsidR="00372475" w:rsidRDefault="00372475" w:rsidP="009335A2">
      <w:pPr>
        <w:shd w:val="clear" w:color="auto" w:fill="FFFFFF"/>
        <w:spacing w:before="120" w:line="276" w:lineRule="auto"/>
        <w:ind w:firstLine="708"/>
        <w:jc w:val="both"/>
        <w:rPr>
          <w:rFonts w:ascii="Arial" w:hAnsi="Arial" w:cs="Arial"/>
          <w:color w:val="0D0D0D"/>
          <w:sz w:val="22"/>
          <w:bdr w:val="none" w:sz="0" w:space="0" w:color="auto" w:frame="1"/>
          <w:lang w:eastAsia="es-CO"/>
        </w:rPr>
      </w:pPr>
    </w:p>
    <w:p w14:paraId="7B2C921D" w14:textId="5AFFCB70" w:rsidR="00DD5B04" w:rsidRPr="00827918" w:rsidRDefault="00DD5B04">
      <w:pPr>
        <w:spacing w:line="276" w:lineRule="auto"/>
        <w:jc w:val="both"/>
        <w:rPr>
          <w:rFonts w:ascii="Arial" w:hAnsi="Arial" w:cs="Arial"/>
          <w:color w:val="000000" w:themeColor="text1"/>
          <w:sz w:val="22"/>
          <w:lang w:val="es-ES_tradnl"/>
        </w:rPr>
      </w:pPr>
      <w:r w:rsidRPr="00827918">
        <w:rPr>
          <w:rFonts w:ascii="Arial" w:hAnsi="Arial" w:cs="Arial"/>
          <w:color w:val="000000" w:themeColor="text1"/>
          <w:sz w:val="22"/>
          <w:lang w:val="es-ES_tradnl"/>
        </w:rPr>
        <w:t>Este concepto tiene el alcance previsto en el artículo 28 del Código de Procedimiento Administrativo y de lo Contencioso Administrativo.</w:t>
      </w:r>
    </w:p>
    <w:p w14:paraId="77EE5912" w14:textId="77777777" w:rsidR="00DD5B04" w:rsidRPr="00827918"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0DDBEF2B" w14:textId="151B0829" w:rsidR="00DD5B04" w:rsidRPr="00827918"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sidRPr="00827918">
        <w:rPr>
          <w:rFonts w:ascii="Arial" w:hAnsi="Arial" w:cs="Arial"/>
          <w:color w:val="000000" w:themeColor="text1"/>
          <w:sz w:val="22"/>
          <w:szCs w:val="22"/>
          <w:lang w:val="es-ES_tradnl"/>
        </w:rPr>
        <w:t>Atentamente,</w:t>
      </w:r>
    </w:p>
    <w:p w14:paraId="4914DA25" w14:textId="77777777" w:rsidR="00A80849" w:rsidRPr="00827918" w:rsidRDefault="00A80849"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5CBAE239" w14:textId="714A35C0" w:rsidR="00425C43" w:rsidRPr="00827918" w:rsidRDefault="0083419E" w:rsidP="0083419E">
      <w:pPr>
        <w:pStyle w:val="NormalWeb"/>
        <w:spacing w:before="0" w:beforeAutospacing="0" w:after="0" w:afterAutospacing="0" w:line="276" w:lineRule="auto"/>
        <w:jc w:val="center"/>
        <w:rPr>
          <w:lang w:val="es-ES_tradnl"/>
        </w:rPr>
      </w:pPr>
      <w:r w:rsidRPr="00570FD2">
        <w:rPr>
          <w:rFonts w:ascii="Arial" w:hAnsi="Arial" w:cs="Arial"/>
          <w:noProof/>
          <w:color w:val="000000" w:themeColor="text1"/>
          <w:sz w:val="22"/>
        </w:rPr>
        <w:drawing>
          <wp:inline distT="0" distB="0" distL="0" distR="0" wp14:anchorId="46FD078D" wp14:editId="74178F5A">
            <wp:extent cx="2609850" cy="971550"/>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2">
                      <a:extLst>
                        <a:ext uri="{28A0092B-C50C-407E-A947-70E740481C1C}">
                          <a14:useLocalDpi xmlns:a14="http://schemas.microsoft.com/office/drawing/2010/main" val="0"/>
                        </a:ext>
                      </a:extLst>
                    </a:blip>
                    <a:stretch>
                      <a:fillRect/>
                    </a:stretch>
                  </pic:blipFill>
                  <pic:spPr>
                    <a:xfrm>
                      <a:off x="0" y="0"/>
                      <a:ext cx="2632399" cy="979944"/>
                    </a:xfrm>
                    <a:prstGeom prst="rect">
                      <a:avLst/>
                    </a:prstGeom>
                  </pic:spPr>
                </pic:pic>
              </a:graphicData>
            </a:graphic>
          </wp:inline>
        </w:drawing>
      </w:r>
    </w:p>
    <w:p w14:paraId="49730030" w14:textId="217D35F3" w:rsidR="00DD5B04" w:rsidRPr="00827918" w:rsidRDefault="00DD5B04" w:rsidP="00B37657">
      <w:pPr>
        <w:jc w:val="center"/>
        <w:rPr>
          <w:rFonts w:ascii="Arial" w:hAnsi="Arial" w:cs="Arial"/>
          <w:color w:val="000000" w:themeColor="text1"/>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D5B04" w:rsidRPr="00827918" w14:paraId="0C7DC5F7" w14:textId="77777777" w:rsidTr="008F4163">
        <w:trPr>
          <w:trHeight w:val="315"/>
        </w:trPr>
        <w:tc>
          <w:tcPr>
            <w:tcW w:w="812" w:type="dxa"/>
            <w:vAlign w:val="center"/>
            <w:hideMark/>
          </w:tcPr>
          <w:p w14:paraId="5BDB1AC9" w14:textId="77777777" w:rsidR="00DD5B04" w:rsidRPr="00827918" w:rsidRDefault="00DD5B04" w:rsidP="00DF76A2">
            <w:pPr>
              <w:jc w:val="both"/>
              <w:rPr>
                <w:rFonts w:ascii="Arial" w:hAnsi="Arial" w:cs="Arial"/>
                <w:color w:val="000000" w:themeColor="text1"/>
                <w:sz w:val="16"/>
                <w:szCs w:val="16"/>
                <w:lang w:val="es-ES_tradnl" w:eastAsia="es-ES"/>
              </w:rPr>
            </w:pPr>
            <w:r w:rsidRPr="00827918">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F9F79B1" w14:textId="2ABD2031" w:rsidR="00DD5B04" w:rsidRPr="00827918" w:rsidRDefault="005E38E9" w:rsidP="00DF76A2">
            <w:pPr>
              <w:jc w:val="both"/>
              <w:rPr>
                <w:rFonts w:ascii="Arial" w:hAnsi="Arial" w:cs="Arial"/>
                <w:color w:val="000000" w:themeColor="text1"/>
                <w:sz w:val="16"/>
                <w:szCs w:val="16"/>
                <w:lang w:val="es-ES_tradnl" w:eastAsia="es-ES"/>
              </w:rPr>
            </w:pPr>
            <w:r w:rsidRPr="00827918">
              <w:rPr>
                <w:rFonts w:ascii="Arial" w:hAnsi="Arial" w:cs="Arial"/>
                <w:color w:val="000000" w:themeColor="text1"/>
                <w:sz w:val="16"/>
                <w:szCs w:val="16"/>
                <w:lang w:val="es-ES_tradnl" w:eastAsia="es-ES"/>
              </w:rPr>
              <w:t xml:space="preserve">Nina María Padrón Ballestas </w:t>
            </w:r>
          </w:p>
          <w:p w14:paraId="240C71FD" w14:textId="31312C95" w:rsidR="00DD5B04" w:rsidRPr="00827918" w:rsidRDefault="00DD5B04" w:rsidP="00DF76A2">
            <w:pPr>
              <w:jc w:val="both"/>
              <w:rPr>
                <w:rFonts w:ascii="Arial" w:hAnsi="Arial" w:cs="Arial"/>
                <w:color w:val="000000" w:themeColor="text1"/>
                <w:sz w:val="16"/>
                <w:szCs w:val="16"/>
                <w:lang w:val="es-ES_tradnl" w:eastAsia="es-ES"/>
              </w:rPr>
            </w:pPr>
            <w:r w:rsidRPr="00827918">
              <w:rPr>
                <w:rFonts w:ascii="Arial" w:hAnsi="Arial" w:cs="Arial"/>
                <w:color w:val="000000" w:themeColor="text1"/>
                <w:sz w:val="16"/>
                <w:szCs w:val="16"/>
                <w:lang w:val="es-ES_tradnl" w:eastAsia="es-ES"/>
              </w:rPr>
              <w:t>Contratista</w:t>
            </w:r>
            <w:r w:rsidR="00FF0050" w:rsidRPr="00827918">
              <w:rPr>
                <w:rFonts w:ascii="Arial" w:hAnsi="Arial" w:cs="Arial"/>
                <w:color w:val="000000" w:themeColor="text1"/>
                <w:sz w:val="16"/>
                <w:szCs w:val="16"/>
                <w:lang w:val="es-ES_tradnl" w:eastAsia="es-ES"/>
              </w:rPr>
              <w:t xml:space="preserve"> de la </w:t>
            </w:r>
            <w:r w:rsidRPr="00827918">
              <w:rPr>
                <w:rFonts w:ascii="Arial" w:hAnsi="Arial" w:cs="Arial"/>
                <w:color w:val="000000" w:themeColor="text1"/>
                <w:sz w:val="16"/>
                <w:szCs w:val="16"/>
                <w:lang w:val="es-ES_tradnl" w:eastAsia="es-ES"/>
              </w:rPr>
              <w:t>Subdirección de Gestión Contractual</w:t>
            </w:r>
          </w:p>
        </w:tc>
      </w:tr>
      <w:tr w:rsidR="00DD5B04" w:rsidRPr="00827918" w14:paraId="2F8FD650" w14:textId="77777777" w:rsidTr="008F4163">
        <w:trPr>
          <w:trHeight w:val="330"/>
        </w:trPr>
        <w:tc>
          <w:tcPr>
            <w:tcW w:w="812" w:type="dxa"/>
            <w:vAlign w:val="center"/>
            <w:hideMark/>
          </w:tcPr>
          <w:p w14:paraId="50203A0B" w14:textId="77777777" w:rsidR="00DD5B04" w:rsidRPr="00827918" w:rsidRDefault="00DD5B04" w:rsidP="00DF76A2">
            <w:pPr>
              <w:jc w:val="both"/>
              <w:rPr>
                <w:rFonts w:ascii="Arial" w:hAnsi="Arial" w:cs="Arial"/>
                <w:color w:val="000000" w:themeColor="text1"/>
                <w:sz w:val="16"/>
                <w:szCs w:val="16"/>
                <w:lang w:val="es-ES_tradnl" w:eastAsia="es-ES"/>
              </w:rPr>
            </w:pPr>
            <w:r w:rsidRPr="00827918">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72312DC" w14:textId="4631CC86" w:rsidR="008623A7" w:rsidRPr="00827918" w:rsidRDefault="000E4D70" w:rsidP="008623A7">
            <w:pPr>
              <w:jc w:val="both"/>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Sebastián</w:t>
            </w:r>
            <w:r w:rsidR="009335A2">
              <w:rPr>
                <w:rFonts w:ascii="Arial" w:hAnsi="Arial" w:cs="Arial"/>
                <w:color w:val="000000" w:themeColor="text1"/>
                <w:sz w:val="16"/>
                <w:szCs w:val="16"/>
                <w:lang w:val="es-ES_tradnl" w:eastAsia="es-ES"/>
              </w:rPr>
              <w:t xml:space="preserve"> </w:t>
            </w:r>
            <w:r>
              <w:rPr>
                <w:rFonts w:ascii="Arial" w:hAnsi="Arial" w:cs="Arial"/>
                <w:color w:val="000000" w:themeColor="text1"/>
                <w:sz w:val="16"/>
                <w:szCs w:val="16"/>
                <w:lang w:val="es-ES_tradnl" w:eastAsia="es-ES"/>
              </w:rPr>
              <w:t>Ramírez</w:t>
            </w:r>
            <w:r w:rsidR="009335A2">
              <w:rPr>
                <w:rFonts w:ascii="Arial" w:hAnsi="Arial" w:cs="Arial"/>
                <w:color w:val="000000" w:themeColor="text1"/>
                <w:sz w:val="16"/>
                <w:szCs w:val="16"/>
                <w:lang w:val="es-ES_tradnl" w:eastAsia="es-ES"/>
              </w:rPr>
              <w:t xml:space="preserve"> Grisales</w:t>
            </w:r>
          </w:p>
          <w:p w14:paraId="130B3228" w14:textId="7A834F20" w:rsidR="002B08BA" w:rsidRPr="00827918" w:rsidRDefault="005E38E9" w:rsidP="00C05A61">
            <w:pPr>
              <w:jc w:val="both"/>
              <w:rPr>
                <w:rFonts w:ascii="Arial" w:hAnsi="Arial" w:cs="Arial"/>
                <w:color w:val="000000" w:themeColor="text1"/>
                <w:sz w:val="16"/>
                <w:szCs w:val="16"/>
                <w:lang w:val="es-ES_tradnl" w:eastAsia="es-ES"/>
              </w:rPr>
            </w:pPr>
            <w:r w:rsidRPr="00827918">
              <w:rPr>
                <w:rFonts w:ascii="Arial" w:hAnsi="Arial" w:cs="Arial"/>
                <w:color w:val="000000" w:themeColor="text1"/>
                <w:sz w:val="16"/>
                <w:szCs w:val="16"/>
                <w:lang w:val="es-ES_tradnl" w:eastAsia="es-ES"/>
              </w:rPr>
              <w:t>G</w:t>
            </w:r>
            <w:r w:rsidR="003D281F" w:rsidRPr="00827918">
              <w:rPr>
                <w:rFonts w:ascii="Arial" w:hAnsi="Arial" w:cs="Arial"/>
                <w:color w:val="000000" w:themeColor="text1"/>
                <w:sz w:val="16"/>
                <w:szCs w:val="16"/>
                <w:lang w:val="es-ES_tradnl" w:eastAsia="es-ES"/>
              </w:rPr>
              <w:t xml:space="preserve">estor </w:t>
            </w:r>
            <w:r w:rsidR="00015642" w:rsidRPr="00827918">
              <w:rPr>
                <w:rFonts w:ascii="Arial" w:hAnsi="Arial" w:cs="Arial"/>
                <w:color w:val="000000" w:themeColor="text1"/>
                <w:sz w:val="16"/>
                <w:szCs w:val="16"/>
                <w:lang w:val="es-ES_tradnl" w:eastAsia="es-ES"/>
              </w:rPr>
              <w:t>T1-</w:t>
            </w:r>
            <w:r w:rsidR="003D281F" w:rsidRPr="00827918">
              <w:rPr>
                <w:rFonts w:ascii="Arial" w:hAnsi="Arial" w:cs="Arial"/>
                <w:color w:val="000000" w:themeColor="text1"/>
                <w:sz w:val="16"/>
                <w:szCs w:val="16"/>
                <w:lang w:val="es-ES_tradnl" w:eastAsia="es-ES"/>
              </w:rPr>
              <w:t xml:space="preserve">15 </w:t>
            </w:r>
            <w:r w:rsidR="00015642" w:rsidRPr="00827918">
              <w:rPr>
                <w:rFonts w:ascii="Arial" w:hAnsi="Arial" w:cs="Arial"/>
                <w:color w:val="000000" w:themeColor="text1"/>
                <w:sz w:val="16"/>
                <w:szCs w:val="16"/>
                <w:lang w:val="es-ES_tradnl" w:eastAsia="es-ES"/>
              </w:rPr>
              <w:t xml:space="preserve">de la </w:t>
            </w:r>
            <w:r w:rsidR="003D281F" w:rsidRPr="00827918">
              <w:rPr>
                <w:rFonts w:ascii="Arial" w:hAnsi="Arial" w:cs="Arial"/>
                <w:color w:val="000000" w:themeColor="text1"/>
                <w:sz w:val="16"/>
                <w:szCs w:val="16"/>
                <w:lang w:val="es-ES_tradnl" w:eastAsia="es-ES"/>
              </w:rPr>
              <w:t xml:space="preserve">Subdirección de Gestión Contractual </w:t>
            </w:r>
            <w:r w:rsidR="00015642" w:rsidRPr="00827918">
              <w:rPr>
                <w:rFonts w:ascii="Arial" w:hAnsi="Arial" w:cs="Arial"/>
                <w:color w:val="000000" w:themeColor="text1"/>
                <w:sz w:val="16"/>
                <w:szCs w:val="16"/>
                <w:lang w:val="es-ES_tradnl" w:eastAsia="es-ES"/>
              </w:rPr>
              <w:t xml:space="preserve"> </w:t>
            </w:r>
          </w:p>
        </w:tc>
      </w:tr>
      <w:tr w:rsidR="00DD5B04" w:rsidRPr="005E4B72" w14:paraId="0FCBCA4A" w14:textId="77777777" w:rsidTr="008F4163">
        <w:trPr>
          <w:trHeight w:val="300"/>
        </w:trPr>
        <w:tc>
          <w:tcPr>
            <w:tcW w:w="812" w:type="dxa"/>
            <w:vAlign w:val="center"/>
            <w:hideMark/>
          </w:tcPr>
          <w:p w14:paraId="3C1D943A" w14:textId="29B4D648" w:rsidR="00DD5B04" w:rsidRPr="00827918" w:rsidRDefault="00DD5B04" w:rsidP="00DF76A2">
            <w:pPr>
              <w:jc w:val="both"/>
              <w:rPr>
                <w:rFonts w:ascii="Arial" w:hAnsi="Arial" w:cs="Arial"/>
                <w:color w:val="000000" w:themeColor="text1"/>
                <w:sz w:val="16"/>
                <w:szCs w:val="16"/>
                <w:lang w:val="es-ES_tradnl" w:eastAsia="es-ES"/>
              </w:rPr>
            </w:pPr>
            <w:r w:rsidRPr="00827918">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180A172" w14:textId="7E7E6045" w:rsidR="006A55EE" w:rsidRPr="00827918" w:rsidRDefault="00C05A61" w:rsidP="00DF76A2">
            <w:pPr>
              <w:jc w:val="both"/>
              <w:rPr>
                <w:rFonts w:ascii="Arial" w:hAnsi="Arial" w:cs="Arial"/>
                <w:color w:val="000000" w:themeColor="text1"/>
                <w:sz w:val="16"/>
                <w:szCs w:val="16"/>
                <w:lang w:val="es-ES_tradnl" w:eastAsia="es-ES"/>
              </w:rPr>
            </w:pPr>
            <w:r w:rsidRPr="00827918">
              <w:rPr>
                <w:rFonts w:ascii="Arial" w:hAnsi="Arial" w:cs="Arial"/>
                <w:color w:val="000000" w:themeColor="text1"/>
                <w:sz w:val="16"/>
                <w:szCs w:val="16"/>
                <w:lang w:val="es-ES_tradnl" w:eastAsia="es-ES"/>
              </w:rPr>
              <w:t xml:space="preserve">Jorge </w:t>
            </w:r>
            <w:r w:rsidR="00647A36" w:rsidRPr="00827918">
              <w:rPr>
                <w:rFonts w:ascii="Arial" w:hAnsi="Arial" w:cs="Arial"/>
                <w:color w:val="000000" w:themeColor="text1"/>
                <w:sz w:val="16"/>
                <w:szCs w:val="16"/>
                <w:lang w:val="es-ES_tradnl" w:eastAsia="es-ES"/>
              </w:rPr>
              <w:t xml:space="preserve">Augusto </w:t>
            </w:r>
            <w:r w:rsidRPr="00827918">
              <w:rPr>
                <w:rFonts w:ascii="Arial" w:hAnsi="Arial" w:cs="Arial"/>
                <w:color w:val="000000" w:themeColor="text1"/>
                <w:sz w:val="16"/>
                <w:szCs w:val="16"/>
                <w:lang w:val="es-ES_tradnl" w:eastAsia="es-ES"/>
              </w:rPr>
              <w:t>Tirado Navarro</w:t>
            </w:r>
          </w:p>
          <w:p w14:paraId="1ADC483B" w14:textId="384FAF72" w:rsidR="00DD5B04" w:rsidRPr="005E4B72" w:rsidRDefault="00DD5B04" w:rsidP="00DF76A2">
            <w:pPr>
              <w:jc w:val="both"/>
              <w:rPr>
                <w:rFonts w:ascii="Arial" w:hAnsi="Arial" w:cs="Arial"/>
                <w:color w:val="000000" w:themeColor="text1"/>
                <w:sz w:val="16"/>
                <w:szCs w:val="16"/>
                <w:lang w:val="es-ES_tradnl" w:eastAsia="es-ES"/>
              </w:rPr>
            </w:pPr>
            <w:r w:rsidRPr="00827918">
              <w:rPr>
                <w:rFonts w:ascii="Arial" w:hAnsi="Arial" w:cs="Arial"/>
                <w:color w:val="000000" w:themeColor="text1"/>
                <w:sz w:val="16"/>
                <w:szCs w:val="16"/>
                <w:lang w:val="es-ES_tradnl" w:eastAsia="es-ES"/>
              </w:rPr>
              <w:t>Subdirector de Gestión Contractual</w:t>
            </w:r>
            <w:r w:rsidR="003D369D" w:rsidRPr="00827918">
              <w:rPr>
                <w:rFonts w:ascii="Arial" w:hAnsi="Arial" w:cs="Arial"/>
                <w:color w:val="000000" w:themeColor="text1"/>
                <w:sz w:val="16"/>
                <w:szCs w:val="16"/>
                <w:lang w:val="es-ES_tradnl" w:eastAsia="es-ES"/>
              </w:rPr>
              <w:t xml:space="preserve"> ANCP – CCE</w:t>
            </w:r>
          </w:p>
        </w:tc>
      </w:tr>
    </w:tbl>
    <w:p w14:paraId="35B56F46" w14:textId="77777777" w:rsidR="00746E08" w:rsidRPr="005E4B72" w:rsidRDefault="00746E08" w:rsidP="00215B8E">
      <w:pPr>
        <w:jc w:val="both"/>
        <w:rPr>
          <w:rFonts w:ascii="Arial" w:hAnsi="Arial" w:cs="Arial"/>
          <w:lang w:val="es-ES_tradnl"/>
        </w:rPr>
      </w:pPr>
    </w:p>
    <w:sectPr w:rsidR="00746E08" w:rsidRPr="005E4B72"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AD16F9" w16cex:dateUtc="2021-07-29T17:00:00Z"/>
  <w16cex:commentExtensible w16cex:durableId="24AD172C" w16cex:dateUtc="2021-07-29T17:01:00Z"/>
  <w16cex:commentExtensible w16cex:durableId="24ACFBE1" w16cex:dateUtc="2021-07-29T15:0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5F96471" w16cid:durableId="24AD16F9"/>
  <w16cid:commentId w16cid:paraId="40BABB8F" w16cid:durableId="24AD172C"/>
  <w16cid:commentId w16cid:paraId="108D1FFE" w16cid:durableId="24ACFBE1"/>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D602D6E" w14:textId="77777777" w:rsidR="00B567EC" w:rsidRDefault="00B567EC">
      <w:r>
        <w:separator/>
      </w:r>
    </w:p>
  </w:endnote>
  <w:endnote w:type="continuationSeparator" w:id="0">
    <w:p w14:paraId="269AA436" w14:textId="77777777" w:rsidR="00B567EC" w:rsidRDefault="00B567EC">
      <w:r>
        <w:continuationSeparator/>
      </w:r>
    </w:p>
  </w:endnote>
  <w:endnote w:type="continuationNotice" w:id="1">
    <w:p w14:paraId="62C83924" w14:textId="77777777" w:rsidR="00B567EC" w:rsidRDefault="00B567E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F02A34" w14:textId="77777777" w:rsidR="009C48C9" w:rsidRDefault="009C48C9" w:rsidP="00322937">
    <w:pPr>
      <w:pStyle w:val="Sinespaciado"/>
      <w:jc w:val="right"/>
      <w:rPr>
        <w:rFonts w:ascii="Arial" w:hAnsi="Arial" w:cs="Arial"/>
        <w:sz w:val="18"/>
        <w:szCs w:val="18"/>
      </w:rPr>
    </w:pPr>
  </w:p>
  <w:p w14:paraId="7A3785F3" w14:textId="43103470" w:rsidR="009C48C9" w:rsidRPr="008217B7" w:rsidRDefault="009C48C9"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F05F8E">
      <w:rPr>
        <w:rFonts w:ascii="Arial" w:hAnsi="Arial" w:cs="Arial"/>
        <w:b/>
        <w:bCs/>
        <w:noProof/>
        <w:color w:val="7F7F7F" w:themeColor="text1" w:themeTint="80"/>
        <w:sz w:val="16"/>
        <w:szCs w:val="16"/>
      </w:rPr>
      <w:t>3</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F05F8E">
      <w:rPr>
        <w:rFonts w:ascii="Arial" w:hAnsi="Arial" w:cs="Arial"/>
        <w:b/>
        <w:bCs/>
        <w:noProof/>
        <w:color w:val="7F7F7F" w:themeColor="text1" w:themeTint="80"/>
        <w:sz w:val="16"/>
        <w:szCs w:val="16"/>
      </w:rPr>
      <w:t>13</w:t>
    </w:r>
    <w:r w:rsidRPr="00084B97">
      <w:rPr>
        <w:rFonts w:ascii="Arial" w:hAnsi="Arial" w:cs="Arial"/>
        <w:b/>
        <w:bCs/>
        <w:color w:val="7F7F7F" w:themeColor="text1" w:themeTint="80"/>
        <w:sz w:val="16"/>
        <w:szCs w:val="16"/>
      </w:rPr>
      <w:fldChar w:fldCharType="end"/>
    </w:r>
  </w:p>
  <w:p w14:paraId="48FC6A04" w14:textId="5FD1A7C9" w:rsidR="009C48C9" w:rsidRDefault="009C48C9" w:rsidP="00322937">
    <w:pPr>
      <w:pStyle w:val="Piedepgina"/>
      <w:jc w:val="center"/>
      <w:rPr>
        <w:lang w:val="es-ES"/>
      </w:rPr>
    </w:pPr>
    <w:r>
      <w:rPr>
        <w:noProof/>
        <w:lang w:val="es-CO" w:eastAsia="es-CO"/>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9C48C9" w:rsidRDefault="009C48C9" w:rsidP="007B0854">
    <w:pPr>
      <w:pStyle w:val="Piedepgina"/>
      <w:jc w:val="center"/>
      <w:rPr>
        <w:lang w:val="es-ES"/>
      </w:rPr>
    </w:pPr>
  </w:p>
  <w:p w14:paraId="6C0EFC49" w14:textId="77777777" w:rsidR="009C48C9" w:rsidRPr="007B0854" w:rsidRDefault="009C48C9" w:rsidP="007B0854">
    <w:pPr>
      <w:pStyle w:val="Piedepgina"/>
      <w:jc w:val="center"/>
      <w:rPr>
        <w:lang w:val="es-E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2A49A2B" w14:textId="77777777" w:rsidR="00B567EC" w:rsidRDefault="00B567EC">
      <w:r>
        <w:separator/>
      </w:r>
    </w:p>
  </w:footnote>
  <w:footnote w:type="continuationSeparator" w:id="0">
    <w:p w14:paraId="6BF577C3" w14:textId="77777777" w:rsidR="00B567EC" w:rsidRDefault="00B567EC">
      <w:r>
        <w:continuationSeparator/>
      </w:r>
    </w:p>
  </w:footnote>
  <w:footnote w:type="continuationNotice" w:id="1">
    <w:p w14:paraId="025128AE" w14:textId="77777777" w:rsidR="00B567EC" w:rsidRDefault="00B567EC"/>
  </w:footnote>
  <w:footnote w:id="2">
    <w:p w14:paraId="4018464A" w14:textId="77777777" w:rsidR="00BF762B" w:rsidRPr="00F12256" w:rsidRDefault="00BF762B" w:rsidP="00BF762B">
      <w:pPr>
        <w:pStyle w:val="Textonotapie"/>
        <w:ind w:firstLine="709"/>
        <w:jc w:val="both"/>
        <w:rPr>
          <w:rFonts w:ascii="Arial" w:hAnsi="Arial" w:cs="Arial"/>
          <w:sz w:val="19"/>
          <w:szCs w:val="19"/>
        </w:rPr>
      </w:pPr>
      <w:r w:rsidRPr="00F12256">
        <w:rPr>
          <w:rStyle w:val="Refdenotaalpie"/>
          <w:rFonts w:ascii="Arial" w:hAnsi="Arial" w:cs="Arial"/>
          <w:sz w:val="19"/>
          <w:szCs w:val="19"/>
        </w:rPr>
        <w:footnoteRef/>
      </w:r>
      <w:r w:rsidRPr="00F12256">
        <w:rPr>
          <w:rFonts w:ascii="Arial" w:hAnsi="Arial" w:cs="Arial"/>
          <w:sz w:val="19"/>
          <w:szCs w:val="19"/>
        </w:rPr>
        <w:t xml:space="preserve"> «Parágrafo 3.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w:t>
      </w:r>
    </w:p>
    <w:p w14:paraId="7E4D6829" w14:textId="77777777" w:rsidR="00BF762B" w:rsidRPr="00F12256" w:rsidRDefault="00BF762B" w:rsidP="00BF762B">
      <w:pPr>
        <w:pStyle w:val="Textonotapie"/>
        <w:ind w:firstLine="709"/>
        <w:jc w:val="both"/>
        <w:rPr>
          <w:rFonts w:ascii="Arial" w:hAnsi="Arial" w:cs="Arial"/>
          <w:sz w:val="19"/>
          <w:szCs w:val="19"/>
          <w:lang w:val="es-CO"/>
        </w:rPr>
      </w:pPr>
    </w:p>
  </w:footnote>
  <w:footnote w:id="3">
    <w:p w14:paraId="7AA1E095" w14:textId="77777777" w:rsidR="00BF762B" w:rsidRPr="00F12256" w:rsidRDefault="00BF762B" w:rsidP="00BF762B">
      <w:pPr>
        <w:pStyle w:val="Textonotapie"/>
        <w:ind w:firstLine="709"/>
        <w:jc w:val="both"/>
        <w:rPr>
          <w:rFonts w:ascii="Arial" w:hAnsi="Arial" w:cs="Arial"/>
          <w:sz w:val="19"/>
          <w:szCs w:val="19"/>
        </w:rPr>
      </w:pPr>
      <w:r w:rsidRPr="00F12256">
        <w:rPr>
          <w:rStyle w:val="Refdenotaalpie"/>
          <w:rFonts w:ascii="Arial" w:hAnsi="Arial" w:cs="Arial"/>
          <w:sz w:val="19"/>
          <w:szCs w:val="19"/>
        </w:rPr>
        <w:footnoteRef/>
      </w:r>
      <w:r w:rsidRPr="00F12256">
        <w:rPr>
          <w:rFonts w:ascii="Arial" w:hAnsi="Arial" w:cs="Arial"/>
          <w:sz w:val="19"/>
          <w:szCs w:val="19"/>
        </w:rPr>
        <w:t xml:space="preserve"> </w:t>
      </w:r>
      <w:r w:rsidRPr="00F12256">
        <w:rPr>
          <w:rFonts w:ascii="Arial" w:hAnsi="Arial" w:cs="Arial"/>
          <w:sz w:val="19"/>
          <w:szCs w:val="19"/>
          <w:lang w:val="es-CO"/>
        </w:rPr>
        <w:t xml:space="preserve">Ley 1882 de 2018: «Artículo 4. </w:t>
      </w:r>
      <w:r w:rsidRPr="00F12256">
        <w:rPr>
          <w:rFonts w:ascii="Arial" w:hAnsi="Arial" w:cs="Arial"/>
          <w:sz w:val="19"/>
          <w:szCs w:val="19"/>
        </w:rPr>
        <w:t>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w:t>
      </w:r>
    </w:p>
    <w:p w14:paraId="2F319F5A" w14:textId="77777777" w:rsidR="00BF762B" w:rsidRPr="00F12256" w:rsidRDefault="00BF762B" w:rsidP="00BF762B">
      <w:pPr>
        <w:pStyle w:val="Textonotapie"/>
        <w:ind w:firstLine="709"/>
        <w:jc w:val="both"/>
        <w:rPr>
          <w:rFonts w:ascii="Arial" w:hAnsi="Arial" w:cs="Arial"/>
          <w:sz w:val="19"/>
          <w:szCs w:val="19"/>
          <w:lang w:val="es-CO"/>
        </w:rPr>
      </w:pPr>
      <w:r w:rsidRPr="00F12256">
        <w:rPr>
          <w:rFonts w:ascii="Arial" w:hAnsi="Arial" w:cs="Arial"/>
          <w:sz w:val="19"/>
          <w:szCs w:val="19"/>
          <w:lang w:val="es-CO"/>
        </w:rPr>
        <w:t>»La facultad de adoptar documentos tipo la tendrá el Gobierno nacional, cuando lo considere necesario, en relación con otros contratos o procesos de selección.</w:t>
      </w:r>
    </w:p>
    <w:p w14:paraId="1DBB16D7" w14:textId="77777777" w:rsidR="00BF762B" w:rsidRPr="00F12256" w:rsidRDefault="00BF762B" w:rsidP="00BF762B">
      <w:pPr>
        <w:pStyle w:val="Textonotapie"/>
        <w:ind w:firstLine="709"/>
        <w:jc w:val="both"/>
        <w:rPr>
          <w:rFonts w:ascii="Arial" w:hAnsi="Arial" w:cs="Arial"/>
          <w:sz w:val="19"/>
          <w:szCs w:val="19"/>
          <w:lang w:val="es-CO"/>
        </w:rPr>
      </w:pPr>
      <w:r w:rsidRPr="00F12256">
        <w:rPr>
          <w:rFonts w:ascii="Arial" w:hAnsi="Arial" w:cs="Arial"/>
          <w:sz w:val="19"/>
          <w:szCs w:val="19"/>
          <w:lang w:val="es-CO"/>
        </w:rPr>
        <w:t>»Los pliegos tipo se adoptarán por categorías de acuerdo con la cuantía de la contratación, según la reglamentación que expida el Gobierno nacional».</w:t>
      </w:r>
    </w:p>
    <w:p w14:paraId="2D67F319" w14:textId="77777777" w:rsidR="00BF762B" w:rsidRPr="00F12256" w:rsidRDefault="00BF762B" w:rsidP="00BF762B">
      <w:pPr>
        <w:pStyle w:val="Textonotapie"/>
        <w:ind w:firstLine="709"/>
        <w:jc w:val="both"/>
        <w:rPr>
          <w:rFonts w:ascii="Arial" w:hAnsi="Arial" w:cs="Arial"/>
          <w:sz w:val="19"/>
          <w:szCs w:val="19"/>
          <w:lang w:val="es-CO"/>
        </w:rPr>
      </w:pPr>
    </w:p>
  </w:footnote>
  <w:footnote w:id="4">
    <w:p w14:paraId="07E5DA61" w14:textId="77777777" w:rsidR="00BF762B" w:rsidRPr="00F12256" w:rsidRDefault="00BF762B" w:rsidP="00BF762B">
      <w:pPr>
        <w:pStyle w:val="Textonotapie"/>
        <w:ind w:firstLine="709"/>
        <w:jc w:val="both"/>
        <w:rPr>
          <w:rFonts w:ascii="Arial" w:hAnsi="Arial" w:cs="Arial"/>
          <w:sz w:val="19"/>
          <w:szCs w:val="19"/>
        </w:rPr>
      </w:pPr>
      <w:r w:rsidRPr="00F12256">
        <w:rPr>
          <w:rStyle w:val="Refdenotaalpie"/>
          <w:rFonts w:ascii="Arial" w:hAnsi="Arial" w:cs="Arial"/>
          <w:sz w:val="19"/>
          <w:szCs w:val="19"/>
        </w:rPr>
        <w:footnoteRef/>
      </w:r>
      <w:r w:rsidRPr="008A2527">
        <w:rPr>
          <w:rFonts w:ascii="Arial" w:hAnsi="Arial" w:cs="Arial"/>
          <w:sz w:val="19"/>
          <w:szCs w:val="19"/>
          <w:lang w:val="pt-BR"/>
        </w:rPr>
        <w:t xml:space="preserve"> Corte Constitucional. Sentencia C-119 de 2020. </w:t>
      </w:r>
      <w:r w:rsidRPr="00F12256">
        <w:rPr>
          <w:rFonts w:ascii="Arial" w:hAnsi="Arial" w:cs="Arial"/>
          <w:sz w:val="19"/>
          <w:szCs w:val="19"/>
        </w:rPr>
        <w:t>M.P. Alejandro Linares Cantillo. «Encontró la Corte en el control abstracto de constitucionalidad, que de la norma no surge vulneración alguna de la autonomía de los entes territoriales, en cuanto que la estandarización se predica únicamente de los requisitos habilitantes y los criterios de escogencia, elementos propios del procedimiento de selección de contratistas, materia en la que existe reserva de ley, el Legislador goza de un amplio margen de configuración normativa y que no se encuentra atribuida a la regulación de las entidades territoriales. Resaltó que la norma cuestionada no interfiere en la facultad de las entidades territoriales para gestionar sus propios intereses, la que, en materia contractual, se predica particularmente de la identificación autónoma de sus necesidades y la configuración de los elementos del contrato».</w:t>
      </w:r>
    </w:p>
    <w:p w14:paraId="17F77BFB" w14:textId="77777777" w:rsidR="00BF762B" w:rsidRPr="00F12256" w:rsidRDefault="00BF762B" w:rsidP="00BF762B">
      <w:pPr>
        <w:pStyle w:val="Textonotapie"/>
        <w:ind w:firstLine="709"/>
        <w:jc w:val="both"/>
        <w:rPr>
          <w:rFonts w:ascii="Arial" w:hAnsi="Arial" w:cs="Arial"/>
          <w:sz w:val="19"/>
          <w:szCs w:val="19"/>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20770B" w14:textId="1A2BB94C" w:rsidR="009C48C9" w:rsidRDefault="009C48C9">
    <w:pPr>
      <w:pStyle w:val="Encabezado"/>
    </w:pPr>
    <w:r>
      <w:rPr>
        <w:noProof/>
        <w:lang w:val="es-CO" w:eastAsia="es-CO"/>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9C6709D"/>
    <w:multiLevelType w:val="hybridMultilevel"/>
    <w:tmpl w:val="1FDA541E"/>
    <w:lvl w:ilvl="0" w:tplc="5A0C052C">
      <w:start w:val="1"/>
      <w:numFmt w:val="bullet"/>
      <w:lvlText w:val=""/>
      <w:lvlJc w:val="left"/>
      <w:pPr>
        <w:ind w:left="720" w:hanging="360"/>
      </w:pPr>
      <w:rPr>
        <w:rFonts w:ascii="Symbol" w:hAnsi="Symbol" w:hint="default"/>
      </w:rPr>
    </w:lvl>
    <w:lvl w:ilvl="1" w:tplc="C2862920">
      <w:start w:val="1"/>
      <w:numFmt w:val="bullet"/>
      <w:lvlText w:val="o"/>
      <w:lvlJc w:val="left"/>
      <w:pPr>
        <w:ind w:left="1440" w:hanging="360"/>
      </w:pPr>
      <w:rPr>
        <w:rFonts w:ascii="Courier New" w:hAnsi="Courier New" w:hint="default"/>
      </w:rPr>
    </w:lvl>
    <w:lvl w:ilvl="2" w:tplc="15F82430">
      <w:start w:val="1"/>
      <w:numFmt w:val="bullet"/>
      <w:lvlText w:val=""/>
      <w:lvlJc w:val="left"/>
      <w:pPr>
        <w:ind w:left="2160" w:hanging="360"/>
      </w:pPr>
      <w:rPr>
        <w:rFonts w:ascii="Wingdings" w:hAnsi="Wingdings" w:hint="default"/>
      </w:rPr>
    </w:lvl>
    <w:lvl w:ilvl="3" w:tplc="A0823E82">
      <w:start w:val="1"/>
      <w:numFmt w:val="bullet"/>
      <w:lvlText w:val=""/>
      <w:lvlJc w:val="left"/>
      <w:pPr>
        <w:ind w:left="2880" w:hanging="360"/>
      </w:pPr>
      <w:rPr>
        <w:rFonts w:ascii="Symbol" w:hAnsi="Symbol" w:hint="default"/>
      </w:rPr>
    </w:lvl>
    <w:lvl w:ilvl="4" w:tplc="4A46BDF6">
      <w:start w:val="1"/>
      <w:numFmt w:val="bullet"/>
      <w:lvlText w:val="o"/>
      <w:lvlJc w:val="left"/>
      <w:pPr>
        <w:ind w:left="3600" w:hanging="360"/>
      </w:pPr>
      <w:rPr>
        <w:rFonts w:ascii="Courier New" w:hAnsi="Courier New" w:hint="default"/>
      </w:rPr>
    </w:lvl>
    <w:lvl w:ilvl="5" w:tplc="28FE1CAE">
      <w:start w:val="1"/>
      <w:numFmt w:val="bullet"/>
      <w:lvlText w:val=""/>
      <w:lvlJc w:val="left"/>
      <w:pPr>
        <w:ind w:left="4320" w:hanging="360"/>
      </w:pPr>
      <w:rPr>
        <w:rFonts w:ascii="Wingdings" w:hAnsi="Wingdings" w:hint="default"/>
      </w:rPr>
    </w:lvl>
    <w:lvl w:ilvl="6" w:tplc="C5E42D50">
      <w:start w:val="1"/>
      <w:numFmt w:val="bullet"/>
      <w:lvlText w:val=""/>
      <w:lvlJc w:val="left"/>
      <w:pPr>
        <w:ind w:left="5040" w:hanging="360"/>
      </w:pPr>
      <w:rPr>
        <w:rFonts w:ascii="Symbol" w:hAnsi="Symbol" w:hint="default"/>
      </w:rPr>
    </w:lvl>
    <w:lvl w:ilvl="7" w:tplc="E168116C">
      <w:start w:val="1"/>
      <w:numFmt w:val="bullet"/>
      <w:lvlText w:val="o"/>
      <w:lvlJc w:val="left"/>
      <w:pPr>
        <w:ind w:left="5760" w:hanging="360"/>
      </w:pPr>
      <w:rPr>
        <w:rFonts w:ascii="Courier New" w:hAnsi="Courier New" w:hint="default"/>
      </w:rPr>
    </w:lvl>
    <w:lvl w:ilvl="8" w:tplc="C8865674">
      <w:start w:val="1"/>
      <w:numFmt w:val="bullet"/>
      <w:lvlText w:val=""/>
      <w:lvlJc w:val="left"/>
      <w:pPr>
        <w:ind w:left="6480" w:hanging="360"/>
      </w:pPr>
      <w:rPr>
        <w:rFonts w:ascii="Wingdings" w:hAnsi="Wingdings" w:hint="default"/>
      </w:rPr>
    </w:lvl>
  </w:abstractNum>
  <w:abstractNum w:abstractNumId="4"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7"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2" w15:restartNumberingAfterBreak="0">
    <w:nsid w:val="405413EB"/>
    <w:multiLevelType w:val="hybridMultilevel"/>
    <w:tmpl w:val="58A4F990"/>
    <w:lvl w:ilvl="0" w:tplc="C3CAD0BC">
      <w:start w:val="1"/>
      <w:numFmt w:val="lowerRoman"/>
      <w:lvlText w:val="%1)"/>
      <w:lvlJc w:val="left"/>
      <w:pPr>
        <w:ind w:left="1430" w:hanging="720"/>
      </w:pPr>
      <w:rPr>
        <w:rFonts w:hint="default"/>
      </w:rPr>
    </w:lvl>
    <w:lvl w:ilvl="1" w:tplc="240A0019" w:tentative="1">
      <w:start w:val="1"/>
      <w:numFmt w:val="lowerLetter"/>
      <w:lvlText w:val="%2."/>
      <w:lvlJc w:val="left"/>
      <w:pPr>
        <w:ind w:left="1790" w:hanging="360"/>
      </w:pPr>
    </w:lvl>
    <w:lvl w:ilvl="2" w:tplc="240A001B" w:tentative="1">
      <w:start w:val="1"/>
      <w:numFmt w:val="lowerRoman"/>
      <w:lvlText w:val="%3."/>
      <w:lvlJc w:val="right"/>
      <w:pPr>
        <w:ind w:left="2510" w:hanging="180"/>
      </w:pPr>
    </w:lvl>
    <w:lvl w:ilvl="3" w:tplc="240A000F" w:tentative="1">
      <w:start w:val="1"/>
      <w:numFmt w:val="decimal"/>
      <w:lvlText w:val="%4."/>
      <w:lvlJc w:val="left"/>
      <w:pPr>
        <w:ind w:left="3230" w:hanging="360"/>
      </w:pPr>
    </w:lvl>
    <w:lvl w:ilvl="4" w:tplc="240A0019" w:tentative="1">
      <w:start w:val="1"/>
      <w:numFmt w:val="lowerLetter"/>
      <w:lvlText w:val="%5."/>
      <w:lvlJc w:val="left"/>
      <w:pPr>
        <w:ind w:left="3950" w:hanging="360"/>
      </w:pPr>
    </w:lvl>
    <w:lvl w:ilvl="5" w:tplc="240A001B" w:tentative="1">
      <w:start w:val="1"/>
      <w:numFmt w:val="lowerRoman"/>
      <w:lvlText w:val="%6."/>
      <w:lvlJc w:val="right"/>
      <w:pPr>
        <w:ind w:left="4670" w:hanging="180"/>
      </w:pPr>
    </w:lvl>
    <w:lvl w:ilvl="6" w:tplc="240A000F" w:tentative="1">
      <w:start w:val="1"/>
      <w:numFmt w:val="decimal"/>
      <w:lvlText w:val="%7."/>
      <w:lvlJc w:val="left"/>
      <w:pPr>
        <w:ind w:left="5390" w:hanging="360"/>
      </w:pPr>
    </w:lvl>
    <w:lvl w:ilvl="7" w:tplc="240A0019" w:tentative="1">
      <w:start w:val="1"/>
      <w:numFmt w:val="lowerLetter"/>
      <w:lvlText w:val="%8."/>
      <w:lvlJc w:val="left"/>
      <w:pPr>
        <w:ind w:left="6110" w:hanging="360"/>
      </w:pPr>
    </w:lvl>
    <w:lvl w:ilvl="8" w:tplc="240A001B" w:tentative="1">
      <w:start w:val="1"/>
      <w:numFmt w:val="lowerRoman"/>
      <w:lvlText w:val="%9."/>
      <w:lvlJc w:val="right"/>
      <w:pPr>
        <w:ind w:left="6830" w:hanging="180"/>
      </w:pPr>
    </w:lvl>
  </w:abstractNum>
  <w:abstractNum w:abstractNumId="13"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4BDC0906"/>
    <w:multiLevelType w:val="hybridMultilevel"/>
    <w:tmpl w:val="CCCEB75C"/>
    <w:lvl w:ilvl="0" w:tplc="240A0015">
      <w:start w:val="1"/>
      <w:numFmt w:val="upperLetter"/>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7"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9"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1"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2"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3"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4"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5"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10"/>
  </w:num>
  <w:num w:numId="2">
    <w:abstractNumId w:val="8"/>
  </w:num>
  <w:num w:numId="3">
    <w:abstractNumId w:val="14"/>
  </w:num>
  <w:num w:numId="4">
    <w:abstractNumId w:val="18"/>
  </w:num>
  <w:num w:numId="5">
    <w:abstractNumId w:val="22"/>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0"/>
  </w:num>
  <w:num w:numId="8">
    <w:abstractNumId w:val="0"/>
  </w:num>
  <w:num w:numId="9">
    <w:abstractNumId w:val="4"/>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num>
  <w:num w:numId="13">
    <w:abstractNumId w:val="13"/>
  </w:num>
  <w:num w:numId="14">
    <w:abstractNumId w:val="7"/>
  </w:num>
  <w:num w:numId="15">
    <w:abstractNumId w:val="2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4"/>
  </w:num>
  <w:num w:numId="18">
    <w:abstractNumId w:val="15"/>
  </w:num>
  <w:num w:numId="19">
    <w:abstractNumId w:val="2"/>
  </w:num>
  <w:num w:numId="20">
    <w:abstractNumId w:val="25"/>
  </w:num>
  <w:num w:numId="21">
    <w:abstractNumId w:val="17"/>
  </w:num>
  <w:num w:numId="22">
    <w:abstractNumId w:val="6"/>
  </w:num>
  <w:num w:numId="23">
    <w:abstractNumId w:val="5"/>
  </w:num>
  <w:num w:numId="24">
    <w:abstractNumId w:val="23"/>
  </w:num>
  <w:num w:numId="25">
    <w:abstractNumId w:val="19"/>
  </w:num>
  <w:num w:numId="26">
    <w:abstractNumId w:val="3"/>
  </w:num>
  <w:num w:numId="27">
    <w:abstractNumId w:val="16"/>
  </w:num>
  <w:num w:numId="2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85A"/>
    <w:rsid w:val="000000F5"/>
    <w:rsid w:val="00000559"/>
    <w:rsid w:val="0000162E"/>
    <w:rsid w:val="00001A1C"/>
    <w:rsid w:val="00001E00"/>
    <w:rsid w:val="00001FFD"/>
    <w:rsid w:val="00002027"/>
    <w:rsid w:val="000020FE"/>
    <w:rsid w:val="00002173"/>
    <w:rsid w:val="000031A8"/>
    <w:rsid w:val="00003C5C"/>
    <w:rsid w:val="00003D39"/>
    <w:rsid w:val="000040D7"/>
    <w:rsid w:val="00004556"/>
    <w:rsid w:val="00004AAC"/>
    <w:rsid w:val="000051AF"/>
    <w:rsid w:val="000059D3"/>
    <w:rsid w:val="00005B6D"/>
    <w:rsid w:val="0000600A"/>
    <w:rsid w:val="00006081"/>
    <w:rsid w:val="00007750"/>
    <w:rsid w:val="000077D0"/>
    <w:rsid w:val="000077FD"/>
    <w:rsid w:val="00007E37"/>
    <w:rsid w:val="00010C40"/>
    <w:rsid w:val="000112B4"/>
    <w:rsid w:val="00011DCC"/>
    <w:rsid w:val="00012532"/>
    <w:rsid w:val="00012B9E"/>
    <w:rsid w:val="00012F37"/>
    <w:rsid w:val="00012FBA"/>
    <w:rsid w:val="00013C6B"/>
    <w:rsid w:val="0001406B"/>
    <w:rsid w:val="000143F8"/>
    <w:rsid w:val="00014624"/>
    <w:rsid w:val="00015642"/>
    <w:rsid w:val="00015B44"/>
    <w:rsid w:val="00015E3E"/>
    <w:rsid w:val="00016081"/>
    <w:rsid w:val="000165AC"/>
    <w:rsid w:val="00016651"/>
    <w:rsid w:val="000171A2"/>
    <w:rsid w:val="00017B65"/>
    <w:rsid w:val="00020158"/>
    <w:rsid w:val="000207E0"/>
    <w:rsid w:val="000207FF"/>
    <w:rsid w:val="000209E2"/>
    <w:rsid w:val="00020F8F"/>
    <w:rsid w:val="00021A95"/>
    <w:rsid w:val="0002256F"/>
    <w:rsid w:val="00023DAE"/>
    <w:rsid w:val="00024855"/>
    <w:rsid w:val="00024896"/>
    <w:rsid w:val="00025D0A"/>
    <w:rsid w:val="000263F0"/>
    <w:rsid w:val="00026407"/>
    <w:rsid w:val="00026608"/>
    <w:rsid w:val="00026794"/>
    <w:rsid w:val="00027787"/>
    <w:rsid w:val="000278D2"/>
    <w:rsid w:val="0002797C"/>
    <w:rsid w:val="00031364"/>
    <w:rsid w:val="000315E1"/>
    <w:rsid w:val="0003236E"/>
    <w:rsid w:val="0003339A"/>
    <w:rsid w:val="000341F2"/>
    <w:rsid w:val="00035046"/>
    <w:rsid w:val="000351F2"/>
    <w:rsid w:val="000368A6"/>
    <w:rsid w:val="00036E03"/>
    <w:rsid w:val="000406DB"/>
    <w:rsid w:val="0004094D"/>
    <w:rsid w:val="00041029"/>
    <w:rsid w:val="00041357"/>
    <w:rsid w:val="0004149B"/>
    <w:rsid w:val="00041FC6"/>
    <w:rsid w:val="00042961"/>
    <w:rsid w:val="00042C25"/>
    <w:rsid w:val="00042D03"/>
    <w:rsid w:val="00043086"/>
    <w:rsid w:val="000430A0"/>
    <w:rsid w:val="00043D3B"/>
    <w:rsid w:val="0004418C"/>
    <w:rsid w:val="00044204"/>
    <w:rsid w:val="000449D4"/>
    <w:rsid w:val="000463B5"/>
    <w:rsid w:val="00046717"/>
    <w:rsid w:val="00046A63"/>
    <w:rsid w:val="00046C09"/>
    <w:rsid w:val="0004716A"/>
    <w:rsid w:val="00047385"/>
    <w:rsid w:val="000473E8"/>
    <w:rsid w:val="000504DE"/>
    <w:rsid w:val="00051074"/>
    <w:rsid w:val="00051302"/>
    <w:rsid w:val="00051DC3"/>
    <w:rsid w:val="000526F0"/>
    <w:rsid w:val="0005273D"/>
    <w:rsid w:val="00052B79"/>
    <w:rsid w:val="00052E4B"/>
    <w:rsid w:val="00052EA0"/>
    <w:rsid w:val="000536A7"/>
    <w:rsid w:val="000536E3"/>
    <w:rsid w:val="00053896"/>
    <w:rsid w:val="00053A00"/>
    <w:rsid w:val="0005474D"/>
    <w:rsid w:val="00054D74"/>
    <w:rsid w:val="00055CB9"/>
    <w:rsid w:val="0005602F"/>
    <w:rsid w:val="00056565"/>
    <w:rsid w:val="00056F66"/>
    <w:rsid w:val="0005702F"/>
    <w:rsid w:val="00057930"/>
    <w:rsid w:val="00061010"/>
    <w:rsid w:val="00061470"/>
    <w:rsid w:val="00061D06"/>
    <w:rsid w:val="00062BDF"/>
    <w:rsid w:val="00062CDD"/>
    <w:rsid w:val="00063AD6"/>
    <w:rsid w:val="000640AF"/>
    <w:rsid w:val="00064940"/>
    <w:rsid w:val="00064CAE"/>
    <w:rsid w:val="00064DB7"/>
    <w:rsid w:val="00064FA7"/>
    <w:rsid w:val="00065195"/>
    <w:rsid w:val="0006536C"/>
    <w:rsid w:val="00065C0B"/>
    <w:rsid w:val="00065D20"/>
    <w:rsid w:val="0006626E"/>
    <w:rsid w:val="000701A0"/>
    <w:rsid w:val="00070AF1"/>
    <w:rsid w:val="000714DE"/>
    <w:rsid w:val="0007254F"/>
    <w:rsid w:val="00072878"/>
    <w:rsid w:val="00072DC8"/>
    <w:rsid w:val="0007357C"/>
    <w:rsid w:val="00073C30"/>
    <w:rsid w:val="00074305"/>
    <w:rsid w:val="000744D0"/>
    <w:rsid w:val="00074B2A"/>
    <w:rsid w:val="00074EEE"/>
    <w:rsid w:val="000753D5"/>
    <w:rsid w:val="00075761"/>
    <w:rsid w:val="00075B3E"/>
    <w:rsid w:val="00076456"/>
    <w:rsid w:val="00076B92"/>
    <w:rsid w:val="0007779B"/>
    <w:rsid w:val="000777E7"/>
    <w:rsid w:val="0007790A"/>
    <w:rsid w:val="0008017B"/>
    <w:rsid w:val="00080ACD"/>
    <w:rsid w:val="000811ED"/>
    <w:rsid w:val="0008139C"/>
    <w:rsid w:val="00081D62"/>
    <w:rsid w:val="00082B74"/>
    <w:rsid w:val="00083099"/>
    <w:rsid w:val="00083EDC"/>
    <w:rsid w:val="0008457F"/>
    <w:rsid w:val="00084B97"/>
    <w:rsid w:val="0008510E"/>
    <w:rsid w:val="000856DE"/>
    <w:rsid w:val="00085F17"/>
    <w:rsid w:val="00085FB0"/>
    <w:rsid w:val="00085FB3"/>
    <w:rsid w:val="0008686B"/>
    <w:rsid w:val="00086B2A"/>
    <w:rsid w:val="00086C11"/>
    <w:rsid w:val="00086ED2"/>
    <w:rsid w:val="000914D6"/>
    <w:rsid w:val="00091569"/>
    <w:rsid w:val="00092057"/>
    <w:rsid w:val="00092CDB"/>
    <w:rsid w:val="00092DCA"/>
    <w:rsid w:val="000936F7"/>
    <w:rsid w:val="00093A84"/>
    <w:rsid w:val="00093CA0"/>
    <w:rsid w:val="00093ECD"/>
    <w:rsid w:val="000942EB"/>
    <w:rsid w:val="000954FA"/>
    <w:rsid w:val="00095607"/>
    <w:rsid w:val="00095B70"/>
    <w:rsid w:val="00095E38"/>
    <w:rsid w:val="0009617E"/>
    <w:rsid w:val="0009628D"/>
    <w:rsid w:val="0009670F"/>
    <w:rsid w:val="00097022"/>
    <w:rsid w:val="000979CF"/>
    <w:rsid w:val="000A03C8"/>
    <w:rsid w:val="000A05F2"/>
    <w:rsid w:val="000A06C4"/>
    <w:rsid w:val="000A0861"/>
    <w:rsid w:val="000A0EC4"/>
    <w:rsid w:val="000A0ED1"/>
    <w:rsid w:val="000A1258"/>
    <w:rsid w:val="000A12DB"/>
    <w:rsid w:val="000A17C8"/>
    <w:rsid w:val="000A1B74"/>
    <w:rsid w:val="000A20AD"/>
    <w:rsid w:val="000A20D7"/>
    <w:rsid w:val="000A2128"/>
    <w:rsid w:val="000A2142"/>
    <w:rsid w:val="000A31FB"/>
    <w:rsid w:val="000A362F"/>
    <w:rsid w:val="000A3B49"/>
    <w:rsid w:val="000A464B"/>
    <w:rsid w:val="000A46FE"/>
    <w:rsid w:val="000A47E6"/>
    <w:rsid w:val="000A4810"/>
    <w:rsid w:val="000A5291"/>
    <w:rsid w:val="000A52C0"/>
    <w:rsid w:val="000A5836"/>
    <w:rsid w:val="000A5AAF"/>
    <w:rsid w:val="000A5F97"/>
    <w:rsid w:val="000A600A"/>
    <w:rsid w:val="000A648E"/>
    <w:rsid w:val="000A73BB"/>
    <w:rsid w:val="000A73E8"/>
    <w:rsid w:val="000A7EF4"/>
    <w:rsid w:val="000B081A"/>
    <w:rsid w:val="000B0A15"/>
    <w:rsid w:val="000B103F"/>
    <w:rsid w:val="000B1437"/>
    <w:rsid w:val="000B1470"/>
    <w:rsid w:val="000B17EC"/>
    <w:rsid w:val="000B244D"/>
    <w:rsid w:val="000B2B86"/>
    <w:rsid w:val="000B3051"/>
    <w:rsid w:val="000B419B"/>
    <w:rsid w:val="000B5781"/>
    <w:rsid w:val="000B5CB1"/>
    <w:rsid w:val="000B68EA"/>
    <w:rsid w:val="000B75F4"/>
    <w:rsid w:val="000C0185"/>
    <w:rsid w:val="000C088D"/>
    <w:rsid w:val="000C0F81"/>
    <w:rsid w:val="000C128D"/>
    <w:rsid w:val="000C137A"/>
    <w:rsid w:val="000C15EE"/>
    <w:rsid w:val="000C17A3"/>
    <w:rsid w:val="000C1D4B"/>
    <w:rsid w:val="000C2CB7"/>
    <w:rsid w:val="000C2DC4"/>
    <w:rsid w:val="000C3260"/>
    <w:rsid w:val="000C3B77"/>
    <w:rsid w:val="000C3F6D"/>
    <w:rsid w:val="000C4F49"/>
    <w:rsid w:val="000C540E"/>
    <w:rsid w:val="000C5861"/>
    <w:rsid w:val="000C5BDE"/>
    <w:rsid w:val="000C6076"/>
    <w:rsid w:val="000C639D"/>
    <w:rsid w:val="000C6C31"/>
    <w:rsid w:val="000C6DBC"/>
    <w:rsid w:val="000C6F79"/>
    <w:rsid w:val="000C7476"/>
    <w:rsid w:val="000C7480"/>
    <w:rsid w:val="000C7711"/>
    <w:rsid w:val="000C7AA2"/>
    <w:rsid w:val="000D022A"/>
    <w:rsid w:val="000D0462"/>
    <w:rsid w:val="000D053D"/>
    <w:rsid w:val="000D0ED2"/>
    <w:rsid w:val="000D1CEB"/>
    <w:rsid w:val="000D218D"/>
    <w:rsid w:val="000D2563"/>
    <w:rsid w:val="000D25BF"/>
    <w:rsid w:val="000D26B9"/>
    <w:rsid w:val="000D3582"/>
    <w:rsid w:val="000D3FDC"/>
    <w:rsid w:val="000D490B"/>
    <w:rsid w:val="000D4E38"/>
    <w:rsid w:val="000D50DB"/>
    <w:rsid w:val="000D6288"/>
    <w:rsid w:val="000D7541"/>
    <w:rsid w:val="000D75E1"/>
    <w:rsid w:val="000E1FF3"/>
    <w:rsid w:val="000E22CF"/>
    <w:rsid w:val="000E2977"/>
    <w:rsid w:val="000E2CC0"/>
    <w:rsid w:val="000E30AC"/>
    <w:rsid w:val="000E3B46"/>
    <w:rsid w:val="000E3E11"/>
    <w:rsid w:val="000E4596"/>
    <w:rsid w:val="000E4B94"/>
    <w:rsid w:val="000E4D50"/>
    <w:rsid w:val="000E4D70"/>
    <w:rsid w:val="000E5768"/>
    <w:rsid w:val="000E5843"/>
    <w:rsid w:val="000E6139"/>
    <w:rsid w:val="000E653C"/>
    <w:rsid w:val="000E658F"/>
    <w:rsid w:val="000E6BE1"/>
    <w:rsid w:val="000E6D51"/>
    <w:rsid w:val="000E7E0B"/>
    <w:rsid w:val="000F0136"/>
    <w:rsid w:val="000F078A"/>
    <w:rsid w:val="000F122D"/>
    <w:rsid w:val="000F1450"/>
    <w:rsid w:val="000F14E8"/>
    <w:rsid w:val="000F1BBD"/>
    <w:rsid w:val="000F290F"/>
    <w:rsid w:val="000F4403"/>
    <w:rsid w:val="000F480B"/>
    <w:rsid w:val="000F4E17"/>
    <w:rsid w:val="000F5615"/>
    <w:rsid w:val="000F6578"/>
    <w:rsid w:val="000F722C"/>
    <w:rsid w:val="000F7E8F"/>
    <w:rsid w:val="000F7FBB"/>
    <w:rsid w:val="001000FB"/>
    <w:rsid w:val="00100A9E"/>
    <w:rsid w:val="00100F6A"/>
    <w:rsid w:val="00102463"/>
    <w:rsid w:val="00102605"/>
    <w:rsid w:val="00102686"/>
    <w:rsid w:val="00102745"/>
    <w:rsid w:val="00103795"/>
    <w:rsid w:val="00103915"/>
    <w:rsid w:val="00103EA0"/>
    <w:rsid w:val="0010496C"/>
    <w:rsid w:val="00104B7E"/>
    <w:rsid w:val="00104F1C"/>
    <w:rsid w:val="001051E5"/>
    <w:rsid w:val="00105A74"/>
    <w:rsid w:val="00105ACB"/>
    <w:rsid w:val="00105AEF"/>
    <w:rsid w:val="00106259"/>
    <w:rsid w:val="001068EB"/>
    <w:rsid w:val="001078CE"/>
    <w:rsid w:val="00107EB3"/>
    <w:rsid w:val="00110F61"/>
    <w:rsid w:val="001111BD"/>
    <w:rsid w:val="0011165A"/>
    <w:rsid w:val="00111B2B"/>
    <w:rsid w:val="001124C3"/>
    <w:rsid w:val="00112774"/>
    <w:rsid w:val="00112B2E"/>
    <w:rsid w:val="00113003"/>
    <w:rsid w:val="00113062"/>
    <w:rsid w:val="00113705"/>
    <w:rsid w:val="00113975"/>
    <w:rsid w:val="00113CFC"/>
    <w:rsid w:val="00113FEA"/>
    <w:rsid w:val="00114A22"/>
    <w:rsid w:val="00114E9D"/>
    <w:rsid w:val="0011507B"/>
    <w:rsid w:val="001154DE"/>
    <w:rsid w:val="00115819"/>
    <w:rsid w:val="00116328"/>
    <w:rsid w:val="001163CF"/>
    <w:rsid w:val="00116A1C"/>
    <w:rsid w:val="001174C9"/>
    <w:rsid w:val="00117E69"/>
    <w:rsid w:val="00121103"/>
    <w:rsid w:val="00121A9B"/>
    <w:rsid w:val="00121BAB"/>
    <w:rsid w:val="00121E3C"/>
    <w:rsid w:val="00122B23"/>
    <w:rsid w:val="00122B7E"/>
    <w:rsid w:val="00123E27"/>
    <w:rsid w:val="00123FB5"/>
    <w:rsid w:val="0012400F"/>
    <w:rsid w:val="001249DC"/>
    <w:rsid w:val="00125630"/>
    <w:rsid w:val="0012572D"/>
    <w:rsid w:val="00125BED"/>
    <w:rsid w:val="00125C59"/>
    <w:rsid w:val="00125D4F"/>
    <w:rsid w:val="00127004"/>
    <w:rsid w:val="00127AF2"/>
    <w:rsid w:val="00127EDC"/>
    <w:rsid w:val="00127F42"/>
    <w:rsid w:val="00127F6D"/>
    <w:rsid w:val="00130355"/>
    <w:rsid w:val="00130365"/>
    <w:rsid w:val="001304E5"/>
    <w:rsid w:val="00131B5A"/>
    <w:rsid w:val="00132C30"/>
    <w:rsid w:val="00132EFD"/>
    <w:rsid w:val="00133AED"/>
    <w:rsid w:val="001345AE"/>
    <w:rsid w:val="00134BCD"/>
    <w:rsid w:val="00134E09"/>
    <w:rsid w:val="001350AB"/>
    <w:rsid w:val="00135DB9"/>
    <w:rsid w:val="0013695C"/>
    <w:rsid w:val="00136BF7"/>
    <w:rsid w:val="00136C78"/>
    <w:rsid w:val="001378B9"/>
    <w:rsid w:val="00137E75"/>
    <w:rsid w:val="00137FFA"/>
    <w:rsid w:val="00140109"/>
    <w:rsid w:val="0014029B"/>
    <w:rsid w:val="00140464"/>
    <w:rsid w:val="00140A4F"/>
    <w:rsid w:val="001413AB"/>
    <w:rsid w:val="00141DBF"/>
    <w:rsid w:val="00142E96"/>
    <w:rsid w:val="00142EFD"/>
    <w:rsid w:val="00143AD6"/>
    <w:rsid w:val="00144335"/>
    <w:rsid w:val="0014502F"/>
    <w:rsid w:val="00145282"/>
    <w:rsid w:val="001453B0"/>
    <w:rsid w:val="001454D9"/>
    <w:rsid w:val="0014553F"/>
    <w:rsid w:val="00145D8E"/>
    <w:rsid w:val="00146083"/>
    <w:rsid w:val="001462F7"/>
    <w:rsid w:val="00146312"/>
    <w:rsid w:val="00146418"/>
    <w:rsid w:val="001471AB"/>
    <w:rsid w:val="001474D7"/>
    <w:rsid w:val="00147F35"/>
    <w:rsid w:val="00150005"/>
    <w:rsid w:val="001500B0"/>
    <w:rsid w:val="00151AEB"/>
    <w:rsid w:val="00151B99"/>
    <w:rsid w:val="001521B2"/>
    <w:rsid w:val="00152EDD"/>
    <w:rsid w:val="00153491"/>
    <w:rsid w:val="0015361C"/>
    <w:rsid w:val="0015372F"/>
    <w:rsid w:val="00153A51"/>
    <w:rsid w:val="00153BFB"/>
    <w:rsid w:val="0015407E"/>
    <w:rsid w:val="0015448E"/>
    <w:rsid w:val="00154A6F"/>
    <w:rsid w:val="00155938"/>
    <w:rsid w:val="00155D08"/>
    <w:rsid w:val="0015623B"/>
    <w:rsid w:val="00156BE5"/>
    <w:rsid w:val="00157226"/>
    <w:rsid w:val="00157232"/>
    <w:rsid w:val="00160401"/>
    <w:rsid w:val="00160D4E"/>
    <w:rsid w:val="00161DDA"/>
    <w:rsid w:val="00161E62"/>
    <w:rsid w:val="00161F1C"/>
    <w:rsid w:val="0016200B"/>
    <w:rsid w:val="0016204B"/>
    <w:rsid w:val="00162552"/>
    <w:rsid w:val="00163C03"/>
    <w:rsid w:val="00163D7A"/>
    <w:rsid w:val="00164281"/>
    <w:rsid w:val="00165703"/>
    <w:rsid w:val="00166204"/>
    <w:rsid w:val="0016685F"/>
    <w:rsid w:val="0016712F"/>
    <w:rsid w:val="00167503"/>
    <w:rsid w:val="001676A9"/>
    <w:rsid w:val="00167A15"/>
    <w:rsid w:val="00167A50"/>
    <w:rsid w:val="00167D1A"/>
    <w:rsid w:val="00167DF5"/>
    <w:rsid w:val="00170001"/>
    <w:rsid w:val="00170472"/>
    <w:rsid w:val="00172198"/>
    <w:rsid w:val="0017236C"/>
    <w:rsid w:val="00172612"/>
    <w:rsid w:val="00172817"/>
    <w:rsid w:val="0017327B"/>
    <w:rsid w:val="001734E3"/>
    <w:rsid w:val="00173C9C"/>
    <w:rsid w:val="001742BF"/>
    <w:rsid w:val="001742E1"/>
    <w:rsid w:val="00175E49"/>
    <w:rsid w:val="0017649F"/>
    <w:rsid w:val="0017655B"/>
    <w:rsid w:val="001805C1"/>
    <w:rsid w:val="00180A2E"/>
    <w:rsid w:val="001813AF"/>
    <w:rsid w:val="001829CD"/>
    <w:rsid w:val="00182F01"/>
    <w:rsid w:val="001833C2"/>
    <w:rsid w:val="001841E2"/>
    <w:rsid w:val="00184219"/>
    <w:rsid w:val="00184F27"/>
    <w:rsid w:val="0018519B"/>
    <w:rsid w:val="00185966"/>
    <w:rsid w:val="00185A2D"/>
    <w:rsid w:val="00185AFE"/>
    <w:rsid w:val="00185E78"/>
    <w:rsid w:val="00185F7F"/>
    <w:rsid w:val="00187177"/>
    <w:rsid w:val="00187ABD"/>
    <w:rsid w:val="001904E3"/>
    <w:rsid w:val="0019087A"/>
    <w:rsid w:val="00191C5A"/>
    <w:rsid w:val="00191CEB"/>
    <w:rsid w:val="00191E63"/>
    <w:rsid w:val="00192D68"/>
    <w:rsid w:val="00192E04"/>
    <w:rsid w:val="00192F9B"/>
    <w:rsid w:val="00193800"/>
    <w:rsid w:val="0019388B"/>
    <w:rsid w:val="00193ADE"/>
    <w:rsid w:val="00193B9A"/>
    <w:rsid w:val="001940ED"/>
    <w:rsid w:val="001946AE"/>
    <w:rsid w:val="001946D5"/>
    <w:rsid w:val="00194C57"/>
    <w:rsid w:val="00194E8C"/>
    <w:rsid w:val="001962EC"/>
    <w:rsid w:val="001963DD"/>
    <w:rsid w:val="001965DB"/>
    <w:rsid w:val="0019673D"/>
    <w:rsid w:val="00196D01"/>
    <w:rsid w:val="00196DC9"/>
    <w:rsid w:val="00196E95"/>
    <w:rsid w:val="001A0236"/>
    <w:rsid w:val="001A0915"/>
    <w:rsid w:val="001A0AF8"/>
    <w:rsid w:val="001A147D"/>
    <w:rsid w:val="001A1490"/>
    <w:rsid w:val="001A18D5"/>
    <w:rsid w:val="001A1A38"/>
    <w:rsid w:val="001A1BE0"/>
    <w:rsid w:val="001A1D4A"/>
    <w:rsid w:val="001A3011"/>
    <w:rsid w:val="001A3284"/>
    <w:rsid w:val="001A4793"/>
    <w:rsid w:val="001A4A9B"/>
    <w:rsid w:val="001A4DAF"/>
    <w:rsid w:val="001A54CD"/>
    <w:rsid w:val="001A5C63"/>
    <w:rsid w:val="001A66DF"/>
    <w:rsid w:val="001A67D0"/>
    <w:rsid w:val="001A6863"/>
    <w:rsid w:val="001A7591"/>
    <w:rsid w:val="001A75B1"/>
    <w:rsid w:val="001A7B06"/>
    <w:rsid w:val="001B0366"/>
    <w:rsid w:val="001B0444"/>
    <w:rsid w:val="001B096B"/>
    <w:rsid w:val="001B0F9F"/>
    <w:rsid w:val="001B123C"/>
    <w:rsid w:val="001B19D8"/>
    <w:rsid w:val="001B1A0D"/>
    <w:rsid w:val="001B1BF1"/>
    <w:rsid w:val="001B2456"/>
    <w:rsid w:val="001B449C"/>
    <w:rsid w:val="001B4AA2"/>
    <w:rsid w:val="001B4ADE"/>
    <w:rsid w:val="001B5530"/>
    <w:rsid w:val="001B5EF8"/>
    <w:rsid w:val="001B5F4C"/>
    <w:rsid w:val="001B71E8"/>
    <w:rsid w:val="001C07C6"/>
    <w:rsid w:val="001C15C9"/>
    <w:rsid w:val="001C19CD"/>
    <w:rsid w:val="001C22D5"/>
    <w:rsid w:val="001C2515"/>
    <w:rsid w:val="001C26FB"/>
    <w:rsid w:val="001C33C1"/>
    <w:rsid w:val="001C3517"/>
    <w:rsid w:val="001C3801"/>
    <w:rsid w:val="001C3E30"/>
    <w:rsid w:val="001C3E5C"/>
    <w:rsid w:val="001C5072"/>
    <w:rsid w:val="001C5B2A"/>
    <w:rsid w:val="001C600B"/>
    <w:rsid w:val="001C6476"/>
    <w:rsid w:val="001C6898"/>
    <w:rsid w:val="001C6DD8"/>
    <w:rsid w:val="001C7C7B"/>
    <w:rsid w:val="001D068D"/>
    <w:rsid w:val="001D12D1"/>
    <w:rsid w:val="001D15DF"/>
    <w:rsid w:val="001D2350"/>
    <w:rsid w:val="001D2EEE"/>
    <w:rsid w:val="001D30F3"/>
    <w:rsid w:val="001D31A0"/>
    <w:rsid w:val="001D338E"/>
    <w:rsid w:val="001D56E9"/>
    <w:rsid w:val="001D65AC"/>
    <w:rsid w:val="001D716B"/>
    <w:rsid w:val="001D796A"/>
    <w:rsid w:val="001D7A84"/>
    <w:rsid w:val="001D7C79"/>
    <w:rsid w:val="001E003B"/>
    <w:rsid w:val="001E1CC4"/>
    <w:rsid w:val="001E1D38"/>
    <w:rsid w:val="001E28A0"/>
    <w:rsid w:val="001E31AB"/>
    <w:rsid w:val="001E320D"/>
    <w:rsid w:val="001E3392"/>
    <w:rsid w:val="001E3FFE"/>
    <w:rsid w:val="001E4058"/>
    <w:rsid w:val="001E4258"/>
    <w:rsid w:val="001E5140"/>
    <w:rsid w:val="001E5D6A"/>
    <w:rsid w:val="001E600E"/>
    <w:rsid w:val="001E6A94"/>
    <w:rsid w:val="001E70FB"/>
    <w:rsid w:val="001E780A"/>
    <w:rsid w:val="001F0D15"/>
    <w:rsid w:val="001F0FA0"/>
    <w:rsid w:val="001F1349"/>
    <w:rsid w:val="001F1863"/>
    <w:rsid w:val="001F2356"/>
    <w:rsid w:val="001F2A68"/>
    <w:rsid w:val="001F4773"/>
    <w:rsid w:val="001F5008"/>
    <w:rsid w:val="001F56AA"/>
    <w:rsid w:val="001F58AA"/>
    <w:rsid w:val="001F5A4E"/>
    <w:rsid w:val="001F5EF6"/>
    <w:rsid w:val="001F657F"/>
    <w:rsid w:val="001F6FB6"/>
    <w:rsid w:val="001F72BB"/>
    <w:rsid w:val="001F7978"/>
    <w:rsid w:val="001F7A0E"/>
    <w:rsid w:val="001F7A4B"/>
    <w:rsid w:val="0020022E"/>
    <w:rsid w:val="0020054E"/>
    <w:rsid w:val="002007A8"/>
    <w:rsid w:val="00200D7F"/>
    <w:rsid w:val="00201435"/>
    <w:rsid w:val="00201AC4"/>
    <w:rsid w:val="00201F1E"/>
    <w:rsid w:val="00202761"/>
    <w:rsid w:val="002027CC"/>
    <w:rsid w:val="0020299B"/>
    <w:rsid w:val="00202E44"/>
    <w:rsid w:val="002037AA"/>
    <w:rsid w:val="00203FE3"/>
    <w:rsid w:val="002042D8"/>
    <w:rsid w:val="00204515"/>
    <w:rsid w:val="00204BF5"/>
    <w:rsid w:val="00204E6B"/>
    <w:rsid w:val="002053EF"/>
    <w:rsid w:val="002058D4"/>
    <w:rsid w:val="0020632A"/>
    <w:rsid w:val="0020697F"/>
    <w:rsid w:val="00207262"/>
    <w:rsid w:val="0020726E"/>
    <w:rsid w:val="00210214"/>
    <w:rsid w:val="00210656"/>
    <w:rsid w:val="002110EB"/>
    <w:rsid w:val="00211338"/>
    <w:rsid w:val="00211388"/>
    <w:rsid w:val="0021148C"/>
    <w:rsid w:val="00211694"/>
    <w:rsid w:val="0021201A"/>
    <w:rsid w:val="002138FE"/>
    <w:rsid w:val="00213A1F"/>
    <w:rsid w:val="00213C63"/>
    <w:rsid w:val="00214502"/>
    <w:rsid w:val="00214741"/>
    <w:rsid w:val="00214938"/>
    <w:rsid w:val="0021539A"/>
    <w:rsid w:val="00215852"/>
    <w:rsid w:val="00215B01"/>
    <w:rsid w:val="00215B8E"/>
    <w:rsid w:val="00216264"/>
    <w:rsid w:val="002176B6"/>
    <w:rsid w:val="0021792D"/>
    <w:rsid w:val="00217DB8"/>
    <w:rsid w:val="00217DC8"/>
    <w:rsid w:val="002202CE"/>
    <w:rsid w:val="0022032A"/>
    <w:rsid w:val="00220B61"/>
    <w:rsid w:val="0022194E"/>
    <w:rsid w:val="002220B1"/>
    <w:rsid w:val="0022210B"/>
    <w:rsid w:val="002221CE"/>
    <w:rsid w:val="00222BE8"/>
    <w:rsid w:val="00223102"/>
    <w:rsid w:val="002232CB"/>
    <w:rsid w:val="00224022"/>
    <w:rsid w:val="0022595D"/>
    <w:rsid w:val="00226055"/>
    <w:rsid w:val="0022609C"/>
    <w:rsid w:val="0022613F"/>
    <w:rsid w:val="00226236"/>
    <w:rsid w:val="002270C9"/>
    <w:rsid w:val="00227A8B"/>
    <w:rsid w:val="00230F0B"/>
    <w:rsid w:val="0023146B"/>
    <w:rsid w:val="002315A0"/>
    <w:rsid w:val="00231748"/>
    <w:rsid w:val="00231EC7"/>
    <w:rsid w:val="002320F9"/>
    <w:rsid w:val="00232E15"/>
    <w:rsid w:val="00233079"/>
    <w:rsid w:val="0023382C"/>
    <w:rsid w:val="00233977"/>
    <w:rsid w:val="00233C58"/>
    <w:rsid w:val="00233C71"/>
    <w:rsid w:val="002345B6"/>
    <w:rsid w:val="002347A6"/>
    <w:rsid w:val="00234B84"/>
    <w:rsid w:val="00236016"/>
    <w:rsid w:val="00237065"/>
    <w:rsid w:val="00237589"/>
    <w:rsid w:val="0023758D"/>
    <w:rsid w:val="002375A7"/>
    <w:rsid w:val="0024019A"/>
    <w:rsid w:val="00240EC1"/>
    <w:rsid w:val="0024120F"/>
    <w:rsid w:val="0024131D"/>
    <w:rsid w:val="002415B8"/>
    <w:rsid w:val="00241816"/>
    <w:rsid w:val="00242D5F"/>
    <w:rsid w:val="00242D62"/>
    <w:rsid w:val="002430D0"/>
    <w:rsid w:val="002431D7"/>
    <w:rsid w:val="00244058"/>
    <w:rsid w:val="00244631"/>
    <w:rsid w:val="002451A6"/>
    <w:rsid w:val="002451A9"/>
    <w:rsid w:val="00245718"/>
    <w:rsid w:val="00245E07"/>
    <w:rsid w:val="00246001"/>
    <w:rsid w:val="00246E0D"/>
    <w:rsid w:val="00247712"/>
    <w:rsid w:val="00247F99"/>
    <w:rsid w:val="00250A9E"/>
    <w:rsid w:val="00250EB0"/>
    <w:rsid w:val="00250EC6"/>
    <w:rsid w:val="002515C7"/>
    <w:rsid w:val="00251866"/>
    <w:rsid w:val="00251A9F"/>
    <w:rsid w:val="00251ABD"/>
    <w:rsid w:val="00252492"/>
    <w:rsid w:val="00252B35"/>
    <w:rsid w:val="00253070"/>
    <w:rsid w:val="0025316D"/>
    <w:rsid w:val="00253A02"/>
    <w:rsid w:val="00253B81"/>
    <w:rsid w:val="002540D8"/>
    <w:rsid w:val="002540F1"/>
    <w:rsid w:val="00254AE9"/>
    <w:rsid w:val="002554DE"/>
    <w:rsid w:val="00255575"/>
    <w:rsid w:val="00255E11"/>
    <w:rsid w:val="00255EA6"/>
    <w:rsid w:val="00256835"/>
    <w:rsid w:val="002569F0"/>
    <w:rsid w:val="00256C01"/>
    <w:rsid w:val="00256D3E"/>
    <w:rsid w:val="00256E1A"/>
    <w:rsid w:val="00256ECF"/>
    <w:rsid w:val="00257730"/>
    <w:rsid w:val="00257999"/>
    <w:rsid w:val="002604AA"/>
    <w:rsid w:val="0026129B"/>
    <w:rsid w:val="00261560"/>
    <w:rsid w:val="00261715"/>
    <w:rsid w:val="00261CF9"/>
    <w:rsid w:val="00261EC0"/>
    <w:rsid w:val="0026231B"/>
    <w:rsid w:val="00263101"/>
    <w:rsid w:val="002631D1"/>
    <w:rsid w:val="00263201"/>
    <w:rsid w:val="00263A37"/>
    <w:rsid w:val="00264266"/>
    <w:rsid w:val="0026471F"/>
    <w:rsid w:val="0026480D"/>
    <w:rsid w:val="002653A6"/>
    <w:rsid w:val="00265EB4"/>
    <w:rsid w:val="002661F1"/>
    <w:rsid w:val="00266DB6"/>
    <w:rsid w:val="002679AB"/>
    <w:rsid w:val="002711A4"/>
    <w:rsid w:val="00271230"/>
    <w:rsid w:val="00271F13"/>
    <w:rsid w:val="002725C3"/>
    <w:rsid w:val="00272945"/>
    <w:rsid w:val="0027482E"/>
    <w:rsid w:val="00274DB5"/>
    <w:rsid w:val="00275BB1"/>
    <w:rsid w:val="0027770B"/>
    <w:rsid w:val="00277933"/>
    <w:rsid w:val="00277F8D"/>
    <w:rsid w:val="00277FA7"/>
    <w:rsid w:val="00280046"/>
    <w:rsid w:val="0028008D"/>
    <w:rsid w:val="00280987"/>
    <w:rsid w:val="00280B4F"/>
    <w:rsid w:val="00280F3D"/>
    <w:rsid w:val="0028106A"/>
    <w:rsid w:val="002815C0"/>
    <w:rsid w:val="00281772"/>
    <w:rsid w:val="00281EB4"/>
    <w:rsid w:val="00282E03"/>
    <w:rsid w:val="0028308E"/>
    <w:rsid w:val="002834E9"/>
    <w:rsid w:val="00283A52"/>
    <w:rsid w:val="00283C5E"/>
    <w:rsid w:val="00283E26"/>
    <w:rsid w:val="0028428F"/>
    <w:rsid w:val="00284CFC"/>
    <w:rsid w:val="00285832"/>
    <w:rsid w:val="00285969"/>
    <w:rsid w:val="0028663B"/>
    <w:rsid w:val="00286CEC"/>
    <w:rsid w:val="002870F9"/>
    <w:rsid w:val="002871A9"/>
    <w:rsid w:val="00287302"/>
    <w:rsid w:val="00287505"/>
    <w:rsid w:val="002879EB"/>
    <w:rsid w:val="00287BDB"/>
    <w:rsid w:val="0029031D"/>
    <w:rsid w:val="00290781"/>
    <w:rsid w:val="002910CD"/>
    <w:rsid w:val="00291454"/>
    <w:rsid w:val="00291470"/>
    <w:rsid w:val="00291784"/>
    <w:rsid w:val="00291CF4"/>
    <w:rsid w:val="002920DF"/>
    <w:rsid w:val="002929BB"/>
    <w:rsid w:val="00294368"/>
    <w:rsid w:val="00294B78"/>
    <w:rsid w:val="002952E7"/>
    <w:rsid w:val="00295416"/>
    <w:rsid w:val="002956FB"/>
    <w:rsid w:val="00295949"/>
    <w:rsid w:val="00295D7C"/>
    <w:rsid w:val="0029624A"/>
    <w:rsid w:val="00296922"/>
    <w:rsid w:val="00297098"/>
    <w:rsid w:val="002A05D4"/>
    <w:rsid w:val="002A06DB"/>
    <w:rsid w:val="002A081F"/>
    <w:rsid w:val="002A09FF"/>
    <w:rsid w:val="002A0E60"/>
    <w:rsid w:val="002A1310"/>
    <w:rsid w:val="002A1A58"/>
    <w:rsid w:val="002A1B02"/>
    <w:rsid w:val="002A1C53"/>
    <w:rsid w:val="002A244B"/>
    <w:rsid w:val="002A28FC"/>
    <w:rsid w:val="002A2B44"/>
    <w:rsid w:val="002A2C29"/>
    <w:rsid w:val="002A2EA5"/>
    <w:rsid w:val="002A3132"/>
    <w:rsid w:val="002A3482"/>
    <w:rsid w:val="002A39B5"/>
    <w:rsid w:val="002A3D94"/>
    <w:rsid w:val="002A4736"/>
    <w:rsid w:val="002A4B1C"/>
    <w:rsid w:val="002A55FE"/>
    <w:rsid w:val="002A6AFB"/>
    <w:rsid w:val="002A733D"/>
    <w:rsid w:val="002A774A"/>
    <w:rsid w:val="002A78F3"/>
    <w:rsid w:val="002A7E5C"/>
    <w:rsid w:val="002A7F6D"/>
    <w:rsid w:val="002B08BA"/>
    <w:rsid w:val="002B1342"/>
    <w:rsid w:val="002B1F83"/>
    <w:rsid w:val="002B27C8"/>
    <w:rsid w:val="002B2A7F"/>
    <w:rsid w:val="002B330B"/>
    <w:rsid w:val="002B39BE"/>
    <w:rsid w:val="002B3F99"/>
    <w:rsid w:val="002B438C"/>
    <w:rsid w:val="002B48DB"/>
    <w:rsid w:val="002B4B34"/>
    <w:rsid w:val="002B541A"/>
    <w:rsid w:val="002B5A82"/>
    <w:rsid w:val="002B5EAB"/>
    <w:rsid w:val="002B5F2E"/>
    <w:rsid w:val="002B6407"/>
    <w:rsid w:val="002B6416"/>
    <w:rsid w:val="002B6459"/>
    <w:rsid w:val="002B7014"/>
    <w:rsid w:val="002B73B0"/>
    <w:rsid w:val="002B7C20"/>
    <w:rsid w:val="002C24B4"/>
    <w:rsid w:val="002C2B3A"/>
    <w:rsid w:val="002C2B87"/>
    <w:rsid w:val="002C3CF4"/>
    <w:rsid w:val="002C441A"/>
    <w:rsid w:val="002C4A73"/>
    <w:rsid w:val="002C4B84"/>
    <w:rsid w:val="002C4C0C"/>
    <w:rsid w:val="002C5016"/>
    <w:rsid w:val="002C5C2F"/>
    <w:rsid w:val="002C5D0F"/>
    <w:rsid w:val="002C60B9"/>
    <w:rsid w:val="002C6F77"/>
    <w:rsid w:val="002C704D"/>
    <w:rsid w:val="002C7102"/>
    <w:rsid w:val="002D0845"/>
    <w:rsid w:val="002D0907"/>
    <w:rsid w:val="002D0933"/>
    <w:rsid w:val="002D19BB"/>
    <w:rsid w:val="002D1A9B"/>
    <w:rsid w:val="002D20F8"/>
    <w:rsid w:val="002D22BD"/>
    <w:rsid w:val="002D22C5"/>
    <w:rsid w:val="002D233E"/>
    <w:rsid w:val="002D302A"/>
    <w:rsid w:val="002D36C6"/>
    <w:rsid w:val="002D37C1"/>
    <w:rsid w:val="002D444B"/>
    <w:rsid w:val="002D46B4"/>
    <w:rsid w:val="002D4A45"/>
    <w:rsid w:val="002D4B42"/>
    <w:rsid w:val="002D4B43"/>
    <w:rsid w:val="002D4BC1"/>
    <w:rsid w:val="002D4E59"/>
    <w:rsid w:val="002D5A1B"/>
    <w:rsid w:val="002D5E98"/>
    <w:rsid w:val="002D64CE"/>
    <w:rsid w:val="002D65BC"/>
    <w:rsid w:val="002D7EB2"/>
    <w:rsid w:val="002E055C"/>
    <w:rsid w:val="002E1050"/>
    <w:rsid w:val="002E107E"/>
    <w:rsid w:val="002E18E5"/>
    <w:rsid w:val="002E1953"/>
    <w:rsid w:val="002E1DC6"/>
    <w:rsid w:val="002E2C3F"/>
    <w:rsid w:val="002E2CB5"/>
    <w:rsid w:val="002E2D7D"/>
    <w:rsid w:val="002E32D0"/>
    <w:rsid w:val="002E3C26"/>
    <w:rsid w:val="002E3D76"/>
    <w:rsid w:val="002E3FF4"/>
    <w:rsid w:val="002E40A1"/>
    <w:rsid w:val="002E48EC"/>
    <w:rsid w:val="002E4B44"/>
    <w:rsid w:val="002E4ECB"/>
    <w:rsid w:val="002E4F23"/>
    <w:rsid w:val="002E635A"/>
    <w:rsid w:val="002E6D68"/>
    <w:rsid w:val="002E7847"/>
    <w:rsid w:val="002F0073"/>
    <w:rsid w:val="002F1C67"/>
    <w:rsid w:val="002F2077"/>
    <w:rsid w:val="002F2360"/>
    <w:rsid w:val="002F240B"/>
    <w:rsid w:val="002F27DE"/>
    <w:rsid w:val="002F2F50"/>
    <w:rsid w:val="002F2FBC"/>
    <w:rsid w:val="002F33EC"/>
    <w:rsid w:val="002F34E3"/>
    <w:rsid w:val="002F3601"/>
    <w:rsid w:val="002F3C19"/>
    <w:rsid w:val="002F3E4E"/>
    <w:rsid w:val="002F40E2"/>
    <w:rsid w:val="002F45F6"/>
    <w:rsid w:val="002F5A6F"/>
    <w:rsid w:val="002F5B9E"/>
    <w:rsid w:val="002F692F"/>
    <w:rsid w:val="002F7575"/>
    <w:rsid w:val="002F7961"/>
    <w:rsid w:val="002F7B66"/>
    <w:rsid w:val="002F7C8C"/>
    <w:rsid w:val="00300CB4"/>
    <w:rsid w:val="00300E24"/>
    <w:rsid w:val="003033BA"/>
    <w:rsid w:val="00303C19"/>
    <w:rsid w:val="003043A3"/>
    <w:rsid w:val="00304BD4"/>
    <w:rsid w:val="0030500A"/>
    <w:rsid w:val="003052EB"/>
    <w:rsid w:val="00305FCB"/>
    <w:rsid w:val="003063C3"/>
    <w:rsid w:val="003069DC"/>
    <w:rsid w:val="00306B44"/>
    <w:rsid w:val="00307C44"/>
    <w:rsid w:val="003100E1"/>
    <w:rsid w:val="0031088E"/>
    <w:rsid w:val="00310C45"/>
    <w:rsid w:val="00310D01"/>
    <w:rsid w:val="00311376"/>
    <w:rsid w:val="0031184C"/>
    <w:rsid w:val="00311A1F"/>
    <w:rsid w:val="00311B47"/>
    <w:rsid w:val="00311D52"/>
    <w:rsid w:val="00312190"/>
    <w:rsid w:val="003125E0"/>
    <w:rsid w:val="0031271D"/>
    <w:rsid w:val="003132BB"/>
    <w:rsid w:val="00313337"/>
    <w:rsid w:val="00313447"/>
    <w:rsid w:val="00313748"/>
    <w:rsid w:val="003137DE"/>
    <w:rsid w:val="00313C96"/>
    <w:rsid w:val="00313EA3"/>
    <w:rsid w:val="00314C7C"/>
    <w:rsid w:val="00315365"/>
    <w:rsid w:val="00315457"/>
    <w:rsid w:val="003161A4"/>
    <w:rsid w:val="00316244"/>
    <w:rsid w:val="00316955"/>
    <w:rsid w:val="0031713F"/>
    <w:rsid w:val="0031720A"/>
    <w:rsid w:val="0031749B"/>
    <w:rsid w:val="003174CD"/>
    <w:rsid w:val="003174E5"/>
    <w:rsid w:val="003176C8"/>
    <w:rsid w:val="00317C9D"/>
    <w:rsid w:val="00317CD2"/>
    <w:rsid w:val="00317D99"/>
    <w:rsid w:val="0032078D"/>
    <w:rsid w:val="00320876"/>
    <w:rsid w:val="00320ADF"/>
    <w:rsid w:val="0032137B"/>
    <w:rsid w:val="00321BD6"/>
    <w:rsid w:val="00321FA3"/>
    <w:rsid w:val="003227D3"/>
    <w:rsid w:val="00322937"/>
    <w:rsid w:val="00323881"/>
    <w:rsid w:val="00324885"/>
    <w:rsid w:val="003251A8"/>
    <w:rsid w:val="003254B1"/>
    <w:rsid w:val="00325AD9"/>
    <w:rsid w:val="00325AE7"/>
    <w:rsid w:val="00325D98"/>
    <w:rsid w:val="0032682A"/>
    <w:rsid w:val="00327A5C"/>
    <w:rsid w:val="0033092C"/>
    <w:rsid w:val="0033122A"/>
    <w:rsid w:val="003315AC"/>
    <w:rsid w:val="00331932"/>
    <w:rsid w:val="00331F74"/>
    <w:rsid w:val="00332096"/>
    <w:rsid w:val="00332382"/>
    <w:rsid w:val="00332453"/>
    <w:rsid w:val="0033251B"/>
    <w:rsid w:val="00333712"/>
    <w:rsid w:val="00333A88"/>
    <w:rsid w:val="00335B15"/>
    <w:rsid w:val="00335B21"/>
    <w:rsid w:val="00335D3F"/>
    <w:rsid w:val="00336104"/>
    <w:rsid w:val="00336729"/>
    <w:rsid w:val="00336CD9"/>
    <w:rsid w:val="0033726D"/>
    <w:rsid w:val="00337CA8"/>
    <w:rsid w:val="00340C62"/>
    <w:rsid w:val="00340D3F"/>
    <w:rsid w:val="0034174B"/>
    <w:rsid w:val="0034177C"/>
    <w:rsid w:val="003420E9"/>
    <w:rsid w:val="00342345"/>
    <w:rsid w:val="00342C27"/>
    <w:rsid w:val="003430C8"/>
    <w:rsid w:val="003432C8"/>
    <w:rsid w:val="003434B3"/>
    <w:rsid w:val="00343536"/>
    <w:rsid w:val="0034399A"/>
    <w:rsid w:val="00343EFB"/>
    <w:rsid w:val="00344760"/>
    <w:rsid w:val="00344769"/>
    <w:rsid w:val="003454E8"/>
    <w:rsid w:val="00345574"/>
    <w:rsid w:val="0034680A"/>
    <w:rsid w:val="00346C62"/>
    <w:rsid w:val="00347202"/>
    <w:rsid w:val="0034778E"/>
    <w:rsid w:val="00347A5A"/>
    <w:rsid w:val="003501E2"/>
    <w:rsid w:val="00350732"/>
    <w:rsid w:val="00351716"/>
    <w:rsid w:val="00351E10"/>
    <w:rsid w:val="0035213C"/>
    <w:rsid w:val="003533F4"/>
    <w:rsid w:val="003536F6"/>
    <w:rsid w:val="00353DD5"/>
    <w:rsid w:val="00355131"/>
    <w:rsid w:val="00355F74"/>
    <w:rsid w:val="003560DB"/>
    <w:rsid w:val="003564DB"/>
    <w:rsid w:val="00356F87"/>
    <w:rsid w:val="00357198"/>
    <w:rsid w:val="00357E83"/>
    <w:rsid w:val="00360CF3"/>
    <w:rsid w:val="0036137C"/>
    <w:rsid w:val="00361A59"/>
    <w:rsid w:val="00361E76"/>
    <w:rsid w:val="00361ED9"/>
    <w:rsid w:val="003622B1"/>
    <w:rsid w:val="00363348"/>
    <w:rsid w:val="00363857"/>
    <w:rsid w:val="00363D59"/>
    <w:rsid w:val="003640F7"/>
    <w:rsid w:val="00364E04"/>
    <w:rsid w:val="00365D3A"/>
    <w:rsid w:val="003664FF"/>
    <w:rsid w:val="00366BD2"/>
    <w:rsid w:val="003670B8"/>
    <w:rsid w:val="003704A3"/>
    <w:rsid w:val="0037058F"/>
    <w:rsid w:val="003706F2"/>
    <w:rsid w:val="003707CB"/>
    <w:rsid w:val="00370F01"/>
    <w:rsid w:val="0037124F"/>
    <w:rsid w:val="00372475"/>
    <w:rsid w:val="00373827"/>
    <w:rsid w:val="0037401C"/>
    <w:rsid w:val="0037507B"/>
    <w:rsid w:val="00375C7C"/>
    <w:rsid w:val="00375DA0"/>
    <w:rsid w:val="00377027"/>
    <w:rsid w:val="00377135"/>
    <w:rsid w:val="00377CB4"/>
    <w:rsid w:val="00380272"/>
    <w:rsid w:val="003805DB"/>
    <w:rsid w:val="0038152A"/>
    <w:rsid w:val="00382BAD"/>
    <w:rsid w:val="003835FD"/>
    <w:rsid w:val="00384DF1"/>
    <w:rsid w:val="00384FF3"/>
    <w:rsid w:val="00386456"/>
    <w:rsid w:val="003865A9"/>
    <w:rsid w:val="00387A60"/>
    <w:rsid w:val="0039091C"/>
    <w:rsid w:val="0039092B"/>
    <w:rsid w:val="00390C47"/>
    <w:rsid w:val="00390F32"/>
    <w:rsid w:val="0039135E"/>
    <w:rsid w:val="00391EFC"/>
    <w:rsid w:val="0039285D"/>
    <w:rsid w:val="0039319C"/>
    <w:rsid w:val="0039346A"/>
    <w:rsid w:val="00393577"/>
    <w:rsid w:val="00393CAE"/>
    <w:rsid w:val="003945F4"/>
    <w:rsid w:val="00394EB5"/>
    <w:rsid w:val="003953B4"/>
    <w:rsid w:val="0039615F"/>
    <w:rsid w:val="003966A0"/>
    <w:rsid w:val="00396837"/>
    <w:rsid w:val="00396A29"/>
    <w:rsid w:val="00397FF0"/>
    <w:rsid w:val="003A0878"/>
    <w:rsid w:val="003A0B08"/>
    <w:rsid w:val="003A11E5"/>
    <w:rsid w:val="003A1561"/>
    <w:rsid w:val="003A1CB2"/>
    <w:rsid w:val="003A1D25"/>
    <w:rsid w:val="003A22A2"/>
    <w:rsid w:val="003A22FC"/>
    <w:rsid w:val="003A2447"/>
    <w:rsid w:val="003A2AA1"/>
    <w:rsid w:val="003A31A5"/>
    <w:rsid w:val="003A329A"/>
    <w:rsid w:val="003A3603"/>
    <w:rsid w:val="003A3851"/>
    <w:rsid w:val="003A39DD"/>
    <w:rsid w:val="003A3C6E"/>
    <w:rsid w:val="003A40DB"/>
    <w:rsid w:val="003A4199"/>
    <w:rsid w:val="003A493F"/>
    <w:rsid w:val="003A4A8E"/>
    <w:rsid w:val="003A563C"/>
    <w:rsid w:val="003A581E"/>
    <w:rsid w:val="003A6160"/>
    <w:rsid w:val="003A65A5"/>
    <w:rsid w:val="003A72F5"/>
    <w:rsid w:val="003A78E5"/>
    <w:rsid w:val="003A7A38"/>
    <w:rsid w:val="003B0341"/>
    <w:rsid w:val="003B1961"/>
    <w:rsid w:val="003B1E57"/>
    <w:rsid w:val="003B2EF3"/>
    <w:rsid w:val="003B534F"/>
    <w:rsid w:val="003B5391"/>
    <w:rsid w:val="003B58CE"/>
    <w:rsid w:val="003B65D7"/>
    <w:rsid w:val="003B65E0"/>
    <w:rsid w:val="003B6BD4"/>
    <w:rsid w:val="003B6F4D"/>
    <w:rsid w:val="003B6FE7"/>
    <w:rsid w:val="003B70CE"/>
    <w:rsid w:val="003C0C0F"/>
    <w:rsid w:val="003C0D1F"/>
    <w:rsid w:val="003C116A"/>
    <w:rsid w:val="003C1AF4"/>
    <w:rsid w:val="003C1CB8"/>
    <w:rsid w:val="003C22DA"/>
    <w:rsid w:val="003C2550"/>
    <w:rsid w:val="003C287F"/>
    <w:rsid w:val="003C3146"/>
    <w:rsid w:val="003C3251"/>
    <w:rsid w:val="003C3339"/>
    <w:rsid w:val="003C375A"/>
    <w:rsid w:val="003C4317"/>
    <w:rsid w:val="003C4C1F"/>
    <w:rsid w:val="003C4D9F"/>
    <w:rsid w:val="003C5247"/>
    <w:rsid w:val="003C5E8A"/>
    <w:rsid w:val="003C622C"/>
    <w:rsid w:val="003C6505"/>
    <w:rsid w:val="003C6EBA"/>
    <w:rsid w:val="003C73C7"/>
    <w:rsid w:val="003C7CFB"/>
    <w:rsid w:val="003D050B"/>
    <w:rsid w:val="003D0A1F"/>
    <w:rsid w:val="003D0B98"/>
    <w:rsid w:val="003D0C3C"/>
    <w:rsid w:val="003D0DE5"/>
    <w:rsid w:val="003D1351"/>
    <w:rsid w:val="003D21C1"/>
    <w:rsid w:val="003D281F"/>
    <w:rsid w:val="003D2F21"/>
    <w:rsid w:val="003D369D"/>
    <w:rsid w:val="003D3B15"/>
    <w:rsid w:val="003D3B2E"/>
    <w:rsid w:val="003D4101"/>
    <w:rsid w:val="003D484D"/>
    <w:rsid w:val="003D49CB"/>
    <w:rsid w:val="003D6B8F"/>
    <w:rsid w:val="003D7566"/>
    <w:rsid w:val="003E0224"/>
    <w:rsid w:val="003E09BB"/>
    <w:rsid w:val="003E159D"/>
    <w:rsid w:val="003E20EA"/>
    <w:rsid w:val="003E210C"/>
    <w:rsid w:val="003E2F55"/>
    <w:rsid w:val="003E34DB"/>
    <w:rsid w:val="003E3833"/>
    <w:rsid w:val="003E3AF9"/>
    <w:rsid w:val="003E4A70"/>
    <w:rsid w:val="003E4C48"/>
    <w:rsid w:val="003E4CD9"/>
    <w:rsid w:val="003E52C2"/>
    <w:rsid w:val="003E54B3"/>
    <w:rsid w:val="003E5780"/>
    <w:rsid w:val="003E5B9F"/>
    <w:rsid w:val="003E5CE4"/>
    <w:rsid w:val="003E6072"/>
    <w:rsid w:val="003E6AB6"/>
    <w:rsid w:val="003E6E0B"/>
    <w:rsid w:val="003E6EF6"/>
    <w:rsid w:val="003E71CD"/>
    <w:rsid w:val="003E78DA"/>
    <w:rsid w:val="003E7A8B"/>
    <w:rsid w:val="003F060E"/>
    <w:rsid w:val="003F0F7F"/>
    <w:rsid w:val="003F115C"/>
    <w:rsid w:val="003F13F8"/>
    <w:rsid w:val="003F153A"/>
    <w:rsid w:val="003F1767"/>
    <w:rsid w:val="003F1C15"/>
    <w:rsid w:val="003F23D1"/>
    <w:rsid w:val="003F2A86"/>
    <w:rsid w:val="003F300D"/>
    <w:rsid w:val="003F391F"/>
    <w:rsid w:val="003F3DE6"/>
    <w:rsid w:val="003F3FA1"/>
    <w:rsid w:val="003F4599"/>
    <w:rsid w:val="003F45E1"/>
    <w:rsid w:val="003F4A81"/>
    <w:rsid w:val="003F4F6C"/>
    <w:rsid w:val="003F52D0"/>
    <w:rsid w:val="003F559E"/>
    <w:rsid w:val="003F6098"/>
    <w:rsid w:val="003F6181"/>
    <w:rsid w:val="003F6B40"/>
    <w:rsid w:val="003F6BFC"/>
    <w:rsid w:val="003F6CE8"/>
    <w:rsid w:val="003F6D87"/>
    <w:rsid w:val="003F7343"/>
    <w:rsid w:val="00400002"/>
    <w:rsid w:val="00400054"/>
    <w:rsid w:val="00400134"/>
    <w:rsid w:val="004002C6"/>
    <w:rsid w:val="004004C2"/>
    <w:rsid w:val="00400707"/>
    <w:rsid w:val="004016A3"/>
    <w:rsid w:val="00401B31"/>
    <w:rsid w:val="0040202B"/>
    <w:rsid w:val="00402DE1"/>
    <w:rsid w:val="00402EEB"/>
    <w:rsid w:val="00403098"/>
    <w:rsid w:val="004037C2"/>
    <w:rsid w:val="00404041"/>
    <w:rsid w:val="00404270"/>
    <w:rsid w:val="00404662"/>
    <w:rsid w:val="00404B43"/>
    <w:rsid w:val="00404C61"/>
    <w:rsid w:val="00404F5D"/>
    <w:rsid w:val="00405487"/>
    <w:rsid w:val="00405730"/>
    <w:rsid w:val="00405B8A"/>
    <w:rsid w:val="0040602B"/>
    <w:rsid w:val="0040606C"/>
    <w:rsid w:val="004060DC"/>
    <w:rsid w:val="00406DF5"/>
    <w:rsid w:val="00406F35"/>
    <w:rsid w:val="004077D0"/>
    <w:rsid w:val="00407A7A"/>
    <w:rsid w:val="00407ABC"/>
    <w:rsid w:val="00407F1E"/>
    <w:rsid w:val="00410A88"/>
    <w:rsid w:val="00411317"/>
    <w:rsid w:val="00411692"/>
    <w:rsid w:val="00411A9E"/>
    <w:rsid w:val="00411F80"/>
    <w:rsid w:val="0041259F"/>
    <w:rsid w:val="00412B1B"/>
    <w:rsid w:val="00412B4D"/>
    <w:rsid w:val="00412C51"/>
    <w:rsid w:val="00413262"/>
    <w:rsid w:val="0041329C"/>
    <w:rsid w:val="004139F4"/>
    <w:rsid w:val="00413FFA"/>
    <w:rsid w:val="00414246"/>
    <w:rsid w:val="00414D9A"/>
    <w:rsid w:val="00415194"/>
    <w:rsid w:val="00415816"/>
    <w:rsid w:val="00415B88"/>
    <w:rsid w:val="00415D32"/>
    <w:rsid w:val="004160A2"/>
    <w:rsid w:val="0041674B"/>
    <w:rsid w:val="004170D7"/>
    <w:rsid w:val="004177A6"/>
    <w:rsid w:val="00417C23"/>
    <w:rsid w:val="00417EFD"/>
    <w:rsid w:val="004200EE"/>
    <w:rsid w:val="00420478"/>
    <w:rsid w:val="00420786"/>
    <w:rsid w:val="004209D2"/>
    <w:rsid w:val="00420D6E"/>
    <w:rsid w:val="0042158C"/>
    <w:rsid w:val="00421617"/>
    <w:rsid w:val="00421BD2"/>
    <w:rsid w:val="00421E00"/>
    <w:rsid w:val="00421FCB"/>
    <w:rsid w:val="0042244C"/>
    <w:rsid w:val="00422DCA"/>
    <w:rsid w:val="00423D04"/>
    <w:rsid w:val="00423F9F"/>
    <w:rsid w:val="00424CDC"/>
    <w:rsid w:val="00425C43"/>
    <w:rsid w:val="00426FB4"/>
    <w:rsid w:val="004273FA"/>
    <w:rsid w:val="004275A7"/>
    <w:rsid w:val="00430186"/>
    <w:rsid w:val="00430F17"/>
    <w:rsid w:val="0043269A"/>
    <w:rsid w:val="004333C2"/>
    <w:rsid w:val="00433415"/>
    <w:rsid w:val="00434787"/>
    <w:rsid w:val="00434C13"/>
    <w:rsid w:val="00435128"/>
    <w:rsid w:val="0043549E"/>
    <w:rsid w:val="00435703"/>
    <w:rsid w:val="00435BD5"/>
    <w:rsid w:val="00436323"/>
    <w:rsid w:val="0043683F"/>
    <w:rsid w:val="00436F40"/>
    <w:rsid w:val="004370FA"/>
    <w:rsid w:val="00440096"/>
    <w:rsid w:val="004403DD"/>
    <w:rsid w:val="004405F1"/>
    <w:rsid w:val="00440CF3"/>
    <w:rsid w:val="00440DB0"/>
    <w:rsid w:val="00440DDC"/>
    <w:rsid w:val="00440FAD"/>
    <w:rsid w:val="00441291"/>
    <w:rsid w:val="00441E04"/>
    <w:rsid w:val="004420AB"/>
    <w:rsid w:val="004422D6"/>
    <w:rsid w:val="004427AC"/>
    <w:rsid w:val="00442C7D"/>
    <w:rsid w:val="00442D13"/>
    <w:rsid w:val="00442D4D"/>
    <w:rsid w:val="0044374D"/>
    <w:rsid w:val="00443B55"/>
    <w:rsid w:val="00443D27"/>
    <w:rsid w:val="00444038"/>
    <w:rsid w:val="0044500B"/>
    <w:rsid w:val="00446037"/>
    <w:rsid w:val="004463DB"/>
    <w:rsid w:val="0044642F"/>
    <w:rsid w:val="0044772C"/>
    <w:rsid w:val="00447C11"/>
    <w:rsid w:val="00450846"/>
    <w:rsid w:val="00451847"/>
    <w:rsid w:val="00451A52"/>
    <w:rsid w:val="004521DA"/>
    <w:rsid w:val="00452361"/>
    <w:rsid w:val="0045271D"/>
    <w:rsid w:val="00452755"/>
    <w:rsid w:val="00452803"/>
    <w:rsid w:val="004529C6"/>
    <w:rsid w:val="00452EAD"/>
    <w:rsid w:val="004533D1"/>
    <w:rsid w:val="004534D1"/>
    <w:rsid w:val="00454548"/>
    <w:rsid w:val="00454717"/>
    <w:rsid w:val="00455004"/>
    <w:rsid w:val="00455047"/>
    <w:rsid w:val="00455354"/>
    <w:rsid w:val="0045558D"/>
    <w:rsid w:val="00455BD3"/>
    <w:rsid w:val="004567DA"/>
    <w:rsid w:val="00456970"/>
    <w:rsid w:val="00456BB1"/>
    <w:rsid w:val="00456CD4"/>
    <w:rsid w:val="00456DDB"/>
    <w:rsid w:val="00456E61"/>
    <w:rsid w:val="00457031"/>
    <w:rsid w:val="00460915"/>
    <w:rsid w:val="00460946"/>
    <w:rsid w:val="00461321"/>
    <w:rsid w:val="004614A9"/>
    <w:rsid w:val="00461E97"/>
    <w:rsid w:val="0046268F"/>
    <w:rsid w:val="0046284F"/>
    <w:rsid w:val="00462B10"/>
    <w:rsid w:val="00462BB1"/>
    <w:rsid w:val="00462C04"/>
    <w:rsid w:val="0046320A"/>
    <w:rsid w:val="00463515"/>
    <w:rsid w:val="004636CC"/>
    <w:rsid w:val="004638E2"/>
    <w:rsid w:val="00464030"/>
    <w:rsid w:val="004647F8"/>
    <w:rsid w:val="004647FB"/>
    <w:rsid w:val="00465347"/>
    <w:rsid w:val="00465677"/>
    <w:rsid w:val="00466616"/>
    <w:rsid w:val="00466A0C"/>
    <w:rsid w:val="00466A53"/>
    <w:rsid w:val="00470A6A"/>
    <w:rsid w:val="00470D73"/>
    <w:rsid w:val="00470D92"/>
    <w:rsid w:val="0047179C"/>
    <w:rsid w:val="00471DF7"/>
    <w:rsid w:val="004721A4"/>
    <w:rsid w:val="004734CF"/>
    <w:rsid w:val="004756FD"/>
    <w:rsid w:val="0047586C"/>
    <w:rsid w:val="00475C5A"/>
    <w:rsid w:val="00475C9C"/>
    <w:rsid w:val="0047676B"/>
    <w:rsid w:val="0047773C"/>
    <w:rsid w:val="004777DF"/>
    <w:rsid w:val="00477C5F"/>
    <w:rsid w:val="00480050"/>
    <w:rsid w:val="0048011C"/>
    <w:rsid w:val="00480170"/>
    <w:rsid w:val="004808DE"/>
    <w:rsid w:val="00481AC4"/>
    <w:rsid w:val="00481C44"/>
    <w:rsid w:val="00481DC1"/>
    <w:rsid w:val="00482507"/>
    <w:rsid w:val="0048268A"/>
    <w:rsid w:val="004831B1"/>
    <w:rsid w:val="00483379"/>
    <w:rsid w:val="004835CA"/>
    <w:rsid w:val="004836F8"/>
    <w:rsid w:val="004836FE"/>
    <w:rsid w:val="00484F0F"/>
    <w:rsid w:val="00484F40"/>
    <w:rsid w:val="0048540C"/>
    <w:rsid w:val="004861B4"/>
    <w:rsid w:val="00486226"/>
    <w:rsid w:val="00486BD0"/>
    <w:rsid w:val="00486D00"/>
    <w:rsid w:val="00486FF7"/>
    <w:rsid w:val="00487263"/>
    <w:rsid w:val="0048734F"/>
    <w:rsid w:val="0048742E"/>
    <w:rsid w:val="0049029D"/>
    <w:rsid w:val="0049030C"/>
    <w:rsid w:val="004903C0"/>
    <w:rsid w:val="00490D3C"/>
    <w:rsid w:val="0049114B"/>
    <w:rsid w:val="004912A8"/>
    <w:rsid w:val="00491577"/>
    <w:rsid w:val="004918E1"/>
    <w:rsid w:val="0049196A"/>
    <w:rsid w:val="0049196E"/>
    <w:rsid w:val="004922B6"/>
    <w:rsid w:val="0049241A"/>
    <w:rsid w:val="00492C1F"/>
    <w:rsid w:val="00492E4C"/>
    <w:rsid w:val="00493664"/>
    <w:rsid w:val="004938FD"/>
    <w:rsid w:val="00493E04"/>
    <w:rsid w:val="004940E3"/>
    <w:rsid w:val="0049530F"/>
    <w:rsid w:val="00496664"/>
    <w:rsid w:val="00496786"/>
    <w:rsid w:val="0049695B"/>
    <w:rsid w:val="00496D8F"/>
    <w:rsid w:val="00497463"/>
    <w:rsid w:val="00497BF4"/>
    <w:rsid w:val="004A054C"/>
    <w:rsid w:val="004A08D1"/>
    <w:rsid w:val="004A0905"/>
    <w:rsid w:val="004A0F5B"/>
    <w:rsid w:val="004A16C1"/>
    <w:rsid w:val="004A1CE2"/>
    <w:rsid w:val="004A31BD"/>
    <w:rsid w:val="004A34D2"/>
    <w:rsid w:val="004A4301"/>
    <w:rsid w:val="004A4587"/>
    <w:rsid w:val="004A45E5"/>
    <w:rsid w:val="004A4D93"/>
    <w:rsid w:val="004A58EE"/>
    <w:rsid w:val="004A59B7"/>
    <w:rsid w:val="004A6051"/>
    <w:rsid w:val="004A623B"/>
    <w:rsid w:val="004A6A04"/>
    <w:rsid w:val="004A6A52"/>
    <w:rsid w:val="004B07B2"/>
    <w:rsid w:val="004B0A44"/>
    <w:rsid w:val="004B0F0B"/>
    <w:rsid w:val="004B2197"/>
    <w:rsid w:val="004B298A"/>
    <w:rsid w:val="004B4DE8"/>
    <w:rsid w:val="004B50CB"/>
    <w:rsid w:val="004B512B"/>
    <w:rsid w:val="004B578D"/>
    <w:rsid w:val="004B5BE7"/>
    <w:rsid w:val="004B5E2D"/>
    <w:rsid w:val="004B6C07"/>
    <w:rsid w:val="004B74D3"/>
    <w:rsid w:val="004B755E"/>
    <w:rsid w:val="004B788E"/>
    <w:rsid w:val="004B7E5D"/>
    <w:rsid w:val="004C0F29"/>
    <w:rsid w:val="004C22F7"/>
    <w:rsid w:val="004C2A3E"/>
    <w:rsid w:val="004C2B27"/>
    <w:rsid w:val="004C3929"/>
    <w:rsid w:val="004C5212"/>
    <w:rsid w:val="004C5EF0"/>
    <w:rsid w:val="004C64C9"/>
    <w:rsid w:val="004C7226"/>
    <w:rsid w:val="004C74C9"/>
    <w:rsid w:val="004C7915"/>
    <w:rsid w:val="004C7D70"/>
    <w:rsid w:val="004D02F9"/>
    <w:rsid w:val="004D03FE"/>
    <w:rsid w:val="004D0446"/>
    <w:rsid w:val="004D06A3"/>
    <w:rsid w:val="004D0AEA"/>
    <w:rsid w:val="004D0F95"/>
    <w:rsid w:val="004D106A"/>
    <w:rsid w:val="004D1C7E"/>
    <w:rsid w:val="004D1FB0"/>
    <w:rsid w:val="004D245A"/>
    <w:rsid w:val="004D2571"/>
    <w:rsid w:val="004D25EB"/>
    <w:rsid w:val="004D31EE"/>
    <w:rsid w:val="004D36AF"/>
    <w:rsid w:val="004D3BD1"/>
    <w:rsid w:val="004D4A64"/>
    <w:rsid w:val="004D4BA1"/>
    <w:rsid w:val="004D584D"/>
    <w:rsid w:val="004D5A7E"/>
    <w:rsid w:val="004D6120"/>
    <w:rsid w:val="004D6826"/>
    <w:rsid w:val="004D688D"/>
    <w:rsid w:val="004E023F"/>
    <w:rsid w:val="004E0546"/>
    <w:rsid w:val="004E0742"/>
    <w:rsid w:val="004E0C64"/>
    <w:rsid w:val="004E0F6B"/>
    <w:rsid w:val="004E133F"/>
    <w:rsid w:val="004E1545"/>
    <w:rsid w:val="004E1F1C"/>
    <w:rsid w:val="004E2A35"/>
    <w:rsid w:val="004E40CE"/>
    <w:rsid w:val="004E5736"/>
    <w:rsid w:val="004E5A3C"/>
    <w:rsid w:val="004E5B36"/>
    <w:rsid w:val="004E5D5D"/>
    <w:rsid w:val="004E6045"/>
    <w:rsid w:val="004E675E"/>
    <w:rsid w:val="004E6F43"/>
    <w:rsid w:val="004E7200"/>
    <w:rsid w:val="004E787E"/>
    <w:rsid w:val="004E7AA1"/>
    <w:rsid w:val="004F0960"/>
    <w:rsid w:val="004F0A5C"/>
    <w:rsid w:val="004F1596"/>
    <w:rsid w:val="004F163F"/>
    <w:rsid w:val="004F18A0"/>
    <w:rsid w:val="004F1A08"/>
    <w:rsid w:val="004F2B64"/>
    <w:rsid w:val="004F31B8"/>
    <w:rsid w:val="004F375E"/>
    <w:rsid w:val="004F3764"/>
    <w:rsid w:val="004F3EEF"/>
    <w:rsid w:val="004F5180"/>
    <w:rsid w:val="004F57C9"/>
    <w:rsid w:val="004F5930"/>
    <w:rsid w:val="004F5970"/>
    <w:rsid w:val="004F5F0C"/>
    <w:rsid w:val="004F6121"/>
    <w:rsid w:val="004F6161"/>
    <w:rsid w:val="004F66BC"/>
    <w:rsid w:val="004F6C26"/>
    <w:rsid w:val="004F7AC9"/>
    <w:rsid w:val="0050039C"/>
    <w:rsid w:val="0050062F"/>
    <w:rsid w:val="00500E74"/>
    <w:rsid w:val="0050160F"/>
    <w:rsid w:val="0050273B"/>
    <w:rsid w:val="0050284E"/>
    <w:rsid w:val="00502911"/>
    <w:rsid w:val="0050306F"/>
    <w:rsid w:val="00503EC8"/>
    <w:rsid w:val="00505DCB"/>
    <w:rsid w:val="005075CA"/>
    <w:rsid w:val="00507B06"/>
    <w:rsid w:val="00507BF1"/>
    <w:rsid w:val="0051074C"/>
    <w:rsid w:val="00510DE9"/>
    <w:rsid w:val="00510E2B"/>
    <w:rsid w:val="00510E79"/>
    <w:rsid w:val="005111E2"/>
    <w:rsid w:val="00511231"/>
    <w:rsid w:val="00512C4F"/>
    <w:rsid w:val="00513042"/>
    <w:rsid w:val="0051334F"/>
    <w:rsid w:val="00513399"/>
    <w:rsid w:val="00513481"/>
    <w:rsid w:val="00513AF2"/>
    <w:rsid w:val="00514575"/>
    <w:rsid w:val="00514C03"/>
    <w:rsid w:val="00514D67"/>
    <w:rsid w:val="0051522A"/>
    <w:rsid w:val="00515515"/>
    <w:rsid w:val="005157A0"/>
    <w:rsid w:val="0051635C"/>
    <w:rsid w:val="00516C5B"/>
    <w:rsid w:val="00517612"/>
    <w:rsid w:val="00517CFB"/>
    <w:rsid w:val="00517F85"/>
    <w:rsid w:val="00520235"/>
    <w:rsid w:val="00520899"/>
    <w:rsid w:val="00520922"/>
    <w:rsid w:val="005209FC"/>
    <w:rsid w:val="00520C09"/>
    <w:rsid w:val="00521A30"/>
    <w:rsid w:val="005224E5"/>
    <w:rsid w:val="00523903"/>
    <w:rsid w:val="005239B6"/>
    <w:rsid w:val="00523C45"/>
    <w:rsid w:val="00523EE1"/>
    <w:rsid w:val="00523F41"/>
    <w:rsid w:val="00524165"/>
    <w:rsid w:val="005246E7"/>
    <w:rsid w:val="00524B08"/>
    <w:rsid w:val="00524C38"/>
    <w:rsid w:val="00524FD2"/>
    <w:rsid w:val="00525621"/>
    <w:rsid w:val="00526431"/>
    <w:rsid w:val="00526BBF"/>
    <w:rsid w:val="00527532"/>
    <w:rsid w:val="00527DEB"/>
    <w:rsid w:val="00527E57"/>
    <w:rsid w:val="00527F2C"/>
    <w:rsid w:val="005302C8"/>
    <w:rsid w:val="00530405"/>
    <w:rsid w:val="00530522"/>
    <w:rsid w:val="005305E5"/>
    <w:rsid w:val="0053086F"/>
    <w:rsid w:val="00530CBA"/>
    <w:rsid w:val="00530DD7"/>
    <w:rsid w:val="00530F38"/>
    <w:rsid w:val="00531E9A"/>
    <w:rsid w:val="00531F26"/>
    <w:rsid w:val="0053277C"/>
    <w:rsid w:val="005327C0"/>
    <w:rsid w:val="00532B61"/>
    <w:rsid w:val="00533101"/>
    <w:rsid w:val="00533CA9"/>
    <w:rsid w:val="005346AD"/>
    <w:rsid w:val="00534A10"/>
    <w:rsid w:val="00534EFB"/>
    <w:rsid w:val="00534F60"/>
    <w:rsid w:val="005357F1"/>
    <w:rsid w:val="00535D15"/>
    <w:rsid w:val="00536053"/>
    <w:rsid w:val="005369E6"/>
    <w:rsid w:val="005371AC"/>
    <w:rsid w:val="00537672"/>
    <w:rsid w:val="0053772F"/>
    <w:rsid w:val="00537A70"/>
    <w:rsid w:val="00537B64"/>
    <w:rsid w:val="00537B77"/>
    <w:rsid w:val="00540C4C"/>
    <w:rsid w:val="00541469"/>
    <w:rsid w:val="00541571"/>
    <w:rsid w:val="00541B1F"/>
    <w:rsid w:val="0054275A"/>
    <w:rsid w:val="005428B8"/>
    <w:rsid w:val="005428BE"/>
    <w:rsid w:val="00542BD7"/>
    <w:rsid w:val="00543084"/>
    <w:rsid w:val="00543584"/>
    <w:rsid w:val="00543A9E"/>
    <w:rsid w:val="0054413A"/>
    <w:rsid w:val="00544288"/>
    <w:rsid w:val="005446BB"/>
    <w:rsid w:val="00544DA5"/>
    <w:rsid w:val="00544F43"/>
    <w:rsid w:val="00545730"/>
    <w:rsid w:val="00545E30"/>
    <w:rsid w:val="00545EA3"/>
    <w:rsid w:val="00546C9B"/>
    <w:rsid w:val="00547BF6"/>
    <w:rsid w:val="00547FB3"/>
    <w:rsid w:val="005500A7"/>
    <w:rsid w:val="00551098"/>
    <w:rsid w:val="00551598"/>
    <w:rsid w:val="0055162B"/>
    <w:rsid w:val="00551A56"/>
    <w:rsid w:val="00551BFF"/>
    <w:rsid w:val="00551D68"/>
    <w:rsid w:val="00551DFF"/>
    <w:rsid w:val="005525C9"/>
    <w:rsid w:val="00552B3E"/>
    <w:rsid w:val="005535B9"/>
    <w:rsid w:val="00554D57"/>
    <w:rsid w:val="005551AA"/>
    <w:rsid w:val="0055604C"/>
    <w:rsid w:val="005564CA"/>
    <w:rsid w:val="005568EA"/>
    <w:rsid w:val="00557140"/>
    <w:rsid w:val="0055715A"/>
    <w:rsid w:val="0055729E"/>
    <w:rsid w:val="00557984"/>
    <w:rsid w:val="00557A3F"/>
    <w:rsid w:val="00560C87"/>
    <w:rsid w:val="00560F51"/>
    <w:rsid w:val="00561249"/>
    <w:rsid w:val="0056182B"/>
    <w:rsid w:val="00561A88"/>
    <w:rsid w:val="00561AF3"/>
    <w:rsid w:val="00561E0B"/>
    <w:rsid w:val="00562141"/>
    <w:rsid w:val="00562D86"/>
    <w:rsid w:val="00564704"/>
    <w:rsid w:val="00564712"/>
    <w:rsid w:val="005657A8"/>
    <w:rsid w:val="00565952"/>
    <w:rsid w:val="00566866"/>
    <w:rsid w:val="005670A5"/>
    <w:rsid w:val="00567285"/>
    <w:rsid w:val="00567368"/>
    <w:rsid w:val="00567723"/>
    <w:rsid w:val="0056772D"/>
    <w:rsid w:val="005678F5"/>
    <w:rsid w:val="00567AB8"/>
    <w:rsid w:val="00570A26"/>
    <w:rsid w:val="00570C49"/>
    <w:rsid w:val="00570CFD"/>
    <w:rsid w:val="00570D7D"/>
    <w:rsid w:val="00571872"/>
    <w:rsid w:val="00571993"/>
    <w:rsid w:val="0057221F"/>
    <w:rsid w:val="00572421"/>
    <w:rsid w:val="00572539"/>
    <w:rsid w:val="00573355"/>
    <w:rsid w:val="0057337D"/>
    <w:rsid w:val="00573504"/>
    <w:rsid w:val="00573BA3"/>
    <w:rsid w:val="005746B2"/>
    <w:rsid w:val="00574708"/>
    <w:rsid w:val="00574D81"/>
    <w:rsid w:val="005756AA"/>
    <w:rsid w:val="0057696F"/>
    <w:rsid w:val="00576DB6"/>
    <w:rsid w:val="00577379"/>
    <w:rsid w:val="005774FE"/>
    <w:rsid w:val="005776CB"/>
    <w:rsid w:val="0058040C"/>
    <w:rsid w:val="00580D6D"/>
    <w:rsid w:val="005813DE"/>
    <w:rsid w:val="00581796"/>
    <w:rsid w:val="00581B45"/>
    <w:rsid w:val="00582480"/>
    <w:rsid w:val="00582805"/>
    <w:rsid w:val="0058290E"/>
    <w:rsid w:val="00582CAB"/>
    <w:rsid w:val="00582FA6"/>
    <w:rsid w:val="005836D5"/>
    <w:rsid w:val="0058375E"/>
    <w:rsid w:val="00584233"/>
    <w:rsid w:val="005842D0"/>
    <w:rsid w:val="005843E8"/>
    <w:rsid w:val="005845FB"/>
    <w:rsid w:val="005855AE"/>
    <w:rsid w:val="00585829"/>
    <w:rsid w:val="00585CA8"/>
    <w:rsid w:val="00586412"/>
    <w:rsid w:val="005864B9"/>
    <w:rsid w:val="005866C4"/>
    <w:rsid w:val="00590F1A"/>
    <w:rsid w:val="0059114D"/>
    <w:rsid w:val="00591C03"/>
    <w:rsid w:val="00591E2A"/>
    <w:rsid w:val="005923C4"/>
    <w:rsid w:val="005938C3"/>
    <w:rsid w:val="00593EA2"/>
    <w:rsid w:val="00593F75"/>
    <w:rsid w:val="005940A0"/>
    <w:rsid w:val="0059429A"/>
    <w:rsid w:val="0059475D"/>
    <w:rsid w:val="00594A54"/>
    <w:rsid w:val="00594CBE"/>
    <w:rsid w:val="00595AF6"/>
    <w:rsid w:val="00596AF7"/>
    <w:rsid w:val="00596CCE"/>
    <w:rsid w:val="005A1976"/>
    <w:rsid w:val="005A2120"/>
    <w:rsid w:val="005A2501"/>
    <w:rsid w:val="005A2C80"/>
    <w:rsid w:val="005A3066"/>
    <w:rsid w:val="005A3B35"/>
    <w:rsid w:val="005A3C4B"/>
    <w:rsid w:val="005A3E5A"/>
    <w:rsid w:val="005A43F3"/>
    <w:rsid w:val="005A496F"/>
    <w:rsid w:val="005A4A56"/>
    <w:rsid w:val="005A4F69"/>
    <w:rsid w:val="005A5608"/>
    <w:rsid w:val="005A5A3D"/>
    <w:rsid w:val="005A6035"/>
    <w:rsid w:val="005A6B75"/>
    <w:rsid w:val="005A6E00"/>
    <w:rsid w:val="005A718A"/>
    <w:rsid w:val="005A7885"/>
    <w:rsid w:val="005B12B2"/>
    <w:rsid w:val="005B143B"/>
    <w:rsid w:val="005B19BD"/>
    <w:rsid w:val="005B1E45"/>
    <w:rsid w:val="005B21C4"/>
    <w:rsid w:val="005B2A28"/>
    <w:rsid w:val="005B3621"/>
    <w:rsid w:val="005B3EBE"/>
    <w:rsid w:val="005B4948"/>
    <w:rsid w:val="005B501D"/>
    <w:rsid w:val="005B54CC"/>
    <w:rsid w:val="005B74AD"/>
    <w:rsid w:val="005B7E96"/>
    <w:rsid w:val="005C0297"/>
    <w:rsid w:val="005C0429"/>
    <w:rsid w:val="005C084F"/>
    <w:rsid w:val="005C0EE9"/>
    <w:rsid w:val="005C0FC4"/>
    <w:rsid w:val="005C16A8"/>
    <w:rsid w:val="005C1716"/>
    <w:rsid w:val="005C1954"/>
    <w:rsid w:val="005C1C0B"/>
    <w:rsid w:val="005C1F78"/>
    <w:rsid w:val="005C2011"/>
    <w:rsid w:val="005C3EA3"/>
    <w:rsid w:val="005C44DE"/>
    <w:rsid w:val="005C5011"/>
    <w:rsid w:val="005C5241"/>
    <w:rsid w:val="005C529E"/>
    <w:rsid w:val="005C57BA"/>
    <w:rsid w:val="005C5C52"/>
    <w:rsid w:val="005C5D3D"/>
    <w:rsid w:val="005C5F05"/>
    <w:rsid w:val="005C6186"/>
    <w:rsid w:val="005C6247"/>
    <w:rsid w:val="005C7E45"/>
    <w:rsid w:val="005C7EFA"/>
    <w:rsid w:val="005C7F3E"/>
    <w:rsid w:val="005D065E"/>
    <w:rsid w:val="005D06D3"/>
    <w:rsid w:val="005D0C3B"/>
    <w:rsid w:val="005D1051"/>
    <w:rsid w:val="005D1606"/>
    <w:rsid w:val="005D1FD4"/>
    <w:rsid w:val="005D2044"/>
    <w:rsid w:val="005D209E"/>
    <w:rsid w:val="005D2917"/>
    <w:rsid w:val="005D2EB2"/>
    <w:rsid w:val="005D2F48"/>
    <w:rsid w:val="005D3795"/>
    <w:rsid w:val="005D3B32"/>
    <w:rsid w:val="005D464B"/>
    <w:rsid w:val="005D466F"/>
    <w:rsid w:val="005D49F0"/>
    <w:rsid w:val="005D51F7"/>
    <w:rsid w:val="005D51FA"/>
    <w:rsid w:val="005D53E8"/>
    <w:rsid w:val="005D5A9D"/>
    <w:rsid w:val="005D5D15"/>
    <w:rsid w:val="005D6651"/>
    <w:rsid w:val="005D691D"/>
    <w:rsid w:val="005D6A72"/>
    <w:rsid w:val="005D6F38"/>
    <w:rsid w:val="005D7544"/>
    <w:rsid w:val="005D789F"/>
    <w:rsid w:val="005D791B"/>
    <w:rsid w:val="005D7CF2"/>
    <w:rsid w:val="005D7F92"/>
    <w:rsid w:val="005E062C"/>
    <w:rsid w:val="005E0D7B"/>
    <w:rsid w:val="005E10F9"/>
    <w:rsid w:val="005E1595"/>
    <w:rsid w:val="005E1F1D"/>
    <w:rsid w:val="005E273D"/>
    <w:rsid w:val="005E3278"/>
    <w:rsid w:val="005E363B"/>
    <w:rsid w:val="005E3736"/>
    <w:rsid w:val="005E38E9"/>
    <w:rsid w:val="005E4B72"/>
    <w:rsid w:val="005E52C9"/>
    <w:rsid w:val="005F02D8"/>
    <w:rsid w:val="005F1D88"/>
    <w:rsid w:val="005F305B"/>
    <w:rsid w:val="005F3361"/>
    <w:rsid w:val="005F3ACA"/>
    <w:rsid w:val="005F3B47"/>
    <w:rsid w:val="005F4481"/>
    <w:rsid w:val="005F47AC"/>
    <w:rsid w:val="005F49AF"/>
    <w:rsid w:val="005F4A58"/>
    <w:rsid w:val="005F54DF"/>
    <w:rsid w:val="005F5888"/>
    <w:rsid w:val="005F5984"/>
    <w:rsid w:val="005F5EAB"/>
    <w:rsid w:val="005F6CE2"/>
    <w:rsid w:val="005F6EC8"/>
    <w:rsid w:val="005F6F24"/>
    <w:rsid w:val="005F72E9"/>
    <w:rsid w:val="005F780B"/>
    <w:rsid w:val="0060009B"/>
    <w:rsid w:val="00600473"/>
    <w:rsid w:val="0060139A"/>
    <w:rsid w:val="006013C9"/>
    <w:rsid w:val="00601B66"/>
    <w:rsid w:val="00601FC4"/>
    <w:rsid w:val="006021EA"/>
    <w:rsid w:val="00602B45"/>
    <w:rsid w:val="00602F38"/>
    <w:rsid w:val="00603499"/>
    <w:rsid w:val="006035F5"/>
    <w:rsid w:val="00603CC2"/>
    <w:rsid w:val="006042CD"/>
    <w:rsid w:val="006047D1"/>
    <w:rsid w:val="006048A4"/>
    <w:rsid w:val="00604A55"/>
    <w:rsid w:val="00604D4E"/>
    <w:rsid w:val="00604E3E"/>
    <w:rsid w:val="00605AC3"/>
    <w:rsid w:val="00606908"/>
    <w:rsid w:val="00607996"/>
    <w:rsid w:val="00607A37"/>
    <w:rsid w:val="00607E9F"/>
    <w:rsid w:val="0061085E"/>
    <w:rsid w:val="00610FBF"/>
    <w:rsid w:val="00611398"/>
    <w:rsid w:val="006113B4"/>
    <w:rsid w:val="0061186D"/>
    <w:rsid w:val="00611DA7"/>
    <w:rsid w:val="00612322"/>
    <w:rsid w:val="006123C0"/>
    <w:rsid w:val="00613191"/>
    <w:rsid w:val="006133F9"/>
    <w:rsid w:val="006134B3"/>
    <w:rsid w:val="00613DE1"/>
    <w:rsid w:val="0061401F"/>
    <w:rsid w:val="00614166"/>
    <w:rsid w:val="0061466C"/>
    <w:rsid w:val="00614817"/>
    <w:rsid w:val="006149CC"/>
    <w:rsid w:val="006157A9"/>
    <w:rsid w:val="0061591D"/>
    <w:rsid w:val="00615ED0"/>
    <w:rsid w:val="0061604C"/>
    <w:rsid w:val="00616C2B"/>
    <w:rsid w:val="00616D7F"/>
    <w:rsid w:val="006178D1"/>
    <w:rsid w:val="00617A5B"/>
    <w:rsid w:val="00620210"/>
    <w:rsid w:val="00620719"/>
    <w:rsid w:val="006212C9"/>
    <w:rsid w:val="00621A72"/>
    <w:rsid w:val="00621D0C"/>
    <w:rsid w:val="00622229"/>
    <w:rsid w:val="00622470"/>
    <w:rsid w:val="00622725"/>
    <w:rsid w:val="006231AA"/>
    <w:rsid w:val="00623482"/>
    <w:rsid w:val="00623AC2"/>
    <w:rsid w:val="00623EBC"/>
    <w:rsid w:val="006251D3"/>
    <w:rsid w:val="00625642"/>
    <w:rsid w:val="00626133"/>
    <w:rsid w:val="006266D7"/>
    <w:rsid w:val="00626D1E"/>
    <w:rsid w:val="00626D42"/>
    <w:rsid w:val="00626EE3"/>
    <w:rsid w:val="006274AD"/>
    <w:rsid w:val="00627519"/>
    <w:rsid w:val="00627532"/>
    <w:rsid w:val="006302AA"/>
    <w:rsid w:val="006307FD"/>
    <w:rsid w:val="00631059"/>
    <w:rsid w:val="006310C3"/>
    <w:rsid w:val="00631245"/>
    <w:rsid w:val="006312E1"/>
    <w:rsid w:val="0063161E"/>
    <w:rsid w:val="00631BB5"/>
    <w:rsid w:val="00631DD0"/>
    <w:rsid w:val="00633DBF"/>
    <w:rsid w:val="00634122"/>
    <w:rsid w:val="0063444B"/>
    <w:rsid w:val="00635E32"/>
    <w:rsid w:val="006360FC"/>
    <w:rsid w:val="006361C9"/>
    <w:rsid w:val="006365DE"/>
    <w:rsid w:val="00636BE4"/>
    <w:rsid w:val="00636F88"/>
    <w:rsid w:val="0063732C"/>
    <w:rsid w:val="00637802"/>
    <w:rsid w:val="00637836"/>
    <w:rsid w:val="00637C26"/>
    <w:rsid w:val="00637F44"/>
    <w:rsid w:val="00641078"/>
    <w:rsid w:val="00641242"/>
    <w:rsid w:val="00642A32"/>
    <w:rsid w:val="00642D7A"/>
    <w:rsid w:val="006433D5"/>
    <w:rsid w:val="00643412"/>
    <w:rsid w:val="00645CEB"/>
    <w:rsid w:val="00646B20"/>
    <w:rsid w:val="00646D0F"/>
    <w:rsid w:val="00646D57"/>
    <w:rsid w:val="00646D69"/>
    <w:rsid w:val="00647A36"/>
    <w:rsid w:val="00647DCC"/>
    <w:rsid w:val="00647EFA"/>
    <w:rsid w:val="00647F14"/>
    <w:rsid w:val="00650027"/>
    <w:rsid w:val="00650BBF"/>
    <w:rsid w:val="00650E89"/>
    <w:rsid w:val="00651B9C"/>
    <w:rsid w:val="00651C47"/>
    <w:rsid w:val="00651D91"/>
    <w:rsid w:val="00652E70"/>
    <w:rsid w:val="0065339A"/>
    <w:rsid w:val="00653469"/>
    <w:rsid w:val="00653A14"/>
    <w:rsid w:val="0065443A"/>
    <w:rsid w:val="00654A38"/>
    <w:rsid w:val="00655301"/>
    <w:rsid w:val="00655371"/>
    <w:rsid w:val="00655507"/>
    <w:rsid w:val="00656855"/>
    <w:rsid w:val="00656C4B"/>
    <w:rsid w:val="00656EEE"/>
    <w:rsid w:val="006572A7"/>
    <w:rsid w:val="006573EA"/>
    <w:rsid w:val="006606A4"/>
    <w:rsid w:val="00660748"/>
    <w:rsid w:val="00661029"/>
    <w:rsid w:val="006610C3"/>
    <w:rsid w:val="0066135A"/>
    <w:rsid w:val="00661A38"/>
    <w:rsid w:val="0066272D"/>
    <w:rsid w:val="00662E58"/>
    <w:rsid w:val="00662F39"/>
    <w:rsid w:val="006635A0"/>
    <w:rsid w:val="00663D26"/>
    <w:rsid w:val="00664351"/>
    <w:rsid w:val="00665968"/>
    <w:rsid w:val="00665BF7"/>
    <w:rsid w:val="006660F0"/>
    <w:rsid w:val="00666178"/>
    <w:rsid w:val="0066639E"/>
    <w:rsid w:val="00666473"/>
    <w:rsid w:val="00666C72"/>
    <w:rsid w:val="00666E6C"/>
    <w:rsid w:val="0066707F"/>
    <w:rsid w:val="00667ED8"/>
    <w:rsid w:val="0067064C"/>
    <w:rsid w:val="00670B20"/>
    <w:rsid w:val="00670E12"/>
    <w:rsid w:val="00670F27"/>
    <w:rsid w:val="00671A78"/>
    <w:rsid w:val="00671E42"/>
    <w:rsid w:val="0067271C"/>
    <w:rsid w:val="00672E80"/>
    <w:rsid w:val="0067333F"/>
    <w:rsid w:val="006739E4"/>
    <w:rsid w:val="00673DD7"/>
    <w:rsid w:val="00673ECF"/>
    <w:rsid w:val="0067426B"/>
    <w:rsid w:val="00674A1B"/>
    <w:rsid w:val="00674F1C"/>
    <w:rsid w:val="006754F8"/>
    <w:rsid w:val="00676127"/>
    <w:rsid w:val="00676AED"/>
    <w:rsid w:val="006771DA"/>
    <w:rsid w:val="00677212"/>
    <w:rsid w:val="00677B26"/>
    <w:rsid w:val="00677F26"/>
    <w:rsid w:val="006800EE"/>
    <w:rsid w:val="006802A7"/>
    <w:rsid w:val="00680A86"/>
    <w:rsid w:val="006811C9"/>
    <w:rsid w:val="006812CE"/>
    <w:rsid w:val="006825E2"/>
    <w:rsid w:val="00682640"/>
    <w:rsid w:val="006826C1"/>
    <w:rsid w:val="00682C89"/>
    <w:rsid w:val="006832B8"/>
    <w:rsid w:val="006837B2"/>
    <w:rsid w:val="00683800"/>
    <w:rsid w:val="00684462"/>
    <w:rsid w:val="00684C0D"/>
    <w:rsid w:val="00684C8A"/>
    <w:rsid w:val="00684CF5"/>
    <w:rsid w:val="0068553E"/>
    <w:rsid w:val="0068557F"/>
    <w:rsid w:val="00685D37"/>
    <w:rsid w:val="00685E7B"/>
    <w:rsid w:val="00686551"/>
    <w:rsid w:val="00686CAB"/>
    <w:rsid w:val="0068717F"/>
    <w:rsid w:val="0068730C"/>
    <w:rsid w:val="00687504"/>
    <w:rsid w:val="00687A14"/>
    <w:rsid w:val="00687A8C"/>
    <w:rsid w:val="00690839"/>
    <w:rsid w:val="006908DB"/>
    <w:rsid w:val="00690DE9"/>
    <w:rsid w:val="00691563"/>
    <w:rsid w:val="00691DE9"/>
    <w:rsid w:val="00691EAA"/>
    <w:rsid w:val="00692245"/>
    <w:rsid w:val="00692745"/>
    <w:rsid w:val="00692FCD"/>
    <w:rsid w:val="00692FFA"/>
    <w:rsid w:val="00693772"/>
    <w:rsid w:val="00693984"/>
    <w:rsid w:val="00693B77"/>
    <w:rsid w:val="00694160"/>
    <w:rsid w:val="006959A5"/>
    <w:rsid w:val="00695C0C"/>
    <w:rsid w:val="00696736"/>
    <w:rsid w:val="00696A05"/>
    <w:rsid w:val="00697665"/>
    <w:rsid w:val="006978E1"/>
    <w:rsid w:val="00697C9A"/>
    <w:rsid w:val="00697E68"/>
    <w:rsid w:val="00697FC1"/>
    <w:rsid w:val="006A0274"/>
    <w:rsid w:val="006A112B"/>
    <w:rsid w:val="006A27BC"/>
    <w:rsid w:val="006A2948"/>
    <w:rsid w:val="006A2A43"/>
    <w:rsid w:val="006A2BF1"/>
    <w:rsid w:val="006A2F9A"/>
    <w:rsid w:val="006A34E4"/>
    <w:rsid w:val="006A3A5A"/>
    <w:rsid w:val="006A44CF"/>
    <w:rsid w:val="006A457D"/>
    <w:rsid w:val="006A4C06"/>
    <w:rsid w:val="006A55EE"/>
    <w:rsid w:val="006A575B"/>
    <w:rsid w:val="006A59DE"/>
    <w:rsid w:val="006A64C6"/>
    <w:rsid w:val="006A6655"/>
    <w:rsid w:val="006A6BF9"/>
    <w:rsid w:val="006A7CB5"/>
    <w:rsid w:val="006A7FD0"/>
    <w:rsid w:val="006B025C"/>
    <w:rsid w:val="006B08ED"/>
    <w:rsid w:val="006B2534"/>
    <w:rsid w:val="006B28DE"/>
    <w:rsid w:val="006B2CB2"/>
    <w:rsid w:val="006B347D"/>
    <w:rsid w:val="006B3E19"/>
    <w:rsid w:val="006B4488"/>
    <w:rsid w:val="006B50C4"/>
    <w:rsid w:val="006B53AE"/>
    <w:rsid w:val="006B58B4"/>
    <w:rsid w:val="006B67AC"/>
    <w:rsid w:val="006B786A"/>
    <w:rsid w:val="006B7E4E"/>
    <w:rsid w:val="006C003A"/>
    <w:rsid w:val="006C0630"/>
    <w:rsid w:val="006C0AB9"/>
    <w:rsid w:val="006C107C"/>
    <w:rsid w:val="006C189C"/>
    <w:rsid w:val="006C2454"/>
    <w:rsid w:val="006C2551"/>
    <w:rsid w:val="006C37CA"/>
    <w:rsid w:val="006C40D2"/>
    <w:rsid w:val="006C4684"/>
    <w:rsid w:val="006C4B85"/>
    <w:rsid w:val="006C4BBD"/>
    <w:rsid w:val="006C5B15"/>
    <w:rsid w:val="006C5D32"/>
    <w:rsid w:val="006C5DCB"/>
    <w:rsid w:val="006C6475"/>
    <w:rsid w:val="006C70C4"/>
    <w:rsid w:val="006C741F"/>
    <w:rsid w:val="006D04DA"/>
    <w:rsid w:val="006D10F6"/>
    <w:rsid w:val="006D1544"/>
    <w:rsid w:val="006D1688"/>
    <w:rsid w:val="006D1BE1"/>
    <w:rsid w:val="006D1DD3"/>
    <w:rsid w:val="006D1FF3"/>
    <w:rsid w:val="006D2C65"/>
    <w:rsid w:val="006D2DB7"/>
    <w:rsid w:val="006D32C6"/>
    <w:rsid w:val="006D360E"/>
    <w:rsid w:val="006D3697"/>
    <w:rsid w:val="006D39D2"/>
    <w:rsid w:val="006D3A94"/>
    <w:rsid w:val="006D3F2A"/>
    <w:rsid w:val="006D4370"/>
    <w:rsid w:val="006D46A3"/>
    <w:rsid w:val="006D4AB2"/>
    <w:rsid w:val="006D4E32"/>
    <w:rsid w:val="006D5DCB"/>
    <w:rsid w:val="006D62E0"/>
    <w:rsid w:val="006D658F"/>
    <w:rsid w:val="006D6A12"/>
    <w:rsid w:val="006D712D"/>
    <w:rsid w:val="006D7687"/>
    <w:rsid w:val="006D7D1F"/>
    <w:rsid w:val="006D7D8A"/>
    <w:rsid w:val="006E046C"/>
    <w:rsid w:val="006E0572"/>
    <w:rsid w:val="006E05D8"/>
    <w:rsid w:val="006E0628"/>
    <w:rsid w:val="006E08EE"/>
    <w:rsid w:val="006E0CBD"/>
    <w:rsid w:val="006E155A"/>
    <w:rsid w:val="006E2B05"/>
    <w:rsid w:val="006E2C34"/>
    <w:rsid w:val="006E359B"/>
    <w:rsid w:val="006E39D1"/>
    <w:rsid w:val="006E3B05"/>
    <w:rsid w:val="006E437F"/>
    <w:rsid w:val="006E4D5B"/>
    <w:rsid w:val="006E602F"/>
    <w:rsid w:val="006E6720"/>
    <w:rsid w:val="006E7275"/>
    <w:rsid w:val="006E77B8"/>
    <w:rsid w:val="006E77B9"/>
    <w:rsid w:val="006E77DF"/>
    <w:rsid w:val="006E7AAF"/>
    <w:rsid w:val="006F0F74"/>
    <w:rsid w:val="006F13BA"/>
    <w:rsid w:val="006F15CC"/>
    <w:rsid w:val="006F15F6"/>
    <w:rsid w:val="006F2AE6"/>
    <w:rsid w:val="006F36EA"/>
    <w:rsid w:val="006F3D9B"/>
    <w:rsid w:val="006F4147"/>
    <w:rsid w:val="006F4315"/>
    <w:rsid w:val="006F4CB0"/>
    <w:rsid w:val="006F4F78"/>
    <w:rsid w:val="006F547E"/>
    <w:rsid w:val="006F5CCF"/>
    <w:rsid w:val="006F6469"/>
    <w:rsid w:val="006F6F04"/>
    <w:rsid w:val="006F71F5"/>
    <w:rsid w:val="007000A6"/>
    <w:rsid w:val="00700610"/>
    <w:rsid w:val="0070138A"/>
    <w:rsid w:val="0070157E"/>
    <w:rsid w:val="007030D4"/>
    <w:rsid w:val="00703279"/>
    <w:rsid w:val="00703B61"/>
    <w:rsid w:val="00703E11"/>
    <w:rsid w:val="00703F76"/>
    <w:rsid w:val="00704102"/>
    <w:rsid w:val="0070437C"/>
    <w:rsid w:val="007045D8"/>
    <w:rsid w:val="0070461C"/>
    <w:rsid w:val="00704B3D"/>
    <w:rsid w:val="00705631"/>
    <w:rsid w:val="00705818"/>
    <w:rsid w:val="00705F62"/>
    <w:rsid w:val="00706942"/>
    <w:rsid w:val="0070773F"/>
    <w:rsid w:val="00707ED3"/>
    <w:rsid w:val="007101B7"/>
    <w:rsid w:val="00710668"/>
    <w:rsid w:val="00711019"/>
    <w:rsid w:val="007110F4"/>
    <w:rsid w:val="007112B1"/>
    <w:rsid w:val="0071130F"/>
    <w:rsid w:val="00712714"/>
    <w:rsid w:val="007129AB"/>
    <w:rsid w:val="00712B63"/>
    <w:rsid w:val="00713526"/>
    <w:rsid w:val="00713551"/>
    <w:rsid w:val="00713FC5"/>
    <w:rsid w:val="00714DCA"/>
    <w:rsid w:val="00715BBF"/>
    <w:rsid w:val="00715C29"/>
    <w:rsid w:val="00715CBD"/>
    <w:rsid w:val="00715EAA"/>
    <w:rsid w:val="00716119"/>
    <w:rsid w:val="00716630"/>
    <w:rsid w:val="00716CAD"/>
    <w:rsid w:val="00716F18"/>
    <w:rsid w:val="00717363"/>
    <w:rsid w:val="00717786"/>
    <w:rsid w:val="00717ACB"/>
    <w:rsid w:val="00720CDE"/>
    <w:rsid w:val="0072138B"/>
    <w:rsid w:val="00721BFF"/>
    <w:rsid w:val="00722C51"/>
    <w:rsid w:val="00723040"/>
    <w:rsid w:val="00723251"/>
    <w:rsid w:val="00723475"/>
    <w:rsid w:val="007236C4"/>
    <w:rsid w:val="00724635"/>
    <w:rsid w:val="00724F21"/>
    <w:rsid w:val="00725134"/>
    <w:rsid w:val="0072554B"/>
    <w:rsid w:val="00725AFD"/>
    <w:rsid w:val="00726603"/>
    <w:rsid w:val="007266AC"/>
    <w:rsid w:val="007271F3"/>
    <w:rsid w:val="00727B1D"/>
    <w:rsid w:val="00727DDC"/>
    <w:rsid w:val="00730CD6"/>
    <w:rsid w:val="00730F74"/>
    <w:rsid w:val="0073114B"/>
    <w:rsid w:val="007311F7"/>
    <w:rsid w:val="00731380"/>
    <w:rsid w:val="00732029"/>
    <w:rsid w:val="00732151"/>
    <w:rsid w:val="007341D8"/>
    <w:rsid w:val="00734952"/>
    <w:rsid w:val="00734990"/>
    <w:rsid w:val="00734FF5"/>
    <w:rsid w:val="00735B78"/>
    <w:rsid w:val="00735DA7"/>
    <w:rsid w:val="00736700"/>
    <w:rsid w:val="007368B4"/>
    <w:rsid w:val="007378E0"/>
    <w:rsid w:val="00740529"/>
    <w:rsid w:val="00740876"/>
    <w:rsid w:val="00740F18"/>
    <w:rsid w:val="00741358"/>
    <w:rsid w:val="00741626"/>
    <w:rsid w:val="00742332"/>
    <w:rsid w:val="00742886"/>
    <w:rsid w:val="007429F6"/>
    <w:rsid w:val="00742DD2"/>
    <w:rsid w:val="007437C6"/>
    <w:rsid w:val="007441A2"/>
    <w:rsid w:val="00744E80"/>
    <w:rsid w:val="00745035"/>
    <w:rsid w:val="0074531C"/>
    <w:rsid w:val="00745547"/>
    <w:rsid w:val="007459D0"/>
    <w:rsid w:val="0074623A"/>
    <w:rsid w:val="00746420"/>
    <w:rsid w:val="00746A60"/>
    <w:rsid w:val="00746E04"/>
    <w:rsid w:val="00746E08"/>
    <w:rsid w:val="00746E3D"/>
    <w:rsid w:val="007473B9"/>
    <w:rsid w:val="00747C96"/>
    <w:rsid w:val="00747CC7"/>
    <w:rsid w:val="00750075"/>
    <w:rsid w:val="007502EC"/>
    <w:rsid w:val="00750382"/>
    <w:rsid w:val="007503F1"/>
    <w:rsid w:val="0075094E"/>
    <w:rsid w:val="00750FA8"/>
    <w:rsid w:val="00750FB5"/>
    <w:rsid w:val="007520F0"/>
    <w:rsid w:val="007522E8"/>
    <w:rsid w:val="00752688"/>
    <w:rsid w:val="007529DB"/>
    <w:rsid w:val="007534AD"/>
    <w:rsid w:val="00753A7F"/>
    <w:rsid w:val="00753BAC"/>
    <w:rsid w:val="00754A0B"/>
    <w:rsid w:val="00755229"/>
    <w:rsid w:val="007552DB"/>
    <w:rsid w:val="0075549F"/>
    <w:rsid w:val="00755B08"/>
    <w:rsid w:val="00755DD0"/>
    <w:rsid w:val="0075647A"/>
    <w:rsid w:val="00756A2F"/>
    <w:rsid w:val="00756A7E"/>
    <w:rsid w:val="00756F05"/>
    <w:rsid w:val="007573E1"/>
    <w:rsid w:val="0075749E"/>
    <w:rsid w:val="00757722"/>
    <w:rsid w:val="00757945"/>
    <w:rsid w:val="00757B2D"/>
    <w:rsid w:val="00757BAD"/>
    <w:rsid w:val="00757D62"/>
    <w:rsid w:val="00757EB2"/>
    <w:rsid w:val="00760021"/>
    <w:rsid w:val="00760561"/>
    <w:rsid w:val="00760867"/>
    <w:rsid w:val="00760EB6"/>
    <w:rsid w:val="007616DB"/>
    <w:rsid w:val="00761AB7"/>
    <w:rsid w:val="00761CE6"/>
    <w:rsid w:val="0076228A"/>
    <w:rsid w:val="00762440"/>
    <w:rsid w:val="00762499"/>
    <w:rsid w:val="0076275B"/>
    <w:rsid w:val="007629B7"/>
    <w:rsid w:val="00762E60"/>
    <w:rsid w:val="007634AD"/>
    <w:rsid w:val="0076445F"/>
    <w:rsid w:val="00764EC5"/>
    <w:rsid w:val="007651EF"/>
    <w:rsid w:val="00765E92"/>
    <w:rsid w:val="00766D49"/>
    <w:rsid w:val="00766ECC"/>
    <w:rsid w:val="007672F3"/>
    <w:rsid w:val="007674AC"/>
    <w:rsid w:val="007677B5"/>
    <w:rsid w:val="007678B1"/>
    <w:rsid w:val="00767BE6"/>
    <w:rsid w:val="007708A8"/>
    <w:rsid w:val="00772100"/>
    <w:rsid w:val="00772275"/>
    <w:rsid w:val="00772CD5"/>
    <w:rsid w:val="007734E4"/>
    <w:rsid w:val="00773719"/>
    <w:rsid w:val="0077380D"/>
    <w:rsid w:val="00773BC8"/>
    <w:rsid w:val="00774549"/>
    <w:rsid w:val="0077466F"/>
    <w:rsid w:val="007752B7"/>
    <w:rsid w:val="007759A8"/>
    <w:rsid w:val="00775C27"/>
    <w:rsid w:val="00775D98"/>
    <w:rsid w:val="00776FE5"/>
    <w:rsid w:val="00777101"/>
    <w:rsid w:val="007774E7"/>
    <w:rsid w:val="0077768C"/>
    <w:rsid w:val="00777696"/>
    <w:rsid w:val="00777FF4"/>
    <w:rsid w:val="00780251"/>
    <w:rsid w:val="007804FE"/>
    <w:rsid w:val="00780F32"/>
    <w:rsid w:val="0078122E"/>
    <w:rsid w:val="00781939"/>
    <w:rsid w:val="00781D29"/>
    <w:rsid w:val="007825EF"/>
    <w:rsid w:val="0078286B"/>
    <w:rsid w:val="00782D2C"/>
    <w:rsid w:val="00782FC2"/>
    <w:rsid w:val="007830B9"/>
    <w:rsid w:val="0078347A"/>
    <w:rsid w:val="00784938"/>
    <w:rsid w:val="00784FC4"/>
    <w:rsid w:val="00785BBB"/>
    <w:rsid w:val="00786937"/>
    <w:rsid w:val="00786FAD"/>
    <w:rsid w:val="00787A27"/>
    <w:rsid w:val="00787B1B"/>
    <w:rsid w:val="00787D90"/>
    <w:rsid w:val="00787F5E"/>
    <w:rsid w:val="00790164"/>
    <w:rsid w:val="007905C6"/>
    <w:rsid w:val="00790A24"/>
    <w:rsid w:val="00790A37"/>
    <w:rsid w:val="00790A60"/>
    <w:rsid w:val="0079146D"/>
    <w:rsid w:val="00791C32"/>
    <w:rsid w:val="00791FF0"/>
    <w:rsid w:val="007923D0"/>
    <w:rsid w:val="007930D3"/>
    <w:rsid w:val="0079381F"/>
    <w:rsid w:val="00793A57"/>
    <w:rsid w:val="00793B2E"/>
    <w:rsid w:val="007948F5"/>
    <w:rsid w:val="00795647"/>
    <w:rsid w:val="00795887"/>
    <w:rsid w:val="007963F6"/>
    <w:rsid w:val="00796DC8"/>
    <w:rsid w:val="00796E80"/>
    <w:rsid w:val="0079744F"/>
    <w:rsid w:val="0079776F"/>
    <w:rsid w:val="007979AD"/>
    <w:rsid w:val="00797A9C"/>
    <w:rsid w:val="00797F60"/>
    <w:rsid w:val="007A0EAB"/>
    <w:rsid w:val="007A2341"/>
    <w:rsid w:val="007A2754"/>
    <w:rsid w:val="007A38A1"/>
    <w:rsid w:val="007A3BBE"/>
    <w:rsid w:val="007A4766"/>
    <w:rsid w:val="007A5947"/>
    <w:rsid w:val="007A717B"/>
    <w:rsid w:val="007A7714"/>
    <w:rsid w:val="007B0313"/>
    <w:rsid w:val="007B0487"/>
    <w:rsid w:val="007B0854"/>
    <w:rsid w:val="007B0E48"/>
    <w:rsid w:val="007B1D1B"/>
    <w:rsid w:val="007B21AA"/>
    <w:rsid w:val="007B2504"/>
    <w:rsid w:val="007B303E"/>
    <w:rsid w:val="007B32C0"/>
    <w:rsid w:val="007B32F7"/>
    <w:rsid w:val="007B3659"/>
    <w:rsid w:val="007B38B5"/>
    <w:rsid w:val="007B3BF3"/>
    <w:rsid w:val="007B431B"/>
    <w:rsid w:val="007B43C6"/>
    <w:rsid w:val="007B4558"/>
    <w:rsid w:val="007B4632"/>
    <w:rsid w:val="007B46A2"/>
    <w:rsid w:val="007B4828"/>
    <w:rsid w:val="007B4B2D"/>
    <w:rsid w:val="007B4D4A"/>
    <w:rsid w:val="007B5428"/>
    <w:rsid w:val="007B54F3"/>
    <w:rsid w:val="007B59B7"/>
    <w:rsid w:val="007B655A"/>
    <w:rsid w:val="007B68ED"/>
    <w:rsid w:val="007B6C64"/>
    <w:rsid w:val="007B6CD8"/>
    <w:rsid w:val="007B6EC8"/>
    <w:rsid w:val="007B6F81"/>
    <w:rsid w:val="007B7A88"/>
    <w:rsid w:val="007B7EA2"/>
    <w:rsid w:val="007C097D"/>
    <w:rsid w:val="007C0AF2"/>
    <w:rsid w:val="007C1672"/>
    <w:rsid w:val="007C17AE"/>
    <w:rsid w:val="007C312A"/>
    <w:rsid w:val="007C3570"/>
    <w:rsid w:val="007C3E1D"/>
    <w:rsid w:val="007C3F3B"/>
    <w:rsid w:val="007C4241"/>
    <w:rsid w:val="007C425E"/>
    <w:rsid w:val="007C43DF"/>
    <w:rsid w:val="007C55FF"/>
    <w:rsid w:val="007C569D"/>
    <w:rsid w:val="007C6339"/>
    <w:rsid w:val="007C6CAE"/>
    <w:rsid w:val="007C753F"/>
    <w:rsid w:val="007C7C43"/>
    <w:rsid w:val="007C7F0D"/>
    <w:rsid w:val="007D06E3"/>
    <w:rsid w:val="007D09E4"/>
    <w:rsid w:val="007D0C4B"/>
    <w:rsid w:val="007D1134"/>
    <w:rsid w:val="007D231B"/>
    <w:rsid w:val="007D23F7"/>
    <w:rsid w:val="007D2566"/>
    <w:rsid w:val="007D2C18"/>
    <w:rsid w:val="007D2D74"/>
    <w:rsid w:val="007D3693"/>
    <w:rsid w:val="007D3C6D"/>
    <w:rsid w:val="007D4050"/>
    <w:rsid w:val="007D481A"/>
    <w:rsid w:val="007D4ED0"/>
    <w:rsid w:val="007D5648"/>
    <w:rsid w:val="007D58C5"/>
    <w:rsid w:val="007D5DE8"/>
    <w:rsid w:val="007D7B1C"/>
    <w:rsid w:val="007D7CFC"/>
    <w:rsid w:val="007E0812"/>
    <w:rsid w:val="007E0DE8"/>
    <w:rsid w:val="007E18DF"/>
    <w:rsid w:val="007E2C36"/>
    <w:rsid w:val="007E350D"/>
    <w:rsid w:val="007E39C8"/>
    <w:rsid w:val="007E3ACA"/>
    <w:rsid w:val="007E564D"/>
    <w:rsid w:val="007E5C4A"/>
    <w:rsid w:val="007E64D4"/>
    <w:rsid w:val="007E66E9"/>
    <w:rsid w:val="007E69F2"/>
    <w:rsid w:val="007E7432"/>
    <w:rsid w:val="007E74BF"/>
    <w:rsid w:val="007E77D2"/>
    <w:rsid w:val="007E7D2E"/>
    <w:rsid w:val="007F0721"/>
    <w:rsid w:val="007F14D3"/>
    <w:rsid w:val="007F1D9D"/>
    <w:rsid w:val="007F1E28"/>
    <w:rsid w:val="007F1F63"/>
    <w:rsid w:val="007F22A0"/>
    <w:rsid w:val="007F2902"/>
    <w:rsid w:val="007F2903"/>
    <w:rsid w:val="007F2F90"/>
    <w:rsid w:val="007F3320"/>
    <w:rsid w:val="007F3AC1"/>
    <w:rsid w:val="007F4976"/>
    <w:rsid w:val="007F5A56"/>
    <w:rsid w:val="007F5D42"/>
    <w:rsid w:val="007F616E"/>
    <w:rsid w:val="007F6B46"/>
    <w:rsid w:val="007F72CB"/>
    <w:rsid w:val="007F736A"/>
    <w:rsid w:val="007F7635"/>
    <w:rsid w:val="007F785F"/>
    <w:rsid w:val="007F7961"/>
    <w:rsid w:val="007F7AF6"/>
    <w:rsid w:val="007F7E36"/>
    <w:rsid w:val="00800DB7"/>
    <w:rsid w:val="00800E6D"/>
    <w:rsid w:val="008014D9"/>
    <w:rsid w:val="0080150F"/>
    <w:rsid w:val="0080153A"/>
    <w:rsid w:val="00801A2A"/>
    <w:rsid w:val="00802041"/>
    <w:rsid w:val="008022A4"/>
    <w:rsid w:val="008022C9"/>
    <w:rsid w:val="00802605"/>
    <w:rsid w:val="00802F9E"/>
    <w:rsid w:val="00803700"/>
    <w:rsid w:val="00803AB0"/>
    <w:rsid w:val="00803D9D"/>
    <w:rsid w:val="00805898"/>
    <w:rsid w:val="008059C6"/>
    <w:rsid w:val="00805AD7"/>
    <w:rsid w:val="00805BD6"/>
    <w:rsid w:val="00805CEF"/>
    <w:rsid w:val="00805DE3"/>
    <w:rsid w:val="00807C35"/>
    <w:rsid w:val="00807F35"/>
    <w:rsid w:val="00807F69"/>
    <w:rsid w:val="008100F7"/>
    <w:rsid w:val="00810206"/>
    <w:rsid w:val="0081022B"/>
    <w:rsid w:val="00811898"/>
    <w:rsid w:val="00811CDC"/>
    <w:rsid w:val="008124D8"/>
    <w:rsid w:val="00813A41"/>
    <w:rsid w:val="00813A7B"/>
    <w:rsid w:val="00813F04"/>
    <w:rsid w:val="0081513E"/>
    <w:rsid w:val="00815DA5"/>
    <w:rsid w:val="00815F50"/>
    <w:rsid w:val="00816221"/>
    <w:rsid w:val="008163DB"/>
    <w:rsid w:val="0081766B"/>
    <w:rsid w:val="008205AC"/>
    <w:rsid w:val="00820705"/>
    <w:rsid w:val="00820CBF"/>
    <w:rsid w:val="00820FA8"/>
    <w:rsid w:val="008212FD"/>
    <w:rsid w:val="00821489"/>
    <w:rsid w:val="008217B7"/>
    <w:rsid w:val="0082239B"/>
    <w:rsid w:val="0082292E"/>
    <w:rsid w:val="00822D06"/>
    <w:rsid w:val="00822EC4"/>
    <w:rsid w:val="0082348D"/>
    <w:rsid w:val="00823549"/>
    <w:rsid w:val="008236BE"/>
    <w:rsid w:val="00823EC5"/>
    <w:rsid w:val="0082406D"/>
    <w:rsid w:val="008241CE"/>
    <w:rsid w:val="0082479F"/>
    <w:rsid w:val="00825240"/>
    <w:rsid w:val="00825B43"/>
    <w:rsid w:val="0082633B"/>
    <w:rsid w:val="008268FB"/>
    <w:rsid w:val="00826F71"/>
    <w:rsid w:val="00827918"/>
    <w:rsid w:val="00827CC0"/>
    <w:rsid w:val="008306AB"/>
    <w:rsid w:val="00831026"/>
    <w:rsid w:val="0083119B"/>
    <w:rsid w:val="00831BAE"/>
    <w:rsid w:val="00832216"/>
    <w:rsid w:val="00832CD0"/>
    <w:rsid w:val="00833430"/>
    <w:rsid w:val="00833ADA"/>
    <w:rsid w:val="00834128"/>
    <w:rsid w:val="0083417F"/>
    <w:rsid w:val="0083419E"/>
    <w:rsid w:val="00835143"/>
    <w:rsid w:val="0083569B"/>
    <w:rsid w:val="00835741"/>
    <w:rsid w:val="00836E74"/>
    <w:rsid w:val="00836EAB"/>
    <w:rsid w:val="00837673"/>
    <w:rsid w:val="00837937"/>
    <w:rsid w:val="00837D82"/>
    <w:rsid w:val="00840893"/>
    <w:rsid w:val="00840E88"/>
    <w:rsid w:val="008410B1"/>
    <w:rsid w:val="00841379"/>
    <w:rsid w:val="008423EC"/>
    <w:rsid w:val="00842640"/>
    <w:rsid w:val="008429A6"/>
    <w:rsid w:val="00843615"/>
    <w:rsid w:val="00843698"/>
    <w:rsid w:val="00843A4B"/>
    <w:rsid w:val="00843B57"/>
    <w:rsid w:val="00843B60"/>
    <w:rsid w:val="00843D33"/>
    <w:rsid w:val="008444F0"/>
    <w:rsid w:val="0084473F"/>
    <w:rsid w:val="00844D4F"/>
    <w:rsid w:val="00844F38"/>
    <w:rsid w:val="00845AE3"/>
    <w:rsid w:val="008466A0"/>
    <w:rsid w:val="00847535"/>
    <w:rsid w:val="00847B6D"/>
    <w:rsid w:val="00850542"/>
    <w:rsid w:val="0085092D"/>
    <w:rsid w:val="008509A5"/>
    <w:rsid w:val="00850C79"/>
    <w:rsid w:val="00850D82"/>
    <w:rsid w:val="00850EA3"/>
    <w:rsid w:val="00850F79"/>
    <w:rsid w:val="0085100B"/>
    <w:rsid w:val="0085304C"/>
    <w:rsid w:val="008536BB"/>
    <w:rsid w:val="00853A3C"/>
    <w:rsid w:val="008548CA"/>
    <w:rsid w:val="00856C06"/>
    <w:rsid w:val="00856F87"/>
    <w:rsid w:val="0085790B"/>
    <w:rsid w:val="008579B9"/>
    <w:rsid w:val="00857C95"/>
    <w:rsid w:val="00857E78"/>
    <w:rsid w:val="00860AEF"/>
    <w:rsid w:val="00860B18"/>
    <w:rsid w:val="00860D5E"/>
    <w:rsid w:val="0086122C"/>
    <w:rsid w:val="00861310"/>
    <w:rsid w:val="00861F53"/>
    <w:rsid w:val="008623A7"/>
    <w:rsid w:val="0086289E"/>
    <w:rsid w:val="008629CB"/>
    <w:rsid w:val="0086394E"/>
    <w:rsid w:val="00863F8A"/>
    <w:rsid w:val="00863FE3"/>
    <w:rsid w:val="008640C4"/>
    <w:rsid w:val="00864241"/>
    <w:rsid w:val="00864423"/>
    <w:rsid w:val="0086468A"/>
    <w:rsid w:val="008650BE"/>
    <w:rsid w:val="00865EAF"/>
    <w:rsid w:val="0086633B"/>
    <w:rsid w:val="00866495"/>
    <w:rsid w:val="00866881"/>
    <w:rsid w:val="00866931"/>
    <w:rsid w:val="00867512"/>
    <w:rsid w:val="008678A3"/>
    <w:rsid w:val="00867C13"/>
    <w:rsid w:val="00867C1D"/>
    <w:rsid w:val="0087033C"/>
    <w:rsid w:val="008715ED"/>
    <w:rsid w:val="008717D8"/>
    <w:rsid w:val="00871E3C"/>
    <w:rsid w:val="00872F97"/>
    <w:rsid w:val="008734A1"/>
    <w:rsid w:val="00874607"/>
    <w:rsid w:val="008747E9"/>
    <w:rsid w:val="00874915"/>
    <w:rsid w:val="00874B89"/>
    <w:rsid w:val="00875403"/>
    <w:rsid w:val="00875434"/>
    <w:rsid w:val="00875C1F"/>
    <w:rsid w:val="00876215"/>
    <w:rsid w:val="0087646C"/>
    <w:rsid w:val="00876815"/>
    <w:rsid w:val="00877932"/>
    <w:rsid w:val="00877E1A"/>
    <w:rsid w:val="008808C7"/>
    <w:rsid w:val="0088106B"/>
    <w:rsid w:val="0088107D"/>
    <w:rsid w:val="0088187A"/>
    <w:rsid w:val="00881E64"/>
    <w:rsid w:val="00882E39"/>
    <w:rsid w:val="00883CE1"/>
    <w:rsid w:val="008850EB"/>
    <w:rsid w:val="00885228"/>
    <w:rsid w:val="008857E3"/>
    <w:rsid w:val="0088662A"/>
    <w:rsid w:val="00886DF2"/>
    <w:rsid w:val="00886FB9"/>
    <w:rsid w:val="00887057"/>
    <w:rsid w:val="00887080"/>
    <w:rsid w:val="00887C79"/>
    <w:rsid w:val="0089107B"/>
    <w:rsid w:val="008913CC"/>
    <w:rsid w:val="008914AE"/>
    <w:rsid w:val="008919CF"/>
    <w:rsid w:val="00891D04"/>
    <w:rsid w:val="00891F84"/>
    <w:rsid w:val="00891FC3"/>
    <w:rsid w:val="008928EC"/>
    <w:rsid w:val="00892E5D"/>
    <w:rsid w:val="008935CF"/>
    <w:rsid w:val="00893CD7"/>
    <w:rsid w:val="0089436B"/>
    <w:rsid w:val="00894436"/>
    <w:rsid w:val="00894BB1"/>
    <w:rsid w:val="008951D0"/>
    <w:rsid w:val="0089582D"/>
    <w:rsid w:val="008959C6"/>
    <w:rsid w:val="00895DCC"/>
    <w:rsid w:val="0089606D"/>
    <w:rsid w:val="00896129"/>
    <w:rsid w:val="00896316"/>
    <w:rsid w:val="0089774F"/>
    <w:rsid w:val="00897875"/>
    <w:rsid w:val="00897B8F"/>
    <w:rsid w:val="008A00D9"/>
    <w:rsid w:val="008A07D5"/>
    <w:rsid w:val="008A1FB7"/>
    <w:rsid w:val="008A229A"/>
    <w:rsid w:val="008A2A23"/>
    <w:rsid w:val="008A2AF5"/>
    <w:rsid w:val="008A2B5A"/>
    <w:rsid w:val="008A3F9D"/>
    <w:rsid w:val="008A5474"/>
    <w:rsid w:val="008A5C9A"/>
    <w:rsid w:val="008A6005"/>
    <w:rsid w:val="008A614F"/>
    <w:rsid w:val="008A6A55"/>
    <w:rsid w:val="008A6AA1"/>
    <w:rsid w:val="008A6DF0"/>
    <w:rsid w:val="008A6F6E"/>
    <w:rsid w:val="008A7888"/>
    <w:rsid w:val="008A796E"/>
    <w:rsid w:val="008B0862"/>
    <w:rsid w:val="008B088C"/>
    <w:rsid w:val="008B10F1"/>
    <w:rsid w:val="008B1BF5"/>
    <w:rsid w:val="008B1CED"/>
    <w:rsid w:val="008B263F"/>
    <w:rsid w:val="008B3045"/>
    <w:rsid w:val="008B47A6"/>
    <w:rsid w:val="008B5C7C"/>
    <w:rsid w:val="008B63FE"/>
    <w:rsid w:val="008B672C"/>
    <w:rsid w:val="008B7781"/>
    <w:rsid w:val="008C065F"/>
    <w:rsid w:val="008C0743"/>
    <w:rsid w:val="008C0956"/>
    <w:rsid w:val="008C0B4C"/>
    <w:rsid w:val="008C11F0"/>
    <w:rsid w:val="008C165C"/>
    <w:rsid w:val="008C1DBA"/>
    <w:rsid w:val="008C24E7"/>
    <w:rsid w:val="008C2500"/>
    <w:rsid w:val="008C2CAC"/>
    <w:rsid w:val="008C3C57"/>
    <w:rsid w:val="008C3E2A"/>
    <w:rsid w:val="008C45BD"/>
    <w:rsid w:val="008C4B19"/>
    <w:rsid w:val="008C4F47"/>
    <w:rsid w:val="008C5194"/>
    <w:rsid w:val="008C62D4"/>
    <w:rsid w:val="008C6B0C"/>
    <w:rsid w:val="008C6B89"/>
    <w:rsid w:val="008C6B97"/>
    <w:rsid w:val="008C7EF7"/>
    <w:rsid w:val="008D15CC"/>
    <w:rsid w:val="008D18AA"/>
    <w:rsid w:val="008D1A2A"/>
    <w:rsid w:val="008D1ADE"/>
    <w:rsid w:val="008D2986"/>
    <w:rsid w:val="008D35D9"/>
    <w:rsid w:val="008D3B36"/>
    <w:rsid w:val="008D3B85"/>
    <w:rsid w:val="008D462D"/>
    <w:rsid w:val="008D6084"/>
    <w:rsid w:val="008D64AC"/>
    <w:rsid w:val="008D66CA"/>
    <w:rsid w:val="008D69B1"/>
    <w:rsid w:val="008D7338"/>
    <w:rsid w:val="008D785E"/>
    <w:rsid w:val="008D7D22"/>
    <w:rsid w:val="008D7D66"/>
    <w:rsid w:val="008E0012"/>
    <w:rsid w:val="008E0DF7"/>
    <w:rsid w:val="008E0FAD"/>
    <w:rsid w:val="008E11E4"/>
    <w:rsid w:val="008E1252"/>
    <w:rsid w:val="008E1347"/>
    <w:rsid w:val="008E16E0"/>
    <w:rsid w:val="008E1C15"/>
    <w:rsid w:val="008E1C9A"/>
    <w:rsid w:val="008E28BD"/>
    <w:rsid w:val="008E30C4"/>
    <w:rsid w:val="008E38B4"/>
    <w:rsid w:val="008E3BA4"/>
    <w:rsid w:val="008E3CC4"/>
    <w:rsid w:val="008E44AB"/>
    <w:rsid w:val="008E4CAE"/>
    <w:rsid w:val="008E5179"/>
    <w:rsid w:val="008E57FE"/>
    <w:rsid w:val="008E6598"/>
    <w:rsid w:val="008E7214"/>
    <w:rsid w:val="008E7497"/>
    <w:rsid w:val="008E7884"/>
    <w:rsid w:val="008E795C"/>
    <w:rsid w:val="008E7D6E"/>
    <w:rsid w:val="008E7E04"/>
    <w:rsid w:val="008F1056"/>
    <w:rsid w:val="008F1E70"/>
    <w:rsid w:val="008F220A"/>
    <w:rsid w:val="008F2E8D"/>
    <w:rsid w:val="008F361D"/>
    <w:rsid w:val="008F387B"/>
    <w:rsid w:val="008F3DD9"/>
    <w:rsid w:val="008F4163"/>
    <w:rsid w:val="008F4814"/>
    <w:rsid w:val="008F4B18"/>
    <w:rsid w:val="008F4DA6"/>
    <w:rsid w:val="008F538E"/>
    <w:rsid w:val="008F58BE"/>
    <w:rsid w:val="008F5A20"/>
    <w:rsid w:val="008F5ABA"/>
    <w:rsid w:val="008F71AB"/>
    <w:rsid w:val="008F7905"/>
    <w:rsid w:val="008F7989"/>
    <w:rsid w:val="00901F1D"/>
    <w:rsid w:val="009028E8"/>
    <w:rsid w:val="00902E5C"/>
    <w:rsid w:val="0090363E"/>
    <w:rsid w:val="00903E0D"/>
    <w:rsid w:val="009046E5"/>
    <w:rsid w:val="009047C5"/>
    <w:rsid w:val="009059C8"/>
    <w:rsid w:val="00907E9C"/>
    <w:rsid w:val="00910683"/>
    <w:rsid w:val="00910E00"/>
    <w:rsid w:val="00910E04"/>
    <w:rsid w:val="009116CE"/>
    <w:rsid w:val="00911714"/>
    <w:rsid w:val="00911D04"/>
    <w:rsid w:val="00911EFF"/>
    <w:rsid w:val="00912294"/>
    <w:rsid w:val="0091310F"/>
    <w:rsid w:val="009136D4"/>
    <w:rsid w:val="0091480F"/>
    <w:rsid w:val="00914B9A"/>
    <w:rsid w:val="00914C3F"/>
    <w:rsid w:val="00914F33"/>
    <w:rsid w:val="00915A9E"/>
    <w:rsid w:val="00915EFE"/>
    <w:rsid w:val="00915FCE"/>
    <w:rsid w:val="00916528"/>
    <w:rsid w:val="00916AFE"/>
    <w:rsid w:val="00916FC8"/>
    <w:rsid w:val="009170D3"/>
    <w:rsid w:val="0091759C"/>
    <w:rsid w:val="00920026"/>
    <w:rsid w:val="009203E2"/>
    <w:rsid w:val="00920F61"/>
    <w:rsid w:val="0092119E"/>
    <w:rsid w:val="00921304"/>
    <w:rsid w:val="00921395"/>
    <w:rsid w:val="00921805"/>
    <w:rsid w:val="00921E63"/>
    <w:rsid w:val="00922379"/>
    <w:rsid w:val="00922B4A"/>
    <w:rsid w:val="00923396"/>
    <w:rsid w:val="00923F56"/>
    <w:rsid w:val="00924770"/>
    <w:rsid w:val="00925346"/>
    <w:rsid w:val="00925743"/>
    <w:rsid w:val="0092579F"/>
    <w:rsid w:val="00926068"/>
    <w:rsid w:val="00927DD3"/>
    <w:rsid w:val="00927E8D"/>
    <w:rsid w:val="00927F23"/>
    <w:rsid w:val="009305E3"/>
    <w:rsid w:val="009307CD"/>
    <w:rsid w:val="00930B21"/>
    <w:rsid w:val="00931364"/>
    <w:rsid w:val="00931365"/>
    <w:rsid w:val="00931451"/>
    <w:rsid w:val="009314FA"/>
    <w:rsid w:val="0093194F"/>
    <w:rsid w:val="00931BF3"/>
    <w:rsid w:val="00931C55"/>
    <w:rsid w:val="00932014"/>
    <w:rsid w:val="00933333"/>
    <w:rsid w:val="00933390"/>
    <w:rsid w:val="0093349A"/>
    <w:rsid w:val="0093352B"/>
    <w:rsid w:val="009335A2"/>
    <w:rsid w:val="009338BA"/>
    <w:rsid w:val="00933FCB"/>
    <w:rsid w:val="00934396"/>
    <w:rsid w:val="00934588"/>
    <w:rsid w:val="009346C8"/>
    <w:rsid w:val="00934BEF"/>
    <w:rsid w:val="00934CEC"/>
    <w:rsid w:val="00934E69"/>
    <w:rsid w:val="00935CF8"/>
    <w:rsid w:val="00935E70"/>
    <w:rsid w:val="00935FEA"/>
    <w:rsid w:val="0093609A"/>
    <w:rsid w:val="00937401"/>
    <w:rsid w:val="009376FB"/>
    <w:rsid w:val="0093795B"/>
    <w:rsid w:val="00937D6B"/>
    <w:rsid w:val="00940477"/>
    <w:rsid w:val="00940876"/>
    <w:rsid w:val="00940A53"/>
    <w:rsid w:val="00940F3C"/>
    <w:rsid w:val="009410E0"/>
    <w:rsid w:val="009419E9"/>
    <w:rsid w:val="00941A2D"/>
    <w:rsid w:val="00941FA9"/>
    <w:rsid w:val="00942DD0"/>
    <w:rsid w:val="009439B6"/>
    <w:rsid w:val="00943FCD"/>
    <w:rsid w:val="009440DF"/>
    <w:rsid w:val="009444B4"/>
    <w:rsid w:val="00944644"/>
    <w:rsid w:val="00946A24"/>
    <w:rsid w:val="009470D4"/>
    <w:rsid w:val="00947337"/>
    <w:rsid w:val="00947E6E"/>
    <w:rsid w:val="0095041D"/>
    <w:rsid w:val="009512FA"/>
    <w:rsid w:val="009516A9"/>
    <w:rsid w:val="00951E57"/>
    <w:rsid w:val="00952350"/>
    <w:rsid w:val="00952505"/>
    <w:rsid w:val="00953018"/>
    <w:rsid w:val="009533E2"/>
    <w:rsid w:val="00953554"/>
    <w:rsid w:val="0095385A"/>
    <w:rsid w:val="0095473B"/>
    <w:rsid w:val="00954F3A"/>
    <w:rsid w:val="00955539"/>
    <w:rsid w:val="009570C8"/>
    <w:rsid w:val="0095780A"/>
    <w:rsid w:val="009578C3"/>
    <w:rsid w:val="009579E4"/>
    <w:rsid w:val="00957AA4"/>
    <w:rsid w:val="00957ACB"/>
    <w:rsid w:val="00957F27"/>
    <w:rsid w:val="00957F86"/>
    <w:rsid w:val="00960BDB"/>
    <w:rsid w:val="0096105C"/>
    <w:rsid w:val="0096147D"/>
    <w:rsid w:val="00961D53"/>
    <w:rsid w:val="00961E5F"/>
    <w:rsid w:val="009625C6"/>
    <w:rsid w:val="009629B5"/>
    <w:rsid w:val="00962A50"/>
    <w:rsid w:val="00962FA0"/>
    <w:rsid w:val="00963550"/>
    <w:rsid w:val="00964138"/>
    <w:rsid w:val="0096470C"/>
    <w:rsid w:val="009648D6"/>
    <w:rsid w:val="009649AE"/>
    <w:rsid w:val="00964B3F"/>
    <w:rsid w:val="00964C98"/>
    <w:rsid w:val="00967BEF"/>
    <w:rsid w:val="00971441"/>
    <w:rsid w:val="009715D4"/>
    <w:rsid w:val="0097179A"/>
    <w:rsid w:val="009731F4"/>
    <w:rsid w:val="009732A4"/>
    <w:rsid w:val="00973C05"/>
    <w:rsid w:val="00973CFF"/>
    <w:rsid w:val="0097494E"/>
    <w:rsid w:val="00974999"/>
    <w:rsid w:val="00974B58"/>
    <w:rsid w:val="00974CBD"/>
    <w:rsid w:val="00975390"/>
    <w:rsid w:val="00975445"/>
    <w:rsid w:val="009761ED"/>
    <w:rsid w:val="0098022F"/>
    <w:rsid w:val="009810DE"/>
    <w:rsid w:val="00981178"/>
    <w:rsid w:val="00981B91"/>
    <w:rsid w:val="009822D7"/>
    <w:rsid w:val="009827E6"/>
    <w:rsid w:val="00982F84"/>
    <w:rsid w:val="009831C3"/>
    <w:rsid w:val="0098427D"/>
    <w:rsid w:val="0098450A"/>
    <w:rsid w:val="00984567"/>
    <w:rsid w:val="00985102"/>
    <w:rsid w:val="009854BC"/>
    <w:rsid w:val="00985A66"/>
    <w:rsid w:val="0098606C"/>
    <w:rsid w:val="009865D5"/>
    <w:rsid w:val="0098662E"/>
    <w:rsid w:val="009876F2"/>
    <w:rsid w:val="00987837"/>
    <w:rsid w:val="00987C77"/>
    <w:rsid w:val="00987F55"/>
    <w:rsid w:val="00987FED"/>
    <w:rsid w:val="00990345"/>
    <w:rsid w:val="00990701"/>
    <w:rsid w:val="0099119C"/>
    <w:rsid w:val="0099137A"/>
    <w:rsid w:val="00991D3D"/>
    <w:rsid w:val="0099211C"/>
    <w:rsid w:val="00993013"/>
    <w:rsid w:val="00993B78"/>
    <w:rsid w:val="00994F3F"/>
    <w:rsid w:val="00995119"/>
    <w:rsid w:val="0099531F"/>
    <w:rsid w:val="009953AD"/>
    <w:rsid w:val="00995485"/>
    <w:rsid w:val="009957D7"/>
    <w:rsid w:val="0099583D"/>
    <w:rsid w:val="00996020"/>
    <w:rsid w:val="0099629E"/>
    <w:rsid w:val="00996992"/>
    <w:rsid w:val="00996E1E"/>
    <w:rsid w:val="00997148"/>
    <w:rsid w:val="00997392"/>
    <w:rsid w:val="0099747C"/>
    <w:rsid w:val="0099771C"/>
    <w:rsid w:val="009A01E4"/>
    <w:rsid w:val="009A022C"/>
    <w:rsid w:val="009A0917"/>
    <w:rsid w:val="009A0A33"/>
    <w:rsid w:val="009A1351"/>
    <w:rsid w:val="009A2041"/>
    <w:rsid w:val="009A2435"/>
    <w:rsid w:val="009A35DC"/>
    <w:rsid w:val="009A38AB"/>
    <w:rsid w:val="009A39EE"/>
    <w:rsid w:val="009A3D47"/>
    <w:rsid w:val="009A4D63"/>
    <w:rsid w:val="009A5356"/>
    <w:rsid w:val="009A5468"/>
    <w:rsid w:val="009A5D99"/>
    <w:rsid w:val="009A608C"/>
    <w:rsid w:val="009A6FDF"/>
    <w:rsid w:val="009A715F"/>
    <w:rsid w:val="009A76D6"/>
    <w:rsid w:val="009B231D"/>
    <w:rsid w:val="009B2374"/>
    <w:rsid w:val="009B2E29"/>
    <w:rsid w:val="009B3163"/>
    <w:rsid w:val="009B35AE"/>
    <w:rsid w:val="009B4218"/>
    <w:rsid w:val="009B422F"/>
    <w:rsid w:val="009B46BC"/>
    <w:rsid w:val="009B4D1A"/>
    <w:rsid w:val="009B519D"/>
    <w:rsid w:val="009B558B"/>
    <w:rsid w:val="009B5981"/>
    <w:rsid w:val="009B6D21"/>
    <w:rsid w:val="009B78ED"/>
    <w:rsid w:val="009C0D57"/>
    <w:rsid w:val="009C181C"/>
    <w:rsid w:val="009C1A44"/>
    <w:rsid w:val="009C1C7F"/>
    <w:rsid w:val="009C1EC7"/>
    <w:rsid w:val="009C28A2"/>
    <w:rsid w:val="009C3239"/>
    <w:rsid w:val="009C3828"/>
    <w:rsid w:val="009C3AD3"/>
    <w:rsid w:val="009C3AF4"/>
    <w:rsid w:val="009C3D2C"/>
    <w:rsid w:val="009C3E47"/>
    <w:rsid w:val="009C48C9"/>
    <w:rsid w:val="009C4987"/>
    <w:rsid w:val="009C4FDE"/>
    <w:rsid w:val="009C523F"/>
    <w:rsid w:val="009C59BF"/>
    <w:rsid w:val="009C5E4F"/>
    <w:rsid w:val="009C5F64"/>
    <w:rsid w:val="009C5F82"/>
    <w:rsid w:val="009C60EA"/>
    <w:rsid w:val="009C6BFC"/>
    <w:rsid w:val="009C70F8"/>
    <w:rsid w:val="009C78A3"/>
    <w:rsid w:val="009C7E68"/>
    <w:rsid w:val="009D00D7"/>
    <w:rsid w:val="009D0156"/>
    <w:rsid w:val="009D05DA"/>
    <w:rsid w:val="009D11F6"/>
    <w:rsid w:val="009D138F"/>
    <w:rsid w:val="009D1A14"/>
    <w:rsid w:val="009D1E2A"/>
    <w:rsid w:val="009D1FA0"/>
    <w:rsid w:val="009D28AB"/>
    <w:rsid w:val="009D2BDF"/>
    <w:rsid w:val="009D3736"/>
    <w:rsid w:val="009D4529"/>
    <w:rsid w:val="009D563A"/>
    <w:rsid w:val="009D604F"/>
    <w:rsid w:val="009D61BB"/>
    <w:rsid w:val="009D6410"/>
    <w:rsid w:val="009D68BB"/>
    <w:rsid w:val="009D6909"/>
    <w:rsid w:val="009D7049"/>
    <w:rsid w:val="009D70C2"/>
    <w:rsid w:val="009D7244"/>
    <w:rsid w:val="009D7ADB"/>
    <w:rsid w:val="009D7B33"/>
    <w:rsid w:val="009E020C"/>
    <w:rsid w:val="009E06C3"/>
    <w:rsid w:val="009E0703"/>
    <w:rsid w:val="009E1035"/>
    <w:rsid w:val="009E16C2"/>
    <w:rsid w:val="009E16DA"/>
    <w:rsid w:val="009E1CD4"/>
    <w:rsid w:val="009E2391"/>
    <w:rsid w:val="009E476A"/>
    <w:rsid w:val="009E4E05"/>
    <w:rsid w:val="009E56FF"/>
    <w:rsid w:val="009E59A3"/>
    <w:rsid w:val="009E5CB1"/>
    <w:rsid w:val="009E5E56"/>
    <w:rsid w:val="009E61EA"/>
    <w:rsid w:val="009E6990"/>
    <w:rsid w:val="009E6FEE"/>
    <w:rsid w:val="009E7924"/>
    <w:rsid w:val="009F00B9"/>
    <w:rsid w:val="009F060F"/>
    <w:rsid w:val="009F0781"/>
    <w:rsid w:val="009F0850"/>
    <w:rsid w:val="009F1BDF"/>
    <w:rsid w:val="009F1EAE"/>
    <w:rsid w:val="009F369D"/>
    <w:rsid w:val="009F36FE"/>
    <w:rsid w:val="009F3D92"/>
    <w:rsid w:val="009F4990"/>
    <w:rsid w:val="009F4F25"/>
    <w:rsid w:val="009F59C2"/>
    <w:rsid w:val="009F5A2A"/>
    <w:rsid w:val="009F5ABB"/>
    <w:rsid w:val="009F7263"/>
    <w:rsid w:val="009F76EA"/>
    <w:rsid w:val="009F78EB"/>
    <w:rsid w:val="009F7DB2"/>
    <w:rsid w:val="009F7F32"/>
    <w:rsid w:val="009F7FEB"/>
    <w:rsid w:val="00A003D5"/>
    <w:rsid w:val="00A0056C"/>
    <w:rsid w:val="00A00BEF"/>
    <w:rsid w:val="00A00F5E"/>
    <w:rsid w:val="00A0120D"/>
    <w:rsid w:val="00A01852"/>
    <w:rsid w:val="00A0188B"/>
    <w:rsid w:val="00A01C35"/>
    <w:rsid w:val="00A01E73"/>
    <w:rsid w:val="00A023E7"/>
    <w:rsid w:val="00A02B88"/>
    <w:rsid w:val="00A03160"/>
    <w:rsid w:val="00A0329E"/>
    <w:rsid w:val="00A036AC"/>
    <w:rsid w:val="00A03C54"/>
    <w:rsid w:val="00A03DE5"/>
    <w:rsid w:val="00A041BC"/>
    <w:rsid w:val="00A0447F"/>
    <w:rsid w:val="00A046D2"/>
    <w:rsid w:val="00A04A54"/>
    <w:rsid w:val="00A058B8"/>
    <w:rsid w:val="00A05B4B"/>
    <w:rsid w:val="00A066C3"/>
    <w:rsid w:val="00A06754"/>
    <w:rsid w:val="00A069E0"/>
    <w:rsid w:val="00A06E4A"/>
    <w:rsid w:val="00A070E9"/>
    <w:rsid w:val="00A07327"/>
    <w:rsid w:val="00A078FB"/>
    <w:rsid w:val="00A101E1"/>
    <w:rsid w:val="00A1036D"/>
    <w:rsid w:val="00A1069F"/>
    <w:rsid w:val="00A10ACA"/>
    <w:rsid w:val="00A10D08"/>
    <w:rsid w:val="00A11BB6"/>
    <w:rsid w:val="00A11E78"/>
    <w:rsid w:val="00A12355"/>
    <w:rsid w:val="00A12574"/>
    <w:rsid w:val="00A127D2"/>
    <w:rsid w:val="00A1284E"/>
    <w:rsid w:val="00A12E99"/>
    <w:rsid w:val="00A131F8"/>
    <w:rsid w:val="00A13CF5"/>
    <w:rsid w:val="00A143EC"/>
    <w:rsid w:val="00A149E8"/>
    <w:rsid w:val="00A14E6E"/>
    <w:rsid w:val="00A1500F"/>
    <w:rsid w:val="00A15621"/>
    <w:rsid w:val="00A15670"/>
    <w:rsid w:val="00A157A0"/>
    <w:rsid w:val="00A1585B"/>
    <w:rsid w:val="00A15C19"/>
    <w:rsid w:val="00A15FE9"/>
    <w:rsid w:val="00A1615C"/>
    <w:rsid w:val="00A16809"/>
    <w:rsid w:val="00A17584"/>
    <w:rsid w:val="00A17769"/>
    <w:rsid w:val="00A177ED"/>
    <w:rsid w:val="00A17EA2"/>
    <w:rsid w:val="00A20264"/>
    <w:rsid w:val="00A20946"/>
    <w:rsid w:val="00A20997"/>
    <w:rsid w:val="00A210D4"/>
    <w:rsid w:val="00A213DD"/>
    <w:rsid w:val="00A21454"/>
    <w:rsid w:val="00A216CE"/>
    <w:rsid w:val="00A22025"/>
    <w:rsid w:val="00A22498"/>
    <w:rsid w:val="00A22571"/>
    <w:rsid w:val="00A2298D"/>
    <w:rsid w:val="00A24560"/>
    <w:rsid w:val="00A25ADD"/>
    <w:rsid w:val="00A25B0F"/>
    <w:rsid w:val="00A25BBB"/>
    <w:rsid w:val="00A25F2F"/>
    <w:rsid w:val="00A27FB6"/>
    <w:rsid w:val="00A30121"/>
    <w:rsid w:val="00A30368"/>
    <w:rsid w:val="00A3043A"/>
    <w:rsid w:val="00A30E02"/>
    <w:rsid w:val="00A30F6A"/>
    <w:rsid w:val="00A31C3E"/>
    <w:rsid w:val="00A32254"/>
    <w:rsid w:val="00A32A8C"/>
    <w:rsid w:val="00A34538"/>
    <w:rsid w:val="00A34677"/>
    <w:rsid w:val="00A3540F"/>
    <w:rsid w:val="00A35630"/>
    <w:rsid w:val="00A35914"/>
    <w:rsid w:val="00A36189"/>
    <w:rsid w:val="00A37054"/>
    <w:rsid w:val="00A37E73"/>
    <w:rsid w:val="00A37FB6"/>
    <w:rsid w:val="00A409E2"/>
    <w:rsid w:val="00A4104A"/>
    <w:rsid w:val="00A41081"/>
    <w:rsid w:val="00A411CA"/>
    <w:rsid w:val="00A41AE8"/>
    <w:rsid w:val="00A42080"/>
    <w:rsid w:val="00A42096"/>
    <w:rsid w:val="00A426F3"/>
    <w:rsid w:val="00A42FDF"/>
    <w:rsid w:val="00A430A9"/>
    <w:rsid w:val="00A431FE"/>
    <w:rsid w:val="00A439E5"/>
    <w:rsid w:val="00A4414E"/>
    <w:rsid w:val="00A4497A"/>
    <w:rsid w:val="00A44AB5"/>
    <w:rsid w:val="00A44BE8"/>
    <w:rsid w:val="00A44C96"/>
    <w:rsid w:val="00A44CDD"/>
    <w:rsid w:val="00A44E33"/>
    <w:rsid w:val="00A44F54"/>
    <w:rsid w:val="00A45F9B"/>
    <w:rsid w:val="00A46574"/>
    <w:rsid w:val="00A47849"/>
    <w:rsid w:val="00A500B1"/>
    <w:rsid w:val="00A52A53"/>
    <w:rsid w:val="00A52EE5"/>
    <w:rsid w:val="00A53037"/>
    <w:rsid w:val="00A532B9"/>
    <w:rsid w:val="00A5351D"/>
    <w:rsid w:val="00A53E79"/>
    <w:rsid w:val="00A54031"/>
    <w:rsid w:val="00A5426D"/>
    <w:rsid w:val="00A54FC2"/>
    <w:rsid w:val="00A55122"/>
    <w:rsid w:val="00A55CEA"/>
    <w:rsid w:val="00A56DE7"/>
    <w:rsid w:val="00A57EB2"/>
    <w:rsid w:val="00A6009E"/>
    <w:rsid w:val="00A60265"/>
    <w:rsid w:val="00A60540"/>
    <w:rsid w:val="00A60B1F"/>
    <w:rsid w:val="00A6109E"/>
    <w:rsid w:val="00A61C60"/>
    <w:rsid w:val="00A62589"/>
    <w:rsid w:val="00A62AD0"/>
    <w:rsid w:val="00A62C3A"/>
    <w:rsid w:val="00A6319C"/>
    <w:rsid w:val="00A63812"/>
    <w:rsid w:val="00A63DF7"/>
    <w:rsid w:val="00A6454D"/>
    <w:rsid w:val="00A64F2F"/>
    <w:rsid w:val="00A65DBF"/>
    <w:rsid w:val="00A6611E"/>
    <w:rsid w:val="00A668BA"/>
    <w:rsid w:val="00A66DDA"/>
    <w:rsid w:val="00A66FA7"/>
    <w:rsid w:val="00A679FB"/>
    <w:rsid w:val="00A67D7D"/>
    <w:rsid w:val="00A67E16"/>
    <w:rsid w:val="00A67EB1"/>
    <w:rsid w:val="00A703CC"/>
    <w:rsid w:val="00A70C5C"/>
    <w:rsid w:val="00A710A2"/>
    <w:rsid w:val="00A71EA7"/>
    <w:rsid w:val="00A730AD"/>
    <w:rsid w:val="00A73630"/>
    <w:rsid w:val="00A73690"/>
    <w:rsid w:val="00A73855"/>
    <w:rsid w:val="00A73D39"/>
    <w:rsid w:val="00A73D64"/>
    <w:rsid w:val="00A74216"/>
    <w:rsid w:val="00A74360"/>
    <w:rsid w:val="00A744B4"/>
    <w:rsid w:val="00A751E3"/>
    <w:rsid w:val="00A753B9"/>
    <w:rsid w:val="00A7549A"/>
    <w:rsid w:val="00A75504"/>
    <w:rsid w:val="00A75FD7"/>
    <w:rsid w:val="00A769E6"/>
    <w:rsid w:val="00A77168"/>
    <w:rsid w:val="00A7723B"/>
    <w:rsid w:val="00A773C3"/>
    <w:rsid w:val="00A7793C"/>
    <w:rsid w:val="00A779BF"/>
    <w:rsid w:val="00A77B7F"/>
    <w:rsid w:val="00A77D21"/>
    <w:rsid w:val="00A80085"/>
    <w:rsid w:val="00A8043B"/>
    <w:rsid w:val="00A80849"/>
    <w:rsid w:val="00A80DA0"/>
    <w:rsid w:val="00A81323"/>
    <w:rsid w:val="00A820CB"/>
    <w:rsid w:val="00A821C2"/>
    <w:rsid w:val="00A82342"/>
    <w:rsid w:val="00A8236F"/>
    <w:rsid w:val="00A82C87"/>
    <w:rsid w:val="00A83BEF"/>
    <w:rsid w:val="00A840C9"/>
    <w:rsid w:val="00A84443"/>
    <w:rsid w:val="00A8483D"/>
    <w:rsid w:val="00A8487F"/>
    <w:rsid w:val="00A849A3"/>
    <w:rsid w:val="00A84A0E"/>
    <w:rsid w:val="00A8575D"/>
    <w:rsid w:val="00A86E0B"/>
    <w:rsid w:val="00A90792"/>
    <w:rsid w:val="00A90F12"/>
    <w:rsid w:val="00A91DAA"/>
    <w:rsid w:val="00A91EFC"/>
    <w:rsid w:val="00A92E54"/>
    <w:rsid w:val="00A93101"/>
    <w:rsid w:val="00A93239"/>
    <w:rsid w:val="00A9413E"/>
    <w:rsid w:val="00A941C0"/>
    <w:rsid w:val="00A94293"/>
    <w:rsid w:val="00A9496E"/>
    <w:rsid w:val="00A949F0"/>
    <w:rsid w:val="00A94BDE"/>
    <w:rsid w:val="00A94FCA"/>
    <w:rsid w:val="00A950EC"/>
    <w:rsid w:val="00A95926"/>
    <w:rsid w:val="00A95E4C"/>
    <w:rsid w:val="00A9609B"/>
    <w:rsid w:val="00A96C60"/>
    <w:rsid w:val="00A970A1"/>
    <w:rsid w:val="00A9740B"/>
    <w:rsid w:val="00A9766C"/>
    <w:rsid w:val="00A977F8"/>
    <w:rsid w:val="00A979DB"/>
    <w:rsid w:val="00A97C93"/>
    <w:rsid w:val="00AA02C6"/>
    <w:rsid w:val="00AA03E8"/>
    <w:rsid w:val="00AA08E7"/>
    <w:rsid w:val="00AA0A06"/>
    <w:rsid w:val="00AA1351"/>
    <w:rsid w:val="00AA135F"/>
    <w:rsid w:val="00AA184C"/>
    <w:rsid w:val="00AA1AF4"/>
    <w:rsid w:val="00AA1C84"/>
    <w:rsid w:val="00AA3036"/>
    <w:rsid w:val="00AA3D7B"/>
    <w:rsid w:val="00AA42A0"/>
    <w:rsid w:val="00AA442B"/>
    <w:rsid w:val="00AA46A4"/>
    <w:rsid w:val="00AA54A6"/>
    <w:rsid w:val="00AA5779"/>
    <w:rsid w:val="00AA58A1"/>
    <w:rsid w:val="00AA61C7"/>
    <w:rsid w:val="00AA669D"/>
    <w:rsid w:val="00AA66ED"/>
    <w:rsid w:val="00AA6B59"/>
    <w:rsid w:val="00AA6BE1"/>
    <w:rsid w:val="00AA7416"/>
    <w:rsid w:val="00AA7A60"/>
    <w:rsid w:val="00AA7AF0"/>
    <w:rsid w:val="00AA7B42"/>
    <w:rsid w:val="00AB041C"/>
    <w:rsid w:val="00AB14E8"/>
    <w:rsid w:val="00AB1B1D"/>
    <w:rsid w:val="00AB2216"/>
    <w:rsid w:val="00AB358D"/>
    <w:rsid w:val="00AB37A1"/>
    <w:rsid w:val="00AB3BAD"/>
    <w:rsid w:val="00AB3CFD"/>
    <w:rsid w:val="00AB49BC"/>
    <w:rsid w:val="00AB4DEE"/>
    <w:rsid w:val="00AB4E32"/>
    <w:rsid w:val="00AB5BE7"/>
    <w:rsid w:val="00AB5C19"/>
    <w:rsid w:val="00AB724B"/>
    <w:rsid w:val="00AB726C"/>
    <w:rsid w:val="00AB72B4"/>
    <w:rsid w:val="00AB7411"/>
    <w:rsid w:val="00AB7A7A"/>
    <w:rsid w:val="00AC02AA"/>
    <w:rsid w:val="00AC0537"/>
    <w:rsid w:val="00AC0A84"/>
    <w:rsid w:val="00AC1508"/>
    <w:rsid w:val="00AC1600"/>
    <w:rsid w:val="00AC2A0B"/>
    <w:rsid w:val="00AC2BEE"/>
    <w:rsid w:val="00AC2E53"/>
    <w:rsid w:val="00AC46B0"/>
    <w:rsid w:val="00AC484F"/>
    <w:rsid w:val="00AC4B20"/>
    <w:rsid w:val="00AC56F2"/>
    <w:rsid w:val="00AC5897"/>
    <w:rsid w:val="00AC71C3"/>
    <w:rsid w:val="00AD09F7"/>
    <w:rsid w:val="00AD0D42"/>
    <w:rsid w:val="00AD186F"/>
    <w:rsid w:val="00AD1EFA"/>
    <w:rsid w:val="00AD2072"/>
    <w:rsid w:val="00AD2DBD"/>
    <w:rsid w:val="00AD2FBF"/>
    <w:rsid w:val="00AD340E"/>
    <w:rsid w:val="00AD3B81"/>
    <w:rsid w:val="00AD455D"/>
    <w:rsid w:val="00AD463C"/>
    <w:rsid w:val="00AD4F60"/>
    <w:rsid w:val="00AD5044"/>
    <w:rsid w:val="00AD50ED"/>
    <w:rsid w:val="00AD5114"/>
    <w:rsid w:val="00AD6236"/>
    <w:rsid w:val="00AD69D5"/>
    <w:rsid w:val="00AD7619"/>
    <w:rsid w:val="00AD76A1"/>
    <w:rsid w:val="00AD7770"/>
    <w:rsid w:val="00AE1772"/>
    <w:rsid w:val="00AE1990"/>
    <w:rsid w:val="00AE25E8"/>
    <w:rsid w:val="00AE2AD4"/>
    <w:rsid w:val="00AE2CA7"/>
    <w:rsid w:val="00AE2F1D"/>
    <w:rsid w:val="00AE4C81"/>
    <w:rsid w:val="00AE586F"/>
    <w:rsid w:val="00AE6582"/>
    <w:rsid w:val="00AE6DC5"/>
    <w:rsid w:val="00AE7686"/>
    <w:rsid w:val="00AE799A"/>
    <w:rsid w:val="00AE7A7C"/>
    <w:rsid w:val="00AF0E81"/>
    <w:rsid w:val="00AF117A"/>
    <w:rsid w:val="00AF16CA"/>
    <w:rsid w:val="00AF186E"/>
    <w:rsid w:val="00AF19DF"/>
    <w:rsid w:val="00AF1D41"/>
    <w:rsid w:val="00AF26CF"/>
    <w:rsid w:val="00AF2EE8"/>
    <w:rsid w:val="00AF3124"/>
    <w:rsid w:val="00AF344D"/>
    <w:rsid w:val="00AF39B3"/>
    <w:rsid w:val="00AF4402"/>
    <w:rsid w:val="00AF4639"/>
    <w:rsid w:val="00AF4E92"/>
    <w:rsid w:val="00AF554B"/>
    <w:rsid w:val="00AF55C5"/>
    <w:rsid w:val="00AF5C9B"/>
    <w:rsid w:val="00AF5D53"/>
    <w:rsid w:val="00AF5E2D"/>
    <w:rsid w:val="00AF644B"/>
    <w:rsid w:val="00AF69C8"/>
    <w:rsid w:val="00AF69EB"/>
    <w:rsid w:val="00AF6CA6"/>
    <w:rsid w:val="00AF6EB6"/>
    <w:rsid w:val="00AF7796"/>
    <w:rsid w:val="00B00AFD"/>
    <w:rsid w:val="00B011A9"/>
    <w:rsid w:val="00B01BAF"/>
    <w:rsid w:val="00B024ED"/>
    <w:rsid w:val="00B0265B"/>
    <w:rsid w:val="00B02668"/>
    <w:rsid w:val="00B026B8"/>
    <w:rsid w:val="00B02EB3"/>
    <w:rsid w:val="00B02FCB"/>
    <w:rsid w:val="00B033F8"/>
    <w:rsid w:val="00B03C1E"/>
    <w:rsid w:val="00B04400"/>
    <w:rsid w:val="00B04835"/>
    <w:rsid w:val="00B05A55"/>
    <w:rsid w:val="00B05DE1"/>
    <w:rsid w:val="00B05E5E"/>
    <w:rsid w:val="00B06595"/>
    <w:rsid w:val="00B06862"/>
    <w:rsid w:val="00B10109"/>
    <w:rsid w:val="00B1023F"/>
    <w:rsid w:val="00B1085E"/>
    <w:rsid w:val="00B10E5B"/>
    <w:rsid w:val="00B10FD1"/>
    <w:rsid w:val="00B112D5"/>
    <w:rsid w:val="00B1130C"/>
    <w:rsid w:val="00B1219D"/>
    <w:rsid w:val="00B12735"/>
    <w:rsid w:val="00B12F44"/>
    <w:rsid w:val="00B13C48"/>
    <w:rsid w:val="00B13E35"/>
    <w:rsid w:val="00B13EC0"/>
    <w:rsid w:val="00B14102"/>
    <w:rsid w:val="00B141BD"/>
    <w:rsid w:val="00B14D32"/>
    <w:rsid w:val="00B14E14"/>
    <w:rsid w:val="00B1507C"/>
    <w:rsid w:val="00B1557C"/>
    <w:rsid w:val="00B155DC"/>
    <w:rsid w:val="00B15766"/>
    <w:rsid w:val="00B15E4A"/>
    <w:rsid w:val="00B1666A"/>
    <w:rsid w:val="00B167C8"/>
    <w:rsid w:val="00B1686D"/>
    <w:rsid w:val="00B16BF7"/>
    <w:rsid w:val="00B16E67"/>
    <w:rsid w:val="00B16FB6"/>
    <w:rsid w:val="00B17129"/>
    <w:rsid w:val="00B1741D"/>
    <w:rsid w:val="00B17447"/>
    <w:rsid w:val="00B1771D"/>
    <w:rsid w:val="00B17B91"/>
    <w:rsid w:val="00B20209"/>
    <w:rsid w:val="00B203C9"/>
    <w:rsid w:val="00B2088D"/>
    <w:rsid w:val="00B208FF"/>
    <w:rsid w:val="00B20A58"/>
    <w:rsid w:val="00B20E8F"/>
    <w:rsid w:val="00B22E22"/>
    <w:rsid w:val="00B22F5F"/>
    <w:rsid w:val="00B232BD"/>
    <w:rsid w:val="00B23353"/>
    <w:rsid w:val="00B23813"/>
    <w:rsid w:val="00B23FD9"/>
    <w:rsid w:val="00B24591"/>
    <w:rsid w:val="00B245D5"/>
    <w:rsid w:val="00B245EF"/>
    <w:rsid w:val="00B24C36"/>
    <w:rsid w:val="00B24F94"/>
    <w:rsid w:val="00B25126"/>
    <w:rsid w:val="00B25A52"/>
    <w:rsid w:val="00B25AED"/>
    <w:rsid w:val="00B25FC3"/>
    <w:rsid w:val="00B2754F"/>
    <w:rsid w:val="00B27875"/>
    <w:rsid w:val="00B3008D"/>
    <w:rsid w:val="00B30884"/>
    <w:rsid w:val="00B30E11"/>
    <w:rsid w:val="00B30EAE"/>
    <w:rsid w:val="00B30EEB"/>
    <w:rsid w:val="00B31423"/>
    <w:rsid w:val="00B317AE"/>
    <w:rsid w:val="00B323E0"/>
    <w:rsid w:val="00B32DC0"/>
    <w:rsid w:val="00B33392"/>
    <w:rsid w:val="00B3346C"/>
    <w:rsid w:val="00B335E4"/>
    <w:rsid w:val="00B33C23"/>
    <w:rsid w:val="00B345B4"/>
    <w:rsid w:val="00B348B1"/>
    <w:rsid w:val="00B34A28"/>
    <w:rsid w:val="00B35046"/>
    <w:rsid w:val="00B35B6A"/>
    <w:rsid w:val="00B35F1B"/>
    <w:rsid w:val="00B36C99"/>
    <w:rsid w:val="00B36D2B"/>
    <w:rsid w:val="00B37657"/>
    <w:rsid w:val="00B37AFD"/>
    <w:rsid w:val="00B37B07"/>
    <w:rsid w:val="00B4046F"/>
    <w:rsid w:val="00B406B3"/>
    <w:rsid w:val="00B40A36"/>
    <w:rsid w:val="00B40D1D"/>
    <w:rsid w:val="00B41BCA"/>
    <w:rsid w:val="00B41D39"/>
    <w:rsid w:val="00B41D66"/>
    <w:rsid w:val="00B422C0"/>
    <w:rsid w:val="00B426CA"/>
    <w:rsid w:val="00B426E1"/>
    <w:rsid w:val="00B43820"/>
    <w:rsid w:val="00B4387A"/>
    <w:rsid w:val="00B44746"/>
    <w:rsid w:val="00B44854"/>
    <w:rsid w:val="00B44BA5"/>
    <w:rsid w:val="00B4554E"/>
    <w:rsid w:val="00B458D0"/>
    <w:rsid w:val="00B46062"/>
    <w:rsid w:val="00B46696"/>
    <w:rsid w:val="00B46D11"/>
    <w:rsid w:val="00B4792C"/>
    <w:rsid w:val="00B50CAE"/>
    <w:rsid w:val="00B512AD"/>
    <w:rsid w:val="00B5196C"/>
    <w:rsid w:val="00B525CB"/>
    <w:rsid w:val="00B52697"/>
    <w:rsid w:val="00B54215"/>
    <w:rsid w:val="00B549B3"/>
    <w:rsid w:val="00B54D8F"/>
    <w:rsid w:val="00B55857"/>
    <w:rsid w:val="00B55C69"/>
    <w:rsid w:val="00B567EC"/>
    <w:rsid w:val="00B56851"/>
    <w:rsid w:val="00B56D6E"/>
    <w:rsid w:val="00B572F7"/>
    <w:rsid w:val="00B57B9D"/>
    <w:rsid w:val="00B57DAF"/>
    <w:rsid w:val="00B60094"/>
    <w:rsid w:val="00B6022C"/>
    <w:rsid w:val="00B6040C"/>
    <w:rsid w:val="00B60AC0"/>
    <w:rsid w:val="00B614F8"/>
    <w:rsid w:val="00B61994"/>
    <w:rsid w:val="00B61FD4"/>
    <w:rsid w:val="00B62880"/>
    <w:rsid w:val="00B63872"/>
    <w:rsid w:val="00B63CB2"/>
    <w:rsid w:val="00B64246"/>
    <w:rsid w:val="00B64D80"/>
    <w:rsid w:val="00B64EDB"/>
    <w:rsid w:val="00B65938"/>
    <w:rsid w:val="00B65C8A"/>
    <w:rsid w:val="00B65CE2"/>
    <w:rsid w:val="00B660AD"/>
    <w:rsid w:val="00B66109"/>
    <w:rsid w:val="00B66349"/>
    <w:rsid w:val="00B66606"/>
    <w:rsid w:val="00B67FBF"/>
    <w:rsid w:val="00B70832"/>
    <w:rsid w:val="00B71376"/>
    <w:rsid w:val="00B716D7"/>
    <w:rsid w:val="00B717E5"/>
    <w:rsid w:val="00B72110"/>
    <w:rsid w:val="00B72B91"/>
    <w:rsid w:val="00B73019"/>
    <w:rsid w:val="00B7315F"/>
    <w:rsid w:val="00B7323A"/>
    <w:rsid w:val="00B7353B"/>
    <w:rsid w:val="00B737FB"/>
    <w:rsid w:val="00B73E5D"/>
    <w:rsid w:val="00B73EF3"/>
    <w:rsid w:val="00B7423D"/>
    <w:rsid w:val="00B74D05"/>
    <w:rsid w:val="00B74EF8"/>
    <w:rsid w:val="00B75893"/>
    <w:rsid w:val="00B764C9"/>
    <w:rsid w:val="00B771F4"/>
    <w:rsid w:val="00B7762A"/>
    <w:rsid w:val="00B777FA"/>
    <w:rsid w:val="00B77850"/>
    <w:rsid w:val="00B7796B"/>
    <w:rsid w:val="00B80476"/>
    <w:rsid w:val="00B80C72"/>
    <w:rsid w:val="00B81964"/>
    <w:rsid w:val="00B81E6F"/>
    <w:rsid w:val="00B82123"/>
    <w:rsid w:val="00B821D4"/>
    <w:rsid w:val="00B8225B"/>
    <w:rsid w:val="00B82BB5"/>
    <w:rsid w:val="00B83182"/>
    <w:rsid w:val="00B839F0"/>
    <w:rsid w:val="00B850C2"/>
    <w:rsid w:val="00B851E4"/>
    <w:rsid w:val="00B854CE"/>
    <w:rsid w:val="00B85681"/>
    <w:rsid w:val="00B857EB"/>
    <w:rsid w:val="00B858AD"/>
    <w:rsid w:val="00B86162"/>
    <w:rsid w:val="00B86877"/>
    <w:rsid w:val="00B8695D"/>
    <w:rsid w:val="00B86E66"/>
    <w:rsid w:val="00B873BA"/>
    <w:rsid w:val="00B8746F"/>
    <w:rsid w:val="00B8760D"/>
    <w:rsid w:val="00B87706"/>
    <w:rsid w:val="00B90A49"/>
    <w:rsid w:val="00B90A73"/>
    <w:rsid w:val="00B91B8E"/>
    <w:rsid w:val="00B91F2B"/>
    <w:rsid w:val="00B920AD"/>
    <w:rsid w:val="00B92531"/>
    <w:rsid w:val="00B92618"/>
    <w:rsid w:val="00B92751"/>
    <w:rsid w:val="00B92B69"/>
    <w:rsid w:val="00B92CC6"/>
    <w:rsid w:val="00B935C9"/>
    <w:rsid w:val="00B93E3D"/>
    <w:rsid w:val="00B95464"/>
    <w:rsid w:val="00B95C30"/>
    <w:rsid w:val="00B95E3D"/>
    <w:rsid w:val="00B95ED6"/>
    <w:rsid w:val="00B9691F"/>
    <w:rsid w:val="00B96D9F"/>
    <w:rsid w:val="00B96EEC"/>
    <w:rsid w:val="00B97392"/>
    <w:rsid w:val="00B976C7"/>
    <w:rsid w:val="00B97A73"/>
    <w:rsid w:val="00B97F6C"/>
    <w:rsid w:val="00BA0C54"/>
    <w:rsid w:val="00BA11C4"/>
    <w:rsid w:val="00BA1382"/>
    <w:rsid w:val="00BA15E3"/>
    <w:rsid w:val="00BA1A8C"/>
    <w:rsid w:val="00BA20B6"/>
    <w:rsid w:val="00BA20D8"/>
    <w:rsid w:val="00BA22A1"/>
    <w:rsid w:val="00BA22FC"/>
    <w:rsid w:val="00BA271E"/>
    <w:rsid w:val="00BA2C2A"/>
    <w:rsid w:val="00BA2CF9"/>
    <w:rsid w:val="00BA2F30"/>
    <w:rsid w:val="00BA3982"/>
    <w:rsid w:val="00BA405F"/>
    <w:rsid w:val="00BA4771"/>
    <w:rsid w:val="00BA482B"/>
    <w:rsid w:val="00BA4BDA"/>
    <w:rsid w:val="00BA5027"/>
    <w:rsid w:val="00BA5A74"/>
    <w:rsid w:val="00BA661F"/>
    <w:rsid w:val="00BA665B"/>
    <w:rsid w:val="00BA6FE8"/>
    <w:rsid w:val="00BA732D"/>
    <w:rsid w:val="00BA7370"/>
    <w:rsid w:val="00BA778B"/>
    <w:rsid w:val="00BB0888"/>
    <w:rsid w:val="00BB0DF1"/>
    <w:rsid w:val="00BB0E58"/>
    <w:rsid w:val="00BB0E9B"/>
    <w:rsid w:val="00BB1466"/>
    <w:rsid w:val="00BB2841"/>
    <w:rsid w:val="00BB300F"/>
    <w:rsid w:val="00BB32C9"/>
    <w:rsid w:val="00BB35C5"/>
    <w:rsid w:val="00BB4048"/>
    <w:rsid w:val="00BB4C8E"/>
    <w:rsid w:val="00BB57ED"/>
    <w:rsid w:val="00BB5A2D"/>
    <w:rsid w:val="00BB606C"/>
    <w:rsid w:val="00BB65C3"/>
    <w:rsid w:val="00BB662E"/>
    <w:rsid w:val="00BB67A9"/>
    <w:rsid w:val="00BB6C01"/>
    <w:rsid w:val="00BB7942"/>
    <w:rsid w:val="00BB7CD1"/>
    <w:rsid w:val="00BC0F33"/>
    <w:rsid w:val="00BC14A7"/>
    <w:rsid w:val="00BC17CC"/>
    <w:rsid w:val="00BC2898"/>
    <w:rsid w:val="00BC2928"/>
    <w:rsid w:val="00BC29BD"/>
    <w:rsid w:val="00BC2BB1"/>
    <w:rsid w:val="00BC34A3"/>
    <w:rsid w:val="00BC3FF9"/>
    <w:rsid w:val="00BC43CC"/>
    <w:rsid w:val="00BC4834"/>
    <w:rsid w:val="00BC4A97"/>
    <w:rsid w:val="00BC5A25"/>
    <w:rsid w:val="00BC5FDD"/>
    <w:rsid w:val="00BC68B4"/>
    <w:rsid w:val="00BC6CBE"/>
    <w:rsid w:val="00BC7277"/>
    <w:rsid w:val="00BD0140"/>
    <w:rsid w:val="00BD02CC"/>
    <w:rsid w:val="00BD061A"/>
    <w:rsid w:val="00BD088E"/>
    <w:rsid w:val="00BD0F18"/>
    <w:rsid w:val="00BD182E"/>
    <w:rsid w:val="00BD1BAB"/>
    <w:rsid w:val="00BD2063"/>
    <w:rsid w:val="00BD2950"/>
    <w:rsid w:val="00BD337A"/>
    <w:rsid w:val="00BD33D9"/>
    <w:rsid w:val="00BD38C5"/>
    <w:rsid w:val="00BD3AF1"/>
    <w:rsid w:val="00BD3DEA"/>
    <w:rsid w:val="00BD3E97"/>
    <w:rsid w:val="00BD3E9F"/>
    <w:rsid w:val="00BD40E4"/>
    <w:rsid w:val="00BD4A31"/>
    <w:rsid w:val="00BD52FE"/>
    <w:rsid w:val="00BD62CF"/>
    <w:rsid w:val="00BD67B2"/>
    <w:rsid w:val="00BD68E2"/>
    <w:rsid w:val="00BD6D41"/>
    <w:rsid w:val="00BD76E5"/>
    <w:rsid w:val="00BD78FE"/>
    <w:rsid w:val="00BE0149"/>
    <w:rsid w:val="00BE0767"/>
    <w:rsid w:val="00BE07A6"/>
    <w:rsid w:val="00BE0CDF"/>
    <w:rsid w:val="00BE12D7"/>
    <w:rsid w:val="00BE1372"/>
    <w:rsid w:val="00BE1432"/>
    <w:rsid w:val="00BE1775"/>
    <w:rsid w:val="00BE18DA"/>
    <w:rsid w:val="00BE26C0"/>
    <w:rsid w:val="00BE3442"/>
    <w:rsid w:val="00BE37CD"/>
    <w:rsid w:val="00BE47B2"/>
    <w:rsid w:val="00BE48C7"/>
    <w:rsid w:val="00BE4F66"/>
    <w:rsid w:val="00BE4FBF"/>
    <w:rsid w:val="00BE50D0"/>
    <w:rsid w:val="00BE5238"/>
    <w:rsid w:val="00BE5742"/>
    <w:rsid w:val="00BE6074"/>
    <w:rsid w:val="00BE6D73"/>
    <w:rsid w:val="00BE7257"/>
    <w:rsid w:val="00BF020D"/>
    <w:rsid w:val="00BF0609"/>
    <w:rsid w:val="00BF0EE8"/>
    <w:rsid w:val="00BF0F4A"/>
    <w:rsid w:val="00BF10ED"/>
    <w:rsid w:val="00BF1DD2"/>
    <w:rsid w:val="00BF23A3"/>
    <w:rsid w:val="00BF2A7E"/>
    <w:rsid w:val="00BF3331"/>
    <w:rsid w:val="00BF3A45"/>
    <w:rsid w:val="00BF436F"/>
    <w:rsid w:val="00BF5C05"/>
    <w:rsid w:val="00BF6FC6"/>
    <w:rsid w:val="00BF762B"/>
    <w:rsid w:val="00BF7C52"/>
    <w:rsid w:val="00BF7F99"/>
    <w:rsid w:val="00C00713"/>
    <w:rsid w:val="00C009A0"/>
    <w:rsid w:val="00C01F74"/>
    <w:rsid w:val="00C02558"/>
    <w:rsid w:val="00C0285F"/>
    <w:rsid w:val="00C028F5"/>
    <w:rsid w:val="00C02F35"/>
    <w:rsid w:val="00C0302B"/>
    <w:rsid w:val="00C03305"/>
    <w:rsid w:val="00C03515"/>
    <w:rsid w:val="00C03738"/>
    <w:rsid w:val="00C037A6"/>
    <w:rsid w:val="00C043F5"/>
    <w:rsid w:val="00C044E3"/>
    <w:rsid w:val="00C04607"/>
    <w:rsid w:val="00C04BDB"/>
    <w:rsid w:val="00C052C6"/>
    <w:rsid w:val="00C05A61"/>
    <w:rsid w:val="00C05FBA"/>
    <w:rsid w:val="00C05FEE"/>
    <w:rsid w:val="00C06CCF"/>
    <w:rsid w:val="00C0794D"/>
    <w:rsid w:val="00C10E78"/>
    <w:rsid w:val="00C10EF1"/>
    <w:rsid w:val="00C1159D"/>
    <w:rsid w:val="00C11B78"/>
    <w:rsid w:val="00C12125"/>
    <w:rsid w:val="00C1233E"/>
    <w:rsid w:val="00C12FB3"/>
    <w:rsid w:val="00C138BC"/>
    <w:rsid w:val="00C13D85"/>
    <w:rsid w:val="00C1427C"/>
    <w:rsid w:val="00C145FE"/>
    <w:rsid w:val="00C14639"/>
    <w:rsid w:val="00C14E82"/>
    <w:rsid w:val="00C14FF6"/>
    <w:rsid w:val="00C150D4"/>
    <w:rsid w:val="00C15A85"/>
    <w:rsid w:val="00C1637C"/>
    <w:rsid w:val="00C1641B"/>
    <w:rsid w:val="00C165FC"/>
    <w:rsid w:val="00C176D5"/>
    <w:rsid w:val="00C17830"/>
    <w:rsid w:val="00C17D24"/>
    <w:rsid w:val="00C2082C"/>
    <w:rsid w:val="00C20B85"/>
    <w:rsid w:val="00C20EB0"/>
    <w:rsid w:val="00C21004"/>
    <w:rsid w:val="00C21005"/>
    <w:rsid w:val="00C220B6"/>
    <w:rsid w:val="00C22D7C"/>
    <w:rsid w:val="00C22DDE"/>
    <w:rsid w:val="00C2338B"/>
    <w:rsid w:val="00C233CE"/>
    <w:rsid w:val="00C234F2"/>
    <w:rsid w:val="00C237DD"/>
    <w:rsid w:val="00C238F4"/>
    <w:rsid w:val="00C2393A"/>
    <w:rsid w:val="00C23A99"/>
    <w:rsid w:val="00C245EE"/>
    <w:rsid w:val="00C24850"/>
    <w:rsid w:val="00C24AE1"/>
    <w:rsid w:val="00C24B8D"/>
    <w:rsid w:val="00C24BD7"/>
    <w:rsid w:val="00C24BF1"/>
    <w:rsid w:val="00C24D71"/>
    <w:rsid w:val="00C25813"/>
    <w:rsid w:val="00C27143"/>
    <w:rsid w:val="00C27490"/>
    <w:rsid w:val="00C27D37"/>
    <w:rsid w:val="00C309E8"/>
    <w:rsid w:val="00C32017"/>
    <w:rsid w:val="00C32571"/>
    <w:rsid w:val="00C325CD"/>
    <w:rsid w:val="00C3322E"/>
    <w:rsid w:val="00C337F5"/>
    <w:rsid w:val="00C3383E"/>
    <w:rsid w:val="00C33B90"/>
    <w:rsid w:val="00C33C81"/>
    <w:rsid w:val="00C34161"/>
    <w:rsid w:val="00C34B32"/>
    <w:rsid w:val="00C34B5F"/>
    <w:rsid w:val="00C358D4"/>
    <w:rsid w:val="00C365C6"/>
    <w:rsid w:val="00C366F4"/>
    <w:rsid w:val="00C36785"/>
    <w:rsid w:val="00C3711C"/>
    <w:rsid w:val="00C37256"/>
    <w:rsid w:val="00C378CD"/>
    <w:rsid w:val="00C37A7B"/>
    <w:rsid w:val="00C37DC1"/>
    <w:rsid w:val="00C37FFE"/>
    <w:rsid w:val="00C40B50"/>
    <w:rsid w:val="00C419E3"/>
    <w:rsid w:val="00C419F4"/>
    <w:rsid w:val="00C41E6A"/>
    <w:rsid w:val="00C42247"/>
    <w:rsid w:val="00C428E7"/>
    <w:rsid w:val="00C432FB"/>
    <w:rsid w:val="00C43769"/>
    <w:rsid w:val="00C438A2"/>
    <w:rsid w:val="00C439BE"/>
    <w:rsid w:val="00C4539B"/>
    <w:rsid w:val="00C45466"/>
    <w:rsid w:val="00C455C1"/>
    <w:rsid w:val="00C4581D"/>
    <w:rsid w:val="00C4635B"/>
    <w:rsid w:val="00C47472"/>
    <w:rsid w:val="00C500F0"/>
    <w:rsid w:val="00C504A7"/>
    <w:rsid w:val="00C506C9"/>
    <w:rsid w:val="00C50A16"/>
    <w:rsid w:val="00C50DBD"/>
    <w:rsid w:val="00C51C97"/>
    <w:rsid w:val="00C51C9A"/>
    <w:rsid w:val="00C52C68"/>
    <w:rsid w:val="00C52D98"/>
    <w:rsid w:val="00C52DA1"/>
    <w:rsid w:val="00C53D24"/>
    <w:rsid w:val="00C54640"/>
    <w:rsid w:val="00C546D1"/>
    <w:rsid w:val="00C547A6"/>
    <w:rsid w:val="00C54A3A"/>
    <w:rsid w:val="00C55340"/>
    <w:rsid w:val="00C55C32"/>
    <w:rsid w:val="00C56A67"/>
    <w:rsid w:val="00C56CC2"/>
    <w:rsid w:val="00C56D8D"/>
    <w:rsid w:val="00C57498"/>
    <w:rsid w:val="00C5763C"/>
    <w:rsid w:val="00C5780C"/>
    <w:rsid w:val="00C5796B"/>
    <w:rsid w:val="00C57C64"/>
    <w:rsid w:val="00C60CE0"/>
    <w:rsid w:val="00C611EB"/>
    <w:rsid w:val="00C612C4"/>
    <w:rsid w:val="00C619A1"/>
    <w:rsid w:val="00C62370"/>
    <w:rsid w:val="00C6249B"/>
    <w:rsid w:val="00C62BBB"/>
    <w:rsid w:val="00C6305F"/>
    <w:rsid w:val="00C6325B"/>
    <w:rsid w:val="00C63DDD"/>
    <w:rsid w:val="00C63E99"/>
    <w:rsid w:val="00C649B8"/>
    <w:rsid w:val="00C64A64"/>
    <w:rsid w:val="00C65151"/>
    <w:rsid w:val="00C657F4"/>
    <w:rsid w:val="00C6598D"/>
    <w:rsid w:val="00C660FE"/>
    <w:rsid w:val="00C66119"/>
    <w:rsid w:val="00C66292"/>
    <w:rsid w:val="00C66B7D"/>
    <w:rsid w:val="00C67265"/>
    <w:rsid w:val="00C672A3"/>
    <w:rsid w:val="00C672F1"/>
    <w:rsid w:val="00C673D0"/>
    <w:rsid w:val="00C6742E"/>
    <w:rsid w:val="00C67B0B"/>
    <w:rsid w:val="00C67C0E"/>
    <w:rsid w:val="00C70012"/>
    <w:rsid w:val="00C71E2A"/>
    <w:rsid w:val="00C733BA"/>
    <w:rsid w:val="00C74306"/>
    <w:rsid w:val="00C74977"/>
    <w:rsid w:val="00C760DC"/>
    <w:rsid w:val="00C80667"/>
    <w:rsid w:val="00C8082B"/>
    <w:rsid w:val="00C81A88"/>
    <w:rsid w:val="00C81BD5"/>
    <w:rsid w:val="00C81D46"/>
    <w:rsid w:val="00C82298"/>
    <w:rsid w:val="00C8331F"/>
    <w:rsid w:val="00C833B4"/>
    <w:rsid w:val="00C83C3E"/>
    <w:rsid w:val="00C83E0C"/>
    <w:rsid w:val="00C84284"/>
    <w:rsid w:val="00C84887"/>
    <w:rsid w:val="00C84E33"/>
    <w:rsid w:val="00C854CA"/>
    <w:rsid w:val="00C856A1"/>
    <w:rsid w:val="00C85FFC"/>
    <w:rsid w:val="00C861FC"/>
    <w:rsid w:val="00C86C87"/>
    <w:rsid w:val="00C9005E"/>
    <w:rsid w:val="00C90111"/>
    <w:rsid w:val="00C9038E"/>
    <w:rsid w:val="00C9077B"/>
    <w:rsid w:val="00C90CA9"/>
    <w:rsid w:val="00C90F88"/>
    <w:rsid w:val="00C915F2"/>
    <w:rsid w:val="00C917B1"/>
    <w:rsid w:val="00C9193C"/>
    <w:rsid w:val="00C91B77"/>
    <w:rsid w:val="00C920E2"/>
    <w:rsid w:val="00C9370F"/>
    <w:rsid w:val="00C93765"/>
    <w:rsid w:val="00C93877"/>
    <w:rsid w:val="00C93D8C"/>
    <w:rsid w:val="00C93E07"/>
    <w:rsid w:val="00C946CC"/>
    <w:rsid w:val="00C959BD"/>
    <w:rsid w:val="00C95DFE"/>
    <w:rsid w:val="00C95F44"/>
    <w:rsid w:val="00C96D1B"/>
    <w:rsid w:val="00C97106"/>
    <w:rsid w:val="00C978D4"/>
    <w:rsid w:val="00CA0031"/>
    <w:rsid w:val="00CA0413"/>
    <w:rsid w:val="00CA043A"/>
    <w:rsid w:val="00CA084B"/>
    <w:rsid w:val="00CA0E51"/>
    <w:rsid w:val="00CA1691"/>
    <w:rsid w:val="00CA22BA"/>
    <w:rsid w:val="00CA41E7"/>
    <w:rsid w:val="00CA4A99"/>
    <w:rsid w:val="00CA4AD7"/>
    <w:rsid w:val="00CA4D7D"/>
    <w:rsid w:val="00CA5520"/>
    <w:rsid w:val="00CA5812"/>
    <w:rsid w:val="00CA5BD4"/>
    <w:rsid w:val="00CA5C14"/>
    <w:rsid w:val="00CA5CF3"/>
    <w:rsid w:val="00CA76FC"/>
    <w:rsid w:val="00CA7E7B"/>
    <w:rsid w:val="00CB0236"/>
    <w:rsid w:val="00CB1881"/>
    <w:rsid w:val="00CB1969"/>
    <w:rsid w:val="00CB19E3"/>
    <w:rsid w:val="00CB2C3A"/>
    <w:rsid w:val="00CB2D38"/>
    <w:rsid w:val="00CB31B4"/>
    <w:rsid w:val="00CB3725"/>
    <w:rsid w:val="00CB4137"/>
    <w:rsid w:val="00CB50D0"/>
    <w:rsid w:val="00CB52D0"/>
    <w:rsid w:val="00CB5578"/>
    <w:rsid w:val="00CB5671"/>
    <w:rsid w:val="00CB591C"/>
    <w:rsid w:val="00CB5943"/>
    <w:rsid w:val="00CB61B3"/>
    <w:rsid w:val="00CB6F83"/>
    <w:rsid w:val="00CB72AE"/>
    <w:rsid w:val="00CC00CD"/>
    <w:rsid w:val="00CC0579"/>
    <w:rsid w:val="00CC09B4"/>
    <w:rsid w:val="00CC0AF3"/>
    <w:rsid w:val="00CC0BC6"/>
    <w:rsid w:val="00CC0E68"/>
    <w:rsid w:val="00CC1409"/>
    <w:rsid w:val="00CC1780"/>
    <w:rsid w:val="00CC194E"/>
    <w:rsid w:val="00CC21AC"/>
    <w:rsid w:val="00CC232E"/>
    <w:rsid w:val="00CC2514"/>
    <w:rsid w:val="00CC2D34"/>
    <w:rsid w:val="00CC2F69"/>
    <w:rsid w:val="00CC315F"/>
    <w:rsid w:val="00CC3D38"/>
    <w:rsid w:val="00CC40C3"/>
    <w:rsid w:val="00CC4751"/>
    <w:rsid w:val="00CC4CB4"/>
    <w:rsid w:val="00CC4E5D"/>
    <w:rsid w:val="00CC50AE"/>
    <w:rsid w:val="00CC5444"/>
    <w:rsid w:val="00CC5E38"/>
    <w:rsid w:val="00CC5FFE"/>
    <w:rsid w:val="00CC61B7"/>
    <w:rsid w:val="00CC61CA"/>
    <w:rsid w:val="00CC69EC"/>
    <w:rsid w:val="00CC71D3"/>
    <w:rsid w:val="00CC743D"/>
    <w:rsid w:val="00CD02ED"/>
    <w:rsid w:val="00CD050A"/>
    <w:rsid w:val="00CD1017"/>
    <w:rsid w:val="00CD1240"/>
    <w:rsid w:val="00CD19EA"/>
    <w:rsid w:val="00CD205D"/>
    <w:rsid w:val="00CD2A22"/>
    <w:rsid w:val="00CD2B50"/>
    <w:rsid w:val="00CD3172"/>
    <w:rsid w:val="00CD3A6D"/>
    <w:rsid w:val="00CD4506"/>
    <w:rsid w:val="00CD520B"/>
    <w:rsid w:val="00CD5663"/>
    <w:rsid w:val="00CD592E"/>
    <w:rsid w:val="00CD5982"/>
    <w:rsid w:val="00CD5A1A"/>
    <w:rsid w:val="00CD6438"/>
    <w:rsid w:val="00CD73C6"/>
    <w:rsid w:val="00CD7EFA"/>
    <w:rsid w:val="00CE020E"/>
    <w:rsid w:val="00CE0566"/>
    <w:rsid w:val="00CE1CD4"/>
    <w:rsid w:val="00CE2761"/>
    <w:rsid w:val="00CE28FC"/>
    <w:rsid w:val="00CE314E"/>
    <w:rsid w:val="00CE3A85"/>
    <w:rsid w:val="00CE3B81"/>
    <w:rsid w:val="00CE3D5C"/>
    <w:rsid w:val="00CE3E09"/>
    <w:rsid w:val="00CE3E14"/>
    <w:rsid w:val="00CE44C7"/>
    <w:rsid w:val="00CE53CC"/>
    <w:rsid w:val="00CE5F60"/>
    <w:rsid w:val="00CE65A7"/>
    <w:rsid w:val="00CE68FE"/>
    <w:rsid w:val="00CE69CC"/>
    <w:rsid w:val="00CE6EC4"/>
    <w:rsid w:val="00CE7F26"/>
    <w:rsid w:val="00CE7F71"/>
    <w:rsid w:val="00CF105A"/>
    <w:rsid w:val="00CF1226"/>
    <w:rsid w:val="00CF1ABB"/>
    <w:rsid w:val="00CF1E1D"/>
    <w:rsid w:val="00CF24FE"/>
    <w:rsid w:val="00CF287F"/>
    <w:rsid w:val="00CF35D0"/>
    <w:rsid w:val="00CF3B57"/>
    <w:rsid w:val="00CF3DD5"/>
    <w:rsid w:val="00CF4AF7"/>
    <w:rsid w:val="00CF4D20"/>
    <w:rsid w:val="00CF5E78"/>
    <w:rsid w:val="00CF73F8"/>
    <w:rsid w:val="00CF7928"/>
    <w:rsid w:val="00CF7CA2"/>
    <w:rsid w:val="00D00911"/>
    <w:rsid w:val="00D00A8E"/>
    <w:rsid w:val="00D00DE0"/>
    <w:rsid w:val="00D00F79"/>
    <w:rsid w:val="00D012BF"/>
    <w:rsid w:val="00D01760"/>
    <w:rsid w:val="00D034D1"/>
    <w:rsid w:val="00D0368E"/>
    <w:rsid w:val="00D03AC3"/>
    <w:rsid w:val="00D03D2D"/>
    <w:rsid w:val="00D03E7B"/>
    <w:rsid w:val="00D03E9B"/>
    <w:rsid w:val="00D0401A"/>
    <w:rsid w:val="00D047E0"/>
    <w:rsid w:val="00D04B9F"/>
    <w:rsid w:val="00D04D43"/>
    <w:rsid w:val="00D04FFB"/>
    <w:rsid w:val="00D055FE"/>
    <w:rsid w:val="00D058E9"/>
    <w:rsid w:val="00D0612A"/>
    <w:rsid w:val="00D1060D"/>
    <w:rsid w:val="00D10D14"/>
    <w:rsid w:val="00D10E7C"/>
    <w:rsid w:val="00D11182"/>
    <w:rsid w:val="00D1137B"/>
    <w:rsid w:val="00D11807"/>
    <w:rsid w:val="00D11DB3"/>
    <w:rsid w:val="00D12D82"/>
    <w:rsid w:val="00D12F77"/>
    <w:rsid w:val="00D1306E"/>
    <w:rsid w:val="00D130B7"/>
    <w:rsid w:val="00D134CD"/>
    <w:rsid w:val="00D14B5F"/>
    <w:rsid w:val="00D14E13"/>
    <w:rsid w:val="00D14F23"/>
    <w:rsid w:val="00D160F6"/>
    <w:rsid w:val="00D16740"/>
    <w:rsid w:val="00D16A8B"/>
    <w:rsid w:val="00D16B96"/>
    <w:rsid w:val="00D16E39"/>
    <w:rsid w:val="00D171DE"/>
    <w:rsid w:val="00D172A4"/>
    <w:rsid w:val="00D17951"/>
    <w:rsid w:val="00D17AD8"/>
    <w:rsid w:val="00D20FDE"/>
    <w:rsid w:val="00D2104A"/>
    <w:rsid w:val="00D21BB5"/>
    <w:rsid w:val="00D21FFC"/>
    <w:rsid w:val="00D223B6"/>
    <w:rsid w:val="00D223E8"/>
    <w:rsid w:val="00D224E1"/>
    <w:rsid w:val="00D22DC8"/>
    <w:rsid w:val="00D22F18"/>
    <w:rsid w:val="00D2477B"/>
    <w:rsid w:val="00D2522A"/>
    <w:rsid w:val="00D2531C"/>
    <w:rsid w:val="00D25428"/>
    <w:rsid w:val="00D2553E"/>
    <w:rsid w:val="00D2742F"/>
    <w:rsid w:val="00D2754F"/>
    <w:rsid w:val="00D277C5"/>
    <w:rsid w:val="00D279D9"/>
    <w:rsid w:val="00D31011"/>
    <w:rsid w:val="00D312DC"/>
    <w:rsid w:val="00D31B84"/>
    <w:rsid w:val="00D31C6A"/>
    <w:rsid w:val="00D31EDF"/>
    <w:rsid w:val="00D31FF9"/>
    <w:rsid w:val="00D32149"/>
    <w:rsid w:val="00D32256"/>
    <w:rsid w:val="00D325D2"/>
    <w:rsid w:val="00D32A27"/>
    <w:rsid w:val="00D32ABC"/>
    <w:rsid w:val="00D33100"/>
    <w:rsid w:val="00D33178"/>
    <w:rsid w:val="00D33FA4"/>
    <w:rsid w:val="00D34B25"/>
    <w:rsid w:val="00D34C7F"/>
    <w:rsid w:val="00D34F4E"/>
    <w:rsid w:val="00D357F3"/>
    <w:rsid w:val="00D35A63"/>
    <w:rsid w:val="00D35C0E"/>
    <w:rsid w:val="00D36FBF"/>
    <w:rsid w:val="00D373A8"/>
    <w:rsid w:val="00D379A5"/>
    <w:rsid w:val="00D37BB3"/>
    <w:rsid w:val="00D401BE"/>
    <w:rsid w:val="00D4043A"/>
    <w:rsid w:val="00D40DB0"/>
    <w:rsid w:val="00D41093"/>
    <w:rsid w:val="00D41858"/>
    <w:rsid w:val="00D422DB"/>
    <w:rsid w:val="00D42AC2"/>
    <w:rsid w:val="00D4498E"/>
    <w:rsid w:val="00D4515F"/>
    <w:rsid w:val="00D451E8"/>
    <w:rsid w:val="00D45230"/>
    <w:rsid w:val="00D466C9"/>
    <w:rsid w:val="00D47275"/>
    <w:rsid w:val="00D517F6"/>
    <w:rsid w:val="00D51AB7"/>
    <w:rsid w:val="00D51E15"/>
    <w:rsid w:val="00D5211B"/>
    <w:rsid w:val="00D52B7E"/>
    <w:rsid w:val="00D52E2F"/>
    <w:rsid w:val="00D52F59"/>
    <w:rsid w:val="00D53445"/>
    <w:rsid w:val="00D53D54"/>
    <w:rsid w:val="00D53E3E"/>
    <w:rsid w:val="00D54620"/>
    <w:rsid w:val="00D55904"/>
    <w:rsid w:val="00D5614E"/>
    <w:rsid w:val="00D5616F"/>
    <w:rsid w:val="00D5636D"/>
    <w:rsid w:val="00D56C96"/>
    <w:rsid w:val="00D57940"/>
    <w:rsid w:val="00D60327"/>
    <w:rsid w:val="00D61384"/>
    <w:rsid w:val="00D61526"/>
    <w:rsid w:val="00D61B44"/>
    <w:rsid w:val="00D61C39"/>
    <w:rsid w:val="00D61F81"/>
    <w:rsid w:val="00D620A6"/>
    <w:rsid w:val="00D62BE6"/>
    <w:rsid w:val="00D63766"/>
    <w:rsid w:val="00D63912"/>
    <w:rsid w:val="00D63923"/>
    <w:rsid w:val="00D6451B"/>
    <w:rsid w:val="00D64B57"/>
    <w:rsid w:val="00D651A1"/>
    <w:rsid w:val="00D652C0"/>
    <w:rsid w:val="00D65DEA"/>
    <w:rsid w:val="00D6650F"/>
    <w:rsid w:val="00D66579"/>
    <w:rsid w:val="00D676D3"/>
    <w:rsid w:val="00D67B06"/>
    <w:rsid w:val="00D67BC7"/>
    <w:rsid w:val="00D701F1"/>
    <w:rsid w:val="00D705D3"/>
    <w:rsid w:val="00D70AD2"/>
    <w:rsid w:val="00D70E00"/>
    <w:rsid w:val="00D70F7C"/>
    <w:rsid w:val="00D715AC"/>
    <w:rsid w:val="00D71851"/>
    <w:rsid w:val="00D718CF"/>
    <w:rsid w:val="00D720DD"/>
    <w:rsid w:val="00D728F5"/>
    <w:rsid w:val="00D72E9D"/>
    <w:rsid w:val="00D73249"/>
    <w:rsid w:val="00D7329A"/>
    <w:rsid w:val="00D73419"/>
    <w:rsid w:val="00D73881"/>
    <w:rsid w:val="00D73CA9"/>
    <w:rsid w:val="00D751B7"/>
    <w:rsid w:val="00D7524B"/>
    <w:rsid w:val="00D75396"/>
    <w:rsid w:val="00D759C0"/>
    <w:rsid w:val="00D75E99"/>
    <w:rsid w:val="00D76353"/>
    <w:rsid w:val="00D765CE"/>
    <w:rsid w:val="00D766C7"/>
    <w:rsid w:val="00D767C8"/>
    <w:rsid w:val="00D7692B"/>
    <w:rsid w:val="00D7734F"/>
    <w:rsid w:val="00D7791D"/>
    <w:rsid w:val="00D8039E"/>
    <w:rsid w:val="00D8044C"/>
    <w:rsid w:val="00D805D6"/>
    <w:rsid w:val="00D8075E"/>
    <w:rsid w:val="00D80860"/>
    <w:rsid w:val="00D80D4C"/>
    <w:rsid w:val="00D8184D"/>
    <w:rsid w:val="00D81A7B"/>
    <w:rsid w:val="00D8223C"/>
    <w:rsid w:val="00D82B57"/>
    <w:rsid w:val="00D82CE5"/>
    <w:rsid w:val="00D831E3"/>
    <w:rsid w:val="00D8342C"/>
    <w:rsid w:val="00D834BC"/>
    <w:rsid w:val="00D84983"/>
    <w:rsid w:val="00D84C00"/>
    <w:rsid w:val="00D85494"/>
    <w:rsid w:val="00D8582C"/>
    <w:rsid w:val="00D85D61"/>
    <w:rsid w:val="00D8616D"/>
    <w:rsid w:val="00D8711B"/>
    <w:rsid w:val="00D87384"/>
    <w:rsid w:val="00D8771B"/>
    <w:rsid w:val="00D87F3C"/>
    <w:rsid w:val="00D90683"/>
    <w:rsid w:val="00D90B2A"/>
    <w:rsid w:val="00D911B3"/>
    <w:rsid w:val="00D91483"/>
    <w:rsid w:val="00D915C8"/>
    <w:rsid w:val="00D9310B"/>
    <w:rsid w:val="00D931F3"/>
    <w:rsid w:val="00D93726"/>
    <w:rsid w:val="00D93F3E"/>
    <w:rsid w:val="00D9405B"/>
    <w:rsid w:val="00D94942"/>
    <w:rsid w:val="00D95145"/>
    <w:rsid w:val="00D96594"/>
    <w:rsid w:val="00D967CB"/>
    <w:rsid w:val="00D968D4"/>
    <w:rsid w:val="00D96DEE"/>
    <w:rsid w:val="00D96EE0"/>
    <w:rsid w:val="00D9771D"/>
    <w:rsid w:val="00D97BD1"/>
    <w:rsid w:val="00DA00C3"/>
    <w:rsid w:val="00DA01E9"/>
    <w:rsid w:val="00DA06B8"/>
    <w:rsid w:val="00DA0E8A"/>
    <w:rsid w:val="00DA14A9"/>
    <w:rsid w:val="00DA286D"/>
    <w:rsid w:val="00DA2969"/>
    <w:rsid w:val="00DA29B7"/>
    <w:rsid w:val="00DA2E5F"/>
    <w:rsid w:val="00DA337C"/>
    <w:rsid w:val="00DA4187"/>
    <w:rsid w:val="00DA4842"/>
    <w:rsid w:val="00DA498B"/>
    <w:rsid w:val="00DA4C97"/>
    <w:rsid w:val="00DA530A"/>
    <w:rsid w:val="00DA5989"/>
    <w:rsid w:val="00DA5AB1"/>
    <w:rsid w:val="00DA5F9D"/>
    <w:rsid w:val="00DA69B2"/>
    <w:rsid w:val="00DA7462"/>
    <w:rsid w:val="00DA7AD0"/>
    <w:rsid w:val="00DB02D7"/>
    <w:rsid w:val="00DB03CC"/>
    <w:rsid w:val="00DB12D4"/>
    <w:rsid w:val="00DB14F0"/>
    <w:rsid w:val="00DB1745"/>
    <w:rsid w:val="00DB19BB"/>
    <w:rsid w:val="00DB1AFF"/>
    <w:rsid w:val="00DB219A"/>
    <w:rsid w:val="00DB3009"/>
    <w:rsid w:val="00DB3165"/>
    <w:rsid w:val="00DB3909"/>
    <w:rsid w:val="00DB4292"/>
    <w:rsid w:val="00DB5023"/>
    <w:rsid w:val="00DB6895"/>
    <w:rsid w:val="00DB6E46"/>
    <w:rsid w:val="00DB7117"/>
    <w:rsid w:val="00DB7760"/>
    <w:rsid w:val="00DB7DD4"/>
    <w:rsid w:val="00DC00B4"/>
    <w:rsid w:val="00DC0585"/>
    <w:rsid w:val="00DC0954"/>
    <w:rsid w:val="00DC0DF8"/>
    <w:rsid w:val="00DC15BA"/>
    <w:rsid w:val="00DC18CD"/>
    <w:rsid w:val="00DC1A68"/>
    <w:rsid w:val="00DC30B8"/>
    <w:rsid w:val="00DC478F"/>
    <w:rsid w:val="00DC62E5"/>
    <w:rsid w:val="00DC6D70"/>
    <w:rsid w:val="00DC6F33"/>
    <w:rsid w:val="00DC7349"/>
    <w:rsid w:val="00DD0EA9"/>
    <w:rsid w:val="00DD14D8"/>
    <w:rsid w:val="00DD1599"/>
    <w:rsid w:val="00DD16F1"/>
    <w:rsid w:val="00DD1B03"/>
    <w:rsid w:val="00DD1E43"/>
    <w:rsid w:val="00DD2A62"/>
    <w:rsid w:val="00DD2CEF"/>
    <w:rsid w:val="00DD2F2F"/>
    <w:rsid w:val="00DD2F7A"/>
    <w:rsid w:val="00DD31EF"/>
    <w:rsid w:val="00DD3885"/>
    <w:rsid w:val="00DD453A"/>
    <w:rsid w:val="00DD5808"/>
    <w:rsid w:val="00DD5946"/>
    <w:rsid w:val="00DD5B04"/>
    <w:rsid w:val="00DD5DAE"/>
    <w:rsid w:val="00DD5EC6"/>
    <w:rsid w:val="00DD605F"/>
    <w:rsid w:val="00DD6C99"/>
    <w:rsid w:val="00DD7024"/>
    <w:rsid w:val="00DD72A0"/>
    <w:rsid w:val="00DD735D"/>
    <w:rsid w:val="00DD7F7D"/>
    <w:rsid w:val="00DE0159"/>
    <w:rsid w:val="00DE064A"/>
    <w:rsid w:val="00DE082D"/>
    <w:rsid w:val="00DE0D15"/>
    <w:rsid w:val="00DE1410"/>
    <w:rsid w:val="00DE20C6"/>
    <w:rsid w:val="00DE3119"/>
    <w:rsid w:val="00DE3E0B"/>
    <w:rsid w:val="00DE3FF0"/>
    <w:rsid w:val="00DE4105"/>
    <w:rsid w:val="00DE5189"/>
    <w:rsid w:val="00DE6135"/>
    <w:rsid w:val="00DE7108"/>
    <w:rsid w:val="00DE771D"/>
    <w:rsid w:val="00DE78D1"/>
    <w:rsid w:val="00DE78FF"/>
    <w:rsid w:val="00DF00C7"/>
    <w:rsid w:val="00DF0263"/>
    <w:rsid w:val="00DF098F"/>
    <w:rsid w:val="00DF0EB4"/>
    <w:rsid w:val="00DF146A"/>
    <w:rsid w:val="00DF158B"/>
    <w:rsid w:val="00DF193C"/>
    <w:rsid w:val="00DF1E36"/>
    <w:rsid w:val="00DF236B"/>
    <w:rsid w:val="00DF2A91"/>
    <w:rsid w:val="00DF3889"/>
    <w:rsid w:val="00DF3CC9"/>
    <w:rsid w:val="00DF4451"/>
    <w:rsid w:val="00DF49FF"/>
    <w:rsid w:val="00DF4FFB"/>
    <w:rsid w:val="00DF5236"/>
    <w:rsid w:val="00DF651F"/>
    <w:rsid w:val="00DF6F43"/>
    <w:rsid w:val="00DF71EA"/>
    <w:rsid w:val="00DF752F"/>
    <w:rsid w:val="00DF769A"/>
    <w:rsid w:val="00DF76A2"/>
    <w:rsid w:val="00E00B7A"/>
    <w:rsid w:val="00E02186"/>
    <w:rsid w:val="00E025C2"/>
    <w:rsid w:val="00E026BB"/>
    <w:rsid w:val="00E027C5"/>
    <w:rsid w:val="00E03124"/>
    <w:rsid w:val="00E031C3"/>
    <w:rsid w:val="00E03951"/>
    <w:rsid w:val="00E03DB8"/>
    <w:rsid w:val="00E03F17"/>
    <w:rsid w:val="00E0420C"/>
    <w:rsid w:val="00E047D5"/>
    <w:rsid w:val="00E04EDD"/>
    <w:rsid w:val="00E05AA3"/>
    <w:rsid w:val="00E05E70"/>
    <w:rsid w:val="00E064BC"/>
    <w:rsid w:val="00E07225"/>
    <w:rsid w:val="00E076B4"/>
    <w:rsid w:val="00E07B55"/>
    <w:rsid w:val="00E10579"/>
    <w:rsid w:val="00E109DD"/>
    <w:rsid w:val="00E11229"/>
    <w:rsid w:val="00E114CA"/>
    <w:rsid w:val="00E127D1"/>
    <w:rsid w:val="00E13867"/>
    <w:rsid w:val="00E1397F"/>
    <w:rsid w:val="00E13AB8"/>
    <w:rsid w:val="00E13B0C"/>
    <w:rsid w:val="00E1482E"/>
    <w:rsid w:val="00E162D7"/>
    <w:rsid w:val="00E16382"/>
    <w:rsid w:val="00E1699C"/>
    <w:rsid w:val="00E16E75"/>
    <w:rsid w:val="00E1746D"/>
    <w:rsid w:val="00E174E8"/>
    <w:rsid w:val="00E2012A"/>
    <w:rsid w:val="00E205A2"/>
    <w:rsid w:val="00E205DC"/>
    <w:rsid w:val="00E20BA4"/>
    <w:rsid w:val="00E210D0"/>
    <w:rsid w:val="00E23137"/>
    <w:rsid w:val="00E23980"/>
    <w:rsid w:val="00E241E9"/>
    <w:rsid w:val="00E257C3"/>
    <w:rsid w:val="00E2596F"/>
    <w:rsid w:val="00E25A2C"/>
    <w:rsid w:val="00E25CB3"/>
    <w:rsid w:val="00E25DA4"/>
    <w:rsid w:val="00E26237"/>
    <w:rsid w:val="00E26CB8"/>
    <w:rsid w:val="00E26D16"/>
    <w:rsid w:val="00E26FCF"/>
    <w:rsid w:val="00E27165"/>
    <w:rsid w:val="00E2726E"/>
    <w:rsid w:val="00E275D9"/>
    <w:rsid w:val="00E3044A"/>
    <w:rsid w:val="00E30E49"/>
    <w:rsid w:val="00E31A4A"/>
    <w:rsid w:val="00E3344A"/>
    <w:rsid w:val="00E33B29"/>
    <w:rsid w:val="00E33B62"/>
    <w:rsid w:val="00E33F67"/>
    <w:rsid w:val="00E3403D"/>
    <w:rsid w:val="00E344BD"/>
    <w:rsid w:val="00E34E6C"/>
    <w:rsid w:val="00E35224"/>
    <w:rsid w:val="00E353E2"/>
    <w:rsid w:val="00E356B4"/>
    <w:rsid w:val="00E36345"/>
    <w:rsid w:val="00E36C86"/>
    <w:rsid w:val="00E36CEB"/>
    <w:rsid w:val="00E37A28"/>
    <w:rsid w:val="00E40430"/>
    <w:rsid w:val="00E40690"/>
    <w:rsid w:val="00E40AEB"/>
    <w:rsid w:val="00E40E82"/>
    <w:rsid w:val="00E41141"/>
    <w:rsid w:val="00E4143A"/>
    <w:rsid w:val="00E4159B"/>
    <w:rsid w:val="00E4186F"/>
    <w:rsid w:val="00E424C8"/>
    <w:rsid w:val="00E4251D"/>
    <w:rsid w:val="00E43D00"/>
    <w:rsid w:val="00E443B4"/>
    <w:rsid w:val="00E445E4"/>
    <w:rsid w:val="00E457CB"/>
    <w:rsid w:val="00E45D47"/>
    <w:rsid w:val="00E45DE4"/>
    <w:rsid w:val="00E45E63"/>
    <w:rsid w:val="00E4759C"/>
    <w:rsid w:val="00E50A7B"/>
    <w:rsid w:val="00E50B0B"/>
    <w:rsid w:val="00E50C57"/>
    <w:rsid w:val="00E510FE"/>
    <w:rsid w:val="00E514BA"/>
    <w:rsid w:val="00E51E25"/>
    <w:rsid w:val="00E5205B"/>
    <w:rsid w:val="00E521AE"/>
    <w:rsid w:val="00E529A3"/>
    <w:rsid w:val="00E53A21"/>
    <w:rsid w:val="00E53BCA"/>
    <w:rsid w:val="00E53DE2"/>
    <w:rsid w:val="00E53F02"/>
    <w:rsid w:val="00E54276"/>
    <w:rsid w:val="00E5428D"/>
    <w:rsid w:val="00E54534"/>
    <w:rsid w:val="00E548C3"/>
    <w:rsid w:val="00E54F27"/>
    <w:rsid w:val="00E55FF1"/>
    <w:rsid w:val="00E56090"/>
    <w:rsid w:val="00E565B9"/>
    <w:rsid w:val="00E56E7B"/>
    <w:rsid w:val="00E5733B"/>
    <w:rsid w:val="00E5756C"/>
    <w:rsid w:val="00E57811"/>
    <w:rsid w:val="00E601BE"/>
    <w:rsid w:val="00E608EC"/>
    <w:rsid w:val="00E60B5F"/>
    <w:rsid w:val="00E60D8D"/>
    <w:rsid w:val="00E60FF7"/>
    <w:rsid w:val="00E6101C"/>
    <w:rsid w:val="00E613AE"/>
    <w:rsid w:val="00E61429"/>
    <w:rsid w:val="00E61ABB"/>
    <w:rsid w:val="00E61FD7"/>
    <w:rsid w:val="00E623E6"/>
    <w:rsid w:val="00E62A00"/>
    <w:rsid w:val="00E630A2"/>
    <w:rsid w:val="00E630C0"/>
    <w:rsid w:val="00E63107"/>
    <w:rsid w:val="00E6312C"/>
    <w:rsid w:val="00E634E6"/>
    <w:rsid w:val="00E63DCE"/>
    <w:rsid w:val="00E64700"/>
    <w:rsid w:val="00E65074"/>
    <w:rsid w:val="00E65E70"/>
    <w:rsid w:val="00E66087"/>
    <w:rsid w:val="00E66B2D"/>
    <w:rsid w:val="00E66D79"/>
    <w:rsid w:val="00E66F5A"/>
    <w:rsid w:val="00E66FF9"/>
    <w:rsid w:val="00E6706F"/>
    <w:rsid w:val="00E670DD"/>
    <w:rsid w:val="00E673A2"/>
    <w:rsid w:val="00E67856"/>
    <w:rsid w:val="00E679C8"/>
    <w:rsid w:val="00E70314"/>
    <w:rsid w:val="00E71704"/>
    <w:rsid w:val="00E719F2"/>
    <w:rsid w:val="00E724E7"/>
    <w:rsid w:val="00E72B41"/>
    <w:rsid w:val="00E732C1"/>
    <w:rsid w:val="00E7347B"/>
    <w:rsid w:val="00E73792"/>
    <w:rsid w:val="00E73D03"/>
    <w:rsid w:val="00E7471C"/>
    <w:rsid w:val="00E7498A"/>
    <w:rsid w:val="00E7514E"/>
    <w:rsid w:val="00E76537"/>
    <w:rsid w:val="00E77784"/>
    <w:rsid w:val="00E77AF5"/>
    <w:rsid w:val="00E820F4"/>
    <w:rsid w:val="00E823F9"/>
    <w:rsid w:val="00E82C1F"/>
    <w:rsid w:val="00E83671"/>
    <w:rsid w:val="00E839C4"/>
    <w:rsid w:val="00E840EE"/>
    <w:rsid w:val="00E84314"/>
    <w:rsid w:val="00E849CA"/>
    <w:rsid w:val="00E84A71"/>
    <w:rsid w:val="00E8556F"/>
    <w:rsid w:val="00E86556"/>
    <w:rsid w:val="00E86D35"/>
    <w:rsid w:val="00E86DC2"/>
    <w:rsid w:val="00E86E32"/>
    <w:rsid w:val="00E86F2E"/>
    <w:rsid w:val="00E8732E"/>
    <w:rsid w:val="00E9011F"/>
    <w:rsid w:val="00E906EB"/>
    <w:rsid w:val="00E90AEC"/>
    <w:rsid w:val="00E9170E"/>
    <w:rsid w:val="00E919FB"/>
    <w:rsid w:val="00E91E47"/>
    <w:rsid w:val="00E9241E"/>
    <w:rsid w:val="00E92460"/>
    <w:rsid w:val="00E924FE"/>
    <w:rsid w:val="00E92E62"/>
    <w:rsid w:val="00E93804"/>
    <w:rsid w:val="00E9429D"/>
    <w:rsid w:val="00E95434"/>
    <w:rsid w:val="00E96467"/>
    <w:rsid w:val="00E966DA"/>
    <w:rsid w:val="00E96948"/>
    <w:rsid w:val="00E9737B"/>
    <w:rsid w:val="00E97A3F"/>
    <w:rsid w:val="00E97D2E"/>
    <w:rsid w:val="00E97F0A"/>
    <w:rsid w:val="00EA0100"/>
    <w:rsid w:val="00EA0BCE"/>
    <w:rsid w:val="00EA1532"/>
    <w:rsid w:val="00EA22FA"/>
    <w:rsid w:val="00EA2744"/>
    <w:rsid w:val="00EA31A4"/>
    <w:rsid w:val="00EA37B9"/>
    <w:rsid w:val="00EA38CD"/>
    <w:rsid w:val="00EA39F7"/>
    <w:rsid w:val="00EA3DC2"/>
    <w:rsid w:val="00EA434E"/>
    <w:rsid w:val="00EA4395"/>
    <w:rsid w:val="00EA4757"/>
    <w:rsid w:val="00EA560B"/>
    <w:rsid w:val="00EA5669"/>
    <w:rsid w:val="00EA57BD"/>
    <w:rsid w:val="00EA5CC6"/>
    <w:rsid w:val="00EA63EF"/>
    <w:rsid w:val="00EA7CBF"/>
    <w:rsid w:val="00EB0329"/>
    <w:rsid w:val="00EB0A89"/>
    <w:rsid w:val="00EB1573"/>
    <w:rsid w:val="00EB185F"/>
    <w:rsid w:val="00EB1910"/>
    <w:rsid w:val="00EB2D83"/>
    <w:rsid w:val="00EB2E97"/>
    <w:rsid w:val="00EB3416"/>
    <w:rsid w:val="00EB45AE"/>
    <w:rsid w:val="00EB4AE1"/>
    <w:rsid w:val="00EB52F4"/>
    <w:rsid w:val="00EB5694"/>
    <w:rsid w:val="00EB5779"/>
    <w:rsid w:val="00EB5D2F"/>
    <w:rsid w:val="00EB67F1"/>
    <w:rsid w:val="00EB6ADA"/>
    <w:rsid w:val="00EB72CD"/>
    <w:rsid w:val="00EB749A"/>
    <w:rsid w:val="00EB76B6"/>
    <w:rsid w:val="00EB7D8A"/>
    <w:rsid w:val="00EC04F7"/>
    <w:rsid w:val="00EC05E2"/>
    <w:rsid w:val="00EC0E84"/>
    <w:rsid w:val="00EC16E2"/>
    <w:rsid w:val="00EC1CE7"/>
    <w:rsid w:val="00EC1DAE"/>
    <w:rsid w:val="00EC26F1"/>
    <w:rsid w:val="00EC3C94"/>
    <w:rsid w:val="00EC44DF"/>
    <w:rsid w:val="00EC4FB9"/>
    <w:rsid w:val="00EC5393"/>
    <w:rsid w:val="00EC5741"/>
    <w:rsid w:val="00EC5DA3"/>
    <w:rsid w:val="00EC6014"/>
    <w:rsid w:val="00EC6B3E"/>
    <w:rsid w:val="00EC6F2D"/>
    <w:rsid w:val="00EC73DE"/>
    <w:rsid w:val="00EC7637"/>
    <w:rsid w:val="00EC7CF2"/>
    <w:rsid w:val="00ED046C"/>
    <w:rsid w:val="00ED053A"/>
    <w:rsid w:val="00ED17B8"/>
    <w:rsid w:val="00ED1F03"/>
    <w:rsid w:val="00ED249D"/>
    <w:rsid w:val="00ED2D27"/>
    <w:rsid w:val="00ED3347"/>
    <w:rsid w:val="00ED3441"/>
    <w:rsid w:val="00ED3860"/>
    <w:rsid w:val="00ED3954"/>
    <w:rsid w:val="00ED43A2"/>
    <w:rsid w:val="00ED4967"/>
    <w:rsid w:val="00ED5140"/>
    <w:rsid w:val="00ED538C"/>
    <w:rsid w:val="00ED5771"/>
    <w:rsid w:val="00ED587F"/>
    <w:rsid w:val="00ED5964"/>
    <w:rsid w:val="00ED623F"/>
    <w:rsid w:val="00ED63A5"/>
    <w:rsid w:val="00ED69BA"/>
    <w:rsid w:val="00ED6D1A"/>
    <w:rsid w:val="00ED72E9"/>
    <w:rsid w:val="00ED732E"/>
    <w:rsid w:val="00ED77F0"/>
    <w:rsid w:val="00ED7FBC"/>
    <w:rsid w:val="00EE0253"/>
    <w:rsid w:val="00EE0297"/>
    <w:rsid w:val="00EE050A"/>
    <w:rsid w:val="00EE1258"/>
    <w:rsid w:val="00EE12EA"/>
    <w:rsid w:val="00EE13DA"/>
    <w:rsid w:val="00EE1668"/>
    <w:rsid w:val="00EE168D"/>
    <w:rsid w:val="00EE1EDB"/>
    <w:rsid w:val="00EE24E2"/>
    <w:rsid w:val="00EE2BF0"/>
    <w:rsid w:val="00EE3295"/>
    <w:rsid w:val="00EE366D"/>
    <w:rsid w:val="00EE5454"/>
    <w:rsid w:val="00EE54C4"/>
    <w:rsid w:val="00EE59B5"/>
    <w:rsid w:val="00EE5FB7"/>
    <w:rsid w:val="00EE66E1"/>
    <w:rsid w:val="00EE6783"/>
    <w:rsid w:val="00EE6AC4"/>
    <w:rsid w:val="00EE7B54"/>
    <w:rsid w:val="00EE7C47"/>
    <w:rsid w:val="00EE7C88"/>
    <w:rsid w:val="00EE7C8B"/>
    <w:rsid w:val="00EE7E25"/>
    <w:rsid w:val="00EF0209"/>
    <w:rsid w:val="00EF0D23"/>
    <w:rsid w:val="00EF0EA4"/>
    <w:rsid w:val="00EF1E97"/>
    <w:rsid w:val="00EF2436"/>
    <w:rsid w:val="00EF2547"/>
    <w:rsid w:val="00EF2942"/>
    <w:rsid w:val="00EF29D9"/>
    <w:rsid w:val="00EF2B2B"/>
    <w:rsid w:val="00EF2E1C"/>
    <w:rsid w:val="00EF2FD6"/>
    <w:rsid w:val="00EF326A"/>
    <w:rsid w:val="00EF427A"/>
    <w:rsid w:val="00EF45DF"/>
    <w:rsid w:val="00EF4952"/>
    <w:rsid w:val="00EF498F"/>
    <w:rsid w:val="00EF4A42"/>
    <w:rsid w:val="00EF507B"/>
    <w:rsid w:val="00EF510C"/>
    <w:rsid w:val="00EF55C4"/>
    <w:rsid w:val="00EF57BC"/>
    <w:rsid w:val="00EF5CA8"/>
    <w:rsid w:val="00EF6784"/>
    <w:rsid w:val="00EF688A"/>
    <w:rsid w:val="00EF6A03"/>
    <w:rsid w:val="00EF6DC2"/>
    <w:rsid w:val="00EF7506"/>
    <w:rsid w:val="00EF760B"/>
    <w:rsid w:val="00EF7BF4"/>
    <w:rsid w:val="00F0030F"/>
    <w:rsid w:val="00F00674"/>
    <w:rsid w:val="00F014F5"/>
    <w:rsid w:val="00F01657"/>
    <w:rsid w:val="00F01D40"/>
    <w:rsid w:val="00F01E67"/>
    <w:rsid w:val="00F02744"/>
    <w:rsid w:val="00F02BFD"/>
    <w:rsid w:val="00F02CDE"/>
    <w:rsid w:val="00F02D25"/>
    <w:rsid w:val="00F03C3D"/>
    <w:rsid w:val="00F0435D"/>
    <w:rsid w:val="00F04580"/>
    <w:rsid w:val="00F04ECA"/>
    <w:rsid w:val="00F04F8B"/>
    <w:rsid w:val="00F0502B"/>
    <w:rsid w:val="00F05F8E"/>
    <w:rsid w:val="00F06E19"/>
    <w:rsid w:val="00F06F84"/>
    <w:rsid w:val="00F076E7"/>
    <w:rsid w:val="00F07AA1"/>
    <w:rsid w:val="00F105AE"/>
    <w:rsid w:val="00F10618"/>
    <w:rsid w:val="00F1108B"/>
    <w:rsid w:val="00F114FA"/>
    <w:rsid w:val="00F11768"/>
    <w:rsid w:val="00F11951"/>
    <w:rsid w:val="00F12262"/>
    <w:rsid w:val="00F12564"/>
    <w:rsid w:val="00F12AF8"/>
    <w:rsid w:val="00F12C52"/>
    <w:rsid w:val="00F13828"/>
    <w:rsid w:val="00F13E62"/>
    <w:rsid w:val="00F13F51"/>
    <w:rsid w:val="00F148B7"/>
    <w:rsid w:val="00F14E28"/>
    <w:rsid w:val="00F14EA9"/>
    <w:rsid w:val="00F15505"/>
    <w:rsid w:val="00F15BFF"/>
    <w:rsid w:val="00F16E4F"/>
    <w:rsid w:val="00F17244"/>
    <w:rsid w:val="00F20ECE"/>
    <w:rsid w:val="00F2121A"/>
    <w:rsid w:val="00F213A0"/>
    <w:rsid w:val="00F21D54"/>
    <w:rsid w:val="00F21EF4"/>
    <w:rsid w:val="00F23113"/>
    <w:rsid w:val="00F23255"/>
    <w:rsid w:val="00F23393"/>
    <w:rsid w:val="00F23759"/>
    <w:rsid w:val="00F24644"/>
    <w:rsid w:val="00F25947"/>
    <w:rsid w:val="00F25F9F"/>
    <w:rsid w:val="00F262D6"/>
    <w:rsid w:val="00F26F33"/>
    <w:rsid w:val="00F2748A"/>
    <w:rsid w:val="00F300A8"/>
    <w:rsid w:val="00F302C6"/>
    <w:rsid w:val="00F30400"/>
    <w:rsid w:val="00F3079E"/>
    <w:rsid w:val="00F30C72"/>
    <w:rsid w:val="00F3399B"/>
    <w:rsid w:val="00F33F4B"/>
    <w:rsid w:val="00F346ED"/>
    <w:rsid w:val="00F34945"/>
    <w:rsid w:val="00F34E1E"/>
    <w:rsid w:val="00F3570C"/>
    <w:rsid w:val="00F363A4"/>
    <w:rsid w:val="00F36613"/>
    <w:rsid w:val="00F36765"/>
    <w:rsid w:val="00F368FF"/>
    <w:rsid w:val="00F37068"/>
    <w:rsid w:val="00F37F3F"/>
    <w:rsid w:val="00F40992"/>
    <w:rsid w:val="00F409C4"/>
    <w:rsid w:val="00F409C6"/>
    <w:rsid w:val="00F40C84"/>
    <w:rsid w:val="00F40F72"/>
    <w:rsid w:val="00F41596"/>
    <w:rsid w:val="00F41B60"/>
    <w:rsid w:val="00F41D8B"/>
    <w:rsid w:val="00F42121"/>
    <w:rsid w:val="00F424B3"/>
    <w:rsid w:val="00F428B1"/>
    <w:rsid w:val="00F428B4"/>
    <w:rsid w:val="00F433CB"/>
    <w:rsid w:val="00F4345D"/>
    <w:rsid w:val="00F4387B"/>
    <w:rsid w:val="00F45921"/>
    <w:rsid w:val="00F45B91"/>
    <w:rsid w:val="00F46639"/>
    <w:rsid w:val="00F473E5"/>
    <w:rsid w:val="00F476FD"/>
    <w:rsid w:val="00F50183"/>
    <w:rsid w:val="00F50D92"/>
    <w:rsid w:val="00F51765"/>
    <w:rsid w:val="00F51A51"/>
    <w:rsid w:val="00F51BC6"/>
    <w:rsid w:val="00F51CB4"/>
    <w:rsid w:val="00F520CB"/>
    <w:rsid w:val="00F52324"/>
    <w:rsid w:val="00F52950"/>
    <w:rsid w:val="00F52C9D"/>
    <w:rsid w:val="00F533F1"/>
    <w:rsid w:val="00F53B8B"/>
    <w:rsid w:val="00F55679"/>
    <w:rsid w:val="00F561DA"/>
    <w:rsid w:val="00F561E3"/>
    <w:rsid w:val="00F565E6"/>
    <w:rsid w:val="00F56AFA"/>
    <w:rsid w:val="00F575E2"/>
    <w:rsid w:val="00F579FF"/>
    <w:rsid w:val="00F600E0"/>
    <w:rsid w:val="00F60530"/>
    <w:rsid w:val="00F605EC"/>
    <w:rsid w:val="00F60F60"/>
    <w:rsid w:val="00F612CE"/>
    <w:rsid w:val="00F6133C"/>
    <w:rsid w:val="00F61405"/>
    <w:rsid w:val="00F62227"/>
    <w:rsid w:val="00F624A7"/>
    <w:rsid w:val="00F62AB6"/>
    <w:rsid w:val="00F65A3C"/>
    <w:rsid w:val="00F66009"/>
    <w:rsid w:val="00F66282"/>
    <w:rsid w:val="00F6639E"/>
    <w:rsid w:val="00F66D0B"/>
    <w:rsid w:val="00F670E9"/>
    <w:rsid w:val="00F67AF1"/>
    <w:rsid w:val="00F67D8B"/>
    <w:rsid w:val="00F701C5"/>
    <w:rsid w:val="00F70961"/>
    <w:rsid w:val="00F70A8F"/>
    <w:rsid w:val="00F71397"/>
    <w:rsid w:val="00F72389"/>
    <w:rsid w:val="00F72516"/>
    <w:rsid w:val="00F72FB4"/>
    <w:rsid w:val="00F735E5"/>
    <w:rsid w:val="00F73B82"/>
    <w:rsid w:val="00F73E80"/>
    <w:rsid w:val="00F7469C"/>
    <w:rsid w:val="00F7492E"/>
    <w:rsid w:val="00F74945"/>
    <w:rsid w:val="00F749A3"/>
    <w:rsid w:val="00F74AE8"/>
    <w:rsid w:val="00F74C4D"/>
    <w:rsid w:val="00F76C11"/>
    <w:rsid w:val="00F76C69"/>
    <w:rsid w:val="00F77021"/>
    <w:rsid w:val="00F770AB"/>
    <w:rsid w:val="00F77E61"/>
    <w:rsid w:val="00F80221"/>
    <w:rsid w:val="00F80A0A"/>
    <w:rsid w:val="00F80C81"/>
    <w:rsid w:val="00F815AC"/>
    <w:rsid w:val="00F8297B"/>
    <w:rsid w:val="00F83601"/>
    <w:rsid w:val="00F83B33"/>
    <w:rsid w:val="00F83CAE"/>
    <w:rsid w:val="00F840BF"/>
    <w:rsid w:val="00F8427A"/>
    <w:rsid w:val="00F843DF"/>
    <w:rsid w:val="00F84646"/>
    <w:rsid w:val="00F84899"/>
    <w:rsid w:val="00F85585"/>
    <w:rsid w:val="00F859F0"/>
    <w:rsid w:val="00F85CC1"/>
    <w:rsid w:val="00F86602"/>
    <w:rsid w:val="00F86B5D"/>
    <w:rsid w:val="00F87634"/>
    <w:rsid w:val="00F87C13"/>
    <w:rsid w:val="00F87C5A"/>
    <w:rsid w:val="00F87E29"/>
    <w:rsid w:val="00F87F18"/>
    <w:rsid w:val="00F87F68"/>
    <w:rsid w:val="00F90AB3"/>
    <w:rsid w:val="00F90C4D"/>
    <w:rsid w:val="00F9167D"/>
    <w:rsid w:val="00F91CB2"/>
    <w:rsid w:val="00F927E8"/>
    <w:rsid w:val="00F9289C"/>
    <w:rsid w:val="00F93DBC"/>
    <w:rsid w:val="00F93E41"/>
    <w:rsid w:val="00F94644"/>
    <w:rsid w:val="00F952E4"/>
    <w:rsid w:val="00F9537B"/>
    <w:rsid w:val="00F96079"/>
    <w:rsid w:val="00F963FC"/>
    <w:rsid w:val="00F97CF1"/>
    <w:rsid w:val="00FA015F"/>
    <w:rsid w:val="00FA0EBD"/>
    <w:rsid w:val="00FA0FAC"/>
    <w:rsid w:val="00FA10F7"/>
    <w:rsid w:val="00FA1DA2"/>
    <w:rsid w:val="00FA3414"/>
    <w:rsid w:val="00FA347A"/>
    <w:rsid w:val="00FA3CDE"/>
    <w:rsid w:val="00FA49B7"/>
    <w:rsid w:val="00FA5043"/>
    <w:rsid w:val="00FA60C1"/>
    <w:rsid w:val="00FA65A3"/>
    <w:rsid w:val="00FA6F8B"/>
    <w:rsid w:val="00FA727C"/>
    <w:rsid w:val="00FA7A30"/>
    <w:rsid w:val="00FB033F"/>
    <w:rsid w:val="00FB06B8"/>
    <w:rsid w:val="00FB0880"/>
    <w:rsid w:val="00FB12E3"/>
    <w:rsid w:val="00FB1570"/>
    <w:rsid w:val="00FB193B"/>
    <w:rsid w:val="00FB1FBC"/>
    <w:rsid w:val="00FB27B7"/>
    <w:rsid w:val="00FB35E3"/>
    <w:rsid w:val="00FB3FBE"/>
    <w:rsid w:val="00FB4727"/>
    <w:rsid w:val="00FB4C98"/>
    <w:rsid w:val="00FB4CE3"/>
    <w:rsid w:val="00FB4E26"/>
    <w:rsid w:val="00FB583C"/>
    <w:rsid w:val="00FB630E"/>
    <w:rsid w:val="00FB66DD"/>
    <w:rsid w:val="00FB6738"/>
    <w:rsid w:val="00FB691B"/>
    <w:rsid w:val="00FB6BE6"/>
    <w:rsid w:val="00FB731C"/>
    <w:rsid w:val="00FB7628"/>
    <w:rsid w:val="00FB7F2C"/>
    <w:rsid w:val="00FC05A0"/>
    <w:rsid w:val="00FC0811"/>
    <w:rsid w:val="00FC09B3"/>
    <w:rsid w:val="00FC0AFF"/>
    <w:rsid w:val="00FC1196"/>
    <w:rsid w:val="00FC15EB"/>
    <w:rsid w:val="00FC162C"/>
    <w:rsid w:val="00FC18DC"/>
    <w:rsid w:val="00FC2477"/>
    <w:rsid w:val="00FC2AC4"/>
    <w:rsid w:val="00FC2F73"/>
    <w:rsid w:val="00FC3216"/>
    <w:rsid w:val="00FC3A9B"/>
    <w:rsid w:val="00FC3AE1"/>
    <w:rsid w:val="00FC3DFC"/>
    <w:rsid w:val="00FC3EAA"/>
    <w:rsid w:val="00FC3EF4"/>
    <w:rsid w:val="00FC431B"/>
    <w:rsid w:val="00FC434C"/>
    <w:rsid w:val="00FC472C"/>
    <w:rsid w:val="00FC4FDF"/>
    <w:rsid w:val="00FC56C7"/>
    <w:rsid w:val="00FC5CF4"/>
    <w:rsid w:val="00FC5D64"/>
    <w:rsid w:val="00FC6A39"/>
    <w:rsid w:val="00FC6DB9"/>
    <w:rsid w:val="00FC76A9"/>
    <w:rsid w:val="00FC79AB"/>
    <w:rsid w:val="00FC7BE7"/>
    <w:rsid w:val="00FC7DAC"/>
    <w:rsid w:val="00FD005D"/>
    <w:rsid w:val="00FD013F"/>
    <w:rsid w:val="00FD04AE"/>
    <w:rsid w:val="00FD0DFA"/>
    <w:rsid w:val="00FD1854"/>
    <w:rsid w:val="00FD1890"/>
    <w:rsid w:val="00FD1994"/>
    <w:rsid w:val="00FD3508"/>
    <w:rsid w:val="00FD393C"/>
    <w:rsid w:val="00FD3AFF"/>
    <w:rsid w:val="00FD43BB"/>
    <w:rsid w:val="00FD47F6"/>
    <w:rsid w:val="00FD4AF3"/>
    <w:rsid w:val="00FD4B22"/>
    <w:rsid w:val="00FD5FFF"/>
    <w:rsid w:val="00FD72B1"/>
    <w:rsid w:val="00FD798D"/>
    <w:rsid w:val="00FE141E"/>
    <w:rsid w:val="00FE144E"/>
    <w:rsid w:val="00FE1768"/>
    <w:rsid w:val="00FE1DD5"/>
    <w:rsid w:val="00FE1E72"/>
    <w:rsid w:val="00FE24F4"/>
    <w:rsid w:val="00FE2560"/>
    <w:rsid w:val="00FE2F15"/>
    <w:rsid w:val="00FE32F6"/>
    <w:rsid w:val="00FE35D0"/>
    <w:rsid w:val="00FE3FB7"/>
    <w:rsid w:val="00FE42ED"/>
    <w:rsid w:val="00FE4E06"/>
    <w:rsid w:val="00FE55A7"/>
    <w:rsid w:val="00FE5C5A"/>
    <w:rsid w:val="00FE6432"/>
    <w:rsid w:val="00FE72A0"/>
    <w:rsid w:val="00FF0050"/>
    <w:rsid w:val="00FF045F"/>
    <w:rsid w:val="00FF13CE"/>
    <w:rsid w:val="00FF13D4"/>
    <w:rsid w:val="00FF2053"/>
    <w:rsid w:val="00FF33B8"/>
    <w:rsid w:val="00FF3B37"/>
    <w:rsid w:val="00FF3CC7"/>
    <w:rsid w:val="00FF3D6F"/>
    <w:rsid w:val="00FF4BD8"/>
    <w:rsid w:val="00FF4D11"/>
    <w:rsid w:val="00FF5214"/>
    <w:rsid w:val="00FF596E"/>
    <w:rsid w:val="00FF5B59"/>
    <w:rsid w:val="00FF5BFD"/>
    <w:rsid w:val="00FF6095"/>
    <w:rsid w:val="00FF62FE"/>
    <w:rsid w:val="00FF6553"/>
    <w:rsid w:val="00FF6574"/>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05F8E"/>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2">
    <w:name w:val="heading 2"/>
    <w:basedOn w:val="Normal"/>
    <w:next w:val="Normal"/>
    <w:link w:val="Ttulo2Car"/>
    <w:uiPriority w:val="9"/>
    <w:semiHidden/>
    <w:unhideWhenUsed/>
    <w:qFormat/>
    <w:rsid w:val="00E8431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character" w:customStyle="1" w:styleId="Ttulo2Car">
    <w:name w:val="Título 2 Car"/>
    <w:basedOn w:val="Fuentedeprrafopredeter"/>
    <w:link w:val="Ttulo2"/>
    <w:uiPriority w:val="9"/>
    <w:semiHidden/>
    <w:rsid w:val="00E84314"/>
    <w:rPr>
      <w:rFonts w:asciiTheme="majorHAnsi" w:eastAsiaTheme="majorEastAsia" w:hAnsiTheme="majorHAnsi" w:cstheme="majorBidi"/>
      <w:color w:val="365F91" w:themeColor="accent1" w:themeShade="BF"/>
      <w:sz w:val="26"/>
      <w:szCs w:val="26"/>
      <w:lang w:eastAsia="es-ES_tradnl"/>
    </w:rPr>
  </w:style>
  <w:style w:type="paragraph" w:customStyle="1" w:styleId="Sangra2detindependiente2">
    <w:name w:val="Sangría 2 de t. independiente2"/>
    <w:basedOn w:val="Normal"/>
    <w:uiPriority w:val="99"/>
    <w:rsid w:val="00146418"/>
    <w:pPr>
      <w:overflowPunct w:val="0"/>
      <w:autoSpaceDE w:val="0"/>
      <w:autoSpaceDN w:val="0"/>
      <w:adjustRightInd w:val="0"/>
      <w:ind w:left="1418"/>
      <w:jc w:val="both"/>
      <w:textAlignment w:val="baseline"/>
    </w:pPr>
    <w:rPr>
      <w:rFonts w:ascii="Arial" w:hAnsi="Arial"/>
      <w:szCs w:val="20"/>
      <w:lang w:val="es-ES" w:eastAsia="es-ES"/>
    </w:rPr>
  </w:style>
  <w:style w:type="paragraph" w:customStyle="1" w:styleId="xmsonospacing">
    <w:name w:val="x_msonospacing"/>
    <w:basedOn w:val="Normal"/>
    <w:rsid w:val="00BF762B"/>
    <w:pPr>
      <w:spacing w:before="100" w:beforeAutospacing="1" w:after="100" w:afterAutospacing="1"/>
    </w:pPr>
    <w:rPr>
      <w:lang w:eastAsia="es-MX"/>
    </w:rPr>
  </w:style>
  <w:style w:type="paragraph" w:customStyle="1" w:styleId="Normal11pt">
    <w:name w:val="Normal + 11 pt"/>
    <w:aliases w:val="Negro,Justificado,Izquierda:  -0,95 cm,Derecha:  0,04 cm"/>
    <w:basedOn w:val="Normal"/>
    <w:uiPriority w:val="99"/>
    <w:rsid w:val="00BF762B"/>
    <w:pPr>
      <w:ind w:left="-540"/>
      <w:jc w:val="both"/>
    </w:pPr>
    <w:rPr>
      <w:rFonts w:ascii="Arial" w:hAnsi="Arial" w:cs="Arial"/>
      <w:color w:val="000000"/>
      <w:sz w:val="22"/>
      <w:szCs w:val="22"/>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79496941">
      <w:bodyDiv w:val="1"/>
      <w:marLeft w:val="0"/>
      <w:marRight w:val="0"/>
      <w:marTop w:val="0"/>
      <w:marBottom w:val="0"/>
      <w:divBdr>
        <w:top w:val="none" w:sz="0" w:space="0" w:color="auto"/>
        <w:left w:val="none" w:sz="0" w:space="0" w:color="auto"/>
        <w:bottom w:val="none" w:sz="0" w:space="0" w:color="auto"/>
        <w:right w:val="none" w:sz="0" w:space="0" w:color="auto"/>
      </w:divBdr>
      <w:divsChild>
        <w:div w:id="689528428">
          <w:marLeft w:val="0"/>
          <w:marRight w:val="0"/>
          <w:marTop w:val="0"/>
          <w:marBottom w:val="0"/>
          <w:divBdr>
            <w:top w:val="none" w:sz="0" w:space="0" w:color="auto"/>
            <w:left w:val="none" w:sz="0" w:space="0" w:color="auto"/>
            <w:bottom w:val="none" w:sz="0" w:space="0" w:color="auto"/>
            <w:right w:val="none" w:sz="0" w:space="0" w:color="auto"/>
          </w:divBdr>
          <w:divsChild>
            <w:div w:id="23706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3377532">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4985693">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5049908">
      <w:bodyDiv w:val="1"/>
      <w:marLeft w:val="0"/>
      <w:marRight w:val="0"/>
      <w:marTop w:val="0"/>
      <w:marBottom w:val="0"/>
      <w:divBdr>
        <w:top w:val="none" w:sz="0" w:space="0" w:color="auto"/>
        <w:left w:val="none" w:sz="0" w:space="0" w:color="auto"/>
        <w:bottom w:val="none" w:sz="0" w:space="0" w:color="auto"/>
        <w:right w:val="none" w:sz="0" w:space="0" w:color="auto"/>
      </w:divBdr>
      <w:divsChild>
        <w:div w:id="1656226426">
          <w:marLeft w:val="0"/>
          <w:marRight w:val="0"/>
          <w:marTop w:val="0"/>
          <w:marBottom w:val="0"/>
          <w:divBdr>
            <w:top w:val="none" w:sz="0" w:space="0" w:color="auto"/>
            <w:left w:val="none" w:sz="0" w:space="0" w:color="auto"/>
            <w:bottom w:val="none" w:sz="0" w:space="0" w:color="auto"/>
            <w:right w:val="none" w:sz="0" w:space="0" w:color="auto"/>
          </w:divBdr>
          <w:divsChild>
            <w:div w:id="148638913">
              <w:marLeft w:val="0"/>
              <w:marRight w:val="0"/>
              <w:marTop w:val="0"/>
              <w:marBottom w:val="0"/>
              <w:divBdr>
                <w:top w:val="none" w:sz="0" w:space="0" w:color="auto"/>
                <w:left w:val="none" w:sz="0" w:space="0" w:color="auto"/>
                <w:bottom w:val="none" w:sz="0" w:space="0" w:color="auto"/>
                <w:right w:val="none" w:sz="0" w:space="0" w:color="auto"/>
              </w:divBdr>
              <w:divsChild>
                <w:div w:id="712195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82325225">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056181">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8679361">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133555">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23051629">
      <w:bodyDiv w:val="1"/>
      <w:marLeft w:val="0"/>
      <w:marRight w:val="0"/>
      <w:marTop w:val="0"/>
      <w:marBottom w:val="0"/>
      <w:divBdr>
        <w:top w:val="none" w:sz="0" w:space="0" w:color="auto"/>
        <w:left w:val="none" w:sz="0" w:space="0" w:color="auto"/>
        <w:bottom w:val="none" w:sz="0" w:space="0" w:color="auto"/>
        <w:right w:val="none" w:sz="0" w:space="0" w:color="auto"/>
      </w:divBdr>
    </w:div>
    <w:div w:id="331881237">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48802467">
      <w:bodyDiv w:val="1"/>
      <w:marLeft w:val="0"/>
      <w:marRight w:val="0"/>
      <w:marTop w:val="0"/>
      <w:marBottom w:val="0"/>
      <w:divBdr>
        <w:top w:val="none" w:sz="0" w:space="0" w:color="auto"/>
        <w:left w:val="none" w:sz="0" w:space="0" w:color="auto"/>
        <w:bottom w:val="none" w:sz="0" w:space="0" w:color="auto"/>
        <w:right w:val="none" w:sz="0" w:space="0" w:color="auto"/>
      </w:divBdr>
    </w:div>
    <w:div w:id="350959634">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5446229">
      <w:bodyDiv w:val="1"/>
      <w:marLeft w:val="0"/>
      <w:marRight w:val="0"/>
      <w:marTop w:val="0"/>
      <w:marBottom w:val="0"/>
      <w:divBdr>
        <w:top w:val="none" w:sz="0" w:space="0" w:color="auto"/>
        <w:left w:val="none" w:sz="0" w:space="0" w:color="auto"/>
        <w:bottom w:val="none" w:sz="0" w:space="0" w:color="auto"/>
        <w:right w:val="none" w:sz="0" w:space="0" w:color="auto"/>
      </w:divBdr>
      <w:divsChild>
        <w:div w:id="1042360156">
          <w:marLeft w:val="0"/>
          <w:marRight w:val="0"/>
          <w:marTop w:val="0"/>
          <w:marBottom w:val="0"/>
          <w:divBdr>
            <w:top w:val="none" w:sz="0" w:space="0" w:color="auto"/>
            <w:left w:val="none" w:sz="0" w:space="0" w:color="auto"/>
            <w:bottom w:val="none" w:sz="0" w:space="0" w:color="auto"/>
            <w:right w:val="none" w:sz="0" w:space="0" w:color="auto"/>
          </w:divBdr>
          <w:divsChild>
            <w:div w:id="469910124">
              <w:marLeft w:val="0"/>
              <w:marRight w:val="0"/>
              <w:marTop w:val="0"/>
              <w:marBottom w:val="0"/>
              <w:divBdr>
                <w:top w:val="none" w:sz="0" w:space="0" w:color="auto"/>
                <w:left w:val="none" w:sz="0" w:space="0" w:color="auto"/>
                <w:bottom w:val="none" w:sz="0" w:space="0" w:color="auto"/>
                <w:right w:val="none" w:sz="0" w:space="0" w:color="auto"/>
              </w:divBdr>
              <w:divsChild>
                <w:div w:id="1034884912">
                  <w:marLeft w:val="0"/>
                  <w:marRight w:val="0"/>
                  <w:marTop w:val="0"/>
                  <w:marBottom w:val="0"/>
                  <w:divBdr>
                    <w:top w:val="none" w:sz="0" w:space="0" w:color="auto"/>
                    <w:left w:val="none" w:sz="0" w:space="0" w:color="auto"/>
                    <w:bottom w:val="none" w:sz="0" w:space="0" w:color="auto"/>
                    <w:right w:val="none" w:sz="0" w:space="0" w:color="auto"/>
                  </w:divBdr>
                  <w:divsChild>
                    <w:div w:id="17216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78150842">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2846565">
      <w:bodyDiv w:val="1"/>
      <w:marLeft w:val="0"/>
      <w:marRight w:val="0"/>
      <w:marTop w:val="0"/>
      <w:marBottom w:val="0"/>
      <w:divBdr>
        <w:top w:val="none" w:sz="0" w:space="0" w:color="auto"/>
        <w:left w:val="none" w:sz="0" w:space="0" w:color="auto"/>
        <w:bottom w:val="none" w:sz="0" w:space="0" w:color="auto"/>
        <w:right w:val="none" w:sz="0" w:space="0" w:color="auto"/>
      </w:divBdr>
    </w:div>
    <w:div w:id="512959422">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409728">
      <w:bodyDiv w:val="1"/>
      <w:marLeft w:val="0"/>
      <w:marRight w:val="0"/>
      <w:marTop w:val="0"/>
      <w:marBottom w:val="0"/>
      <w:divBdr>
        <w:top w:val="none" w:sz="0" w:space="0" w:color="auto"/>
        <w:left w:val="none" w:sz="0" w:space="0" w:color="auto"/>
        <w:bottom w:val="none" w:sz="0" w:space="0" w:color="auto"/>
        <w:right w:val="none" w:sz="0" w:space="0" w:color="auto"/>
      </w:divBdr>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59361122">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14037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0984687">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7657133">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41503518">
      <w:bodyDiv w:val="1"/>
      <w:marLeft w:val="0"/>
      <w:marRight w:val="0"/>
      <w:marTop w:val="0"/>
      <w:marBottom w:val="0"/>
      <w:divBdr>
        <w:top w:val="none" w:sz="0" w:space="0" w:color="auto"/>
        <w:left w:val="none" w:sz="0" w:space="0" w:color="auto"/>
        <w:bottom w:val="none" w:sz="0" w:space="0" w:color="auto"/>
        <w:right w:val="none" w:sz="0" w:space="0" w:color="auto"/>
      </w:divBdr>
      <w:divsChild>
        <w:div w:id="1472594732">
          <w:marLeft w:val="0"/>
          <w:marRight w:val="0"/>
          <w:marTop w:val="0"/>
          <w:marBottom w:val="0"/>
          <w:divBdr>
            <w:top w:val="none" w:sz="0" w:space="0" w:color="auto"/>
            <w:left w:val="none" w:sz="0" w:space="0" w:color="auto"/>
            <w:bottom w:val="none" w:sz="0" w:space="0" w:color="auto"/>
            <w:right w:val="none" w:sz="0" w:space="0" w:color="auto"/>
          </w:divBdr>
          <w:divsChild>
            <w:div w:id="558857304">
              <w:marLeft w:val="0"/>
              <w:marRight w:val="0"/>
              <w:marTop w:val="0"/>
              <w:marBottom w:val="0"/>
              <w:divBdr>
                <w:top w:val="none" w:sz="0" w:space="0" w:color="auto"/>
                <w:left w:val="none" w:sz="0" w:space="0" w:color="auto"/>
                <w:bottom w:val="none" w:sz="0" w:space="0" w:color="auto"/>
                <w:right w:val="none" w:sz="0" w:space="0" w:color="auto"/>
              </w:divBdr>
              <w:divsChild>
                <w:div w:id="164450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830520">
      <w:bodyDiv w:val="1"/>
      <w:marLeft w:val="0"/>
      <w:marRight w:val="0"/>
      <w:marTop w:val="0"/>
      <w:marBottom w:val="0"/>
      <w:divBdr>
        <w:top w:val="none" w:sz="0" w:space="0" w:color="auto"/>
        <w:left w:val="none" w:sz="0" w:space="0" w:color="auto"/>
        <w:bottom w:val="none" w:sz="0" w:space="0" w:color="auto"/>
        <w:right w:val="none" w:sz="0" w:space="0" w:color="auto"/>
      </w:divBdr>
    </w:div>
    <w:div w:id="850337716">
      <w:bodyDiv w:val="1"/>
      <w:marLeft w:val="0"/>
      <w:marRight w:val="0"/>
      <w:marTop w:val="0"/>
      <w:marBottom w:val="0"/>
      <w:divBdr>
        <w:top w:val="none" w:sz="0" w:space="0" w:color="auto"/>
        <w:left w:val="none" w:sz="0" w:space="0" w:color="auto"/>
        <w:bottom w:val="none" w:sz="0" w:space="0" w:color="auto"/>
        <w:right w:val="none" w:sz="0" w:space="0" w:color="auto"/>
      </w:divBdr>
      <w:divsChild>
        <w:div w:id="1303539871">
          <w:marLeft w:val="0"/>
          <w:marRight w:val="0"/>
          <w:marTop w:val="0"/>
          <w:marBottom w:val="0"/>
          <w:divBdr>
            <w:top w:val="none" w:sz="0" w:space="0" w:color="auto"/>
            <w:left w:val="none" w:sz="0" w:space="0" w:color="auto"/>
            <w:bottom w:val="none" w:sz="0" w:space="0" w:color="auto"/>
            <w:right w:val="none" w:sz="0" w:space="0" w:color="auto"/>
          </w:divBdr>
          <w:divsChild>
            <w:div w:id="494688211">
              <w:marLeft w:val="0"/>
              <w:marRight w:val="0"/>
              <w:marTop w:val="0"/>
              <w:marBottom w:val="0"/>
              <w:divBdr>
                <w:top w:val="none" w:sz="0" w:space="0" w:color="auto"/>
                <w:left w:val="none" w:sz="0" w:space="0" w:color="auto"/>
                <w:bottom w:val="none" w:sz="0" w:space="0" w:color="auto"/>
                <w:right w:val="none" w:sz="0" w:space="0" w:color="auto"/>
              </w:divBdr>
              <w:divsChild>
                <w:div w:id="1644038439">
                  <w:marLeft w:val="0"/>
                  <w:marRight w:val="0"/>
                  <w:marTop w:val="0"/>
                  <w:marBottom w:val="0"/>
                  <w:divBdr>
                    <w:top w:val="none" w:sz="0" w:space="0" w:color="auto"/>
                    <w:left w:val="none" w:sz="0" w:space="0" w:color="auto"/>
                    <w:bottom w:val="none" w:sz="0" w:space="0" w:color="auto"/>
                    <w:right w:val="none" w:sz="0" w:space="0" w:color="auto"/>
                  </w:divBdr>
                  <w:divsChild>
                    <w:div w:id="93240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048670">
      <w:bodyDiv w:val="1"/>
      <w:marLeft w:val="0"/>
      <w:marRight w:val="0"/>
      <w:marTop w:val="0"/>
      <w:marBottom w:val="0"/>
      <w:divBdr>
        <w:top w:val="none" w:sz="0" w:space="0" w:color="auto"/>
        <w:left w:val="none" w:sz="0" w:space="0" w:color="auto"/>
        <w:bottom w:val="none" w:sz="0" w:space="0" w:color="auto"/>
        <w:right w:val="none" w:sz="0" w:space="0" w:color="auto"/>
      </w:divBdr>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94200762">
      <w:bodyDiv w:val="1"/>
      <w:marLeft w:val="0"/>
      <w:marRight w:val="0"/>
      <w:marTop w:val="0"/>
      <w:marBottom w:val="0"/>
      <w:divBdr>
        <w:top w:val="none" w:sz="0" w:space="0" w:color="auto"/>
        <w:left w:val="none" w:sz="0" w:space="0" w:color="auto"/>
        <w:bottom w:val="none" w:sz="0" w:space="0" w:color="auto"/>
        <w:right w:val="none" w:sz="0" w:space="0" w:color="auto"/>
      </w:divBdr>
    </w:div>
    <w:div w:id="903639335">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2814326">
      <w:bodyDiv w:val="1"/>
      <w:marLeft w:val="0"/>
      <w:marRight w:val="0"/>
      <w:marTop w:val="0"/>
      <w:marBottom w:val="0"/>
      <w:divBdr>
        <w:top w:val="none" w:sz="0" w:space="0" w:color="auto"/>
        <w:left w:val="none" w:sz="0" w:space="0" w:color="auto"/>
        <w:bottom w:val="none" w:sz="0" w:space="0" w:color="auto"/>
        <w:right w:val="none" w:sz="0" w:space="0" w:color="auto"/>
      </w:divBdr>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5843760">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1285824">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995498117">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25904290">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58092731">
      <w:bodyDiv w:val="1"/>
      <w:marLeft w:val="0"/>
      <w:marRight w:val="0"/>
      <w:marTop w:val="0"/>
      <w:marBottom w:val="0"/>
      <w:divBdr>
        <w:top w:val="none" w:sz="0" w:space="0" w:color="auto"/>
        <w:left w:val="none" w:sz="0" w:space="0" w:color="auto"/>
        <w:bottom w:val="none" w:sz="0" w:space="0" w:color="auto"/>
        <w:right w:val="none" w:sz="0" w:space="0" w:color="auto"/>
      </w:divBdr>
      <w:divsChild>
        <w:div w:id="808011002">
          <w:marLeft w:val="0"/>
          <w:marRight w:val="0"/>
          <w:marTop w:val="0"/>
          <w:marBottom w:val="0"/>
          <w:divBdr>
            <w:top w:val="none" w:sz="0" w:space="0" w:color="auto"/>
            <w:left w:val="none" w:sz="0" w:space="0" w:color="auto"/>
            <w:bottom w:val="none" w:sz="0" w:space="0" w:color="auto"/>
            <w:right w:val="none" w:sz="0" w:space="0" w:color="auto"/>
          </w:divBdr>
          <w:divsChild>
            <w:div w:id="681082843">
              <w:marLeft w:val="0"/>
              <w:marRight w:val="0"/>
              <w:marTop w:val="0"/>
              <w:marBottom w:val="0"/>
              <w:divBdr>
                <w:top w:val="none" w:sz="0" w:space="0" w:color="auto"/>
                <w:left w:val="none" w:sz="0" w:space="0" w:color="auto"/>
                <w:bottom w:val="none" w:sz="0" w:space="0" w:color="auto"/>
                <w:right w:val="none" w:sz="0" w:space="0" w:color="auto"/>
              </w:divBdr>
              <w:divsChild>
                <w:div w:id="1184633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6416888">
      <w:bodyDiv w:val="1"/>
      <w:marLeft w:val="0"/>
      <w:marRight w:val="0"/>
      <w:marTop w:val="0"/>
      <w:marBottom w:val="0"/>
      <w:divBdr>
        <w:top w:val="none" w:sz="0" w:space="0" w:color="auto"/>
        <w:left w:val="none" w:sz="0" w:space="0" w:color="auto"/>
        <w:bottom w:val="none" w:sz="0" w:space="0" w:color="auto"/>
        <w:right w:val="none" w:sz="0" w:space="0" w:color="auto"/>
      </w:divBdr>
    </w:div>
    <w:div w:id="1102533683">
      <w:bodyDiv w:val="1"/>
      <w:marLeft w:val="0"/>
      <w:marRight w:val="0"/>
      <w:marTop w:val="0"/>
      <w:marBottom w:val="0"/>
      <w:divBdr>
        <w:top w:val="none" w:sz="0" w:space="0" w:color="auto"/>
        <w:left w:val="none" w:sz="0" w:space="0" w:color="auto"/>
        <w:bottom w:val="none" w:sz="0" w:space="0" w:color="auto"/>
        <w:right w:val="none" w:sz="0" w:space="0" w:color="auto"/>
      </w:divBdr>
      <w:divsChild>
        <w:div w:id="937952928">
          <w:marLeft w:val="0"/>
          <w:marRight w:val="0"/>
          <w:marTop w:val="0"/>
          <w:marBottom w:val="0"/>
          <w:divBdr>
            <w:top w:val="none" w:sz="0" w:space="0" w:color="auto"/>
            <w:left w:val="none" w:sz="0" w:space="0" w:color="auto"/>
            <w:bottom w:val="none" w:sz="0" w:space="0" w:color="auto"/>
            <w:right w:val="none" w:sz="0" w:space="0" w:color="auto"/>
          </w:divBdr>
          <w:divsChild>
            <w:div w:id="266161672">
              <w:marLeft w:val="0"/>
              <w:marRight w:val="0"/>
              <w:marTop w:val="0"/>
              <w:marBottom w:val="0"/>
              <w:divBdr>
                <w:top w:val="none" w:sz="0" w:space="0" w:color="auto"/>
                <w:left w:val="none" w:sz="0" w:space="0" w:color="auto"/>
                <w:bottom w:val="none" w:sz="0" w:space="0" w:color="auto"/>
                <w:right w:val="none" w:sz="0" w:space="0" w:color="auto"/>
              </w:divBdr>
              <w:divsChild>
                <w:div w:id="1082483636">
                  <w:marLeft w:val="0"/>
                  <w:marRight w:val="0"/>
                  <w:marTop w:val="0"/>
                  <w:marBottom w:val="0"/>
                  <w:divBdr>
                    <w:top w:val="none" w:sz="0" w:space="0" w:color="auto"/>
                    <w:left w:val="none" w:sz="0" w:space="0" w:color="auto"/>
                    <w:bottom w:val="none" w:sz="0" w:space="0" w:color="auto"/>
                    <w:right w:val="none" w:sz="0" w:space="0" w:color="auto"/>
                  </w:divBdr>
                  <w:divsChild>
                    <w:div w:id="167137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10005402">
      <w:bodyDiv w:val="1"/>
      <w:marLeft w:val="0"/>
      <w:marRight w:val="0"/>
      <w:marTop w:val="0"/>
      <w:marBottom w:val="0"/>
      <w:divBdr>
        <w:top w:val="none" w:sz="0" w:space="0" w:color="auto"/>
        <w:left w:val="none" w:sz="0" w:space="0" w:color="auto"/>
        <w:bottom w:val="none" w:sz="0" w:space="0" w:color="auto"/>
        <w:right w:val="none" w:sz="0" w:space="0" w:color="auto"/>
      </w:divBdr>
    </w:div>
    <w:div w:id="1112481275">
      <w:bodyDiv w:val="1"/>
      <w:marLeft w:val="0"/>
      <w:marRight w:val="0"/>
      <w:marTop w:val="0"/>
      <w:marBottom w:val="0"/>
      <w:divBdr>
        <w:top w:val="none" w:sz="0" w:space="0" w:color="auto"/>
        <w:left w:val="none" w:sz="0" w:space="0" w:color="auto"/>
        <w:bottom w:val="none" w:sz="0" w:space="0" w:color="auto"/>
        <w:right w:val="none" w:sz="0" w:space="0" w:color="auto"/>
      </w:divBdr>
    </w:div>
    <w:div w:id="1115715178">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1649574">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2572790">
      <w:bodyDiv w:val="1"/>
      <w:marLeft w:val="0"/>
      <w:marRight w:val="0"/>
      <w:marTop w:val="0"/>
      <w:marBottom w:val="0"/>
      <w:divBdr>
        <w:top w:val="none" w:sz="0" w:space="0" w:color="auto"/>
        <w:left w:val="none" w:sz="0" w:space="0" w:color="auto"/>
        <w:bottom w:val="none" w:sz="0" w:space="0" w:color="auto"/>
        <w:right w:val="none" w:sz="0" w:space="0" w:color="auto"/>
      </w:divBdr>
    </w:div>
    <w:div w:id="1213425965">
      <w:bodyDiv w:val="1"/>
      <w:marLeft w:val="0"/>
      <w:marRight w:val="0"/>
      <w:marTop w:val="0"/>
      <w:marBottom w:val="0"/>
      <w:divBdr>
        <w:top w:val="none" w:sz="0" w:space="0" w:color="auto"/>
        <w:left w:val="none" w:sz="0" w:space="0" w:color="auto"/>
        <w:bottom w:val="none" w:sz="0" w:space="0" w:color="auto"/>
        <w:right w:val="none" w:sz="0" w:space="0" w:color="auto"/>
      </w:divBdr>
      <w:divsChild>
        <w:div w:id="1898123514">
          <w:marLeft w:val="0"/>
          <w:marRight w:val="0"/>
          <w:marTop w:val="0"/>
          <w:marBottom w:val="0"/>
          <w:divBdr>
            <w:top w:val="none" w:sz="0" w:space="0" w:color="auto"/>
            <w:left w:val="none" w:sz="0" w:space="0" w:color="auto"/>
            <w:bottom w:val="none" w:sz="0" w:space="0" w:color="auto"/>
            <w:right w:val="none" w:sz="0" w:space="0" w:color="auto"/>
          </w:divBdr>
          <w:divsChild>
            <w:div w:id="577178891">
              <w:marLeft w:val="0"/>
              <w:marRight w:val="0"/>
              <w:marTop w:val="0"/>
              <w:marBottom w:val="0"/>
              <w:divBdr>
                <w:top w:val="none" w:sz="0" w:space="0" w:color="auto"/>
                <w:left w:val="none" w:sz="0" w:space="0" w:color="auto"/>
                <w:bottom w:val="none" w:sz="0" w:space="0" w:color="auto"/>
                <w:right w:val="none" w:sz="0" w:space="0" w:color="auto"/>
              </w:divBdr>
              <w:divsChild>
                <w:div w:id="1346323552">
                  <w:marLeft w:val="0"/>
                  <w:marRight w:val="0"/>
                  <w:marTop w:val="0"/>
                  <w:marBottom w:val="0"/>
                  <w:divBdr>
                    <w:top w:val="none" w:sz="0" w:space="0" w:color="auto"/>
                    <w:left w:val="none" w:sz="0" w:space="0" w:color="auto"/>
                    <w:bottom w:val="none" w:sz="0" w:space="0" w:color="auto"/>
                    <w:right w:val="none" w:sz="0" w:space="0" w:color="auto"/>
                  </w:divBdr>
                  <w:divsChild>
                    <w:div w:id="53616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7375474">
      <w:bodyDiv w:val="1"/>
      <w:marLeft w:val="0"/>
      <w:marRight w:val="0"/>
      <w:marTop w:val="0"/>
      <w:marBottom w:val="0"/>
      <w:divBdr>
        <w:top w:val="none" w:sz="0" w:space="0" w:color="auto"/>
        <w:left w:val="none" w:sz="0" w:space="0" w:color="auto"/>
        <w:bottom w:val="none" w:sz="0" w:space="0" w:color="auto"/>
        <w:right w:val="none" w:sz="0" w:space="0" w:color="auto"/>
      </w:divBdr>
    </w:div>
    <w:div w:id="1246646857">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9088797">
      <w:bodyDiv w:val="1"/>
      <w:marLeft w:val="0"/>
      <w:marRight w:val="0"/>
      <w:marTop w:val="0"/>
      <w:marBottom w:val="0"/>
      <w:divBdr>
        <w:top w:val="none" w:sz="0" w:space="0" w:color="auto"/>
        <w:left w:val="none" w:sz="0" w:space="0" w:color="auto"/>
        <w:bottom w:val="none" w:sz="0" w:space="0" w:color="auto"/>
        <w:right w:val="none" w:sz="0" w:space="0" w:color="auto"/>
      </w:divBdr>
    </w:div>
    <w:div w:id="1312295347">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0426134">
      <w:bodyDiv w:val="1"/>
      <w:marLeft w:val="0"/>
      <w:marRight w:val="0"/>
      <w:marTop w:val="0"/>
      <w:marBottom w:val="0"/>
      <w:divBdr>
        <w:top w:val="none" w:sz="0" w:space="0" w:color="auto"/>
        <w:left w:val="none" w:sz="0" w:space="0" w:color="auto"/>
        <w:bottom w:val="none" w:sz="0" w:space="0" w:color="auto"/>
        <w:right w:val="none" w:sz="0" w:space="0" w:color="auto"/>
      </w:divBdr>
    </w:div>
    <w:div w:id="1327973237">
      <w:bodyDiv w:val="1"/>
      <w:marLeft w:val="0"/>
      <w:marRight w:val="0"/>
      <w:marTop w:val="0"/>
      <w:marBottom w:val="0"/>
      <w:divBdr>
        <w:top w:val="none" w:sz="0" w:space="0" w:color="auto"/>
        <w:left w:val="none" w:sz="0" w:space="0" w:color="auto"/>
        <w:bottom w:val="none" w:sz="0" w:space="0" w:color="auto"/>
        <w:right w:val="none" w:sz="0" w:space="0" w:color="auto"/>
      </w:divBdr>
    </w:div>
    <w:div w:id="1329864676">
      <w:bodyDiv w:val="1"/>
      <w:marLeft w:val="0"/>
      <w:marRight w:val="0"/>
      <w:marTop w:val="0"/>
      <w:marBottom w:val="0"/>
      <w:divBdr>
        <w:top w:val="none" w:sz="0" w:space="0" w:color="auto"/>
        <w:left w:val="none" w:sz="0" w:space="0" w:color="auto"/>
        <w:bottom w:val="none" w:sz="0" w:space="0" w:color="auto"/>
        <w:right w:val="none" w:sz="0" w:space="0" w:color="auto"/>
      </w:divBdr>
      <w:divsChild>
        <w:div w:id="385421705">
          <w:marLeft w:val="0"/>
          <w:marRight w:val="0"/>
          <w:marTop w:val="0"/>
          <w:marBottom w:val="0"/>
          <w:divBdr>
            <w:top w:val="none" w:sz="0" w:space="0" w:color="auto"/>
            <w:left w:val="none" w:sz="0" w:space="0" w:color="auto"/>
            <w:bottom w:val="none" w:sz="0" w:space="0" w:color="auto"/>
            <w:right w:val="none" w:sz="0" w:space="0" w:color="auto"/>
          </w:divBdr>
          <w:divsChild>
            <w:div w:id="17966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2169294">
      <w:bodyDiv w:val="1"/>
      <w:marLeft w:val="0"/>
      <w:marRight w:val="0"/>
      <w:marTop w:val="0"/>
      <w:marBottom w:val="0"/>
      <w:divBdr>
        <w:top w:val="none" w:sz="0" w:space="0" w:color="auto"/>
        <w:left w:val="none" w:sz="0" w:space="0" w:color="auto"/>
        <w:bottom w:val="none" w:sz="0" w:space="0" w:color="auto"/>
        <w:right w:val="none" w:sz="0" w:space="0" w:color="auto"/>
      </w:divBdr>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48960988">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8990800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7138254">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6140219">
      <w:bodyDiv w:val="1"/>
      <w:marLeft w:val="0"/>
      <w:marRight w:val="0"/>
      <w:marTop w:val="0"/>
      <w:marBottom w:val="0"/>
      <w:divBdr>
        <w:top w:val="none" w:sz="0" w:space="0" w:color="auto"/>
        <w:left w:val="none" w:sz="0" w:space="0" w:color="auto"/>
        <w:bottom w:val="none" w:sz="0" w:space="0" w:color="auto"/>
        <w:right w:val="none" w:sz="0" w:space="0" w:color="auto"/>
      </w:divBdr>
    </w:div>
    <w:div w:id="1573925530">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55529074">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632618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5423701">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410328">
      <w:bodyDiv w:val="1"/>
      <w:marLeft w:val="0"/>
      <w:marRight w:val="0"/>
      <w:marTop w:val="0"/>
      <w:marBottom w:val="0"/>
      <w:divBdr>
        <w:top w:val="none" w:sz="0" w:space="0" w:color="auto"/>
        <w:left w:val="none" w:sz="0" w:space="0" w:color="auto"/>
        <w:bottom w:val="none" w:sz="0" w:space="0" w:color="auto"/>
        <w:right w:val="none" w:sz="0" w:space="0" w:color="auto"/>
      </w:divBdr>
      <w:divsChild>
        <w:div w:id="932855324">
          <w:marLeft w:val="0"/>
          <w:marRight w:val="0"/>
          <w:marTop w:val="0"/>
          <w:marBottom w:val="0"/>
          <w:divBdr>
            <w:top w:val="none" w:sz="0" w:space="0" w:color="auto"/>
            <w:left w:val="none" w:sz="0" w:space="0" w:color="auto"/>
            <w:bottom w:val="none" w:sz="0" w:space="0" w:color="auto"/>
            <w:right w:val="none" w:sz="0" w:space="0" w:color="auto"/>
          </w:divBdr>
          <w:divsChild>
            <w:div w:id="984509499">
              <w:marLeft w:val="0"/>
              <w:marRight w:val="0"/>
              <w:marTop w:val="0"/>
              <w:marBottom w:val="0"/>
              <w:divBdr>
                <w:top w:val="none" w:sz="0" w:space="0" w:color="auto"/>
                <w:left w:val="none" w:sz="0" w:space="0" w:color="auto"/>
                <w:bottom w:val="none" w:sz="0" w:space="0" w:color="auto"/>
                <w:right w:val="none" w:sz="0" w:space="0" w:color="auto"/>
              </w:divBdr>
              <w:divsChild>
                <w:div w:id="1891262088">
                  <w:marLeft w:val="0"/>
                  <w:marRight w:val="0"/>
                  <w:marTop w:val="0"/>
                  <w:marBottom w:val="0"/>
                  <w:divBdr>
                    <w:top w:val="none" w:sz="0" w:space="0" w:color="auto"/>
                    <w:left w:val="none" w:sz="0" w:space="0" w:color="auto"/>
                    <w:bottom w:val="none" w:sz="0" w:space="0" w:color="auto"/>
                    <w:right w:val="none" w:sz="0" w:space="0" w:color="auto"/>
                  </w:divBdr>
                  <w:divsChild>
                    <w:div w:id="69195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41976763">
      <w:bodyDiv w:val="1"/>
      <w:marLeft w:val="0"/>
      <w:marRight w:val="0"/>
      <w:marTop w:val="0"/>
      <w:marBottom w:val="0"/>
      <w:divBdr>
        <w:top w:val="none" w:sz="0" w:space="0" w:color="auto"/>
        <w:left w:val="none" w:sz="0" w:space="0" w:color="auto"/>
        <w:bottom w:val="none" w:sz="0" w:space="0" w:color="auto"/>
        <w:right w:val="none" w:sz="0" w:space="0" w:color="auto"/>
      </w:divBdr>
    </w:div>
    <w:div w:id="1759400849">
      <w:bodyDiv w:val="1"/>
      <w:marLeft w:val="0"/>
      <w:marRight w:val="0"/>
      <w:marTop w:val="0"/>
      <w:marBottom w:val="0"/>
      <w:divBdr>
        <w:top w:val="none" w:sz="0" w:space="0" w:color="auto"/>
        <w:left w:val="none" w:sz="0" w:space="0" w:color="auto"/>
        <w:bottom w:val="none" w:sz="0" w:space="0" w:color="auto"/>
        <w:right w:val="none" w:sz="0" w:space="0" w:color="auto"/>
      </w:divBdr>
      <w:divsChild>
        <w:div w:id="2108649876">
          <w:marLeft w:val="0"/>
          <w:marRight w:val="0"/>
          <w:marTop w:val="0"/>
          <w:marBottom w:val="0"/>
          <w:divBdr>
            <w:top w:val="none" w:sz="0" w:space="0" w:color="auto"/>
            <w:left w:val="none" w:sz="0" w:space="0" w:color="auto"/>
            <w:bottom w:val="none" w:sz="0" w:space="0" w:color="auto"/>
            <w:right w:val="none" w:sz="0" w:space="0" w:color="auto"/>
          </w:divBdr>
          <w:divsChild>
            <w:div w:id="955403916">
              <w:marLeft w:val="0"/>
              <w:marRight w:val="0"/>
              <w:marTop w:val="0"/>
              <w:marBottom w:val="0"/>
              <w:divBdr>
                <w:top w:val="none" w:sz="0" w:space="0" w:color="auto"/>
                <w:left w:val="none" w:sz="0" w:space="0" w:color="auto"/>
                <w:bottom w:val="none" w:sz="0" w:space="0" w:color="auto"/>
                <w:right w:val="none" w:sz="0" w:space="0" w:color="auto"/>
              </w:divBdr>
              <w:divsChild>
                <w:div w:id="933324785">
                  <w:marLeft w:val="0"/>
                  <w:marRight w:val="0"/>
                  <w:marTop w:val="0"/>
                  <w:marBottom w:val="0"/>
                  <w:divBdr>
                    <w:top w:val="none" w:sz="0" w:space="0" w:color="auto"/>
                    <w:left w:val="none" w:sz="0" w:space="0" w:color="auto"/>
                    <w:bottom w:val="none" w:sz="0" w:space="0" w:color="auto"/>
                    <w:right w:val="none" w:sz="0" w:space="0" w:color="auto"/>
                  </w:divBdr>
                  <w:divsChild>
                    <w:div w:id="31676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82798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46305">
      <w:bodyDiv w:val="1"/>
      <w:marLeft w:val="0"/>
      <w:marRight w:val="0"/>
      <w:marTop w:val="0"/>
      <w:marBottom w:val="0"/>
      <w:divBdr>
        <w:top w:val="none" w:sz="0" w:space="0" w:color="auto"/>
        <w:left w:val="none" w:sz="0" w:space="0" w:color="auto"/>
        <w:bottom w:val="none" w:sz="0" w:space="0" w:color="auto"/>
        <w:right w:val="none" w:sz="0" w:space="0" w:color="auto"/>
      </w:divBdr>
    </w:div>
    <w:div w:id="1789466845">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6097086">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6777416">
      <w:bodyDiv w:val="1"/>
      <w:marLeft w:val="0"/>
      <w:marRight w:val="0"/>
      <w:marTop w:val="0"/>
      <w:marBottom w:val="0"/>
      <w:divBdr>
        <w:top w:val="none" w:sz="0" w:space="0" w:color="auto"/>
        <w:left w:val="none" w:sz="0" w:space="0" w:color="auto"/>
        <w:bottom w:val="none" w:sz="0" w:space="0" w:color="auto"/>
        <w:right w:val="none" w:sz="0" w:space="0" w:color="auto"/>
      </w:divBdr>
      <w:divsChild>
        <w:div w:id="878473400">
          <w:marLeft w:val="0"/>
          <w:marRight w:val="0"/>
          <w:marTop w:val="0"/>
          <w:marBottom w:val="0"/>
          <w:divBdr>
            <w:top w:val="none" w:sz="0" w:space="0" w:color="auto"/>
            <w:left w:val="none" w:sz="0" w:space="0" w:color="auto"/>
            <w:bottom w:val="none" w:sz="0" w:space="0" w:color="auto"/>
            <w:right w:val="none" w:sz="0" w:space="0" w:color="auto"/>
          </w:divBdr>
          <w:divsChild>
            <w:div w:id="636031269">
              <w:marLeft w:val="0"/>
              <w:marRight w:val="0"/>
              <w:marTop w:val="0"/>
              <w:marBottom w:val="0"/>
              <w:divBdr>
                <w:top w:val="none" w:sz="0" w:space="0" w:color="auto"/>
                <w:left w:val="none" w:sz="0" w:space="0" w:color="auto"/>
                <w:bottom w:val="none" w:sz="0" w:space="0" w:color="auto"/>
                <w:right w:val="none" w:sz="0" w:space="0" w:color="auto"/>
              </w:divBdr>
              <w:divsChild>
                <w:div w:id="990787999">
                  <w:marLeft w:val="0"/>
                  <w:marRight w:val="0"/>
                  <w:marTop w:val="0"/>
                  <w:marBottom w:val="0"/>
                  <w:divBdr>
                    <w:top w:val="none" w:sz="0" w:space="0" w:color="auto"/>
                    <w:left w:val="none" w:sz="0" w:space="0" w:color="auto"/>
                    <w:bottom w:val="none" w:sz="0" w:space="0" w:color="auto"/>
                    <w:right w:val="none" w:sz="0" w:space="0" w:color="auto"/>
                  </w:divBdr>
                  <w:divsChild>
                    <w:div w:id="21004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28783605">
      <w:bodyDiv w:val="1"/>
      <w:marLeft w:val="0"/>
      <w:marRight w:val="0"/>
      <w:marTop w:val="0"/>
      <w:marBottom w:val="0"/>
      <w:divBdr>
        <w:top w:val="none" w:sz="0" w:space="0" w:color="auto"/>
        <w:left w:val="none" w:sz="0" w:space="0" w:color="auto"/>
        <w:bottom w:val="none" w:sz="0" w:space="0" w:color="auto"/>
        <w:right w:val="none" w:sz="0" w:space="0" w:color="auto"/>
      </w:divBdr>
      <w:divsChild>
        <w:div w:id="144781512">
          <w:marLeft w:val="0"/>
          <w:marRight w:val="0"/>
          <w:marTop w:val="0"/>
          <w:marBottom w:val="0"/>
          <w:divBdr>
            <w:top w:val="none" w:sz="0" w:space="0" w:color="auto"/>
            <w:left w:val="none" w:sz="0" w:space="0" w:color="auto"/>
            <w:bottom w:val="none" w:sz="0" w:space="0" w:color="auto"/>
            <w:right w:val="none" w:sz="0" w:space="0" w:color="auto"/>
          </w:divBdr>
        </w:div>
      </w:divsChild>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6918185">
      <w:bodyDiv w:val="1"/>
      <w:marLeft w:val="0"/>
      <w:marRight w:val="0"/>
      <w:marTop w:val="0"/>
      <w:marBottom w:val="0"/>
      <w:divBdr>
        <w:top w:val="none" w:sz="0" w:space="0" w:color="auto"/>
        <w:left w:val="none" w:sz="0" w:space="0" w:color="auto"/>
        <w:bottom w:val="none" w:sz="0" w:space="0" w:color="auto"/>
        <w:right w:val="none" w:sz="0" w:space="0" w:color="auto"/>
      </w:divBdr>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4857320">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83664025">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7567204">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7008671">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0964369">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09597345">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398012">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2896349">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microsoft.com/office/2018/08/relationships/commentsExtensible" Target="commentsExtensi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microsoft.com/office/2016/09/relationships/commentsIds" Target="commentsId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FE5C7982-DF6D-4E96-B69A-164D79464FA5}"/>
</file>

<file path=customXml/itemProps4.xml><?xml version="1.0" encoding="utf-8"?>
<ds:datastoreItem xmlns:ds="http://schemas.openxmlformats.org/officeDocument/2006/customXml" ds:itemID="{8222DFA7-296E-4F98-9EB7-24008E3560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13</Pages>
  <Words>5407</Words>
  <Characters>29744</Characters>
  <Application>Microsoft Office Word</Application>
  <DocSecurity>0</DocSecurity>
  <Lines>247</Lines>
  <Paragraphs>70</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35081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padron</cp:lastModifiedBy>
  <cp:revision>2</cp:revision>
  <cp:lastPrinted>2020-01-30T15:05:00Z</cp:lastPrinted>
  <dcterms:created xsi:type="dcterms:W3CDTF">2021-08-03T05:00:00Z</dcterms:created>
  <dcterms:modified xsi:type="dcterms:W3CDTF">2021-08-03T05:00:00Z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