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9CB01" w14:textId="5A926BEE" w:rsidR="00BB49D3" w:rsidRPr="00D71688" w:rsidRDefault="00BB49D3" w:rsidP="00D71688">
      <w:pPr>
        <w:spacing w:after="0" w:line="240" w:lineRule="auto"/>
        <w:jc w:val="both"/>
        <w:rPr>
          <w:rFonts w:ascii="Verdana" w:hAnsi="Verdana"/>
          <w:b/>
        </w:rPr>
      </w:pPr>
      <w:bookmarkStart w:id="0" w:name="_Hlk143780582"/>
      <w:r w:rsidRPr="00D71688">
        <w:rPr>
          <w:rFonts w:ascii="Verdana" w:hAnsi="Verdana" w:cs="Arial"/>
          <w:b/>
          <w:bCs/>
          <w:lang w:val="es-ES" w:eastAsia="es-ES"/>
        </w:rPr>
        <w:t>CONTRATOS ESTATALES – Capacidad jurídica – Requisitos esenciales</w:t>
      </w:r>
    </w:p>
    <w:p w14:paraId="4E4315D3" w14:textId="1F8EAD47" w:rsidR="00BB49D3" w:rsidRDefault="00BB49D3" w:rsidP="00D71688">
      <w:pPr>
        <w:spacing w:after="0" w:line="240" w:lineRule="auto"/>
        <w:jc w:val="both"/>
        <w:rPr>
          <w:rFonts w:ascii="Verdana" w:hAnsi="Verdana"/>
          <w:b/>
        </w:rPr>
      </w:pPr>
    </w:p>
    <w:p w14:paraId="5EC812F0" w14:textId="77777777" w:rsidR="00D71688" w:rsidRPr="00D71688" w:rsidRDefault="00D71688" w:rsidP="00D71688">
      <w:pPr>
        <w:spacing w:after="0" w:line="240" w:lineRule="auto"/>
        <w:jc w:val="both"/>
        <w:rPr>
          <w:rFonts w:ascii="Verdana" w:eastAsia="Calibri" w:hAnsi="Verdana"/>
          <w:color w:val="000000" w:themeColor="text1"/>
          <w:sz w:val="20"/>
          <w:lang w:val="es-ES"/>
        </w:rPr>
      </w:pPr>
      <w:r w:rsidRPr="00D71688">
        <w:rPr>
          <w:rFonts w:ascii="Verdana" w:eastAsia="Calibri" w:hAnsi="Verdana"/>
          <w:color w:val="000000" w:themeColor="text1"/>
          <w:sz w:val="20"/>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65ABBF8A" w14:textId="18A4F47E" w:rsidR="00D71688" w:rsidRDefault="00D71688" w:rsidP="00D71688">
      <w:pPr>
        <w:spacing w:after="0" w:line="240" w:lineRule="auto"/>
        <w:jc w:val="both"/>
        <w:rPr>
          <w:rFonts w:ascii="Verdana" w:eastAsia="Calibri" w:hAnsi="Verdana"/>
          <w:color w:val="000000" w:themeColor="text1"/>
          <w:sz w:val="20"/>
          <w:lang w:val="es-ES"/>
        </w:rPr>
      </w:pPr>
    </w:p>
    <w:p w14:paraId="4DFE35DD" w14:textId="4D703B9C" w:rsidR="00D71688" w:rsidRPr="00D71688" w:rsidRDefault="00D71688" w:rsidP="00D71688">
      <w:pPr>
        <w:spacing w:after="0" w:line="240" w:lineRule="auto"/>
        <w:jc w:val="both"/>
        <w:rPr>
          <w:rFonts w:ascii="Verdana" w:eastAsia="Calibri" w:hAnsi="Verdana"/>
          <w:color w:val="000000" w:themeColor="text1"/>
          <w:sz w:val="20"/>
          <w:lang w:val="es-ES"/>
        </w:rPr>
      </w:pPr>
      <w:r w:rsidRPr="00D71688">
        <w:rPr>
          <w:rFonts w:ascii="Verdana" w:eastAsia="Calibri" w:hAnsi="Verdana"/>
          <w:color w:val="000000" w:themeColor="text1"/>
          <w:sz w:val="20"/>
          <w:lang w:val="es-ES"/>
        </w:rPr>
        <w:t xml:space="preserve">Al margen de la tipicidad o no del negocio, la existencia de los contratos estatales, es decir, la producción de efectos jurídicos en los términos del artículo 1501 </w:t>
      </w:r>
      <w:r w:rsidRPr="00D71688">
        <w:rPr>
          <w:rFonts w:ascii="Verdana" w:eastAsia="Calibri" w:hAnsi="Verdana"/>
          <w:i/>
          <w:color w:val="000000" w:themeColor="text1"/>
          <w:sz w:val="20"/>
          <w:lang w:val="es-ES"/>
        </w:rPr>
        <w:t>ibidem</w:t>
      </w:r>
      <w:r w:rsidRPr="00D71688">
        <w:rPr>
          <w:rFonts w:ascii="Verdana" w:eastAsia="Calibri" w:hAnsi="Verdana"/>
          <w:color w:val="000000" w:themeColor="text1"/>
          <w:sz w:val="20"/>
          <w:lang w:val="es-ES"/>
        </w:rPr>
        <w:t xml:space="preserve">,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F9A2E9F" w14:textId="77777777" w:rsidR="00D71688" w:rsidRPr="00D71688" w:rsidRDefault="00D71688" w:rsidP="00D71688">
      <w:pPr>
        <w:spacing w:after="0" w:line="240" w:lineRule="auto"/>
        <w:jc w:val="both"/>
        <w:rPr>
          <w:rFonts w:ascii="Verdana" w:hAnsi="Verdana"/>
          <w:b/>
          <w:lang w:val="es-ES"/>
        </w:rPr>
      </w:pPr>
    </w:p>
    <w:p w14:paraId="41CF0034" w14:textId="43726444" w:rsidR="00BB49D3" w:rsidRPr="00D71688" w:rsidRDefault="00BB49D3" w:rsidP="00D71688">
      <w:pPr>
        <w:spacing w:after="0" w:line="240" w:lineRule="auto"/>
        <w:jc w:val="both"/>
        <w:rPr>
          <w:rFonts w:ascii="Verdana" w:hAnsi="Verdana"/>
          <w:b/>
        </w:rPr>
      </w:pPr>
      <w:r w:rsidRPr="00D71688">
        <w:rPr>
          <w:rFonts w:ascii="Verdana" w:hAnsi="Verdana" w:cs="Arial"/>
          <w:b/>
          <w:bCs/>
          <w:lang w:val="es-ES"/>
        </w:rPr>
        <w:t>CONTRATO DE SEGURO – Noción – Definición – Autonomía de la voluntad</w:t>
      </w:r>
    </w:p>
    <w:p w14:paraId="479FA4D9" w14:textId="77777777" w:rsidR="00D71688" w:rsidRPr="00D71688" w:rsidRDefault="00D71688" w:rsidP="00D71688">
      <w:pPr>
        <w:spacing w:after="0" w:line="240" w:lineRule="auto"/>
        <w:jc w:val="both"/>
        <w:rPr>
          <w:rFonts w:ascii="Verdana" w:hAnsi="Verdana"/>
        </w:rPr>
      </w:pPr>
    </w:p>
    <w:p w14:paraId="01647C16" w14:textId="34B11CAB" w:rsidR="00D71688" w:rsidRPr="00D71688" w:rsidRDefault="00D71688" w:rsidP="00D71688">
      <w:pPr>
        <w:spacing w:after="0" w:line="240" w:lineRule="auto"/>
        <w:jc w:val="both"/>
        <w:rPr>
          <w:rFonts w:ascii="Verdana" w:eastAsia="Calibri" w:hAnsi="Verdana"/>
          <w:color w:val="000000" w:themeColor="text1"/>
          <w:sz w:val="20"/>
          <w:szCs w:val="20"/>
          <w:lang w:val="es-ES"/>
        </w:rPr>
      </w:pPr>
      <w:r w:rsidRPr="00D71688">
        <w:rPr>
          <w:rFonts w:ascii="Verdana" w:hAnsi="Verdana"/>
          <w:sz w:val="20"/>
          <w:szCs w:val="20"/>
        </w:rPr>
        <w:t xml:space="preserve">[…] </w:t>
      </w:r>
      <w:r w:rsidRPr="00D71688">
        <w:rPr>
          <w:rFonts w:ascii="Verdana" w:eastAsia="Times New Roman" w:hAnsi="Verdana" w:cs="Arial"/>
          <w:color w:val="000000" w:themeColor="text1"/>
          <w:sz w:val="20"/>
          <w:szCs w:val="20"/>
          <w:lang w:eastAsia="es-ES_tradnl"/>
        </w:rPr>
        <w:t xml:space="preserve">es preciso mencionar que las </w:t>
      </w:r>
      <w:r w:rsidRPr="00D71688">
        <w:rPr>
          <w:rFonts w:ascii="Verdana" w:eastAsia="Calibri" w:hAnsi="Verdana" w:cs="Arial"/>
          <w:sz w:val="20"/>
          <w:szCs w:val="20"/>
          <w:lang w:eastAsia="es-ES_tradnl"/>
        </w:rPr>
        <w:t xml:space="preserve">entidades estatales regidas por el EGCAP están habilitadas para celebrar los contratos que suelen celebrar los particulares entre sí – como el de seguro al que se refiere en su pregunta – en ejercicio de la autonomía de la voluntad privada. En ese sentido, puede ocurrir que dentro de la gestión ordinaria de sus competencias y funciones las entidades tengan necesidades que deban ser satisfechas a través de contratos como el seguro, en los que además de las disposiciones del EGCAP deberán aplicarse en su mayoría normas de derecho privado, lo que de ninguna manera desvirtúa la calidad de estatal de dichos contratos. </w:t>
      </w:r>
    </w:p>
    <w:p w14:paraId="507D2991" w14:textId="77777777" w:rsidR="00D71688" w:rsidRPr="00D71688" w:rsidRDefault="00D71688" w:rsidP="00D71688">
      <w:pPr>
        <w:spacing w:after="0" w:line="240" w:lineRule="auto"/>
        <w:jc w:val="both"/>
        <w:rPr>
          <w:rFonts w:ascii="Verdana" w:eastAsia="Calibri" w:hAnsi="Verdana"/>
          <w:color w:val="000000" w:themeColor="text1"/>
          <w:sz w:val="20"/>
          <w:szCs w:val="20"/>
          <w:lang w:val="es-ES"/>
        </w:rPr>
      </w:pPr>
    </w:p>
    <w:p w14:paraId="06F910F1" w14:textId="6E9475EE" w:rsidR="00D71688" w:rsidRPr="00D71688" w:rsidRDefault="00D71688" w:rsidP="00D71688">
      <w:pPr>
        <w:spacing w:after="0" w:line="240" w:lineRule="auto"/>
        <w:jc w:val="both"/>
        <w:rPr>
          <w:rFonts w:ascii="Verdana" w:eastAsia="Calibri" w:hAnsi="Verdana"/>
          <w:color w:val="000000" w:themeColor="text1"/>
          <w:sz w:val="20"/>
          <w:szCs w:val="20"/>
        </w:rPr>
      </w:pPr>
      <w:r w:rsidRPr="00D71688">
        <w:rPr>
          <w:rFonts w:ascii="Verdana" w:eastAsia="Calibri" w:hAnsi="Verdana"/>
          <w:color w:val="000000" w:themeColor="text1"/>
          <w:sz w:val="20"/>
          <w:szCs w:val="20"/>
          <w:lang w:val="es-ES"/>
        </w:rPr>
        <w:t>Teniendo en cuenta la relación entre el derecho público y el derecho privado en la contratación estatal, es necesario entender el contrato de seguro que está definido en el artículo 1036 del Código de Comercio: “</w:t>
      </w:r>
      <w:r w:rsidRPr="00D71688">
        <w:rPr>
          <w:rFonts w:ascii="Verdana" w:eastAsia="Calibri" w:hAnsi="Verdana"/>
          <w:color w:val="000000" w:themeColor="text1"/>
          <w:sz w:val="20"/>
          <w:szCs w:val="20"/>
        </w:rPr>
        <w:t xml:space="preserve">El seguro es un contrato consensual, bilateral, oneroso, aleatorio y de ejecución sucesiva”, cuyas partes son: i) el asegurador, esto es, la persona jurídica que asume los riesgos y que está autorizada para ello: ii) el tomador, esto es, la persona que obrando por cuenta propia o ajena traslada los riesgos, de conformidad con el artículo 1037 del Código de Comercio. </w:t>
      </w:r>
    </w:p>
    <w:p w14:paraId="27A004AA" w14:textId="77777777" w:rsidR="00D71688" w:rsidRPr="00D71688" w:rsidRDefault="00D71688" w:rsidP="00D71688">
      <w:pPr>
        <w:spacing w:after="0" w:line="240" w:lineRule="auto"/>
        <w:jc w:val="both"/>
        <w:rPr>
          <w:rFonts w:ascii="Verdana" w:eastAsia="Calibri" w:hAnsi="Verdana"/>
          <w:color w:val="000000" w:themeColor="text1"/>
          <w:sz w:val="20"/>
          <w:szCs w:val="20"/>
        </w:rPr>
      </w:pPr>
    </w:p>
    <w:p w14:paraId="2AAD7CFC" w14:textId="4E5ED862" w:rsidR="00D71688" w:rsidRPr="00D71688" w:rsidRDefault="00D71688" w:rsidP="00D71688">
      <w:pPr>
        <w:spacing w:after="0" w:line="240" w:lineRule="auto"/>
        <w:jc w:val="both"/>
        <w:rPr>
          <w:rFonts w:ascii="Verdana" w:eastAsia="Calibri" w:hAnsi="Verdana"/>
          <w:color w:val="000000" w:themeColor="text1"/>
          <w:sz w:val="20"/>
          <w:szCs w:val="20"/>
        </w:rPr>
      </w:pPr>
      <w:r w:rsidRPr="00D71688">
        <w:rPr>
          <w:rFonts w:ascii="Verdana" w:eastAsia="Calibri" w:hAnsi="Verdana"/>
          <w:color w:val="000000" w:themeColor="text1"/>
          <w:sz w:val="20"/>
          <w:szCs w:val="20"/>
        </w:rPr>
        <w:t xml:space="preserve">En este caso para que el contrato de seguro sea estatal implica que una de las partes sea una entidad pública. Por tanto, en los supuestos donde el contrato de seguro cuya celebración se procede con el cometido a garantizar el cumplimiento de contratos estatales previamente celebrados entre entidades pública y en contratistas que son en </w:t>
      </w:r>
      <w:r w:rsidRPr="00D71688">
        <w:rPr>
          <w:rFonts w:ascii="Verdana" w:eastAsia="Calibri" w:hAnsi="Verdana"/>
          <w:color w:val="000000" w:themeColor="text1"/>
          <w:sz w:val="20"/>
          <w:szCs w:val="20"/>
        </w:rPr>
        <w:lastRenderedPageBreak/>
        <w:t>principio particulares, no tiene la calidad de estatal pues el solo hecho de la entidad de ser beneficiaria, por el contrario, los contratos por lo general son suscritos entre dos particulares, es decir, entre el contratista particular en su condición de tomador y la respectiva aseguradora, quienes, por tanto, en los términos del artículo 1037 del Código de Comercio, son los únicos que pueden considerarse como partes dentro de este tipo de contratos.</w:t>
      </w:r>
    </w:p>
    <w:p w14:paraId="153C6B1D" w14:textId="77777777" w:rsidR="00D71688" w:rsidRPr="00D71688" w:rsidRDefault="00D71688" w:rsidP="00D71688">
      <w:pPr>
        <w:spacing w:after="0" w:line="240" w:lineRule="auto"/>
        <w:jc w:val="both"/>
        <w:rPr>
          <w:rFonts w:ascii="Verdana" w:hAnsi="Verdana"/>
          <w:b/>
        </w:rPr>
      </w:pPr>
    </w:p>
    <w:p w14:paraId="2D1A1D3B" w14:textId="77777777" w:rsidR="00D71688" w:rsidRPr="00D71688" w:rsidRDefault="00D71688" w:rsidP="00D71688">
      <w:pPr>
        <w:spacing w:after="0"/>
        <w:jc w:val="both"/>
        <w:rPr>
          <w:rFonts w:ascii="Verdana" w:hAnsi="Verdana" w:cs="Arial"/>
          <w:b/>
          <w:bCs/>
          <w:lang w:val="es-MX" w:eastAsia="es-ES" w:bidi="es-ES"/>
        </w:rPr>
      </w:pPr>
      <w:r w:rsidRPr="00D71688">
        <w:rPr>
          <w:rFonts w:ascii="Verdana" w:hAnsi="Verdana" w:cs="Arial"/>
          <w:b/>
          <w:bCs/>
          <w:lang w:val="es-ES"/>
        </w:rPr>
        <w:t>CONTRATO DE SEGURO – Modificación de los contratos – Procedencia - Condiciones – Límites.</w:t>
      </w:r>
    </w:p>
    <w:p w14:paraId="04BC1F88" w14:textId="77777777" w:rsidR="00D71688" w:rsidRPr="005A411B" w:rsidRDefault="00D71688" w:rsidP="005A411B">
      <w:pPr>
        <w:spacing w:after="0" w:line="240" w:lineRule="auto"/>
        <w:rPr>
          <w:rFonts w:ascii="Verdana" w:hAnsi="Verdana"/>
          <w:sz w:val="20"/>
          <w:szCs w:val="20"/>
          <w:lang w:val="es-MX"/>
        </w:rPr>
      </w:pPr>
    </w:p>
    <w:p w14:paraId="744EFFB2" w14:textId="076F7B9F" w:rsidR="005A411B" w:rsidRPr="005A411B" w:rsidRDefault="005A411B" w:rsidP="005A411B">
      <w:pPr>
        <w:spacing w:after="0" w:line="240" w:lineRule="auto"/>
        <w:jc w:val="both"/>
        <w:rPr>
          <w:rFonts w:ascii="Verdana" w:hAnsi="Verdana" w:cs="Arial"/>
          <w:color w:val="000000"/>
          <w:sz w:val="20"/>
          <w:szCs w:val="20"/>
          <w:lang w:eastAsia="es-ES_tradnl"/>
        </w:rPr>
      </w:pPr>
      <w:r w:rsidRPr="005A411B">
        <w:rPr>
          <w:rFonts w:ascii="Verdana" w:eastAsia="Calibri" w:hAnsi="Verdana"/>
          <w:color w:val="000000" w:themeColor="text1"/>
          <w:sz w:val="20"/>
          <w:szCs w:val="20"/>
        </w:rPr>
        <w:t>En primer lugar, el</w:t>
      </w:r>
      <w:r w:rsidRPr="005A411B">
        <w:rPr>
          <w:rFonts w:ascii="Verdana" w:hAnsi="Verdana" w:cs="Arial"/>
          <w:color w:val="000000"/>
          <w:sz w:val="20"/>
          <w:szCs w:val="20"/>
          <w:lang w:eastAsia="es-ES_tradnl"/>
        </w:rPr>
        <w:t xml:space="preserve"> criterio cuantitativo se señala que cualquier incremento del valor inicial del contrato, independiente del nombre que se le dé al acuerdo -otrosí, adición, modificación, entre otros-, aplica el límite previsto en el parágrafo del artículo 40 de la Ley 80 de 1993: “Los contratos no podrán adicionarse en más del cincuenta por ciento (50%) de su valor inicial, expresado éste en salarios mínimos legales mensuales”.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vigencias fiscales, porque si el contrato se ejecuta sin existir variación en el valor del salario mínimo la operación sería la misma si se toma el monto en pesos. </w:t>
      </w:r>
    </w:p>
    <w:p w14:paraId="2759EABA" w14:textId="77777777" w:rsidR="005A411B" w:rsidRDefault="005A411B" w:rsidP="005A411B">
      <w:pPr>
        <w:widowControl w:val="0"/>
        <w:autoSpaceDE w:val="0"/>
        <w:autoSpaceDN w:val="0"/>
        <w:spacing w:after="0" w:line="240" w:lineRule="auto"/>
        <w:jc w:val="both"/>
        <w:rPr>
          <w:rFonts w:ascii="Verdana" w:hAnsi="Verdana" w:cs="Arial"/>
          <w:sz w:val="20"/>
          <w:szCs w:val="20"/>
          <w:lang w:val="es-ES"/>
        </w:rPr>
      </w:pPr>
    </w:p>
    <w:p w14:paraId="15B445C1" w14:textId="17E0D50C" w:rsidR="005A411B" w:rsidRPr="005A411B" w:rsidRDefault="005A411B" w:rsidP="005A411B">
      <w:pPr>
        <w:widowControl w:val="0"/>
        <w:autoSpaceDE w:val="0"/>
        <w:autoSpaceDN w:val="0"/>
        <w:spacing w:after="0" w:line="240" w:lineRule="auto"/>
        <w:jc w:val="both"/>
        <w:rPr>
          <w:rFonts w:ascii="Verdana" w:hAnsi="Verdana" w:cs="Arial"/>
          <w:sz w:val="20"/>
          <w:szCs w:val="20"/>
        </w:rPr>
      </w:pPr>
      <w:r w:rsidRPr="005A411B">
        <w:rPr>
          <w:rFonts w:ascii="Verdana" w:hAnsi="Verdana" w:cs="Arial"/>
          <w:sz w:val="20"/>
          <w:szCs w:val="20"/>
          <w:lang w:val="es-ES"/>
        </w:rPr>
        <w:t>En segundo lugar, los</w:t>
      </w:r>
      <w:r w:rsidRPr="005A411B">
        <w:rPr>
          <w:rFonts w:ascii="Verdana" w:hAnsi="Verdana"/>
          <w:sz w:val="20"/>
          <w:szCs w:val="20"/>
        </w:rPr>
        <w:t xml:space="preserve"> límites de orden temporal están comprendidos por: </w:t>
      </w:r>
      <w:r w:rsidRPr="005A411B">
        <w:rPr>
          <w:rFonts w:ascii="Verdana" w:eastAsia="Arial" w:hAnsi="Verdana" w:cs="Arial"/>
          <w:sz w:val="20"/>
          <w:szCs w:val="20"/>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5A411B">
        <w:rPr>
          <w:rFonts w:ascii="Verdana" w:hAnsi="Verdana" w:cs="Arial"/>
          <w:sz w:val="20"/>
          <w:szCs w:val="20"/>
        </w:rPr>
        <w:t xml:space="preserve"> Es decir, no es posible establecer prórrogas automáticas en los contratos estatales de seguro. </w:t>
      </w:r>
    </w:p>
    <w:p w14:paraId="06588A9E" w14:textId="77777777" w:rsidR="005A411B" w:rsidRDefault="005A411B" w:rsidP="005A411B">
      <w:pPr>
        <w:widowControl w:val="0"/>
        <w:autoSpaceDE w:val="0"/>
        <w:autoSpaceDN w:val="0"/>
        <w:spacing w:after="0" w:line="240" w:lineRule="auto"/>
        <w:jc w:val="both"/>
        <w:rPr>
          <w:rFonts w:ascii="Verdana" w:hAnsi="Verdana" w:cs="Arial"/>
          <w:sz w:val="20"/>
          <w:szCs w:val="20"/>
        </w:rPr>
      </w:pPr>
    </w:p>
    <w:p w14:paraId="3FE4BAC8" w14:textId="14FB437B" w:rsidR="005A411B" w:rsidRPr="005A411B" w:rsidRDefault="005A411B" w:rsidP="005A411B">
      <w:pPr>
        <w:widowControl w:val="0"/>
        <w:autoSpaceDE w:val="0"/>
        <w:autoSpaceDN w:val="0"/>
        <w:spacing w:after="0" w:line="240" w:lineRule="auto"/>
        <w:jc w:val="both"/>
        <w:rPr>
          <w:rFonts w:ascii="Verdana" w:eastAsia="Arial" w:hAnsi="Verdana" w:cs="Arial"/>
          <w:color w:val="000000"/>
          <w:sz w:val="20"/>
          <w:szCs w:val="20"/>
          <w:lang w:eastAsia="es-ES" w:bidi="es-ES"/>
        </w:rPr>
      </w:pPr>
      <w:r w:rsidRPr="005A411B">
        <w:rPr>
          <w:rFonts w:ascii="Verdana" w:hAnsi="Verdana" w:cs="Arial"/>
          <w:sz w:val="20"/>
          <w:szCs w:val="20"/>
        </w:rPr>
        <w:t xml:space="preserve">En tercer lugar, los límites de orden formal, debe señalarse que, por un lado, es necesario que, la </w:t>
      </w:r>
      <w:r w:rsidRPr="005A411B">
        <w:rPr>
          <w:rFonts w:ascii="Verdana" w:eastAsia="Arial" w:hAnsi="Verdana" w:cs="Arial"/>
          <w:sz w:val="20"/>
          <w:szCs w:val="20"/>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Es decir, </w:t>
      </w:r>
      <w:r w:rsidRPr="005A411B">
        <w:rPr>
          <w:rFonts w:ascii="Verdana" w:eastAsia="Arial" w:hAnsi="Verdana" w:cs="Arial"/>
          <w:color w:val="000000"/>
          <w:sz w:val="20"/>
          <w:szCs w:val="20"/>
          <w:lang w:eastAsia="es-ES" w:bidi="es-ES"/>
        </w:rPr>
        <w:t xml:space="preserve">los contratos estatales, por regla general, son contratos solemnes, que de conformidad al artículo 1500 del Código Civil implica que están sujetos a la observancia de ciertas formalidades especiales, de manera que sin ellas no producen efecto. </w:t>
      </w:r>
    </w:p>
    <w:p w14:paraId="4BA5E866" w14:textId="77777777" w:rsidR="005A411B" w:rsidRDefault="005A411B" w:rsidP="005A411B">
      <w:pPr>
        <w:widowControl w:val="0"/>
        <w:autoSpaceDE w:val="0"/>
        <w:autoSpaceDN w:val="0"/>
        <w:spacing w:after="0" w:line="240" w:lineRule="auto"/>
        <w:jc w:val="both"/>
        <w:rPr>
          <w:rFonts w:ascii="Verdana" w:hAnsi="Verdana" w:cs="Arial"/>
          <w:sz w:val="20"/>
          <w:szCs w:val="20"/>
        </w:rPr>
      </w:pPr>
    </w:p>
    <w:p w14:paraId="1FD3EF91" w14:textId="07C27F9A" w:rsidR="005A411B" w:rsidRPr="005A411B" w:rsidRDefault="005A411B" w:rsidP="005A411B">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5A411B">
        <w:rPr>
          <w:rFonts w:ascii="Verdana" w:hAnsi="Verdana" w:cs="Arial"/>
          <w:sz w:val="20"/>
          <w:szCs w:val="20"/>
        </w:rPr>
        <w:t xml:space="preserve">En cuarto lugar, los límites materiales que </w:t>
      </w:r>
      <w:r w:rsidRPr="005A411B">
        <w:rPr>
          <w:rFonts w:ascii="Verdana" w:eastAsia="Arial" w:hAnsi="Verdana" w:cs="Arial"/>
          <w:sz w:val="20"/>
          <w:szCs w:val="20"/>
          <w:lang w:val="es-MX" w:eastAsia="es-ES" w:bidi="es-ES"/>
        </w:rPr>
        <w:t xml:space="preserve">corresponden a la prohibición de modificar las condiciones sustanciales del contrato, que se presentará en los casos en que se incluyan elementos que, </w:t>
      </w:r>
      <w:r w:rsidRPr="005A411B">
        <w:rPr>
          <w:rFonts w:ascii="Verdana" w:eastAsia="Arial" w:hAnsi="Verdana" w:cs="Arial"/>
          <w:i/>
          <w:sz w:val="20"/>
          <w:szCs w:val="20"/>
          <w:lang w:val="es-MX" w:eastAsia="es-ES" w:bidi="es-ES"/>
        </w:rPr>
        <w:t xml:space="preserve">“habiendo figurado en el procedimiento inicial, hubiera permitido la participación de otros interesados aparte de los inicialmente admitidos, o seleccionar una oferta distinta de la inicialmente seleccionada”. </w:t>
      </w:r>
    </w:p>
    <w:p w14:paraId="41ACBE04" w14:textId="77777777" w:rsidR="005A411B" w:rsidRDefault="005A411B" w:rsidP="005A411B">
      <w:pPr>
        <w:widowControl w:val="0"/>
        <w:autoSpaceDE w:val="0"/>
        <w:autoSpaceDN w:val="0"/>
        <w:spacing w:after="0" w:line="240" w:lineRule="auto"/>
        <w:jc w:val="both"/>
        <w:rPr>
          <w:rFonts w:ascii="Verdana" w:eastAsia="Arial" w:hAnsi="Verdana" w:cs="Arial"/>
          <w:sz w:val="20"/>
          <w:szCs w:val="20"/>
          <w:lang w:val="es-MX" w:eastAsia="es-ES" w:bidi="es-ES"/>
        </w:rPr>
      </w:pPr>
    </w:p>
    <w:p w14:paraId="209A4221" w14:textId="41CD6CFA" w:rsidR="005A411B" w:rsidRPr="005A411B" w:rsidRDefault="005A411B" w:rsidP="005A411B">
      <w:pPr>
        <w:widowControl w:val="0"/>
        <w:autoSpaceDE w:val="0"/>
        <w:autoSpaceDN w:val="0"/>
        <w:spacing w:after="0" w:line="240" w:lineRule="auto"/>
        <w:jc w:val="both"/>
        <w:rPr>
          <w:rFonts w:ascii="Verdana" w:hAnsi="Verdana" w:cs="Arial"/>
          <w:sz w:val="20"/>
          <w:szCs w:val="20"/>
        </w:rPr>
      </w:pPr>
      <w:r w:rsidRPr="005A411B">
        <w:rPr>
          <w:rFonts w:ascii="Verdana" w:eastAsia="Arial" w:hAnsi="Verdana" w:cs="Arial"/>
          <w:sz w:val="20"/>
          <w:szCs w:val="20"/>
          <w:lang w:val="es-MX" w:eastAsia="es-ES" w:bidi="es-ES"/>
        </w:rPr>
        <w:t xml:space="preserve">Finalmente, se encuentran los </w:t>
      </w:r>
      <w:r w:rsidRPr="005A411B">
        <w:rPr>
          <w:rFonts w:ascii="Verdana" w:eastAsia="Arial" w:hAnsi="Verdana" w:cs="Arial"/>
          <w:i/>
          <w:iCs/>
          <w:sz w:val="20"/>
          <w:szCs w:val="20"/>
          <w:lang w:val="es-MX" w:eastAsia="es-ES" w:bidi="es-ES"/>
        </w:rPr>
        <w:t>límites axiológicos</w:t>
      </w:r>
      <w:r w:rsidRPr="005A411B">
        <w:rPr>
          <w:rFonts w:ascii="Verdana" w:eastAsia="Arial" w:hAnsi="Verdana" w:cs="Arial"/>
          <w:sz w:val="20"/>
          <w:szCs w:val="20"/>
          <w:lang w:val="es-MX" w:eastAsia="es-ES" w:bidi="es-ES"/>
        </w:rPr>
        <w:t xml:space="preserve">, los cuales se fundan en la necesidad de preservar los principios de igualdad, transparencia, libertad de concurrencia, selección objetiva y planeación. </w:t>
      </w:r>
      <w:r w:rsidRPr="005A411B">
        <w:rPr>
          <w:rFonts w:ascii="Verdana" w:hAnsi="Verdana" w:cs="Arial"/>
          <w:sz w:val="20"/>
          <w:szCs w:val="20"/>
          <w:lang w:eastAsia="es-ES_tradnl"/>
        </w:rPr>
        <w:t xml:space="preserve">Lo anterior, con la finalidad de realizar la escogencia diligente de la mejor oferta, para beneficiar los intereses y fines públicos inmersos en la contratación de las entidades estatales. </w:t>
      </w:r>
    </w:p>
    <w:p w14:paraId="26D3D368" w14:textId="77777777" w:rsidR="00D71688" w:rsidRDefault="00D71688" w:rsidP="00EA7EBA">
      <w:pPr>
        <w:spacing w:after="0" w:line="240" w:lineRule="auto"/>
        <w:rPr>
          <w:rFonts w:ascii="Verdana" w:hAnsi="Verdana"/>
        </w:rPr>
      </w:pPr>
    </w:p>
    <w:p w14:paraId="6FCBA4B6" w14:textId="600B15B4" w:rsidR="00EA7EBA" w:rsidRPr="00EA7EBA" w:rsidRDefault="00BB49D3" w:rsidP="00EA7EBA">
      <w:pPr>
        <w:spacing w:after="0" w:line="240" w:lineRule="auto"/>
        <w:rPr>
          <w:rFonts w:ascii="Verdana" w:hAnsi="Verdana"/>
        </w:rPr>
      </w:pPr>
      <w:r>
        <w:rPr>
          <w:rFonts w:ascii="Verdana" w:hAnsi="Verdana"/>
        </w:rPr>
        <w:lastRenderedPageBreak/>
        <w:t>Bogotá D.C., 7 de mayo de 2025</w:t>
      </w:r>
      <w:r w:rsidR="00EA7EBA" w:rsidRPr="00EA7EBA">
        <w:rPr>
          <w:rFonts w:ascii="Verdana" w:hAnsi="Verdana"/>
        </w:rPr>
        <w:tab/>
      </w:r>
    </w:p>
    <w:p w14:paraId="727AC99C" w14:textId="2406F8E2" w:rsidR="00EA7EBA" w:rsidRPr="00EA7EBA" w:rsidRDefault="00BB49D3" w:rsidP="00EA7EBA">
      <w:pPr>
        <w:spacing w:after="0" w:line="240" w:lineRule="auto"/>
        <w:jc w:val="both"/>
        <w:rPr>
          <w:rFonts w:ascii="Verdana" w:hAnsi="Verdana" w:cs="Arial"/>
          <w:bCs/>
          <w:lang w:val="es-ES" w:eastAsia="es-ES" w:bidi="es-ES"/>
        </w:rPr>
      </w:pPr>
      <w:r w:rsidRPr="00BB49D3">
        <w:rPr>
          <w:rFonts w:ascii="Verdana" w:hAnsi="Verdana" w:cs="Arial"/>
          <w:bCs/>
          <w:noProof/>
          <w:lang w:val="en-US"/>
        </w:rPr>
        <w:drawing>
          <wp:anchor distT="0" distB="0" distL="114300" distR="114300" simplePos="0" relativeHeight="251658240" behindDoc="0" locked="0" layoutInCell="1" allowOverlap="1" wp14:anchorId="6DD7AF32" wp14:editId="21002304">
            <wp:simplePos x="0" y="0"/>
            <wp:positionH relativeFrom="margin">
              <wp:align>right</wp:align>
            </wp:positionH>
            <wp:positionV relativeFrom="paragraph">
              <wp:posOffset>4291</wp:posOffset>
            </wp:positionV>
            <wp:extent cx="2780665" cy="768985"/>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0665" cy="768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954A4C" w14:textId="77777777" w:rsidR="00EA7EBA" w:rsidRPr="00EA7EBA" w:rsidRDefault="00EA7EBA" w:rsidP="00EA7EBA">
      <w:pPr>
        <w:spacing w:after="0" w:line="240" w:lineRule="auto"/>
        <w:jc w:val="both"/>
        <w:rPr>
          <w:rFonts w:ascii="Verdana" w:hAnsi="Verdana" w:cs="Arial"/>
          <w:bCs/>
          <w:lang w:val="es-ES" w:eastAsia="es-ES" w:bidi="es-ES"/>
        </w:rPr>
      </w:pPr>
    </w:p>
    <w:p w14:paraId="595043B6" w14:textId="77777777" w:rsidR="00EA7EBA" w:rsidRPr="00EA7EBA" w:rsidRDefault="00EA7EBA" w:rsidP="00EA7EBA">
      <w:pPr>
        <w:spacing w:after="0" w:line="240" w:lineRule="auto"/>
        <w:jc w:val="both"/>
        <w:rPr>
          <w:rFonts w:ascii="Verdana" w:hAnsi="Verdana" w:cs="Arial"/>
          <w:bCs/>
          <w:lang w:eastAsia="es-ES" w:bidi="es-ES"/>
        </w:rPr>
      </w:pPr>
      <w:r w:rsidRPr="00EA7EBA">
        <w:rPr>
          <w:rFonts w:ascii="Verdana" w:hAnsi="Verdana" w:cs="Arial"/>
          <w:bCs/>
          <w:lang w:eastAsia="es-ES" w:bidi="es-ES"/>
        </w:rPr>
        <w:t>Señor</w:t>
      </w:r>
    </w:p>
    <w:p w14:paraId="774291ED" w14:textId="77777777" w:rsidR="00EA7EBA" w:rsidRPr="00EA7EBA" w:rsidRDefault="00EA7EBA" w:rsidP="00EA7EBA">
      <w:pPr>
        <w:spacing w:after="0" w:line="240" w:lineRule="auto"/>
        <w:jc w:val="both"/>
        <w:rPr>
          <w:rFonts w:ascii="Verdana" w:hAnsi="Verdana" w:cs="Arial"/>
          <w:b/>
          <w:bCs/>
          <w:lang w:eastAsia="es-ES" w:bidi="es-ES"/>
        </w:rPr>
      </w:pPr>
      <w:r w:rsidRPr="00EA7EBA">
        <w:rPr>
          <w:rFonts w:ascii="Verdana" w:hAnsi="Verdana" w:cs="Arial"/>
          <w:b/>
          <w:bCs/>
          <w:lang w:eastAsia="es-ES" w:bidi="es-ES"/>
        </w:rPr>
        <w:t>Javier Araujo Ramírez</w:t>
      </w:r>
    </w:p>
    <w:p w14:paraId="4FE5381E" w14:textId="77777777" w:rsidR="00EA7EBA" w:rsidRPr="00EA7EBA" w:rsidRDefault="00D26916" w:rsidP="00EA7EBA">
      <w:pPr>
        <w:spacing w:after="0" w:line="240" w:lineRule="auto"/>
        <w:jc w:val="both"/>
        <w:rPr>
          <w:rFonts w:ascii="Verdana" w:hAnsi="Verdana" w:cs="Arial"/>
          <w:bCs/>
          <w:lang w:eastAsia="es-ES" w:bidi="es-ES"/>
        </w:rPr>
      </w:pPr>
      <w:hyperlink r:id="rId12" w:history="1">
        <w:r w:rsidR="00EA7EBA" w:rsidRPr="00EA7EBA">
          <w:rPr>
            <w:rFonts w:ascii="Verdana" w:hAnsi="Verdana" w:cs="Arial"/>
            <w:bCs/>
            <w:color w:val="0000FF"/>
            <w:u w:val="single"/>
            <w:lang w:eastAsia="es-ES" w:bidi="es-ES"/>
          </w:rPr>
          <w:t>jaraujoqp@gmail.com</w:t>
        </w:r>
      </w:hyperlink>
      <w:r w:rsidR="00EA7EBA" w:rsidRPr="00EA7EBA">
        <w:rPr>
          <w:rFonts w:ascii="Verdana" w:hAnsi="Verdana" w:cs="Arial"/>
          <w:bCs/>
          <w:lang w:eastAsia="es-ES" w:bidi="es-ES"/>
        </w:rPr>
        <w:t xml:space="preserve"> </w:t>
      </w:r>
    </w:p>
    <w:p w14:paraId="27A6BD07" w14:textId="77777777" w:rsidR="00EA7EBA" w:rsidRPr="00EA7EBA" w:rsidRDefault="00EA7EBA" w:rsidP="00EA7EBA">
      <w:pPr>
        <w:spacing w:after="0" w:line="240" w:lineRule="auto"/>
        <w:jc w:val="both"/>
        <w:rPr>
          <w:rFonts w:ascii="Verdana" w:hAnsi="Verdana" w:cs="Arial"/>
          <w:bCs/>
          <w:lang w:val="es-MX" w:eastAsia="es-ES" w:bidi="es-ES"/>
        </w:rPr>
      </w:pPr>
      <w:r w:rsidRPr="00EA7EBA">
        <w:rPr>
          <w:rFonts w:ascii="Verdana" w:hAnsi="Verdana" w:cs="Arial"/>
          <w:bCs/>
          <w:lang w:val="es-MX" w:eastAsia="es-ES" w:bidi="es-ES"/>
        </w:rPr>
        <w:t xml:space="preserve">Bogotá D.C. </w:t>
      </w:r>
    </w:p>
    <w:p w14:paraId="42AE7F1F" w14:textId="77777777" w:rsidR="00EA7EBA" w:rsidRPr="00EA7EBA" w:rsidRDefault="00EA7EBA" w:rsidP="00EA7EBA">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EA7EBA" w:rsidRPr="00EA7EBA" w14:paraId="7B713CB5" w14:textId="77777777" w:rsidTr="00D40286">
        <w:trPr>
          <w:trHeight w:val="208"/>
        </w:trPr>
        <w:tc>
          <w:tcPr>
            <w:tcW w:w="2689" w:type="dxa"/>
          </w:tcPr>
          <w:p w14:paraId="3B4FB056" w14:textId="77777777" w:rsidR="00EA7EBA" w:rsidRPr="00EA7EBA" w:rsidRDefault="00EA7EBA" w:rsidP="00EA7EBA">
            <w:pPr>
              <w:jc w:val="both"/>
              <w:rPr>
                <w:rFonts w:ascii="Verdana" w:hAnsi="Verdana" w:cs="Arial"/>
                <w:b/>
                <w:bCs/>
                <w:lang w:val="es-ES_tradnl" w:eastAsia="es-ES" w:bidi="es-ES"/>
              </w:rPr>
            </w:pPr>
          </w:p>
        </w:tc>
        <w:tc>
          <w:tcPr>
            <w:tcW w:w="6242" w:type="dxa"/>
          </w:tcPr>
          <w:p w14:paraId="7B2CB88B" w14:textId="77777777" w:rsidR="00EA7EBA" w:rsidRPr="00EA7EBA" w:rsidRDefault="00EA7EBA" w:rsidP="00EA7EBA">
            <w:pPr>
              <w:jc w:val="both"/>
              <w:rPr>
                <w:rFonts w:ascii="Verdana" w:hAnsi="Verdana" w:cs="Arial"/>
                <w:b/>
                <w:bCs/>
                <w:lang w:val="es-MX" w:eastAsia="es-ES" w:bidi="es-ES"/>
              </w:rPr>
            </w:pPr>
            <w:r w:rsidRPr="00EA7EBA">
              <w:rPr>
                <w:rFonts w:ascii="Verdana" w:hAnsi="Verdana" w:cs="Arial"/>
                <w:b/>
                <w:bCs/>
                <w:lang w:val="es-MX" w:eastAsia="es-ES" w:bidi="es-ES"/>
              </w:rPr>
              <w:t>Concepto C- 380 de 2025</w:t>
            </w:r>
          </w:p>
          <w:p w14:paraId="7DB09C83" w14:textId="77777777" w:rsidR="00EA7EBA" w:rsidRPr="00EA7EBA" w:rsidRDefault="00EA7EBA" w:rsidP="00EA7EBA">
            <w:pPr>
              <w:jc w:val="both"/>
              <w:rPr>
                <w:rFonts w:ascii="Verdana" w:hAnsi="Verdana" w:cs="Arial"/>
                <w:b/>
                <w:bCs/>
                <w:lang w:val="es-MX" w:eastAsia="es-ES" w:bidi="es-ES"/>
              </w:rPr>
            </w:pPr>
          </w:p>
        </w:tc>
      </w:tr>
      <w:tr w:rsidR="00EA7EBA" w:rsidRPr="00EA7EBA" w14:paraId="2F546864" w14:textId="77777777" w:rsidTr="00D40286">
        <w:trPr>
          <w:trHeight w:val="884"/>
        </w:trPr>
        <w:tc>
          <w:tcPr>
            <w:tcW w:w="2689" w:type="dxa"/>
          </w:tcPr>
          <w:p w14:paraId="4232D3FB" w14:textId="77777777" w:rsidR="00EA7EBA" w:rsidRPr="00EA7EBA" w:rsidRDefault="00EA7EBA" w:rsidP="00EA7EBA">
            <w:pPr>
              <w:jc w:val="both"/>
              <w:rPr>
                <w:rFonts w:ascii="Verdana" w:hAnsi="Verdana" w:cs="Arial"/>
                <w:bCs/>
                <w:lang w:val="es-MX" w:eastAsia="es-ES" w:bidi="es-ES"/>
              </w:rPr>
            </w:pPr>
            <w:r w:rsidRPr="00EA7EBA">
              <w:rPr>
                <w:rFonts w:ascii="Verdana" w:hAnsi="Verdana" w:cs="Arial"/>
                <w:bCs/>
                <w:lang w:val="es-MX" w:eastAsia="es-ES" w:bidi="es-ES"/>
              </w:rPr>
              <w:t xml:space="preserve">Temas:                   </w:t>
            </w:r>
          </w:p>
        </w:tc>
        <w:tc>
          <w:tcPr>
            <w:tcW w:w="6242" w:type="dxa"/>
          </w:tcPr>
          <w:p w14:paraId="32FB1123" w14:textId="08D94154" w:rsidR="00EA7EBA" w:rsidRPr="00EA7EBA" w:rsidRDefault="00EA7EBA" w:rsidP="00EA7EBA">
            <w:pPr>
              <w:jc w:val="both"/>
              <w:rPr>
                <w:rFonts w:ascii="Verdana" w:hAnsi="Verdana" w:cs="Arial"/>
                <w:bCs/>
                <w:lang w:val="es-MX" w:eastAsia="es-ES" w:bidi="es-ES"/>
              </w:rPr>
            </w:pPr>
            <w:r w:rsidRPr="00EA7EBA">
              <w:rPr>
                <w:rFonts w:ascii="Verdana" w:hAnsi="Verdana" w:cs="Arial"/>
                <w:bCs/>
                <w:lang w:val="es-ES" w:eastAsia="es-ES"/>
              </w:rPr>
              <w:t xml:space="preserve">CONTRATOS ESTATALES – Capacidad jurídica – Requisitos esenciales / </w:t>
            </w:r>
            <w:r w:rsidRPr="00EA7EBA">
              <w:rPr>
                <w:rFonts w:ascii="Verdana" w:hAnsi="Verdana" w:cs="Arial"/>
                <w:bCs/>
                <w:lang w:val="es-ES"/>
              </w:rPr>
              <w:t>CONTRATO D</w:t>
            </w:r>
            <w:r w:rsidR="00BB49D3">
              <w:rPr>
                <w:rFonts w:ascii="Verdana" w:hAnsi="Verdana" w:cs="Arial"/>
                <w:bCs/>
                <w:lang w:val="es-ES"/>
              </w:rPr>
              <w:t xml:space="preserve">E SEGURO – Noción – Definición </w:t>
            </w:r>
            <w:r w:rsidRPr="00EA7EBA">
              <w:rPr>
                <w:rFonts w:ascii="Verdana" w:hAnsi="Verdana" w:cs="Arial"/>
                <w:bCs/>
                <w:lang w:val="es-ES"/>
              </w:rPr>
              <w:t>– Autonomía de la voluntad / CONTRATO DE SEGURO – Modificación de los contratos – Procedencia - Condiciones – Límites.</w:t>
            </w:r>
          </w:p>
          <w:p w14:paraId="64CD3418" w14:textId="77777777" w:rsidR="00EA7EBA" w:rsidRPr="00EA7EBA" w:rsidRDefault="00EA7EBA" w:rsidP="00EA7EBA">
            <w:pPr>
              <w:jc w:val="both"/>
              <w:rPr>
                <w:rFonts w:ascii="Verdana" w:hAnsi="Verdana" w:cs="Arial"/>
                <w:bCs/>
                <w:lang w:val="es-MX" w:eastAsia="es-ES" w:bidi="es-ES"/>
              </w:rPr>
            </w:pPr>
          </w:p>
        </w:tc>
      </w:tr>
      <w:tr w:rsidR="00EA7EBA" w:rsidRPr="00EA7EBA" w14:paraId="5DEABC43" w14:textId="77777777" w:rsidTr="00D40286">
        <w:tc>
          <w:tcPr>
            <w:tcW w:w="2689" w:type="dxa"/>
          </w:tcPr>
          <w:p w14:paraId="54359ED7" w14:textId="77777777" w:rsidR="00EA7EBA" w:rsidRPr="00EA7EBA" w:rsidRDefault="00EA7EBA" w:rsidP="00EA7EBA">
            <w:pPr>
              <w:jc w:val="both"/>
              <w:rPr>
                <w:rFonts w:ascii="Verdana" w:hAnsi="Verdana" w:cs="Arial"/>
                <w:bCs/>
                <w:lang w:val="es-MX" w:eastAsia="es-ES" w:bidi="es-ES"/>
              </w:rPr>
            </w:pPr>
            <w:r w:rsidRPr="00EA7EBA">
              <w:rPr>
                <w:rFonts w:ascii="Verdana" w:hAnsi="Verdana" w:cs="Arial"/>
                <w:bCs/>
                <w:lang w:val="es-MX" w:eastAsia="es-ES" w:bidi="es-ES"/>
              </w:rPr>
              <w:t xml:space="preserve">Radicación:               </w:t>
            </w:r>
          </w:p>
        </w:tc>
        <w:tc>
          <w:tcPr>
            <w:tcW w:w="6242" w:type="dxa"/>
          </w:tcPr>
          <w:p w14:paraId="281B8821" w14:textId="77777777" w:rsidR="00EA7EBA" w:rsidRPr="00EA7EBA" w:rsidRDefault="00EA7EBA" w:rsidP="00EA7EBA">
            <w:pPr>
              <w:jc w:val="both"/>
              <w:rPr>
                <w:rFonts w:ascii="Verdana" w:hAnsi="Verdana" w:cs="Arial"/>
                <w:bCs/>
                <w:lang w:eastAsia="es-ES" w:bidi="es-ES"/>
              </w:rPr>
            </w:pPr>
            <w:r w:rsidRPr="00EA7EBA">
              <w:rPr>
                <w:rFonts w:ascii="Verdana" w:hAnsi="Verdana" w:cs="Arial"/>
                <w:bCs/>
                <w:lang w:val="es-MX" w:eastAsia="es-ES" w:bidi="es-ES"/>
              </w:rPr>
              <w:t xml:space="preserve">Respuesta a consulta con radicado No. </w:t>
            </w:r>
            <w:r w:rsidRPr="00EA7EBA">
              <w:rPr>
                <w:rFonts w:ascii="Verdana" w:hAnsi="Verdana" w:cs="Segoe UI"/>
                <w:shd w:val="clear" w:color="auto" w:fill="FFFFFF"/>
              </w:rPr>
              <w:t>P20250328002990</w:t>
            </w:r>
          </w:p>
          <w:p w14:paraId="434234A7" w14:textId="77777777" w:rsidR="00EA7EBA" w:rsidRPr="00EA7EBA" w:rsidRDefault="00EA7EBA" w:rsidP="00EA7EBA">
            <w:pPr>
              <w:jc w:val="both"/>
              <w:rPr>
                <w:rFonts w:ascii="Verdana" w:hAnsi="Verdana" w:cs="Arial"/>
                <w:bCs/>
                <w:lang w:val="es-MX" w:eastAsia="es-ES" w:bidi="es-ES"/>
              </w:rPr>
            </w:pPr>
          </w:p>
        </w:tc>
      </w:tr>
    </w:tbl>
    <w:p w14:paraId="11454F21" w14:textId="77777777" w:rsidR="00EA7EBA" w:rsidRPr="00EA7EBA" w:rsidRDefault="00EA7EBA" w:rsidP="00EA7EBA">
      <w:pPr>
        <w:spacing w:after="0" w:line="240" w:lineRule="auto"/>
        <w:jc w:val="both"/>
        <w:rPr>
          <w:rFonts w:ascii="Verdana" w:hAnsi="Verdana" w:cs="Arial"/>
          <w:bCs/>
          <w:lang w:val="es-ES_tradnl" w:eastAsia="es-ES" w:bidi="es-ES"/>
        </w:rPr>
      </w:pPr>
    </w:p>
    <w:p w14:paraId="2AF950F9" w14:textId="77777777" w:rsidR="00EA7EBA" w:rsidRPr="00EA7EBA" w:rsidRDefault="00EA7EBA" w:rsidP="00EA7EBA">
      <w:pPr>
        <w:spacing w:after="0" w:line="276" w:lineRule="auto"/>
        <w:jc w:val="both"/>
        <w:rPr>
          <w:rFonts w:ascii="Verdana" w:hAnsi="Verdana" w:cs="Arial"/>
          <w:bCs/>
          <w:lang w:val="es-MX" w:eastAsia="es-ES" w:bidi="es-ES"/>
        </w:rPr>
      </w:pPr>
      <w:r w:rsidRPr="00EA7EBA">
        <w:rPr>
          <w:rFonts w:ascii="Verdana" w:hAnsi="Verdana" w:cs="Arial"/>
          <w:bCs/>
          <w:lang w:val="es-MX" w:eastAsia="es-ES" w:bidi="es-ES"/>
        </w:rPr>
        <w:t>Estimado Señor Javier:</w:t>
      </w:r>
    </w:p>
    <w:p w14:paraId="39A42BD6" w14:textId="77777777" w:rsidR="00EA7EBA" w:rsidRPr="00EA7EBA" w:rsidRDefault="00EA7EBA" w:rsidP="00EA7EBA">
      <w:pPr>
        <w:spacing w:after="0" w:line="276" w:lineRule="auto"/>
        <w:jc w:val="both"/>
        <w:rPr>
          <w:rFonts w:ascii="Verdana" w:hAnsi="Verdana" w:cs="Arial"/>
          <w:bCs/>
          <w:lang w:val="es-ES" w:eastAsia="es-ES" w:bidi="es-ES"/>
        </w:rPr>
      </w:pPr>
      <w:r w:rsidRPr="00EA7EBA">
        <w:rPr>
          <w:rFonts w:ascii="Verdana" w:hAnsi="Verdana" w:cs="Arial"/>
          <w:bCs/>
          <w:lang w:val="es-ES" w:eastAsia="es-ES" w:bidi="es-ES"/>
        </w:rPr>
        <w:tab/>
      </w:r>
    </w:p>
    <w:p w14:paraId="6A32803D" w14:textId="77777777" w:rsidR="00EA7EBA" w:rsidRPr="00EA7EBA" w:rsidRDefault="00EA7EBA" w:rsidP="00EA7EBA">
      <w:pPr>
        <w:spacing w:after="0" w:line="276" w:lineRule="auto"/>
        <w:jc w:val="both"/>
        <w:rPr>
          <w:rFonts w:ascii="Verdana" w:hAnsi="Verdana" w:cs="Arial"/>
          <w:bCs/>
          <w:lang w:val="es-ES" w:eastAsia="es-ES" w:bidi="es-ES"/>
        </w:rPr>
      </w:pPr>
      <w:r w:rsidRPr="00EA7EBA">
        <w:rPr>
          <w:rFonts w:ascii="Verdana" w:hAnsi="Verdana" w:cs="Arial"/>
          <w:bCs/>
          <w:lang w:val="es-ES" w:eastAsia="es-ES" w:bidi="es-ES"/>
        </w:rPr>
        <w:t xml:space="preserve">En ejercicio de la competencia otorgada por los artículos 3, numeral 5º, y 11, numeral 8º, del Decreto Ley 4170 de 2011, </w:t>
      </w:r>
      <w:r w:rsidRPr="00EA7EBA">
        <w:rPr>
          <w:rFonts w:ascii="Verdana" w:hAnsi="Verdana" w:cs="Arial"/>
          <w:bCs/>
          <w:lang w:eastAsia="es-ES" w:bidi="es-ES"/>
        </w:rPr>
        <w:t xml:space="preserve">así como lo establecido en el artículo 4 de la Resolución 1707 de 2018 expedida por esta Entidad, </w:t>
      </w:r>
      <w:r w:rsidRPr="00EA7EBA">
        <w:rPr>
          <w:rFonts w:ascii="Verdana" w:hAnsi="Verdana" w:cs="Arial"/>
          <w:bCs/>
          <w:lang w:val="es-ES" w:eastAsia="es-ES" w:bidi="es-ES"/>
        </w:rPr>
        <w:t xml:space="preserve">la Agencia Nacional de Contratación Pública – Colombia Compra Eficiente– responde su solicitud de consulta de fecha del 28 de marzo 2025, en la cual manifiesta lo siguiente: </w:t>
      </w:r>
    </w:p>
    <w:p w14:paraId="2E6E99A6" w14:textId="77777777" w:rsidR="00EA7EBA" w:rsidRPr="00EA7EBA" w:rsidRDefault="00EA7EBA" w:rsidP="00EA7EBA">
      <w:pPr>
        <w:spacing w:after="0" w:line="276" w:lineRule="auto"/>
        <w:jc w:val="both"/>
        <w:rPr>
          <w:rFonts w:ascii="Verdana" w:hAnsi="Verdana" w:cs="Arial"/>
          <w:bCs/>
          <w:lang w:val="es-ES" w:eastAsia="es-ES" w:bidi="es-ES"/>
        </w:rPr>
      </w:pPr>
    </w:p>
    <w:p w14:paraId="640947F3" w14:textId="77777777" w:rsidR="00EA7EBA" w:rsidRPr="00EA7EBA" w:rsidRDefault="00EA7EBA" w:rsidP="00EA7EBA">
      <w:pPr>
        <w:spacing w:after="0" w:line="240" w:lineRule="auto"/>
        <w:ind w:left="709" w:right="709"/>
        <w:jc w:val="both"/>
        <w:rPr>
          <w:rFonts w:ascii="Verdana" w:hAnsi="Verdana" w:cs="Arial"/>
          <w:bCs/>
          <w:sz w:val="20"/>
          <w:szCs w:val="20"/>
          <w:lang w:val="es-ES" w:eastAsia="es-ES" w:bidi="es-ES"/>
        </w:rPr>
      </w:pPr>
      <w:r w:rsidRPr="00EA7EBA">
        <w:rPr>
          <w:rFonts w:ascii="Verdana" w:hAnsi="Verdana" w:cs="Arial"/>
          <w:bCs/>
          <w:sz w:val="20"/>
          <w:szCs w:val="20"/>
          <w:lang w:val="es-ES" w:eastAsia="es-ES" w:bidi="es-ES"/>
        </w:rPr>
        <w:t>¿Una Entidad Pública antes del vencimiento de la póliza de manejo global del sector oficial puede autorizar mediante acto administrativo renovación de la póliza de manejo de la entidad por un año más de vigencia o antes por el contrario cada año debe adelantar un proceso contractual nuevo para la adquisición de póliza de manejo global a favor de la entidad?</w:t>
      </w:r>
    </w:p>
    <w:p w14:paraId="531A1C87" w14:textId="77777777" w:rsidR="00EA7EBA" w:rsidRPr="00EA7EBA" w:rsidRDefault="00EA7EBA" w:rsidP="00EA7EBA">
      <w:pPr>
        <w:spacing w:after="0" w:line="240" w:lineRule="auto"/>
        <w:jc w:val="both"/>
        <w:rPr>
          <w:rFonts w:ascii="Verdana" w:hAnsi="Verdana" w:cs="Arial"/>
          <w:b/>
          <w:bCs/>
          <w:lang w:val="es-ES" w:eastAsia="es-ES" w:bidi="es-ES"/>
        </w:rPr>
      </w:pPr>
    </w:p>
    <w:p w14:paraId="2BC54C6C" w14:textId="77777777" w:rsidR="00EA7EBA" w:rsidRPr="00EA7EBA" w:rsidRDefault="00EA7EBA" w:rsidP="00EA7EBA">
      <w:pPr>
        <w:spacing w:after="120" w:line="276" w:lineRule="auto"/>
        <w:ind w:firstLine="709"/>
        <w:jc w:val="both"/>
        <w:rPr>
          <w:rFonts w:ascii="Verdana" w:eastAsia="Calibri" w:hAnsi="Verdana" w:cs="Times New Roman"/>
          <w:lang w:val="es-ES"/>
        </w:rPr>
      </w:pPr>
      <w:r w:rsidRPr="00EA7EBA">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EA7EBA">
        <w:rPr>
          <w:rFonts w:ascii="Verdana" w:eastAsia="Calibri" w:hAnsi="Verdana" w:cs="Times New Roman"/>
          <w:lang w:val="es-ES"/>
        </w:rPr>
        <w:lastRenderedPageBreak/>
        <w:t>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B119BDB" w14:textId="77777777" w:rsidR="00EA7EBA" w:rsidRPr="00EA7EBA" w:rsidRDefault="00EA7EBA" w:rsidP="00EA7EBA">
      <w:pPr>
        <w:spacing w:after="0" w:line="276" w:lineRule="auto"/>
        <w:ind w:firstLine="708"/>
        <w:jc w:val="both"/>
        <w:rPr>
          <w:rFonts w:ascii="Verdana" w:eastAsia="Calibri" w:hAnsi="Verdana" w:cs="Times New Roman"/>
          <w:lang w:val="es-ES"/>
        </w:rPr>
      </w:pPr>
      <w:r w:rsidRPr="00EA7EBA">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7D950B7A" w14:textId="77777777" w:rsidR="00EA7EBA" w:rsidRPr="00EA7EBA" w:rsidRDefault="00EA7EBA" w:rsidP="00EA7EBA">
      <w:pPr>
        <w:spacing w:after="0" w:line="256" w:lineRule="auto"/>
        <w:rPr>
          <w:rFonts w:ascii="Verdana" w:eastAsia="Calibri" w:hAnsi="Verdana" w:cs="Times New Roman"/>
          <w:lang w:val="es-ES"/>
        </w:rPr>
      </w:pPr>
    </w:p>
    <w:p w14:paraId="59E64F3D" w14:textId="77777777" w:rsidR="00EA7EBA" w:rsidRPr="00EA7EBA" w:rsidRDefault="00EA7EBA" w:rsidP="00EA7EBA">
      <w:pPr>
        <w:numPr>
          <w:ilvl w:val="0"/>
          <w:numId w:val="19"/>
        </w:numPr>
        <w:spacing w:after="0" w:line="256" w:lineRule="auto"/>
        <w:contextualSpacing/>
        <w:rPr>
          <w:rFonts w:ascii="Verdana" w:eastAsia="Calibri" w:hAnsi="Verdana" w:cs="Times New Roman"/>
          <w:b/>
          <w:bCs/>
          <w:lang w:val="es-ES"/>
        </w:rPr>
      </w:pPr>
      <w:r w:rsidRPr="00EA7EBA">
        <w:rPr>
          <w:rFonts w:ascii="Verdana" w:eastAsia="Calibri" w:hAnsi="Verdana" w:cs="Times New Roman"/>
          <w:b/>
          <w:bCs/>
          <w:lang w:val="es-ES"/>
        </w:rPr>
        <w:t>Problema planteado:</w:t>
      </w:r>
    </w:p>
    <w:p w14:paraId="737AC42E" w14:textId="77777777" w:rsidR="00EA7EBA" w:rsidRPr="00EA7EBA" w:rsidRDefault="00EA7EBA" w:rsidP="00EA7EBA">
      <w:pPr>
        <w:spacing w:after="0" w:line="256" w:lineRule="auto"/>
        <w:rPr>
          <w:rFonts w:ascii="Verdana" w:eastAsia="Calibri" w:hAnsi="Verdana" w:cs="Times New Roman"/>
        </w:rPr>
      </w:pPr>
    </w:p>
    <w:p w14:paraId="47C4FD90" w14:textId="77777777" w:rsidR="00EA7EBA" w:rsidRPr="00EA7EBA" w:rsidRDefault="00EA7EBA" w:rsidP="00EA7EBA">
      <w:pPr>
        <w:spacing w:after="0" w:line="276" w:lineRule="auto"/>
        <w:jc w:val="both"/>
        <w:rPr>
          <w:rFonts w:ascii="Verdana" w:eastAsia="Calibri" w:hAnsi="Verdana" w:cs="Times New Roman"/>
          <w:bCs/>
          <w:lang w:bidi="es-ES"/>
        </w:rPr>
      </w:pPr>
      <w:r w:rsidRPr="00EA7EBA">
        <w:rPr>
          <w:rFonts w:ascii="Verdana" w:eastAsia="Calibri" w:hAnsi="Verdana" w:cs="Times New Roman"/>
        </w:rPr>
        <w:t xml:space="preserve">De acuerdo con el contenido de su solicitud, esta Agencia procede a resolver el siguiente problema jurídico: </w:t>
      </w:r>
      <w:r w:rsidRPr="00EA7EBA">
        <w:rPr>
          <w:rFonts w:ascii="Verdana" w:eastAsia="Calibri" w:hAnsi="Verdana" w:cs="Times New Roman"/>
          <w:bCs/>
          <w:lang w:bidi="es-ES"/>
        </w:rPr>
        <w:t>¿Una Entidad Pública puede renovar mediante acto administrativo el contrato de seguros de la entidad por un año más de vigencia o debe adelantar un proceso contractual nuevo para la adquisición de póliza de manejo global a favor de la entidad?</w:t>
      </w:r>
    </w:p>
    <w:p w14:paraId="6B406A08" w14:textId="77777777" w:rsidR="00EA7EBA" w:rsidRPr="00EA7EBA" w:rsidRDefault="00EA7EBA" w:rsidP="00EA7EBA">
      <w:pPr>
        <w:spacing w:after="0" w:line="256" w:lineRule="auto"/>
        <w:rPr>
          <w:rFonts w:ascii="Verdana" w:eastAsia="Calibri" w:hAnsi="Verdana" w:cs="Times New Roman"/>
        </w:rPr>
      </w:pPr>
    </w:p>
    <w:p w14:paraId="2130A440" w14:textId="77777777" w:rsidR="00EA7EBA" w:rsidRPr="00EA7EBA" w:rsidRDefault="00EA7EBA" w:rsidP="00EA7EBA">
      <w:pPr>
        <w:numPr>
          <w:ilvl w:val="0"/>
          <w:numId w:val="19"/>
        </w:numPr>
        <w:spacing w:after="0" w:line="256" w:lineRule="auto"/>
        <w:contextualSpacing/>
        <w:rPr>
          <w:rFonts w:ascii="Verdana" w:eastAsia="Calibri" w:hAnsi="Verdana" w:cs="Times New Roman"/>
          <w:b/>
          <w:bCs/>
          <w:lang w:val="es-ES"/>
        </w:rPr>
      </w:pPr>
      <w:r w:rsidRPr="00EA7EBA">
        <w:rPr>
          <w:rFonts w:ascii="Verdana" w:eastAsia="Calibri" w:hAnsi="Verdana" w:cs="Times New Roman"/>
          <w:b/>
          <w:bCs/>
          <w:lang w:val="es-ES"/>
        </w:rPr>
        <w:t>Respuesta:</w:t>
      </w:r>
    </w:p>
    <w:p w14:paraId="621A0217" w14:textId="77777777" w:rsidR="00EA7EBA" w:rsidRPr="00EA7EBA" w:rsidRDefault="00EA7EBA" w:rsidP="00EA7EBA">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7EBA" w:rsidRPr="00EA7EBA" w14:paraId="300ADCA2" w14:textId="77777777" w:rsidTr="00D40286">
        <w:trPr>
          <w:trHeight w:val="870"/>
          <w:jc w:val="center"/>
        </w:trPr>
        <w:tc>
          <w:tcPr>
            <w:tcW w:w="8647" w:type="dxa"/>
          </w:tcPr>
          <w:p w14:paraId="1ACF1A34" w14:textId="77777777" w:rsidR="00EA7EBA" w:rsidRPr="00EA7EBA" w:rsidRDefault="00EA7EBA" w:rsidP="00EA7EBA">
            <w:pPr>
              <w:spacing w:after="120" w:line="276" w:lineRule="auto"/>
              <w:jc w:val="both"/>
              <w:rPr>
                <w:rFonts w:ascii="Verdana" w:eastAsia="Calibri" w:hAnsi="Verdana" w:cs="Arial"/>
                <w:color w:val="000000"/>
                <w:lang w:eastAsia="es-ES_tradnl"/>
              </w:rPr>
            </w:pPr>
            <w:r w:rsidRPr="00EA7EBA">
              <w:rPr>
                <w:rFonts w:ascii="Verdana" w:eastAsia="Calibri" w:hAnsi="Verdana" w:cs="Arial"/>
                <w:color w:val="000000"/>
                <w:lang w:eastAsia="es-ES_tradnl"/>
              </w:rPr>
              <w:t>Para el caso particular de su consulta, se señala que no es procedente mediante acto administrativo prorrogar el contrato de seguros que tiene la entidad estatal para cubrir los diferentes riesgos, pues debe tenerse presente</w:t>
            </w:r>
            <w:r w:rsidRPr="00EA7EBA">
              <w:rPr>
                <w:rFonts w:ascii="Verdana" w:eastAsia="Calibri" w:hAnsi="Verdana"/>
                <w:color w:val="000000" w:themeColor="text1"/>
              </w:rPr>
              <w:t xml:space="preserve"> que todo contrato estatal debe cumplir con una serie de criterios en el momento de su modificación, que a continuación se señalan:  </w:t>
            </w:r>
          </w:p>
          <w:p w14:paraId="162CFB4F" w14:textId="77777777" w:rsidR="00EA7EBA" w:rsidRPr="00EA7EBA" w:rsidRDefault="00EA7EBA" w:rsidP="00EA7EBA">
            <w:pPr>
              <w:spacing w:before="120" w:after="160" w:line="276" w:lineRule="auto"/>
              <w:ind w:firstLine="708"/>
              <w:jc w:val="both"/>
              <w:rPr>
                <w:rFonts w:ascii="Verdana" w:hAnsi="Verdana" w:cs="Arial"/>
                <w:color w:val="000000"/>
                <w:szCs w:val="24"/>
                <w:lang w:eastAsia="es-ES_tradnl"/>
              </w:rPr>
            </w:pPr>
            <w:r w:rsidRPr="00EA7EBA">
              <w:rPr>
                <w:rFonts w:ascii="Verdana" w:eastAsia="Calibri" w:hAnsi="Verdana"/>
                <w:color w:val="000000" w:themeColor="text1"/>
              </w:rPr>
              <w:t>En primer lugar, el</w:t>
            </w:r>
            <w:r w:rsidRPr="00EA7EBA">
              <w:rPr>
                <w:rFonts w:ascii="Verdana" w:hAnsi="Verdana" w:cs="Arial"/>
                <w:color w:val="000000"/>
                <w:szCs w:val="24"/>
                <w:lang w:eastAsia="es-ES_tradnl"/>
              </w:rPr>
              <w:t xml:space="preserve"> </w:t>
            </w:r>
            <w:r w:rsidRPr="00EA7EBA">
              <w:rPr>
                <w:rFonts w:ascii="Verdana" w:hAnsi="Verdana" w:cs="Arial"/>
                <w:i/>
                <w:color w:val="000000"/>
                <w:szCs w:val="24"/>
                <w:lang w:eastAsia="es-ES_tradnl"/>
              </w:rPr>
              <w:t>criterio cuantitativo</w:t>
            </w:r>
            <w:r w:rsidRPr="00EA7EBA">
              <w:rPr>
                <w:rFonts w:ascii="Verdana" w:hAnsi="Verdana" w:cs="Arial"/>
                <w:color w:val="000000"/>
                <w:szCs w:val="24"/>
                <w:lang w:eastAsia="es-ES_tradnl"/>
              </w:rPr>
              <w:t xml:space="preserve"> que implica que cualquier incremento del valor inicial del contrato, independiente del nombre que se le dé al acuerdo -otrosí, adición, prórroga, modificación, entre otros-, aplica el límite previsto en el parágrafo del artículo 40 de la Ley 80 de 1993: “Los contratos no podrán adicionarse en más del cincuenta por ciento (50%) de su valor inicial, expresado éste en salarios mínimos legales mensuales”. </w:t>
            </w:r>
          </w:p>
          <w:p w14:paraId="56B1C4F0" w14:textId="77777777" w:rsidR="00EA7EBA" w:rsidRPr="00EA7EBA" w:rsidRDefault="00EA7EBA" w:rsidP="00EA7EBA">
            <w:pPr>
              <w:spacing w:before="120" w:after="160" w:line="276" w:lineRule="auto"/>
              <w:ind w:firstLine="708"/>
              <w:jc w:val="both"/>
              <w:rPr>
                <w:rFonts w:ascii="Verdana" w:eastAsia="Arial" w:hAnsi="Verdana" w:cs="Arial"/>
                <w:color w:val="000000"/>
                <w:lang w:val="es-ES" w:eastAsia="es-ES" w:bidi="es-ES"/>
              </w:rPr>
            </w:pPr>
            <w:r w:rsidRPr="00EA7EBA">
              <w:rPr>
                <w:rFonts w:ascii="Verdana"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w:t>
            </w:r>
            <w:r w:rsidRPr="00EA7EBA">
              <w:rPr>
                <w:rFonts w:ascii="Verdana" w:hAnsi="Verdana" w:cs="Arial"/>
                <w:color w:val="000000"/>
                <w:szCs w:val="24"/>
                <w:lang w:eastAsia="es-ES_tradnl"/>
              </w:rPr>
              <w:lastRenderedPageBreak/>
              <w:t xml:space="preserve">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7CDD10B6" w14:textId="77777777" w:rsidR="00EA7EBA" w:rsidRPr="00EA7EBA" w:rsidRDefault="00EA7EBA" w:rsidP="00EA7EBA">
            <w:pPr>
              <w:widowControl w:val="0"/>
              <w:autoSpaceDE w:val="0"/>
              <w:autoSpaceDN w:val="0"/>
              <w:spacing w:after="120" w:line="276" w:lineRule="auto"/>
              <w:ind w:firstLine="708"/>
              <w:jc w:val="both"/>
              <w:rPr>
                <w:rFonts w:ascii="Verdana" w:hAnsi="Verdana" w:cs="Arial"/>
              </w:rPr>
            </w:pPr>
            <w:r w:rsidRPr="00EA7EBA">
              <w:rPr>
                <w:rFonts w:ascii="Verdana" w:hAnsi="Verdana" w:cs="Arial"/>
                <w:lang w:val="es-ES"/>
              </w:rPr>
              <w:t>En segundo lugar, los</w:t>
            </w:r>
            <w:r w:rsidRPr="00EA7EBA">
              <w:rPr>
                <w:rFonts w:ascii="Verdana" w:hAnsi="Verdana"/>
              </w:rPr>
              <w:t xml:space="preserve"> límites de </w:t>
            </w:r>
            <w:r w:rsidRPr="00EA7EBA">
              <w:rPr>
                <w:rFonts w:ascii="Verdana" w:hAnsi="Verdana"/>
                <w:i/>
              </w:rPr>
              <w:t>orden temporal</w:t>
            </w:r>
            <w:r w:rsidRPr="00EA7EBA">
              <w:rPr>
                <w:rFonts w:ascii="Verdana" w:hAnsi="Verdana"/>
              </w:rPr>
              <w:t xml:space="preserve"> están comprendidos por: </w:t>
            </w:r>
            <w:r w:rsidRPr="00EA7EBA">
              <w:rPr>
                <w:rFonts w:ascii="Verdana" w:eastAsia="Arial" w:hAnsi="Verdana" w:cs="Arial"/>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EA7EBA">
              <w:rPr>
                <w:rFonts w:ascii="Verdana" w:hAnsi="Verdana" w:cs="Arial"/>
              </w:rPr>
              <w:t xml:space="preserve"> Es decir, no es posible establecer prórrogas automáticas en los contratos estatales de seguro. </w:t>
            </w:r>
          </w:p>
          <w:p w14:paraId="47D71B0A"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color w:val="000000"/>
                <w:lang w:eastAsia="es-ES" w:bidi="es-ES"/>
              </w:rPr>
            </w:pPr>
            <w:r w:rsidRPr="00EA7EBA">
              <w:rPr>
                <w:rFonts w:ascii="Verdana" w:hAnsi="Verdana" w:cs="Arial"/>
              </w:rPr>
              <w:t xml:space="preserve">En tercer lugar, los </w:t>
            </w:r>
            <w:r w:rsidRPr="00EA7EBA">
              <w:rPr>
                <w:rFonts w:ascii="Verdana" w:hAnsi="Verdana" w:cs="Arial"/>
                <w:i/>
              </w:rPr>
              <w:t>límites de orden formal</w:t>
            </w:r>
            <w:r w:rsidRPr="00EA7EBA">
              <w:rPr>
                <w:rFonts w:ascii="Verdana" w:hAnsi="Verdana" w:cs="Arial"/>
              </w:rPr>
              <w:t xml:space="preserve">, debe señalarse que, por un lado, es necesario que, la </w:t>
            </w:r>
            <w:r w:rsidRPr="00EA7EBA">
              <w:rPr>
                <w:rFonts w:ascii="Verdana" w:eastAsia="Arial" w:hAnsi="Verdana" w:cs="Arial"/>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Es decir, </w:t>
            </w:r>
            <w:r w:rsidRPr="00EA7EBA">
              <w:rPr>
                <w:rFonts w:ascii="Verdana" w:eastAsia="Arial" w:hAnsi="Verdana" w:cs="Arial"/>
                <w:color w:val="000000"/>
                <w:lang w:eastAsia="es-ES" w:bidi="es-ES"/>
              </w:rPr>
              <w:t xml:space="preserve">los contratos estatales, por regla general, son contratos solemnes, que de conformidad al artículo 1500 del Código Civil implica que están sujetos a la observancia de ciertas formalidades especiales, de manera que sin ellas no producen efecto. </w:t>
            </w:r>
          </w:p>
          <w:p w14:paraId="22353177"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lang w:val="es-MX" w:eastAsia="es-ES" w:bidi="es-ES"/>
              </w:rPr>
            </w:pPr>
            <w:r w:rsidRPr="00EA7EBA">
              <w:rPr>
                <w:rFonts w:ascii="Verdana" w:eastAsia="Arial" w:hAnsi="Verdana" w:cs="Arial"/>
                <w:color w:val="000000"/>
                <w:lang w:eastAsia="es-ES" w:bidi="es-ES"/>
              </w:rPr>
              <w:t>Por lo anterior, la modificación del contrato debe revestir de dicha solemnidad, esto es, debe suscribirse mediante un documento firmado por ambas partes, independiente de su denominación, por tanto, no es posible hacer una modificación mediante acto administrativo.</w:t>
            </w:r>
            <w:r w:rsidRPr="00EA7EBA">
              <w:rPr>
                <w:rFonts w:ascii="Verdana" w:eastAsia="Arial" w:hAnsi="Verdana" w:cs="Arial"/>
                <w:lang w:val="es-MX" w:eastAsia="es-ES" w:bidi="es-ES"/>
              </w:rPr>
              <w:t xml:space="preserve"> </w:t>
            </w:r>
          </w:p>
          <w:p w14:paraId="6DB76C1B"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lang w:val="es-MX" w:eastAsia="es-ES" w:bidi="es-ES"/>
              </w:rPr>
            </w:pPr>
            <w:r w:rsidRPr="00EA7EBA">
              <w:rPr>
                <w:rFonts w:ascii="Verdana" w:eastAsia="Arial" w:hAnsi="Verdana" w:cs="Arial"/>
                <w:lang w:val="es-MX" w:eastAsia="es-ES" w:bidi="es-ES"/>
              </w:rPr>
              <w:t xml:space="preserve">Así mismo, debe cumplir con la obligación de la existencia de las disponibilidades presupuestales para el cumplimiento de las obligaciones contractuales, así como la sujeción al principio de anualidad del gasto público, sin perjuicio de las excepciones a este. </w:t>
            </w:r>
          </w:p>
          <w:p w14:paraId="30BB4BC2"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color w:val="000000"/>
                <w:lang w:val="es-ES" w:eastAsia="es-ES" w:bidi="es-ES"/>
              </w:rPr>
            </w:pPr>
            <w:r w:rsidRPr="00EA7EBA">
              <w:rPr>
                <w:rFonts w:ascii="Verdana" w:hAnsi="Verdana" w:cs="Arial"/>
              </w:rPr>
              <w:t xml:space="preserve">En cuarto lugar, los </w:t>
            </w:r>
            <w:r w:rsidRPr="00EA7EBA">
              <w:rPr>
                <w:rFonts w:ascii="Verdana" w:hAnsi="Verdana" w:cs="Arial"/>
                <w:i/>
              </w:rPr>
              <w:t>límites materiales</w:t>
            </w:r>
            <w:r w:rsidRPr="00EA7EBA">
              <w:rPr>
                <w:rFonts w:ascii="Verdana" w:hAnsi="Verdana" w:cs="Arial"/>
              </w:rPr>
              <w:t xml:space="preserve"> que </w:t>
            </w:r>
            <w:r w:rsidRPr="00EA7EBA">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EA7EBA">
              <w:rPr>
                <w:rFonts w:ascii="Verdana" w:eastAsia="Arial" w:hAnsi="Verdana" w:cs="Arial"/>
                <w:i/>
                <w:lang w:val="es-MX" w:eastAsia="es-ES" w:bidi="es-ES"/>
              </w:rPr>
              <w:t xml:space="preserve">“habiendo figurado en el procedimiento inicial, hubiera permitido la participación de otros interesados aparte de los inicialmente admitidos, o seleccionar una oferta distinta de la inicialmente seleccionada”. </w:t>
            </w:r>
            <w:r w:rsidRPr="00EA7EBA">
              <w:rPr>
                <w:rFonts w:ascii="Verdana" w:eastAsia="Arial" w:hAnsi="Verdana" w:cs="Arial"/>
                <w:color w:val="000000"/>
                <w:lang w:val="es-ES" w:eastAsia="es-ES" w:bidi="es-ES"/>
              </w:rPr>
              <w:t xml:space="preserve">En esta línea, para establecer si un contrato determinado puede ser susceptible de modificación, se hace necesario que la Administración analice, en cada caso, la concurrencia de los </w:t>
            </w:r>
            <w:r w:rsidRPr="00EA7EBA">
              <w:rPr>
                <w:rFonts w:ascii="Verdana" w:eastAsia="Arial" w:hAnsi="Verdana" w:cs="Arial"/>
                <w:color w:val="000000"/>
                <w:lang w:val="es-ES" w:eastAsia="es-ES" w:bidi="es-ES"/>
              </w:rPr>
              <w:lastRenderedPageBreak/>
              <w:t xml:space="preserve">aspectos antes referidos. </w:t>
            </w:r>
          </w:p>
          <w:p w14:paraId="1C56265F" w14:textId="77777777" w:rsidR="00EA7EBA" w:rsidRPr="00EA7EBA" w:rsidRDefault="00EA7EBA" w:rsidP="00EA7EBA">
            <w:pPr>
              <w:widowControl w:val="0"/>
              <w:autoSpaceDE w:val="0"/>
              <w:autoSpaceDN w:val="0"/>
              <w:spacing w:after="120" w:line="276" w:lineRule="auto"/>
              <w:ind w:firstLine="708"/>
              <w:jc w:val="both"/>
              <w:rPr>
                <w:rFonts w:ascii="Verdana" w:hAnsi="Verdana" w:cs="Arial"/>
              </w:rPr>
            </w:pPr>
            <w:r w:rsidRPr="00EA7EBA">
              <w:rPr>
                <w:rFonts w:ascii="Verdana" w:eastAsia="Arial" w:hAnsi="Verdana" w:cs="Arial"/>
                <w:lang w:val="es-MX" w:eastAsia="es-ES" w:bidi="es-ES"/>
              </w:rPr>
              <w:t xml:space="preserve">Finalmente, se encuentran los </w:t>
            </w:r>
            <w:r w:rsidRPr="00EA7EBA">
              <w:rPr>
                <w:rFonts w:ascii="Verdana" w:eastAsia="Arial" w:hAnsi="Verdana" w:cs="Arial"/>
                <w:i/>
                <w:lang w:val="es-MX" w:eastAsia="es-ES" w:bidi="es-ES"/>
              </w:rPr>
              <w:t>límites axiológicos</w:t>
            </w:r>
            <w:r w:rsidRPr="00EA7EBA">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EA7EBA">
              <w:rPr>
                <w:rFonts w:ascii="Verdana" w:hAnsi="Verdana" w:cs="Arial"/>
                <w:lang w:eastAsia="es-ES_tradnl"/>
              </w:rPr>
              <w:t>Lo anterior, con la finalidad de realizar la escogencia diligente de la mejor oferta, para beneficiar los intereses y fines públicos inmersos en la contratación de las entidades estatales. A modo de ejemplo, la entidad</w:t>
            </w:r>
            <w:r w:rsidRPr="00EA7EBA">
              <w:rPr>
                <w:rFonts w:ascii="Verdana" w:hAnsi="Verdana" w:cs="Arial"/>
              </w:rPr>
              <w:t xml:space="preserve"> no puede dar lugar a una ampliación ilimitada del contrato de seguro, pues no se encuentran exentos de la aplicación de los principios de la contratación estatal, como la planeación.</w:t>
            </w:r>
          </w:p>
        </w:tc>
      </w:tr>
    </w:tbl>
    <w:p w14:paraId="2BBF0FB0" w14:textId="77777777" w:rsidR="00EA7EBA" w:rsidRPr="00EA7EBA" w:rsidRDefault="00EA7EBA" w:rsidP="00EA7EBA">
      <w:pPr>
        <w:spacing w:after="0" w:line="276" w:lineRule="auto"/>
        <w:jc w:val="both"/>
        <w:rPr>
          <w:rFonts w:ascii="Verdana" w:eastAsia="Calibri" w:hAnsi="Verdana" w:cs="Arial"/>
          <w:bCs/>
          <w:color w:val="000000" w:themeColor="text1"/>
        </w:rPr>
      </w:pPr>
    </w:p>
    <w:p w14:paraId="5BC9AECC" w14:textId="77777777" w:rsidR="00EA7EBA" w:rsidRPr="00EA7EBA" w:rsidRDefault="00EA7EBA" w:rsidP="00EA7EBA">
      <w:pPr>
        <w:numPr>
          <w:ilvl w:val="0"/>
          <w:numId w:val="19"/>
        </w:numPr>
        <w:spacing w:after="0" w:line="256" w:lineRule="auto"/>
        <w:rPr>
          <w:rFonts w:ascii="Verdana" w:eastAsia="Calibri" w:hAnsi="Verdana" w:cs="Times New Roman"/>
          <w:b/>
          <w:bCs/>
          <w:lang w:val="es-ES"/>
        </w:rPr>
      </w:pPr>
      <w:r w:rsidRPr="00EA7EBA">
        <w:rPr>
          <w:rFonts w:ascii="Verdana" w:eastAsia="Calibri" w:hAnsi="Verdana" w:cs="Times New Roman"/>
          <w:b/>
          <w:bCs/>
          <w:lang w:val="es-ES"/>
        </w:rPr>
        <w:t>Razones de la respuesta:</w:t>
      </w:r>
    </w:p>
    <w:p w14:paraId="6343BC79" w14:textId="77777777" w:rsidR="00EA7EBA" w:rsidRPr="00EA7EBA" w:rsidRDefault="00EA7EBA" w:rsidP="00EA7EBA">
      <w:pPr>
        <w:spacing w:after="0" w:line="256" w:lineRule="auto"/>
        <w:rPr>
          <w:rFonts w:ascii="Verdana" w:eastAsia="Calibri" w:hAnsi="Verdana" w:cs="Times New Roman"/>
          <w:b/>
          <w:bCs/>
          <w:lang w:val="es-ES"/>
        </w:rPr>
      </w:pPr>
    </w:p>
    <w:p w14:paraId="38A24B2B" w14:textId="77777777" w:rsidR="00EA7EBA" w:rsidRPr="00EA7EBA" w:rsidRDefault="00EA7EBA" w:rsidP="00EA7EBA">
      <w:pPr>
        <w:spacing w:after="0" w:line="276" w:lineRule="auto"/>
        <w:jc w:val="both"/>
        <w:rPr>
          <w:rFonts w:ascii="Verdana" w:eastAsia="Calibri" w:hAnsi="Verdana" w:cs="Arial"/>
          <w:lang w:val="es-ES"/>
        </w:rPr>
      </w:pPr>
      <w:r w:rsidRPr="00EA7EBA">
        <w:rPr>
          <w:rFonts w:ascii="Verdana" w:eastAsia="Calibri" w:hAnsi="Verdana" w:cs="Arial"/>
          <w:lang w:val="es-ES"/>
        </w:rPr>
        <w:t xml:space="preserve">Lo anterior se sustenta en las siguientes consideraciones: </w:t>
      </w:r>
    </w:p>
    <w:p w14:paraId="452A88F6" w14:textId="77777777" w:rsidR="00EA7EBA" w:rsidRPr="00EA7EBA" w:rsidRDefault="00EA7EBA" w:rsidP="00EA7EBA">
      <w:pPr>
        <w:spacing w:after="0" w:line="240" w:lineRule="auto"/>
        <w:jc w:val="both"/>
        <w:rPr>
          <w:rFonts w:ascii="Verdana" w:hAnsi="Verdana" w:cs="Arial"/>
          <w:bCs/>
          <w:lang w:val="es-ES" w:eastAsia="es-ES" w:bidi="es-ES"/>
        </w:rPr>
      </w:pPr>
    </w:p>
    <w:p w14:paraId="0BD52521" w14:textId="77777777" w:rsidR="00EA7EBA" w:rsidRPr="00EA7EBA" w:rsidRDefault="00EA7EBA" w:rsidP="00EA7EBA">
      <w:pPr>
        <w:spacing w:after="120" w:line="276" w:lineRule="auto"/>
        <w:jc w:val="both"/>
        <w:rPr>
          <w:rFonts w:ascii="Verdana" w:hAnsi="Verdana" w:cs="Arial"/>
        </w:rPr>
      </w:pPr>
      <w:r w:rsidRPr="00EA7EBA">
        <w:rPr>
          <w:rFonts w:ascii="Verdana" w:hAnsi="Verdana" w:cs="Arial"/>
          <w:bCs/>
          <w:lang w:val="es-ES" w:eastAsia="es-ES" w:bidi="es-ES"/>
        </w:rPr>
        <w:t xml:space="preserve">i. </w:t>
      </w:r>
      <w:r w:rsidRPr="00EA7EBA">
        <w:rPr>
          <w:rFonts w:ascii="Verdana" w:eastAsia="Calibri" w:hAnsi="Verdana" w:cs="Arial"/>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EA7EBA">
        <w:rPr>
          <w:rFonts w:ascii="Verdana" w:hAnsi="Verdana" w:cs="Arial"/>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0AFE1BB6" w14:textId="77777777" w:rsidR="00EA7EBA" w:rsidRPr="00EA7EBA" w:rsidRDefault="00EA7EBA" w:rsidP="00EA7EBA">
      <w:pPr>
        <w:spacing w:after="120" w:line="276" w:lineRule="auto"/>
        <w:ind w:firstLine="709"/>
        <w:jc w:val="both"/>
        <w:rPr>
          <w:rFonts w:ascii="Verdana" w:hAnsi="Verdana" w:cs="Arial"/>
        </w:rPr>
      </w:pPr>
      <w:r w:rsidRPr="00EA7EBA">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179DBD9" w14:textId="77777777" w:rsidR="00EA7EBA" w:rsidRPr="00EA7EBA" w:rsidRDefault="00EA7EBA" w:rsidP="00EA7EBA">
      <w:pPr>
        <w:spacing w:after="0" w:line="276" w:lineRule="auto"/>
        <w:ind w:firstLine="708"/>
        <w:jc w:val="both"/>
        <w:rPr>
          <w:rFonts w:ascii="Verdana" w:hAnsi="Verdana" w:cs="Arial"/>
        </w:rPr>
      </w:pPr>
      <w:r w:rsidRPr="00EA7EBA">
        <w:rPr>
          <w:rFonts w:ascii="Verdana" w:hAnsi="Verdana" w:cs="Arial"/>
        </w:rPr>
        <w:t xml:space="preserve">De esta manera, los contratos de las entidades sometidas al EGCAP se rigen generalmente por el derecho privado y, excepcionalmente, por el derecho </w:t>
      </w:r>
      <w:r w:rsidRPr="00EA7EBA">
        <w:rPr>
          <w:rFonts w:ascii="Verdana" w:hAnsi="Verdana" w:cs="Arial"/>
        </w:rPr>
        <w:lastRenderedPageBreak/>
        <w:t>público, pues las normas civiles y comerciales son el derecho común de los contratos estatales</w:t>
      </w:r>
      <w:r w:rsidRPr="00EA7EBA">
        <w:rPr>
          <w:rFonts w:ascii="Verdana" w:hAnsi="Verdana" w:cs="Arial"/>
          <w:vertAlign w:val="superscript"/>
        </w:rPr>
        <w:footnoteReference w:id="2"/>
      </w:r>
      <w:r w:rsidRPr="00EA7EBA">
        <w:rPr>
          <w:rFonts w:ascii="Verdana" w:hAnsi="Verdana" w:cs="Arial"/>
        </w:rPr>
        <w:t>. Para la doctrina, la mixtura del régimen contractual:</w:t>
      </w:r>
    </w:p>
    <w:p w14:paraId="4AF3FFA7" w14:textId="77777777" w:rsidR="00EA7EBA" w:rsidRPr="00EA7EBA" w:rsidRDefault="00EA7EBA" w:rsidP="00EA7EBA">
      <w:pPr>
        <w:spacing w:after="0" w:line="276" w:lineRule="auto"/>
        <w:ind w:firstLine="709"/>
        <w:jc w:val="both"/>
        <w:rPr>
          <w:rFonts w:ascii="Verdana" w:hAnsi="Verdana" w:cs="Arial"/>
        </w:rPr>
      </w:pPr>
    </w:p>
    <w:p w14:paraId="0DA3921F" w14:textId="77777777" w:rsidR="00EA7EBA" w:rsidRPr="00EA7EBA" w:rsidRDefault="00EA7EBA" w:rsidP="00EA7EBA">
      <w:pPr>
        <w:spacing w:after="0" w:line="240" w:lineRule="auto"/>
        <w:ind w:left="709" w:right="709"/>
        <w:jc w:val="both"/>
        <w:rPr>
          <w:rFonts w:ascii="Verdana" w:hAnsi="Verdana" w:cs="Arial"/>
          <w:sz w:val="20"/>
          <w:szCs w:val="20"/>
        </w:rPr>
      </w:pPr>
      <w:r w:rsidRPr="00EA7EBA">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7296AAE" w14:textId="77777777" w:rsidR="00EA7EBA" w:rsidRPr="00EA7EBA" w:rsidRDefault="00EA7EBA" w:rsidP="00EA7EBA">
      <w:pPr>
        <w:spacing w:after="0" w:line="240" w:lineRule="auto"/>
        <w:ind w:right="709"/>
        <w:jc w:val="both"/>
        <w:rPr>
          <w:rFonts w:ascii="Verdana" w:hAnsi="Verdana" w:cs="Arial"/>
          <w:sz w:val="20"/>
          <w:szCs w:val="20"/>
        </w:rPr>
      </w:pPr>
      <w:r w:rsidRPr="00EA7EBA">
        <w:rPr>
          <w:rFonts w:ascii="Verdana" w:hAnsi="Verdana" w:cs="Arial"/>
          <w:sz w:val="20"/>
          <w:szCs w:val="20"/>
        </w:rPr>
        <w:tab/>
      </w:r>
    </w:p>
    <w:p w14:paraId="6AEE709F" w14:textId="77777777" w:rsidR="00EA7EBA" w:rsidRPr="00EA7EBA" w:rsidRDefault="00EA7EBA" w:rsidP="00EA7EBA">
      <w:pPr>
        <w:spacing w:after="0" w:line="240" w:lineRule="auto"/>
        <w:ind w:left="709" w:right="709"/>
        <w:jc w:val="both"/>
        <w:rPr>
          <w:rFonts w:ascii="Verdana" w:hAnsi="Verdana" w:cs="Arial"/>
          <w:sz w:val="20"/>
          <w:szCs w:val="20"/>
        </w:rPr>
      </w:pPr>
      <w:r w:rsidRPr="00EA7EBA">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EA7EBA">
        <w:rPr>
          <w:rFonts w:ascii="Verdana" w:hAnsi="Verdana" w:cs="Arial"/>
          <w:sz w:val="20"/>
          <w:szCs w:val="20"/>
          <w:vertAlign w:val="superscript"/>
        </w:rPr>
        <w:footnoteReference w:id="3"/>
      </w:r>
      <w:r w:rsidRPr="00EA7EBA">
        <w:rPr>
          <w:rFonts w:ascii="Verdana" w:hAnsi="Verdana" w:cs="Arial"/>
          <w:sz w:val="20"/>
          <w:szCs w:val="20"/>
        </w:rPr>
        <w:t xml:space="preserve">. </w:t>
      </w:r>
    </w:p>
    <w:p w14:paraId="586374AD" w14:textId="77777777" w:rsidR="00EA7EBA" w:rsidRPr="00EA7EBA" w:rsidRDefault="00EA7EBA" w:rsidP="00EA7EBA">
      <w:pPr>
        <w:spacing w:after="0" w:line="276" w:lineRule="auto"/>
        <w:ind w:left="709" w:right="709"/>
        <w:jc w:val="both"/>
        <w:rPr>
          <w:rFonts w:ascii="Verdana" w:hAnsi="Verdana" w:cs="Arial"/>
        </w:rPr>
      </w:pPr>
      <w:r w:rsidRPr="00EA7EBA">
        <w:rPr>
          <w:rFonts w:ascii="Verdana" w:hAnsi="Verdana" w:cs="Arial"/>
        </w:rPr>
        <w:t xml:space="preserve"> </w:t>
      </w:r>
    </w:p>
    <w:p w14:paraId="7A8006DB" w14:textId="77777777" w:rsidR="00EA7EBA" w:rsidRPr="00EA7EBA" w:rsidRDefault="00EA7EBA" w:rsidP="00EA7EBA">
      <w:pPr>
        <w:spacing w:after="0" w:line="276" w:lineRule="auto"/>
        <w:jc w:val="both"/>
        <w:rPr>
          <w:rFonts w:ascii="Verdana" w:hAnsi="Verdana" w:cs="Arial"/>
        </w:rPr>
      </w:pPr>
      <w:r w:rsidRPr="00EA7EBA">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w:t>
      </w:r>
    </w:p>
    <w:p w14:paraId="1C9402FC" w14:textId="77777777" w:rsidR="00EA7EBA" w:rsidRPr="00EA7EBA" w:rsidRDefault="00EA7EBA" w:rsidP="00EA7EBA">
      <w:pPr>
        <w:tabs>
          <w:tab w:val="left" w:pos="426"/>
        </w:tabs>
        <w:spacing w:after="120" w:line="276" w:lineRule="auto"/>
        <w:jc w:val="both"/>
        <w:rPr>
          <w:rFonts w:ascii="Verdana" w:hAnsi="Verdana" w:cs="Arial"/>
          <w:bCs/>
          <w:lang w:eastAsia="es-ES" w:bidi="es-ES"/>
        </w:rPr>
      </w:pPr>
    </w:p>
    <w:p w14:paraId="75434819" w14:textId="77777777" w:rsidR="00EA7EBA" w:rsidRPr="00EA7EBA" w:rsidRDefault="00EA7EBA" w:rsidP="00EA7EBA">
      <w:pPr>
        <w:tabs>
          <w:tab w:val="left" w:pos="426"/>
        </w:tabs>
        <w:spacing w:after="120" w:line="276" w:lineRule="auto"/>
        <w:jc w:val="both"/>
        <w:rPr>
          <w:rFonts w:ascii="Verdana" w:eastAsia="Arial" w:hAnsi="Verdana" w:cs="Arial"/>
          <w:color w:val="000000" w:themeColor="text1"/>
          <w:lang w:val="es-ES" w:eastAsia="es-ES"/>
        </w:rPr>
      </w:pPr>
      <w:r w:rsidRPr="00EA7EBA">
        <w:rPr>
          <w:rFonts w:ascii="Verdana" w:hAnsi="Verdana" w:cs="Arial"/>
          <w:lang w:val="es-ES"/>
        </w:rPr>
        <w:t>ii. 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En efecto</w:t>
      </w:r>
      <w:r w:rsidRPr="00EA7EBA">
        <w:rPr>
          <w:rFonts w:ascii="Verdana" w:eastAsia="Arial" w:hAnsi="Verdana" w:cs="Arial"/>
          <w:color w:val="000000" w:themeColor="text1"/>
          <w:lang w:val="es-ES" w:eastAsia="es-ES"/>
        </w:rPr>
        <w:t xml:space="preserve">,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acuerdo de </w:t>
      </w:r>
      <w:r w:rsidRPr="00EA7EBA">
        <w:rPr>
          <w:rFonts w:ascii="Verdana" w:eastAsia="Arial" w:hAnsi="Verdana" w:cs="Arial"/>
          <w:color w:val="000000" w:themeColor="text1"/>
          <w:lang w:val="es-ES" w:eastAsia="es-ES"/>
        </w:rPr>
        <w:lastRenderedPageBreak/>
        <w:t>dos o más partes para constituir, regular o extinguir entre ellas una relación jurídica patrimonial”.</w:t>
      </w:r>
    </w:p>
    <w:p w14:paraId="3131DD05" w14:textId="0FD35DDD" w:rsidR="00EA7EBA" w:rsidRPr="00EA7EBA" w:rsidRDefault="00EA7EBA" w:rsidP="00EA7EBA">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EA7EBA">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EA7EBA">
        <w:rPr>
          <w:rFonts w:ascii="Verdana" w:eastAsia="Arial" w:hAnsi="Verdana" w:cs="Arial"/>
          <w:i/>
          <w:iCs/>
          <w:color w:val="000000" w:themeColor="text1"/>
          <w:lang w:val="es-ES_tradnl" w:eastAsia="es-ES_tradnl"/>
        </w:rPr>
        <w:t>ibidem</w:t>
      </w:r>
      <w:r w:rsidRPr="00EA7EBA">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w:t>
      </w:r>
      <w:r w:rsidRPr="00EA7EBA">
        <w:rPr>
          <w:rFonts w:ascii="Verdana" w:eastAsia="Arial" w:hAnsi="Verdana" w:cs="Arial"/>
          <w:color w:val="000000" w:themeColor="text1"/>
          <w:vertAlign w:val="superscript"/>
          <w:lang w:val="es-ES_tradnl" w:eastAsia="es-ES_tradnl"/>
        </w:rPr>
        <w:footnoteReference w:id="4"/>
      </w:r>
      <w:r w:rsidRPr="00EA7EBA">
        <w:rPr>
          <w:rFonts w:ascii="Verdana" w:eastAsia="Arial" w:hAnsi="Verdana" w:cs="Arial"/>
          <w:color w:val="000000" w:themeColor="text1"/>
          <w:lang w:val="es-ES_tradnl" w:eastAsia="es-ES_tradnl"/>
        </w:rPr>
        <w:t xml:space="preserve"> sea una de las partes, sin importar el extremo de la relación jurídico negocial que</w:t>
      </w:r>
      <w:r w:rsidRPr="00EA7EBA">
        <w:rPr>
          <w:rFonts w:ascii="Verdana" w:eastAsia="Arial" w:hAnsi="Verdana" w:cs="Arial"/>
          <w:color w:val="000000" w:themeColor="text1"/>
          <w:spacing w:val="-14"/>
          <w:lang w:val="es-ES_tradnl" w:eastAsia="es-ES_tradnl"/>
        </w:rPr>
        <w:t xml:space="preserve"> </w:t>
      </w:r>
      <w:r w:rsidRPr="00EA7EBA">
        <w:rPr>
          <w:rFonts w:ascii="Verdana" w:eastAsia="Arial" w:hAnsi="Verdana" w:cs="Arial"/>
          <w:color w:val="000000" w:themeColor="text1"/>
          <w:lang w:val="es-ES_tradnl" w:eastAsia="es-ES_tradnl"/>
        </w:rPr>
        <w:t xml:space="preserve">asuma. </w:t>
      </w:r>
    </w:p>
    <w:p w14:paraId="60F8DF0F" w14:textId="77777777" w:rsidR="00EA7EBA" w:rsidRPr="00EA7EBA" w:rsidRDefault="00EA7EBA" w:rsidP="00EA7EBA">
      <w:pPr>
        <w:spacing w:after="120" w:line="276" w:lineRule="auto"/>
        <w:ind w:firstLine="708"/>
        <w:jc w:val="both"/>
        <w:rPr>
          <w:rFonts w:ascii="Verdana" w:eastAsia="Calibri" w:hAnsi="Verdana"/>
          <w:color w:val="000000" w:themeColor="text1"/>
          <w:lang w:val="es-ES"/>
        </w:rPr>
      </w:pPr>
      <w:r w:rsidRPr="00EA7EBA">
        <w:rPr>
          <w:rFonts w:ascii="Verdana" w:eastAsia="Calibri" w:hAnsi="Verdana"/>
          <w:color w:val="000000" w:themeColor="text1"/>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46921EE9" w14:textId="570A6ADD" w:rsidR="00EA7EBA" w:rsidRPr="00EA7EBA" w:rsidRDefault="00EA7EBA" w:rsidP="00EA7EBA">
      <w:pPr>
        <w:spacing w:after="120" w:line="276" w:lineRule="auto"/>
        <w:ind w:firstLine="709"/>
        <w:jc w:val="both"/>
        <w:rPr>
          <w:rFonts w:ascii="Verdana" w:eastAsia="Calibri" w:hAnsi="Verdana"/>
          <w:color w:val="000000" w:themeColor="text1"/>
        </w:rPr>
      </w:pPr>
      <w:r w:rsidRPr="00EA7EBA">
        <w:rPr>
          <w:rFonts w:ascii="Verdana" w:eastAsia="Calibri" w:hAnsi="Verdana"/>
          <w:color w:val="000000" w:themeColor="text1"/>
        </w:rPr>
        <w:t xml:space="preserve">Asimismo, para efectos de individualizar sus requisitos esenciales, el artículo 1501 del Código Civil dispone que corresponden a “[…] aquellas cosas sin las cuales, o no produce efecto alguno, o degeneran en otro contrato </w:t>
      </w:r>
      <w:r w:rsidRPr="00EA7EBA">
        <w:rPr>
          <w:rFonts w:ascii="Verdana" w:eastAsia="Calibri" w:hAnsi="Verdana"/>
          <w:color w:val="000000" w:themeColor="text1"/>
        </w:rPr>
        <w:lastRenderedPageBreak/>
        <w:t>diferente […]”.</w:t>
      </w:r>
      <w:r w:rsidR="00D71688">
        <w:rPr>
          <w:rFonts w:ascii="Verdana" w:eastAsia="Calibri" w:hAnsi="Verdana"/>
          <w:color w:val="000000" w:themeColor="text1"/>
        </w:rPr>
        <w:t xml:space="preserve"> </w:t>
      </w:r>
      <w:r w:rsidRPr="00EA7EBA">
        <w:rPr>
          <w:rFonts w:ascii="Verdana" w:eastAsia="Calibri" w:hAnsi="Verdana"/>
          <w:color w:val="000000" w:themeColor="text1"/>
        </w:rPr>
        <w:t>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EA7EBA">
        <w:rPr>
          <w:rFonts w:ascii="Verdana" w:eastAsia="Calibri" w:hAnsi="Verdana"/>
          <w:color w:val="000000" w:themeColor="text1"/>
          <w:vertAlign w:val="superscript"/>
        </w:rPr>
        <w:footnoteReference w:id="5"/>
      </w:r>
      <w:r w:rsidRPr="00EA7EBA">
        <w:rPr>
          <w:rFonts w:ascii="Verdana" w:eastAsia="Calibri" w:hAnsi="Verdana"/>
          <w:color w:val="000000" w:themeColor="text1"/>
        </w:rPr>
        <w:t xml:space="preserve">. </w:t>
      </w:r>
    </w:p>
    <w:p w14:paraId="6EB8B007" w14:textId="77777777" w:rsidR="00EA7EBA" w:rsidRPr="00EA7EBA" w:rsidRDefault="00EA7EBA" w:rsidP="00EA7EBA">
      <w:pPr>
        <w:spacing w:after="120" w:line="276" w:lineRule="auto"/>
        <w:ind w:firstLine="709"/>
        <w:jc w:val="both"/>
        <w:rPr>
          <w:rFonts w:ascii="Verdana" w:eastAsia="Calibri" w:hAnsi="Verdana"/>
          <w:color w:val="000000" w:themeColor="text1"/>
          <w:lang w:val="es-ES"/>
        </w:rPr>
      </w:pPr>
      <w:r w:rsidRPr="00EA7EBA">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00EA7EBA">
        <w:rPr>
          <w:rFonts w:ascii="Verdana" w:eastAsia="Calibri" w:hAnsi="Verdana"/>
          <w:i/>
          <w:color w:val="000000" w:themeColor="text1"/>
          <w:lang w:val="es-ES"/>
        </w:rPr>
        <w:t>ibidem</w:t>
      </w:r>
      <w:r w:rsidRPr="00EA7EBA">
        <w:rPr>
          <w:rFonts w:ascii="Verdana" w:eastAsia="Calibri" w:hAnsi="Verdana"/>
          <w:color w:val="000000" w:themeColor="text1"/>
          <w:lang w:val="es-ES"/>
        </w:rPr>
        <w:t xml:space="preserve">,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E45DF26" w14:textId="77777777" w:rsidR="00EA7EBA" w:rsidRPr="00EA7EBA" w:rsidRDefault="00EA7EBA" w:rsidP="00EA7EBA">
      <w:pPr>
        <w:spacing w:after="120" w:line="276" w:lineRule="auto"/>
        <w:ind w:firstLine="708"/>
        <w:jc w:val="both"/>
        <w:rPr>
          <w:rFonts w:ascii="Verdana" w:eastAsia="Calibri" w:hAnsi="Verdana"/>
          <w:color w:val="000000" w:themeColor="text1"/>
          <w:lang w:val="es-ES"/>
        </w:rPr>
      </w:pPr>
      <w:r w:rsidRPr="00EA7EBA">
        <w:rPr>
          <w:rFonts w:ascii="Verdana" w:eastAsia="Times New Roman" w:hAnsi="Verdana" w:cs="Arial"/>
          <w:color w:val="000000" w:themeColor="text1"/>
          <w:lang w:eastAsia="es-ES_tradnl"/>
        </w:rPr>
        <w:t xml:space="preserve">Ahora bien, teniendo en cuenta el objeto de su consulta, es preciso mencionar que las </w:t>
      </w:r>
      <w:r w:rsidRPr="00EA7EBA">
        <w:rPr>
          <w:rFonts w:ascii="Verdana" w:eastAsia="Calibri" w:hAnsi="Verdana" w:cs="Arial"/>
          <w:lang w:eastAsia="es-ES_tradnl"/>
        </w:rPr>
        <w:t xml:space="preserve">entidades estatales regidas por el EGCAP están habilitadas para celebrar los contratos que suelen celebrar los particulares entre sí – como el de seguro al que se refiere en su pregunta – en ejercicio de la autonomía de la voluntad privada. En ese sentido, puede ocurrir que dentro de la gestión ordinaria de sus competencias y funciones las entidades tengan necesidades que deban ser satisfechas a través de contratos como el seguro, en los que además de las disposiciones del EGCAP deberán aplicarse en su mayoría normas de derecho privado, lo que de ninguna manera desvirtúa la calidad de estatal de dichos contratos. </w:t>
      </w:r>
    </w:p>
    <w:p w14:paraId="198E9025" w14:textId="77777777" w:rsidR="00EA7EBA" w:rsidRPr="00EA7EBA" w:rsidRDefault="00EA7EBA" w:rsidP="00EA7EBA">
      <w:pPr>
        <w:spacing w:after="120" w:line="276" w:lineRule="auto"/>
        <w:ind w:firstLine="708"/>
        <w:jc w:val="both"/>
        <w:rPr>
          <w:rFonts w:ascii="Verdana" w:eastAsia="Calibri" w:hAnsi="Verdana"/>
          <w:color w:val="000000" w:themeColor="text1"/>
        </w:rPr>
      </w:pPr>
      <w:r w:rsidRPr="00EA7EBA">
        <w:rPr>
          <w:rFonts w:ascii="Verdana" w:eastAsia="Calibri" w:hAnsi="Verdana"/>
          <w:color w:val="000000" w:themeColor="text1"/>
          <w:lang w:val="es-ES"/>
        </w:rPr>
        <w:t>Teniendo en cuenta la relación entre el derecho público y el derecho privado en la contratación estatal, es necesario entender el contrato de seguro que está definido en el artículo 1036 del Código de Comercio: “</w:t>
      </w:r>
      <w:r w:rsidRPr="00EA7EBA">
        <w:rPr>
          <w:rFonts w:ascii="Verdana" w:eastAsia="Calibri" w:hAnsi="Verdana"/>
          <w:color w:val="000000" w:themeColor="text1"/>
        </w:rPr>
        <w:t xml:space="preserve">El seguro es un contrato consensual, bilateral, oneroso, aleatorio y de ejecución sucesiva”, cuyas partes son: i) el asegurador, esto es, la persona jurídica que asume los riesgos y que está autorizada para ello: ii) el tomador, esto es, la persona que obrando </w:t>
      </w:r>
      <w:r w:rsidRPr="00EA7EBA">
        <w:rPr>
          <w:rFonts w:ascii="Verdana" w:eastAsia="Calibri" w:hAnsi="Verdana"/>
          <w:color w:val="000000" w:themeColor="text1"/>
        </w:rPr>
        <w:lastRenderedPageBreak/>
        <w:t>por cuenta propia o ajena traslada los riesgos, de conformidad con el artículo 1037 del Código de Comercio</w:t>
      </w:r>
      <w:r w:rsidRPr="00EA7EBA">
        <w:rPr>
          <w:rFonts w:ascii="Verdana" w:eastAsia="Calibri" w:hAnsi="Verdana"/>
          <w:color w:val="000000" w:themeColor="text1"/>
          <w:vertAlign w:val="superscript"/>
        </w:rPr>
        <w:footnoteReference w:id="6"/>
      </w:r>
      <w:r w:rsidRPr="00EA7EBA">
        <w:rPr>
          <w:rFonts w:ascii="Verdana" w:eastAsia="Calibri" w:hAnsi="Verdana"/>
          <w:color w:val="000000" w:themeColor="text1"/>
        </w:rPr>
        <w:t xml:space="preserve">. </w:t>
      </w:r>
    </w:p>
    <w:p w14:paraId="0D3C9F08" w14:textId="77777777" w:rsidR="00EA7EBA" w:rsidRPr="00EA7EBA" w:rsidRDefault="00EA7EBA" w:rsidP="00EA7EBA">
      <w:pPr>
        <w:spacing w:before="120" w:after="0" w:line="276" w:lineRule="auto"/>
        <w:ind w:firstLine="708"/>
        <w:jc w:val="both"/>
        <w:rPr>
          <w:rFonts w:ascii="Verdana" w:eastAsia="Calibri" w:hAnsi="Verdana"/>
          <w:color w:val="000000" w:themeColor="text1"/>
        </w:rPr>
      </w:pPr>
      <w:r w:rsidRPr="00EA7EBA">
        <w:rPr>
          <w:rFonts w:ascii="Verdana" w:eastAsia="Calibri" w:hAnsi="Verdana"/>
          <w:color w:val="000000" w:themeColor="text1"/>
        </w:rPr>
        <w:t xml:space="preserve">En este caso para que el contrato de seguro sea estatal implica que una de las partes sea una entidad pública. Por tanto, en los supuestos donde el contrato de seguro cuya celebración se procede con el cometido a garantizar el cumplimiento de contratos estatales previamente celebrados entre entidades pública y en contratistas que son en principio particulares, no tiene la calidad de estatal pues el solo hecho de la entidad de ser beneficiaria, por el contrario, los contratos por lo general son suscritos entre dos particulares, es decir, entre el contratista particular en su condición de tomador y la respectiva aseguradora, quienes, por tanto, en los términos del artículo 1037 del Código de Comercio, son los únicos que pueden considerarse como partes dentro de este tipo de contratos. En torno al contrato de seguro que tiene la calidad de estatal, el Consejo de Estado ha expresado: </w:t>
      </w:r>
    </w:p>
    <w:p w14:paraId="69ADA33C" w14:textId="77777777" w:rsidR="00EA7EBA" w:rsidRPr="00EA7EBA" w:rsidRDefault="00EA7EBA" w:rsidP="00EA7EBA">
      <w:pPr>
        <w:spacing w:after="0" w:line="276" w:lineRule="auto"/>
        <w:ind w:firstLine="708"/>
        <w:jc w:val="both"/>
        <w:rPr>
          <w:rFonts w:ascii="Verdana" w:eastAsia="Calibri" w:hAnsi="Verdana"/>
          <w:color w:val="000000" w:themeColor="text1"/>
        </w:rPr>
      </w:pPr>
    </w:p>
    <w:p w14:paraId="455C30E1" w14:textId="77777777" w:rsidR="00EA7EBA" w:rsidRPr="00EA7EBA" w:rsidRDefault="00EA7EBA" w:rsidP="00EA7EBA">
      <w:pPr>
        <w:spacing w:after="0" w:line="240" w:lineRule="auto"/>
        <w:ind w:left="709" w:right="709"/>
        <w:jc w:val="both"/>
        <w:rPr>
          <w:rFonts w:ascii="Verdana" w:eastAsia="Calibri" w:hAnsi="Verdana" w:cs="Arial"/>
          <w:color w:val="000000"/>
          <w:sz w:val="20"/>
          <w:szCs w:val="20"/>
          <w:lang w:eastAsia="es-ES_tradnl"/>
        </w:rPr>
      </w:pPr>
      <w:r w:rsidRPr="00EA7EBA">
        <w:rPr>
          <w:rFonts w:ascii="Verdana" w:eastAsia="Calibri" w:hAnsi="Verdana" w:cs="Arial"/>
          <w:color w:val="000000"/>
          <w:sz w:val="20"/>
          <w:szCs w:val="20"/>
          <w:lang w:val="es-ES" w:eastAsia="es-ES_tradnl"/>
        </w:rPr>
        <w:t xml:space="preserve">19. </w:t>
      </w:r>
      <w:r w:rsidRPr="00EA7EBA">
        <w:rPr>
          <w:rFonts w:ascii="Verdana" w:eastAsia="Calibri" w:hAnsi="Verdana" w:cs="Arial"/>
          <w:color w:val="000000"/>
          <w:sz w:val="20"/>
          <w:szCs w:val="20"/>
          <w:lang w:eastAsia="es-ES_tradnl"/>
        </w:rPr>
        <w:t>En relación con el contrato de seguro, se observa que se refieren al mismo (normas de la Ley 80 antes de la reforma de la Ley 1150 de 2007): El artículo 14, para establecer que en él se prescindirá de la utilización de las cláusulas o estipulaciones excepcionales; el literal c, num. 1º del artículo 24, que dispone que no es necesaria la licitación pública en los contratos interadministrativos, salvo en los de seguro y el numeral 19 del artículo 25, de acuerdo con el cual, no son obligatorias las garantías en los contratos de seguro.</w:t>
      </w:r>
    </w:p>
    <w:p w14:paraId="7CCBF9C8" w14:textId="77777777" w:rsidR="00EA7EBA" w:rsidRPr="00EA7EBA" w:rsidRDefault="00EA7EBA" w:rsidP="00EA7EBA">
      <w:pPr>
        <w:spacing w:after="0" w:line="240" w:lineRule="auto"/>
        <w:ind w:left="709" w:right="709"/>
        <w:jc w:val="both"/>
        <w:rPr>
          <w:rFonts w:ascii="Verdana" w:eastAsia="Calibri" w:hAnsi="Verdana" w:cs="Arial"/>
          <w:color w:val="000000"/>
          <w:sz w:val="20"/>
          <w:szCs w:val="20"/>
          <w:lang w:eastAsia="es-ES_tradnl"/>
        </w:rPr>
      </w:pPr>
    </w:p>
    <w:p w14:paraId="383A69E3" w14:textId="77777777" w:rsidR="00EA7EBA" w:rsidRPr="00EA7EBA" w:rsidRDefault="00EA7EBA" w:rsidP="00EA7EBA">
      <w:pPr>
        <w:spacing w:after="0" w:line="240" w:lineRule="auto"/>
        <w:ind w:left="709" w:right="709"/>
        <w:jc w:val="both"/>
        <w:rPr>
          <w:rFonts w:ascii="Verdana" w:eastAsia="Calibri" w:hAnsi="Verdana" w:cs="Arial"/>
          <w:color w:val="000000"/>
          <w:sz w:val="20"/>
          <w:szCs w:val="20"/>
          <w:lang w:eastAsia="es-ES_tradnl"/>
        </w:rPr>
      </w:pPr>
      <w:r w:rsidRPr="00EA7EBA">
        <w:rPr>
          <w:rFonts w:ascii="Verdana" w:eastAsia="Calibri" w:hAnsi="Verdana" w:cs="Arial"/>
          <w:color w:val="000000"/>
          <w:sz w:val="20"/>
          <w:szCs w:val="20"/>
          <w:lang w:eastAsia="es-ES_tradnl"/>
        </w:rPr>
        <w:t>20. Aparte de las anteriores disposiciones, el estatuto de contratación de la administración pública no se refiere de manera específica al contrato de seguros tomado por las entidades estatales para la protección de sus recursos y bienes, lo que significa que resulta aplicable la regulación que de dicho contrato contiene el Código de Comercio.</w:t>
      </w:r>
    </w:p>
    <w:p w14:paraId="33FD0999" w14:textId="77777777" w:rsidR="00EA7EBA" w:rsidRPr="00EA7EBA" w:rsidRDefault="00EA7EBA" w:rsidP="00EA7EBA">
      <w:pPr>
        <w:spacing w:after="0" w:line="240" w:lineRule="auto"/>
        <w:ind w:left="709" w:right="709"/>
        <w:jc w:val="both"/>
        <w:rPr>
          <w:rFonts w:ascii="Verdana" w:eastAsia="Calibri" w:hAnsi="Verdana" w:cs="Arial"/>
          <w:color w:val="000000"/>
          <w:sz w:val="20"/>
          <w:szCs w:val="20"/>
          <w:lang w:eastAsia="es-ES_tradnl"/>
        </w:rPr>
      </w:pPr>
    </w:p>
    <w:p w14:paraId="0D660E26" w14:textId="77777777" w:rsidR="00EA7EBA" w:rsidRPr="00EA7EBA" w:rsidRDefault="00EA7EBA" w:rsidP="00EA7EBA">
      <w:pPr>
        <w:spacing w:after="0" w:line="240" w:lineRule="auto"/>
        <w:ind w:left="709" w:right="709"/>
        <w:jc w:val="both"/>
        <w:rPr>
          <w:rFonts w:ascii="Verdana" w:eastAsia="Calibri" w:hAnsi="Verdana" w:cs="Arial"/>
          <w:iCs/>
          <w:color w:val="000000"/>
          <w:sz w:val="20"/>
          <w:szCs w:val="20"/>
          <w:lang w:eastAsia="es-ES_tradnl"/>
        </w:rPr>
      </w:pPr>
      <w:r w:rsidRPr="00EA7EBA">
        <w:rPr>
          <w:rFonts w:ascii="Verdana" w:eastAsia="Calibri" w:hAnsi="Verdana" w:cs="Arial"/>
          <w:color w:val="000000"/>
          <w:sz w:val="20"/>
          <w:szCs w:val="20"/>
          <w:lang w:eastAsia="es-ES_tradnl"/>
        </w:rPr>
        <w:t xml:space="preserve">21. El artículo 1036 del referido código establece que el contrato de seguro es consensual, bilateral, oneroso, aleatorio y de ejecución sucesiva. En relación con la característica de consensual, se recuerda que anteriormente el contrato de seguro regulado en el Código de Comercio era solemne, en la medida en que su perfeccionamiento sólo se daba mediante la expedición de la respectiva póliza de seguro; no obstante, el artículo 1º de la Ley 389 de 1997 modificó el artículo 1036 del código, para definir dicho contrato como consensual, lo que significa que, en la actualidad, </w:t>
      </w:r>
      <w:r w:rsidRPr="00EA7EBA">
        <w:rPr>
          <w:rFonts w:ascii="Verdana" w:eastAsia="Calibri" w:hAnsi="Verdana" w:cs="Arial"/>
          <w:i/>
          <w:iCs/>
          <w:color w:val="000000"/>
          <w:sz w:val="20"/>
          <w:szCs w:val="20"/>
          <w:lang w:eastAsia="es-ES_tradnl"/>
        </w:rPr>
        <w:t xml:space="preserve">“(…) el contrato se forma con la simple aceptación de la </w:t>
      </w:r>
      <w:r w:rsidRPr="00EA7EBA">
        <w:rPr>
          <w:rFonts w:ascii="Verdana" w:eastAsia="Calibri" w:hAnsi="Verdana" w:cs="Arial"/>
          <w:i/>
          <w:iCs/>
          <w:color w:val="000000"/>
          <w:sz w:val="20"/>
          <w:szCs w:val="20"/>
          <w:lang w:eastAsia="es-ES_tradnl"/>
        </w:rPr>
        <w:lastRenderedPageBreak/>
        <w:t>propuesta por parte del destinatario, independientemente de que se expida o no la póliza y que, en</w:t>
      </w:r>
      <w:r w:rsidRPr="00EA7EBA">
        <w:rPr>
          <w:rFonts w:ascii="Verdana" w:eastAsia="Calibri" w:hAnsi="Verdana" w:cs="Arial"/>
          <w:color w:val="000000"/>
          <w:sz w:val="20"/>
          <w:szCs w:val="20"/>
          <w:lang w:eastAsia="es-ES_tradnl"/>
        </w:rPr>
        <w:t xml:space="preserve"> </w:t>
      </w:r>
      <w:r w:rsidRPr="00EA7EBA">
        <w:rPr>
          <w:rFonts w:ascii="Verdana" w:eastAsia="Calibri" w:hAnsi="Verdana" w:cs="Arial"/>
          <w:i/>
          <w:iCs/>
          <w:color w:val="000000"/>
          <w:sz w:val="20"/>
          <w:szCs w:val="20"/>
          <w:lang w:eastAsia="es-ES_tradnl"/>
        </w:rPr>
        <w:t>consecuencia, al fijarse la fecha de vigencia de la misma habrá de tenerse en cuenta.</w:t>
      </w:r>
      <w:r w:rsidRPr="00EA7EBA">
        <w:rPr>
          <w:rFonts w:ascii="Arial" w:hAnsi="Arial" w:cs="Arial"/>
          <w:i/>
          <w:iCs/>
          <w:sz w:val="20"/>
          <w:szCs w:val="20"/>
        </w:rPr>
        <w:t xml:space="preserve"> </w:t>
      </w:r>
      <w:r w:rsidRPr="00EA7EBA">
        <w:rPr>
          <w:rFonts w:ascii="Verdana" w:eastAsia="Calibri" w:hAnsi="Verdana" w:cs="Arial"/>
          <w:i/>
          <w:iCs/>
          <w:color w:val="000000"/>
          <w:sz w:val="20"/>
          <w:szCs w:val="20"/>
          <w:lang w:eastAsia="es-ES_tradnl"/>
        </w:rPr>
        <w:t xml:space="preserve">como punto de partida de la vigencia, el de la mencionada aceptación de la propuesta, salvo que se pacte otra cosa”, </w:t>
      </w:r>
      <w:r w:rsidRPr="00EA7EBA">
        <w:rPr>
          <w:rFonts w:ascii="Verdana" w:eastAsia="Calibri" w:hAnsi="Verdana" w:cs="Arial"/>
          <w:iCs/>
          <w:color w:val="000000"/>
          <w:sz w:val="20"/>
          <w:szCs w:val="20"/>
          <w:lang w:eastAsia="es-ES_tradnl"/>
        </w:rPr>
        <w:t>y para la acreditación de la existencia del contrato de seguro, el artículo 1046 del C. de Co. –modificado por el artículo 3 de la Ley 389 de 1997-, establece que el mismo se probará por escrito o por confesión y que con fines exclusivamente probatorios, el asegurador está obligado a entregar en su original, al tomador, dentro de los 15 días siguientes a la fecha de su celebración, el documento contentivo del contrato de seguro, denominado póliza.</w:t>
      </w:r>
    </w:p>
    <w:p w14:paraId="1F3979EF" w14:textId="77777777" w:rsidR="00EA7EBA" w:rsidRPr="00EA7EBA" w:rsidRDefault="00EA7EBA" w:rsidP="00EA7EBA">
      <w:pPr>
        <w:spacing w:after="0" w:line="240" w:lineRule="auto"/>
        <w:ind w:left="709" w:right="709"/>
        <w:jc w:val="both"/>
        <w:rPr>
          <w:rFonts w:ascii="Verdana" w:eastAsia="Calibri" w:hAnsi="Verdana" w:cs="Arial"/>
          <w:iCs/>
          <w:color w:val="000000"/>
          <w:sz w:val="20"/>
          <w:szCs w:val="20"/>
          <w:lang w:eastAsia="es-ES_tradnl"/>
        </w:rPr>
      </w:pPr>
    </w:p>
    <w:p w14:paraId="7B078D27" w14:textId="77777777" w:rsidR="00EA7EBA" w:rsidRPr="00EA7EBA" w:rsidRDefault="00EA7EBA" w:rsidP="00EA7EBA">
      <w:pPr>
        <w:spacing w:after="0" w:line="240" w:lineRule="auto"/>
        <w:ind w:left="709" w:right="709"/>
        <w:jc w:val="both"/>
        <w:rPr>
          <w:rFonts w:ascii="Verdana" w:eastAsia="Calibri" w:hAnsi="Verdana" w:cs="Arial"/>
          <w:iCs/>
          <w:color w:val="000000"/>
          <w:sz w:val="21"/>
          <w:szCs w:val="21"/>
          <w:lang w:eastAsia="es-ES_tradnl"/>
        </w:rPr>
      </w:pPr>
      <w:r w:rsidRPr="00EA7EBA">
        <w:rPr>
          <w:rFonts w:ascii="Verdana" w:eastAsia="Calibri" w:hAnsi="Verdana" w:cs="Arial"/>
          <w:iCs/>
          <w:color w:val="000000"/>
          <w:sz w:val="20"/>
          <w:szCs w:val="20"/>
          <w:lang w:eastAsia="es-ES_tradnl"/>
        </w:rPr>
        <w:t xml:space="preserve">22. No obstante lo anterior, debe tenerse en cuenta que, cuando es una entidad pública de las que se someten a las disposiciones de la Ley 80 de 1993 la que celebra un negocio jurídico de esta naturaleza en calidad de tomadora, el mismo corresponde a un contrato estatal, razón por la cual de conformidad con lo dispuesto por sus artículos 39 y 41, debe constar por escrito y esta formalidad constituye un requisito </w:t>
      </w:r>
      <w:r w:rsidRPr="00EA7EBA">
        <w:rPr>
          <w:rFonts w:ascii="Verdana" w:eastAsia="Calibri" w:hAnsi="Verdana" w:cs="Arial"/>
          <w:i/>
          <w:iCs/>
          <w:color w:val="000000"/>
          <w:sz w:val="20"/>
          <w:szCs w:val="20"/>
          <w:lang w:eastAsia="es-ES_tradnl"/>
        </w:rPr>
        <w:t>ad substantiam actus</w:t>
      </w:r>
      <w:r w:rsidRPr="00EA7EBA">
        <w:rPr>
          <w:rFonts w:ascii="Verdana" w:eastAsia="Calibri" w:hAnsi="Verdana" w:cs="Arial"/>
          <w:iCs/>
          <w:color w:val="000000"/>
          <w:sz w:val="20"/>
          <w:szCs w:val="20"/>
          <w:lang w:eastAsia="es-ES_tradnl"/>
        </w:rPr>
        <w:t>, puesto que de ella depende el perfeccionamiento del respectivo contrato</w:t>
      </w:r>
      <w:r w:rsidRPr="00EA7EBA">
        <w:rPr>
          <w:rFonts w:ascii="Verdana" w:eastAsia="Calibri" w:hAnsi="Verdana" w:cs="Arial"/>
          <w:iCs/>
          <w:color w:val="000000"/>
          <w:sz w:val="20"/>
          <w:szCs w:val="20"/>
          <w:vertAlign w:val="superscript"/>
          <w:lang w:eastAsia="es-ES_tradnl"/>
        </w:rPr>
        <w:footnoteReference w:id="7"/>
      </w:r>
      <w:r w:rsidRPr="00EA7EBA">
        <w:rPr>
          <w:rFonts w:ascii="Verdana" w:eastAsia="Calibri" w:hAnsi="Verdana" w:cs="Arial"/>
          <w:iCs/>
          <w:color w:val="000000"/>
          <w:sz w:val="20"/>
          <w:szCs w:val="20"/>
          <w:lang w:eastAsia="es-ES_tradnl"/>
        </w:rPr>
        <w:t>. (énfasis dentro del texto).</w:t>
      </w:r>
      <w:r w:rsidRPr="00EA7EBA">
        <w:rPr>
          <w:rFonts w:ascii="Verdana" w:eastAsia="Calibri" w:hAnsi="Verdana" w:cs="Arial"/>
          <w:iCs/>
          <w:color w:val="000000"/>
          <w:sz w:val="21"/>
          <w:szCs w:val="21"/>
          <w:lang w:eastAsia="es-ES_tradnl"/>
        </w:rPr>
        <w:t xml:space="preserve"> </w:t>
      </w:r>
    </w:p>
    <w:p w14:paraId="6BBF0E5F" w14:textId="77777777" w:rsidR="00EA7EBA" w:rsidRPr="00EA7EBA" w:rsidRDefault="00EA7EBA" w:rsidP="00EA7EBA">
      <w:pPr>
        <w:spacing w:after="0" w:line="276" w:lineRule="auto"/>
        <w:ind w:firstLine="708"/>
        <w:jc w:val="both"/>
        <w:rPr>
          <w:rFonts w:ascii="Verdana" w:eastAsia="Calibri" w:hAnsi="Verdana"/>
          <w:color w:val="000000" w:themeColor="text1"/>
        </w:rPr>
      </w:pPr>
    </w:p>
    <w:p w14:paraId="1B97406F" w14:textId="77777777" w:rsidR="00EA7EBA" w:rsidRPr="00EA7EBA" w:rsidRDefault="00EA7EBA" w:rsidP="00EA7EBA">
      <w:pPr>
        <w:spacing w:before="120" w:line="276" w:lineRule="auto"/>
        <w:ind w:firstLine="708"/>
        <w:jc w:val="both"/>
        <w:rPr>
          <w:rFonts w:ascii="Verdana" w:eastAsia="Calibri" w:hAnsi="Verdana"/>
          <w:color w:val="000000" w:themeColor="text1"/>
        </w:rPr>
      </w:pPr>
      <w:r w:rsidRPr="00EA7EBA">
        <w:rPr>
          <w:rFonts w:ascii="Verdana" w:eastAsia="Calibri" w:hAnsi="Verdana"/>
          <w:color w:val="000000" w:themeColor="text1"/>
        </w:rPr>
        <w:t xml:space="preserve">Por lo general, la entidad pública suscribe contratos de seguro, con la finalidad de proteger a las entidades públicas contra diferentes riesgos que se presentan por actuaciones de sus empleados, así como riesgos por incendios, terremoto, entre otros. En estos términos, se destaca que los contratos de seguros amparan riesgos en daños materiales, automóviles, responsabilidad civil extracontractual, manejo global para entidades oficiales, riesgos financieros, entre otros. </w:t>
      </w:r>
    </w:p>
    <w:p w14:paraId="148FA7C9" w14:textId="77777777" w:rsidR="00EA7EBA" w:rsidRPr="00EA7EBA" w:rsidRDefault="00EA7EBA" w:rsidP="00EA7EBA">
      <w:pPr>
        <w:spacing w:before="120" w:line="276" w:lineRule="auto"/>
        <w:ind w:firstLine="708"/>
        <w:jc w:val="both"/>
        <w:rPr>
          <w:rFonts w:ascii="Verdana" w:eastAsia="Calibri" w:hAnsi="Verdana"/>
          <w:color w:val="000000" w:themeColor="text1"/>
        </w:rPr>
      </w:pPr>
      <w:r w:rsidRPr="00EA7EBA">
        <w:rPr>
          <w:rFonts w:ascii="Verdana" w:eastAsia="Calibri" w:hAnsi="Verdana"/>
          <w:color w:val="000000" w:themeColor="text1"/>
        </w:rPr>
        <w:t xml:space="preserve">Así mismo, dichos procesos de contratación por parte de las entidades sometidas por el EGCAP se adelantan, en principio, mediante la modalidad de selección de licitación pública o en su defecto, por selección abreviada de menor cuantía, donde </w:t>
      </w:r>
      <w:r w:rsidRPr="00EA7EBA">
        <w:rPr>
          <w:rFonts w:ascii="Verdana" w:eastAsia="Calibri" w:hAnsi="Verdana" w:cs="Arial"/>
          <w:color w:val="000000"/>
          <w:lang w:eastAsia="es-ES_tradnl"/>
        </w:rPr>
        <w:t>la entidad deberá tener en consideración las disposiciones previstas en el Estatuto Orgánico del Sistema Financiero, y en especial el artículo 17 de la Ley 795 de 2003 “</w:t>
      </w:r>
      <w:r w:rsidRPr="00EA7EBA">
        <w:rPr>
          <w:rFonts w:ascii="Verdana" w:eastAsia="Calibri" w:hAnsi="Verdana" w:cs="Arial"/>
          <w:bCs/>
          <w:i/>
          <w:iCs/>
          <w:color w:val="000000"/>
          <w:lang w:eastAsia="es-ES_tradnl"/>
        </w:rPr>
        <w:t>Por la cual se ajustan algunas normas del Estatuto Orgánico del Sistema Financiero y se dictan otras disposiciones.”</w:t>
      </w:r>
      <w:r w:rsidRPr="00EA7EBA">
        <w:rPr>
          <w:rFonts w:ascii="Verdana" w:eastAsia="Calibri" w:hAnsi="Verdana" w:cs="Arial"/>
          <w:color w:val="000000"/>
          <w:lang w:eastAsia="es-ES_tradnl"/>
        </w:rPr>
        <w:t xml:space="preserve">, y en especial las relacionadas con lo dispuesto en el Decreto 2954 de 2010 </w:t>
      </w:r>
      <w:r w:rsidRPr="00EA7EBA">
        <w:rPr>
          <w:rFonts w:ascii="Verdana" w:eastAsia="Calibri" w:hAnsi="Verdana" w:cs="Arial"/>
          <w:i/>
          <w:iCs/>
          <w:color w:val="000000"/>
          <w:lang w:eastAsia="es-ES_tradnl"/>
        </w:rPr>
        <w:t>“</w:t>
      </w:r>
      <w:r w:rsidRPr="00EA7EBA">
        <w:rPr>
          <w:rFonts w:ascii="Verdana" w:eastAsia="Calibri" w:hAnsi="Verdana" w:cs="Arial"/>
          <w:bCs/>
          <w:i/>
          <w:iCs/>
          <w:color w:val="000000"/>
          <w:lang w:eastAsia="es-ES_tradnl"/>
        </w:rPr>
        <w:t>por el cual se modifica el Decreto 2555 de 2010 y se establece el régimen de patrimonio adecuado de las entidades aseguradoras”</w:t>
      </w:r>
      <w:r w:rsidRPr="00EA7EBA">
        <w:rPr>
          <w:rFonts w:ascii="Verdana" w:eastAsia="Calibri" w:hAnsi="Verdana" w:cs="Arial"/>
          <w:color w:val="000000"/>
          <w:lang w:eastAsia="es-ES_tradnl"/>
        </w:rPr>
        <w:t xml:space="preserve">, a través del cual se reguló el régimen </w:t>
      </w:r>
      <w:r w:rsidRPr="00EA7EBA">
        <w:rPr>
          <w:rFonts w:ascii="Verdana" w:eastAsia="Calibri" w:hAnsi="Verdana" w:cs="Arial"/>
          <w:color w:val="000000"/>
          <w:lang w:eastAsia="es-ES_tradnl"/>
        </w:rPr>
        <w:lastRenderedPageBreak/>
        <w:t>de patrimonio adecuado para las entidades aseguradoras, como indicador integral y específico para evidenciar la efectiva capacidad financiera, del mercado asegurador colombiano</w:t>
      </w:r>
      <w:r w:rsidRPr="00EA7EBA">
        <w:rPr>
          <w:rFonts w:ascii="Verdana" w:eastAsia="Calibri" w:hAnsi="Verdana" w:cs="Arial"/>
          <w:color w:val="000000"/>
          <w:vertAlign w:val="superscript"/>
          <w:lang w:eastAsia="es-ES_tradnl"/>
        </w:rPr>
        <w:footnoteReference w:id="8"/>
      </w:r>
    </w:p>
    <w:p w14:paraId="66248C1B" w14:textId="77777777" w:rsidR="00EA7EBA" w:rsidRPr="00EA7EBA" w:rsidRDefault="00EA7EBA" w:rsidP="00EA7EBA">
      <w:pPr>
        <w:spacing w:before="120" w:line="276" w:lineRule="auto"/>
        <w:ind w:firstLine="708"/>
        <w:jc w:val="both"/>
        <w:rPr>
          <w:rFonts w:ascii="Verdana" w:eastAsia="Calibri" w:hAnsi="Verdana"/>
          <w:color w:val="000000" w:themeColor="text1"/>
        </w:rPr>
      </w:pPr>
      <w:r w:rsidRPr="00EA7EBA">
        <w:rPr>
          <w:rFonts w:ascii="Verdana" w:eastAsia="Calibri" w:hAnsi="Verdana"/>
          <w:color w:val="000000" w:themeColor="text1"/>
        </w:rPr>
        <w:t xml:space="preserve">Estos contratos de seguro, donde la entidad estatal actúa como tomadora debe cumplir con los requisitos de perfeccionamiento que establece el artículo 41 de la Ley 80, es decir, un acuerdo sobre el objeto, la contraprestación y la solemnidad de elevarse a escrito. Ahora bien, de acuerdo al problema jurídico, objeto de consulta, en el evento de ampliar o adicionar un contrato de seguro deben tenerse en cuenta los siguientes criterios: </w:t>
      </w:r>
    </w:p>
    <w:p w14:paraId="231FC998" w14:textId="77777777" w:rsidR="00EA7EBA" w:rsidRPr="00EA7EBA" w:rsidRDefault="00EA7EBA" w:rsidP="00EA7EBA">
      <w:pPr>
        <w:spacing w:before="120" w:line="276" w:lineRule="auto"/>
        <w:ind w:firstLine="708"/>
        <w:jc w:val="both"/>
        <w:rPr>
          <w:rFonts w:ascii="Verdana" w:hAnsi="Verdana" w:cs="Arial"/>
          <w:color w:val="000000"/>
          <w:szCs w:val="24"/>
          <w:lang w:eastAsia="es-ES_tradnl"/>
        </w:rPr>
      </w:pPr>
      <w:r w:rsidRPr="00EA7EBA">
        <w:rPr>
          <w:rFonts w:ascii="Verdana" w:eastAsia="Calibri" w:hAnsi="Verdana"/>
          <w:color w:val="000000" w:themeColor="text1"/>
        </w:rPr>
        <w:t>En primer lugar, el</w:t>
      </w:r>
      <w:r w:rsidRPr="00EA7EBA">
        <w:rPr>
          <w:rFonts w:ascii="Verdana" w:hAnsi="Verdana" w:cs="Arial"/>
          <w:color w:val="000000"/>
          <w:szCs w:val="24"/>
          <w:lang w:eastAsia="es-ES_tradnl"/>
        </w:rPr>
        <w:t xml:space="preserve"> criterio cuantitativo se señala que cualquier incremento del valor inicial del contrato, independiente del nombre que se le dé al acuerdo -otrosí, adición, modificación, entre otros-, aplica el límite previsto en el parágrafo del artículo 40 de la Ley 80 de 1993: “Los contratos no podrán adicionarse en más del cincuenta por ciento (50%) de su valor inicial, expresado éste en salarios mínimos legales mensuales”. </w:t>
      </w:r>
    </w:p>
    <w:p w14:paraId="15858145" w14:textId="77777777" w:rsidR="00EA7EBA" w:rsidRPr="00EA7EBA" w:rsidRDefault="00EA7EBA" w:rsidP="00EA7EBA">
      <w:pPr>
        <w:spacing w:before="120" w:line="276" w:lineRule="auto"/>
        <w:ind w:firstLine="708"/>
        <w:jc w:val="both"/>
        <w:rPr>
          <w:rFonts w:ascii="Verdana" w:hAnsi="Verdana" w:cs="Arial"/>
          <w:color w:val="000000"/>
          <w:szCs w:val="24"/>
          <w:lang w:eastAsia="es-ES_tradnl"/>
        </w:rPr>
      </w:pPr>
      <w:r w:rsidRPr="00EA7EBA">
        <w:rPr>
          <w:rFonts w:ascii="Verdana"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Para tales efectos, para adicionar un contrato debe dividirse el valor inicial por el SMLMV al momento de la suscripción del contrato, y luego dividirlo por dos (2); el resultado obtenido constituirá el número de SMLMV por los cuales podrá adicionarse el contrato. </w:t>
      </w:r>
    </w:p>
    <w:p w14:paraId="3DBCFE9F" w14:textId="77777777" w:rsidR="00EA7EBA" w:rsidRPr="00EA7EBA" w:rsidRDefault="00EA7EBA" w:rsidP="00EA7EBA">
      <w:pPr>
        <w:spacing w:before="120" w:line="276" w:lineRule="auto"/>
        <w:ind w:firstLine="708"/>
        <w:jc w:val="both"/>
        <w:rPr>
          <w:rFonts w:ascii="Verdana" w:eastAsia="Arial" w:hAnsi="Verdana" w:cs="Arial"/>
          <w:color w:val="000000"/>
          <w:lang w:val="es-ES" w:eastAsia="es-ES" w:bidi="es-ES"/>
        </w:rPr>
      </w:pPr>
      <w:r w:rsidRPr="00EA7EBA">
        <w:rPr>
          <w:rFonts w:ascii="Verdana" w:hAnsi="Verdana" w:cs="Arial"/>
          <w:color w:val="000000"/>
          <w:szCs w:val="24"/>
          <w:lang w:eastAsia="es-ES_tradnl"/>
        </w:rPr>
        <w:lastRenderedPageBreak/>
        <w:t xml:space="preserve">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vigencias fiscales, porque si el contrato se ejecuta sin existir variación en el valor del salario mínimo la operación sería la misma si se toma el monto en pesos. </w:t>
      </w:r>
    </w:p>
    <w:p w14:paraId="1680E957" w14:textId="77777777" w:rsidR="00EA7EBA" w:rsidRPr="00EA7EBA" w:rsidRDefault="00EA7EBA" w:rsidP="00EA7EBA">
      <w:pPr>
        <w:widowControl w:val="0"/>
        <w:autoSpaceDE w:val="0"/>
        <w:autoSpaceDN w:val="0"/>
        <w:spacing w:after="120" w:line="276" w:lineRule="auto"/>
        <w:ind w:firstLine="708"/>
        <w:jc w:val="both"/>
        <w:rPr>
          <w:rFonts w:ascii="Verdana" w:hAnsi="Verdana" w:cs="Arial"/>
        </w:rPr>
      </w:pPr>
      <w:r w:rsidRPr="00EA7EBA">
        <w:rPr>
          <w:rFonts w:ascii="Verdana" w:hAnsi="Verdana" w:cs="Arial"/>
          <w:lang w:val="es-ES"/>
        </w:rPr>
        <w:t>En segundo lugar, los</w:t>
      </w:r>
      <w:r w:rsidRPr="00EA7EBA">
        <w:rPr>
          <w:rFonts w:ascii="Verdana" w:hAnsi="Verdana"/>
        </w:rPr>
        <w:t xml:space="preserve"> límites de orden temporal están comprendidos por: </w:t>
      </w:r>
      <w:r w:rsidRPr="00EA7EBA">
        <w:rPr>
          <w:rFonts w:ascii="Verdana" w:eastAsia="Arial" w:hAnsi="Verdana" w:cs="Arial"/>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EA7EBA">
        <w:rPr>
          <w:rFonts w:ascii="Verdana" w:hAnsi="Verdana" w:cs="Arial"/>
        </w:rPr>
        <w:t xml:space="preserve"> Es decir, no es posible establecer prórrogas automáticas en los contratos estatales de seguro. </w:t>
      </w:r>
    </w:p>
    <w:p w14:paraId="6A845E55"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color w:val="000000"/>
          <w:lang w:eastAsia="es-ES" w:bidi="es-ES"/>
        </w:rPr>
      </w:pPr>
      <w:r w:rsidRPr="00EA7EBA">
        <w:rPr>
          <w:rFonts w:ascii="Verdana" w:hAnsi="Verdana" w:cs="Arial"/>
        </w:rPr>
        <w:t xml:space="preserve">En tercer lugar, los límites de orden formal, debe señalarse que, por un lado, es necesario que, la </w:t>
      </w:r>
      <w:r w:rsidRPr="00EA7EBA">
        <w:rPr>
          <w:rFonts w:ascii="Verdana" w:eastAsia="Arial" w:hAnsi="Verdana" w:cs="Arial"/>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Es decir, </w:t>
      </w:r>
      <w:r w:rsidRPr="00EA7EBA">
        <w:rPr>
          <w:rFonts w:ascii="Verdana" w:eastAsia="Arial" w:hAnsi="Verdana" w:cs="Arial"/>
          <w:color w:val="000000"/>
          <w:lang w:eastAsia="es-ES" w:bidi="es-ES"/>
        </w:rPr>
        <w:t xml:space="preserve">los contratos estatales, por regla general, son contratos solemnes, que de conformidad al artículo 1500 del Código Civil implica que están sujetos a la observancia de ciertas formalidades especiales, de manera que sin ellas no producen efecto. </w:t>
      </w:r>
    </w:p>
    <w:p w14:paraId="7323D7C4" w14:textId="77777777" w:rsidR="00EA7EBA" w:rsidRPr="00EA7EBA" w:rsidRDefault="00EA7EBA" w:rsidP="00EA7EBA">
      <w:pPr>
        <w:widowControl w:val="0"/>
        <w:autoSpaceDE w:val="0"/>
        <w:autoSpaceDN w:val="0"/>
        <w:spacing w:after="120" w:line="276" w:lineRule="auto"/>
        <w:ind w:firstLine="708"/>
        <w:jc w:val="both"/>
        <w:rPr>
          <w:rFonts w:ascii="Verdana" w:hAnsi="Verdana" w:cs="Arial"/>
        </w:rPr>
      </w:pPr>
      <w:r w:rsidRPr="00EA7EBA">
        <w:rPr>
          <w:rFonts w:ascii="Verdana" w:eastAsia="Arial" w:hAnsi="Verdana" w:cs="Arial"/>
          <w:color w:val="000000"/>
          <w:lang w:eastAsia="es-ES" w:bidi="es-ES"/>
        </w:rPr>
        <w:t>Conforme a lo anterior, la modificación del mismo debe revestir de dicha solemnidad, es decir, debe suscribirse mediante un documento firmado por ambas partes, independiente de su denominación, por tanto, no es posible hacerlo por acto administrativo, dado que este es una manifestación unilateral de la administración.</w:t>
      </w:r>
      <w:r w:rsidRPr="00EA7EBA">
        <w:rPr>
          <w:rFonts w:ascii="Verdana" w:eastAsia="Arial" w:hAnsi="Verdana" w:cs="Arial"/>
          <w:lang w:eastAsia="es-ES" w:bidi="es-ES"/>
        </w:rPr>
        <w:t xml:space="preserve"> Así mismo, existe</w:t>
      </w:r>
      <w:r w:rsidRPr="00EA7EBA">
        <w:rPr>
          <w:rFonts w:ascii="Verdana" w:eastAsia="Arial" w:hAnsi="Verdana" w:cs="Arial"/>
          <w:lang w:val="es-MX" w:eastAsia="es-ES" w:bidi="es-ES"/>
        </w:rPr>
        <w:t xml:space="preserve"> el deber de la existencia de las disponibilidades presupuestales para el cumplimiento de las obligaciones contractuales, así como el cumplimiento del principio de anualidad del gasto público, sin perjuicio de las excepciones a este. </w:t>
      </w:r>
    </w:p>
    <w:p w14:paraId="411961D4" w14:textId="77777777" w:rsidR="00EA7EBA" w:rsidRPr="00EA7EBA" w:rsidRDefault="00EA7EBA" w:rsidP="00EA7EBA">
      <w:pPr>
        <w:widowControl w:val="0"/>
        <w:autoSpaceDE w:val="0"/>
        <w:autoSpaceDN w:val="0"/>
        <w:spacing w:after="120" w:line="276" w:lineRule="auto"/>
        <w:ind w:firstLine="708"/>
        <w:jc w:val="both"/>
        <w:rPr>
          <w:rFonts w:ascii="Verdana" w:eastAsia="Arial" w:hAnsi="Verdana" w:cs="Arial"/>
          <w:color w:val="000000"/>
          <w:lang w:val="es-ES" w:eastAsia="es-ES" w:bidi="es-ES"/>
        </w:rPr>
      </w:pPr>
      <w:r w:rsidRPr="00EA7EBA">
        <w:rPr>
          <w:rFonts w:ascii="Verdana" w:hAnsi="Verdana" w:cs="Arial"/>
        </w:rPr>
        <w:t xml:space="preserve">En cuarto lugar, los límites materiales que </w:t>
      </w:r>
      <w:r w:rsidRPr="00EA7EBA">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EA7EBA">
        <w:rPr>
          <w:rFonts w:ascii="Verdana" w:eastAsia="Arial" w:hAnsi="Verdana" w:cs="Arial"/>
          <w:i/>
          <w:lang w:val="es-MX" w:eastAsia="es-ES" w:bidi="es-ES"/>
        </w:rPr>
        <w:t xml:space="preserve">“habiendo figurado en el procedimiento inicial, hubiera permitido la participación de otros interesados aparte de los inicialmente admitidos, o seleccionar una oferta distinta de la inicialmente seleccionada”. </w:t>
      </w:r>
      <w:r w:rsidRPr="00EA7EBA">
        <w:rPr>
          <w:rFonts w:ascii="Verdana" w:eastAsia="Arial" w:hAnsi="Verdana" w:cs="Arial"/>
          <w:color w:val="000000"/>
          <w:lang w:val="es-ES" w:eastAsia="es-ES" w:bidi="es-ES"/>
        </w:rPr>
        <w:t xml:space="preserve">En esta línea, para establecer si un contrato determinado puede ser susceptible de modificación, se hace necesario que la Administración analice, </w:t>
      </w:r>
      <w:r w:rsidRPr="00EA7EBA">
        <w:rPr>
          <w:rFonts w:ascii="Verdana" w:eastAsia="Arial" w:hAnsi="Verdana" w:cs="Arial"/>
          <w:color w:val="000000"/>
          <w:lang w:val="es-ES" w:eastAsia="es-ES" w:bidi="es-ES"/>
        </w:rPr>
        <w:lastRenderedPageBreak/>
        <w:t xml:space="preserve">en cada caso, la concurrencia de los aspectos antes referidos. </w:t>
      </w:r>
    </w:p>
    <w:p w14:paraId="05CAE3F3" w14:textId="77777777" w:rsidR="00EA7EBA" w:rsidRPr="00EA7EBA" w:rsidRDefault="00EA7EBA" w:rsidP="00EA7EBA">
      <w:pPr>
        <w:widowControl w:val="0"/>
        <w:autoSpaceDE w:val="0"/>
        <w:autoSpaceDN w:val="0"/>
        <w:spacing w:after="0" w:line="276" w:lineRule="auto"/>
        <w:ind w:firstLine="708"/>
        <w:jc w:val="both"/>
        <w:rPr>
          <w:rFonts w:ascii="Verdana" w:hAnsi="Verdana" w:cs="Arial"/>
        </w:rPr>
      </w:pPr>
      <w:r w:rsidRPr="00EA7EBA">
        <w:rPr>
          <w:rFonts w:ascii="Verdana" w:eastAsia="Arial" w:hAnsi="Verdana" w:cs="Arial"/>
          <w:lang w:val="es-MX" w:eastAsia="es-ES" w:bidi="es-ES"/>
        </w:rPr>
        <w:t xml:space="preserve">Finalmente, se encuentran los </w:t>
      </w:r>
      <w:r w:rsidRPr="00EA7EBA">
        <w:rPr>
          <w:rFonts w:ascii="Verdana" w:eastAsia="Arial" w:hAnsi="Verdana" w:cs="Arial"/>
          <w:i/>
          <w:iCs/>
          <w:lang w:val="es-MX" w:eastAsia="es-ES" w:bidi="es-ES"/>
        </w:rPr>
        <w:t>límites axiológicos</w:t>
      </w:r>
      <w:r w:rsidRPr="00EA7EBA">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EA7EBA">
        <w:rPr>
          <w:rFonts w:ascii="Verdana" w:hAnsi="Verdana" w:cs="Arial"/>
          <w:lang w:eastAsia="es-ES_tradnl"/>
        </w:rPr>
        <w:t>Lo anterior, con la finalidad de realizar la escogencia diligente de la mejor oferta, para beneficiar los intereses y fines públicos inmersos en la contratación de las entidades estatales. A modo de ejemplo, la entidad</w:t>
      </w:r>
      <w:r w:rsidRPr="00EA7EBA">
        <w:rPr>
          <w:rFonts w:ascii="Verdana" w:hAnsi="Verdana" w:cs="Arial"/>
        </w:rPr>
        <w:t xml:space="preserve"> no puede dar lugar a una ampliación ilimitada de los contratos, pues no se encuentran exentos de la aplicación de los principios de la contratación estatal, como la planeación.</w:t>
      </w:r>
    </w:p>
    <w:p w14:paraId="5397A443" w14:textId="77777777" w:rsidR="00EA7EBA" w:rsidRPr="00EA7EBA" w:rsidRDefault="00EA7EBA" w:rsidP="00EA7EBA">
      <w:pPr>
        <w:spacing w:after="0" w:line="276" w:lineRule="auto"/>
        <w:jc w:val="both"/>
        <w:rPr>
          <w:rFonts w:ascii="Verdana" w:eastAsia="Arial" w:hAnsi="Verdana" w:cs="Arial"/>
          <w:sz w:val="20"/>
          <w:szCs w:val="20"/>
        </w:rPr>
      </w:pPr>
    </w:p>
    <w:p w14:paraId="7B858703" w14:textId="77777777" w:rsidR="00EA7EBA" w:rsidRPr="00EA7EBA" w:rsidRDefault="00EA7EBA" w:rsidP="00EA7EBA">
      <w:pPr>
        <w:numPr>
          <w:ilvl w:val="0"/>
          <w:numId w:val="19"/>
        </w:numPr>
        <w:spacing w:after="0" w:line="256" w:lineRule="auto"/>
        <w:rPr>
          <w:rFonts w:ascii="Verdana" w:eastAsia="Calibri" w:hAnsi="Verdana" w:cs="Times New Roman"/>
          <w:b/>
          <w:bCs/>
          <w:lang w:val="es-ES"/>
        </w:rPr>
      </w:pPr>
      <w:r w:rsidRPr="00EA7EBA">
        <w:rPr>
          <w:rFonts w:ascii="Verdana" w:eastAsia="Calibri" w:hAnsi="Verdana" w:cs="Times New Roman"/>
          <w:b/>
          <w:bCs/>
          <w:lang w:val="es-ES"/>
        </w:rPr>
        <w:t>Referencias normativas</w:t>
      </w:r>
    </w:p>
    <w:p w14:paraId="4C9974C7" w14:textId="77777777" w:rsidR="00EA7EBA" w:rsidRPr="00EA7EBA" w:rsidRDefault="00EA7EBA" w:rsidP="00EA7EB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7EBA" w:rsidRPr="00EA7EBA" w14:paraId="2F18F9F5" w14:textId="77777777" w:rsidTr="00D40286">
        <w:trPr>
          <w:trHeight w:val="1889"/>
          <w:jc w:val="center"/>
        </w:trPr>
        <w:tc>
          <w:tcPr>
            <w:tcW w:w="8647" w:type="dxa"/>
          </w:tcPr>
          <w:p w14:paraId="3621C558" w14:textId="77777777" w:rsidR="00EA7EBA" w:rsidRPr="00EA7EBA" w:rsidRDefault="00EA7EBA" w:rsidP="00EA7EBA">
            <w:pPr>
              <w:widowControl w:val="0"/>
              <w:numPr>
                <w:ilvl w:val="0"/>
                <w:numId w:val="20"/>
              </w:numPr>
              <w:autoSpaceDE w:val="0"/>
              <w:autoSpaceDN w:val="0"/>
              <w:spacing w:line="360" w:lineRule="auto"/>
              <w:contextualSpacing/>
              <w:jc w:val="both"/>
              <w:rPr>
                <w:rFonts w:ascii="Verdana" w:hAnsi="Verdana" w:cs="Arial"/>
                <w:lang w:val="es-ES_tradnl"/>
              </w:rPr>
            </w:pPr>
            <w:r w:rsidRPr="00EA7EBA">
              <w:rPr>
                <w:rFonts w:ascii="Verdana" w:eastAsia="Calibri" w:hAnsi="Verdana" w:cs="Arial"/>
                <w:bCs/>
                <w:color w:val="000000"/>
                <w:lang w:eastAsia="es-ES_tradnl"/>
              </w:rPr>
              <w:t xml:space="preserve">Ley 80 de 1993, artículos 1, 2, 11, 12, 13, 32, 39, 40 y 41. </w:t>
            </w:r>
          </w:p>
          <w:p w14:paraId="489C8CA5" w14:textId="77777777" w:rsidR="00EA7EBA" w:rsidRPr="00EA7EBA" w:rsidRDefault="00EA7EBA" w:rsidP="00EA7EBA">
            <w:pPr>
              <w:widowControl w:val="0"/>
              <w:numPr>
                <w:ilvl w:val="0"/>
                <w:numId w:val="20"/>
              </w:numPr>
              <w:autoSpaceDE w:val="0"/>
              <w:autoSpaceDN w:val="0"/>
              <w:spacing w:line="360" w:lineRule="auto"/>
              <w:contextualSpacing/>
              <w:jc w:val="both"/>
              <w:rPr>
                <w:rFonts w:ascii="Verdana" w:hAnsi="Verdana" w:cs="Arial"/>
                <w:lang w:val="es-ES_tradnl"/>
              </w:rPr>
            </w:pPr>
            <w:r w:rsidRPr="00EA7EBA">
              <w:rPr>
                <w:rFonts w:ascii="Verdana" w:hAnsi="Verdana" w:cs="Arial"/>
                <w:lang w:val="es-ES_tradnl"/>
              </w:rPr>
              <w:t xml:space="preserve">Ley 795 de 2003, artículo 17. </w:t>
            </w:r>
          </w:p>
          <w:p w14:paraId="38CC8150" w14:textId="77777777" w:rsidR="00EA7EBA" w:rsidRPr="00EA7EBA" w:rsidRDefault="00EA7EBA" w:rsidP="00EA7EBA">
            <w:pPr>
              <w:widowControl w:val="0"/>
              <w:numPr>
                <w:ilvl w:val="0"/>
                <w:numId w:val="20"/>
              </w:numPr>
              <w:autoSpaceDE w:val="0"/>
              <w:autoSpaceDN w:val="0"/>
              <w:spacing w:line="360" w:lineRule="auto"/>
              <w:contextualSpacing/>
              <w:jc w:val="both"/>
              <w:rPr>
                <w:rFonts w:ascii="Verdana" w:hAnsi="Verdana" w:cs="Arial"/>
                <w:lang w:val="es-ES_tradnl"/>
              </w:rPr>
            </w:pPr>
            <w:r w:rsidRPr="00EA7EBA">
              <w:rPr>
                <w:rFonts w:ascii="Verdana" w:hAnsi="Verdana" w:cs="Arial"/>
                <w:lang w:val="es-ES_tradnl"/>
              </w:rPr>
              <w:t xml:space="preserve">Código Civil, artículos 1495, 1500, 1501. </w:t>
            </w:r>
          </w:p>
          <w:p w14:paraId="1889BF12" w14:textId="77777777" w:rsidR="00EA7EBA" w:rsidRPr="00EA7EBA" w:rsidRDefault="00EA7EBA" w:rsidP="00EA7EBA">
            <w:pPr>
              <w:widowControl w:val="0"/>
              <w:numPr>
                <w:ilvl w:val="0"/>
                <w:numId w:val="20"/>
              </w:numPr>
              <w:autoSpaceDE w:val="0"/>
              <w:autoSpaceDN w:val="0"/>
              <w:spacing w:line="360" w:lineRule="auto"/>
              <w:contextualSpacing/>
              <w:jc w:val="both"/>
              <w:rPr>
                <w:rFonts w:ascii="Verdana" w:hAnsi="Verdana" w:cs="Arial"/>
                <w:lang w:val="es-ES_tradnl"/>
              </w:rPr>
            </w:pPr>
            <w:r w:rsidRPr="00EA7EBA">
              <w:rPr>
                <w:rFonts w:ascii="Verdana" w:eastAsia="Calibri" w:hAnsi="Verdana" w:cs="Arial"/>
                <w:bCs/>
                <w:color w:val="000000"/>
                <w:lang w:eastAsia="es-ES_tradnl"/>
              </w:rPr>
              <w:t xml:space="preserve">Código del Comercio, artículos 1036, 1037, 1046. </w:t>
            </w:r>
          </w:p>
          <w:p w14:paraId="7773C351" w14:textId="77777777" w:rsidR="00EA7EBA" w:rsidRPr="00EA7EBA" w:rsidRDefault="00EA7EBA" w:rsidP="00EA7EBA">
            <w:pPr>
              <w:widowControl w:val="0"/>
              <w:numPr>
                <w:ilvl w:val="0"/>
                <w:numId w:val="20"/>
              </w:numPr>
              <w:autoSpaceDE w:val="0"/>
              <w:autoSpaceDN w:val="0"/>
              <w:spacing w:line="360" w:lineRule="auto"/>
              <w:contextualSpacing/>
              <w:jc w:val="both"/>
              <w:rPr>
                <w:rFonts w:ascii="Verdana" w:hAnsi="Verdana" w:cs="Arial"/>
                <w:lang w:val="es-ES_tradnl"/>
              </w:rPr>
            </w:pPr>
            <w:r w:rsidRPr="00EA7EBA">
              <w:rPr>
                <w:rFonts w:ascii="Verdana" w:eastAsia="Calibri" w:hAnsi="Verdana" w:cs="Arial"/>
                <w:bCs/>
                <w:color w:val="000000"/>
                <w:lang w:eastAsia="es-ES_tradnl"/>
              </w:rPr>
              <w:t xml:space="preserve">Decreto 2555 de 2010, artículos 2.31.1.2.1. y 2.31.1.2.5. </w:t>
            </w:r>
          </w:p>
        </w:tc>
      </w:tr>
    </w:tbl>
    <w:p w14:paraId="6C39E579" w14:textId="77777777" w:rsidR="00EA7EBA" w:rsidRPr="00EA7EBA" w:rsidRDefault="00EA7EBA" w:rsidP="00EA7EBA">
      <w:pPr>
        <w:spacing w:after="0" w:line="276" w:lineRule="auto"/>
        <w:ind w:right="709"/>
        <w:jc w:val="both"/>
        <w:rPr>
          <w:rFonts w:ascii="Verdana" w:hAnsi="Verdana" w:cs="Arial"/>
          <w:color w:val="000000" w:themeColor="text1"/>
          <w:lang w:val="es-ES_tradnl"/>
        </w:rPr>
      </w:pPr>
    </w:p>
    <w:p w14:paraId="04253903" w14:textId="77777777" w:rsidR="00EA7EBA" w:rsidRPr="00EA7EBA" w:rsidRDefault="00EA7EBA" w:rsidP="00EA7EBA">
      <w:pPr>
        <w:numPr>
          <w:ilvl w:val="0"/>
          <w:numId w:val="19"/>
        </w:numPr>
        <w:spacing w:after="0" w:line="276" w:lineRule="auto"/>
        <w:rPr>
          <w:rFonts w:ascii="Verdana" w:eastAsia="Calibri" w:hAnsi="Verdana" w:cs="Times New Roman"/>
          <w:b/>
          <w:bCs/>
          <w:lang w:val="es-ES"/>
        </w:rPr>
      </w:pPr>
      <w:r w:rsidRPr="00EA7EBA">
        <w:rPr>
          <w:rFonts w:ascii="Verdana" w:eastAsia="Calibri" w:hAnsi="Verdana" w:cs="Times New Roman"/>
          <w:b/>
          <w:bCs/>
          <w:lang w:val="es-ES"/>
        </w:rPr>
        <w:t>Doctrina de la Agencia Nacional de Contratación Pública:</w:t>
      </w:r>
    </w:p>
    <w:p w14:paraId="2308EADA" w14:textId="77777777" w:rsidR="00EA7EBA" w:rsidRPr="00EA7EBA" w:rsidRDefault="00EA7EBA" w:rsidP="00EA7EBA">
      <w:pPr>
        <w:widowControl w:val="0"/>
        <w:autoSpaceDE w:val="0"/>
        <w:autoSpaceDN w:val="0"/>
        <w:spacing w:after="0" w:line="276" w:lineRule="auto"/>
        <w:jc w:val="both"/>
        <w:rPr>
          <w:rFonts w:ascii="Verdana" w:hAnsi="Verdana" w:cs="Arial"/>
          <w:bCs/>
          <w:shd w:val="clear" w:color="auto" w:fill="FFFFFF"/>
        </w:rPr>
      </w:pPr>
    </w:p>
    <w:p w14:paraId="282680F8" w14:textId="77777777" w:rsidR="00EA7EBA" w:rsidRPr="00EA7EBA" w:rsidRDefault="00EA7EBA" w:rsidP="00EA7EBA">
      <w:pPr>
        <w:widowControl w:val="0"/>
        <w:autoSpaceDE w:val="0"/>
        <w:autoSpaceDN w:val="0"/>
        <w:spacing w:after="0" w:line="276" w:lineRule="auto"/>
        <w:jc w:val="both"/>
        <w:rPr>
          <w:rFonts w:ascii="Verdana" w:eastAsia="Calibri" w:hAnsi="Verdana" w:cs="Times New Roman"/>
        </w:rPr>
      </w:pPr>
      <w:r w:rsidRPr="00EA7EBA">
        <w:rPr>
          <w:rFonts w:ascii="Verdana" w:hAnsi="Verdana" w:cs="Arial"/>
          <w:bCs/>
          <w:shd w:val="clear" w:color="auto" w:fill="FFFFFF"/>
        </w:rPr>
        <w:t xml:space="preserve">La Agencia Nacional de Contratación Pública – Colombia Compra Eficiente ha expedido conceptos sobre las garantías en la contratación estatal que se detallan, tales como: </w:t>
      </w:r>
      <w:r w:rsidRPr="00EA7EBA">
        <w:rPr>
          <w:rFonts w:ascii="Verdana" w:hAnsi="Verdana" w:cs="Arial"/>
          <w:shd w:val="clear" w:color="auto" w:fill="FFFFFF"/>
          <w:lang w:val="es-ES"/>
        </w:rPr>
        <w:t>Conceptos</w:t>
      </w:r>
      <w:r w:rsidRPr="00EA7EBA">
        <w:rPr>
          <w:rFonts w:ascii="Verdana" w:hAnsi="Verdana" w:cs="Calibri"/>
          <w:shd w:val="clear" w:color="auto" w:fill="FFFFFF"/>
        </w:rPr>
        <w:t xml:space="preserve"> </w:t>
      </w:r>
      <w:r w:rsidRPr="00EA7EBA">
        <w:rPr>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y C-386 del 31 de enero de 2024. C-306 del 12 de agosto de 2024</w:t>
      </w:r>
      <w:r w:rsidRPr="00EA7EBA">
        <w:rPr>
          <w:rFonts w:ascii="Verdana" w:hAnsi="Verdana" w:cs="Arial"/>
          <w:bCs/>
          <w:shd w:val="clear" w:color="auto" w:fill="FFFFFF"/>
        </w:rPr>
        <w:t xml:space="preserve">. En todo caso, este concepto tiene una particularidad, pues analiza los contratos de seguro que suscriben las entidades estatales para cubrir diferentes riesgos. </w:t>
      </w:r>
      <w:r w:rsidRPr="00EA7EB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82E606A" w14:textId="77777777" w:rsidR="00EA7EBA" w:rsidRPr="00EA7EBA" w:rsidRDefault="00D26916" w:rsidP="00EA7EBA">
      <w:pPr>
        <w:spacing w:after="0" w:line="276" w:lineRule="auto"/>
        <w:jc w:val="both"/>
        <w:rPr>
          <w:rFonts w:ascii="Verdana" w:eastAsia="Calibri" w:hAnsi="Verdana" w:cs="Times New Roman"/>
        </w:rPr>
      </w:pPr>
      <w:hyperlink r:id="rId13" w:history="1">
        <w:r w:rsidR="00EA7EBA" w:rsidRPr="00EA7EBA">
          <w:rPr>
            <w:rFonts w:ascii="Verdana" w:eastAsia="Calibri" w:hAnsi="Verdana" w:cs="Times New Roman"/>
            <w:color w:val="0000FF"/>
            <w:u w:val="single"/>
            <w:lang w:val="es-ES"/>
          </w:rPr>
          <w:t>https://relatoria.colombiacompra.gov.co/busqueda/conceptos</w:t>
        </w:r>
      </w:hyperlink>
      <w:r w:rsidR="00EA7EBA" w:rsidRPr="00EA7EBA">
        <w:rPr>
          <w:rFonts w:ascii="Verdana" w:eastAsia="Calibri" w:hAnsi="Verdana" w:cs="Times New Roman"/>
        </w:rPr>
        <w:t xml:space="preserve">. </w:t>
      </w:r>
    </w:p>
    <w:p w14:paraId="5635B6CC" w14:textId="77777777" w:rsidR="00EA7EBA" w:rsidRPr="00EA7EBA" w:rsidRDefault="00EA7EBA" w:rsidP="00EA7EBA">
      <w:pPr>
        <w:spacing w:after="0" w:line="276" w:lineRule="auto"/>
        <w:jc w:val="both"/>
        <w:rPr>
          <w:rFonts w:ascii="Verdana" w:eastAsia="Calibri" w:hAnsi="Verdana" w:cs="Times New Roman"/>
          <w:lang w:val="es-ES"/>
        </w:rPr>
      </w:pPr>
    </w:p>
    <w:p w14:paraId="65B2865A" w14:textId="77777777" w:rsidR="00EA7EBA" w:rsidRPr="00EA7EBA" w:rsidRDefault="00EA7EBA" w:rsidP="00EA7EBA">
      <w:pPr>
        <w:spacing w:after="0" w:line="276" w:lineRule="auto"/>
        <w:jc w:val="both"/>
        <w:rPr>
          <w:rFonts w:ascii="Verdana" w:hAnsi="Verdana"/>
        </w:rPr>
      </w:pPr>
      <w:r w:rsidRPr="00EA7EB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CD90729" w14:textId="77777777" w:rsidR="00EA7EBA" w:rsidRPr="00EA7EBA" w:rsidRDefault="00EA7EBA" w:rsidP="00EA7EBA">
      <w:pPr>
        <w:spacing w:after="0" w:line="276" w:lineRule="auto"/>
        <w:jc w:val="both"/>
        <w:rPr>
          <w:rFonts w:ascii="Verdana" w:hAnsi="Verdana"/>
        </w:rPr>
      </w:pPr>
    </w:p>
    <w:p w14:paraId="7CF468E9" w14:textId="77777777" w:rsidR="00EA7EBA" w:rsidRPr="00EA7EBA" w:rsidRDefault="00EA7EBA" w:rsidP="00EA7EBA">
      <w:pPr>
        <w:numPr>
          <w:ilvl w:val="0"/>
          <w:numId w:val="15"/>
        </w:numPr>
        <w:spacing w:after="0" w:line="276" w:lineRule="auto"/>
        <w:contextualSpacing/>
        <w:jc w:val="both"/>
        <w:rPr>
          <w:rFonts w:ascii="Verdana" w:hAnsi="Verdana"/>
          <w:lang w:val="es-ES"/>
        </w:rPr>
      </w:pPr>
      <w:r w:rsidRPr="00EA7EBA">
        <w:rPr>
          <w:rFonts w:ascii="Verdana" w:hAnsi="Verdana"/>
          <w:lang w:val="es-ES"/>
        </w:rPr>
        <w:t>Línea nacional gratuita o servicio a la ciudadanía: 01800 0520808</w:t>
      </w:r>
    </w:p>
    <w:p w14:paraId="4769BB9D" w14:textId="77777777" w:rsidR="00EA7EBA" w:rsidRPr="00EA7EBA" w:rsidRDefault="00EA7EBA" w:rsidP="00EA7EBA">
      <w:pPr>
        <w:numPr>
          <w:ilvl w:val="0"/>
          <w:numId w:val="15"/>
        </w:numPr>
        <w:spacing w:after="0" w:line="276" w:lineRule="auto"/>
        <w:contextualSpacing/>
        <w:jc w:val="both"/>
        <w:rPr>
          <w:rFonts w:ascii="Verdana" w:hAnsi="Verdana"/>
          <w:lang w:val="es-ES"/>
        </w:rPr>
      </w:pPr>
      <w:r w:rsidRPr="00EA7EBA">
        <w:rPr>
          <w:rFonts w:ascii="Verdana" w:hAnsi="Verdana"/>
          <w:lang w:val="es-ES"/>
        </w:rPr>
        <w:t>Línea en Bogotá (Mesa de servicio): +57 601 7456788</w:t>
      </w:r>
    </w:p>
    <w:p w14:paraId="3E4F5160" w14:textId="77777777" w:rsidR="00EA7EBA" w:rsidRPr="00EA7EBA" w:rsidRDefault="00EA7EBA" w:rsidP="00EA7EBA">
      <w:pPr>
        <w:numPr>
          <w:ilvl w:val="0"/>
          <w:numId w:val="15"/>
        </w:numPr>
        <w:spacing w:after="0" w:line="276" w:lineRule="auto"/>
        <w:contextualSpacing/>
        <w:jc w:val="both"/>
        <w:rPr>
          <w:rFonts w:ascii="Verdana" w:hAnsi="Verdana"/>
          <w:lang w:val="es-ES"/>
        </w:rPr>
      </w:pPr>
      <w:r w:rsidRPr="00EA7EBA">
        <w:rPr>
          <w:rFonts w:ascii="Verdana" w:hAnsi="Verdana"/>
          <w:lang w:val="es-ES"/>
        </w:rPr>
        <w:t>Línea de servicio y atención al ciudadano: +57 601 7956600</w:t>
      </w:r>
    </w:p>
    <w:p w14:paraId="03F19377" w14:textId="77777777" w:rsidR="00EA7EBA" w:rsidRPr="00EA7EBA" w:rsidRDefault="00EA7EBA" w:rsidP="00EA7EBA">
      <w:pPr>
        <w:numPr>
          <w:ilvl w:val="0"/>
          <w:numId w:val="15"/>
        </w:numPr>
        <w:spacing w:after="0" w:line="276" w:lineRule="auto"/>
        <w:contextualSpacing/>
        <w:jc w:val="both"/>
        <w:rPr>
          <w:rFonts w:ascii="Verdana" w:hAnsi="Verdana"/>
          <w:lang w:val="es-ES"/>
        </w:rPr>
      </w:pPr>
      <w:r w:rsidRPr="00EA7EBA">
        <w:rPr>
          <w:rFonts w:ascii="Verdana" w:hAnsi="Verdana"/>
          <w:lang w:val="es-ES"/>
        </w:rPr>
        <w:t xml:space="preserve">Página web: </w:t>
      </w:r>
      <w:hyperlink r:id="rId14" w:history="1">
        <w:r w:rsidRPr="00EA7EBA">
          <w:rPr>
            <w:rFonts w:ascii="Verdana" w:hAnsi="Verdana"/>
            <w:color w:val="0000FF"/>
            <w:u w:val="single"/>
            <w:lang w:val="es-ES"/>
          </w:rPr>
          <w:t>www.colombiacompra.gov.co</w:t>
        </w:r>
      </w:hyperlink>
    </w:p>
    <w:p w14:paraId="65B2E98F" w14:textId="77777777" w:rsidR="00EA7EBA" w:rsidRPr="00EA7EBA" w:rsidRDefault="00EA7EBA" w:rsidP="00EA7EBA">
      <w:pPr>
        <w:spacing w:after="0" w:line="276" w:lineRule="auto"/>
        <w:ind w:left="785"/>
        <w:contextualSpacing/>
        <w:jc w:val="both"/>
        <w:rPr>
          <w:rFonts w:ascii="Verdana" w:hAnsi="Verdana"/>
          <w:lang w:val="es-ES"/>
        </w:rPr>
      </w:pPr>
    </w:p>
    <w:p w14:paraId="1BB70F08" w14:textId="77777777" w:rsidR="00EA7EBA" w:rsidRPr="00EA7EBA" w:rsidRDefault="00EA7EBA" w:rsidP="00EA7EBA">
      <w:pPr>
        <w:spacing w:after="0" w:line="276" w:lineRule="auto"/>
        <w:jc w:val="both"/>
        <w:rPr>
          <w:rFonts w:ascii="Verdana" w:hAnsi="Verdana"/>
        </w:rPr>
      </w:pPr>
      <w:r w:rsidRPr="00EA7EBA">
        <w:rPr>
          <w:rFonts w:ascii="Verdana" w:hAnsi="Verdana"/>
        </w:rPr>
        <w:t xml:space="preserve">Por último, lo invitamos a seguirnos en las redes sociales en las cuales se difunde información institucional: </w:t>
      </w:r>
    </w:p>
    <w:p w14:paraId="58C877F4" w14:textId="77777777" w:rsidR="00EA7EBA" w:rsidRPr="00EA7EBA" w:rsidRDefault="00EA7EBA" w:rsidP="00EA7EBA">
      <w:pPr>
        <w:spacing w:after="0" w:line="276" w:lineRule="auto"/>
        <w:jc w:val="both"/>
        <w:rPr>
          <w:rFonts w:ascii="Verdana" w:hAnsi="Verdana"/>
        </w:rPr>
      </w:pPr>
    </w:p>
    <w:p w14:paraId="1DAEA183" w14:textId="77777777" w:rsidR="00EA7EBA" w:rsidRPr="00EA7EBA" w:rsidRDefault="00EA7EBA" w:rsidP="00EA7EBA">
      <w:pPr>
        <w:spacing w:after="0" w:line="276" w:lineRule="auto"/>
        <w:jc w:val="both"/>
        <w:rPr>
          <w:rFonts w:ascii="Verdana" w:hAnsi="Verdana"/>
        </w:rPr>
      </w:pPr>
      <w:r w:rsidRPr="00EA7EBA">
        <w:rPr>
          <w:rFonts w:ascii="Verdana" w:hAnsi="Verdana"/>
        </w:rPr>
        <w:t xml:space="preserve">Twitter: </w:t>
      </w:r>
      <w:r w:rsidRPr="00EA7EBA">
        <w:rPr>
          <w:rFonts w:ascii="Verdana" w:hAnsi="Verdana"/>
          <w:color w:val="0000FF"/>
          <w:u w:val="single"/>
        </w:rPr>
        <w:t>@colombiacompra</w:t>
      </w:r>
      <w:r w:rsidRPr="00EA7EBA">
        <w:rPr>
          <w:rFonts w:ascii="Verdana" w:hAnsi="Verdana"/>
        </w:rPr>
        <w:t xml:space="preserve"> </w:t>
      </w:r>
    </w:p>
    <w:p w14:paraId="4F76D836" w14:textId="77777777" w:rsidR="00EA7EBA" w:rsidRPr="00EA7EBA" w:rsidRDefault="00EA7EBA" w:rsidP="00EA7EBA">
      <w:pPr>
        <w:spacing w:after="0" w:line="276" w:lineRule="auto"/>
        <w:jc w:val="both"/>
        <w:rPr>
          <w:rFonts w:ascii="Verdana" w:hAnsi="Verdana"/>
        </w:rPr>
      </w:pPr>
      <w:r w:rsidRPr="00EA7EBA">
        <w:rPr>
          <w:rFonts w:ascii="Verdana" w:hAnsi="Verdana"/>
        </w:rPr>
        <w:t xml:space="preserve">Facebook: </w:t>
      </w:r>
      <w:r w:rsidRPr="00EA7EBA">
        <w:rPr>
          <w:rFonts w:ascii="Verdana" w:hAnsi="Verdana"/>
          <w:color w:val="0000FF"/>
          <w:u w:val="single"/>
        </w:rPr>
        <w:t>ColombiaCompraEficiente</w:t>
      </w:r>
    </w:p>
    <w:p w14:paraId="1D515D3F" w14:textId="77777777" w:rsidR="00EA7EBA" w:rsidRPr="00EA7EBA" w:rsidRDefault="00EA7EBA" w:rsidP="00EA7EBA">
      <w:pPr>
        <w:spacing w:after="0" w:line="276" w:lineRule="auto"/>
        <w:jc w:val="both"/>
        <w:rPr>
          <w:rFonts w:ascii="Verdana" w:hAnsi="Verdana"/>
        </w:rPr>
      </w:pPr>
      <w:r w:rsidRPr="00EA7EBA">
        <w:rPr>
          <w:rFonts w:ascii="Verdana" w:hAnsi="Verdana"/>
        </w:rPr>
        <w:t xml:space="preserve">LinkedIn: </w:t>
      </w:r>
      <w:r w:rsidRPr="00EA7EBA">
        <w:rPr>
          <w:rFonts w:ascii="Verdana" w:hAnsi="Verdana"/>
          <w:color w:val="0000FF"/>
          <w:u w:val="single"/>
        </w:rPr>
        <w:t>Agencia Nacional de Contratación Pública - Colombia Compra Eficiente</w:t>
      </w:r>
      <w:r w:rsidRPr="00EA7EBA">
        <w:rPr>
          <w:rFonts w:ascii="Verdana" w:hAnsi="Verdana"/>
        </w:rPr>
        <w:t xml:space="preserve"> Instagram: </w:t>
      </w:r>
      <w:r w:rsidRPr="00EA7EBA">
        <w:rPr>
          <w:rFonts w:ascii="Verdana" w:hAnsi="Verdana"/>
          <w:color w:val="0000FF"/>
          <w:u w:val="single"/>
        </w:rPr>
        <w:t>@colombiacompraeficiente_cce</w:t>
      </w:r>
    </w:p>
    <w:p w14:paraId="5572F441" w14:textId="77777777" w:rsidR="00EA7EBA" w:rsidRPr="00EA7EBA" w:rsidRDefault="00EA7EBA" w:rsidP="00EA7EBA">
      <w:pPr>
        <w:spacing w:after="0" w:line="276" w:lineRule="auto"/>
        <w:jc w:val="both"/>
        <w:rPr>
          <w:rFonts w:ascii="Verdana" w:hAnsi="Verdana"/>
        </w:rPr>
      </w:pPr>
    </w:p>
    <w:p w14:paraId="36114E8F" w14:textId="77777777" w:rsidR="00EA7EBA" w:rsidRPr="00EA7EBA" w:rsidRDefault="00EA7EBA" w:rsidP="00EA7EBA">
      <w:pPr>
        <w:spacing w:after="0" w:line="276" w:lineRule="auto"/>
        <w:jc w:val="both"/>
        <w:rPr>
          <w:rFonts w:ascii="Verdana" w:eastAsia="Calibri" w:hAnsi="Verdana" w:cs="Times New Roman"/>
          <w:bCs/>
          <w:lang w:val="es-ES_tradnl"/>
        </w:rPr>
      </w:pPr>
      <w:r w:rsidRPr="00EA7EB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FFA1D5" w14:textId="77777777" w:rsidR="00EA7EBA" w:rsidRPr="00EA7EBA" w:rsidRDefault="00EA7EBA" w:rsidP="00EA7EBA">
      <w:pPr>
        <w:spacing w:after="0" w:line="276" w:lineRule="auto"/>
        <w:jc w:val="both"/>
        <w:rPr>
          <w:rFonts w:ascii="Verdana" w:eastAsia="Calibri" w:hAnsi="Verdana" w:cs="Times New Roman"/>
        </w:rPr>
      </w:pPr>
    </w:p>
    <w:p w14:paraId="1495E893" w14:textId="1677E1B6" w:rsidR="00EA7EBA" w:rsidRPr="00BB49D3" w:rsidRDefault="00EA7EBA" w:rsidP="00BB49D3">
      <w:pPr>
        <w:spacing w:after="0" w:line="276" w:lineRule="auto"/>
        <w:jc w:val="both"/>
        <w:rPr>
          <w:rFonts w:ascii="Verdana" w:eastAsia="Calibri" w:hAnsi="Verdana" w:cs="Times New Roman"/>
        </w:rPr>
      </w:pPr>
      <w:r w:rsidRPr="00EA7EBA">
        <w:rPr>
          <w:rFonts w:ascii="Verdana" w:eastAsia="Calibri" w:hAnsi="Verdana" w:cs="Times New Roman"/>
        </w:rPr>
        <w:t>Atentamente,</w:t>
      </w:r>
    </w:p>
    <w:p w14:paraId="6CC9B3EA" w14:textId="4D3BA2CC" w:rsidR="00BB49D3" w:rsidRPr="00BB49D3" w:rsidRDefault="00BB49D3" w:rsidP="005A411B">
      <w:pPr>
        <w:spacing w:after="0" w:line="276" w:lineRule="auto"/>
        <w:jc w:val="center"/>
        <w:rPr>
          <w:rFonts w:ascii="Verdana" w:eastAsia="Times New Roman" w:hAnsi="Verdana" w:cs="Arial"/>
          <w:noProof/>
          <w:sz w:val="24"/>
          <w:szCs w:val="24"/>
          <w:lang w:val="en-US"/>
        </w:rPr>
      </w:pPr>
      <w:r w:rsidRPr="002C3AD6">
        <w:rPr>
          <w:rFonts w:ascii="Century Gothic" w:hAnsi="Century Gothic"/>
          <w:noProof/>
          <w:lang w:val="en-US"/>
        </w:rPr>
        <w:drawing>
          <wp:inline distT="0" distB="0" distL="0" distR="0" wp14:anchorId="585B74AE" wp14:editId="5A228344">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bookmarkStart w:id="1" w:name="_GoBack"/>
      <w:bookmarkEnd w:id="1"/>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A7EBA" w:rsidRPr="00EA7EBA" w14:paraId="309C6984" w14:textId="77777777" w:rsidTr="00D40286">
        <w:trPr>
          <w:trHeight w:val="409"/>
        </w:trPr>
        <w:tc>
          <w:tcPr>
            <w:tcW w:w="817" w:type="dxa"/>
            <w:tcBorders>
              <w:top w:val="nil"/>
              <w:left w:val="nil"/>
              <w:bottom w:val="nil"/>
              <w:right w:val="nil"/>
            </w:tcBorders>
            <w:vAlign w:val="center"/>
            <w:hideMark/>
          </w:tcPr>
          <w:p w14:paraId="56080B92"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DB0B469"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 xml:space="preserve">José Luis Sánchez Cardona </w:t>
            </w:r>
          </w:p>
          <w:p w14:paraId="4F05E7DA"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Contratista de la Subdirección de Gestión Contractual</w:t>
            </w:r>
          </w:p>
        </w:tc>
      </w:tr>
      <w:tr w:rsidR="00EA7EBA" w:rsidRPr="00EA7EBA" w14:paraId="5E1BF3AF" w14:textId="77777777" w:rsidTr="00D40286">
        <w:trPr>
          <w:trHeight w:val="409"/>
        </w:trPr>
        <w:tc>
          <w:tcPr>
            <w:tcW w:w="817" w:type="dxa"/>
            <w:tcBorders>
              <w:top w:val="nil"/>
              <w:left w:val="nil"/>
              <w:bottom w:val="nil"/>
              <w:right w:val="nil"/>
            </w:tcBorders>
            <w:vAlign w:val="center"/>
            <w:hideMark/>
          </w:tcPr>
          <w:p w14:paraId="7B88C630"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9282C74"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Diana Lucía Saavedra Castañeda</w:t>
            </w:r>
          </w:p>
          <w:p w14:paraId="253E3249" w14:textId="77777777" w:rsidR="00EA7EBA" w:rsidRPr="00EA7EBA" w:rsidRDefault="00EA7EBA" w:rsidP="00EA7EBA">
            <w:pPr>
              <w:spacing w:after="0" w:line="256" w:lineRule="auto"/>
              <w:rPr>
                <w:rFonts w:ascii="Verdana" w:eastAsia="Calibri" w:hAnsi="Verdana" w:cs="Times New Roman"/>
                <w:sz w:val="16"/>
                <w:szCs w:val="16"/>
                <w:highlight w:val="yellow"/>
              </w:rPr>
            </w:pPr>
            <w:r w:rsidRPr="00EA7EBA">
              <w:rPr>
                <w:rFonts w:ascii="Verdana" w:eastAsia="Calibri" w:hAnsi="Verdana" w:cs="Times New Roman"/>
                <w:sz w:val="16"/>
                <w:szCs w:val="16"/>
              </w:rPr>
              <w:t>Contratista de la Subdirección de Gestión Contractual </w:t>
            </w:r>
          </w:p>
        </w:tc>
      </w:tr>
      <w:tr w:rsidR="00EA7EBA" w:rsidRPr="00EA7EBA" w14:paraId="52503F7C" w14:textId="77777777" w:rsidTr="00D40286">
        <w:trPr>
          <w:trHeight w:val="389"/>
        </w:trPr>
        <w:tc>
          <w:tcPr>
            <w:tcW w:w="817" w:type="dxa"/>
            <w:tcBorders>
              <w:top w:val="nil"/>
              <w:left w:val="nil"/>
              <w:bottom w:val="nil"/>
              <w:right w:val="nil"/>
            </w:tcBorders>
            <w:vAlign w:val="center"/>
            <w:hideMark/>
          </w:tcPr>
          <w:p w14:paraId="71606041"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9599C18"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Carolina Quintero Gacharná</w:t>
            </w:r>
          </w:p>
          <w:p w14:paraId="1DC60F93" w14:textId="77777777" w:rsidR="00EA7EBA" w:rsidRPr="00EA7EBA" w:rsidRDefault="00EA7EBA" w:rsidP="00EA7EBA">
            <w:pPr>
              <w:spacing w:after="0" w:line="256" w:lineRule="auto"/>
              <w:rPr>
                <w:rFonts w:ascii="Verdana" w:eastAsia="Calibri" w:hAnsi="Verdana" w:cs="Times New Roman"/>
                <w:sz w:val="16"/>
                <w:szCs w:val="16"/>
              </w:rPr>
            </w:pPr>
            <w:r w:rsidRPr="00EA7EBA">
              <w:rPr>
                <w:rFonts w:ascii="Verdana" w:eastAsia="Calibri" w:hAnsi="Verdana" w:cs="Times New Roman"/>
                <w:sz w:val="16"/>
                <w:szCs w:val="16"/>
              </w:rPr>
              <w:t>Subdirectora de Gestión Contractual ANCP – CCE</w:t>
            </w:r>
          </w:p>
        </w:tc>
      </w:tr>
      <w:bookmarkEnd w:id="0"/>
    </w:tbl>
    <w:p w14:paraId="63E826D0" w14:textId="0A648048" w:rsidR="0057702A" w:rsidRPr="0057702A" w:rsidRDefault="0057702A" w:rsidP="00BB49D3">
      <w:pPr>
        <w:spacing w:after="0" w:line="240" w:lineRule="auto"/>
        <w:rPr>
          <w:rFonts w:ascii="Verdana" w:hAnsi="Verdana"/>
          <w:b/>
          <w:bCs/>
        </w:rPr>
      </w:pPr>
    </w:p>
    <w:sectPr w:rsidR="0057702A" w:rsidRPr="0057702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0FF94E" w16cex:dateUtc="2025-03-05T15:30:00Z"/>
  <w16cex:commentExtensible w16cex:durableId="76F8DF64" w16cex:dateUtc="2025-03-05T15:32:00Z"/>
  <w16cex:commentExtensible w16cex:durableId="3C422D6E" w16cex:dateUtc="2025-03-06T13:16:00Z"/>
  <w16cex:commentExtensible w16cex:durableId="6F53A67E" w16cex:dateUtc="2025-03-05T16:46:00Z"/>
  <w16cex:commentExtensible w16cex:durableId="65BD95C9" w16cex:dateUtc="2025-03-05T16:09:00Z"/>
  <w16cex:commentExtensible w16cex:durableId="74792FE9" w16cex:dateUtc="2025-03-06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D84FB3" w16cid:durableId="4F0FF94E"/>
  <w16cid:commentId w16cid:paraId="625E7F2E" w16cid:durableId="76F8DF64"/>
  <w16cid:commentId w16cid:paraId="27617AF8" w16cid:durableId="3C422D6E"/>
  <w16cid:commentId w16cid:paraId="5A2F9C90" w16cid:durableId="6F53A67E"/>
  <w16cid:commentId w16cid:paraId="6C9969D4" w16cid:durableId="65BD95C9"/>
  <w16cid:commentId w16cid:paraId="321FD533" w16cid:durableId="74792FE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D317B" w14:textId="77777777" w:rsidR="00D26916" w:rsidRDefault="00D26916" w:rsidP="004A1847">
      <w:pPr>
        <w:spacing w:after="0" w:line="240" w:lineRule="auto"/>
      </w:pPr>
      <w:r>
        <w:separator/>
      </w:r>
    </w:p>
  </w:endnote>
  <w:endnote w:type="continuationSeparator" w:id="0">
    <w:p w14:paraId="5E19A349" w14:textId="77777777" w:rsidR="00D26916" w:rsidRDefault="00D26916" w:rsidP="004A1847">
      <w:pPr>
        <w:spacing w:after="0" w:line="240" w:lineRule="auto"/>
      </w:pPr>
      <w:r>
        <w:continuationSeparator/>
      </w:r>
    </w:p>
  </w:endnote>
  <w:endnote w:type="continuationNotice" w:id="1">
    <w:p w14:paraId="684CAB6B" w14:textId="77777777" w:rsidR="00D26916" w:rsidRDefault="00D269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CE7F38" w:rsidRDefault="00CE7F38">
    <w:pPr>
      <w:pStyle w:val="Piedepgina"/>
    </w:pPr>
  </w:p>
  <w:p w14:paraId="594D6D9F" w14:textId="4306A849" w:rsidR="00CE7F38" w:rsidRPr="00174B77" w:rsidRDefault="00CE7F3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A411B" w:rsidRPr="005A411B">
      <w:rPr>
        <w:rFonts w:ascii="Verdana" w:eastAsiaTheme="minorEastAsia" w:hAnsi="Verdana"/>
        <w:b/>
        <w:bCs/>
        <w:noProof/>
        <w:sz w:val="16"/>
        <w:szCs w:val="16"/>
      </w:rPr>
      <w:t>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CE7F38" w:rsidRDefault="00CE7F3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CE7F38" w:rsidRPr="00E41027" w:rsidRDefault="00CE7F3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CE7F38" w:rsidRDefault="00CE7F3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5E374" w14:textId="77777777" w:rsidR="00D26916" w:rsidRDefault="00D26916" w:rsidP="004A1847">
      <w:pPr>
        <w:spacing w:after="0" w:line="240" w:lineRule="auto"/>
      </w:pPr>
      <w:r>
        <w:separator/>
      </w:r>
    </w:p>
  </w:footnote>
  <w:footnote w:type="continuationSeparator" w:id="0">
    <w:p w14:paraId="473CFCDD" w14:textId="77777777" w:rsidR="00D26916" w:rsidRDefault="00D26916" w:rsidP="004A1847">
      <w:pPr>
        <w:spacing w:after="0" w:line="240" w:lineRule="auto"/>
      </w:pPr>
      <w:r>
        <w:continuationSeparator/>
      </w:r>
    </w:p>
  </w:footnote>
  <w:footnote w:type="continuationNotice" w:id="1">
    <w:p w14:paraId="4859FC16" w14:textId="77777777" w:rsidR="00D26916" w:rsidRDefault="00D26916">
      <w:pPr>
        <w:spacing w:after="0" w:line="240" w:lineRule="auto"/>
      </w:pPr>
    </w:p>
  </w:footnote>
  <w:footnote w:id="2">
    <w:p w14:paraId="7084FE1A" w14:textId="77777777" w:rsidR="00EA7EBA" w:rsidRDefault="00EA7EBA" w:rsidP="00EA7EBA">
      <w:pPr>
        <w:pStyle w:val="Textonotapie"/>
        <w:ind w:firstLine="708"/>
        <w:jc w:val="both"/>
        <w:rPr>
          <w:rFonts w:ascii="Verdana" w:hAnsi="Verdana" w:cs="Arial"/>
          <w:sz w:val="16"/>
          <w:szCs w:val="16"/>
        </w:rPr>
      </w:pPr>
      <w:r w:rsidRPr="00D40286">
        <w:rPr>
          <w:rStyle w:val="Refdenotaalpie"/>
          <w:rFonts w:ascii="Verdana" w:hAnsi="Verdana" w:cs="Arial"/>
          <w:sz w:val="16"/>
          <w:szCs w:val="16"/>
        </w:rPr>
        <w:footnoteRef/>
      </w:r>
      <w:r w:rsidRPr="00D40286">
        <w:rPr>
          <w:rFonts w:ascii="Verdana" w:hAnsi="Verdana" w:cs="Arial"/>
          <w:sz w:val="16"/>
          <w:szCs w:val="16"/>
        </w:rPr>
        <w:t xml:space="preserve"> Cfr. BENAVIDES, José Luis. El contrato estatal: entre el derecho público y el derecho privado. Segunda edición. Bogotá: Universidad Externado de Colombia, 2009. pp. 78-79.      </w:t>
      </w:r>
    </w:p>
    <w:p w14:paraId="39152C66" w14:textId="77777777" w:rsidR="00EA7EBA" w:rsidRPr="00D40286" w:rsidRDefault="00EA7EBA" w:rsidP="00EA7EBA">
      <w:pPr>
        <w:pStyle w:val="Textonotapie"/>
        <w:ind w:firstLine="708"/>
        <w:jc w:val="both"/>
        <w:rPr>
          <w:rFonts w:ascii="Verdana" w:hAnsi="Verdana" w:cs="Arial"/>
          <w:sz w:val="16"/>
          <w:szCs w:val="16"/>
          <w:lang w:val="es-ES"/>
        </w:rPr>
      </w:pPr>
    </w:p>
  </w:footnote>
  <w:footnote w:id="3">
    <w:p w14:paraId="664A62FC" w14:textId="6605B2B4" w:rsidR="00EA7EBA" w:rsidRPr="00BB49D3" w:rsidRDefault="00EA7EBA" w:rsidP="00BB49D3">
      <w:pPr>
        <w:pStyle w:val="Textonotapie"/>
        <w:ind w:firstLine="708"/>
        <w:jc w:val="both"/>
        <w:rPr>
          <w:rFonts w:ascii="Verdana" w:hAnsi="Verdana" w:cs="Arial"/>
          <w:sz w:val="16"/>
          <w:szCs w:val="16"/>
        </w:rPr>
      </w:pPr>
      <w:r w:rsidRPr="00D40286">
        <w:rPr>
          <w:rStyle w:val="Refdenotaalpie"/>
          <w:rFonts w:ascii="Verdana" w:hAnsi="Verdana" w:cs="Arial"/>
          <w:sz w:val="16"/>
          <w:szCs w:val="16"/>
        </w:rPr>
        <w:footnoteRef/>
      </w:r>
      <w:r w:rsidRPr="00D40286">
        <w:rPr>
          <w:rFonts w:ascii="Verdana" w:hAnsi="Verdana" w:cs="Arial"/>
          <w:sz w:val="16"/>
          <w:szCs w:val="16"/>
        </w:rPr>
        <w:t xml:space="preserve"> BETANCUR JARAMILLO, Carlos. Derecho procesal administrativo. Octava edición. Medellín: Señal Editora, 2013. p. 627. </w:t>
      </w:r>
    </w:p>
  </w:footnote>
  <w:footnote w:id="4">
    <w:p w14:paraId="4EC451C3" w14:textId="77777777" w:rsidR="00EA7EBA" w:rsidRDefault="00EA7EBA" w:rsidP="00EA7EBA">
      <w:pPr>
        <w:pStyle w:val="Textoindependiente"/>
        <w:ind w:firstLine="708"/>
        <w:contextualSpacing/>
        <w:jc w:val="both"/>
        <w:rPr>
          <w:rFonts w:ascii="Verdana" w:hAnsi="Verdana"/>
          <w:sz w:val="16"/>
          <w:szCs w:val="16"/>
        </w:rPr>
      </w:pPr>
      <w:r w:rsidRPr="00D40286">
        <w:rPr>
          <w:rStyle w:val="Refdenotaalpie"/>
          <w:rFonts w:ascii="Verdana" w:hAnsi="Verdana"/>
          <w:sz w:val="16"/>
          <w:szCs w:val="16"/>
        </w:rPr>
        <w:footnoteRef/>
      </w:r>
      <w:r w:rsidRPr="00D40286">
        <w:rPr>
          <w:rFonts w:ascii="Verdana" w:hAnsi="Verdana"/>
          <w:sz w:val="16"/>
          <w:szCs w:val="16"/>
        </w:rPr>
        <w:t xml:space="preserve"> </w:t>
      </w:r>
      <w:r w:rsidRPr="00D40286">
        <w:rPr>
          <w:rFonts w:ascii="Verdana" w:hAnsi="Verdana"/>
          <w:sz w:val="16"/>
          <w:szCs w:val="16"/>
          <w:lang w:val="es-ES_tradnl"/>
        </w:rPr>
        <w:t xml:space="preserve">El artículo 2º define, para los efectos del ámbito de sujeción del estatuto, que se denominan entidades estatales: “a) </w:t>
      </w:r>
      <w:r w:rsidRPr="00D40286">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5C81751D" w14:textId="77777777" w:rsidR="00EA7EBA" w:rsidRPr="00D40286" w:rsidRDefault="00EA7EBA" w:rsidP="00EA7EBA">
      <w:pPr>
        <w:pStyle w:val="Textoindependiente"/>
        <w:ind w:firstLine="708"/>
        <w:contextualSpacing/>
        <w:jc w:val="both"/>
        <w:rPr>
          <w:rFonts w:ascii="Verdana" w:hAnsi="Verdana"/>
          <w:sz w:val="16"/>
          <w:szCs w:val="16"/>
        </w:rPr>
      </w:pPr>
    </w:p>
  </w:footnote>
  <w:footnote w:id="5">
    <w:p w14:paraId="7ECEEFE7" w14:textId="3CAC737E" w:rsidR="00EA7EBA" w:rsidRPr="00BB49D3" w:rsidRDefault="00EA7EBA" w:rsidP="00BB49D3">
      <w:pPr>
        <w:pStyle w:val="Textonotapie"/>
        <w:ind w:firstLine="709"/>
        <w:jc w:val="both"/>
        <w:rPr>
          <w:rFonts w:ascii="Verdana" w:hAnsi="Verdana"/>
          <w:sz w:val="16"/>
          <w:szCs w:val="16"/>
        </w:rPr>
      </w:pPr>
      <w:r w:rsidRPr="00D40286">
        <w:rPr>
          <w:rStyle w:val="Refdenotaalpie"/>
          <w:rFonts w:ascii="Verdana" w:hAnsi="Verdana"/>
          <w:sz w:val="16"/>
          <w:szCs w:val="16"/>
        </w:rPr>
        <w:footnoteRef/>
      </w:r>
      <w:r w:rsidRPr="00D40286">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21 de marzo de 2025 en la página web </w:t>
      </w:r>
      <w:hyperlink r:id="rId1" w:history="1">
        <w:r w:rsidRPr="00D40286">
          <w:rPr>
            <w:rStyle w:val="Hipervnculo"/>
            <w:rFonts w:ascii="Verdana" w:hAnsi="Verdana"/>
            <w:sz w:val="16"/>
            <w:szCs w:val="16"/>
          </w:rPr>
          <w:t>https://revistas.udea.edu.co/index.php/derypol/article/view/331285/20790715</w:t>
        </w:r>
      </w:hyperlink>
      <w:r w:rsidRPr="00D40286">
        <w:rPr>
          <w:rFonts w:ascii="Verdana" w:hAnsi="Verdana"/>
          <w:sz w:val="16"/>
          <w:szCs w:val="16"/>
        </w:rPr>
        <w:t xml:space="preserve">. </w:t>
      </w:r>
    </w:p>
  </w:footnote>
  <w:footnote w:id="6">
    <w:p w14:paraId="63D67D68" w14:textId="77777777" w:rsidR="00EA7EBA" w:rsidRPr="00D40286" w:rsidRDefault="00EA7EBA" w:rsidP="00EA7EBA">
      <w:pPr>
        <w:spacing w:after="0" w:line="240" w:lineRule="auto"/>
        <w:ind w:firstLine="709"/>
        <w:jc w:val="both"/>
        <w:rPr>
          <w:rFonts w:ascii="Verdana" w:eastAsia="Calibri" w:hAnsi="Verdana"/>
          <w:color w:val="000000" w:themeColor="text1"/>
          <w:sz w:val="16"/>
          <w:szCs w:val="16"/>
        </w:rPr>
      </w:pPr>
      <w:r w:rsidRPr="00D40286">
        <w:rPr>
          <w:rStyle w:val="Refdenotaalpie"/>
          <w:rFonts w:ascii="Verdana" w:hAnsi="Verdana"/>
          <w:sz w:val="16"/>
          <w:szCs w:val="16"/>
        </w:rPr>
        <w:footnoteRef/>
      </w:r>
      <w:r w:rsidRPr="00D40286">
        <w:rPr>
          <w:rFonts w:ascii="Verdana" w:hAnsi="Verdana"/>
          <w:sz w:val="16"/>
          <w:szCs w:val="16"/>
        </w:rPr>
        <w:t xml:space="preserve"> </w:t>
      </w:r>
      <w:r w:rsidRPr="00D40286">
        <w:rPr>
          <w:rFonts w:ascii="Verdana" w:eastAsia="Calibri" w:hAnsi="Verdana"/>
          <w:bCs/>
          <w:color w:val="000000" w:themeColor="text1"/>
          <w:sz w:val="16"/>
          <w:szCs w:val="16"/>
        </w:rPr>
        <w:t>Artículo 1037.</w:t>
      </w:r>
      <w:r w:rsidRPr="00D40286">
        <w:rPr>
          <w:rFonts w:ascii="Verdana" w:eastAsia="Calibri" w:hAnsi="Verdana"/>
          <w:color w:val="000000" w:themeColor="text1"/>
          <w:sz w:val="16"/>
          <w:szCs w:val="16"/>
        </w:rPr>
        <w:t> PARTES EN EL CONTRATO DE SEGURO. Son partes del contrato de seguro: </w:t>
      </w:r>
    </w:p>
    <w:p w14:paraId="3695EECD" w14:textId="77777777" w:rsidR="00EA7EBA" w:rsidRPr="00D40286" w:rsidRDefault="00EA7EBA" w:rsidP="00EA7EBA">
      <w:pPr>
        <w:spacing w:after="0" w:line="240" w:lineRule="auto"/>
        <w:ind w:firstLine="709"/>
        <w:jc w:val="both"/>
        <w:rPr>
          <w:rFonts w:ascii="Verdana" w:eastAsia="Calibri" w:hAnsi="Verdana"/>
          <w:color w:val="000000" w:themeColor="text1"/>
          <w:sz w:val="16"/>
          <w:szCs w:val="16"/>
        </w:rPr>
      </w:pPr>
      <w:r w:rsidRPr="00D40286">
        <w:rPr>
          <w:rFonts w:ascii="Verdana" w:eastAsia="Calibri" w:hAnsi="Verdana"/>
          <w:color w:val="000000" w:themeColor="text1"/>
          <w:sz w:val="16"/>
          <w:szCs w:val="16"/>
        </w:rPr>
        <w:t>1) El asegurador, o sea la persona jurídica que asume los riesgos, debidamente autorizada para ello con arreglo a las leyes y reglamentos, y </w:t>
      </w:r>
    </w:p>
    <w:p w14:paraId="30F6F728" w14:textId="77777777" w:rsidR="00EA7EBA" w:rsidRPr="00D40286" w:rsidRDefault="00EA7EBA" w:rsidP="00EA7EBA">
      <w:pPr>
        <w:spacing w:after="0" w:line="240" w:lineRule="auto"/>
        <w:ind w:firstLine="709"/>
        <w:jc w:val="both"/>
        <w:rPr>
          <w:rFonts w:ascii="Verdana" w:eastAsia="Calibri" w:hAnsi="Verdana"/>
          <w:color w:val="000000" w:themeColor="text1"/>
          <w:sz w:val="16"/>
          <w:szCs w:val="16"/>
        </w:rPr>
      </w:pPr>
      <w:r w:rsidRPr="00D40286">
        <w:rPr>
          <w:rFonts w:ascii="Verdana" w:eastAsia="Calibri" w:hAnsi="Verdana"/>
          <w:color w:val="000000" w:themeColor="text1"/>
          <w:sz w:val="16"/>
          <w:szCs w:val="16"/>
        </w:rPr>
        <w:t>2) El tomador, o sea la persona que, obrando por cuenta propia o ajena, traslada los riesgos. </w:t>
      </w:r>
    </w:p>
    <w:p w14:paraId="0D74745A" w14:textId="77777777" w:rsidR="00EA7EBA" w:rsidRPr="00D40286" w:rsidRDefault="00EA7EBA" w:rsidP="00EA7EBA">
      <w:pPr>
        <w:pStyle w:val="Textonotapie"/>
        <w:rPr>
          <w:rFonts w:ascii="Verdana" w:hAnsi="Verdana"/>
          <w:sz w:val="16"/>
          <w:szCs w:val="16"/>
          <w:lang w:val="es-CO"/>
        </w:rPr>
      </w:pPr>
    </w:p>
  </w:footnote>
  <w:footnote w:id="7">
    <w:p w14:paraId="702B26BA" w14:textId="626252D0" w:rsidR="00EA7EBA" w:rsidRPr="00D40286" w:rsidRDefault="00EA7EBA" w:rsidP="00BB49D3">
      <w:pPr>
        <w:pStyle w:val="Textonotapie"/>
        <w:ind w:firstLine="708"/>
        <w:rPr>
          <w:rFonts w:ascii="Verdana" w:hAnsi="Verdana"/>
          <w:sz w:val="16"/>
          <w:szCs w:val="16"/>
        </w:rPr>
      </w:pPr>
      <w:r w:rsidRPr="00D40286">
        <w:rPr>
          <w:rStyle w:val="Refdenotaalpie"/>
          <w:rFonts w:ascii="Verdana" w:hAnsi="Verdana"/>
          <w:sz w:val="16"/>
          <w:szCs w:val="16"/>
        </w:rPr>
        <w:footnoteRef/>
      </w:r>
      <w:r w:rsidRPr="00D40286">
        <w:rPr>
          <w:rFonts w:ascii="Verdana" w:hAnsi="Verdana"/>
          <w:sz w:val="16"/>
          <w:szCs w:val="16"/>
        </w:rPr>
        <w:t xml:space="preserve"> Consejo de Estado. Sección Tercera, Subsección B. Sentencia del 19 de junio de 2013. M.P. Danilo Rojas Betancourth. Exp. 25.472.</w:t>
      </w:r>
    </w:p>
  </w:footnote>
  <w:footnote w:id="8">
    <w:p w14:paraId="4279A083" w14:textId="77777777" w:rsidR="00EA7EBA" w:rsidRPr="00D40286" w:rsidRDefault="00EA7EBA" w:rsidP="00EA7EBA">
      <w:pPr>
        <w:pStyle w:val="Textonotapie"/>
        <w:ind w:firstLine="708"/>
        <w:jc w:val="both"/>
        <w:rPr>
          <w:rFonts w:ascii="Verdana" w:hAnsi="Verdana"/>
          <w:sz w:val="16"/>
          <w:szCs w:val="16"/>
          <w:lang w:val="es-CO"/>
        </w:rPr>
      </w:pPr>
      <w:r w:rsidRPr="00D40286">
        <w:rPr>
          <w:rStyle w:val="Refdenotaalpie"/>
          <w:rFonts w:ascii="Verdana" w:hAnsi="Verdana"/>
          <w:sz w:val="16"/>
          <w:szCs w:val="16"/>
        </w:rPr>
        <w:footnoteRef/>
      </w:r>
      <w:r w:rsidRPr="00D40286">
        <w:rPr>
          <w:rFonts w:ascii="Verdana" w:hAnsi="Verdana"/>
          <w:sz w:val="16"/>
          <w:szCs w:val="16"/>
        </w:rPr>
        <w:t xml:space="preserve"> </w:t>
      </w:r>
      <w:r w:rsidRPr="00D40286">
        <w:rPr>
          <w:rFonts w:ascii="Verdana" w:hAnsi="Verdana"/>
          <w:sz w:val="16"/>
          <w:szCs w:val="16"/>
          <w:lang w:val="es-CO"/>
        </w:rPr>
        <w:t xml:space="preserve">Al respecto, </w:t>
      </w:r>
      <w:r w:rsidRPr="00D40286">
        <w:rPr>
          <w:rFonts w:ascii="Verdana" w:hAnsi="Verdana"/>
          <w:bCs/>
          <w:sz w:val="16"/>
          <w:szCs w:val="16"/>
          <w:lang w:val="es-CO"/>
        </w:rPr>
        <w:t>los artículos 2.31.1.2.1</w:t>
      </w:r>
      <w:r w:rsidRPr="00D40286">
        <w:rPr>
          <w:rFonts w:ascii="Verdana" w:hAnsi="Verdana"/>
          <w:sz w:val="16"/>
          <w:szCs w:val="16"/>
          <w:lang w:val="es-CO"/>
        </w:rPr>
        <w:t xml:space="preserve">. y 2.31.1.2.5. del Decreto 2555 de 2010 -modificado por el decreto 2954 de 2010-, disponen que “las entidades aseguradoras deben mantener permanentemente y acreditar ante la Superintendencia Financiera de Colombia en la forma y plazos que esta determine, </w:t>
      </w:r>
      <w:r w:rsidRPr="00D40286">
        <w:rPr>
          <w:rFonts w:ascii="Verdana" w:hAnsi="Verdana"/>
          <w:b/>
          <w:bCs/>
          <w:sz w:val="16"/>
          <w:szCs w:val="16"/>
          <w:u w:val="single"/>
          <w:lang w:val="es-CO"/>
        </w:rPr>
        <w:t>un patrimonio técnico equivalente como mínimo al nivel de patrimonio adecuado</w:t>
      </w:r>
      <w:r w:rsidRPr="00D40286">
        <w:rPr>
          <w:rFonts w:ascii="Verdana" w:hAnsi="Verdana"/>
          <w:sz w:val="16"/>
          <w:szCs w:val="16"/>
          <w:lang w:val="es-CO"/>
        </w:rPr>
        <w:t xml:space="preserve">”, el cual, “corresponderá al patrimonio técnico mínimo que deben mantener y acreditar las entidades aseguradoras, el cual estará determinado en función de tres componentes a) el riesgo de suscripción, b) el riesgo de activo y c) el riesgo de mercado” (énfasis fuera de texto). </w:t>
      </w:r>
    </w:p>
    <w:p w14:paraId="4F0F8DA4" w14:textId="77777777" w:rsidR="00EA7EBA" w:rsidRPr="00D40286" w:rsidRDefault="00EA7EBA" w:rsidP="00EA7EBA">
      <w:pPr>
        <w:pStyle w:val="Textonotapie"/>
        <w:ind w:firstLine="708"/>
        <w:jc w:val="both"/>
        <w:rPr>
          <w:rFonts w:ascii="Verdana" w:hAnsi="Verdana"/>
          <w:sz w:val="16"/>
          <w:szCs w:val="16"/>
          <w:lang w:val="es-CO"/>
        </w:rPr>
      </w:pPr>
      <w:r w:rsidRPr="00D40286">
        <w:rPr>
          <w:rFonts w:ascii="Verdana" w:hAnsi="Verdana"/>
          <w:sz w:val="16"/>
          <w:szCs w:val="16"/>
          <w:lang w:val="es-CO"/>
        </w:rPr>
        <w:t xml:space="preserve">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la definición del indicador y la forma de calcularlo, se evidencia que existen diversas formas de configurarlo por parte de las Entidades contratantes, siempre partiendo del criterio establecido normativamente respecto a que el patrimonio técnico deberá ser equivalente como mínimo al nivel de patrimonio adecuado. A continuación, y a modo explicativo, se presentan algunas metodologías utilizadas por Entidades en el ejercicio de cálculo y evaluación del indicador, sin embargo, es importante establecer que estas no corresponden a una regla, por lo que la Entidad determinará como resultado del análisis de sector estructurado […] (énfasis dentro del texto) (Colombia Compra Eficiente. Concepto C-116 de 2025). </w:t>
      </w:r>
    </w:p>
    <w:p w14:paraId="22B9B46E" w14:textId="77777777" w:rsidR="00EA7EBA" w:rsidRPr="00D40286" w:rsidRDefault="00EA7EBA" w:rsidP="00EA7EBA">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CE7F38" w:rsidRDefault="00CE7F3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CE7F38" w:rsidRDefault="00CE7F38">
    <w:pPr>
      <w:pStyle w:val="Encabezado"/>
    </w:pPr>
  </w:p>
  <w:p w14:paraId="3079FC11" w14:textId="77777777" w:rsidR="00CE7F38" w:rsidRDefault="00CE7F38" w:rsidP="004A305D">
    <w:pPr>
      <w:spacing w:after="0"/>
      <w:rPr>
        <w:rFonts w:ascii="Verdana" w:hAnsi="Verdana"/>
        <w:b/>
        <w:bCs/>
      </w:rPr>
    </w:pPr>
  </w:p>
  <w:p w14:paraId="5E18350A" w14:textId="705F7B76" w:rsidR="00CE7F38" w:rsidRPr="004A305D" w:rsidRDefault="00CE7F38" w:rsidP="00B01B1A">
    <w:pPr>
      <w:spacing w:after="0" w:line="120" w:lineRule="auto"/>
      <w:rPr>
        <w:rFonts w:ascii="Century Gothic" w:eastAsia="Geo" w:hAnsi="Century Gothic" w:cs="Geo"/>
        <w:sz w:val="16"/>
        <w:szCs w:val="16"/>
        <w:lang w:eastAsia="es-CO"/>
      </w:rPr>
    </w:pPr>
  </w:p>
  <w:p w14:paraId="1FD1C243" w14:textId="6D74A3CF" w:rsidR="00CE7F38" w:rsidRDefault="00CE7F3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2"/>
  </w:num>
  <w:num w:numId="2">
    <w:abstractNumId w:val="2"/>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6"/>
  </w:num>
  <w:num w:numId="7">
    <w:abstractNumId w:val="11"/>
  </w:num>
  <w:num w:numId="8">
    <w:abstractNumId w:val="25"/>
  </w:num>
  <w:num w:numId="9">
    <w:abstractNumId w:val="13"/>
  </w:num>
  <w:num w:numId="10">
    <w:abstractNumId w:val="23"/>
  </w:num>
  <w:num w:numId="11">
    <w:abstractNumId w:val="14"/>
  </w:num>
  <w:num w:numId="12">
    <w:abstractNumId w:val="1"/>
  </w:num>
  <w:num w:numId="13">
    <w:abstractNumId w:val="7"/>
  </w:num>
  <w:num w:numId="14">
    <w:abstractNumId w:val="27"/>
  </w:num>
  <w:num w:numId="15">
    <w:abstractNumId w:val="2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0"/>
  </w:num>
  <w:num w:numId="19">
    <w:abstractNumId w:val="9"/>
  </w:num>
  <w:num w:numId="20">
    <w:abstractNumId w:val="15"/>
  </w:num>
  <w:num w:numId="21">
    <w:abstractNumId w:val="28"/>
  </w:num>
  <w:num w:numId="22">
    <w:abstractNumId w:val="16"/>
  </w:num>
  <w:num w:numId="23">
    <w:abstractNumId w:val="0"/>
  </w:num>
  <w:num w:numId="24">
    <w:abstractNumId w:val="21"/>
  </w:num>
  <w:num w:numId="25">
    <w:abstractNumId w:val="18"/>
  </w:num>
  <w:num w:numId="26">
    <w:abstractNumId w:val="17"/>
  </w:num>
  <w:num w:numId="27">
    <w:abstractNumId w:val="6"/>
  </w:num>
  <w:num w:numId="28">
    <w:abstractNumId w:val="8"/>
  </w:num>
  <w:num w:numId="29">
    <w:abstractNumId w:val="3"/>
  </w:num>
  <w:num w:numId="30">
    <w:abstractNumId w:val="4"/>
  </w:num>
  <w:num w:numId="31">
    <w:abstractNumId w:val="19"/>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36498"/>
    <w:rsid w:val="00040F37"/>
    <w:rsid w:val="00041860"/>
    <w:rsid w:val="0004434A"/>
    <w:rsid w:val="0005281E"/>
    <w:rsid w:val="0005682C"/>
    <w:rsid w:val="00056D71"/>
    <w:rsid w:val="00061B2A"/>
    <w:rsid w:val="0006279A"/>
    <w:rsid w:val="00062BAF"/>
    <w:rsid w:val="000630B9"/>
    <w:rsid w:val="000635D0"/>
    <w:rsid w:val="000643B2"/>
    <w:rsid w:val="00065E80"/>
    <w:rsid w:val="0007022C"/>
    <w:rsid w:val="00071DE6"/>
    <w:rsid w:val="000724F0"/>
    <w:rsid w:val="00077439"/>
    <w:rsid w:val="000774B8"/>
    <w:rsid w:val="00082362"/>
    <w:rsid w:val="0008328D"/>
    <w:rsid w:val="0009018D"/>
    <w:rsid w:val="00090C58"/>
    <w:rsid w:val="000920CF"/>
    <w:rsid w:val="0009387A"/>
    <w:rsid w:val="0009387B"/>
    <w:rsid w:val="000963C6"/>
    <w:rsid w:val="0009762F"/>
    <w:rsid w:val="000A31B9"/>
    <w:rsid w:val="000A3330"/>
    <w:rsid w:val="000A3D63"/>
    <w:rsid w:val="000A683A"/>
    <w:rsid w:val="000A683E"/>
    <w:rsid w:val="000B158F"/>
    <w:rsid w:val="000B19B9"/>
    <w:rsid w:val="000C2889"/>
    <w:rsid w:val="000D0152"/>
    <w:rsid w:val="000D0334"/>
    <w:rsid w:val="000D25D7"/>
    <w:rsid w:val="000D3B29"/>
    <w:rsid w:val="000E06F4"/>
    <w:rsid w:val="000E0F63"/>
    <w:rsid w:val="000E1324"/>
    <w:rsid w:val="000E4CE4"/>
    <w:rsid w:val="000F6486"/>
    <w:rsid w:val="000F669F"/>
    <w:rsid w:val="001063B3"/>
    <w:rsid w:val="00107ACA"/>
    <w:rsid w:val="001114A9"/>
    <w:rsid w:val="00111979"/>
    <w:rsid w:val="00113BA0"/>
    <w:rsid w:val="00116537"/>
    <w:rsid w:val="00120766"/>
    <w:rsid w:val="00121EA1"/>
    <w:rsid w:val="001240BD"/>
    <w:rsid w:val="00125105"/>
    <w:rsid w:val="00127233"/>
    <w:rsid w:val="00131D34"/>
    <w:rsid w:val="00143E81"/>
    <w:rsid w:val="00143FD9"/>
    <w:rsid w:val="00145047"/>
    <w:rsid w:val="00146C57"/>
    <w:rsid w:val="00150565"/>
    <w:rsid w:val="00160D5C"/>
    <w:rsid w:val="0016332F"/>
    <w:rsid w:val="001717E9"/>
    <w:rsid w:val="0017238A"/>
    <w:rsid w:val="00180A30"/>
    <w:rsid w:val="0018159B"/>
    <w:rsid w:val="00185EE9"/>
    <w:rsid w:val="00187F79"/>
    <w:rsid w:val="00195992"/>
    <w:rsid w:val="00196153"/>
    <w:rsid w:val="00197274"/>
    <w:rsid w:val="001A237A"/>
    <w:rsid w:val="001A26CF"/>
    <w:rsid w:val="001A2919"/>
    <w:rsid w:val="001B2CFE"/>
    <w:rsid w:val="001B5AFB"/>
    <w:rsid w:val="001C222E"/>
    <w:rsid w:val="001C22F9"/>
    <w:rsid w:val="001D1C29"/>
    <w:rsid w:val="001D7A16"/>
    <w:rsid w:val="001E3C06"/>
    <w:rsid w:val="001E4177"/>
    <w:rsid w:val="001F4EFD"/>
    <w:rsid w:val="001F5E13"/>
    <w:rsid w:val="001F6D11"/>
    <w:rsid w:val="001F7DC6"/>
    <w:rsid w:val="00202886"/>
    <w:rsid w:val="00206A83"/>
    <w:rsid w:val="00212298"/>
    <w:rsid w:val="00215CEF"/>
    <w:rsid w:val="00217A08"/>
    <w:rsid w:val="00220B77"/>
    <w:rsid w:val="00221D27"/>
    <w:rsid w:val="00227C89"/>
    <w:rsid w:val="00236499"/>
    <w:rsid w:val="00237233"/>
    <w:rsid w:val="002421BB"/>
    <w:rsid w:val="00246A81"/>
    <w:rsid w:val="00251A5F"/>
    <w:rsid w:val="0025796E"/>
    <w:rsid w:val="002603E5"/>
    <w:rsid w:val="00260FD9"/>
    <w:rsid w:val="00262921"/>
    <w:rsid w:val="002638B2"/>
    <w:rsid w:val="002660F2"/>
    <w:rsid w:val="002664BB"/>
    <w:rsid w:val="002707A2"/>
    <w:rsid w:val="00270FB6"/>
    <w:rsid w:val="002715B9"/>
    <w:rsid w:val="00281E93"/>
    <w:rsid w:val="002835A6"/>
    <w:rsid w:val="002844ED"/>
    <w:rsid w:val="002951A0"/>
    <w:rsid w:val="002962BC"/>
    <w:rsid w:val="002A093D"/>
    <w:rsid w:val="002A0DC4"/>
    <w:rsid w:val="002A0DD0"/>
    <w:rsid w:val="002A49AC"/>
    <w:rsid w:val="002A64FD"/>
    <w:rsid w:val="002A6BBF"/>
    <w:rsid w:val="002B1E57"/>
    <w:rsid w:val="002B1F7F"/>
    <w:rsid w:val="002B290B"/>
    <w:rsid w:val="002B631F"/>
    <w:rsid w:val="002C110E"/>
    <w:rsid w:val="002C379A"/>
    <w:rsid w:val="002C500E"/>
    <w:rsid w:val="002C765E"/>
    <w:rsid w:val="002C7A84"/>
    <w:rsid w:val="002D0696"/>
    <w:rsid w:val="002D13A1"/>
    <w:rsid w:val="002D3F0D"/>
    <w:rsid w:val="002E1D98"/>
    <w:rsid w:val="002E2C3F"/>
    <w:rsid w:val="002E2F4F"/>
    <w:rsid w:val="002E4FD9"/>
    <w:rsid w:val="002E6F15"/>
    <w:rsid w:val="002F13FD"/>
    <w:rsid w:val="00303544"/>
    <w:rsid w:val="003039C1"/>
    <w:rsid w:val="00310DBE"/>
    <w:rsid w:val="0031430F"/>
    <w:rsid w:val="00320BBD"/>
    <w:rsid w:val="00322A85"/>
    <w:rsid w:val="00324168"/>
    <w:rsid w:val="0033032A"/>
    <w:rsid w:val="00333EB7"/>
    <w:rsid w:val="00334C6A"/>
    <w:rsid w:val="00336C05"/>
    <w:rsid w:val="00342675"/>
    <w:rsid w:val="00343512"/>
    <w:rsid w:val="003448F4"/>
    <w:rsid w:val="00345330"/>
    <w:rsid w:val="003528DF"/>
    <w:rsid w:val="00352C12"/>
    <w:rsid w:val="00354BCA"/>
    <w:rsid w:val="00354F33"/>
    <w:rsid w:val="0036594E"/>
    <w:rsid w:val="003665EE"/>
    <w:rsid w:val="0037010E"/>
    <w:rsid w:val="003734F4"/>
    <w:rsid w:val="00374F5E"/>
    <w:rsid w:val="00377E2D"/>
    <w:rsid w:val="00377E3E"/>
    <w:rsid w:val="003815E8"/>
    <w:rsid w:val="00385B4A"/>
    <w:rsid w:val="003906F8"/>
    <w:rsid w:val="00392A49"/>
    <w:rsid w:val="003A26D1"/>
    <w:rsid w:val="003A3B30"/>
    <w:rsid w:val="003A779E"/>
    <w:rsid w:val="003B005A"/>
    <w:rsid w:val="003C1BFE"/>
    <w:rsid w:val="003C1C0E"/>
    <w:rsid w:val="003C3FA5"/>
    <w:rsid w:val="003D0F4D"/>
    <w:rsid w:val="003D5B0D"/>
    <w:rsid w:val="003D66C4"/>
    <w:rsid w:val="003E0499"/>
    <w:rsid w:val="003E40F2"/>
    <w:rsid w:val="003F3941"/>
    <w:rsid w:val="003F4BAF"/>
    <w:rsid w:val="00400676"/>
    <w:rsid w:val="004008A9"/>
    <w:rsid w:val="00405A3E"/>
    <w:rsid w:val="00406575"/>
    <w:rsid w:val="00407C75"/>
    <w:rsid w:val="00410906"/>
    <w:rsid w:val="0041655A"/>
    <w:rsid w:val="0041694B"/>
    <w:rsid w:val="00426FD7"/>
    <w:rsid w:val="0042722E"/>
    <w:rsid w:val="00427DA0"/>
    <w:rsid w:val="00434322"/>
    <w:rsid w:val="00440391"/>
    <w:rsid w:val="00441FCF"/>
    <w:rsid w:val="00442C7F"/>
    <w:rsid w:val="0044528D"/>
    <w:rsid w:val="00450920"/>
    <w:rsid w:val="00454D48"/>
    <w:rsid w:val="004554F9"/>
    <w:rsid w:val="0046004D"/>
    <w:rsid w:val="004623C5"/>
    <w:rsid w:val="004633DE"/>
    <w:rsid w:val="00465E71"/>
    <w:rsid w:val="004712E0"/>
    <w:rsid w:val="004734BD"/>
    <w:rsid w:val="00474931"/>
    <w:rsid w:val="00474F4F"/>
    <w:rsid w:val="004762F6"/>
    <w:rsid w:val="00482608"/>
    <w:rsid w:val="00483749"/>
    <w:rsid w:val="00484809"/>
    <w:rsid w:val="00484BB1"/>
    <w:rsid w:val="004871C2"/>
    <w:rsid w:val="004A0980"/>
    <w:rsid w:val="004A0B8B"/>
    <w:rsid w:val="004A1847"/>
    <w:rsid w:val="004A305D"/>
    <w:rsid w:val="004A3312"/>
    <w:rsid w:val="004A6D9B"/>
    <w:rsid w:val="004B703F"/>
    <w:rsid w:val="004B740F"/>
    <w:rsid w:val="004C4B37"/>
    <w:rsid w:val="004D026D"/>
    <w:rsid w:val="004D3A9E"/>
    <w:rsid w:val="004D46AB"/>
    <w:rsid w:val="004E221E"/>
    <w:rsid w:val="004E2892"/>
    <w:rsid w:val="004E4C0B"/>
    <w:rsid w:val="004E505B"/>
    <w:rsid w:val="004E78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0397"/>
    <w:rsid w:val="00533E1B"/>
    <w:rsid w:val="00540C2D"/>
    <w:rsid w:val="00541793"/>
    <w:rsid w:val="00552502"/>
    <w:rsid w:val="005566E8"/>
    <w:rsid w:val="00560CB5"/>
    <w:rsid w:val="00564F8B"/>
    <w:rsid w:val="00574122"/>
    <w:rsid w:val="00574867"/>
    <w:rsid w:val="0057702A"/>
    <w:rsid w:val="00577D09"/>
    <w:rsid w:val="0058087F"/>
    <w:rsid w:val="00591460"/>
    <w:rsid w:val="00592628"/>
    <w:rsid w:val="00597C75"/>
    <w:rsid w:val="005A0868"/>
    <w:rsid w:val="005A0CFB"/>
    <w:rsid w:val="005A282F"/>
    <w:rsid w:val="005A2AC9"/>
    <w:rsid w:val="005A2D71"/>
    <w:rsid w:val="005A411B"/>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5F91"/>
    <w:rsid w:val="005D7B25"/>
    <w:rsid w:val="005F0EE5"/>
    <w:rsid w:val="005F7C43"/>
    <w:rsid w:val="00605A00"/>
    <w:rsid w:val="00607BEC"/>
    <w:rsid w:val="00610812"/>
    <w:rsid w:val="00612CE7"/>
    <w:rsid w:val="00614D2B"/>
    <w:rsid w:val="006219F8"/>
    <w:rsid w:val="00625B7F"/>
    <w:rsid w:val="0063165E"/>
    <w:rsid w:val="0063166A"/>
    <w:rsid w:val="00632C08"/>
    <w:rsid w:val="00636BF8"/>
    <w:rsid w:val="00650FF7"/>
    <w:rsid w:val="006569FB"/>
    <w:rsid w:val="00664B4D"/>
    <w:rsid w:val="00665D70"/>
    <w:rsid w:val="00667199"/>
    <w:rsid w:val="00671DAC"/>
    <w:rsid w:val="006747C7"/>
    <w:rsid w:val="006827AC"/>
    <w:rsid w:val="006859A3"/>
    <w:rsid w:val="006900D9"/>
    <w:rsid w:val="006A0008"/>
    <w:rsid w:val="006A10DF"/>
    <w:rsid w:val="006A3147"/>
    <w:rsid w:val="006C0240"/>
    <w:rsid w:val="006C1E81"/>
    <w:rsid w:val="006C5595"/>
    <w:rsid w:val="006D12F8"/>
    <w:rsid w:val="006F0D40"/>
    <w:rsid w:val="006F2501"/>
    <w:rsid w:val="006F7C51"/>
    <w:rsid w:val="00704D9B"/>
    <w:rsid w:val="00705E5F"/>
    <w:rsid w:val="00706C16"/>
    <w:rsid w:val="00711C85"/>
    <w:rsid w:val="0071287D"/>
    <w:rsid w:val="0071458F"/>
    <w:rsid w:val="0071627C"/>
    <w:rsid w:val="00717903"/>
    <w:rsid w:val="00723A7F"/>
    <w:rsid w:val="007312C3"/>
    <w:rsid w:val="00737C53"/>
    <w:rsid w:val="00737DFA"/>
    <w:rsid w:val="00751A8E"/>
    <w:rsid w:val="00752A44"/>
    <w:rsid w:val="0075663D"/>
    <w:rsid w:val="00756841"/>
    <w:rsid w:val="00762AA9"/>
    <w:rsid w:val="007649AB"/>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D02"/>
    <w:rsid w:val="007C0C0F"/>
    <w:rsid w:val="007C1E3A"/>
    <w:rsid w:val="007C3DC2"/>
    <w:rsid w:val="007D0457"/>
    <w:rsid w:val="007D43C9"/>
    <w:rsid w:val="007D7E4B"/>
    <w:rsid w:val="007E5497"/>
    <w:rsid w:val="007F28CA"/>
    <w:rsid w:val="007F52A4"/>
    <w:rsid w:val="007F60FB"/>
    <w:rsid w:val="007F7B94"/>
    <w:rsid w:val="00804981"/>
    <w:rsid w:val="0080567E"/>
    <w:rsid w:val="00806F5F"/>
    <w:rsid w:val="008110BD"/>
    <w:rsid w:val="00811F14"/>
    <w:rsid w:val="008163D7"/>
    <w:rsid w:val="00820278"/>
    <w:rsid w:val="008202D9"/>
    <w:rsid w:val="00834554"/>
    <w:rsid w:val="00834B31"/>
    <w:rsid w:val="00840ADC"/>
    <w:rsid w:val="00843BF7"/>
    <w:rsid w:val="008449B3"/>
    <w:rsid w:val="00846276"/>
    <w:rsid w:val="00850E23"/>
    <w:rsid w:val="00851137"/>
    <w:rsid w:val="00853978"/>
    <w:rsid w:val="0085432F"/>
    <w:rsid w:val="00864209"/>
    <w:rsid w:val="00866586"/>
    <w:rsid w:val="0087325B"/>
    <w:rsid w:val="00874144"/>
    <w:rsid w:val="00881ABA"/>
    <w:rsid w:val="008843B6"/>
    <w:rsid w:val="00886C89"/>
    <w:rsid w:val="00891928"/>
    <w:rsid w:val="00894B8B"/>
    <w:rsid w:val="0089556C"/>
    <w:rsid w:val="008A00A4"/>
    <w:rsid w:val="008A446D"/>
    <w:rsid w:val="008A7A64"/>
    <w:rsid w:val="008A7F08"/>
    <w:rsid w:val="008B2F0E"/>
    <w:rsid w:val="008B5A2E"/>
    <w:rsid w:val="008C4127"/>
    <w:rsid w:val="008C7645"/>
    <w:rsid w:val="008D180B"/>
    <w:rsid w:val="008D7227"/>
    <w:rsid w:val="008E1F92"/>
    <w:rsid w:val="008E7333"/>
    <w:rsid w:val="008E7B09"/>
    <w:rsid w:val="008F0EA7"/>
    <w:rsid w:val="008F7BB9"/>
    <w:rsid w:val="009029F9"/>
    <w:rsid w:val="00904692"/>
    <w:rsid w:val="00910097"/>
    <w:rsid w:val="00911C7C"/>
    <w:rsid w:val="00913DBA"/>
    <w:rsid w:val="0091561E"/>
    <w:rsid w:val="00923EEF"/>
    <w:rsid w:val="009411F5"/>
    <w:rsid w:val="009419F9"/>
    <w:rsid w:val="00953AA4"/>
    <w:rsid w:val="00955305"/>
    <w:rsid w:val="0095685E"/>
    <w:rsid w:val="00956E12"/>
    <w:rsid w:val="009572D9"/>
    <w:rsid w:val="009600D2"/>
    <w:rsid w:val="00961409"/>
    <w:rsid w:val="00961B09"/>
    <w:rsid w:val="00962300"/>
    <w:rsid w:val="00965334"/>
    <w:rsid w:val="00967DCC"/>
    <w:rsid w:val="0097093E"/>
    <w:rsid w:val="00976025"/>
    <w:rsid w:val="009800BE"/>
    <w:rsid w:val="00982BD4"/>
    <w:rsid w:val="00982E41"/>
    <w:rsid w:val="00984649"/>
    <w:rsid w:val="009858BE"/>
    <w:rsid w:val="009A0DFA"/>
    <w:rsid w:val="009A3C2C"/>
    <w:rsid w:val="009A4A40"/>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4042"/>
    <w:rsid w:val="009E5A30"/>
    <w:rsid w:val="009E7C05"/>
    <w:rsid w:val="009F3831"/>
    <w:rsid w:val="009F3832"/>
    <w:rsid w:val="009F3A13"/>
    <w:rsid w:val="009F3E13"/>
    <w:rsid w:val="009F4AB2"/>
    <w:rsid w:val="009F73F7"/>
    <w:rsid w:val="00A02465"/>
    <w:rsid w:val="00A03415"/>
    <w:rsid w:val="00A04A81"/>
    <w:rsid w:val="00A122D3"/>
    <w:rsid w:val="00A14D3D"/>
    <w:rsid w:val="00A17F13"/>
    <w:rsid w:val="00A20739"/>
    <w:rsid w:val="00A211D0"/>
    <w:rsid w:val="00A23361"/>
    <w:rsid w:val="00A24433"/>
    <w:rsid w:val="00A2443A"/>
    <w:rsid w:val="00A246FA"/>
    <w:rsid w:val="00A27ACE"/>
    <w:rsid w:val="00A332DD"/>
    <w:rsid w:val="00A339A9"/>
    <w:rsid w:val="00A33C78"/>
    <w:rsid w:val="00A34B38"/>
    <w:rsid w:val="00A34D87"/>
    <w:rsid w:val="00A35538"/>
    <w:rsid w:val="00A37BC4"/>
    <w:rsid w:val="00A42050"/>
    <w:rsid w:val="00A43292"/>
    <w:rsid w:val="00A445C0"/>
    <w:rsid w:val="00A466EE"/>
    <w:rsid w:val="00A50E16"/>
    <w:rsid w:val="00A56FCA"/>
    <w:rsid w:val="00A6004A"/>
    <w:rsid w:val="00A613C2"/>
    <w:rsid w:val="00A74DE6"/>
    <w:rsid w:val="00A8086A"/>
    <w:rsid w:val="00A80F32"/>
    <w:rsid w:val="00A81405"/>
    <w:rsid w:val="00A87F7D"/>
    <w:rsid w:val="00A9244C"/>
    <w:rsid w:val="00A94D14"/>
    <w:rsid w:val="00AA5784"/>
    <w:rsid w:val="00AB0ADB"/>
    <w:rsid w:val="00AB3FD1"/>
    <w:rsid w:val="00AB6C82"/>
    <w:rsid w:val="00AC0EAB"/>
    <w:rsid w:val="00AC1435"/>
    <w:rsid w:val="00AC4701"/>
    <w:rsid w:val="00AC49A2"/>
    <w:rsid w:val="00AC6FA5"/>
    <w:rsid w:val="00AD3326"/>
    <w:rsid w:val="00AD73E2"/>
    <w:rsid w:val="00AE2631"/>
    <w:rsid w:val="00AF1BEC"/>
    <w:rsid w:val="00B009B8"/>
    <w:rsid w:val="00B01B1A"/>
    <w:rsid w:val="00B14E03"/>
    <w:rsid w:val="00B24457"/>
    <w:rsid w:val="00B26B98"/>
    <w:rsid w:val="00B35ADC"/>
    <w:rsid w:val="00B37C24"/>
    <w:rsid w:val="00B40FBC"/>
    <w:rsid w:val="00B46F27"/>
    <w:rsid w:val="00B47FD7"/>
    <w:rsid w:val="00B51F75"/>
    <w:rsid w:val="00B52CDB"/>
    <w:rsid w:val="00B53E27"/>
    <w:rsid w:val="00B558AF"/>
    <w:rsid w:val="00B6105C"/>
    <w:rsid w:val="00B615BA"/>
    <w:rsid w:val="00B62D8B"/>
    <w:rsid w:val="00B72CD3"/>
    <w:rsid w:val="00B72FFF"/>
    <w:rsid w:val="00B76CEB"/>
    <w:rsid w:val="00B8257D"/>
    <w:rsid w:val="00B828EF"/>
    <w:rsid w:val="00B82B8B"/>
    <w:rsid w:val="00B86FE2"/>
    <w:rsid w:val="00B878ED"/>
    <w:rsid w:val="00B87F69"/>
    <w:rsid w:val="00B91186"/>
    <w:rsid w:val="00B93423"/>
    <w:rsid w:val="00BA2EF4"/>
    <w:rsid w:val="00BA444C"/>
    <w:rsid w:val="00BB26F9"/>
    <w:rsid w:val="00BB3865"/>
    <w:rsid w:val="00BB49D3"/>
    <w:rsid w:val="00BC0036"/>
    <w:rsid w:val="00BC05A6"/>
    <w:rsid w:val="00BC3D36"/>
    <w:rsid w:val="00BC4B34"/>
    <w:rsid w:val="00BD1CBC"/>
    <w:rsid w:val="00BD7F72"/>
    <w:rsid w:val="00BE03BC"/>
    <w:rsid w:val="00BE0A18"/>
    <w:rsid w:val="00BE12F9"/>
    <w:rsid w:val="00BE2120"/>
    <w:rsid w:val="00BF1201"/>
    <w:rsid w:val="00BF1D4A"/>
    <w:rsid w:val="00BF230F"/>
    <w:rsid w:val="00C002E3"/>
    <w:rsid w:val="00C012CC"/>
    <w:rsid w:val="00C04FB3"/>
    <w:rsid w:val="00C10179"/>
    <w:rsid w:val="00C12100"/>
    <w:rsid w:val="00C147D0"/>
    <w:rsid w:val="00C159C1"/>
    <w:rsid w:val="00C16346"/>
    <w:rsid w:val="00C21B15"/>
    <w:rsid w:val="00C264DB"/>
    <w:rsid w:val="00C32523"/>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4561"/>
    <w:rsid w:val="00C915DD"/>
    <w:rsid w:val="00C91B94"/>
    <w:rsid w:val="00CA6A9D"/>
    <w:rsid w:val="00CA7F6B"/>
    <w:rsid w:val="00CA7FB6"/>
    <w:rsid w:val="00CB6357"/>
    <w:rsid w:val="00CC0FA3"/>
    <w:rsid w:val="00CC1B26"/>
    <w:rsid w:val="00CC49F7"/>
    <w:rsid w:val="00CC54DB"/>
    <w:rsid w:val="00CC5725"/>
    <w:rsid w:val="00CD087D"/>
    <w:rsid w:val="00CD41CB"/>
    <w:rsid w:val="00CD5EE0"/>
    <w:rsid w:val="00CE509A"/>
    <w:rsid w:val="00CE5409"/>
    <w:rsid w:val="00CE5414"/>
    <w:rsid w:val="00CE7F38"/>
    <w:rsid w:val="00CF1287"/>
    <w:rsid w:val="00CF7826"/>
    <w:rsid w:val="00D0157A"/>
    <w:rsid w:val="00D036D8"/>
    <w:rsid w:val="00D038ED"/>
    <w:rsid w:val="00D06D26"/>
    <w:rsid w:val="00D10B75"/>
    <w:rsid w:val="00D13351"/>
    <w:rsid w:val="00D15E25"/>
    <w:rsid w:val="00D20368"/>
    <w:rsid w:val="00D22361"/>
    <w:rsid w:val="00D22598"/>
    <w:rsid w:val="00D26916"/>
    <w:rsid w:val="00D26924"/>
    <w:rsid w:val="00D413F6"/>
    <w:rsid w:val="00D4231B"/>
    <w:rsid w:val="00D423A2"/>
    <w:rsid w:val="00D520D8"/>
    <w:rsid w:val="00D52961"/>
    <w:rsid w:val="00D55048"/>
    <w:rsid w:val="00D55978"/>
    <w:rsid w:val="00D57FA4"/>
    <w:rsid w:val="00D62DE7"/>
    <w:rsid w:val="00D63AC2"/>
    <w:rsid w:val="00D665B4"/>
    <w:rsid w:val="00D71688"/>
    <w:rsid w:val="00D7383B"/>
    <w:rsid w:val="00D7609E"/>
    <w:rsid w:val="00D81A63"/>
    <w:rsid w:val="00D81D25"/>
    <w:rsid w:val="00D85C60"/>
    <w:rsid w:val="00D908FC"/>
    <w:rsid w:val="00D94C40"/>
    <w:rsid w:val="00D97ADB"/>
    <w:rsid w:val="00DA069E"/>
    <w:rsid w:val="00DA231B"/>
    <w:rsid w:val="00DA23A0"/>
    <w:rsid w:val="00DA7F66"/>
    <w:rsid w:val="00DB186F"/>
    <w:rsid w:val="00DB322A"/>
    <w:rsid w:val="00DC39FC"/>
    <w:rsid w:val="00DC4385"/>
    <w:rsid w:val="00DC484F"/>
    <w:rsid w:val="00DC4C27"/>
    <w:rsid w:val="00DC51BC"/>
    <w:rsid w:val="00DC793F"/>
    <w:rsid w:val="00DE4629"/>
    <w:rsid w:val="00DE5702"/>
    <w:rsid w:val="00DF11FD"/>
    <w:rsid w:val="00DF5254"/>
    <w:rsid w:val="00E12426"/>
    <w:rsid w:val="00E16408"/>
    <w:rsid w:val="00E1678E"/>
    <w:rsid w:val="00E20894"/>
    <w:rsid w:val="00E245AB"/>
    <w:rsid w:val="00E26239"/>
    <w:rsid w:val="00E2764C"/>
    <w:rsid w:val="00E27F2E"/>
    <w:rsid w:val="00E377A2"/>
    <w:rsid w:val="00E413EA"/>
    <w:rsid w:val="00E45338"/>
    <w:rsid w:val="00E47F28"/>
    <w:rsid w:val="00E50AFE"/>
    <w:rsid w:val="00E52E4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47D2"/>
    <w:rsid w:val="00E85AA8"/>
    <w:rsid w:val="00E870E5"/>
    <w:rsid w:val="00E8772A"/>
    <w:rsid w:val="00E90F6B"/>
    <w:rsid w:val="00E91079"/>
    <w:rsid w:val="00E92C27"/>
    <w:rsid w:val="00E92E10"/>
    <w:rsid w:val="00EA0E3D"/>
    <w:rsid w:val="00EA1CD8"/>
    <w:rsid w:val="00EA393B"/>
    <w:rsid w:val="00EA39A5"/>
    <w:rsid w:val="00EA7EBA"/>
    <w:rsid w:val="00EB185D"/>
    <w:rsid w:val="00EB2C4B"/>
    <w:rsid w:val="00EB7E00"/>
    <w:rsid w:val="00EC17FD"/>
    <w:rsid w:val="00EC1A2C"/>
    <w:rsid w:val="00EC1FE1"/>
    <w:rsid w:val="00EC38A7"/>
    <w:rsid w:val="00ED042A"/>
    <w:rsid w:val="00ED0D4A"/>
    <w:rsid w:val="00EE1AA8"/>
    <w:rsid w:val="00EF26C3"/>
    <w:rsid w:val="00EF419E"/>
    <w:rsid w:val="00EF489F"/>
    <w:rsid w:val="00F07875"/>
    <w:rsid w:val="00F11213"/>
    <w:rsid w:val="00F11BAA"/>
    <w:rsid w:val="00F1445A"/>
    <w:rsid w:val="00F177C1"/>
    <w:rsid w:val="00F23592"/>
    <w:rsid w:val="00F238F2"/>
    <w:rsid w:val="00F260AA"/>
    <w:rsid w:val="00F27B26"/>
    <w:rsid w:val="00F31EDC"/>
    <w:rsid w:val="00F34D02"/>
    <w:rsid w:val="00F34E84"/>
    <w:rsid w:val="00F40BAD"/>
    <w:rsid w:val="00F462B3"/>
    <w:rsid w:val="00F51119"/>
    <w:rsid w:val="00F5184B"/>
    <w:rsid w:val="00F55081"/>
    <w:rsid w:val="00F55168"/>
    <w:rsid w:val="00F5664F"/>
    <w:rsid w:val="00F626C4"/>
    <w:rsid w:val="00F64D9E"/>
    <w:rsid w:val="00F665D0"/>
    <w:rsid w:val="00F666C4"/>
    <w:rsid w:val="00F7684C"/>
    <w:rsid w:val="00F76AFC"/>
    <w:rsid w:val="00F80CBE"/>
    <w:rsid w:val="00F8124D"/>
    <w:rsid w:val="00F85198"/>
    <w:rsid w:val="00F85A91"/>
    <w:rsid w:val="00F939CB"/>
    <w:rsid w:val="00F9479C"/>
    <w:rsid w:val="00F965EE"/>
    <w:rsid w:val="00F97949"/>
    <w:rsid w:val="00FA0A8F"/>
    <w:rsid w:val="00FA1110"/>
    <w:rsid w:val="00FA2BBB"/>
    <w:rsid w:val="00FA358D"/>
    <w:rsid w:val="00FA47C0"/>
    <w:rsid w:val="00FB4425"/>
    <w:rsid w:val="00FB5615"/>
    <w:rsid w:val="00FB5DD1"/>
    <w:rsid w:val="00FB5F87"/>
    <w:rsid w:val="00FC07B5"/>
    <w:rsid w:val="00FC2B5D"/>
    <w:rsid w:val="00FD00E9"/>
    <w:rsid w:val="00FD03E3"/>
    <w:rsid w:val="00FD07E4"/>
    <w:rsid w:val="00FE122A"/>
    <w:rsid w:val="00FE20E6"/>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6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044491">
      <w:bodyDiv w:val="1"/>
      <w:marLeft w:val="0"/>
      <w:marRight w:val="0"/>
      <w:marTop w:val="0"/>
      <w:marBottom w:val="0"/>
      <w:divBdr>
        <w:top w:val="none" w:sz="0" w:space="0" w:color="auto"/>
        <w:left w:val="none" w:sz="0" w:space="0" w:color="auto"/>
        <w:bottom w:val="none" w:sz="0" w:space="0" w:color="auto"/>
        <w:right w:val="none" w:sz="0" w:space="0" w:color="auto"/>
      </w:divBdr>
      <w:divsChild>
        <w:div w:id="570114151">
          <w:marLeft w:val="0"/>
          <w:marRight w:val="0"/>
          <w:marTop w:val="0"/>
          <w:marBottom w:val="0"/>
          <w:divBdr>
            <w:top w:val="none" w:sz="0" w:space="0" w:color="auto"/>
            <w:left w:val="none" w:sz="0" w:space="0" w:color="auto"/>
            <w:bottom w:val="none" w:sz="0" w:space="0" w:color="auto"/>
            <w:right w:val="none" w:sz="0" w:space="0" w:color="auto"/>
          </w:divBdr>
        </w:div>
        <w:div w:id="1191916346">
          <w:marLeft w:val="0"/>
          <w:marRight w:val="0"/>
          <w:marTop w:val="0"/>
          <w:marBottom w:val="0"/>
          <w:divBdr>
            <w:top w:val="none" w:sz="0" w:space="0" w:color="auto"/>
            <w:left w:val="none" w:sz="0" w:space="0" w:color="auto"/>
            <w:bottom w:val="none" w:sz="0" w:space="0" w:color="auto"/>
            <w:right w:val="none" w:sz="0" w:space="0" w:color="auto"/>
          </w:divBdr>
        </w:div>
        <w:div w:id="1103651327">
          <w:marLeft w:val="0"/>
          <w:marRight w:val="0"/>
          <w:marTop w:val="0"/>
          <w:marBottom w:val="0"/>
          <w:divBdr>
            <w:top w:val="none" w:sz="0" w:space="0" w:color="auto"/>
            <w:left w:val="none" w:sz="0" w:space="0" w:color="auto"/>
            <w:bottom w:val="none" w:sz="0" w:space="0" w:color="auto"/>
            <w:right w:val="none" w:sz="0" w:space="0" w:color="auto"/>
          </w:divBdr>
        </w:div>
        <w:div w:id="142507533">
          <w:marLeft w:val="0"/>
          <w:marRight w:val="0"/>
          <w:marTop w:val="0"/>
          <w:marBottom w:val="0"/>
          <w:divBdr>
            <w:top w:val="none" w:sz="0" w:space="0" w:color="auto"/>
            <w:left w:val="none" w:sz="0" w:space="0" w:color="auto"/>
            <w:bottom w:val="none" w:sz="0" w:space="0" w:color="auto"/>
            <w:right w:val="none" w:sz="0" w:space="0" w:color="auto"/>
          </w:divBdr>
        </w:div>
        <w:div w:id="1666979653">
          <w:marLeft w:val="0"/>
          <w:marRight w:val="0"/>
          <w:marTop w:val="0"/>
          <w:marBottom w:val="0"/>
          <w:divBdr>
            <w:top w:val="none" w:sz="0" w:space="0" w:color="auto"/>
            <w:left w:val="none" w:sz="0" w:space="0" w:color="auto"/>
            <w:bottom w:val="none" w:sz="0" w:space="0" w:color="auto"/>
            <w:right w:val="none" w:sz="0" w:space="0" w:color="auto"/>
          </w:divBdr>
        </w:div>
        <w:div w:id="940838905">
          <w:marLeft w:val="0"/>
          <w:marRight w:val="0"/>
          <w:marTop w:val="0"/>
          <w:marBottom w:val="0"/>
          <w:divBdr>
            <w:top w:val="none" w:sz="0" w:space="0" w:color="auto"/>
            <w:left w:val="none" w:sz="0" w:space="0" w:color="auto"/>
            <w:bottom w:val="none" w:sz="0" w:space="0" w:color="auto"/>
            <w:right w:val="none" w:sz="0" w:space="0" w:color="auto"/>
          </w:divBdr>
        </w:div>
        <w:div w:id="1498232586">
          <w:marLeft w:val="0"/>
          <w:marRight w:val="0"/>
          <w:marTop w:val="0"/>
          <w:marBottom w:val="0"/>
          <w:divBdr>
            <w:top w:val="none" w:sz="0" w:space="0" w:color="auto"/>
            <w:left w:val="none" w:sz="0" w:space="0" w:color="auto"/>
            <w:bottom w:val="none" w:sz="0" w:space="0" w:color="auto"/>
            <w:right w:val="none" w:sz="0" w:space="0" w:color="auto"/>
          </w:divBdr>
        </w:div>
        <w:div w:id="199361027">
          <w:marLeft w:val="0"/>
          <w:marRight w:val="0"/>
          <w:marTop w:val="0"/>
          <w:marBottom w:val="0"/>
          <w:divBdr>
            <w:top w:val="none" w:sz="0" w:space="0" w:color="auto"/>
            <w:left w:val="none" w:sz="0" w:space="0" w:color="auto"/>
            <w:bottom w:val="none" w:sz="0" w:space="0" w:color="auto"/>
            <w:right w:val="none" w:sz="0" w:space="0" w:color="auto"/>
          </w:divBdr>
        </w:div>
        <w:div w:id="931355657">
          <w:marLeft w:val="0"/>
          <w:marRight w:val="0"/>
          <w:marTop w:val="0"/>
          <w:marBottom w:val="0"/>
          <w:divBdr>
            <w:top w:val="none" w:sz="0" w:space="0" w:color="auto"/>
            <w:left w:val="none" w:sz="0" w:space="0" w:color="auto"/>
            <w:bottom w:val="none" w:sz="0" w:space="0" w:color="auto"/>
            <w:right w:val="none" w:sz="0" w:space="0" w:color="auto"/>
          </w:divBdr>
        </w:div>
        <w:div w:id="1720546168">
          <w:marLeft w:val="0"/>
          <w:marRight w:val="0"/>
          <w:marTop w:val="0"/>
          <w:marBottom w:val="0"/>
          <w:divBdr>
            <w:top w:val="none" w:sz="0" w:space="0" w:color="auto"/>
            <w:left w:val="none" w:sz="0" w:space="0" w:color="auto"/>
            <w:bottom w:val="none" w:sz="0" w:space="0" w:color="auto"/>
            <w:right w:val="none" w:sz="0" w:space="0" w:color="auto"/>
          </w:divBdr>
        </w:div>
        <w:div w:id="2083869302">
          <w:marLeft w:val="0"/>
          <w:marRight w:val="0"/>
          <w:marTop w:val="0"/>
          <w:marBottom w:val="0"/>
          <w:divBdr>
            <w:top w:val="none" w:sz="0" w:space="0" w:color="auto"/>
            <w:left w:val="none" w:sz="0" w:space="0" w:color="auto"/>
            <w:bottom w:val="none" w:sz="0" w:space="0" w:color="auto"/>
            <w:right w:val="none" w:sz="0" w:space="0" w:color="auto"/>
          </w:divBdr>
        </w:div>
      </w:divsChild>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raujoqp@gmail.com" TargetMode="External"/><Relationship Id="rId17" Type="http://schemas.openxmlformats.org/officeDocument/2006/relationships/footer" Target="footer1.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5EF0FC-A16E-4217-9478-B26B2B455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5244</Words>
  <Characters>29896</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2025-05-08T01:00:00Z</dcterms:created>
  <dcterms:modified xsi:type="dcterms:W3CDTF">2025-05-08T11:14:00Z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