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96037" w14:textId="77777777" w:rsidR="000C4622" w:rsidRPr="00C50BF4" w:rsidRDefault="000C4622" w:rsidP="000C4622">
      <w:pPr>
        <w:spacing w:line="276" w:lineRule="auto"/>
        <w:jc w:val="right"/>
        <w:rPr>
          <w:rFonts w:ascii="Arial" w:eastAsia="Calibri" w:hAnsi="Arial" w:cs="Arial"/>
          <w:b/>
          <w:bCs/>
          <w:sz w:val="22"/>
        </w:rPr>
      </w:pPr>
      <w:bookmarkStart w:id="0" w:name="_Hlk29890381"/>
      <w:r w:rsidRPr="00C50BF4">
        <w:rPr>
          <w:rFonts w:ascii="Arial" w:eastAsia="Times New Roman" w:hAnsi="Arial" w:cs="Arial"/>
          <w:b/>
          <w:bCs/>
          <w:sz w:val="16"/>
          <w:szCs w:val="16"/>
          <w:lang w:eastAsia="es-ES"/>
        </w:rPr>
        <w:t>CCE-DES-FM-17</w:t>
      </w:r>
    </w:p>
    <w:p w14:paraId="2DCB6AD6" w14:textId="77777777" w:rsidR="00DD1A1C" w:rsidRPr="00C50BF4" w:rsidRDefault="00DD1A1C" w:rsidP="000C4622">
      <w:pPr>
        <w:jc w:val="both"/>
        <w:rPr>
          <w:rFonts w:ascii="Arial" w:eastAsia="Calibri" w:hAnsi="Arial" w:cs="Arial"/>
          <w:b/>
          <w:sz w:val="16"/>
          <w:szCs w:val="16"/>
        </w:rPr>
      </w:pPr>
    </w:p>
    <w:p w14:paraId="6F414348" w14:textId="395A5746" w:rsidR="00D25546" w:rsidRPr="00D834DF" w:rsidRDefault="00201024" w:rsidP="0692CC72">
      <w:pPr>
        <w:jc w:val="both"/>
        <w:rPr>
          <w:rFonts w:ascii="Arial" w:eastAsia="Calibri" w:hAnsi="Arial" w:cs="Arial"/>
          <w:b/>
          <w:bCs/>
          <w:sz w:val="22"/>
        </w:rPr>
      </w:pPr>
      <w:r w:rsidRPr="0692CC72">
        <w:rPr>
          <w:rFonts w:ascii="Arial" w:eastAsia="Calibri" w:hAnsi="Arial" w:cs="Arial"/>
          <w:b/>
          <w:bCs/>
          <w:sz w:val="22"/>
        </w:rPr>
        <w:t xml:space="preserve">DOCUMENTOS TIPO – </w:t>
      </w:r>
      <w:r w:rsidR="66B7810C" w:rsidRPr="0692CC72">
        <w:rPr>
          <w:rFonts w:ascii="Arial" w:eastAsia="Calibri" w:hAnsi="Arial" w:cs="Arial"/>
          <w:b/>
          <w:bCs/>
          <w:sz w:val="22"/>
        </w:rPr>
        <w:t xml:space="preserve">Oferta económica – Método ponderación – </w:t>
      </w:r>
      <w:r w:rsidR="00D25546" w:rsidRPr="0692CC72">
        <w:rPr>
          <w:rFonts w:ascii="Arial" w:eastAsia="Calibri" w:hAnsi="Arial" w:cs="Arial"/>
          <w:b/>
          <w:bCs/>
          <w:sz w:val="22"/>
        </w:rPr>
        <w:t>ICA – Determinación</w:t>
      </w:r>
    </w:p>
    <w:p w14:paraId="35BF2508" w14:textId="77777777" w:rsidR="00D25546" w:rsidRPr="00D834DF" w:rsidRDefault="00D25546" w:rsidP="00D25546">
      <w:pPr>
        <w:jc w:val="both"/>
        <w:rPr>
          <w:rFonts w:ascii="Arial" w:eastAsia="Calibri" w:hAnsi="Arial" w:cs="Arial"/>
          <w:b/>
          <w:sz w:val="20"/>
          <w:szCs w:val="20"/>
        </w:rPr>
      </w:pPr>
    </w:p>
    <w:p w14:paraId="00FC71C3" w14:textId="77777777" w:rsidR="00D25546" w:rsidRPr="00D834DF" w:rsidRDefault="00D25546" w:rsidP="00C50BF4">
      <w:pPr>
        <w:spacing w:after="120"/>
        <w:jc w:val="both"/>
        <w:rPr>
          <w:rFonts w:ascii="Arial" w:eastAsia="Calibri" w:hAnsi="Arial" w:cs="Arial"/>
          <w:sz w:val="20"/>
          <w:szCs w:val="20"/>
        </w:rPr>
      </w:pPr>
      <w:r w:rsidRPr="00D834DF">
        <w:rPr>
          <w:rFonts w:ascii="Arial" w:eastAsia="Calibri" w:hAnsi="Arial" w:cs="Arial"/>
          <w:sz w:val="20"/>
          <w:szCs w:val="20"/>
        </w:rPr>
        <w:t>Como se observa, la determinación del método para la ponderación de la oferta económica, primero, es aleatoria, tal y como lo dispone el artículo 30, parágrafo 3, inciso 3, de la Ley 80 de 1993, adicionado por el artículo 1 de la Ley 1882 de 2018; segundo, se hace de acuerdo con las tablas previamente transcritas; y, tercera, depende de los centavos de la tasa representativa del mercado. Por ejemplo, si la tasa de representativa del mercado a tener en cuenta es de 3.947,79, el método que se tiene que aplicar es el número 4, esto es, «menor valor», en el caso de la versión 2 de los Pliegos Tipo, o la «media aritmética baja», para el caso de la versión 1 de los Documentos Tipo, en ambos casos porque los centavos de la tasa tomada como ejemplo, son setenta y nueve, esto es, 0.79 si tal cifra se determina en relación en el peso que es la unidad de referencia: setenta y nueve centavos de peso.</w:t>
      </w:r>
    </w:p>
    <w:p w14:paraId="6FA4EEC0" w14:textId="77777777" w:rsidR="00D25546" w:rsidRPr="00D834DF" w:rsidRDefault="00D25546" w:rsidP="00C50BF4">
      <w:pPr>
        <w:spacing w:after="120"/>
        <w:jc w:val="both"/>
        <w:rPr>
          <w:rFonts w:ascii="Arial" w:eastAsia="Calibri" w:hAnsi="Arial" w:cs="Arial"/>
          <w:sz w:val="20"/>
          <w:szCs w:val="20"/>
        </w:rPr>
      </w:pPr>
      <w:r w:rsidRPr="00D834DF">
        <w:rPr>
          <w:rFonts w:ascii="Arial" w:eastAsia="Calibri" w:hAnsi="Arial" w:cs="Arial"/>
          <w:sz w:val="20"/>
          <w:szCs w:val="20"/>
        </w:rPr>
        <w:t>La versión de los Pliegos Tipo para tener en cuenta depende de la fecha de inicio del proceso contractual o, eventualmente, de la publicación del aviso de convocatoria, en los términos del artículo 3 de la Resolución 0045 del 14 de febrero de 2020, expedida por la Agencia Nacional de Contratación Estatal. En términos generales, si el proceso de contratación inició el o después del 10 de marzo del año en curso o, excepcionalmente, si inició antes, pero para ese momento aún no se había publicado el aviso de convocatoria, las entidades púbicas están obligadas a tener en cuenta y utilizar la versión número dos.</w:t>
      </w:r>
    </w:p>
    <w:p w14:paraId="25681C56" w14:textId="77777777" w:rsidR="00D25546" w:rsidRPr="00D834DF" w:rsidRDefault="00D25546" w:rsidP="00C50BF4">
      <w:pPr>
        <w:jc w:val="both"/>
        <w:rPr>
          <w:rFonts w:ascii="Arial" w:eastAsia="Calibri" w:hAnsi="Arial" w:cs="Arial"/>
          <w:sz w:val="20"/>
          <w:szCs w:val="20"/>
        </w:rPr>
      </w:pPr>
    </w:p>
    <w:p w14:paraId="6DDAD619" w14:textId="07F45CA0" w:rsidR="00D25546" w:rsidRPr="00D834DF" w:rsidRDefault="00201024" w:rsidP="00C50BF4">
      <w:pPr>
        <w:jc w:val="both"/>
        <w:rPr>
          <w:rFonts w:ascii="Arial" w:eastAsia="Calibri" w:hAnsi="Arial" w:cs="Arial"/>
          <w:sz w:val="20"/>
          <w:szCs w:val="20"/>
        </w:rPr>
      </w:pPr>
      <w:r w:rsidRPr="0692CC72">
        <w:rPr>
          <w:rFonts w:ascii="Arial" w:eastAsia="Calibri" w:hAnsi="Arial" w:cs="Arial"/>
          <w:b/>
          <w:bCs/>
          <w:sz w:val="22"/>
        </w:rPr>
        <w:t xml:space="preserve">DOCUMENTOS TIPO – </w:t>
      </w:r>
      <w:r w:rsidR="778403FC" w:rsidRPr="0692CC72">
        <w:rPr>
          <w:rFonts w:ascii="Arial" w:eastAsia="Calibri" w:hAnsi="Arial" w:cs="Arial"/>
          <w:b/>
          <w:bCs/>
          <w:sz w:val="22"/>
        </w:rPr>
        <w:t>Oferta económica – Método ponderación</w:t>
      </w:r>
      <w:r w:rsidR="00D25546" w:rsidRPr="0692CC72">
        <w:rPr>
          <w:rFonts w:ascii="Arial" w:eastAsia="Calibri" w:hAnsi="Arial" w:cs="Arial"/>
          <w:b/>
          <w:bCs/>
          <w:sz w:val="22"/>
        </w:rPr>
        <w:t xml:space="preserve"> </w:t>
      </w:r>
      <w:r w:rsidR="7FCACFC0" w:rsidRPr="0692CC72">
        <w:rPr>
          <w:rFonts w:ascii="Arial" w:eastAsia="Calibri" w:hAnsi="Arial" w:cs="Arial"/>
          <w:b/>
          <w:bCs/>
          <w:sz w:val="22"/>
        </w:rPr>
        <w:t xml:space="preserve">– </w:t>
      </w:r>
      <w:r w:rsidR="00D25546" w:rsidRPr="0692CC72">
        <w:rPr>
          <w:rFonts w:ascii="Arial" w:eastAsia="Calibri" w:hAnsi="Arial" w:cs="Arial"/>
          <w:b/>
          <w:bCs/>
          <w:sz w:val="22"/>
        </w:rPr>
        <w:t>TRM aplicable</w:t>
      </w:r>
      <w:r w:rsidR="10171007" w:rsidRPr="0692CC72">
        <w:rPr>
          <w:rFonts w:ascii="Arial" w:eastAsia="Calibri" w:hAnsi="Arial" w:cs="Arial"/>
          <w:b/>
          <w:bCs/>
          <w:sz w:val="22"/>
        </w:rPr>
        <w:t xml:space="preserve"> </w:t>
      </w:r>
    </w:p>
    <w:p w14:paraId="1FA751D3" w14:textId="15C21E31" w:rsidR="00D25546" w:rsidRPr="00D834DF" w:rsidRDefault="00D25546" w:rsidP="00C50BF4">
      <w:pPr>
        <w:jc w:val="both"/>
        <w:rPr>
          <w:rFonts w:ascii="Arial" w:eastAsia="Calibri" w:hAnsi="Arial" w:cs="Arial"/>
          <w:sz w:val="20"/>
          <w:szCs w:val="20"/>
        </w:rPr>
      </w:pPr>
    </w:p>
    <w:p w14:paraId="2EFEEEDA" w14:textId="25A0B076" w:rsidR="00D25546" w:rsidRPr="00D834DF" w:rsidRDefault="00D25546" w:rsidP="00C50BF4">
      <w:pPr>
        <w:jc w:val="both"/>
        <w:rPr>
          <w:rFonts w:ascii="Arial" w:eastAsia="Calibri" w:hAnsi="Arial" w:cs="Arial"/>
          <w:sz w:val="20"/>
          <w:szCs w:val="20"/>
        </w:rPr>
      </w:pPr>
      <w:r w:rsidRPr="0692CC72">
        <w:rPr>
          <w:rFonts w:ascii="Arial" w:eastAsia="Calibri" w:hAnsi="Arial" w:cs="Arial"/>
          <w:sz w:val="20"/>
          <w:szCs w:val="20"/>
        </w:rPr>
        <w:t>Para saber cuál es la TRM que se debe tener en cuenta al determinar el método para la ponderación de la oferta económica, habida cuenta de la dificultad que  se genera por el mercado de valores abre con una TRM del día anterior, pero se cierra con una TRM que, de todos modos, regirá para el día siguiente, es necesario acudir a lo establecido en los Documentos Tipo, para lo que resulta indispensable distinguir si el proceso de contratación estatal se tramita con la versión uno o dos del Sistema Electrónica de Contratación Pública −SECOP−.</w:t>
      </w:r>
    </w:p>
    <w:p w14:paraId="051DF69E" w14:textId="77777777" w:rsidR="00D25546" w:rsidRPr="00D834DF" w:rsidRDefault="00D25546" w:rsidP="00D25546">
      <w:pPr>
        <w:spacing w:before="120"/>
        <w:jc w:val="both"/>
        <w:rPr>
          <w:rFonts w:ascii="Arial" w:eastAsia="Calibri" w:hAnsi="Arial" w:cs="Arial"/>
          <w:sz w:val="20"/>
          <w:szCs w:val="20"/>
        </w:rPr>
      </w:pPr>
      <w:r w:rsidRPr="00D834DF">
        <w:rPr>
          <w:rFonts w:ascii="Arial" w:eastAsia="Calibri" w:hAnsi="Arial" w:cs="Arial"/>
          <w:sz w:val="20"/>
          <w:szCs w:val="20"/>
        </w:rPr>
        <w:t>[…]</w:t>
      </w:r>
    </w:p>
    <w:p w14:paraId="698AC192" w14:textId="77777777" w:rsidR="00D25546" w:rsidRPr="00D834DF" w:rsidRDefault="00D25546" w:rsidP="00D25546">
      <w:pPr>
        <w:spacing w:before="120"/>
        <w:jc w:val="both"/>
        <w:rPr>
          <w:rFonts w:ascii="Arial" w:eastAsia="Calibri" w:hAnsi="Arial" w:cs="Arial"/>
          <w:sz w:val="20"/>
          <w:szCs w:val="20"/>
        </w:rPr>
      </w:pPr>
      <w:r w:rsidRPr="00D834DF">
        <w:rPr>
          <w:rFonts w:ascii="Arial" w:eastAsia="Calibri" w:hAnsi="Arial" w:cs="Arial"/>
          <w:sz w:val="20"/>
          <w:szCs w:val="20"/>
        </w:rPr>
        <w:t xml:space="preserve">Ahora bien, 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abre el segundo sobre. </w:t>
      </w:r>
    </w:p>
    <w:p w14:paraId="0B30E465" w14:textId="77777777" w:rsidR="00D25546" w:rsidRPr="00D834DF" w:rsidRDefault="00D25546" w:rsidP="00D25546">
      <w:pPr>
        <w:spacing w:before="120"/>
        <w:jc w:val="both"/>
        <w:rPr>
          <w:rFonts w:ascii="Arial" w:eastAsia="Calibri" w:hAnsi="Arial" w:cs="Arial"/>
          <w:sz w:val="20"/>
          <w:szCs w:val="20"/>
        </w:rPr>
      </w:pPr>
      <w:r w:rsidRPr="00D834DF">
        <w:rPr>
          <w:rFonts w:ascii="Arial" w:eastAsia="Calibri" w:hAnsi="Arial" w:cs="Arial"/>
          <w:sz w:val="20"/>
          <w:szCs w:val="20"/>
        </w:rPr>
        <w:t xml:space="preserve">Es del caso precisar que el momento para tener en cuenta es el de la apertura de sobre y no el del inicio de la audiencia efectiva de adjudicación,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 </w:t>
      </w:r>
    </w:p>
    <w:p w14:paraId="447C9E0A" w14:textId="6602BD15" w:rsidR="00A20BA6" w:rsidRPr="00D834DF" w:rsidRDefault="00A20BA6" w:rsidP="00D25546">
      <w:pPr>
        <w:spacing w:before="120"/>
        <w:jc w:val="both"/>
        <w:rPr>
          <w:rFonts w:ascii="Arial" w:eastAsia="Calibri" w:hAnsi="Arial" w:cs="Arial"/>
          <w:sz w:val="20"/>
          <w:szCs w:val="20"/>
        </w:rPr>
      </w:pPr>
      <w:r w:rsidRPr="00D834DF">
        <w:rPr>
          <w:rFonts w:ascii="Arial" w:eastAsia="Calibri" w:hAnsi="Arial" w:cs="Arial"/>
          <w:sz w:val="20"/>
          <w:szCs w:val="20"/>
        </w:rPr>
        <w:t>[…]</w:t>
      </w:r>
    </w:p>
    <w:p w14:paraId="6626D54E" w14:textId="5F55C6DB" w:rsidR="000C4622" w:rsidRPr="00D834DF" w:rsidRDefault="00A20BA6" w:rsidP="00A20BA6">
      <w:pPr>
        <w:spacing w:before="120"/>
        <w:jc w:val="both"/>
        <w:rPr>
          <w:rFonts w:ascii="Arial" w:eastAsia="Calibri" w:hAnsi="Arial" w:cs="Arial"/>
          <w:sz w:val="20"/>
          <w:szCs w:val="20"/>
        </w:rPr>
      </w:pPr>
      <w:r w:rsidRPr="00D834DF">
        <w:rPr>
          <w:rFonts w:ascii="Arial" w:eastAsia="Calibri" w:hAnsi="Arial" w:cs="Arial"/>
          <w:sz w:val="20"/>
          <w:szCs w:val="20"/>
        </w:rPr>
        <w:lastRenderedPageBreak/>
        <w:t xml:space="preserve">En ese sentido, sin perjuicio de lo anterior, el hecho de que la TRM aplicable al proceso de contratación sea la del día hábil siguiente a la apertura de los sobres económicos no implica que la audiencia de adjudicación deba realizarse en dos días, pues la misma podrá realizarse en un único día, dependiendo de la hora de apertura de los sobres económicos, más aún cuando la TRM del día es publicada y certificada por la Superintendencia Financiera de Colombia el día hábil anterior al que rige.  </w:t>
      </w:r>
    </w:p>
    <w:p w14:paraId="7AD20240" w14:textId="77777777" w:rsidR="000C4622" w:rsidRPr="00C50BF4" w:rsidRDefault="000C4622" w:rsidP="000C4622">
      <w:pPr>
        <w:jc w:val="both"/>
        <w:rPr>
          <w:rFonts w:ascii="Arial" w:hAnsi="Arial" w:cs="Arial"/>
          <w:sz w:val="20"/>
          <w:szCs w:val="20"/>
        </w:rPr>
      </w:pPr>
    </w:p>
    <w:p w14:paraId="65AD472F" w14:textId="77777777" w:rsidR="000C4622" w:rsidRPr="00C50BF4" w:rsidRDefault="000C4622" w:rsidP="000C4622">
      <w:pPr>
        <w:jc w:val="both"/>
        <w:rPr>
          <w:rFonts w:ascii="Arial" w:hAnsi="Arial" w:cs="Arial"/>
          <w:sz w:val="20"/>
          <w:szCs w:val="20"/>
        </w:rPr>
      </w:pPr>
    </w:p>
    <w:p w14:paraId="50DD4D54" w14:textId="77777777" w:rsidR="00691962" w:rsidRPr="00D834DF" w:rsidRDefault="00691962" w:rsidP="00691962">
      <w:pPr>
        <w:jc w:val="both"/>
        <w:rPr>
          <w:rFonts w:ascii="Arial" w:eastAsia="Calibri" w:hAnsi="Arial" w:cs="Arial"/>
          <w:sz w:val="20"/>
        </w:rPr>
      </w:pPr>
      <w:r w:rsidRPr="00D834DF">
        <w:rPr>
          <w:rFonts w:ascii="Arial" w:hAnsi="Arial" w:cs="Arial"/>
          <w:sz w:val="22"/>
        </w:rPr>
        <w:t xml:space="preserve">Bogotá D.C., </w:t>
      </w:r>
      <w:r w:rsidRPr="00D834DF">
        <w:rPr>
          <w:rFonts w:ascii="Arial" w:hAnsi="Arial" w:cs="Arial"/>
          <w:b/>
          <w:sz w:val="22"/>
        </w:rPr>
        <w:t>30/06/2020</w:t>
      </w:r>
      <w:r w:rsidRPr="00D834DF">
        <w:rPr>
          <w:rFonts w:ascii="Arial" w:hAnsi="Arial" w:cs="Arial"/>
          <w:sz w:val="22"/>
        </w:rPr>
        <w:t xml:space="preserve">, </w:t>
      </w:r>
      <w:r w:rsidRPr="00D834DF">
        <w:rPr>
          <w:rFonts w:ascii="Arial" w:hAnsi="Arial" w:cs="Arial"/>
          <w:b/>
          <w:sz w:val="22"/>
        </w:rPr>
        <w:t>3:48:30s</w:t>
      </w:r>
    </w:p>
    <w:p w14:paraId="0F52DA0D" w14:textId="77777777" w:rsidR="00691962" w:rsidRPr="00D834DF" w:rsidRDefault="00691962" w:rsidP="00691962">
      <w:pPr>
        <w:jc w:val="right"/>
        <w:rPr>
          <w:rFonts w:ascii="Arial" w:hAnsi="Arial" w:cs="Arial"/>
          <w:b/>
          <w:sz w:val="22"/>
        </w:rPr>
      </w:pPr>
      <w:r w:rsidRPr="00D834DF">
        <w:rPr>
          <w:rFonts w:ascii="Arial" w:hAnsi="Arial" w:cs="Arial"/>
          <w:b/>
          <w:sz w:val="22"/>
        </w:rPr>
        <w:t>N° Radicado: 2202013000005554</w:t>
      </w:r>
    </w:p>
    <w:p w14:paraId="65845ADE" w14:textId="77777777" w:rsidR="000C4622" w:rsidRPr="00D834DF" w:rsidRDefault="000C4622" w:rsidP="000C4622">
      <w:pPr>
        <w:tabs>
          <w:tab w:val="left" w:pos="3374"/>
        </w:tabs>
        <w:rPr>
          <w:rFonts w:ascii="Arial" w:eastAsia="Calibri" w:hAnsi="Arial" w:cs="Arial"/>
          <w:sz w:val="22"/>
        </w:rPr>
      </w:pPr>
      <w:r w:rsidRPr="00D834DF">
        <w:rPr>
          <w:rFonts w:ascii="Arial" w:eastAsia="Calibri" w:hAnsi="Arial" w:cs="Arial"/>
          <w:sz w:val="22"/>
        </w:rPr>
        <w:tab/>
      </w:r>
    </w:p>
    <w:p w14:paraId="219ED942" w14:textId="407D7119" w:rsidR="000C4622" w:rsidRPr="00D834DF" w:rsidRDefault="000C4622" w:rsidP="000C4622">
      <w:pPr>
        <w:rPr>
          <w:rFonts w:ascii="Arial" w:eastAsia="Calibri" w:hAnsi="Arial" w:cs="Arial"/>
          <w:sz w:val="22"/>
        </w:rPr>
      </w:pPr>
      <w:r w:rsidRPr="00D834DF">
        <w:rPr>
          <w:rFonts w:ascii="Arial" w:eastAsia="Calibri" w:hAnsi="Arial" w:cs="Arial"/>
          <w:sz w:val="22"/>
        </w:rPr>
        <w:t>Señor</w:t>
      </w:r>
      <w:r w:rsidR="003C0882" w:rsidRPr="00D834DF">
        <w:rPr>
          <w:rFonts w:ascii="Arial" w:eastAsia="Calibri" w:hAnsi="Arial" w:cs="Arial"/>
          <w:sz w:val="22"/>
        </w:rPr>
        <w:t>a</w:t>
      </w:r>
    </w:p>
    <w:p w14:paraId="66016DF3" w14:textId="517DCF85" w:rsidR="000C4622" w:rsidRPr="00D834DF" w:rsidRDefault="000C4622" w:rsidP="000C4622">
      <w:pPr>
        <w:rPr>
          <w:rFonts w:ascii="Arial" w:eastAsia="Calibri" w:hAnsi="Arial" w:cs="Arial"/>
          <w:b/>
          <w:sz w:val="22"/>
        </w:rPr>
      </w:pPr>
      <w:r w:rsidRPr="00D834DF">
        <w:rPr>
          <w:rFonts w:ascii="Arial" w:eastAsia="Calibri" w:hAnsi="Arial" w:cs="Arial"/>
          <w:b/>
          <w:sz w:val="22"/>
        </w:rPr>
        <w:t>Ma</w:t>
      </w:r>
      <w:r w:rsidR="003C0882" w:rsidRPr="00D834DF">
        <w:rPr>
          <w:rFonts w:ascii="Arial" w:eastAsia="Calibri" w:hAnsi="Arial" w:cs="Arial"/>
          <w:b/>
          <w:sz w:val="22"/>
        </w:rPr>
        <w:t xml:space="preserve">yra Castillo Pérez </w:t>
      </w:r>
    </w:p>
    <w:p w14:paraId="5FE3ED39" w14:textId="172C7B0B" w:rsidR="000C4622" w:rsidRPr="00D834DF" w:rsidRDefault="003C0882" w:rsidP="000C4622">
      <w:pPr>
        <w:rPr>
          <w:rFonts w:ascii="Arial" w:eastAsia="Calibri" w:hAnsi="Arial" w:cs="Arial"/>
          <w:sz w:val="22"/>
        </w:rPr>
      </w:pPr>
      <w:r w:rsidRPr="00D834DF">
        <w:rPr>
          <w:rFonts w:ascii="Arial" w:eastAsia="Calibri" w:hAnsi="Arial" w:cs="Arial"/>
          <w:sz w:val="22"/>
        </w:rPr>
        <w:t>Cúcuta, Norte de Santander</w:t>
      </w:r>
    </w:p>
    <w:p w14:paraId="46109DC4" w14:textId="77777777" w:rsidR="000C4622" w:rsidRPr="00D834DF" w:rsidRDefault="000C4622" w:rsidP="000C4622">
      <w:pPr>
        <w:rPr>
          <w:rFonts w:ascii="Arial" w:eastAsia="Calibri" w:hAnsi="Arial" w:cs="Arial"/>
          <w:sz w:val="22"/>
        </w:rPr>
      </w:pPr>
    </w:p>
    <w:p w14:paraId="06813DED" w14:textId="6012C6EF" w:rsidR="000C4622" w:rsidRPr="00D834DF" w:rsidRDefault="000C4622" w:rsidP="000C4622">
      <w:pPr>
        <w:jc w:val="center"/>
        <w:rPr>
          <w:rFonts w:ascii="Arial" w:eastAsia="Calibri" w:hAnsi="Arial" w:cs="Arial"/>
          <w:b/>
          <w:sz w:val="22"/>
        </w:rPr>
      </w:pPr>
      <w:r w:rsidRPr="00D834DF">
        <w:rPr>
          <w:rFonts w:ascii="Arial" w:eastAsia="Calibri" w:hAnsi="Arial" w:cs="Arial"/>
          <w:b/>
          <w:sz w:val="22"/>
        </w:rPr>
        <w:t xml:space="preserve">Concepto C ─ </w:t>
      </w:r>
      <w:r w:rsidR="003C0882" w:rsidRPr="00D834DF">
        <w:rPr>
          <w:rFonts w:ascii="Arial" w:eastAsia="Calibri" w:hAnsi="Arial" w:cs="Arial"/>
          <w:b/>
          <w:sz w:val="22"/>
        </w:rPr>
        <w:t>382</w:t>
      </w:r>
      <w:r w:rsidRPr="00D834DF">
        <w:rPr>
          <w:rFonts w:ascii="Arial" w:eastAsia="Calibri" w:hAnsi="Arial" w:cs="Arial"/>
          <w:b/>
          <w:sz w:val="22"/>
        </w:rPr>
        <w:t xml:space="preserve"> de 2020</w:t>
      </w:r>
    </w:p>
    <w:p w14:paraId="273158C8" w14:textId="77777777" w:rsidR="000C4622" w:rsidRPr="00D834DF" w:rsidRDefault="000C4622" w:rsidP="000C4622">
      <w:pPr>
        <w:rPr>
          <w:rFonts w:ascii="Arial" w:eastAsia="Calibri" w:hAnsi="Arial" w:cs="Arial"/>
          <w:sz w:val="22"/>
        </w:rPr>
      </w:pPr>
    </w:p>
    <w:p w14:paraId="2B27C687" w14:textId="77777777" w:rsidR="000C4622" w:rsidRPr="00D834DF" w:rsidRDefault="000C4622" w:rsidP="000C4622">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834DF" w:rsidRPr="00D834DF" w14:paraId="765D22D2" w14:textId="77777777" w:rsidTr="00201024">
        <w:tc>
          <w:tcPr>
            <w:tcW w:w="2689" w:type="dxa"/>
            <w:hideMark/>
          </w:tcPr>
          <w:p w14:paraId="2FF7E2AA" w14:textId="77777777" w:rsidR="000C4622" w:rsidRPr="00D834DF" w:rsidRDefault="000C4622" w:rsidP="00600604">
            <w:pPr>
              <w:rPr>
                <w:rFonts w:ascii="Arial" w:eastAsia="Calibri" w:hAnsi="Arial" w:cs="Arial"/>
                <w:sz w:val="22"/>
              </w:rPr>
            </w:pPr>
            <w:r w:rsidRPr="00D834DF">
              <w:rPr>
                <w:rFonts w:ascii="Arial" w:eastAsia="Calibri" w:hAnsi="Arial" w:cs="Arial"/>
                <w:b/>
                <w:sz w:val="22"/>
              </w:rPr>
              <w:t>Temas:</w:t>
            </w:r>
            <w:r w:rsidRPr="00D834DF">
              <w:rPr>
                <w:rFonts w:ascii="Arial" w:eastAsia="Calibri" w:hAnsi="Arial" w:cs="Arial"/>
                <w:sz w:val="22"/>
              </w:rPr>
              <w:t xml:space="preserve">           </w:t>
            </w:r>
          </w:p>
          <w:p w14:paraId="53BF6162" w14:textId="77777777" w:rsidR="000C4622" w:rsidRPr="00D834DF" w:rsidRDefault="000C4622" w:rsidP="00600604">
            <w:pPr>
              <w:rPr>
                <w:rFonts w:ascii="Arial" w:eastAsia="Calibri" w:hAnsi="Arial" w:cs="Arial"/>
                <w:sz w:val="22"/>
              </w:rPr>
            </w:pPr>
            <w:r w:rsidRPr="00D834DF">
              <w:rPr>
                <w:rFonts w:ascii="Arial" w:eastAsia="Calibri" w:hAnsi="Arial" w:cs="Arial"/>
                <w:sz w:val="22"/>
              </w:rPr>
              <w:t xml:space="preserve">                           </w:t>
            </w:r>
          </w:p>
        </w:tc>
        <w:tc>
          <w:tcPr>
            <w:tcW w:w="6237" w:type="dxa"/>
            <w:hideMark/>
          </w:tcPr>
          <w:p w14:paraId="42B42E0C" w14:textId="715FF001" w:rsidR="00DD1A1C" w:rsidRPr="00D834DF" w:rsidRDefault="00DD1A1C" w:rsidP="00DD1A1C">
            <w:pPr>
              <w:jc w:val="both"/>
              <w:rPr>
                <w:rFonts w:ascii="Arial" w:eastAsia="Calibri" w:hAnsi="Arial" w:cs="Arial"/>
                <w:sz w:val="22"/>
              </w:rPr>
            </w:pPr>
            <w:r w:rsidRPr="00D834DF">
              <w:rPr>
                <w:rFonts w:ascii="Arial" w:eastAsia="Calibri" w:hAnsi="Arial" w:cs="Arial"/>
                <w:sz w:val="22"/>
              </w:rPr>
              <w:t xml:space="preserve">DOCUMENTOS TIPO – </w:t>
            </w:r>
            <w:r w:rsidR="00201024" w:rsidRPr="00D834DF">
              <w:rPr>
                <w:rFonts w:ascii="Arial" w:eastAsia="Calibri" w:hAnsi="Arial" w:cs="Arial"/>
                <w:sz w:val="22"/>
              </w:rPr>
              <w:t xml:space="preserve">MÉTODO PARA LA PONDERACIÓN DE LA OFERTA ECONÓMICA – Determinación / MÉTODO PARA LA PONDERACIÓN DE LA OFERTA ECONÓMICA – TRM aplicable </w:t>
            </w:r>
          </w:p>
          <w:p w14:paraId="7007CD55" w14:textId="5D4BDEEE" w:rsidR="000C4622" w:rsidRPr="00D834DF" w:rsidRDefault="000C4622" w:rsidP="00600604">
            <w:pPr>
              <w:jc w:val="both"/>
              <w:rPr>
                <w:rFonts w:ascii="Arial" w:eastAsia="Calibri" w:hAnsi="Arial" w:cs="Arial"/>
                <w:sz w:val="22"/>
              </w:rPr>
            </w:pPr>
          </w:p>
        </w:tc>
      </w:tr>
      <w:tr w:rsidR="000C4622" w:rsidRPr="00D834DF" w14:paraId="1481E1A1" w14:textId="77777777" w:rsidTr="00201024">
        <w:tc>
          <w:tcPr>
            <w:tcW w:w="2689" w:type="dxa"/>
          </w:tcPr>
          <w:p w14:paraId="6E0DD6AF" w14:textId="77777777" w:rsidR="000C4622" w:rsidRPr="00D834DF" w:rsidRDefault="000C4622" w:rsidP="00600604">
            <w:pPr>
              <w:rPr>
                <w:rFonts w:ascii="Arial" w:eastAsia="Calibri" w:hAnsi="Arial" w:cs="Arial"/>
                <w:b/>
                <w:sz w:val="22"/>
              </w:rPr>
            </w:pPr>
            <w:r w:rsidRPr="00D834DF">
              <w:rPr>
                <w:rFonts w:ascii="Arial" w:eastAsia="Calibri" w:hAnsi="Arial" w:cs="Arial"/>
                <w:b/>
                <w:sz w:val="22"/>
              </w:rPr>
              <w:t>Radicación:</w:t>
            </w:r>
            <w:r w:rsidRPr="00D834DF">
              <w:rPr>
                <w:rFonts w:ascii="Arial" w:eastAsia="Calibri" w:hAnsi="Arial" w:cs="Arial"/>
                <w:sz w:val="22"/>
              </w:rPr>
              <w:t xml:space="preserve">                              </w:t>
            </w:r>
          </w:p>
        </w:tc>
        <w:tc>
          <w:tcPr>
            <w:tcW w:w="6237" w:type="dxa"/>
          </w:tcPr>
          <w:p w14:paraId="23F1F648" w14:textId="3E960E68" w:rsidR="000C4622" w:rsidRPr="00D834DF" w:rsidRDefault="000C4622" w:rsidP="00600604">
            <w:pPr>
              <w:jc w:val="both"/>
              <w:rPr>
                <w:rFonts w:ascii="Arial" w:eastAsia="Calibri" w:hAnsi="Arial" w:cs="Arial"/>
                <w:sz w:val="22"/>
              </w:rPr>
            </w:pPr>
            <w:r w:rsidRPr="00D834DF">
              <w:rPr>
                <w:rFonts w:ascii="Arial" w:eastAsia="Calibri" w:hAnsi="Arial" w:cs="Arial"/>
                <w:sz w:val="22"/>
              </w:rPr>
              <w:t>Respuesta a consulta # 420201200000</w:t>
            </w:r>
            <w:r w:rsidR="003C0882" w:rsidRPr="00D834DF">
              <w:rPr>
                <w:rFonts w:ascii="Arial" w:eastAsia="Calibri" w:hAnsi="Arial" w:cs="Arial"/>
                <w:sz w:val="22"/>
              </w:rPr>
              <w:t>4314</w:t>
            </w:r>
          </w:p>
        </w:tc>
      </w:tr>
    </w:tbl>
    <w:p w14:paraId="55B99D2D" w14:textId="77777777" w:rsidR="000C4622" w:rsidRPr="00D834DF" w:rsidRDefault="000C4622" w:rsidP="000C4622">
      <w:pPr>
        <w:jc w:val="both"/>
        <w:rPr>
          <w:rFonts w:ascii="Arial" w:eastAsia="Calibri" w:hAnsi="Arial" w:cs="Arial"/>
          <w:sz w:val="22"/>
        </w:rPr>
      </w:pPr>
    </w:p>
    <w:p w14:paraId="4CCFB052" w14:textId="77777777" w:rsidR="000C4622" w:rsidRPr="00D834DF" w:rsidRDefault="000C4622" w:rsidP="000C4622">
      <w:pPr>
        <w:rPr>
          <w:rFonts w:ascii="Arial" w:eastAsia="Calibri" w:hAnsi="Arial" w:cs="Arial"/>
          <w:sz w:val="22"/>
        </w:rPr>
      </w:pPr>
    </w:p>
    <w:p w14:paraId="56AC25FC" w14:textId="4F5F4CB2" w:rsidR="000C4622" w:rsidRPr="00D834DF" w:rsidRDefault="00DD1A1C" w:rsidP="000C4622">
      <w:pPr>
        <w:rPr>
          <w:rFonts w:ascii="Arial" w:eastAsia="Calibri" w:hAnsi="Arial" w:cs="Arial"/>
          <w:sz w:val="22"/>
        </w:rPr>
      </w:pPr>
      <w:r w:rsidRPr="00D834DF">
        <w:rPr>
          <w:rFonts w:ascii="Arial" w:eastAsia="Calibri" w:hAnsi="Arial" w:cs="Arial"/>
          <w:sz w:val="22"/>
        </w:rPr>
        <w:t>Estimada</w:t>
      </w:r>
      <w:r w:rsidR="000C4622" w:rsidRPr="00D834DF">
        <w:rPr>
          <w:rFonts w:ascii="Arial" w:eastAsia="Calibri" w:hAnsi="Arial" w:cs="Arial"/>
          <w:sz w:val="22"/>
        </w:rPr>
        <w:t xml:space="preserve"> señor</w:t>
      </w:r>
      <w:r w:rsidRPr="00D834DF">
        <w:rPr>
          <w:rFonts w:ascii="Arial" w:eastAsia="Calibri" w:hAnsi="Arial" w:cs="Arial"/>
          <w:sz w:val="22"/>
        </w:rPr>
        <w:t>a</w:t>
      </w:r>
      <w:r w:rsidR="000C4622" w:rsidRPr="00D834DF">
        <w:rPr>
          <w:rFonts w:ascii="Arial" w:eastAsia="Calibri" w:hAnsi="Arial" w:cs="Arial"/>
          <w:sz w:val="22"/>
        </w:rPr>
        <w:t xml:space="preserve"> </w:t>
      </w:r>
      <w:r w:rsidRPr="00D834DF">
        <w:rPr>
          <w:rFonts w:ascii="Arial" w:eastAsia="Calibri" w:hAnsi="Arial" w:cs="Arial"/>
          <w:sz w:val="22"/>
        </w:rPr>
        <w:t>Castillo</w:t>
      </w:r>
      <w:r w:rsidR="000C4622" w:rsidRPr="00D834DF">
        <w:rPr>
          <w:rFonts w:ascii="Arial" w:eastAsia="Calibri" w:hAnsi="Arial" w:cs="Arial"/>
          <w:sz w:val="22"/>
        </w:rPr>
        <w:t>,</w:t>
      </w:r>
    </w:p>
    <w:p w14:paraId="253A197A" w14:textId="77777777" w:rsidR="000C4622" w:rsidRPr="00D834DF" w:rsidRDefault="000C4622" w:rsidP="000C4622">
      <w:pPr>
        <w:rPr>
          <w:rFonts w:ascii="Arial" w:eastAsia="Calibri" w:hAnsi="Arial" w:cs="Arial"/>
          <w:sz w:val="22"/>
        </w:rPr>
      </w:pPr>
    </w:p>
    <w:p w14:paraId="40F02A7F" w14:textId="77777777" w:rsidR="000C4622" w:rsidRPr="00D834DF" w:rsidRDefault="000C4622" w:rsidP="000C4622">
      <w:pPr>
        <w:spacing w:line="276" w:lineRule="auto"/>
        <w:ind w:right="49"/>
        <w:jc w:val="both"/>
        <w:rPr>
          <w:rFonts w:ascii="Arial" w:eastAsia="Calibri" w:hAnsi="Arial" w:cs="Arial"/>
          <w:sz w:val="22"/>
        </w:rPr>
      </w:pPr>
      <w:r w:rsidRPr="00D834DF">
        <w:rPr>
          <w:rFonts w:ascii="Arial" w:eastAsia="Calibri" w:hAnsi="Arial" w:cs="Arial"/>
          <w:sz w:val="22"/>
        </w:rPr>
        <w:t xml:space="preserve">La Agencia Nacional de Contratación Pública - Colombia Compra Eficiente responde su consulta del 29 de mayo de 2020, en ejercicio de la competencia otorgada por el numeral 8 del artículo 11 y el numeral 5 del artículo 3 del Decreto Ley 4170 de 2011. </w:t>
      </w:r>
    </w:p>
    <w:p w14:paraId="5A7B437F" w14:textId="77777777" w:rsidR="008260C5" w:rsidRPr="00D834DF" w:rsidRDefault="008260C5" w:rsidP="000C4622">
      <w:pPr>
        <w:pStyle w:val="Prrafodelista"/>
        <w:tabs>
          <w:tab w:val="left" w:pos="284"/>
        </w:tabs>
        <w:spacing w:line="276" w:lineRule="auto"/>
        <w:ind w:left="0"/>
        <w:jc w:val="both"/>
        <w:rPr>
          <w:rFonts w:ascii="Arial" w:eastAsia="Calibri" w:hAnsi="Arial" w:cs="Arial"/>
          <w:b/>
          <w:sz w:val="22"/>
        </w:rPr>
      </w:pPr>
    </w:p>
    <w:p w14:paraId="5344398B" w14:textId="6AFBD730" w:rsidR="000C4622" w:rsidRPr="00D834DF" w:rsidRDefault="000C4622" w:rsidP="000C4622">
      <w:pPr>
        <w:pStyle w:val="Prrafodelista"/>
        <w:tabs>
          <w:tab w:val="left" w:pos="284"/>
        </w:tabs>
        <w:spacing w:line="276" w:lineRule="auto"/>
        <w:ind w:left="0"/>
        <w:jc w:val="both"/>
        <w:rPr>
          <w:rFonts w:ascii="Arial" w:eastAsia="Calibri" w:hAnsi="Arial" w:cs="Arial"/>
          <w:b/>
          <w:sz w:val="22"/>
        </w:rPr>
      </w:pPr>
      <w:r w:rsidRPr="00D834DF">
        <w:rPr>
          <w:rFonts w:ascii="Arial" w:eastAsia="Calibri" w:hAnsi="Arial" w:cs="Arial"/>
          <w:b/>
          <w:sz w:val="22"/>
        </w:rPr>
        <w:t xml:space="preserve">1. Problemas planteados </w:t>
      </w:r>
    </w:p>
    <w:p w14:paraId="7B606521" w14:textId="77777777" w:rsidR="000C4622" w:rsidRPr="00D834DF" w:rsidRDefault="000C4622" w:rsidP="000C4622">
      <w:pPr>
        <w:tabs>
          <w:tab w:val="left" w:pos="426"/>
        </w:tabs>
        <w:spacing w:line="276" w:lineRule="auto"/>
        <w:jc w:val="both"/>
        <w:rPr>
          <w:rFonts w:ascii="Arial" w:eastAsia="Calibri" w:hAnsi="Arial" w:cs="Arial"/>
          <w:b/>
          <w:sz w:val="22"/>
        </w:rPr>
      </w:pPr>
    </w:p>
    <w:p w14:paraId="3C14A8D0" w14:textId="4AF44BA8" w:rsidR="000C4622" w:rsidRPr="00D834DF" w:rsidRDefault="000C4622" w:rsidP="000A66F9">
      <w:pPr>
        <w:tabs>
          <w:tab w:val="left" w:pos="426"/>
        </w:tabs>
        <w:spacing w:line="276" w:lineRule="auto"/>
        <w:jc w:val="both"/>
        <w:rPr>
          <w:rFonts w:eastAsia="Calibri"/>
          <w:bCs/>
          <w:sz w:val="22"/>
          <w:lang w:val="es-ES_tradnl"/>
        </w:rPr>
      </w:pPr>
      <w:r w:rsidRPr="00D834DF">
        <w:rPr>
          <w:rFonts w:ascii="Arial" w:eastAsia="Calibri" w:hAnsi="Arial" w:cs="Arial"/>
          <w:bCs/>
          <w:sz w:val="22"/>
          <w:lang w:val="es-ES_tradnl"/>
        </w:rPr>
        <w:t>Usted realiza la siguiente pregunta:</w:t>
      </w:r>
      <w:r w:rsidR="003C0882" w:rsidRPr="00D834DF">
        <w:rPr>
          <w:rFonts w:ascii="Arial" w:eastAsia="Calibri" w:hAnsi="Arial" w:cs="Arial"/>
          <w:bCs/>
          <w:sz w:val="22"/>
          <w:lang w:val="es-ES_tradnl"/>
        </w:rPr>
        <w:t xml:space="preserve"> «De acuerdo a los pliegos tipo versión 2 presentados por Colombia Compra Eficiente para los procesos de Licitación Pública, para la Oferta Económica se debe tomar la TRM del día hábil siguiente a la apertura de los sobres económicos. ¿Cómo es el manejo de la Audiencia de Adjudicación y/0 (sic) Declaratoria de Desierto? ¿se debe realizar la audiencia en dos días?</w:t>
      </w:r>
      <w:r w:rsidRPr="00D834DF">
        <w:rPr>
          <w:rFonts w:ascii="Arial" w:eastAsia="Calibri" w:hAnsi="Arial" w:cs="Arial"/>
          <w:bCs/>
          <w:sz w:val="22"/>
          <w:lang w:val="es-ES_tradnl"/>
        </w:rPr>
        <w:t xml:space="preserve">» </w:t>
      </w:r>
    </w:p>
    <w:p w14:paraId="7F9CF6EB" w14:textId="77777777" w:rsidR="000C4622" w:rsidRPr="00D834DF" w:rsidRDefault="000C4622" w:rsidP="000C4622">
      <w:pPr>
        <w:tabs>
          <w:tab w:val="left" w:pos="426"/>
        </w:tabs>
        <w:spacing w:line="276" w:lineRule="auto"/>
        <w:jc w:val="both"/>
        <w:rPr>
          <w:rFonts w:ascii="Arial" w:eastAsia="Calibri" w:hAnsi="Arial" w:cs="Arial"/>
          <w:sz w:val="22"/>
        </w:rPr>
      </w:pPr>
    </w:p>
    <w:p w14:paraId="43B9A0E3" w14:textId="77777777" w:rsidR="000C4622" w:rsidRPr="00D834DF" w:rsidRDefault="000C4622" w:rsidP="000C4622">
      <w:pPr>
        <w:tabs>
          <w:tab w:val="left" w:pos="426"/>
        </w:tabs>
        <w:spacing w:line="276" w:lineRule="auto"/>
        <w:jc w:val="both"/>
        <w:rPr>
          <w:rFonts w:ascii="Arial" w:eastAsia="Calibri" w:hAnsi="Arial" w:cs="Arial"/>
          <w:b/>
          <w:sz w:val="22"/>
        </w:rPr>
      </w:pPr>
      <w:r w:rsidRPr="00D834DF">
        <w:rPr>
          <w:rFonts w:ascii="Arial" w:eastAsia="Calibri" w:hAnsi="Arial" w:cs="Arial"/>
          <w:b/>
          <w:sz w:val="22"/>
        </w:rPr>
        <w:t>2. Consideraciones</w:t>
      </w:r>
    </w:p>
    <w:p w14:paraId="435E06B2" w14:textId="77777777" w:rsidR="000C4622" w:rsidRPr="00D834DF" w:rsidRDefault="000C4622" w:rsidP="000C4622">
      <w:pPr>
        <w:tabs>
          <w:tab w:val="left" w:pos="426"/>
        </w:tabs>
        <w:spacing w:line="276" w:lineRule="auto"/>
        <w:jc w:val="both"/>
        <w:rPr>
          <w:rFonts w:ascii="Arial" w:eastAsia="Calibri" w:hAnsi="Arial" w:cs="Arial"/>
          <w:b/>
          <w:sz w:val="22"/>
        </w:rPr>
      </w:pPr>
    </w:p>
    <w:p w14:paraId="0933B987" w14:textId="77777777" w:rsidR="000C4622" w:rsidRPr="00D834DF" w:rsidRDefault="000C4622" w:rsidP="000C4622">
      <w:pPr>
        <w:tabs>
          <w:tab w:val="left" w:pos="426"/>
        </w:tabs>
        <w:spacing w:line="276" w:lineRule="auto"/>
        <w:jc w:val="both"/>
        <w:rPr>
          <w:rFonts w:ascii="Arial" w:eastAsia="Calibri" w:hAnsi="Arial" w:cs="Arial"/>
          <w:b/>
          <w:sz w:val="22"/>
        </w:rPr>
      </w:pPr>
      <w:r w:rsidRPr="00D834DF">
        <w:rPr>
          <w:rFonts w:ascii="Arial" w:eastAsia="Calibri" w:hAnsi="Arial" w:cs="Arial"/>
          <w:bCs/>
          <w:sz w:val="22"/>
          <w:lang w:val="es-ES_tradnl"/>
        </w:rPr>
        <w:t>Teniendo en cuenta que la consulta se realiza en vigencia de la versión 2 de los Documentos Tipo para licitación de obra pública de infraestructura de transporte, las consideraciones que se presentan a continuación están relacionadas con los formatos de estos documentos.</w:t>
      </w:r>
    </w:p>
    <w:p w14:paraId="206121DF" w14:textId="77777777" w:rsidR="000C4622" w:rsidRPr="00D834DF" w:rsidRDefault="000C4622" w:rsidP="000C4622">
      <w:pPr>
        <w:tabs>
          <w:tab w:val="left" w:pos="426"/>
        </w:tabs>
        <w:spacing w:line="276" w:lineRule="auto"/>
        <w:jc w:val="both"/>
        <w:rPr>
          <w:rFonts w:ascii="Arial" w:eastAsia="Calibri" w:hAnsi="Arial" w:cs="Arial"/>
          <w:b/>
          <w:sz w:val="22"/>
        </w:rPr>
      </w:pPr>
    </w:p>
    <w:p w14:paraId="495D39D5" w14:textId="77777777" w:rsidR="000C4622" w:rsidRPr="00D834DF" w:rsidRDefault="000C4622" w:rsidP="000C4622">
      <w:pPr>
        <w:spacing w:line="276" w:lineRule="auto"/>
        <w:jc w:val="both"/>
        <w:rPr>
          <w:rFonts w:ascii="Arial" w:eastAsia="Calibri" w:hAnsi="Arial" w:cs="Arial"/>
          <w:b/>
          <w:bCs/>
          <w:sz w:val="22"/>
        </w:rPr>
      </w:pPr>
      <w:r w:rsidRPr="00D834DF">
        <w:rPr>
          <w:rFonts w:ascii="Arial" w:eastAsia="Calibri" w:hAnsi="Arial" w:cs="Arial"/>
          <w:b/>
          <w:bCs/>
          <w:sz w:val="22"/>
        </w:rPr>
        <w:t>2.1. Ponderación de la oferta económica en procedimientos contractuales regidos por los Documentos Tipo</w:t>
      </w:r>
    </w:p>
    <w:p w14:paraId="188087B5" w14:textId="77777777" w:rsidR="000C4622" w:rsidRPr="00D834DF" w:rsidRDefault="000C4622" w:rsidP="000C4622">
      <w:pPr>
        <w:spacing w:line="276" w:lineRule="auto"/>
        <w:jc w:val="both"/>
        <w:rPr>
          <w:rFonts w:ascii="Arial" w:eastAsia="Calibri" w:hAnsi="Arial" w:cs="Arial"/>
          <w:b/>
          <w:bCs/>
          <w:sz w:val="22"/>
        </w:rPr>
      </w:pPr>
    </w:p>
    <w:p w14:paraId="15E2F0BD" w14:textId="1EFBC6FF" w:rsidR="000C4622" w:rsidRPr="00D834DF" w:rsidRDefault="000C4622" w:rsidP="000C4622">
      <w:pPr>
        <w:spacing w:after="120" w:line="276" w:lineRule="auto"/>
        <w:jc w:val="both"/>
        <w:rPr>
          <w:rFonts w:ascii="Arial" w:eastAsia="Calibri" w:hAnsi="Arial" w:cs="Arial"/>
          <w:bCs/>
          <w:sz w:val="22"/>
        </w:rPr>
      </w:pPr>
      <w:r w:rsidRPr="00D834DF">
        <w:rPr>
          <w:rFonts w:ascii="Arial" w:eastAsia="Calibri" w:hAnsi="Arial" w:cs="Arial"/>
          <w:sz w:val="22"/>
        </w:rPr>
        <w:t xml:space="preserve">La Agencia </w:t>
      </w:r>
      <w:r w:rsidRPr="00D834DF">
        <w:rPr>
          <w:rFonts w:ascii="Arial" w:eastAsia="Calibri" w:hAnsi="Arial" w:cs="Arial"/>
          <w:bCs/>
          <w:sz w:val="22"/>
        </w:rPr>
        <w:t>Nacional de Contratación Pública – Colombia Compra Eficiente,</w:t>
      </w:r>
      <w:r w:rsidRPr="00D834DF">
        <w:t xml:space="preserve"> </w:t>
      </w:r>
      <w:r w:rsidRPr="00D834DF">
        <w:rPr>
          <w:rFonts w:ascii="Arial" w:eastAsia="Calibri" w:hAnsi="Arial" w:cs="Arial"/>
          <w:bCs/>
          <w:sz w:val="22"/>
        </w:rPr>
        <w:t>en el concepto con radicado No.</w:t>
      </w:r>
      <w:r w:rsidRPr="00D834DF">
        <w:t xml:space="preserve"> </w:t>
      </w:r>
      <w:r w:rsidRPr="00D834DF">
        <w:rPr>
          <w:rFonts w:ascii="Arial" w:eastAsia="Calibri" w:hAnsi="Arial" w:cs="Arial"/>
          <w:bCs/>
          <w:sz w:val="22"/>
        </w:rPr>
        <w:t>4202013000001564 del 18 de marzo de 2020, reiterado y desarrollado en los conceptos C-193 del 6 de abril de 20</w:t>
      </w:r>
      <w:r w:rsidR="000A66F9" w:rsidRPr="00D834DF">
        <w:rPr>
          <w:rFonts w:ascii="Arial" w:eastAsia="Calibri" w:hAnsi="Arial" w:cs="Arial"/>
          <w:bCs/>
          <w:sz w:val="22"/>
        </w:rPr>
        <w:t>20,</w:t>
      </w:r>
      <w:r w:rsidRPr="00D834DF">
        <w:rPr>
          <w:rFonts w:ascii="Arial" w:eastAsia="Calibri" w:hAnsi="Arial" w:cs="Arial"/>
          <w:bCs/>
          <w:sz w:val="22"/>
        </w:rPr>
        <w:t xml:space="preserve"> C-279 del 18 de mayo de 2020</w:t>
      </w:r>
      <w:r w:rsidR="000A66F9" w:rsidRPr="00D834DF">
        <w:rPr>
          <w:rFonts w:ascii="Arial" w:eastAsia="Calibri" w:hAnsi="Arial" w:cs="Arial"/>
          <w:bCs/>
          <w:sz w:val="22"/>
        </w:rPr>
        <w:t xml:space="preserve"> y C-354 del 23 de junio de 2020 </w:t>
      </w:r>
      <w:r w:rsidRPr="00D834DF">
        <w:rPr>
          <w:rFonts w:ascii="Arial" w:eastAsia="Calibri" w:hAnsi="Arial" w:cs="Arial"/>
          <w:bCs/>
          <w:sz w:val="22"/>
        </w:rPr>
        <w:t xml:space="preserve">estudió la ponderación de la oferta económica en procedimientos contractuales que aplican los Documentos Tipo. </w:t>
      </w:r>
      <w:r w:rsidRPr="00D834DF">
        <w:rPr>
          <w:rFonts w:ascii="Arial" w:hAnsi="Arial" w:cs="Arial"/>
          <w:sz w:val="22"/>
        </w:rPr>
        <w:t>La tesis desarrollada se expone a continuación</w:t>
      </w:r>
      <w:r w:rsidRPr="00D834DF">
        <w:rPr>
          <w:rFonts w:ascii="Arial" w:eastAsia="Calibri" w:hAnsi="Arial" w:cs="Arial"/>
          <w:bCs/>
          <w:sz w:val="22"/>
        </w:rPr>
        <w:t>.</w:t>
      </w:r>
    </w:p>
    <w:p w14:paraId="1507C9C2" w14:textId="77777777" w:rsidR="000A66F9" w:rsidRPr="00D834DF" w:rsidRDefault="000A66F9" w:rsidP="000A66F9">
      <w:pPr>
        <w:spacing w:before="120" w:after="120" w:line="276" w:lineRule="auto"/>
        <w:ind w:firstLine="709"/>
        <w:jc w:val="both"/>
        <w:rPr>
          <w:rFonts w:ascii="Arial" w:hAnsi="Arial" w:cs="Arial"/>
          <w:sz w:val="22"/>
        </w:rPr>
      </w:pPr>
      <w:r w:rsidRPr="00D834DF">
        <w:rPr>
          <w:rFonts w:ascii="Arial" w:hAnsi="Arial" w:cs="Arial"/>
          <w:sz w:val="22"/>
        </w:rPr>
        <w:t xml:space="preserve">El Documento Base de los Pliegos Tipo establece la forma como se debe elegir el método para la ponderación de la oferta económica. En efecto, el numeral 4.1.4. establece: </w:t>
      </w:r>
    </w:p>
    <w:p w14:paraId="664042C2" w14:textId="77777777" w:rsidR="000A66F9" w:rsidRPr="00D834DF" w:rsidRDefault="000A66F9" w:rsidP="000A66F9">
      <w:pPr>
        <w:tabs>
          <w:tab w:val="left" w:pos="1860"/>
        </w:tabs>
        <w:ind w:left="709" w:right="758"/>
        <w:jc w:val="both"/>
        <w:rPr>
          <w:rFonts w:ascii="Arial" w:eastAsia="Arial,Calibri" w:hAnsi="Arial" w:cs="Arial"/>
          <w:sz w:val="21"/>
          <w:szCs w:val="21"/>
        </w:rPr>
      </w:pPr>
      <w:r w:rsidRPr="00D834DF">
        <w:rPr>
          <w:rFonts w:ascii="Arial" w:hAnsi="Arial" w:cs="Arial"/>
          <w:sz w:val="21"/>
          <w:szCs w:val="21"/>
        </w:rPr>
        <w:t>Para</w:t>
      </w:r>
      <w:r w:rsidRPr="00D834DF">
        <w:rPr>
          <w:rFonts w:ascii="Arial" w:eastAsia="Arial,Calibri" w:hAnsi="Arial" w:cs="Arial"/>
          <w:sz w:val="21"/>
          <w:szCs w:val="21"/>
        </w:rPr>
        <w:t xml:space="preserve"> </w:t>
      </w:r>
      <w:r w:rsidRPr="00D834DF">
        <w:rPr>
          <w:rFonts w:ascii="Arial" w:hAnsi="Arial" w:cs="Arial"/>
          <w:sz w:val="21"/>
          <w:szCs w:val="21"/>
        </w:rPr>
        <w:t>determinar</w:t>
      </w:r>
      <w:r w:rsidRPr="00D834DF">
        <w:rPr>
          <w:rFonts w:ascii="Arial" w:eastAsia="Arial,Calibri" w:hAnsi="Arial" w:cs="Arial"/>
          <w:sz w:val="21"/>
          <w:szCs w:val="21"/>
        </w:rPr>
        <w:t xml:space="preserve"> </w:t>
      </w:r>
      <w:r w:rsidRPr="00D834DF">
        <w:rPr>
          <w:rFonts w:ascii="Arial" w:hAnsi="Arial" w:cs="Arial"/>
          <w:sz w:val="21"/>
          <w:szCs w:val="21"/>
        </w:rPr>
        <w:t>el</w:t>
      </w:r>
      <w:r w:rsidRPr="00D834DF">
        <w:rPr>
          <w:rFonts w:ascii="Arial" w:eastAsia="Arial,Calibri" w:hAnsi="Arial" w:cs="Arial"/>
          <w:sz w:val="21"/>
          <w:szCs w:val="21"/>
        </w:rPr>
        <w:t xml:space="preserve"> </w:t>
      </w:r>
      <w:r w:rsidRPr="00D834DF">
        <w:rPr>
          <w:rFonts w:ascii="Arial" w:hAnsi="Arial" w:cs="Arial"/>
          <w:sz w:val="21"/>
          <w:szCs w:val="21"/>
        </w:rPr>
        <w:t>método</w:t>
      </w:r>
      <w:r w:rsidRPr="00D834DF">
        <w:rPr>
          <w:rFonts w:ascii="Arial" w:eastAsia="Arial,Calibri" w:hAnsi="Arial" w:cs="Arial"/>
          <w:sz w:val="21"/>
          <w:szCs w:val="21"/>
        </w:rPr>
        <w:t xml:space="preserve"> </w:t>
      </w:r>
      <w:r w:rsidRPr="00D834DF">
        <w:rPr>
          <w:rFonts w:ascii="Arial" w:hAnsi="Arial" w:cs="Arial"/>
          <w:sz w:val="21"/>
          <w:szCs w:val="21"/>
        </w:rPr>
        <w:t>de</w:t>
      </w:r>
      <w:r w:rsidRPr="00D834DF">
        <w:rPr>
          <w:rFonts w:ascii="Arial" w:eastAsia="Arial,Calibri" w:hAnsi="Arial" w:cs="Arial"/>
          <w:sz w:val="21"/>
          <w:szCs w:val="21"/>
        </w:rPr>
        <w:t xml:space="preserve"> </w:t>
      </w:r>
      <w:r w:rsidRPr="00D834DF">
        <w:rPr>
          <w:rFonts w:ascii="Arial" w:hAnsi="Arial" w:cs="Arial"/>
          <w:sz w:val="21"/>
          <w:szCs w:val="21"/>
        </w:rPr>
        <w:t>ponderación,</w:t>
      </w:r>
      <w:r w:rsidRPr="00D834DF">
        <w:rPr>
          <w:rFonts w:ascii="Arial" w:eastAsia="Arial,Calibri" w:hAnsi="Arial" w:cs="Arial"/>
          <w:sz w:val="21"/>
          <w:szCs w:val="21"/>
        </w:rPr>
        <w:t xml:space="preserve"> </w:t>
      </w:r>
      <w:r w:rsidRPr="00D834DF">
        <w:rPr>
          <w:rFonts w:ascii="Arial" w:hAnsi="Arial" w:cs="Arial"/>
          <w:sz w:val="21"/>
          <w:szCs w:val="21"/>
        </w:rPr>
        <w:t>la</w:t>
      </w:r>
      <w:r w:rsidRPr="00D834DF">
        <w:rPr>
          <w:rFonts w:ascii="Arial" w:eastAsia="Arial,Calibri" w:hAnsi="Arial" w:cs="Arial"/>
          <w:sz w:val="21"/>
          <w:szCs w:val="21"/>
        </w:rPr>
        <w:t xml:space="preserve"> </w:t>
      </w:r>
      <w:r w:rsidRPr="00D834DF">
        <w:rPr>
          <w:rFonts w:ascii="Arial" w:hAnsi="Arial" w:cs="Arial"/>
          <w:sz w:val="21"/>
          <w:szCs w:val="21"/>
        </w:rPr>
        <w:t>Entidad</w:t>
      </w:r>
      <w:r w:rsidRPr="00D834DF">
        <w:rPr>
          <w:rFonts w:ascii="Arial" w:eastAsia="Arial,Calibri" w:hAnsi="Arial" w:cs="Arial"/>
          <w:sz w:val="21"/>
          <w:szCs w:val="21"/>
        </w:rPr>
        <w:t xml:space="preserve"> </w:t>
      </w:r>
      <w:r w:rsidRPr="00D834DF">
        <w:rPr>
          <w:rFonts w:ascii="Arial" w:hAnsi="Arial" w:cs="Arial"/>
          <w:sz w:val="21"/>
          <w:szCs w:val="21"/>
        </w:rPr>
        <w:t>tomará</w:t>
      </w:r>
      <w:r w:rsidRPr="00D834DF">
        <w:rPr>
          <w:rFonts w:ascii="Arial" w:eastAsia="Arial,Calibri" w:hAnsi="Arial" w:cs="Arial"/>
          <w:sz w:val="21"/>
          <w:szCs w:val="21"/>
        </w:rPr>
        <w:t xml:space="preserve"> </w:t>
      </w:r>
      <w:r w:rsidRPr="00D834DF">
        <w:rPr>
          <w:rFonts w:ascii="Arial" w:hAnsi="Arial" w:cs="Arial"/>
          <w:sz w:val="21"/>
          <w:szCs w:val="21"/>
        </w:rPr>
        <w:t>los centavos</w:t>
      </w:r>
      <w:r w:rsidRPr="00D834DF">
        <w:rPr>
          <w:rFonts w:ascii="Arial" w:eastAsia="Arial,Calibri" w:hAnsi="Arial" w:cs="Arial"/>
          <w:sz w:val="21"/>
          <w:szCs w:val="21"/>
        </w:rPr>
        <w:t xml:space="preserve"> </w:t>
      </w:r>
      <w:r w:rsidRPr="00D834DF">
        <w:rPr>
          <w:rFonts w:ascii="Arial" w:hAnsi="Arial" w:cs="Arial"/>
          <w:sz w:val="21"/>
          <w:szCs w:val="21"/>
        </w:rPr>
        <w:t>de</w:t>
      </w:r>
      <w:r w:rsidRPr="00D834DF">
        <w:rPr>
          <w:rFonts w:ascii="Arial" w:eastAsia="Arial,Calibri" w:hAnsi="Arial" w:cs="Arial"/>
          <w:sz w:val="21"/>
          <w:szCs w:val="21"/>
        </w:rPr>
        <w:t xml:space="preserve"> </w:t>
      </w:r>
      <w:r w:rsidRPr="00D834DF">
        <w:rPr>
          <w:rFonts w:ascii="Arial" w:hAnsi="Arial" w:cs="Arial"/>
          <w:sz w:val="21"/>
          <w:szCs w:val="21"/>
        </w:rPr>
        <w:t>la</w:t>
      </w:r>
      <w:r w:rsidRPr="00D834DF">
        <w:rPr>
          <w:rFonts w:ascii="Arial" w:eastAsia="Arial,Calibri" w:hAnsi="Arial" w:cs="Arial"/>
          <w:sz w:val="21"/>
          <w:szCs w:val="21"/>
        </w:rPr>
        <w:t xml:space="preserve"> </w:t>
      </w:r>
      <w:r w:rsidRPr="00D834DF">
        <w:rPr>
          <w:rFonts w:ascii="Arial" w:hAnsi="Arial" w:cs="Arial"/>
          <w:sz w:val="21"/>
          <w:szCs w:val="21"/>
        </w:rPr>
        <w:t>Tasa</w:t>
      </w:r>
      <w:r w:rsidRPr="00D834DF">
        <w:rPr>
          <w:rFonts w:ascii="Arial" w:eastAsia="Arial,Calibri" w:hAnsi="Arial" w:cs="Arial"/>
          <w:sz w:val="21"/>
          <w:szCs w:val="21"/>
        </w:rPr>
        <w:t xml:space="preserve"> </w:t>
      </w:r>
      <w:r w:rsidRPr="00D834DF">
        <w:rPr>
          <w:rFonts w:ascii="Arial" w:hAnsi="Arial" w:cs="Arial"/>
          <w:sz w:val="21"/>
          <w:szCs w:val="21"/>
        </w:rPr>
        <w:t>de</w:t>
      </w:r>
      <w:r w:rsidRPr="00D834DF">
        <w:rPr>
          <w:rFonts w:ascii="Arial" w:eastAsia="Arial,Calibri" w:hAnsi="Arial" w:cs="Arial"/>
          <w:sz w:val="21"/>
          <w:szCs w:val="21"/>
        </w:rPr>
        <w:t xml:space="preserve"> </w:t>
      </w:r>
      <w:r w:rsidRPr="00D834DF">
        <w:rPr>
          <w:rFonts w:ascii="Arial" w:hAnsi="Arial" w:cs="Arial"/>
          <w:sz w:val="21"/>
          <w:szCs w:val="21"/>
        </w:rPr>
        <w:t>Cambio</w:t>
      </w:r>
      <w:r w:rsidRPr="00D834DF">
        <w:rPr>
          <w:rFonts w:ascii="Arial" w:eastAsia="Arial,Calibri" w:hAnsi="Arial" w:cs="Arial"/>
          <w:sz w:val="21"/>
          <w:szCs w:val="21"/>
        </w:rPr>
        <w:t xml:space="preserve"> </w:t>
      </w:r>
      <w:r w:rsidRPr="00D834DF">
        <w:rPr>
          <w:rFonts w:ascii="Arial" w:hAnsi="Arial" w:cs="Arial"/>
          <w:sz w:val="21"/>
          <w:szCs w:val="21"/>
        </w:rPr>
        <w:t>Representativa</w:t>
      </w:r>
      <w:r w:rsidRPr="00D834DF">
        <w:rPr>
          <w:rFonts w:ascii="Arial" w:eastAsia="Arial,Calibri" w:hAnsi="Arial" w:cs="Arial"/>
          <w:sz w:val="21"/>
          <w:szCs w:val="21"/>
        </w:rPr>
        <w:t xml:space="preserve"> </w:t>
      </w:r>
      <w:r w:rsidRPr="00D834DF">
        <w:rPr>
          <w:rFonts w:ascii="Arial" w:hAnsi="Arial" w:cs="Arial"/>
          <w:sz w:val="21"/>
          <w:szCs w:val="21"/>
        </w:rPr>
        <w:t>del</w:t>
      </w:r>
      <w:r w:rsidRPr="00D834DF">
        <w:rPr>
          <w:rFonts w:ascii="Arial" w:eastAsia="Arial,Calibri" w:hAnsi="Arial" w:cs="Arial"/>
          <w:sz w:val="21"/>
          <w:szCs w:val="21"/>
        </w:rPr>
        <w:t xml:space="preserve"> </w:t>
      </w:r>
      <w:r w:rsidRPr="00D834DF">
        <w:rPr>
          <w:rFonts w:ascii="Arial" w:hAnsi="Arial" w:cs="Arial"/>
          <w:sz w:val="21"/>
          <w:szCs w:val="21"/>
        </w:rPr>
        <w:t>Mercado</w:t>
      </w:r>
      <w:r w:rsidRPr="00D834DF">
        <w:rPr>
          <w:rFonts w:ascii="Arial" w:eastAsia="Arial,Calibri" w:hAnsi="Arial" w:cs="Arial"/>
          <w:sz w:val="21"/>
          <w:szCs w:val="21"/>
        </w:rPr>
        <w:t xml:space="preserve"> (</w:t>
      </w:r>
      <w:r w:rsidRPr="00D834DF">
        <w:rPr>
          <w:rFonts w:ascii="Arial" w:hAnsi="Arial" w:cs="Arial"/>
          <w:sz w:val="21"/>
          <w:szCs w:val="21"/>
        </w:rPr>
        <w:t>TRM), certificada</w:t>
      </w:r>
      <w:r w:rsidRPr="00D834DF">
        <w:rPr>
          <w:rFonts w:ascii="Arial" w:eastAsia="Arial,Calibri" w:hAnsi="Arial" w:cs="Arial"/>
          <w:sz w:val="21"/>
          <w:szCs w:val="21"/>
        </w:rPr>
        <w:t xml:space="preserve"> </w:t>
      </w:r>
      <w:r w:rsidRPr="00D834DF">
        <w:rPr>
          <w:rFonts w:ascii="Arial" w:hAnsi="Arial" w:cs="Arial"/>
          <w:sz w:val="21"/>
          <w:szCs w:val="21"/>
        </w:rPr>
        <w:t>por</w:t>
      </w:r>
      <w:r w:rsidRPr="00D834DF">
        <w:rPr>
          <w:rFonts w:ascii="Arial" w:eastAsia="Arial,Calibri" w:hAnsi="Arial" w:cs="Arial"/>
          <w:sz w:val="21"/>
          <w:szCs w:val="21"/>
        </w:rPr>
        <w:t xml:space="preserve"> </w:t>
      </w:r>
      <w:r w:rsidRPr="00D834DF">
        <w:rPr>
          <w:rFonts w:ascii="Arial" w:hAnsi="Arial" w:cs="Arial"/>
          <w:sz w:val="21"/>
          <w:szCs w:val="21"/>
        </w:rPr>
        <w:t>la Superintendencia Financiera de Colombia</w:t>
      </w:r>
      <w:r w:rsidRPr="00D834DF">
        <w:rPr>
          <w:rFonts w:ascii="Arial" w:eastAsia="Arial,Calibri" w:hAnsi="Arial" w:cs="Arial"/>
          <w:sz w:val="21"/>
          <w:szCs w:val="21"/>
        </w:rPr>
        <w:t xml:space="preserve"> (</w:t>
      </w:r>
      <w:r w:rsidRPr="00D834DF">
        <w:rPr>
          <w:rFonts w:ascii="Arial" w:hAnsi="Arial" w:cs="Arial"/>
          <w:sz w:val="21"/>
          <w:szCs w:val="21"/>
        </w:rPr>
        <w:t>en</w:t>
      </w:r>
      <w:r w:rsidRPr="00D834DF">
        <w:rPr>
          <w:rFonts w:ascii="Arial" w:eastAsia="Arial,Calibri" w:hAnsi="Arial" w:cs="Arial"/>
          <w:sz w:val="21"/>
          <w:szCs w:val="21"/>
        </w:rPr>
        <w:t xml:space="preserve"> </w:t>
      </w:r>
      <w:r w:rsidRPr="00D834DF">
        <w:rPr>
          <w:rFonts w:ascii="Arial" w:hAnsi="Arial" w:cs="Arial"/>
          <w:sz w:val="21"/>
          <w:szCs w:val="21"/>
        </w:rPr>
        <w:t>su</w:t>
      </w:r>
      <w:r w:rsidRPr="00D834DF">
        <w:rPr>
          <w:rFonts w:ascii="Arial" w:eastAsia="Arial,Calibri" w:hAnsi="Arial" w:cs="Arial"/>
          <w:sz w:val="21"/>
          <w:szCs w:val="21"/>
        </w:rPr>
        <w:t xml:space="preserve"> </w:t>
      </w:r>
      <w:r w:rsidRPr="00D834DF">
        <w:rPr>
          <w:rFonts w:ascii="Arial" w:hAnsi="Arial" w:cs="Arial"/>
          <w:sz w:val="21"/>
          <w:szCs w:val="21"/>
        </w:rPr>
        <w:t xml:space="preserve">sitio web: </w:t>
      </w:r>
      <w:hyperlink r:id="rId11" w:history="1">
        <w:r w:rsidRPr="00D834DF">
          <w:rPr>
            <w:rStyle w:val="Hipervnculo"/>
            <w:rFonts w:ascii="Arial" w:hAnsi="Arial" w:cs="Arial"/>
            <w:color w:val="auto"/>
            <w:sz w:val="21"/>
            <w:szCs w:val="21"/>
          </w:rPr>
          <w:t>https://www.superfinanciera.gov.co/publicacion/60819</w:t>
        </w:r>
      </w:hyperlink>
      <w:r w:rsidRPr="00D834DF">
        <w:rPr>
          <w:rFonts w:ascii="Arial" w:eastAsia="Arial,Calibri" w:hAnsi="Arial" w:cs="Arial"/>
          <w:sz w:val="21"/>
          <w:szCs w:val="21"/>
        </w:rPr>
        <w:t>).</w:t>
      </w:r>
    </w:p>
    <w:p w14:paraId="4A4E0124" w14:textId="77777777" w:rsidR="000A66F9" w:rsidRPr="00D834DF" w:rsidRDefault="000A66F9" w:rsidP="000A66F9">
      <w:pPr>
        <w:tabs>
          <w:tab w:val="left" w:pos="1860"/>
        </w:tabs>
        <w:ind w:left="709" w:right="758"/>
        <w:jc w:val="both"/>
        <w:rPr>
          <w:rFonts w:ascii="Arial" w:eastAsia="Arial,Calibri" w:hAnsi="Arial" w:cs="Arial"/>
          <w:sz w:val="21"/>
          <w:szCs w:val="21"/>
        </w:rPr>
      </w:pPr>
      <w:r w:rsidRPr="00D834DF">
        <w:rPr>
          <w:rFonts w:ascii="Arial" w:eastAsia="Arial,Calibri" w:hAnsi="Arial" w:cs="Arial"/>
          <w:sz w:val="21"/>
          <w:szCs w:val="21"/>
        </w:rPr>
        <w:t>[…]</w:t>
      </w:r>
    </w:p>
    <w:p w14:paraId="2D8E94CD" w14:textId="77777777" w:rsidR="000A66F9" w:rsidRPr="00D834DF" w:rsidRDefault="000A66F9" w:rsidP="000A66F9">
      <w:pPr>
        <w:tabs>
          <w:tab w:val="left" w:pos="1860"/>
        </w:tabs>
        <w:ind w:left="709" w:right="758"/>
        <w:jc w:val="both"/>
        <w:rPr>
          <w:rFonts w:ascii="Arial" w:eastAsia="Arial,Calibri" w:hAnsi="Arial" w:cs="Arial"/>
          <w:sz w:val="21"/>
          <w:szCs w:val="21"/>
        </w:rPr>
      </w:pPr>
    </w:p>
    <w:p w14:paraId="51EF4454" w14:textId="77777777" w:rsidR="000A66F9" w:rsidRPr="00D834DF" w:rsidRDefault="000A66F9" w:rsidP="000A66F9">
      <w:pPr>
        <w:tabs>
          <w:tab w:val="left" w:pos="1860"/>
        </w:tabs>
        <w:ind w:left="709" w:right="758"/>
        <w:jc w:val="both"/>
        <w:rPr>
          <w:rFonts w:ascii="Arial" w:eastAsia="Arial,Calibri" w:hAnsi="Arial" w:cs="Arial"/>
          <w:sz w:val="21"/>
          <w:szCs w:val="21"/>
        </w:rPr>
      </w:pPr>
      <w:r w:rsidRPr="00D834DF">
        <w:rPr>
          <w:rFonts w:ascii="Arial" w:hAnsi="Arial" w:cs="Arial"/>
          <w:sz w:val="21"/>
          <w:szCs w:val="21"/>
        </w:rPr>
        <w:t>El</w:t>
      </w:r>
      <w:r w:rsidRPr="00D834DF">
        <w:rPr>
          <w:rFonts w:ascii="Arial" w:eastAsia="Arial,Calibri" w:hAnsi="Arial" w:cs="Arial"/>
          <w:sz w:val="21"/>
          <w:szCs w:val="21"/>
        </w:rPr>
        <w:t xml:space="preserve"> </w:t>
      </w:r>
      <w:r w:rsidRPr="00D834DF">
        <w:rPr>
          <w:rFonts w:ascii="Arial" w:hAnsi="Arial" w:cs="Arial"/>
          <w:sz w:val="21"/>
          <w:szCs w:val="21"/>
        </w:rPr>
        <w:t>método</w:t>
      </w:r>
      <w:r w:rsidRPr="00D834DF">
        <w:rPr>
          <w:rFonts w:ascii="Arial" w:eastAsia="Arial,Calibri" w:hAnsi="Arial" w:cs="Arial"/>
          <w:sz w:val="21"/>
          <w:szCs w:val="21"/>
        </w:rPr>
        <w:t xml:space="preserve"> </w:t>
      </w:r>
      <w:r w:rsidRPr="00D834DF">
        <w:rPr>
          <w:rFonts w:ascii="Arial" w:hAnsi="Arial" w:cs="Arial"/>
          <w:sz w:val="21"/>
          <w:szCs w:val="21"/>
        </w:rPr>
        <w:t>de</w:t>
      </w:r>
      <w:r w:rsidRPr="00D834DF">
        <w:rPr>
          <w:rFonts w:ascii="Arial" w:eastAsia="Arial,Calibri" w:hAnsi="Arial" w:cs="Arial"/>
          <w:sz w:val="21"/>
          <w:szCs w:val="21"/>
        </w:rPr>
        <w:t xml:space="preserve"> </w:t>
      </w:r>
      <w:r w:rsidRPr="00D834DF">
        <w:rPr>
          <w:rFonts w:ascii="Arial" w:hAnsi="Arial" w:cs="Arial"/>
          <w:sz w:val="21"/>
          <w:szCs w:val="21"/>
        </w:rPr>
        <w:t>ponderación</w:t>
      </w:r>
      <w:r w:rsidRPr="00D834DF">
        <w:rPr>
          <w:rFonts w:ascii="Arial" w:eastAsia="Arial,Calibri" w:hAnsi="Arial" w:cs="Arial"/>
          <w:sz w:val="21"/>
          <w:szCs w:val="21"/>
        </w:rPr>
        <w:t xml:space="preserve"> </w:t>
      </w:r>
      <w:r w:rsidRPr="00D834DF">
        <w:rPr>
          <w:rFonts w:ascii="Arial" w:hAnsi="Arial" w:cs="Arial"/>
          <w:sz w:val="21"/>
          <w:szCs w:val="21"/>
        </w:rPr>
        <w:t>se</w:t>
      </w:r>
      <w:r w:rsidRPr="00D834DF">
        <w:rPr>
          <w:rFonts w:ascii="Arial" w:eastAsia="Arial,Calibri" w:hAnsi="Arial" w:cs="Arial"/>
          <w:sz w:val="21"/>
          <w:szCs w:val="21"/>
        </w:rPr>
        <w:t xml:space="preserve"> </w:t>
      </w:r>
      <w:r w:rsidRPr="00D834DF">
        <w:rPr>
          <w:rFonts w:ascii="Arial" w:hAnsi="Arial" w:cs="Arial"/>
          <w:sz w:val="21"/>
          <w:szCs w:val="21"/>
        </w:rPr>
        <w:t>determinará</w:t>
      </w:r>
      <w:r w:rsidRPr="00D834DF">
        <w:rPr>
          <w:rFonts w:ascii="Arial" w:eastAsia="Arial,Calibri" w:hAnsi="Arial" w:cs="Arial"/>
          <w:sz w:val="21"/>
          <w:szCs w:val="21"/>
        </w:rPr>
        <w:t xml:space="preserve"> </w:t>
      </w:r>
      <w:r w:rsidRPr="00D834DF">
        <w:rPr>
          <w:rFonts w:ascii="Arial" w:hAnsi="Arial" w:cs="Arial"/>
          <w:sz w:val="21"/>
          <w:szCs w:val="21"/>
        </w:rPr>
        <w:t>de</w:t>
      </w:r>
      <w:r w:rsidRPr="00D834DF">
        <w:rPr>
          <w:rFonts w:ascii="Arial" w:eastAsia="Arial,Calibri" w:hAnsi="Arial" w:cs="Arial"/>
          <w:sz w:val="21"/>
          <w:szCs w:val="21"/>
        </w:rPr>
        <w:t xml:space="preserve"> </w:t>
      </w:r>
      <w:r w:rsidRPr="00D834DF">
        <w:rPr>
          <w:rFonts w:ascii="Arial" w:hAnsi="Arial" w:cs="Arial"/>
          <w:sz w:val="21"/>
          <w:szCs w:val="21"/>
        </w:rPr>
        <w:t>acuerdo</w:t>
      </w:r>
      <w:r w:rsidRPr="00D834DF">
        <w:rPr>
          <w:rFonts w:ascii="Arial" w:eastAsia="Arial,Calibri" w:hAnsi="Arial" w:cs="Arial"/>
          <w:sz w:val="21"/>
          <w:szCs w:val="21"/>
        </w:rPr>
        <w:t xml:space="preserve"> </w:t>
      </w:r>
      <w:r w:rsidRPr="00D834DF">
        <w:rPr>
          <w:rFonts w:ascii="Arial" w:hAnsi="Arial" w:cs="Arial"/>
          <w:sz w:val="21"/>
          <w:szCs w:val="21"/>
        </w:rPr>
        <w:t>con</w:t>
      </w:r>
      <w:r w:rsidRPr="00D834DF">
        <w:rPr>
          <w:rFonts w:ascii="Arial" w:eastAsia="Arial,Calibri" w:hAnsi="Arial" w:cs="Arial"/>
          <w:sz w:val="21"/>
          <w:szCs w:val="21"/>
        </w:rPr>
        <w:t xml:space="preserve"> </w:t>
      </w:r>
      <w:r w:rsidRPr="00D834DF">
        <w:rPr>
          <w:rFonts w:ascii="Arial" w:hAnsi="Arial" w:cs="Arial"/>
          <w:sz w:val="21"/>
          <w:szCs w:val="21"/>
        </w:rPr>
        <w:t>los</w:t>
      </w:r>
      <w:r w:rsidRPr="00D834DF">
        <w:rPr>
          <w:rFonts w:ascii="Arial" w:eastAsia="Arial,Calibri" w:hAnsi="Arial" w:cs="Arial"/>
          <w:sz w:val="21"/>
          <w:szCs w:val="21"/>
        </w:rPr>
        <w:t xml:space="preserve"> </w:t>
      </w:r>
      <w:r w:rsidRPr="00D834DF">
        <w:rPr>
          <w:rFonts w:ascii="Arial" w:hAnsi="Arial" w:cs="Arial"/>
          <w:sz w:val="21"/>
          <w:szCs w:val="21"/>
        </w:rPr>
        <w:t>rangos</w:t>
      </w:r>
      <w:r w:rsidRPr="00D834DF">
        <w:rPr>
          <w:rFonts w:ascii="Arial" w:eastAsia="Arial,Calibri" w:hAnsi="Arial" w:cs="Arial"/>
          <w:sz w:val="21"/>
          <w:szCs w:val="21"/>
        </w:rPr>
        <w:t xml:space="preserve"> </w:t>
      </w:r>
      <w:r w:rsidRPr="00D834DF">
        <w:rPr>
          <w:rFonts w:ascii="Arial" w:hAnsi="Arial" w:cs="Arial"/>
          <w:sz w:val="21"/>
          <w:szCs w:val="21"/>
        </w:rPr>
        <w:t>del</w:t>
      </w:r>
      <w:r w:rsidRPr="00D834DF">
        <w:rPr>
          <w:rFonts w:ascii="Arial" w:eastAsia="Arial,Calibri" w:hAnsi="Arial" w:cs="Arial"/>
          <w:sz w:val="21"/>
          <w:szCs w:val="21"/>
        </w:rPr>
        <w:t xml:space="preserve"> </w:t>
      </w:r>
      <w:r w:rsidRPr="00D834DF">
        <w:rPr>
          <w:rFonts w:ascii="Arial" w:hAnsi="Arial" w:cs="Arial"/>
          <w:sz w:val="21"/>
          <w:szCs w:val="21"/>
        </w:rPr>
        <w:t>siguiente</w:t>
      </w:r>
      <w:r w:rsidRPr="00D834DF">
        <w:rPr>
          <w:rFonts w:ascii="Arial" w:eastAsia="Arial,Calibri" w:hAnsi="Arial" w:cs="Arial"/>
          <w:sz w:val="21"/>
          <w:szCs w:val="21"/>
        </w:rPr>
        <w:t xml:space="preserve"> </w:t>
      </w:r>
      <w:r w:rsidRPr="00D834DF">
        <w:rPr>
          <w:rFonts w:ascii="Arial" w:hAnsi="Arial" w:cs="Arial"/>
          <w:sz w:val="21"/>
          <w:szCs w:val="21"/>
        </w:rPr>
        <w:t>cuadro:</w:t>
      </w:r>
      <w:r w:rsidRPr="00D834DF">
        <w:rPr>
          <w:rFonts w:ascii="Arial" w:eastAsia="Arial,Calibri" w:hAnsi="Arial" w:cs="Arial"/>
          <w:sz w:val="21"/>
          <w:szCs w:val="21"/>
        </w:rPr>
        <w:t xml:space="preserve"> </w:t>
      </w:r>
    </w:p>
    <w:p w14:paraId="631D2BC5" w14:textId="77777777" w:rsidR="000A66F9" w:rsidRPr="00D834DF" w:rsidRDefault="000A66F9" w:rsidP="000A66F9">
      <w:pPr>
        <w:tabs>
          <w:tab w:val="left" w:pos="1860"/>
        </w:tabs>
        <w:ind w:left="709" w:right="758"/>
        <w:jc w:val="both"/>
        <w:rPr>
          <w:rFonts w:ascii="Arial" w:eastAsia="Arial,Calibri" w:hAnsi="Arial"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D834DF" w:rsidRPr="00D834DF" w14:paraId="15D2E386" w14:textId="77777777" w:rsidTr="004963AB">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71251BED" w14:textId="77777777" w:rsidR="000A66F9" w:rsidRPr="00D834DF" w:rsidRDefault="000A66F9" w:rsidP="004963AB">
            <w:pPr>
              <w:jc w:val="center"/>
              <w:rPr>
                <w:rFonts w:ascii="Arial" w:eastAsia="Arial,Calibri" w:hAnsi="Arial" w:cs="Arial"/>
                <w:b/>
                <w:bCs/>
                <w:sz w:val="16"/>
                <w:szCs w:val="16"/>
              </w:rPr>
            </w:pPr>
            <w:r w:rsidRPr="00D834DF">
              <w:rPr>
                <w:rFonts w:ascii="Arial" w:hAnsi="Arial" w:cs="Arial"/>
                <w:b/>
                <w:bCs/>
                <w:sz w:val="16"/>
                <w:szCs w:val="16"/>
              </w:rPr>
              <w:t>Rango</w:t>
            </w:r>
            <w:r w:rsidRPr="00D834DF">
              <w:rPr>
                <w:rFonts w:ascii="Arial" w:eastAsia="Arial,Calibri" w:hAnsi="Arial" w:cs="Arial"/>
                <w:b/>
                <w:bCs/>
                <w:sz w:val="16"/>
                <w:szCs w:val="16"/>
              </w:rPr>
              <w:t xml:space="preserve"> </w:t>
            </w:r>
            <w:r w:rsidRPr="00D834DF">
              <w:rPr>
                <w:rFonts w:ascii="Arial" w:hAnsi="Arial"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37AD3A80" w14:textId="77777777" w:rsidR="000A66F9" w:rsidRPr="00D834DF" w:rsidRDefault="000A66F9" w:rsidP="004963AB">
            <w:pPr>
              <w:jc w:val="center"/>
              <w:rPr>
                <w:rFonts w:ascii="Arial" w:eastAsia="Arial,Calibri" w:hAnsi="Arial" w:cs="Arial"/>
                <w:b/>
                <w:bCs/>
                <w:sz w:val="16"/>
                <w:szCs w:val="16"/>
              </w:rPr>
            </w:pPr>
            <w:r w:rsidRPr="00D834DF">
              <w:rPr>
                <w:rFonts w:ascii="Arial" w:hAnsi="Arial"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0BAA0D74" w14:textId="77777777" w:rsidR="000A66F9" w:rsidRPr="00D834DF" w:rsidRDefault="000A66F9" w:rsidP="004963AB">
            <w:pPr>
              <w:jc w:val="center"/>
              <w:rPr>
                <w:rFonts w:ascii="Arial" w:eastAsia="Arial,Calibri" w:hAnsi="Arial" w:cs="Arial"/>
                <w:b/>
                <w:bCs/>
                <w:sz w:val="16"/>
                <w:szCs w:val="16"/>
              </w:rPr>
            </w:pPr>
            <w:r w:rsidRPr="00D834DF">
              <w:rPr>
                <w:rFonts w:ascii="Arial" w:hAnsi="Arial" w:cs="Arial"/>
                <w:b/>
                <w:bCs/>
                <w:sz w:val="16"/>
                <w:szCs w:val="16"/>
              </w:rPr>
              <w:t>Método</w:t>
            </w:r>
          </w:p>
        </w:tc>
      </w:tr>
      <w:tr w:rsidR="00D834DF" w:rsidRPr="00D834DF" w14:paraId="6E9B47A3" w14:textId="77777777" w:rsidTr="004963AB">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66F50FD"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0782D46D" w14:textId="77777777" w:rsidR="000A66F9" w:rsidRPr="00D834DF" w:rsidRDefault="000A66F9" w:rsidP="004963AB">
            <w:pPr>
              <w:jc w:val="center"/>
              <w:rPr>
                <w:rFonts w:ascii="Arial" w:eastAsia="Arial,Times New Roman" w:hAnsi="Arial" w:cs="Arial"/>
                <w:sz w:val="16"/>
                <w:szCs w:val="16"/>
                <w:lang w:val="es-ES" w:eastAsia="es-CO"/>
              </w:rPr>
            </w:pPr>
            <w:r w:rsidRPr="00D834DF">
              <w:rPr>
                <w:rFonts w:ascii="Arial" w:hAnsi="Arial"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11C1D42" w14:textId="77777777" w:rsidR="000A66F9" w:rsidRPr="00D834DF" w:rsidRDefault="000A66F9" w:rsidP="004963AB">
            <w:pPr>
              <w:jc w:val="center"/>
              <w:rPr>
                <w:rFonts w:ascii="Arial" w:eastAsia="Arial,Times New Roman" w:hAnsi="Arial" w:cs="Arial"/>
                <w:sz w:val="16"/>
                <w:szCs w:val="16"/>
                <w:lang w:val="es-ES" w:eastAsia="es-CO"/>
              </w:rPr>
            </w:pPr>
            <w:r w:rsidRPr="00D834DF">
              <w:rPr>
                <w:rFonts w:ascii="Arial" w:hAnsi="Arial" w:cs="Arial"/>
                <w:sz w:val="16"/>
                <w:szCs w:val="16"/>
                <w:lang w:val="es-ES" w:eastAsia="es-CO"/>
              </w:rPr>
              <w:t>Mediana con valor absoluto</w:t>
            </w:r>
          </w:p>
        </w:tc>
      </w:tr>
      <w:tr w:rsidR="00D834DF" w:rsidRPr="00D834DF" w14:paraId="7866E146" w14:textId="77777777" w:rsidTr="004963AB">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618302D"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8FD00D7" w14:textId="77777777" w:rsidR="000A66F9" w:rsidRPr="00D834DF" w:rsidRDefault="000A66F9" w:rsidP="004963AB">
            <w:pPr>
              <w:jc w:val="center"/>
              <w:rPr>
                <w:rFonts w:ascii="Arial" w:eastAsia="Arial,Times New Roman" w:hAnsi="Arial" w:cs="Arial"/>
                <w:sz w:val="16"/>
                <w:szCs w:val="16"/>
                <w:lang w:val="es-ES" w:eastAsia="es-CO"/>
              </w:rPr>
            </w:pPr>
            <w:r w:rsidRPr="00D834DF">
              <w:rPr>
                <w:rFonts w:ascii="Arial" w:eastAsia="Arial,Times New Roman" w:hAnsi="Arial"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D1637C9" w14:textId="77777777" w:rsidR="000A66F9" w:rsidRPr="00D834DF" w:rsidRDefault="000A66F9" w:rsidP="004963AB">
            <w:pPr>
              <w:jc w:val="center"/>
              <w:rPr>
                <w:rFonts w:ascii="Arial" w:eastAsia="Arial,Times New Roman" w:hAnsi="Arial" w:cs="Arial"/>
                <w:sz w:val="16"/>
                <w:szCs w:val="16"/>
                <w:lang w:val="es-ES" w:eastAsia="es-CO"/>
              </w:rPr>
            </w:pPr>
            <w:r w:rsidRPr="00D834DF">
              <w:rPr>
                <w:rFonts w:ascii="Arial" w:hAnsi="Arial" w:cs="Arial"/>
                <w:sz w:val="16"/>
                <w:szCs w:val="16"/>
                <w:lang w:val="es-ES" w:eastAsia="es-CO"/>
              </w:rPr>
              <w:t>Media geométrica</w:t>
            </w:r>
          </w:p>
        </w:tc>
      </w:tr>
      <w:tr w:rsidR="00D834DF" w:rsidRPr="00D834DF" w14:paraId="52BB1994" w14:textId="77777777" w:rsidTr="004963AB">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1DDD30AB"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9A0DBE0"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B1FEC5A"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Media aritmética baja</w:t>
            </w:r>
          </w:p>
        </w:tc>
      </w:tr>
      <w:tr w:rsidR="000A66F9" w:rsidRPr="00D834DF" w14:paraId="4C35841A" w14:textId="77777777" w:rsidTr="004963AB">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6ED11748"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66772129"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0340136A" w14:textId="77777777" w:rsidR="000A66F9" w:rsidRPr="00D834DF" w:rsidRDefault="000A66F9" w:rsidP="004963AB">
            <w:pPr>
              <w:jc w:val="center"/>
              <w:rPr>
                <w:rFonts w:ascii="Arial" w:hAnsi="Arial" w:cs="Arial"/>
                <w:sz w:val="16"/>
                <w:szCs w:val="16"/>
                <w:lang w:val="es-ES" w:eastAsia="es-CO"/>
              </w:rPr>
            </w:pPr>
            <w:r w:rsidRPr="00D834DF">
              <w:rPr>
                <w:rFonts w:ascii="Arial" w:hAnsi="Arial" w:cs="Arial"/>
                <w:sz w:val="16"/>
                <w:szCs w:val="16"/>
                <w:lang w:val="es-ES" w:eastAsia="es-CO"/>
              </w:rPr>
              <w:t>Menor valor</w:t>
            </w:r>
          </w:p>
        </w:tc>
      </w:tr>
    </w:tbl>
    <w:p w14:paraId="3C19B4F0" w14:textId="77777777" w:rsidR="000A66F9" w:rsidRPr="00D834DF" w:rsidRDefault="000A66F9" w:rsidP="000A66F9">
      <w:pPr>
        <w:tabs>
          <w:tab w:val="left" w:pos="1860"/>
        </w:tabs>
        <w:ind w:left="709" w:right="758"/>
        <w:jc w:val="both"/>
        <w:rPr>
          <w:rFonts w:ascii="Arial" w:eastAsia="Calibri" w:hAnsi="Arial" w:cs="Arial"/>
          <w:sz w:val="21"/>
          <w:szCs w:val="21"/>
        </w:rPr>
      </w:pPr>
    </w:p>
    <w:p w14:paraId="413F1D59" w14:textId="77777777" w:rsidR="000A66F9" w:rsidRPr="00D834DF" w:rsidRDefault="000A66F9" w:rsidP="000A66F9">
      <w:pPr>
        <w:tabs>
          <w:tab w:val="left" w:pos="1860"/>
        </w:tabs>
        <w:ind w:left="709" w:right="758"/>
        <w:jc w:val="both"/>
        <w:rPr>
          <w:rFonts w:ascii="Arial" w:hAnsi="Arial" w:cs="Arial"/>
          <w:sz w:val="21"/>
          <w:szCs w:val="21"/>
        </w:rPr>
      </w:pPr>
      <w:r w:rsidRPr="00D834DF">
        <w:rPr>
          <w:rFonts w:ascii="Arial" w:hAnsi="Arial" w:cs="Arial"/>
          <w:sz w:val="21"/>
          <w:szCs w:val="21"/>
        </w:rPr>
        <w:t>En todos los casos se tendrá en cuenta hasta el séptimo (7°) decimal del valor obtenido como puntaje y las fórmulas se aplicarán con las propuestas que no han sido rechazadas y se encuentran válidas.</w:t>
      </w:r>
    </w:p>
    <w:p w14:paraId="711A91CF" w14:textId="77777777" w:rsidR="000A66F9" w:rsidRPr="00D834DF" w:rsidRDefault="000A66F9" w:rsidP="000A66F9">
      <w:pPr>
        <w:tabs>
          <w:tab w:val="left" w:pos="1860"/>
        </w:tabs>
        <w:ind w:left="709" w:right="758"/>
        <w:jc w:val="both"/>
        <w:rPr>
          <w:rFonts w:ascii="Arial" w:hAnsi="Arial" w:cs="Arial"/>
          <w:sz w:val="21"/>
          <w:szCs w:val="21"/>
        </w:rPr>
      </w:pPr>
    </w:p>
    <w:p w14:paraId="191D9512" w14:textId="4D055DCB" w:rsidR="000A66F9" w:rsidRPr="00D834DF" w:rsidRDefault="000A66F9" w:rsidP="000F05FE">
      <w:pPr>
        <w:spacing w:after="240" w:line="276" w:lineRule="auto"/>
        <w:ind w:firstLine="708"/>
        <w:jc w:val="both"/>
        <w:rPr>
          <w:rFonts w:ascii="Arial" w:hAnsi="Arial" w:cs="Arial"/>
          <w:sz w:val="22"/>
        </w:rPr>
      </w:pPr>
      <w:r w:rsidRPr="00D834DF">
        <w:rPr>
          <w:rFonts w:ascii="Arial" w:hAnsi="Arial" w:cs="Arial"/>
          <w:sz w:val="22"/>
        </w:rPr>
        <w:t>Como se observa, la determinación del método para la ponderación de la oferta económica, primero, es aleatoria, tal y como lo dispone el artículo 30, parágrafo 3, inciso 3, de la Ley 80 de 1993, adicionado por el artículo 1 de la Ley 1882 de 2018; segundo, se hace de acuerdo con la tabla previamente transcrita; y, tercera, depende de los centavos de la tasa representativa del mercado. Por ejemplo, si la tasa de representativa del mercado a tener en cuenta es de 3.947,79, el método que se tiene que aplicar es el número 4, esto es, «menor valor», en el caso de la versión 2 de los Pliegos Tipo, porque los centavos de la tasa tomada como ejemplo, son setenta y nueve, esto es, 0.79 si tal cifra se determina en relación en el peso que es la unidad de referencia: setenta y nueve centavos de peso.</w:t>
      </w:r>
    </w:p>
    <w:p w14:paraId="4F9EB252" w14:textId="77777777" w:rsidR="000A66F9" w:rsidRPr="00D834DF" w:rsidRDefault="000A66F9" w:rsidP="000F05FE">
      <w:pPr>
        <w:spacing w:after="240" w:line="276" w:lineRule="auto"/>
        <w:ind w:firstLine="709"/>
        <w:jc w:val="both"/>
        <w:rPr>
          <w:rFonts w:ascii="Arial" w:hAnsi="Arial" w:cs="Arial"/>
          <w:sz w:val="22"/>
        </w:rPr>
      </w:pPr>
      <w:r w:rsidRPr="00D834DF">
        <w:rPr>
          <w:rFonts w:ascii="Arial" w:hAnsi="Arial" w:cs="Arial"/>
          <w:sz w:val="22"/>
        </w:rPr>
        <w:lastRenderedPageBreak/>
        <w:t>Nótese que los Documentos Tipo hacen referencia a la tasa de cambio representativa del mercado −TRM</w:t>
      </w:r>
      <w:r w:rsidRPr="00D834DF">
        <w:rPr>
          <w:rStyle w:val="Refdenotaalpie"/>
          <w:rFonts w:ascii="Arial" w:hAnsi="Arial" w:cs="Arial"/>
          <w:sz w:val="22"/>
        </w:rPr>
        <w:footnoteReference w:id="1"/>
      </w:r>
      <w:r w:rsidRPr="00D834DF">
        <w:rPr>
          <w:rFonts w:ascii="Arial" w:hAnsi="Arial" w:cs="Arial"/>
          <w:sz w:val="22"/>
        </w:rPr>
        <w:t xml:space="preserve">−, establecida diariamente por la Superintendencia Financiera de Colombia, según lo que establece el artículo 40 de la Resolución Externa No. 1 de 2018 y la Circular Reglamentaria Externa- DODM-146, ambas expedidas por el Banco de la República. </w:t>
      </w:r>
    </w:p>
    <w:p w14:paraId="162BD772" w14:textId="77777777" w:rsidR="000A66F9" w:rsidRPr="00D834DF" w:rsidRDefault="000A66F9" w:rsidP="000A66F9">
      <w:pPr>
        <w:spacing w:after="240" w:line="276" w:lineRule="auto"/>
        <w:ind w:firstLine="709"/>
        <w:jc w:val="both"/>
        <w:rPr>
          <w:rFonts w:ascii="Arial" w:hAnsi="Arial" w:cs="Arial"/>
          <w:sz w:val="22"/>
        </w:rPr>
      </w:pPr>
      <w:r w:rsidRPr="00D834DF">
        <w:rPr>
          <w:rFonts w:ascii="Arial" w:hAnsi="Arial" w:cs="Arial"/>
          <w:sz w:val="22"/>
        </w:rPr>
        <w:t>Para saber cuál es la TRM que se debe tener en cuenta al determinar el método para la ponderación de la oferta económica, habida cuenta de la dificultad que  se genera por el mercado de valores abre con una TRM del día anterior, pero se cierra con una TRM que, de todos modos, regirá para el día siguiente, es necesario acudir a lo establecido en los Documentos Tipo, para lo que resulta indispensable distinguir si el proceso de contratación estatal se tramita con la versión uno o dos del Sistema Electrónica de Contratación Pública −SECOP−.</w:t>
      </w:r>
    </w:p>
    <w:p w14:paraId="2AF4FA38" w14:textId="77777777" w:rsidR="000A66F9" w:rsidRPr="00D834DF" w:rsidRDefault="000A66F9" w:rsidP="000A66F9">
      <w:pPr>
        <w:spacing w:after="240" w:line="276" w:lineRule="auto"/>
        <w:ind w:firstLine="709"/>
        <w:jc w:val="both"/>
        <w:rPr>
          <w:rFonts w:ascii="Arial" w:eastAsia="Calibri" w:hAnsi="Arial" w:cs="Arial"/>
          <w:sz w:val="22"/>
          <w:lang w:val="es-ES"/>
        </w:rPr>
      </w:pPr>
      <w:r w:rsidRPr="00D834DF">
        <w:rPr>
          <w:rFonts w:ascii="Arial" w:hAnsi="Arial" w:cs="Arial"/>
          <w:sz w:val="22"/>
        </w:rPr>
        <w:t>Sea lo primero advertir que l</w:t>
      </w:r>
      <w:r w:rsidRPr="00D834DF">
        <w:rPr>
          <w:rFonts w:ascii="Arial" w:eastAsia="Calibri" w:hAnsi="Arial" w:cs="Arial"/>
          <w:sz w:val="22"/>
          <w:lang w:val="es-ES"/>
        </w:rPr>
        <w:t xml:space="preserve">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13300CF7" w14:textId="77777777" w:rsidR="000A66F9" w:rsidRPr="00D834DF" w:rsidRDefault="000A66F9" w:rsidP="000A66F9">
      <w:pPr>
        <w:spacing w:after="240" w:line="276" w:lineRule="auto"/>
        <w:ind w:firstLine="709"/>
        <w:jc w:val="both"/>
        <w:rPr>
          <w:rFonts w:ascii="Arial" w:eastAsia="Calibri" w:hAnsi="Arial" w:cs="Arial"/>
          <w:sz w:val="22"/>
          <w:lang w:val="es-ES"/>
        </w:rPr>
      </w:pPr>
      <w:r w:rsidRPr="00D834DF">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w:t>
      </w:r>
      <w:r w:rsidRPr="00D834DF">
        <w:rPr>
          <w:rFonts w:ascii="Arial" w:eastAsia="Calibri" w:hAnsi="Arial" w:cs="Arial"/>
          <w:sz w:val="22"/>
          <w:lang w:val="es-ES"/>
        </w:rPr>
        <w:lastRenderedPageBreak/>
        <w:t>Carreño, la Gobernación del Guaviare, la Alcaldía de San José del Guaviare, la Gobernación de Vaupés y la Alcaldía de Mitú.</w:t>
      </w:r>
    </w:p>
    <w:p w14:paraId="356E124F" w14:textId="77777777" w:rsidR="000A66F9" w:rsidRPr="00D834DF" w:rsidRDefault="000A66F9" w:rsidP="000A66F9">
      <w:pPr>
        <w:spacing w:after="240" w:line="276" w:lineRule="auto"/>
        <w:ind w:firstLine="709"/>
        <w:jc w:val="both"/>
        <w:rPr>
          <w:rFonts w:ascii="Arial" w:eastAsia="Calibri" w:hAnsi="Arial" w:cs="Arial"/>
          <w:sz w:val="22"/>
          <w:lang w:val="es-ES"/>
        </w:rPr>
      </w:pPr>
      <w:r w:rsidRPr="00D834DF">
        <w:rPr>
          <w:rFonts w:ascii="Arial" w:eastAsia="Calibri" w:hAnsi="Arial" w:cs="Arial"/>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5AC12B7A" w14:textId="77777777" w:rsidR="000A66F9" w:rsidRPr="00D834DF" w:rsidRDefault="000A66F9" w:rsidP="000A66F9">
      <w:pPr>
        <w:spacing w:after="240" w:line="276" w:lineRule="auto"/>
        <w:ind w:firstLine="709"/>
        <w:jc w:val="both"/>
        <w:rPr>
          <w:rFonts w:ascii="Arial" w:hAnsi="Arial" w:cs="Arial"/>
          <w:sz w:val="22"/>
        </w:rPr>
      </w:pPr>
      <w:r w:rsidRPr="00D834DF">
        <w:rPr>
          <w:rFonts w:ascii="Arial" w:hAnsi="Arial" w:cs="Arial"/>
          <w:sz w:val="22"/>
        </w:rPr>
        <w:t>Ahora bien, 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abre el segundo sobre. En efecto, en el numeral 4.1.4. del Documento Base se observa lo siguiente:</w:t>
      </w:r>
    </w:p>
    <w:p w14:paraId="09704135" w14:textId="77777777" w:rsidR="000A66F9" w:rsidRPr="00D834DF" w:rsidRDefault="000A66F9" w:rsidP="000A66F9">
      <w:pPr>
        <w:ind w:left="709" w:right="760"/>
        <w:jc w:val="both"/>
        <w:rPr>
          <w:rFonts w:ascii="Arial" w:hAnsi="Arial" w:cs="Arial"/>
          <w:sz w:val="21"/>
          <w:szCs w:val="21"/>
        </w:rPr>
      </w:pPr>
      <w:r w:rsidRPr="00D834DF">
        <w:rPr>
          <w:rFonts w:ascii="Arial" w:hAnsi="Arial" w:cs="Arial"/>
          <w:sz w:val="21"/>
          <w:szCs w:val="21"/>
        </w:rPr>
        <w:t>[En caso de que el Proceso de Contratación se adelante a través del SECOP I deberá incluirse lo siguiente:]</w:t>
      </w:r>
    </w:p>
    <w:p w14:paraId="3282378A"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w:t>
      </w:r>
    </w:p>
    <w:p w14:paraId="48998632" w14:textId="77777777" w:rsidR="000A66F9" w:rsidRPr="00D834DF" w:rsidRDefault="000A66F9" w:rsidP="000A66F9">
      <w:pPr>
        <w:tabs>
          <w:tab w:val="left" w:pos="1860"/>
        </w:tabs>
        <w:ind w:right="760"/>
        <w:jc w:val="both"/>
        <w:rPr>
          <w:rFonts w:ascii="Arial" w:hAnsi="Arial" w:cs="Arial"/>
          <w:sz w:val="21"/>
          <w:szCs w:val="21"/>
        </w:rPr>
      </w:pPr>
    </w:p>
    <w:p w14:paraId="44BDF691"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 xml:space="preserve">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 [Por ejemplo, si la Audiencia de Adjudicación se realiza el 10 de febrero de 2020 y ese mismo día se abre el segundo sobre, la TRM que se usará para determinar el método de evaluación será la del 11 de febrero de 2020, que se publica en la tarde del 10 de febrero de 2020.] </w:t>
      </w:r>
    </w:p>
    <w:p w14:paraId="46A900AD" w14:textId="77777777" w:rsidR="000A66F9" w:rsidRPr="00D834DF" w:rsidRDefault="000A66F9" w:rsidP="000A66F9">
      <w:pPr>
        <w:tabs>
          <w:tab w:val="left" w:pos="1860"/>
        </w:tabs>
        <w:ind w:left="709" w:right="760"/>
        <w:jc w:val="both"/>
        <w:rPr>
          <w:rFonts w:ascii="Arial" w:hAnsi="Arial" w:cs="Arial"/>
          <w:sz w:val="21"/>
          <w:szCs w:val="21"/>
        </w:rPr>
      </w:pPr>
    </w:p>
    <w:p w14:paraId="5C8BCB2E"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De esta manera una audiencia iniciada antes que se publique la TRM que rige al día hábil siguiente, podrá desarrollarse totalmente si ese mismo día se abre el sobre económico usando la TRM que publica la Superintendencia Financiera que rija al día hábil siguiente.</w:t>
      </w:r>
    </w:p>
    <w:p w14:paraId="79FE97D9" w14:textId="77777777" w:rsidR="000A66F9" w:rsidRPr="00D834DF" w:rsidRDefault="000A66F9" w:rsidP="000A66F9">
      <w:pPr>
        <w:tabs>
          <w:tab w:val="left" w:pos="1860"/>
        </w:tabs>
        <w:ind w:left="709" w:right="760"/>
        <w:jc w:val="both"/>
        <w:rPr>
          <w:rFonts w:ascii="Arial" w:hAnsi="Arial" w:cs="Arial"/>
          <w:sz w:val="21"/>
          <w:szCs w:val="21"/>
        </w:rPr>
      </w:pPr>
    </w:p>
    <w:p w14:paraId="37144E81" w14:textId="77777777" w:rsidR="000A66F9" w:rsidRPr="00D834DF" w:rsidRDefault="000A66F9" w:rsidP="000A66F9">
      <w:pPr>
        <w:ind w:left="709" w:right="760"/>
        <w:jc w:val="both"/>
        <w:rPr>
          <w:rFonts w:ascii="Arial" w:hAnsi="Arial" w:cs="Arial"/>
          <w:sz w:val="21"/>
          <w:szCs w:val="21"/>
        </w:rPr>
      </w:pPr>
      <w:r w:rsidRPr="00D834DF">
        <w:rPr>
          <w:rFonts w:ascii="Arial" w:hAnsi="Arial" w:cs="Arial"/>
          <w:sz w:val="21"/>
          <w:szCs w:val="21"/>
        </w:rPr>
        <w:t>[En caso de que el Proceso de Contratación se adelante a través del SECOP II deberá incluirse lo siguiente:]</w:t>
      </w:r>
    </w:p>
    <w:p w14:paraId="21146948"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w:t>
      </w:r>
    </w:p>
    <w:p w14:paraId="2717AE66" w14:textId="77777777" w:rsidR="000A66F9" w:rsidRPr="00D834DF" w:rsidRDefault="000A66F9" w:rsidP="000A66F9">
      <w:pPr>
        <w:tabs>
          <w:tab w:val="left" w:pos="1860"/>
        </w:tabs>
        <w:ind w:left="709" w:right="760"/>
        <w:jc w:val="both"/>
        <w:rPr>
          <w:rFonts w:ascii="Arial" w:hAnsi="Arial" w:cs="Arial"/>
          <w:sz w:val="21"/>
          <w:szCs w:val="21"/>
        </w:rPr>
      </w:pPr>
    </w:p>
    <w:p w14:paraId="528A3E38" w14:textId="77777777" w:rsidR="000A66F9" w:rsidRPr="00D834DF" w:rsidRDefault="000A66F9" w:rsidP="000F05FE">
      <w:pPr>
        <w:tabs>
          <w:tab w:val="left" w:pos="1860"/>
        </w:tabs>
        <w:spacing w:after="240"/>
        <w:ind w:left="709" w:right="760"/>
        <w:jc w:val="both"/>
        <w:rPr>
          <w:rFonts w:ascii="Arial" w:hAnsi="Arial" w:cs="Arial"/>
          <w:sz w:val="21"/>
          <w:szCs w:val="21"/>
        </w:rPr>
      </w:pPr>
      <w:r w:rsidRPr="00D834DF">
        <w:rPr>
          <w:rFonts w:ascii="Arial" w:hAnsi="Arial" w:cs="Arial"/>
          <w:sz w:val="21"/>
          <w:szCs w:val="21"/>
        </w:rPr>
        <w:t xml:space="preserve">La TRM que la Entidad utilizará para determinar el método de ponderación será la que rija el día en que efectivamente realice la apertura del segundo sobre. Esto es, la que la Superintendencia Financiera publique en horas de la tarde el día anterior a la apertura del segundo sobre. [Por ejemplo, si la Audiencia de Adjudicación se realiza el 10 de febrero y ese mismo día se abre el segundo </w:t>
      </w:r>
      <w:r w:rsidRPr="00D834DF">
        <w:rPr>
          <w:rFonts w:ascii="Arial" w:hAnsi="Arial" w:cs="Arial"/>
          <w:sz w:val="21"/>
          <w:szCs w:val="21"/>
        </w:rPr>
        <w:lastRenderedPageBreak/>
        <w:t xml:space="preserve">sobre, la TRM que se usará para determinar el método de evaluación será la que rige el 10 de febrero, que se publica en la tarde del 9 de febrero] </w:t>
      </w:r>
    </w:p>
    <w:p w14:paraId="72F357E3" w14:textId="4D69AD9E" w:rsidR="000A66F9" w:rsidRPr="00D834DF" w:rsidRDefault="000A66F9" w:rsidP="000F05FE">
      <w:pPr>
        <w:spacing w:after="240" w:line="276" w:lineRule="auto"/>
        <w:ind w:firstLine="709"/>
        <w:jc w:val="both"/>
        <w:rPr>
          <w:rFonts w:ascii="Arial" w:hAnsi="Arial" w:cs="Arial"/>
          <w:sz w:val="22"/>
        </w:rPr>
      </w:pPr>
      <w:r w:rsidRPr="00D834DF">
        <w:rPr>
          <w:rFonts w:ascii="Arial" w:hAnsi="Arial" w:cs="Arial"/>
          <w:sz w:val="22"/>
        </w:rPr>
        <w:t xml:space="preserve">Es del caso precisar que el momento para tener en cuenta es el de la apertura de sobre y no el del inicio de la </w:t>
      </w:r>
      <w:r w:rsidRPr="00D834DF">
        <w:rPr>
          <w:rFonts w:ascii="Arial" w:hAnsi="Arial" w:cs="Arial"/>
          <w:i/>
          <w:iCs/>
          <w:sz w:val="22"/>
        </w:rPr>
        <w:t>audiencia efectiva de adjudicación</w:t>
      </w:r>
      <w:r w:rsidRPr="00D834DF">
        <w:rPr>
          <w:rFonts w:ascii="Arial" w:hAnsi="Arial" w:cs="Arial"/>
          <w:sz w:val="22"/>
        </w:rPr>
        <w:t>,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 Tal circunstancia se reconoce expresamente en el Documento Base, en estos términos:</w:t>
      </w:r>
    </w:p>
    <w:p w14:paraId="7C7F854A" w14:textId="77777777" w:rsidR="000A66F9" w:rsidRPr="00D834DF" w:rsidRDefault="000A66F9" w:rsidP="000A66F9">
      <w:pPr>
        <w:ind w:left="709" w:right="760"/>
        <w:jc w:val="both"/>
        <w:rPr>
          <w:rFonts w:ascii="Arial" w:hAnsi="Arial" w:cs="Arial"/>
          <w:sz w:val="21"/>
          <w:szCs w:val="21"/>
        </w:rPr>
      </w:pPr>
      <w:r w:rsidRPr="00D834DF">
        <w:rPr>
          <w:rFonts w:ascii="Arial" w:hAnsi="Arial" w:cs="Arial"/>
          <w:sz w:val="21"/>
          <w:szCs w:val="21"/>
        </w:rPr>
        <w:t>[En caso de que el Proceso de Contratación se adelante a través del SECOP I deberá incluirse lo siguiente:]</w:t>
      </w:r>
    </w:p>
    <w:p w14:paraId="43296264" w14:textId="77777777" w:rsidR="000A66F9" w:rsidRPr="00D834DF" w:rsidRDefault="000A66F9" w:rsidP="000A66F9">
      <w:pPr>
        <w:tabs>
          <w:tab w:val="left" w:pos="1860"/>
        </w:tabs>
        <w:ind w:left="709" w:right="760"/>
        <w:jc w:val="both"/>
        <w:rPr>
          <w:rFonts w:ascii="Arial" w:hAnsi="Arial" w:cs="Arial"/>
          <w:sz w:val="21"/>
          <w:szCs w:val="21"/>
        </w:rPr>
      </w:pPr>
    </w:p>
    <w:p w14:paraId="25B06F92"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al día hábil siguiente. </w:t>
      </w:r>
    </w:p>
    <w:p w14:paraId="7CB4F453" w14:textId="77777777" w:rsidR="000A66F9" w:rsidRPr="00D834DF" w:rsidRDefault="000A66F9" w:rsidP="000A66F9">
      <w:pPr>
        <w:tabs>
          <w:tab w:val="left" w:pos="1860"/>
        </w:tabs>
        <w:ind w:left="709" w:right="760"/>
        <w:jc w:val="both"/>
        <w:rPr>
          <w:rFonts w:ascii="Arial" w:hAnsi="Arial" w:cs="Arial"/>
          <w:sz w:val="21"/>
          <w:szCs w:val="21"/>
        </w:rPr>
      </w:pPr>
    </w:p>
    <w:p w14:paraId="450E0E83"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En el evento que la Entidad no agote la actividad prevista en la primera parte del párrafo anterior y deba suspender la audiencia, se tendrá como método de ponderación el que rija el día hábil siguiente del día en que efectivamente sea la apertura del segundo sobre.</w:t>
      </w:r>
    </w:p>
    <w:p w14:paraId="474F82E5"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w:t>
      </w:r>
    </w:p>
    <w:p w14:paraId="505D53B9" w14:textId="77777777" w:rsidR="000A66F9" w:rsidRPr="00D834DF" w:rsidRDefault="000A66F9" w:rsidP="000A66F9">
      <w:pPr>
        <w:tabs>
          <w:tab w:val="left" w:pos="1860"/>
        </w:tabs>
        <w:ind w:left="709" w:right="760"/>
        <w:jc w:val="both"/>
        <w:rPr>
          <w:rFonts w:ascii="Arial" w:hAnsi="Arial" w:cs="Arial"/>
          <w:sz w:val="21"/>
          <w:szCs w:val="21"/>
        </w:rPr>
      </w:pPr>
    </w:p>
    <w:p w14:paraId="2761B374" w14:textId="77777777" w:rsidR="000A66F9" w:rsidRPr="00D834DF" w:rsidRDefault="000A66F9" w:rsidP="000A66F9">
      <w:pPr>
        <w:ind w:left="709" w:right="760"/>
        <w:jc w:val="both"/>
        <w:rPr>
          <w:rFonts w:ascii="Arial" w:hAnsi="Arial" w:cs="Arial"/>
          <w:sz w:val="21"/>
          <w:szCs w:val="21"/>
        </w:rPr>
      </w:pPr>
      <w:r w:rsidRPr="00D834DF">
        <w:rPr>
          <w:rFonts w:ascii="Arial" w:hAnsi="Arial" w:cs="Arial"/>
          <w:sz w:val="21"/>
          <w:szCs w:val="21"/>
        </w:rPr>
        <w:t>[En caso de que el Proceso de Contratación se adelante a través del SECOP II deberá incluirse lo siguiente:]</w:t>
      </w:r>
    </w:p>
    <w:p w14:paraId="6A2E3B69" w14:textId="77777777" w:rsidR="000A66F9" w:rsidRPr="00D834DF" w:rsidRDefault="000A66F9" w:rsidP="000A66F9">
      <w:pPr>
        <w:tabs>
          <w:tab w:val="left" w:pos="1860"/>
        </w:tabs>
        <w:ind w:left="709" w:right="760"/>
        <w:jc w:val="both"/>
        <w:rPr>
          <w:rFonts w:ascii="Arial" w:hAnsi="Arial" w:cs="Arial"/>
          <w:sz w:val="21"/>
          <w:szCs w:val="21"/>
        </w:rPr>
      </w:pPr>
    </w:p>
    <w:p w14:paraId="0AAA15EC" w14:textId="77777777" w:rsidR="000A66F9" w:rsidRPr="00D834DF" w:rsidRDefault="000A66F9" w:rsidP="000A66F9">
      <w:pPr>
        <w:tabs>
          <w:tab w:val="left" w:pos="1860"/>
        </w:tabs>
        <w:ind w:left="709" w:right="760"/>
        <w:jc w:val="both"/>
        <w:rPr>
          <w:rFonts w:ascii="Arial" w:hAnsi="Arial" w:cs="Arial"/>
          <w:sz w:val="21"/>
          <w:szCs w:val="21"/>
        </w:rPr>
      </w:pPr>
      <w:r w:rsidRPr="00D834DF">
        <w:rPr>
          <w:rFonts w:ascii="Arial" w:hAnsi="Arial" w:cs="Arial"/>
          <w:sz w:val="21"/>
          <w:szCs w:val="21"/>
        </w:rPr>
        <w:t xml:space="preserve">El día de la audiencia efectiva de adjudicación la Entidad iniciará respondiendo y resolviendo las observaciones presentadas al informe de evaluación. Acto seguido, la Entidad abrirá los sobres de las ofertas económicas y definirá el método de ponderación de las propuestas de acuerdo con la TRM que rija ese mismo día. </w:t>
      </w:r>
    </w:p>
    <w:p w14:paraId="3A17ABFE" w14:textId="77777777" w:rsidR="000A66F9" w:rsidRPr="00D834DF" w:rsidRDefault="000A66F9" w:rsidP="000A66F9">
      <w:pPr>
        <w:tabs>
          <w:tab w:val="left" w:pos="1860"/>
        </w:tabs>
        <w:ind w:left="709" w:right="760"/>
        <w:jc w:val="both"/>
        <w:rPr>
          <w:rFonts w:ascii="Arial" w:hAnsi="Arial" w:cs="Arial"/>
          <w:sz w:val="21"/>
          <w:szCs w:val="21"/>
        </w:rPr>
      </w:pPr>
    </w:p>
    <w:p w14:paraId="392DFE06" w14:textId="77777777" w:rsidR="000A66F9" w:rsidRPr="00D834DF" w:rsidRDefault="000A66F9" w:rsidP="000A66F9">
      <w:pPr>
        <w:tabs>
          <w:tab w:val="left" w:pos="1860"/>
        </w:tabs>
        <w:spacing w:after="240"/>
        <w:ind w:left="709" w:right="760"/>
        <w:jc w:val="both"/>
        <w:rPr>
          <w:rFonts w:ascii="Arial" w:hAnsi="Arial" w:cs="Arial"/>
          <w:sz w:val="21"/>
          <w:szCs w:val="21"/>
        </w:rPr>
      </w:pPr>
      <w:r w:rsidRPr="00D834DF">
        <w:rPr>
          <w:rFonts w:ascii="Arial" w:hAnsi="Arial" w:cs="Arial"/>
          <w:sz w:val="21"/>
          <w:szCs w:val="21"/>
        </w:rPr>
        <w:t>En el evento que la Entidad no agote la actividad prevista en la primera parte del párrafo anterior y deba suspender la audiencia, se tendrá como método de ponderación el que rija el día en que efectivamente realice la apertura del segundo sobre. […]</w:t>
      </w:r>
    </w:p>
    <w:p w14:paraId="54A1E5D3" w14:textId="3D3808BB" w:rsidR="000A66F9" w:rsidRPr="00D834DF" w:rsidRDefault="000A66F9" w:rsidP="000F05FE">
      <w:pPr>
        <w:spacing w:after="240" w:line="276" w:lineRule="auto"/>
        <w:ind w:firstLine="708"/>
        <w:jc w:val="both"/>
        <w:rPr>
          <w:rFonts w:ascii="Arial" w:hAnsi="Arial" w:cs="Arial"/>
          <w:sz w:val="22"/>
        </w:rPr>
      </w:pPr>
      <w:r w:rsidRPr="00D834DF">
        <w:rPr>
          <w:rFonts w:ascii="Arial" w:hAnsi="Arial" w:cs="Arial"/>
          <w:sz w:val="22"/>
        </w:rPr>
        <w:t>Es del caso precisar que, de todos modos, la apertura del segundo sobre y la definición del método de ponderación de las ofertas económicas, se tienen que hacer en un mismo día.</w:t>
      </w:r>
    </w:p>
    <w:p w14:paraId="61FAB328" w14:textId="116E0122" w:rsidR="000A66F9" w:rsidRPr="00D834DF" w:rsidRDefault="000A66F9" w:rsidP="000F05FE">
      <w:pPr>
        <w:spacing w:after="240" w:line="276" w:lineRule="auto"/>
        <w:jc w:val="both"/>
        <w:rPr>
          <w:rFonts w:ascii="Arial" w:hAnsi="Arial" w:cs="Arial"/>
          <w:sz w:val="22"/>
        </w:rPr>
      </w:pPr>
      <w:r w:rsidRPr="00D834DF">
        <w:rPr>
          <w:rFonts w:ascii="Arial" w:hAnsi="Arial" w:cs="Arial"/>
          <w:sz w:val="22"/>
        </w:rPr>
        <w:lastRenderedPageBreak/>
        <w:tab/>
        <w:t xml:space="preserve">De acuerdo a lo dicho en los párrafos precedentes, en un caso hipotético en el que el segundo sobre se abrió el 1 de febrero de 2020, la TRM será la del 1 de febrero de 2020, si el proceso contractual se tramita por la plataforma SECOP II; pero si el proceso se tramita por el SECOP I, la TRM será la del 2 de febrero de 2020 −o la del día hábil siguiente </w:t>
      </w:r>
      <w:r w:rsidR="009C3608" w:rsidRPr="00D834DF">
        <w:rPr>
          <w:rFonts w:ascii="Arial" w:hAnsi="Arial" w:cs="Arial"/>
          <w:sz w:val="22"/>
        </w:rPr>
        <w:t xml:space="preserve">si este día no lo es−, la cual </w:t>
      </w:r>
      <w:r w:rsidRPr="00D834DF">
        <w:rPr>
          <w:rFonts w:ascii="Arial" w:hAnsi="Arial" w:cs="Arial"/>
          <w:sz w:val="22"/>
        </w:rPr>
        <w:t xml:space="preserve">se conoce desde el día anterior. En relación con esta última hipótesis, consideramos indispensable aclarar que la «[…] audiencia iniciada antes que se publique la TRM que rige al día hábil siguiente, podrá desarrollarse totalmente [únicamente] si ese mismo día se abre el sobre económico usando la TRM que publica la Superintendencia Financiera que rija al día hábil siguiente». </w:t>
      </w:r>
      <w:r w:rsidR="0013091C" w:rsidRPr="00D834DF">
        <w:rPr>
          <w:rFonts w:ascii="Arial" w:hAnsi="Arial" w:cs="Arial"/>
          <w:sz w:val="22"/>
        </w:rPr>
        <w:t xml:space="preserve">En este sentido, tratándose de SECOP I, si la apertura del segundo sobre se realiza en las horas de la mañana la entidad debe esperar a que se expida la TRM que rige al día siguiente </w:t>
      </w:r>
      <w:r w:rsidR="00D25546" w:rsidRPr="00D834DF">
        <w:rPr>
          <w:rFonts w:ascii="Arial" w:hAnsi="Arial" w:cs="Arial"/>
          <w:sz w:val="22"/>
        </w:rPr>
        <w:t>para determinar e</w:t>
      </w:r>
      <w:r w:rsidR="0013091C" w:rsidRPr="00D834DF">
        <w:rPr>
          <w:rFonts w:ascii="Arial" w:hAnsi="Arial" w:cs="Arial"/>
          <w:sz w:val="22"/>
        </w:rPr>
        <w:t>l factor de ponderación aplicable al proceso de contratación</w:t>
      </w:r>
      <w:r w:rsidR="00D25546" w:rsidRPr="00D834DF">
        <w:rPr>
          <w:rFonts w:ascii="Arial" w:hAnsi="Arial" w:cs="Arial"/>
          <w:sz w:val="22"/>
        </w:rPr>
        <w:t xml:space="preserve">. </w:t>
      </w:r>
    </w:p>
    <w:p w14:paraId="19403824" w14:textId="77777777" w:rsidR="000C4622" w:rsidRPr="00D834DF" w:rsidRDefault="000C4622" w:rsidP="000F05FE">
      <w:pPr>
        <w:spacing w:after="240" w:line="276" w:lineRule="auto"/>
        <w:ind w:firstLine="709"/>
        <w:jc w:val="both"/>
        <w:rPr>
          <w:rFonts w:ascii="Arial" w:eastAsia="Times New Roman" w:hAnsi="Arial" w:cs="Arial"/>
          <w:sz w:val="22"/>
        </w:rPr>
      </w:pPr>
      <w:r w:rsidRPr="00D834DF">
        <w:rPr>
          <w:rFonts w:ascii="Arial" w:eastAsia="Calibri" w:hAnsi="Arial" w:cs="Arial"/>
          <w:sz w:val="22"/>
        </w:rPr>
        <w:t xml:space="preserve">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ya que es certificada por la Superintendencia Financiera de Colombia. </w:t>
      </w:r>
      <w:r w:rsidRPr="00D834DF">
        <w:rPr>
          <w:rFonts w:ascii="Arial" w:eastAsia="Times New Roman" w:hAnsi="Arial" w:cs="Arial"/>
          <w:sz w:val="22"/>
        </w:rPr>
        <w:t>Con relación a los métodos de ponderación aplicables al procedimiento de contratación, en cuanto a la apertura de los sobres No. 2, el Documento Base señala que «la Entidad debe agotar la apertura de los sobres económicos y la definición del método de ponderación en un mismo día. Igualmente, el método definido el día de la apertura del sobre económico seguirá rigiendo aun cuando la Entidad deba suspender la audiencia».</w:t>
      </w:r>
    </w:p>
    <w:p w14:paraId="0E1A2C7E" w14:textId="41DA1D28" w:rsidR="000C4622" w:rsidRPr="00D834DF" w:rsidRDefault="000C4622" w:rsidP="009C3608">
      <w:pPr>
        <w:spacing w:after="240" w:line="276" w:lineRule="auto"/>
        <w:ind w:firstLine="709"/>
        <w:jc w:val="both"/>
        <w:rPr>
          <w:rFonts w:ascii="Arial" w:eastAsia="Calibri" w:hAnsi="Arial" w:cs="Arial"/>
          <w:sz w:val="22"/>
        </w:rPr>
      </w:pPr>
      <w:r w:rsidRPr="00D834DF">
        <w:rPr>
          <w:rFonts w:ascii="Arial" w:eastAsia="Times New Roman" w:hAnsi="Arial" w:cs="Arial"/>
          <w:sz w:val="22"/>
        </w:rPr>
        <w:t xml:space="preserve">En ese sentido, </w:t>
      </w:r>
      <w:r w:rsidR="009C3608" w:rsidRPr="00D834DF">
        <w:rPr>
          <w:rFonts w:ascii="Arial" w:eastAsia="Times New Roman" w:hAnsi="Arial" w:cs="Arial"/>
          <w:sz w:val="22"/>
        </w:rPr>
        <w:t>s</w:t>
      </w:r>
      <w:r w:rsidR="003C0882" w:rsidRPr="00D834DF">
        <w:rPr>
          <w:rFonts w:ascii="Arial" w:eastAsia="Calibri" w:hAnsi="Arial" w:cs="Arial"/>
          <w:sz w:val="22"/>
        </w:rPr>
        <w:t xml:space="preserve">in perjuicio de lo anterior, </w:t>
      </w:r>
      <w:r w:rsidR="006972F1" w:rsidRPr="00D834DF">
        <w:rPr>
          <w:rFonts w:ascii="Arial" w:eastAsia="Calibri" w:hAnsi="Arial" w:cs="Arial"/>
          <w:sz w:val="22"/>
        </w:rPr>
        <w:t xml:space="preserve">el hecho de </w:t>
      </w:r>
      <w:r w:rsidR="003C0882" w:rsidRPr="00D834DF">
        <w:rPr>
          <w:rFonts w:ascii="Arial" w:eastAsia="Calibri" w:hAnsi="Arial" w:cs="Arial"/>
          <w:sz w:val="22"/>
        </w:rPr>
        <w:t xml:space="preserve">que la TRM aplicable al proceso de contratación </w:t>
      </w:r>
      <w:r w:rsidR="0092437A" w:rsidRPr="00D834DF">
        <w:rPr>
          <w:rFonts w:ascii="Arial" w:eastAsia="Calibri" w:hAnsi="Arial" w:cs="Arial"/>
          <w:sz w:val="22"/>
        </w:rPr>
        <w:t xml:space="preserve">realizado a través del SECOP I </w:t>
      </w:r>
      <w:r w:rsidR="003C0882" w:rsidRPr="00D834DF">
        <w:rPr>
          <w:rFonts w:ascii="Arial" w:eastAsia="Calibri" w:hAnsi="Arial" w:cs="Arial"/>
          <w:sz w:val="22"/>
        </w:rPr>
        <w:t xml:space="preserve">sea la del día hábil siguiente a la apertura de los sobres económicos no implica que la audiencia de adjudicación deba realizarse en dos días, pues la misma podrá realizarse </w:t>
      </w:r>
      <w:r w:rsidR="006972F1" w:rsidRPr="00D834DF">
        <w:rPr>
          <w:rFonts w:ascii="Arial" w:eastAsia="Calibri" w:hAnsi="Arial" w:cs="Arial"/>
          <w:sz w:val="22"/>
        </w:rPr>
        <w:t xml:space="preserve">en </w:t>
      </w:r>
      <w:r w:rsidR="003C0882" w:rsidRPr="00D834DF">
        <w:rPr>
          <w:rFonts w:ascii="Arial" w:eastAsia="Calibri" w:hAnsi="Arial" w:cs="Arial"/>
          <w:sz w:val="22"/>
        </w:rPr>
        <w:t>un único día</w:t>
      </w:r>
      <w:r w:rsidR="006972F1" w:rsidRPr="00D834DF">
        <w:rPr>
          <w:rFonts w:ascii="Arial" w:eastAsia="Calibri" w:hAnsi="Arial" w:cs="Arial"/>
          <w:sz w:val="22"/>
        </w:rPr>
        <w:t>,</w:t>
      </w:r>
      <w:r w:rsidR="003C0882" w:rsidRPr="00D834DF">
        <w:rPr>
          <w:rFonts w:ascii="Arial" w:eastAsia="Calibri" w:hAnsi="Arial" w:cs="Arial"/>
          <w:sz w:val="22"/>
        </w:rPr>
        <w:t xml:space="preserve"> dependiendo de la hora de apertura de los sobres económicos, más aún cuando la TRM del día es publicada y certificada por la Superintendencia Financiera de Colombia el día hábil anterior al que rige. </w:t>
      </w:r>
    </w:p>
    <w:p w14:paraId="44DD17CC" w14:textId="77777777" w:rsidR="003C0882" w:rsidRPr="00D834DF" w:rsidRDefault="003C0882" w:rsidP="000C4622">
      <w:pPr>
        <w:spacing w:line="276" w:lineRule="auto"/>
        <w:ind w:firstLine="709"/>
        <w:jc w:val="both"/>
        <w:rPr>
          <w:rFonts w:ascii="Arial" w:hAnsi="Arial" w:cs="Arial"/>
          <w:sz w:val="22"/>
        </w:rPr>
      </w:pPr>
    </w:p>
    <w:p w14:paraId="1D29A1BC" w14:textId="71825286" w:rsidR="000C4622" w:rsidRPr="00D834DF" w:rsidRDefault="0092437A" w:rsidP="000C4622">
      <w:pPr>
        <w:pStyle w:val="Prrafodelista"/>
        <w:tabs>
          <w:tab w:val="left" w:pos="284"/>
        </w:tabs>
        <w:spacing w:line="276" w:lineRule="auto"/>
        <w:ind w:left="0"/>
        <w:jc w:val="both"/>
        <w:rPr>
          <w:rFonts w:ascii="Arial" w:eastAsia="Calibri" w:hAnsi="Arial" w:cs="Arial"/>
          <w:sz w:val="22"/>
        </w:rPr>
      </w:pPr>
      <w:r w:rsidRPr="00D834DF">
        <w:rPr>
          <w:rFonts w:ascii="Arial" w:eastAsia="Calibri" w:hAnsi="Arial" w:cs="Arial"/>
          <w:b/>
          <w:sz w:val="22"/>
        </w:rPr>
        <w:t>3. Respuesta</w:t>
      </w:r>
    </w:p>
    <w:p w14:paraId="612E7978" w14:textId="77777777" w:rsidR="000C4622" w:rsidRPr="00D834DF" w:rsidRDefault="000C4622" w:rsidP="000C4622">
      <w:pPr>
        <w:spacing w:line="276" w:lineRule="auto"/>
        <w:ind w:left="709" w:right="709"/>
        <w:jc w:val="both"/>
        <w:rPr>
          <w:rFonts w:ascii="Arial" w:eastAsia="Calibri" w:hAnsi="Arial" w:cs="Arial"/>
          <w:iCs/>
          <w:sz w:val="22"/>
        </w:rPr>
      </w:pPr>
    </w:p>
    <w:p w14:paraId="6ECBFE75" w14:textId="2CD797B4" w:rsidR="000C4622" w:rsidRPr="00D834DF" w:rsidRDefault="003C0882" w:rsidP="000C4622">
      <w:pPr>
        <w:spacing w:line="276" w:lineRule="auto"/>
        <w:ind w:left="708" w:right="709"/>
        <w:jc w:val="both"/>
        <w:rPr>
          <w:rFonts w:ascii="Arial" w:eastAsia="Calibri" w:hAnsi="Arial" w:cs="Arial"/>
          <w:sz w:val="21"/>
          <w:szCs w:val="21"/>
        </w:rPr>
      </w:pPr>
      <w:r w:rsidRPr="00D834DF">
        <w:rPr>
          <w:rFonts w:ascii="Arial" w:eastAsia="Calibri" w:hAnsi="Arial" w:cs="Arial"/>
          <w:sz w:val="21"/>
          <w:szCs w:val="21"/>
        </w:rPr>
        <w:t>«De acuerdo a los pliegos tipo versión 2 presentados por Colombia Compra Eficiente para los procesos de Licitación Pública, para la Oferta Económica se debe tomar la TRM del día hábil siguiente a la apertura de los sobres económicos. ¿Cómo es el manejo de la Audiencia de Adjudicación y/0 (sic) Declaratoria de Desierto? ¿se debe realizar la audiencia en dos días?»</w:t>
      </w:r>
    </w:p>
    <w:p w14:paraId="65E3A84F" w14:textId="77777777" w:rsidR="003C0882" w:rsidRPr="00D834DF" w:rsidRDefault="003C0882" w:rsidP="000C4622">
      <w:pPr>
        <w:spacing w:line="276" w:lineRule="auto"/>
        <w:ind w:left="708" w:right="709"/>
        <w:jc w:val="both"/>
        <w:rPr>
          <w:rFonts w:ascii="Arial" w:eastAsia="Calibri" w:hAnsi="Arial" w:cs="Arial"/>
          <w:sz w:val="22"/>
        </w:rPr>
      </w:pPr>
    </w:p>
    <w:p w14:paraId="79164085" w14:textId="77777777" w:rsidR="009C3608" w:rsidRPr="00D834DF" w:rsidRDefault="009C3608" w:rsidP="009C3608">
      <w:pPr>
        <w:tabs>
          <w:tab w:val="left" w:pos="709"/>
        </w:tabs>
        <w:spacing w:before="120" w:after="120" w:line="276" w:lineRule="auto"/>
        <w:jc w:val="both"/>
        <w:rPr>
          <w:rFonts w:ascii="Arial" w:hAnsi="Arial" w:cs="Arial"/>
          <w:sz w:val="22"/>
        </w:rPr>
      </w:pPr>
      <w:r w:rsidRPr="00D834DF">
        <w:rPr>
          <w:rFonts w:ascii="Arial" w:hAnsi="Arial" w:cs="Arial"/>
          <w:sz w:val="22"/>
        </w:rPr>
        <w:lastRenderedPageBreak/>
        <w:t>Si la entidad contratante está obligada a llevar el proceso de contratación en la plataforma SECOP II, la TRM que se debe tener en cuenta para la determinación del método de ponderación de la oferta económica, es la que rija para el día en el que abre el segundo sobre −que contiene la oferta económica−. Pero si la entidad no está obligada a utilizar dicha plataforma y, por ende, el proceso contractual se adelanta haciendo uso del SECOP I, la TRM es la que rija el día hábil siguiente a aquel en el que se abre el segundo sobre.</w:t>
      </w:r>
    </w:p>
    <w:p w14:paraId="65B61F28" w14:textId="77777777" w:rsidR="009C3608" w:rsidRPr="00D834DF" w:rsidRDefault="009C3608" w:rsidP="009C3608">
      <w:pPr>
        <w:tabs>
          <w:tab w:val="left" w:pos="709"/>
        </w:tabs>
        <w:spacing w:before="120" w:after="120" w:line="276" w:lineRule="auto"/>
        <w:jc w:val="both"/>
        <w:rPr>
          <w:rFonts w:ascii="Arial" w:hAnsi="Arial" w:cs="Arial"/>
          <w:sz w:val="22"/>
        </w:rPr>
      </w:pPr>
      <w:r w:rsidRPr="00D834DF">
        <w:rPr>
          <w:rFonts w:ascii="Arial" w:hAnsi="Arial" w:cs="Arial"/>
          <w:sz w:val="22"/>
        </w:rPr>
        <w:tab/>
        <w:t>Es del caso precisar que el momento para tener en cuenta es el de la apertura de sobre y no el del inicio de la audiencia efectiva de adjudicación, pues puede pasar, por ejemplo, que dicha audiencia inicie el 1 de mayo de 2020, que ese mismo día se respondan y resuelvan las observaciones presentadas al informe final de evaluación, pero que sea necesario suspender la audiencia y reanudarla al día siguiente porque no se alcanzó a abrir el segundo sobre. En este caso hipotético, aunque la diligencia inició el 1 de mayo de 2020, lo cierto es que el momento que se debe tener en cuenta, para efectos de la determinación del método de ponderación de la oferta económica, es de la apertura efectiva del segundo sobre, para el caso presentado a título ilustrativo, el 2 de mayo de 2020.</w:t>
      </w:r>
    </w:p>
    <w:p w14:paraId="61EADCA1" w14:textId="53BE4092" w:rsidR="000C4622" w:rsidRPr="00D834DF" w:rsidRDefault="000C4622" w:rsidP="009C3608">
      <w:pPr>
        <w:autoSpaceDE w:val="0"/>
        <w:autoSpaceDN w:val="0"/>
        <w:adjustRightInd w:val="0"/>
        <w:spacing w:after="120" w:line="276" w:lineRule="auto"/>
        <w:ind w:firstLine="708"/>
        <w:jc w:val="both"/>
        <w:rPr>
          <w:rFonts w:ascii="Arial" w:hAnsi="Arial" w:cs="Arial"/>
          <w:sz w:val="22"/>
        </w:rPr>
      </w:pPr>
      <w:r w:rsidRPr="00D834DF">
        <w:rPr>
          <w:rFonts w:ascii="Arial" w:eastAsia="Calibri" w:hAnsi="Arial" w:cs="Arial"/>
          <w:sz w:val="22"/>
        </w:rPr>
        <w:t xml:space="preserve">En consecuencia, </w:t>
      </w:r>
      <w:r w:rsidR="00DD1A1C" w:rsidRPr="00D834DF">
        <w:rPr>
          <w:rFonts w:ascii="Arial" w:eastAsia="Calibri" w:hAnsi="Arial" w:cs="Arial"/>
          <w:sz w:val="22"/>
        </w:rPr>
        <w:t xml:space="preserve">que la TRM aplicable al proceso de contratación sea la del día hábil siguiente a la apertura de los sobres económicos no implica que la audiencia de adjudicación deba realizarse en dos días, pues la misma podrá realizarse </w:t>
      </w:r>
      <w:r w:rsidR="00D614F5" w:rsidRPr="00D834DF">
        <w:rPr>
          <w:rFonts w:ascii="Arial" w:eastAsia="Calibri" w:hAnsi="Arial" w:cs="Arial"/>
          <w:sz w:val="22"/>
        </w:rPr>
        <w:t xml:space="preserve">en </w:t>
      </w:r>
      <w:r w:rsidR="00DD1A1C" w:rsidRPr="00D834DF">
        <w:rPr>
          <w:rFonts w:ascii="Arial" w:eastAsia="Calibri" w:hAnsi="Arial" w:cs="Arial"/>
          <w:sz w:val="22"/>
        </w:rPr>
        <w:t>un único día</w:t>
      </w:r>
      <w:r w:rsidR="00D614F5" w:rsidRPr="00D834DF">
        <w:rPr>
          <w:rFonts w:ascii="Arial" w:eastAsia="Calibri" w:hAnsi="Arial" w:cs="Arial"/>
          <w:sz w:val="22"/>
        </w:rPr>
        <w:t>,</w:t>
      </w:r>
      <w:r w:rsidR="00DD1A1C" w:rsidRPr="00D834DF">
        <w:rPr>
          <w:rFonts w:ascii="Arial" w:eastAsia="Calibri" w:hAnsi="Arial" w:cs="Arial"/>
          <w:sz w:val="22"/>
        </w:rPr>
        <w:t xml:space="preserve"> dependiendo de la hora de apertura de los sobres económicos, más aún cuando la TRM del día es publicada y certificada por la Superintendencia Financiera de Colombia el día hábil anterior al que rige.</w:t>
      </w:r>
      <w:r w:rsidRPr="00D834DF">
        <w:rPr>
          <w:rFonts w:ascii="Arial" w:hAnsi="Arial" w:cs="Arial"/>
          <w:sz w:val="22"/>
        </w:rPr>
        <w:tab/>
      </w:r>
    </w:p>
    <w:p w14:paraId="0A1EE967" w14:textId="77777777" w:rsidR="000C4622" w:rsidRPr="00D834DF" w:rsidRDefault="000C4622" w:rsidP="000C4622">
      <w:pPr>
        <w:spacing w:line="276" w:lineRule="auto"/>
        <w:ind w:firstLine="709"/>
        <w:jc w:val="both"/>
        <w:rPr>
          <w:rFonts w:ascii="Arial" w:hAnsi="Arial" w:cs="Arial"/>
          <w:sz w:val="22"/>
          <w:lang w:val="es-CO"/>
        </w:rPr>
      </w:pPr>
    </w:p>
    <w:p w14:paraId="5EECD0E2" w14:textId="77777777" w:rsidR="000C4622" w:rsidRPr="00D834DF" w:rsidRDefault="000C4622" w:rsidP="000C4622">
      <w:pPr>
        <w:spacing w:line="276" w:lineRule="auto"/>
        <w:jc w:val="both"/>
        <w:rPr>
          <w:rFonts w:ascii="Arial" w:eastAsia="Calibri" w:hAnsi="Arial" w:cs="Arial"/>
          <w:sz w:val="22"/>
        </w:rPr>
      </w:pPr>
      <w:bookmarkStart w:id="1" w:name="_Hlk37971083"/>
      <w:r w:rsidRPr="00D834DF">
        <w:rPr>
          <w:rFonts w:ascii="Arial" w:eastAsia="Calibri" w:hAnsi="Arial" w:cs="Arial"/>
          <w:sz w:val="22"/>
        </w:rPr>
        <w:t>Este concepto tiene el alcance previsto en el artículo 28 del Código de Procedimiento Administrativo y de lo Contencioso Administrativo.</w:t>
      </w:r>
    </w:p>
    <w:p w14:paraId="3E165E58" w14:textId="77777777" w:rsidR="000C4622" w:rsidRPr="00D834DF" w:rsidRDefault="000C4622" w:rsidP="000C4622">
      <w:pPr>
        <w:spacing w:line="276" w:lineRule="auto"/>
        <w:jc w:val="both"/>
        <w:rPr>
          <w:rFonts w:ascii="Arial" w:eastAsia="Calibri" w:hAnsi="Arial" w:cs="Arial"/>
          <w:sz w:val="22"/>
        </w:rPr>
      </w:pPr>
    </w:p>
    <w:p w14:paraId="7B2E338D" w14:textId="77777777" w:rsidR="000C4622" w:rsidRPr="00D834DF" w:rsidRDefault="000C4622" w:rsidP="000C4622">
      <w:pPr>
        <w:jc w:val="both"/>
        <w:rPr>
          <w:rFonts w:ascii="Arial" w:eastAsia="Calibri" w:hAnsi="Arial" w:cs="Arial"/>
          <w:sz w:val="22"/>
        </w:rPr>
      </w:pPr>
      <w:r w:rsidRPr="00D834DF">
        <w:rPr>
          <w:noProof/>
          <w:lang w:val="es-CO" w:eastAsia="es-CO"/>
        </w:rPr>
        <mc:AlternateContent>
          <mc:Choice Requires="wps">
            <w:drawing>
              <wp:anchor distT="0" distB="0" distL="114300" distR="114300" simplePos="0" relativeHeight="251659264" behindDoc="0" locked="0" layoutInCell="1" allowOverlap="1" wp14:anchorId="1D3F1234" wp14:editId="17AA15A2">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78EA003">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3448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69597EF" w14:textId="32133E44" w:rsidR="000C4622" w:rsidRPr="00D834DF" w:rsidRDefault="000C4622" w:rsidP="000C4622">
      <w:pPr>
        <w:rPr>
          <w:rFonts w:ascii="Arial" w:eastAsia="Times New Roman" w:hAnsi="Arial" w:cs="Arial"/>
          <w:sz w:val="22"/>
          <w:lang w:eastAsia="es-CO"/>
        </w:rPr>
      </w:pPr>
      <w:r w:rsidRPr="00D834DF">
        <w:rPr>
          <w:rFonts w:ascii="Arial" w:eastAsia="Times New Roman" w:hAnsi="Arial" w:cs="Arial"/>
          <w:sz w:val="22"/>
          <w:lang w:eastAsia="es-CO"/>
        </w:rPr>
        <w:t>Atentamente,</w:t>
      </w:r>
    </w:p>
    <w:p w14:paraId="3779A6E1" w14:textId="77777777" w:rsidR="00DD1A1C" w:rsidRPr="00D834DF" w:rsidRDefault="00DD1A1C" w:rsidP="000C4622">
      <w:pPr>
        <w:rPr>
          <w:noProof/>
        </w:rPr>
      </w:pPr>
    </w:p>
    <w:p w14:paraId="11191697" w14:textId="3D251E52" w:rsidR="00C50BF4" w:rsidRPr="00D834DF" w:rsidRDefault="00A905E5" w:rsidP="000C4622">
      <w:pPr>
        <w:jc w:val="center"/>
        <w:rPr>
          <w:rFonts w:ascii="Arial" w:eastAsia="Times New Roman" w:hAnsi="Arial" w:cs="Arial"/>
          <w:sz w:val="22"/>
          <w:lang w:eastAsia="es-CO"/>
        </w:rPr>
      </w:pPr>
      <w:r>
        <w:rPr>
          <w:noProof/>
        </w:rPr>
        <w:drawing>
          <wp:inline distT="0" distB="0" distL="0" distR="0" wp14:anchorId="76BD3B10" wp14:editId="6CBA8EA8">
            <wp:extent cx="2773045" cy="988695"/>
            <wp:effectExtent l="0" t="0" r="0" b="0"/>
            <wp:docPr id="105648757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834DF" w:rsidRPr="00D834DF" w14:paraId="50895F80" w14:textId="77777777" w:rsidTr="00600604">
        <w:trPr>
          <w:trHeight w:val="315"/>
        </w:trPr>
        <w:tc>
          <w:tcPr>
            <w:tcW w:w="812" w:type="dxa"/>
            <w:vAlign w:val="center"/>
            <w:hideMark/>
          </w:tcPr>
          <w:p w14:paraId="03E54CF8"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EC66B30"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Nathalia Urrego Jiménez</w:t>
            </w:r>
          </w:p>
          <w:p w14:paraId="6D0AC08A"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Contratista – Subdirección de Gestión Contractual</w:t>
            </w:r>
          </w:p>
        </w:tc>
      </w:tr>
      <w:tr w:rsidR="00D834DF" w:rsidRPr="00D834DF" w14:paraId="1491BA0E" w14:textId="77777777" w:rsidTr="00600604">
        <w:trPr>
          <w:trHeight w:val="330"/>
        </w:trPr>
        <w:tc>
          <w:tcPr>
            <w:tcW w:w="812" w:type="dxa"/>
            <w:vAlign w:val="center"/>
            <w:hideMark/>
          </w:tcPr>
          <w:p w14:paraId="41218499"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E8A5EB" w14:textId="7A97C770" w:rsidR="000C4622" w:rsidRPr="00D834DF" w:rsidRDefault="00AB41F3"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Cristian Andrés Díaz Díez</w:t>
            </w:r>
          </w:p>
          <w:p w14:paraId="2131F506"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Contratista – Subdirección de Gestión Contractual</w:t>
            </w:r>
          </w:p>
        </w:tc>
      </w:tr>
      <w:tr w:rsidR="00D834DF" w:rsidRPr="00D834DF" w14:paraId="42ADA977" w14:textId="77777777" w:rsidTr="00600604">
        <w:trPr>
          <w:trHeight w:val="300"/>
        </w:trPr>
        <w:tc>
          <w:tcPr>
            <w:tcW w:w="812" w:type="dxa"/>
            <w:vAlign w:val="center"/>
            <w:hideMark/>
          </w:tcPr>
          <w:p w14:paraId="359B5A84"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EC52F8"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Fabián Gonzalo Marín Cortés</w:t>
            </w:r>
          </w:p>
          <w:p w14:paraId="3C37C5D7"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Subdirector de Gestión Contractual</w:t>
            </w:r>
          </w:p>
        </w:tc>
      </w:tr>
      <w:tr w:rsidR="000C4622" w:rsidRPr="00D834DF" w14:paraId="0F43BBF8" w14:textId="77777777" w:rsidTr="00600604">
        <w:trPr>
          <w:trHeight w:val="300"/>
        </w:trPr>
        <w:tc>
          <w:tcPr>
            <w:tcW w:w="812" w:type="dxa"/>
            <w:vAlign w:val="center"/>
            <w:hideMark/>
          </w:tcPr>
          <w:p w14:paraId="1B4B0456"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F2235F" w14:textId="77777777" w:rsidR="000C4622" w:rsidRPr="00D834DF" w:rsidRDefault="000C4622" w:rsidP="00600604">
            <w:pPr>
              <w:rPr>
                <w:rFonts w:ascii="Arial" w:eastAsia="Times New Roman" w:hAnsi="Arial" w:cs="Arial"/>
                <w:sz w:val="16"/>
                <w:szCs w:val="16"/>
                <w:lang w:eastAsia="es-ES"/>
              </w:rPr>
            </w:pPr>
            <w:r w:rsidRPr="00D834DF">
              <w:rPr>
                <w:rFonts w:ascii="Arial" w:eastAsia="Times New Roman" w:hAnsi="Arial" w:cs="Arial"/>
                <w:sz w:val="16"/>
                <w:szCs w:val="16"/>
                <w:lang w:eastAsia="es-ES"/>
              </w:rPr>
              <w:t>0</w:t>
            </w:r>
          </w:p>
        </w:tc>
      </w:tr>
      <w:bookmarkEnd w:id="0"/>
      <w:bookmarkEnd w:id="1"/>
    </w:tbl>
    <w:p w14:paraId="7EBF297E" w14:textId="77777777" w:rsidR="007B0854" w:rsidRPr="00D834DF" w:rsidRDefault="007B0854" w:rsidP="00DD1A1C"/>
    <w:sectPr w:rsidR="007B0854" w:rsidRPr="00D834DF"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7C7DDF" w14:textId="77777777" w:rsidR="00DA4E78" w:rsidRDefault="00DA4E78">
      <w:r>
        <w:separator/>
      </w:r>
    </w:p>
  </w:endnote>
  <w:endnote w:type="continuationSeparator" w:id="0">
    <w:p w14:paraId="4963B52A" w14:textId="77777777" w:rsidR="00DA4E78" w:rsidRDefault="00DA4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1962">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1962">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66BF2815" w:rsidR="009047C5" w:rsidRDefault="0692CC72" w:rsidP="007B0854">
    <w:pPr>
      <w:pStyle w:val="Piedepgina"/>
      <w:jc w:val="center"/>
      <w:rPr>
        <w:lang w:val="es-ES"/>
      </w:rPr>
    </w:pPr>
    <w:r>
      <w:rPr>
        <w:noProof/>
      </w:rPr>
      <w:drawing>
        <wp:inline distT="0" distB="0" distL="0" distR="0" wp14:anchorId="608B196D" wp14:editId="57336211">
          <wp:extent cx="4241994" cy="595165"/>
          <wp:effectExtent l="0" t="0" r="6350" b="0"/>
          <wp:docPr id="42450484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65DDCAD3"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514E3" w14:textId="77777777" w:rsidR="00DA4E78" w:rsidRDefault="00DA4E78">
      <w:r>
        <w:separator/>
      </w:r>
    </w:p>
  </w:footnote>
  <w:footnote w:type="continuationSeparator" w:id="0">
    <w:p w14:paraId="6A9CE958" w14:textId="77777777" w:rsidR="00DA4E78" w:rsidRDefault="00DA4E78">
      <w:r>
        <w:continuationSeparator/>
      </w:r>
    </w:p>
  </w:footnote>
  <w:footnote w:id="1">
    <w:p w14:paraId="69B7E7C3" w14:textId="77777777" w:rsidR="000A66F9" w:rsidRPr="00F002F6" w:rsidRDefault="000A66F9" w:rsidP="000A66F9">
      <w:pPr>
        <w:pStyle w:val="Textonotapie"/>
        <w:ind w:firstLine="708"/>
        <w:jc w:val="both"/>
        <w:rPr>
          <w:rFonts w:ascii="Arial" w:hAnsi="Arial" w:cs="Arial"/>
          <w:color w:val="000000" w:themeColor="text1"/>
          <w:sz w:val="19"/>
          <w:szCs w:val="19"/>
        </w:rPr>
      </w:pPr>
      <w:r w:rsidRPr="00F002F6">
        <w:rPr>
          <w:rStyle w:val="Refdenotaalpie"/>
          <w:rFonts w:ascii="Arial" w:hAnsi="Arial" w:cs="Arial"/>
          <w:color w:val="000000" w:themeColor="text1"/>
          <w:sz w:val="19"/>
          <w:szCs w:val="19"/>
        </w:rPr>
        <w:footnoteRef/>
      </w:r>
      <w:r w:rsidRPr="00F002F6">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 :00 p.m.</w:t>
      </w:r>
    </w:p>
    <w:p w14:paraId="4F4302B3" w14:textId="77777777" w:rsidR="000A66F9" w:rsidRPr="00F002F6" w:rsidRDefault="000A66F9" w:rsidP="000A66F9">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470F"/>
    <w:rsid w:val="00057CD3"/>
    <w:rsid w:val="000816BC"/>
    <w:rsid w:val="00092535"/>
    <w:rsid w:val="000942EB"/>
    <w:rsid w:val="000A66F9"/>
    <w:rsid w:val="000B103F"/>
    <w:rsid w:val="000B391B"/>
    <w:rsid w:val="000B5011"/>
    <w:rsid w:val="000C4622"/>
    <w:rsid w:val="000C5FEF"/>
    <w:rsid w:val="000D0AF5"/>
    <w:rsid w:val="000D4F98"/>
    <w:rsid w:val="000D7671"/>
    <w:rsid w:val="000E7E3F"/>
    <w:rsid w:val="000F05FE"/>
    <w:rsid w:val="000F14E8"/>
    <w:rsid w:val="00103915"/>
    <w:rsid w:val="00122B23"/>
    <w:rsid w:val="0013091C"/>
    <w:rsid w:val="00137FFA"/>
    <w:rsid w:val="001405E6"/>
    <w:rsid w:val="00152D7F"/>
    <w:rsid w:val="001565F1"/>
    <w:rsid w:val="001655F8"/>
    <w:rsid w:val="00180A19"/>
    <w:rsid w:val="001814B0"/>
    <w:rsid w:val="001D6264"/>
    <w:rsid w:val="001E0FFC"/>
    <w:rsid w:val="001E2D0E"/>
    <w:rsid w:val="00201024"/>
    <w:rsid w:val="00225E99"/>
    <w:rsid w:val="00234B84"/>
    <w:rsid w:val="00240F88"/>
    <w:rsid w:val="00252252"/>
    <w:rsid w:val="00260E4C"/>
    <w:rsid w:val="002839CA"/>
    <w:rsid w:val="002A59E9"/>
    <w:rsid w:val="002F497C"/>
    <w:rsid w:val="002F5BC6"/>
    <w:rsid w:val="003033BA"/>
    <w:rsid w:val="00307FA6"/>
    <w:rsid w:val="0031578A"/>
    <w:rsid w:val="0034489B"/>
    <w:rsid w:val="0034680A"/>
    <w:rsid w:val="00347F6C"/>
    <w:rsid w:val="00364B60"/>
    <w:rsid w:val="00377507"/>
    <w:rsid w:val="00386456"/>
    <w:rsid w:val="00396E6F"/>
    <w:rsid w:val="003A581E"/>
    <w:rsid w:val="003B2E57"/>
    <w:rsid w:val="003C0882"/>
    <w:rsid w:val="003D0106"/>
    <w:rsid w:val="003E24C2"/>
    <w:rsid w:val="003F6894"/>
    <w:rsid w:val="0040482A"/>
    <w:rsid w:val="00422382"/>
    <w:rsid w:val="004238C8"/>
    <w:rsid w:val="004422D6"/>
    <w:rsid w:val="0045588D"/>
    <w:rsid w:val="00457CFB"/>
    <w:rsid w:val="00467546"/>
    <w:rsid w:val="0048229B"/>
    <w:rsid w:val="00486CED"/>
    <w:rsid w:val="004A34D2"/>
    <w:rsid w:val="004B713F"/>
    <w:rsid w:val="004D1967"/>
    <w:rsid w:val="0051074C"/>
    <w:rsid w:val="00513AF2"/>
    <w:rsid w:val="00516E44"/>
    <w:rsid w:val="00520E71"/>
    <w:rsid w:val="00520E79"/>
    <w:rsid w:val="005275FD"/>
    <w:rsid w:val="005419F7"/>
    <w:rsid w:val="0054413A"/>
    <w:rsid w:val="005564CA"/>
    <w:rsid w:val="00577EE7"/>
    <w:rsid w:val="005A02F5"/>
    <w:rsid w:val="005A79FE"/>
    <w:rsid w:val="005B0DA0"/>
    <w:rsid w:val="005C02AB"/>
    <w:rsid w:val="005F1CE2"/>
    <w:rsid w:val="005F6817"/>
    <w:rsid w:val="0062726E"/>
    <w:rsid w:val="00641BFB"/>
    <w:rsid w:val="00655371"/>
    <w:rsid w:val="00662FF2"/>
    <w:rsid w:val="00670050"/>
    <w:rsid w:val="00691962"/>
    <w:rsid w:val="00691B90"/>
    <w:rsid w:val="006972F1"/>
    <w:rsid w:val="0069738D"/>
    <w:rsid w:val="00697665"/>
    <w:rsid w:val="006A0794"/>
    <w:rsid w:val="006A247A"/>
    <w:rsid w:val="006A7FD0"/>
    <w:rsid w:val="006D5ED1"/>
    <w:rsid w:val="006D7687"/>
    <w:rsid w:val="006E0572"/>
    <w:rsid w:val="006E5BE9"/>
    <w:rsid w:val="006F5AC0"/>
    <w:rsid w:val="00705631"/>
    <w:rsid w:val="00711791"/>
    <w:rsid w:val="00712FBB"/>
    <w:rsid w:val="00722778"/>
    <w:rsid w:val="00742DD2"/>
    <w:rsid w:val="0075647A"/>
    <w:rsid w:val="007634AD"/>
    <w:rsid w:val="0078122E"/>
    <w:rsid w:val="0078610A"/>
    <w:rsid w:val="007A531D"/>
    <w:rsid w:val="007B0716"/>
    <w:rsid w:val="007B0854"/>
    <w:rsid w:val="007C737F"/>
    <w:rsid w:val="007D0049"/>
    <w:rsid w:val="007D0DBD"/>
    <w:rsid w:val="007D5C4C"/>
    <w:rsid w:val="007F6506"/>
    <w:rsid w:val="007F72CB"/>
    <w:rsid w:val="00823F5D"/>
    <w:rsid w:val="008260C5"/>
    <w:rsid w:val="0083119B"/>
    <w:rsid w:val="00831500"/>
    <w:rsid w:val="008326B1"/>
    <w:rsid w:val="00836EAB"/>
    <w:rsid w:val="008372F1"/>
    <w:rsid w:val="00843911"/>
    <w:rsid w:val="0085092D"/>
    <w:rsid w:val="008608BF"/>
    <w:rsid w:val="00885CB1"/>
    <w:rsid w:val="008B498F"/>
    <w:rsid w:val="008C4BE7"/>
    <w:rsid w:val="008E1C15"/>
    <w:rsid w:val="008F1E14"/>
    <w:rsid w:val="008F4611"/>
    <w:rsid w:val="0090153F"/>
    <w:rsid w:val="009047C5"/>
    <w:rsid w:val="00916240"/>
    <w:rsid w:val="0092437A"/>
    <w:rsid w:val="0093001A"/>
    <w:rsid w:val="00952830"/>
    <w:rsid w:val="0095385A"/>
    <w:rsid w:val="009B3B7E"/>
    <w:rsid w:val="009C3608"/>
    <w:rsid w:val="009D6733"/>
    <w:rsid w:val="00A20BA6"/>
    <w:rsid w:val="00A23161"/>
    <w:rsid w:val="00A24560"/>
    <w:rsid w:val="00A33146"/>
    <w:rsid w:val="00A34538"/>
    <w:rsid w:val="00A357EA"/>
    <w:rsid w:val="00A43B37"/>
    <w:rsid w:val="00A621BF"/>
    <w:rsid w:val="00A75BEA"/>
    <w:rsid w:val="00A773F5"/>
    <w:rsid w:val="00A905E5"/>
    <w:rsid w:val="00A96334"/>
    <w:rsid w:val="00AA1C22"/>
    <w:rsid w:val="00AA442B"/>
    <w:rsid w:val="00AB41F3"/>
    <w:rsid w:val="00AD2AFA"/>
    <w:rsid w:val="00AD4C74"/>
    <w:rsid w:val="00AF1108"/>
    <w:rsid w:val="00AF2411"/>
    <w:rsid w:val="00AF694B"/>
    <w:rsid w:val="00B04B07"/>
    <w:rsid w:val="00B055FA"/>
    <w:rsid w:val="00B058F8"/>
    <w:rsid w:val="00B22436"/>
    <w:rsid w:val="00B22E22"/>
    <w:rsid w:val="00B525CB"/>
    <w:rsid w:val="00B63CB2"/>
    <w:rsid w:val="00B93F6F"/>
    <w:rsid w:val="00BA7568"/>
    <w:rsid w:val="00BC0272"/>
    <w:rsid w:val="00BD78FE"/>
    <w:rsid w:val="00C032C3"/>
    <w:rsid w:val="00C27A55"/>
    <w:rsid w:val="00C3075F"/>
    <w:rsid w:val="00C3549E"/>
    <w:rsid w:val="00C50BF4"/>
    <w:rsid w:val="00C527C8"/>
    <w:rsid w:val="00C53885"/>
    <w:rsid w:val="00C7027F"/>
    <w:rsid w:val="00C90B93"/>
    <w:rsid w:val="00C956A4"/>
    <w:rsid w:val="00CA287E"/>
    <w:rsid w:val="00CB3E8D"/>
    <w:rsid w:val="00CB4107"/>
    <w:rsid w:val="00CC00CD"/>
    <w:rsid w:val="00CC2854"/>
    <w:rsid w:val="00CF6325"/>
    <w:rsid w:val="00D07F65"/>
    <w:rsid w:val="00D16E39"/>
    <w:rsid w:val="00D25546"/>
    <w:rsid w:val="00D519F4"/>
    <w:rsid w:val="00D56FCE"/>
    <w:rsid w:val="00D614F5"/>
    <w:rsid w:val="00D72E9D"/>
    <w:rsid w:val="00D82CE5"/>
    <w:rsid w:val="00D834DF"/>
    <w:rsid w:val="00D87626"/>
    <w:rsid w:val="00D92E67"/>
    <w:rsid w:val="00D93489"/>
    <w:rsid w:val="00DA3F51"/>
    <w:rsid w:val="00DA4E78"/>
    <w:rsid w:val="00DA5AB1"/>
    <w:rsid w:val="00DC62E5"/>
    <w:rsid w:val="00DD1A1C"/>
    <w:rsid w:val="00DD735D"/>
    <w:rsid w:val="00DE3119"/>
    <w:rsid w:val="00DF0910"/>
    <w:rsid w:val="00DF236B"/>
    <w:rsid w:val="00DF4F19"/>
    <w:rsid w:val="00DF6DAA"/>
    <w:rsid w:val="00E05992"/>
    <w:rsid w:val="00E13AB8"/>
    <w:rsid w:val="00E25F0E"/>
    <w:rsid w:val="00E33B62"/>
    <w:rsid w:val="00E528F9"/>
    <w:rsid w:val="00E52D07"/>
    <w:rsid w:val="00E83633"/>
    <w:rsid w:val="00E86F28"/>
    <w:rsid w:val="00E87C5C"/>
    <w:rsid w:val="00EB0061"/>
    <w:rsid w:val="00EB7C63"/>
    <w:rsid w:val="00EC7D6D"/>
    <w:rsid w:val="00ED5F48"/>
    <w:rsid w:val="00EF4DEA"/>
    <w:rsid w:val="00F113B1"/>
    <w:rsid w:val="00F427D4"/>
    <w:rsid w:val="00F527A7"/>
    <w:rsid w:val="00F574CD"/>
    <w:rsid w:val="00F73800"/>
    <w:rsid w:val="00F84899"/>
    <w:rsid w:val="00F859F0"/>
    <w:rsid w:val="00F920C3"/>
    <w:rsid w:val="00F96127"/>
    <w:rsid w:val="00FA7772"/>
    <w:rsid w:val="00FC2005"/>
    <w:rsid w:val="00FE141E"/>
    <w:rsid w:val="00FE4A09"/>
    <w:rsid w:val="0692CC72"/>
    <w:rsid w:val="0E2CB24F"/>
    <w:rsid w:val="10171007"/>
    <w:rsid w:val="66B7810C"/>
    <w:rsid w:val="731621D5"/>
    <w:rsid w:val="778403FC"/>
    <w:rsid w:val="7993F84F"/>
    <w:rsid w:val="7FCACFC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0B391B"/>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B391B"/>
    <w:rPr>
      <w:rFonts w:ascii="Arial" w:eastAsia="Arial" w:hAnsi="Arial" w:cs="Arial"/>
      <w:lang w:val="es-ES" w:eastAsia="es-ES" w:bidi="es-ES"/>
    </w:rPr>
  </w:style>
  <w:style w:type="paragraph" w:customStyle="1" w:styleId="Default">
    <w:name w:val="Default"/>
    <w:rsid w:val="00ED5F4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perfinanciera.gov.co/publicacion/6081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B7807A40-86FC-4477-BFB3-E4ACAAED7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125680-FD53-4A5E-9508-10CBD54E7053}">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3152</Words>
  <Characters>17336</Characters>
  <Application>Microsoft Office Word</Application>
  <DocSecurity>0</DocSecurity>
  <Lines>144</Lines>
  <Paragraphs>40</Paragraphs>
  <ScaleCrop>false</ScaleCrop>
  <Company/>
  <LinksUpToDate>false</LinksUpToDate>
  <CharactersWithSpaces>20448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2020-06-30T18:06:00Z</dcterms:created>
  <dcterms:modified xsi:type="dcterms:W3CDTF">2020-08-06T18:04:00Z</dcterms:modified>
</cp:coreProperties>
</file>