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814A7" w14:textId="77777777" w:rsidR="00B93846" w:rsidRPr="00B93846" w:rsidRDefault="00B93846" w:rsidP="00B93846">
      <w:pPr>
        <w:spacing w:after="0" w:line="240" w:lineRule="auto"/>
        <w:jc w:val="both"/>
        <w:rPr>
          <w:rFonts w:ascii="Verdana" w:eastAsia="Calibri" w:hAnsi="Verdana" w:cs="Arial"/>
          <w:b/>
          <w:color w:val="000000"/>
          <w:sz w:val="24"/>
          <w:szCs w:val="24"/>
          <w:lang w:val="es-ES" w:eastAsia="es-ES_tradnl"/>
        </w:rPr>
      </w:pPr>
      <w:bookmarkStart w:id="0" w:name="_Hlk143780582"/>
      <w:r w:rsidRPr="00B93846">
        <w:rPr>
          <w:rFonts w:ascii="Verdana" w:eastAsia="Calibri" w:hAnsi="Verdana" w:cs="Arial"/>
          <w:b/>
          <w:color w:val="000000"/>
          <w:sz w:val="24"/>
          <w:szCs w:val="24"/>
          <w:lang w:val="es-ES" w:eastAsia="es-ES_tradnl"/>
        </w:rPr>
        <w:t>LEY DE GARANTÍAS ELECTORALES – Finalidad - Ley 996 de 2005 – Comicios aplicables</w:t>
      </w:r>
    </w:p>
    <w:p w14:paraId="3C2D1932" w14:textId="77777777" w:rsidR="00B93846" w:rsidRPr="00B93846" w:rsidRDefault="00B93846" w:rsidP="00B93846">
      <w:pPr>
        <w:spacing w:after="0" w:line="240" w:lineRule="auto"/>
        <w:jc w:val="both"/>
        <w:rPr>
          <w:rFonts w:ascii="Verdana" w:eastAsia="Calibri" w:hAnsi="Verdana" w:cs="Arial"/>
          <w:bCs/>
          <w:color w:val="000000"/>
          <w:sz w:val="20"/>
          <w:szCs w:val="20"/>
          <w:lang w:val="es-ES" w:eastAsia="es-ES_tradnl"/>
        </w:rPr>
      </w:pPr>
    </w:p>
    <w:p w14:paraId="292C546E" w14:textId="77777777" w:rsidR="00B93846" w:rsidRPr="00B93846" w:rsidRDefault="00B93846" w:rsidP="00B93846">
      <w:pPr>
        <w:spacing w:after="0" w:line="240" w:lineRule="auto"/>
        <w:jc w:val="both"/>
        <w:rPr>
          <w:rFonts w:ascii="Verdana" w:eastAsia="Calibri" w:hAnsi="Verdana" w:cs="Arial"/>
          <w:color w:val="000000"/>
          <w:sz w:val="20"/>
          <w:szCs w:val="20"/>
          <w:lang w:val="es-ES_tradnl" w:eastAsia="es-ES_tradnl"/>
        </w:rPr>
      </w:pPr>
      <w:r w:rsidRPr="00B93846">
        <w:rPr>
          <w:rFonts w:ascii="Verdana" w:eastAsia="Calibri" w:hAnsi="Verdana" w:cs="Arial"/>
          <w:color w:val="000000"/>
          <w:sz w:val="20"/>
          <w:szCs w:val="20"/>
          <w:lang w:val="es-ES_tradnl" w:eastAsia="es-ES_tradnl"/>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la cita Ley introduce limitaciones para realizar nombramientos, postulaciones, contrataciones o cualquier otro tipo de actividad que implique destinación de recursos públicos bajo el devenir propio de las entidades estatales.</w:t>
      </w:r>
    </w:p>
    <w:p w14:paraId="24AFBB75" w14:textId="77777777" w:rsidR="00B93846" w:rsidRPr="00B93846" w:rsidRDefault="00B93846" w:rsidP="00B93846">
      <w:pPr>
        <w:spacing w:after="0" w:line="240" w:lineRule="auto"/>
        <w:jc w:val="both"/>
        <w:rPr>
          <w:rFonts w:ascii="Verdana" w:eastAsia="Calibri" w:hAnsi="Verdana" w:cs="Arial"/>
          <w:color w:val="000000"/>
          <w:sz w:val="20"/>
          <w:szCs w:val="20"/>
          <w:lang w:val="es-ES_tradnl" w:eastAsia="es-ES_tradnl"/>
        </w:rPr>
      </w:pPr>
      <w:r w:rsidRPr="00B93846">
        <w:rPr>
          <w:rFonts w:ascii="Verdana" w:eastAsia="Calibri" w:hAnsi="Verdana" w:cs="Arial"/>
          <w:color w:val="000000"/>
          <w:sz w:val="20"/>
          <w:szCs w:val="20"/>
          <w:lang w:val="es-ES_tradnl" w:eastAsia="es-ES_tradnl"/>
        </w:rPr>
        <w:t>[…]</w:t>
      </w:r>
    </w:p>
    <w:p w14:paraId="04B73387" w14:textId="77777777" w:rsidR="00B93846" w:rsidRPr="00B93846" w:rsidRDefault="00B93846" w:rsidP="00B93846">
      <w:pPr>
        <w:spacing w:after="0" w:line="240" w:lineRule="auto"/>
        <w:jc w:val="both"/>
        <w:rPr>
          <w:rFonts w:ascii="Verdana" w:eastAsia="Calibri" w:hAnsi="Verdana" w:cs="Arial"/>
          <w:color w:val="000000"/>
          <w:sz w:val="20"/>
          <w:szCs w:val="20"/>
          <w:lang w:val="es-ES" w:eastAsia="es-ES_tradnl"/>
        </w:rPr>
      </w:pPr>
      <w:r w:rsidRPr="00B93846">
        <w:rPr>
          <w:rFonts w:ascii="Verdana" w:eastAsia="Calibri" w:hAnsi="Verdana" w:cs="Arial"/>
          <w:color w:val="000000"/>
          <w:sz w:val="20"/>
          <w:szCs w:val="20"/>
          <w:lang w:val="es-ES" w:eastAsia="es-ES_tradnl"/>
        </w:rPr>
        <w:t>[…]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p>
    <w:p w14:paraId="0340621E" w14:textId="77777777" w:rsidR="00B93846" w:rsidRPr="00B93846" w:rsidRDefault="00B93846" w:rsidP="00B93846">
      <w:pPr>
        <w:spacing w:after="0" w:line="240" w:lineRule="auto"/>
        <w:jc w:val="both"/>
        <w:rPr>
          <w:rFonts w:ascii="Verdana" w:eastAsia="Geomanist Light" w:hAnsi="Verdana" w:cs="Arial"/>
          <w:color w:val="000000"/>
          <w:sz w:val="20"/>
          <w:szCs w:val="20"/>
          <w:lang w:val="es-ES_tradnl" w:eastAsia="es-ES_tradnl"/>
        </w:rPr>
      </w:pPr>
    </w:p>
    <w:p w14:paraId="5800C27C" w14:textId="77777777" w:rsidR="00B93846" w:rsidRPr="00B93846" w:rsidRDefault="00B93846" w:rsidP="00B93846">
      <w:pPr>
        <w:spacing w:after="0" w:line="240" w:lineRule="auto"/>
        <w:jc w:val="both"/>
        <w:rPr>
          <w:rFonts w:ascii="Verdana" w:eastAsia="Calibri" w:hAnsi="Verdana" w:cs="Arial"/>
          <w:b/>
          <w:sz w:val="24"/>
          <w:szCs w:val="24"/>
          <w:lang w:val="es-ES" w:eastAsia="es-ES_tradnl"/>
        </w:rPr>
      </w:pPr>
      <w:r w:rsidRPr="00B93846">
        <w:rPr>
          <w:rFonts w:ascii="Verdana" w:eastAsia="Calibri" w:hAnsi="Verdana" w:cs="Arial"/>
          <w:b/>
          <w:sz w:val="24"/>
          <w:szCs w:val="24"/>
          <w:lang w:val="es-ES" w:eastAsia="es-ES_tradnl"/>
        </w:rPr>
        <w:t>LEY DE GARANTÍAS ELECTORALES – Restricciones contractuales – Comicios aplicables - Destinatarios</w:t>
      </w:r>
    </w:p>
    <w:p w14:paraId="3031E19F" w14:textId="77777777" w:rsidR="00B93846" w:rsidRPr="00B93846" w:rsidRDefault="00B93846" w:rsidP="00B93846">
      <w:pPr>
        <w:spacing w:after="0" w:line="240" w:lineRule="auto"/>
        <w:jc w:val="both"/>
        <w:rPr>
          <w:rFonts w:ascii="Verdana" w:eastAsia="Calibri" w:hAnsi="Verdana" w:cs="Arial"/>
          <w:b/>
          <w:sz w:val="20"/>
          <w:szCs w:val="20"/>
          <w:lang w:val="es-ES" w:eastAsia="es-ES_tradnl"/>
        </w:rPr>
      </w:pPr>
    </w:p>
    <w:p w14:paraId="04A961B0" w14:textId="77777777" w:rsidR="00B93846" w:rsidRPr="00B93846" w:rsidRDefault="00B93846" w:rsidP="00B93846">
      <w:pPr>
        <w:spacing w:after="0" w:line="240" w:lineRule="auto"/>
        <w:jc w:val="both"/>
        <w:rPr>
          <w:rFonts w:ascii="Verdana" w:eastAsia="Calibri" w:hAnsi="Verdana" w:cs="Arial"/>
          <w:bCs/>
          <w:sz w:val="20"/>
          <w:szCs w:val="20"/>
          <w:lang w:val="es-ES" w:eastAsia="es-ES_tradnl"/>
        </w:rPr>
      </w:pPr>
      <w:r w:rsidRPr="00B93846">
        <w:rPr>
          <w:rFonts w:ascii="Verdana" w:eastAsia="Calibri" w:hAnsi="Verdana" w:cs="Arial"/>
          <w:bCs/>
          <w:sz w:val="20"/>
          <w:szCs w:val="20"/>
          <w:lang w:val="es-ES" w:eastAsia="es-ES_tradnl"/>
        </w:rPr>
        <w:t>[…] el artículo 33 de la Ley 966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w:t>
      </w:r>
    </w:p>
    <w:p w14:paraId="71155701" w14:textId="77777777" w:rsidR="00B93846" w:rsidRPr="00B93846" w:rsidRDefault="00B93846" w:rsidP="00B93846">
      <w:pPr>
        <w:spacing w:after="0" w:line="240" w:lineRule="auto"/>
        <w:jc w:val="both"/>
        <w:rPr>
          <w:rFonts w:ascii="Verdana" w:eastAsia="Calibri" w:hAnsi="Verdana" w:cs="Arial"/>
          <w:bCs/>
          <w:sz w:val="20"/>
          <w:szCs w:val="20"/>
          <w:lang w:val="es-ES" w:eastAsia="es-ES_tradnl"/>
        </w:rPr>
      </w:pPr>
    </w:p>
    <w:p w14:paraId="5AB7B8CC" w14:textId="77777777" w:rsidR="00B93846" w:rsidRPr="00B93846" w:rsidRDefault="00B93846" w:rsidP="00B93846">
      <w:pPr>
        <w:spacing w:after="0" w:line="240" w:lineRule="auto"/>
        <w:jc w:val="both"/>
        <w:rPr>
          <w:rFonts w:ascii="Aptos" w:eastAsia="Aptos" w:hAnsi="Aptos" w:cs="Arial"/>
          <w:sz w:val="24"/>
          <w:szCs w:val="24"/>
          <w:lang w:eastAsia="es-ES_tradnl"/>
        </w:rPr>
      </w:pPr>
      <w:r w:rsidRPr="00B93846">
        <w:rPr>
          <w:rFonts w:ascii="Verdana" w:eastAsia="Calibri" w:hAnsi="Verdana" w:cs="Arial"/>
          <w:bCs/>
          <w:sz w:val="20"/>
          <w:szCs w:val="20"/>
          <w:lang w:val="es-ES" w:eastAsia="es-ES_tradnl"/>
        </w:rPr>
        <w:t xml:space="preserve">[…], el parágrafo del artículo 38 de la precitada ley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w:t>
      </w:r>
      <w:r w:rsidRPr="00B93846">
        <w:rPr>
          <w:rFonts w:ascii="Verdana" w:eastAsia="Calibri" w:hAnsi="Verdana" w:cs="Arial"/>
          <w:bCs/>
          <w:sz w:val="20"/>
          <w:szCs w:val="20"/>
          <w:lang w:val="es-ES" w:eastAsia="es-ES_tradnl"/>
        </w:rPr>
        <w:lastRenderedPageBreak/>
        <w:t>destinar recursos públicos de las entidades a su cargo, como tampoco de las que participen como miembro de sus juntas directivas, en o para reuniones de carácter proselitista”.</w:t>
      </w:r>
    </w:p>
    <w:p w14:paraId="1409EF42" w14:textId="3C452E0F" w:rsidR="00B93846" w:rsidRPr="00B93846" w:rsidRDefault="00B93846" w:rsidP="00B93846">
      <w:pPr>
        <w:rPr>
          <w:rFonts w:ascii="Verdana" w:eastAsia="Calibri" w:hAnsi="Verdana" w:cs="Arial"/>
          <w:lang w:val="es-ES" w:eastAsia="es-ES_tradnl"/>
        </w:rPr>
      </w:pPr>
      <w:r w:rsidRPr="00B93846">
        <w:rPr>
          <w:rFonts w:ascii="Verdana" w:eastAsia="Calibri" w:hAnsi="Verdana" w:cs="Arial"/>
          <w:sz w:val="24"/>
          <w:szCs w:val="24"/>
          <w:lang w:val="es-MX" w:eastAsia="es-ES_tradnl"/>
        </w:rPr>
        <w:br w:type="page"/>
      </w:r>
      <w:r w:rsidRPr="00B93846">
        <w:rPr>
          <w:rFonts w:ascii="Verdana" w:eastAsia="Calibri" w:hAnsi="Verdana" w:cs="Arial"/>
          <w:lang w:val="es-MX" w:eastAsia="es-ES_tradnl"/>
        </w:rPr>
        <w:lastRenderedPageBreak/>
        <w:t>Bogotá D.C., </w:t>
      </w:r>
      <w:r w:rsidR="00436E1F">
        <w:rPr>
          <w:rFonts w:ascii="Verdana" w:eastAsia="Calibri" w:hAnsi="Verdana" w:cs="Arial"/>
          <w:lang w:val="es-MX" w:eastAsia="es-ES_tradnl"/>
        </w:rPr>
        <w:t>21 de abril de 2026</w:t>
      </w:r>
    </w:p>
    <w:p w14:paraId="5C2C777D" w14:textId="23A9E314" w:rsidR="00B93846" w:rsidRPr="00B93846" w:rsidRDefault="00436E1F" w:rsidP="00B93846">
      <w:pPr>
        <w:spacing w:after="0" w:line="240" w:lineRule="auto"/>
        <w:jc w:val="right"/>
        <w:rPr>
          <w:rFonts w:ascii="Verdana" w:eastAsia="Calibri" w:hAnsi="Verdana" w:cs="Arial"/>
          <w:lang w:val="es-ES" w:eastAsia="es-ES_tradnl"/>
        </w:rPr>
      </w:pPr>
      <w:r w:rsidRPr="00436E1F">
        <w:rPr>
          <w:rFonts w:ascii="Verdana" w:eastAsia="Calibri" w:hAnsi="Verdana" w:cs="Arial"/>
          <w:lang w:val="es-ES" w:eastAsia="es-ES_tradnl"/>
        </w:rPr>
        <w:drawing>
          <wp:inline distT="0" distB="0" distL="0" distR="0" wp14:anchorId="47793E6C" wp14:editId="115C8C01">
            <wp:extent cx="2695951" cy="724001"/>
            <wp:effectExtent l="0" t="0" r="9525" b="0"/>
            <wp:docPr id="15402611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261162" name=""/>
                    <pic:cNvPicPr/>
                  </pic:nvPicPr>
                  <pic:blipFill>
                    <a:blip r:embed="rId10"/>
                    <a:stretch>
                      <a:fillRect/>
                    </a:stretch>
                  </pic:blipFill>
                  <pic:spPr>
                    <a:xfrm>
                      <a:off x="0" y="0"/>
                      <a:ext cx="2695951" cy="724001"/>
                    </a:xfrm>
                    <a:prstGeom prst="rect">
                      <a:avLst/>
                    </a:prstGeom>
                  </pic:spPr>
                </pic:pic>
              </a:graphicData>
            </a:graphic>
          </wp:inline>
        </w:drawing>
      </w:r>
    </w:p>
    <w:p w14:paraId="30F0DF50" w14:textId="77777777" w:rsidR="00B93846" w:rsidRPr="00B93846" w:rsidRDefault="00B93846" w:rsidP="00B93846">
      <w:pPr>
        <w:spacing w:after="0" w:line="240" w:lineRule="auto"/>
        <w:rPr>
          <w:rFonts w:ascii="Verdana" w:eastAsia="Calibri" w:hAnsi="Verdana" w:cs="Arial"/>
          <w:lang w:val="es-ES" w:eastAsia="es-ES_tradnl"/>
        </w:rPr>
      </w:pPr>
    </w:p>
    <w:p w14:paraId="23B3BEEE" w14:textId="77777777" w:rsidR="00B93846" w:rsidRPr="00B93846" w:rsidRDefault="00B93846" w:rsidP="00B93846">
      <w:pPr>
        <w:spacing w:after="0" w:line="240" w:lineRule="auto"/>
        <w:jc w:val="both"/>
        <w:rPr>
          <w:rFonts w:ascii="Verdana" w:eastAsia="Calibri" w:hAnsi="Verdana" w:cs="Arial"/>
          <w:lang w:val="es-ES" w:eastAsia="es-ES"/>
        </w:rPr>
      </w:pPr>
      <w:r w:rsidRPr="00B93846">
        <w:rPr>
          <w:rFonts w:ascii="Verdana" w:eastAsia="Calibri" w:hAnsi="Verdana" w:cs="Arial"/>
          <w:lang w:val="es-ES" w:eastAsia="es-ES"/>
        </w:rPr>
        <w:t>Señora</w:t>
      </w:r>
    </w:p>
    <w:p w14:paraId="41B07326" w14:textId="77777777" w:rsidR="00B93846" w:rsidRPr="00B93846" w:rsidRDefault="00B93846" w:rsidP="00B93846">
      <w:pPr>
        <w:spacing w:after="0" w:line="240" w:lineRule="auto"/>
        <w:rPr>
          <w:rFonts w:ascii="Verdana" w:eastAsia="Calibri" w:hAnsi="Verdana" w:cs="Arial"/>
          <w:b/>
          <w:lang w:val="es-ES" w:eastAsia="es-ES"/>
        </w:rPr>
      </w:pPr>
      <w:r w:rsidRPr="00B93846">
        <w:rPr>
          <w:rFonts w:ascii="Verdana" w:eastAsia="Calibri" w:hAnsi="Verdana" w:cs="Arial"/>
          <w:b/>
          <w:lang w:val="es-ES" w:eastAsia="es-ES"/>
        </w:rPr>
        <w:t>María Helena Oidor Triana</w:t>
      </w:r>
    </w:p>
    <w:p w14:paraId="293E459C" w14:textId="77777777" w:rsidR="00B93846" w:rsidRPr="00B93846" w:rsidRDefault="00B93846" w:rsidP="00B93846">
      <w:pPr>
        <w:spacing w:after="0" w:line="240" w:lineRule="auto"/>
        <w:rPr>
          <w:rFonts w:ascii="Verdana" w:eastAsia="Aptos" w:hAnsi="Verdana" w:cs="Arial"/>
          <w:kern w:val="2"/>
          <w:lang w:eastAsia="es-ES_tradnl"/>
          <w14:ligatures w14:val="standardContextual"/>
        </w:rPr>
      </w:pPr>
      <w:hyperlink r:id="rId11" w:history="1">
        <w:r w:rsidRPr="00B93846">
          <w:rPr>
            <w:rFonts w:ascii="Verdana" w:eastAsia="Aptos" w:hAnsi="Verdana" w:cs="Arial"/>
            <w:color w:val="0000FF"/>
            <w:kern w:val="2"/>
            <w:u w:val="single"/>
            <w:lang w:eastAsia="es-ES_tradnl"/>
            <w14:ligatures w14:val="standardContextual"/>
          </w:rPr>
          <w:t>malena1508@gmail.com</w:t>
        </w:r>
      </w:hyperlink>
    </w:p>
    <w:p w14:paraId="55012C1D" w14:textId="77777777" w:rsidR="00B93846" w:rsidRPr="00B93846" w:rsidRDefault="00B93846" w:rsidP="00B93846">
      <w:pPr>
        <w:spacing w:after="0" w:line="240" w:lineRule="auto"/>
        <w:rPr>
          <w:rFonts w:ascii="Verdana" w:eastAsia="Calibri" w:hAnsi="Verdana" w:cs="Arial"/>
          <w:b/>
          <w:bCs/>
          <w:lang w:val="es-ES" w:eastAsia="es-ES"/>
        </w:rPr>
      </w:pPr>
      <w:r w:rsidRPr="00B93846">
        <w:rPr>
          <w:rFonts w:ascii="Verdana" w:eastAsia="Calibri" w:hAnsi="Verdana" w:cs="Arial"/>
          <w:lang w:val="es-ES" w:eastAsia="es-ES"/>
        </w:rPr>
        <w:t>Ciudad</w:t>
      </w:r>
    </w:p>
    <w:p w14:paraId="29064873" w14:textId="77777777" w:rsidR="00B93846" w:rsidRPr="00B93846" w:rsidRDefault="00B93846" w:rsidP="00B93846">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93846" w:rsidRPr="00B93846" w14:paraId="19B06F6E" w14:textId="77777777" w:rsidTr="00940CA1">
        <w:trPr>
          <w:trHeight w:val="151"/>
        </w:trPr>
        <w:tc>
          <w:tcPr>
            <w:tcW w:w="2689" w:type="dxa"/>
          </w:tcPr>
          <w:p w14:paraId="71163D8A" w14:textId="77777777" w:rsidR="00B93846" w:rsidRPr="00B93846" w:rsidRDefault="00B93846" w:rsidP="00B93846">
            <w:pPr>
              <w:spacing w:line="240" w:lineRule="auto"/>
              <w:jc w:val="both"/>
              <w:rPr>
                <w:rFonts w:ascii="Verdana" w:eastAsia="Calibri" w:hAnsi="Verdana" w:cs="Arial"/>
                <w:b/>
                <w:bCs/>
                <w:lang w:val="es-ES_tradnl" w:eastAsia="es-ES_tradnl"/>
              </w:rPr>
            </w:pPr>
          </w:p>
        </w:tc>
        <w:tc>
          <w:tcPr>
            <w:tcW w:w="6100" w:type="dxa"/>
          </w:tcPr>
          <w:p w14:paraId="7D43C832" w14:textId="77777777" w:rsidR="00B93846" w:rsidRPr="00B93846" w:rsidRDefault="00B93846" w:rsidP="00B93846">
            <w:pPr>
              <w:spacing w:line="240" w:lineRule="auto"/>
              <w:jc w:val="both"/>
              <w:rPr>
                <w:rFonts w:ascii="Verdana" w:eastAsia="Calibri" w:hAnsi="Verdana" w:cs="Arial"/>
                <w:b/>
                <w:lang w:val="es-ES" w:eastAsia="es-ES"/>
              </w:rPr>
            </w:pPr>
            <w:r w:rsidRPr="00B93846">
              <w:rPr>
                <w:rFonts w:ascii="Verdana" w:eastAsia="Calibri" w:hAnsi="Verdana" w:cs="Arial"/>
                <w:b/>
                <w:lang w:val="es-ES" w:eastAsia="es-ES"/>
              </w:rPr>
              <w:t>Concepto C-382 de 2026</w:t>
            </w:r>
          </w:p>
          <w:p w14:paraId="2C642A1D" w14:textId="77777777" w:rsidR="00B93846" w:rsidRPr="00B93846" w:rsidRDefault="00B93846" w:rsidP="00B93846">
            <w:pPr>
              <w:spacing w:line="240" w:lineRule="auto"/>
              <w:jc w:val="both"/>
              <w:rPr>
                <w:rFonts w:ascii="Verdana" w:eastAsia="Calibri" w:hAnsi="Verdana" w:cs="Arial"/>
                <w:b/>
                <w:lang w:val="es-ES" w:eastAsia="es-ES"/>
              </w:rPr>
            </w:pPr>
          </w:p>
        </w:tc>
      </w:tr>
      <w:tr w:rsidR="00B93846" w:rsidRPr="00B93846" w14:paraId="42FDD418" w14:textId="77777777" w:rsidTr="00940CA1">
        <w:trPr>
          <w:trHeight w:val="884"/>
        </w:trPr>
        <w:tc>
          <w:tcPr>
            <w:tcW w:w="2689" w:type="dxa"/>
          </w:tcPr>
          <w:p w14:paraId="20AFA116" w14:textId="77777777" w:rsidR="00B93846" w:rsidRPr="00B93846" w:rsidRDefault="00B93846" w:rsidP="00B93846">
            <w:pPr>
              <w:spacing w:line="240" w:lineRule="auto"/>
              <w:jc w:val="both"/>
              <w:rPr>
                <w:rFonts w:ascii="Verdana" w:eastAsia="Calibri" w:hAnsi="Verdana" w:cs="Arial"/>
                <w:lang w:val="es-ES_tradnl" w:eastAsia="es-ES_tradnl"/>
              </w:rPr>
            </w:pPr>
            <w:r w:rsidRPr="00B93846">
              <w:rPr>
                <w:rFonts w:ascii="Verdana" w:eastAsia="Calibri" w:hAnsi="Verdana" w:cs="Arial"/>
                <w:b/>
                <w:lang w:val="es-ES_tradnl" w:eastAsia="es-ES_tradnl"/>
              </w:rPr>
              <w:t>Temas:</w:t>
            </w:r>
            <w:r w:rsidRPr="00B93846">
              <w:rPr>
                <w:rFonts w:ascii="Verdana" w:eastAsia="Calibri" w:hAnsi="Verdana" w:cs="Arial"/>
                <w:lang w:val="es-ES_tradnl" w:eastAsia="es-ES_tradnl"/>
              </w:rPr>
              <w:t xml:space="preserve">                   </w:t>
            </w:r>
          </w:p>
        </w:tc>
        <w:tc>
          <w:tcPr>
            <w:tcW w:w="6100" w:type="dxa"/>
          </w:tcPr>
          <w:p w14:paraId="0CC37F78" w14:textId="77777777" w:rsidR="00B93846" w:rsidRPr="00B93846" w:rsidRDefault="00B93846" w:rsidP="00B93846">
            <w:pPr>
              <w:spacing w:line="240" w:lineRule="auto"/>
              <w:jc w:val="both"/>
              <w:rPr>
                <w:rFonts w:ascii="Verdana" w:eastAsia="Times New Roman" w:hAnsi="Verdana" w:cs="Arial"/>
                <w:lang w:val="es-ES" w:eastAsia="es-ES"/>
              </w:rPr>
            </w:pPr>
            <w:r w:rsidRPr="00B93846">
              <w:rPr>
                <w:rFonts w:ascii="Verdana" w:eastAsia="Times New Roman" w:hAnsi="Verdana" w:cs="Arial"/>
                <w:lang w:val="es-ES" w:eastAsia="es-ES"/>
              </w:rPr>
              <w:t>LEY DE GARANTÍAS ELECTORALES – Finalidad / LEY DE GARANTÍAS ELECTORALES ‒ Tipos de elección – Restricciones ‒ Contratación /</w:t>
            </w:r>
            <w:r w:rsidRPr="00B93846">
              <w:rPr>
                <w:rFonts w:ascii="Verdana" w:eastAsia="Aptos" w:hAnsi="Verdana" w:cs="Arial"/>
                <w:color w:val="000000"/>
                <w:lang w:val="es-MX" w:eastAsia="es-ES"/>
              </w:rPr>
              <w:t xml:space="preserve"> </w:t>
            </w:r>
            <w:r w:rsidRPr="00B93846">
              <w:rPr>
                <w:rFonts w:ascii="Verdana" w:eastAsia="Times New Roman" w:hAnsi="Verdana" w:cs="Arial"/>
                <w:lang w:val="es-ES" w:eastAsia="es-ES"/>
              </w:rPr>
              <w:t>LEY DE GARANTÍAS ELECTORALES</w:t>
            </w:r>
            <w:r w:rsidRPr="00B93846">
              <w:rPr>
                <w:rFonts w:ascii="Verdana" w:eastAsia="Aptos" w:hAnsi="Verdana" w:cs="Arial"/>
                <w:color w:val="000000"/>
                <w:lang w:val="es-MX" w:eastAsia="es-ES"/>
              </w:rPr>
              <w:t xml:space="preserve"> </w:t>
            </w:r>
            <w:r w:rsidRPr="00B93846">
              <w:rPr>
                <w:rFonts w:ascii="Verdana" w:eastAsia="Times New Roman" w:hAnsi="Verdana" w:cs="Arial"/>
                <w:lang w:val="es-ES" w:eastAsia="es-ES"/>
              </w:rPr>
              <w:t xml:space="preserve">‒ </w:t>
            </w:r>
            <w:r w:rsidRPr="00B93846">
              <w:rPr>
                <w:rFonts w:ascii="Verdana" w:eastAsia="Aptos" w:hAnsi="Verdana" w:cs="Arial"/>
                <w:color w:val="000000"/>
                <w:lang w:val="es-MX" w:eastAsia="es-ES"/>
              </w:rPr>
              <w:t xml:space="preserve">Artículo 33 – Contratación directa – Alcance / </w:t>
            </w:r>
            <w:r w:rsidRPr="00B93846">
              <w:rPr>
                <w:rFonts w:ascii="Verdana" w:eastAsia="Times New Roman" w:hAnsi="Verdana" w:cs="Arial"/>
                <w:lang w:val="es-ES" w:eastAsia="es-ES"/>
              </w:rPr>
              <w:t>LEY DE GARANTÍAS ELECTORALES</w:t>
            </w:r>
            <w:r w:rsidRPr="00B93846">
              <w:rPr>
                <w:rFonts w:ascii="Verdana" w:eastAsia="Aptos" w:hAnsi="Verdana" w:cs="Arial"/>
                <w:color w:val="000000"/>
                <w:lang w:val="es-MX" w:eastAsia="es-ES"/>
              </w:rPr>
              <w:t xml:space="preserve"> </w:t>
            </w:r>
            <w:r w:rsidRPr="00B93846">
              <w:rPr>
                <w:rFonts w:ascii="Verdana" w:eastAsia="Times New Roman" w:hAnsi="Verdana" w:cs="Arial"/>
                <w:lang w:val="es-ES" w:eastAsia="es-ES"/>
              </w:rPr>
              <w:t xml:space="preserve">‒ </w:t>
            </w:r>
            <w:r w:rsidRPr="00B93846">
              <w:rPr>
                <w:rFonts w:ascii="Verdana" w:eastAsia="Aptos" w:hAnsi="Verdana" w:cs="Arial"/>
                <w:color w:val="000000"/>
                <w:lang w:val="es-MX" w:eastAsia="es-ES"/>
              </w:rPr>
              <w:t xml:space="preserve">Artículo 38 – </w:t>
            </w:r>
            <w:proofErr w:type="spellStart"/>
            <w:r w:rsidRPr="00B93846">
              <w:rPr>
                <w:rFonts w:ascii="Verdana" w:eastAsia="Aptos" w:hAnsi="Verdana" w:cs="Arial"/>
                <w:color w:val="000000"/>
                <w:lang w:val="es-MX" w:eastAsia="es-ES"/>
              </w:rPr>
              <w:t>Paragrafo</w:t>
            </w:r>
            <w:proofErr w:type="spellEnd"/>
            <w:r w:rsidRPr="00B93846">
              <w:rPr>
                <w:rFonts w:ascii="Verdana" w:eastAsia="Aptos" w:hAnsi="Verdana" w:cs="Arial"/>
                <w:color w:val="000000"/>
                <w:lang w:val="es-MX" w:eastAsia="es-ES"/>
              </w:rPr>
              <w:t xml:space="preserve"> - Convenios Interadministrativos </w:t>
            </w:r>
            <w:r w:rsidRPr="00B93846">
              <w:rPr>
                <w:rFonts w:ascii="Verdana" w:eastAsia="Times New Roman" w:hAnsi="Verdana" w:cs="Arial"/>
                <w:lang w:val="es-MX" w:eastAsia="es-ES_tradnl"/>
              </w:rPr>
              <w:t xml:space="preserve">– Ejecución de recursos públicos  </w:t>
            </w:r>
          </w:p>
        </w:tc>
      </w:tr>
    </w:tbl>
    <w:p w14:paraId="1EBE6AB9" w14:textId="77777777" w:rsidR="00B93846" w:rsidRPr="00B93846" w:rsidRDefault="00B93846" w:rsidP="00B93846">
      <w:pPr>
        <w:spacing w:after="0" w:line="240" w:lineRule="auto"/>
        <w:rPr>
          <w:rFonts w:ascii="Verdana" w:eastAsia="Calibri" w:hAnsi="Verdana" w:cs="Arial"/>
          <w:b/>
          <w:bCs/>
          <w:lang w:val="es-ES_tradnl"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93846" w:rsidRPr="00B93846" w14:paraId="1F48C45C" w14:textId="77777777" w:rsidTr="00940CA1">
        <w:tc>
          <w:tcPr>
            <w:tcW w:w="2689" w:type="dxa"/>
          </w:tcPr>
          <w:p w14:paraId="0A10F20F" w14:textId="77777777" w:rsidR="00B93846" w:rsidRPr="00B93846" w:rsidRDefault="00B93846" w:rsidP="00B93846">
            <w:pPr>
              <w:spacing w:line="240" w:lineRule="auto"/>
              <w:jc w:val="both"/>
              <w:rPr>
                <w:rFonts w:ascii="Verdana" w:eastAsia="Calibri" w:hAnsi="Verdana" w:cs="Arial"/>
                <w:b/>
                <w:lang w:val="es-ES_tradnl" w:eastAsia="es-ES_tradnl"/>
              </w:rPr>
            </w:pPr>
            <w:r w:rsidRPr="00B93846">
              <w:rPr>
                <w:rFonts w:ascii="Verdana" w:eastAsia="Calibri" w:hAnsi="Verdana" w:cs="Arial"/>
                <w:b/>
                <w:lang w:val="es-ES_tradnl" w:eastAsia="es-ES_tradnl"/>
              </w:rPr>
              <w:t>Radicación:</w:t>
            </w:r>
            <w:r w:rsidRPr="00B93846">
              <w:rPr>
                <w:rFonts w:ascii="Verdana" w:eastAsia="Calibri" w:hAnsi="Verdana" w:cs="Arial"/>
                <w:lang w:val="es-ES_tradnl" w:eastAsia="es-ES_tradnl"/>
              </w:rPr>
              <w:t xml:space="preserve">               </w:t>
            </w:r>
          </w:p>
        </w:tc>
        <w:tc>
          <w:tcPr>
            <w:tcW w:w="6100" w:type="dxa"/>
          </w:tcPr>
          <w:p w14:paraId="4722DB6D" w14:textId="77777777" w:rsidR="00B93846" w:rsidRPr="00B93846" w:rsidRDefault="00B93846" w:rsidP="00B93846">
            <w:pPr>
              <w:spacing w:line="240" w:lineRule="auto"/>
              <w:jc w:val="both"/>
              <w:rPr>
                <w:rFonts w:ascii="Verdana" w:eastAsia="Calibri" w:hAnsi="Verdana" w:cs="Arial"/>
                <w:lang w:val="es-ES_tradnl" w:eastAsia="es-ES_tradnl"/>
              </w:rPr>
            </w:pPr>
            <w:r w:rsidRPr="00B93846">
              <w:rPr>
                <w:rFonts w:ascii="Verdana" w:eastAsia="Calibri" w:hAnsi="Verdana" w:cs="Arial"/>
                <w:lang w:val="es-ES_tradnl" w:eastAsia="es-ES_tradnl"/>
              </w:rPr>
              <w:t>Respuesta a consulta con radicado No. 1_2026_03_09_003241</w:t>
            </w:r>
          </w:p>
        </w:tc>
      </w:tr>
    </w:tbl>
    <w:p w14:paraId="45A1B624" w14:textId="77777777" w:rsidR="00B93846" w:rsidRPr="00B93846" w:rsidRDefault="00B93846" w:rsidP="00B93846">
      <w:pPr>
        <w:spacing w:after="0" w:line="240" w:lineRule="auto"/>
        <w:jc w:val="both"/>
        <w:rPr>
          <w:rFonts w:ascii="Verdana" w:eastAsia="Calibri" w:hAnsi="Verdana" w:cs="Arial"/>
          <w:lang w:val="es-ES_tradnl" w:eastAsia="es-ES_tradnl"/>
        </w:rPr>
      </w:pPr>
    </w:p>
    <w:p w14:paraId="67D5702C" w14:textId="77777777" w:rsidR="00B93846" w:rsidRPr="00B93846" w:rsidRDefault="00B93846" w:rsidP="00B93846">
      <w:pPr>
        <w:spacing w:after="0" w:line="240" w:lineRule="auto"/>
        <w:jc w:val="both"/>
        <w:rPr>
          <w:rFonts w:ascii="Verdana" w:eastAsia="Calibri" w:hAnsi="Verdana" w:cs="Arial"/>
          <w:lang w:val="es-ES_tradnl" w:eastAsia="es-ES_tradnl"/>
        </w:rPr>
      </w:pPr>
    </w:p>
    <w:p w14:paraId="023D33CF" w14:textId="77777777" w:rsidR="00B93846" w:rsidRPr="00B93846" w:rsidRDefault="00B93846" w:rsidP="00B93846">
      <w:pPr>
        <w:spacing w:after="0" w:line="276" w:lineRule="auto"/>
        <w:jc w:val="both"/>
        <w:rPr>
          <w:rFonts w:ascii="Verdana" w:eastAsia="Calibri" w:hAnsi="Verdana" w:cs="Arial"/>
          <w:lang w:val="es-ES" w:eastAsia="es-ES"/>
        </w:rPr>
      </w:pPr>
      <w:r w:rsidRPr="00B93846">
        <w:rPr>
          <w:rFonts w:ascii="Verdana" w:eastAsia="Calibri" w:hAnsi="Verdana" w:cs="Arial"/>
          <w:lang w:val="es-ES" w:eastAsia="es-ES"/>
        </w:rPr>
        <w:t xml:space="preserve">Estimada Señora Oidor: </w:t>
      </w:r>
    </w:p>
    <w:p w14:paraId="00F94E4A" w14:textId="77777777" w:rsidR="00B93846" w:rsidRPr="00B93846" w:rsidRDefault="00B93846" w:rsidP="00B93846">
      <w:pPr>
        <w:tabs>
          <w:tab w:val="left" w:pos="3768"/>
        </w:tabs>
        <w:spacing w:after="0" w:line="276" w:lineRule="auto"/>
        <w:jc w:val="both"/>
        <w:rPr>
          <w:rFonts w:ascii="Verdana" w:eastAsia="Calibri" w:hAnsi="Verdana" w:cs="Arial"/>
          <w:lang w:val="es-ES" w:eastAsia="es-ES"/>
        </w:rPr>
      </w:pPr>
    </w:p>
    <w:p w14:paraId="773D284D" w14:textId="77777777" w:rsidR="00B93846" w:rsidRPr="00B93846" w:rsidRDefault="00B93846" w:rsidP="00B93846">
      <w:pPr>
        <w:spacing w:after="0" w:line="276" w:lineRule="auto"/>
        <w:jc w:val="both"/>
        <w:rPr>
          <w:rFonts w:ascii="Verdana" w:eastAsia="Calibri" w:hAnsi="Verdana" w:cs="Arial"/>
          <w:lang w:val="es-ES" w:eastAsia="es-ES"/>
        </w:rPr>
      </w:pPr>
      <w:r w:rsidRPr="00B93846">
        <w:rPr>
          <w:rFonts w:ascii="Verdana" w:eastAsia="Calibri" w:hAnsi="Verdana" w:cs="Arial"/>
          <w:lang w:val="es-ES" w:eastAsia="es-ES"/>
        </w:rPr>
        <w:t>En ejercicio de la competencia otorgada por los artículos 3, numeral 5º, y 11, numeral 8º, del Decreto Ley 4170 de 2011,</w:t>
      </w:r>
      <w:r w:rsidRPr="00B93846">
        <w:rPr>
          <w:rFonts w:ascii="Verdana" w:eastAsia="Arial MT" w:hAnsi="Verdana" w:cs="Arial MT"/>
          <w:lang w:val="es-ES" w:eastAsia="es-ES"/>
        </w:rPr>
        <w:t xml:space="preserve"> </w:t>
      </w:r>
      <w:r w:rsidRPr="00B93846">
        <w:rPr>
          <w:rFonts w:ascii="Verdana" w:eastAsia="Aptos" w:hAnsi="Verdana" w:cs="Arial"/>
          <w:lang w:eastAsia="es-ES_tradnl"/>
        </w:rPr>
        <w:t xml:space="preserve">así como lo establecido en el artículo 4 de la Resolución 1707 de 2018 expedida por esta Entidad, </w:t>
      </w:r>
      <w:r w:rsidRPr="00B93846">
        <w:rPr>
          <w:rFonts w:ascii="Verdana" w:eastAsia="Calibri" w:hAnsi="Verdana" w:cs="Arial"/>
          <w:lang w:val="es-ES" w:eastAsia="es-ES"/>
        </w:rPr>
        <w:t xml:space="preserve">la Agencia Nacional de Contratación Pública – Colombia Compra Eficiente– responde su petición del 09 de marzo de 2026, en la que realiza la siguiente consulta: </w:t>
      </w:r>
    </w:p>
    <w:p w14:paraId="00400463" w14:textId="77777777" w:rsidR="00B93846" w:rsidRPr="00B93846" w:rsidRDefault="00B93846" w:rsidP="00B93846">
      <w:pPr>
        <w:spacing w:after="0" w:line="276" w:lineRule="auto"/>
        <w:jc w:val="both"/>
        <w:rPr>
          <w:rFonts w:ascii="Verdana" w:eastAsia="Calibri" w:hAnsi="Verdana" w:cs="Arial"/>
          <w:lang w:val="es-ES" w:eastAsia="es-ES"/>
        </w:rPr>
      </w:pPr>
    </w:p>
    <w:p w14:paraId="32F4F859" w14:textId="77777777" w:rsidR="00B93846" w:rsidRPr="00B93846" w:rsidRDefault="00B93846" w:rsidP="00B93846">
      <w:pPr>
        <w:spacing w:after="0" w:line="240" w:lineRule="auto"/>
        <w:ind w:left="709" w:right="709"/>
        <w:jc w:val="both"/>
        <w:rPr>
          <w:rFonts w:ascii="Verdana" w:eastAsia="Calibri" w:hAnsi="Verdana" w:cs="Arial"/>
          <w:sz w:val="20"/>
          <w:szCs w:val="20"/>
          <w:lang w:val="es-MX" w:eastAsia="es-ES_tradnl"/>
        </w:rPr>
      </w:pPr>
      <w:r w:rsidRPr="00B93846">
        <w:rPr>
          <w:rFonts w:ascii="Verdana" w:eastAsia="Calibri" w:hAnsi="Verdana" w:cs="Arial"/>
          <w:sz w:val="20"/>
          <w:szCs w:val="20"/>
          <w:lang w:val="es-MX" w:eastAsia="es-ES_tradnl"/>
        </w:rPr>
        <w:t xml:space="preserve">“La Fiscalía General de la Nación o sus entidades adscritas –como el Instituto Nacional de Medicina Legal y Ciencias Forenses pueden celebrar </w:t>
      </w:r>
      <w:r w:rsidRPr="00B93846">
        <w:rPr>
          <w:rFonts w:ascii="Verdana" w:eastAsia="Calibri" w:hAnsi="Verdana" w:cs="Arial"/>
          <w:sz w:val="20"/>
          <w:szCs w:val="20"/>
          <w:lang w:val="es-MX" w:eastAsia="es-ES_tradnl"/>
        </w:rPr>
        <w:lastRenderedPageBreak/>
        <w:t xml:space="preserve">convenios de cooperación académica sin erogación presupuestal, destinados a coordinar y promover prácticas de docencia con universidades públicas o privadas (con fundamento en el numeral 10 del artículo 36 de la Ley 938 de 2004), durante el periodo de restricciones previsto en el artículo 33 de la Ley 996 de 2005, o estos convenios se encuentran prohibidos por tratarse de una contratación directa con las Instituciones de Educación Superior, estarían sujetos a la prohibición electoral?”[sic] </w:t>
      </w:r>
    </w:p>
    <w:p w14:paraId="7AE83284" w14:textId="77777777" w:rsidR="00B93846" w:rsidRPr="00B93846" w:rsidRDefault="00B93846" w:rsidP="00B93846">
      <w:pPr>
        <w:spacing w:after="0" w:line="276" w:lineRule="auto"/>
        <w:jc w:val="both"/>
        <w:rPr>
          <w:rFonts w:ascii="Verdana" w:eastAsia="Calibri" w:hAnsi="Verdana" w:cs="Arial"/>
          <w:lang w:val="es-ES" w:eastAsia="es-ES"/>
        </w:rPr>
      </w:pPr>
    </w:p>
    <w:p w14:paraId="38E6E56B" w14:textId="77777777" w:rsidR="00B93846" w:rsidRPr="00B93846" w:rsidRDefault="00B93846" w:rsidP="00B93846">
      <w:pPr>
        <w:spacing w:after="120" w:line="276" w:lineRule="auto"/>
        <w:jc w:val="both"/>
        <w:rPr>
          <w:rFonts w:ascii="Verdana" w:eastAsia="Calibri" w:hAnsi="Verdana" w:cs="Arial"/>
          <w:lang w:val="es-ES_tradnl" w:eastAsia="es-ES_tradnl"/>
        </w:rPr>
      </w:pPr>
      <w:r w:rsidRPr="00B9384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CFC1044" w14:textId="77777777" w:rsidR="00B93846" w:rsidRPr="00B93846" w:rsidRDefault="00B93846" w:rsidP="00B93846">
      <w:pPr>
        <w:spacing w:after="0" w:line="276" w:lineRule="auto"/>
        <w:ind w:firstLine="709"/>
        <w:jc w:val="both"/>
        <w:rPr>
          <w:rFonts w:ascii="Verdana" w:eastAsia="Calibri" w:hAnsi="Verdana" w:cs="Arial"/>
          <w:lang w:val="es-ES" w:eastAsia="es-ES"/>
        </w:rPr>
      </w:pPr>
      <w:r w:rsidRPr="00B9384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 </w:t>
      </w:r>
    </w:p>
    <w:p w14:paraId="3D08C4BD" w14:textId="77777777" w:rsidR="00B93846" w:rsidRPr="00B93846" w:rsidRDefault="00B93846" w:rsidP="00B93846">
      <w:pPr>
        <w:spacing w:after="0" w:line="276" w:lineRule="auto"/>
        <w:ind w:firstLine="709"/>
        <w:jc w:val="both"/>
        <w:rPr>
          <w:rFonts w:ascii="Verdana" w:eastAsia="Calibri" w:hAnsi="Verdana" w:cs="Arial"/>
          <w:lang w:val="es-ES" w:eastAsia="es-ES"/>
        </w:rPr>
      </w:pPr>
    </w:p>
    <w:p w14:paraId="14705DCE" w14:textId="77777777" w:rsidR="00B93846" w:rsidRPr="00B93846" w:rsidRDefault="00B93846" w:rsidP="00B93846">
      <w:pPr>
        <w:widowControl w:val="0"/>
        <w:autoSpaceDE w:val="0"/>
        <w:autoSpaceDN w:val="0"/>
        <w:spacing w:before="1" w:after="0" w:line="276" w:lineRule="auto"/>
        <w:ind w:left="360" w:hanging="360"/>
        <w:jc w:val="both"/>
        <w:outlineLvl w:val="0"/>
        <w:rPr>
          <w:rFonts w:ascii="Verdana" w:eastAsia="Arial" w:hAnsi="Verdana" w:cs="Arial"/>
          <w:b/>
          <w:bCs/>
          <w:lang w:val="es-ES" w:eastAsia="es-ES_tradnl"/>
        </w:rPr>
      </w:pPr>
      <w:r w:rsidRPr="00B93846">
        <w:rPr>
          <w:rFonts w:ascii="Verdana" w:eastAsia="Arial" w:hAnsi="Verdana" w:cs="Arial"/>
          <w:b/>
          <w:bCs/>
          <w:lang w:val="es-ES" w:eastAsia="es-ES_tradnl"/>
        </w:rPr>
        <w:t>1. Problema planteado:</w:t>
      </w:r>
    </w:p>
    <w:p w14:paraId="35CB64D4" w14:textId="77777777" w:rsidR="00B93846" w:rsidRPr="00B93846" w:rsidRDefault="00B93846" w:rsidP="00B93846">
      <w:pPr>
        <w:tabs>
          <w:tab w:val="left" w:pos="426"/>
        </w:tabs>
        <w:spacing w:after="0" w:line="276" w:lineRule="auto"/>
        <w:jc w:val="both"/>
        <w:rPr>
          <w:rFonts w:ascii="Verdana" w:eastAsia="Century Gothic" w:hAnsi="Verdana" w:cs="Century Gothic"/>
          <w:lang w:val="es-ES" w:eastAsia="es-ES_tradnl"/>
        </w:rPr>
      </w:pPr>
    </w:p>
    <w:p w14:paraId="56E7ED4F" w14:textId="77777777" w:rsidR="00B93846" w:rsidRPr="00B93846" w:rsidRDefault="00B93846" w:rsidP="00B93846">
      <w:pPr>
        <w:spacing w:after="0" w:line="276" w:lineRule="auto"/>
        <w:jc w:val="both"/>
        <w:rPr>
          <w:rFonts w:ascii="Verdana" w:eastAsia="Century Gothic" w:hAnsi="Verdana" w:cs="Century Gothic"/>
          <w:lang w:eastAsia="es-ES_tradnl"/>
        </w:rPr>
      </w:pPr>
      <w:r w:rsidRPr="00B93846">
        <w:rPr>
          <w:rFonts w:ascii="Verdana" w:eastAsia="Century Gothic" w:hAnsi="Verdana" w:cs="Century Gothic"/>
          <w:lang w:eastAsia="es-ES_tradnl"/>
        </w:rPr>
        <w:t xml:space="preserve">De acuerdo con el contenido de su solicitud, le informamos que la misma se resolverá desde el siguiente </w:t>
      </w:r>
      <w:bookmarkStart w:id="1" w:name="_Hlk171070029"/>
      <w:r w:rsidRPr="00B93846">
        <w:rPr>
          <w:rFonts w:ascii="Verdana" w:eastAsia="Century Gothic" w:hAnsi="Verdana" w:cs="Century Gothic"/>
          <w:lang w:eastAsia="es-ES_tradnl"/>
        </w:rPr>
        <w:t xml:space="preserve">interrogante: ¿Las Entidades Estatales pueden celebrar convenios de cooperación académica sin erogación presupuestal </w:t>
      </w:r>
      <w:r w:rsidRPr="00B93846">
        <w:rPr>
          <w:rFonts w:ascii="Verdana" w:eastAsia="Century Gothic" w:hAnsi="Verdana" w:cs="Century Gothic"/>
          <w:lang w:eastAsia="es-ES_tradnl"/>
        </w:rPr>
        <w:lastRenderedPageBreak/>
        <w:t>durante el periodo en el que aplican las restricciones de la Ley 996 de 2005, o dichos convenios se encuentran prohibidos?</w:t>
      </w:r>
    </w:p>
    <w:p w14:paraId="1A87D6CE" w14:textId="77777777" w:rsidR="00B93846" w:rsidRPr="00B93846" w:rsidRDefault="00B93846" w:rsidP="00B93846">
      <w:pPr>
        <w:spacing w:after="0" w:line="276" w:lineRule="auto"/>
        <w:jc w:val="both"/>
        <w:rPr>
          <w:rFonts w:ascii="Verdana" w:eastAsia="Calibri" w:hAnsi="Verdana" w:cs="Arial"/>
          <w:lang w:val="es-ES" w:eastAsia="es-ES_tradnl"/>
        </w:rPr>
      </w:pPr>
    </w:p>
    <w:bookmarkEnd w:id="1"/>
    <w:p w14:paraId="68484DE9" w14:textId="77777777" w:rsidR="00B93846" w:rsidRPr="00B93846" w:rsidRDefault="00B93846" w:rsidP="00B93846">
      <w:pPr>
        <w:widowControl w:val="0"/>
        <w:autoSpaceDE w:val="0"/>
        <w:autoSpaceDN w:val="0"/>
        <w:spacing w:before="1" w:after="0" w:line="276" w:lineRule="auto"/>
        <w:jc w:val="both"/>
        <w:outlineLvl w:val="0"/>
        <w:rPr>
          <w:rFonts w:ascii="Verdana" w:eastAsia="Arial" w:hAnsi="Verdana" w:cs="Arial"/>
          <w:b/>
          <w:bCs/>
          <w:lang w:val="es-ES" w:eastAsia="es-ES_tradnl"/>
        </w:rPr>
      </w:pPr>
      <w:r w:rsidRPr="00B93846">
        <w:rPr>
          <w:rFonts w:ascii="Verdana" w:eastAsia="Arial" w:hAnsi="Verdana" w:cs="Arial"/>
          <w:b/>
          <w:bCs/>
          <w:lang w:val="es-ES" w:eastAsia="es-ES_tradnl"/>
        </w:rPr>
        <w:t>2. Respuesta:</w:t>
      </w:r>
    </w:p>
    <w:p w14:paraId="38E1E2E0" w14:textId="77777777" w:rsidR="00B93846" w:rsidRPr="00B93846" w:rsidRDefault="00B93846" w:rsidP="00B93846">
      <w:pPr>
        <w:spacing w:after="0" w:line="276" w:lineRule="auto"/>
        <w:jc w:val="both"/>
        <w:rPr>
          <w:rFonts w:ascii="Verdana" w:eastAsia="Aptos" w:hAnsi="Verdana" w:cs="Times New Roman"/>
          <w:lang w:eastAsia="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93846" w:rsidRPr="00B93846" w14:paraId="06CD34C4" w14:textId="77777777" w:rsidTr="00940CA1">
        <w:tc>
          <w:tcPr>
            <w:tcW w:w="8828" w:type="dxa"/>
          </w:tcPr>
          <w:p w14:paraId="4CC96F2F" w14:textId="77777777" w:rsidR="00B93846" w:rsidRPr="00B93846" w:rsidRDefault="00B93846" w:rsidP="00B93846">
            <w:pPr>
              <w:spacing w:after="120" w:line="276" w:lineRule="auto"/>
              <w:jc w:val="both"/>
              <w:rPr>
                <w:rFonts w:ascii="Verdana" w:eastAsia="Arial" w:hAnsi="Verdana" w:cs="Arial"/>
                <w:lang w:eastAsia="es-ES" w:bidi="es-ES"/>
              </w:rPr>
            </w:pPr>
            <w:bookmarkStart w:id="2" w:name="_Hlk171067516"/>
            <w:r w:rsidRPr="00B93846">
              <w:rPr>
                <w:rFonts w:ascii="Verdana" w:eastAsia="Arial" w:hAnsi="Verdana" w:cs="Arial"/>
                <w:lang w:eastAsia="es-ES" w:bidi="es-ES"/>
              </w:rPr>
              <w:t xml:space="preserve">De manera preliminar, con el fin de dar respuesta al problema jurídico planteado, debe precisarse que las restricciones contractuales de la Ley de Garantías Electorales –Ley 996 de 2005– se dirigen a dos (2) tipos de campañas electorales diferenciadas: </w:t>
            </w:r>
          </w:p>
          <w:p w14:paraId="66BB46AC" w14:textId="77777777" w:rsidR="00B93846" w:rsidRPr="00B93846" w:rsidRDefault="00B93846" w:rsidP="00B93846">
            <w:pPr>
              <w:spacing w:after="120" w:line="276" w:lineRule="auto"/>
              <w:ind w:firstLine="709"/>
              <w:jc w:val="both"/>
              <w:rPr>
                <w:rFonts w:ascii="Verdana" w:eastAsia="Arial" w:hAnsi="Verdana" w:cs="Arial"/>
                <w:lang w:eastAsia="es-ES" w:bidi="es-ES"/>
              </w:rPr>
            </w:pPr>
            <w:r w:rsidRPr="00B93846">
              <w:rPr>
                <w:rFonts w:ascii="Verdana" w:eastAsia="Arial" w:hAnsi="Verdana" w:cs="Arial"/>
                <w:lang w:eastAsia="es-ES" w:bidi="es-ES"/>
              </w:rPr>
              <w:t xml:space="preserve">i) La del artículo 33 que aplica solo respecto de las elecciones presidenciales, en virtud de la cual queda proscrita la contratación directa dentro de los cuatro (4) meses anteriores a la celebración de los comicios, salvo las excepciones aplicables.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p>
          <w:p w14:paraId="39932434" w14:textId="77777777" w:rsidR="00B93846" w:rsidRPr="00B93846" w:rsidRDefault="00B93846" w:rsidP="00B93846">
            <w:pPr>
              <w:spacing w:after="120" w:line="276" w:lineRule="auto"/>
              <w:ind w:firstLine="709"/>
              <w:jc w:val="both"/>
              <w:rPr>
                <w:rFonts w:ascii="Verdana" w:eastAsia="Arial" w:hAnsi="Verdana" w:cs="Arial"/>
                <w:lang w:eastAsia="es-ES" w:bidi="es-ES"/>
              </w:rPr>
            </w:pPr>
            <w:proofErr w:type="spellStart"/>
            <w:r w:rsidRPr="00B93846">
              <w:rPr>
                <w:rFonts w:ascii="Verdana" w:eastAsia="Arial" w:hAnsi="Verdana" w:cs="Arial"/>
                <w:lang w:eastAsia="es-ES" w:bidi="es-ES"/>
              </w:rPr>
              <w:t>ii</w:t>
            </w:r>
            <w:proofErr w:type="spellEnd"/>
            <w:r w:rsidRPr="00B93846">
              <w:rPr>
                <w:rFonts w:ascii="Verdana" w:eastAsia="Arial" w:hAnsi="Verdana" w:cs="Arial"/>
                <w:lang w:eastAsia="es-ES" w:bidi="es-ES"/>
              </w:rPr>
              <w:t>) También se encuentra la prohibición del parágrafo del artículo 38 de la referida Ley,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5CE0B20F" w14:textId="77777777" w:rsidR="00B93846" w:rsidRPr="00B93846" w:rsidRDefault="00B93846" w:rsidP="00B93846">
            <w:pPr>
              <w:spacing w:after="120" w:line="276" w:lineRule="auto"/>
              <w:ind w:firstLine="709"/>
              <w:jc w:val="both"/>
              <w:rPr>
                <w:rFonts w:ascii="Verdana" w:eastAsia="Arial" w:hAnsi="Verdana" w:cs="Arial"/>
                <w:lang w:eastAsia="es-ES" w:bidi="es-ES"/>
              </w:rPr>
            </w:pPr>
            <w:r w:rsidRPr="00B93846">
              <w:rPr>
                <w:rFonts w:ascii="Verdana" w:eastAsia="Arial" w:hAnsi="Verdana" w:cs="Arial"/>
                <w:lang w:eastAsia="es-ES" w:bidi="es-ES"/>
              </w:rPr>
              <w:t>Ambas restricciones no son excluyentes, lo que permite concluir que, en el período preelectoral para elección de Presidente de la República, aplican las restricciones del artículo 33 con sus excepciones, así como las del parágrafo del artículo 38, a todos los entes del Estado. En cambio, tratándose de elecciones en general, excluyendo las correspondientes al Presidente de la República, las autoridades allí mencionadas sólo deben aplicar las restricciones contenidas en el parágrafo del artículo 38.</w:t>
            </w:r>
          </w:p>
          <w:p w14:paraId="331BDB1E" w14:textId="77777777" w:rsidR="00B93846" w:rsidRPr="00B93846" w:rsidRDefault="00B93846" w:rsidP="00B93846">
            <w:pPr>
              <w:spacing w:after="120" w:line="276" w:lineRule="auto"/>
              <w:ind w:firstLine="709"/>
              <w:jc w:val="both"/>
              <w:rPr>
                <w:rFonts w:ascii="Verdana" w:eastAsia="Century Gothic" w:hAnsi="Verdana" w:cs="Century Gothic"/>
                <w:lang w:val="es-ES" w:eastAsia="es-ES_tradnl"/>
              </w:rPr>
            </w:pPr>
            <w:r w:rsidRPr="00B93846">
              <w:rPr>
                <w:rFonts w:ascii="Verdana" w:eastAsia="Century Gothic" w:hAnsi="Verdana" w:cs="Century Gothic"/>
                <w:lang w:val="es-ES" w:eastAsia="es-ES_tradnl"/>
              </w:rPr>
              <w:lastRenderedPageBreak/>
              <w:t xml:space="preserve">De lo anterior se desprende que, la restricción del artículo 33 </w:t>
            </w:r>
            <w:proofErr w:type="spellStart"/>
            <w:r w:rsidRPr="00B93846">
              <w:rPr>
                <w:rFonts w:ascii="Verdana" w:eastAsia="Century Gothic" w:hAnsi="Verdana" w:cs="Century Gothic"/>
                <w:lang w:val="es-ES" w:eastAsia="es-ES_tradnl"/>
              </w:rPr>
              <w:t>ibídem</w:t>
            </w:r>
            <w:proofErr w:type="spellEnd"/>
            <w:r w:rsidRPr="00B93846">
              <w:rPr>
                <w:rFonts w:ascii="Verdana" w:eastAsia="Century Gothic" w:hAnsi="Verdana" w:cs="Century Gothic"/>
                <w:lang w:val="es-ES" w:eastAsia="es-ES_tradnl"/>
              </w:rPr>
              <w:t xml:space="preserve"> aplica, sin perjuicio de las excepciones establecidas en la misma Ley, para celebrar cualquier contrato de forma directa, esto es, sin que exista un proceso abierto y competitivo. De esta manera, si los convenios de cooperación académica, a los que se refiere en su consulta, se celebran de forma directa, no podrán perfeccionarse en vigencia de las restricciones de la Ley de Garantías Electorales. Contrario sensu, podrán contratarse este tipo de convenios bajo sistemas abiertos y competitivos, como las demás modalidades de selección previstas en la Ley 1150 de 2007, es decir, la licitación pública, el concurso de méritos, la selección abreviada y la mínima cuantía o aquellas modalidades dispuestas en normas especiales desde que sean abiertos y permitan la pluralidad de oferentes. </w:t>
            </w:r>
          </w:p>
          <w:p w14:paraId="4EB1D66E" w14:textId="77777777" w:rsidR="00B93846" w:rsidRPr="00B93846" w:rsidRDefault="00B93846" w:rsidP="00B93846">
            <w:pPr>
              <w:spacing w:after="120" w:line="276" w:lineRule="auto"/>
              <w:ind w:firstLine="709"/>
              <w:jc w:val="both"/>
              <w:rPr>
                <w:rFonts w:ascii="Verdana" w:eastAsia="Times New Roman" w:hAnsi="Verdana" w:cs="Arial"/>
                <w:bCs/>
                <w:lang w:val="es-MX" w:eastAsia="x-none"/>
              </w:rPr>
            </w:pPr>
            <w:r w:rsidRPr="00B93846">
              <w:rPr>
                <w:rFonts w:ascii="Verdana" w:eastAsia="Century Gothic" w:hAnsi="Verdana" w:cs="Century Gothic"/>
                <w:lang w:val="es-ES" w:eastAsia="es-ES_tradnl"/>
              </w:rPr>
              <w:t xml:space="preserve">Ahora bien, si se trata de un convenio entre dos Entidades Públicas,  </w:t>
            </w:r>
            <w:r w:rsidRPr="00B93846">
              <w:rPr>
                <w:rFonts w:ascii="Verdana" w:eastAsia="Times New Roman" w:hAnsi="Verdana" w:cs="Arial"/>
                <w:bCs/>
                <w:lang w:val="es-MX" w:eastAsia="x-none"/>
              </w:rPr>
              <w:t>debe precisarse que, aunque se ha sostenido que el artículo 38 de la Ley 996 de 2005 únicamente prohíbe a los Alcaldes, Gobernadores, Secretarios, Gerentes y Directores de las entidades del orden municipal, departamental o distrital celebrar convenios interadministrativos que impliquen la ejecución de recursos públicos – lo cual excluiría, en principio, aquellos que no generan erogación presupuestal –, lo cierto es que la interpretación del artículo 33 de la misma ley, tanto en la jurisprudencia del Consejo de Estado como en la doctrina oficial de la Agencia Nacional de Contratación Pública - Colombia Compra Eficiente, ha sido consistente en señalar que, durante los cuatro (4) meses previos a las elecciones presidenciales, las Entidades Estatales tienen restringida la posibilidad de celebrar contratos bajo la modalidad de contratación directa, lo que incluye los convenios interadministrativos, así como los demás convenios distintos a los interadministrativos, que no se celebren de forma competitiva. Esta prohibición busca garantizar la transparencia y evitar que la contratación pública se convierta en un instrumento de influencia política en tiempos electorales.</w:t>
            </w:r>
          </w:p>
          <w:p w14:paraId="177C0D36" w14:textId="77777777" w:rsidR="00B93846" w:rsidRPr="00B93846" w:rsidRDefault="00B93846" w:rsidP="00B93846">
            <w:pPr>
              <w:spacing w:after="120" w:line="276" w:lineRule="auto"/>
              <w:ind w:firstLine="709"/>
              <w:jc w:val="both"/>
              <w:rPr>
                <w:rFonts w:ascii="Verdana" w:eastAsia="Times New Roman" w:hAnsi="Verdana" w:cs="Arial"/>
                <w:bCs/>
                <w:lang w:val="es-MX" w:eastAsia="x-none" w:bidi="es-ES"/>
              </w:rPr>
            </w:pPr>
            <w:r w:rsidRPr="00B93846">
              <w:rPr>
                <w:rFonts w:ascii="Verdana" w:eastAsia="Times New Roman" w:hAnsi="Verdana" w:cs="Arial"/>
                <w:bCs/>
                <w:lang w:val="es-MX" w:eastAsia="x-none"/>
              </w:rPr>
              <w:t xml:space="preserve">En este sentido, todos los entes del Estado, independiente del orden al que pertenezcan o el régimen jurídico aplicable, están sujetos a la restricción </w:t>
            </w:r>
            <w:r w:rsidRPr="00B93846">
              <w:rPr>
                <w:rFonts w:ascii="Verdana" w:eastAsia="Times New Roman" w:hAnsi="Verdana" w:cs="Arial"/>
                <w:bCs/>
                <w:lang w:val="es-MX" w:eastAsia="x-none"/>
              </w:rPr>
              <w:lastRenderedPageBreak/>
              <w:t xml:space="preserve">del artículo 33 de la Ley 996 de 2005, es decir, no podrán adelantar convenios – independientemente su </w:t>
            </w:r>
            <w:proofErr w:type="spellStart"/>
            <w:r w:rsidRPr="00B93846">
              <w:rPr>
                <w:rFonts w:ascii="Verdana" w:eastAsia="Times New Roman" w:hAnsi="Verdana" w:cs="Arial"/>
                <w:bCs/>
                <w:lang w:val="es-MX" w:eastAsia="x-none"/>
              </w:rPr>
              <w:t>tipologia</w:t>
            </w:r>
            <w:proofErr w:type="spellEnd"/>
            <w:r w:rsidRPr="00B93846">
              <w:rPr>
                <w:rFonts w:ascii="Verdana" w:eastAsia="Times New Roman" w:hAnsi="Verdana" w:cs="Arial"/>
                <w:bCs/>
                <w:lang w:val="es-MX" w:eastAsia="x-none"/>
              </w:rPr>
              <w:t xml:space="preserve"> – bajo un sistema que implique contratación directa respecto de </w:t>
            </w:r>
            <w:r w:rsidRPr="00B93846">
              <w:rPr>
                <w:rFonts w:ascii="Verdana" w:eastAsia="Times New Roman" w:hAnsi="Verdana" w:cs="Arial"/>
                <w:bCs/>
                <w:lang w:val="es-MX" w:eastAsia="x-none" w:bidi="es-ES"/>
              </w:rPr>
              <w:t xml:space="preserve">las elecciones presidenciales, dentro de los cuatro (4) meses anteriores a la celebración de los comicios, salvo las excepciones dispuestas en esta. </w:t>
            </w:r>
          </w:p>
          <w:p w14:paraId="0D137C87" w14:textId="77777777" w:rsidR="00B93846" w:rsidRPr="00B93846" w:rsidRDefault="00B93846" w:rsidP="00B93846">
            <w:pPr>
              <w:spacing w:after="120" w:line="276" w:lineRule="auto"/>
              <w:ind w:firstLine="709"/>
              <w:jc w:val="both"/>
              <w:rPr>
                <w:rFonts w:ascii="Verdana" w:eastAsia="Times New Roman" w:hAnsi="Verdana" w:cs="Arial"/>
                <w:bCs/>
                <w:lang w:val="es-MX" w:eastAsia="x-none" w:bidi="es-ES"/>
              </w:rPr>
            </w:pPr>
            <w:r w:rsidRPr="00B93846">
              <w:rPr>
                <w:rFonts w:ascii="Verdana" w:eastAsia="Times New Roman" w:hAnsi="Verdana" w:cs="Arial"/>
                <w:bCs/>
                <w:lang w:val="es-MX" w:eastAsia="x-none"/>
              </w:rPr>
              <w:t>La prohibición de celebrar contratos de forma directa se extiende desde el 31 de enero de 2026, teniendo en cuenta que la Resolución 02580 del 5 de marzo de 2025 de la Registraduría Nacional del Estado Civil dispuso que las elecciones presidenciales se celebrarán el 31 de mayo de 2026.</w:t>
            </w:r>
            <w:r w:rsidRPr="00B93846">
              <w:rPr>
                <w:rFonts w:ascii="Verdana" w:eastAsia="Times New Roman" w:hAnsi="Verdana" w:cs="Arial"/>
                <w:bCs/>
                <w:lang w:val="es-MX" w:eastAsia="x-none" w:bidi="es-ES"/>
              </w:rPr>
              <w:t xml:space="preserve">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que, de acuerdo con lo expuesto, se celebraría el 21 de junio de 2026.</w:t>
            </w:r>
          </w:p>
          <w:p w14:paraId="3F9D0B74" w14:textId="77777777" w:rsidR="00B93846" w:rsidRPr="00B93846" w:rsidRDefault="00B93846" w:rsidP="00B93846">
            <w:pPr>
              <w:spacing w:after="120" w:line="276" w:lineRule="auto"/>
              <w:ind w:firstLine="709"/>
              <w:jc w:val="both"/>
              <w:rPr>
                <w:rFonts w:ascii="Verdana" w:eastAsia="Times New Roman" w:hAnsi="Verdana" w:cs="Arial"/>
                <w:bCs/>
                <w:lang w:val="es-MX" w:eastAsia="x-none"/>
              </w:rPr>
            </w:pPr>
            <w:r w:rsidRPr="00B93846">
              <w:rPr>
                <w:rFonts w:ascii="Verdana" w:eastAsia="Times New Roman" w:hAnsi="Verdana" w:cs="Arial"/>
                <w:bCs/>
                <w:lang w:val="es-MX" w:eastAsia="x-none"/>
              </w:rPr>
              <w:t xml:space="preserve">Bajo este contexto, es responsabilidad del respectivo ente del Estado, examinar en cada caso si el contrato que se pretende celebrar y la modalidad de selección se enmarcan en alguna de las mencionadas restricciones analizadas. </w:t>
            </w:r>
          </w:p>
        </w:tc>
      </w:tr>
      <w:bookmarkEnd w:id="2"/>
    </w:tbl>
    <w:p w14:paraId="096DEB98" w14:textId="77777777" w:rsidR="00B93846" w:rsidRPr="00B93846" w:rsidRDefault="00B93846" w:rsidP="00B93846">
      <w:pPr>
        <w:widowControl w:val="0"/>
        <w:autoSpaceDE w:val="0"/>
        <w:autoSpaceDN w:val="0"/>
        <w:spacing w:before="1" w:after="0" w:line="276" w:lineRule="auto"/>
        <w:ind w:left="360" w:hanging="360"/>
        <w:outlineLvl w:val="0"/>
        <w:rPr>
          <w:rFonts w:ascii="Verdana" w:eastAsia="Arial" w:hAnsi="Verdana" w:cs="Arial"/>
          <w:b/>
          <w:lang w:eastAsia="es-ES_tradnl"/>
        </w:rPr>
      </w:pPr>
    </w:p>
    <w:p w14:paraId="58F3D606" w14:textId="77777777" w:rsidR="00B93846" w:rsidRPr="00B93846" w:rsidRDefault="00B93846" w:rsidP="00B93846">
      <w:pPr>
        <w:widowControl w:val="0"/>
        <w:autoSpaceDE w:val="0"/>
        <w:autoSpaceDN w:val="0"/>
        <w:spacing w:before="1" w:after="0" w:line="276" w:lineRule="auto"/>
        <w:ind w:left="360" w:hanging="360"/>
        <w:outlineLvl w:val="0"/>
        <w:rPr>
          <w:rFonts w:ascii="Verdana" w:eastAsia="Arial" w:hAnsi="Verdana" w:cs="Arial"/>
          <w:b/>
          <w:bCs/>
          <w:lang w:val="es-ES" w:eastAsia="es-ES_tradnl"/>
        </w:rPr>
      </w:pPr>
      <w:r w:rsidRPr="00B93846">
        <w:rPr>
          <w:rFonts w:ascii="Verdana" w:eastAsia="Arial" w:hAnsi="Verdana" w:cs="Arial"/>
          <w:b/>
          <w:bCs/>
          <w:lang w:val="es-ES" w:eastAsia="es-ES_tradnl"/>
        </w:rPr>
        <w:t>3. Razones de la respuesta</w:t>
      </w:r>
    </w:p>
    <w:p w14:paraId="1D6679AD" w14:textId="77777777" w:rsidR="00B93846" w:rsidRPr="00B93846" w:rsidRDefault="00B93846" w:rsidP="00B93846">
      <w:pPr>
        <w:spacing w:after="0" w:line="276" w:lineRule="auto"/>
        <w:jc w:val="both"/>
        <w:rPr>
          <w:rFonts w:ascii="Verdana" w:eastAsia="Calibri" w:hAnsi="Verdana" w:cs="Arial"/>
          <w:lang w:val="es-ES" w:eastAsia="es-ES_tradnl"/>
        </w:rPr>
      </w:pPr>
    </w:p>
    <w:p w14:paraId="7F569EFC" w14:textId="77777777" w:rsidR="00B93846" w:rsidRPr="00B93846" w:rsidRDefault="00B93846" w:rsidP="00B93846">
      <w:pPr>
        <w:spacing w:after="0" w:line="276" w:lineRule="auto"/>
        <w:jc w:val="both"/>
        <w:rPr>
          <w:rFonts w:ascii="Verdana" w:eastAsia="Calibri" w:hAnsi="Verdana" w:cs="Arial"/>
          <w:lang w:val="es-ES" w:eastAsia="es-ES_tradnl"/>
        </w:rPr>
      </w:pPr>
      <w:r w:rsidRPr="00B93846">
        <w:rPr>
          <w:rFonts w:ascii="Verdana" w:eastAsia="Calibri" w:hAnsi="Verdana" w:cs="Arial"/>
          <w:lang w:val="es-ES" w:eastAsia="es-ES_tradnl"/>
        </w:rPr>
        <w:t xml:space="preserve">Las respuestas anteriores se sustentan en las siguientes consideraciones: </w:t>
      </w:r>
    </w:p>
    <w:p w14:paraId="391E3224" w14:textId="77777777" w:rsidR="00B93846" w:rsidRPr="00B93846" w:rsidRDefault="00B93846" w:rsidP="00B93846">
      <w:pPr>
        <w:spacing w:after="0" w:line="276" w:lineRule="auto"/>
        <w:jc w:val="both"/>
        <w:rPr>
          <w:rFonts w:ascii="Verdana" w:eastAsia="Calibri" w:hAnsi="Verdana" w:cs="Arial"/>
          <w:lang w:val="es-ES" w:eastAsia="es-ES_tradnl"/>
        </w:rPr>
      </w:pPr>
    </w:p>
    <w:p w14:paraId="56766E03" w14:textId="77777777" w:rsidR="00B93846" w:rsidRPr="00B93846" w:rsidRDefault="00B93846" w:rsidP="00B93846">
      <w:pPr>
        <w:spacing w:after="120" w:line="276" w:lineRule="auto"/>
        <w:jc w:val="both"/>
        <w:rPr>
          <w:rFonts w:ascii="Verdana" w:eastAsia="Century Gothic" w:hAnsi="Verdana" w:cs="Century Gothic"/>
          <w:bCs/>
          <w:lang w:val="es-ES_tradnl" w:eastAsia="es-ES_tradnl"/>
        </w:rPr>
      </w:pPr>
      <w:bookmarkStart w:id="3" w:name="_Hlk209416551"/>
      <w:r w:rsidRPr="00B93846">
        <w:rPr>
          <w:rFonts w:ascii="Verdana" w:eastAsia="Aptos" w:hAnsi="Verdana" w:cs="Arial"/>
          <w:bCs/>
          <w:lang w:val="es-ES_tradnl" w:eastAsia="es-ES" w:bidi="es-ES"/>
        </w:rPr>
        <w:t xml:space="preserve">i) </w:t>
      </w:r>
      <w:r w:rsidRPr="00B93846">
        <w:rPr>
          <w:rFonts w:ascii="Verdana" w:eastAsia="Century Gothic" w:hAnsi="Verdana" w:cs="Century Gothic"/>
          <w:bCs/>
          <w:lang w:val="es-ES_tradnl" w:eastAsia="es-ES_tradnl"/>
        </w:rPr>
        <w:t xml:space="preserve">El ordenamiento jurídico colombiano contempla diferentes medidas para evitar la obtención de beneficios personales en asuntos propios de la administración pública. Por ejemplo, el artículo 127 de la Constitución Política establece una prohibición contractual a los servidores públicos y, en cuanto a aspectos políticos, señala restricciones a ciertos empleados del Estado, incluso en época no electoral. </w:t>
      </w:r>
    </w:p>
    <w:p w14:paraId="18674840" w14:textId="77777777" w:rsidR="00B93846" w:rsidRPr="00B93846" w:rsidRDefault="00B93846" w:rsidP="00B93846">
      <w:pPr>
        <w:spacing w:after="120" w:line="276" w:lineRule="auto"/>
        <w:ind w:firstLine="708"/>
        <w:jc w:val="both"/>
        <w:rPr>
          <w:rFonts w:ascii="Verdana" w:eastAsia="Century Gothic" w:hAnsi="Verdana" w:cs="Century Gothic"/>
          <w:bCs/>
          <w:lang w:val="es-ES_tradnl" w:eastAsia="es-ES_tradnl"/>
        </w:rPr>
      </w:pPr>
      <w:r w:rsidRPr="00B93846">
        <w:rPr>
          <w:rFonts w:ascii="Verdana" w:eastAsia="Century Gothic" w:hAnsi="Verdana" w:cs="Century Gothic"/>
          <w:bCs/>
          <w:lang w:val="es-ES_tradnl" w:eastAsia="es-ES_tradnl"/>
        </w:rPr>
        <w:lastRenderedPageBreak/>
        <w:t xml:space="preserve">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 </w:t>
      </w:r>
    </w:p>
    <w:p w14:paraId="4D4B8CF3" w14:textId="77777777" w:rsidR="00B93846" w:rsidRPr="00B93846" w:rsidRDefault="00B93846" w:rsidP="00B93846">
      <w:pPr>
        <w:spacing w:after="0" w:line="276" w:lineRule="auto"/>
        <w:ind w:firstLine="708"/>
        <w:jc w:val="both"/>
        <w:rPr>
          <w:rFonts w:ascii="Verdana" w:eastAsia="Century Gothic" w:hAnsi="Verdana" w:cs="Century Gothic"/>
          <w:bCs/>
          <w:lang w:val="es-ES_tradnl" w:eastAsia="es-ES_tradnl"/>
        </w:rPr>
      </w:pPr>
      <w:r w:rsidRPr="00B93846">
        <w:rPr>
          <w:rFonts w:ascii="Verdana" w:eastAsia="Century Gothic" w:hAnsi="Verdana" w:cs="Century Gothic"/>
          <w:bCs/>
          <w:lang w:val="es-ES_tradnl" w:eastAsia="es-ES_tradnl"/>
        </w:rPr>
        <w:t>En armonía con lo anterior, la Corte Constitucional ha abordado la definición de la Ley de Garantías Electorales. De esta manera, explica que tiene como propósito:</w:t>
      </w:r>
    </w:p>
    <w:p w14:paraId="666B2DFA" w14:textId="77777777" w:rsidR="00B93846" w:rsidRPr="00B93846" w:rsidRDefault="00B93846" w:rsidP="00B93846">
      <w:pPr>
        <w:spacing w:after="0" w:line="276" w:lineRule="auto"/>
        <w:ind w:firstLine="708"/>
        <w:jc w:val="both"/>
        <w:rPr>
          <w:rFonts w:ascii="Verdana" w:eastAsia="Century Gothic" w:hAnsi="Verdana" w:cs="Century Gothic"/>
          <w:bCs/>
          <w:lang w:val="es-ES_tradnl" w:eastAsia="es-ES_tradnl"/>
        </w:rPr>
      </w:pPr>
    </w:p>
    <w:p w14:paraId="38CFB8A5" w14:textId="77777777" w:rsidR="00B93846" w:rsidRPr="00B93846" w:rsidRDefault="00B93846" w:rsidP="00B93846">
      <w:pPr>
        <w:spacing w:after="0" w:line="240" w:lineRule="auto"/>
        <w:ind w:left="709" w:right="709"/>
        <w:jc w:val="both"/>
        <w:rPr>
          <w:rFonts w:ascii="Verdana" w:eastAsia="Century Gothic" w:hAnsi="Verdana" w:cs="Century Gothic"/>
          <w:bCs/>
          <w:sz w:val="20"/>
          <w:szCs w:val="20"/>
          <w:lang w:val="es-ES_tradnl" w:eastAsia="es-ES_tradnl"/>
        </w:rPr>
      </w:pPr>
      <w:r w:rsidRPr="00B93846">
        <w:rPr>
          <w:rFonts w:ascii="Verdana" w:eastAsia="Century Gothic" w:hAnsi="Verdana" w:cs="Century Gothic"/>
          <w:bCs/>
          <w:sz w:val="20"/>
          <w:szCs w:val="20"/>
          <w:lang w:val="es-ES_tradnl" w:eastAsia="es-ES_tradnl"/>
        </w:rPr>
        <w:t>“[…] la definición de reglas claras que permitan acceder a los canales de expresión democrática de manera efectiva e igualitaria. El objetivo de una ley de garantías es definir esas reglas.</w:t>
      </w:r>
    </w:p>
    <w:p w14:paraId="13EB7034" w14:textId="77777777" w:rsidR="00B93846" w:rsidRPr="00B93846" w:rsidRDefault="00B93846" w:rsidP="00B93846">
      <w:pPr>
        <w:spacing w:after="0" w:line="240" w:lineRule="auto"/>
        <w:ind w:left="709" w:right="709"/>
        <w:jc w:val="both"/>
        <w:rPr>
          <w:rFonts w:ascii="Verdana" w:eastAsia="Century Gothic" w:hAnsi="Verdana" w:cs="Century Gothic"/>
          <w:bCs/>
          <w:sz w:val="20"/>
          <w:szCs w:val="20"/>
          <w:lang w:val="es-ES_tradnl" w:eastAsia="es-ES_tradnl"/>
        </w:rPr>
      </w:pPr>
    </w:p>
    <w:p w14:paraId="4A3C41B3" w14:textId="77777777" w:rsidR="00B93846" w:rsidRPr="00B93846" w:rsidRDefault="00B93846" w:rsidP="00B93846">
      <w:pPr>
        <w:spacing w:after="0" w:line="240" w:lineRule="auto"/>
        <w:ind w:left="709" w:right="709"/>
        <w:jc w:val="both"/>
        <w:rPr>
          <w:rFonts w:ascii="Verdana" w:eastAsia="Century Gothic" w:hAnsi="Verdana" w:cs="Century Gothic"/>
          <w:bCs/>
          <w:sz w:val="20"/>
          <w:szCs w:val="20"/>
          <w:lang w:val="es-ES_tradnl" w:eastAsia="es-ES_tradnl"/>
        </w:rPr>
      </w:pPr>
      <w:r w:rsidRPr="00B93846">
        <w:rPr>
          <w:rFonts w:ascii="Verdana" w:eastAsia="Century Gothic" w:hAnsi="Verdana" w:cs="Century Gothic"/>
          <w:bCs/>
          <w:sz w:val="20"/>
          <w:szCs w:val="20"/>
          <w:lang w:val="es-ES_tradnl" w:eastAsia="es-ES_tradnl"/>
        </w:rPr>
        <w:t xml:space="preserve">[…] </w:t>
      </w:r>
    </w:p>
    <w:p w14:paraId="04B13C75" w14:textId="77777777" w:rsidR="00B93846" w:rsidRPr="00B93846" w:rsidRDefault="00B93846" w:rsidP="00B93846">
      <w:pPr>
        <w:spacing w:after="0" w:line="240" w:lineRule="auto"/>
        <w:ind w:left="709" w:right="709"/>
        <w:jc w:val="both"/>
        <w:rPr>
          <w:rFonts w:ascii="Verdana" w:eastAsia="Century Gothic" w:hAnsi="Verdana" w:cs="Century Gothic"/>
          <w:bCs/>
          <w:sz w:val="20"/>
          <w:szCs w:val="20"/>
          <w:lang w:val="es-ES_tradnl" w:eastAsia="es-ES_tradnl"/>
        </w:rPr>
      </w:pPr>
    </w:p>
    <w:p w14:paraId="1E691279" w14:textId="77777777" w:rsidR="00B93846" w:rsidRPr="00B93846" w:rsidRDefault="00B93846" w:rsidP="00B93846">
      <w:pPr>
        <w:spacing w:after="0" w:line="240" w:lineRule="auto"/>
        <w:ind w:left="709" w:right="709"/>
        <w:jc w:val="both"/>
        <w:rPr>
          <w:rFonts w:ascii="Verdana" w:eastAsia="Century Gothic" w:hAnsi="Verdana" w:cs="Century Gothic"/>
          <w:bCs/>
          <w:sz w:val="20"/>
          <w:szCs w:val="20"/>
          <w:lang w:val="es-ES_tradnl" w:eastAsia="es-ES_tradnl"/>
        </w:rPr>
      </w:pPr>
      <w:r w:rsidRPr="00B93846">
        <w:rPr>
          <w:rFonts w:ascii="Verdana" w:eastAsia="Century Gothic" w:hAnsi="Verdana" w:cs="Century Gothic"/>
          <w:bCs/>
          <w:sz w:val="20"/>
          <w:szCs w:val="20"/>
          <w:lang w:val="es-ES_tradnl" w:eastAsia="es-ES_tradnl"/>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p>
    <w:p w14:paraId="3FF667C0" w14:textId="77777777" w:rsidR="00B93846" w:rsidRPr="00B93846" w:rsidRDefault="00B93846" w:rsidP="00B93846">
      <w:pPr>
        <w:spacing w:after="0" w:line="276" w:lineRule="auto"/>
        <w:ind w:left="709" w:right="709"/>
        <w:jc w:val="both"/>
        <w:rPr>
          <w:rFonts w:ascii="Verdana" w:eastAsia="Century Gothic" w:hAnsi="Verdana" w:cs="Century Gothic"/>
          <w:bCs/>
          <w:lang w:val="es-ES_tradnl" w:eastAsia="es-ES_tradnl"/>
        </w:rPr>
      </w:pPr>
    </w:p>
    <w:p w14:paraId="6AF708A3" w14:textId="77777777" w:rsidR="00B93846" w:rsidRPr="00B93846" w:rsidRDefault="00B93846" w:rsidP="00B93846">
      <w:pPr>
        <w:spacing w:after="120" w:line="276" w:lineRule="auto"/>
        <w:ind w:firstLine="708"/>
        <w:jc w:val="both"/>
        <w:rPr>
          <w:rFonts w:ascii="Verdana" w:eastAsia="Century Gothic" w:hAnsi="Verdana" w:cs="Century Gothic"/>
          <w:bCs/>
          <w:lang w:val="es-ES_tradnl" w:eastAsia="es-ES_tradnl"/>
        </w:rPr>
      </w:pPr>
      <w:r w:rsidRPr="00B93846">
        <w:rPr>
          <w:rFonts w:ascii="Verdana" w:eastAsia="Century Gothic" w:hAnsi="Verdana" w:cs="Century Gothic"/>
          <w:bCs/>
          <w:lang w:val="es-ES_tradnl" w:eastAsia="es-ES_tradnl"/>
        </w:rPr>
        <w:t xml:space="preserve">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w:t>
      </w:r>
      <w:r w:rsidRPr="00B93846">
        <w:rPr>
          <w:rFonts w:ascii="Verdana" w:eastAsia="Century Gothic" w:hAnsi="Verdana" w:cs="Century Gothic"/>
          <w:bCs/>
          <w:lang w:val="es-ES_tradnl" w:eastAsia="es-ES_tradnl"/>
        </w:rPr>
        <w:lastRenderedPageBreak/>
        <w:t xml:space="preserve">electorales. Por ello, varias disposiciones de la Ley 996 de 2005, al contener normas prohibitivas, deben interpretarse restrictivamente. </w:t>
      </w:r>
    </w:p>
    <w:p w14:paraId="221357E4" w14:textId="77777777" w:rsidR="00B93846" w:rsidRPr="00B93846" w:rsidRDefault="00B93846" w:rsidP="00B93846">
      <w:pPr>
        <w:spacing w:after="0" w:line="276" w:lineRule="auto"/>
        <w:ind w:firstLine="708"/>
        <w:jc w:val="both"/>
        <w:rPr>
          <w:rFonts w:ascii="Verdana" w:eastAsia="Century Gothic" w:hAnsi="Verdana" w:cs="Century Gothic"/>
          <w:bCs/>
          <w:lang w:val="es-ES_tradnl" w:eastAsia="es-ES_tradnl"/>
        </w:rPr>
      </w:pPr>
      <w:r w:rsidRPr="00B93846">
        <w:rPr>
          <w:rFonts w:ascii="Verdana" w:eastAsia="Century Gothic" w:hAnsi="Verdana" w:cs="Century Gothic"/>
          <w:bCs/>
          <w:lang w:val="es-ES_tradnl" w:eastAsia="es-ES_tradnl"/>
        </w:rPr>
        <w:t>En efecto, la Sala de Consulta y Servicio Civil del Consejo de Estado, precisó:</w:t>
      </w:r>
    </w:p>
    <w:p w14:paraId="5B1F9746" w14:textId="77777777" w:rsidR="00B93846" w:rsidRPr="00B93846" w:rsidRDefault="00B93846" w:rsidP="00B93846">
      <w:pPr>
        <w:spacing w:after="0" w:line="276" w:lineRule="auto"/>
        <w:ind w:firstLine="708"/>
        <w:jc w:val="both"/>
        <w:rPr>
          <w:rFonts w:ascii="Verdana" w:eastAsia="Century Gothic" w:hAnsi="Verdana" w:cs="Century Gothic"/>
          <w:bCs/>
          <w:lang w:val="es-ES_tradnl" w:eastAsia="es-ES_tradnl"/>
        </w:rPr>
      </w:pPr>
    </w:p>
    <w:p w14:paraId="65FB4347" w14:textId="77777777" w:rsidR="00B93846" w:rsidRPr="00B93846" w:rsidRDefault="00B93846" w:rsidP="00B93846">
      <w:pPr>
        <w:spacing w:after="0" w:line="240" w:lineRule="auto"/>
        <w:ind w:left="709" w:right="709"/>
        <w:jc w:val="both"/>
        <w:rPr>
          <w:rFonts w:ascii="Verdana" w:eastAsia="Century Gothic" w:hAnsi="Verdana" w:cs="Century Gothic"/>
          <w:sz w:val="20"/>
          <w:szCs w:val="20"/>
          <w:lang w:val="es-ES" w:eastAsia="es-ES_tradnl"/>
        </w:rPr>
      </w:pPr>
      <w:r w:rsidRPr="00B93846">
        <w:rPr>
          <w:rFonts w:ascii="Verdana" w:eastAsia="Century Gothic" w:hAnsi="Verdana" w:cs="Century Gothic"/>
          <w:sz w:val="20"/>
          <w:szCs w:val="20"/>
          <w:lang w:val="es-ES" w:eastAsia="es-ES_tradnl"/>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B93846">
        <w:rPr>
          <w:rFonts w:ascii="Verdana" w:eastAsia="Century Gothic" w:hAnsi="Verdana" w:cs="Century Gothic"/>
          <w:sz w:val="20"/>
          <w:szCs w:val="20"/>
          <w:lang w:val="es-ES" w:eastAsia="es-ES_tradnl"/>
        </w:rPr>
        <w:t>legis</w:t>
      </w:r>
      <w:proofErr w:type="spellEnd"/>
      <w:r w:rsidRPr="00B93846">
        <w:rPr>
          <w:rFonts w:ascii="Verdana" w:eastAsia="Century Gothic" w:hAnsi="Verdana" w:cs="Century Gothic"/>
          <w:sz w:val="20"/>
          <w:szCs w:val="20"/>
          <w:lang w:val="es-ES" w:eastAsia="es-ES_tradnl"/>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350D561" w14:textId="77777777" w:rsidR="00B93846" w:rsidRPr="00B93846" w:rsidRDefault="00B93846" w:rsidP="00B93846">
      <w:pPr>
        <w:spacing w:after="0" w:line="240" w:lineRule="auto"/>
        <w:ind w:left="709" w:right="709"/>
        <w:jc w:val="both"/>
        <w:rPr>
          <w:rFonts w:ascii="Verdana" w:eastAsia="Century Gothic" w:hAnsi="Verdana" w:cs="Century Gothic"/>
          <w:sz w:val="20"/>
          <w:szCs w:val="20"/>
          <w:lang w:val="es-ES" w:eastAsia="es-ES_tradnl"/>
        </w:rPr>
      </w:pPr>
    </w:p>
    <w:p w14:paraId="7F16DB3A" w14:textId="77777777" w:rsidR="00B93846" w:rsidRPr="00B93846" w:rsidRDefault="00B93846" w:rsidP="00B93846">
      <w:pPr>
        <w:spacing w:after="0" w:line="240" w:lineRule="auto"/>
        <w:ind w:left="709" w:right="709"/>
        <w:jc w:val="both"/>
        <w:rPr>
          <w:rFonts w:ascii="Verdana" w:eastAsia="Century Gothic" w:hAnsi="Verdana" w:cs="Century Gothic"/>
          <w:bCs/>
          <w:sz w:val="20"/>
          <w:szCs w:val="20"/>
          <w:lang w:val="es-ES_tradnl" w:eastAsia="es-ES_tradnl"/>
        </w:rPr>
      </w:pPr>
      <w:r w:rsidRPr="00B93846">
        <w:rPr>
          <w:rFonts w:ascii="Verdana" w:eastAsia="Century Gothic" w:hAnsi="Verdana" w:cs="Century Gothic"/>
          <w:bCs/>
          <w:sz w:val="20"/>
          <w:szCs w:val="20"/>
          <w:lang w:val="es-ES_tradnl" w:eastAsia="es-ES_tradnl"/>
        </w:rPr>
        <w:t>La jurisprudencia de la Corte Constitucional y del Consejo de Estado,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 .</w:t>
      </w:r>
    </w:p>
    <w:p w14:paraId="2AE53CFA" w14:textId="77777777" w:rsidR="00B93846" w:rsidRPr="00B93846" w:rsidRDefault="00B93846" w:rsidP="00B93846">
      <w:pPr>
        <w:spacing w:after="0" w:line="276" w:lineRule="auto"/>
        <w:ind w:left="709" w:right="709"/>
        <w:jc w:val="both"/>
        <w:rPr>
          <w:rFonts w:ascii="Verdana" w:eastAsia="Century Gothic" w:hAnsi="Verdana" w:cs="Century Gothic"/>
          <w:bCs/>
          <w:lang w:val="es-ES_tradnl" w:eastAsia="es-ES_tradnl"/>
        </w:rPr>
      </w:pPr>
    </w:p>
    <w:p w14:paraId="376114DE" w14:textId="77777777" w:rsidR="00B93846" w:rsidRPr="00B93846" w:rsidRDefault="00B93846" w:rsidP="00B93846">
      <w:pPr>
        <w:spacing w:after="0" w:line="276" w:lineRule="auto"/>
        <w:ind w:firstLine="709"/>
        <w:jc w:val="both"/>
        <w:rPr>
          <w:rFonts w:ascii="Verdana" w:eastAsia="Arial" w:hAnsi="Verdana" w:cs="Arial"/>
          <w:lang w:val="es-ES" w:eastAsia="es-ES" w:bidi="es-ES"/>
        </w:rPr>
      </w:pPr>
      <w:r w:rsidRPr="00B93846">
        <w:rPr>
          <w:rFonts w:ascii="Verdana" w:eastAsia="Century Gothic" w:hAnsi="Verdana" w:cs="Century Gothic"/>
          <w:bCs/>
          <w:lang w:val="es-ES_tradnl" w:eastAsia="es-ES_tradnl"/>
        </w:rPr>
        <w:t xml:space="preserve">De conformidad con lo anterior, la Ley de Garantías Electorales estableció una serie de regulaciones y prohibiciones dirigidas a los servidores públicos. Así las cosas,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r w:rsidRPr="00B93846">
        <w:rPr>
          <w:rFonts w:ascii="Verdana" w:eastAsia="Arial" w:hAnsi="Verdana" w:cs="Arial"/>
          <w:lang w:val="es-ES" w:eastAsia="es-ES" w:bidi="es-ES"/>
        </w:rPr>
        <w:t xml:space="preserve">Teniendo en cuenta el contenido de la consulta y de conformidad con las competencias que le asisten a esta Agencia, a continuación, se realizará el análisis de las prohibiciones dirigidas a la contratación estatal.  </w:t>
      </w:r>
    </w:p>
    <w:p w14:paraId="226A5E85" w14:textId="77777777" w:rsidR="00B93846" w:rsidRPr="00B93846" w:rsidRDefault="00B93846" w:rsidP="00B93846">
      <w:pPr>
        <w:spacing w:after="0" w:line="276" w:lineRule="auto"/>
        <w:jc w:val="both"/>
        <w:rPr>
          <w:rFonts w:ascii="Verdana" w:eastAsia="Century Gothic" w:hAnsi="Verdana" w:cs="Century Gothic"/>
          <w:bCs/>
          <w:lang w:val="es-ES_tradnl" w:eastAsia="es-ES_tradnl"/>
        </w:rPr>
      </w:pPr>
    </w:p>
    <w:p w14:paraId="65B8CDEF" w14:textId="77777777" w:rsidR="00B93846" w:rsidRPr="00B93846" w:rsidRDefault="00B93846" w:rsidP="00B93846">
      <w:pPr>
        <w:spacing w:after="120" w:line="276" w:lineRule="auto"/>
        <w:jc w:val="both"/>
        <w:rPr>
          <w:rFonts w:ascii="Verdana" w:eastAsia="Century Gothic" w:hAnsi="Verdana" w:cs="Century Gothic"/>
          <w:lang w:val="es-ES" w:eastAsia="es-ES_tradnl"/>
        </w:rPr>
      </w:pPr>
      <w:proofErr w:type="spellStart"/>
      <w:r w:rsidRPr="00B93846">
        <w:rPr>
          <w:rFonts w:ascii="Verdana" w:eastAsia="Century Gothic" w:hAnsi="Verdana" w:cs="Century Gothic"/>
          <w:lang w:val="es-ES" w:eastAsia="es-ES_tradnl"/>
        </w:rPr>
        <w:t>ii</w:t>
      </w:r>
      <w:proofErr w:type="spellEnd"/>
      <w:r w:rsidRPr="00B93846">
        <w:rPr>
          <w:rFonts w:ascii="Verdana" w:eastAsia="Century Gothic" w:hAnsi="Verdana" w:cs="Century Gothic"/>
          <w:lang w:val="es-ES" w:eastAsia="es-ES_tradnl"/>
        </w:rPr>
        <w:t>) Las restricciones en materia de contratación estatal consagradas en la Ley de Garantías Electorales se dirigen a dos (2) tipos de campañas electorales diferenciadas: las presidenciales y las que se adelanten para la elección de los demás cargos de elección popular, tanto a nivel nacional como territorial.</w:t>
      </w:r>
    </w:p>
    <w:p w14:paraId="7DC13DCF" w14:textId="77777777" w:rsidR="00B93846" w:rsidRPr="00B93846" w:rsidRDefault="00B93846" w:rsidP="00B93846">
      <w:pPr>
        <w:spacing w:after="120" w:line="276" w:lineRule="auto"/>
        <w:ind w:firstLine="708"/>
        <w:jc w:val="both"/>
        <w:rPr>
          <w:rFonts w:ascii="Verdana" w:eastAsia="Century Gothic" w:hAnsi="Verdana" w:cs="Century Gothic"/>
          <w:bCs/>
          <w:lang w:val="es-ES_tradnl" w:eastAsia="es-ES_tradnl"/>
        </w:rPr>
      </w:pPr>
      <w:r w:rsidRPr="00B93846">
        <w:rPr>
          <w:rFonts w:ascii="Verdana" w:eastAsia="Century Gothic" w:hAnsi="Verdana" w:cs="Century Gothic"/>
          <w:bCs/>
          <w:lang w:val="es-ES_tradnl" w:eastAsia="es-ES_tradnl"/>
        </w:rPr>
        <w:t xml:space="preserve">Por un lado, el artículo 33 de la Ley 996 de 2005 prohíbe “[…] la contratación directa por parte de todos los entes del Estado” durante los cuatro (4) meses anteriores a las elecciones presidenciales, salvo “[…] lo referente a la </w:t>
      </w:r>
      <w:r w:rsidRPr="00B93846">
        <w:rPr>
          <w:rFonts w:ascii="Verdana" w:eastAsia="Century Gothic" w:hAnsi="Verdana" w:cs="Century Gothic"/>
          <w:bCs/>
          <w:i/>
          <w:iCs/>
          <w:lang w:val="es-ES_tradnl" w:eastAsia="es-ES_tradnl"/>
        </w:rPr>
        <w:t>defensa y seguridad del Estado</w:t>
      </w:r>
      <w:r w:rsidRPr="00B93846">
        <w:rPr>
          <w:rFonts w:ascii="Verdana" w:eastAsia="Century Gothic" w:hAnsi="Verdana" w:cs="Century Gothic"/>
          <w:bCs/>
          <w:lang w:val="es-ES_tradnl" w:eastAsia="es-ES_tradnl"/>
        </w:rPr>
        <w:t>,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w:t>
      </w:r>
    </w:p>
    <w:p w14:paraId="796D354B" w14:textId="77777777" w:rsidR="00B93846" w:rsidRPr="00B93846" w:rsidRDefault="00B93846" w:rsidP="00B93846">
      <w:pPr>
        <w:spacing w:after="120" w:line="276" w:lineRule="auto"/>
        <w:ind w:firstLine="708"/>
        <w:jc w:val="both"/>
        <w:rPr>
          <w:rFonts w:ascii="Verdana" w:eastAsia="Century Gothic" w:hAnsi="Verdana" w:cs="Century Gothic"/>
          <w:bCs/>
          <w:lang w:val="es-ES_tradnl" w:eastAsia="es-ES_tradnl"/>
        </w:rPr>
      </w:pPr>
      <w:r w:rsidRPr="00B93846">
        <w:rPr>
          <w:rFonts w:ascii="Verdana" w:eastAsia="Century Gothic" w:hAnsi="Verdana" w:cs="Century Gothic"/>
          <w:bCs/>
          <w:lang w:val="es-ES_tradnl" w:eastAsia="es-ES_tradn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p>
    <w:p w14:paraId="6DA26B44" w14:textId="77777777" w:rsidR="00B93846" w:rsidRPr="00B93846" w:rsidRDefault="00B93846" w:rsidP="00B93846">
      <w:pPr>
        <w:spacing w:after="0" w:line="276" w:lineRule="auto"/>
        <w:ind w:firstLine="708"/>
        <w:jc w:val="both"/>
        <w:rPr>
          <w:rFonts w:ascii="Verdana" w:eastAsia="Century Gothic" w:hAnsi="Verdana" w:cs="Century Gothic"/>
          <w:bCs/>
          <w:lang w:val="es-ES_tradnl" w:eastAsia="es-ES_tradnl"/>
        </w:rPr>
      </w:pPr>
      <w:r w:rsidRPr="00B93846">
        <w:rPr>
          <w:rFonts w:ascii="Verdana" w:eastAsia="Century Gothic" w:hAnsi="Verdana" w:cs="Century Gothic"/>
          <w:bCs/>
          <w:lang w:val="es-ES_tradnl" w:eastAsia="es-ES_tradnl"/>
        </w:rPr>
        <w:t>La Sala de Consulta y Servicio Civil del Consejo de Estado ha aclarado la distinción en la aplicación de las prohibiciones de la Ley 996 de 2005, dependiendo del tipo de elección que se trate. Al respecto, considera:</w:t>
      </w:r>
    </w:p>
    <w:p w14:paraId="0AF9F4A3" w14:textId="77777777" w:rsidR="00B93846" w:rsidRPr="00B93846" w:rsidRDefault="00B93846" w:rsidP="00B93846">
      <w:pPr>
        <w:spacing w:after="0" w:line="276" w:lineRule="auto"/>
        <w:ind w:firstLine="708"/>
        <w:jc w:val="both"/>
        <w:rPr>
          <w:rFonts w:ascii="Verdana" w:eastAsia="Century Gothic" w:hAnsi="Verdana" w:cs="Century Gothic"/>
          <w:bCs/>
          <w:lang w:val="es-ES_tradnl" w:eastAsia="es-ES_tradnl"/>
        </w:rPr>
      </w:pPr>
    </w:p>
    <w:p w14:paraId="322AB81B" w14:textId="77777777" w:rsidR="00B93846" w:rsidRPr="00B93846" w:rsidRDefault="00B93846" w:rsidP="00B93846">
      <w:pPr>
        <w:spacing w:after="0" w:line="240" w:lineRule="auto"/>
        <w:ind w:left="709" w:right="709"/>
        <w:jc w:val="both"/>
        <w:rPr>
          <w:rFonts w:ascii="Verdana" w:eastAsia="Century Gothic" w:hAnsi="Verdana" w:cs="Century Gothic"/>
          <w:bCs/>
          <w:sz w:val="20"/>
          <w:szCs w:val="20"/>
          <w:lang w:val="es-ES_tradnl" w:eastAsia="es-ES_tradnl"/>
        </w:rPr>
      </w:pPr>
      <w:r w:rsidRPr="00B93846">
        <w:rPr>
          <w:rFonts w:ascii="Verdana" w:eastAsia="Century Gothic" w:hAnsi="Verdana" w:cs="Century Gothic"/>
          <w:bCs/>
          <w:sz w:val="20"/>
          <w:szCs w:val="20"/>
          <w:lang w:val="es-ES_tradnl" w:eastAsia="es-ES_tradnl"/>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w:t>
      </w:r>
      <w:r w:rsidRPr="00B93846">
        <w:rPr>
          <w:rFonts w:ascii="Verdana" w:eastAsia="Century Gothic" w:hAnsi="Verdana" w:cs="Century Gothic"/>
          <w:bCs/>
          <w:sz w:val="20"/>
          <w:szCs w:val="20"/>
          <w:lang w:val="es-ES_tradnl" w:eastAsia="es-ES_tradnl"/>
        </w:rPr>
        <w:lastRenderedPageBreak/>
        <w:t xml:space="preserve">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 </w:t>
      </w:r>
    </w:p>
    <w:p w14:paraId="2BE5A1B3" w14:textId="77777777" w:rsidR="00B93846" w:rsidRPr="00B93846" w:rsidRDefault="00B93846" w:rsidP="00B93846">
      <w:pPr>
        <w:spacing w:after="0" w:line="276" w:lineRule="auto"/>
        <w:ind w:left="709" w:right="709"/>
        <w:jc w:val="both"/>
        <w:rPr>
          <w:rFonts w:ascii="Verdana" w:eastAsia="Century Gothic" w:hAnsi="Verdana" w:cs="Century Gothic"/>
          <w:bCs/>
          <w:lang w:val="es-ES_tradnl" w:eastAsia="es-ES_tradnl"/>
        </w:rPr>
      </w:pPr>
    </w:p>
    <w:p w14:paraId="23792B38" w14:textId="77777777" w:rsidR="00B93846" w:rsidRPr="00B93846" w:rsidRDefault="00B93846" w:rsidP="00B93846">
      <w:pPr>
        <w:spacing w:after="120" w:line="276" w:lineRule="auto"/>
        <w:ind w:firstLine="709"/>
        <w:jc w:val="both"/>
        <w:rPr>
          <w:rFonts w:ascii="Verdana" w:eastAsia="Century Gothic" w:hAnsi="Verdana" w:cs="Century Gothic"/>
          <w:lang w:val="es-ES" w:eastAsia="es-ES_tradnl"/>
        </w:rPr>
      </w:pPr>
      <w:r w:rsidRPr="00B93846">
        <w:rPr>
          <w:rFonts w:ascii="Verdana" w:eastAsia="Century Gothic" w:hAnsi="Verdana" w:cs="Century Gothic"/>
          <w:lang w:val="es-ES" w:eastAsia="es-ES_tradnl"/>
        </w:rPr>
        <w:t>De conformidad con lo anterior, la Ley 996 de 2005 establece dos (2) tipos de restricciones en materia de contratación, las cuales coinciden parcialmente. En primer lugar,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7A7BB8FD" w14:textId="77777777" w:rsidR="00B93846" w:rsidRPr="00B93846" w:rsidRDefault="00B93846" w:rsidP="00B93846">
      <w:pPr>
        <w:spacing w:after="120" w:line="276" w:lineRule="auto"/>
        <w:ind w:firstLine="709"/>
        <w:jc w:val="both"/>
        <w:rPr>
          <w:rFonts w:ascii="Verdana" w:eastAsia="Century Gothic" w:hAnsi="Verdana" w:cs="Century Gothic"/>
          <w:lang w:val="es-ES" w:eastAsia="es-ES_tradnl"/>
        </w:rPr>
      </w:pPr>
      <w:r w:rsidRPr="00B93846">
        <w:rPr>
          <w:rFonts w:ascii="Verdana" w:eastAsia="Century Gothic" w:hAnsi="Verdana" w:cs="Century Gothic"/>
          <w:lang w:val="es-ES" w:eastAsia="es-ES_tradnl"/>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7774C435" w14:textId="77777777" w:rsidR="00B93846" w:rsidRPr="00B93846" w:rsidRDefault="00B93846" w:rsidP="00B93846">
      <w:pPr>
        <w:spacing w:after="0" w:line="276" w:lineRule="auto"/>
        <w:ind w:firstLine="709"/>
        <w:jc w:val="both"/>
        <w:rPr>
          <w:rFonts w:ascii="Verdana" w:eastAsia="Century Gothic" w:hAnsi="Verdana" w:cs="Century Gothic"/>
          <w:lang w:val="es-ES" w:eastAsia="es-ES_tradnl"/>
        </w:rPr>
      </w:pPr>
      <w:r w:rsidRPr="00B93846">
        <w:rPr>
          <w:rFonts w:ascii="Verdana" w:eastAsia="Century Gothic" w:hAnsi="Verdana" w:cs="Century Gothic"/>
          <w:lang w:val="es-ES" w:eastAsia="es-ES_tradnl"/>
        </w:rPr>
        <w:lastRenderedPageBreak/>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559820A9" w14:textId="77777777" w:rsidR="00B93846" w:rsidRPr="00B93846" w:rsidRDefault="00B93846" w:rsidP="00B93846">
      <w:pPr>
        <w:spacing w:after="0" w:line="276" w:lineRule="auto"/>
        <w:ind w:firstLine="709"/>
        <w:jc w:val="both"/>
        <w:rPr>
          <w:rFonts w:ascii="Verdana" w:eastAsia="Century Gothic" w:hAnsi="Verdana" w:cs="Century Gothic"/>
          <w:lang w:val="es-ES" w:eastAsia="es-ES_tradnl"/>
        </w:rPr>
      </w:pPr>
    </w:p>
    <w:p w14:paraId="4829D387" w14:textId="77777777" w:rsidR="00B93846" w:rsidRPr="00B93846" w:rsidRDefault="00B93846" w:rsidP="00B93846">
      <w:pPr>
        <w:spacing w:after="120" w:line="276" w:lineRule="auto"/>
        <w:jc w:val="both"/>
        <w:rPr>
          <w:rFonts w:ascii="Verdana" w:eastAsia="Century Gothic" w:hAnsi="Verdana" w:cs="Century Gothic"/>
          <w:lang w:val="es-ES" w:eastAsia="es-ES_tradnl"/>
        </w:rPr>
      </w:pPr>
      <w:proofErr w:type="spellStart"/>
      <w:r w:rsidRPr="00B93846">
        <w:rPr>
          <w:rFonts w:ascii="Verdana" w:eastAsia="Century Gothic" w:hAnsi="Verdana" w:cs="Century Gothic"/>
          <w:lang w:val="es-ES" w:eastAsia="es-ES_tradnl"/>
        </w:rPr>
        <w:t>iii</w:t>
      </w:r>
      <w:proofErr w:type="spellEnd"/>
      <w:r w:rsidRPr="00B93846">
        <w:rPr>
          <w:rFonts w:ascii="Verdana" w:eastAsia="Century Gothic" w:hAnsi="Verdana" w:cs="Century Gothic"/>
          <w:lang w:val="es-ES" w:eastAsia="es-ES_tradnl"/>
        </w:rPr>
        <w:t xml:space="preserve">) Para entender el momento de aplicación de estas restricciones, es preciso señalar que el vocablo “celebrar” es definido por el Diccionario Panhispánico del Español Jurídico como: “1. Gral. Otorgar o firmar un contrato. 2. </w:t>
      </w:r>
      <w:proofErr w:type="spellStart"/>
      <w:r w:rsidRPr="00B93846">
        <w:rPr>
          <w:rFonts w:ascii="Verdana" w:eastAsia="Century Gothic" w:hAnsi="Verdana" w:cs="Century Gothic"/>
          <w:lang w:val="es-ES" w:eastAsia="es-ES_tradnl"/>
        </w:rPr>
        <w:t>Proc</w:t>
      </w:r>
      <w:proofErr w:type="spellEnd"/>
      <w:r w:rsidRPr="00B93846">
        <w:rPr>
          <w:rFonts w:ascii="Verdana" w:eastAsia="Century Gothic" w:hAnsi="Verdana" w:cs="Century Gothic"/>
          <w:lang w:val="es-ES" w:eastAsia="es-ES_tradnl"/>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07A4BD9C" w14:textId="77777777" w:rsidR="00B93846" w:rsidRPr="00B93846" w:rsidRDefault="00B93846" w:rsidP="00B93846">
      <w:pPr>
        <w:spacing w:after="120" w:line="276" w:lineRule="auto"/>
        <w:ind w:firstLine="708"/>
        <w:jc w:val="both"/>
        <w:rPr>
          <w:rFonts w:ascii="Verdana" w:eastAsia="Century Gothic" w:hAnsi="Verdana" w:cs="Century Gothic"/>
          <w:bCs/>
          <w:lang w:val="es-ES_tradnl" w:eastAsia="es-ES_tradnl"/>
        </w:rPr>
      </w:pPr>
      <w:r w:rsidRPr="00B93846">
        <w:rPr>
          <w:rFonts w:ascii="Verdana" w:eastAsia="Century Gothic" w:hAnsi="Verdana" w:cs="Century Gothic"/>
          <w:bCs/>
          <w:lang w:val="es-ES_tradnl" w:eastAsia="es-ES_tradnl"/>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la existencia de los contratos estatales, es decir, la producción de efectos jurídicos en los términos del artículo 1501 ibidem, depende de la regulación del inciso primero de los artículos 39 y 41 de la Ley 80 de 1993. </w:t>
      </w:r>
    </w:p>
    <w:p w14:paraId="560ABBCC" w14:textId="77777777" w:rsidR="00B93846" w:rsidRPr="00B93846" w:rsidRDefault="00B93846" w:rsidP="00B93846">
      <w:pPr>
        <w:spacing w:after="120" w:line="276" w:lineRule="auto"/>
        <w:ind w:firstLine="708"/>
        <w:jc w:val="both"/>
        <w:rPr>
          <w:rFonts w:ascii="Verdana" w:eastAsia="Century Gothic" w:hAnsi="Verdana" w:cs="Century Gothic"/>
          <w:bCs/>
          <w:lang w:val="es-ES_tradnl" w:eastAsia="es-ES_tradnl"/>
        </w:rPr>
      </w:pPr>
      <w:r w:rsidRPr="00B93846">
        <w:rPr>
          <w:rFonts w:ascii="Verdana" w:eastAsia="Century Gothic" w:hAnsi="Verdana" w:cs="Century Gothic"/>
          <w:bCs/>
          <w:lang w:val="es-ES_tradnl" w:eastAsia="es-ES_tradnl"/>
        </w:rPr>
        <w:t xml:space="preserve">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w:t>
      </w:r>
      <w:r w:rsidRPr="00B93846">
        <w:rPr>
          <w:rFonts w:ascii="Verdana" w:eastAsia="Century Gothic" w:hAnsi="Verdana" w:cs="Century Gothic"/>
          <w:bCs/>
          <w:lang w:val="es-ES_tradnl" w:eastAsia="es-ES_tradnl"/>
        </w:rPr>
        <w:lastRenderedPageBreak/>
        <w:t xml:space="preserve">las normas legales vigentes deban cumplir con dicha formalidad”. Por otra parte, “Los contratos del Estado se perfeccionan cuando se logre acuerdo sobre el objeto y la contraprestación y éste se eleve a escrito”. </w:t>
      </w:r>
    </w:p>
    <w:p w14:paraId="74D36ECD" w14:textId="77777777" w:rsidR="00B93846" w:rsidRPr="00B93846" w:rsidRDefault="00B93846" w:rsidP="00B93846">
      <w:pPr>
        <w:spacing w:after="120" w:line="276" w:lineRule="auto"/>
        <w:ind w:firstLine="708"/>
        <w:jc w:val="both"/>
        <w:rPr>
          <w:rFonts w:ascii="Verdana" w:eastAsia="Century Gothic" w:hAnsi="Verdana" w:cs="Century Gothic"/>
          <w:bCs/>
          <w:lang w:val="es-ES_tradnl" w:eastAsia="es-ES_tradnl"/>
        </w:rPr>
      </w:pPr>
      <w:r w:rsidRPr="00B93846">
        <w:rPr>
          <w:rFonts w:ascii="Verdana" w:eastAsia="Century Gothic" w:hAnsi="Verdana" w:cs="Century Gothic"/>
          <w:bCs/>
          <w:lang w:val="es-ES_tradnl" w:eastAsia="es-ES_tradnl"/>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6E4EABAD" w14:textId="77777777" w:rsidR="00B93846" w:rsidRPr="00B93846" w:rsidRDefault="00B93846" w:rsidP="00B93846">
      <w:pPr>
        <w:spacing w:after="0" w:line="276" w:lineRule="auto"/>
        <w:ind w:firstLine="709"/>
        <w:jc w:val="both"/>
        <w:rPr>
          <w:rFonts w:ascii="Verdana" w:eastAsia="Century Gothic" w:hAnsi="Verdana" w:cs="Century Gothic"/>
          <w:bCs/>
          <w:lang w:val="es-ES_tradnl" w:eastAsia="es-ES_tradnl"/>
        </w:rPr>
      </w:pPr>
      <w:r w:rsidRPr="00B93846">
        <w:rPr>
          <w:rFonts w:ascii="Verdana" w:eastAsia="Century Gothic" w:hAnsi="Verdana" w:cs="Century Gothic"/>
          <w:lang w:val="es-ES" w:eastAsia="es-ES_tradnl"/>
        </w:rPr>
        <w:t xml:space="preserve">Asimismo, como en otras oportunidades lo ha manifestado esta Agencia, las prórrogas, modificaciones o adiciones de los contratos suscritos antes de la entrada en vigencia de las prohibiciones anotadas, así como la cesión de </w:t>
      </w:r>
      <w:proofErr w:type="gramStart"/>
      <w:r w:rsidRPr="00B93846">
        <w:rPr>
          <w:rFonts w:ascii="Verdana" w:eastAsia="Century Gothic" w:hAnsi="Verdana" w:cs="Century Gothic"/>
          <w:lang w:val="es-ES" w:eastAsia="es-ES_tradnl"/>
        </w:rPr>
        <w:t>los mismos</w:t>
      </w:r>
      <w:proofErr w:type="gramEnd"/>
      <w:r w:rsidRPr="00B93846">
        <w:rPr>
          <w:rFonts w:ascii="Verdana" w:eastAsia="Century Gothic" w:hAnsi="Verdana" w:cs="Century Gothic"/>
          <w:lang w:val="es-ES" w:eastAsia="es-ES_tradnl"/>
        </w:rPr>
        <w:t xml:space="preserve">, pueden tener lugar en el período de aplicación de la Ley de Garantías Electorales, sin que ello haga nugatoria la restricción de la contratación directa y siempre que cumplan los principios de planeación, transparencia y </w:t>
      </w:r>
      <w:r w:rsidRPr="00B93846">
        <w:rPr>
          <w:rFonts w:ascii="Verdana" w:eastAsia="Century Gothic" w:hAnsi="Verdana" w:cs="Century Gothic"/>
          <w:bCs/>
          <w:lang w:val="es-ES_tradnl" w:eastAsia="es-ES_tradnl"/>
        </w:rPr>
        <w:t xml:space="preserve">responsabilidad. </w:t>
      </w:r>
    </w:p>
    <w:p w14:paraId="5B1CF9C4" w14:textId="77777777" w:rsidR="00B93846" w:rsidRPr="00B93846" w:rsidRDefault="00B93846" w:rsidP="00B93846">
      <w:pPr>
        <w:spacing w:after="0" w:line="276" w:lineRule="auto"/>
        <w:ind w:firstLine="709"/>
        <w:jc w:val="both"/>
        <w:rPr>
          <w:rFonts w:ascii="Verdana" w:eastAsia="Century Gothic" w:hAnsi="Verdana" w:cs="Century Gothic"/>
          <w:bCs/>
          <w:lang w:val="es-ES_tradnl" w:eastAsia="es-ES_tradnl"/>
        </w:rPr>
      </w:pPr>
    </w:p>
    <w:p w14:paraId="01A6C007" w14:textId="77777777" w:rsidR="00B93846" w:rsidRPr="00B93846" w:rsidRDefault="00B93846" w:rsidP="00B93846">
      <w:pPr>
        <w:spacing w:after="0" w:line="276" w:lineRule="auto"/>
        <w:jc w:val="both"/>
        <w:rPr>
          <w:rFonts w:ascii="Verdana" w:eastAsia="Century Gothic" w:hAnsi="Verdana" w:cs="Century Gothic"/>
          <w:lang w:val="es-ES" w:eastAsia="es-ES_tradnl"/>
        </w:rPr>
      </w:pPr>
      <w:proofErr w:type="spellStart"/>
      <w:r w:rsidRPr="00B93846">
        <w:rPr>
          <w:rFonts w:ascii="Verdana" w:eastAsia="Century Gothic" w:hAnsi="Verdana" w:cs="Century Gothic"/>
          <w:bCs/>
          <w:lang w:val="es-ES_tradnl" w:eastAsia="es-ES_tradnl"/>
        </w:rPr>
        <w:t>iv</w:t>
      </w:r>
      <w:proofErr w:type="spellEnd"/>
      <w:r w:rsidRPr="00B93846">
        <w:rPr>
          <w:rFonts w:ascii="Verdana" w:eastAsia="Century Gothic" w:hAnsi="Verdana" w:cs="Century Gothic"/>
          <w:bCs/>
          <w:lang w:val="es-ES_tradnl" w:eastAsia="es-ES_tradnl"/>
        </w:rPr>
        <w:t xml:space="preserve">) </w:t>
      </w:r>
      <w:r w:rsidRPr="00B93846">
        <w:rPr>
          <w:rFonts w:ascii="Verdana" w:eastAsia="Calibri" w:hAnsi="Verdana" w:cs="Arial"/>
          <w:lang w:val="es-ES" w:eastAsia="es-ES" w:bidi="es-ES"/>
        </w:rPr>
        <w:t xml:space="preserve">Para responder al problema jurídico planteado es necesario precisar el alcance de la prohibición </w:t>
      </w:r>
      <w:r w:rsidRPr="00B93846">
        <w:rPr>
          <w:rFonts w:ascii="Verdana" w:eastAsia="Arial" w:hAnsi="Verdana" w:cs="Arial"/>
          <w:lang w:val="es-ES" w:eastAsia="es-ES" w:bidi="es-ES"/>
        </w:rPr>
        <w:t>establecida en e</w:t>
      </w:r>
      <w:r w:rsidRPr="00B93846">
        <w:rPr>
          <w:rFonts w:ascii="Verdana" w:eastAsia="Calibri" w:hAnsi="Verdana" w:cs="Arial"/>
          <w:lang w:val="es-ES" w:eastAsia="es-ES_tradnl"/>
        </w:rPr>
        <w:t xml:space="preserve">l </w:t>
      </w:r>
      <w:r w:rsidRPr="00B93846">
        <w:rPr>
          <w:rFonts w:ascii="Verdana" w:eastAsia="Times New Roman" w:hAnsi="Verdana" w:cs="Arial"/>
          <w:lang w:val="es-ES" w:eastAsia="es-ES_tradnl"/>
        </w:rPr>
        <w:t xml:space="preserve">artículo 33 de la Ley 996 de 2005. </w:t>
      </w:r>
      <w:r w:rsidRPr="00B93846">
        <w:rPr>
          <w:rFonts w:ascii="Verdana" w:eastAsia="Century Gothic" w:hAnsi="Verdana" w:cs="Century Gothic"/>
          <w:bCs/>
          <w:lang w:val="es-ES_tradnl" w:eastAsia="es-ES_tradnl"/>
        </w:rPr>
        <w:t>E</w:t>
      </w:r>
      <w:r w:rsidRPr="00B93846">
        <w:rPr>
          <w:rFonts w:ascii="Verdana" w:eastAsia="Century Gothic" w:hAnsi="Verdana" w:cs="Century Gothic"/>
          <w:lang w:val="es-ES" w:eastAsia="es-ES_tradnl"/>
        </w:rPr>
        <w:t>l ámbito material de la prohibición contenida en el artículo 33 de la Ley 996 de 2005 está delimitado por la expresión “queda prohibida la contratación directa”. A propósito de esta restricción de la Ley de Garantías Electorales, la Sala de Consulta y Servicio Civil del Consejo de Estado ha considerado que:</w:t>
      </w:r>
    </w:p>
    <w:p w14:paraId="75218EA0" w14:textId="77777777" w:rsidR="00B93846" w:rsidRPr="00B93846" w:rsidRDefault="00B93846" w:rsidP="00B93846">
      <w:pPr>
        <w:spacing w:after="0" w:line="276" w:lineRule="auto"/>
        <w:jc w:val="both"/>
        <w:rPr>
          <w:rFonts w:ascii="Verdana" w:eastAsia="Century Gothic" w:hAnsi="Verdana" w:cs="Century Gothic"/>
          <w:bCs/>
          <w:lang w:val="es-ES_tradnl" w:eastAsia="es-ES_tradnl"/>
        </w:rPr>
      </w:pPr>
    </w:p>
    <w:p w14:paraId="23699846" w14:textId="77777777" w:rsidR="00B93846" w:rsidRPr="00B93846" w:rsidRDefault="00B93846" w:rsidP="00B93846">
      <w:pPr>
        <w:spacing w:after="0" w:line="240" w:lineRule="auto"/>
        <w:ind w:left="709" w:right="709"/>
        <w:jc w:val="both"/>
        <w:rPr>
          <w:rFonts w:ascii="Verdana" w:eastAsia="Century Gothic" w:hAnsi="Verdana" w:cs="Century Gothic"/>
          <w:bCs/>
          <w:sz w:val="20"/>
          <w:szCs w:val="20"/>
          <w:lang w:val="es-ES_tradnl" w:eastAsia="es-ES_tradnl"/>
        </w:rPr>
      </w:pPr>
      <w:r w:rsidRPr="00B93846">
        <w:rPr>
          <w:rFonts w:ascii="Verdana" w:eastAsia="Century Gothic" w:hAnsi="Verdana" w:cs="Century Gothic"/>
          <w:bCs/>
          <w:sz w:val="20"/>
          <w:szCs w:val="20"/>
          <w:lang w:val="es-ES_tradnl" w:eastAsia="es-ES_tradnl"/>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p>
    <w:p w14:paraId="25037618" w14:textId="77777777" w:rsidR="00B93846" w:rsidRPr="00B93846" w:rsidRDefault="00B93846" w:rsidP="00B93846">
      <w:pPr>
        <w:spacing w:after="0" w:line="240" w:lineRule="auto"/>
        <w:ind w:left="709" w:right="709"/>
        <w:jc w:val="both"/>
        <w:rPr>
          <w:rFonts w:ascii="Verdana" w:eastAsia="Century Gothic" w:hAnsi="Verdana" w:cs="Century Gothic"/>
          <w:bCs/>
          <w:sz w:val="20"/>
          <w:szCs w:val="20"/>
          <w:lang w:val="es-ES_tradnl" w:eastAsia="es-ES_tradnl"/>
        </w:rPr>
      </w:pPr>
    </w:p>
    <w:p w14:paraId="10D64732" w14:textId="77777777" w:rsidR="00B93846" w:rsidRPr="00B93846" w:rsidRDefault="00B93846" w:rsidP="00B93846">
      <w:pPr>
        <w:spacing w:after="0" w:line="240" w:lineRule="auto"/>
        <w:ind w:left="709" w:right="709"/>
        <w:jc w:val="both"/>
        <w:rPr>
          <w:rFonts w:ascii="Verdana" w:eastAsia="Century Gothic" w:hAnsi="Verdana" w:cs="Century Gothic"/>
          <w:bCs/>
          <w:sz w:val="20"/>
          <w:szCs w:val="20"/>
          <w:lang w:val="es-ES_tradnl" w:eastAsia="es-ES_tradnl"/>
        </w:rPr>
      </w:pPr>
      <w:r w:rsidRPr="00B93846">
        <w:rPr>
          <w:rFonts w:ascii="Verdana" w:eastAsia="Century Gothic" w:hAnsi="Verdana" w:cs="Century Gothic"/>
          <w:bCs/>
          <w:sz w:val="20"/>
          <w:szCs w:val="20"/>
          <w:lang w:val="es-ES_tradnl" w:eastAsia="es-ES_tradnl"/>
        </w:rPr>
        <w:lastRenderedPageBreak/>
        <w:t xml:space="preserve">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w:t>
      </w:r>
      <w:proofErr w:type="gramStart"/>
      <w:r w:rsidRPr="00B93846">
        <w:rPr>
          <w:rFonts w:ascii="Verdana" w:eastAsia="Century Gothic" w:hAnsi="Verdana" w:cs="Century Gothic"/>
          <w:bCs/>
          <w:sz w:val="20"/>
          <w:szCs w:val="20"/>
          <w:lang w:val="es-ES_tradnl" w:eastAsia="es-ES_tradnl"/>
        </w:rPr>
        <w:t>sistemas ]</w:t>
      </w:r>
      <w:proofErr w:type="gramEnd"/>
      <w:r w:rsidRPr="00B93846">
        <w:rPr>
          <w:rFonts w:ascii="Verdana" w:eastAsia="Century Gothic" w:hAnsi="Verdana" w:cs="Century Gothic"/>
          <w:bCs/>
          <w:sz w:val="20"/>
          <w:szCs w:val="20"/>
          <w:lang w:val="es-ES_tradnl" w:eastAsia="es-ES_tradnl"/>
        </w:rPr>
        <w:t>…]”.</w:t>
      </w:r>
    </w:p>
    <w:p w14:paraId="0775FFCA" w14:textId="77777777" w:rsidR="00B93846" w:rsidRPr="00B93846" w:rsidRDefault="00B93846" w:rsidP="00B93846">
      <w:pPr>
        <w:spacing w:after="0" w:line="276" w:lineRule="auto"/>
        <w:ind w:firstLine="708"/>
        <w:jc w:val="both"/>
        <w:rPr>
          <w:rFonts w:ascii="Verdana" w:eastAsia="Century Gothic" w:hAnsi="Verdana" w:cs="Century Gothic"/>
          <w:bCs/>
          <w:lang w:val="es-ES_tradnl" w:eastAsia="es-ES_tradnl"/>
        </w:rPr>
      </w:pPr>
    </w:p>
    <w:p w14:paraId="54E2ABD1" w14:textId="77777777" w:rsidR="00B93846" w:rsidRPr="00B93846" w:rsidRDefault="00B93846" w:rsidP="00B93846">
      <w:pPr>
        <w:spacing w:after="120" w:line="276" w:lineRule="auto"/>
        <w:ind w:firstLine="708"/>
        <w:jc w:val="both"/>
        <w:rPr>
          <w:rFonts w:ascii="Verdana" w:eastAsia="Century Gothic" w:hAnsi="Verdana" w:cs="Century Gothic"/>
          <w:lang w:val="es-ES" w:eastAsia="es-ES_tradnl"/>
        </w:rPr>
      </w:pPr>
      <w:r w:rsidRPr="00B93846">
        <w:rPr>
          <w:rFonts w:ascii="Verdana" w:eastAsia="Century Gothic" w:hAnsi="Verdana" w:cs="Century Gothic"/>
          <w:lang w:val="es-ES" w:eastAsia="es-ES_tradnl"/>
        </w:rPr>
        <w:t>De acuerdo con el citado concepto,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el concurso de méritos y la mínima cuantía u otros previstos en normas especiales. Esta posición es congruente con la expedición de la Ley 1150 de 2007 que, entre otras reformas, introdujo la selección abreviada, rediseñó el concurso de méritos y sistematizó las causales de contratación directa. Además, lo es con la posterior creación de la modalidad de mínima cuantía establecida actualmente en el numeral 5 del artículo 2 de la Ley 1150 de 2007, de acuerdo con las modificaciones realizadas por leyes posteriores.</w:t>
      </w:r>
    </w:p>
    <w:p w14:paraId="16E65D0D" w14:textId="77777777" w:rsidR="00B93846" w:rsidRPr="00B93846" w:rsidRDefault="00B93846" w:rsidP="00B93846">
      <w:pPr>
        <w:spacing w:after="120" w:line="276" w:lineRule="auto"/>
        <w:ind w:firstLine="708"/>
        <w:jc w:val="both"/>
        <w:rPr>
          <w:rFonts w:ascii="Verdana" w:eastAsia="Century Gothic" w:hAnsi="Verdana" w:cs="Century Gothic"/>
          <w:bCs/>
          <w:lang w:val="es-ES_tradnl" w:eastAsia="es-ES_tradnl"/>
        </w:rPr>
      </w:pPr>
      <w:r w:rsidRPr="00B93846">
        <w:rPr>
          <w:rFonts w:ascii="Verdana" w:eastAsia="Century Gothic" w:hAnsi="Verdana" w:cs="Century Gothic"/>
          <w:bCs/>
          <w:lang w:val="es-ES_tradnl" w:eastAsia="es-ES_tradnl"/>
        </w:rPr>
        <w:t xml:space="preserve">De esta forma, con fundamento en la evolución de la normativa sobre la contratación pública, se ha depurado la noción de “contratación directa”,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 han establecido sistemas de </w:t>
      </w:r>
      <w:r w:rsidRPr="00B93846">
        <w:rPr>
          <w:rFonts w:ascii="Verdana" w:eastAsia="Century Gothic" w:hAnsi="Verdana" w:cs="Century Gothic"/>
          <w:bCs/>
          <w:lang w:val="es-ES_tradnl" w:eastAsia="es-ES_tradnl"/>
        </w:rPr>
        <w:lastRenderedPageBreak/>
        <w:t xml:space="preserve">contratación que implican convocatoria pública y participación de varios oferentes”. </w:t>
      </w:r>
    </w:p>
    <w:p w14:paraId="1E8C7352" w14:textId="77777777" w:rsidR="00B93846" w:rsidRPr="00B93846" w:rsidRDefault="00B93846" w:rsidP="00B93846">
      <w:pPr>
        <w:spacing w:after="120" w:line="276" w:lineRule="auto"/>
        <w:ind w:firstLine="708"/>
        <w:jc w:val="both"/>
        <w:rPr>
          <w:rFonts w:ascii="Verdana" w:eastAsia="Century Gothic" w:hAnsi="Verdana" w:cs="Century Gothic"/>
          <w:bCs/>
          <w:lang w:val="es-ES_tradnl" w:eastAsia="es-ES_tradnl"/>
        </w:rPr>
      </w:pPr>
      <w:r w:rsidRPr="00B93846">
        <w:rPr>
          <w:rFonts w:ascii="Verdana" w:eastAsia="Century Gothic" w:hAnsi="Verdana" w:cs="Century Gothic"/>
          <w:bCs/>
          <w:lang w:val="es-ES_tradnl" w:eastAsia="es-ES_tradnl"/>
        </w:rPr>
        <w:t xml:space="preserve">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 </w:t>
      </w:r>
    </w:p>
    <w:p w14:paraId="0D30E217" w14:textId="77777777" w:rsidR="00B93846" w:rsidRPr="00B93846" w:rsidRDefault="00B93846" w:rsidP="00B93846">
      <w:pPr>
        <w:spacing w:after="120" w:line="276" w:lineRule="auto"/>
        <w:ind w:firstLine="708"/>
        <w:jc w:val="both"/>
        <w:rPr>
          <w:rFonts w:ascii="Verdana" w:eastAsia="Century Gothic" w:hAnsi="Verdana" w:cs="Century Gothic"/>
          <w:lang w:val="es-ES" w:eastAsia="es-ES_tradnl"/>
        </w:rPr>
      </w:pPr>
      <w:r w:rsidRPr="00B93846">
        <w:rPr>
          <w:rFonts w:ascii="Verdana" w:eastAsia="Century Gothic" w:hAnsi="Verdana" w:cs="Century Gothic"/>
          <w:lang w:val="es-ES" w:eastAsia="es-ES_tradnl"/>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275E42E8" w14:textId="77777777" w:rsidR="00B93846" w:rsidRPr="00B93846" w:rsidRDefault="00B93846" w:rsidP="00B93846">
      <w:pPr>
        <w:spacing w:after="120" w:line="276" w:lineRule="auto"/>
        <w:ind w:firstLine="708"/>
        <w:jc w:val="both"/>
        <w:rPr>
          <w:rFonts w:ascii="Verdana" w:eastAsia="Century Gothic" w:hAnsi="Verdana" w:cs="Century Gothic"/>
          <w:bCs/>
          <w:lang w:val="es-ES_tradnl" w:eastAsia="es-ES_tradnl"/>
        </w:rPr>
      </w:pPr>
      <w:r w:rsidRPr="00B93846">
        <w:rPr>
          <w:rFonts w:ascii="Verdana" w:eastAsia="Century Gothic" w:hAnsi="Verdana" w:cs="Century Gothic"/>
          <w:bCs/>
          <w:lang w:val="es-ES_tradnl" w:eastAsia="es-ES_tradnl"/>
        </w:rPr>
        <w:t>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p>
    <w:p w14:paraId="66397ABF" w14:textId="77777777" w:rsidR="00B93846" w:rsidRPr="00B93846" w:rsidRDefault="00B93846" w:rsidP="00B93846">
      <w:pPr>
        <w:spacing w:after="120" w:line="276" w:lineRule="auto"/>
        <w:ind w:firstLine="709"/>
        <w:jc w:val="both"/>
        <w:rPr>
          <w:rFonts w:ascii="Verdana" w:eastAsia="Century Gothic" w:hAnsi="Verdana" w:cs="Century Gothic"/>
          <w:lang w:val="es-ES" w:eastAsia="es-ES_tradnl"/>
        </w:rPr>
      </w:pPr>
      <w:r w:rsidRPr="00B93846">
        <w:rPr>
          <w:rFonts w:ascii="Verdana" w:eastAsia="Century Gothic" w:hAnsi="Verdana" w:cs="Century Gothic"/>
          <w:lang w:val="es-ES" w:eastAsia="es-ES_tradnl"/>
        </w:rPr>
        <w:t xml:space="preserve">De lo anterior se desprende que la restricción aplica, e, para celebrar cualquier contrato de forma directa, esto es, sin que exista un proceso abierto y competitivo. De esta manera, si los convenios de cooperación académica, a los que se refiere en su consulta, se celebran de forma directa, no podrán perfeccionarse en vigencia de las restricciones de la Ley de Garantías Electorales. Contrario sensu, podrán contratarse bajo sistemas abiertos y competitivos, </w:t>
      </w:r>
      <w:r w:rsidRPr="00B93846">
        <w:rPr>
          <w:rFonts w:ascii="Verdana" w:eastAsia="Century Gothic" w:hAnsi="Verdana" w:cs="Century Gothic"/>
          <w:lang w:val="es-ES" w:eastAsia="es-ES_tradnl"/>
        </w:rPr>
        <w:lastRenderedPageBreak/>
        <w:t xml:space="preserve">como las demás modalidades de selección previstas en la Ley 1150 de 2007, es decir, la licitación pública, el concurso de méritos, la selección abreviada y la mínima cuantía. </w:t>
      </w:r>
    </w:p>
    <w:p w14:paraId="4626E1A1" w14:textId="77777777" w:rsidR="00B93846" w:rsidRPr="00B93846" w:rsidRDefault="00B93846" w:rsidP="00B93846">
      <w:pPr>
        <w:spacing w:after="120" w:line="276" w:lineRule="auto"/>
        <w:ind w:firstLine="709"/>
        <w:jc w:val="both"/>
        <w:rPr>
          <w:rFonts w:ascii="Verdana" w:eastAsia="Times New Roman" w:hAnsi="Verdana" w:cs="Arial"/>
          <w:bCs/>
          <w:lang w:val="es-ES" w:eastAsia="es-CO" w:bidi="es-ES"/>
        </w:rPr>
      </w:pPr>
      <w:r w:rsidRPr="00B93846">
        <w:rPr>
          <w:rFonts w:ascii="Verdana" w:eastAsia="Times New Roman" w:hAnsi="Verdana" w:cs="Arial"/>
          <w:bCs/>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B93846">
        <w:rPr>
          <w:rFonts w:ascii="Verdana" w:eastAsia="Times New Roman" w:hAnsi="Verdana" w:cs="Arial"/>
          <w:bCs/>
          <w:lang w:val="es-ES" w:eastAsia="es-CO" w:bidi="es-ES"/>
        </w:rPr>
        <w:t>ii</w:t>
      </w:r>
      <w:proofErr w:type="spellEnd"/>
      <w:r w:rsidRPr="00B93846">
        <w:rPr>
          <w:rFonts w:ascii="Verdana" w:eastAsia="Times New Roman" w:hAnsi="Verdana" w:cs="Arial"/>
          <w:bCs/>
          <w:lang w:val="es-ES" w:eastAsia="es-CO" w:bidi="es-ES"/>
        </w:rPr>
        <w:t xml:space="preserve">) los contratos de crédito público; </w:t>
      </w:r>
      <w:proofErr w:type="spellStart"/>
      <w:r w:rsidRPr="00B93846">
        <w:rPr>
          <w:rFonts w:ascii="Verdana" w:eastAsia="Times New Roman" w:hAnsi="Verdana" w:cs="Arial"/>
          <w:bCs/>
          <w:lang w:val="es-ES" w:eastAsia="es-CO" w:bidi="es-ES"/>
        </w:rPr>
        <w:t>iii</w:t>
      </w:r>
      <w:proofErr w:type="spellEnd"/>
      <w:r w:rsidRPr="00B93846">
        <w:rPr>
          <w:rFonts w:ascii="Verdana" w:eastAsia="Times New Roman" w:hAnsi="Verdana" w:cs="Arial"/>
          <w:bCs/>
          <w:lang w:val="es-ES" w:eastAsia="es-CO" w:bidi="es-ES"/>
        </w:rPr>
        <w:t xml:space="preserve">) los requeridos para cubrir las emergencias educativas, sanitarias y desastres; </w:t>
      </w:r>
      <w:proofErr w:type="spellStart"/>
      <w:r w:rsidRPr="00B93846">
        <w:rPr>
          <w:rFonts w:ascii="Verdana" w:eastAsia="Times New Roman" w:hAnsi="Verdana" w:cs="Arial"/>
          <w:bCs/>
          <w:lang w:val="es-ES" w:eastAsia="es-CO" w:bidi="es-ES"/>
        </w:rPr>
        <w:t>iv</w:t>
      </w:r>
      <w:proofErr w:type="spellEnd"/>
      <w:r w:rsidRPr="00B93846">
        <w:rPr>
          <w:rFonts w:ascii="Verdana" w:eastAsia="Times New Roman" w:hAnsi="Verdana" w:cs="Arial"/>
          <w:bCs/>
          <w:lang w:val="es-ES" w:eastAsia="es-CO" w:bidi="es-ES"/>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w:t>
      </w:r>
    </w:p>
    <w:p w14:paraId="5CAABB13" w14:textId="77777777" w:rsidR="00B93846" w:rsidRPr="00B93846" w:rsidRDefault="00B93846" w:rsidP="00B93846">
      <w:pPr>
        <w:spacing w:after="120" w:line="276" w:lineRule="auto"/>
        <w:ind w:firstLine="709"/>
        <w:jc w:val="both"/>
        <w:rPr>
          <w:rFonts w:ascii="Verdana" w:eastAsia="Times New Roman" w:hAnsi="Verdana" w:cs="Arial"/>
          <w:bCs/>
          <w:lang w:eastAsia="x-none"/>
        </w:rPr>
      </w:pPr>
      <w:r w:rsidRPr="00B93846">
        <w:rPr>
          <w:rFonts w:ascii="Verdana" w:eastAsia="Times New Roman" w:hAnsi="Verdana" w:cs="Arial"/>
          <w:bCs/>
          <w:lang w:val="es-ES" w:eastAsia="es-CO" w:bidi="es-ES"/>
        </w:rPr>
        <w:t xml:space="preserve">En todo caso, </w:t>
      </w:r>
      <w:r w:rsidRPr="00B93846">
        <w:rPr>
          <w:rFonts w:ascii="Verdana" w:eastAsia="Times New Roman" w:hAnsi="Verdana" w:cs="Arial"/>
          <w:bCs/>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p>
    <w:p w14:paraId="1CD79CB9" w14:textId="77777777" w:rsidR="00B93846" w:rsidRPr="00B93846" w:rsidRDefault="00B93846" w:rsidP="00B93846">
      <w:pPr>
        <w:spacing w:after="120" w:line="276" w:lineRule="auto"/>
        <w:ind w:firstLine="709"/>
        <w:jc w:val="both"/>
        <w:rPr>
          <w:rFonts w:ascii="Verdana" w:eastAsia="Times New Roman" w:hAnsi="Verdana" w:cs="Arial"/>
          <w:bCs/>
          <w:lang w:val="es-MX" w:eastAsia="x-none"/>
        </w:rPr>
      </w:pPr>
      <w:r w:rsidRPr="00B93846">
        <w:rPr>
          <w:rFonts w:ascii="Verdana" w:eastAsia="Times New Roman" w:hAnsi="Verdana" w:cs="Arial"/>
          <w:bCs/>
          <w:lang w:val="es-MX" w:eastAsia="x-none"/>
        </w:rPr>
        <w:t xml:space="preserve">En esta labor es importante tener en cuenta, como lo anotó la Corte Constitucional, en Sentencia C-1153 de noviembre 11 de 2005 </w:t>
      </w:r>
      <w:bookmarkStart w:id="4" w:name="_Hlk74309042"/>
      <w:r w:rsidRPr="00B93846">
        <w:rPr>
          <w:rFonts w:ascii="Verdana" w:eastAsia="Times New Roman" w:hAnsi="Verdana" w:cs="Arial"/>
          <w:bCs/>
          <w:lang w:val="es-MX" w:eastAsia="x-none"/>
        </w:rPr>
        <w:t>que “</w:t>
      </w:r>
      <w:bookmarkEnd w:id="4"/>
      <w:r w:rsidRPr="00B93846">
        <w:rPr>
          <w:rFonts w:ascii="Verdana" w:eastAsia="Times New Roman" w:hAnsi="Verdana" w:cs="Arial"/>
          <w:bCs/>
          <w:lang w:val="es-MX" w:eastAsia="x-none"/>
        </w:rPr>
        <w:t xml:space="preserve">si bien la limitación garantiza la igualdad de condiciones, también es necesario que tal limitación que pretende la igualdad </w:t>
      </w:r>
      <w:bookmarkStart w:id="5" w:name="_Hlk75768308"/>
      <w:r w:rsidRPr="00B93846">
        <w:rPr>
          <w:rFonts w:ascii="Verdana" w:eastAsia="Times New Roman" w:hAnsi="Verdana" w:cs="Arial"/>
          <w:bCs/>
          <w:lang w:val="es-MX" w:eastAsia="x-none"/>
        </w:rPr>
        <w:t>no termine yendo en detrimento de intereses públicos, cuya garantía está en cabeza del ejecutivo, como son los inmersos en las excepciones para la prohibición de contratación”</w:t>
      </w:r>
      <w:r w:rsidRPr="00B93846">
        <w:rPr>
          <w:rFonts w:ascii="Verdana" w:eastAsia="Times New Roman" w:hAnsi="Verdana" w:cs="Arial"/>
          <w:vertAlign w:val="superscript"/>
          <w:lang w:val="es-MX" w:eastAsia="es-ES_tradnl"/>
        </w:rPr>
        <w:footnoteReference w:id="1"/>
      </w:r>
      <w:r w:rsidRPr="00B93846">
        <w:rPr>
          <w:rFonts w:ascii="Verdana" w:eastAsia="Times New Roman" w:hAnsi="Verdana" w:cs="Arial"/>
          <w:bCs/>
          <w:lang w:val="es-MX" w:eastAsia="x-none"/>
        </w:rPr>
        <w:t xml:space="preserve">. De ahí que la Corte haya señalado que las excepciones a la restricción protegen diversos tipos de urgencias de defensa, salud, educación, infraestructura vial y de servicios </w:t>
      </w:r>
      <w:r w:rsidRPr="00B93846">
        <w:rPr>
          <w:rFonts w:ascii="Verdana" w:eastAsia="Times New Roman" w:hAnsi="Verdana" w:cs="Arial"/>
          <w:bCs/>
          <w:lang w:val="es-MX" w:eastAsia="x-none"/>
        </w:rPr>
        <w:lastRenderedPageBreak/>
        <w:t>públicos y ecológicas, que tienden a no limitar desproporcionadamente la acción del Estado en el cumplimiento de sus fines, en procura de la igualdad entre los candidatos como garantía electoral.</w:t>
      </w:r>
      <w:bookmarkEnd w:id="5"/>
    </w:p>
    <w:p w14:paraId="16A4305D" w14:textId="77777777" w:rsidR="00B93846" w:rsidRPr="00B93846" w:rsidRDefault="00B93846" w:rsidP="00B93846">
      <w:pPr>
        <w:shd w:val="clear" w:color="auto" w:fill="FFFFFF"/>
        <w:spacing w:after="120" w:line="276" w:lineRule="auto"/>
        <w:ind w:firstLine="709"/>
        <w:jc w:val="both"/>
        <w:rPr>
          <w:rFonts w:ascii="Verdana" w:eastAsia="Times New Roman" w:hAnsi="Verdana" w:cs="Arial"/>
          <w:lang w:val="es-ES" w:eastAsia="es-CO"/>
        </w:rPr>
      </w:pPr>
      <w:r w:rsidRPr="00B93846">
        <w:rPr>
          <w:rFonts w:ascii="Verdana" w:eastAsia="Times New Roman" w:hAnsi="Verdana" w:cs="Arial"/>
          <w:lang w:val="es-ES" w:eastAsia="es-CO"/>
        </w:rPr>
        <w:t xml:space="preserve">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declarando su </w:t>
      </w:r>
      <w:proofErr w:type="spellStart"/>
      <w:r w:rsidRPr="00B93846">
        <w:rPr>
          <w:rFonts w:ascii="Verdana" w:eastAsia="Times New Roman" w:hAnsi="Verdana" w:cs="Arial"/>
          <w:lang w:val="es-ES" w:eastAsia="es-CO"/>
        </w:rPr>
        <w:t>exequibilidad</w:t>
      </w:r>
      <w:proofErr w:type="spellEnd"/>
      <w:r w:rsidRPr="00B93846">
        <w:rPr>
          <w:rFonts w:ascii="Verdana" w:eastAsia="Times New Roman" w:hAnsi="Verdana" w:cs="Arial"/>
          <w:lang w:val="es-ES" w:eastAsia="es-CO"/>
        </w:rPr>
        <w:t>. Así, por ejemplo, la Corte Constitucional explicó que “(…)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00B93846">
        <w:rPr>
          <w:rFonts w:ascii="Verdana" w:eastAsia="Times New Roman" w:hAnsi="Verdana" w:cs="Arial"/>
          <w:vertAlign w:val="superscript"/>
          <w:lang w:val="es-ES" w:eastAsia="es-CO"/>
        </w:rPr>
        <w:footnoteReference w:id="2"/>
      </w:r>
      <w:r w:rsidRPr="00B93846">
        <w:rPr>
          <w:rFonts w:ascii="Verdana" w:eastAsia="Times New Roman" w:hAnsi="Verdana" w:cs="Arial"/>
          <w:lang w:val="es-ES" w:eastAsia="es-CO"/>
        </w:rPr>
        <w:t xml:space="preserve">. </w:t>
      </w:r>
    </w:p>
    <w:p w14:paraId="33E01A61" w14:textId="77777777" w:rsidR="00B93846" w:rsidRPr="00B93846" w:rsidRDefault="00B93846" w:rsidP="00B93846">
      <w:pPr>
        <w:spacing w:after="120" w:line="276" w:lineRule="auto"/>
        <w:ind w:firstLine="708"/>
        <w:jc w:val="both"/>
        <w:rPr>
          <w:rFonts w:ascii="Verdana" w:eastAsia="Times New Roman" w:hAnsi="Verdana" w:cs="Arial"/>
          <w:bCs/>
          <w:lang w:val="es-MX" w:eastAsia="x-none"/>
        </w:rPr>
      </w:pPr>
      <w:r w:rsidRPr="00B93846">
        <w:rPr>
          <w:rFonts w:ascii="Verdana" w:eastAsia="Times New Roman" w:hAnsi="Verdana" w:cs="Arial"/>
          <w:bCs/>
          <w:lang w:val="es-MX" w:eastAsia="x-none"/>
        </w:rPr>
        <w:t>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w:t>
      </w:r>
      <w:r w:rsidRPr="00B93846">
        <w:rPr>
          <w:rFonts w:ascii="Verdana" w:eastAsia="Calibri" w:hAnsi="Verdana" w:cs="Arial"/>
          <w:lang w:val="es-MX" w:eastAsia="es-ES_tradnl"/>
        </w:rPr>
        <w:t xml:space="preserve"> </w:t>
      </w:r>
      <w:r w:rsidRPr="00B93846">
        <w:rPr>
          <w:rFonts w:ascii="Verdana" w:eastAsia="Times New Roman" w:hAnsi="Verdana" w:cs="Arial"/>
          <w:bCs/>
          <w:lang w:val="es-MX" w:eastAsia="x-none"/>
        </w:rPr>
        <w:t>En efecto, tal como lo ha sostenido el Consejo de Estado, el vocablo “todos” utilizado por el legislador comprende</w:t>
      </w:r>
      <w:r w:rsidRPr="00B93846">
        <w:rPr>
          <w:rFonts w:ascii="Verdana" w:eastAsia="Calibri" w:hAnsi="Verdana" w:cs="Arial"/>
          <w:lang w:val="es-MX" w:eastAsia="es-ES_tradnl"/>
        </w:rPr>
        <w:t xml:space="preserve"> </w:t>
      </w:r>
      <w:r w:rsidRPr="00B93846">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3760D6BA" w14:textId="77777777" w:rsidR="00B93846" w:rsidRPr="00B93846" w:rsidRDefault="00B93846" w:rsidP="00B93846">
      <w:pPr>
        <w:spacing w:after="0" w:line="276" w:lineRule="auto"/>
        <w:ind w:firstLine="708"/>
        <w:jc w:val="both"/>
        <w:rPr>
          <w:rFonts w:ascii="Verdana" w:eastAsia="Times New Roman" w:hAnsi="Verdana" w:cs="Arial"/>
          <w:bCs/>
          <w:lang w:val="es-MX" w:eastAsia="x-none"/>
        </w:rPr>
      </w:pPr>
      <w:r w:rsidRPr="00B93846">
        <w:rPr>
          <w:rFonts w:ascii="Verdana" w:eastAsia="Times New Roman" w:hAnsi="Verdana" w:cs="Arial"/>
          <w:bCs/>
          <w:lang w:val="es-ES_tradnl" w:eastAsia="x-none"/>
        </w:rPr>
        <w:t xml:space="preserve">La Sala de Consulta y Servicio Civil del Consejo de Estado, en Concepto 1727 de fecha 20 de febrero de 2006, consideró que: </w:t>
      </w:r>
    </w:p>
    <w:p w14:paraId="191A6F18" w14:textId="77777777" w:rsidR="00B93846" w:rsidRPr="00B93846" w:rsidRDefault="00B93846" w:rsidP="00B93846">
      <w:pPr>
        <w:spacing w:after="0" w:line="276" w:lineRule="auto"/>
        <w:jc w:val="both"/>
        <w:rPr>
          <w:rFonts w:ascii="Verdana" w:eastAsia="Times New Roman" w:hAnsi="Verdana" w:cs="Arial"/>
          <w:bCs/>
          <w:lang w:val="es-MX" w:eastAsia="x-none"/>
        </w:rPr>
      </w:pPr>
    </w:p>
    <w:p w14:paraId="2624B72C" w14:textId="77777777" w:rsidR="00B93846" w:rsidRPr="00B93846" w:rsidRDefault="00B93846" w:rsidP="00B93846">
      <w:pPr>
        <w:spacing w:after="0" w:line="240" w:lineRule="auto"/>
        <w:ind w:left="708" w:right="709"/>
        <w:jc w:val="both"/>
        <w:rPr>
          <w:rFonts w:ascii="Verdana" w:eastAsia="Times New Roman" w:hAnsi="Verdana" w:cs="Arial"/>
          <w:bCs/>
          <w:sz w:val="20"/>
          <w:szCs w:val="20"/>
          <w:lang w:val="es-MX" w:eastAsia="es-CO"/>
        </w:rPr>
      </w:pPr>
      <w:r w:rsidRPr="00B93846">
        <w:rPr>
          <w:rFonts w:ascii="Verdana" w:eastAsia="Times New Roman" w:hAnsi="Verdana" w:cs="Arial"/>
          <w:bCs/>
          <w:sz w:val="20"/>
          <w:szCs w:val="20"/>
          <w:lang w:val="es-MX" w:eastAsia="x-none"/>
        </w:rPr>
        <w:t xml:space="preserve">“El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w:t>
      </w:r>
      <w:r w:rsidRPr="00B93846">
        <w:rPr>
          <w:rFonts w:ascii="Verdana" w:eastAsia="Times New Roman" w:hAnsi="Verdana" w:cs="Arial"/>
          <w:bCs/>
          <w:sz w:val="20"/>
          <w:szCs w:val="20"/>
          <w:lang w:val="es-MX" w:eastAsia="x-none"/>
        </w:rPr>
        <w:lastRenderedPageBreak/>
        <w:t>servicios públicos domiciliarios (empresas de servicios públicos oficiales y empresas industriales y comerciales del Estado) y a los municipios prestadores directos, incluyendo las excepciones contenidas en el segundo inciso de esta norma”</w:t>
      </w:r>
      <w:r w:rsidRPr="00B93846">
        <w:rPr>
          <w:rFonts w:ascii="Verdana" w:eastAsia="Times New Roman" w:hAnsi="Verdana" w:cs="Arial"/>
          <w:bCs/>
          <w:sz w:val="20"/>
          <w:szCs w:val="20"/>
          <w:vertAlign w:val="superscript"/>
          <w:lang w:val="es-MX" w:eastAsia="x-none"/>
        </w:rPr>
        <w:footnoteReference w:id="3"/>
      </w:r>
      <w:r w:rsidRPr="00B93846">
        <w:rPr>
          <w:rFonts w:ascii="Verdana" w:eastAsia="Times New Roman" w:hAnsi="Verdana" w:cs="Arial"/>
          <w:bCs/>
          <w:sz w:val="20"/>
          <w:szCs w:val="20"/>
          <w:lang w:val="es-MX" w:eastAsia="x-none"/>
        </w:rPr>
        <w:t>.</w:t>
      </w:r>
      <w:r w:rsidRPr="00B93846">
        <w:rPr>
          <w:rFonts w:ascii="Verdana" w:eastAsia="Times New Roman" w:hAnsi="Verdana" w:cs="Arial"/>
          <w:bCs/>
          <w:sz w:val="20"/>
          <w:szCs w:val="20"/>
          <w:lang w:val="es-MX" w:eastAsia="es-CO"/>
        </w:rPr>
        <w:t xml:space="preserve"> </w:t>
      </w:r>
    </w:p>
    <w:p w14:paraId="6993E973" w14:textId="77777777" w:rsidR="00B93846" w:rsidRPr="00B93846" w:rsidRDefault="00B93846" w:rsidP="00B93846">
      <w:pPr>
        <w:spacing w:after="0" w:line="276" w:lineRule="auto"/>
        <w:ind w:firstLine="708"/>
        <w:jc w:val="both"/>
        <w:rPr>
          <w:rFonts w:ascii="Verdana" w:eastAsia="Times New Roman" w:hAnsi="Verdana" w:cs="Arial"/>
          <w:bCs/>
          <w:lang w:val="es-MX" w:eastAsia="es-CO"/>
        </w:rPr>
      </w:pPr>
    </w:p>
    <w:p w14:paraId="6A6FD224" w14:textId="77777777" w:rsidR="00B93846" w:rsidRPr="00B93846" w:rsidRDefault="00B93846" w:rsidP="00B93846">
      <w:pPr>
        <w:spacing w:after="120" w:line="276" w:lineRule="auto"/>
        <w:ind w:firstLine="708"/>
        <w:jc w:val="both"/>
        <w:rPr>
          <w:rFonts w:ascii="Verdana" w:eastAsia="Calibri" w:hAnsi="Verdana" w:cs="Arial"/>
          <w:lang w:val="es-MX" w:eastAsia="es-ES_tradnl"/>
        </w:rPr>
      </w:pPr>
      <w:r w:rsidRPr="00B93846">
        <w:rPr>
          <w:rFonts w:ascii="Verdana" w:eastAsia="Times New Roman" w:hAnsi="Verdana" w:cs="Arial"/>
          <w:bCs/>
          <w:lang w:val="es-MX" w:eastAsia="x-none"/>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B93846">
        <w:rPr>
          <w:rFonts w:ascii="Verdana" w:eastAsia="Calibri" w:hAnsi="Verdana" w:cs="Arial"/>
          <w:vertAlign w:val="superscript"/>
          <w:lang w:val="es-MX" w:eastAsia="es-ES_tradnl"/>
        </w:rPr>
        <w:footnoteReference w:id="4"/>
      </w:r>
      <w:r w:rsidRPr="00B93846">
        <w:rPr>
          <w:rFonts w:ascii="Verdana" w:eastAsia="Times New Roman" w:hAnsi="Verdana" w:cs="Arial"/>
          <w:bCs/>
          <w:lang w:val="es-MX" w:eastAsia="x-none"/>
        </w:rPr>
        <w:t>.</w:t>
      </w:r>
      <w:r w:rsidRPr="00B93846">
        <w:rPr>
          <w:rFonts w:ascii="Verdana" w:eastAsia="Calibri" w:hAnsi="Verdana" w:cs="Arial"/>
          <w:lang w:val="es-MX" w:eastAsia="es-ES_tradnl"/>
        </w:rPr>
        <w:t xml:space="preserve"> </w:t>
      </w:r>
    </w:p>
    <w:p w14:paraId="5EDDA876" w14:textId="77777777" w:rsidR="00B93846" w:rsidRPr="00B93846" w:rsidRDefault="00B93846" w:rsidP="00B93846">
      <w:pPr>
        <w:spacing w:after="0" w:line="276" w:lineRule="auto"/>
        <w:ind w:firstLine="708"/>
        <w:jc w:val="both"/>
        <w:rPr>
          <w:rFonts w:ascii="Verdana" w:eastAsia="Calibri" w:hAnsi="Verdana" w:cs="Arial"/>
          <w:lang w:val="es-MX" w:eastAsia="es-ES_tradnl"/>
        </w:rPr>
      </w:pPr>
      <w:r w:rsidRPr="00B93846">
        <w:rPr>
          <w:rFonts w:ascii="Verdana" w:eastAsia="Calibri" w:hAnsi="Verdana" w:cs="Arial"/>
          <w:lang w:val="es-MX" w:eastAsia="es-ES_tradnl"/>
        </w:rPr>
        <w:t>Además, la Sala de Consulta y Servicio Civil del Consejo de Estado realizó la siguiente distinción, retomando el pronunciamiento de la misma sala del 20 de febrero de 2006, citado anteriormente:</w:t>
      </w:r>
    </w:p>
    <w:p w14:paraId="78949A98" w14:textId="77777777" w:rsidR="00B93846" w:rsidRPr="00B93846" w:rsidRDefault="00B93846" w:rsidP="00B93846">
      <w:pPr>
        <w:spacing w:after="0" w:line="276" w:lineRule="auto"/>
        <w:jc w:val="both"/>
        <w:rPr>
          <w:rFonts w:ascii="Verdana" w:eastAsia="Calibri" w:hAnsi="Verdana" w:cs="Arial"/>
          <w:lang w:val="es-MX" w:eastAsia="es-ES_tradnl"/>
        </w:rPr>
      </w:pPr>
    </w:p>
    <w:p w14:paraId="77FBB05A" w14:textId="77777777" w:rsidR="00B93846" w:rsidRPr="00B93846" w:rsidRDefault="00B93846" w:rsidP="00B93846">
      <w:pPr>
        <w:spacing w:after="0" w:line="240" w:lineRule="auto"/>
        <w:ind w:left="708" w:right="709"/>
        <w:jc w:val="both"/>
        <w:rPr>
          <w:rFonts w:ascii="Verdana" w:eastAsia="Calibri" w:hAnsi="Verdana" w:cs="Arial"/>
          <w:sz w:val="20"/>
          <w:szCs w:val="20"/>
          <w:lang w:val="es-MX" w:eastAsia="es-ES_tradnl"/>
        </w:rPr>
      </w:pPr>
      <w:r w:rsidRPr="00B93846">
        <w:rPr>
          <w:rFonts w:ascii="Verdana" w:eastAsia="Calibri" w:hAnsi="Verdana" w:cs="Arial"/>
          <w:sz w:val="20"/>
          <w:szCs w:val="20"/>
          <w:lang w:val="es-MX" w:eastAsia="es-ES_tradnl"/>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w:t>
      </w:r>
      <w:r w:rsidRPr="00B93846">
        <w:rPr>
          <w:rFonts w:ascii="Verdana" w:eastAsia="Calibri" w:hAnsi="Verdana" w:cs="Arial"/>
          <w:sz w:val="20"/>
          <w:szCs w:val="20"/>
          <w:lang w:val="es-MX" w:eastAsia="es-ES_tradnl"/>
        </w:rPr>
        <w:lastRenderedPageBreak/>
        <w:t>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0DA965B5" w14:textId="77777777" w:rsidR="00B93846" w:rsidRPr="00B93846" w:rsidRDefault="00B93846" w:rsidP="00B93846">
      <w:pPr>
        <w:spacing w:after="0" w:line="240" w:lineRule="auto"/>
        <w:ind w:left="708" w:right="709"/>
        <w:jc w:val="both"/>
        <w:rPr>
          <w:rFonts w:ascii="Verdana" w:eastAsia="Calibri" w:hAnsi="Verdana" w:cs="Arial"/>
          <w:sz w:val="20"/>
          <w:szCs w:val="20"/>
          <w:lang w:val="es-MX" w:eastAsia="es-ES_tradnl"/>
        </w:rPr>
      </w:pPr>
    </w:p>
    <w:p w14:paraId="36AF91B8" w14:textId="77777777" w:rsidR="00B93846" w:rsidRPr="00B93846" w:rsidRDefault="00B93846" w:rsidP="00B93846">
      <w:pPr>
        <w:spacing w:after="0" w:line="240" w:lineRule="auto"/>
        <w:ind w:left="708" w:right="709"/>
        <w:jc w:val="both"/>
        <w:rPr>
          <w:rFonts w:ascii="Verdana" w:eastAsia="Calibri" w:hAnsi="Verdana" w:cs="Arial"/>
          <w:sz w:val="20"/>
          <w:szCs w:val="20"/>
          <w:lang w:val="es-MX" w:eastAsia="es-ES_tradnl"/>
        </w:rPr>
      </w:pPr>
      <w:r w:rsidRPr="00B93846">
        <w:rPr>
          <w:rFonts w:ascii="Verdana" w:eastAsia="Times New Roman" w:hAnsi="Verdana" w:cs="Arial"/>
          <w:bCs/>
          <w:sz w:val="20"/>
          <w:szCs w:val="20"/>
          <w:lang w:val="es-MX" w:eastAsia="x-none"/>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B93846">
        <w:rPr>
          <w:rFonts w:ascii="Verdana" w:eastAsia="Calibri" w:hAnsi="Verdana" w:cs="Arial"/>
          <w:sz w:val="20"/>
          <w:szCs w:val="20"/>
          <w:vertAlign w:val="superscript"/>
          <w:lang w:val="es-MX" w:eastAsia="es-ES_tradnl"/>
        </w:rPr>
        <w:footnoteReference w:id="5"/>
      </w:r>
      <w:r w:rsidRPr="00B93846">
        <w:rPr>
          <w:rFonts w:ascii="Verdana" w:eastAsia="Times New Roman" w:hAnsi="Verdana" w:cs="Arial"/>
          <w:bCs/>
          <w:sz w:val="20"/>
          <w:szCs w:val="20"/>
          <w:lang w:val="es-MX" w:eastAsia="x-none"/>
        </w:rPr>
        <w:t>.</w:t>
      </w:r>
    </w:p>
    <w:p w14:paraId="087605D5" w14:textId="77777777" w:rsidR="00B93846" w:rsidRPr="00B93846" w:rsidRDefault="00B93846" w:rsidP="00B93846">
      <w:pPr>
        <w:spacing w:after="0" w:line="276" w:lineRule="auto"/>
        <w:jc w:val="both"/>
        <w:rPr>
          <w:rFonts w:ascii="Verdana" w:eastAsia="Calibri" w:hAnsi="Verdana" w:cs="Arial"/>
          <w:lang w:val="es-MX" w:eastAsia="es-ES_tradnl"/>
        </w:rPr>
      </w:pPr>
    </w:p>
    <w:p w14:paraId="32CA6285" w14:textId="77777777" w:rsidR="00B93846" w:rsidRPr="00B93846" w:rsidRDefault="00B93846" w:rsidP="00B93846">
      <w:pPr>
        <w:spacing w:after="120" w:line="276" w:lineRule="auto"/>
        <w:ind w:firstLine="709"/>
        <w:jc w:val="both"/>
        <w:rPr>
          <w:rFonts w:ascii="Verdana" w:eastAsia="Times New Roman" w:hAnsi="Verdana" w:cs="Arial"/>
          <w:lang w:eastAsia="es-CO"/>
        </w:rPr>
      </w:pPr>
      <w:r w:rsidRPr="00B93846">
        <w:rPr>
          <w:rFonts w:ascii="Verdana" w:eastAsia="Calibri" w:hAnsi="Verdana" w:cs="Arial"/>
          <w:lang w:val="es-MX" w:eastAsia="es-ES_tradnl"/>
        </w:rPr>
        <w:t xml:space="preserve">De acuerdo con estos pronunciamientos de la Sala de Consulta y Servicio Civil del Consejo de Estado, la prohibición de la contratación directa también aplica frente a las entidades exceptuadas de la aplicación del Estatuto General de Contratación de la Administración Pública y que se rigen en materia contractual por el derecho privado. Sin embargo, señaló que algunas de estas entidades, como sucede con las empresas de servicios públicos domiciliarios, los </w:t>
      </w:r>
      <w:r w:rsidRPr="00B93846">
        <w:rPr>
          <w:rFonts w:ascii="Verdana" w:eastAsia="Times New Roman" w:hAnsi="Verdana" w:cs="Arial"/>
          <w:bCs/>
          <w:lang w:val="es-MX" w:eastAsia="x-none"/>
        </w:rPr>
        <w:t>establecimientos de crédito, las sociedades de servicios financieros y las entidades aseguradoras</w:t>
      </w:r>
      <w:r w:rsidRPr="00B93846">
        <w:rPr>
          <w:rFonts w:ascii="Verdana" w:eastAsia="Calibri" w:hAnsi="Verdana" w:cs="Arial"/>
          <w:lang w:val="es-MX" w:eastAsia="es-ES_tradnl"/>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w:t>
      </w:r>
      <w:r w:rsidRPr="00B93846">
        <w:rPr>
          <w:rFonts w:ascii="Verdana" w:eastAsia="Calibri" w:hAnsi="Verdana" w:cs="Arial"/>
          <w:lang w:val="es-MX" w:eastAsia="es-ES_tradnl"/>
        </w:rPr>
        <w:lastRenderedPageBreak/>
        <w:t>personas, ni dejar de renovar los contratos existentes, pues significaría la parálisis de una actividad propia de la administración, que incluso podría desconocer los derechos fundamentales”</w:t>
      </w:r>
      <w:r w:rsidRPr="00B93846">
        <w:rPr>
          <w:rFonts w:ascii="Verdana" w:eastAsia="Calibri" w:hAnsi="Verdana" w:cs="Arial"/>
          <w:vertAlign w:val="superscript"/>
          <w:lang w:val="es-MX" w:eastAsia="es-ES_tradnl"/>
        </w:rPr>
        <w:footnoteReference w:id="6"/>
      </w:r>
      <w:r w:rsidRPr="00B93846">
        <w:rPr>
          <w:rFonts w:ascii="Verdana" w:eastAsia="Calibri" w:hAnsi="Verdana" w:cs="Arial"/>
          <w:lang w:val="es-MX" w:eastAsia="es-ES_tradnl"/>
        </w:rPr>
        <w:t>.</w:t>
      </w:r>
      <w:r w:rsidRPr="00B93846">
        <w:rPr>
          <w:rFonts w:ascii="Verdana" w:eastAsia="Times New Roman" w:hAnsi="Verdana" w:cs="Arial"/>
          <w:lang w:eastAsia="es-CO"/>
        </w:rPr>
        <w:t xml:space="preserve"> </w:t>
      </w:r>
    </w:p>
    <w:p w14:paraId="19324D41" w14:textId="77777777" w:rsidR="00B93846" w:rsidRPr="00B93846" w:rsidRDefault="00B93846" w:rsidP="00B93846">
      <w:pPr>
        <w:spacing w:after="0" w:line="276" w:lineRule="auto"/>
        <w:ind w:firstLine="709"/>
        <w:jc w:val="both"/>
        <w:rPr>
          <w:rFonts w:ascii="Verdana" w:eastAsia="Times New Roman" w:hAnsi="Verdana" w:cs="Arial"/>
          <w:bCs/>
          <w:lang w:val="es-MX" w:eastAsia="x-none"/>
        </w:rPr>
      </w:pPr>
      <w:r w:rsidRPr="00B93846">
        <w:rPr>
          <w:rFonts w:ascii="Verdana" w:eastAsia="Times New Roman" w:hAnsi="Verdana" w:cs="Arial"/>
          <w:lang w:eastAsia="es-CO"/>
        </w:rPr>
        <w:t>Sin perjuicio de estos pronunciamientos de la Sala de Consulta y Servicio Civil</w:t>
      </w:r>
      <w:r w:rsidRPr="00B93846">
        <w:rPr>
          <w:rFonts w:ascii="Verdana" w:eastAsia="Calibri" w:hAnsi="Verdana" w:cs="Arial"/>
          <w:lang w:val="es-MX" w:eastAsia="es-ES_tradnl"/>
        </w:rPr>
        <w:t xml:space="preserve">, como la ha señalado esa misma Corporación, la restricción prevista en la Ley 996 de 2005 </w:t>
      </w:r>
      <w:r w:rsidRPr="00B93846">
        <w:rPr>
          <w:rFonts w:ascii="Verdana" w:eastAsia="Times New Roman" w:hAnsi="Verdana" w:cs="Arial"/>
          <w:bCs/>
          <w:lang w:val="es-MX" w:eastAsia="x-none"/>
        </w:rPr>
        <w:t>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 o por la ejecución de un cierto tipo de recursos en sus contrataciones, pues, la posibilidad de que los entes del Estado usen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39CA6E49" w14:textId="77777777" w:rsidR="00B93846" w:rsidRPr="00B93846" w:rsidRDefault="00B93846" w:rsidP="00B93846">
      <w:pPr>
        <w:spacing w:after="0" w:line="276" w:lineRule="auto"/>
        <w:ind w:firstLine="709"/>
        <w:jc w:val="both"/>
        <w:rPr>
          <w:rFonts w:ascii="Verdana" w:eastAsia="Times New Roman" w:hAnsi="Verdana" w:cs="Arial"/>
          <w:bCs/>
          <w:lang w:val="es-MX" w:eastAsia="x-none"/>
        </w:rPr>
      </w:pPr>
    </w:p>
    <w:p w14:paraId="25F5BEC9" w14:textId="77777777" w:rsidR="00B93846" w:rsidRPr="00B93846" w:rsidRDefault="00B93846" w:rsidP="00B93846">
      <w:pPr>
        <w:spacing w:after="120" w:line="276" w:lineRule="auto"/>
        <w:jc w:val="both"/>
        <w:rPr>
          <w:rFonts w:ascii="Verdana" w:eastAsia="Times New Roman" w:hAnsi="Verdana" w:cs="Arial"/>
          <w:lang w:val="es-ES" w:eastAsia="es-ES_tradnl"/>
        </w:rPr>
      </w:pPr>
      <w:r w:rsidRPr="00B93846">
        <w:rPr>
          <w:rFonts w:ascii="Verdana" w:eastAsia="Calibri" w:hAnsi="Verdana" w:cs="Arial"/>
          <w:lang w:eastAsia="es-ES_tradnl"/>
        </w:rPr>
        <w:t xml:space="preserve">v. </w:t>
      </w:r>
      <w:r w:rsidRPr="00B93846">
        <w:rPr>
          <w:rFonts w:ascii="Verdana" w:eastAsia="Times New Roman" w:hAnsi="Verdana" w:cs="Arial"/>
          <w:lang w:val="es-ES" w:eastAsia="es-ES_tradnl"/>
        </w:rPr>
        <w:t xml:space="preserve">Respecto del alcance del parágrafo </w:t>
      </w:r>
      <w:r w:rsidRPr="00B93846">
        <w:rPr>
          <w:rFonts w:ascii="Verdana" w:eastAsia="Times New Roman" w:hAnsi="Verdana" w:cs="Arial"/>
          <w:lang w:eastAsia="es-ES_tradnl"/>
        </w:rPr>
        <w:t>del artículo 38 de la Ley 996 de 2005, esta prohibición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B93846">
        <w:rPr>
          <w:rFonts w:ascii="Verdana" w:eastAsia="Times New Roman" w:hAnsi="Verdana" w:cs="Arial"/>
          <w:lang w:val="es-MX" w:eastAsia="x-none"/>
        </w:rPr>
        <w:t xml:space="preserve"> </w:t>
      </w:r>
    </w:p>
    <w:p w14:paraId="5FA4FDCF" w14:textId="77777777" w:rsidR="00B93846" w:rsidRPr="00B93846" w:rsidRDefault="00B93846" w:rsidP="00B93846">
      <w:pPr>
        <w:spacing w:after="120" w:line="276" w:lineRule="auto"/>
        <w:ind w:firstLine="709"/>
        <w:jc w:val="both"/>
        <w:rPr>
          <w:rFonts w:ascii="Verdana" w:eastAsia="Times New Roman" w:hAnsi="Verdana" w:cs="Arial"/>
          <w:lang w:eastAsia="es-ES"/>
        </w:rPr>
      </w:pPr>
      <w:r w:rsidRPr="00B93846">
        <w:rPr>
          <w:rFonts w:ascii="Verdana" w:eastAsia="Times New Roman" w:hAnsi="Verdana" w:cs="Arial"/>
          <w:lang w:val="es-ES" w:eastAsia="es-ES"/>
        </w:rPr>
        <w:t xml:space="preserve">Para tales efectos, debe precisarse que </w:t>
      </w:r>
      <w:r w:rsidRPr="00B93846">
        <w:rPr>
          <w:rFonts w:ascii="Verdana" w:eastAsia="Times New Roman" w:hAnsi="Verdana" w:cs="Arial"/>
          <w:color w:val="000000"/>
          <w:lang w:val="es-ES" w:eastAsia="es-CO"/>
        </w:rPr>
        <w:t xml:space="preserve">los contratos o convenios interadministrativos están determinados por un criterio orgánico, pues es necesario que los extremos de la relación contractual sean Entidades Públicas, </w:t>
      </w:r>
      <w:r w:rsidRPr="00B93846">
        <w:rPr>
          <w:rFonts w:ascii="Verdana" w:eastAsia="Times New Roman" w:hAnsi="Verdana" w:cs="Arial"/>
          <w:lang w:eastAsia="es-ES"/>
        </w:rPr>
        <w:t xml:space="preserve">independientemente de las normas que regulan la relación contractual. En este sentido, los convenios interadministrativos solo pueden ser celebrados entre </w:t>
      </w:r>
      <w:r w:rsidRPr="00B93846">
        <w:rPr>
          <w:rFonts w:ascii="Verdana" w:eastAsia="Times New Roman" w:hAnsi="Verdana" w:cs="Arial"/>
          <w:lang w:eastAsia="es-ES"/>
        </w:rPr>
        <w:lastRenderedPageBreak/>
        <w:t>Entidades Públicas, pues a éstas corresponde la realización de los fines y tareas que el legislador les ha asignado</w:t>
      </w:r>
      <w:r w:rsidRPr="00B93846">
        <w:rPr>
          <w:rFonts w:ascii="Verdana" w:eastAsia="Times New Roman" w:hAnsi="Verdana" w:cs="Arial"/>
          <w:vertAlign w:val="superscript"/>
          <w:lang w:eastAsia="es-ES"/>
        </w:rPr>
        <w:footnoteReference w:id="7"/>
      </w:r>
      <w:r w:rsidRPr="00B93846">
        <w:rPr>
          <w:rFonts w:ascii="Verdana" w:eastAsia="Times New Roman" w:hAnsi="Verdana" w:cs="Arial"/>
          <w:lang w:eastAsia="es-ES"/>
        </w:rPr>
        <w:t>.</w:t>
      </w:r>
    </w:p>
    <w:p w14:paraId="57A9D167" w14:textId="77777777" w:rsidR="00B93846" w:rsidRPr="00B93846" w:rsidRDefault="00B93846" w:rsidP="00B93846">
      <w:pPr>
        <w:spacing w:after="120" w:line="276" w:lineRule="auto"/>
        <w:ind w:firstLine="708"/>
        <w:jc w:val="both"/>
        <w:rPr>
          <w:rFonts w:ascii="Verdana" w:eastAsia="Times New Roman" w:hAnsi="Verdana" w:cs="Arial"/>
          <w:lang w:val="es-MX" w:eastAsia="es-CO"/>
        </w:rPr>
      </w:pPr>
      <w:r w:rsidRPr="00B93846">
        <w:rPr>
          <w:rFonts w:ascii="Verdana" w:eastAsia="Arial" w:hAnsi="Verdana" w:cs="Arial"/>
          <w:lang w:val="es-MX" w:eastAsia="es-ES" w:bidi="es-ES"/>
        </w:rPr>
        <w:t>De esta manera, se</w:t>
      </w:r>
      <w:r w:rsidRPr="00B93846">
        <w:rPr>
          <w:rFonts w:ascii="Verdana" w:eastAsia="Times New Roman" w:hAnsi="Verdana" w:cs="Arial"/>
          <w:lang w:eastAsia="es-CO"/>
        </w:rPr>
        <w:t xml:space="preserve"> observa entonces que </w:t>
      </w:r>
      <w:r w:rsidRPr="00B93846">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B93846">
        <w:rPr>
          <w:rFonts w:ascii="Verdana" w:eastAsia="Times New Roman" w:hAnsi="Verdana" w:cs="Arial"/>
          <w:i/>
          <w:iCs/>
          <w:lang w:val="es-MX" w:eastAsia="es-CO"/>
        </w:rPr>
        <w:t>convenios interadministrativos</w:t>
      </w:r>
      <w:r w:rsidRPr="00B93846">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B93846">
        <w:rPr>
          <w:rFonts w:ascii="Verdana" w:eastAsia="Times New Roman" w:hAnsi="Verdana" w:cs="Arial"/>
          <w:i/>
          <w:lang w:val="es-MX" w:eastAsia="es-CO"/>
        </w:rPr>
        <w:t>ibidem</w:t>
      </w:r>
      <w:r w:rsidRPr="00B93846">
        <w:rPr>
          <w:rFonts w:ascii="Verdana" w:eastAsia="Times New Roman" w:hAnsi="Verdana" w:cs="Arial"/>
          <w:lang w:val="es-MX" w:eastAsia="es-CO"/>
        </w:rPr>
        <w:t xml:space="preserve">, no podrá celebrar tales </w:t>
      </w:r>
      <w:r w:rsidRPr="00B93846">
        <w:rPr>
          <w:rFonts w:ascii="Verdana" w:eastAsia="Times New Roman" w:hAnsi="Verdana" w:cs="Arial"/>
          <w:i/>
          <w:iCs/>
          <w:lang w:val="es-MX" w:eastAsia="es-CO"/>
        </w:rPr>
        <w:t>convenios</w:t>
      </w:r>
      <w:r w:rsidRPr="00B93846">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28D34924" w14:textId="77777777" w:rsidR="00B93846" w:rsidRPr="00B93846" w:rsidRDefault="00B93846" w:rsidP="00B93846">
      <w:pPr>
        <w:spacing w:after="120" w:line="276" w:lineRule="auto"/>
        <w:ind w:firstLine="708"/>
        <w:jc w:val="both"/>
        <w:rPr>
          <w:rFonts w:ascii="Verdana" w:eastAsia="Times New Roman" w:hAnsi="Verdana" w:cs="Arial"/>
          <w:lang w:eastAsia="es-CO"/>
        </w:rPr>
      </w:pPr>
      <w:r w:rsidRPr="00B93846">
        <w:rPr>
          <w:rFonts w:ascii="Verdana" w:eastAsia="Times New Roman" w:hAnsi="Verdana" w:cs="Arial"/>
          <w:lang w:val="es-MX" w:eastAsia="es-CO"/>
        </w:rPr>
        <w:t xml:space="preserve">Respecto del alcance de esta prohibición, la Circular Externa No. 006 de 2025 expedida por la Agencia Nacional de Contratación Pública – Colombia Compra Eficiente, en los literales </w:t>
      </w:r>
      <w:proofErr w:type="spellStart"/>
      <w:r w:rsidRPr="00B93846">
        <w:rPr>
          <w:rFonts w:ascii="Verdana" w:eastAsia="Times New Roman" w:hAnsi="Verdana" w:cs="Arial"/>
          <w:lang w:val="es-MX" w:eastAsia="es-CO"/>
        </w:rPr>
        <w:t>ii</w:t>
      </w:r>
      <w:proofErr w:type="spellEnd"/>
      <w:r w:rsidRPr="00B93846">
        <w:rPr>
          <w:rFonts w:ascii="Verdana" w:eastAsia="Times New Roman" w:hAnsi="Verdana" w:cs="Arial"/>
          <w:lang w:val="es-MX" w:eastAsia="es-CO"/>
        </w:rPr>
        <w:t xml:space="preserve">) y </w:t>
      </w:r>
      <w:proofErr w:type="spellStart"/>
      <w:r w:rsidRPr="00B93846">
        <w:rPr>
          <w:rFonts w:ascii="Verdana" w:eastAsia="Times New Roman" w:hAnsi="Verdana" w:cs="Arial"/>
          <w:lang w:val="es-MX" w:eastAsia="es-CO"/>
        </w:rPr>
        <w:t>iv</w:t>
      </w:r>
      <w:proofErr w:type="spellEnd"/>
      <w:r w:rsidRPr="00B93846">
        <w:rPr>
          <w:rFonts w:ascii="Verdana" w:eastAsia="Times New Roman" w:hAnsi="Verdana" w:cs="Arial"/>
          <w:lang w:val="es-MX" w:eastAsia="es-CO"/>
        </w:rPr>
        <w:t>) del numeral 2</w:t>
      </w:r>
      <w:r w:rsidRPr="00B93846">
        <w:rPr>
          <w:rFonts w:ascii="Verdana" w:eastAsia="Times New Roman" w:hAnsi="Verdana" w:cs="Arial"/>
          <w:lang w:eastAsia="es-CO"/>
        </w:rPr>
        <w:t>,</w:t>
      </w:r>
      <w:r w:rsidRPr="00B93846">
        <w:rPr>
          <w:rFonts w:ascii="Verdana" w:eastAsia="Times New Roman" w:hAnsi="Verdana" w:cs="Arial"/>
          <w:lang w:val="es-MX" w:eastAsia="es-CO"/>
        </w:rPr>
        <w:t xml:space="preserve"> indica que el </w:t>
      </w:r>
      <w:r w:rsidRPr="00B93846">
        <w:rPr>
          <w:rFonts w:ascii="Verdana" w:eastAsia="Times New Roman" w:hAnsi="Verdana" w:cs="Arial"/>
          <w:lang w:eastAsia="es-CO"/>
        </w:rPr>
        <w:t xml:space="preserve">parágrafo del artículo 38 de la Ley 996 de 2005 cobija expresamente a los </w:t>
      </w:r>
      <w:r w:rsidRPr="00B93846">
        <w:rPr>
          <w:rFonts w:ascii="Verdana" w:eastAsia="Times New Roman" w:hAnsi="Verdana" w:cs="Arial"/>
          <w:i/>
          <w:iCs/>
          <w:lang w:eastAsia="es-CO"/>
        </w:rPr>
        <w:t>convenios interadministrativos</w:t>
      </w:r>
      <w:r w:rsidRPr="00B93846">
        <w:rPr>
          <w:rFonts w:ascii="Verdana" w:eastAsia="Times New Roman" w:hAnsi="Verdana" w:cs="Arial"/>
          <w:lang w:eastAsia="es-CO"/>
        </w:rPr>
        <w:t xml:space="preserve"> en los que se contemple la ejecución de recursos públicos. Esto significa que la prohibición no resulta aplicable a convenios interadministrativos a título gratuito, los cuales pueden celebrarse válidamente durante la vigencia de la mencionada restricción. </w:t>
      </w:r>
    </w:p>
    <w:p w14:paraId="4CA9B30F" w14:textId="77777777" w:rsidR="00B93846" w:rsidRPr="00B93846" w:rsidRDefault="00B93846" w:rsidP="00B93846">
      <w:pPr>
        <w:spacing w:after="0" w:line="276" w:lineRule="auto"/>
        <w:ind w:firstLine="708"/>
        <w:jc w:val="both"/>
        <w:rPr>
          <w:rFonts w:ascii="Verdana" w:eastAsia="Times New Roman" w:hAnsi="Verdana" w:cs="Arial"/>
          <w:lang w:eastAsia="es-CO"/>
        </w:rPr>
      </w:pPr>
      <w:r w:rsidRPr="00B93846">
        <w:rPr>
          <w:rFonts w:ascii="Verdana" w:eastAsia="Times New Roman" w:hAnsi="Verdana" w:cs="Arial"/>
          <w:lang w:eastAsia="es-CO"/>
        </w:rPr>
        <w:t xml:space="preserve">Además, precisa que el parágrafo referido no estableció ningún supuesto que exceptúe la aplicación de esta prohibición, por lo que la restricción referida a la celebración de convenios interadministrativos aplicará a los sujetos allí señalados, </w:t>
      </w:r>
      <w:r w:rsidRPr="00B93846">
        <w:rPr>
          <w:rFonts w:ascii="Verdana" w:eastAsia="Times New Roman" w:hAnsi="Verdana" w:cs="Arial"/>
          <w:i/>
          <w:iCs/>
          <w:lang w:eastAsia="es-CO"/>
        </w:rPr>
        <w:t>“aunque se configure alguno de los supuestos de excepción que señaló el inciso final del artículo 33</w:t>
      </w:r>
      <w:r w:rsidRPr="00B93846">
        <w:rPr>
          <w:rFonts w:ascii="Verdana" w:eastAsia="Times New Roman" w:hAnsi="Verdana" w:cs="Arial"/>
          <w:lang w:eastAsia="es-CO"/>
        </w:rPr>
        <w:t xml:space="preserve">”. </w:t>
      </w:r>
    </w:p>
    <w:p w14:paraId="25471D25" w14:textId="77777777" w:rsidR="00B93846" w:rsidRPr="00B93846" w:rsidRDefault="00B93846" w:rsidP="00B93846">
      <w:pPr>
        <w:spacing w:after="0" w:line="276" w:lineRule="auto"/>
        <w:jc w:val="both"/>
        <w:rPr>
          <w:rFonts w:ascii="Verdana" w:eastAsia="Times New Roman" w:hAnsi="Verdana" w:cs="Arial"/>
          <w:bCs/>
          <w:lang w:val="es-MX" w:eastAsia="x-none"/>
        </w:rPr>
      </w:pPr>
    </w:p>
    <w:p w14:paraId="3435CDFD" w14:textId="77777777" w:rsidR="00B93846" w:rsidRPr="00B93846" w:rsidRDefault="00B93846" w:rsidP="00B93846">
      <w:pPr>
        <w:spacing w:after="120" w:line="276" w:lineRule="auto"/>
        <w:jc w:val="both"/>
        <w:rPr>
          <w:rFonts w:ascii="Verdana" w:eastAsia="Times New Roman" w:hAnsi="Verdana" w:cs="Arial"/>
          <w:bCs/>
          <w:lang w:val="es-MX" w:eastAsia="x-none"/>
        </w:rPr>
      </w:pPr>
      <w:r w:rsidRPr="00B93846">
        <w:rPr>
          <w:rFonts w:ascii="Verdana" w:eastAsia="Times New Roman" w:hAnsi="Verdana" w:cs="Arial"/>
          <w:bCs/>
          <w:lang w:val="es-MX" w:eastAsia="x-none"/>
        </w:rPr>
        <w:t xml:space="preserve">vi. Ahora bien, en relación con el problema </w:t>
      </w:r>
      <w:proofErr w:type="spellStart"/>
      <w:r w:rsidRPr="00B93846">
        <w:rPr>
          <w:rFonts w:ascii="Verdana" w:eastAsia="Times New Roman" w:hAnsi="Verdana" w:cs="Arial"/>
          <w:bCs/>
          <w:lang w:val="es-MX" w:eastAsia="x-none"/>
        </w:rPr>
        <w:t>juridico</w:t>
      </w:r>
      <w:proofErr w:type="spellEnd"/>
      <w:r w:rsidRPr="00B93846">
        <w:rPr>
          <w:rFonts w:ascii="Verdana" w:eastAsia="Times New Roman" w:hAnsi="Verdana" w:cs="Arial"/>
          <w:bCs/>
          <w:lang w:val="es-MX" w:eastAsia="x-none"/>
        </w:rPr>
        <w:t xml:space="preserve"> planteado, debe precisarse que, aunque se ha sostenido que el artículo 38 de la Ley 996 de 2005 únicamente prohíbe a los Alcaldes, Gobernadores, Secretarios, Gerentes y Directores de las </w:t>
      </w:r>
      <w:r w:rsidRPr="00B93846">
        <w:rPr>
          <w:rFonts w:ascii="Verdana" w:eastAsia="Times New Roman" w:hAnsi="Verdana" w:cs="Arial"/>
          <w:bCs/>
          <w:lang w:val="es-MX" w:eastAsia="x-none"/>
        </w:rPr>
        <w:lastRenderedPageBreak/>
        <w:t>entidades del orden municipal, departamental o distrital celebrar convenios interadministrativos que impliquen la ejecución de recursos públicos – lo cual excluiría, en principio, aquellos que no generan erogación presupuestal –, lo cierto es que la interpretación del artículo 33 de la misma ley, tanto en la jurisprudencia del Consejo de Estado como en la doctrina oficial de la Agencia Nacional de Contratación Pública - Colombia Compra Eficiente, ha sido consistente en señalar que, durante los cuatro (4) meses previos a las elecciones presidenciales, las entidades estatales tienen restringida la posibilidad de celebrar contratos bajo la modalidad de contratación directa, lo que incluye los convenios interadministrativos, así como los demás convenios distintos a los interadministrativos, que no se celebren de forma competitiva. Esta prohibición busca garantizar la transparencia y evitar que la contratación pública se convierta en un instrumento de influencia política en tiempos electorales.</w:t>
      </w:r>
    </w:p>
    <w:p w14:paraId="0F2C2992" w14:textId="77777777" w:rsidR="00B93846" w:rsidRPr="00B93846" w:rsidRDefault="00B93846" w:rsidP="00B93846">
      <w:pPr>
        <w:spacing w:after="120" w:line="276" w:lineRule="auto"/>
        <w:ind w:firstLine="709"/>
        <w:jc w:val="both"/>
        <w:rPr>
          <w:rFonts w:ascii="Verdana" w:eastAsia="Times New Roman" w:hAnsi="Verdana" w:cs="Arial"/>
          <w:bCs/>
          <w:lang w:val="es-MX" w:eastAsia="x-none" w:bidi="es-ES"/>
        </w:rPr>
      </w:pPr>
      <w:r w:rsidRPr="00B93846">
        <w:rPr>
          <w:rFonts w:ascii="Verdana" w:eastAsia="Times New Roman" w:hAnsi="Verdana" w:cs="Arial"/>
          <w:bCs/>
          <w:lang w:val="es-MX" w:eastAsia="x-none"/>
        </w:rPr>
        <w:t xml:space="preserve">En este sentido, todos los entes del Estado, independiente del orden al que pertenezcan o el régimen jurídico aplicable, están sujetos a la restricción del artículo 33 de la Ley 996 de 2005, es decir, no podrán adelantar convenios – independientemente su </w:t>
      </w:r>
      <w:proofErr w:type="spellStart"/>
      <w:r w:rsidRPr="00B93846">
        <w:rPr>
          <w:rFonts w:ascii="Verdana" w:eastAsia="Times New Roman" w:hAnsi="Verdana" w:cs="Arial"/>
          <w:bCs/>
          <w:lang w:val="es-MX" w:eastAsia="x-none"/>
        </w:rPr>
        <w:t>tipologia</w:t>
      </w:r>
      <w:proofErr w:type="spellEnd"/>
      <w:r w:rsidRPr="00B93846">
        <w:rPr>
          <w:rFonts w:ascii="Verdana" w:eastAsia="Times New Roman" w:hAnsi="Verdana" w:cs="Arial"/>
          <w:bCs/>
          <w:lang w:val="es-MX" w:eastAsia="x-none"/>
        </w:rPr>
        <w:t xml:space="preserve"> – bajos un sistema que implique contratación directa respecto de </w:t>
      </w:r>
      <w:r w:rsidRPr="00B93846">
        <w:rPr>
          <w:rFonts w:ascii="Verdana" w:eastAsia="Times New Roman" w:hAnsi="Verdana" w:cs="Arial"/>
          <w:bCs/>
          <w:lang w:val="es-MX" w:eastAsia="x-none" w:bidi="es-ES"/>
        </w:rPr>
        <w:t xml:space="preserve">las elecciones presidenciales, dentro de los cuatro (4) meses anteriores a la celebración de los comicios, salvo las excepciones dispuestas en esta. </w:t>
      </w:r>
    </w:p>
    <w:p w14:paraId="2C438488" w14:textId="77777777" w:rsidR="00B93846" w:rsidRPr="00B93846" w:rsidRDefault="00B93846" w:rsidP="00B93846">
      <w:pPr>
        <w:spacing w:after="0" w:line="276" w:lineRule="auto"/>
        <w:ind w:firstLine="709"/>
        <w:jc w:val="both"/>
        <w:rPr>
          <w:rFonts w:ascii="Verdana" w:eastAsia="Times New Roman" w:hAnsi="Verdana" w:cs="Arial"/>
          <w:bCs/>
          <w:lang w:val="es-MX" w:eastAsia="x-none" w:bidi="es-ES"/>
        </w:rPr>
      </w:pPr>
      <w:r w:rsidRPr="00B93846">
        <w:rPr>
          <w:rFonts w:ascii="Verdana" w:eastAsia="Times New Roman" w:hAnsi="Verdana" w:cs="Arial"/>
          <w:bCs/>
          <w:lang w:val="es-MX" w:eastAsia="x-none"/>
        </w:rPr>
        <w:t>En efecto, los entes del Estado independiente de su régimen especial no podrán celebrar contratos de forma directa desde el 31 de enero de 2026, teniendo en cuenta que la Resolución 02580 del 5 de marzo de 2025 de la Registraduría Nacional del Estado Civil dispuso que las elecciones presidenciales se celebrarán el 31 de mayo de 2026.</w:t>
      </w:r>
      <w:r w:rsidRPr="00B93846">
        <w:rPr>
          <w:rFonts w:ascii="Verdana" w:eastAsia="Times New Roman" w:hAnsi="Verdana" w:cs="Arial"/>
          <w:bCs/>
          <w:lang w:val="es-MX" w:eastAsia="x-none" w:bidi="es-ES"/>
        </w:rPr>
        <w:t xml:space="preserve">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que, de acuerdo con lo expuesto, se celebraría el 21 de junio de 2026.</w:t>
      </w:r>
    </w:p>
    <w:p w14:paraId="35401B9D" w14:textId="77777777" w:rsidR="00B93846" w:rsidRPr="00B93846" w:rsidRDefault="00B93846" w:rsidP="00B93846">
      <w:pPr>
        <w:spacing w:after="0" w:line="276" w:lineRule="auto"/>
        <w:ind w:firstLine="709"/>
        <w:jc w:val="both"/>
        <w:rPr>
          <w:rFonts w:ascii="Verdana" w:eastAsia="Times New Roman" w:hAnsi="Verdana" w:cs="Arial"/>
          <w:bCs/>
          <w:lang w:eastAsia="x-none"/>
        </w:rPr>
      </w:pPr>
    </w:p>
    <w:p w14:paraId="77703770" w14:textId="77777777" w:rsidR="00B93846" w:rsidRPr="00B93846" w:rsidRDefault="00B93846" w:rsidP="00B93846">
      <w:pPr>
        <w:spacing w:after="0" w:line="276" w:lineRule="auto"/>
        <w:jc w:val="both"/>
        <w:rPr>
          <w:rFonts w:ascii="Verdana" w:eastAsia="Times New Roman" w:hAnsi="Verdana" w:cs="Arial"/>
          <w:bCs/>
          <w:lang w:eastAsia="es-CO"/>
        </w:rPr>
      </w:pPr>
      <w:proofErr w:type="spellStart"/>
      <w:r w:rsidRPr="00B93846">
        <w:rPr>
          <w:rFonts w:ascii="Verdana" w:eastAsia="Arial" w:hAnsi="Verdana" w:cs="Arial"/>
          <w:color w:val="000000"/>
          <w:lang w:eastAsia="es-ES_tradnl"/>
        </w:rPr>
        <w:t>vii</w:t>
      </w:r>
      <w:proofErr w:type="spellEnd"/>
      <w:r w:rsidRPr="00B93846">
        <w:rPr>
          <w:rFonts w:ascii="Verdana" w:eastAsia="Arial" w:hAnsi="Verdana" w:cs="Arial"/>
          <w:color w:val="000000"/>
          <w:lang w:eastAsia="es-ES_tradnl"/>
        </w:rPr>
        <w:t xml:space="preserve">. Finalmente, es importante advertir que </w:t>
      </w:r>
      <w:r w:rsidRPr="00B93846">
        <w:rPr>
          <w:rFonts w:ascii="Verdana" w:eastAsia="Times New Roman" w:hAnsi="Verdana" w:cs="Arial"/>
          <w:lang w:eastAsia="es-ES_tradnl"/>
        </w:rPr>
        <w:t xml:space="preserve">compete a cada Entidad Estatal que considera celebrar un contrato específico definir si este se enmarca en alguna de las prohibiciones de la Ley de Garantías Electorales. </w:t>
      </w:r>
      <w:r w:rsidRPr="00B93846">
        <w:rPr>
          <w:rFonts w:ascii="Verdana" w:eastAsia="Times New Roman" w:hAnsi="Verdana" w:cs="Arial"/>
          <w:color w:val="000000"/>
          <w:lang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bookmarkEnd w:id="3"/>
    </w:p>
    <w:p w14:paraId="270BC8FD" w14:textId="77777777" w:rsidR="00B93846" w:rsidRPr="00B93846" w:rsidRDefault="00B93846" w:rsidP="00B93846">
      <w:pPr>
        <w:spacing w:after="0" w:line="276" w:lineRule="auto"/>
        <w:jc w:val="both"/>
        <w:rPr>
          <w:rFonts w:ascii="Verdana" w:eastAsia="Calibri" w:hAnsi="Verdana" w:cs="Arial"/>
          <w:lang w:eastAsia="es-ES_tradnl"/>
        </w:rPr>
      </w:pPr>
    </w:p>
    <w:p w14:paraId="0A2A4AC9" w14:textId="77777777" w:rsidR="00B93846" w:rsidRPr="00B93846" w:rsidRDefault="00B93846" w:rsidP="00B93846">
      <w:pPr>
        <w:widowControl w:val="0"/>
        <w:autoSpaceDE w:val="0"/>
        <w:autoSpaceDN w:val="0"/>
        <w:spacing w:after="0" w:line="276" w:lineRule="auto"/>
        <w:outlineLvl w:val="0"/>
        <w:rPr>
          <w:rFonts w:ascii="Verdana" w:eastAsia="Arial" w:hAnsi="Verdana" w:cs="Arial"/>
          <w:b/>
          <w:bCs/>
          <w:lang w:val="es-ES" w:eastAsia="es-ES_tradnl"/>
        </w:rPr>
      </w:pPr>
      <w:r w:rsidRPr="00B93846">
        <w:rPr>
          <w:rFonts w:ascii="Verdana" w:eastAsia="Arial" w:hAnsi="Verdana" w:cs="Arial"/>
          <w:b/>
          <w:bCs/>
          <w:lang w:val="es-ES" w:eastAsia="es-ES_tradnl"/>
        </w:rPr>
        <w:t>4.Referencias normativas, jurisprudenciales y otras fuentes:</w:t>
      </w:r>
    </w:p>
    <w:p w14:paraId="1383AF54" w14:textId="77777777" w:rsidR="00B93846" w:rsidRPr="00B93846" w:rsidRDefault="00B93846" w:rsidP="00B93846">
      <w:pPr>
        <w:widowControl w:val="0"/>
        <w:autoSpaceDE w:val="0"/>
        <w:autoSpaceDN w:val="0"/>
        <w:spacing w:after="0" w:line="276" w:lineRule="auto"/>
        <w:jc w:val="both"/>
        <w:rPr>
          <w:rFonts w:ascii="Verdana" w:eastAsia="Aptos" w:hAnsi="Verdana" w:cs="Arial"/>
          <w:lang w:eastAsia="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93846" w:rsidRPr="00B93846" w14:paraId="369DC0D3" w14:textId="77777777" w:rsidTr="00940CA1">
        <w:trPr>
          <w:trHeight w:val="870"/>
        </w:trPr>
        <w:tc>
          <w:tcPr>
            <w:tcW w:w="8647" w:type="dxa"/>
          </w:tcPr>
          <w:p w14:paraId="3DE9E6BC" w14:textId="77777777" w:rsidR="00B93846" w:rsidRPr="00B93846" w:rsidRDefault="00B93846" w:rsidP="00B93846">
            <w:pPr>
              <w:widowControl w:val="0"/>
              <w:numPr>
                <w:ilvl w:val="0"/>
                <w:numId w:val="3"/>
              </w:numPr>
              <w:autoSpaceDE w:val="0"/>
              <w:autoSpaceDN w:val="0"/>
              <w:spacing w:line="276" w:lineRule="auto"/>
              <w:contextualSpacing/>
              <w:jc w:val="both"/>
              <w:rPr>
                <w:rFonts w:ascii="Verdana" w:eastAsia="Arial MT" w:hAnsi="Verdana" w:cs="Arial"/>
                <w:sz w:val="24"/>
                <w:szCs w:val="24"/>
                <w:lang w:eastAsia="es-ES" w:bidi="es-ES"/>
              </w:rPr>
            </w:pPr>
            <w:r w:rsidRPr="00B93846">
              <w:rPr>
                <w:rFonts w:ascii="Verdana" w:eastAsia="Arial MT" w:hAnsi="Verdana" w:cs="Arial"/>
                <w:sz w:val="24"/>
                <w:szCs w:val="24"/>
                <w:lang w:eastAsia="es-ES" w:bidi="es-ES"/>
              </w:rPr>
              <w:t>Constitución Política. Artículo 127.</w:t>
            </w:r>
          </w:p>
          <w:p w14:paraId="51457D22" w14:textId="77777777" w:rsidR="00B93846" w:rsidRPr="00B93846" w:rsidRDefault="00B93846" w:rsidP="00B93846">
            <w:pPr>
              <w:numPr>
                <w:ilvl w:val="0"/>
                <w:numId w:val="3"/>
              </w:numPr>
              <w:spacing w:line="276" w:lineRule="auto"/>
              <w:contextualSpacing/>
              <w:jc w:val="both"/>
              <w:rPr>
                <w:rFonts w:ascii="Verdana" w:eastAsia="Calibri" w:hAnsi="Verdana" w:cs="Arial"/>
                <w:sz w:val="24"/>
                <w:szCs w:val="24"/>
                <w:lang w:eastAsia="es-ES_tradnl"/>
              </w:rPr>
            </w:pPr>
            <w:r w:rsidRPr="00B93846">
              <w:rPr>
                <w:rFonts w:ascii="Verdana" w:eastAsia="Calibri" w:hAnsi="Verdana" w:cs="Arial"/>
                <w:sz w:val="24"/>
                <w:szCs w:val="24"/>
                <w:lang w:eastAsia="es-ES_tradnl"/>
              </w:rPr>
              <w:t>Ley 80 de 1993. Artículos 30 y 32.</w:t>
            </w:r>
          </w:p>
          <w:p w14:paraId="71DE5C16" w14:textId="77777777" w:rsidR="00B93846" w:rsidRPr="00B93846" w:rsidRDefault="00B93846" w:rsidP="00B93846">
            <w:pPr>
              <w:widowControl w:val="0"/>
              <w:numPr>
                <w:ilvl w:val="0"/>
                <w:numId w:val="3"/>
              </w:numPr>
              <w:autoSpaceDE w:val="0"/>
              <w:autoSpaceDN w:val="0"/>
              <w:spacing w:line="276" w:lineRule="auto"/>
              <w:contextualSpacing/>
              <w:jc w:val="both"/>
              <w:rPr>
                <w:rFonts w:ascii="Verdana" w:eastAsia="Arial MT" w:hAnsi="Verdana" w:cs="Arial"/>
                <w:sz w:val="24"/>
                <w:szCs w:val="24"/>
                <w:lang w:eastAsia="es-ES" w:bidi="es-ES"/>
              </w:rPr>
            </w:pPr>
            <w:r w:rsidRPr="00B93846">
              <w:rPr>
                <w:rFonts w:ascii="Verdana" w:eastAsia="Arial MT" w:hAnsi="Verdana" w:cs="Arial"/>
                <w:bCs/>
                <w:sz w:val="24"/>
                <w:szCs w:val="24"/>
                <w:lang w:eastAsia="es-ES" w:bidi="es-ES"/>
              </w:rPr>
              <w:t>Ley 996 de 2005. Artículos 33 y 38 – parágrafo.</w:t>
            </w:r>
          </w:p>
          <w:p w14:paraId="7A7FB6EB" w14:textId="77777777" w:rsidR="00B93846" w:rsidRPr="00B93846" w:rsidRDefault="00B93846" w:rsidP="00B93846">
            <w:pPr>
              <w:widowControl w:val="0"/>
              <w:numPr>
                <w:ilvl w:val="0"/>
                <w:numId w:val="3"/>
              </w:numPr>
              <w:autoSpaceDE w:val="0"/>
              <w:autoSpaceDN w:val="0"/>
              <w:spacing w:line="276" w:lineRule="auto"/>
              <w:contextualSpacing/>
              <w:jc w:val="both"/>
              <w:rPr>
                <w:rFonts w:ascii="Verdana" w:eastAsia="Arial MT" w:hAnsi="Verdana" w:cs="Arial"/>
                <w:sz w:val="24"/>
                <w:szCs w:val="24"/>
                <w:lang w:eastAsia="es-ES" w:bidi="es-ES"/>
              </w:rPr>
            </w:pPr>
            <w:r w:rsidRPr="00B93846">
              <w:rPr>
                <w:rFonts w:ascii="Verdana" w:eastAsia="Times New Roman" w:hAnsi="Verdana" w:cs="Times New Roman"/>
                <w:sz w:val="24"/>
                <w:szCs w:val="24"/>
                <w:lang w:eastAsia="es-MX"/>
              </w:rPr>
              <w:t>Ley 1150 de 2007. A</w:t>
            </w:r>
            <w:r w:rsidRPr="00B93846">
              <w:rPr>
                <w:rFonts w:ascii="Verdana" w:eastAsia="Arial MT" w:hAnsi="Verdana" w:cs="Arial"/>
                <w:sz w:val="24"/>
                <w:szCs w:val="24"/>
                <w:lang w:eastAsia="es-ES" w:bidi="es-ES"/>
              </w:rPr>
              <w:t xml:space="preserve">rtículos 2, numeral 4. </w:t>
            </w:r>
          </w:p>
          <w:p w14:paraId="10994A30" w14:textId="77777777" w:rsidR="00B93846" w:rsidRPr="00B93846" w:rsidRDefault="00B93846" w:rsidP="00B93846">
            <w:pPr>
              <w:numPr>
                <w:ilvl w:val="0"/>
                <w:numId w:val="3"/>
              </w:numPr>
              <w:spacing w:line="240" w:lineRule="auto"/>
              <w:contextualSpacing/>
              <w:rPr>
                <w:rFonts w:ascii="Verdana" w:eastAsia="Arial MT" w:hAnsi="Verdana" w:cs="Arial"/>
                <w:sz w:val="24"/>
                <w:szCs w:val="24"/>
                <w:lang w:eastAsia="es-ES" w:bidi="es-ES"/>
              </w:rPr>
            </w:pPr>
            <w:r w:rsidRPr="00B93846">
              <w:rPr>
                <w:rFonts w:ascii="Verdana" w:eastAsia="Arial MT" w:hAnsi="Verdana" w:cs="Arial"/>
                <w:sz w:val="24"/>
                <w:szCs w:val="24"/>
                <w:lang w:eastAsia="es-ES" w:bidi="es-ES"/>
              </w:rPr>
              <w:t>Corte Constitucional. Sentencia C-1153-05 del 11 de noviembre de 2005. M.P. Marco Gerando Monroy Cabra.</w:t>
            </w:r>
          </w:p>
          <w:p w14:paraId="63BFCDCE" w14:textId="77777777" w:rsidR="00B93846" w:rsidRPr="00B93846" w:rsidRDefault="00B93846" w:rsidP="00B93846">
            <w:pPr>
              <w:numPr>
                <w:ilvl w:val="0"/>
                <w:numId w:val="3"/>
              </w:numPr>
              <w:spacing w:line="240" w:lineRule="auto"/>
              <w:contextualSpacing/>
              <w:rPr>
                <w:rFonts w:ascii="Verdana" w:eastAsia="Arial MT" w:hAnsi="Verdana" w:cs="Arial"/>
                <w:sz w:val="24"/>
                <w:szCs w:val="24"/>
                <w:lang w:eastAsia="es-ES" w:bidi="es-ES"/>
              </w:rPr>
            </w:pPr>
            <w:r w:rsidRPr="00B93846">
              <w:rPr>
                <w:rFonts w:ascii="Verdana" w:eastAsia="Arial MT" w:hAnsi="Verdana" w:cs="Arial"/>
                <w:sz w:val="24"/>
                <w:szCs w:val="24"/>
                <w:lang w:eastAsia="es-ES" w:bidi="es-ES"/>
              </w:rPr>
              <w:t>Consejo de Estado. Sala de Consulta y Servicio Civil. Concepto de 20 de febrero de 2006. C.P. Enrique José Arboleda Perdomo. Rad. 1727.</w:t>
            </w:r>
          </w:p>
          <w:p w14:paraId="504744C8" w14:textId="77777777" w:rsidR="00B93846" w:rsidRPr="00B93846" w:rsidRDefault="00B93846" w:rsidP="00B93846">
            <w:pPr>
              <w:numPr>
                <w:ilvl w:val="0"/>
                <w:numId w:val="3"/>
              </w:numPr>
              <w:spacing w:line="240" w:lineRule="auto"/>
              <w:contextualSpacing/>
              <w:rPr>
                <w:rFonts w:ascii="Verdana" w:eastAsia="Arial MT" w:hAnsi="Verdana" w:cs="Arial"/>
                <w:sz w:val="24"/>
                <w:szCs w:val="24"/>
                <w:lang w:eastAsia="es-ES" w:bidi="es-ES"/>
              </w:rPr>
            </w:pPr>
            <w:r w:rsidRPr="00B93846">
              <w:rPr>
                <w:rFonts w:ascii="Verdana" w:eastAsia="Arial MT" w:hAnsi="Verdana" w:cs="Arial"/>
                <w:sz w:val="24"/>
                <w:szCs w:val="24"/>
                <w:lang w:eastAsia="es-ES" w:bidi="es-ES"/>
              </w:rPr>
              <w:t>Consejo de Estado. Sala de Consulta y Servicio Civil. Concepto de 6 de abril de 2006.C.P. Enrique José Arboleda Perdomo. Rad. 1738.</w:t>
            </w:r>
          </w:p>
          <w:p w14:paraId="59268A8A" w14:textId="77777777" w:rsidR="00B93846" w:rsidRPr="00B93846" w:rsidRDefault="00B93846" w:rsidP="00B93846">
            <w:pPr>
              <w:numPr>
                <w:ilvl w:val="0"/>
                <w:numId w:val="3"/>
              </w:numPr>
              <w:spacing w:line="240" w:lineRule="auto"/>
              <w:contextualSpacing/>
              <w:rPr>
                <w:rFonts w:ascii="Verdana" w:eastAsia="Arial MT" w:hAnsi="Verdana" w:cs="Arial"/>
                <w:sz w:val="24"/>
                <w:szCs w:val="24"/>
                <w:lang w:eastAsia="es-ES" w:bidi="es-ES"/>
              </w:rPr>
            </w:pPr>
            <w:r w:rsidRPr="00B93846">
              <w:rPr>
                <w:rFonts w:ascii="Verdana" w:eastAsia="Arial MT" w:hAnsi="Verdana" w:cs="Arial"/>
                <w:sz w:val="24"/>
                <w:szCs w:val="24"/>
                <w:lang w:eastAsia="es-ES" w:bidi="es-ES"/>
              </w:rPr>
              <w:t>Consejo de Estado -Sección Tercera-. Sentencia del 21 de febrero de 2025. Radicación Número: 68.280. CP: José Roberto Sáchica Méndez.</w:t>
            </w:r>
          </w:p>
        </w:tc>
      </w:tr>
    </w:tbl>
    <w:p w14:paraId="5CFB3FAF" w14:textId="77777777" w:rsidR="00B93846" w:rsidRPr="00B93846" w:rsidRDefault="00B93846" w:rsidP="00B93846">
      <w:pPr>
        <w:widowControl w:val="0"/>
        <w:autoSpaceDE w:val="0"/>
        <w:autoSpaceDN w:val="0"/>
        <w:spacing w:after="0" w:line="276" w:lineRule="auto"/>
        <w:jc w:val="both"/>
        <w:rPr>
          <w:rFonts w:ascii="Verdana" w:eastAsia="Aptos" w:hAnsi="Verdana" w:cs="Arial"/>
          <w:lang w:eastAsia="es-ES_tradnl"/>
        </w:rPr>
      </w:pPr>
    </w:p>
    <w:p w14:paraId="2DC6FF08" w14:textId="77777777" w:rsidR="00B93846" w:rsidRPr="00B93846" w:rsidRDefault="00B93846" w:rsidP="00B93846">
      <w:pPr>
        <w:widowControl w:val="0"/>
        <w:autoSpaceDE w:val="0"/>
        <w:autoSpaceDN w:val="0"/>
        <w:spacing w:after="0" w:line="276" w:lineRule="auto"/>
        <w:outlineLvl w:val="0"/>
        <w:rPr>
          <w:rFonts w:ascii="Verdana" w:eastAsia="Arial" w:hAnsi="Verdana" w:cs="Arial"/>
          <w:b/>
          <w:bCs/>
          <w:lang w:val="es-ES" w:eastAsia="es-ES_tradnl"/>
        </w:rPr>
      </w:pPr>
      <w:r w:rsidRPr="00B93846">
        <w:rPr>
          <w:rFonts w:ascii="Verdana" w:eastAsia="Arial" w:hAnsi="Verdana" w:cs="Arial"/>
          <w:b/>
          <w:bCs/>
          <w:lang w:val="es-ES" w:eastAsia="es-ES_tradnl"/>
        </w:rPr>
        <w:lastRenderedPageBreak/>
        <w:t>5. Doctrina de la Agencia Nacional de Contratación Pública:</w:t>
      </w:r>
    </w:p>
    <w:p w14:paraId="4632A34F" w14:textId="77777777" w:rsidR="00B93846" w:rsidRPr="00B93846" w:rsidRDefault="00B93846" w:rsidP="00B93846">
      <w:pPr>
        <w:widowControl w:val="0"/>
        <w:autoSpaceDE w:val="0"/>
        <w:autoSpaceDN w:val="0"/>
        <w:spacing w:after="0" w:line="276" w:lineRule="auto"/>
        <w:jc w:val="both"/>
        <w:rPr>
          <w:rFonts w:ascii="Verdana" w:eastAsia="Aptos" w:hAnsi="Verdana" w:cs="Arial"/>
          <w:lang w:eastAsia="es-ES_tradnl"/>
        </w:rPr>
      </w:pPr>
    </w:p>
    <w:p w14:paraId="1FAFD987" w14:textId="77777777" w:rsidR="00B93846" w:rsidRPr="00B93846" w:rsidRDefault="00B93846" w:rsidP="00B93846">
      <w:pPr>
        <w:widowControl w:val="0"/>
        <w:autoSpaceDE w:val="0"/>
        <w:autoSpaceDN w:val="0"/>
        <w:spacing w:after="0" w:line="276" w:lineRule="auto"/>
        <w:jc w:val="both"/>
        <w:rPr>
          <w:rFonts w:ascii="Verdana" w:eastAsia="Aptos" w:hAnsi="Verdana" w:cs="Arial"/>
          <w:shd w:val="clear" w:color="auto" w:fill="FFFFFF"/>
          <w:lang w:val="es-ES" w:eastAsia="es-ES_tradnl"/>
        </w:rPr>
      </w:pPr>
      <w:r w:rsidRPr="00B93846">
        <w:rPr>
          <w:rFonts w:ascii="Verdana" w:eastAsia="Calibri" w:hAnsi="Verdana" w:cs="Arial"/>
          <w:bCs/>
          <w:shd w:val="clear" w:color="auto" w:fill="FFFFFF"/>
          <w:lang w:eastAsia="es-ES_tradnl"/>
        </w:rPr>
        <w:t xml:space="preserve">La Agencia Nacional de Contratación Pública – Colombia Compra Eficiente estudió la finalidad y propósito de la Ley de Garantías Electorales -Ley 996 de 2005-, en los conceptos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C-1343 del 20 de octubre de 2025, C-1350 del 1˚ de octubre de 2025, C-1512 del 27 de octubre de 2025, C-1488 del 30 de octubre de 2025, C-1596 del 6 de noviembre de 2025, entre otros. </w:t>
      </w:r>
      <w:r w:rsidRPr="00B93846">
        <w:rPr>
          <w:rFonts w:ascii="Verdana" w:eastAsia="Calibri" w:hAnsi="Verdana" w:cs="Arial"/>
          <w:bCs/>
          <w:shd w:val="clear" w:color="auto" w:fill="FFFFFF"/>
          <w:lang w:val="es-ES" w:eastAsia="es-ES_tradnl"/>
        </w:rPr>
        <w:t xml:space="preserve">En tal sentido, recoge los conceptos expuestos, sin perjuicio de otras consideraciones. </w:t>
      </w:r>
      <w:r w:rsidRPr="00B93846">
        <w:rPr>
          <w:rFonts w:ascii="Verdana" w:eastAsia="Aptos" w:hAnsi="Verdana" w:cs="Arial"/>
          <w:shd w:val="clear" w:color="auto" w:fill="FFFFFF"/>
          <w:lang w:val="es-ES" w:eastAsia="es-ES_tradnl"/>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B93846">
          <w:rPr>
            <w:rFonts w:ascii="Verdana" w:eastAsia="Aptos" w:hAnsi="Verdana" w:cs="Arial"/>
            <w:color w:val="0000FF"/>
            <w:u w:val="single"/>
            <w:shd w:val="clear" w:color="auto" w:fill="FFFFFF"/>
            <w:lang w:val="es-ES" w:eastAsia="es-ES_tradnl"/>
          </w:rPr>
          <w:t>https://relatoria.colombiacompra.gov.co/</w:t>
        </w:r>
      </w:hyperlink>
      <w:r w:rsidRPr="00B93846">
        <w:rPr>
          <w:rFonts w:ascii="Verdana" w:eastAsia="Aptos" w:hAnsi="Verdana" w:cs="Arial"/>
          <w:shd w:val="clear" w:color="auto" w:fill="FFFFFF"/>
          <w:lang w:val="es-ES" w:eastAsia="es-ES_tradnl"/>
        </w:rPr>
        <w:t xml:space="preserve">. </w:t>
      </w:r>
    </w:p>
    <w:p w14:paraId="3838E2FD" w14:textId="77777777" w:rsidR="00B93846" w:rsidRPr="00B93846" w:rsidRDefault="00B93846" w:rsidP="00B93846">
      <w:pPr>
        <w:spacing w:after="0" w:line="276" w:lineRule="auto"/>
        <w:jc w:val="both"/>
        <w:rPr>
          <w:rFonts w:ascii="Verdana" w:eastAsia="Aptos" w:hAnsi="Verdana" w:cs="Times New Roman"/>
          <w:lang w:eastAsia="es-ES_tradnl"/>
        </w:rPr>
      </w:pPr>
    </w:p>
    <w:p w14:paraId="7968E0AB" w14:textId="77777777" w:rsidR="00B93846" w:rsidRPr="00B93846" w:rsidRDefault="00B93846" w:rsidP="00B93846">
      <w:pPr>
        <w:spacing w:after="0" w:line="276" w:lineRule="auto"/>
        <w:jc w:val="both"/>
        <w:rPr>
          <w:rFonts w:ascii="Verdana" w:eastAsia="Aptos" w:hAnsi="Verdana" w:cs="Times New Roman"/>
          <w:lang w:eastAsia="es-ES_tradnl"/>
        </w:rPr>
      </w:pPr>
      <w:r w:rsidRPr="00B93846">
        <w:rPr>
          <w:rFonts w:ascii="Verdana" w:eastAsia="Aptos" w:hAnsi="Verdana" w:cs="Times New Roman"/>
          <w:lang w:eastAsia="es-ES_tradnl"/>
        </w:rPr>
        <w:t xml:space="preserve">La sostenibilidad no es una opción, es una obligación. Por ello, la Agencia Nacional de Contratación Pública –Colombia Compra Eficiente– te invita a realizar el </w:t>
      </w:r>
      <w:r w:rsidRPr="00B93846">
        <w:rPr>
          <w:rFonts w:ascii="Verdana" w:eastAsia="Aptos" w:hAnsi="Verdana" w:cs="Times New Roman"/>
          <w:b/>
          <w:bCs/>
          <w:lang w:eastAsia="es-ES_tradnl"/>
        </w:rPr>
        <w:t>Curso de Contratación Pública Sostenible y Socialmente Responsable</w:t>
      </w:r>
      <w:r w:rsidRPr="00B93846">
        <w:rPr>
          <w:rFonts w:ascii="Verdana" w:eastAsia="Aptos" w:hAnsi="Verdana" w:cs="Times New Roman"/>
          <w:lang w:eastAsia="es-ES_tradnl"/>
        </w:rPr>
        <w:t xml:space="preserve">, una herramienta clave para fortalecer las capacidades de todos los compradores públicos, proveedores, servidores públicos v para generar mayor valor público. Accede al curso y aprende como implementar criterios </w:t>
      </w:r>
      <w:r w:rsidRPr="00B93846">
        <w:rPr>
          <w:rFonts w:ascii="Verdana" w:eastAsia="Aptos" w:hAnsi="Verdana" w:cs="Times New Roman"/>
          <w:lang w:eastAsia="es-ES_tradnl"/>
        </w:rPr>
        <w:lastRenderedPageBreak/>
        <w:t>sociales y ambientales en las diferentes etapas del proceso de contratación:</w:t>
      </w:r>
      <w:r w:rsidRPr="00B93846">
        <w:rPr>
          <w:rFonts w:ascii="Verdana" w:eastAsia="Aptos" w:hAnsi="Verdana" w:cs="Times New Roman"/>
          <w:lang w:eastAsia="es-ES_tradnl"/>
        </w:rPr>
        <w:br/>
      </w:r>
      <w:hyperlink r:id="rId13" w:tgtFrame="_new" w:history="1">
        <w:r w:rsidRPr="00B93846">
          <w:rPr>
            <w:rFonts w:ascii="Verdana" w:eastAsia="Aptos" w:hAnsi="Verdana" w:cs="Times New Roman"/>
            <w:color w:val="0000FF"/>
            <w:u w:val="single"/>
            <w:lang w:eastAsia="es-ES_tradnl"/>
          </w:rPr>
          <w:t>https://formacionvirtual.colombiacompra.gov.co/mod/page/view.php?id=3718</w:t>
        </w:r>
      </w:hyperlink>
    </w:p>
    <w:p w14:paraId="477FFB61" w14:textId="77777777" w:rsidR="00B93846" w:rsidRPr="00B93846" w:rsidRDefault="00B93846" w:rsidP="00B93846">
      <w:pPr>
        <w:spacing w:after="0" w:line="276" w:lineRule="auto"/>
        <w:jc w:val="both"/>
        <w:rPr>
          <w:rFonts w:ascii="Verdana" w:eastAsia="Aptos" w:hAnsi="Verdana" w:cs="Times New Roman"/>
          <w:lang w:eastAsia="es-ES_tradnl"/>
        </w:rPr>
      </w:pPr>
    </w:p>
    <w:p w14:paraId="13DB8A70" w14:textId="77777777" w:rsidR="00B93846" w:rsidRPr="00B93846" w:rsidRDefault="00B93846" w:rsidP="00B93846">
      <w:pPr>
        <w:spacing w:after="0" w:line="276" w:lineRule="auto"/>
        <w:jc w:val="both"/>
        <w:rPr>
          <w:rFonts w:ascii="Verdana" w:eastAsia="Aptos" w:hAnsi="Verdana" w:cs="Times New Roman"/>
          <w:lang w:eastAsia="es-ES_tradnl"/>
        </w:rPr>
      </w:pPr>
      <w:r w:rsidRPr="00B93846">
        <w:rPr>
          <w:rFonts w:ascii="Verdana" w:eastAsia="Aptos" w:hAnsi="Verdana" w:cs="Times New Roman"/>
          <w:lang w:eastAsia="es-ES_tradnl"/>
        </w:rPr>
        <w:t xml:space="preserve">De otro lado, te contamos que esta Agencia ha da un paso decisivo en la estandarización y modernización del </w:t>
      </w:r>
      <w:r w:rsidRPr="00B93846">
        <w:rPr>
          <w:rFonts w:ascii="Verdana" w:eastAsia="Aptos" w:hAnsi="Verdana" w:cs="Times New Roman"/>
          <w:b/>
          <w:bCs/>
          <w:lang w:eastAsia="es-ES_tradnl"/>
        </w:rPr>
        <w:t>sector  social</w:t>
      </w:r>
      <w:r w:rsidRPr="00B93846">
        <w:rPr>
          <w:rFonts w:ascii="Verdana" w:eastAsia="Aptos" w:hAnsi="Verdana" w:cs="Times New Roman"/>
          <w:lang w:eastAsia="es-ES_tradnl"/>
        </w:rPr>
        <w:t xml:space="preserve"> con la expedición de las </w:t>
      </w:r>
      <w:r w:rsidRPr="00B93846">
        <w:rPr>
          <w:rFonts w:ascii="Verdana" w:eastAsia="Aptos" w:hAnsi="Verdana" w:cs="Times New Roman"/>
          <w:b/>
          <w:bCs/>
          <w:lang w:eastAsia="es-ES_tradnl"/>
        </w:rPr>
        <w:t>Resoluciones 539, 540, 541, 952 y 953 de 2025</w:t>
      </w:r>
      <w:r w:rsidRPr="00B93846">
        <w:rPr>
          <w:rFonts w:ascii="Verdana" w:eastAsia="Aptos" w:hAnsi="Verdana" w:cs="Times New Roman"/>
          <w:lang w:eastAsia="es-ES_tradnl"/>
        </w:rPr>
        <w:t xml:space="preserve">, </w:t>
      </w:r>
      <w:r w:rsidRPr="00B93846">
        <w:rPr>
          <w:rFonts w:ascii="Verdana" w:eastAsia="Aptos" w:hAnsi="Verdana" w:cs="Times New Roman"/>
          <w:b/>
          <w:bCs/>
          <w:lang w:eastAsia="es-ES_tradnl"/>
        </w:rPr>
        <w:t>mediante las cuales adoptó Documentos Tipo</w:t>
      </w:r>
      <w:r w:rsidRPr="00B93846">
        <w:rPr>
          <w:rFonts w:ascii="Verdana" w:eastAsia="Aptos" w:hAnsi="Verdana" w:cs="Times New Roman"/>
          <w:lang w:eastAsia="es-ES_tradnl"/>
        </w:rPr>
        <w:t xml:space="preserve"> para las modalidades de selección de</w:t>
      </w:r>
      <w:r w:rsidRPr="00B93846">
        <w:rPr>
          <w:rFonts w:ascii="Verdana" w:eastAsia="Aptos" w:hAnsi="Verdana" w:cs="Times New Roman"/>
          <w:b/>
          <w:bCs/>
          <w:lang w:eastAsia="es-ES_tradnl"/>
        </w:rPr>
        <w:t xml:space="preserve"> licitación pública (versión 2), selección abreviada de menor cuantía, mínima cuantía, consultoría e interventoría</w:t>
      </w:r>
      <w:r w:rsidRPr="00B93846">
        <w:rPr>
          <w:rFonts w:ascii="Verdana" w:eastAsia="Aptos" w:hAnsi="Verdana" w:cs="Times New Roman"/>
          <w:lang w:eastAsia="es-ES_tradn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B93846">
          <w:rPr>
            <w:rFonts w:ascii="Verdana" w:eastAsia="Aptos" w:hAnsi="Verdana" w:cs="Times New Roman"/>
            <w:color w:val="0000FF"/>
            <w:u w:val="single"/>
            <w:lang w:eastAsia="es-ES_tradnl"/>
          </w:rPr>
          <w:t>https://www.colombiacompra.gov.co/normativa-y-relatoria/documentos-tipo</w:t>
        </w:r>
      </w:hyperlink>
    </w:p>
    <w:p w14:paraId="685AA820" w14:textId="77777777" w:rsidR="00B93846" w:rsidRPr="00B93846" w:rsidRDefault="00B93846" w:rsidP="00B93846">
      <w:pPr>
        <w:spacing w:after="0" w:line="276" w:lineRule="auto"/>
        <w:jc w:val="both"/>
        <w:rPr>
          <w:rFonts w:ascii="Verdana" w:eastAsia="Aptos" w:hAnsi="Verdana" w:cs="Times New Roman"/>
          <w:lang w:eastAsia="es-ES_tradnl"/>
        </w:rPr>
      </w:pPr>
    </w:p>
    <w:p w14:paraId="78F0D1BA" w14:textId="77777777" w:rsidR="00B93846" w:rsidRPr="00B93846" w:rsidRDefault="00B93846" w:rsidP="00B93846">
      <w:pPr>
        <w:spacing w:after="0" w:line="276" w:lineRule="auto"/>
        <w:jc w:val="both"/>
        <w:rPr>
          <w:rFonts w:ascii="Verdana" w:eastAsia="Aptos" w:hAnsi="Verdana" w:cs="Times New Roman"/>
          <w:lang w:eastAsia="es-ES_tradnl"/>
        </w:rPr>
      </w:pPr>
      <w:r w:rsidRPr="00B93846">
        <w:rPr>
          <w:rFonts w:ascii="Verdana" w:eastAsia="Aptos" w:hAnsi="Verdana" w:cs="Times New Roman"/>
          <w:lang w:eastAsia="es-ES_tradnl"/>
        </w:rPr>
        <w:t xml:space="preserve">Si quieres conocer más sobre la aplicación de Documentos Tipo puedes consultar la última versión de la </w:t>
      </w:r>
      <w:r w:rsidRPr="00B93846">
        <w:rPr>
          <w:rFonts w:ascii="Verdana" w:eastAsia="Aptos" w:hAnsi="Verdana" w:cs="Times New Roman"/>
          <w:b/>
          <w:bCs/>
          <w:lang w:eastAsia="es-ES_tradnl"/>
        </w:rPr>
        <w:t>Guía para la comprensión e implementación de los Documentos Tipo de obra pública de infraestructura de transporte</w:t>
      </w:r>
      <w:r w:rsidRPr="00B93846">
        <w:rPr>
          <w:rFonts w:ascii="Verdana" w:eastAsia="Aptos" w:hAnsi="Verdana" w:cs="Times New Roman"/>
          <w:lang w:eastAsia="es-ES_tradn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B93846">
        <w:rPr>
          <w:rFonts w:ascii="Verdana" w:eastAsia="Aptos" w:hAnsi="Verdana" w:cs="Times New Roman"/>
          <w:lang w:eastAsia="es-ES_tradnl"/>
        </w:rPr>
        <w:br/>
      </w:r>
      <w:hyperlink r:id="rId15" w:tgtFrame="_new" w:history="1">
        <w:r w:rsidRPr="00B93846">
          <w:rPr>
            <w:rFonts w:ascii="Verdana" w:eastAsia="Aptos" w:hAnsi="Verdana" w:cs="Times New Roman"/>
            <w:color w:val="0000FF"/>
            <w:u w:val="single"/>
            <w:lang w:eastAsia="es-ES_tradnl"/>
          </w:rPr>
          <w:t>https://www.colombiacompra.gov.co/archivos/manual/guia-para-la-comprension-e-implementacion-de-los-documentos-tipo-de-obra-publica-de-infraestructura-de-transporte-bajo-las-diferentes-modalidades-de-contratacion-vigentes</w:t>
        </w:r>
      </w:hyperlink>
    </w:p>
    <w:p w14:paraId="49AAC14F" w14:textId="77777777" w:rsidR="00B93846" w:rsidRPr="00B93846" w:rsidRDefault="00B93846" w:rsidP="00B93846">
      <w:pPr>
        <w:widowControl w:val="0"/>
        <w:autoSpaceDE w:val="0"/>
        <w:autoSpaceDN w:val="0"/>
        <w:spacing w:after="0" w:line="276" w:lineRule="auto"/>
        <w:jc w:val="both"/>
        <w:rPr>
          <w:rFonts w:ascii="Verdana" w:eastAsia="Aptos" w:hAnsi="Verdana" w:cs="Arial"/>
          <w:shd w:val="clear" w:color="auto" w:fill="FFFFFF"/>
          <w:lang w:val="es-ES" w:eastAsia="es-ES_tradnl"/>
        </w:rPr>
      </w:pPr>
    </w:p>
    <w:p w14:paraId="36C6CD8A" w14:textId="77777777" w:rsidR="00B93846" w:rsidRPr="00B93846" w:rsidRDefault="00B93846" w:rsidP="00B93846">
      <w:pPr>
        <w:spacing w:after="0" w:line="276" w:lineRule="auto"/>
        <w:jc w:val="both"/>
        <w:rPr>
          <w:rFonts w:ascii="Verdana" w:eastAsia="Aptos" w:hAnsi="Verdana" w:cs="Times New Roman"/>
          <w:lang w:eastAsia="es-ES_tradnl"/>
        </w:rPr>
      </w:pPr>
      <w:r w:rsidRPr="00B93846">
        <w:rPr>
          <w:rFonts w:ascii="Verdana" w:eastAsia="Aptos" w:hAnsi="Verdana" w:cs="Times New Roman"/>
          <w:lang w:eastAsia="es-ES_tradnl"/>
        </w:rPr>
        <w:t xml:space="preserve">Por último, lo invitamos a seguirnos en las redes sociales en las cuales se difunde información institucional: </w:t>
      </w:r>
    </w:p>
    <w:p w14:paraId="03C7F8CF" w14:textId="77777777" w:rsidR="00B93846" w:rsidRPr="00B93846" w:rsidRDefault="00B93846" w:rsidP="00B93846">
      <w:pPr>
        <w:spacing w:after="0" w:line="276" w:lineRule="auto"/>
        <w:jc w:val="both"/>
        <w:rPr>
          <w:rFonts w:ascii="Verdana" w:eastAsia="Aptos" w:hAnsi="Verdana" w:cs="Times New Roman"/>
          <w:lang w:eastAsia="es-ES_tradnl"/>
        </w:rPr>
      </w:pPr>
    </w:p>
    <w:p w14:paraId="29A0D03A" w14:textId="77777777" w:rsidR="00B93846" w:rsidRPr="00B93846" w:rsidRDefault="00B93846" w:rsidP="00B93846">
      <w:pPr>
        <w:spacing w:after="0" w:line="276" w:lineRule="auto"/>
        <w:jc w:val="both"/>
        <w:rPr>
          <w:rFonts w:ascii="Verdana" w:eastAsia="Aptos" w:hAnsi="Verdana" w:cs="Times New Roman"/>
          <w:lang w:eastAsia="es-ES_tradnl"/>
        </w:rPr>
      </w:pPr>
      <w:r w:rsidRPr="00B93846">
        <w:rPr>
          <w:rFonts w:ascii="Verdana" w:eastAsia="Aptos" w:hAnsi="Verdana" w:cs="Times New Roman"/>
          <w:lang w:eastAsia="es-ES_tradnl"/>
        </w:rPr>
        <w:t xml:space="preserve">Twitter: </w:t>
      </w:r>
      <w:r w:rsidRPr="00B93846">
        <w:rPr>
          <w:rFonts w:ascii="Verdana" w:eastAsia="Aptos" w:hAnsi="Verdana" w:cs="Arial"/>
          <w:color w:val="0000FF"/>
          <w:u w:val="single"/>
          <w:shd w:val="clear" w:color="auto" w:fill="FFFFFF"/>
          <w:lang w:val="es-ES" w:eastAsia="es-ES_tradnl"/>
        </w:rPr>
        <w:t>@colombiacompra</w:t>
      </w:r>
      <w:r w:rsidRPr="00B93846">
        <w:rPr>
          <w:rFonts w:ascii="Verdana" w:eastAsia="Aptos" w:hAnsi="Verdana" w:cs="Times New Roman"/>
          <w:color w:val="156082"/>
          <w:lang w:eastAsia="es-ES_tradnl"/>
        </w:rPr>
        <w:t xml:space="preserve"> </w:t>
      </w:r>
    </w:p>
    <w:p w14:paraId="19610F4C" w14:textId="77777777" w:rsidR="00B93846" w:rsidRPr="00B93846" w:rsidRDefault="00B93846" w:rsidP="00B93846">
      <w:pPr>
        <w:spacing w:after="0" w:line="276" w:lineRule="auto"/>
        <w:jc w:val="both"/>
        <w:rPr>
          <w:rFonts w:ascii="Verdana" w:eastAsia="Aptos" w:hAnsi="Verdana" w:cs="Times New Roman"/>
          <w:lang w:eastAsia="es-ES_tradnl"/>
        </w:rPr>
      </w:pPr>
      <w:r w:rsidRPr="00B93846">
        <w:rPr>
          <w:rFonts w:ascii="Verdana" w:eastAsia="Aptos" w:hAnsi="Verdana" w:cs="Times New Roman"/>
          <w:lang w:eastAsia="es-ES_tradnl"/>
        </w:rPr>
        <w:lastRenderedPageBreak/>
        <w:t xml:space="preserve">Facebook: </w:t>
      </w:r>
      <w:proofErr w:type="spellStart"/>
      <w:r w:rsidRPr="00B93846">
        <w:rPr>
          <w:rFonts w:ascii="Verdana" w:eastAsia="Aptos" w:hAnsi="Verdana" w:cs="Arial"/>
          <w:color w:val="0000FF"/>
          <w:u w:val="single"/>
          <w:shd w:val="clear" w:color="auto" w:fill="FFFFFF"/>
          <w:lang w:val="es-ES" w:eastAsia="es-ES_tradnl"/>
        </w:rPr>
        <w:t>ColombiaCompraEficiente</w:t>
      </w:r>
      <w:proofErr w:type="spellEnd"/>
    </w:p>
    <w:p w14:paraId="3B94A25D" w14:textId="77777777" w:rsidR="00B93846" w:rsidRPr="00B93846" w:rsidRDefault="00B93846" w:rsidP="00B93846">
      <w:pPr>
        <w:spacing w:after="0" w:line="276" w:lineRule="auto"/>
        <w:jc w:val="both"/>
        <w:rPr>
          <w:rFonts w:ascii="Verdana" w:eastAsia="Aptos" w:hAnsi="Verdana" w:cs="Times New Roman"/>
          <w:lang w:eastAsia="es-ES_tradnl"/>
        </w:rPr>
      </w:pPr>
      <w:r w:rsidRPr="00B93846">
        <w:rPr>
          <w:rFonts w:ascii="Verdana" w:eastAsia="Aptos" w:hAnsi="Verdana" w:cs="Times New Roman"/>
          <w:lang w:eastAsia="es-ES_tradnl"/>
        </w:rPr>
        <w:t xml:space="preserve">LinkedIn: </w:t>
      </w:r>
      <w:r w:rsidRPr="00B93846">
        <w:rPr>
          <w:rFonts w:ascii="Verdana" w:eastAsia="Aptos" w:hAnsi="Verdana" w:cs="Arial"/>
          <w:color w:val="0000FF"/>
          <w:u w:val="single"/>
          <w:shd w:val="clear" w:color="auto" w:fill="FFFFFF"/>
          <w:lang w:val="es-ES" w:eastAsia="es-ES_tradnl"/>
        </w:rPr>
        <w:t>Agencia Nacional de Contratación Pública - Colombia Compra Eficiente</w:t>
      </w:r>
      <w:r w:rsidRPr="00B93846">
        <w:rPr>
          <w:rFonts w:ascii="Verdana" w:eastAsia="Aptos" w:hAnsi="Verdana" w:cs="Times New Roman"/>
          <w:color w:val="156082"/>
          <w:lang w:eastAsia="es-ES_tradnl"/>
        </w:rPr>
        <w:t xml:space="preserve"> </w:t>
      </w:r>
      <w:r w:rsidRPr="00B93846">
        <w:rPr>
          <w:rFonts w:ascii="Verdana" w:eastAsia="Aptos" w:hAnsi="Verdana" w:cs="Times New Roman"/>
          <w:lang w:eastAsia="es-ES_tradnl"/>
        </w:rPr>
        <w:t xml:space="preserve">Instagram: </w:t>
      </w:r>
      <w:r w:rsidRPr="00B93846">
        <w:rPr>
          <w:rFonts w:ascii="Verdana" w:eastAsia="Aptos" w:hAnsi="Verdana" w:cs="Arial"/>
          <w:color w:val="0000FF"/>
          <w:u w:val="single"/>
          <w:shd w:val="clear" w:color="auto" w:fill="FFFFFF"/>
          <w:lang w:val="es-ES" w:eastAsia="es-ES_tradnl"/>
        </w:rPr>
        <w:t>@colombiacompraeficiente_cce</w:t>
      </w:r>
    </w:p>
    <w:p w14:paraId="502595C3" w14:textId="77777777" w:rsidR="00B93846" w:rsidRPr="00B93846" w:rsidRDefault="00B93846" w:rsidP="00B93846">
      <w:pPr>
        <w:widowControl w:val="0"/>
        <w:autoSpaceDE w:val="0"/>
        <w:autoSpaceDN w:val="0"/>
        <w:spacing w:after="0" w:line="276" w:lineRule="auto"/>
        <w:jc w:val="both"/>
        <w:rPr>
          <w:rFonts w:ascii="Verdana" w:eastAsia="Aptos" w:hAnsi="Verdana" w:cs="Arial"/>
          <w:lang w:eastAsia="es-ES_tradnl"/>
        </w:rPr>
      </w:pPr>
    </w:p>
    <w:p w14:paraId="4CEF3AB9" w14:textId="77777777" w:rsidR="00B93846" w:rsidRPr="00B93846" w:rsidRDefault="00B93846" w:rsidP="00B93846">
      <w:pPr>
        <w:widowControl w:val="0"/>
        <w:autoSpaceDE w:val="0"/>
        <w:autoSpaceDN w:val="0"/>
        <w:spacing w:after="0" w:line="276" w:lineRule="auto"/>
        <w:jc w:val="both"/>
        <w:rPr>
          <w:rFonts w:ascii="Verdana" w:eastAsia="Aptos" w:hAnsi="Verdana" w:cs="Arial"/>
          <w:lang w:val="es-ES_tradnl" w:eastAsia="es-ES_tradnl"/>
        </w:rPr>
      </w:pPr>
      <w:r w:rsidRPr="00B93846">
        <w:rPr>
          <w:rFonts w:ascii="Verdana" w:eastAsia="Aptos" w:hAnsi="Verdana" w:cs="Arial"/>
          <w:lang w:eastAsia="es-ES_tradnl"/>
        </w:rPr>
        <w:t xml:space="preserve">Este concepto tiene el alcance previsto en el artículo 28 del Código de Procedimiento Administrativo y de lo Contencioso Administrativo </w:t>
      </w:r>
      <w:r w:rsidRPr="00B93846">
        <w:rPr>
          <w:rFonts w:ascii="Verdana" w:eastAsia="Aptos" w:hAnsi="Verdana" w:cs="Arial"/>
          <w:lang w:val="es-ES_tradnl" w:eastAsia="es-ES_tradnl"/>
        </w:rPr>
        <w:t>y las expresiones aquí utilizadas con mayúscula inicial deben ser entendidas con el significado que les otorga el artículo 2.2.1.1.1.3.1. del Decreto 1082 de 2015.</w:t>
      </w:r>
    </w:p>
    <w:p w14:paraId="10AC9FBB" w14:textId="77777777" w:rsidR="00B93846" w:rsidRPr="00B93846" w:rsidRDefault="00B93846" w:rsidP="00B93846">
      <w:pPr>
        <w:widowControl w:val="0"/>
        <w:autoSpaceDE w:val="0"/>
        <w:autoSpaceDN w:val="0"/>
        <w:spacing w:after="0" w:line="276" w:lineRule="auto"/>
        <w:jc w:val="both"/>
        <w:rPr>
          <w:rFonts w:ascii="Verdana" w:eastAsia="Aptos" w:hAnsi="Verdana" w:cs="Arial"/>
          <w:lang w:eastAsia="es-ES_tradnl"/>
        </w:rPr>
      </w:pPr>
    </w:p>
    <w:p w14:paraId="49787837" w14:textId="77777777" w:rsidR="00B93846" w:rsidRPr="00B93846" w:rsidRDefault="00B93846" w:rsidP="00B93846">
      <w:pPr>
        <w:spacing w:after="0" w:line="276" w:lineRule="auto"/>
        <w:rPr>
          <w:rFonts w:ascii="Verdana" w:eastAsia="Aptos" w:hAnsi="Verdana" w:cs="Arial"/>
          <w:lang w:eastAsia="es-CO"/>
        </w:rPr>
      </w:pPr>
      <w:r w:rsidRPr="00B93846">
        <w:rPr>
          <w:rFonts w:ascii="Verdana" w:eastAsia="Times New Roman" w:hAnsi="Verdana" w:cs="Arial"/>
          <w:lang w:eastAsia="es-CO"/>
        </w:rPr>
        <w:t>Atentamente,</w:t>
      </w:r>
      <w:r w:rsidRPr="00B93846">
        <w:rPr>
          <w:rFonts w:ascii="Verdana" w:eastAsia="Aptos" w:hAnsi="Verdana" w:cs="Arial"/>
          <w:lang w:eastAsia="es-CO"/>
        </w:rPr>
        <w:t xml:space="preserve"> </w:t>
      </w:r>
    </w:p>
    <w:p w14:paraId="2DA8A10F" w14:textId="6ED75BEB" w:rsidR="00B93846" w:rsidRPr="00B93846" w:rsidRDefault="00452FE4" w:rsidP="00B93846">
      <w:pPr>
        <w:spacing w:after="0" w:line="276" w:lineRule="auto"/>
        <w:jc w:val="center"/>
        <w:rPr>
          <w:rFonts w:ascii="Verdana" w:eastAsia="Aptos" w:hAnsi="Verdana" w:cs="Arial"/>
          <w:sz w:val="24"/>
          <w:szCs w:val="24"/>
          <w:lang w:val="es-ES_tradnl" w:eastAsia="es-CO"/>
        </w:rPr>
      </w:pPr>
      <w:r>
        <w:rPr>
          <w:noProof/>
        </w:rPr>
        <w:drawing>
          <wp:inline distT="0" distB="0" distL="0" distR="0" wp14:anchorId="56EE3C02" wp14:editId="0C80F976">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B93846" w:rsidRPr="00B93846" w14:paraId="3F439B74" w14:textId="77777777" w:rsidTr="00940CA1">
        <w:trPr>
          <w:trHeight w:val="286"/>
        </w:trPr>
        <w:tc>
          <w:tcPr>
            <w:tcW w:w="901" w:type="dxa"/>
            <w:vAlign w:val="center"/>
            <w:hideMark/>
          </w:tcPr>
          <w:p w14:paraId="39379670" w14:textId="77777777" w:rsidR="00B93846" w:rsidRPr="00B93846" w:rsidRDefault="00B93846" w:rsidP="00B93846">
            <w:pPr>
              <w:spacing w:line="240" w:lineRule="auto"/>
              <w:rPr>
                <w:rFonts w:ascii="Verdana" w:eastAsia="Aptos" w:hAnsi="Verdana" w:cs="Arial"/>
                <w:sz w:val="14"/>
                <w:szCs w:val="14"/>
                <w:lang w:eastAsia="es-ES"/>
              </w:rPr>
            </w:pPr>
            <w:r w:rsidRPr="00B93846">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2493264C" w14:textId="77777777" w:rsidR="00B93846" w:rsidRPr="00B93846" w:rsidRDefault="00B93846" w:rsidP="00B93846">
            <w:pPr>
              <w:spacing w:line="240" w:lineRule="auto"/>
              <w:rPr>
                <w:rFonts w:ascii="Verdana" w:eastAsia="Aptos" w:hAnsi="Verdana" w:cs="Arial"/>
                <w:sz w:val="14"/>
                <w:szCs w:val="14"/>
                <w:lang w:eastAsia="es-ES"/>
              </w:rPr>
            </w:pPr>
            <w:r w:rsidRPr="00B93846">
              <w:rPr>
                <w:rFonts w:ascii="Verdana" w:eastAsia="Aptos" w:hAnsi="Verdana" w:cs="Arial"/>
                <w:sz w:val="14"/>
                <w:szCs w:val="14"/>
                <w:lang w:eastAsia="es-ES"/>
              </w:rPr>
              <w:t>Nasly Yeana Mosquera Rivas</w:t>
            </w:r>
          </w:p>
          <w:p w14:paraId="3C3102C2" w14:textId="77777777" w:rsidR="00B93846" w:rsidRPr="00B93846" w:rsidRDefault="00B93846" w:rsidP="00B93846">
            <w:pPr>
              <w:spacing w:line="240" w:lineRule="auto"/>
              <w:rPr>
                <w:rFonts w:ascii="Verdana" w:eastAsia="Aptos" w:hAnsi="Verdana" w:cs="Arial"/>
                <w:sz w:val="14"/>
                <w:szCs w:val="14"/>
                <w:lang w:eastAsia="es-ES"/>
              </w:rPr>
            </w:pPr>
            <w:r w:rsidRPr="00B93846">
              <w:rPr>
                <w:rFonts w:ascii="Verdana" w:eastAsia="Aptos" w:hAnsi="Verdana" w:cs="Arial"/>
                <w:sz w:val="14"/>
                <w:szCs w:val="14"/>
                <w:lang w:eastAsia="es-ES"/>
              </w:rPr>
              <w:t>Analista T2–06 de la Subdirección de Gestión Contractual</w:t>
            </w:r>
          </w:p>
        </w:tc>
      </w:tr>
      <w:tr w:rsidR="00B93846" w:rsidRPr="00B93846" w14:paraId="47FFB152" w14:textId="77777777" w:rsidTr="00940CA1">
        <w:trPr>
          <w:trHeight w:val="299"/>
        </w:trPr>
        <w:tc>
          <w:tcPr>
            <w:tcW w:w="901" w:type="dxa"/>
            <w:vAlign w:val="center"/>
          </w:tcPr>
          <w:p w14:paraId="1FAF75DA" w14:textId="77777777" w:rsidR="00B93846" w:rsidRPr="00B93846" w:rsidRDefault="00B93846" w:rsidP="00B93846">
            <w:pPr>
              <w:spacing w:line="240" w:lineRule="auto"/>
              <w:rPr>
                <w:rFonts w:ascii="Verdana" w:eastAsia="Aptos" w:hAnsi="Verdana" w:cs="Arial"/>
                <w:sz w:val="14"/>
                <w:szCs w:val="14"/>
                <w:lang w:eastAsia="es-ES"/>
              </w:rPr>
            </w:pPr>
            <w:r w:rsidRPr="00B93846">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2948F554" w14:textId="77777777" w:rsidR="00B93846" w:rsidRPr="00B93846" w:rsidRDefault="00B93846" w:rsidP="00B93846">
            <w:pPr>
              <w:spacing w:line="240" w:lineRule="auto"/>
              <w:rPr>
                <w:rFonts w:ascii="Verdana" w:eastAsia="Aptos" w:hAnsi="Verdana" w:cs="Arial"/>
                <w:sz w:val="14"/>
                <w:szCs w:val="14"/>
                <w:lang w:eastAsia="es-ES"/>
              </w:rPr>
            </w:pPr>
            <w:r w:rsidRPr="00B93846">
              <w:rPr>
                <w:rFonts w:ascii="Verdana" w:eastAsia="Aptos" w:hAnsi="Verdana" w:cs="Arial"/>
                <w:sz w:val="14"/>
                <w:szCs w:val="14"/>
                <w:lang w:eastAsia="es-ES"/>
              </w:rPr>
              <w:t>Diana Lucía Saavedra Castañeda</w:t>
            </w:r>
          </w:p>
          <w:p w14:paraId="6EF855C7" w14:textId="77777777" w:rsidR="00B93846" w:rsidRPr="00B93846" w:rsidRDefault="00B93846" w:rsidP="00B93846">
            <w:pPr>
              <w:spacing w:line="240" w:lineRule="auto"/>
              <w:rPr>
                <w:rFonts w:ascii="Verdana" w:eastAsia="Aptos" w:hAnsi="Verdana" w:cs="Arial"/>
                <w:sz w:val="14"/>
                <w:szCs w:val="14"/>
                <w:lang w:eastAsia="es-ES"/>
              </w:rPr>
            </w:pPr>
            <w:r w:rsidRPr="00B93846">
              <w:rPr>
                <w:rFonts w:ascii="Verdana" w:eastAsia="Aptos" w:hAnsi="Verdana" w:cs="Arial"/>
                <w:sz w:val="14"/>
                <w:szCs w:val="14"/>
                <w:lang w:eastAsia="es-ES"/>
              </w:rPr>
              <w:t>Contratista de la Subdirección de Gestión Contractual</w:t>
            </w:r>
          </w:p>
        </w:tc>
      </w:tr>
      <w:tr w:rsidR="00B93846" w:rsidRPr="00B93846" w14:paraId="270E2D17" w14:textId="77777777" w:rsidTr="00940CA1">
        <w:trPr>
          <w:trHeight w:val="272"/>
        </w:trPr>
        <w:tc>
          <w:tcPr>
            <w:tcW w:w="901" w:type="dxa"/>
            <w:vAlign w:val="center"/>
            <w:hideMark/>
          </w:tcPr>
          <w:p w14:paraId="374284B6" w14:textId="77777777" w:rsidR="00B93846" w:rsidRPr="00B93846" w:rsidRDefault="00B93846" w:rsidP="00B93846">
            <w:pPr>
              <w:spacing w:line="240" w:lineRule="auto"/>
              <w:rPr>
                <w:rFonts w:ascii="Verdana" w:eastAsia="Aptos" w:hAnsi="Verdana" w:cs="Arial"/>
                <w:sz w:val="14"/>
                <w:szCs w:val="14"/>
                <w:lang w:eastAsia="es-ES"/>
              </w:rPr>
            </w:pPr>
            <w:r w:rsidRPr="00B93846">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0DE9FF81" w14:textId="77777777" w:rsidR="00B93846" w:rsidRPr="00B93846" w:rsidRDefault="00B93846" w:rsidP="00B93846">
            <w:pPr>
              <w:spacing w:line="240" w:lineRule="auto"/>
              <w:rPr>
                <w:rFonts w:ascii="Verdana" w:eastAsia="Aptos" w:hAnsi="Verdana" w:cs="Arial"/>
                <w:sz w:val="14"/>
                <w:szCs w:val="14"/>
                <w:lang w:eastAsia="es-ES"/>
              </w:rPr>
            </w:pPr>
            <w:r w:rsidRPr="00B93846">
              <w:rPr>
                <w:rFonts w:ascii="Verdana" w:eastAsia="Aptos" w:hAnsi="Verdana" w:cs="Arial"/>
                <w:sz w:val="14"/>
                <w:szCs w:val="14"/>
                <w:lang w:eastAsia="es-ES"/>
              </w:rPr>
              <w:t>Carolina Quintero Gacharná</w:t>
            </w:r>
          </w:p>
          <w:p w14:paraId="64FBB2FB" w14:textId="77777777" w:rsidR="00B93846" w:rsidRPr="00B93846" w:rsidRDefault="00B93846" w:rsidP="00B93846">
            <w:pPr>
              <w:spacing w:line="240" w:lineRule="auto"/>
              <w:rPr>
                <w:rFonts w:ascii="Verdana" w:eastAsia="Aptos" w:hAnsi="Verdana" w:cs="Arial"/>
                <w:sz w:val="14"/>
                <w:szCs w:val="14"/>
                <w:lang w:eastAsia="es-ES"/>
              </w:rPr>
            </w:pPr>
            <w:r w:rsidRPr="00B93846">
              <w:rPr>
                <w:rFonts w:ascii="Verdana" w:eastAsia="Aptos" w:hAnsi="Verdana" w:cs="Arial"/>
                <w:sz w:val="14"/>
                <w:szCs w:val="14"/>
                <w:lang w:eastAsia="es-ES"/>
              </w:rPr>
              <w:t>Subdirectora de Gestión Contractual ANCP – CCE</w:t>
            </w:r>
          </w:p>
        </w:tc>
      </w:tr>
    </w:tbl>
    <w:p w14:paraId="65E48007" w14:textId="77777777" w:rsidR="00B93846" w:rsidRPr="00B93846" w:rsidRDefault="00B93846" w:rsidP="00B93846">
      <w:pPr>
        <w:spacing w:after="0" w:line="240" w:lineRule="auto"/>
        <w:jc w:val="both"/>
        <w:rPr>
          <w:rFonts w:ascii="Aptos" w:eastAsia="Aptos" w:hAnsi="Aptos" w:cs="Times New Roman"/>
          <w:sz w:val="24"/>
          <w:szCs w:val="24"/>
          <w:lang w:eastAsia="es-ES_tradnl"/>
        </w:rPr>
      </w:pPr>
    </w:p>
    <w:p w14:paraId="0A1080FC" w14:textId="77777777" w:rsidR="00B93846" w:rsidRPr="00B93846" w:rsidRDefault="00B93846" w:rsidP="00B93846">
      <w:pPr>
        <w:spacing w:after="0" w:line="240" w:lineRule="auto"/>
        <w:jc w:val="both"/>
        <w:textAlignment w:val="baseline"/>
        <w:rPr>
          <w:rFonts w:ascii="Verdana" w:eastAsia="Verdana" w:hAnsi="Verdana" w:cs="Verdana"/>
          <w:sz w:val="24"/>
          <w:szCs w:val="24"/>
          <w:lang w:eastAsia="es-CO"/>
        </w:rPr>
      </w:pPr>
    </w:p>
    <w:p w14:paraId="3631015D" w14:textId="77777777" w:rsidR="00B93846" w:rsidRPr="00B93846" w:rsidRDefault="00B93846" w:rsidP="00B93846">
      <w:pPr>
        <w:spacing w:after="0" w:line="240" w:lineRule="auto"/>
        <w:textAlignment w:val="baseline"/>
        <w:rPr>
          <w:rFonts w:ascii="Verdana" w:eastAsia="Verdana" w:hAnsi="Verdana" w:cs="Verdana"/>
          <w:sz w:val="24"/>
          <w:szCs w:val="24"/>
          <w:lang w:eastAsia="es-CO"/>
        </w:rPr>
      </w:pPr>
      <w:r w:rsidRPr="00B93846">
        <w:rPr>
          <w:rFonts w:ascii="Verdana" w:eastAsia="Verdana" w:hAnsi="Verdana" w:cs="Verdana"/>
          <w:sz w:val="24"/>
          <w:szCs w:val="24"/>
          <w:lang w:eastAsia="es-CO"/>
        </w:rPr>
        <w:t> </w:t>
      </w:r>
    </w:p>
    <w:p w14:paraId="110E2102" w14:textId="77777777" w:rsidR="00B93846" w:rsidRPr="00B93846" w:rsidRDefault="00B93846" w:rsidP="00B93846">
      <w:pPr>
        <w:spacing w:after="0" w:line="240" w:lineRule="auto"/>
        <w:jc w:val="both"/>
        <w:textAlignment w:val="baseline"/>
        <w:rPr>
          <w:rFonts w:ascii="Verdana" w:eastAsia="Verdana" w:hAnsi="Verdana" w:cs="Verdana"/>
          <w:sz w:val="24"/>
          <w:szCs w:val="24"/>
          <w:lang w:eastAsia="es-CO"/>
        </w:rPr>
      </w:pPr>
    </w:p>
    <w:p w14:paraId="6615037F" w14:textId="250117F1" w:rsidR="00B93846" w:rsidRPr="00B93846" w:rsidRDefault="00B93846" w:rsidP="00B93846">
      <w:pPr>
        <w:spacing w:after="0" w:line="240" w:lineRule="auto"/>
        <w:textAlignment w:val="baseline"/>
        <w:rPr>
          <w:rFonts w:ascii="Verdana" w:eastAsia="Verdana" w:hAnsi="Verdana" w:cs="Verdana"/>
          <w:sz w:val="24"/>
          <w:szCs w:val="24"/>
          <w:lang w:eastAsia="es-CO"/>
        </w:rPr>
      </w:pPr>
      <w:r w:rsidRPr="00B93846">
        <w:rPr>
          <w:rFonts w:ascii="Verdana" w:eastAsia="Verdana" w:hAnsi="Verdana" w:cs="Verdana"/>
          <w:sz w:val="24"/>
          <w:szCs w:val="24"/>
          <w:lang w:eastAsia="es-CO"/>
        </w:rPr>
        <w:t> </w:t>
      </w:r>
      <w:bookmarkEnd w:id="0"/>
    </w:p>
    <w:p w14:paraId="238F3ACC" w14:textId="77777777" w:rsidR="00C8085F" w:rsidRPr="00302354" w:rsidRDefault="00C8085F" w:rsidP="00B93846"/>
    <w:sectPr w:rsidR="00C8085F" w:rsidRPr="00302354" w:rsidSect="00B93846">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00867" w14:textId="77777777" w:rsidR="005756E8" w:rsidRDefault="005756E8" w:rsidP="0057348F">
      <w:pPr>
        <w:spacing w:after="0" w:line="240" w:lineRule="auto"/>
      </w:pPr>
      <w:r>
        <w:separator/>
      </w:r>
    </w:p>
  </w:endnote>
  <w:endnote w:type="continuationSeparator" w:id="0">
    <w:p w14:paraId="660851DA" w14:textId="77777777" w:rsidR="005756E8" w:rsidRDefault="005756E8" w:rsidP="00573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7228A" w14:textId="77777777" w:rsidR="00B93846" w:rsidRDefault="00B93846">
    <w:pPr>
      <w:pStyle w:val="Piedepgina"/>
    </w:pPr>
  </w:p>
  <w:p w14:paraId="2FA4CA72" w14:textId="77777777" w:rsidR="00B93846" w:rsidRPr="00174B77" w:rsidRDefault="00B93846" w:rsidP="07C73DD1">
    <w:pPr>
      <w:pBdr>
        <w:top w:val="single" w:sz="4" w:space="1" w:color="000000"/>
      </w:pBdr>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5FF747BC" w14:textId="77777777" w:rsidR="00B93846" w:rsidRDefault="00B93846" w:rsidP="07C73DD1">
    <w:pPr>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2C87ECB6" w14:textId="77777777" w:rsidR="00B93846" w:rsidRPr="00E41027" w:rsidRDefault="00B93846" w:rsidP="07C73DD1">
    <w:pPr>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590CDCB" w14:textId="77777777" w:rsidR="00B93846" w:rsidRDefault="00B93846" w:rsidP="07C73DD1">
    <w:pPr>
      <w:pBdr>
        <w:top w:val="nil"/>
        <w:left w:val="nil"/>
        <w:bottom w:val="nil"/>
        <w:right w:val="nil"/>
        <w:between w:val="nil"/>
      </w:pBdr>
      <w:tabs>
        <w:tab w:val="center" w:pos="4419"/>
        <w:tab w:val="right" w:pos="8838"/>
        <w:tab w:val="center" w:pos="5400"/>
      </w:tabs>
      <w:jc w:val="right"/>
      <w:rPr>
        <w:rFonts w:ascii="Verdana" w:eastAsia="Verdana" w:hAnsi="Verdana" w:cs="Verdana"/>
        <w:sz w:val="18"/>
        <w:szCs w:val="18"/>
        <w:lang w:eastAsia="es-CO"/>
      </w:rPr>
    </w:pPr>
    <w:r w:rsidRPr="00B93846">
      <w:rPr>
        <w:rFonts w:ascii="Verdana" w:eastAsia="Verdana" w:hAnsi="Verdana" w:cs="Verdana"/>
        <w:b/>
        <w:bCs/>
        <w:color w:val="000000"/>
        <w:sz w:val="18"/>
        <w:szCs w:val="18"/>
        <w:lang w:eastAsia="es-CO"/>
      </w:rPr>
      <w:t xml:space="preserve">Código: </w:t>
    </w:r>
    <w:r w:rsidRPr="00B93846">
      <w:rPr>
        <w:rFonts w:ascii="Verdana" w:eastAsia="Verdana" w:hAnsi="Verdana" w:cs="Verdana"/>
        <w:color w:val="000000"/>
        <w:sz w:val="18"/>
        <w:szCs w:val="18"/>
        <w:lang w:eastAsia="es-CO"/>
      </w:rPr>
      <w:t xml:space="preserve">CCE-REC-FM-17 </w:t>
    </w:r>
    <w:r w:rsidRPr="00B93846">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154E8" w14:textId="77777777" w:rsidR="005756E8" w:rsidRDefault="005756E8" w:rsidP="0057348F">
      <w:pPr>
        <w:spacing w:after="0" w:line="240" w:lineRule="auto"/>
      </w:pPr>
      <w:r>
        <w:separator/>
      </w:r>
    </w:p>
  </w:footnote>
  <w:footnote w:type="continuationSeparator" w:id="0">
    <w:p w14:paraId="3479CBD1" w14:textId="77777777" w:rsidR="005756E8" w:rsidRDefault="005756E8" w:rsidP="0057348F">
      <w:pPr>
        <w:spacing w:after="0" w:line="240" w:lineRule="auto"/>
      </w:pPr>
      <w:r>
        <w:continuationSeparator/>
      </w:r>
    </w:p>
  </w:footnote>
  <w:footnote w:id="1">
    <w:p w14:paraId="57A2825C" w14:textId="77777777" w:rsidR="00B93846" w:rsidRPr="003E78B7" w:rsidRDefault="00B93846" w:rsidP="00B93846">
      <w:pPr>
        <w:pStyle w:val="Car1"/>
        <w:ind w:firstLine="709"/>
        <w:jc w:val="both"/>
        <w:rPr>
          <w:rFonts w:ascii="Verdana" w:hAnsi="Verdana" w:cs="Arial"/>
          <w:sz w:val="16"/>
          <w:szCs w:val="16"/>
        </w:rPr>
      </w:pPr>
      <w:r w:rsidRPr="003E78B7">
        <w:rPr>
          <w:rStyle w:val="Refdenotaalpie"/>
          <w:rFonts w:ascii="Verdana" w:hAnsi="Verdana" w:cs="Arial"/>
          <w:sz w:val="16"/>
          <w:szCs w:val="16"/>
        </w:rPr>
        <w:footnoteRef/>
      </w:r>
      <w:r w:rsidRPr="003E78B7">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106FEF2C" w14:textId="77777777" w:rsidR="00B93846" w:rsidRPr="003E78B7" w:rsidRDefault="00B93846" w:rsidP="00B93846">
      <w:pPr>
        <w:pStyle w:val="Car1"/>
        <w:ind w:firstLine="709"/>
        <w:jc w:val="both"/>
        <w:rPr>
          <w:rFonts w:ascii="Verdana" w:hAnsi="Verdana" w:cs="Arial"/>
          <w:sz w:val="16"/>
          <w:szCs w:val="16"/>
        </w:rPr>
      </w:pPr>
    </w:p>
  </w:footnote>
  <w:footnote w:id="2">
    <w:p w14:paraId="3137261B" w14:textId="77777777" w:rsidR="00B93846" w:rsidRDefault="00B93846" w:rsidP="00B93846">
      <w:pPr>
        <w:pStyle w:val="Car1"/>
        <w:ind w:firstLine="709"/>
        <w:jc w:val="both"/>
        <w:rPr>
          <w:rFonts w:ascii="Verdana" w:hAnsi="Verdana" w:cs="Arial"/>
          <w:sz w:val="16"/>
          <w:szCs w:val="16"/>
        </w:rPr>
      </w:pPr>
      <w:r w:rsidRPr="003E78B7">
        <w:rPr>
          <w:rStyle w:val="Refdenotaalpie"/>
          <w:rFonts w:ascii="Verdana" w:hAnsi="Verdana" w:cs="Arial"/>
          <w:sz w:val="16"/>
          <w:szCs w:val="16"/>
        </w:rPr>
        <w:footnoteRef/>
      </w:r>
      <w:r w:rsidRPr="003E78B7">
        <w:rPr>
          <w:rFonts w:ascii="Verdana" w:hAnsi="Verdana" w:cs="Arial"/>
          <w:sz w:val="16"/>
          <w:szCs w:val="16"/>
        </w:rPr>
        <w:t xml:space="preserve"> Corte Constitucional. Sentencia C-1153 de 2005 M.P. Marco Gerardo Monroy Cabra. </w:t>
      </w:r>
    </w:p>
    <w:p w14:paraId="2BBD9959" w14:textId="77777777" w:rsidR="00B93846" w:rsidRPr="003E78B7" w:rsidRDefault="00B93846" w:rsidP="00B93846">
      <w:pPr>
        <w:pStyle w:val="Car1"/>
        <w:ind w:firstLine="709"/>
        <w:jc w:val="both"/>
        <w:rPr>
          <w:rFonts w:ascii="Verdana" w:hAnsi="Verdana" w:cs="Arial"/>
          <w:sz w:val="16"/>
          <w:szCs w:val="16"/>
        </w:rPr>
      </w:pPr>
    </w:p>
  </w:footnote>
  <w:footnote w:id="3">
    <w:p w14:paraId="23B0C65F" w14:textId="77777777" w:rsidR="00B93846" w:rsidRDefault="00B93846" w:rsidP="00B93846">
      <w:pPr>
        <w:ind w:firstLine="709"/>
        <w:jc w:val="both"/>
        <w:rPr>
          <w:rFonts w:ascii="Verdana" w:hAnsi="Verdana" w:cs="Arial"/>
          <w:sz w:val="16"/>
          <w:szCs w:val="16"/>
        </w:rPr>
      </w:pPr>
      <w:r w:rsidRPr="00C312F9">
        <w:rPr>
          <w:rStyle w:val="Refdenotaalpie"/>
          <w:rFonts w:ascii="Verdana" w:hAnsi="Verdana" w:cs="Arial"/>
          <w:sz w:val="16"/>
          <w:szCs w:val="16"/>
        </w:rPr>
        <w:footnoteRef/>
      </w:r>
      <w:r w:rsidRPr="00C312F9">
        <w:rPr>
          <w:rFonts w:ascii="Verdana" w:hAnsi="Verdana" w:cs="Arial"/>
          <w:sz w:val="16"/>
          <w:szCs w:val="16"/>
        </w:rPr>
        <w:t xml:space="preserve"> Consejo de Estado. Sala de Consulta y Servicio Civil. Concepto de 20 de febrero de 2006. C.P. Enrique José Arboleda Perdomo. Rad. 1727.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4FB6F896" w14:textId="77777777" w:rsidR="00B93846" w:rsidRPr="00C312F9" w:rsidRDefault="00B93846" w:rsidP="00B93846">
      <w:pPr>
        <w:ind w:firstLine="709"/>
        <w:jc w:val="both"/>
        <w:rPr>
          <w:rFonts w:ascii="Verdana" w:hAnsi="Verdana" w:cs="Arial"/>
          <w:sz w:val="16"/>
          <w:szCs w:val="16"/>
        </w:rPr>
      </w:pPr>
    </w:p>
  </w:footnote>
  <w:footnote w:id="4">
    <w:p w14:paraId="396B76AC" w14:textId="77777777" w:rsidR="00B93846" w:rsidRDefault="00B93846" w:rsidP="00B93846">
      <w:pPr>
        <w:pStyle w:val="Car1"/>
        <w:ind w:right="51" w:firstLine="709"/>
        <w:jc w:val="both"/>
        <w:rPr>
          <w:rFonts w:ascii="Verdana" w:eastAsia="Times New Roman" w:hAnsi="Verdana" w:cs="Arial"/>
          <w:bCs/>
          <w:sz w:val="16"/>
          <w:szCs w:val="16"/>
          <w:lang w:eastAsia="x-none"/>
        </w:rPr>
      </w:pPr>
      <w:r w:rsidRPr="00C312F9">
        <w:rPr>
          <w:rStyle w:val="Refdenotaalpie"/>
          <w:rFonts w:ascii="Verdana" w:hAnsi="Verdana" w:cs="Arial"/>
          <w:sz w:val="16"/>
          <w:szCs w:val="16"/>
        </w:rPr>
        <w:footnoteRef/>
      </w:r>
      <w:r w:rsidRPr="00C312F9">
        <w:rPr>
          <w:rFonts w:ascii="Verdana" w:hAnsi="Verdana" w:cs="Arial"/>
          <w:sz w:val="16"/>
          <w:szCs w:val="16"/>
        </w:rPr>
        <w:t xml:space="preserve"> Consejo de Estado. Sala de Consulta y Servicio Civil. Concepto de 6 de abril de 2006.C.P. Enrique José Arboleda Perdomo. </w:t>
      </w:r>
      <w:r w:rsidRPr="00C312F9">
        <w:rPr>
          <w:rFonts w:ascii="Verdana" w:hAnsi="Verdana" w:cs="Arial"/>
          <w:sz w:val="16"/>
          <w:szCs w:val="16"/>
          <w:lang w:val="es-CO"/>
        </w:rPr>
        <w:t>Rad. 1738</w:t>
      </w:r>
      <w:r w:rsidRPr="00C312F9">
        <w:rPr>
          <w:rFonts w:ascii="Verdana" w:eastAsia="Times New Roman" w:hAnsi="Verdana" w:cs="Arial"/>
          <w:bCs/>
          <w:sz w:val="16"/>
          <w:szCs w:val="16"/>
          <w:lang w:eastAsia="x-none"/>
        </w:rPr>
        <w:t xml:space="preserve"> “</w:t>
      </w:r>
      <w:r w:rsidRPr="00C312F9">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C312F9">
        <w:rPr>
          <w:rFonts w:ascii="Verdana" w:eastAsia="Times New Roman" w:hAnsi="Verdana" w:cs="Arial"/>
          <w:bCs/>
          <w:sz w:val="16"/>
          <w:szCs w:val="16"/>
          <w:lang w:eastAsia="x-none"/>
        </w:rPr>
        <w:t>”.</w:t>
      </w:r>
    </w:p>
    <w:p w14:paraId="6AB478B4" w14:textId="77777777" w:rsidR="00B93846" w:rsidRPr="00C312F9" w:rsidRDefault="00B93846" w:rsidP="00B93846">
      <w:pPr>
        <w:pStyle w:val="Car1"/>
        <w:ind w:right="51" w:firstLine="709"/>
        <w:jc w:val="both"/>
        <w:rPr>
          <w:rFonts w:ascii="Verdana" w:eastAsia="Times New Roman" w:hAnsi="Verdana" w:cs="Arial"/>
          <w:bCs/>
          <w:sz w:val="16"/>
          <w:szCs w:val="16"/>
          <w:lang w:eastAsia="x-none"/>
        </w:rPr>
      </w:pPr>
    </w:p>
  </w:footnote>
  <w:footnote w:id="5">
    <w:p w14:paraId="28877186" w14:textId="77777777" w:rsidR="00B93846" w:rsidRDefault="00B93846" w:rsidP="00B93846">
      <w:pPr>
        <w:ind w:firstLine="709"/>
        <w:jc w:val="both"/>
        <w:rPr>
          <w:rFonts w:ascii="Verdana" w:hAnsi="Verdana" w:cs="Arial"/>
          <w:sz w:val="16"/>
          <w:szCs w:val="16"/>
        </w:rPr>
      </w:pPr>
      <w:r w:rsidRPr="00C312F9">
        <w:rPr>
          <w:rStyle w:val="Refdenotaalpie"/>
          <w:rFonts w:ascii="Verdana" w:hAnsi="Verdana" w:cs="Arial"/>
          <w:sz w:val="16"/>
          <w:szCs w:val="16"/>
        </w:rPr>
        <w:footnoteRef/>
      </w:r>
      <w:r w:rsidRPr="00C312F9">
        <w:rPr>
          <w:rFonts w:ascii="Verdana" w:hAnsi="Verdana" w:cs="Arial"/>
          <w:sz w:val="16"/>
          <w:szCs w:val="16"/>
        </w:rPr>
        <w:t xml:space="preserve"> Consejo de Estado. Sala de Consulta y Servicio Civil. Concepto de 6 de abril de 2006. C.P. Enrique José Arboleda Perdomo. Rad. 1738. </w:t>
      </w:r>
    </w:p>
    <w:p w14:paraId="6F1AFD3D" w14:textId="77777777" w:rsidR="00B93846" w:rsidRPr="00C312F9" w:rsidRDefault="00B93846" w:rsidP="00B93846">
      <w:pPr>
        <w:ind w:firstLine="709"/>
        <w:jc w:val="both"/>
        <w:rPr>
          <w:rFonts w:ascii="Verdana" w:hAnsi="Verdana" w:cs="Arial"/>
          <w:sz w:val="16"/>
          <w:szCs w:val="16"/>
        </w:rPr>
      </w:pPr>
    </w:p>
  </w:footnote>
  <w:footnote w:id="6">
    <w:p w14:paraId="79720C03" w14:textId="77777777" w:rsidR="00B93846" w:rsidRDefault="00B93846" w:rsidP="00B93846">
      <w:pPr>
        <w:pStyle w:val="Car1"/>
        <w:ind w:right="51" w:firstLine="709"/>
        <w:jc w:val="both"/>
        <w:rPr>
          <w:rFonts w:ascii="Verdana" w:hAnsi="Verdana" w:cs="Arial"/>
          <w:sz w:val="16"/>
          <w:szCs w:val="16"/>
        </w:rPr>
      </w:pPr>
      <w:r w:rsidRPr="00C312F9">
        <w:rPr>
          <w:rStyle w:val="Refdenotaalpie"/>
          <w:rFonts w:ascii="Verdana" w:hAnsi="Verdana" w:cs="Arial"/>
          <w:sz w:val="16"/>
          <w:szCs w:val="16"/>
        </w:rPr>
        <w:footnoteRef/>
      </w:r>
      <w:r w:rsidRPr="00C312F9">
        <w:rPr>
          <w:rFonts w:ascii="Verdana" w:hAnsi="Verdana" w:cs="Arial"/>
          <w:sz w:val="16"/>
          <w:szCs w:val="16"/>
        </w:rPr>
        <w:t xml:space="preserve"> Consejo de Estado. Sala de Consulta y Servicio Civil, ídem.</w:t>
      </w:r>
    </w:p>
    <w:p w14:paraId="2743BCDD" w14:textId="77777777" w:rsidR="00B93846" w:rsidRPr="00C312F9" w:rsidRDefault="00B93846" w:rsidP="00B93846">
      <w:pPr>
        <w:pStyle w:val="Car1"/>
        <w:ind w:right="51" w:firstLine="709"/>
        <w:jc w:val="both"/>
        <w:rPr>
          <w:rFonts w:ascii="Verdana" w:hAnsi="Verdana" w:cs="Arial"/>
          <w:sz w:val="16"/>
          <w:szCs w:val="16"/>
        </w:rPr>
      </w:pPr>
    </w:p>
  </w:footnote>
  <w:footnote w:id="7">
    <w:p w14:paraId="6CB121CE" w14:textId="77777777" w:rsidR="00B93846" w:rsidRDefault="00B93846" w:rsidP="00B93846">
      <w:pPr>
        <w:pStyle w:val="Car1"/>
        <w:ind w:firstLine="709"/>
        <w:jc w:val="both"/>
        <w:rPr>
          <w:rFonts w:ascii="Verdana" w:hAnsi="Verdana" w:cs="Arial"/>
          <w:sz w:val="16"/>
          <w:szCs w:val="16"/>
        </w:rPr>
      </w:pPr>
      <w:r w:rsidRPr="00C312F9">
        <w:rPr>
          <w:rStyle w:val="Refdenotaalpie"/>
          <w:rFonts w:ascii="Verdana" w:hAnsi="Verdana"/>
          <w:sz w:val="16"/>
          <w:szCs w:val="16"/>
        </w:rPr>
        <w:footnoteRef/>
      </w:r>
      <w:r w:rsidRPr="00C312F9">
        <w:rPr>
          <w:rFonts w:ascii="Verdana" w:hAnsi="Verdana"/>
          <w:sz w:val="16"/>
          <w:szCs w:val="16"/>
        </w:rPr>
        <w:t xml:space="preserve"> </w:t>
      </w:r>
      <w:r w:rsidRPr="00C312F9">
        <w:rPr>
          <w:rFonts w:ascii="Verdana" w:hAnsi="Verdana" w:cs="Arial"/>
          <w:sz w:val="16"/>
          <w:szCs w:val="16"/>
        </w:rPr>
        <w:t>Consejo de Estado -Sección Tercera-. Sentencia del 21 de febrero de 2025. Radicación Número: 68.280. CP: José Roberto Sáchica Méndez.</w:t>
      </w:r>
    </w:p>
    <w:p w14:paraId="626ACC87" w14:textId="77777777" w:rsidR="00B93846" w:rsidRPr="00C312F9" w:rsidRDefault="00B93846" w:rsidP="00B93846">
      <w:pPr>
        <w:pStyle w:val="Car1"/>
        <w:ind w:firstLine="709"/>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53813" w14:textId="77777777" w:rsidR="00B93846" w:rsidRDefault="00B93846"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F43DD90" wp14:editId="6997D772">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01310D41" wp14:editId="51D62C1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2B5135C" w14:textId="77777777" w:rsidR="00B93846" w:rsidRDefault="00B93846">
    <w:pPr>
      <w:pStyle w:val="Encabezado"/>
    </w:pPr>
  </w:p>
  <w:p w14:paraId="67B47DD2" w14:textId="77777777" w:rsidR="00B93846" w:rsidRPr="004A305D" w:rsidRDefault="00B93846" w:rsidP="00B01B1A">
    <w:pPr>
      <w:spacing w:line="120" w:lineRule="auto"/>
      <w:rPr>
        <w:rFonts w:ascii="Century Gothic" w:eastAsia="Geo" w:hAnsi="Century Gothic" w:cs="Geo"/>
        <w:sz w:val="16"/>
        <w:szCs w:val="16"/>
        <w:lang w:eastAsia="es-CO"/>
      </w:rPr>
    </w:pPr>
  </w:p>
  <w:p w14:paraId="124BD37C" w14:textId="77777777" w:rsidR="00B93846" w:rsidRDefault="00B93846" w:rsidP="00844AE9">
    <w:pPr>
      <w:rPr>
        <w:rFonts w:ascii="Verdana" w:hAnsi="Verdana"/>
      </w:rPr>
    </w:pPr>
  </w:p>
  <w:p w14:paraId="01FCE8A2" w14:textId="77777777" w:rsidR="00B93846" w:rsidRPr="00C925AC" w:rsidRDefault="00B93846" w:rsidP="00844AE9">
    <w:pPr>
      <w:rPr>
        <w:rFonts w:ascii="Verdana" w:hAnsi="Verdana"/>
      </w:rPr>
    </w:pPr>
  </w:p>
  <w:p w14:paraId="5E75453F" w14:textId="77777777" w:rsidR="00B93846" w:rsidRPr="00C925AC" w:rsidRDefault="00B93846" w:rsidP="000D5DA7">
    <w:pPr>
      <w:spacing w:line="480" w:lineRule="auto"/>
      <w:rPr>
        <w:rFonts w:ascii="Verdana" w:hAnsi="Verdana"/>
        <w:b/>
        <w:bCs/>
      </w:rPr>
    </w:pPr>
    <w:r w:rsidRPr="00C925AC">
      <w:rPr>
        <w:rFonts w:ascii="Verdana" w:hAnsi="Verdana"/>
        <w:b/>
        <w:bCs/>
      </w:rPr>
      <w:t>FORMATO</w:t>
    </w:r>
    <w:r>
      <w:rPr>
        <w:rFonts w:ascii="Verdana" w:hAnsi="Verdana"/>
        <w:b/>
        <w:bCs/>
      </w:rPr>
      <w:t xml:space="preserve"> DE RESPUESTA </w:t>
    </w:r>
    <w:r w:rsidRPr="00C925AC">
      <w:rPr>
        <w:rFonts w:ascii="Verdana" w:hAnsi="Verdana"/>
        <w:b/>
        <w:bCs/>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F0396"/>
    <w:multiLevelType w:val="hybridMultilevel"/>
    <w:tmpl w:val="85FEC4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D4E6D39"/>
    <w:multiLevelType w:val="hybridMultilevel"/>
    <w:tmpl w:val="02E688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2046296488">
    <w:abstractNumId w:val="0"/>
  </w:num>
  <w:num w:numId="2" w16cid:durableId="946545607">
    <w:abstractNumId w:val="2"/>
  </w:num>
  <w:num w:numId="3" w16cid:durableId="2007631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8FE"/>
    <w:rsid w:val="00302354"/>
    <w:rsid w:val="00420BF5"/>
    <w:rsid w:val="00436E1F"/>
    <w:rsid w:val="00452FE4"/>
    <w:rsid w:val="00543149"/>
    <w:rsid w:val="0057348F"/>
    <w:rsid w:val="005756E8"/>
    <w:rsid w:val="006E78FE"/>
    <w:rsid w:val="00877787"/>
    <w:rsid w:val="00AF151B"/>
    <w:rsid w:val="00B93846"/>
    <w:rsid w:val="00C8085F"/>
    <w:rsid w:val="00E36EAB"/>
    <w:rsid w:val="00F712C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5901B"/>
  <w15:chartTrackingRefBased/>
  <w15:docId w15:val="{237214F8-574B-4884-A5B0-93CD3C157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48F"/>
    <w:pPr>
      <w:spacing w:line="259" w:lineRule="auto"/>
    </w:pPr>
    <w:rPr>
      <w:kern w:val="0"/>
      <w:sz w:val="22"/>
      <w:szCs w:val="22"/>
      <w14:ligatures w14:val="none"/>
    </w:rPr>
  </w:style>
  <w:style w:type="paragraph" w:styleId="Ttulo1">
    <w:name w:val="heading 1"/>
    <w:basedOn w:val="Normal"/>
    <w:next w:val="Normal"/>
    <w:link w:val="Ttulo1Car"/>
    <w:uiPriority w:val="9"/>
    <w:qFormat/>
    <w:rsid w:val="006E78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E78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E78F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E78F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E78F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E78F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E78F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E78F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E78F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E78F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E78F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E78F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E78F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E78F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E78F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E78F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E78F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E78FE"/>
    <w:rPr>
      <w:rFonts w:eastAsiaTheme="majorEastAsia" w:cstheme="majorBidi"/>
      <w:color w:val="272727" w:themeColor="text1" w:themeTint="D8"/>
    </w:rPr>
  </w:style>
  <w:style w:type="paragraph" w:styleId="Ttulo">
    <w:name w:val="Title"/>
    <w:basedOn w:val="Normal"/>
    <w:next w:val="Normal"/>
    <w:link w:val="TtuloCar"/>
    <w:uiPriority w:val="10"/>
    <w:qFormat/>
    <w:rsid w:val="006E78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E78F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E78F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E78F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E78FE"/>
    <w:pPr>
      <w:spacing w:before="160"/>
      <w:jc w:val="center"/>
    </w:pPr>
    <w:rPr>
      <w:i/>
      <w:iCs/>
      <w:color w:val="404040" w:themeColor="text1" w:themeTint="BF"/>
    </w:rPr>
  </w:style>
  <w:style w:type="character" w:customStyle="1" w:styleId="CitaCar">
    <w:name w:val="Cita Car"/>
    <w:basedOn w:val="Fuentedeprrafopredeter"/>
    <w:link w:val="Cita"/>
    <w:uiPriority w:val="29"/>
    <w:rsid w:val="006E78FE"/>
    <w:rPr>
      <w:i/>
      <w:iCs/>
      <w:color w:val="404040" w:themeColor="text1" w:themeTint="BF"/>
    </w:rPr>
  </w:style>
  <w:style w:type="paragraph" w:styleId="Prrafodelista">
    <w:name w:val="List Paragraph"/>
    <w:basedOn w:val="Normal"/>
    <w:uiPriority w:val="34"/>
    <w:qFormat/>
    <w:rsid w:val="006E78FE"/>
    <w:pPr>
      <w:ind w:left="720"/>
      <w:contextualSpacing/>
    </w:pPr>
  </w:style>
  <w:style w:type="character" w:styleId="nfasisintenso">
    <w:name w:val="Intense Emphasis"/>
    <w:basedOn w:val="Fuentedeprrafopredeter"/>
    <w:uiPriority w:val="21"/>
    <w:qFormat/>
    <w:rsid w:val="006E78FE"/>
    <w:rPr>
      <w:i/>
      <w:iCs/>
      <w:color w:val="0F4761" w:themeColor="accent1" w:themeShade="BF"/>
    </w:rPr>
  </w:style>
  <w:style w:type="paragraph" w:styleId="Citadestacada">
    <w:name w:val="Intense Quote"/>
    <w:basedOn w:val="Normal"/>
    <w:next w:val="Normal"/>
    <w:link w:val="CitadestacadaCar"/>
    <w:uiPriority w:val="30"/>
    <w:qFormat/>
    <w:rsid w:val="006E78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E78FE"/>
    <w:rPr>
      <w:i/>
      <w:iCs/>
      <w:color w:val="0F4761" w:themeColor="accent1" w:themeShade="BF"/>
    </w:rPr>
  </w:style>
  <w:style w:type="character" w:styleId="Referenciaintensa">
    <w:name w:val="Intense Reference"/>
    <w:basedOn w:val="Fuentedeprrafopredeter"/>
    <w:uiPriority w:val="32"/>
    <w:qFormat/>
    <w:rsid w:val="006E78FE"/>
    <w:rPr>
      <w:b/>
      <w:bCs/>
      <w:smallCaps/>
      <w:color w:val="0F4761" w:themeColor="accent1" w:themeShade="BF"/>
      <w:spacing w:val="5"/>
    </w:rPr>
  </w:style>
  <w:style w:type="paragraph" w:styleId="Encabezado">
    <w:name w:val="header"/>
    <w:basedOn w:val="Normal"/>
    <w:link w:val="EncabezadoCar"/>
    <w:uiPriority w:val="99"/>
    <w:semiHidden/>
    <w:unhideWhenUsed/>
    <w:rsid w:val="00B9384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B93846"/>
    <w:rPr>
      <w:kern w:val="0"/>
      <w:sz w:val="22"/>
      <w:szCs w:val="22"/>
      <w14:ligatures w14:val="none"/>
    </w:rPr>
  </w:style>
  <w:style w:type="paragraph" w:styleId="Piedepgina">
    <w:name w:val="footer"/>
    <w:basedOn w:val="Normal"/>
    <w:link w:val="PiedepginaCar"/>
    <w:uiPriority w:val="99"/>
    <w:semiHidden/>
    <w:unhideWhenUsed/>
    <w:rsid w:val="00B9384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B93846"/>
    <w:rPr>
      <w:kern w:val="0"/>
      <w:sz w:val="22"/>
      <w:szCs w:val="22"/>
      <w14:ligatures w14:val="none"/>
    </w:rPr>
  </w:style>
  <w:style w:type="character" w:customStyle="1" w:styleId="TextonotapieCar">
    <w:name w:val="Texto nota pie Car"/>
    <w:basedOn w:val="Fuentedeprrafopredeter"/>
    <w:link w:val="Textonotapie"/>
    <w:qFormat/>
    <w:locked/>
    <w:rsid w:val="00B93846"/>
    <w:rPr>
      <w:sz w:val="20"/>
      <w:szCs w:val="20"/>
      <w:lang w:val="es-MX"/>
    </w:rPr>
  </w:style>
  <w:style w:type="paragraph" w:customStyle="1" w:styleId="Car1">
    <w:name w:val="Car1"/>
    <w:basedOn w:val="Normal"/>
    <w:next w:val="Textonotapie"/>
    <w:unhideWhenUsed/>
    <w:qFormat/>
    <w:rsid w:val="00B93846"/>
    <w:pPr>
      <w:spacing w:after="0" w:line="240" w:lineRule="auto"/>
    </w:pPr>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B93846"/>
    <w:rPr>
      <w:vertAlign w:val="superscript"/>
    </w:rPr>
  </w:style>
  <w:style w:type="table" w:styleId="Tablaconcuadrcula">
    <w:name w:val="Table Grid"/>
    <w:basedOn w:val="Tablanormal"/>
    <w:uiPriority w:val="39"/>
    <w:qFormat/>
    <w:rsid w:val="00B9384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qFormat/>
    <w:rsid w:val="00B9384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B93846"/>
    <w:pPr>
      <w:spacing w:line="240" w:lineRule="exact"/>
    </w:pPr>
    <w:rPr>
      <w:kern w:val="2"/>
      <w:sz w:val="24"/>
      <w:szCs w:val="24"/>
      <w:vertAlign w:val="superscript"/>
      <w14:ligatures w14:val="standardContextual"/>
    </w:rPr>
  </w:style>
  <w:style w:type="paragraph" w:styleId="Textonotapie">
    <w:name w:val="footnote text"/>
    <w:basedOn w:val="Normal"/>
    <w:link w:val="TextonotapieCar"/>
    <w:semiHidden/>
    <w:unhideWhenUsed/>
    <w:rsid w:val="00B93846"/>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B93846"/>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lena1508@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64522A-5581-474B-8B7E-F8085B1987A1}">
  <ds:schemaRefs>
    <ds:schemaRef ds:uri="http://schemas.microsoft.com/sharepoint/v3/contenttype/forms"/>
  </ds:schemaRefs>
</ds:datastoreItem>
</file>

<file path=customXml/itemProps2.xml><?xml version="1.0" encoding="utf-8"?>
<ds:datastoreItem xmlns:ds="http://schemas.openxmlformats.org/officeDocument/2006/customXml" ds:itemID="{71290842-D0FA-49F0-9D7E-21E0B3353411}">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CC3552F5-494E-46AF-96C9-73215A1487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26</Pages>
  <Words>7880</Words>
  <Characters>43344</Characters>
  <Application>Microsoft Office Word</Application>
  <DocSecurity>0</DocSecurity>
  <Lines>361</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3</cp:revision>
  <dcterms:created xsi:type="dcterms:W3CDTF">2026-04-21T18:51:00Z</dcterms:created>
  <dcterms:modified xsi:type="dcterms:W3CDTF">2026-04-21T18:51:00Z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