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D0EC00" w14:textId="4C8C44BF" w:rsidR="009A24FD" w:rsidRPr="009A24FD" w:rsidRDefault="009A24FD" w:rsidP="009A24FD">
      <w:pPr>
        <w:spacing w:after="0"/>
        <w:jc w:val="both"/>
        <w:rPr>
          <w:rFonts w:ascii="Verdana" w:hAnsi="Verdana"/>
        </w:rPr>
      </w:pPr>
      <w:bookmarkStart w:id="0" w:name="_Hlk143780582"/>
      <w:r w:rsidRPr="009A24FD">
        <w:rPr>
          <w:rFonts w:ascii="Verdana" w:eastAsia="Aptos" w:hAnsi="Verdana" w:cs="Times New Roman"/>
          <w:b/>
          <w:bCs/>
          <w:kern w:val="2"/>
          <w14:ligatures w14:val="standardContextual"/>
        </w:rPr>
        <w:t xml:space="preserve">CONTRATACIÓN CON ESAL – Constitución Política – Artículo 355 – Fundamento </w:t>
      </w:r>
    </w:p>
    <w:p w14:paraId="3BFABDB4" w14:textId="77777777" w:rsidR="009A24FD" w:rsidRPr="009A24FD" w:rsidRDefault="009A24FD" w:rsidP="009A24FD">
      <w:pPr>
        <w:spacing w:after="0" w:line="276" w:lineRule="auto"/>
        <w:jc w:val="both"/>
        <w:rPr>
          <w:rFonts w:ascii="Verdana" w:eastAsia="Aptos" w:hAnsi="Verdana" w:cs="Times New Roman"/>
          <w:b/>
          <w:bCs/>
          <w:kern w:val="2"/>
          <w14:ligatures w14:val="standardContextual"/>
        </w:rPr>
      </w:pPr>
    </w:p>
    <w:p w14:paraId="1D4C660E" w14:textId="4C512AE7" w:rsidR="009A24FD" w:rsidRPr="009A24FD" w:rsidRDefault="005056DE" w:rsidP="009A24FD">
      <w:pPr>
        <w:spacing w:after="0" w:line="240" w:lineRule="auto"/>
        <w:jc w:val="both"/>
        <w:rPr>
          <w:rFonts w:ascii="Verdana" w:eastAsia="Aptos" w:hAnsi="Verdana" w:cs="Times New Roman"/>
          <w:b/>
          <w:bCs/>
          <w:kern w:val="2"/>
          <w:sz w:val="20"/>
          <w:szCs w:val="20"/>
          <w14:ligatures w14:val="standardContextual"/>
        </w:rPr>
      </w:pPr>
      <w:r w:rsidRPr="005056DE">
        <w:rPr>
          <w:rFonts w:ascii="Verdana" w:eastAsia="Calibri" w:hAnsi="Verdana" w:cs="Arial"/>
          <w:color w:val="000000"/>
          <w:kern w:val="2"/>
          <w:sz w:val="20"/>
          <w:szCs w:val="20"/>
          <w:lang w:val="es-ES"/>
          <w14:ligatures w14:val="standardContextual"/>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entidades sin ánimo de lucro -ESAL- con el fin de impulsar programas y actividades de interés público acordes con el plan nacional y los planes seccionales de desarrollo. Por otra parte, el artículo 96 de la Ley 489 de 1998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p>
    <w:p w14:paraId="16F3DB64" w14:textId="77777777" w:rsidR="009A24FD" w:rsidRPr="009A24FD" w:rsidRDefault="009A24FD" w:rsidP="009A24FD">
      <w:pPr>
        <w:snapToGrid w:val="0"/>
        <w:spacing w:after="0" w:line="276" w:lineRule="auto"/>
        <w:jc w:val="both"/>
        <w:rPr>
          <w:rFonts w:ascii="Verdana" w:eastAsia="Geomanist Light" w:hAnsi="Verdana" w:cs="Arial"/>
          <w:lang w:val="es-MX"/>
        </w:rPr>
      </w:pPr>
    </w:p>
    <w:p w14:paraId="24343690" w14:textId="77777777" w:rsidR="009A24FD" w:rsidRPr="009A24FD" w:rsidRDefault="009A24FD" w:rsidP="009A24FD">
      <w:pPr>
        <w:snapToGrid w:val="0"/>
        <w:spacing w:after="0" w:line="276" w:lineRule="auto"/>
        <w:jc w:val="both"/>
        <w:rPr>
          <w:rFonts w:ascii="Verdana" w:eastAsia="Geomanist Light" w:hAnsi="Verdana" w:cs="Arial"/>
          <w:b/>
          <w:bCs/>
          <w:lang w:val="es-MX"/>
        </w:rPr>
      </w:pPr>
      <w:r w:rsidRPr="009A24FD">
        <w:rPr>
          <w:rFonts w:ascii="Verdana" w:eastAsia="Geomanist Light" w:hAnsi="Verdana" w:cs="Arial"/>
          <w:b/>
          <w:bCs/>
          <w:lang w:val="es-MX"/>
        </w:rPr>
        <w:t>DECRETO 092 DE 2017 – Contratos de colaboración – Convenios de asociación</w:t>
      </w:r>
    </w:p>
    <w:p w14:paraId="021E04BD" w14:textId="77777777" w:rsidR="009A24FD" w:rsidRPr="009A24FD" w:rsidRDefault="009A24FD" w:rsidP="009A24FD">
      <w:pPr>
        <w:snapToGrid w:val="0"/>
        <w:spacing w:after="0" w:line="276" w:lineRule="auto"/>
        <w:jc w:val="both"/>
        <w:rPr>
          <w:rFonts w:ascii="Verdana" w:eastAsia="Geomanist Light" w:hAnsi="Verdana" w:cs="Arial"/>
          <w:lang w:val="es-MX"/>
        </w:rPr>
      </w:pPr>
    </w:p>
    <w:p w14:paraId="12FA61DA" w14:textId="21EC691C" w:rsidR="00714DD3" w:rsidRPr="00714DD3" w:rsidRDefault="00714DD3" w:rsidP="00714DD3">
      <w:pPr>
        <w:spacing w:after="0" w:line="240" w:lineRule="auto"/>
        <w:jc w:val="both"/>
        <w:rPr>
          <w:rFonts w:ascii="Verdana" w:eastAsia="Calibri" w:hAnsi="Verdana" w:cs="Arial"/>
          <w:kern w:val="2"/>
          <w:sz w:val="20"/>
          <w:szCs w:val="20"/>
          <w:lang w:val="es-ES"/>
          <w14:ligatures w14:val="standardContextual"/>
        </w:rPr>
      </w:pPr>
      <w:r w:rsidRPr="00714DD3">
        <w:rPr>
          <w:rFonts w:ascii="Verdana" w:eastAsia="Calibri" w:hAnsi="Verdana" w:cs="Arial"/>
          <w:kern w:val="2"/>
          <w:sz w:val="20"/>
          <w:szCs w:val="20"/>
          <w:lang w:val="es-ES"/>
          <w14:ligatures w14:val="standardContextual"/>
        </w:rPr>
        <w:t xml:space="preserve">Los </w:t>
      </w:r>
      <w:r w:rsidRPr="00714DD3">
        <w:rPr>
          <w:rFonts w:ascii="Verdana" w:eastAsia="Calibri" w:hAnsi="Verdana" w:cs="Arial"/>
          <w:i/>
          <w:kern w:val="2"/>
          <w:sz w:val="20"/>
          <w:szCs w:val="20"/>
          <w:lang w:val="es-ES"/>
          <w14:ligatures w14:val="standardContextual"/>
        </w:rPr>
        <w:t>contratos del artículo 355 de la Constitución Política</w:t>
      </w:r>
      <w:r w:rsidRPr="00714DD3">
        <w:rPr>
          <w:rFonts w:ascii="Verdana" w:eastAsia="Calibri" w:hAnsi="Verdana" w:cs="Arial"/>
          <w:kern w:val="2"/>
          <w:sz w:val="20"/>
          <w:szCs w:val="20"/>
          <w:lang w:val="es-ES"/>
          <w14:ligatures w14:val="standardContextual"/>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esta y la ESAL, toda vez que el beneficio directo lo recibirán, en últimas, los sectores de este tipo de acciones de fomento. Para celebrar estos contratos, según lo establece el artículo 4 del Decreto 092 de 2017, por regla general, la entidad debe adelantar un proceso competitivo para seleccionar la entidad sin ánimo de lucro contratista.</w:t>
      </w:r>
    </w:p>
    <w:p w14:paraId="2A88B0F4" w14:textId="77777777" w:rsidR="00714DD3" w:rsidRPr="00714DD3" w:rsidRDefault="00714DD3" w:rsidP="00714DD3">
      <w:pPr>
        <w:spacing w:after="0" w:line="240" w:lineRule="auto"/>
        <w:jc w:val="both"/>
        <w:rPr>
          <w:rFonts w:ascii="Verdana" w:eastAsia="Calibri" w:hAnsi="Verdana" w:cs="Arial"/>
          <w:kern w:val="2"/>
          <w:sz w:val="20"/>
          <w:szCs w:val="20"/>
          <w:lang w:val="es-ES"/>
          <w14:ligatures w14:val="standardContextual"/>
        </w:rPr>
      </w:pPr>
    </w:p>
    <w:p w14:paraId="58F9426D" w14:textId="441207C9" w:rsidR="00714DD3" w:rsidRPr="00714DD3" w:rsidRDefault="00714DD3" w:rsidP="00714DD3">
      <w:pPr>
        <w:spacing w:after="0" w:line="240" w:lineRule="auto"/>
        <w:jc w:val="both"/>
        <w:rPr>
          <w:rFonts w:ascii="Verdana" w:eastAsia="Calibri" w:hAnsi="Verdana" w:cs="Arial"/>
          <w:kern w:val="2"/>
          <w:sz w:val="20"/>
          <w:szCs w:val="20"/>
          <w:lang w:val="es-ES"/>
          <w14:ligatures w14:val="standardContextual"/>
        </w:rPr>
      </w:pPr>
      <w:r w:rsidRPr="00714DD3">
        <w:rPr>
          <w:rFonts w:ascii="Verdana" w:eastAsia="Calibri" w:hAnsi="Verdana" w:cs="Arial"/>
          <w:kern w:val="2"/>
          <w:sz w:val="20"/>
          <w:szCs w:val="20"/>
          <w:lang w:val="es-ES"/>
          <w14:ligatures w14:val="standardContextual"/>
        </w:rPr>
        <w:t xml:space="preserve">De otro lado, los </w:t>
      </w:r>
      <w:r w:rsidRPr="00714DD3">
        <w:rPr>
          <w:rFonts w:ascii="Verdana" w:eastAsia="Calibri" w:hAnsi="Verdana" w:cs="Arial"/>
          <w:i/>
          <w:kern w:val="2"/>
          <w:sz w:val="20"/>
          <w:szCs w:val="20"/>
          <w:lang w:val="es-ES"/>
          <w14:ligatures w14:val="standardContextual"/>
        </w:rPr>
        <w:t>convenios de asociación</w:t>
      </w:r>
      <w:r w:rsidRPr="00714DD3">
        <w:rPr>
          <w:rFonts w:ascii="Verdana" w:eastAsia="Calibri" w:hAnsi="Verdana" w:cs="Arial"/>
          <w:kern w:val="2"/>
          <w:sz w:val="20"/>
          <w:szCs w:val="20"/>
          <w:lang w:val="es-ES"/>
          <w14:ligatures w14:val="standardContextual"/>
        </w:rPr>
        <w:t xml:space="preserve"> “[…] [t]</w:t>
      </w:r>
      <w:proofErr w:type="spellStart"/>
      <w:r w:rsidRPr="00714DD3">
        <w:rPr>
          <w:rFonts w:ascii="Verdana" w:eastAsia="Calibri" w:hAnsi="Verdana" w:cs="Arial"/>
          <w:kern w:val="2"/>
          <w:sz w:val="20"/>
          <w:szCs w:val="20"/>
          <w:lang w:val="es-ES"/>
          <w14:ligatures w14:val="standardContextual"/>
        </w:rPr>
        <w:t>ienen</w:t>
      </w:r>
      <w:proofErr w:type="spellEnd"/>
      <w:r w:rsidRPr="00714DD3">
        <w:rPr>
          <w:rFonts w:ascii="Verdana" w:eastAsia="Calibri" w:hAnsi="Verdana" w:cs="Arial"/>
          <w:kern w:val="2"/>
          <w:sz w:val="20"/>
          <w:szCs w:val="20"/>
          <w:lang w:val="es-ES"/>
          <w14:ligatures w14:val="standardContextual"/>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y, por tanto, la entidad no instruye al contratista para desarrollar los programas o actividades previstas, sino que se asocia con él para el cumplimiento de objetivos comunes.</w:t>
      </w:r>
    </w:p>
    <w:p w14:paraId="6BE4034A" w14:textId="6D763BDE" w:rsidR="009A24FD" w:rsidRPr="009A24FD" w:rsidRDefault="009A24FD" w:rsidP="00714DD3">
      <w:pPr>
        <w:spacing w:after="0" w:line="240" w:lineRule="auto"/>
        <w:jc w:val="both"/>
        <w:rPr>
          <w:rFonts w:ascii="Verdana" w:eastAsia="Calibri" w:hAnsi="Verdana" w:cs="Arial"/>
          <w:kern w:val="2"/>
          <w:sz w:val="20"/>
          <w:szCs w:val="20"/>
          <w:lang w:val="es-ES"/>
          <w14:ligatures w14:val="standardContextual"/>
        </w:rPr>
      </w:pPr>
    </w:p>
    <w:p w14:paraId="255F1A4E" w14:textId="77777777" w:rsidR="009A24FD" w:rsidRPr="009A24FD" w:rsidRDefault="009A24FD" w:rsidP="009A24FD">
      <w:pPr>
        <w:spacing w:after="0" w:line="240" w:lineRule="auto"/>
        <w:rPr>
          <w:rFonts w:ascii="Verdana" w:eastAsia="Geomanist Light" w:hAnsi="Verdana" w:cs="Arial"/>
          <w:lang w:val="es-MX"/>
        </w:rPr>
      </w:pPr>
    </w:p>
    <w:p w14:paraId="4C80F5E1" w14:textId="77777777" w:rsidR="009A24FD" w:rsidRPr="009A24FD" w:rsidRDefault="009A24FD" w:rsidP="009A24FD">
      <w:pPr>
        <w:spacing w:after="0" w:line="240" w:lineRule="auto"/>
        <w:rPr>
          <w:rFonts w:ascii="Verdana" w:eastAsia="Geomanist Light" w:hAnsi="Verdana" w:cs="Arial"/>
          <w:lang w:val="es-MX"/>
        </w:rPr>
      </w:pPr>
    </w:p>
    <w:p w14:paraId="0A65A6E3" w14:textId="77777777" w:rsidR="009A24FD" w:rsidRPr="009A24FD" w:rsidRDefault="009A24FD" w:rsidP="009A24FD">
      <w:pPr>
        <w:spacing w:after="0" w:line="240" w:lineRule="auto"/>
        <w:rPr>
          <w:rFonts w:ascii="Verdana" w:eastAsia="Geomanist Light" w:hAnsi="Verdana" w:cs="Arial"/>
          <w:lang w:val="es-MX"/>
        </w:rPr>
      </w:pPr>
    </w:p>
    <w:p w14:paraId="78C00663" w14:textId="77777777" w:rsidR="009A24FD" w:rsidRPr="009A24FD" w:rsidRDefault="009A24FD" w:rsidP="009A24FD">
      <w:pPr>
        <w:spacing w:after="0" w:line="240" w:lineRule="auto"/>
        <w:rPr>
          <w:rFonts w:ascii="Verdana" w:eastAsia="Geomanist Light" w:hAnsi="Verdana" w:cs="Arial"/>
          <w:lang w:val="es-MX"/>
        </w:rPr>
      </w:pPr>
    </w:p>
    <w:p w14:paraId="6DE50B89" w14:textId="77777777" w:rsidR="009A24FD" w:rsidRDefault="009A24FD" w:rsidP="009A24FD">
      <w:pPr>
        <w:spacing w:after="0" w:line="240" w:lineRule="auto"/>
        <w:jc w:val="both"/>
        <w:rPr>
          <w:rFonts w:ascii="Verdana" w:eastAsia="Calibri" w:hAnsi="Verdana" w:cs="Times New Roman"/>
        </w:rPr>
      </w:pPr>
    </w:p>
    <w:p w14:paraId="6F020353" w14:textId="77777777" w:rsidR="009A24FD" w:rsidRDefault="009A24FD" w:rsidP="009A24FD">
      <w:pPr>
        <w:spacing w:after="0" w:line="240" w:lineRule="auto"/>
        <w:jc w:val="both"/>
        <w:rPr>
          <w:rFonts w:ascii="Verdana" w:eastAsia="Calibri" w:hAnsi="Verdana" w:cs="Times New Roman"/>
        </w:rPr>
      </w:pPr>
    </w:p>
    <w:p w14:paraId="1BBDC011" w14:textId="597E0E69" w:rsidR="009A24FD" w:rsidRPr="009A24FD" w:rsidRDefault="009A24FD" w:rsidP="009A24FD">
      <w:pPr>
        <w:spacing w:after="0" w:line="240" w:lineRule="auto"/>
        <w:jc w:val="both"/>
        <w:rPr>
          <w:rFonts w:ascii="Verdana" w:eastAsia="Geomanist Light" w:hAnsi="Verdana" w:cs="Arial"/>
          <w:lang w:val="es-MX"/>
        </w:rPr>
      </w:pPr>
      <w:r w:rsidRPr="0044528D">
        <w:rPr>
          <w:rFonts w:ascii="Verdana" w:hAnsi="Verdana"/>
        </w:rPr>
        <w:lastRenderedPageBreak/>
        <w:t>Bogotá D.C., [Día] [</w:t>
      </w:r>
      <w:proofErr w:type="spellStart"/>
      <w:r w:rsidRPr="0044528D">
        <w:rPr>
          <w:rFonts w:ascii="Verdana" w:hAnsi="Verdana"/>
        </w:rPr>
        <w:t>Mes</w:t>
      </w:r>
      <w:r>
        <w:rPr>
          <w:rFonts w:ascii="Verdana" w:hAnsi="Verdana"/>
        </w:rPr>
        <w:t>.</w:t>
      </w:r>
      <w:r w:rsidRPr="0044528D">
        <w:rPr>
          <w:rFonts w:ascii="Verdana" w:hAnsi="Verdana"/>
        </w:rPr>
        <w:t>NombreCapitalizado</w:t>
      </w:r>
      <w:proofErr w:type="spellEnd"/>
      <w:r w:rsidRPr="0044528D">
        <w:rPr>
          <w:rFonts w:ascii="Verdana" w:hAnsi="Verdana"/>
        </w:rPr>
        <w:t>] [Año]</w:t>
      </w:r>
    </w:p>
    <w:p w14:paraId="06F86C9A" w14:textId="38CAB90B" w:rsidR="009A24FD" w:rsidRDefault="00C1622C" w:rsidP="009A24FD">
      <w:pPr>
        <w:spacing w:after="0" w:line="240" w:lineRule="auto"/>
        <w:jc w:val="both"/>
        <w:rPr>
          <w:rFonts w:ascii="Verdana" w:eastAsia="Calibri" w:hAnsi="Verdana" w:cs="Arial"/>
          <w:lang w:val="es-ES"/>
        </w:rPr>
      </w:pPr>
      <w:r w:rsidRPr="00C1622C">
        <w:rPr>
          <w:rFonts w:ascii="Verdana" w:eastAsia="Calibri" w:hAnsi="Verdana" w:cs="Arial"/>
          <w:noProof/>
          <w:lang w:val="es-ES"/>
        </w:rPr>
        <w:drawing>
          <wp:anchor distT="0" distB="0" distL="114300" distR="114300" simplePos="0" relativeHeight="251658240" behindDoc="1" locked="0" layoutInCell="1" allowOverlap="1" wp14:anchorId="0F768751" wp14:editId="5F6D0304">
            <wp:simplePos x="0" y="0"/>
            <wp:positionH relativeFrom="column">
              <wp:posOffset>1740535</wp:posOffset>
            </wp:positionH>
            <wp:positionV relativeFrom="paragraph">
              <wp:posOffset>60325</wp:posOffset>
            </wp:positionV>
            <wp:extent cx="3476625" cy="1038225"/>
            <wp:effectExtent l="0" t="0" r="9525" b="9525"/>
            <wp:wrapTight wrapText="bothSides">
              <wp:wrapPolygon edited="0">
                <wp:start x="0" y="0"/>
                <wp:lineTo x="0" y="21402"/>
                <wp:lineTo x="21541" y="21402"/>
                <wp:lineTo x="21541" y="0"/>
                <wp:lineTo x="0" y="0"/>
              </wp:wrapPolygon>
            </wp:wrapTight>
            <wp:docPr id="96277294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772947" name=""/>
                    <pic:cNvPicPr/>
                  </pic:nvPicPr>
                  <pic:blipFill>
                    <a:blip r:embed="rId10">
                      <a:extLst>
                        <a:ext uri="{28A0092B-C50C-407E-A947-70E740481C1C}">
                          <a14:useLocalDpi xmlns:a14="http://schemas.microsoft.com/office/drawing/2010/main" val="0"/>
                        </a:ext>
                      </a:extLst>
                    </a:blip>
                    <a:stretch>
                      <a:fillRect/>
                    </a:stretch>
                  </pic:blipFill>
                  <pic:spPr>
                    <a:xfrm>
                      <a:off x="0" y="0"/>
                      <a:ext cx="3476625" cy="1038225"/>
                    </a:xfrm>
                    <a:prstGeom prst="rect">
                      <a:avLst/>
                    </a:prstGeom>
                  </pic:spPr>
                </pic:pic>
              </a:graphicData>
            </a:graphic>
          </wp:anchor>
        </w:drawing>
      </w:r>
    </w:p>
    <w:p w14:paraId="090BFE35" w14:textId="77777777" w:rsidR="00C1622C" w:rsidRDefault="00C1622C" w:rsidP="009A24FD">
      <w:pPr>
        <w:spacing w:after="0" w:line="240" w:lineRule="auto"/>
        <w:jc w:val="both"/>
        <w:rPr>
          <w:rFonts w:ascii="Verdana" w:eastAsia="Calibri" w:hAnsi="Verdana" w:cs="Arial"/>
          <w:lang w:val="es-ES"/>
        </w:rPr>
      </w:pPr>
    </w:p>
    <w:p w14:paraId="7BB6D9A9" w14:textId="77777777" w:rsidR="00C1622C" w:rsidRDefault="00C1622C" w:rsidP="009A24FD">
      <w:pPr>
        <w:spacing w:after="0" w:line="240" w:lineRule="auto"/>
        <w:jc w:val="both"/>
        <w:rPr>
          <w:rFonts w:ascii="Verdana" w:eastAsia="Calibri" w:hAnsi="Verdana" w:cs="Arial"/>
          <w:lang w:val="es-ES"/>
        </w:rPr>
      </w:pPr>
    </w:p>
    <w:p w14:paraId="2D054B56" w14:textId="0D881643" w:rsidR="00C1622C" w:rsidRDefault="00C1622C" w:rsidP="009A24FD">
      <w:pPr>
        <w:spacing w:after="0" w:line="240" w:lineRule="auto"/>
        <w:jc w:val="both"/>
        <w:rPr>
          <w:rFonts w:ascii="Verdana" w:eastAsia="Calibri" w:hAnsi="Verdana" w:cs="Arial"/>
          <w:lang w:val="es-ES"/>
        </w:rPr>
      </w:pPr>
    </w:p>
    <w:p w14:paraId="7BC22603" w14:textId="77777777" w:rsidR="00C1622C" w:rsidRPr="009A24FD" w:rsidRDefault="00C1622C" w:rsidP="009A24FD">
      <w:pPr>
        <w:spacing w:after="0" w:line="240" w:lineRule="auto"/>
        <w:jc w:val="both"/>
        <w:rPr>
          <w:rFonts w:ascii="Verdana" w:eastAsia="Calibri" w:hAnsi="Verdana" w:cs="Arial"/>
          <w:lang w:val="es-ES"/>
        </w:rPr>
      </w:pPr>
    </w:p>
    <w:p w14:paraId="28A4BF41" w14:textId="77777777" w:rsidR="009A24FD" w:rsidRDefault="009A24FD" w:rsidP="009A24FD">
      <w:pPr>
        <w:spacing w:after="0" w:line="240" w:lineRule="auto"/>
        <w:jc w:val="both"/>
        <w:rPr>
          <w:rFonts w:ascii="Verdana" w:eastAsia="Calibri" w:hAnsi="Verdana" w:cs="Arial"/>
          <w:lang w:val="es-ES" w:eastAsia="es-ES"/>
        </w:rPr>
      </w:pPr>
    </w:p>
    <w:p w14:paraId="14C99AAD" w14:textId="77777777" w:rsidR="00C1622C" w:rsidRDefault="00C1622C" w:rsidP="009A24FD">
      <w:pPr>
        <w:spacing w:after="0" w:line="240" w:lineRule="auto"/>
        <w:jc w:val="both"/>
        <w:rPr>
          <w:rFonts w:ascii="Verdana" w:eastAsia="Calibri" w:hAnsi="Verdana" w:cs="Arial"/>
          <w:lang w:val="es-ES" w:eastAsia="es-ES"/>
        </w:rPr>
      </w:pPr>
    </w:p>
    <w:p w14:paraId="036AFDBB" w14:textId="7419972D" w:rsidR="009A24FD" w:rsidRPr="009A24FD" w:rsidRDefault="009A24FD" w:rsidP="009A24FD">
      <w:pPr>
        <w:spacing w:after="0" w:line="240" w:lineRule="auto"/>
        <w:jc w:val="both"/>
        <w:rPr>
          <w:rFonts w:ascii="Verdana" w:eastAsia="Calibri" w:hAnsi="Verdana" w:cs="Arial"/>
          <w:lang w:val="es-ES" w:eastAsia="es-ES"/>
        </w:rPr>
      </w:pPr>
      <w:r w:rsidRPr="009A24FD">
        <w:rPr>
          <w:rFonts w:ascii="Verdana" w:eastAsia="Calibri" w:hAnsi="Verdana" w:cs="Arial"/>
          <w:lang w:val="es-ES" w:eastAsia="es-ES"/>
        </w:rPr>
        <w:t>Señor</w:t>
      </w:r>
    </w:p>
    <w:p w14:paraId="3A94A1BC" w14:textId="77777777" w:rsidR="009A24FD" w:rsidRPr="009A24FD" w:rsidRDefault="009A24FD" w:rsidP="009A24FD">
      <w:pPr>
        <w:spacing w:after="0" w:line="240" w:lineRule="auto"/>
        <w:rPr>
          <w:rFonts w:ascii="Verdana" w:eastAsia="Calibri" w:hAnsi="Verdana" w:cs="Arial"/>
          <w:b/>
          <w:lang w:val="es-ES" w:eastAsia="es-ES"/>
        </w:rPr>
      </w:pPr>
      <w:r w:rsidRPr="29E65C17">
        <w:rPr>
          <w:rFonts w:ascii="Verdana" w:eastAsia="Calibri" w:hAnsi="Verdana" w:cs="Arial"/>
          <w:b/>
          <w:lang w:val="es-ES" w:eastAsia="es-ES"/>
        </w:rPr>
        <w:t xml:space="preserve">Guillermo Abril </w:t>
      </w:r>
      <w:proofErr w:type="spellStart"/>
      <w:r w:rsidRPr="29E65C17">
        <w:rPr>
          <w:rFonts w:ascii="Verdana" w:eastAsia="Calibri" w:hAnsi="Verdana" w:cs="Arial"/>
          <w:b/>
          <w:lang w:val="es-ES" w:eastAsia="es-ES"/>
        </w:rPr>
        <w:t>Abril</w:t>
      </w:r>
      <w:proofErr w:type="spellEnd"/>
    </w:p>
    <w:p w14:paraId="730D88FA" w14:textId="77777777" w:rsidR="009A24FD" w:rsidRPr="009A24FD" w:rsidRDefault="009A24FD" w:rsidP="009A24FD">
      <w:pPr>
        <w:spacing w:after="0" w:line="240" w:lineRule="auto"/>
        <w:rPr>
          <w:rFonts w:ascii="Verdana" w:eastAsia="Calibri" w:hAnsi="Verdana" w:cs="Arial"/>
          <w:lang w:val="es-ES" w:eastAsia="es-ES"/>
        </w:rPr>
      </w:pPr>
      <w:r w:rsidRPr="009A24FD">
        <w:rPr>
          <w:rFonts w:ascii="Verdana" w:eastAsia="Calibri" w:hAnsi="Verdana" w:cs="Arial"/>
          <w:lang w:val="es-ES" w:eastAsia="es-ES"/>
        </w:rPr>
        <w:t>Ciudad</w:t>
      </w:r>
    </w:p>
    <w:p w14:paraId="694CDD4C" w14:textId="77777777" w:rsidR="009A24FD" w:rsidRPr="009A24FD" w:rsidRDefault="009A24FD" w:rsidP="009A24FD">
      <w:pPr>
        <w:spacing w:after="0" w:line="240" w:lineRule="auto"/>
        <w:rPr>
          <w:rFonts w:ascii="Verdana" w:eastAsia="Calibri" w:hAnsi="Verdana" w:cs="Arial"/>
          <w:b/>
          <w:bCs/>
          <w:lang w:val="es-ES_tradnl" w:eastAsia="es-ES_tradnl"/>
        </w:rPr>
      </w:pPr>
    </w:p>
    <w:p w14:paraId="44D29DD3" w14:textId="77777777" w:rsidR="009A24FD" w:rsidRPr="009A24FD" w:rsidRDefault="009A24FD" w:rsidP="009A24FD">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A24FD" w:rsidRPr="009A24FD" w14:paraId="611E731C" w14:textId="77777777" w:rsidTr="00DA49DD">
        <w:trPr>
          <w:trHeight w:val="884"/>
        </w:trPr>
        <w:tc>
          <w:tcPr>
            <w:tcW w:w="2689" w:type="dxa"/>
          </w:tcPr>
          <w:p w14:paraId="5EFD9319" w14:textId="77777777" w:rsidR="009A24FD" w:rsidRPr="009A24FD" w:rsidRDefault="009A24FD" w:rsidP="009A24FD">
            <w:pPr>
              <w:jc w:val="both"/>
              <w:rPr>
                <w:rFonts w:ascii="Verdana" w:eastAsia="Calibri" w:hAnsi="Verdana" w:cs="Arial"/>
                <w:b/>
                <w:bCs/>
                <w:lang w:val="es-ES_tradnl" w:eastAsia="es-ES_tradnl"/>
              </w:rPr>
            </w:pPr>
          </w:p>
        </w:tc>
        <w:tc>
          <w:tcPr>
            <w:tcW w:w="6100" w:type="dxa"/>
          </w:tcPr>
          <w:p w14:paraId="4101120E" w14:textId="77777777" w:rsidR="009A24FD" w:rsidRPr="009A24FD" w:rsidRDefault="009A24FD" w:rsidP="009A24FD">
            <w:pPr>
              <w:jc w:val="both"/>
              <w:rPr>
                <w:rFonts w:ascii="Verdana" w:eastAsia="Calibri" w:hAnsi="Verdana" w:cs="Arial"/>
                <w:b/>
                <w:bCs/>
                <w:lang w:val="es-ES" w:eastAsia="es-ES"/>
              </w:rPr>
            </w:pPr>
            <w:r w:rsidRPr="009A24FD">
              <w:rPr>
                <w:rFonts w:ascii="Verdana" w:eastAsia="Calibri" w:hAnsi="Verdana" w:cs="Arial"/>
                <w:b/>
                <w:bCs/>
                <w:lang w:val="es-ES" w:eastAsia="es-ES"/>
              </w:rPr>
              <w:t>Concepto C – 383 de 2024</w:t>
            </w:r>
          </w:p>
        </w:tc>
      </w:tr>
      <w:tr w:rsidR="009A24FD" w:rsidRPr="009A24FD" w14:paraId="164D71DA" w14:textId="77777777" w:rsidTr="00DA49DD">
        <w:trPr>
          <w:trHeight w:val="884"/>
        </w:trPr>
        <w:tc>
          <w:tcPr>
            <w:tcW w:w="2689" w:type="dxa"/>
          </w:tcPr>
          <w:p w14:paraId="6832D2B6" w14:textId="77777777" w:rsidR="009A24FD" w:rsidRPr="009A24FD" w:rsidRDefault="009A24FD" w:rsidP="009A24FD">
            <w:pPr>
              <w:jc w:val="both"/>
              <w:rPr>
                <w:rFonts w:ascii="Verdana" w:eastAsia="Calibri" w:hAnsi="Verdana" w:cs="Arial"/>
                <w:lang w:val="es-ES_tradnl" w:eastAsia="es-ES_tradnl"/>
              </w:rPr>
            </w:pPr>
            <w:r w:rsidRPr="009A24FD">
              <w:rPr>
                <w:rFonts w:ascii="Verdana" w:eastAsia="Calibri" w:hAnsi="Verdana" w:cs="Arial"/>
                <w:b/>
                <w:lang w:val="es-ES_tradnl" w:eastAsia="es-ES_tradnl"/>
              </w:rPr>
              <w:t>Temas:</w:t>
            </w:r>
            <w:r w:rsidRPr="009A24FD">
              <w:rPr>
                <w:rFonts w:ascii="Verdana" w:eastAsia="Calibri" w:hAnsi="Verdana" w:cs="Arial"/>
                <w:lang w:val="es-ES_tradnl" w:eastAsia="es-ES_tradnl"/>
              </w:rPr>
              <w:t xml:space="preserve">                   </w:t>
            </w:r>
          </w:p>
        </w:tc>
        <w:tc>
          <w:tcPr>
            <w:tcW w:w="6100" w:type="dxa"/>
          </w:tcPr>
          <w:p w14:paraId="00CA6C48" w14:textId="77777777" w:rsidR="009A24FD" w:rsidRPr="009A24FD" w:rsidRDefault="009A24FD" w:rsidP="009A24FD">
            <w:pPr>
              <w:snapToGrid w:val="0"/>
              <w:spacing w:line="276" w:lineRule="auto"/>
              <w:jc w:val="both"/>
              <w:rPr>
                <w:rFonts w:ascii="Verdana" w:eastAsia="Calibri" w:hAnsi="Verdana" w:cs="Arial"/>
                <w:lang w:val="es-ES" w:eastAsia="es-ES"/>
              </w:rPr>
            </w:pPr>
            <w:r w:rsidRPr="009A24FD">
              <w:rPr>
                <w:rFonts w:ascii="Verdana" w:eastAsia="Calibri" w:hAnsi="Verdana" w:cs="Arial"/>
                <w:lang w:val="es-ES" w:eastAsia="es-ES"/>
              </w:rPr>
              <w:t>CONTRATACIÓN CON ESAL – Constitución Política – Artículo 355 – Fundamento / DECRETO 092 DE 2017 – Contratos de colaboración – Convenios de asociación</w:t>
            </w:r>
          </w:p>
          <w:p w14:paraId="70A8C9AA" w14:textId="77777777" w:rsidR="009A24FD" w:rsidRPr="009A24FD" w:rsidRDefault="009A24FD" w:rsidP="009A24FD">
            <w:pPr>
              <w:snapToGrid w:val="0"/>
              <w:spacing w:line="276" w:lineRule="auto"/>
              <w:jc w:val="both"/>
              <w:rPr>
                <w:rFonts w:ascii="Verdana" w:eastAsia="Calibri" w:hAnsi="Verdana" w:cs="Arial"/>
                <w:highlight w:val="yellow"/>
                <w:lang w:val="es-ES" w:eastAsia="es-ES"/>
              </w:rPr>
            </w:pPr>
          </w:p>
        </w:tc>
      </w:tr>
      <w:tr w:rsidR="009A24FD" w:rsidRPr="009A24FD" w14:paraId="12D3C616" w14:textId="77777777" w:rsidTr="00493E95">
        <w:trPr>
          <w:trHeight w:val="433"/>
        </w:trPr>
        <w:tc>
          <w:tcPr>
            <w:tcW w:w="2689" w:type="dxa"/>
          </w:tcPr>
          <w:p w14:paraId="34157736" w14:textId="77777777" w:rsidR="009A24FD" w:rsidRPr="009A24FD" w:rsidRDefault="009A24FD" w:rsidP="009A24FD">
            <w:pPr>
              <w:jc w:val="both"/>
              <w:rPr>
                <w:rFonts w:ascii="Verdana" w:eastAsia="Calibri" w:hAnsi="Verdana" w:cs="Arial"/>
                <w:b/>
                <w:lang w:val="es-ES_tradnl" w:eastAsia="es-ES_tradnl"/>
              </w:rPr>
            </w:pPr>
            <w:r w:rsidRPr="009A24FD">
              <w:rPr>
                <w:rFonts w:ascii="Verdana" w:eastAsia="Calibri" w:hAnsi="Verdana" w:cs="Arial"/>
                <w:b/>
                <w:lang w:val="es-ES_tradnl" w:eastAsia="es-ES_tradnl"/>
              </w:rPr>
              <w:t>Radicación:</w:t>
            </w:r>
            <w:r w:rsidRPr="009A24FD">
              <w:rPr>
                <w:rFonts w:ascii="Verdana" w:eastAsia="Calibri" w:hAnsi="Verdana" w:cs="Arial"/>
                <w:lang w:val="es-ES_tradnl" w:eastAsia="es-ES_tradnl"/>
              </w:rPr>
              <w:t xml:space="preserve">               </w:t>
            </w:r>
          </w:p>
        </w:tc>
        <w:tc>
          <w:tcPr>
            <w:tcW w:w="6100" w:type="dxa"/>
          </w:tcPr>
          <w:p w14:paraId="368B233E" w14:textId="77777777" w:rsidR="009A24FD" w:rsidRPr="009A24FD" w:rsidRDefault="009A24FD" w:rsidP="009A24FD">
            <w:pPr>
              <w:jc w:val="both"/>
              <w:rPr>
                <w:rFonts w:ascii="Verdana" w:eastAsia="Calibri" w:hAnsi="Verdana" w:cs="Arial"/>
                <w:lang w:val="es-ES_tradnl" w:eastAsia="es-ES_tradnl"/>
              </w:rPr>
            </w:pPr>
            <w:r w:rsidRPr="009A24FD">
              <w:rPr>
                <w:rFonts w:ascii="Verdana" w:eastAsia="Calibri" w:hAnsi="Verdana" w:cs="Arial"/>
                <w:lang w:val="es-ES_tradnl" w:eastAsia="es-ES_tradnl"/>
              </w:rPr>
              <w:t>Respuesta a consulta con radicado No. P20240723007551</w:t>
            </w:r>
          </w:p>
        </w:tc>
      </w:tr>
    </w:tbl>
    <w:p w14:paraId="6162F52F" w14:textId="77777777" w:rsidR="009A24FD" w:rsidRPr="009A24FD" w:rsidRDefault="009A24FD" w:rsidP="009A24FD">
      <w:pPr>
        <w:spacing w:after="0" w:line="240" w:lineRule="auto"/>
        <w:jc w:val="both"/>
        <w:rPr>
          <w:rFonts w:ascii="Verdana" w:eastAsia="Calibri" w:hAnsi="Verdana" w:cs="Arial"/>
          <w:lang w:val="es-ES_tradnl" w:eastAsia="es-ES_tradnl"/>
        </w:rPr>
      </w:pPr>
    </w:p>
    <w:p w14:paraId="2C64F8F2" w14:textId="77777777" w:rsidR="009A24FD" w:rsidRPr="009A24FD" w:rsidRDefault="009A24FD" w:rsidP="009A24FD">
      <w:pPr>
        <w:spacing w:after="0" w:line="240" w:lineRule="auto"/>
        <w:jc w:val="both"/>
        <w:rPr>
          <w:rFonts w:ascii="Verdana" w:eastAsia="Calibri" w:hAnsi="Verdana" w:cs="Arial"/>
          <w:lang w:val="es-ES_tradnl" w:eastAsia="es-ES_tradnl"/>
        </w:rPr>
      </w:pPr>
    </w:p>
    <w:p w14:paraId="38AF32D5" w14:textId="77777777" w:rsidR="009A24FD" w:rsidRPr="009A24FD" w:rsidRDefault="009A24FD" w:rsidP="009A24FD">
      <w:pPr>
        <w:spacing w:after="0" w:line="276" w:lineRule="auto"/>
        <w:jc w:val="both"/>
        <w:rPr>
          <w:rFonts w:ascii="Verdana" w:eastAsia="Calibri" w:hAnsi="Verdana" w:cs="Arial"/>
          <w:lang w:val="es-ES" w:eastAsia="es-ES"/>
        </w:rPr>
      </w:pPr>
      <w:r w:rsidRPr="009A24FD">
        <w:rPr>
          <w:rFonts w:ascii="Verdana" w:eastAsia="Calibri" w:hAnsi="Verdana" w:cs="Arial"/>
          <w:lang w:val="es-ES" w:eastAsia="es-ES"/>
        </w:rPr>
        <w:t xml:space="preserve">Estimado señor Abril </w:t>
      </w:r>
      <w:proofErr w:type="spellStart"/>
      <w:r w:rsidRPr="009A24FD">
        <w:rPr>
          <w:rFonts w:ascii="Verdana" w:eastAsia="Calibri" w:hAnsi="Verdana" w:cs="Arial"/>
          <w:lang w:val="es-ES" w:eastAsia="es-ES"/>
        </w:rPr>
        <w:t>Abril</w:t>
      </w:r>
      <w:proofErr w:type="spellEnd"/>
      <w:r w:rsidRPr="009A24FD">
        <w:rPr>
          <w:rFonts w:ascii="Verdana" w:eastAsia="Calibri" w:hAnsi="Verdana" w:cs="Arial"/>
          <w:lang w:val="es-ES" w:eastAsia="es-ES"/>
        </w:rPr>
        <w:t xml:space="preserve">: </w:t>
      </w:r>
    </w:p>
    <w:p w14:paraId="343DE3D4" w14:textId="77777777" w:rsidR="009A24FD" w:rsidRPr="009A24FD" w:rsidRDefault="009A24FD" w:rsidP="009A24FD">
      <w:pPr>
        <w:tabs>
          <w:tab w:val="left" w:pos="3768"/>
        </w:tabs>
        <w:spacing w:after="0" w:line="276" w:lineRule="auto"/>
        <w:jc w:val="both"/>
        <w:rPr>
          <w:rFonts w:ascii="Verdana" w:eastAsia="Calibri" w:hAnsi="Verdana" w:cs="Arial"/>
          <w:lang w:val="es-ES" w:eastAsia="es-ES"/>
        </w:rPr>
      </w:pPr>
      <w:r w:rsidRPr="009A24FD">
        <w:rPr>
          <w:rFonts w:ascii="Verdana" w:eastAsia="Calibri" w:hAnsi="Verdana" w:cs="Arial"/>
          <w:lang w:val="es-ES" w:eastAsia="es-ES"/>
        </w:rPr>
        <w:tab/>
      </w:r>
    </w:p>
    <w:p w14:paraId="455A1CAC" w14:textId="77777777" w:rsidR="009A24FD" w:rsidRPr="009A24FD" w:rsidRDefault="009A24FD" w:rsidP="009A24FD">
      <w:pPr>
        <w:spacing w:after="0" w:line="276" w:lineRule="auto"/>
        <w:jc w:val="both"/>
        <w:rPr>
          <w:rFonts w:ascii="Verdana" w:eastAsia="Calibri" w:hAnsi="Verdana" w:cs="Arial"/>
          <w:lang w:val="es-ES" w:eastAsia="es-ES"/>
        </w:rPr>
      </w:pPr>
      <w:r w:rsidRPr="009A24FD">
        <w:rPr>
          <w:rFonts w:ascii="Verdana" w:eastAsia="Calibri" w:hAnsi="Verdana" w:cs="Arial"/>
          <w:lang w:val="es-ES" w:eastAsia="es-ES"/>
        </w:rPr>
        <w:t>En ejercicio de la competencia otorgada por los artículos 3, numeral 5º, y 11, numeral 8º, del Decreto Ley 4170 de 2011,</w:t>
      </w:r>
      <w:r w:rsidRPr="009A24FD">
        <w:rPr>
          <w:rFonts w:ascii="Verdana" w:eastAsia="Arial MT" w:hAnsi="Verdana" w:cs="Arial MT"/>
          <w:lang w:val="es-ES" w:eastAsia="es-ES"/>
        </w:rPr>
        <w:t xml:space="preserve"> </w:t>
      </w:r>
      <w:r w:rsidRPr="009A24FD">
        <w:rPr>
          <w:rFonts w:ascii="Verdana" w:eastAsia="Calibri" w:hAnsi="Verdana" w:cs="Arial"/>
        </w:rPr>
        <w:t xml:space="preserve">así como lo establecido en el artículo 4 de la Resolución 1707 de 2018 expedida por esta Entidad, </w:t>
      </w:r>
      <w:r w:rsidRPr="009A24FD">
        <w:rPr>
          <w:rFonts w:ascii="Verdana" w:eastAsia="Calibri" w:hAnsi="Verdana" w:cs="Arial"/>
          <w:lang w:val="es-ES" w:eastAsia="es-ES"/>
        </w:rPr>
        <w:t>la Agencia Nacional de Contratación Pública – Colombia Compra Eficiente– responde su solicitud de consulta de fecha 23 de julio de 2024. Esta consulta fue remitida por el Departamento Nacional de Planeación, mediante oficio con radicado No. 20245500843641 de la misma fecha. En esta, usted pregunta lo siguiente:</w:t>
      </w:r>
    </w:p>
    <w:p w14:paraId="2D0AD877" w14:textId="77777777" w:rsidR="009A24FD" w:rsidRPr="009A24FD" w:rsidRDefault="009A24FD" w:rsidP="009A24FD">
      <w:pPr>
        <w:tabs>
          <w:tab w:val="left" w:pos="142"/>
          <w:tab w:val="left" w:pos="284"/>
        </w:tabs>
        <w:spacing w:line="240" w:lineRule="auto"/>
        <w:contextualSpacing/>
        <w:jc w:val="both"/>
        <w:rPr>
          <w:rFonts w:ascii="Verdana" w:eastAsia="Century Gothic" w:hAnsi="Verdana" w:cs="Century Gothic"/>
          <w:b/>
          <w:bCs/>
          <w:sz w:val="21"/>
          <w:szCs w:val="21"/>
          <w:lang w:val="es-ES"/>
        </w:rPr>
      </w:pPr>
    </w:p>
    <w:p w14:paraId="141F08E0" w14:textId="77777777" w:rsidR="009A24FD" w:rsidRPr="009A24FD" w:rsidRDefault="009A24FD" w:rsidP="009A24FD">
      <w:pPr>
        <w:spacing w:after="0" w:line="240" w:lineRule="auto"/>
        <w:ind w:left="709" w:right="709"/>
        <w:jc w:val="both"/>
        <w:rPr>
          <w:rFonts w:ascii="Verdana" w:eastAsia="Century Gothic" w:hAnsi="Verdana" w:cs="Century Gothic"/>
          <w:sz w:val="21"/>
          <w:szCs w:val="21"/>
          <w:lang w:val="es-ES"/>
        </w:rPr>
      </w:pPr>
      <w:bookmarkStart w:id="1" w:name="_Hlk95313578"/>
      <w:r w:rsidRPr="009A24FD">
        <w:rPr>
          <w:rFonts w:ascii="Verdana" w:eastAsia="Century Gothic" w:hAnsi="Verdana" w:cs="Century Gothic"/>
          <w:sz w:val="21"/>
          <w:szCs w:val="21"/>
          <w:lang w:val="es-ES"/>
        </w:rPr>
        <w:t>“</w:t>
      </w:r>
      <w:bookmarkEnd w:id="1"/>
      <w:r w:rsidRPr="009A24FD">
        <w:rPr>
          <w:rFonts w:ascii="Verdana" w:eastAsia="Century Gothic" w:hAnsi="Verdana" w:cs="Century Gothic"/>
          <w:sz w:val="21"/>
          <w:szCs w:val="21"/>
          <w:lang w:val="es-ES"/>
        </w:rPr>
        <w:t>1. ¿Si las asociaciones y/o entidades sin ánimo de lucro pueden celebrar contratos con el estado a nivel nacional, departamental, municipal o distrital?</w:t>
      </w:r>
    </w:p>
    <w:p w14:paraId="05A44355" w14:textId="77777777" w:rsidR="009A24FD" w:rsidRPr="009A24FD" w:rsidRDefault="009A24FD" w:rsidP="009A24FD">
      <w:pPr>
        <w:spacing w:after="0" w:line="240" w:lineRule="auto"/>
        <w:ind w:left="709" w:right="709"/>
        <w:jc w:val="both"/>
        <w:rPr>
          <w:rFonts w:ascii="Verdana" w:eastAsia="Century Gothic" w:hAnsi="Verdana" w:cs="Century Gothic"/>
          <w:sz w:val="21"/>
          <w:szCs w:val="21"/>
          <w:lang w:val="es-ES"/>
        </w:rPr>
      </w:pPr>
    </w:p>
    <w:p w14:paraId="09B7D213" w14:textId="77777777" w:rsidR="009A24FD" w:rsidRPr="009A24FD" w:rsidRDefault="009A24FD" w:rsidP="009A24FD">
      <w:pPr>
        <w:spacing w:after="0" w:line="240" w:lineRule="auto"/>
        <w:ind w:left="709" w:right="709"/>
        <w:jc w:val="both"/>
        <w:rPr>
          <w:rFonts w:ascii="Verdana" w:eastAsia="Century Gothic" w:hAnsi="Verdana" w:cs="Century Gothic"/>
          <w:sz w:val="21"/>
          <w:szCs w:val="21"/>
          <w:lang w:val="es-ES"/>
        </w:rPr>
      </w:pPr>
      <w:r w:rsidRPr="009A24FD">
        <w:rPr>
          <w:rFonts w:ascii="Verdana" w:eastAsia="Century Gothic" w:hAnsi="Verdana" w:cs="Century Gothic"/>
          <w:sz w:val="21"/>
          <w:szCs w:val="21"/>
          <w:lang w:val="es-ES"/>
        </w:rPr>
        <w:t>2. ¿Si un gobernador de alguno de los 32 departamentos de Colombia puede contratar con asociaciones de albañiles y constructores para la ejecución de obras de mejoramiento de vivienda u otro tipo de obras de construcción?</w:t>
      </w:r>
    </w:p>
    <w:p w14:paraId="6C02CD3C" w14:textId="77777777" w:rsidR="009A24FD" w:rsidRPr="009A24FD" w:rsidRDefault="009A24FD" w:rsidP="009A24FD">
      <w:pPr>
        <w:spacing w:after="0" w:line="240" w:lineRule="auto"/>
        <w:ind w:left="709" w:right="709"/>
        <w:jc w:val="both"/>
        <w:rPr>
          <w:rFonts w:ascii="Verdana" w:eastAsia="Century Gothic" w:hAnsi="Verdana" w:cs="Century Gothic"/>
          <w:sz w:val="21"/>
          <w:szCs w:val="21"/>
          <w:lang w:val="es-ES"/>
        </w:rPr>
      </w:pPr>
    </w:p>
    <w:p w14:paraId="428868B0" w14:textId="77777777" w:rsidR="009A24FD" w:rsidRPr="009A24FD" w:rsidRDefault="009A24FD" w:rsidP="009A24FD">
      <w:pPr>
        <w:spacing w:after="0" w:line="240" w:lineRule="auto"/>
        <w:ind w:left="709" w:right="709"/>
        <w:jc w:val="both"/>
        <w:rPr>
          <w:rFonts w:ascii="Verdana" w:eastAsia="Century Gothic" w:hAnsi="Verdana" w:cs="Century Gothic"/>
          <w:sz w:val="21"/>
          <w:szCs w:val="21"/>
          <w:lang w:val="es-ES"/>
        </w:rPr>
      </w:pPr>
      <w:r w:rsidRPr="009A24FD">
        <w:rPr>
          <w:rFonts w:ascii="Verdana" w:eastAsia="Century Gothic" w:hAnsi="Verdana" w:cs="Century Gothic"/>
          <w:sz w:val="21"/>
          <w:szCs w:val="21"/>
          <w:lang w:val="es-ES"/>
        </w:rPr>
        <w:t>3. ¿Si los alcaldes de los municipios y distritos de Colombia pueden contratar directamente con las asociaciones de albañiles y constructores?”</w:t>
      </w:r>
    </w:p>
    <w:p w14:paraId="06250560" w14:textId="77777777" w:rsidR="009A24FD" w:rsidRPr="009A24FD" w:rsidRDefault="009A24FD" w:rsidP="009A24FD">
      <w:pPr>
        <w:tabs>
          <w:tab w:val="left" w:pos="142"/>
          <w:tab w:val="left" w:pos="284"/>
        </w:tabs>
        <w:spacing w:line="276" w:lineRule="auto"/>
        <w:contextualSpacing/>
        <w:jc w:val="both"/>
        <w:rPr>
          <w:rFonts w:ascii="Verdana" w:eastAsia="Century Gothic" w:hAnsi="Verdana" w:cs="Century Gothic"/>
          <w:b/>
          <w:bCs/>
          <w:lang w:val="es-ES"/>
        </w:rPr>
      </w:pPr>
    </w:p>
    <w:p w14:paraId="554BFAC2" w14:textId="77777777" w:rsidR="009A24FD" w:rsidRPr="009A24FD" w:rsidRDefault="009A24FD" w:rsidP="009A24FD">
      <w:pPr>
        <w:spacing w:after="120" w:line="276" w:lineRule="auto"/>
        <w:ind w:firstLine="709"/>
        <w:jc w:val="both"/>
        <w:rPr>
          <w:rFonts w:ascii="Verdana" w:eastAsia="Calibri" w:hAnsi="Verdana" w:cs="Arial"/>
          <w:szCs w:val="24"/>
          <w:lang w:val="es-ES_tradnl" w:eastAsia="es-ES_tradnl"/>
        </w:rPr>
      </w:pPr>
      <w:r w:rsidRPr="009A24FD">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A24FD">
        <w:rPr>
          <w:rFonts w:ascii="Verdana" w:eastAsia="Calibri" w:hAnsi="Verdana" w:cs="Arial"/>
          <w:szCs w:val="24"/>
          <w:lang w:val="es-ES_tradnl" w:eastAsia="es-ES_tradnl"/>
        </w:rPr>
        <w:tab/>
      </w:r>
    </w:p>
    <w:p w14:paraId="5EDFB7DF" w14:textId="77777777" w:rsidR="009A24FD" w:rsidRPr="009A24FD" w:rsidRDefault="009A24FD" w:rsidP="009A24FD">
      <w:pPr>
        <w:spacing w:after="0" w:line="276" w:lineRule="auto"/>
        <w:ind w:firstLine="709"/>
        <w:jc w:val="both"/>
        <w:rPr>
          <w:rFonts w:ascii="Verdana" w:eastAsia="Calibri" w:hAnsi="Verdana" w:cs="Arial"/>
          <w:lang w:val="es-ES" w:eastAsia="es-ES"/>
        </w:rPr>
      </w:pPr>
      <w:r w:rsidRPr="009A24FD">
        <w:rPr>
          <w:rFonts w:ascii="Verdana" w:eastAsia="Calibri" w:hAnsi="Verdana" w:cs="Arial"/>
          <w:lang w:val="es-ES"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479DC638" w14:textId="77777777" w:rsidR="009A24FD" w:rsidRPr="009A24FD" w:rsidRDefault="009A24FD" w:rsidP="009A24FD">
      <w:pPr>
        <w:spacing w:after="0" w:line="276" w:lineRule="auto"/>
        <w:ind w:firstLine="709"/>
        <w:jc w:val="both"/>
        <w:rPr>
          <w:rFonts w:ascii="Verdana" w:eastAsia="Calibri" w:hAnsi="Verdana" w:cs="Arial"/>
          <w:lang w:val="es-ES" w:eastAsia="es-ES"/>
        </w:rPr>
      </w:pPr>
    </w:p>
    <w:p w14:paraId="0ACA34E1" w14:textId="77777777" w:rsidR="009A24FD" w:rsidRPr="009A24FD" w:rsidRDefault="009A24FD" w:rsidP="009A24FD">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
        </w:rPr>
      </w:pPr>
      <w:r w:rsidRPr="009A24FD">
        <w:rPr>
          <w:rFonts w:ascii="Verdana" w:eastAsia="Century Gothic" w:hAnsi="Verdana" w:cs="Century Gothic"/>
          <w:b/>
          <w:bCs/>
          <w:lang w:val="es-ES"/>
        </w:rPr>
        <w:t>Problema planteado:</w:t>
      </w:r>
    </w:p>
    <w:p w14:paraId="0A5B49BF" w14:textId="77777777" w:rsidR="009A24FD" w:rsidRPr="009A24FD" w:rsidRDefault="009A24FD" w:rsidP="009A24FD">
      <w:pPr>
        <w:tabs>
          <w:tab w:val="left" w:pos="426"/>
        </w:tabs>
        <w:spacing w:after="0" w:line="276" w:lineRule="auto"/>
        <w:jc w:val="both"/>
        <w:rPr>
          <w:rFonts w:ascii="Verdana" w:eastAsia="Century Gothic" w:hAnsi="Verdana" w:cs="Century Gothic"/>
          <w:lang w:val="es-ES"/>
        </w:rPr>
      </w:pPr>
    </w:p>
    <w:p w14:paraId="6B28EC17" w14:textId="77777777" w:rsidR="009A24FD" w:rsidRPr="009A24FD" w:rsidRDefault="009A24FD" w:rsidP="009A24FD">
      <w:pPr>
        <w:spacing w:after="0" w:line="276" w:lineRule="auto"/>
        <w:jc w:val="both"/>
        <w:rPr>
          <w:rFonts w:ascii="Verdana" w:eastAsia="Century Gothic" w:hAnsi="Verdana" w:cs="Century Gothic"/>
        </w:rPr>
      </w:pPr>
      <w:r w:rsidRPr="009A24FD">
        <w:rPr>
          <w:rFonts w:ascii="Verdana" w:eastAsia="Century Gothic" w:hAnsi="Verdana" w:cs="Century Gothic"/>
        </w:rPr>
        <w:t>De acuerdo con el contenido de su solicitud, esta Agencia resolverá los siguientes problemas jurídicos:</w:t>
      </w:r>
    </w:p>
    <w:p w14:paraId="1BF6280B" w14:textId="77777777" w:rsidR="009A24FD" w:rsidRPr="009A24FD" w:rsidRDefault="009A24FD" w:rsidP="009A24FD">
      <w:pPr>
        <w:spacing w:after="0" w:line="276" w:lineRule="auto"/>
        <w:jc w:val="both"/>
        <w:rPr>
          <w:rFonts w:ascii="Verdana" w:eastAsia="Century Gothic" w:hAnsi="Verdana" w:cs="Century Gothic"/>
        </w:rPr>
      </w:pPr>
    </w:p>
    <w:p w14:paraId="4D6AE0DF" w14:textId="77777777" w:rsidR="009A24FD" w:rsidRPr="009A24FD" w:rsidRDefault="009A24FD" w:rsidP="009A24FD">
      <w:pPr>
        <w:numPr>
          <w:ilvl w:val="0"/>
          <w:numId w:val="19"/>
        </w:numPr>
        <w:spacing w:after="0" w:line="276" w:lineRule="auto"/>
        <w:contextualSpacing/>
        <w:jc w:val="both"/>
        <w:rPr>
          <w:rFonts w:ascii="Verdana" w:eastAsia="Century Gothic" w:hAnsi="Verdana" w:cs="Century Gothic"/>
        </w:rPr>
      </w:pPr>
      <w:r w:rsidRPr="009A24FD">
        <w:rPr>
          <w:rFonts w:ascii="Verdana" w:eastAsia="Century Gothic" w:hAnsi="Verdana" w:cs="Century Gothic"/>
        </w:rPr>
        <w:t>¿Las asociaciones y/o entidades sin ánimo de lucro pueden contratar con las entidades estatales del orden nacional y territorial?</w:t>
      </w:r>
    </w:p>
    <w:p w14:paraId="1841B1AB" w14:textId="77777777" w:rsidR="009A24FD" w:rsidRPr="009A24FD" w:rsidRDefault="009A24FD" w:rsidP="009A24FD">
      <w:pPr>
        <w:spacing w:after="0" w:line="276" w:lineRule="auto"/>
        <w:ind w:left="720"/>
        <w:contextualSpacing/>
        <w:jc w:val="both"/>
        <w:rPr>
          <w:rFonts w:ascii="Verdana" w:eastAsia="Century Gothic" w:hAnsi="Verdana" w:cs="Century Gothic"/>
        </w:rPr>
      </w:pPr>
    </w:p>
    <w:p w14:paraId="2B499AC1" w14:textId="77777777" w:rsidR="009A24FD" w:rsidRPr="009A24FD" w:rsidRDefault="009A24FD" w:rsidP="009A24FD">
      <w:pPr>
        <w:numPr>
          <w:ilvl w:val="0"/>
          <w:numId w:val="19"/>
        </w:numPr>
        <w:spacing w:after="0" w:line="276" w:lineRule="auto"/>
        <w:contextualSpacing/>
        <w:jc w:val="both"/>
        <w:rPr>
          <w:rFonts w:ascii="Verdana" w:eastAsia="Century Gothic" w:hAnsi="Verdana" w:cs="Century Gothic"/>
        </w:rPr>
      </w:pPr>
      <w:r w:rsidRPr="009A24FD">
        <w:rPr>
          <w:rFonts w:ascii="Verdana" w:eastAsia="Century Gothic" w:hAnsi="Verdana" w:cs="Century Gothic"/>
        </w:rPr>
        <w:t>¿Las entidades estatales del orden territorial pueden contratar con asociaciones de albañiles y constructores, y puede esto hacerse de forma directa?</w:t>
      </w:r>
    </w:p>
    <w:p w14:paraId="41C2A957" w14:textId="77777777" w:rsidR="009A24FD" w:rsidRPr="009A24FD" w:rsidRDefault="009A24FD" w:rsidP="009A24FD">
      <w:pPr>
        <w:spacing w:after="0" w:line="276" w:lineRule="auto"/>
        <w:jc w:val="both"/>
        <w:rPr>
          <w:rFonts w:ascii="Verdana" w:eastAsia="Calibri" w:hAnsi="Verdana" w:cs="Arial"/>
          <w:lang w:val="es-ES"/>
        </w:rPr>
      </w:pPr>
    </w:p>
    <w:p w14:paraId="63E75687" w14:textId="77777777" w:rsidR="009A24FD" w:rsidRPr="009A24FD" w:rsidRDefault="009A24FD" w:rsidP="009A24FD">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9A24FD">
        <w:rPr>
          <w:rFonts w:ascii="Verdana" w:eastAsia="Century Gothic" w:hAnsi="Verdana" w:cs="Century Gothic"/>
          <w:b/>
          <w:bCs/>
          <w:lang w:val="es-ES"/>
        </w:rPr>
        <w:t>Respuesta:</w:t>
      </w:r>
    </w:p>
    <w:p w14:paraId="3CEF76C6" w14:textId="77777777" w:rsidR="009A24FD" w:rsidRPr="009A24FD" w:rsidRDefault="009A24FD" w:rsidP="009A24FD">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A24FD" w:rsidRPr="009A24FD" w14:paraId="0E42E108" w14:textId="77777777" w:rsidTr="00DA49DD">
        <w:tc>
          <w:tcPr>
            <w:tcW w:w="8828" w:type="dxa"/>
            <w:shd w:val="clear" w:color="auto" w:fill="auto"/>
          </w:tcPr>
          <w:p w14:paraId="49AC5BD3" w14:textId="77777777" w:rsidR="009A24FD" w:rsidRPr="009A24FD" w:rsidRDefault="009A24FD" w:rsidP="009A24FD">
            <w:pPr>
              <w:spacing w:line="276" w:lineRule="auto"/>
              <w:jc w:val="both"/>
              <w:rPr>
                <w:rFonts w:ascii="Verdana" w:eastAsia="Calibri" w:hAnsi="Verdana" w:cs="Arial"/>
                <w:lang w:val="es-ES"/>
              </w:rPr>
            </w:pPr>
            <w:r w:rsidRPr="009A24FD">
              <w:rPr>
                <w:rFonts w:ascii="Verdana" w:eastAsia="Calibri" w:hAnsi="Verdana" w:cs="Arial"/>
                <w:lang w:val="es-ES"/>
              </w:rPr>
              <w:lastRenderedPageBreak/>
              <w:t xml:space="preserve">El Decreto 092 de 2017 dispone reglas para las contrataciones que realicen las entidades estatales (del orden nacional y territorial) con las ESAL. Para estos efectos regula dos (2) eventos: i) los contratos del artículo 355 de la Constitución Política con el fin impulsar programas y actividades de interés público de acuerdo con el Plan Nacional o los planes seccionales de desarrollo; y ii) los convenios de asociación, para el desarrollo conjunto de actividades relacionadas con las funciones de las entidades estatales, en desarrollo del artículo 96 de la Ley 489 de 1998. </w:t>
            </w:r>
          </w:p>
          <w:p w14:paraId="744B9BF2" w14:textId="77777777" w:rsidR="009A24FD" w:rsidRPr="009A24FD" w:rsidRDefault="009A24FD" w:rsidP="009A24FD">
            <w:pPr>
              <w:spacing w:line="276" w:lineRule="auto"/>
              <w:contextualSpacing/>
              <w:jc w:val="both"/>
              <w:rPr>
                <w:rFonts w:ascii="Verdana" w:eastAsia="Calibri" w:hAnsi="Verdana" w:cs="Arial"/>
              </w:rPr>
            </w:pPr>
          </w:p>
          <w:p w14:paraId="13AA7B24" w14:textId="77777777" w:rsidR="009A24FD" w:rsidRPr="009A24FD" w:rsidRDefault="009A24FD" w:rsidP="009A24FD">
            <w:pPr>
              <w:spacing w:line="276" w:lineRule="auto"/>
              <w:contextualSpacing/>
              <w:jc w:val="both"/>
              <w:rPr>
                <w:rFonts w:ascii="Verdana" w:eastAsia="Calibri" w:hAnsi="Verdana" w:cs="Arial"/>
              </w:rPr>
            </w:pPr>
            <w:r w:rsidRPr="009A24FD">
              <w:rPr>
                <w:rFonts w:ascii="Verdana" w:eastAsia="Calibri" w:hAnsi="Verdana" w:cs="Arial"/>
                <w:color w:val="000000"/>
              </w:rPr>
              <w:t>Sin embargo, no todas las actividades que las Entidades Estatales deben desarrollar para alcanzar sus objetivos misionales deben ejecutarse a través de la celebración de contratos del artículo 355 superior o convenios de asociación. Al respecto, debe tenerse en cuenta que lo que determina la aplicación del Decreto 092 de 2017 no es únicamente el carácter de las ESAL, sino el objeto del contrato o convenio que la entidad pretende adelantar. Por tanto, el hecho de que se trate de una ESAL no implica que necesariamente deba celebrarse un contrato de colaboración o un convenio de asociación.</w:t>
            </w:r>
          </w:p>
        </w:tc>
      </w:tr>
    </w:tbl>
    <w:p w14:paraId="36BFB84A" w14:textId="77777777" w:rsidR="009A24FD" w:rsidRPr="009A24FD" w:rsidRDefault="009A24FD" w:rsidP="009A24FD">
      <w:pPr>
        <w:tabs>
          <w:tab w:val="left" w:pos="142"/>
          <w:tab w:val="left" w:pos="284"/>
        </w:tabs>
        <w:spacing w:after="0" w:line="276" w:lineRule="auto"/>
        <w:jc w:val="both"/>
        <w:rPr>
          <w:rFonts w:ascii="Verdana" w:eastAsia="Century Gothic" w:hAnsi="Verdana" w:cs="Century Gothic"/>
          <w:b/>
          <w:bCs/>
          <w:lang w:val="es-ES"/>
        </w:rPr>
      </w:pPr>
    </w:p>
    <w:p w14:paraId="740DB430" w14:textId="77777777" w:rsidR="009A24FD" w:rsidRPr="009A24FD" w:rsidRDefault="009A24FD" w:rsidP="009A24FD">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9A24FD">
        <w:rPr>
          <w:rFonts w:ascii="Verdana" w:eastAsia="Century Gothic" w:hAnsi="Verdana" w:cs="Century Gothic"/>
          <w:b/>
          <w:bCs/>
          <w:lang w:val="es-ES"/>
        </w:rPr>
        <w:t>Razones de la respuesta:</w:t>
      </w:r>
    </w:p>
    <w:p w14:paraId="4CC69650" w14:textId="77777777" w:rsidR="009A24FD" w:rsidRPr="009A24FD" w:rsidRDefault="009A24FD" w:rsidP="009A24FD">
      <w:pPr>
        <w:spacing w:after="0" w:line="276" w:lineRule="auto"/>
        <w:jc w:val="both"/>
        <w:rPr>
          <w:rFonts w:ascii="Verdana" w:eastAsia="Calibri" w:hAnsi="Verdana" w:cs="Arial"/>
          <w:lang w:val="es-ES"/>
        </w:rPr>
      </w:pPr>
    </w:p>
    <w:p w14:paraId="79816515" w14:textId="77777777" w:rsidR="009A24FD" w:rsidRPr="009A24FD" w:rsidRDefault="009A24FD" w:rsidP="009A24FD">
      <w:pPr>
        <w:spacing w:after="0" w:line="276" w:lineRule="auto"/>
        <w:jc w:val="both"/>
        <w:rPr>
          <w:rFonts w:ascii="Verdana" w:eastAsia="Calibri" w:hAnsi="Verdana" w:cs="Arial"/>
          <w:lang w:val="es-ES"/>
        </w:rPr>
      </w:pPr>
      <w:r w:rsidRPr="009A24FD">
        <w:rPr>
          <w:rFonts w:ascii="Verdana" w:eastAsia="Calibri" w:hAnsi="Verdana" w:cs="Arial"/>
          <w:lang w:val="es-ES"/>
        </w:rPr>
        <w:t xml:space="preserve">Lo anterior se sustenta en las siguientes consideraciones: </w:t>
      </w:r>
    </w:p>
    <w:p w14:paraId="740FD7A7" w14:textId="77777777" w:rsidR="009A24FD" w:rsidRPr="009A24FD" w:rsidRDefault="009A24FD" w:rsidP="009A24FD">
      <w:pPr>
        <w:spacing w:after="0" w:line="276" w:lineRule="auto"/>
        <w:jc w:val="both"/>
        <w:rPr>
          <w:rFonts w:ascii="Verdana" w:eastAsia="Calibri" w:hAnsi="Verdana" w:cs="Arial"/>
          <w:lang w:val="es-ES"/>
        </w:rPr>
      </w:pPr>
    </w:p>
    <w:p w14:paraId="1ED119C8" w14:textId="77777777" w:rsidR="009A24FD" w:rsidRPr="009A24FD" w:rsidRDefault="009A24FD" w:rsidP="009A24FD">
      <w:pPr>
        <w:numPr>
          <w:ilvl w:val="0"/>
          <w:numId w:val="17"/>
        </w:numPr>
        <w:spacing w:after="0" w:line="276" w:lineRule="auto"/>
        <w:jc w:val="both"/>
        <w:rPr>
          <w:rFonts w:ascii="Verdana" w:eastAsia="Calibri" w:hAnsi="Verdana" w:cs="Arial"/>
          <w:kern w:val="2"/>
          <w:lang w:val="es-ES"/>
          <w14:ligatures w14:val="standardContextual"/>
        </w:rPr>
      </w:pPr>
      <w:r w:rsidRPr="009A24FD">
        <w:rPr>
          <w:rFonts w:ascii="Verdana" w:eastAsia="Calibri" w:hAnsi="Verdana" w:cs="Arial"/>
          <w:kern w:val="2"/>
          <w:lang w:val="es-ES"/>
          <w14:ligatures w14:val="standardContextual"/>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entidades sin ánimo de lucro -ESAL- con el fin de impulsar programas y actividades de interés público acordes con el plan nacional y los planes seccionales de desarrollo</w:t>
      </w:r>
      <w:r w:rsidRPr="009A24FD">
        <w:rPr>
          <w:rFonts w:ascii="Verdana" w:eastAsia="Aptos" w:hAnsi="Verdana" w:cs="Arial"/>
          <w:kern w:val="2"/>
          <w:vertAlign w:val="superscript"/>
          <w:lang w:val="es-ES_tradnl"/>
          <w14:ligatures w14:val="standardContextual"/>
        </w:rPr>
        <w:footnoteReference w:id="2"/>
      </w:r>
      <w:r w:rsidRPr="009A24FD">
        <w:rPr>
          <w:rFonts w:ascii="Verdana" w:eastAsia="Calibri" w:hAnsi="Verdana" w:cs="Arial"/>
          <w:kern w:val="2"/>
          <w:lang w:val="es-ES"/>
          <w14:ligatures w14:val="standardContextual"/>
        </w:rPr>
        <w:t xml:space="preserve">. Por otra parte, el artículo 96 de la Ley 489 de 1998 permite a las entidades públicas en general, es decir, cualquiera sea su naturaleza y orden administrativo, asociarse con personas jurídicas particulares, mediante la celebración de convenios de asociación o la creación de personas jurídicas. Ambas figuras tienen como </w:t>
      </w:r>
      <w:r w:rsidRPr="009A24FD">
        <w:rPr>
          <w:rFonts w:ascii="Verdana" w:eastAsia="Calibri" w:hAnsi="Verdana" w:cs="Arial"/>
          <w:kern w:val="2"/>
          <w:lang w:val="es-ES"/>
          <w14:ligatures w14:val="standardContextual"/>
        </w:rPr>
        <w:lastRenderedPageBreak/>
        <w:t>fin desarrollar conjuntamente actividades relacionadas con los cometidos y funciones legales asignadas a la entidad</w:t>
      </w:r>
      <w:r w:rsidRPr="009A24FD">
        <w:rPr>
          <w:rFonts w:ascii="Verdana" w:eastAsia="Calibri" w:hAnsi="Verdana" w:cs="Arial"/>
          <w:kern w:val="2"/>
          <w:vertAlign w:val="superscript"/>
          <w:lang w:val="es-ES_tradnl"/>
          <w14:ligatures w14:val="standardContextual"/>
        </w:rPr>
        <w:footnoteReference w:id="3"/>
      </w:r>
      <w:r w:rsidRPr="009A24FD">
        <w:rPr>
          <w:rFonts w:ascii="Verdana" w:eastAsia="Calibri" w:hAnsi="Verdana" w:cs="Arial"/>
          <w:kern w:val="2"/>
          <w:lang w:val="es-ES"/>
          <w14:ligatures w14:val="standardContextual"/>
        </w:rPr>
        <w:t>.</w:t>
      </w:r>
    </w:p>
    <w:p w14:paraId="56D6C7BA" w14:textId="77777777" w:rsidR="009A24FD" w:rsidRPr="009A24FD" w:rsidRDefault="009A24FD" w:rsidP="009A24FD">
      <w:pPr>
        <w:spacing w:after="0" w:line="276" w:lineRule="auto"/>
        <w:ind w:left="720"/>
        <w:jc w:val="both"/>
        <w:rPr>
          <w:rFonts w:ascii="Verdana" w:eastAsia="Calibri" w:hAnsi="Verdana" w:cs="Arial"/>
          <w:kern w:val="2"/>
          <w:lang w:val="es-ES"/>
          <w14:ligatures w14:val="standardContextual"/>
        </w:rPr>
      </w:pPr>
    </w:p>
    <w:p w14:paraId="08B8FBA5" w14:textId="77777777" w:rsidR="009A24FD" w:rsidRPr="009A24FD" w:rsidRDefault="009A24FD" w:rsidP="009A24FD">
      <w:pPr>
        <w:numPr>
          <w:ilvl w:val="0"/>
          <w:numId w:val="17"/>
        </w:numPr>
        <w:spacing w:after="0" w:line="276" w:lineRule="auto"/>
        <w:ind w:left="714" w:hanging="357"/>
        <w:jc w:val="both"/>
        <w:rPr>
          <w:rFonts w:ascii="Verdana" w:eastAsia="Calibri" w:hAnsi="Verdana" w:cs="Arial"/>
          <w:kern w:val="2"/>
          <w:lang w:val="es-ES"/>
          <w14:ligatures w14:val="standardContextual"/>
        </w:rPr>
      </w:pPr>
      <w:bookmarkStart w:id="3" w:name="_Hlk38819155"/>
      <w:r w:rsidRPr="009A24FD">
        <w:rPr>
          <w:rFonts w:ascii="Verdana" w:eastAsia="Calibri" w:hAnsi="Verdana" w:cs="Arial"/>
          <w:kern w:val="2"/>
          <w:lang w:val="es-ES"/>
          <w14:ligatures w14:val="standardContextual"/>
        </w:rPr>
        <w:t xml:space="preserve">El Decreto 092 de 2017 dispone reglas para las contrataciones que realicen las entidades estatales con las ESAL. Para estos efectos regula dos (2) eventos: i) los contratos del artículo 355 de la Constitución Política con el fin impulsar programas y actividades de interés público de acuerdo con el Plan Nacional o los planes seccionales de desarrollo; y ii) los convenios de asociación, para el desarrollo conjunto de actividades relacionadas con las funciones de las entidades estatales, en desarrollo del artículo 96 de la Ley 489 de 1998. </w:t>
      </w:r>
    </w:p>
    <w:p w14:paraId="3B9AB0F3" w14:textId="77777777" w:rsidR="009A24FD" w:rsidRPr="009A24FD" w:rsidRDefault="009A24FD" w:rsidP="009A24FD">
      <w:pPr>
        <w:spacing w:after="0" w:line="276" w:lineRule="auto"/>
        <w:jc w:val="both"/>
        <w:rPr>
          <w:rFonts w:ascii="Verdana" w:eastAsia="Calibri" w:hAnsi="Verdana" w:cs="Arial"/>
          <w:kern w:val="2"/>
          <w:lang w:val="es-ES"/>
          <w14:ligatures w14:val="standardContextual"/>
        </w:rPr>
      </w:pPr>
    </w:p>
    <w:bookmarkEnd w:id="3"/>
    <w:p w14:paraId="3883231C" w14:textId="77777777" w:rsidR="009A24FD" w:rsidRPr="009A24FD" w:rsidRDefault="009A24FD" w:rsidP="009A24FD">
      <w:pPr>
        <w:numPr>
          <w:ilvl w:val="0"/>
          <w:numId w:val="17"/>
        </w:numPr>
        <w:spacing w:after="0" w:line="276" w:lineRule="auto"/>
        <w:ind w:left="714" w:hanging="357"/>
        <w:jc w:val="both"/>
        <w:rPr>
          <w:rFonts w:ascii="Verdana" w:eastAsia="Calibri" w:hAnsi="Verdana" w:cs="Arial"/>
          <w:kern w:val="2"/>
          <w:lang w:val="es-ES"/>
          <w14:ligatures w14:val="standardContextual"/>
        </w:rPr>
      </w:pPr>
      <w:r w:rsidRPr="009A24FD">
        <w:rPr>
          <w:rFonts w:ascii="Verdana" w:eastAsia="Calibri" w:hAnsi="Verdana" w:cs="Arial"/>
          <w:kern w:val="2"/>
          <w:lang w:val="es-ES"/>
          <w14:ligatures w14:val="standardContextual"/>
        </w:rPr>
        <w:t xml:space="preserve">Los </w:t>
      </w:r>
      <w:r w:rsidRPr="009A24FD">
        <w:rPr>
          <w:rFonts w:ascii="Verdana" w:eastAsia="Calibri" w:hAnsi="Verdana" w:cs="Arial"/>
          <w:i/>
          <w:kern w:val="2"/>
          <w:lang w:val="es-ES"/>
          <w14:ligatures w14:val="standardContextual"/>
        </w:rPr>
        <w:t>contratos del artículo 355 de la Constitución Política</w:t>
      </w:r>
      <w:r w:rsidRPr="009A24FD">
        <w:rPr>
          <w:rFonts w:ascii="Verdana" w:eastAsia="Calibri" w:hAnsi="Verdana" w:cs="Arial"/>
          <w:kern w:val="2"/>
          <w:lang w:val="es-ES"/>
          <w14:ligatures w14:val="standardContextual"/>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esta y la ESAL, toda vez que el beneficio directo lo recibirán, en últimas, los sectores de este tipo de acciones de fomento. Para celebrar estos contratos, según lo establece el artículo 4 del Decreto 092 de 2017, por regla general, la entidad debe adelantar un proceso competitivo para seleccionar la entidad sin ánimo de lucro contratista.</w:t>
      </w:r>
    </w:p>
    <w:p w14:paraId="19E6B1EE" w14:textId="77777777" w:rsidR="009A24FD" w:rsidRPr="009A24FD" w:rsidRDefault="009A24FD" w:rsidP="009A24FD">
      <w:pPr>
        <w:spacing w:after="0" w:line="276" w:lineRule="auto"/>
        <w:jc w:val="both"/>
        <w:rPr>
          <w:rFonts w:ascii="Verdana" w:eastAsia="Calibri" w:hAnsi="Verdana" w:cs="Arial"/>
          <w:kern w:val="2"/>
          <w:lang w:val="es-ES"/>
          <w14:ligatures w14:val="standardContextual"/>
        </w:rPr>
      </w:pPr>
    </w:p>
    <w:p w14:paraId="4244B940" w14:textId="77777777" w:rsidR="009A24FD" w:rsidRPr="009A24FD" w:rsidRDefault="009A24FD" w:rsidP="009A24FD">
      <w:pPr>
        <w:numPr>
          <w:ilvl w:val="0"/>
          <w:numId w:val="17"/>
        </w:numPr>
        <w:spacing w:after="0" w:line="276" w:lineRule="auto"/>
        <w:ind w:left="714" w:hanging="357"/>
        <w:jc w:val="both"/>
        <w:rPr>
          <w:rFonts w:ascii="Verdana" w:eastAsia="Calibri" w:hAnsi="Verdana" w:cs="Arial"/>
          <w:kern w:val="2"/>
          <w:lang w:val="es-ES"/>
          <w14:ligatures w14:val="standardContextual"/>
        </w:rPr>
      </w:pPr>
      <w:r w:rsidRPr="009A24FD">
        <w:rPr>
          <w:rFonts w:ascii="Verdana" w:eastAsia="Calibri" w:hAnsi="Verdana" w:cs="Arial"/>
          <w:kern w:val="2"/>
          <w:lang w:val="es-ES"/>
          <w14:ligatures w14:val="standardContextual"/>
        </w:rPr>
        <w:t xml:space="preserve">De otro lado, los </w:t>
      </w:r>
      <w:r w:rsidRPr="009A24FD">
        <w:rPr>
          <w:rFonts w:ascii="Verdana" w:eastAsia="Calibri" w:hAnsi="Verdana" w:cs="Arial"/>
          <w:i/>
          <w:kern w:val="2"/>
          <w:lang w:val="es-ES"/>
          <w14:ligatures w14:val="standardContextual"/>
        </w:rPr>
        <w:t>convenios de asociación</w:t>
      </w:r>
      <w:r w:rsidRPr="009A24FD">
        <w:rPr>
          <w:rFonts w:ascii="Verdana" w:eastAsia="Calibri" w:hAnsi="Verdana" w:cs="Arial"/>
          <w:kern w:val="2"/>
          <w:lang w:val="es-ES"/>
          <w14:ligatures w14:val="standardContextual"/>
        </w:rPr>
        <w:t xml:space="preserve"> “[…] [t]</w:t>
      </w:r>
      <w:proofErr w:type="spellStart"/>
      <w:r w:rsidRPr="009A24FD">
        <w:rPr>
          <w:rFonts w:ascii="Verdana" w:eastAsia="Calibri" w:hAnsi="Verdana" w:cs="Arial"/>
          <w:kern w:val="2"/>
          <w:lang w:val="es-ES"/>
          <w14:ligatures w14:val="standardContextual"/>
        </w:rPr>
        <w:t>ienen</w:t>
      </w:r>
      <w:proofErr w:type="spellEnd"/>
      <w:r w:rsidRPr="009A24FD">
        <w:rPr>
          <w:rFonts w:ascii="Verdana" w:eastAsia="Calibri" w:hAnsi="Verdana" w:cs="Arial"/>
          <w:kern w:val="2"/>
          <w:lang w:val="es-ES"/>
          <w14:ligatures w14:val="standardContextual"/>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9A24FD">
        <w:rPr>
          <w:rFonts w:ascii="Verdana" w:eastAsia="Aptos" w:hAnsi="Verdana" w:cs="Arial"/>
          <w:kern w:val="2"/>
          <w:vertAlign w:val="superscript"/>
          <w:lang w:val="es-ES"/>
          <w14:ligatures w14:val="standardContextual"/>
        </w:rPr>
        <w:footnoteReference w:id="4"/>
      </w:r>
      <w:r w:rsidRPr="009A24FD">
        <w:rPr>
          <w:rFonts w:ascii="Verdana" w:eastAsia="Calibri" w:hAnsi="Verdana" w:cs="Arial"/>
          <w:kern w:val="2"/>
          <w:lang w:val="es-ES"/>
          <w14:ligatures w14:val="standardContextual"/>
        </w:rPr>
        <w:t xml:space="preserve">. En estos convenios existen aportes dirigidos, especialmente, a lograr la </w:t>
      </w:r>
      <w:r w:rsidRPr="009A24FD">
        <w:rPr>
          <w:rFonts w:ascii="Verdana" w:eastAsia="Calibri" w:hAnsi="Verdana" w:cs="Arial"/>
          <w:kern w:val="2"/>
          <w:lang w:val="es-ES"/>
          <w14:ligatures w14:val="standardContextual"/>
        </w:rPr>
        <w:lastRenderedPageBreak/>
        <w:t>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y, por tanto, la entidad no instruye al contratista para desarrollar los programas o actividades previstas, sino que se asocia con él para el cumplimiento de objetivos comunes</w:t>
      </w:r>
      <w:r w:rsidRPr="009A24FD">
        <w:rPr>
          <w:rFonts w:ascii="Verdana" w:eastAsia="Aptos" w:hAnsi="Verdana" w:cs="Arial"/>
          <w:kern w:val="2"/>
          <w:vertAlign w:val="superscript"/>
          <w:lang w:val="es-ES"/>
          <w14:ligatures w14:val="standardContextual"/>
        </w:rPr>
        <w:footnoteReference w:id="5"/>
      </w:r>
      <w:r w:rsidRPr="009A24FD">
        <w:rPr>
          <w:rFonts w:ascii="Verdana" w:eastAsia="Calibri" w:hAnsi="Verdana" w:cs="Arial"/>
          <w:kern w:val="2"/>
          <w:lang w:val="es-ES"/>
          <w14:ligatures w14:val="standardContextual"/>
        </w:rPr>
        <w:t>.</w:t>
      </w:r>
    </w:p>
    <w:p w14:paraId="61839228" w14:textId="77777777" w:rsidR="009A24FD" w:rsidRPr="009A24FD" w:rsidRDefault="009A24FD" w:rsidP="009A24FD">
      <w:pPr>
        <w:spacing w:after="0" w:line="276" w:lineRule="auto"/>
        <w:jc w:val="both"/>
        <w:rPr>
          <w:rFonts w:ascii="Verdana" w:eastAsia="Calibri" w:hAnsi="Verdana" w:cs="Arial"/>
          <w:kern w:val="2"/>
          <w:lang w:val="es-ES"/>
          <w14:ligatures w14:val="standardContextual"/>
        </w:rPr>
      </w:pPr>
    </w:p>
    <w:p w14:paraId="0F8AF46E" w14:textId="77777777" w:rsidR="009A24FD" w:rsidRPr="009A24FD" w:rsidRDefault="009A24FD" w:rsidP="009A24FD">
      <w:pPr>
        <w:numPr>
          <w:ilvl w:val="0"/>
          <w:numId w:val="17"/>
        </w:numPr>
        <w:spacing w:after="0" w:line="276" w:lineRule="auto"/>
        <w:ind w:left="714" w:hanging="357"/>
        <w:jc w:val="both"/>
        <w:rPr>
          <w:rFonts w:ascii="Verdana" w:eastAsia="Calibri" w:hAnsi="Verdana" w:cs="Arial"/>
          <w:kern w:val="2"/>
          <w:lang w:val="es-ES_tradnl"/>
          <w14:ligatures w14:val="standardContextual"/>
        </w:rPr>
      </w:pPr>
      <w:r w:rsidRPr="009A24FD">
        <w:rPr>
          <w:rFonts w:ascii="Verdana" w:eastAsia="Calibri" w:hAnsi="Verdana" w:cs="Arial"/>
          <w:kern w:val="2"/>
          <w:lang w:val="es-ES_tradnl"/>
          <w14:ligatures w14:val="standardContextual"/>
        </w:rPr>
        <w:t xml:space="preserve">La normativa vigente no impide que varias entidades suscriban conjuntamente el convenio de asociación y tampoco que dos o más ESAL puedan hacerlo, a través de las figuras asociativas autorizadas por la ley, por ejemplo, como unión temporal o como consorcio.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w:t>
      </w:r>
    </w:p>
    <w:p w14:paraId="60CFE904" w14:textId="77777777" w:rsidR="009A24FD" w:rsidRPr="009A24FD" w:rsidRDefault="009A24FD" w:rsidP="009A24FD">
      <w:pPr>
        <w:spacing w:after="0" w:line="276" w:lineRule="auto"/>
        <w:jc w:val="both"/>
        <w:rPr>
          <w:rFonts w:ascii="Verdana" w:eastAsia="Calibri" w:hAnsi="Verdana" w:cs="Arial"/>
          <w:kern w:val="2"/>
          <w:lang w:val="es-ES_tradnl"/>
          <w14:ligatures w14:val="standardContextual"/>
        </w:rPr>
      </w:pPr>
    </w:p>
    <w:p w14:paraId="232B1C1E" w14:textId="77777777" w:rsidR="009A24FD" w:rsidRPr="009A24FD" w:rsidRDefault="009A24FD" w:rsidP="009A24FD">
      <w:pPr>
        <w:numPr>
          <w:ilvl w:val="0"/>
          <w:numId w:val="17"/>
        </w:numPr>
        <w:spacing w:after="0" w:line="276" w:lineRule="auto"/>
        <w:jc w:val="both"/>
        <w:rPr>
          <w:rFonts w:ascii="Verdana" w:eastAsia="Calibri" w:hAnsi="Verdana" w:cs="Arial"/>
          <w:kern w:val="2"/>
          <w:lang w:val="es-ES_tradnl"/>
          <w14:ligatures w14:val="standardContextual"/>
        </w:rPr>
      </w:pPr>
      <w:r w:rsidRPr="009A24FD">
        <w:rPr>
          <w:rFonts w:ascii="Verdana" w:eastAsia="Calibri" w:hAnsi="Verdana" w:cs="Arial"/>
          <w:kern w:val="2"/>
          <w:lang w:val="es-ES_tradnl"/>
          <w14:ligatures w14:val="standardContextual"/>
        </w:rPr>
        <w:t xml:space="preserve">Igualmente, atendiendo a que los convenios de asociación “[…] no estarán sujetos a competencia cuando la entidad sin ánimo de lucro comprometa recursos en dinero para la ejecución de esas actividades en una proporción no inferior al 30% del valor total del convenio”, las entidades deben asegurarse de que su contratista, es decir, las ESAL, aporte al menos el treinta por ciento del valor del convenio para celebrarlo directamente. Además, en atención al inciso 2 del artículo 5 del Decreto 092 de 2017, deben </w:t>
      </w:r>
      <w:r w:rsidRPr="009A24FD">
        <w:rPr>
          <w:rFonts w:ascii="Verdana" w:eastAsia="Calibri" w:hAnsi="Verdana" w:cs="Arial"/>
          <w:i/>
          <w:kern w:val="2"/>
          <w:lang w:val="es-ES_tradnl"/>
          <w14:ligatures w14:val="standardContextual"/>
        </w:rPr>
        <w:t>“[…] asegurarse que no haya otras ESAL que ofrezcan su compromiso de recursos en dinero en una proporción no inferior al 30% del valor total del convenio. Cuando la entidad encuentre que más de una ESAL le ofrece al menos el 30% de recursos en dinero para el convenio de asociación, debe seleccionar objetivamente con cual asociarse”.</w:t>
      </w:r>
    </w:p>
    <w:p w14:paraId="47E26052" w14:textId="77777777" w:rsidR="009A24FD" w:rsidRPr="009A24FD" w:rsidRDefault="009A24FD" w:rsidP="009A24FD">
      <w:pPr>
        <w:spacing w:after="0" w:line="276" w:lineRule="auto"/>
        <w:jc w:val="both"/>
        <w:rPr>
          <w:rFonts w:ascii="Verdana" w:eastAsia="Calibri" w:hAnsi="Verdana" w:cs="Arial"/>
          <w:kern w:val="2"/>
          <w:lang w:val="es-ES_tradnl"/>
          <w14:ligatures w14:val="standardContextual"/>
        </w:rPr>
      </w:pPr>
    </w:p>
    <w:p w14:paraId="5296172F" w14:textId="77777777" w:rsidR="009A24FD" w:rsidRPr="009A24FD" w:rsidRDefault="009A24FD" w:rsidP="009A24FD">
      <w:pPr>
        <w:numPr>
          <w:ilvl w:val="0"/>
          <w:numId w:val="17"/>
        </w:numPr>
        <w:spacing w:after="0" w:line="276" w:lineRule="auto"/>
        <w:jc w:val="both"/>
        <w:rPr>
          <w:rFonts w:ascii="Verdana" w:eastAsia="Calibri" w:hAnsi="Verdana" w:cs="Arial"/>
          <w:kern w:val="2"/>
          <w:lang w:val="es-ES"/>
          <w14:ligatures w14:val="standardContextual"/>
        </w:rPr>
      </w:pPr>
      <w:r w:rsidRPr="009A24FD">
        <w:rPr>
          <w:rFonts w:ascii="Verdana" w:eastAsia="Calibri" w:hAnsi="Verdana" w:cs="Arial"/>
          <w:kern w:val="2"/>
          <w:lang w:val="es-ES"/>
          <w14:ligatures w14:val="standardContextual"/>
        </w:rPr>
        <w:t xml:space="preserve">De conformidad con lo anterior, el citado artículo 355 establece el régimen de la contratación con ESALES, el cual –además de extenderse a los </w:t>
      </w:r>
      <w:r w:rsidRPr="009A24FD">
        <w:rPr>
          <w:rFonts w:ascii="Verdana" w:eastAsia="Calibri" w:hAnsi="Verdana" w:cs="Arial"/>
          <w:i/>
          <w:kern w:val="2"/>
          <w:lang w:val="es-ES"/>
          <w14:ligatures w14:val="standardContextual"/>
        </w:rPr>
        <w:t>convenios de asociación</w:t>
      </w:r>
      <w:r w:rsidRPr="009A24FD">
        <w:rPr>
          <w:rFonts w:ascii="Verdana" w:eastAsia="Calibri" w:hAnsi="Verdana" w:cs="Arial"/>
          <w:kern w:val="2"/>
          <w:lang w:val="es-ES"/>
          <w14:ligatures w14:val="standardContextual"/>
        </w:rPr>
        <w:t xml:space="preserve"> en virtud de lo dispuesto en el artículo 96 de la Ley 489 de 1998– se desarrolló a través del Decreto 092 de 2017. Esta </w:t>
      </w:r>
      <w:r w:rsidRPr="009A24FD">
        <w:rPr>
          <w:rFonts w:ascii="Verdana" w:eastAsia="Calibri" w:hAnsi="Verdana" w:cs="Arial"/>
          <w:kern w:val="2"/>
          <w:lang w:val="es-ES"/>
          <w14:ligatures w14:val="standardContextual"/>
        </w:rPr>
        <w:lastRenderedPageBreak/>
        <w:t>contratación, si bien está regulada, principalmente, por dicho decreto autónomo, también está sometida a las prohibiciones, inhabilidades e incompatibilidades establecidas en la Constitución y en las Leyes 80 de 1993, 1150 de 2007 y 1474 de 2011, según reconoce el artículo 6 del decreto</w:t>
      </w:r>
      <w:r w:rsidRPr="009A24FD">
        <w:rPr>
          <w:rFonts w:ascii="Verdana" w:eastAsia="Calibri" w:hAnsi="Verdana" w:cs="Arial"/>
          <w:kern w:val="2"/>
          <w:vertAlign w:val="superscript"/>
          <w:lang w:val="es-ES"/>
          <w14:ligatures w14:val="standardContextual"/>
        </w:rPr>
        <w:footnoteReference w:id="6"/>
      </w:r>
      <w:r w:rsidRPr="009A24FD">
        <w:rPr>
          <w:rFonts w:ascii="Verdana" w:eastAsia="Calibri" w:hAnsi="Verdana" w:cs="Arial"/>
          <w:kern w:val="2"/>
          <w:lang w:val="es-ES"/>
          <w14:ligatures w14:val="standardContextual"/>
        </w:rPr>
        <w:t>, así como a los principios de la contratación estatal y las normas presupuestales, según indica el artículo 7</w:t>
      </w:r>
      <w:r w:rsidRPr="009A24FD">
        <w:rPr>
          <w:rFonts w:ascii="Verdana" w:eastAsia="Calibri" w:hAnsi="Verdana" w:cs="Arial"/>
          <w:kern w:val="2"/>
          <w:vertAlign w:val="superscript"/>
          <w:lang w:val="es-ES"/>
          <w14:ligatures w14:val="standardContextual"/>
        </w:rPr>
        <w:footnoteReference w:id="7"/>
      </w:r>
      <w:r w:rsidRPr="009A24FD">
        <w:rPr>
          <w:rFonts w:ascii="Verdana" w:eastAsia="Calibri" w:hAnsi="Verdana" w:cs="Arial"/>
          <w:kern w:val="2"/>
          <w:lang w:val="es-ES"/>
          <w14:ligatures w14:val="standardContextual"/>
        </w:rPr>
        <w:t xml:space="preserve">. </w:t>
      </w:r>
    </w:p>
    <w:p w14:paraId="63044767" w14:textId="77777777" w:rsidR="009A24FD" w:rsidRPr="009A24FD" w:rsidRDefault="009A24FD" w:rsidP="009A24FD">
      <w:pPr>
        <w:spacing w:after="0" w:line="276" w:lineRule="auto"/>
        <w:jc w:val="both"/>
        <w:rPr>
          <w:rFonts w:ascii="Verdana" w:eastAsia="Calibri" w:hAnsi="Verdana" w:cs="Arial"/>
          <w:kern w:val="2"/>
          <w:lang w:val="es-ES"/>
          <w14:ligatures w14:val="standardContextual"/>
        </w:rPr>
      </w:pPr>
    </w:p>
    <w:p w14:paraId="363438BF" w14:textId="77777777" w:rsidR="009A24FD" w:rsidRPr="009A24FD" w:rsidRDefault="009A24FD" w:rsidP="009A24FD">
      <w:pPr>
        <w:numPr>
          <w:ilvl w:val="0"/>
          <w:numId w:val="17"/>
        </w:numPr>
        <w:spacing w:after="0" w:line="276" w:lineRule="auto"/>
        <w:jc w:val="both"/>
        <w:rPr>
          <w:rFonts w:ascii="Verdana" w:eastAsia="Century Gothic" w:hAnsi="Verdana" w:cs="Century Gothic"/>
          <w:kern w:val="2"/>
          <w14:ligatures w14:val="standardContextual"/>
        </w:rPr>
      </w:pPr>
      <w:r w:rsidRPr="009A24FD">
        <w:rPr>
          <w:rFonts w:ascii="Verdana" w:eastAsia="Calibri" w:hAnsi="Verdana" w:cs="Arial"/>
          <w:kern w:val="2"/>
          <w:lang w:val="es-ES_tradnl"/>
          <w14:ligatures w14:val="standardContextual"/>
        </w:rPr>
        <w:t>A su vez, el artículo 8 de esta normativa integra las disposiciones generales del sistema de compra pública, en lo no regulado por el Decreto 092 de 2017</w:t>
      </w:r>
      <w:r w:rsidRPr="009A24FD">
        <w:rPr>
          <w:rFonts w:ascii="Verdana" w:eastAsia="Calibri" w:hAnsi="Verdana" w:cs="Arial"/>
          <w:kern w:val="2"/>
          <w:vertAlign w:val="superscript"/>
          <w:lang w:val="es-ES_tradnl"/>
          <w14:ligatures w14:val="standardContextual"/>
        </w:rPr>
        <w:footnoteReference w:id="8"/>
      </w:r>
      <w:r w:rsidRPr="009A24FD">
        <w:rPr>
          <w:rFonts w:ascii="Verdana" w:eastAsia="Calibri" w:hAnsi="Verdana" w:cs="Arial"/>
          <w:kern w:val="2"/>
          <w:lang w:val="es-ES_tradnl"/>
          <w14:ligatures w14:val="standardContextual"/>
        </w:rPr>
        <w:t xml:space="preserve">.  Estas normas integran las lagunas o vacíos normativos del reglamento autónomo, y se aplican a todo lo que no esté expresamente regulado en él. </w:t>
      </w:r>
    </w:p>
    <w:p w14:paraId="0C71DAAC" w14:textId="77777777" w:rsidR="009A24FD" w:rsidRPr="009A24FD" w:rsidRDefault="009A24FD" w:rsidP="009A24FD">
      <w:pPr>
        <w:spacing w:after="0" w:line="276" w:lineRule="auto"/>
        <w:jc w:val="both"/>
        <w:rPr>
          <w:rFonts w:ascii="Verdana" w:eastAsia="Century Gothic" w:hAnsi="Verdana" w:cs="Century Gothic"/>
          <w:kern w:val="2"/>
          <w14:ligatures w14:val="standardContextual"/>
        </w:rPr>
      </w:pPr>
    </w:p>
    <w:p w14:paraId="06DE9F73" w14:textId="77777777" w:rsidR="009A24FD" w:rsidRPr="009A24FD" w:rsidRDefault="009A24FD" w:rsidP="009A24FD">
      <w:pPr>
        <w:numPr>
          <w:ilvl w:val="0"/>
          <w:numId w:val="17"/>
        </w:numPr>
        <w:spacing w:after="0" w:line="276" w:lineRule="auto"/>
        <w:jc w:val="both"/>
        <w:rPr>
          <w:rFonts w:ascii="Verdana" w:eastAsia="Century Gothic" w:hAnsi="Verdana" w:cs="Century Gothic"/>
          <w:kern w:val="2"/>
          <w14:ligatures w14:val="standardContextual"/>
        </w:rPr>
      </w:pPr>
      <w:r w:rsidRPr="009A24FD">
        <w:rPr>
          <w:rFonts w:ascii="Verdana" w:eastAsia="Calibri" w:hAnsi="Verdana" w:cs="Arial"/>
          <w:color w:val="000000"/>
          <w:kern w:val="2"/>
          <w14:ligatures w14:val="standardContextual"/>
        </w:rPr>
        <w:t xml:space="preserve">De acuerdo con lo expuesto, no todas las actividades que las Entidades Estatales deben desarrollar para alcanzar sus objetivos misionales deben ejecutarse a través de la celebración de contratos del artículo 355 superior o convenios de asociación. Al respecto, debe tenerse en cuenta que lo que determina la aplicación del Decreto 092 de 2017 no es únicamente el carácter de las ESAL, sino el objeto del contrato o convenio que la entidad pretende adelantar. Por tanto, el hecho de que se trate de una ESAL no implica que necesariamente deba celebrarse un contrato de colaboración o un convenio de asociación. Así lo reconoció la </w:t>
      </w:r>
      <w:bookmarkStart w:id="4" w:name="_Hlk173774576"/>
      <w:r w:rsidRPr="009A24FD">
        <w:rPr>
          <w:rFonts w:ascii="Verdana" w:eastAsia="Calibri" w:hAnsi="Verdana" w:cs="Arial"/>
          <w:color w:val="000000"/>
          <w:kern w:val="2"/>
          <w14:ligatures w14:val="standardContextual"/>
        </w:rPr>
        <w:t>Corte Constitucional, en la sentencia C-287 del 18 de abril de 2012</w:t>
      </w:r>
      <w:bookmarkEnd w:id="4"/>
      <w:r w:rsidRPr="009A24FD">
        <w:rPr>
          <w:rFonts w:ascii="Verdana" w:eastAsia="Calibri" w:hAnsi="Verdana" w:cs="Arial"/>
          <w:color w:val="000000"/>
          <w:kern w:val="2"/>
          <w14:ligatures w14:val="standardContextual"/>
        </w:rPr>
        <w:t>, en la que sostuvo lo siguiente:</w:t>
      </w:r>
    </w:p>
    <w:p w14:paraId="2597C3A3" w14:textId="77777777" w:rsidR="009A24FD" w:rsidRPr="009A24FD" w:rsidRDefault="009A24FD" w:rsidP="009A24FD">
      <w:pPr>
        <w:spacing w:after="0" w:line="276" w:lineRule="auto"/>
        <w:ind w:left="357"/>
        <w:jc w:val="both"/>
        <w:rPr>
          <w:rFonts w:ascii="Verdana" w:eastAsia="Calibri" w:hAnsi="Verdana" w:cs="Arial"/>
          <w:color w:val="000000"/>
          <w:kern w:val="2"/>
          <w:sz w:val="24"/>
          <w:szCs w:val="24"/>
          <w14:ligatures w14:val="standardContextual"/>
        </w:rPr>
      </w:pPr>
    </w:p>
    <w:p w14:paraId="4A391B48" w14:textId="77777777" w:rsidR="009A24FD" w:rsidRPr="009A24FD" w:rsidRDefault="009A24FD" w:rsidP="009A24FD">
      <w:pPr>
        <w:spacing w:after="0" w:line="240" w:lineRule="auto"/>
        <w:ind w:left="709" w:right="709"/>
        <w:jc w:val="both"/>
        <w:rPr>
          <w:rFonts w:ascii="Verdana" w:eastAsia="Calibri" w:hAnsi="Verdana" w:cs="Arial"/>
          <w:color w:val="000000"/>
          <w:kern w:val="2"/>
          <w:sz w:val="21"/>
          <w:szCs w:val="21"/>
          <w14:ligatures w14:val="standardContextual"/>
        </w:rPr>
      </w:pPr>
      <w:r w:rsidRPr="009A24FD">
        <w:rPr>
          <w:rFonts w:ascii="Verdana" w:eastAsia="Calibri" w:hAnsi="Verdana" w:cs="Arial"/>
          <w:color w:val="000000"/>
          <w:kern w:val="2"/>
          <w:sz w:val="21"/>
          <w:szCs w:val="21"/>
          <w14:ligatures w14:val="standardContextual"/>
        </w:rPr>
        <w:t>“Las corporaciones o asociaciones sin ánimo de lucro han sido definas por la doctrina como personas jurídicas que surgen de la voluntad de un grupo de individuos que vinculan un capital a la obtención de un fin de interés general o de bienestar común no lucrativo, de manera que tienen como finalidad propia la satisfacción de intereses públicos y sociales.</w:t>
      </w:r>
    </w:p>
    <w:p w14:paraId="0BD8758C" w14:textId="77777777" w:rsidR="009A24FD" w:rsidRPr="009A24FD" w:rsidRDefault="009A24FD" w:rsidP="009A24FD">
      <w:pPr>
        <w:spacing w:after="0" w:line="240" w:lineRule="auto"/>
        <w:ind w:left="709" w:right="709"/>
        <w:jc w:val="both"/>
        <w:rPr>
          <w:rFonts w:ascii="Verdana" w:eastAsia="Calibri" w:hAnsi="Verdana" w:cs="Arial"/>
          <w:color w:val="000000"/>
          <w:kern w:val="2"/>
          <w:sz w:val="21"/>
          <w:szCs w:val="21"/>
          <w14:ligatures w14:val="standardContextual"/>
        </w:rPr>
      </w:pPr>
    </w:p>
    <w:p w14:paraId="0A222DEA" w14:textId="77777777" w:rsidR="009A24FD" w:rsidRPr="009A24FD" w:rsidRDefault="009A24FD" w:rsidP="009A24FD">
      <w:pPr>
        <w:spacing w:after="0" w:line="240" w:lineRule="auto"/>
        <w:ind w:left="709" w:right="709"/>
        <w:jc w:val="both"/>
        <w:rPr>
          <w:rFonts w:ascii="Verdana" w:eastAsia="Calibri" w:hAnsi="Verdana" w:cs="Arial"/>
          <w:color w:val="000000"/>
          <w:kern w:val="2"/>
          <w:sz w:val="21"/>
          <w:szCs w:val="21"/>
          <w14:ligatures w14:val="standardContextual"/>
        </w:rPr>
      </w:pPr>
      <w:r w:rsidRPr="009A24FD">
        <w:rPr>
          <w:rFonts w:ascii="Verdana" w:eastAsia="Calibri" w:hAnsi="Verdana" w:cs="Arial"/>
          <w:i/>
          <w:iCs/>
          <w:color w:val="000000"/>
          <w:kern w:val="2"/>
          <w:sz w:val="21"/>
          <w:szCs w:val="21"/>
          <w14:ligatures w14:val="standardContextual"/>
        </w:rPr>
        <w:t xml:space="preserve">Sin embargo, el hecho que no persigan una finalidad </w:t>
      </w:r>
      <w:proofErr w:type="gramStart"/>
      <w:r w:rsidRPr="009A24FD">
        <w:rPr>
          <w:rFonts w:ascii="Verdana" w:eastAsia="Calibri" w:hAnsi="Verdana" w:cs="Arial"/>
          <w:i/>
          <w:iCs/>
          <w:color w:val="000000"/>
          <w:kern w:val="2"/>
          <w:sz w:val="21"/>
          <w:szCs w:val="21"/>
          <w14:ligatures w14:val="standardContextual"/>
        </w:rPr>
        <w:t>lucrativa,</w:t>
      </w:r>
      <w:proofErr w:type="gramEnd"/>
      <w:r w:rsidRPr="009A24FD">
        <w:rPr>
          <w:rFonts w:ascii="Verdana" w:eastAsia="Calibri" w:hAnsi="Verdana" w:cs="Arial"/>
          <w:i/>
          <w:iCs/>
          <w:color w:val="000000"/>
          <w:kern w:val="2"/>
          <w:sz w:val="21"/>
          <w:szCs w:val="21"/>
          <w14:ligatures w14:val="standardContextual"/>
        </w:rPr>
        <w:t xml:space="preserve"> no significa que no desarrollen actividades que generen utilidades, lo que pasa es que a diferencia de las sociedades, el lucro o ganancia obtenida no se reparte entre sus miembros sino que se integra al patrimonio de la asociación para la obtención del fin deseado</w:t>
      </w:r>
      <w:r w:rsidRPr="009A24FD">
        <w:rPr>
          <w:rFonts w:ascii="Verdana" w:eastAsia="Calibri" w:hAnsi="Verdana" w:cs="Arial"/>
          <w:color w:val="000000"/>
          <w:kern w:val="2"/>
          <w:sz w:val="21"/>
          <w:szCs w:val="21"/>
          <w14:ligatures w14:val="standardContextual"/>
        </w:rPr>
        <w:t>.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del mismo en el momento de su disolución o liquidación”. [Énfasis fuera del texto original]</w:t>
      </w:r>
    </w:p>
    <w:p w14:paraId="5C482A5F" w14:textId="77777777" w:rsidR="009A24FD" w:rsidRPr="009A24FD" w:rsidRDefault="009A24FD" w:rsidP="009A24FD">
      <w:pPr>
        <w:spacing w:after="0" w:line="276" w:lineRule="auto"/>
        <w:ind w:left="357"/>
        <w:jc w:val="both"/>
        <w:rPr>
          <w:rFonts w:ascii="Verdana" w:eastAsia="Calibri" w:hAnsi="Verdana" w:cs="Arial"/>
          <w:color w:val="000000"/>
          <w:kern w:val="2"/>
          <w14:ligatures w14:val="standardContextual"/>
        </w:rPr>
      </w:pPr>
    </w:p>
    <w:p w14:paraId="578E5979" w14:textId="77777777" w:rsidR="009A24FD" w:rsidRPr="009A24FD" w:rsidRDefault="009A24FD" w:rsidP="009A24FD">
      <w:pPr>
        <w:numPr>
          <w:ilvl w:val="0"/>
          <w:numId w:val="20"/>
        </w:numPr>
        <w:spacing w:after="0" w:line="276" w:lineRule="auto"/>
        <w:jc w:val="both"/>
        <w:rPr>
          <w:rFonts w:ascii="Verdana" w:eastAsia="Calibri" w:hAnsi="Verdana" w:cs="Arial"/>
          <w:color w:val="000000"/>
          <w:kern w:val="2"/>
          <w14:ligatures w14:val="standardContextual"/>
        </w:rPr>
      </w:pPr>
      <w:r w:rsidRPr="009A24FD">
        <w:rPr>
          <w:rFonts w:ascii="Verdana" w:eastAsia="Calibri" w:hAnsi="Verdana" w:cs="Arial"/>
          <w:color w:val="000000"/>
          <w:kern w:val="2"/>
          <w14:ligatures w14:val="standardContextual"/>
        </w:rPr>
        <w:t>Lo anterior se justifica en que la principal característica de las ESAL es la ausencia de lucro, es decir, las ganancias o beneficios económicos no están destinados a repartirse en favor de los miembros ni de terceros, sino que permanecen dentro de la entidad incrementando su patrimonio. Con todo, las ESAL pueden participar en igualdad de condiciones en Procesos de Contratación regidos por la Ley 80 de 1993, la Ley 1150 de 2007 y el Decreto 1082 de 2015, siempre y cuando cumplan con los requisitos exigidos en los documentos del proceso. De esta manera, ni los contratos del artículo 355 de la Constitución Política ni los convenios de asociación del artículo 96 de la Ley 489 de 1998 generan utilidades para la ESAL, pues en dicho caso se trataría de un contrato en el que se debe remunerar al contratista por los servicios prestados, el cual, por eso mismo, tiene un régimen legal distinto.</w:t>
      </w:r>
    </w:p>
    <w:p w14:paraId="0B0B646E" w14:textId="77777777" w:rsidR="009A24FD" w:rsidRPr="009A24FD" w:rsidRDefault="009A24FD" w:rsidP="009A24FD">
      <w:pPr>
        <w:spacing w:after="0" w:line="276" w:lineRule="auto"/>
        <w:jc w:val="both"/>
        <w:rPr>
          <w:rFonts w:ascii="Verdana" w:eastAsia="Calibri" w:hAnsi="Verdana" w:cs="Arial"/>
        </w:rPr>
      </w:pPr>
    </w:p>
    <w:p w14:paraId="4F1891E6" w14:textId="77777777" w:rsidR="009A24FD" w:rsidRPr="009A24FD" w:rsidRDefault="009A24FD" w:rsidP="009A24FD">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9A24FD">
        <w:rPr>
          <w:rFonts w:ascii="Verdana" w:eastAsia="Century Gothic" w:hAnsi="Verdana" w:cs="Century Gothic"/>
          <w:b/>
          <w:bCs/>
          <w:lang w:val="es-ES"/>
        </w:rPr>
        <w:t>Referencias normativas, jurisprudenciales y otras fuentes:</w:t>
      </w:r>
    </w:p>
    <w:p w14:paraId="7CA1F865" w14:textId="77777777" w:rsidR="009A24FD" w:rsidRPr="009A24FD" w:rsidRDefault="009A24FD" w:rsidP="009A24FD">
      <w:pPr>
        <w:widowControl w:val="0"/>
        <w:autoSpaceDE w:val="0"/>
        <w:autoSpaceDN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9A24FD" w:rsidRPr="009A24FD" w14:paraId="3581CB2B" w14:textId="77777777" w:rsidTr="00DA49DD">
        <w:trPr>
          <w:trHeight w:val="870"/>
        </w:trPr>
        <w:tc>
          <w:tcPr>
            <w:tcW w:w="8647" w:type="dxa"/>
          </w:tcPr>
          <w:p w14:paraId="6CC344B5" w14:textId="77777777" w:rsidR="009A24FD" w:rsidRPr="009A24FD" w:rsidRDefault="009A24FD" w:rsidP="009A24FD">
            <w:pPr>
              <w:widowControl w:val="0"/>
              <w:numPr>
                <w:ilvl w:val="0"/>
                <w:numId w:val="18"/>
              </w:numPr>
              <w:autoSpaceDE w:val="0"/>
              <w:autoSpaceDN w:val="0"/>
              <w:spacing w:after="120" w:line="276" w:lineRule="auto"/>
              <w:jc w:val="both"/>
              <w:rPr>
                <w:rFonts w:ascii="Verdana" w:eastAsia="Calibri" w:hAnsi="Verdana" w:cs="Arial"/>
              </w:rPr>
            </w:pPr>
            <w:r w:rsidRPr="009A24FD">
              <w:rPr>
                <w:rFonts w:ascii="Verdana" w:eastAsia="Calibri" w:hAnsi="Verdana" w:cs="Arial"/>
              </w:rPr>
              <w:t>Constitución Política de Colombia, artículo 355.</w:t>
            </w:r>
          </w:p>
          <w:p w14:paraId="1A2FC413" w14:textId="77777777" w:rsidR="009A24FD" w:rsidRPr="009A24FD" w:rsidRDefault="009A24FD" w:rsidP="009A24FD">
            <w:pPr>
              <w:widowControl w:val="0"/>
              <w:numPr>
                <w:ilvl w:val="0"/>
                <w:numId w:val="18"/>
              </w:numPr>
              <w:autoSpaceDE w:val="0"/>
              <w:autoSpaceDN w:val="0"/>
              <w:spacing w:after="120" w:line="276" w:lineRule="auto"/>
              <w:jc w:val="both"/>
              <w:rPr>
                <w:rFonts w:ascii="Verdana" w:eastAsia="Calibri" w:hAnsi="Verdana" w:cs="Arial"/>
              </w:rPr>
            </w:pPr>
            <w:r w:rsidRPr="009A24FD">
              <w:rPr>
                <w:rFonts w:ascii="Verdana" w:eastAsia="Calibri" w:hAnsi="Verdana" w:cs="Arial"/>
              </w:rPr>
              <w:t xml:space="preserve">Decreto 092 de 2017, artículos 2, 4, 5 y 8. </w:t>
            </w:r>
          </w:p>
        </w:tc>
      </w:tr>
    </w:tbl>
    <w:p w14:paraId="4F5C0849" w14:textId="77777777" w:rsidR="009A24FD" w:rsidRPr="009A24FD" w:rsidRDefault="009A24FD" w:rsidP="009A24FD">
      <w:pPr>
        <w:widowControl w:val="0"/>
        <w:autoSpaceDE w:val="0"/>
        <w:autoSpaceDN w:val="0"/>
        <w:snapToGrid w:val="0"/>
        <w:spacing w:after="0" w:line="276" w:lineRule="auto"/>
        <w:jc w:val="both"/>
        <w:rPr>
          <w:rFonts w:ascii="Verdana" w:eastAsia="Calibri" w:hAnsi="Verdana" w:cs="Arial"/>
        </w:rPr>
      </w:pPr>
    </w:p>
    <w:p w14:paraId="18B6C64B" w14:textId="77777777" w:rsidR="009A24FD" w:rsidRPr="009A24FD" w:rsidRDefault="009A24FD" w:rsidP="009A24FD">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9A24FD">
        <w:rPr>
          <w:rFonts w:ascii="Verdana" w:eastAsia="Century Gothic" w:hAnsi="Verdana" w:cs="Century Gothic"/>
          <w:b/>
          <w:bCs/>
          <w:lang w:val="es-ES"/>
        </w:rPr>
        <w:t>Doctrina de la Agencia Nacional de Contratación Pública:</w:t>
      </w:r>
    </w:p>
    <w:p w14:paraId="36E1E2B2" w14:textId="77777777" w:rsidR="009A24FD" w:rsidRPr="009A24FD" w:rsidRDefault="009A24FD" w:rsidP="009A24FD">
      <w:pPr>
        <w:tabs>
          <w:tab w:val="left" w:pos="142"/>
          <w:tab w:val="left" w:pos="284"/>
        </w:tabs>
        <w:snapToGrid w:val="0"/>
        <w:spacing w:after="0" w:line="276" w:lineRule="auto"/>
        <w:ind w:left="357"/>
        <w:jc w:val="both"/>
        <w:rPr>
          <w:rFonts w:ascii="Verdana" w:eastAsia="Century Gothic" w:hAnsi="Verdana" w:cs="Century Gothic"/>
          <w:b/>
          <w:bCs/>
          <w:lang w:val="es-ES"/>
        </w:rPr>
      </w:pPr>
    </w:p>
    <w:p w14:paraId="12C28A07" w14:textId="77777777" w:rsidR="009A24FD" w:rsidRPr="009A24FD" w:rsidRDefault="009A24FD" w:rsidP="009A24FD">
      <w:pPr>
        <w:spacing w:after="0" w:line="276" w:lineRule="auto"/>
        <w:jc w:val="both"/>
        <w:rPr>
          <w:rFonts w:ascii="Verdana" w:eastAsia="Calibri" w:hAnsi="Verdana" w:cs="Arial"/>
          <w:shd w:val="clear" w:color="auto" w:fill="FFFFFF"/>
          <w:lang w:val="es-ES"/>
        </w:rPr>
      </w:pPr>
      <w:r w:rsidRPr="009A24FD">
        <w:rPr>
          <w:rFonts w:ascii="Verdana" w:eastAsia="Calibri" w:hAnsi="Verdana" w:cs="Arial"/>
          <w:shd w:val="clear" w:color="auto" w:fill="FFFFFF"/>
          <w:lang w:val="es-ES"/>
        </w:rPr>
        <w:t>La Agencia Nacional de Contratación Pública – Colombia Compra Eficiente analizó</w:t>
      </w:r>
      <w:r w:rsidRPr="009A24FD">
        <w:rPr>
          <w:rFonts w:ascii="Aptos" w:eastAsia="Aptos" w:hAnsi="Aptos" w:cs="Times New Roman"/>
          <w:kern w:val="2"/>
          <w:sz w:val="24"/>
          <w:szCs w:val="24"/>
          <w14:ligatures w14:val="standardContextual"/>
        </w:rPr>
        <w:t xml:space="preserve"> </w:t>
      </w:r>
      <w:r w:rsidRPr="009A24FD">
        <w:rPr>
          <w:rFonts w:ascii="Verdana" w:eastAsia="Calibri" w:hAnsi="Verdana" w:cs="Arial"/>
          <w:shd w:val="clear" w:color="auto" w:fill="FFFFFF"/>
          <w:lang w:val="es-ES"/>
        </w:rPr>
        <w:t xml:space="preserve">el régimen de los convenios de asociación regulados en el artículo 355 de la Constitución y en el Decreto 092 de 2017, entre otros, en los conceptos con radicado 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 8 de febrero de 2021, C-379 del 26 de julio de 2021, C-548 del 05 de octubre de 2021, C-092 del 09 de marzo de 2022, C-106 del 30 de marzo de 2022, C-274 del 05 de mayo de 2022, C-045 del 25 de abril de 2024, C-115 del 16 de julio de 2024 y C-296 del 21 de agosto de 2024. 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w:t>
      </w:r>
    </w:p>
    <w:p w14:paraId="4C35ED55" w14:textId="77777777" w:rsidR="009A24FD" w:rsidRPr="009A24FD" w:rsidRDefault="009A24FD" w:rsidP="009A24FD">
      <w:pPr>
        <w:widowControl w:val="0"/>
        <w:autoSpaceDE w:val="0"/>
        <w:autoSpaceDN w:val="0"/>
        <w:spacing w:after="0" w:line="276" w:lineRule="auto"/>
        <w:jc w:val="both"/>
        <w:rPr>
          <w:rFonts w:ascii="Verdana" w:eastAsia="Calibri" w:hAnsi="Verdana" w:cs="Arial"/>
          <w:shd w:val="clear" w:color="auto" w:fill="FFFFFF"/>
          <w:lang w:val="es-ES"/>
        </w:rPr>
      </w:pPr>
    </w:p>
    <w:p w14:paraId="4BDEB7F6" w14:textId="7C0C3CA1" w:rsidR="009A24FD" w:rsidRPr="009A24FD" w:rsidRDefault="009A24FD" w:rsidP="009A24FD">
      <w:pPr>
        <w:widowControl w:val="0"/>
        <w:autoSpaceDE w:val="0"/>
        <w:autoSpaceDN w:val="0"/>
        <w:spacing w:after="0" w:line="276" w:lineRule="auto"/>
        <w:jc w:val="both"/>
        <w:rPr>
          <w:rFonts w:ascii="Verdana" w:eastAsia="Calibri" w:hAnsi="Verdana" w:cs="Arial"/>
          <w:shd w:val="clear" w:color="auto" w:fill="FFFFFF"/>
          <w:lang w:val="es-ES"/>
        </w:rPr>
      </w:pPr>
      <w:r w:rsidRPr="009A24FD">
        <w:rPr>
          <w:rFonts w:ascii="Verdana" w:eastAsia="Calibri" w:hAnsi="Verdana" w:cs="Arial"/>
          <w:shd w:val="clear" w:color="auto" w:fill="FFFFFF"/>
          <w:lang w:val="es-ES"/>
        </w:rPr>
        <w:t>También, le invitamos a revisar la tercera edición del Boletín de Relatoría de 2024, en el cual podrá encontrar en detalle el marco normativo de documentos tipo:</w:t>
      </w:r>
      <w:hyperlink r:id="rId11" w:history="1">
        <w:r w:rsidRPr="009A24FD">
          <w:rPr>
            <w:rFonts w:ascii="Verdana" w:eastAsia="Calibri" w:hAnsi="Verdana" w:cs="Arial"/>
            <w:color w:val="467886"/>
            <w:u w:val="single"/>
            <w:shd w:val="clear" w:color="auto" w:fill="FFFFFF"/>
            <w:lang w:val="es-ES"/>
          </w:rPr>
          <w:t>https://www.colombiacompra.gov.co/sites/cce_public/files/files_2020/boletin_de_realtoria_iii.pdf</w:t>
        </w:r>
      </w:hyperlink>
      <w:r w:rsidRPr="009A24FD">
        <w:rPr>
          <w:rFonts w:ascii="Verdana" w:eastAsia="Calibri" w:hAnsi="Verdana" w:cs="Arial"/>
          <w:shd w:val="clear" w:color="auto" w:fill="FFFFFF"/>
          <w:lang w:val="es-ES"/>
        </w:rPr>
        <w:t xml:space="preserve">. </w:t>
      </w:r>
    </w:p>
    <w:p w14:paraId="3A44294A" w14:textId="77777777" w:rsidR="009A24FD" w:rsidRPr="009A24FD" w:rsidRDefault="009A24FD" w:rsidP="009A24FD">
      <w:pPr>
        <w:widowControl w:val="0"/>
        <w:autoSpaceDE w:val="0"/>
        <w:autoSpaceDN w:val="0"/>
        <w:spacing w:after="0" w:line="276" w:lineRule="auto"/>
        <w:jc w:val="both"/>
        <w:rPr>
          <w:rFonts w:ascii="Verdana" w:eastAsia="Calibri" w:hAnsi="Verdana" w:cs="Arial"/>
          <w:shd w:val="clear" w:color="auto" w:fill="FFFFFF"/>
          <w:lang w:val="es-ES"/>
        </w:rPr>
      </w:pPr>
    </w:p>
    <w:p w14:paraId="63F0DC50" w14:textId="77777777" w:rsidR="009A24FD" w:rsidRPr="009A24FD" w:rsidRDefault="009A24FD" w:rsidP="009A24FD">
      <w:pPr>
        <w:spacing w:after="0" w:line="240" w:lineRule="auto"/>
        <w:jc w:val="both"/>
        <w:rPr>
          <w:rFonts w:ascii="Verdana" w:eastAsia="Calibri" w:hAnsi="Verdana" w:cs="Times New Roman"/>
        </w:rPr>
      </w:pPr>
      <w:r w:rsidRPr="009A24FD">
        <w:rPr>
          <w:rFonts w:ascii="Verdana" w:eastAsia="Calibri" w:hAnsi="Verdana" w:cs="Times New Roman"/>
        </w:rPr>
        <w:t xml:space="preserve">Por último, los invitamos a seguirnos en las redes sociales, en las cuales se difunde información institucional: </w:t>
      </w:r>
    </w:p>
    <w:p w14:paraId="2A40E080" w14:textId="77777777" w:rsidR="009A24FD" w:rsidRPr="009A24FD" w:rsidRDefault="009A24FD" w:rsidP="009A24FD">
      <w:pPr>
        <w:spacing w:after="0" w:line="240" w:lineRule="auto"/>
        <w:jc w:val="both"/>
        <w:rPr>
          <w:rFonts w:ascii="Verdana" w:eastAsia="Calibri" w:hAnsi="Verdana" w:cs="Times New Roman"/>
        </w:rPr>
      </w:pPr>
    </w:p>
    <w:p w14:paraId="15F15682" w14:textId="77777777" w:rsidR="009A24FD" w:rsidRPr="009A24FD" w:rsidRDefault="009A24FD" w:rsidP="009A24FD">
      <w:pPr>
        <w:spacing w:after="0" w:line="240" w:lineRule="auto"/>
        <w:jc w:val="both"/>
        <w:rPr>
          <w:rFonts w:ascii="Verdana" w:eastAsia="Calibri" w:hAnsi="Verdana" w:cs="Times New Roman"/>
        </w:rPr>
      </w:pPr>
      <w:r w:rsidRPr="009A24FD">
        <w:rPr>
          <w:rFonts w:ascii="Verdana" w:eastAsia="Calibri" w:hAnsi="Verdana" w:cs="Times New Roman"/>
        </w:rPr>
        <w:t xml:space="preserve">Twitter: </w:t>
      </w:r>
      <w:r w:rsidRPr="009A24FD">
        <w:rPr>
          <w:rFonts w:ascii="Verdana" w:eastAsia="Calibri" w:hAnsi="Verdana" w:cs="Times New Roman"/>
          <w:u w:val="single"/>
        </w:rPr>
        <w:t>@colombiacompra</w:t>
      </w:r>
      <w:r w:rsidRPr="009A24FD">
        <w:rPr>
          <w:rFonts w:ascii="Verdana" w:eastAsia="Calibri" w:hAnsi="Verdana" w:cs="Times New Roman"/>
        </w:rPr>
        <w:t xml:space="preserve"> </w:t>
      </w:r>
    </w:p>
    <w:p w14:paraId="6690820E" w14:textId="77777777" w:rsidR="009A24FD" w:rsidRPr="009A24FD" w:rsidRDefault="009A24FD" w:rsidP="009A24FD">
      <w:pPr>
        <w:spacing w:after="0" w:line="240" w:lineRule="auto"/>
        <w:jc w:val="both"/>
        <w:rPr>
          <w:rFonts w:ascii="Verdana" w:eastAsia="Calibri" w:hAnsi="Verdana" w:cs="Times New Roman"/>
        </w:rPr>
      </w:pPr>
      <w:r w:rsidRPr="009A24FD">
        <w:rPr>
          <w:rFonts w:ascii="Verdana" w:eastAsia="Calibri" w:hAnsi="Verdana" w:cs="Times New Roman"/>
        </w:rPr>
        <w:t xml:space="preserve">Facebook: </w:t>
      </w:r>
      <w:r w:rsidRPr="009A24FD">
        <w:rPr>
          <w:rFonts w:ascii="Verdana" w:eastAsia="Calibri" w:hAnsi="Verdana" w:cs="Times New Roman"/>
          <w:u w:val="single"/>
        </w:rPr>
        <w:t>ColombiaCompraEficiente</w:t>
      </w:r>
    </w:p>
    <w:p w14:paraId="50DA4234" w14:textId="77777777" w:rsidR="009A24FD" w:rsidRPr="009A24FD" w:rsidRDefault="009A24FD" w:rsidP="009A24FD">
      <w:pPr>
        <w:spacing w:after="0" w:line="240" w:lineRule="auto"/>
        <w:jc w:val="both"/>
        <w:rPr>
          <w:rFonts w:ascii="Verdana" w:eastAsia="Calibri" w:hAnsi="Verdana" w:cs="Times New Roman"/>
        </w:rPr>
      </w:pPr>
      <w:r w:rsidRPr="009A24FD">
        <w:rPr>
          <w:rFonts w:ascii="Verdana" w:eastAsia="Calibri" w:hAnsi="Verdana" w:cs="Times New Roman"/>
        </w:rPr>
        <w:t xml:space="preserve">LinkedIn: </w:t>
      </w:r>
      <w:r w:rsidRPr="009A24FD">
        <w:rPr>
          <w:rFonts w:ascii="Verdana" w:eastAsia="Calibri" w:hAnsi="Verdana" w:cs="Times New Roman"/>
          <w:u w:val="single"/>
        </w:rPr>
        <w:t>Agencia Nacional de Contratación Pública - Colombia Compra Eficiente</w:t>
      </w:r>
      <w:r w:rsidRPr="009A24FD">
        <w:rPr>
          <w:rFonts w:ascii="Verdana" w:eastAsia="Calibri" w:hAnsi="Verdana" w:cs="Times New Roman"/>
        </w:rPr>
        <w:t xml:space="preserve"> Instagram: </w:t>
      </w:r>
      <w:r w:rsidRPr="009A24FD">
        <w:rPr>
          <w:rFonts w:ascii="Verdana" w:eastAsia="Calibri" w:hAnsi="Verdana" w:cs="Times New Roman"/>
          <w:u w:val="single"/>
        </w:rPr>
        <w:t>@colombiacompraeficiente_cce</w:t>
      </w:r>
    </w:p>
    <w:p w14:paraId="602AAD0A" w14:textId="77777777" w:rsidR="009A24FD" w:rsidRPr="009A24FD" w:rsidRDefault="009A24FD" w:rsidP="009A24FD">
      <w:pPr>
        <w:widowControl w:val="0"/>
        <w:autoSpaceDE w:val="0"/>
        <w:autoSpaceDN w:val="0"/>
        <w:spacing w:after="0" w:line="276" w:lineRule="auto"/>
        <w:jc w:val="both"/>
        <w:rPr>
          <w:rFonts w:ascii="Verdana" w:eastAsia="Calibri" w:hAnsi="Verdana" w:cs="Arial"/>
        </w:rPr>
      </w:pPr>
    </w:p>
    <w:p w14:paraId="603D44E7" w14:textId="77777777" w:rsidR="009A24FD" w:rsidRPr="009A24FD" w:rsidRDefault="009A24FD" w:rsidP="009A24FD">
      <w:pPr>
        <w:widowControl w:val="0"/>
        <w:autoSpaceDE w:val="0"/>
        <w:autoSpaceDN w:val="0"/>
        <w:spacing w:after="0" w:line="276" w:lineRule="auto"/>
        <w:jc w:val="both"/>
        <w:rPr>
          <w:rFonts w:ascii="Verdana" w:eastAsia="Calibri" w:hAnsi="Verdana" w:cs="Arial"/>
          <w:lang w:val="es-ES_tradnl"/>
        </w:rPr>
      </w:pPr>
      <w:r w:rsidRPr="009A24FD">
        <w:rPr>
          <w:rFonts w:ascii="Verdana" w:eastAsia="Calibri" w:hAnsi="Verdana" w:cs="Arial"/>
        </w:rPr>
        <w:t xml:space="preserve">Este concepto tiene el alcance previsto en el artículo 28 del Código de Procedimiento Administrativo y de lo Contencioso Administrativo </w:t>
      </w:r>
      <w:r w:rsidRPr="009A24FD">
        <w:rPr>
          <w:rFonts w:ascii="Verdana" w:eastAsia="Calibri" w:hAnsi="Verdana" w:cs="Arial"/>
          <w:lang w:val="es-ES_tradnl"/>
        </w:rPr>
        <w:t xml:space="preserve">y las expresiones aquí utilizadas con mayúscula inicial deben ser entendidas con el </w:t>
      </w:r>
      <w:r w:rsidRPr="009A24FD">
        <w:rPr>
          <w:rFonts w:ascii="Verdana" w:eastAsia="Calibri" w:hAnsi="Verdana" w:cs="Arial"/>
          <w:lang w:val="es-ES_tradnl"/>
        </w:rPr>
        <w:lastRenderedPageBreak/>
        <w:t>significado que les otorga el artículo 2.2.1.1.1.3.1. del Decreto 1082 de 2015.</w:t>
      </w:r>
    </w:p>
    <w:p w14:paraId="29893DD1" w14:textId="77777777" w:rsidR="009A24FD" w:rsidRPr="009A24FD" w:rsidRDefault="009A24FD" w:rsidP="009A24FD">
      <w:pPr>
        <w:widowControl w:val="0"/>
        <w:autoSpaceDE w:val="0"/>
        <w:autoSpaceDN w:val="0"/>
        <w:spacing w:after="0" w:line="276" w:lineRule="auto"/>
        <w:jc w:val="both"/>
        <w:rPr>
          <w:rFonts w:ascii="Verdana" w:eastAsia="Calibri" w:hAnsi="Verdana" w:cs="Arial"/>
        </w:rPr>
      </w:pPr>
    </w:p>
    <w:p w14:paraId="111543FC" w14:textId="77777777" w:rsidR="009A24FD" w:rsidRPr="009A24FD" w:rsidRDefault="009A24FD" w:rsidP="009A24FD">
      <w:pPr>
        <w:spacing w:after="0" w:line="240" w:lineRule="auto"/>
        <w:rPr>
          <w:rFonts w:ascii="Verdana" w:eastAsia="Calibri" w:hAnsi="Verdana" w:cs="Arial"/>
          <w:lang w:eastAsia="es-CO"/>
        </w:rPr>
      </w:pPr>
      <w:r w:rsidRPr="009A24FD">
        <w:rPr>
          <w:rFonts w:ascii="Verdana" w:eastAsia="Times New Roman" w:hAnsi="Verdana" w:cs="Arial"/>
          <w:lang w:eastAsia="es-CO"/>
        </w:rPr>
        <w:t>Atentamente,</w:t>
      </w:r>
      <w:r w:rsidRPr="009A24FD">
        <w:rPr>
          <w:rFonts w:ascii="Verdana" w:eastAsia="Calibri" w:hAnsi="Verdana" w:cs="Arial"/>
          <w:lang w:eastAsia="es-CO"/>
        </w:rPr>
        <w:t xml:space="preserve"> </w:t>
      </w:r>
    </w:p>
    <w:p w14:paraId="77DDD1D7" w14:textId="23E275C1" w:rsidR="009A24FD" w:rsidRPr="009A24FD" w:rsidRDefault="00C1622C" w:rsidP="009A24FD">
      <w:pPr>
        <w:spacing w:line="276" w:lineRule="auto"/>
        <w:jc w:val="center"/>
        <w:rPr>
          <w:rFonts w:ascii="Verdana" w:eastAsia="Calibri" w:hAnsi="Verdana" w:cs="Arial"/>
          <w:lang w:val="es-ES_tradnl" w:eastAsia="es-CO"/>
        </w:rPr>
      </w:pPr>
      <w:r>
        <w:rPr>
          <w:noProof/>
        </w:rPr>
        <w:drawing>
          <wp:inline distT="0" distB="0" distL="0" distR="0" wp14:anchorId="41CC2981" wp14:editId="50612323">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2"/>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A24FD" w:rsidRPr="009A24FD" w14:paraId="4E5F3D4E" w14:textId="77777777" w:rsidTr="00DA49DD">
        <w:trPr>
          <w:trHeight w:val="315"/>
        </w:trPr>
        <w:tc>
          <w:tcPr>
            <w:tcW w:w="893" w:type="dxa"/>
            <w:vAlign w:val="center"/>
            <w:hideMark/>
          </w:tcPr>
          <w:p w14:paraId="13C82742" w14:textId="77777777" w:rsidR="009A24FD" w:rsidRPr="009A24FD" w:rsidRDefault="009A24FD" w:rsidP="009A24FD">
            <w:pPr>
              <w:rPr>
                <w:rFonts w:ascii="Verdana" w:eastAsia="Calibri" w:hAnsi="Verdana" w:cs="Arial"/>
                <w:sz w:val="16"/>
                <w:szCs w:val="16"/>
                <w:lang w:val="es-ES" w:eastAsia="es-ES"/>
              </w:rPr>
            </w:pPr>
            <w:r w:rsidRPr="009A24FD">
              <w:rPr>
                <w:rFonts w:ascii="Verdana" w:eastAsia="Calibri"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0096D616" w14:textId="77777777" w:rsidR="009A24FD" w:rsidRPr="009A24FD" w:rsidRDefault="009A24FD" w:rsidP="009A24FD">
            <w:pPr>
              <w:rPr>
                <w:rFonts w:ascii="Verdana" w:eastAsia="Arial" w:hAnsi="Verdana" w:cs="Arial"/>
                <w:sz w:val="16"/>
                <w:szCs w:val="16"/>
              </w:rPr>
            </w:pPr>
            <w:r w:rsidRPr="009A24FD">
              <w:rPr>
                <w:rFonts w:ascii="Verdana" w:eastAsia="Arial" w:hAnsi="Verdana" w:cs="Arial"/>
                <w:sz w:val="16"/>
                <w:szCs w:val="16"/>
              </w:rPr>
              <w:t>Kevin Arlid Herrera Santa</w:t>
            </w:r>
          </w:p>
          <w:p w14:paraId="359FCBEE" w14:textId="77777777" w:rsidR="009A24FD" w:rsidRPr="009A24FD" w:rsidRDefault="009A24FD" w:rsidP="009A24FD">
            <w:pPr>
              <w:rPr>
                <w:rFonts w:ascii="Verdana" w:eastAsia="Arial" w:hAnsi="Verdana" w:cs="Arial"/>
                <w:sz w:val="16"/>
                <w:szCs w:val="16"/>
              </w:rPr>
            </w:pPr>
            <w:r w:rsidRPr="009A24FD">
              <w:rPr>
                <w:rFonts w:ascii="Verdana" w:eastAsia="Arial" w:hAnsi="Verdana" w:cs="Arial"/>
                <w:sz w:val="16"/>
                <w:szCs w:val="16"/>
              </w:rPr>
              <w:t>Contratista de la Subdirección de Gestión Contractual</w:t>
            </w:r>
          </w:p>
        </w:tc>
      </w:tr>
      <w:tr w:rsidR="009A24FD" w:rsidRPr="009A24FD" w14:paraId="1EA6DD24" w14:textId="77777777" w:rsidTr="00DA49DD">
        <w:trPr>
          <w:trHeight w:val="330"/>
        </w:trPr>
        <w:tc>
          <w:tcPr>
            <w:tcW w:w="893" w:type="dxa"/>
            <w:vAlign w:val="center"/>
            <w:hideMark/>
          </w:tcPr>
          <w:p w14:paraId="36BFC875" w14:textId="77777777" w:rsidR="009A24FD" w:rsidRPr="009A24FD" w:rsidRDefault="009A24FD" w:rsidP="009A24FD">
            <w:pPr>
              <w:rPr>
                <w:rFonts w:ascii="Verdana" w:eastAsia="Calibri" w:hAnsi="Verdana" w:cs="Arial"/>
                <w:sz w:val="16"/>
                <w:szCs w:val="16"/>
                <w:lang w:val="es-ES" w:eastAsia="es-ES"/>
              </w:rPr>
            </w:pPr>
            <w:r w:rsidRPr="009A24FD">
              <w:rPr>
                <w:rFonts w:ascii="Verdana" w:eastAsia="Calibri"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7679F24A" w14:textId="77777777" w:rsidR="009A24FD" w:rsidRPr="009A24FD" w:rsidRDefault="009A24FD" w:rsidP="009A24FD">
            <w:pPr>
              <w:textAlignment w:val="baseline"/>
              <w:rPr>
                <w:rFonts w:ascii="Verdana" w:eastAsia="Times New Roman" w:hAnsi="Verdana" w:cs="Segoe UI"/>
                <w:sz w:val="16"/>
                <w:szCs w:val="16"/>
                <w:lang w:eastAsia="es-ES_tradnl"/>
              </w:rPr>
            </w:pPr>
            <w:r w:rsidRPr="009A24FD">
              <w:rPr>
                <w:rFonts w:ascii="Verdana" w:eastAsia="Times New Roman" w:hAnsi="Verdana" w:cs="Segoe UI"/>
                <w:sz w:val="16"/>
                <w:szCs w:val="16"/>
                <w:lang w:eastAsia="es-ES_tradnl"/>
              </w:rPr>
              <w:t>Martha Alicia Romero Vargas</w:t>
            </w:r>
          </w:p>
          <w:p w14:paraId="3F50ED28" w14:textId="77777777" w:rsidR="009A24FD" w:rsidRPr="009A24FD" w:rsidRDefault="009A24FD" w:rsidP="009A24FD">
            <w:pPr>
              <w:textAlignment w:val="baseline"/>
              <w:rPr>
                <w:rFonts w:ascii="Verdana" w:eastAsia="Times New Roman" w:hAnsi="Verdana" w:cs="Segoe UI"/>
                <w:sz w:val="16"/>
                <w:szCs w:val="16"/>
                <w:lang w:eastAsia="es-ES_tradnl"/>
              </w:rPr>
            </w:pPr>
            <w:r w:rsidRPr="009A24FD">
              <w:rPr>
                <w:rFonts w:ascii="Verdana" w:eastAsia="Times New Roman" w:hAnsi="Verdana" w:cs="Arial"/>
                <w:sz w:val="16"/>
                <w:szCs w:val="16"/>
                <w:lang w:val="es-ES" w:eastAsia="es-ES_tradnl"/>
              </w:rPr>
              <w:t>Gestor T1-15 de la Subdirección de Gestión Contractual</w:t>
            </w:r>
            <w:r w:rsidRPr="009A24FD">
              <w:rPr>
                <w:rFonts w:ascii="Verdana" w:eastAsia="Times New Roman" w:hAnsi="Verdana" w:cs="Arial"/>
                <w:sz w:val="16"/>
                <w:szCs w:val="16"/>
                <w:lang w:eastAsia="es-ES_tradnl"/>
              </w:rPr>
              <w:t> </w:t>
            </w:r>
          </w:p>
        </w:tc>
      </w:tr>
      <w:tr w:rsidR="009A24FD" w:rsidRPr="009A24FD" w14:paraId="177987A2" w14:textId="77777777" w:rsidTr="00DA49DD">
        <w:trPr>
          <w:trHeight w:val="300"/>
        </w:trPr>
        <w:tc>
          <w:tcPr>
            <w:tcW w:w="893" w:type="dxa"/>
            <w:vAlign w:val="center"/>
          </w:tcPr>
          <w:p w14:paraId="027E7E1B" w14:textId="77777777" w:rsidR="009A24FD" w:rsidRPr="009A24FD" w:rsidRDefault="009A24FD" w:rsidP="009A24FD">
            <w:pPr>
              <w:rPr>
                <w:rFonts w:ascii="Verdana" w:eastAsia="Calibri" w:hAnsi="Verdana" w:cs="Arial"/>
                <w:sz w:val="16"/>
                <w:szCs w:val="16"/>
                <w:lang w:val="es-ES" w:eastAsia="es-ES"/>
              </w:rPr>
            </w:pPr>
            <w:r w:rsidRPr="009A24FD">
              <w:rPr>
                <w:rFonts w:ascii="Verdana" w:eastAsia="Calibri"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49B884FC" w14:textId="77777777" w:rsidR="009A24FD" w:rsidRPr="009A24FD" w:rsidRDefault="009A24FD" w:rsidP="009A24FD">
            <w:pPr>
              <w:rPr>
                <w:rFonts w:ascii="Verdana" w:eastAsia="Calibri" w:hAnsi="Verdana" w:cs="Arial"/>
                <w:sz w:val="16"/>
                <w:szCs w:val="16"/>
                <w:lang w:val="pt-BR" w:eastAsia="es-ES"/>
              </w:rPr>
            </w:pPr>
            <w:r w:rsidRPr="009A24FD">
              <w:rPr>
                <w:rFonts w:ascii="Verdana" w:eastAsia="Calibri" w:hAnsi="Verdana" w:cs="Arial"/>
                <w:sz w:val="16"/>
                <w:szCs w:val="16"/>
                <w:lang w:val="pt-BR" w:eastAsia="es-ES"/>
              </w:rPr>
              <w:t>Carolina Quintero Gacharná</w:t>
            </w:r>
          </w:p>
          <w:p w14:paraId="46D293B6" w14:textId="77777777" w:rsidR="009A24FD" w:rsidRPr="009A24FD" w:rsidRDefault="009A24FD" w:rsidP="009A24FD">
            <w:pPr>
              <w:rPr>
                <w:rFonts w:ascii="Verdana" w:eastAsia="Calibri" w:hAnsi="Verdana" w:cs="Arial"/>
                <w:sz w:val="16"/>
                <w:szCs w:val="16"/>
                <w:lang w:val="pt-BR" w:eastAsia="es-ES"/>
              </w:rPr>
            </w:pPr>
            <w:r w:rsidRPr="009A24FD">
              <w:rPr>
                <w:rFonts w:ascii="Verdana" w:eastAsia="Calibri" w:hAnsi="Verdana" w:cs="Arial"/>
                <w:sz w:val="16"/>
                <w:szCs w:val="16"/>
                <w:lang w:eastAsia="es-ES"/>
              </w:rPr>
              <w:t>Subdirectora</w:t>
            </w:r>
            <w:r w:rsidRPr="009A24FD">
              <w:rPr>
                <w:rFonts w:ascii="Verdana" w:eastAsia="Calibri" w:hAnsi="Verdana" w:cs="Arial"/>
                <w:sz w:val="16"/>
                <w:szCs w:val="16"/>
                <w:lang w:val="pt-BR" w:eastAsia="es-ES"/>
              </w:rPr>
              <w:t xml:space="preserve"> de Gestión Contratual ANCP – CCE</w:t>
            </w:r>
          </w:p>
        </w:tc>
      </w:tr>
    </w:tbl>
    <w:p w14:paraId="2C551583" w14:textId="77777777" w:rsidR="009A24FD" w:rsidRPr="009A24FD" w:rsidRDefault="009A24FD" w:rsidP="009A24FD">
      <w:pPr>
        <w:spacing w:after="0" w:line="240" w:lineRule="auto"/>
        <w:rPr>
          <w:rFonts w:ascii="Aptos" w:eastAsia="Aptos" w:hAnsi="Aptos" w:cs="Times New Roman"/>
          <w:kern w:val="2"/>
          <w:sz w:val="24"/>
          <w:szCs w:val="24"/>
          <w:lang w:val="es-ES_tradnl"/>
          <w14:ligatures w14:val="standardContextual"/>
        </w:rPr>
      </w:pPr>
    </w:p>
    <w:p w14:paraId="57271D41" w14:textId="77777777" w:rsidR="009A24FD" w:rsidRPr="009A24FD" w:rsidRDefault="009A24FD" w:rsidP="009A24FD">
      <w:pPr>
        <w:spacing w:after="0"/>
        <w:rPr>
          <w:rFonts w:ascii="Verdana" w:eastAsia="Calibri" w:hAnsi="Verdana" w:cs="Times New Roman"/>
        </w:rPr>
      </w:pPr>
    </w:p>
    <w:p w14:paraId="129A1837" w14:textId="77777777" w:rsidR="009A24FD" w:rsidRPr="009A24FD" w:rsidRDefault="009A24FD" w:rsidP="009A24FD">
      <w:pPr>
        <w:spacing w:line="278" w:lineRule="auto"/>
        <w:rPr>
          <w:rFonts w:ascii="Aptos" w:eastAsia="Aptos" w:hAnsi="Aptos" w:cs="Times New Roman"/>
          <w:kern w:val="2"/>
          <w:sz w:val="24"/>
          <w:szCs w:val="24"/>
          <w14:ligatures w14:val="standardContextual"/>
        </w:rPr>
      </w:pPr>
    </w:p>
    <w:p w14:paraId="0465BA6D" w14:textId="77777777" w:rsidR="00E245AB" w:rsidRPr="0044528D" w:rsidRDefault="00E245AB" w:rsidP="00E245AB">
      <w:pPr>
        <w:spacing w:after="0"/>
        <w:rPr>
          <w:rFonts w:ascii="Verdana" w:hAnsi="Verdana"/>
        </w:rPr>
      </w:pPr>
    </w:p>
    <w:bookmarkEnd w:id="0"/>
    <w:sectPr w:rsidR="00E245AB" w:rsidRPr="0044528D" w:rsidSect="007C0C0F">
      <w:headerReference w:type="default" r:id="rId13"/>
      <w:footerReference w:type="default" r:id="rId1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13A2BD" w14:textId="77777777" w:rsidR="003A26D1" w:rsidRDefault="003A26D1" w:rsidP="004A1847">
      <w:pPr>
        <w:spacing w:after="0" w:line="240" w:lineRule="auto"/>
      </w:pPr>
      <w:r>
        <w:separator/>
      </w:r>
    </w:p>
  </w:endnote>
  <w:endnote w:type="continuationSeparator" w:id="0">
    <w:p w14:paraId="77A696E4" w14:textId="77777777" w:rsidR="003A26D1" w:rsidRDefault="003A26D1" w:rsidP="004A1847">
      <w:pPr>
        <w:spacing w:after="0" w:line="240" w:lineRule="auto"/>
      </w:pPr>
      <w:r>
        <w:continuationSeparator/>
      </w:r>
    </w:p>
  </w:endnote>
  <w:endnote w:type="continuationNotice" w:id="1">
    <w:p w14:paraId="2D9906E8" w14:textId="77777777" w:rsidR="00636C0B" w:rsidRDefault="00636C0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8C19FA" w14:textId="77777777" w:rsidR="003A26D1" w:rsidRDefault="003A26D1" w:rsidP="004A1847">
      <w:pPr>
        <w:spacing w:after="0" w:line="240" w:lineRule="auto"/>
      </w:pPr>
      <w:r>
        <w:separator/>
      </w:r>
    </w:p>
  </w:footnote>
  <w:footnote w:type="continuationSeparator" w:id="0">
    <w:p w14:paraId="10EA1442" w14:textId="77777777" w:rsidR="003A26D1" w:rsidRDefault="003A26D1" w:rsidP="004A1847">
      <w:pPr>
        <w:spacing w:after="0" w:line="240" w:lineRule="auto"/>
      </w:pPr>
      <w:r>
        <w:continuationSeparator/>
      </w:r>
    </w:p>
  </w:footnote>
  <w:footnote w:type="continuationNotice" w:id="1">
    <w:p w14:paraId="27E06E8E" w14:textId="77777777" w:rsidR="00636C0B" w:rsidRDefault="00636C0B">
      <w:pPr>
        <w:spacing w:after="0" w:line="240" w:lineRule="auto"/>
      </w:pPr>
    </w:p>
  </w:footnote>
  <w:footnote w:id="2">
    <w:p w14:paraId="615C078F" w14:textId="77777777" w:rsidR="009A24FD" w:rsidRPr="009A24FD" w:rsidRDefault="009A24FD" w:rsidP="009A24FD">
      <w:pPr>
        <w:pStyle w:val="Textonotapie"/>
        <w:ind w:firstLine="709"/>
        <w:jc w:val="both"/>
        <w:rPr>
          <w:rFonts w:ascii="Verdana" w:hAnsi="Verdana" w:cs="Arial"/>
          <w:color w:val="000000"/>
          <w:sz w:val="18"/>
          <w:szCs w:val="18"/>
        </w:rPr>
      </w:pPr>
      <w:r w:rsidRPr="009A24FD">
        <w:rPr>
          <w:rStyle w:val="Refdenotaalpie"/>
          <w:rFonts w:ascii="Verdana" w:hAnsi="Verdana" w:cs="Arial"/>
          <w:color w:val="000000"/>
          <w:sz w:val="18"/>
          <w:szCs w:val="18"/>
        </w:rPr>
        <w:footnoteRef/>
      </w:r>
      <w:r w:rsidRPr="009A24FD">
        <w:rPr>
          <w:rFonts w:ascii="Verdana" w:hAnsi="Verdana" w:cs="Arial"/>
          <w:color w:val="000000"/>
          <w:sz w:val="18"/>
          <w:szCs w:val="18"/>
        </w:rPr>
        <w:t xml:space="preserve"> Sobre esta norma, consultar los conceptos del 8 de octubre de 2019, con radicado No. 2201913000007532, y del 20 de diciembre de 2019, con radicado No. 4201913000008240.</w:t>
      </w:r>
    </w:p>
    <w:p w14:paraId="229AEED0" w14:textId="77777777" w:rsidR="009A24FD" w:rsidRPr="009A24FD" w:rsidRDefault="009A24FD" w:rsidP="009A24FD">
      <w:pPr>
        <w:pStyle w:val="Textonotapie"/>
        <w:ind w:firstLine="709"/>
        <w:jc w:val="both"/>
        <w:rPr>
          <w:rFonts w:ascii="Verdana" w:hAnsi="Verdana" w:cs="Arial"/>
          <w:color w:val="000000"/>
          <w:sz w:val="18"/>
          <w:szCs w:val="18"/>
          <w:lang w:val="es-ES"/>
        </w:rPr>
      </w:pPr>
    </w:p>
  </w:footnote>
  <w:footnote w:id="3">
    <w:p w14:paraId="2CC870B0" w14:textId="77777777" w:rsidR="009A24FD" w:rsidRPr="009A24FD" w:rsidRDefault="009A24FD" w:rsidP="009A24FD">
      <w:pPr>
        <w:pStyle w:val="Textonotapie"/>
        <w:ind w:firstLine="709"/>
        <w:jc w:val="both"/>
        <w:rPr>
          <w:rFonts w:ascii="Verdana" w:hAnsi="Verdana" w:cs="Arial"/>
          <w:color w:val="000000"/>
          <w:sz w:val="18"/>
          <w:szCs w:val="18"/>
        </w:rPr>
      </w:pPr>
      <w:r w:rsidRPr="009A24FD">
        <w:rPr>
          <w:rStyle w:val="Refdenotaalpie"/>
          <w:rFonts w:ascii="Verdana" w:hAnsi="Verdana" w:cs="Arial"/>
          <w:color w:val="000000"/>
          <w:sz w:val="18"/>
          <w:szCs w:val="18"/>
        </w:rPr>
        <w:footnoteRef/>
      </w:r>
      <w:r w:rsidRPr="009A24FD">
        <w:rPr>
          <w:rFonts w:ascii="Verdana" w:hAnsi="Verdana" w:cs="Arial"/>
          <w:color w:val="000000"/>
          <w:sz w:val="18"/>
          <w:szCs w:val="18"/>
        </w:rPr>
        <w:t xml:space="preserve"> Al respecto, la Ley 489 de 1998 dispone que “Art.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2097E296" w14:textId="77777777" w:rsidR="009A24FD" w:rsidRPr="009A24FD" w:rsidRDefault="009A24FD" w:rsidP="009A24FD">
      <w:pPr>
        <w:pStyle w:val="Textonotapie"/>
        <w:ind w:firstLine="709"/>
        <w:jc w:val="both"/>
        <w:rPr>
          <w:rFonts w:ascii="Verdana" w:hAnsi="Verdana" w:cs="Arial"/>
          <w:color w:val="000000"/>
          <w:sz w:val="18"/>
          <w:szCs w:val="18"/>
        </w:rPr>
      </w:pPr>
      <w:r w:rsidRPr="009A24FD">
        <w:rPr>
          <w:rFonts w:ascii="Verdana" w:hAnsi="Verdana" w:cs="Arial"/>
          <w:color w:val="000000"/>
          <w:sz w:val="18"/>
          <w:szCs w:val="18"/>
        </w:rPr>
        <w:t xml:space="preserve">Los convenios de asociación a que se refiere el presente artículo </w:t>
      </w:r>
      <w:bookmarkStart w:id="2" w:name="_Hlk36023315"/>
      <w:r w:rsidRPr="009A24FD">
        <w:rPr>
          <w:rFonts w:ascii="Verdana" w:hAnsi="Verdana" w:cs="Arial"/>
          <w:color w:val="000000"/>
          <w:sz w:val="18"/>
          <w:szCs w:val="18"/>
        </w:rPr>
        <w:t>se celebrarán de conformidad con lo dispuesto en el artículo 355 de la Constitución Política</w:t>
      </w:r>
      <w:bookmarkEnd w:id="2"/>
      <w:r w:rsidRPr="009A24FD">
        <w:rPr>
          <w:rFonts w:ascii="Verdana" w:hAnsi="Verdana" w:cs="Arial"/>
          <w:color w:val="000000"/>
          <w:sz w:val="18"/>
          <w:szCs w:val="18"/>
        </w:rPr>
        <w:t>, en ellos se determinará con precisión su objeto, término, obligaciones de las partes, aportes, coordinación y todos aquellos aspectos que se consideren pertinentes”.</w:t>
      </w:r>
    </w:p>
    <w:p w14:paraId="7DDC5560" w14:textId="77777777" w:rsidR="009A24FD" w:rsidRPr="009A24FD" w:rsidRDefault="009A24FD" w:rsidP="009A24FD">
      <w:pPr>
        <w:pStyle w:val="Textonotapie"/>
        <w:ind w:firstLine="709"/>
        <w:jc w:val="both"/>
        <w:rPr>
          <w:rFonts w:ascii="Verdana" w:hAnsi="Verdana" w:cs="Arial"/>
          <w:color w:val="000000"/>
          <w:sz w:val="18"/>
          <w:szCs w:val="18"/>
          <w:lang w:val="es-ES"/>
        </w:rPr>
      </w:pPr>
      <w:r w:rsidRPr="009A24FD">
        <w:rPr>
          <w:rFonts w:ascii="Verdana" w:hAnsi="Verdana" w:cs="Arial"/>
          <w:color w:val="000000"/>
          <w:sz w:val="18"/>
          <w:szCs w:val="18"/>
        </w:rPr>
        <w:t xml:space="preserve"> </w:t>
      </w:r>
    </w:p>
  </w:footnote>
  <w:footnote w:id="4">
    <w:p w14:paraId="08C44F9F" w14:textId="77777777" w:rsidR="009A24FD" w:rsidRPr="009A24FD" w:rsidRDefault="009A24FD" w:rsidP="009A24FD">
      <w:pPr>
        <w:pStyle w:val="Textonotapie"/>
        <w:ind w:firstLine="709"/>
        <w:jc w:val="both"/>
        <w:rPr>
          <w:rFonts w:ascii="Verdana" w:hAnsi="Verdana" w:cs="Arial"/>
          <w:color w:val="000000"/>
          <w:sz w:val="18"/>
          <w:szCs w:val="18"/>
        </w:rPr>
      </w:pPr>
      <w:r w:rsidRPr="009A24FD">
        <w:rPr>
          <w:rStyle w:val="Refdenotaalpie"/>
          <w:rFonts w:ascii="Verdana" w:hAnsi="Verdana" w:cs="Arial"/>
          <w:color w:val="000000"/>
          <w:sz w:val="18"/>
          <w:szCs w:val="18"/>
        </w:rPr>
        <w:footnoteRef/>
      </w:r>
      <w:r w:rsidRPr="009A24FD">
        <w:rPr>
          <w:rFonts w:ascii="Verdana" w:hAnsi="Verdana" w:cs="Arial"/>
          <w:color w:val="000000"/>
          <w:sz w:val="18"/>
          <w:szCs w:val="18"/>
        </w:rPr>
        <w:t xml:space="preserve"> Concepto del 3 de septiembre de 2019, con radicado No. 2201913000006512.</w:t>
      </w:r>
    </w:p>
    <w:p w14:paraId="6E2F3118" w14:textId="77777777" w:rsidR="009A24FD" w:rsidRPr="009A24FD" w:rsidRDefault="009A24FD" w:rsidP="009A24FD">
      <w:pPr>
        <w:pStyle w:val="Textonotapie"/>
        <w:ind w:firstLine="709"/>
        <w:jc w:val="both"/>
        <w:rPr>
          <w:rFonts w:ascii="Verdana" w:hAnsi="Verdana" w:cs="Arial"/>
          <w:color w:val="000000"/>
          <w:sz w:val="18"/>
          <w:szCs w:val="18"/>
        </w:rPr>
      </w:pPr>
    </w:p>
  </w:footnote>
  <w:footnote w:id="5">
    <w:p w14:paraId="237B579D" w14:textId="77777777" w:rsidR="009A24FD" w:rsidRPr="009A24FD" w:rsidRDefault="009A24FD" w:rsidP="009A24FD">
      <w:pPr>
        <w:pStyle w:val="Textonotapie"/>
        <w:ind w:firstLine="709"/>
        <w:jc w:val="both"/>
        <w:rPr>
          <w:rFonts w:ascii="Verdana" w:hAnsi="Verdana" w:cs="Arial"/>
          <w:color w:val="000000"/>
          <w:sz w:val="18"/>
          <w:szCs w:val="18"/>
        </w:rPr>
      </w:pPr>
      <w:r w:rsidRPr="009A24FD">
        <w:rPr>
          <w:rStyle w:val="Refdenotaalpie"/>
          <w:rFonts w:ascii="Verdana" w:hAnsi="Verdana" w:cs="Arial"/>
          <w:color w:val="000000"/>
          <w:sz w:val="18"/>
          <w:szCs w:val="18"/>
        </w:rPr>
        <w:footnoteRef/>
      </w:r>
      <w:r w:rsidRPr="009A24FD">
        <w:rPr>
          <w:rFonts w:ascii="Verdana" w:hAnsi="Verdana" w:cs="Arial"/>
          <w:color w:val="000000"/>
          <w:sz w:val="18"/>
          <w:szCs w:val="18"/>
        </w:rPr>
        <w:t xml:space="preserve"> Sobre la naturaleza de los convenios de asociación, se reitera lo expuesto en el concepto del 19 de noviembre de 2019, con radicado No. 2201913000008611.</w:t>
      </w:r>
    </w:p>
    <w:p w14:paraId="4DDCD91B" w14:textId="77777777" w:rsidR="009A24FD" w:rsidRPr="009A24FD" w:rsidRDefault="009A24FD" w:rsidP="009A24FD">
      <w:pPr>
        <w:pStyle w:val="Textonotapie"/>
        <w:ind w:firstLine="709"/>
        <w:jc w:val="both"/>
        <w:rPr>
          <w:rFonts w:ascii="Verdana" w:hAnsi="Verdana" w:cs="Arial"/>
          <w:color w:val="000000"/>
          <w:sz w:val="18"/>
          <w:szCs w:val="18"/>
        </w:rPr>
      </w:pPr>
    </w:p>
  </w:footnote>
  <w:footnote w:id="6">
    <w:p w14:paraId="2C81CE0E" w14:textId="77777777" w:rsidR="009A24FD" w:rsidRPr="00C801FB" w:rsidRDefault="009A24FD" w:rsidP="009A24FD">
      <w:pPr>
        <w:pStyle w:val="Textonotapie"/>
        <w:ind w:firstLine="708"/>
        <w:jc w:val="both"/>
        <w:rPr>
          <w:rFonts w:ascii="Verdana" w:hAnsi="Verdana"/>
          <w:sz w:val="18"/>
          <w:szCs w:val="18"/>
        </w:rPr>
      </w:pPr>
      <w:r w:rsidRPr="00C801FB">
        <w:rPr>
          <w:rStyle w:val="Refdenotaalpie"/>
          <w:rFonts w:ascii="Verdana" w:hAnsi="Verdana"/>
          <w:sz w:val="18"/>
          <w:szCs w:val="18"/>
        </w:rPr>
        <w:footnoteRef/>
      </w:r>
      <w:r w:rsidRPr="00C801FB">
        <w:rPr>
          <w:rFonts w:ascii="Verdana" w:hAnsi="Verdana"/>
          <w:sz w:val="18"/>
          <w:szCs w:val="18"/>
        </w:rPr>
        <w:t xml:space="preserve"> “Artículo 6°. Prohibiciones, inhabilidades e incompatibilidades. Las prohibiciones, inhabilidades e incompatibilidades establecidas en la Constitución y en las Leyes 80 de 1993, 1150 de 2007 y 1474 de 2011, y en las normas que las modifiquen, aclaren, adicionen o sustituyan, o en cualquier otra norma especial, son aplicables a la contratación a la que hace referencia el presente decreto”. </w:t>
      </w:r>
    </w:p>
  </w:footnote>
  <w:footnote w:id="7">
    <w:p w14:paraId="0ACAC27C" w14:textId="77777777" w:rsidR="009A24FD" w:rsidRPr="00C801FB" w:rsidRDefault="009A24FD" w:rsidP="009A24FD">
      <w:pPr>
        <w:pStyle w:val="Textonotapie"/>
        <w:ind w:firstLine="708"/>
        <w:jc w:val="both"/>
        <w:rPr>
          <w:rFonts w:ascii="Verdana" w:hAnsi="Verdana"/>
          <w:sz w:val="18"/>
          <w:szCs w:val="18"/>
        </w:rPr>
      </w:pPr>
    </w:p>
    <w:p w14:paraId="1F93C8E5" w14:textId="77777777" w:rsidR="009A24FD" w:rsidRPr="00C801FB" w:rsidRDefault="009A24FD" w:rsidP="009A24FD">
      <w:pPr>
        <w:pStyle w:val="Textonotapie"/>
        <w:ind w:firstLine="708"/>
        <w:jc w:val="both"/>
        <w:rPr>
          <w:rFonts w:ascii="Verdana" w:hAnsi="Verdana"/>
          <w:sz w:val="18"/>
          <w:szCs w:val="18"/>
          <w:lang w:val="es-CO"/>
        </w:rPr>
      </w:pPr>
      <w:r w:rsidRPr="00C801FB">
        <w:rPr>
          <w:rStyle w:val="Refdenotaalpie"/>
          <w:rFonts w:ascii="Verdana" w:hAnsi="Verdana"/>
          <w:sz w:val="18"/>
          <w:szCs w:val="18"/>
        </w:rPr>
        <w:footnoteRef/>
      </w:r>
      <w:r w:rsidRPr="00C801FB">
        <w:rPr>
          <w:rFonts w:ascii="Verdana" w:hAnsi="Verdana"/>
          <w:sz w:val="18"/>
          <w:szCs w:val="18"/>
        </w:rPr>
        <w:t xml:space="preserve"> “</w:t>
      </w:r>
      <w:r w:rsidRPr="00C801FB">
        <w:rPr>
          <w:rFonts w:ascii="Verdana" w:hAnsi="Verdana"/>
          <w:sz w:val="18"/>
          <w:szCs w:val="18"/>
          <w:lang w:val="es-CO"/>
        </w:rPr>
        <w:t>Artículo 7º.</w:t>
      </w:r>
      <w:r w:rsidRPr="00C801FB">
        <w:rPr>
          <w:rFonts w:ascii="Verdana" w:hAnsi="Verdana"/>
          <w:b/>
          <w:bCs/>
          <w:i/>
          <w:iCs/>
          <w:sz w:val="18"/>
          <w:szCs w:val="18"/>
          <w:lang w:val="es-CO"/>
        </w:rPr>
        <w:t> </w:t>
      </w:r>
      <w:r w:rsidRPr="00C801FB">
        <w:rPr>
          <w:rFonts w:ascii="Verdana" w:hAnsi="Verdana"/>
          <w:sz w:val="18"/>
          <w:szCs w:val="18"/>
          <w:lang w:val="es-CO"/>
        </w:rPr>
        <w:t>Aplicación de los principios de la contratación estatal. La contratación a la que hace referencia el presente decreto está sujeta a los principios de la contratación estatal y a las normas presupuestales aplicables. En consecuencia, las normas relativas a la publicidad son de obligatorio cumplimiento, por lo cual, la actividad contractual y los Documentos del Proceso de que trata el presente decreto deberán ser objeto de publicación en el Sistema Electrónico de Contratación Pública (SECOP). Adicionalmente, la entidad privada sin ánimo de lucro contratista deberá entregar a la Entidad Estatal, y ésta publicar en el SECOP, la información relativa a los subcontratos que suscriba para desarrollar el programa o actividad de interés público previsto en el Plan Nacional o seccional de Desarrollo, incluyendo los datos referentes a la existencia y representación legal de la entidad con quien contrató y la información de pagos”. </w:t>
      </w:r>
    </w:p>
    <w:p w14:paraId="038EB55D" w14:textId="77777777" w:rsidR="009A24FD" w:rsidRPr="00C801FB" w:rsidRDefault="009A24FD" w:rsidP="009A24FD">
      <w:pPr>
        <w:pStyle w:val="Textonotapie"/>
        <w:ind w:firstLine="708"/>
        <w:jc w:val="both"/>
        <w:rPr>
          <w:rFonts w:ascii="Verdana" w:hAnsi="Verdana"/>
          <w:sz w:val="18"/>
          <w:szCs w:val="18"/>
        </w:rPr>
      </w:pPr>
      <w:r w:rsidRPr="00C801FB">
        <w:rPr>
          <w:rFonts w:ascii="Verdana" w:hAnsi="Verdana"/>
          <w:sz w:val="18"/>
          <w:szCs w:val="18"/>
        </w:rPr>
        <w:t xml:space="preserve"> </w:t>
      </w:r>
    </w:p>
  </w:footnote>
  <w:footnote w:id="8">
    <w:p w14:paraId="14D05ECB" w14:textId="77777777" w:rsidR="009A24FD" w:rsidRPr="00C801FB" w:rsidRDefault="009A24FD" w:rsidP="009A24FD">
      <w:pPr>
        <w:pStyle w:val="Textonotapie"/>
        <w:ind w:firstLine="708"/>
        <w:jc w:val="both"/>
        <w:rPr>
          <w:rFonts w:ascii="Verdana" w:hAnsi="Verdana"/>
          <w:sz w:val="18"/>
          <w:szCs w:val="18"/>
        </w:rPr>
      </w:pPr>
      <w:r w:rsidRPr="00C801FB">
        <w:rPr>
          <w:rStyle w:val="Refdenotaalpie"/>
          <w:rFonts w:ascii="Verdana" w:hAnsi="Verdana"/>
          <w:sz w:val="18"/>
          <w:szCs w:val="18"/>
        </w:rPr>
        <w:footnoteRef/>
      </w:r>
      <w:r w:rsidRPr="00C801FB">
        <w:rPr>
          <w:rFonts w:ascii="Verdana" w:hAnsi="Verdana"/>
          <w:sz w:val="18"/>
          <w:szCs w:val="18"/>
        </w:rPr>
        <w:t xml:space="preserve"> “Artículo 8º. Aplicación de normas generales del sistema de contratación pública. La contratación a la que hace referencia el presente decreto está sujeta a las normas generales aplicables a la contratación pública excepto en lo reglamentado en el presente decreto”.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18" type="#_x0000_t75" style="width:14.85pt;height:14.8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23C6478"/>
    <w:multiLevelType w:val="hybridMultilevel"/>
    <w:tmpl w:val="1EC024A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A7F2EF4"/>
    <w:multiLevelType w:val="hybridMultilevel"/>
    <w:tmpl w:val="8F82164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9"/>
  </w:num>
  <w:num w:numId="2" w16cid:durableId="19822139">
    <w:abstractNumId w:val="3"/>
  </w:num>
  <w:num w:numId="3" w16cid:durableId="876742304">
    <w:abstractNumId w:val="6"/>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6"/>
  </w:num>
  <w:num w:numId="7" w16cid:durableId="1946422806">
    <w:abstractNumId w:val="8"/>
  </w:num>
  <w:num w:numId="8" w16cid:durableId="152644682">
    <w:abstractNumId w:val="15"/>
  </w:num>
  <w:num w:numId="9" w16cid:durableId="1317221377">
    <w:abstractNumId w:val="10"/>
  </w:num>
  <w:num w:numId="10" w16cid:durableId="1471245386">
    <w:abstractNumId w:val="14"/>
  </w:num>
  <w:num w:numId="11" w16cid:durableId="289172385">
    <w:abstractNumId w:val="11"/>
  </w:num>
  <w:num w:numId="12" w16cid:durableId="1470781324">
    <w:abstractNumId w:val="2"/>
  </w:num>
  <w:num w:numId="13" w16cid:durableId="1512908409">
    <w:abstractNumId w:val="5"/>
  </w:num>
  <w:num w:numId="14" w16cid:durableId="895897244">
    <w:abstractNumId w:val="17"/>
  </w:num>
  <w:num w:numId="15" w16cid:durableId="390349800">
    <w:abstractNumId w:val="13"/>
  </w:num>
  <w:num w:numId="16" w16cid:durableId="341274352">
    <w:abstractNumId w:val="0"/>
  </w:num>
  <w:num w:numId="17" w16cid:durableId="1492209491">
    <w:abstractNumId w:val="7"/>
  </w:num>
  <w:num w:numId="18" w16cid:durableId="679089576">
    <w:abstractNumId w:val="12"/>
  </w:num>
  <w:num w:numId="19" w16cid:durableId="158469775">
    <w:abstractNumId w:val="4"/>
  </w:num>
  <w:num w:numId="20" w16cid:durableId="19279531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08"/>
  <w:hyphenationZone w:val="425"/>
  <w:characterSpacingControl w:val="doNotCompress"/>
  <w:hdrShapeDefaults>
    <o:shapedefaults v:ext="edit" spidmax="716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4721B"/>
    <w:rsid w:val="00061B2A"/>
    <w:rsid w:val="00082362"/>
    <w:rsid w:val="000A683E"/>
    <w:rsid w:val="000B19B9"/>
    <w:rsid w:val="000D0334"/>
    <w:rsid w:val="000F6486"/>
    <w:rsid w:val="001171BF"/>
    <w:rsid w:val="00125105"/>
    <w:rsid w:val="00127233"/>
    <w:rsid w:val="00192F33"/>
    <w:rsid w:val="001E4177"/>
    <w:rsid w:val="001F7DC6"/>
    <w:rsid w:val="002421BB"/>
    <w:rsid w:val="0025796E"/>
    <w:rsid w:val="002707A2"/>
    <w:rsid w:val="002951A0"/>
    <w:rsid w:val="002962BC"/>
    <w:rsid w:val="002A093D"/>
    <w:rsid w:val="002A0DD0"/>
    <w:rsid w:val="002A49AC"/>
    <w:rsid w:val="002A64FD"/>
    <w:rsid w:val="002C7A84"/>
    <w:rsid w:val="002D42FC"/>
    <w:rsid w:val="002E4FD9"/>
    <w:rsid w:val="00322A85"/>
    <w:rsid w:val="00324168"/>
    <w:rsid w:val="003448F4"/>
    <w:rsid w:val="00374F5E"/>
    <w:rsid w:val="00377E3E"/>
    <w:rsid w:val="003A06E6"/>
    <w:rsid w:val="003A26D1"/>
    <w:rsid w:val="003A779E"/>
    <w:rsid w:val="003B63F4"/>
    <w:rsid w:val="003D0F4D"/>
    <w:rsid w:val="003D5B0D"/>
    <w:rsid w:val="003E0499"/>
    <w:rsid w:val="003E78FA"/>
    <w:rsid w:val="003F3941"/>
    <w:rsid w:val="00406575"/>
    <w:rsid w:val="0042722E"/>
    <w:rsid w:val="0044528D"/>
    <w:rsid w:val="00493E95"/>
    <w:rsid w:val="004A1847"/>
    <w:rsid w:val="004A305D"/>
    <w:rsid w:val="004F21C4"/>
    <w:rsid w:val="004F685F"/>
    <w:rsid w:val="005056DE"/>
    <w:rsid w:val="005566E8"/>
    <w:rsid w:val="005744C9"/>
    <w:rsid w:val="00574867"/>
    <w:rsid w:val="00591460"/>
    <w:rsid w:val="00592628"/>
    <w:rsid w:val="005C3777"/>
    <w:rsid w:val="005C5CDC"/>
    <w:rsid w:val="005D476C"/>
    <w:rsid w:val="005D781A"/>
    <w:rsid w:val="00610812"/>
    <w:rsid w:val="006219F8"/>
    <w:rsid w:val="00636C0B"/>
    <w:rsid w:val="00650FF7"/>
    <w:rsid w:val="00665D70"/>
    <w:rsid w:val="00671DAC"/>
    <w:rsid w:val="006900D9"/>
    <w:rsid w:val="006D12F8"/>
    <w:rsid w:val="00703326"/>
    <w:rsid w:val="00706C16"/>
    <w:rsid w:val="00714DD3"/>
    <w:rsid w:val="00756841"/>
    <w:rsid w:val="007649AB"/>
    <w:rsid w:val="00771D0C"/>
    <w:rsid w:val="007833AC"/>
    <w:rsid w:val="007B268C"/>
    <w:rsid w:val="007B7171"/>
    <w:rsid w:val="007C0C0F"/>
    <w:rsid w:val="007C3DC2"/>
    <w:rsid w:val="007E5497"/>
    <w:rsid w:val="00806F5F"/>
    <w:rsid w:val="00820278"/>
    <w:rsid w:val="008843B6"/>
    <w:rsid w:val="00891928"/>
    <w:rsid w:val="008A446D"/>
    <w:rsid w:val="008D180B"/>
    <w:rsid w:val="008F0EA7"/>
    <w:rsid w:val="00923EEF"/>
    <w:rsid w:val="009419F9"/>
    <w:rsid w:val="0095685E"/>
    <w:rsid w:val="00961B09"/>
    <w:rsid w:val="00965334"/>
    <w:rsid w:val="0097093E"/>
    <w:rsid w:val="009A0DFA"/>
    <w:rsid w:val="009A24FD"/>
    <w:rsid w:val="009B2D26"/>
    <w:rsid w:val="009C71FA"/>
    <w:rsid w:val="009C72E7"/>
    <w:rsid w:val="009D3058"/>
    <w:rsid w:val="009F3A13"/>
    <w:rsid w:val="00A122D3"/>
    <w:rsid w:val="00A17F13"/>
    <w:rsid w:val="00A20739"/>
    <w:rsid w:val="00A33C78"/>
    <w:rsid w:val="00AB0ADB"/>
    <w:rsid w:val="00AF5091"/>
    <w:rsid w:val="00B01B1A"/>
    <w:rsid w:val="00B72CD3"/>
    <w:rsid w:val="00B72FFF"/>
    <w:rsid w:val="00BC3D36"/>
    <w:rsid w:val="00BD7F72"/>
    <w:rsid w:val="00C04FB3"/>
    <w:rsid w:val="00C1622C"/>
    <w:rsid w:val="00C22D49"/>
    <w:rsid w:val="00C330EB"/>
    <w:rsid w:val="00C754BE"/>
    <w:rsid w:val="00C76B1C"/>
    <w:rsid w:val="00CB6357"/>
    <w:rsid w:val="00CC1B26"/>
    <w:rsid w:val="00D423A2"/>
    <w:rsid w:val="00D520D8"/>
    <w:rsid w:val="00D63AC2"/>
    <w:rsid w:val="00D7383B"/>
    <w:rsid w:val="00D920A1"/>
    <w:rsid w:val="00DA231B"/>
    <w:rsid w:val="00DA23A0"/>
    <w:rsid w:val="00DC39FC"/>
    <w:rsid w:val="00DF5254"/>
    <w:rsid w:val="00E16408"/>
    <w:rsid w:val="00E20894"/>
    <w:rsid w:val="00E245AB"/>
    <w:rsid w:val="00E2764C"/>
    <w:rsid w:val="00E27F2E"/>
    <w:rsid w:val="00E413EA"/>
    <w:rsid w:val="00E50AFE"/>
    <w:rsid w:val="00E51F10"/>
    <w:rsid w:val="00E75C92"/>
    <w:rsid w:val="00E771DC"/>
    <w:rsid w:val="00E8772A"/>
    <w:rsid w:val="00E90F6B"/>
    <w:rsid w:val="00E92C27"/>
    <w:rsid w:val="00EA0E3D"/>
    <w:rsid w:val="00EC38A7"/>
    <w:rsid w:val="00EE1AA8"/>
    <w:rsid w:val="00EE7086"/>
    <w:rsid w:val="00F31EDC"/>
    <w:rsid w:val="00F462B3"/>
    <w:rsid w:val="00F5664F"/>
    <w:rsid w:val="00F666C4"/>
    <w:rsid w:val="00F76AFC"/>
    <w:rsid w:val="00FA47C0"/>
    <w:rsid w:val="00FB5DD1"/>
    <w:rsid w:val="00FC2B5D"/>
    <w:rsid w:val="00FF1449"/>
    <w:rsid w:val="29E65C17"/>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A24FD"/>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sites/cce_public/files/files_2020/boletin_de_realtoria_iii.pdf"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31B779-483C-4002-8027-7214F46629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purl.org/dc/dcmitype/"/>
    <ds:schemaRef ds:uri="http://schemas.microsoft.com/office/2006/documentManagement/types"/>
    <ds:schemaRef ds:uri="http://schemas.microsoft.com/office/infopath/2007/PartnerControls"/>
    <ds:schemaRef ds:uri="http://purl.org/dc/terms/"/>
    <ds:schemaRef ds:uri="9d85dbaf-23eb-4e57-a637-93dcacc8b1a1"/>
    <ds:schemaRef ds:uri="http://www.w3.org/XML/1998/namespace"/>
    <ds:schemaRef ds:uri="http://schemas.openxmlformats.org/package/2006/metadata/core-properties"/>
    <ds:schemaRef ds:uri="http://purl.org/dc/elements/1.1/"/>
    <ds:schemaRef ds:uri="a6cb9e4b-f1d1-4245-83ec-6cad768d538a"/>
    <ds:schemaRef ds:uri="http://schemas.microsoft.com/office/2006/metadata/properties"/>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2829</Words>
  <Characters>15560</Characters>
  <Application>Microsoft Office Word</Application>
  <DocSecurity>0</DocSecurity>
  <Lines>129</Lines>
  <Paragraphs>36</Paragraphs>
  <ScaleCrop>false</ScaleCrop>
  <Company/>
  <LinksUpToDate>false</LinksUpToDate>
  <CharactersWithSpaces>18353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cp:lastPrinted>2023-01-10T21:18:00Z</cp:lastPrinted>
  <dcterms:created xsi:type="dcterms:W3CDTF">2024-10-10T14:25:00Z</dcterms:created>
  <dcterms:modified xsi:type="dcterms:W3CDTF">2024-10-10T14:25:00Z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