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00FFE" w14:textId="77777777" w:rsidR="00B6445D" w:rsidRPr="009A633C" w:rsidRDefault="00B6445D" w:rsidP="00B6445D">
      <w:pPr>
        <w:spacing w:after="0"/>
        <w:jc w:val="both"/>
        <w:rPr>
          <w:rFonts w:ascii="Verdana" w:eastAsia="Calibri" w:hAnsi="Verdana" w:cs="Arial"/>
          <w:b/>
          <w:bCs/>
          <w:color w:val="000000"/>
          <w:lang w:val="es-ES" w:eastAsia="es-ES"/>
        </w:rPr>
      </w:pPr>
      <w:r w:rsidRPr="009A633C">
        <w:rPr>
          <w:rFonts w:ascii="Verdana" w:eastAsia="Calibri" w:hAnsi="Verdana" w:cs="Arial"/>
          <w:b/>
          <w:bCs/>
          <w:color w:val="000000"/>
          <w:lang w:val="es-ES" w:eastAsia="es-ES"/>
        </w:rPr>
        <w:t>CONTRATACIÓN DIRECTA – Pluralidad de oferentes – Ausencia – Dos eventos</w:t>
      </w:r>
    </w:p>
    <w:p w14:paraId="63426C05" w14:textId="77777777" w:rsidR="00B6445D" w:rsidRPr="009A633C" w:rsidRDefault="00B6445D" w:rsidP="00B6445D">
      <w:pPr>
        <w:spacing w:after="0"/>
        <w:jc w:val="both"/>
        <w:rPr>
          <w:rFonts w:ascii="Verdana" w:eastAsia="Calibri" w:hAnsi="Verdana" w:cs="Arial"/>
          <w:color w:val="000000"/>
          <w:lang w:val="es-ES" w:eastAsia="es-ES"/>
        </w:rPr>
      </w:pPr>
    </w:p>
    <w:p w14:paraId="0636F97A" w14:textId="77777777" w:rsidR="00B6445D" w:rsidRPr="009A633C" w:rsidRDefault="00B6445D" w:rsidP="00B6445D">
      <w:pPr>
        <w:spacing w:after="0"/>
        <w:jc w:val="both"/>
        <w:rPr>
          <w:rFonts w:ascii="Verdana" w:eastAsia="Calibri" w:hAnsi="Verdana" w:cs="Arial"/>
          <w:color w:val="000000"/>
          <w:sz w:val="20"/>
          <w:szCs w:val="20"/>
          <w:lang w:val="es-ES" w:eastAsia="es-ES"/>
        </w:rPr>
      </w:pPr>
      <w:r w:rsidRPr="009A633C">
        <w:rPr>
          <w:rFonts w:ascii="Verdana" w:eastAsia="Calibri" w:hAnsi="Verdana" w:cs="Arial"/>
          <w:color w:val="000000"/>
          <w:sz w:val="20"/>
          <w:szCs w:val="20"/>
          <w:lang w:val="es-ES" w:eastAsia="es-ES"/>
        </w:rPr>
        <w:t xml:space="preserve">El artículo 2.2.1.2.1.4.8 del Decreto 1082 de 2015] consagra dos (2) hipótesis. En primer lugar, no existe pluralidad de oferentes cuando solo una persona puede proveer el bien o servicio por ser titular de los derechos de propiedad industrial o de los derechos de autor. De esta manera, no basta con que sea la única persona capaz de ejecutar el contrato, pues la misma se debe justificar una situación de derecho que impida que otra lo haga de forma igual o similar. Para los proponentes, cada bien o servicio tiene características únicas frente a los de la competencia; sin embargo, desde el punto de vista del contratante, no existe mayor diferenciación entre los bienes y servicios cuando ninguno de los aspirantes tiene la titularidad de un derecho industrial o de autor. </w:t>
      </w:r>
    </w:p>
    <w:p w14:paraId="060D61E4" w14:textId="77777777" w:rsidR="00B6445D" w:rsidRPr="009A633C" w:rsidRDefault="00B6445D" w:rsidP="00B6445D">
      <w:pPr>
        <w:spacing w:after="0"/>
        <w:jc w:val="both"/>
        <w:rPr>
          <w:rFonts w:ascii="Verdana" w:eastAsia="Calibri" w:hAnsi="Verdana" w:cs="Arial"/>
          <w:color w:val="000000"/>
          <w:sz w:val="20"/>
          <w:szCs w:val="20"/>
          <w:lang w:val="es-ES" w:eastAsia="es-ES"/>
        </w:rPr>
      </w:pPr>
    </w:p>
    <w:p w14:paraId="4A710D84" w14:textId="77777777" w:rsidR="00B6445D" w:rsidRPr="009A633C" w:rsidRDefault="00B6445D" w:rsidP="00B6445D">
      <w:pPr>
        <w:spacing w:after="0"/>
        <w:jc w:val="both"/>
        <w:rPr>
          <w:rFonts w:ascii="Verdana" w:eastAsia="Calibri" w:hAnsi="Verdana" w:cs="Arial"/>
          <w:color w:val="000000"/>
          <w:sz w:val="20"/>
          <w:szCs w:val="20"/>
          <w:lang w:val="es-ES" w:eastAsia="es-ES"/>
        </w:rPr>
      </w:pPr>
      <w:r w:rsidRPr="009A633C">
        <w:rPr>
          <w:rFonts w:ascii="Verdana" w:eastAsia="Calibri" w:hAnsi="Verdana" w:cs="Arial"/>
          <w:color w:val="000000"/>
          <w:sz w:val="20"/>
          <w:szCs w:val="20"/>
          <w:lang w:val="es-ES" w:eastAsia="es-ES"/>
        </w:rPr>
        <w:t>Por ello, en la medida que la prestación no esté cubierta por derechos de la naturaleza anteriormente señalada, posibilita que la entidad satisfaga sus necesidades con equivalentes o sustitutos, ya que la presión de la competencia aumenta la oferta y disminuye los costos de adquisición. Para la doctrina, en ausencia de una barrera de entrada –como la que se concreta con los derechos de propiedad industrial o de autor– es necesario aplicar el principio de concurrencia […].</w:t>
      </w:r>
    </w:p>
    <w:p w14:paraId="6E2068CD" w14:textId="77777777" w:rsidR="00B6445D" w:rsidRPr="009A633C" w:rsidRDefault="00B6445D" w:rsidP="00B6445D">
      <w:pPr>
        <w:spacing w:after="0"/>
        <w:jc w:val="both"/>
        <w:rPr>
          <w:rFonts w:ascii="Verdana" w:eastAsia="Calibri" w:hAnsi="Verdana" w:cs="Arial"/>
          <w:b/>
          <w:bCs/>
          <w:color w:val="000000"/>
          <w:lang w:val="es-ES" w:eastAsia="es-ES"/>
        </w:rPr>
      </w:pPr>
    </w:p>
    <w:p w14:paraId="6C61773B" w14:textId="77777777" w:rsidR="00B6445D" w:rsidRPr="009A633C" w:rsidRDefault="00B6445D" w:rsidP="00B6445D">
      <w:pPr>
        <w:spacing w:after="0"/>
        <w:jc w:val="both"/>
        <w:rPr>
          <w:rFonts w:ascii="Verdana" w:eastAsia="Calibri" w:hAnsi="Verdana" w:cs="Arial"/>
          <w:b/>
          <w:bCs/>
          <w:color w:val="000000"/>
          <w:lang w:val="es-ES" w:eastAsia="es-ES"/>
        </w:rPr>
      </w:pPr>
      <w:r w:rsidRPr="009A633C">
        <w:rPr>
          <w:rFonts w:ascii="Verdana" w:eastAsia="Calibri" w:hAnsi="Verdana" w:cs="Arial"/>
          <w:b/>
          <w:bCs/>
          <w:color w:val="000000"/>
          <w:lang w:val="es-ES" w:eastAsia="es-ES"/>
        </w:rPr>
        <w:t>CONTRATACIÓN DIRECTA – Pluralidad de oferentes – Ausencia – Proveedor exclusivo – Alcance</w:t>
      </w:r>
    </w:p>
    <w:p w14:paraId="72280EE3" w14:textId="77777777" w:rsidR="00B6445D" w:rsidRPr="009A633C" w:rsidRDefault="00B6445D" w:rsidP="00B6445D">
      <w:pPr>
        <w:spacing w:after="0"/>
        <w:jc w:val="both"/>
        <w:rPr>
          <w:rFonts w:ascii="Verdana" w:eastAsia="Calibri" w:hAnsi="Verdana" w:cs="Arial"/>
          <w:color w:val="000000"/>
          <w:lang w:val="es-ES" w:eastAsia="es-ES"/>
        </w:rPr>
      </w:pPr>
    </w:p>
    <w:p w14:paraId="05D00F6F" w14:textId="77777777" w:rsidR="00B6445D" w:rsidRPr="009A633C" w:rsidRDefault="00B6445D" w:rsidP="00B6445D">
      <w:pPr>
        <w:spacing w:after="0" w:line="240" w:lineRule="auto"/>
        <w:jc w:val="both"/>
        <w:rPr>
          <w:rFonts w:ascii="Verdana" w:eastAsia="Calibri" w:hAnsi="Verdana" w:cs="Arial"/>
          <w:color w:val="000000"/>
          <w:sz w:val="20"/>
          <w:szCs w:val="20"/>
          <w:lang w:val="es-ES" w:eastAsia="es-ES"/>
        </w:rPr>
      </w:pPr>
      <w:r w:rsidRPr="009A633C">
        <w:rPr>
          <w:rFonts w:ascii="Verdana" w:eastAsia="Calibri" w:hAnsi="Verdana" w:cs="Arial"/>
          <w:color w:val="000000"/>
          <w:sz w:val="20"/>
          <w:szCs w:val="20"/>
          <w:lang w:val="es-ES" w:eastAsia="es-ES"/>
        </w:rPr>
        <w:t xml:space="preserve">En segundo lugar, el artículo 2.2.1.2.1.4.8 del Decreto 1082 de 2015 dispone que tampoco existe pluralidad de oferentes cuando existe una sola persona que puede celebrar el contrato por ser proveedor exclusivo en el territorio nacional. A modo de ejemplo, esta causal se comprende en el marco de los contratos de colaboración empresarial –agencia, distribución, franquicia concesión comercial, etc.– que celebran los productores extranjeros con los proveedores nacionales, los cuales contienen usualmente cláusulas de exclusividad como elemento accidental del negocio. </w:t>
      </w:r>
    </w:p>
    <w:p w14:paraId="19ECB745" w14:textId="77777777" w:rsidR="00B6445D" w:rsidRPr="009A633C" w:rsidRDefault="00B6445D" w:rsidP="00B6445D">
      <w:pPr>
        <w:spacing w:after="0" w:line="240" w:lineRule="auto"/>
        <w:jc w:val="both"/>
        <w:rPr>
          <w:rFonts w:ascii="Verdana" w:eastAsia="Calibri" w:hAnsi="Verdana" w:cs="Arial"/>
          <w:color w:val="000000"/>
          <w:sz w:val="20"/>
          <w:szCs w:val="20"/>
          <w:lang w:val="es-ES" w:eastAsia="es-ES"/>
        </w:rPr>
      </w:pPr>
    </w:p>
    <w:p w14:paraId="293F9069" w14:textId="77777777" w:rsidR="00B6445D" w:rsidRPr="009A633C" w:rsidRDefault="00B6445D" w:rsidP="00B6445D">
      <w:pPr>
        <w:spacing w:after="0" w:line="240" w:lineRule="auto"/>
        <w:jc w:val="both"/>
        <w:rPr>
          <w:rFonts w:ascii="Verdana" w:eastAsia="Calibri" w:hAnsi="Verdana" w:cs="Arial"/>
          <w:color w:val="000000"/>
          <w:sz w:val="20"/>
          <w:szCs w:val="20"/>
          <w:lang w:val="es-ES" w:eastAsia="es-ES"/>
        </w:rPr>
      </w:pPr>
      <w:r w:rsidRPr="009A633C">
        <w:rPr>
          <w:rFonts w:ascii="Verdana" w:eastAsia="Calibri" w:hAnsi="Verdana" w:cs="Arial"/>
          <w:color w:val="000000"/>
          <w:sz w:val="20"/>
          <w:szCs w:val="20"/>
          <w:lang w:val="es-ES" w:eastAsia="es-ES"/>
        </w:rPr>
        <w:t xml:space="preserve">Al igual que la hipótesis precedente, la presencia de un proveedor exclusivo supone una barrera de entrada para otros posibles oferentes, por lo que no es posible aplicar el principio de concurrencia. Sin embargo, para aplicar la causal de contratación directa, la exclusividad del proveedor debe cubrir el territorio nacional, pues –por ejemplo– si se limita a un municipio o un departamento, es posible encontrar proveedores de bienes y servicios similares o sustitutos en otros lugares del país, por lo que es necesario aplicar procedimientos de selección que permitan la pluralidad de oferentes.  </w:t>
      </w:r>
    </w:p>
    <w:p w14:paraId="0693C46B" w14:textId="77777777" w:rsidR="00B6445D" w:rsidRPr="009A633C" w:rsidRDefault="00B6445D" w:rsidP="00B6445D">
      <w:pPr>
        <w:spacing w:after="0"/>
        <w:jc w:val="both"/>
        <w:rPr>
          <w:rFonts w:ascii="Verdana" w:eastAsia="Calibri" w:hAnsi="Verdana" w:cs="Arial"/>
          <w:color w:val="000000"/>
          <w:lang w:val="es-ES" w:eastAsia="es-ES"/>
        </w:rPr>
      </w:pPr>
    </w:p>
    <w:p w14:paraId="6DE30027" w14:textId="77777777" w:rsidR="00B6445D" w:rsidRPr="009A633C" w:rsidRDefault="00B6445D" w:rsidP="00B6445D">
      <w:pPr>
        <w:spacing w:after="0"/>
        <w:jc w:val="both"/>
        <w:rPr>
          <w:rFonts w:ascii="Verdana" w:eastAsia="Calibri" w:hAnsi="Verdana" w:cs="Arial"/>
          <w:b/>
          <w:bCs/>
          <w:color w:val="000000"/>
          <w:lang w:val="es-ES" w:eastAsia="es-ES"/>
        </w:rPr>
      </w:pPr>
      <w:r w:rsidRPr="009A633C">
        <w:rPr>
          <w:rFonts w:ascii="Verdana" w:eastAsia="Calibri" w:hAnsi="Verdana" w:cs="Arial"/>
          <w:b/>
          <w:bCs/>
          <w:color w:val="000000"/>
          <w:lang w:val="es-ES" w:eastAsia="es-ES"/>
        </w:rPr>
        <w:t>CONTRATACIÓN DIRECTA – Pluralidad de oferentes – Ausencia – Interpretación estricta</w:t>
      </w:r>
    </w:p>
    <w:p w14:paraId="3889DCB8" w14:textId="77777777" w:rsidR="00B6445D" w:rsidRPr="009A633C" w:rsidRDefault="00B6445D" w:rsidP="00B6445D">
      <w:pPr>
        <w:spacing w:after="0"/>
        <w:jc w:val="both"/>
        <w:rPr>
          <w:rFonts w:ascii="Verdana" w:eastAsia="Calibri" w:hAnsi="Verdana" w:cs="Arial"/>
          <w:color w:val="000000"/>
          <w:lang w:val="es-ES" w:eastAsia="es-ES"/>
        </w:rPr>
      </w:pPr>
    </w:p>
    <w:p w14:paraId="1BE53EC3" w14:textId="77777777" w:rsidR="00B6445D" w:rsidRPr="009A633C" w:rsidRDefault="00B6445D" w:rsidP="00B6445D">
      <w:pPr>
        <w:spacing w:after="0" w:line="240" w:lineRule="auto"/>
        <w:jc w:val="both"/>
        <w:rPr>
          <w:rFonts w:ascii="Verdana" w:eastAsia="Calibri" w:hAnsi="Verdana" w:cs="Arial"/>
          <w:color w:val="000000"/>
          <w:sz w:val="20"/>
          <w:szCs w:val="20"/>
          <w:lang w:val="es-ES" w:eastAsia="es-ES"/>
        </w:rPr>
      </w:pPr>
      <w:r w:rsidRPr="009A633C">
        <w:rPr>
          <w:rFonts w:ascii="Verdana" w:eastAsia="Calibri" w:hAnsi="Verdana" w:cs="Arial"/>
          <w:color w:val="000000"/>
          <w:sz w:val="20"/>
          <w:szCs w:val="20"/>
          <w:lang w:val="es-ES" w:eastAsia="es-ES"/>
        </w:rPr>
        <w:t xml:space="preserve">Fuera de estas dos (2) situaciones, no es posible aplicar el artículo 2, numeral 4, literal g), de la Ley 1150 de 2007, ya que las normas citadas integran una causal de </w:t>
      </w:r>
      <w:r w:rsidRPr="009A633C">
        <w:rPr>
          <w:rFonts w:ascii="Verdana" w:eastAsia="Calibri" w:hAnsi="Verdana" w:cs="Arial"/>
          <w:color w:val="000000"/>
          <w:sz w:val="20"/>
          <w:szCs w:val="20"/>
          <w:lang w:val="es-ES" w:eastAsia="es-ES"/>
        </w:rPr>
        <w:lastRenderedPageBreak/>
        <w:t xml:space="preserve">contratación directa que excepciona los mecanismos de selección objetiva por convocatoria pública definidos en el Estatuto General de Contratación de la Administración Pública, por lo que se interpretan restrictivamente, es decir, conforme al tenor literal de las normas.  </w:t>
      </w:r>
    </w:p>
    <w:p w14:paraId="44A56FFE" w14:textId="77777777" w:rsidR="00B6445D" w:rsidRPr="009A633C" w:rsidRDefault="00B6445D" w:rsidP="00B6445D">
      <w:pPr>
        <w:spacing w:after="0" w:line="240" w:lineRule="auto"/>
        <w:jc w:val="both"/>
        <w:rPr>
          <w:rFonts w:ascii="Verdana" w:eastAsia="Aptos" w:hAnsi="Verdana" w:cs="Times New Roman"/>
          <w:sz w:val="18"/>
          <w:szCs w:val="18"/>
        </w:rPr>
      </w:pPr>
    </w:p>
    <w:p w14:paraId="19C6431C" w14:textId="77777777" w:rsidR="00B6445D" w:rsidRPr="009A633C" w:rsidRDefault="00B6445D" w:rsidP="00B6445D">
      <w:pPr>
        <w:spacing w:after="0" w:line="240" w:lineRule="auto"/>
        <w:jc w:val="both"/>
        <w:rPr>
          <w:rFonts w:ascii="Verdana" w:eastAsia="Aptos" w:hAnsi="Verdana" w:cs="Times New Roman"/>
          <w:sz w:val="18"/>
          <w:szCs w:val="18"/>
        </w:rPr>
      </w:pPr>
    </w:p>
    <w:p w14:paraId="660948DC" w14:textId="77777777" w:rsidR="00B6445D" w:rsidRPr="009A633C" w:rsidRDefault="00B6445D" w:rsidP="00B6445D">
      <w:pPr>
        <w:spacing w:after="0" w:line="240" w:lineRule="auto"/>
        <w:jc w:val="both"/>
        <w:rPr>
          <w:rFonts w:ascii="Verdana" w:eastAsia="Aptos" w:hAnsi="Verdana" w:cs="Times New Roman"/>
          <w:sz w:val="18"/>
          <w:szCs w:val="18"/>
        </w:rPr>
      </w:pPr>
    </w:p>
    <w:p w14:paraId="0D3D08E6" w14:textId="77777777" w:rsidR="00B6445D" w:rsidRPr="009A633C" w:rsidRDefault="00B6445D" w:rsidP="00B6445D">
      <w:pPr>
        <w:spacing w:after="0" w:line="240" w:lineRule="auto"/>
        <w:jc w:val="both"/>
        <w:rPr>
          <w:rFonts w:ascii="Verdana" w:eastAsia="Aptos" w:hAnsi="Verdana" w:cs="Times New Roman"/>
          <w:sz w:val="18"/>
          <w:szCs w:val="18"/>
        </w:rPr>
      </w:pPr>
    </w:p>
    <w:p w14:paraId="798B2562" w14:textId="77777777" w:rsidR="00B6445D" w:rsidRPr="009A633C" w:rsidRDefault="00B6445D" w:rsidP="00B6445D">
      <w:pPr>
        <w:spacing w:after="0" w:line="240" w:lineRule="auto"/>
        <w:rPr>
          <w:rFonts w:ascii="Verdana" w:eastAsia="Aptos" w:hAnsi="Verdana" w:cs="Times New Roman"/>
          <w:sz w:val="20"/>
          <w:szCs w:val="20"/>
        </w:rPr>
      </w:pPr>
    </w:p>
    <w:p w14:paraId="6A262BE4" w14:textId="77777777" w:rsidR="00B6445D" w:rsidRPr="009A633C" w:rsidRDefault="00B6445D" w:rsidP="00B6445D">
      <w:pPr>
        <w:spacing w:after="0" w:line="240" w:lineRule="auto"/>
        <w:rPr>
          <w:rFonts w:ascii="Verdana" w:eastAsia="Aptos" w:hAnsi="Verdana" w:cs="Times New Roman"/>
          <w:sz w:val="20"/>
          <w:szCs w:val="20"/>
        </w:rPr>
      </w:pPr>
    </w:p>
    <w:p w14:paraId="556EBD71" w14:textId="77777777" w:rsidR="00B6445D" w:rsidRPr="009A633C" w:rsidRDefault="00B6445D" w:rsidP="00B6445D">
      <w:pPr>
        <w:spacing w:after="0" w:line="240" w:lineRule="auto"/>
        <w:rPr>
          <w:rFonts w:ascii="Verdana" w:eastAsia="Aptos" w:hAnsi="Verdana" w:cs="Times New Roman"/>
          <w:sz w:val="20"/>
          <w:szCs w:val="20"/>
        </w:rPr>
      </w:pPr>
    </w:p>
    <w:p w14:paraId="14667C4F" w14:textId="77777777" w:rsidR="00B6445D" w:rsidRPr="009A633C" w:rsidRDefault="00B6445D" w:rsidP="00B6445D">
      <w:pPr>
        <w:spacing w:after="0" w:line="240" w:lineRule="auto"/>
        <w:rPr>
          <w:rFonts w:ascii="Verdana" w:eastAsia="Aptos" w:hAnsi="Verdana" w:cs="Times New Roman"/>
          <w:sz w:val="20"/>
          <w:szCs w:val="20"/>
        </w:rPr>
      </w:pPr>
    </w:p>
    <w:p w14:paraId="3ABB9786" w14:textId="77777777" w:rsidR="00B6445D" w:rsidRPr="009A633C" w:rsidRDefault="00B6445D" w:rsidP="00B6445D">
      <w:pPr>
        <w:spacing w:after="0" w:line="240" w:lineRule="auto"/>
        <w:rPr>
          <w:rFonts w:ascii="Verdana" w:eastAsia="Aptos" w:hAnsi="Verdana" w:cs="Times New Roman"/>
          <w:sz w:val="20"/>
          <w:szCs w:val="20"/>
        </w:rPr>
      </w:pPr>
    </w:p>
    <w:p w14:paraId="49B0CBB1" w14:textId="77777777" w:rsidR="00B6445D" w:rsidRPr="009A633C" w:rsidRDefault="00B6445D" w:rsidP="00B6445D">
      <w:pPr>
        <w:spacing w:after="0" w:line="240" w:lineRule="auto"/>
        <w:rPr>
          <w:rFonts w:ascii="Verdana" w:eastAsia="Aptos" w:hAnsi="Verdana" w:cs="Times New Roman"/>
          <w:sz w:val="20"/>
          <w:szCs w:val="20"/>
        </w:rPr>
      </w:pPr>
    </w:p>
    <w:p w14:paraId="1E83213D" w14:textId="77777777" w:rsidR="00B6445D" w:rsidRPr="009A633C" w:rsidRDefault="00B6445D" w:rsidP="00B6445D">
      <w:pPr>
        <w:spacing w:after="0" w:line="240" w:lineRule="auto"/>
        <w:rPr>
          <w:rFonts w:ascii="Verdana" w:eastAsia="Aptos" w:hAnsi="Verdana" w:cs="Times New Roman"/>
          <w:sz w:val="20"/>
          <w:szCs w:val="20"/>
        </w:rPr>
      </w:pPr>
    </w:p>
    <w:p w14:paraId="279EF621" w14:textId="77777777" w:rsidR="00B6445D" w:rsidRPr="009A633C" w:rsidRDefault="00B6445D" w:rsidP="00B6445D">
      <w:pPr>
        <w:spacing w:after="0" w:line="240" w:lineRule="auto"/>
        <w:rPr>
          <w:rFonts w:ascii="Verdana" w:eastAsia="Aptos" w:hAnsi="Verdana" w:cs="Times New Roman"/>
          <w:sz w:val="20"/>
          <w:szCs w:val="20"/>
        </w:rPr>
      </w:pPr>
    </w:p>
    <w:p w14:paraId="18552915" w14:textId="77777777" w:rsidR="00B6445D" w:rsidRPr="009A633C" w:rsidRDefault="00B6445D" w:rsidP="00B6445D">
      <w:pPr>
        <w:spacing w:after="0" w:line="240" w:lineRule="auto"/>
        <w:rPr>
          <w:rFonts w:ascii="Verdana" w:eastAsia="Aptos" w:hAnsi="Verdana" w:cs="Times New Roman"/>
          <w:sz w:val="20"/>
          <w:szCs w:val="20"/>
        </w:rPr>
      </w:pPr>
    </w:p>
    <w:p w14:paraId="1615BCFC" w14:textId="77777777" w:rsidR="00B6445D" w:rsidRPr="009A633C" w:rsidRDefault="00B6445D" w:rsidP="00B6445D">
      <w:pPr>
        <w:spacing w:after="0" w:line="240" w:lineRule="auto"/>
        <w:rPr>
          <w:rFonts w:ascii="Verdana" w:eastAsia="Aptos" w:hAnsi="Verdana" w:cs="Times New Roman"/>
          <w:sz w:val="20"/>
          <w:szCs w:val="20"/>
        </w:rPr>
      </w:pPr>
    </w:p>
    <w:p w14:paraId="5AFFC56B" w14:textId="77777777" w:rsidR="00B6445D" w:rsidRPr="009A633C" w:rsidRDefault="00B6445D" w:rsidP="00B6445D">
      <w:pPr>
        <w:spacing w:after="0" w:line="240" w:lineRule="auto"/>
        <w:rPr>
          <w:rFonts w:ascii="Verdana" w:eastAsia="Aptos" w:hAnsi="Verdana" w:cs="Times New Roman"/>
          <w:sz w:val="20"/>
          <w:szCs w:val="20"/>
        </w:rPr>
      </w:pPr>
    </w:p>
    <w:p w14:paraId="21458AB7" w14:textId="77777777" w:rsidR="00B6445D" w:rsidRPr="009A633C" w:rsidRDefault="00B6445D" w:rsidP="00B6445D">
      <w:pPr>
        <w:spacing w:after="0" w:line="240" w:lineRule="auto"/>
        <w:rPr>
          <w:rFonts w:ascii="Verdana" w:eastAsia="Aptos" w:hAnsi="Verdana" w:cs="Times New Roman"/>
          <w:sz w:val="20"/>
          <w:szCs w:val="20"/>
        </w:rPr>
      </w:pPr>
    </w:p>
    <w:p w14:paraId="03E75717" w14:textId="77777777" w:rsidR="00B6445D" w:rsidRPr="009A633C" w:rsidRDefault="00B6445D" w:rsidP="00B6445D">
      <w:pPr>
        <w:spacing w:after="0" w:line="240" w:lineRule="auto"/>
        <w:rPr>
          <w:rFonts w:ascii="Verdana" w:eastAsia="Aptos" w:hAnsi="Verdana" w:cs="Times New Roman"/>
          <w:sz w:val="20"/>
          <w:szCs w:val="20"/>
        </w:rPr>
      </w:pPr>
    </w:p>
    <w:p w14:paraId="5D04C134" w14:textId="77777777" w:rsidR="00B6445D" w:rsidRPr="009A633C" w:rsidRDefault="00B6445D" w:rsidP="00B6445D">
      <w:pPr>
        <w:spacing w:after="0" w:line="240" w:lineRule="auto"/>
        <w:rPr>
          <w:rFonts w:ascii="Verdana" w:eastAsia="Aptos" w:hAnsi="Verdana" w:cs="Times New Roman"/>
          <w:sz w:val="20"/>
          <w:szCs w:val="20"/>
        </w:rPr>
      </w:pPr>
    </w:p>
    <w:p w14:paraId="1A74DC68" w14:textId="77777777" w:rsidR="00B6445D" w:rsidRPr="009A633C" w:rsidRDefault="00B6445D" w:rsidP="00B6445D">
      <w:pPr>
        <w:spacing w:after="0" w:line="240" w:lineRule="auto"/>
        <w:rPr>
          <w:rFonts w:ascii="Verdana" w:eastAsia="Aptos" w:hAnsi="Verdana" w:cs="Times New Roman"/>
          <w:sz w:val="20"/>
          <w:szCs w:val="20"/>
        </w:rPr>
      </w:pPr>
    </w:p>
    <w:p w14:paraId="10384692" w14:textId="77777777" w:rsidR="00B6445D" w:rsidRPr="009A633C" w:rsidRDefault="00B6445D" w:rsidP="00B6445D">
      <w:pPr>
        <w:spacing w:after="0" w:line="240" w:lineRule="auto"/>
        <w:rPr>
          <w:rFonts w:ascii="Verdana" w:eastAsia="Aptos" w:hAnsi="Verdana" w:cs="Times New Roman"/>
          <w:sz w:val="20"/>
          <w:szCs w:val="20"/>
        </w:rPr>
      </w:pPr>
    </w:p>
    <w:p w14:paraId="59F7F8C6" w14:textId="77777777" w:rsidR="00B6445D" w:rsidRPr="009A633C" w:rsidRDefault="00B6445D" w:rsidP="00B6445D">
      <w:pPr>
        <w:spacing w:after="0" w:line="240" w:lineRule="auto"/>
        <w:rPr>
          <w:rFonts w:ascii="Verdana" w:eastAsia="Aptos" w:hAnsi="Verdana" w:cs="Times New Roman"/>
          <w:sz w:val="20"/>
          <w:szCs w:val="20"/>
        </w:rPr>
      </w:pPr>
    </w:p>
    <w:p w14:paraId="190FA471" w14:textId="77777777" w:rsidR="00B6445D" w:rsidRPr="009A633C" w:rsidRDefault="00B6445D" w:rsidP="00B6445D">
      <w:pPr>
        <w:spacing w:after="0" w:line="240" w:lineRule="auto"/>
        <w:rPr>
          <w:rFonts w:ascii="Verdana" w:eastAsia="Aptos" w:hAnsi="Verdana" w:cs="Times New Roman"/>
          <w:sz w:val="20"/>
          <w:szCs w:val="20"/>
        </w:rPr>
      </w:pPr>
    </w:p>
    <w:p w14:paraId="082434BB" w14:textId="77777777" w:rsidR="00B6445D" w:rsidRPr="009A633C" w:rsidRDefault="00B6445D" w:rsidP="00B6445D">
      <w:pPr>
        <w:spacing w:after="0" w:line="240" w:lineRule="auto"/>
        <w:rPr>
          <w:rFonts w:ascii="Verdana" w:eastAsia="Aptos" w:hAnsi="Verdana" w:cs="Times New Roman"/>
          <w:sz w:val="20"/>
          <w:szCs w:val="20"/>
        </w:rPr>
      </w:pPr>
    </w:p>
    <w:p w14:paraId="7007ADD1" w14:textId="77777777" w:rsidR="00B6445D" w:rsidRPr="009A633C" w:rsidRDefault="00B6445D" w:rsidP="00B6445D">
      <w:pPr>
        <w:spacing w:after="0" w:line="240" w:lineRule="auto"/>
        <w:rPr>
          <w:rFonts w:ascii="Verdana" w:eastAsia="Aptos" w:hAnsi="Verdana" w:cs="Times New Roman"/>
          <w:sz w:val="20"/>
          <w:szCs w:val="20"/>
        </w:rPr>
      </w:pPr>
    </w:p>
    <w:p w14:paraId="71A41A7E" w14:textId="77777777" w:rsidR="00B6445D" w:rsidRPr="009A633C" w:rsidRDefault="00B6445D" w:rsidP="00B6445D">
      <w:pPr>
        <w:spacing w:after="0" w:line="240" w:lineRule="auto"/>
        <w:rPr>
          <w:rFonts w:ascii="Verdana" w:eastAsia="Aptos" w:hAnsi="Verdana" w:cs="Times New Roman"/>
          <w:sz w:val="20"/>
          <w:szCs w:val="20"/>
        </w:rPr>
      </w:pPr>
    </w:p>
    <w:p w14:paraId="3F993F72" w14:textId="77777777" w:rsidR="00B6445D" w:rsidRPr="009A633C" w:rsidRDefault="00B6445D" w:rsidP="00B6445D">
      <w:pPr>
        <w:spacing w:after="0" w:line="240" w:lineRule="auto"/>
        <w:rPr>
          <w:rFonts w:ascii="Verdana" w:eastAsia="Aptos" w:hAnsi="Verdana" w:cs="Times New Roman"/>
          <w:sz w:val="20"/>
          <w:szCs w:val="20"/>
        </w:rPr>
      </w:pPr>
    </w:p>
    <w:p w14:paraId="7523D300" w14:textId="77777777" w:rsidR="00B6445D" w:rsidRPr="009A633C" w:rsidRDefault="00B6445D" w:rsidP="00B6445D">
      <w:pPr>
        <w:spacing w:after="0" w:line="240" w:lineRule="auto"/>
        <w:rPr>
          <w:rFonts w:ascii="Verdana" w:eastAsia="Aptos" w:hAnsi="Verdana" w:cs="Times New Roman"/>
          <w:sz w:val="20"/>
          <w:szCs w:val="20"/>
        </w:rPr>
      </w:pPr>
    </w:p>
    <w:p w14:paraId="7A6297FD" w14:textId="77777777" w:rsidR="00B6445D" w:rsidRPr="009A633C" w:rsidRDefault="00B6445D" w:rsidP="00B6445D">
      <w:pPr>
        <w:spacing w:after="0" w:line="240" w:lineRule="auto"/>
        <w:rPr>
          <w:rFonts w:ascii="Verdana" w:eastAsia="Aptos" w:hAnsi="Verdana" w:cs="Times New Roman"/>
          <w:sz w:val="20"/>
          <w:szCs w:val="20"/>
        </w:rPr>
      </w:pPr>
    </w:p>
    <w:p w14:paraId="336DC1D1" w14:textId="77777777" w:rsidR="00B6445D" w:rsidRPr="009A633C" w:rsidRDefault="00B6445D" w:rsidP="00B6445D">
      <w:pPr>
        <w:spacing w:after="0" w:line="240" w:lineRule="auto"/>
        <w:rPr>
          <w:rFonts w:ascii="Verdana" w:eastAsia="Aptos" w:hAnsi="Verdana" w:cs="Times New Roman"/>
          <w:sz w:val="20"/>
          <w:szCs w:val="20"/>
        </w:rPr>
      </w:pPr>
    </w:p>
    <w:p w14:paraId="14B140FA" w14:textId="77777777" w:rsidR="00B6445D" w:rsidRPr="009A633C" w:rsidRDefault="00B6445D" w:rsidP="00B6445D">
      <w:pPr>
        <w:spacing w:after="0" w:line="240" w:lineRule="auto"/>
        <w:rPr>
          <w:rFonts w:ascii="Verdana" w:eastAsia="Aptos" w:hAnsi="Verdana" w:cs="Times New Roman"/>
          <w:sz w:val="20"/>
          <w:szCs w:val="20"/>
        </w:rPr>
      </w:pPr>
    </w:p>
    <w:p w14:paraId="6F166653" w14:textId="77777777" w:rsidR="00B6445D" w:rsidRPr="009A633C" w:rsidRDefault="00B6445D" w:rsidP="00B6445D">
      <w:pPr>
        <w:spacing w:after="0" w:line="240" w:lineRule="auto"/>
        <w:rPr>
          <w:rFonts w:ascii="Verdana" w:eastAsia="Aptos" w:hAnsi="Verdana" w:cs="Times New Roman"/>
          <w:sz w:val="20"/>
          <w:szCs w:val="20"/>
        </w:rPr>
      </w:pPr>
    </w:p>
    <w:p w14:paraId="49605E23" w14:textId="77777777" w:rsidR="00B6445D" w:rsidRPr="009A633C" w:rsidRDefault="00B6445D" w:rsidP="00B6445D">
      <w:pPr>
        <w:spacing w:after="0" w:line="240" w:lineRule="auto"/>
        <w:rPr>
          <w:rFonts w:ascii="Verdana" w:eastAsia="Aptos" w:hAnsi="Verdana" w:cs="Times New Roman"/>
          <w:sz w:val="20"/>
          <w:szCs w:val="20"/>
        </w:rPr>
      </w:pPr>
    </w:p>
    <w:p w14:paraId="1108326B" w14:textId="77777777" w:rsidR="00B6445D" w:rsidRPr="009A633C" w:rsidRDefault="00B6445D" w:rsidP="00B6445D">
      <w:pPr>
        <w:spacing w:after="0" w:line="240" w:lineRule="auto"/>
        <w:rPr>
          <w:rFonts w:ascii="Verdana" w:eastAsia="Aptos" w:hAnsi="Verdana" w:cs="Times New Roman"/>
          <w:sz w:val="20"/>
          <w:szCs w:val="20"/>
        </w:rPr>
      </w:pPr>
    </w:p>
    <w:p w14:paraId="0282F436" w14:textId="77777777" w:rsidR="00B6445D" w:rsidRPr="009A633C" w:rsidRDefault="00B6445D" w:rsidP="00B6445D">
      <w:pPr>
        <w:spacing w:after="0" w:line="240" w:lineRule="auto"/>
        <w:rPr>
          <w:rFonts w:ascii="Verdana" w:eastAsia="Aptos" w:hAnsi="Verdana" w:cs="Times New Roman"/>
          <w:sz w:val="20"/>
          <w:szCs w:val="20"/>
        </w:rPr>
      </w:pPr>
    </w:p>
    <w:p w14:paraId="74DF7E13" w14:textId="77777777" w:rsidR="00B6445D" w:rsidRPr="009A633C" w:rsidRDefault="00B6445D" w:rsidP="00B6445D">
      <w:pPr>
        <w:spacing w:after="0" w:line="240" w:lineRule="auto"/>
        <w:rPr>
          <w:rFonts w:ascii="Verdana" w:eastAsia="Aptos" w:hAnsi="Verdana" w:cs="Times New Roman"/>
          <w:sz w:val="20"/>
          <w:szCs w:val="20"/>
        </w:rPr>
      </w:pPr>
    </w:p>
    <w:p w14:paraId="3CF4A387" w14:textId="77777777" w:rsidR="00B6445D" w:rsidRPr="009A633C" w:rsidRDefault="00B6445D" w:rsidP="00B6445D">
      <w:pPr>
        <w:spacing w:after="0" w:line="240" w:lineRule="auto"/>
        <w:rPr>
          <w:rFonts w:ascii="Verdana" w:eastAsia="Aptos" w:hAnsi="Verdana" w:cs="Times New Roman"/>
          <w:sz w:val="20"/>
          <w:szCs w:val="20"/>
        </w:rPr>
      </w:pPr>
    </w:p>
    <w:p w14:paraId="10324FEE" w14:textId="77777777" w:rsidR="00B6445D" w:rsidRPr="009A633C" w:rsidRDefault="00B6445D" w:rsidP="00B6445D">
      <w:pPr>
        <w:spacing w:after="0" w:line="240" w:lineRule="auto"/>
        <w:rPr>
          <w:rFonts w:ascii="Verdana" w:eastAsia="Aptos" w:hAnsi="Verdana" w:cs="Times New Roman"/>
          <w:sz w:val="20"/>
          <w:szCs w:val="20"/>
        </w:rPr>
      </w:pPr>
    </w:p>
    <w:p w14:paraId="753127C9" w14:textId="77777777" w:rsidR="00B6445D" w:rsidRPr="009A633C" w:rsidRDefault="00B6445D" w:rsidP="00B6445D">
      <w:pPr>
        <w:spacing w:after="0" w:line="240" w:lineRule="auto"/>
        <w:rPr>
          <w:rFonts w:ascii="Verdana" w:eastAsia="Aptos" w:hAnsi="Verdana" w:cs="Times New Roman"/>
          <w:sz w:val="20"/>
          <w:szCs w:val="20"/>
        </w:rPr>
      </w:pPr>
    </w:p>
    <w:p w14:paraId="79D05169" w14:textId="77777777" w:rsidR="00B6445D" w:rsidRPr="009A633C" w:rsidRDefault="00B6445D" w:rsidP="00B6445D">
      <w:pPr>
        <w:spacing w:after="0" w:line="240" w:lineRule="auto"/>
        <w:rPr>
          <w:rFonts w:ascii="Verdana" w:eastAsia="Aptos" w:hAnsi="Verdana" w:cs="Times New Roman"/>
          <w:sz w:val="20"/>
          <w:szCs w:val="20"/>
        </w:rPr>
      </w:pPr>
    </w:p>
    <w:p w14:paraId="47D0320A" w14:textId="77777777" w:rsidR="00B6445D" w:rsidRPr="009A633C" w:rsidRDefault="00B6445D" w:rsidP="00B6445D">
      <w:pPr>
        <w:spacing w:after="0" w:line="240" w:lineRule="auto"/>
        <w:rPr>
          <w:rFonts w:ascii="Verdana" w:eastAsia="Aptos" w:hAnsi="Verdana" w:cs="Times New Roman"/>
          <w:sz w:val="20"/>
          <w:szCs w:val="20"/>
        </w:rPr>
      </w:pPr>
    </w:p>
    <w:p w14:paraId="191C7E14" w14:textId="77777777" w:rsidR="00B6445D" w:rsidRPr="009A633C" w:rsidRDefault="00B6445D" w:rsidP="00B6445D">
      <w:pPr>
        <w:spacing w:after="0" w:line="240" w:lineRule="auto"/>
        <w:rPr>
          <w:rFonts w:ascii="Verdana" w:eastAsia="Aptos" w:hAnsi="Verdana" w:cs="Times New Roman"/>
          <w:sz w:val="20"/>
          <w:szCs w:val="20"/>
        </w:rPr>
      </w:pPr>
    </w:p>
    <w:p w14:paraId="751D93F0" w14:textId="77777777" w:rsidR="00B6445D" w:rsidRPr="009A633C" w:rsidRDefault="00B6445D" w:rsidP="00B6445D">
      <w:pPr>
        <w:spacing w:after="0" w:line="240" w:lineRule="auto"/>
        <w:rPr>
          <w:rFonts w:ascii="Verdana" w:eastAsia="Aptos" w:hAnsi="Verdana" w:cs="Times New Roman"/>
          <w:sz w:val="20"/>
          <w:szCs w:val="20"/>
        </w:rPr>
      </w:pPr>
    </w:p>
    <w:p w14:paraId="0AC153C1" w14:textId="77777777" w:rsidR="00B6445D" w:rsidRPr="009A633C" w:rsidRDefault="00B6445D" w:rsidP="00B6445D">
      <w:pPr>
        <w:spacing w:after="0" w:line="240" w:lineRule="auto"/>
        <w:rPr>
          <w:rFonts w:ascii="Verdana" w:eastAsia="Aptos" w:hAnsi="Verdana" w:cs="Times New Roman"/>
          <w:sz w:val="20"/>
          <w:szCs w:val="20"/>
        </w:rPr>
      </w:pPr>
    </w:p>
    <w:p w14:paraId="341020A7" w14:textId="36BBE302" w:rsidR="00B6445D" w:rsidRPr="009A633C" w:rsidRDefault="00B6445D" w:rsidP="00B6445D">
      <w:pPr>
        <w:spacing w:after="0" w:line="240" w:lineRule="auto"/>
        <w:rPr>
          <w:rFonts w:ascii="Verdana" w:eastAsia="Geomanist Light" w:hAnsi="Verdana" w:cs="Arial"/>
          <w:lang w:val="es-MX"/>
        </w:rPr>
      </w:pPr>
      <w:r w:rsidRPr="009A633C">
        <w:rPr>
          <w:rFonts w:ascii="Verdana" w:eastAsia="Geomanist Light" w:hAnsi="Verdana" w:cs="Arial"/>
          <w:lang w:val="es-MX"/>
        </w:rPr>
        <w:lastRenderedPageBreak/>
        <w:t>Bogotá D.C., </w:t>
      </w:r>
      <w:r w:rsidR="00F1211D">
        <w:rPr>
          <w:rFonts w:ascii="Verdana" w:eastAsia="Geomanist Light" w:hAnsi="Verdana" w:cs="Arial"/>
          <w:lang w:val="es-MX"/>
        </w:rPr>
        <w:t>28 de abril de 2025</w:t>
      </w:r>
    </w:p>
    <w:p w14:paraId="69C17424" w14:textId="77777777" w:rsidR="00B6445D" w:rsidRPr="009A633C" w:rsidRDefault="00B6445D" w:rsidP="00B6445D">
      <w:pPr>
        <w:spacing w:after="0" w:line="240" w:lineRule="auto"/>
        <w:jc w:val="both"/>
        <w:rPr>
          <w:rFonts w:ascii="Verdana" w:eastAsia="Calibri" w:hAnsi="Verdana" w:cs="Arial"/>
          <w:lang w:val="es-ES"/>
        </w:rPr>
      </w:pPr>
    </w:p>
    <w:p w14:paraId="3D91823D" w14:textId="786BA344" w:rsidR="00B6445D" w:rsidRDefault="006022FC" w:rsidP="00B6445D">
      <w:pPr>
        <w:spacing w:after="0" w:line="240" w:lineRule="auto"/>
        <w:jc w:val="right"/>
        <w:rPr>
          <w:rFonts w:ascii="Verdana" w:eastAsia="Calibri" w:hAnsi="Verdana" w:cs="Arial"/>
          <w:lang w:val="es-ES"/>
        </w:rPr>
      </w:pPr>
      <w:r w:rsidRPr="006022FC">
        <w:rPr>
          <w:rFonts w:ascii="Verdana" w:eastAsia="Calibri" w:hAnsi="Verdana" w:cs="Arial"/>
          <w:lang w:val="es-ES"/>
        </w:rPr>
        <w:drawing>
          <wp:inline distT="0" distB="0" distL="0" distR="0" wp14:anchorId="5463577F" wp14:editId="02207D48">
            <wp:extent cx="2419688" cy="666843"/>
            <wp:effectExtent l="0" t="0" r="0" b="0"/>
            <wp:docPr id="457658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65841" name=""/>
                    <pic:cNvPicPr/>
                  </pic:nvPicPr>
                  <pic:blipFill>
                    <a:blip r:embed="rId10"/>
                    <a:stretch>
                      <a:fillRect/>
                    </a:stretch>
                  </pic:blipFill>
                  <pic:spPr>
                    <a:xfrm>
                      <a:off x="0" y="0"/>
                      <a:ext cx="2419688" cy="666843"/>
                    </a:xfrm>
                    <a:prstGeom prst="rect">
                      <a:avLst/>
                    </a:prstGeom>
                  </pic:spPr>
                </pic:pic>
              </a:graphicData>
            </a:graphic>
          </wp:inline>
        </w:drawing>
      </w:r>
    </w:p>
    <w:p w14:paraId="00866725" w14:textId="77777777" w:rsidR="00A20230" w:rsidRPr="009A633C" w:rsidRDefault="00A20230" w:rsidP="00B6445D">
      <w:pPr>
        <w:spacing w:after="0" w:line="240" w:lineRule="auto"/>
        <w:jc w:val="right"/>
        <w:rPr>
          <w:rFonts w:ascii="Verdana" w:eastAsia="Calibri" w:hAnsi="Verdana" w:cs="Arial"/>
          <w:lang w:val="es-ES"/>
        </w:rPr>
      </w:pPr>
    </w:p>
    <w:p w14:paraId="123E2CFD" w14:textId="77777777" w:rsidR="00B6445D" w:rsidRPr="009A633C" w:rsidRDefault="00B6445D" w:rsidP="00B6445D">
      <w:pPr>
        <w:spacing w:after="0" w:line="240" w:lineRule="auto"/>
        <w:jc w:val="both"/>
        <w:rPr>
          <w:rFonts w:ascii="Verdana" w:eastAsia="Calibri" w:hAnsi="Verdana" w:cs="Arial"/>
          <w:lang w:val="es-ES" w:eastAsia="es-ES"/>
        </w:rPr>
      </w:pPr>
      <w:r w:rsidRPr="009A633C">
        <w:rPr>
          <w:rFonts w:ascii="Verdana" w:eastAsia="Calibri" w:hAnsi="Verdana" w:cs="Arial"/>
          <w:lang w:val="es-ES" w:eastAsia="es-ES"/>
        </w:rPr>
        <w:t>Señora</w:t>
      </w:r>
    </w:p>
    <w:p w14:paraId="76509CAE" w14:textId="77777777" w:rsidR="00B6445D" w:rsidRPr="009A633C" w:rsidRDefault="00B6445D" w:rsidP="00B6445D">
      <w:pPr>
        <w:spacing w:after="0" w:line="240" w:lineRule="auto"/>
        <w:rPr>
          <w:rFonts w:ascii="Verdana" w:eastAsia="Calibri" w:hAnsi="Verdana" w:cs="Arial"/>
          <w:b/>
          <w:lang w:val="es-ES" w:eastAsia="es-ES"/>
        </w:rPr>
      </w:pPr>
      <w:r w:rsidRPr="009A633C">
        <w:rPr>
          <w:rFonts w:ascii="Verdana" w:eastAsia="Calibri" w:hAnsi="Verdana" w:cs="Arial"/>
          <w:b/>
          <w:lang w:val="es-ES" w:eastAsia="es-ES"/>
        </w:rPr>
        <w:t>Camila Andrea Ortiz Gómez</w:t>
      </w:r>
    </w:p>
    <w:p w14:paraId="0D97B6F3" w14:textId="77777777" w:rsidR="00B6445D" w:rsidRPr="009A633C" w:rsidRDefault="00B6445D" w:rsidP="00B6445D">
      <w:pPr>
        <w:spacing w:after="0" w:line="240" w:lineRule="auto"/>
        <w:rPr>
          <w:rFonts w:ascii="Verdana" w:eastAsia="Aptos" w:hAnsi="Verdana" w:cs="Times New Roman"/>
        </w:rPr>
      </w:pPr>
      <w:hyperlink r:id="rId11" w:history="1">
        <w:r w:rsidRPr="009A633C">
          <w:rPr>
            <w:rFonts w:ascii="Verdana" w:eastAsia="Aptos" w:hAnsi="Verdana" w:cs="Times New Roman"/>
            <w:color w:val="0000FF"/>
            <w:u w:val="single"/>
            <w:lang w:val="es-MX"/>
          </w:rPr>
          <w:t>camila.ortiz@global-pharma.com.co</w:t>
        </w:r>
      </w:hyperlink>
      <w:r w:rsidRPr="009A633C">
        <w:rPr>
          <w:rFonts w:ascii="Verdana" w:eastAsia="Aptos" w:hAnsi="Verdana" w:cs="Times New Roman"/>
        </w:rPr>
        <w:t xml:space="preserve"> </w:t>
      </w:r>
    </w:p>
    <w:p w14:paraId="105245F2" w14:textId="77777777" w:rsidR="00B6445D" w:rsidRPr="009A633C" w:rsidRDefault="00B6445D" w:rsidP="00B6445D">
      <w:pPr>
        <w:spacing w:after="0" w:line="240" w:lineRule="auto"/>
        <w:rPr>
          <w:rFonts w:ascii="Verdana" w:eastAsia="Calibri" w:hAnsi="Verdana" w:cs="Arial"/>
          <w:b/>
          <w:bCs/>
          <w:lang w:val="es-ES" w:eastAsia="es-ES"/>
        </w:rPr>
      </w:pPr>
      <w:r w:rsidRPr="009A633C">
        <w:rPr>
          <w:rFonts w:ascii="Verdana" w:eastAsia="Calibri" w:hAnsi="Verdana" w:cs="Arial"/>
          <w:lang w:val="es-ES" w:eastAsia="es-ES"/>
        </w:rPr>
        <w:t>Ciudad</w:t>
      </w:r>
    </w:p>
    <w:p w14:paraId="3F521B32" w14:textId="77777777" w:rsidR="00B6445D" w:rsidRPr="009A633C" w:rsidRDefault="00B6445D" w:rsidP="00B6445D">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6445D" w:rsidRPr="009A633C" w14:paraId="71E08E07" w14:textId="77777777" w:rsidTr="00B6445D">
        <w:trPr>
          <w:trHeight w:val="884"/>
        </w:trPr>
        <w:tc>
          <w:tcPr>
            <w:tcW w:w="2689" w:type="dxa"/>
          </w:tcPr>
          <w:p w14:paraId="7314C9F1" w14:textId="77777777" w:rsidR="00B6445D" w:rsidRPr="009A633C" w:rsidRDefault="00B6445D" w:rsidP="00B6445D">
            <w:pPr>
              <w:jc w:val="both"/>
              <w:rPr>
                <w:rFonts w:ascii="Verdana" w:eastAsia="Calibri" w:hAnsi="Verdana" w:cs="Arial"/>
                <w:b/>
                <w:bCs/>
                <w:lang w:val="es-ES_tradnl" w:eastAsia="es-ES_tradnl"/>
              </w:rPr>
            </w:pPr>
          </w:p>
        </w:tc>
        <w:tc>
          <w:tcPr>
            <w:tcW w:w="6100" w:type="dxa"/>
          </w:tcPr>
          <w:p w14:paraId="7F942872" w14:textId="77777777" w:rsidR="00B6445D" w:rsidRPr="009A633C" w:rsidRDefault="00B6445D" w:rsidP="00B6445D">
            <w:pPr>
              <w:jc w:val="both"/>
              <w:rPr>
                <w:rFonts w:ascii="Verdana" w:eastAsia="Calibri" w:hAnsi="Verdana" w:cs="Arial"/>
                <w:b/>
                <w:bCs/>
                <w:lang w:val="es-ES" w:eastAsia="es-ES"/>
              </w:rPr>
            </w:pPr>
            <w:r w:rsidRPr="009A633C">
              <w:rPr>
                <w:rFonts w:ascii="Verdana" w:eastAsia="Calibri" w:hAnsi="Verdana" w:cs="Arial"/>
                <w:b/>
                <w:bCs/>
                <w:lang w:val="es-ES" w:eastAsia="es-ES"/>
              </w:rPr>
              <w:t>Concepto C-383 de 2025</w:t>
            </w:r>
          </w:p>
        </w:tc>
      </w:tr>
      <w:tr w:rsidR="00B6445D" w:rsidRPr="009A633C" w14:paraId="59C34C08" w14:textId="77777777" w:rsidTr="00B6445D">
        <w:trPr>
          <w:trHeight w:val="884"/>
        </w:trPr>
        <w:tc>
          <w:tcPr>
            <w:tcW w:w="2689" w:type="dxa"/>
          </w:tcPr>
          <w:p w14:paraId="4EB5A30B" w14:textId="77777777" w:rsidR="00B6445D" w:rsidRPr="009A633C" w:rsidRDefault="00B6445D" w:rsidP="00B6445D">
            <w:pPr>
              <w:jc w:val="both"/>
              <w:rPr>
                <w:rFonts w:ascii="Verdana" w:eastAsia="Calibri" w:hAnsi="Verdana" w:cs="Arial"/>
                <w:lang w:val="es-ES_tradnl" w:eastAsia="es-ES_tradnl"/>
              </w:rPr>
            </w:pPr>
            <w:r w:rsidRPr="009A633C">
              <w:rPr>
                <w:rFonts w:ascii="Verdana" w:eastAsia="Calibri" w:hAnsi="Verdana" w:cs="Arial"/>
                <w:b/>
                <w:lang w:val="es-ES_tradnl" w:eastAsia="es-ES_tradnl"/>
              </w:rPr>
              <w:t>Temas:</w:t>
            </w:r>
            <w:r w:rsidRPr="009A633C">
              <w:rPr>
                <w:rFonts w:ascii="Verdana" w:eastAsia="Calibri" w:hAnsi="Verdana" w:cs="Arial"/>
                <w:lang w:val="es-ES_tradnl" w:eastAsia="es-ES_tradnl"/>
              </w:rPr>
              <w:t xml:space="preserve">                   </w:t>
            </w:r>
          </w:p>
        </w:tc>
        <w:tc>
          <w:tcPr>
            <w:tcW w:w="6100" w:type="dxa"/>
          </w:tcPr>
          <w:p w14:paraId="293CCA9E" w14:textId="77777777" w:rsidR="00B6445D" w:rsidRPr="009A633C" w:rsidRDefault="00B6445D" w:rsidP="00B6445D">
            <w:pPr>
              <w:spacing w:line="276" w:lineRule="auto"/>
              <w:jc w:val="both"/>
              <w:rPr>
                <w:rFonts w:ascii="Verdana" w:eastAsia="Calibri" w:hAnsi="Verdana" w:cs="Arial"/>
                <w:lang w:val="es-ES" w:eastAsia="es-ES"/>
              </w:rPr>
            </w:pPr>
            <w:r w:rsidRPr="09D4D9A7">
              <w:rPr>
                <w:rFonts w:ascii="Verdana" w:eastAsia="Calibri" w:hAnsi="Verdana" w:cs="Arial"/>
                <w:lang w:val="es-ES" w:eastAsia="es-ES"/>
              </w:rPr>
              <w:t>CONTRATACIÓN DIRECTA – Pluralidad de oferentes – Ausencia – Dos eventos / CONTRATACIÓN DIRECTA – Pluralidad de oferentes – Ausencia – Proveedor exclusivo – Alcance / CONTRATACIÓN DIRECTA – Pluralidad de oferentes – Ausencia – Proveedor exclusivo - Interpretación estricta</w:t>
            </w:r>
          </w:p>
          <w:p w14:paraId="1C35DF46" w14:textId="77777777" w:rsidR="00B6445D" w:rsidRPr="009A633C" w:rsidRDefault="00B6445D" w:rsidP="00B6445D">
            <w:pPr>
              <w:spacing w:line="276" w:lineRule="auto"/>
              <w:jc w:val="both"/>
              <w:rPr>
                <w:rFonts w:ascii="Verdana" w:eastAsia="Calibri" w:hAnsi="Verdana" w:cs="Arial"/>
                <w:lang w:val="es-ES" w:eastAsia="es-ES"/>
              </w:rPr>
            </w:pPr>
          </w:p>
        </w:tc>
      </w:tr>
      <w:tr w:rsidR="00B6445D" w:rsidRPr="009A633C" w14:paraId="65BF606C" w14:textId="77777777" w:rsidTr="00B6445D">
        <w:tc>
          <w:tcPr>
            <w:tcW w:w="2689" w:type="dxa"/>
          </w:tcPr>
          <w:p w14:paraId="3448B350" w14:textId="77777777" w:rsidR="00B6445D" w:rsidRPr="009A633C" w:rsidRDefault="00B6445D" w:rsidP="00B6445D">
            <w:pPr>
              <w:jc w:val="both"/>
              <w:rPr>
                <w:rFonts w:ascii="Verdana" w:eastAsia="Calibri" w:hAnsi="Verdana" w:cs="Arial"/>
                <w:b/>
                <w:lang w:val="es-ES_tradnl" w:eastAsia="es-ES_tradnl"/>
              </w:rPr>
            </w:pPr>
            <w:r w:rsidRPr="009A633C">
              <w:rPr>
                <w:rFonts w:ascii="Verdana" w:eastAsia="Calibri" w:hAnsi="Verdana" w:cs="Arial"/>
                <w:b/>
                <w:lang w:val="es-ES_tradnl" w:eastAsia="es-ES_tradnl"/>
              </w:rPr>
              <w:t>Radicación:</w:t>
            </w:r>
            <w:r w:rsidRPr="009A633C">
              <w:rPr>
                <w:rFonts w:ascii="Verdana" w:eastAsia="Calibri" w:hAnsi="Verdana" w:cs="Arial"/>
                <w:lang w:val="es-ES_tradnl" w:eastAsia="es-ES_tradnl"/>
              </w:rPr>
              <w:t xml:space="preserve">               </w:t>
            </w:r>
          </w:p>
        </w:tc>
        <w:tc>
          <w:tcPr>
            <w:tcW w:w="6100" w:type="dxa"/>
          </w:tcPr>
          <w:p w14:paraId="6413C6D2" w14:textId="77777777" w:rsidR="00B6445D" w:rsidRPr="009A633C" w:rsidRDefault="00B6445D" w:rsidP="00B6445D">
            <w:pPr>
              <w:jc w:val="both"/>
              <w:rPr>
                <w:rFonts w:ascii="Verdana" w:eastAsia="Calibri" w:hAnsi="Verdana" w:cs="Arial"/>
                <w:lang w:val="es-ES_tradnl" w:eastAsia="es-ES_tradnl"/>
              </w:rPr>
            </w:pPr>
            <w:r w:rsidRPr="009A633C">
              <w:rPr>
                <w:rFonts w:ascii="Verdana" w:eastAsia="Calibri" w:hAnsi="Verdana" w:cs="Arial"/>
                <w:lang w:val="es-ES_tradnl" w:eastAsia="es-ES_tradnl"/>
              </w:rPr>
              <w:t>Respuesta a consulta con radicado No.  P20250325002872</w:t>
            </w:r>
          </w:p>
        </w:tc>
      </w:tr>
    </w:tbl>
    <w:p w14:paraId="79E2EBEB" w14:textId="77777777" w:rsidR="00B6445D" w:rsidRPr="009A633C" w:rsidRDefault="00B6445D" w:rsidP="00B6445D">
      <w:pPr>
        <w:spacing w:after="0" w:line="240" w:lineRule="auto"/>
        <w:jc w:val="both"/>
        <w:rPr>
          <w:rFonts w:ascii="Verdana" w:eastAsia="Calibri" w:hAnsi="Verdana" w:cs="Arial"/>
          <w:lang w:val="es-ES_tradnl" w:eastAsia="es-ES_tradnl"/>
        </w:rPr>
      </w:pPr>
    </w:p>
    <w:p w14:paraId="11818AAA" w14:textId="77777777" w:rsidR="00B6445D" w:rsidRPr="009A633C" w:rsidRDefault="00B6445D" w:rsidP="00B6445D">
      <w:pPr>
        <w:spacing w:after="0" w:line="240" w:lineRule="auto"/>
        <w:jc w:val="both"/>
        <w:rPr>
          <w:rFonts w:ascii="Verdana" w:eastAsia="Calibri" w:hAnsi="Verdana" w:cs="Arial"/>
          <w:lang w:val="es-ES_tradnl" w:eastAsia="es-ES_tradnl"/>
        </w:rPr>
      </w:pPr>
    </w:p>
    <w:p w14:paraId="31B14BA3" w14:textId="77777777" w:rsidR="00B6445D" w:rsidRPr="009A633C" w:rsidRDefault="00B6445D" w:rsidP="00B6445D">
      <w:pPr>
        <w:spacing w:after="0" w:line="276" w:lineRule="auto"/>
        <w:jc w:val="both"/>
        <w:rPr>
          <w:rFonts w:ascii="Verdana" w:eastAsia="Calibri" w:hAnsi="Verdana" w:cs="Arial"/>
          <w:lang w:val="es-ES" w:eastAsia="es-ES"/>
        </w:rPr>
      </w:pPr>
      <w:r w:rsidRPr="009A633C">
        <w:rPr>
          <w:rFonts w:ascii="Verdana" w:eastAsia="Calibri" w:hAnsi="Verdana" w:cs="Arial"/>
          <w:lang w:val="es-ES" w:eastAsia="es-ES"/>
        </w:rPr>
        <w:t>Estimada señora Ortiz:</w:t>
      </w:r>
    </w:p>
    <w:p w14:paraId="79AF88AC" w14:textId="77777777" w:rsidR="00B6445D" w:rsidRPr="009A633C" w:rsidRDefault="00B6445D" w:rsidP="00B6445D">
      <w:pPr>
        <w:tabs>
          <w:tab w:val="left" w:pos="3768"/>
        </w:tabs>
        <w:spacing w:after="0" w:line="276" w:lineRule="auto"/>
        <w:jc w:val="both"/>
        <w:rPr>
          <w:rFonts w:ascii="Verdana" w:eastAsia="Calibri" w:hAnsi="Verdana" w:cs="Arial"/>
          <w:lang w:val="es-ES" w:eastAsia="es-ES"/>
        </w:rPr>
      </w:pPr>
    </w:p>
    <w:p w14:paraId="5E1B343B" w14:textId="77777777" w:rsidR="00B6445D" w:rsidRPr="009A633C" w:rsidRDefault="00B6445D" w:rsidP="00B6445D">
      <w:pPr>
        <w:spacing w:after="0" w:line="276" w:lineRule="auto"/>
        <w:jc w:val="both"/>
        <w:rPr>
          <w:rFonts w:ascii="Verdana" w:eastAsia="Calibri" w:hAnsi="Verdana" w:cs="Arial"/>
          <w:lang w:val="es-ES" w:eastAsia="es-ES"/>
        </w:rPr>
      </w:pPr>
      <w:r w:rsidRPr="009A633C">
        <w:rPr>
          <w:rFonts w:ascii="Verdana" w:eastAsia="Calibri" w:hAnsi="Verdana" w:cs="Arial"/>
          <w:lang w:val="es-ES" w:eastAsia="es-ES"/>
        </w:rPr>
        <w:t>En ejercicio de la competencia otorgada por los artículos 3, numeral 5º, y 11, numeral 8º, del Decreto Ley 4170 de 2011,</w:t>
      </w:r>
      <w:r w:rsidRPr="009A633C">
        <w:rPr>
          <w:rFonts w:ascii="Verdana" w:eastAsia="Arial MT" w:hAnsi="Verdana" w:cs="Arial MT"/>
          <w:lang w:val="es-ES" w:eastAsia="es-ES"/>
        </w:rPr>
        <w:t xml:space="preserve"> </w:t>
      </w:r>
      <w:r w:rsidRPr="009A633C">
        <w:rPr>
          <w:rFonts w:ascii="Verdana" w:eastAsia="Aptos" w:hAnsi="Verdana" w:cs="Arial"/>
        </w:rPr>
        <w:t xml:space="preserve">así como lo establecido en el artículo 4 de la Resolución 1707 de 2018 expedida por esta Entidad, </w:t>
      </w:r>
      <w:r w:rsidRPr="009A633C">
        <w:rPr>
          <w:rFonts w:ascii="Verdana" w:eastAsia="Calibri" w:hAnsi="Verdana" w:cs="Arial"/>
          <w:lang w:val="es-ES" w:eastAsia="es-ES"/>
        </w:rPr>
        <w:t>la Agencia Nacional de Contratación Pública – Colombia Compra Eficiente– responde su solicitud de petición de fecha del 25 de marzo de 2025, que fue remitida por la Cámara de Comercio de Medellín, mediante correo electrónico del mismo mes y año.</w:t>
      </w:r>
    </w:p>
    <w:p w14:paraId="54AF9E1D" w14:textId="77777777" w:rsidR="00B6445D" w:rsidRPr="009A633C" w:rsidRDefault="00B6445D" w:rsidP="00B6445D">
      <w:pPr>
        <w:spacing w:before="120" w:after="0" w:line="276" w:lineRule="auto"/>
        <w:jc w:val="both"/>
        <w:rPr>
          <w:rFonts w:ascii="Verdana" w:eastAsia="Calibri" w:hAnsi="Verdana" w:cs="Arial"/>
          <w:lang w:val="es-ES" w:eastAsia="es-ES"/>
        </w:rPr>
      </w:pPr>
      <w:r w:rsidRPr="009A633C">
        <w:rPr>
          <w:rFonts w:ascii="Verdana" w:eastAsia="Calibri" w:hAnsi="Verdana" w:cs="Arial"/>
          <w:lang w:val="es-ES" w:eastAsia="es-ES"/>
        </w:rPr>
        <w:tab/>
        <w:t xml:space="preserve">Sin embargo, debe precisarse que esta Agencia mediante Oficio con Radicado No. RS20250401003135 del 01 de abril de 2025, trasladó por competencia sus preguntas 1 y 3 a la Cámara de Comercio de Medellín, por obedecer a un asunto propio de sus funciones, documento este, que se adjunta </w:t>
      </w:r>
      <w:r w:rsidRPr="009A633C">
        <w:rPr>
          <w:rFonts w:ascii="Verdana" w:eastAsia="Calibri" w:hAnsi="Verdana" w:cs="Arial"/>
          <w:lang w:val="es-ES" w:eastAsia="es-ES"/>
        </w:rPr>
        <w:lastRenderedPageBreak/>
        <w:t xml:space="preserve">al presente concepto. En ese sentido, le informamos que esta entidad se manifestará sobre su pregunta número 2, en la que consulta lo siguiente: </w:t>
      </w:r>
    </w:p>
    <w:p w14:paraId="7051A0D7" w14:textId="77777777" w:rsidR="00B6445D" w:rsidRPr="009A633C" w:rsidRDefault="00B6445D" w:rsidP="00B6445D">
      <w:pPr>
        <w:tabs>
          <w:tab w:val="left" w:pos="142"/>
          <w:tab w:val="left" w:pos="284"/>
        </w:tabs>
        <w:spacing w:after="0" w:line="240" w:lineRule="auto"/>
        <w:contextualSpacing/>
        <w:jc w:val="both"/>
        <w:rPr>
          <w:rFonts w:ascii="Verdana" w:eastAsia="Century Gothic" w:hAnsi="Verdana" w:cs="Century Gothic"/>
          <w:b/>
          <w:bCs/>
          <w:sz w:val="20"/>
          <w:szCs w:val="20"/>
          <w:lang w:val="es-ES"/>
        </w:rPr>
      </w:pPr>
    </w:p>
    <w:p w14:paraId="06943DF0" w14:textId="77777777" w:rsidR="00B6445D" w:rsidRPr="009A633C" w:rsidRDefault="00B6445D" w:rsidP="00B6445D">
      <w:pPr>
        <w:tabs>
          <w:tab w:val="left" w:pos="709"/>
        </w:tabs>
        <w:spacing w:after="0" w:line="240" w:lineRule="auto"/>
        <w:ind w:left="709" w:right="709"/>
        <w:jc w:val="both"/>
        <w:rPr>
          <w:rFonts w:ascii="Verdana" w:eastAsia="Calibri" w:hAnsi="Verdana" w:cs="Arial"/>
          <w:sz w:val="21"/>
          <w:szCs w:val="21"/>
          <w:lang w:val="es-MX"/>
        </w:rPr>
      </w:pPr>
      <w:r w:rsidRPr="009A633C">
        <w:rPr>
          <w:rFonts w:ascii="Verdana" w:eastAsia="Calibri" w:hAnsi="Verdana" w:cs="Arial"/>
          <w:sz w:val="21"/>
          <w:szCs w:val="21"/>
          <w:lang w:val="es-MX"/>
        </w:rPr>
        <w:t>“Nos dirigimos a ustedes para solicitar una aclaración sobre los requisitos para contratación directa con entidades del Estado, específicamente en cuanto al reconocimiento de la exclusividad en la venta de productos de una marca, cuando una empresa tiene, certificado por el fabricante, los derechos exclusivos para importar y comercializar dichos productos.</w:t>
      </w:r>
    </w:p>
    <w:p w14:paraId="0018CDF9" w14:textId="77777777" w:rsidR="00B6445D" w:rsidRPr="009A633C" w:rsidRDefault="00B6445D" w:rsidP="00B6445D">
      <w:pPr>
        <w:tabs>
          <w:tab w:val="left" w:pos="709"/>
        </w:tabs>
        <w:spacing w:before="120" w:after="0" w:line="240" w:lineRule="auto"/>
        <w:ind w:left="709" w:right="709"/>
        <w:jc w:val="both"/>
        <w:rPr>
          <w:rFonts w:ascii="Verdana" w:eastAsia="Calibri" w:hAnsi="Verdana" w:cs="Arial"/>
          <w:sz w:val="21"/>
          <w:szCs w:val="21"/>
          <w:lang w:val="es-MX"/>
        </w:rPr>
      </w:pPr>
      <w:r w:rsidRPr="009A633C">
        <w:rPr>
          <w:rFonts w:ascii="Verdana" w:eastAsia="Calibri" w:hAnsi="Verdana" w:cs="Arial"/>
          <w:sz w:val="21"/>
          <w:szCs w:val="21"/>
          <w:lang w:val="es-MX"/>
        </w:rPr>
        <w:t>Entendemos que, según la Ley 1150 de 2007, la contratación directa solo es posible en casos específicos establecidos por la normativa. Sin embargo, tenemos la inquietud de si las Cámaras de Comercio validan o certifican la exclusividad en la venta de productos de marcas, especialmente cuando se poseen los derechos exclusivos de distribución, con el fin de justificar una contratación con el Estado.</w:t>
      </w:r>
    </w:p>
    <w:p w14:paraId="52A27C42" w14:textId="77777777" w:rsidR="00B6445D" w:rsidRPr="009A633C" w:rsidRDefault="00B6445D" w:rsidP="00B6445D">
      <w:pPr>
        <w:tabs>
          <w:tab w:val="left" w:pos="709"/>
        </w:tabs>
        <w:spacing w:before="120" w:after="0" w:line="240" w:lineRule="auto"/>
        <w:ind w:left="709" w:right="709"/>
        <w:jc w:val="both"/>
        <w:rPr>
          <w:rFonts w:ascii="Verdana" w:eastAsia="Calibri" w:hAnsi="Verdana" w:cs="Arial"/>
          <w:sz w:val="21"/>
          <w:szCs w:val="21"/>
          <w:lang w:val="es-MX"/>
        </w:rPr>
      </w:pPr>
      <w:r w:rsidRPr="009A633C">
        <w:rPr>
          <w:rFonts w:ascii="Verdana" w:eastAsia="Calibri" w:hAnsi="Verdana" w:cs="Arial"/>
          <w:sz w:val="21"/>
          <w:szCs w:val="21"/>
          <w:lang w:val="es-MX"/>
        </w:rPr>
        <w:t>Por lo anterior, solicitamos su orientación en los siguientes puntos:</w:t>
      </w:r>
    </w:p>
    <w:p w14:paraId="3E85CFA9" w14:textId="77777777" w:rsidR="00B6445D" w:rsidRPr="009A633C" w:rsidRDefault="00B6445D" w:rsidP="00B6445D">
      <w:pPr>
        <w:tabs>
          <w:tab w:val="left" w:pos="709"/>
        </w:tabs>
        <w:spacing w:before="120" w:after="0" w:line="240" w:lineRule="auto"/>
        <w:ind w:left="709" w:right="709"/>
        <w:jc w:val="both"/>
        <w:rPr>
          <w:rFonts w:ascii="Verdana" w:eastAsia="Calibri" w:hAnsi="Verdana" w:cs="Arial"/>
          <w:sz w:val="21"/>
          <w:szCs w:val="21"/>
          <w:lang w:val="es-MX"/>
        </w:rPr>
      </w:pPr>
      <w:r w:rsidRPr="009A633C">
        <w:rPr>
          <w:rFonts w:ascii="Verdana" w:eastAsia="Calibri" w:hAnsi="Verdana" w:cs="Arial"/>
          <w:sz w:val="21"/>
          <w:szCs w:val="21"/>
          <w:lang w:val="es-MX"/>
        </w:rPr>
        <w:t>[…]</w:t>
      </w:r>
    </w:p>
    <w:p w14:paraId="2E7C6C26" w14:textId="77777777" w:rsidR="00B6445D" w:rsidRPr="009A633C" w:rsidRDefault="00B6445D" w:rsidP="00B6445D">
      <w:pPr>
        <w:tabs>
          <w:tab w:val="left" w:pos="709"/>
        </w:tabs>
        <w:spacing w:before="120" w:after="0" w:line="240" w:lineRule="auto"/>
        <w:ind w:left="709" w:right="709"/>
        <w:jc w:val="both"/>
        <w:rPr>
          <w:rFonts w:ascii="Verdana" w:eastAsia="Calibri" w:hAnsi="Verdana" w:cs="Arial"/>
          <w:sz w:val="21"/>
          <w:szCs w:val="21"/>
          <w:lang w:val="es-MX"/>
        </w:rPr>
      </w:pPr>
      <w:r w:rsidRPr="009A633C">
        <w:rPr>
          <w:rFonts w:ascii="Verdana" w:eastAsia="Calibri" w:hAnsi="Verdana" w:cs="Arial"/>
          <w:sz w:val="21"/>
          <w:szCs w:val="21"/>
          <w:lang w:val="es-MX"/>
        </w:rPr>
        <w:t>¿cuáles son las condiciones o requisitos específicos para que dicha exclusividad sea reconocida en la contratación pública?</w:t>
      </w:r>
    </w:p>
    <w:p w14:paraId="764DBAE7" w14:textId="77777777" w:rsidR="00B6445D" w:rsidRPr="009A633C" w:rsidRDefault="00B6445D" w:rsidP="00B6445D">
      <w:pPr>
        <w:tabs>
          <w:tab w:val="left" w:pos="709"/>
        </w:tabs>
        <w:spacing w:before="120" w:after="0" w:line="240" w:lineRule="auto"/>
        <w:ind w:left="709" w:right="709"/>
        <w:jc w:val="both"/>
        <w:rPr>
          <w:rFonts w:ascii="Verdana" w:eastAsia="Calibri" w:hAnsi="Verdana" w:cs="Arial"/>
          <w:sz w:val="21"/>
          <w:szCs w:val="21"/>
          <w:lang w:val="es-MX"/>
        </w:rPr>
      </w:pPr>
      <w:r w:rsidRPr="009A633C">
        <w:rPr>
          <w:rFonts w:ascii="Verdana" w:eastAsia="Calibri" w:hAnsi="Verdana" w:cs="Arial"/>
          <w:sz w:val="21"/>
          <w:szCs w:val="21"/>
          <w:lang w:val="es-MX"/>
        </w:rPr>
        <w:t>[…]” [sic]</w:t>
      </w:r>
    </w:p>
    <w:p w14:paraId="1F082C9A" w14:textId="77777777" w:rsidR="00B6445D" w:rsidRPr="009A633C" w:rsidRDefault="00B6445D" w:rsidP="00B6445D">
      <w:pPr>
        <w:tabs>
          <w:tab w:val="left" w:pos="142"/>
          <w:tab w:val="left" w:pos="284"/>
        </w:tabs>
        <w:spacing w:line="276" w:lineRule="auto"/>
        <w:contextualSpacing/>
        <w:jc w:val="both"/>
        <w:rPr>
          <w:rFonts w:ascii="Verdana" w:eastAsia="Century Gothic" w:hAnsi="Verdana" w:cs="Century Gothic"/>
          <w:b/>
          <w:bCs/>
          <w:lang w:val="es-ES"/>
        </w:rPr>
      </w:pPr>
    </w:p>
    <w:p w14:paraId="17A3CD04" w14:textId="77777777" w:rsidR="00B6445D" w:rsidRPr="009A633C" w:rsidRDefault="00B6445D" w:rsidP="00B6445D">
      <w:pPr>
        <w:spacing w:after="120" w:line="276" w:lineRule="auto"/>
        <w:ind w:firstLine="709"/>
        <w:jc w:val="both"/>
        <w:rPr>
          <w:rFonts w:ascii="Verdana" w:eastAsia="Calibri" w:hAnsi="Verdana" w:cs="Arial"/>
          <w:szCs w:val="24"/>
          <w:lang w:val="es-ES_tradnl" w:eastAsia="es-ES_tradnl"/>
        </w:rPr>
      </w:pPr>
      <w:r w:rsidRPr="009A633C">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01FCC75B" w14:textId="77777777" w:rsidR="00B6445D" w:rsidRPr="009A633C" w:rsidRDefault="00B6445D" w:rsidP="00B6445D">
      <w:pPr>
        <w:spacing w:after="0" w:line="276" w:lineRule="auto"/>
        <w:ind w:firstLine="709"/>
        <w:jc w:val="both"/>
        <w:rPr>
          <w:rFonts w:ascii="Verdana" w:eastAsia="Calibri" w:hAnsi="Verdana" w:cs="Arial"/>
          <w:lang w:val="es-ES" w:eastAsia="es-ES"/>
        </w:rPr>
      </w:pPr>
      <w:r w:rsidRPr="009A633C">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w:t>
      </w:r>
      <w:r w:rsidRPr="009A633C">
        <w:rPr>
          <w:rFonts w:ascii="Verdana" w:eastAsia="Calibri" w:hAnsi="Verdana" w:cs="Arial"/>
          <w:lang w:val="es-ES" w:eastAsia="es-ES"/>
        </w:rPr>
        <w:lastRenderedPageBreak/>
        <w:t xml:space="preserve">sobre las normas generales relacionadas con los problemas jurídicos de su consulta. </w:t>
      </w:r>
    </w:p>
    <w:p w14:paraId="5978AAAD" w14:textId="77777777" w:rsidR="00B6445D" w:rsidRPr="009A633C" w:rsidRDefault="00B6445D" w:rsidP="00B6445D">
      <w:pPr>
        <w:spacing w:after="0" w:line="276" w:lineRule="auto"/>
        <w:ind w:firstLine="709"/>
        <w:jc w:val="both"/>
        <w:rPr>
          <w:rFonts w:ascii="Verdana" w:eastAsia="Calibri" w:hAnsi="Verdana" w:cs="Arial"/>
          <w:lang w:val="es-ES" w:eastAsia="es-ES"/>
        </w:rPr>
      </w:pPr>
    </w:p>
    <w:p w14:paraId="053886AB" w14:textId="77777777" w:rsidR="00B6445D" w:rsidRPr="009A633C" w:rsidRDefault="00B6445D" w:rsidP="00B6445D">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9A633C">
        <w:rPr>
          <w:rFonts w:ascii="Verdana" w:eastAsia="Arial" w:hAnsi="Verdana" w:cs="Arial"/>
          <w:b/>
          <w:bCs/>
          <w:lang w:val="es-ES"/>
        </w:rPr>
        <w:t>1. Problema planteado:</w:t>
      </w:r>
    </w:p>
    <w:p w14:paraId="6493141A" w14:textId="77777777" w:rsidR="00B6445D" w:rsidRPr="009A633C" w:rsidRDefault="00B6445D" w:rsidP="00B6445D">
      <w:pPr>
        <w:tabs>
          <w:tab w:val="left" w:pos="426"/>
        </w:tabs>
        <w:spacing w:after="0" w:line="276" w:lineRule="auto"/>
        <w:jc w:val="both"/>
        <w:rPr>
          <w:rFonts w:ascii="Verdana" w:eastAsia="Century Gothic" w:hAnsi="Verdana" w:cs="Century Gothic"/>
          <w:lang w:val="es-ES"/>
        </w:rPr>
      </w:pPr>
    </w:p>
    <w:p w14:paraId="79771C4F" w14:textId="77777777" w:rsidR="00B6445D" w:rsidRPr="009A633C" w:rsidRDefault="00B6445D" w:rsidP="00B6445D">
      <w:pPr>
        <w:spacing w:after="0" w:line="276" w:lineRule="auto"/>
        <w:jc w:val="both"/>
        <w:rPr>
          <w:rFonts w:ascii="Verdana" w:eastAsia="Century Gothic" w:hAnsi="Verdana" w:cs="Century Gothic"/>
        </w:rPr>
      </w:pPr>
      <w:r w:rsidRPr="009A633C">
        <w:rPr>
          <w:rFonts w:ascii="Verdana" w:eastAsia="Century Gothic" w:hAnsi="Verdana" w:cs="Century Gothic"/>
        </w:rPr>
        <w:t>De acuerdo con el contenido de su solicitud, le informamos que la misma se resolverá desde los siguientes problemas jurídicos:</w:t>
      </w:r>
      <w:bookmarkStart w:id="0" w:name="_Hlk171070029"/>
      <w:r w:rsidRPr="009A633C">
        <w:rPr>
          <w:rFonts w:ascii="Verdana" w:eastAsia="Century Gothic" w:hAnsi="Verdana" w:cs="Century Gothic"/>
        </w:rPr>
        <w:t xml:space="preserve"> i) ¿a quiénes se les considera como proveedores exclusivos?, y ii) ¿en qué circunstancias puede contratarse directamente con un proveedor exclusivo?</w:t>
      </w:r>
    </w:p>
    <w:p w14:paraId="6985EDFF" w14:textId="77777777" w:rsidR="00B6445D" w:rsidRPr="009A633C" w:rsidRDefault="00B6445D" w:rsidP="00B6445D">
      <w:pPr>
        <w:spacing w:after="0" w:line="276" w:lineRule="auto"/>
        <w:jc w:val="both"/>
        <w:rPr>
          <w:rFonts w:ascii="Verdana" w:eastAsia="Calibri" w:hAnsi="Verdana" w:cs="Arial"/>
          <w:lang w:val="es-ES"/>
        </w:rPr>
      </w:pPr>
    </w:p>
    <w:bookmarkEnd w:id="0"/>
    <w:p w14:paraId="52082DAC" w14:textId="77777777" w:rsidR="00B6445D" w:rsidRPr="009A633C" w:rsidRDefault="00B6445D" w:rsidP="00B6445D">
      <w:pPr>
        <w:widowControl w:val="0"/>
        <w:autoSpaceDE w:val="0"/>
        <w:autoSpaceDN w:val="0"/>
        <w:spacing w:before="1" w:after="0" w:line="240" w:lineRule="auto"/>
        <w:jc w:val="both"/>
        <w:outlineLvl w:val="0"/>
        <w:rPr>
          <w:rFonts w:ascii="Verdana" w:eastAsia="Arial" w:hAnsi="Verdana" w:cs="Arial"/>
          <w:b/>
          <w:bCs/>
          <w:lang w:val="es-ES"/>
        </w:rPr>
      </w:pPr>
      <w:r w:rsidRPr="009A633C">
        <w:rPr>
          <w:rFonts w:ascii="Verdana" w:eastAsia="Arial" w:hAnsi="Verdana" w:cs="Arial"/>
          <w:b/>
          <w:bCs/>
          <w:lang w:val="es-ES"/>
        </w:rPr>
        <w:t>2. Respuesta:</w:t>
      </w:r>
    </w:p>
    <w:p w14:paraId="1ECCF7C1" w14:textId="77777777" w:rsidR="00B6445D" w:rsidRPr="009A633C" w:rsidRDefault="00B6445D" w:rsidP="00B6445D">
      <w:pPr>
        <w:spacing w:after="0"/>
        <w:rPr>
          <w:rFonts w:ascii="Verdana" w:eastAsia="Aptos" w:hAnsi="Verdana" w:cs="Times New Rom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6445D" w:rsidRPr="009A633C" w14:paraId="7524A356" w14:textId="77777777" w:rsidTr="00B6445D">
        <w:tc>
          <w:tcPr>
            <w:tcW w:w="8828" w:type="dxa"/>
            <w:shd w:val="clear" w:color="auto" w:fill="auto"/>
          </w:tcPr>
          <w:p w14:paraId="3849598A" w14:textId="77777777" w:rsidR="00B6445D" w:rsidRPr="009A633C" w:rsidRDefault="00B6445D" w:rsidP="00B6445D">
            <w:pPr>
              <w:spacing w:line="276" w:lineRule="auto"/>
              <w:jc w:val="both"/>
              <w:rPr>
                <w:rFonts w:ascii="Verdana" w:eastAsia="Calibri" w:hAnsi="Verdana" w:cs="Arial"/>
                <w:lang w:val="es-ES"/>
              </w:rPr>
            </w:pPr>
            <w:bookmarkStart w:id="1" w:name="_Hlk171067516"/>
            <w:r w:rsidRPr="009A633C">
              <w:rPr>
                <w:rFonts w:ascii="Verdana" w:eastAsia="Calibri" w:hAnsi="Verdana" w:cs="Arial"/>
                <w:lang w:val="es-ES"/>
              </w:rPr>
              <w:t>i) De manera preliminar, debe precisarse, que en el Estatuto General de Contratación de la Administración Pública –Ley 80 de 1993, Ley 1150 de 2007, Decreto 1082 de 2015 y demás normas que lo adicionan o complementan–, no se definió el término “proveedor exclusivo”. Sin embargo, la Agencia Nacional de Contratación Pública – Colombia Compra Eficiente, considera que el término “proveedor exclusivo”, es empleado cuando existe en el mercado, una sola persona con la capacidad de celebrar el contrato en el territorio nacional.</w:t>
            </w:r>
          </w:p>
          <w:p w14:paraId="70FCE656" w14:textId="77777777" w:rsidR="00B6445D" w:rsidRPr="009A633C" w:rsidRDefault="00B6445D" w:rsidP="00B6445D">
            <w:pPr>
              <w:spacing w:line="276" w:lineRule="auto"/>
              <w:jc w:val="both"/>
              <w:rPr>
                <w:rFonts w:ascii="Verdana" w:eastAsia="Calibri" w:hAnsi="Verdana" w:cs="Arial"/>
                <w:lang w:val="es-ES"/>
              </w:rPr>
            </w:pPr>
          </w:p>
          <w:p w14:paraId="311D5DF7" w14:textId="77777777" w:rsidR="00B6445D" w:rsidRPr="009A633C" w:rsidRDefault="00B6445D" w:rsidP="00B6445D">
            <w:pPr>
              <w:spacing w:line="276" w:lineRule="auto"/>
              <w:jc w:val="both"/>
              <w:rPr>
                <w:rFonts w:ascii="Verdana" w:eastAsia="Calibri" w:hAnsi="Verdana" w:cs="Arial"/>
                <w:lang w:val="es-ES"/>
              </w:rPr>
            </w:pPr>
            <w:r w:rsidRPr="009A633C">
              <w:rPr>
                <w:rFonts w:ascii="Verdana" w:eastAsia="Calibri" w:hAnsi="Verdana" w:cs="Arial"/>
                <w:lang w:val="es-ES"/>
              </w:rPr>
              <w:t>ii) Teniendo en cuenta la interpretación de las normas generales de la materia, la causal de contratación del artículo 2, numeral 4, literal g), de la Ley 1150 de 2007 supone que la inexistencia de pluralidad de oferentes se limita a los dos (2) casos previstos en el 2.2.1.2.1.4.8 del Decreto 1082 de 2015, esto es, cuando sólo una persona puede proveer el bien o servicio por ser titular de los derechos de propiedad industrial o de los derechos de autor; o puede celebrar el contrato por ser proveedor exclusivo en el territorio nacional.</w:t>
            </w:r>
          </w:p>
          <w:p w14:paraId="4EAA95C9" w14:textId="77777777" w:rsidR="00B6445D" w:rsidRPr="009A633C" w:rsidRDefault="00B6445D" w:rsidP="00B6445D">
            <w:pPr>
              <w:spacing w:line="276" w:lineRule="auto"/>
              <w:jc w:val="both"/>
              <w:rPr>
                <w:rFonts w:ascii="Verdana" w:eastAsia="Calibri" w:hAnsi="Verdana" w:cs="Arial"/>
                <w:lang w:val="es-ES"/>
              </w:rPr>
            </w:pPr>
          </w:p>
          <w:p w14:paraId="01411DAF" w14:textId="77777777" w:rsidR="00B6445D" w:rsidRPr="009A633C" w:rsidRDefault="00B6445D" w:rsidP="00B6445D">
            <w:pPr>
              <w:spacing w:line="276" w:lineRule="auto"/>
              <w:jc w:val="both"/>
              <w:rPr>
                <w:rFonts w:ascii="Verdana" w:eastAsia="Calibri" w:hAnsi="Verdana" w:cs="Arial"/>
                <w:lang w:val="es-ES"/>
              </w:rPr>
            </w:pPr>
            <w:r w:rsidRPr="009A633C">
              <w:rPr>
                <w:rFonts w:ascii="Verdana" w:eastAsia="Calibri" w:hAnsi="Verdana" w:cs="Arial"/>
                <w:lang w:val="es-ES"/>
              </w:rPr>
              <w:t>En este contexto, la presencia de un proveedor exclusivo supone una barrera de entrada para otros posibles oferentes, por lo que no es posible aplicar el principio de concurrencia. Sin embargo, para la aplicación de la causal de contratación directa, la exclusividad del proveedor debe cubrir el territorio nacional, pues –por ejemplo– si se limita a un municipio o un departamento es posible encontrar bienes y servicios similares o sustitutos en otros lugares del país, por lo que es necesario aplicar procedimientos de selección que permitan la pluralidad de oferentes.</w:t>
            </w:r>
          </w:p>
          <w:p w14:paraId="3A1C7800" w14:textId="77777777" w:rsidR="00B6445D" w:rsidRPr="009A633C" w:rsidRDefault="00B6445D" w:rsidP="00B6445D">
            <w:pPr>
              <w:spacing w:line="276" w:lineRule="auto"/>
              <w:jc w:val="both"/>
              <w:rPr>
                <w:rFonts w:ascii="Verdana" w:eastAsia="Calibri" w:hAnsi="Verdana" w:cs="Arial"/>
                <w:lang w:val="es-ES"/>
              </w:rPr>
            </w:pPr>
          </w:p>
          <w:p w14:paraId="71345F08" w14:textId="77777777" w:rsidR="00B6445D" w:rsidRPr="009A633C" w:rsidRDefault="00B6445D" w:rsidP="00B6445D">
            <w:pPr>
              <w:spacing w:line="276" w:lineRule="auto"/>
              <w:jc w:val="both"/>
              <w:rPr>
                <w:rFonts w:ascii="Verdana" w:eastAsia="Calibri" w:hAnsi="Verdana" w:cs="Arial"/>
                <w:lang w:val="es-ES"/>
              </w:rPr>
            </w:pPr>
            <w:r w:rsidRPr="009A633C">
              <w:rPr>
                <w:rFonts w:ascii="Verdana" w:eastAsia="Calibri" w:hAnsi="Verdana" w:cs="Arial"/>
                <w:lang w:val="es-ES"/>
              </w:rPr>
              <w:t>Finalmente se precisa, que el análisis requerido para resolver problemas específicos en torno a las condiciones y/o requisitos para que se reconozca la exclusividad en los productos que oferte un proveedor, debe realizarse por quienes tengan interés en ello, de acuerdo con el marco jurídico aplicable previamente explicado. Por lo anterior, previo concepto de sus asesores, la solución de situaciones particulares, corresponderá a los interesados de adoptar la decisión correspondiente y, en caso de conflicto, a las autoridades judiciales, fiscales y disciplinarias. Así, cada entidad definirá la forma de adelantar su gestión contractual, sin que sea atribución de Colombia Compra Eficiente validar sus actuaciones.</w:t>
            </w:r>
          </w:p>
          <w:p w14:paraId="012EA2B5" w14:textId="77777777" w:rsidR="00B6445D" w:rsidRPr="009A633C" w:rsidRDefault="00B6445D" w:rsidP="00B6445D">
            <w:pPr>
              <w:spacing w:line="276" w:lineRule="auto"/>
              <w:jc w:val="both"/>
              <w:rPr>
                <w:rFonts w:ascii="Verdana" w:eastAsia="Calibri" w:hAnsi="Verdana" w:cs="Arial"/>
                <w:lang w:val="es-ES"/>
              </w:rPr>
            </w:pPr>
          </w:p>
        </w:tc>
      </w:tr>
      <w:bookmarkEnd w:id="1"/>
    </w:tbl>
    <w:p w14:paraId="199B132E" w14:textId="77777777" w:rsidR="00B6445D" w:rsidRPr="009A633C" w:rsidRDefault="00B6445D" w:rsidP="00B6445D">
      <w:pPr>
        <w:widowControl w:val="0"/>
        <w:autoSpaceDE w:val="0"/>
        <w:autoSpaceDN w:val="0"/>
        <w:spacing w:before="1" w:after="0" w:line="240" w:lineRule="auto"/>
        <w:ind w:left="360" w:hanging="360"/>
        <w:outlineLvl w:val="0"/>
        <w:rPr>
          <w:rFonts w:ascii="Verdana" w:eastAsia="Arial" w:hAnsi="Verdana" w:cs="Arial"/>
          <w:b/>
          <w:bCs/>
          <w:lang w:val="es-ES"/>
        </w:rPr>
      </w:pPr>
    </w:p>
    <w:p w14:paraId="6D3B912B" w14:textId="77777777" w:rsidR="00B6445D" w:rsidRPr="009A633C" w:rsidRDefault="00B6445D" w:rsidP="00B6445D">
      <w:pPr>
        <w:widowControl w:val="0"/>
        <w:autoSpaceDE w:val="0"/>
        <w:autoSpaceDN w:val="0"/>
        <w:spacing w:before="1" w:after="0" w:line="240" w:lineRule="auto"/>
        <w:ind w:left="360" w:hanging="360"/>
        <w:outlineLvl w:val="0"/>
        <w:rPr>
          <w:rFonts w:ascii="Verdana" w:eastAsia="Arial" w:hAnsi="Verdana" w:cs="Arial"/>
          <w:b/>
          <w:bCs/>
          <w:lang w:val="es-ES"/>
        </w:rPr>
      </w:pPr>
      <w:r w:rsidRPr="009A633C">
        <w:rPr>
          <w:rFonts w:ascii="Verdana" w:eastAsia="Arial" w:hAnsi="Verdana" w:cs="Arial"/>
          <w:b/>
          <w:bCs/>
          <w:lang w:val="es-ES"/>
        </w:rPr>
        <w:t>3. Razones de la respuesta</w:t>
      </w:r>
    </w:p>
    <w:p w14:paraId="213D0713" w14:textId="77777777" w:rsidR="00B6445D" w:rsidRPr="009A633C" w:rsidRDefault="00B6445D" w:rsidP="00B6445D">
      <w:pPr>
        <w:spacing w:after="0" w:line="276" w:lineRule="auto"/>
        <w:jc w:val="both"/>
        <w:rPr>
          <w:rFonts w:ascii="Verdana" w:eastAsia="Calibri" w:hAnsi="Verdana" w:cs="Arial"/>
          <w:lang w:val="es-ES"/>
        </w:rPr>
      </w:pPr>
    </w:p>
    <w:p w14:paraId="3D451F79" w14:textId="77777777" w:rsidR="00B6445D" w:rsidRPr="009A633C" w:rsidRDefault="00B6445D" w:rsidP="00B6445D">
      <w:pPr>
        <w:spacing w:after="0" w:line="276" w:lineRule="auto"/>
        <w:jc w:val="both"/>
        <w:rPr>
          <w:rFonts w:ascii="Verdana" w:eastAsia="Calibri" w:hAnsi="Verdana" w:cs="Arial"/>
          <w:lang w:val="es-ES"/>
        </w:rPr>
      </w:pPr>
      <w:r w:rsidRPr="009A633C">
        <w:rPr>
          <w:rFonts w:ascii="Verdana" w:eastAsia="Calibri" w:hAnsi="Verdana" w:cs="Arial"/>
          <w:lang w:val="es-ES"/>
        </w:rPr>
        <w:t xml:space="preserve">Las respuestas anteriores se sustentan en las siguientes consideraciones: </w:t>
      </w:r>
    </w:p>
    <w:p w14:paraId="1FD527F2" w14:textId="77777777" w:rsidR="00B6445D" w:rsidRPr="009A633C" w:rsidRDefault="00B6445D" w:rsidP="00B6445D">
      <w:pPr>
        <w:spacing w:after="0" w:line="276" w:lineRule="auto"/>
        <w:contextualSpacing/>
        <w:jc w:val="both"/>
        <w:rPr>
          <w:rFonts w:ascii="Verdana" w:eastAsia="Calibri" w:hAnsi="Verdana" w:cs="Arial"/>
          <w:lang w:val="es-ES"/>
        </w:rPr>
      </w:pPr>
    </w:p>
    <w:p w14:paraId="4F6A313A" w14:textId="77777777" w:rsidR="00B6445D" w:rsidRPr="009A633C" w:rsidRDefault="00B6445D" w:rsidP="00B6445D">
      <w:pPr>
        <w:numPr>
          <w:ilvl w:val="0"/>
          <w:numId w:val="2"/>
        </w:numPr>
        <w:spacing w:after="120" w:line="276" w:lineRule="auto"/>
        <w:contextualSpacing/>
        <w:jc w:val="both"/>
        <w:rPr>
          <w:rFonts w:ascii="Verdana" w:eastAsia="Aptos" w:hAnsi="Verdana" w:cs="Arial"/>
          <w:color w:val="000000"/>
        </w:rPr>
      </w:pPr>
      <w:bookmarkStart w:id="2" w:name="_Hlk45531972"/>
      <w:bookmarkStart w:id="3" w:name="_Hlk173311098"/>
      <w:r w:rsidRPr="009A633C">
        <w:rPr>
          <w:rFonts w:ascii="Verdana" w:eastAsia="Aptos" w:hAnsi="Verdana" w:cs="Arial"/>
          <w:color w:val="000000"/>
        </w:rPr>
        <w:t>Si bien la licitación pública es la modalidad de selección que constituye la regla general para las entidades regidas por el Estatuto General de Contratación de la Administración Pública, el artículo 2, numeral 4, de la Ley 1150 de 2007 consagra algunas excepciones, que atienden a la necesidad de proteger principios como la eficiencia, la eficacia, la economía, la celeridad o la integridad de las personas. Una de las excepciones es la causal de contratación directa prevista en el literal g) del mencionado numeral que se refiere a la ausencia de pluralidad de oferentes.</w:t>
      </w:r>
      <w:bookmarkEnd w:id="2"/>
    </w:p>
    <w:p w14:paraId="37EF4E65" w14:textId="77777777" w:rsidR="00B6445D" w:rsidRPr="009A633C" w:rsidRDefault="00B6445D" w:rsidP="00B6445D">
      <w:pPr>
        <w:spacing w:after="0" w:line="276" w:lineRule="auto"/>
        <w:ind w:left="720"/>
        <w:contextualSpacing/>
        <w:jc w:val="both"/>
        <w:rPr>
          <w:rFonts w:ascii="Verdana" w:eastAsia="Aptos" w:hAnsi="Verdana" w:cs="Arial"/>
          <w:lang w:val="es-ES_tradnl" w:eastAsia="es-MX"/>
        </w:rPr>
      </w:pPr>
    </w:p>
    <w:p w14:paraId="729F47BD" w14:textId="77777777" w:rsidR="00B6445D" w:rsidRPr="009A633C" w:rsidRDefault="00B6445D" w:rsidP="00B6445D">
      <w:pPr>
        <w:numPr>
          <w:ilvl w:val="0"/>
          <w:numId w:val="2"/>
        </w:numPr>
        <w:spacing w:after="0" w:line="276" w:lineRule="auto"/>
        <w:contextualSpacing/>
        <w:jc w:val="both"/>
        <w:rPr>
          <w:rFonts w:ascii="Verdana" w:eastAsia="Calibri" w:hAnsi="Verdana" w:cs="Arial"/>
          <w:color w:val="000000"/>
        </w:rPr>
      </w:pPr>
      <w:r w:rsidRPr="009A633C">
        <w:rPr>
          <w:rFonts w:ascii="Verdana" w:eastAsia="Calibri" w:hAnsi="Verdana" w:cs="Arial"/>
          <w:color w:val="000000"/>
        </w:rPr>
        <w:t>En la actualidad, la norma vigente para interpretar el alcance de la causal de contratación directa dispuesta en el artículo 2, numeral 4, literal g), de la Ley 1150 de 2007 está compilada en el artículo 2.2.1.2.1.4.8 del Decreto 1082 de 2015, el cual dispone lo siguiente:</w:t>
      </w:r>
    </w:p>
    <w:p w14:paraId="63900FB3" w14:textId="77777777" w:rsidR="00B6445D" w:rsidRPr="009A633C" w:rsidRDefault="00B6445D" w:rsidP="00B6445D">
      <w:pPr>
        <w:spacing w:after="0" w:line="276" w:lineRule="auto"/>
        <w:ind w:firstLine="708"/>
        <w:jc w:val="both"/>
        <w:rPr>
          <w:rFonts w:ascii="Verdana" w:eastAsia="Calibri" w:hAnsi="Verdana" w:cs="Arial"/>
          <w:color w:val="000000"/>
        </w:rPr>
      </w:pPr>
    </w:p>
    <w:p w14:paraId="28B7318D" w14:textId="77777777" w:rsidR="00B6445D" w:rsidRPr="009A633C" w:rsidRDefault="00B6445D" w:rsidP="00B6445D">
      <w:pPr>
        <w:spacing w:after="0"/>
        <w:ind w:left="1560" w:right="709"/>
        <w:jc w:val="both"/>
        <w:rPr>
          <w:rFonts w:ascii="Verdana" w:eastAsia="Calibri" w:hAnsi="Verdana" w:cs="Arial"/>
          <w:color w:val="000000"/>
          <w:sz w:val="20"/>
          <w:szCs w:val="20"/>
        </w:rPr>
      </w:pPr>
      <w:r w:rsidRPr="009A633C">
        <w:rPr>
          <w:rFonts w:ascii="Verdana" w:eastAsia="Calibri" w:hAnsi="Verdana" w:cs="Arial"/>
          <w:color w:val="000000"/>
          <w:sz w:val="20"/>
          <w:szCs w:val="20"/>
        </w:rPr>
        <w:t xml:space="preserve">“Artículo 2.2.1.2.1.4.8. Contratación directa cuando no exista pluralidad de oferentes. Se considera que no existe pluralidad de oferentes cuando existe solamente una persona que puede proveer el bien o el servicio por ser titular de los derechos de propiedad industrial o de los derechos de autor, o por ser </w:t>
      </w:r>
      <w:r w:rsidRPr="009A633C">
        <w:rPr>
          <w:rFonts w:ascii="Verdana" w:eastAsia="Calibri" w:hAnsi="Verdana" w:cs="Arial"/>
          <w:i/>
          <w:iCs/>
          <w:color w:val="000000"/>
          <w:sz w:val="20"/>
          <w:szCs w:val="20"/>
          <w:u w:val="single"/>
        </w:rPr>
        <w:t>proveedor exclusivo en el territorio nacional</w:t>
      </w:r>
      <w:r w:rsidRPr="009A633C">
        <w:rPr>
          <w:rFonts w:ascii="Verdana" w:eastAsia="Calibri" w:hAnsi="Verdana" w:cs="Arial"/>
          <w:color w:val="000000"/>
          <w:sz w:val="20"/>
          <w:szCs w:val="20"/>
        </w:rPr>
        <w:t xml:space="preserve">. Estas circunstancias </w:t>
      </w:r>
      <w:r w:rsidRPr="009A633C">
        <w:rPr>
          <w:rFonts w:ascii="Verdana" w:eastAsia="Calibri" w:hAnsi="Verdana" w:cs="Arial"/>
          <w:color w:val="000000"/>
          <w:sz w:val="20"/>
          <w:szCs w:val="20"/>
        </w:rPr>
        <w:lastRenderedPageBreak/>
        <w:t>deben constar en el estudio previo que soporta la contratación.” [Énfasis fuera de texto]</w:t>
      </w:r>
    </w:p>
    <w:p w14:paraId="16F4BACD" w14:textId="77777777" w:rsidR="00B6445D" w:rsidRPr="009A633C" w:rsidRDefault="00B6445D" w:rsidP="00B6445D">
      <w:pPr>
        <w:spacing w:after="0"/>
        <w:ind w:left="720"/>
        <w:contextualSpacing/>
        <w:rPr>
          <w:rFonts w:ascii="Verdana" w:eastAsia="Aptos" w:hAnsi="Verdana" w:cs="Arial"/>
          <w:lang w:val="es-ES_tradnl" w:eastAsia="es-MX"/>
        </w:rPr>
      </w:pPr>
    </w:p>
    <w:p w14:paraId="45AF1660" w14:textId="77777777" w:rsidR="00B6445D" w:rsidRPr="009A633C" w:rsidRDefault="00B6445D" w:rsidP="00B6445D">
      <w:pPr>
        <w:numPr>
          <w:ilvl w:val="0"/>
          <w:numId w:val="3"/>
        </w:numPr>
        <w:spacing w:after="0" w:line="276" w:lineRule="auto"/>
        <w:contextualSpacing/>
        <w:jc w:val="both"/>
        <w:rPr>
          <w:rFonts w:ascii="Verdana" w:eastAsia="Calibri" w:hAnsi="Verdana" w:cs="Arial"/>
          <w:color w:val="000000"/>
        </w:rPr>
      </w:pPr>
      <w:r w:rsidRPr="009A633C">
        <w:rPr>
          <w:rFonts w:ascii="Verdana" w:eastAsia="Calibri" w:hAnsi="Verdana" w:cs="Arial"/>
          <w:color w:val="000000"/>
        </w:rPr>
        <w:t xml:space="preserve">La norma consagra dos (2) hipótesis. </w:t>
      </w:r>
      <w:r w:rsidRPr="009A633C">
        <w:rPr>
          <w:rFonts w:ascii="Verdana" w:eastAsia="Calibri" w:hAnsi="Verdana" w:cs="Arial"/>
          <w:i/>
          <w:iCs/>
          <w:color w:val="000000"/>
        </w:rPr>
        <w:t>En primer lugar</w:t>
      </w:r>
      <w:r w:rsidRPr="009A633C">
        <w:rPr>
          <w:rFonts w:ascii="Verdana" w:eastAsia="Calibri" w:hAnsi="Verdana" w:cs="Arial"/>
          <w:color w:val="000000"/>
        </w:rPr>
        <w:t xml:space="preserve">, no existe pluralidad de oferentes cuando sólo una persona puede proveer el bien o servicio por ser titular de los derechos de propiedad industrial o de los derechos de autor. De esta manera, no basta con que sea la única persona capaz de ejecutar el contrato, pues la misma se debe justificar una situación de derecho que impida que otra lo haga de forma igual o similar. Para los proponentes, cada bien o servicio tiene características únicas frente a los de la competencia; sin embargo, desde el punto de vista del contratante, no existe mayor diferenciación entre los bienes y servicios cuando ninguno de los aspirantes tiene la titularidad de un derecho industrial o de autor. </w:t>
      </w:r>
    </w:p>
    <w:p w14:paraId="68FA3AC9" w14:textId="77777777" w:rsidR="00B6445D" w:rsidRPr="009A633C" w:rsidRDefault="00B6445D" w:rsidP="00B6445D">
      <w:pPr>
        <w:spacing w:after="0"/>
        <w:ind w:left="720"/>
        <w:contextualSpacing/>
        <w:rPr>
          <w:rFonts w:ascii="Verdana" w:eastAsia="Aptos" w:hAnsi="Verdana" w:cs="Arial"/>
          <w:lang w:val="es-ES_tradnl" w:eastAsia="es-MX"/>
        </w:rPr>
      </w:pPr>
    </w:p>
    <w:p w14:paraId="62AE3005" w14:textId="77777777" w:rsidR="00B6445D" w:rsidRPr="009A633C" w:rsidRDefault="00B6445D" w:rsidP="00B6445D">
      <w:pPr>
        <w:numPr>
          <w:ilvl w:val="0"/>
          <w:numId w:val="3"/>
        </w:numPr>
        <w:spacing w:after="0" w:line="276" w:lineRule="auto"/>
        <w:contextualSpacing/>
        <w:jc w:val="both"/>
        <w:rPr>
          <w:rFonts w:ascii="Verdana" w:eastAsia="Calibri" w:hAnsi="Verdana" w:cs="Arial"/>
          <w:color w:val="000000"/>
        </w:rPr>
      </w:pPr>
      <w:bookmarkStart w:id="4" w:name="_Hlk45635593"/>
      <w:r w:rsidRPr="009A633C">
        <w:rPr>
          <w:rFonts w:ascii="Verdana" w:eastAsia="Calibri" w:hAnsi="Verdana" w:cs="Arial"/>
          <w:color w:val="000000"/>
        </w:rPr>
        <w:t>Por ello, en la medida que la prestación no esté cubierta por derechos de la naturaleza anteriormente señalada, posibilita que la entidad satisfaga sus necesidades con equivalentes o sustitutos, ya que la presión de la competencia aumenta la oferta y disminuye los costos de adquisición. Para la doctrina, en ausencia de una barrera de entrada –como la que se concreta con los derechos de propiedad industrial o de autor– es necesario aplicar el principio de concurrencia</w:t>
      </w:r>
      <w:bookmarkEnd w:id="4"/>
      <w:r w:rsidRPr="009A633C">
        <w:rPr>
          <w:rFonts w:ascii="Verdana" w:eastAsia="Calibri" w:hAnsi="Verdana" w:cs="Arial"/>
          <w:color w:val="000000"/>
        </w:rPr>
        <w:t>. Por ello, explica que es posible la contratación directa con el oferente que es titular de una marca o privilegio, agregando que:</w:t>
      </w:r>
    </w:p>
    <w:p w14:paraId="4F752B73" w14:textId="77777777" w:rsidR="00B6445D" w:rsidRPr="009A633C" w:rsidRDefault="00B6445D" w:rsidP="00B6445D">
      <w:pPr>
        <w:spacing w:after="0"/>
        <w:ind w:left="1276" w:right="709"/>
        <w:jc w:val="both"/>
        <w:rPr>
          <w:rFonts w:ascii="Century Gothic" w:eastAsia="Calibri" w:hAnsi="Century Gothic" w:cs="Arial"/>
          <w:color w:val="000000"/>
          <w:sz w:val="20"/>
          <w:szCs w:val="20"/>
        </w:rPr>
      </w:pPr>
    </w:p>
    <w:p w14:paraId="5D10A960" w14:textId="77777777" w:rsidR="00B6445D" w:rsidRPr="009A633C" w:rsidRDefault="00B6445D" w:rsidP="00B6445D">
      <w:pPr>
        <w:spacing w:after="0"/>
        <w:ind w:left="1276" w:right="709"/>
        <w:jc w:val="both"/>
        <w:rPr>
          <w:rFonts w:ascii="Verdana" w:eastAsia="Calibri" w:hAnsi="Verdana" w:cs="Arial"/>
          <w:color w:val="000000"/>
          <w:sz w:val="20"/>
          <w:szCs w:val="20"/>
        </w:rPr>
      </w:pPr>
      <w:r w:rsidRPr="009A633C">
        <w:rPr>
          <w:rFonts w:ascii="Verdana" w:eastAsia="Calibri" w:hAnsi="Verdana" w:cs="Arial"/>
          <w:color w:val="000000"/>
          <w:sz w:val="20"/>
          <w:szCs w:val="20"/>
        </w:rPr>
        <w:t>“La tutela de la propiedad intelectual del oferente o de un privilegio otorgado en modo expreso, vuelven imposible proceder por licitación, ya que solamente la persona, entidad o empresa que posee el privilegio de invención de invención o fabricación, podría presentarse formulando ofertas. Desde luego no habría pluralidad de concurrentes, ni puja que hiciera posible el cumplimiento de las finalidades básicas perseguidas por la licitación</w:t>
      </w:r>
      <w:r w:rsidRPr="009A633C">
        <w:rPr>
          <w:rFonts w:ascii="Verdana" w:eastAsia="Calibri" w:hAnsi="Verdana" w:cs="Arial"/>
          <w:color w:val="000000"/>
          <w:sz w:val="20"/>
          <w:szCs w:val="20"/>
          <w:vertAlign w:val="superscript"/>
        </w:rPr>
        <w:footnoteReference w:id="1"/>
      </w:r>
      <w:r w:rsidRPr="009A633C">
        <w:rPr>
          <w:rFonts w:ascii="Verdana" w:eastAsia="Calibri" w:hAnsi="Verdana" w:cs="Arial"/>
          <w:color w:val="000000"/>
          <w:sz w:val="20"/>
          <w:szCs w:val="20"/>
        </w:rPr>
        <w:t>.”</w:t>
      </w:r>
    </w:p>
    <w:p w14:paraId="633EB678" w14:textId="77777777" w:rsidR="00B6445D" w:rsidRPr="009A633C" w:rsidRDefault="00B6445D" w:rsidP="00B6445D">
      <w:pPr>
        <w:spacing w:before="120" w:after="0" w:line="276" w:lineRule="auto"/>
        <w:ind w:left="720"/>
        <w:contextualSpacing/>
        <w:jc w:val="both"/>
        <w:textAlignment w:val="baseline"/>
        <w:rPr>
          <w:rFonts w:ascii="Verdana" w:eastAsia="Aptos" w:hAnsi="Verdana" w:cs="Arial"/>
          <w:lang w:eastAsia="es-MX"/>
        </w:rPr>
      </w:pPr>
    </w:p>
    <w:p w14:paraId="77EAF753" w14:textId="77777777" w:rsidR="00B6445D" w:rsidRPr="009A633C" w:rsidRDefault="00B6445D" w:rsidP="00B6445D">
      <w:pPr>
        <w:numPr>
          <w:ilvl w:val="0"/>
          <w:numId w:val="4"/>
        </w:numPr>
        <w:spacing w:after="0"/>
        <w:contextualSpacing/>
        <w:jc w:val="both"/>
        <w:rPr>
          <w:rFonts w:ascii="Verdana" w:eastAsia="Calibri" w:hAnsi="Verdana" w:cs="Arial"/>
          <w:color w:val="000000"/>
        </w:rPr>
      </w:pPr>
      <w:r w:rsidRPr="009A633C">
        <w:rPr>
          <w:rFonts w:ascii="Verdana" w:eastAsia="Calibri" w:hAnsi="Verdana" w:cs="Arial"/>
          <w:i/>
          <w:iCs/>
          <w:color w:val="000000"/>
        </w:rPr>
        <w:lastRenderedPageBreak/>
        <w:t>En segundo lugar</w:t>
      </w:r>
      <w:r w:rsidRPr="009A633C">
        <w:rPr>
          <w:rFonts w:ascii="Verdana" w:eastAsia="Calibri" w:hAnsi="Verdana" w:cs="Arial"/>
          <w:color w:val="000000"/>
        </w:rPr>
        <w:t xml:space="preserve">, </w:t>
      </w:r>
      <w:bookmarkStart w:id="5" w:name="_Hlk45635630"/>
      <w:r w:rsidRPr="009A633C">
        <w:rPr>
          <w:rFonts w:ascii="Verdana" w:eastAsia="Calibri" w:hAnsi="Verdana" w:cs="Arial"/>
          <w:color w:val="000000"/>
        </w:rPr>
        <w:t>el artículo 2.2.1.2.1.4.8 del Decreto 1082 de 2015 dispone que tampoco existe pluralidad de oferentes cuando existe una sola persona que puede celebrar el contrato por ser proveedor exclusivo en el territorio nacional. A modo de ejemplo, esta causal se comprende en el marco de los contratos de colaboración empresarial –agencia, distribución, franquicia concesión comercial, etc.– que celebran los productores extranjeros con los proveedores nacionales, los cuales contienen usualmente cláusulas de exclusividad como elemento accidental del negocio</w:t>
      </w:r>
      <w:bookmarkEnd w:id="5"/>
      <w:r w:rsidRPr="009A633C">
        <w:rPr>
          <w:rFonts w:ascii="Verdana" w:eastAsia="Calibri" w:hAnsi="Verdana" w:cs="Arial"/>
          <w:color w:val="000000"/>
        </w:rPr>
        <w:t xml:space="preserve">. </w:t>
      </w:r>
    </w:p>
    <w:p w14:paraId="0C1F3446" w14:textId="77777777" w:rsidR="00B6445D" w:rsidRPr="009A633C" w:rsidRDefault="00B6445D" w:rsidP="00B6445D">
      <w:pPr>
        <w:spacing w:after="0"/>
        <w:ind w:left="720"/>
        <w:contextualSpacing/>
        <w:rPr>
          <w:rFonts w:ascii="Verdana" w:eastAsia="Calibri" w:hAnsi="Verdana" w:cs="Arial"/>
          <w:shd w:val="clear" w:color="auto" w:fill="FFFFFF"/>
        </w:rPr>
      </w:pPr>
    </w:p>
    <w:p w14:paraId="2425247E" w14:textId="77777777" w:rsidR="00B6445D" w:rsidRPr="009A633C" w:rsidRDefault="00B6445D" w:rsidP="00B6445D">
      <w:pPr>
        <w:numPr>
          <w:ilvl w:val="0"/>
          <w:numId w:val="4"/>
        </w:numPr>
        <w:spacing w:after="0"/>
        <w:contextualSpacing/>
        <w:jc w:val="both"/>
        <w:rPr>
          <w:rFonts w:ascii="Verdana" w:eastAsia="Calibri" w:hAnsi="Verdana" w:cs="Arial"/>
          <w:color w:val="000000"/>
        </w:rPr>
      </w:pPr>
      <w:r w:rsidRPr="009A633C">
        <w:rPr>
          <w:rFonts w:ascii="Verdana" w:eastAsia="Calibri" w:hAnsi="Verdana" w:cs="Arial"/>
          <w:color w:val="000000"/>
        </w:rPr>
        <w:t xml:space="preserve">Al igual que la hipótesis precedente, la presencia de un proveedor exclusivo supone una barrera de entrada para otros posibles oferentes, por lo que no es posible aplicar el principio de concurrencia. Sin embargo, para aplicar la causal de contratación directa, la exclusividad del proveedor debe cubrir el territorio nacional, pues –por ejemplo– si se limita a un municipio o un departamento, es posible encontrar proveedores de bienes y servicios similares o sustitutos en otros lugares del país, por lo que es necesario aplicar procedimientos de selección que permitan la pluralidad de oferentes. </w:t>
      </w:r>
    </w:p>
    <w:p w14:paraId="3FF5BF0E" w14:textId="77777777" w:rsidR="00B6445D" w:rsidRPr="009A633C" w:rsidRDefault="00B6445D" w:rsidP="00B6445D">
      <w:pPr>
        <w:spacing w:before="120" w:after="0" w:line="276" w:lineRule="auto"/>
        <w:ind w:left="720"/>
        <w:contextualSpacing/>
        <w:jc w:val="both"/>
        <w:rPr>
          <w:rFonts w:ascii="Verdana" w:eastAsia="Calibri" w:hAnsi="Verdana" w:cs="Arial"/>
          <w:color w:val="000000"/>
          <w:lang w:val="es-ES_tradnl"/>
        </w:rPr>
      </w:pPr>
    </w:p>
    <w:p w14:paraId="51AF484A" w14:textId="77777777" w:rsidR="00B6445D" w:rsidRPr="009A633C" w:rsidRDefault="00B6445D" w:rsidP="00B6445D">
      <w:pPr>
        <w:numPr>
          <w:ilvl w:val="0"/>
          <w:numId w:val="4"/>
        </w:numPr>
        <w:spacing w:after="0"/>
        <w:ind w:left="714" w:hanging="357"/>
        <w:contextualSpacing/>
        <w:jc w:val="both"/>
        <w:rPr>
          <w:rFonts w:ascii="Verdana" w:eastAsia="Calibri" w:hAnsi="Verdana" w:cs="Arial"/>
          <w:color w:val="000000"/>
        </w:rPr>
      </w:pPr>
      <w:r w:rsidRPr="009A633C">
        <w:rPr>
          <w:rFonts w:ascii="Verdana" w:eastAsia="Calibri" w:hAnsi="Verdana" w:cs="Arial"/>
          <w:color w:val="000000"/>
        </w:rPr>
        <w:t xml:space="preserve">En línea con lo anterior, puede colegirse entonces, que fuera de las dos (2) situaciones previamente planteadas, no es posible aplicar </w:t>
      </w:r>
      <w:bookmarkStart w:id="6" w:name="_Hlk45529265"/>
      <w:r w:rsidRPr="009A633C">
        <w:rPr>
          <w:rFonts w:ascii="Verdana" w:eastAsia="Calibri" w:hAnsi="Verdana" w:cs="Arial"/>
          <w:color w:val="000000"/>
        </w:rPr>
        <w:t>el artículo 2, numeral 4, literal g), de la Ley 1150 de 2007</w:t>
      </w:r>
      <w:bookmarkEnd w:id="6"/>
      <w:r w:rsidRPr="009A633C">
        <w:rPr>
          <w:rFonts w:ascii="Verdana" w:eastAsia="Calibri" w:hAnsi="Verdana" w:cs="Arial"/>
          <w:color w:val="000000"/>
        </w:rPr>
        <w:t>, ya que las normas citadas integran una causal de contratación directa que excepciona los mecanismos de selección objetiva por convocatoria pública definidos en el Estatuto General de Contratación de la Administración Pública, por lo que se interpretan restrictivamente, es decir, conforme al tenor literal de las normas.</w:t>
      </w:r>
    </w:p>
    <w:p w14:paraId="4C750E4E" w14:textId="77777777" w:rsidR="00B6445D" w:rsidRPr="009A633C" w:rsidRDefault="00B6445D" w:rsidP="00B6445D">
      <w:pPr>
        <w:ind w:left="720"/>
        <w:contextualSpacing/>
        <w:rPr>
          <w:rFonts w:ascii="Verdana" w:eastAsia="Times New Roman" w:hAnsi="Verdana" w:cs="Arial"/>
          <w:color w:val="000000"/>
          <w:szCs w:val="24"/>
          <w:lang w:val="es-ES_tradnl" w:eastAsia="es-ES_tradnl"/>
        </w:rPr>
      </w:pPr>
    </w:p>
    <w:bookmarkEnd w:id="3"/>
    <w:p w14:paraId="41B2B4DB" w14:textId="77777777" w:rsidR="00B6445D" w:rsidRPr="009A633C" w:rsidRDefault="00B6445D" w:rsidP="00B6445D">
      <w:pPr>
        <w:numPr>
          <w:ilvl w:val="0"/>
          <w:numId w:val="5"/>
        </w:numPr>
        <w:spacing w:before="120" w:line="276" w:lineRule="auto"/>
        <w:contextualSpacing/>
        <w:jc w:val="both"/>
        <w:rPr>
          <w:rFonts w:ascii="Verdana" w:eastAsia="Times New Roman" w:hAnsi="Verdana" w:cs="Arial"/>
          <w:color w:val="000000"/>
          <w:szCs w:val="24"/>
          <w:lang w:val="es-ES_tradnl" w:eastAsia="es-ES_tradnl"/>
        </w:rPr>
      </w:pPr>
      <w:r w:rsidRPr="009A633C">
        <w:rPr>
          <w:rFonts w:ascii="Verdana" w:eastAsia="Times New Roman" w:hAnsi="Verdana" w:cs="Arial"/>
          <w:color w:val="000000"/>
          <w:szCs w:val="24"/>
          <w:lang w:val="es-ES_tradnl" w:eastAsia="es-ES_tradnl"/>
        </w:rPr>
        <w:t xml:space="preserve">Finalmente, debe advertirse que el análisis requerido para resolver problemas específicos en torno a </w:t>
      </w:r>
      <w:r w:rsidRPr="009A633C">
        <w:rPr>
          <w:rFonts w:ascii="Verdana" w:eastAsia="Calibri" w:hAnsi="Verdana" w:cs="Arial"/>
          <w:lang w:val="es-ES"/>
        </w:rPr>
        <w:t>a las condiciones y/o requisitos para que se reconozca la exclusividad en los productos que oferte un proveedor</w:t>
      </w:r>
      <w:r w:rsidRPr="009A633C">
        <w:rPr>
          <w:rFonts w:ascii="Verdana" w:eastAsia="Times New Roman" w:hAnsi="Verdana" w:cs="Arial"/>
          <w:color w:val="000000"/>
          <w:szCs w:val="24"/>
          <w:lang w:val="es-ES_tradnl" w:eastAsia="es-ES_tradnl"/>
        </w:rPr>
        <w:t xml:space="preserve">,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14:paraId="7FD10C52" w14:textId="77777777" w:rsidR="00B6445D" w:rsidRPr="009A633C" w:rsidRDefault="00B6445D" w:rsidP="00B6445D">
      <w:pPr>
        <w:spacing w:before="120" w:line="276" w:lineRule="auto"/>
        <w:ind w:left="720"/>
        <w:contextualSpacing/>
        <w:jc w:val="both"/>
        <w:rPr>
          <w:rFonts w:ascii="Verdana" w:eastAsia="Times New Roman" w:hAnsi="Verdana" w:cs="Arial"/>
          <w:color w:val="000000"/>
          <w:szCs w:val="24"/>
          <w:lang w:val="es-ES_tradnl" w:eastAsia="es-ES_tradnl"/>
        </w:rPr>
      </w:pPr>
    </w:p>
    <w:p w14:paraId="11D2B308" w14:textId="77777777" w:rsidR="00B6445D" w:rsidRPr="009A633C" w:rsidRDefault="00B6445D" w:rsidP="00B6445D">
      <w:pPr>
        <w:numPr>
          <w:ilvl w:val="0"/>
          <w:numId w:val="5"/>
        </w:numPr>
        <w:spacing w:before="120" w:line="276" w:lineRule="auto"/>
        <w:contextualSpacing/>
        <w:jc w:val="both"/>
        <w:rPr>
          <w:rFonts w:ascii="Verdana" w:eastAsia="Times New Roman" w:hAnsi="Verdana" w:cs="Arial"/>
          <w:color w:val="000000"/>
          <w:lang w:val="es-ES" w:eastAsia="es-ES"/>
        </w:rPr>
      </w:pPr>
      <w:r w:rsidRPr="09D4D9A7">
        <w:rPr>
          <w:rFonts w:ascii="Verdana" w:eastAsia="Times New Roman" w:hAnsi="Verdana" w:cs="Arial"/>
          <w:color w:val="000000" w:themeColor="text1"/>
          <w:lang w:val="es-ES" w:eastAsia="es-ES"/>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 </w:t>
      </w:r>
    </w:p>
    <w:p w14:paraId="5B2AFC84" w14:textId="77777777" w:rsidR="00B6445D" w:rsidRPr="009A633C" w:rsidRDefault="00B6445D" w:rsidP="00B6445D">
      <w:pPr>
        <w:ind w:left="720"/>
        <w:contextualSpacing/>
        <w:rPr>
          <w:rFonts w:ascii="Verdana" w:eastAsia="Calibri" w:hAnsi="Verdana" w:cs="Arial"/>
        </w:rPr>
      </w:pPr>
    </w:p>
    <w:p w14:paraId="1B264027" w14:textId="77777777" w:rsidR="00B6445D" w:rsidRPr="009A633C" w:rsidRDefault="00B6445D" w:rsidP="00B6445D">
      <w:pPr>
        <w:widowControl w:val="0"/>
        <w:autoSpaceDE w:val="0"/>
        <w:autoSpaceDN w:val="0"/>
        <w:spacing w:before="1" w:after="0" w:line="240" w:lineRule="auto"/>
        <w:outlineLvl w:val="0"/>
        <w:rPr>
          <w:rFonts w:ascii="Verdana" w:eastAsia="Arial" w:hAnsi="Verdana" w:cs="Arial"/>
          <w:b/>
          <w:bCs/>
          <w:lang w:val="es-ES"/>
        </w:rPr>
      </w:pPr>
      <w:r w:rsidRPr="009A633C">
        <w:rPr>
          <w:rFonts w:ascii="Verdana" w:eastAsia="Arial" w:hAnsi="Verdana" w:cs="Arial"/>
          <w:b/>
          <w:bCs/>
          <w:lang w:val="es-ES"/>
        </w:rPr>
        <w:t>4.Referencias normativas, jurisprudenciales y otras fuentes:</w:t>
      </w:r>
    </w:p>
    <w:p w14:paraId="2577D6BC" w14:textId="77777777" w:rsidR="00B6445D" w:rsidRPr="009A633C" w:rsidRDefault="00B6445D" w:rsidP="00B6445D">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6445D" w:rsidRPr="009A633C" w14:paraId="32CE9310" w14:textId="77777777" w:rsidTr="00B6445D">
        <w:trPr>
          <w:trHeight w:val="870"/>
        </w:trPr>
        <w:tc>
          <w:tcPr>
            <w:tcW w:w="8647" w:type="dxa"/>
          </w:tcPr>
          <w:p w14:paraId="0175B77A" w14:textId="77777777" w:rsidR="00B6445D" w:rsidRPr="009A633C" w:rsidRDefault="00B6445D" w:rsidP="00B6445D">
            <w:pPr>
              <w:widowControl w:val="0"/>
              <w:numPr>
                <w:ilvl w:val="0"/>
                <w:numId w:val="1"/>
              </w:numPr>
              <w:autoSpaceDE w:val="0"/>
              <w:autoSpaceDN w:val="0"/>
              <w:spacing w:after="120" w:line="276" w:lineRule="auto"/>
              <w:contextualSpacing/>
              <w:jc w:val="both"/>
              <w:rPr>
                <w:rFonts w:ascii="Verdana" w:eastAsia="Calibri" w:hAnsi="Verdana" w:cs="Arial"/>
                <w:lang w:val="es-ES"/>
              </w:rPr>
            </w:pPr>
            <w:r w:rsidRPr="009A633C">
              <w:rPr>
                <w:rFonts w:ascii="Verdana" w:eastAsia="Calibri" w:hAnsi="Verdana" w:cs="Arial"/>
                <w:lang w:val="es-ES"/>
              </w:rPr>
              <w:t>Ley 1150 de 2007. Artículo 2, Numeral 4</w:t>
            </w:r>
          </w:p>
          <w:p w14:paraId="1C0C7A3F" w14:textId="77777777" w:rsidR="00B6445D" w:rsidRPr="009A633C" w:rsidRDefault="00B6445D" w:rsidP="00B6445D">
            <w:pPr>
              <w:widowControl w:val="0"/>
              <w:numPr>
                <w:ilvl w:val="0"/>
                <w:numId w:val="1"/>
              </w:numPr>
              <w:autoSpaceDE w:val="0"/>
              <w:autoSpaceDN w:val="0"/>
              <w:spacing w:after="120" w:line="276" w:lineRule="auto"/>
              <w:contextualSpacing/>
              <w:jc w:val="both"/>
              <w:rPr>
                <w:rFonts w:ascii="Verdana" w:eastAsia="Calibri" w:hAnsi="Verdana" w:cs="Arial"/>
                <w:lang w:val="es-ES"/>
              </w:rPr>
            </w:pPr>
            <w:r w:rsidRPr="009A633C">
              <w:rPr>
                <w:rFonts w:ascii="Verdana" w:eastAsia="Calibri" w:hAnsi="Verdana" w:cs="Arial"/>
                <w:lang w:val="es-ES"/>
              </w:rPr>
              <w:t xml:space="preserve">Decreto 1082 de 2015. Artículo </w:t>
            </w:r>
            <w:r w:rsidRPr="009A633C">
              <w:rPr>
                <w:rFonts w:ascii="Arial" w:eastAsia="Calibri" w:hAnsi="Arial" w:cs="Arial"/>
                <w:color w:val="000000"/>
                <w:lang w:val="es-ES_tradnl"/>
              </w:rPr>
              <w:t>2.2.1.2.1.4.8.</w:t>
            </w:r>
          </w:p>
          <w:p w14:paraId="25BA7BD6" w14:textId="77777777" w:rsidR="00B6445D" w:rsidRPr="009A633C" w:rsidRDefault="00B6445D" w:rsidP="00B6445D">
            <w:pPr>
              <w:widowControl w:val="0"/>
              <w:numPr>
                <w:ilvl w:val="0"/>
                <w:numId w:val="1"/>
              </w:numPr>
              <w:autoSpaceDE w:val="0"/>
              <w:autoSpaceDN w:val="0"/>
              <w:spacing w:after="120" w:line="276" w:lineRule="auto"/>
              <w:contextualSpacing/>
              <w:jc w:val="both"/>
              <w:rPr>
                <w:rFonts w:ascii="Verdana" w:eastAsia="Calibri" w:hAnsi="Verdana" w:cs="Arial"/>
                <w:lang w:val="es-ES"/>
              </w:rPr>
            </w:pPr>
            <w:r w:rsidRPr="009A633C">
              <w:rPr>
                <w:rFonts w:ascii="Verdana" w:eastAsia="Calibri" w:hAnsi="Verdana" w:cs="Arial"/>
                <w:lang w:val="es-ES"/>
              </w:rPr>
              <w:t>Consejo de Estado. Sección Tercera. Subsección A. Sentencia del 24 de mayo de 2018. Exp. 50.222. C.P. Marta Nubia Velásquez Rico.</w:t>
            </w:r>
          </w:p>
          <w:p w14:paraId="7E2D8184" w14:textId="77777777" w:rsidR="00B6445D" w:rsidRPr="009A633C" w:rsidRDefault="00B6445D" w:rsidP="00B6445D">
            <w:pPr>
              <w:widowControl w:val="0"/>
              <w:numPr>
                <w:ilvl w:val="0"/>
                <w:numId w:val="1"/>
              </w:numPr>
              <w:autoSpaceDE w:val="0"/>
              <w:autoSpaceDN w:val="0"/>
              <w:spacing w:line="276" w:lineRule="auto"/>
              <w:contextualSpacing/>
              <w:jc w:val="both"/>
              <w:rPr>
                <w:rFonts w:ascii="Verdana" w:eastAsia="Aptos" w:hAnsi="Verdana" w:cs="Arial"/>
              </w:rPr>
            </w:pPr>
            <w:r w:rsidRPr="009A633C">
              <w:rPr>
                <w:rFonts w:ascii="Verdana" w:eastAsia="Aptos" w:hAnsi="Verdana" w:cs="Arial"/>
              </w:rPr>
              <w:t>DROMI, José Roberto. La licitación pública. Buenos Aires: Ciudad Argentina, 1980. pp. 173-174.</w:t>
            </w:r>
          </w:p>
        </w:tc>
      </w:tr>
    </w:tbl>
    <w:p w14:paraId="39EC9079" w14:textId="77777777" w:rsidR="00B6445D" w:rsidRPr="009A633C" w:rsidRDefault="00B6445D" w:rsidP="00B6445D">
      <w:pPr>
        <w:widowControl w:val="0"/>
        <w:autoSpaceDE w:val="0"/>
        <w:autoSpaceDN w:val="0"/>
        <w:spacing w:after="0" w:line="276" w:lineRule="auto"/>
        <w:jc w:val="both"/>
        <w:rPr>
          <w:rFonts w:ascii="Verdana" w:eastAsia="Aptos" w:hAnsi="Verdana" w:cs="Arial"/>
        </w:rPr>
      </w:pPr>
    </w:p>
    <w:p w14:paraId="436F4C9F" w14:textId="77777777" w:rsidR="00B6445D" w:rsidRPr="009A633C" w:rsidRDefault="00B6445D" w:rsidP="00B6445D">
      <w:pPr>
        <w:widowControl w:val="0"/>
        <w:autoSpaceDE w:val="0"/>
        <w:autoSpaceDN w:val="0"/>
        <w:spacing w:before="1" w:after="0" w:line="240" w:lineRule="auto"/>
        <w:outlineLvl w:val="0"/>
        <w:rPr>
          <w:rFonts w:ascii="Verdana" w:eastAsia="Arial" w:hAnsi="Verdana" w:cs="Arial"/>
          <w:b/>
          <w:bCs/>
          <w:lang w:val="es-ES"/>
        </w:rPr>
      </w:pPr>
      <w:r w:rsidRPr="009A633C">
        <w:rPr>
          <w:rFonts w:ascii="Verdana" w:eastAsia="Arial" w:hAnsi="Verdana" w:cs="Arial"/>
          <w:b/>
          <w:bCs/>
          <w:lang w:val="es-ES"/>
        </w:rPr>
        <w:t>5. Doctrina de la Agencia Nacional de Contratación Pública:</w:t>
      </w:r>
    </w:p>
    <w:p w14:paraId="1FDB415C" w14:textId="77777777" w:rsidR="00B6445D" w:rsidRPr="009A633C" w:rsidRDefault="00B6445D" w:rsidP="00B6445D">
      <w:pPr>
        <w:widowControl w:val="0"/>
        <w:autoSpaceDE w:val="0"/>
        <w:autoSpaceDN w:val="0"/>
        <w:spacing w:after="0" w:line="276" w:lineRule="auto"/>
        <w:jc w:val="both"/>
        <w:rPr>
          <w:rFonts w:ascii="Verdana" w:eastAsia="Aptos" w:hAnsi="Verdana" w:cs="Arial"/>
        </w:rPr>
      </w:pPr>
    </w:p>
    <w:p w14:paraId="396738D8" w14:textId="77777777" w:rsidR="00B6445D" w:rsidRPr="009A633C" w:rsidRDefault="00B6445D" w:rsidP="00B6445D">
      <w:pPr>
        <w:widowControl w:val="0"/>
        <w:autoSpaceDE w:val="0"/>
        <w:autoSpaceDN w:val="0"/>
        <w:spacing w:after="0" w:line="276" w:lineRule="auto"/>
        <w:jc w:val="both"/>
        <w:rPr>
          <w:rFonts w:ascii="Verdana" w:eastAsia="Aptos" w:hAnsi="Verdana" w:cs="Arial"/>
          <w:shd w:val="clear" w:color="auto" w:fill="FFFFFF"/>
          <w:lang w:val="es-ES"/>
        </w:rPr>
      </w:pPr>
      <w:r w:rsidRPr="009A633C">
        <w:rPr>
          <w:rFonts w:ascii="Verdana" w:eastAsia="Aptos" w:hAnsi="Verdana" w:cs="Arial"/>
          <w:shd w:val="clear" w:color="auto" w:fill="FFFFFF"/>
          <w:lang w:val="es-ES"/>
        </w:rPr>
        <w:t xml:space="preserve">Sobre el alcance de la modalidad de contratación directa, esta Subdirección se ha referido en los Conceptos </w:t>
      </w:r>
      <w:r w:rsidRPr="009A633C">
        <w:rPr>
          <w:rFonts w:ascii="Verdana" w:eastAsia="Calibri" w:hAnsi="Verdana" w:cs="Arial"/>
          <w:lang w:val="es-ES_tradnl" w:eastAsia="es-MX"/>
        </w:rPr>
        <w:t>número Conceptos 2201913000005631 del 6 de agosto de 2019, C-090 del 24 de febrero de 2020, C-359 del 4 de junio de 2020, C-475 de 2020, C-619 del 06 de diciembre de 2021, C-321 del 23 de agosto de 2024</w:t>
      </w:r>
      <w:r w:rsidRPr="009A633C">
        <w:rPr>
          <w:rFonts w:ascii="Verdana" w:eastAsia="Aptos" w:hAnsi="Verdana" w:cs="Arial"/>
          <w:shd w:val="clear" w:color="auto" w:fill="FFFFFF"/>
          <w:lang w:val="es-ES"/>
        </w:rPr>
        <w:t xml:space="preserve">, entre otros.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history="1">
        <w:r w:rsidRPr="009A633C">
          <w:rPr>
            <w:rFonts w:ascii="Verdana" w:eastAsia="Aptos" w:hAnsi="Verdana" w:cs="Arial"/>
            <w:color w:val="0000FF"/>
            <w:u w:val="single"/>
            <w:shd w:val="clear" w:color="auto" w:fill="FFFFFF"/>
            <w:lang w:val="es-ES"/>
          </w:rPr>
          <w:t>https://relatoria.colombiacompra.gov.co/</w:t>
        </w:r>
      </w:hyperlink>
      <w:r w:rsidRPr="009A633C">
        <w:rPr>
          <w:rFonts w:ascii="Verdana" w:eastAsia="Aptos" w:hAnsi="Verdana" w:cs="Arial"/>
          <w:shd w:val="clear" w:color="auto" w:fill="FFFFFF"/>
          <w:lang w:val="es-ES"/>
        </w:rPr>
        <w:t xml:space="preserve">. </w:t>
      </w:r>
    </w:p>
    <w:p w14:paraId="47FC88D1" w14:textId="77777777" w:rsidR="00B6445D" w:rsidRPr="009A633C" w:rsidRDefault="00B6445D" w:rsidP="00B6445D">
      <w:pPr>
        <w:widowControl w:val="0"/>
        <w:autoSpaceDE w:val="0"/>
        <w:autoSpaceDN w:val="0"/>
        <w:spacing w:after="0" w:line="276" w:lineRule="auto"/>
        <w:jc w:val="both"/>
        <w:rPr>
          <w:rFonts w:ascii="Verdana" w:eastAsia="Aptos" w:hAnsi="Verdana" w:cs="Arial"/>
          <w:shd w:val="clear" w:color="auto" w:fill="FFFFFF"/>
          <w:lang w:val="es-ES"/>
        </w:rPr>
      </w:pPr>
    </w:p>
    <w:p w14:paraId="3E19854E" w14:textId="77777777" w:rsidR="00B6445D" w:rsidRPr="009A633C" w:rsidRDefault="00B6445D" w:rsidP="00B6445D">
      <w:pPr>
        <w:spacing w:after="0" w:line="276" w:lineRule="auto"/>
        <w:jc w:val="both"/>
        <w:rPr>
          <w:rFonts w:ascii="Verdana" w:eastAsia="Times New Roman" w:hAnsi="Verdana" w:cs="Times New Roman"/>
          <w:color w:val="000000"/>
          <w:bdr w:val="none" w:sz="0" w:space="0" w:color="auto" w:frame="1"/>
          <w:lang w:eastAsia="es-CO"/>
        </w:rPr>
      </w:pPr>
      <w:r w:rsidRPr="009A633C">
        <w:rPr>
          <w:rFonts w:ascii="Verdana" w:eastAsia="Times New Roman" w:hAnsi="Verdana" w:cs="Times New Roman"/>
          <w:color w:val="000000"/>
          <w:bdr w:val="none" w:sz="0" w:space="0" w:color="auto" w:frame="1"/>
          <w:lang w:eastAsia="es-CO"/>
        </w:rPr>
        <w:t xml:space="preserve">Nos complace informarte que ya están disponibles las nuevas versiones de los Documentos Tipo para Infraestructura de Transporte, recuerda que es de obligatoria observancia por todas las entidades sometidas al Estatuto General </w:t>
      </w:r>
      <w:r w:rsidRPr="009A633C">
        <w:rPr>
          <w:rFonts w:ascii="Verdana" w:eastAsia="Times New Roman" w:hAnsi="Verdana" w:cs="Times New Roman"/>
          <w:color w:val="000000"/>
          <w:bdr w:val="none" w:sz="0" w:space="0" w:color="auto" w:frame="1"/>
          <w:lang w:eastAsia="es-CO"/>
        </w:rPr>
        <w:lastRenderedPageBreak/>
        <w:t>de Contratación de la Administración Pública y entidades de régimen especial, con las excepciones de ley: </w:t>
      </w:r>
    </w:p>
    <w:p w14:paraId="741BD0D5" w14:textId="77777777" w:rsidR="00B6445D" w:rsidRPr="009A633C" w:rsidRDefault="00B6445D" w:rsidP="00B6445D">
      <w:pPr>
        <w:spacing w:after="0" w:line="240" w:lineRule="auto"/>
        <w:jc w:val="both"/>
        <w:rPr>
          <w:rFonts w:ascii="Verdana" w:eastAsia="Times New Roman" w:hAnsi="Verdana" w:cs="Times New Roman"/>
          <w:color w:val="000000"/>
          <w:bdr w:val="none" w:sz="0" w:space="0" w:color="auto" w:frame="1"/>
          <w:lang w:eastAsia="es-CO"/>
        </w:rPr>
      </w:pPr>
    </w:p>
    <w:p w14:paraId="6A2770DD" w14:textId="77777777" w:rsidR="00B6445D" w:rsidRPr="009A633C" w:rsidRDefault="00B6445D" w:rsidP="00B6445D">
      <w:pPr>
        <w:numPr>
          <w:ilvl w:val="0"/>
          <w:numId w:val="6"/>
        </w:numPr>
        <w:spacing w:after="0" w:line="276" w:lineRule="auto"/>
        <w:jc w:val="both"/>
        <w:rPr>
          <w:rFonts w:ascii="Verdana" w:eastAsia="Times New Roman" w:hAnsi="Verdana" w:cs="Times New Roman"/>
          <w:color w:val="000000"/>
          <w:bdr w:val="none" w:sz="0" w:space="0" w:color="auto" w:frame="1"/>
          <w:lang w:eastAsia="es-CO"/>
        </w:rPr>
      </w:pPr>
      <w:r w:rsidRPr="009A633C">
        <w:rPr>
          <w:rFonts w:ascii="Verdana" w:eastAsia="Times New Roman" w:hAnsi="Verdana" w:cs="Times New Roman"/>
          <w:b/>
          <w:bCs/>
          <w:color w:val="000000"/>
          <w:bdr w:val="none" w:sz="0" w:space="0" w:color="auto" w:frame="1"/>
          <w:lang w:eastAsia="es-CO"/>
        </w:rPr>
        <w:t>Documentos tipo para los procesos de selección de interventoría de obra pública de infraestructura de transporte – versión 3: </w:t>
      </w:r>
      <w:hyperlink r:id="rId13" w:tgtFrame="_blank" w:history="1">
        <w:r w:rsidRPr="009A633C">
          <w:rPr>
            <w:rFonts w:ascii="Verdana" w:eastAsia="Times New Roman" w:hAnsi="Verdana" w:cs="Times New Roman"/>
            <w:color w:val="0000FF"/>
            <w:u w:val="single"/>
            <w:bdr w:val="none" w:sz="0" w:space="0" w:color="auto" w:frame="1"/>
            <w:lang w:eastAsia="es-CO"/>
          </w:rPr>
          <w:t>03. Documentos tipo para los procesos de selección de interventoría de obra pública de infraestructura de transporte – versión 3 | Colombia Compra Eficiente | Agencia Nacional de Contratación Pública</w:t>
        </w:r>
      </w:hyperlink>
      <w:r w:rsidRPr="009A633C">
        <w:rPr>
          <w:rFonts w:ascii="Verdana" w:eastAsia="Times New Roman" w:hAnsi="Verdana" w:cs="Times New Roman"/>
          <w:color w:val="000000"/>
          <w:bdr w:val="none" w:sz="0" w:space="0" w:color="auto" w:frame="1"/>
          <w:lang w:eastAsia="es-CO"/>
        </w:rPr>
        <w:t> </w:t>
      </w:r>
    </w:p>
    <w:p w14:paraId="0621C74C" w14:textId="77777777" w:rsidR="00B6445D" w:rsidRPr="009A633C" w:rsidRDefault="00B6445D" w:rsidP="00B6445D">
      <w:pPr>
        <w:numPr>
          <w:ilvl w:val="0"/>
          <w:numId w:val="7"/>
        </w:numPr>
        <w:spacing w:after="0" w:line="276" w:lineRule="auto"/>
        <w:jc w:val="both"/>
        <w:rPr>
          <w:rFonts w:ascii="Verdana" w:eastAsia="Times New Roman" w:hAnsi="Verdana" w:cs="Times New Roman"/>
          <w:color w:val="000000"/>
          <w:bdr w:val="none" w:sz="0" w:space="0" w:color="auto" w:frame="1"/>
          <w:lang w:eastAsia="es-CO"/>
        </w:rPr>
      </w:pPr>
      <w:r w:rsidRPr="009A633C">
        <w:rPr>
          <w:rFonts w:ascii="Verdana" w:eastAsia="Times New Roman" w:hAnsi="Verdana" w:cs="Times New Roman"/>
          <w:b/>
          <w:bCs/>
          <w:color w:val="000000"/>
          <w:bdr w:val="none" w:sz="0" w:space="0" w:color="auto" w:frame="1"/>
          <w:lang w:eastAsia="es-CO"/>
        </w:rPr>
        <w:t>Documentos tipo para los procesos de selección de consultoría de obra pública de infraestructura de transporte – versión 2:</w:t>
      </w:r>
      <w:r w:rsidRPr="009A633C">
        <w:rPr>
          <w:rFonts w:ascii="Verdana" w:eastAsia="Times New Roman" w:hAnsi="Verdana" w:cs="Times New Roman"/>
          <w:color w:val="000000"/>
          <w:bdr w:val="none" w:sz="0" w:space="0" w:color="auto" w:frame="1"/>
          <w:lang w:eastAsia="es-CO"/>
        </w:rPr>
        <w:t> </w:t>
      </w:r>
      <w:hyperlink r:id="rId14" w:tgtFrame="_blank" w:history="1">
        <w:r w:rsidRPr="009A633C">
          <w:rPr>
            <w:rFonts w:ascii="Verdana" w:eastAsia="Times New Roman" w:hAnsi="Verdana" w:cs="Times New Roman"/>
            <w:color w:val="0000FF"/>
            <w:u w:val="single"/>
            <w:bdr w:val="none" w:sz="0" w:space="0" w:color="auto" w:frame="1"/>
            <w:lang w:eastAsia="es-CO"/>
          </w:rPr>
          <w:t>02. Documentos tipo para los procesos de selección de consultoría de obra pública de infraestructura de transporte – versión 2. | Colombia Compra Eficiente | Agencia Nacional de Contratación Pública</w:t>
        </w:r>
      </w:hyperlink>
      <w:r w:rsidRPr="009A633C">
        <w:rPr>
          <w:rFonts w:ascii="Verdana" w:eastAsia="Times New Roman" w:hAnsi="Verdana" w:cs="Times New Roman"/>
          <w:color w:val="000000"/>
          <w:bdr w:val="none" w:sz="0" w:space="0" w:color="auto" w:frame="1"/>
          <w:lang w:eastAsia="es-CO"/>
        </w:rPr>
        <w:t> </w:t>
      </w:r>
    </w:p>
    <w:p w14:paraId="58E76F7F" w14:textId="77777777" w:rsidR="00B6445D" w:rsidRPr="009A633C" w:rsidRDefault="00B6445D" w:rsidP="00B6445D">
      <w:pPr>
        <w:spacing w:after="0" w:line="276" w:lineRule="auto"/>
        <w:ind w:left="720"/>
        <w:jc w:val="both"/>
        <w:rPr>
          <w:rFonts w:ascii="Verdana" w:eastAsia="Times New Roman" w:hAnsi="Verdana" w:cs="Times New Roman"/>
          <w:color w:val="000000"/>
          <w:bdr w:val="none" w:sz="0" w:space="0" w:color="auto" w:frame="1"/>
          <w:lang w:eastAsia="es-CO"/>
        </w:rPr>
      </w:pPr>
    </w:p>
    <w:p w14:paraId="41AD4084" w14:textId="77777777" w:rsidR="00B6445D" w:rsidRPr="009A633C" w:rsidRDefault="00B6445D" w:rsidP="00B6445D">
      <w:pPr>
        <w:spacing w:after="0" w:line="276" w:lineRule="auto"/>
        <w:jc w:val="both"/>
        <w:rPr>
          <w:rFonts w:ascii="Verdana" w:eastAsia="Times New Roman" w:hAnsi="Verdana" w:cs="Times New Roman"/>
          <w:color w:val="000000"/>
          <w:bdr w:val="none" w:sz="0" w:space="0" w:color="auto" w:frame="1"/>
          <w:lang w:eastAsia="es-CO"/>
        </w:rPr>
      </w:pPr>
      <w:r w:rsidRPr="009A633C">
        <w:rPr>
          <w:rFonts w:ascii="Verdana" w:eastAsia="Times New Roman" w:hAnsi="Verdana" w:cs="Times New Roman"/>
          <w:color w:val="000000"/>
          <w:bdr w:val="none" w:sz="0" w:space="0" w:color="auto" w:frame="1"/>
          <w:lang w:eastAsia="es-CO"/>
        </w:rPr>
        <w:t>También, le contamos que ya publicamos </w:t>
      </w:r>
      <w:r w:rsidRPr="009A633C">
        <w:rPr>
          <w:rFonts w:ascii="Verdana" w:eastAsia="Times New Roman" w:hAnsi="Verdana" w:cs="Times New Roman"/>
          <w:b/>
          <w:bCs/>
          <w:color w:val="000000"/>
          <w:bdr w:val="none" w:sz="0" w:space="0" w:color="auto" w:frame="1"/>
          <w:lang w:eastAsia="es-CO"/>
        </w:rPr>
        <w:t>la nueva Guía de Contratación Pública Sostenible y Socialmente Responsable</w:t>
      </w:r>
      <w:r w:rsidRPr="009A633C">
        <w:rPr>
          <w:rFonts w:ascii="Verdana" w:eastAsia="Times New Roman" w:hAnsi="Verdana" w:cs="Times New Roman"/>
          <w:color w:val="000000"/>
          <w:bdr w:val="none" w:sz="0" w:space="0" w:color="auto" w:frame="1"/>
          <w:lang w:eastAsia="es-CO"/>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gtFrame="_blank" w:history="1">
        <w:r w:rsidRPr="009A633C">
          <w:rPr>
            <w:rFonts w:ascii="Verdana" w:eastAsia="Times New Roman" w:hAnsi="Verdana" w:cs="Times New Roman"/>
            <w:color w:val="0000FF"/>
            <w:u w:val="single"/>
            <w:bdr w:val="none" w:sz="0" w:space="0" w:color="auto" w:frame="1"/>
            <w:lang w:eastAsia="es-CO"/>
          </w:rPr>
          <w:t>Guía de Contratación Pública Sostenible y Socialmente Responsable | Colombia Compra Eficiente | Agencia Nacional de Contratación Pública</w:t>
        </w:r>
      </w:hyperlink>
      <w:r w:rsidRPr="009A633C">
        <w:rPr>
          <w:rFonts w:ascii="Verdana" w:eastAsia="Times New Roman" w:hAnsi="Verdana" w:cs="Times New Roman"/>
          <w:color w:val="000000"/>
          <w:bdr w:val="none" w:sz="0" w:space="0" w:color="auto" w:frame="1"/>
          <w:lang w:eastAsia="es-CO"/>
        </w:rPr>
        <w:t> </w:t>
      </w:r>
    </w:p>
    <w:p w14:paraId="2E90D894" w14:textId="77777777" w:rsidR="00B6445D" w:rsidRPr="009A633C" w:rsidRDefault="00B6445D" w:rsidP="00B6445D">
      <w:pPr>
        <w:spacing w:after="0" w:line="240" w:lineRule="auto"/>
        <w:jc w:val="both"/>
        <w:rPr>
          <w:rFonts w:ascii="Verdana" w:eastAsia="Times New Roman" w:hAnsi="Verdana" w:cs="Times New Roman"/>
          <w:color w:val="000000"/>
          <w:bdr w:val="none" w:sz="0" w:space="0" w:color="auto" w:frame="1"/>
          <w:lang w:eastAsia="es-CO"/>
        </w:rPr>
      </w:pPr>
    </w:p>
    <w:p w14:paraId="05D16A54" w14:textId="77777777" w:rsidR="00B6445D" w:rsidRPr="009A633C" w:rsidRDefault="00B6445D" w:rsidP="00B6445D">
      <w:pPr>
        <w:spacing w:after="0" w:line="240" w:lineRule="auto"/>
        <w:jc w:val="both"/>
        <w:rPr>
          <w:rFonts w:ascii="Verdana" w:eastAsia="Aptos" w:hAnsi="Verdana" w:cs="Times New Roman"/>
        </w:rPr>
      </w:pPr>
      <w:r w:rsidRPr="009A633C">
        <w:rPr>
          <w:rFonts w:ascii="Verdana" w:eastAsia="Aptos" w:hAnsi="Verdana" w:cs="Times New Roman"/>
        </w:rPr>
        <w:t xml:space="preserve">Por último, lo invitamos a seguirnos en las redes sociales en las cuales se difunde información institucional: </w:t>
      </w:r>
    </w:p>
    <w:p w14:paraId="4DE8D3B5" w14:textId="77777777" w:rsidR="00B6445D" w:rsidRPr="009A633C" w:rsidRDefault="00B6445D" w:rsidP="00B6445D">
      <w:pPr>
        <w:spacing w:after="0" w:line="240" w:lineRule="auto"/>
        <w:jc w:val="both"/>
        <w:rPr>
          <w:rFonts w:ascii="Verdana" w:eastAsia="Aptos" w:hAnsi="Verdana" w:cs="Times New Roman"/>
        </w:rPr>
      </w:pPr>
    </w:p>
    <w:p w14:paraId="780EB39F" w14:textId="77777777" w:rsidR="00B6445D" w:rsidRPr="009A633C" w:rsidRDefault="00B6445D" w:rsidP="00B6445D">
      <w:pPr>
        <w:spacing w:after="0" w:line="240" w:lineRule="auto"/>
        <w:jc w:val="both"/>
        <w:rPr>
          <w:rFonts w:ascii="Verdana" w:eastAsia="Aptos" w:hAnsi="Verdana" w:cs="Times New Roman"/>
        </w:rPr>
      </w:pPr>
      <w:r w:rsidRPr="009A633C">
        <w:rPr>
          <w:rFonts w:ascii="Verdana" w:eastAsia="Aptos" w:hAnsi="Verdana" w:cs="Times New Roman"/>
        </w:rPr>
        <w:t xml:space="preserve">Twitter: </w:t>
      </w:r>
      <w:r w:rsidRPr="009A633C">
        <w:rPr>
          <w:rFonts w:ascii="Verdana" w:eastAsia="Aptos" w:hAnsi="Verdana" w:cs="Arial"/>
          <w:color w:val="0000FF"/>
          <w:u w:val="single"/>
          <w:shd w:val="clear" w:color="auto" w:fill="FFFFFF"/>
          <w:lang w:val="es-ES"/>
        </w:rPr>
        <w:t>@colombiacompra</w:t>
      </w:r>
      <w:r w:rsidRPr="009A633C">
        <w:rPr>
          <w:rFonts w:ascii="Verdana" w:eastAsia="Aptos" w:hAnsi="Verdana" w:cs="Times New Roman"/>
          <w:color w:val="156082"/>
        </w:rPr>
        <w:t xml:space="preserve"> </w:t>
      </w:r>
    </w:p>
    <w:p w14:paraId="670DD80A" w14:textId="77777777" w:rsidR="00B6445D" w:rsidRPr="009A633C" w:rsidRDefault="00B6445D" w:rsidP="00B6445D">
      <w:pPr>
        <w:spacing w:after="0" w:line="240" w:lineRule="auto"/>
        <w:jc w:val="both"/>
        <w:rPr>
          <w:rFonts w:ascii="Verdana" w:eastAsia="Aptos" w:hAnsi="Verdana" w:cs="Times New Roman"/>
        </w:rPr>
      </w:pPr>
      <w:r w:rsidRPr="009A633C">
        <w:rPr>
          <w:rFonts w:ascii="Verdana" w:eastAsia="Aptos" w:hAnsi="Verdana" w:cs="Times New Roman"/>
        </w:rPr>
        <w:t xml:space="preserve">Facebook: </w:t>
      </w:r>
      <w:r w:rsidRPr="009A633C">
        <w:rPr>
          <w:rFonts w:ascii="Verdana" w:eastAsia="Aptos" w:hAnsi="Verdana" w:cs="Arial"/>
          <w:color w:val="0000FF"/>
          <w:u w:val="single"/>
          <w:shd w:val="clear" w:color="auto" w:fill="FFFFFF"/>
          <w:lang w:val="es-ES"/>
        </w:rPr>
        <w:t>ColombiaCompraEficiente</w:t>
      </w:r>
    </w:p>
    <w:p w14:paraId="1925EC73" w14:textId="77777777" w:rsidR="00B6445D" w:rsidRPr="009A633C" w:rsidRDefault="00B6445D" w:rsidP="00B6445D">
      <w:pPr>
        <w:spacing w:after="0" w:line="240" w:lineRule="auto"/>
        <w:jc w:val="both"/>
        <w:rPr>
          <w:rFonts w:ascii="Verdana" w:eastAsia="Aptos" w:hAnsi="Verdana" w:cs="Times New Roman"/>
        </w:rPr>
      </w:pPr>
      <w:r w:rsidRPr="009A633C">
        <w:rPr>
          <w:rFonts w:ascii="Verdana" w:eastAsia="Aptos" w:hAnsi="Verdana" w:cs="Times New Roman"/>
        </w:rPr>
        <w:t xml:space="preserve">LinkedIn: </w:t>
      </w:r>
      <w:r w:rsidRPr="009A633C">
        <w:rPr>
          <w:rFonts w:ascii="Verdana" w:eastAsia="Aptos" w:hAnsi="Verdana" w:cs="Arial"/>
          <w:color w:val="0000FF"/>
          <w:u w:val="single"/>
          <w:shd w:val="clear" w:color="auto" w:fill="FFFFFF"/>
          <w:lang w:val="es-ES"/>
        </w:rPr>
        <w:t>Agencia Nacional de Contratación Pública - Colombia Compra Eficiente</w:t>
      </w:r>
      <w:r w:rsidRPr="009A633C">
        <w:rPr>
          <w:rFonts w:ascii="Verdana" w:eastAsia="Aptos" w:hAnsi="Verdana" w:cs="Times New Roman"/>
          <w:color w:val="156082"/>
        </w:rPr>
        <w:t xml:space="preserve"> </w:t>
      </w:r>
      <w:r w:rsidRPr="009A633C">
        <w:rPr>
          <w:rFonts w:ascii="Verdana" w:eastAsia="Aptos" w:hAnsi="Verdana" w:cs="Times New Roman"/>
        </w:rPr>
        <w:t xml:space="preserve">Instagram: </w:t>
      </w:r>
      <w:r w:rsidRPr="009A633C">
        <w:rPr>
          <w:rFonts w:ascii="Verdana" w:eastAsia="Aptos" w:hAnsi="Verdana" w:cs="Arial"/>
          <w:color w:val="0000FF"/>
          <w:u w:val="single"/>
          <w:shd w:val="clear" w:color="auto" w:fill="FFFFFF"/>
          <w:lang w:val="es-ES"/>
        </w:rPr>
        <w:t>@colombiacompraeficiente_cce</w:t>
      </w:r>
    </w:p>
    <w:p w14:paraId="5EECB212" w14:textId="77777777" w:rsidR="00B6445D" w:rsidRPr="009A633C" w:rsidRDefault="00B6445D" w:rsidP="00B6445D">
      <w:pPr>
        <w:widowControl w:val="0"/>
        <w:autoSpaceDE w:val="0"/>
        <w:autoSpaceDN w:val="0"/>
        <w:spacing w:after="0" w:line="276" w:lineRule="auto"/>
        <w:jc w:val="both"/>
        <w:rPr>
          <w:rFonts w:ascii="Verdana" w:eastAsia="Aptos" w:hAnsi="Verdana" w:cs="Arial"/>
        </w:rPr>
      </w:pPr>
    </w:p>
    <w:p w14:paraId="39784284" w14:textId="77777777" w:rsidR="00B6445D" w:rsidRPr="009A633C" w:rsidRDefault="00B6445D" w:rsidP="00B6445D">
      <w:pPr>
        <w:widowControl w:val="0"/>
        <w:autoSpaceDE w:val="0"/>
        <w:autoSpaceDN w:val="0"/>
        <w:spacing w:after="0" w:line="276" w:lineRule="auto"/>
        <w:jc w:val="both"/>
        <w:rPr>
          <w:rFonts w:ascii="Verdana" w:eastAsia="Aptos" w:hAnsi="Verdana" w:cs="Arial"/>
          <w:lang w:val="es-ES_tradnl"/>
        </w:rPr>
      </w:pPr>
      <w:r w:rsidRPr="009A633C">
        <w:rPr>
          <w:rFonts w:ascii="Verdana" w:eastAsia="Aptos" w:hAnsi="Verdana" w:cs="Arial"/>
        </w:rPr>
        <w:t xml:space="preserve">Este concepto tiene el alcance previsto en el artículo 28 del Código de Procedimiento Administrativo y de lo Contencioso Administrativo </w:t>
      </w:r>
      <w:r w:rsidRPr="009A633C">
        <w:rPr>
          <w:rFonts w:ascii="Verdana" w:eastAsia="Aptos" w:hAnsi="Verdana" w:cs="Arial"/>
          <w:lang w:val="es-ES_tradnl"/>
        </w:rPr>
        <w:t>y las expresiones aquí utilizadas con mayúscula inicial deben ser entendidas con el significado que les otorga el artículo 2.2.1.1.1.3.1. del Decreto 1082 de 2015.</w:t>
      </w:r>
    </w:p>
    <w:p w14:paraId="559CA3F5" w14:textId="77777777" w:rsidR="00B6445D" w:rsidRPr="009A633C" w:rsidRDefault="00B6445D" w:rsidP="00B6445D">
      <w:pPr>
        <w:widowControl w:val="0"/>
        <w:autoSpaceDE w:val="0"/>
        <w:autoSpaceDN w:val="0"/>
        <w:spacing w:after="0" w:line="276" w:lineRule="auto"/>
        <w:jc w:val="both"/>
        <w:rPr>
          <w:rFonts w:ascii="Verdana" w:eastAsia="Aptos" w:hAnsi="Verdana" w:cs="Arial"/>
        </w:rPr>
      </w:pPr>
    </w:p>
    <w:p w14:paraId="754ADE52" w14:textId="77777777" w:rsidR="00B6445D" w:rsidRPr="009A633C" w:rsidRDefault="00B6445D" w:rsidP="00B6445D">
      <w:pPr>
        <w:spacing w:after="0" w:line="240" w:lineRule="auto"/>
        <w:rPr>
          <w:rFonts w:ascii="Verdana" w:eastAsia="Aptos" w:hAnsi="Verdana" w:cs="Arial"/>
          <w:lang w:eastAsia="es-CO"/>
        </w:rPr>
      </w:pPr>
      <w:r w:rsidRPr="009A633C">
        <w:rPr>
          <w:rFonts w:ascii="Verdana" w:eastAsia="Times New Roman" w:hAnsi="Verdana" w:cs="Arial"/>
          <w:lang w:eastAsia="es-CO"/>
        </w:rPr>
        <w:t>Atentamente,</w:t>
      </w:r>
      <w:r w:rsidRPr="009A633C">
        <w:rPr>
          <w:rFonts w:ascii="Verdana" w:eastAsia="Aptos" w:hAnsi="Verdana" w:cs="Arial"/>
          <w:lang w:eastAsia="es-CO"/>
        </w:rPr>
        <w:t xml:space="preserve"> </w:t>
      </w:r>
    </w:p>
    <w:p w14:paraId="543FD458" w14:textId="4BDFCBB4" w:rsidR="00B6445D" w:rsidRPr="009A633C" w:rsidRDefault="007C372A" w:rsidP="00B6445D">
      <w:pPr>
        <w:spacing w:line="276" w:lineRule="auto"/>
        <w:jc w:val="center"/>
        <w:rPr>
          <w:rFonts w:ascii="Verdana" w:eastAsia="Aptos" w:hAnsi="Verdana" w:cs="Arial"/>
          <w:lang w:val="es-ES_tradnl" w:eastAsia="es-CO"/>
        </w:rPr>
      </w:pPr>
      <w:r w:rsidRPr="007C372A">
        <w:rPr>
          <w:rFonts w:ascii="Verdana" w:eastAsia="Aptos" w:hAnsi="Verdana" w:cs="Arial"/>
          <w:lang w:eastAsia="es-CO"/>
        </w:rPr>
        <w:lastRenderedPageBreak/>
        <w:drawing>
          <wp:inline distT="0" distB="0" distL="0" distR="0" wp14:anchorId="0ACC0492" wp14:editId="5A8DFBA1">
            <wp:extent cx="3771900" cy="1400175"/>
            <wp:effectExtent l="0" t="0" r="0" b="9525"/>
            <wp:docPr id="269389311"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r w:rsidRPr="007C372A">
        <w:rPr>
          <w:rFonts w:ascii="Verdana" w:eastAsia="Aptos" w:hAnsi="Verdana" w:cs="Arial"/>
          <w:lang w:eastAsia="es-CO"/>
        </w:rPr>
        <w:br/>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B6445D" w:rsidRPr="009A633C" w14:paraId="6998A04F" w14:textId="77777777" w:rsidTr="00B6445D">
        <w:trPr>
          <w:trHeight w:val="286"/>
        </w:trPr>
        <w:tc>
          <w:tcPr>
            <w:tcW w:w="901" w:type="dxa"/>
            <w:vAlign w:val="center"/>
            <w:hideMark/>
          </w:tcPr>
          <w:p w14:paraId="2FC204D1" w14:textId="77777777" w:rsidR="00B6445D" w:rsidRPr="009A633C" w:rsidRDefault="00B6445D" w:rsidP="00B6445D">
            <w:pPr>
              <w:rPr>
                <w:rFonts w:ascii="Verdana" w:eastAsia="Aptos" w:hAnsi="Verdana" w:cs="Arial"/>
                <w:sz w:val="14"/>
                <w:szCs w:val="14"/>
                <w:lang w:eastAsia="es-ES"/>
              </w:rPr>
            </w:pPr>
            <w:r w:rsidRPr="009A633C">
              <w:rPr>
                <w:rFonts w:ascii="Verdana" w:eastAsia="Aptos"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413F9F64" w14:textId="77777777" w:rsidR="00B6445D" w:rsidRPr="009A633C" w:rsidRDefault="00B6445D" w:rsidP="00B6445D">
            <w:pPr>
              <w:rPr>
                <w:rFonts w:ascii="Verdana" w:eastAsia="Aptos" w:hAnsi="Verdana" w:cs="Arial"/>
                <w:sz w:val="14"/>
                <w:szCs w:val="14"/>
                <w:lang w:eastAsia="es-ES"/>
              </w:rPr>
            </w:pPr>
            <w:r w:rsidRPr="009A633C">
              <w:rPr>
                <w:rFonts w:ascii="Verdana" w:eastAsia="Aptos" w:hAnsi="Verdana" w:cs="Arial"/>
                <w:sz w:val="14"/>
                <w:szCs w:val="14"/>
                <w:lang w:eastAsia="es-ES"/>
              </w:rPr>
              <w:t>Nasly Yeana Mosquera Rivas</w:t>
            </w:r>
          </w:p>
          <w:p w14:paraId="40D29486" w14:textId="77777777" w:rsidR="00B6445D" w:rsidRPr="009A633C" w:rsidRDefault="00B6445D" w:rsidP="00B6445D">
            <w:pPr>
              <w:rPr>
                <w:rFonts w:ascii="Verdana" w:eastAsia="Aptos" w:hAnsi="Verdana" w:cs="Arial"/>
                <w:sz w:val="14"/>
                <w:szCs w:val="14"/>
                <w:lang w:eastAsia="es-ES"/>
              </w:rPr>
            </w:pPr>
            <w:r w:rsidRPr="009A633C">
              <w:rPr>
                <w:rFonts w:ascii="Verdana" w:eastAsia="Aptos" w:hAnsi="Verdana" w:cs="Arial"/>
                <w:sz w:val="14"/>
                <w:szCs w:val="14"/>
                <w:lang w:eastAsia="es-ES"/>
              </w:rPr>
              <w:t>Analista T2–06 de la Subdirección de Gestión Contractual</w:t>
            </w:r>
          </w:p>
        </w:tc>
      </w:tr>
      <w:tr w:rsidR="00B6445D" w:rsidRPr="009A633C" w14:paraId="0645219E" w14:textId="77777777" w:rsidTr="00B6445D">
        <w:trPr>
          <w:trHeight w:val="299"/>
        </w:trPr>
        <w:tc>
          <w:tcPr>
            <w:tcW w:w="901" w:type="dxa"/>
            <w:vAlign w:val="center"/>
          </w:tcPr>
          <w:p w14:paraId="1F4AE96B" w14:textId="77777777" w:rsidR="00B6445D" w:rsidRPr="009A633C" w:rsidRDefault="00B6445D" w:rsidP="00B6445D">
            <w:pPr>
              <w:rPr>
                <w:rFonts w:ascii="Verdana" w:eastAsia="Aptos" w:hAnsi="Verdana" w:cs="Arial"/>
                <w:sz w:val="14"/>
                <w:szCs w:val="14"/>
                <w:lang w:eastAsia="es-ES"/>
              </w:rPr>
            </w:pPr>
            <w:r w:rsidRPr="009A633C">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17E964DF" w14:textId="77777777" w:rsidR="00B6445D" w:rsidRPr="009A633C" w:rsidRDefault="00B6445D" w:rsidP="00B6445D">
            <w:pPr>
              <w:rPr>
                <w:rFonts w:ascii="Verdana" w:eastAsia="Aptos" w:hAnsi="Verdana" w:cs="Arial"/>
                <w:sz w:val="14"/>
                <w:szCs w:val="14"/>
                <w:lang w:eastAsia="es-ES"/>
              </w:rPr>
            </w:pPr>
            <w:r w:rsidRPr="009A633C">
              <w:rPr>
                <w:rFonts w:ascii="Verdana" w:eastAsia="Aptos" w:hAnsi="Verdana" w:cs="Arial"/>
                <w:sz w:val="14"/>
                <w:szCs w:val="14"/>
                <w:lang w:eastAsia="es-ES"/>
              </w:rPr>
              <w:t xml:space="preserve">Juan Carlos Gonzáles Vásquez </w:t>
            </w:r>
          </w:p>
          <w:p w14:paraId="6FCF7EEC" w14:textId="77777777" w:rsidR="00B6445D" w:rsidRPr="009A633C" w:rsidRDefault="00B6445D" w:rsidP="00B6445D">
            <w:pPr>
              <w:rPr>
                <w:rFonts w:ascii="Verdana" w:eastAsia="Aptos" w:hAnsi="Verdana" w:cs="Arial"/>
                <w:sz w:val="14"/>
                <w:szCs w:val="14"/>
                <w:lang w:eastAsia="es-ES"/>
              </w:rPr>
            </w:pPr>
            <w:r w:rsidRPr="009A633C">
              <w:rPr>
                <w:rFonts w:ascii="Verdana" w:eastAsia="Aptos" w:hAnsi="Verdana" w:cs="Arial"/>
                <w:sz w:val="14"/>
                <w:szCs w:val="14"/>
                <w:lang w:eastAsia="es-ES"/>
              </w:rPr>
              <w:t>Contratista de la Subdirección de Gestión Contractual</w:t>
            </w:r>
          </w:p>
        </w:tc>
      </w:tr>
      <w:tr w:rsidR="00B6445D" w:rsidRPr="009A633C" w14:paraId="38C22146" w14:textId="77777777" w:rsidTr="00B6445D">
        <w:trPr>
          <w:trHeight w:val="272"/>
        </w:trPr>
        <w:tc>
          <w:tcPr>
            <w:tcW w:w="901" w:type="dxa"/>
            <w:vAlign w:val="center"/>
            <w:hideMark/>
          </w:tcPr>
          <w:p w14:paraId="252763DF" w14:textId="77777777" w:rsidR="00B6445D" w:rsidRPr="009A633C" w:rsidRDefault="00B6445D" w:rsidP="00B6445D">
            <w:pPr>
              <w:rPr>
                <w:rFonts w:ascii="Verdana" w:eastAsia="Aptos" w:hAnsi="Verdana" w:cs="Arial"/>
                <w:sz w:val="14"/>
                <w:szCs w:val="14"/>
                <w:lang w:eastAsia="es-ES"/>
              </w:rPr>
            </w:pPr>
            <w:r w:rsidRPr="009A633C">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732F21B3" w14:textId="77777777" w:rsidR="00B6445D" w:rsidRPr="009A633C" w:rsidRDefault="00B6445D" w:rsidP="00B6445D">
            <w:pPr>
              <w:rPr>
                <w:rFonts w:ascii="Verdana" w:eastAsia="Aptos" w:hAnsi="Verdana" w:cs="Arial"/>
                <w:sz w:val="14"/>
                <w:szCs w:val="14"/>
                <w:lang w:eastAsia="es-ES"/>
              </w:rPr>
            </w:pPr>
            <w:r w:rsidRPr="009A633C">
              <w:rPr>
                <w:rFonts w:ascii="Verdana" w:eastAsia="Aptos" w:hAnsi="Verdana" w:cs="Arial"/>
                <w:sz w:val="14"/>
                <w:szCs w:val="14"/>
                <w:lang w:eastAsia="es-ES"/>
              </w:rPr>
              <w:t>Carolina Quintero Gacharná</w:t>
            </w:r>
          </w:p>
          <w:p w14:paraId="722CB900" w14:textId="77777777" w:rsidR="00B6445D" w:rsidRPr="009A633C" w:rsidRDefault="00B6445D" w:rsidP="00B6445D">
            <w:pPr>
              <w:rPr>
                <w:rFonts w:ascii="Verdana" w:eastAsia="Aptos" w:hAnsi="Verdana" w:cs="Arial"/>
                <w:sz w:val="14"/>
                <w:szCs w:val="14"/>
                <w:lang w:eastAsia="es-ES"/>
              </w:rPr>
            </w:pPr>
            <w:r w:rsidRPr="009A633C">
              <w:rPr>
                <w:rFonts w:ascii="Verdana" w:eastAsia="Aptos" w:hAnsi="Verdana" w:cs="Arial"/>
                <w:sz w:val="14"/>
                <w:szCs w:val="14"/>
                <w:lang w:eastAsia="es-ES"/>
              </w:rPr>
              <w:t>Subdirectora de Gestión Contractual ANCP – CCE</w:t>
            </w:r>
          </w:p>
        </w:tc>
      </w:tr>
      <w:tr w:rsidR="00B6445D" w:rsidRPr="009A633C" w14:paraId="765FF991" w14:textId="77777777" w:rsidTr="00B6445D">
        <w:trPr>
          <w:trHeight w:val="272"/>
        </w:trPr>
        <w:tc>
          <w:tcPr>
            <w:tcW w:w="901" w:type="dxa"/>
            <w:vAlign w:val="center"/>
          </w:tcPr>
          <w:p w14:paraId="0A83400B" w14:textId="77777777" w:rsidR="00B6445D" w:rsidRPr="009A633C" w:rsidRDefault="00B6445D" w:rsidP="00B6445D">
            <w:pPr>
              <w:rPr>
                <w:rFonts w:ascii="Verdana" w:eastAsia="Aptos" w:hAnsi="Verdana" w:cs="Arial"/>
                <w:sz w:val="14"/>
                <w:szCs w:val="14"/>
                <w:lang w:eastAsia="es-ES"/>
              </w:rPr>
            </w:pPr>
            <w:r w:rsidRPr="009A633C">
              <w:rPr>
                <w:rFonts w:ascii="Verdana" w:eastAsia="Aptos" w:hAnsi="Verdana" w:cs="Arial"/>
                <w:sz w:val="14"/>
                <w:szCs w:val="14"/>
                <w:lang w:eastAsia="es-ES"/>
              </w:rPr>
              <w:t>Anexos:</w:t>
            </w:r>
          </w:p>
        </w:tc>
        <w:tc>
          <w:tcPr>
            <w:tcW w:w="4344" w:type="dxa"/>
            <w:tcBorders>
              <w:top w:val="dotted" w:sz="4" w:space="0" w:color="7F7F7F"/>
              <w:left w:val="nil"/>
              <w:bottom w:val="dotted" w:sz="4" w:space="0" w:color="7F7F7F"/>
              <w:right w:val="nil"/>
            </w:tcBorders>
            <w:vAlign w:val="center"/>
          </w:tcPr>
          <w:p w14:paraId="683C8FA7" w14:textId="77777777" w:rsidR="00B6445D" w:rsidRPr="009A633C" w:rsidRDefault="00B6445D" w:rsidP="00B6445D">
            <w:pPr>
              <w:rPr>
                <w:rFonts w:ascii="Verdana" w:eastAsia="Aptos" w:hAnsi="Verdana" w:cs="Arial"/>
                <w:sz w:val="14"/>
                <w:szCs w:val="14"/>
                <w:lang w:eastAsia="es-ES"/>
              </w:rPr>
            </w:pPr>
            <w:r w:rsidRPr="009A633C">
              <w:rPr>
                <w:rFonts w:ascii="Verdana" w:eastAsia="Aptos" w:hAnsi="Verdana" w:cs="Arial"/>
                <w:sz w:val="14"/>
                <w:szCs w:val="14"/>
                <w:lang w:eastAsia="es-ES"/>
              </w:rPr>
              <w:t>Oficio con Radicado No. RS20250401003135</w:t>
            </w:r>
          </w:p>
        </w:tc>
      </w:tr>
    </w:tbl>
    <w:p w14:paraId="5AF63233" w14:textId="77777777" w:rsidR="00B6445D" w:rsidRPr="009A633C" w:rsidRDefault="00B6445D" w:rsidP="00B6445D">
      <w:pPr>
        <w:spacing w:after="0" w:line="240" w:lineRule="auto"/>
        <w:rPr>
          <w:rFonts w:ascii="Verdana" w:eastAsia="Times New Roman" w:hAnsi="Verdana" w:cs="Arial"/>
          <w:sz w:val="24"/>
          <w:szCs w:val="24"/>
          <w:lang w:eastAsia="es-ES"/>
        </w:rPr>
      </w:pPr>
    </w:p>
    <w:p w14:paraId="31F0B88D" w14:textId="77777777" w:rsidR="00B6445D" w:rsidRPr="009A633C" w:rsidRDefault="00B6445D" w:rsidP="00B6445D">
      <w:pPr>
        <w:rPr>
          <w:rFonts w:ascii="Verdana" w:eastAsia="Aptos" w:hAnsi="Verdana" w:cs="Times New Roman"/>
        </w:rPr>
      </w:pPr>
    </w:p>
    <w:p w14:paraId="7AE4D3E2" w14:textId="77777777" w:rsidR="00B6445D" w:rsidRPr="009A633C" w:rsidRDefault="00B6445D" w:rsidP="00B6445D">
      <w:pPr>
        <w:rPr>
          <w:rFonts w:ascii="Verdana" w:eastAsia="Aptos" w:hAnsi="Verdana" w:cs="Times New Roman"/>
        </w:rPr>
      </w:pPr>
    </w:p>
    <w:p w14:paraId="5DF6DCAC" w14:textId="77777777" w:rsidR="008E5C2E" w:rsidRDefault="008E5C2E"/>
    <w:sectPr w:rsidR="008E5C2E" w:rsidSect="00B6445D">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2C691" w14:textId="77777777" w:rsidR="00B6445D" w:rsidRDefault="00B6445D" w:rsidP="00B6445D">
      <w:pPr>
        <w:spacing w:after="0" w:line="240" w:lineRule="auto"/>
      </w:pPr>
      <w:r>
        <w:separator/>
      </w:r>
    </w:p>
  </w:endnote>
  <w:endnote w:type="continuationSeparator" w:id="0">
    <w:p w14:paraId="0FB63EAE" w14:textId="77777777" w:rsidR="00B6445D" w:rsidRDefault="00B6445D" w:rsidP="00B64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DE9BB" w14:textId="77777777" w:rsidR="00B6445D" w:rsidRDefault="00B6445D">
    <w:pPr>
      <w:pStyle w:val="Piedepgina"/>
    </w:pPr>
  </w:p>
  <w:p w14:paraId="2F1C9E66" w14:textId="77777777" w:rsidR="00B6445D" w:rsidRPr="00174B77" w:rsidRDefault="00B6445D" w:rsidP="00B6445D">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9A633C">
      <w:rPr>
        <w:rFonts w:ascii="Verdana" w:eastAsia="Times New Roman" w:hAnsi="Verdana" w:cs="Times New Roman"/>
        <w:b/>
        <w:bCs/>
        <w:sz w:val="16"/>
        <w:szCs w:val="16"/>
        <w:lang w:val="es-ES"/>
      </w:rPr>
      <w:t xml:space="preserve">pág. </w:t>
    </w:r>
    <w:r w:rsidRPr="009A633C">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9A633C">
      <w:rPr>
        <w:rFonts w:ascii="Verdana" w:eastAsia="Times New Roman" w:hAnsi="Verdana"/>
        <w:b/>
        <w:bCs/>
        <w:sz w:val="16"/>
        <w:szCs w:val="16"/>
      </w:rPr>
      <w:fldChar w:fldCharType="separate"/>
    </w:r>
    <w:r w:rsidRPr="009A633C">
      <w:rPr>
        <w:rFonts w:ascii="Verdana" w:eastAsia="Times New Roman" w:hAnsi="Verdana"/>
        <w:b/>
        <w:bCs/>
        <w:sz w:val="16"/>
        <w:szCs w:val="16"/>
      </w:rPr>
      <w:t>1</w:t>
    </w:r>
    <w:r w:rsidRPr="009A633C">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77F58572" w14:textId="77777777" w:rsidR="00B6445D" w:rsidRDefault="00B6445D" w:rsidP="00B6445D">
    <w:pPr>
      <w:spacing w:after="0"/>
      <w:jc w:val="both"/>
      <w:rPr>
        <w:rFonts w:ascii="Verdana" w:hAnsi="Verdana"/>
        <w:sz w:val="18"/>
        <w:szCs w:val="18"/>
      </w:rPr>
    </w:pPr>
    <w:r w:rsidRPr="00E41027">
      <w:rPr>
        <w:rFonts w:ascii="Verdana" w:hAnsi="Verdana"/>
        <w:sz w:val="18"/>
        <w:szCs w:val="18"/>
      </w:rPr>
      <w:t>Dirección: Carrera 7 # 26 – 20 - Bogotá, Colombia</w:t>
    </w:r>
  </w:p>
  <w:p w14:paraId="210D50D0" w14:textId="77777777" w:rsidR="00B6445D" w:rsidRPr="00E41027" w:rsidRDefault="00B6445D" w:rsidP="00B6445D">
    <w:pPr>
      <w:spacing w:after="0"/>
      <w:jc w:val="both"/>
      <w:rPr>
        <w:rFonts w:ascii="Verdana" w:hAnsi="Verdana"/>
        <w:sz w:val="18"/>
        <w:szCs w:val="18"/>
      </w:rPr>
    </w:pPr>
    <w:r w:rsidRPr="00E41027">
      <w:rPr>
        <w:rFonts w:ascii="Verdana" w:hAnsi="Verdana"/>
        <w:sz w:val="18"/>
        <w:szCs w:val="18"/>
      </w:rPr>
      <w:t>Mesa de servicio: (+57) 601 7456788</w:t>
    </w:r>
  </w:p>
  <w:p w14:paraId="16E212B5" w14:textId="77777777" w:rsidR="00B6445D" w:rsidRDefault="00B6445D" w:rsidP="00B6445D">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4B7E9" w14:textId="77777777" w:rsidR="00B6445D" w:rsidRDefault="00B6445D" w:rsidP="00B6445D">
      <w:pPr>
        <w:spacing w:after="0" w:line="240" w:lineRule="auto"/>
      </w:pPr>
      <w:r>
        <w:separator/>
      </w:r>
    </w:p>
  </w:footnote>
  <w:footnote w:type="continuationSeparator" w:id="0">
    <w:p w14:paraId="1A794F38" w14:textId="77777777" w:rsidR="00B6445D" w:rsidRDefault="00B6445D" w:rsidP="00B6445D">
      <w:pPr>
        <w:spacing w:after="0" w:line="240" w:lineRule="auto"/>
      </w:pPr>
      <w:r>
        <w:continuationSeparator/>
      </w:r>
    </w:p>
  </w:footnote>
  <w:footnote w:id="1">
    <w:p w14:paraId="273FB9B6" w14:textId="77777777" w:rsidR="00B6445D" w:rsidRPr="00CB56F1" w:rsidRDefault="00B6445D" w:rsidP="00B6445D">
      <w:pPr>
        <w:pStyle w:val="Textonotapie"/>
        <w:ind w:firstLine="708"/>
        <w:jc w:val="both"/>
        <w:rPr>
          <w:rFonts w:ascii="Century Gothic" w:hAnsi="Century Gothic" w:cs="Arial"/>
          <w:sz w:val="19"/>
          <w:szCs w:val="19"/>
        </w:rPr>
      </w:pPr>
      <w:r w:rsidRPr="00CB56F1">
        <w:rPr>
          <w:rStyle w:val="Refdenotaalpie"/>
          <w:rFonts w:ascii="Century Gothic" w:hAnsi="Century Gothic" w:cs="Arial"/>
          <w:sz w:val="19"/>
          <w:szCs w:val="19"/>
        </w:rPr>
        <w:footnoteRef/>
      </w:r>
      <w:r w:rsidRPr="00CB56F1">
        <w:rPr>
          <w:rFonts w:ascii="Century Gothic" w:hAnsi="Century Gothic" w:cs="Arial"/>
          <w:sz w:val="19"/>
          <w:szCs w:val="19"/>
        </w:rPr>
        <w:t xml:space="preserve"> DROMI, José Roberto. La licitación pública. Buenos Aires: Ciudad Argentina, 1980. pp. 173-174. Para el autor, la aplicación de la causal supone que: i) las prestaciones están amparadas legalmente por un derecho de marca; ii) la necesidad no puede satisfacerse con equivalentes no sujetos a privilegio, pues de los contrario la causal es inaplicable; iii) la necesidad solo pueda satisfacerla el titular de estos derechos, excluyendo que otros aspirantes en condiciones similares también puedan hacerlo; y iv) la existencia de informes técnicos que acrediten la imposibilidad de sustitutos convenientes (Ibidem., p. 174).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44AFD" w14:textId="77777777" w:rsidR="00B6445D" w:rsidRDefault="00B6445D">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301681AF" wp14:editId="6A79D763">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5F48CF5F" wp14:editId="07486A9F">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F7DBDE0" w14:textId="77777777" w:rsidR="00B6445D" w:rsidRDefault="00B6445D">
    <w:pPr>
      <w:pStyle w:val="Encabezado"/>
    </w:pPr>
  </w:p>
  <w:p w14:paraId="25EA1EC8" w14:textId="77777777" w:rsidR="00B6445D" w:rsidRDefault="00B6445D" w:rsidP="00B6445D">
    <w:pPr>
      <w:spacing w:after="0"/>
      <w:rPr>
        <w:rFonts w:ascii="Verdana" w:hAnsi="Verdana"/>
        <w:b/>
        <w:bCs/>
      </w:rPr>
    </w:pPr>
  </w:p>
  <w:p w14:paraId="21ABA16B" w14:textId="77777777" w:rsidR="00B6445D" w:rsidRPr="00DC39FC" w:rsidRDefault="00B6445D" w:rsidP="00B6445D">
    <w:pPr>
      <w:spacing w:after="0"/>
      <w:rPr>
        <w:rFonts w:ascii="Verdana" w:hAnsi="Verdana"/>
        <w:b/>
        <w:bCs/>
      </w:rPr>
    </w:pPr>
    <w:r w:rsidRPr="00DC39FC">
      <w:rPr>
        <w:rFonts w:ascii="Verdana" w:hAnsi="Verdana"/>
        <w:b/>
        <w:bCs/>
      </w:rPr>
      <w:t>FORMATO PQRSD</w:t>
    </w:r>
  </w:p>
  <w:p w14:paraId="505C59A4" w14:textId="77777777" w:rsidR="00B6445D" w:rsidRPr="004A305D" w:rsidRDefault="00B6445D" w:rsidP="00B6445D">
    <w:pPr>
      <w:spacing w:after="0" w:line="120" w:lineRule="auto"/>
      <w:rPr>
        <w:rFonts w:ascii="Century Gothic" w:eastAsia="Geo" w:hAnsi="Century Gothic" w:cs="Geo"/>
        <w:sz w:val="16"/>
        <w:szCs w:val="16"/>
        <w:lang w:eastAsia="es-CO"/>
      </w:rPr>
    </w:pPr>
  </w:p>
  <w:p w14:paraId="01E7C545" w14:textId="77777777" w:rsidR="00B6445D" w:rsidRDefault="00B6445D" w:rsidP="00B6445D">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91606"/>
    <w:multiLevelType w:val="hybridMultilevel"/>
    <w:tmpl w:val="99EA2EB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281C06A5"/>
    <w:multiLevelType w:val="multilevel"/>
    <w:tmpl w:val="450A0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3CF543C8"/>
    <w:multiLevelType w:val="hybridMultilevel"/>
    <w:tmpl w:val="FFBEA57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665F0F68"/>
    <w:multiLevelType w:val="multilevel"/>
    <w:tmpl w:val="7B529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1994FE8"/>
    <w:multiLevelType w:val="hybridMultilevel"/>
    <w:tmpl w:val="96A6F0C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7BCD33FF"/>
    <w:multiLevelType w:val="hybridMultilevel"/>
    <w:tmpl w:val="8870973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679089576">
    <w:abstractNumId w:val="2"/>
  </w:num>
  <w:num w:numId="2" w16cid:durableId="1150177500">
    <w:abstractNumId w:val="3"/>
  </w:num>
  <w:num w:numId="3" w16cid:durableId="1117799111">
    <w:abstractNumId w:val="0"/>
  </w:num>
  <w:num w:numId="4" w16cid:durableId="1016154943">
    <w:abstractNumId w:val="5"/>
  </w:num>
  <w:num w:numId="5" w16cid:durableId="402798698">
    <w:abstractNumId w:val="6"/>
  </w:num>
  <w:num w:numId="6" w16cid:durableId="1518739868">
    <w:abstractNumId w:val="4"/>
  </w:num>
  <w:num w:numId="7" w16cid:durableId="333918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45D"/>
    <w:rsid w:val="005727E1"/>
    <w:rsid w:val="005818E2"/>
    <w:rsid w:val="006011CE"/>
    <w:rsid w:val="006022FC"/>
    <w:rsid w:val="007045C3"/>
    <w:rsid w:val="007C372A"/>
    <w:rsid w:val="008E5C2E"/>
    <w:rsid w:val="00A20230"/>
    <w:rsid w:val="00A50B38"/>
    <w:rsid w:val="00AF2C6A"/>
    <w:rsid w:val="00B6445D"/>
    <w:rsid w:val="00F1211D"/>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31712"/>
  <w15:chartTrackingRefBased/>
  <w15:docId w15:val="{B1F3EF21-0A99-4864-9B6E-914F6627B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445D"/>
    <w:rPr>
      <w:kern w:val="0"/>
      <w14:ligatures w14:val="none"/>
    </w:rPr>
  </w:style>
  <w:style w:type="paragraph" w:styleId="Ttulo1">
    <w:name w:val="heading 1"/>
    <w:basedOn w:val="Normal"/>
    <w:next w:val="Normal"/>
    <w:link w:val="Ttulo1Car"/>
    <w:uiPriority w:val="9"/>
    <w:qFormat/>
    <w:rsid w:val="00B644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644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6445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6445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6445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6445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6445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6445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6445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6445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6445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6445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6445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6445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6445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6445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6445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6445D"/>
    <w:rPr>
      <w:rFonts w:eastAsiaTheme="majorEastAsia" w:cstheme="majorBidi"/>
      <w:color w:val="272727" w:themeColor="text1" w:themeTint="D8"/>
    </w:rPr>
  </w:style>
  <w:style w:type="paragraph" w:styleId="Ttulo">
    <w:name w:val="Title"/>
    <w:basedOn w:val="Normal"/>
    <w:next w:val="Normal"/>
    <w:link w:val="TtuloCar"/>
    <w:uiPriority w:val="10"/>
    <w:qFormat/>
    <w:rsid w:val="00B644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6445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6445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6445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6445D"/>
    <w:pPr>
      <w:spacing w:before="160"/>
      <w:jc w:val="center"/>
    </w:pPr>
    <w:rPr>
      <w:i/>
      <w:iCs/>
      <w:color w:val="404040" w:themeColor="text1" w:themeTint="BF"/>
    </w:rPr>
  </w:style>
  <w:style w:type="character" w:customStyle="1" w:styleId="CitaCar">
    <w:name w:val="Cita Car"/>
    <w:basedOn w:val="Fuentedeprrafopredeter"/>
    <w:link w:val="Cita"/>
    <w:uiPriority w:val="29"/>
    <w:rsid w:val="00B6445D"/>
    <w:rPr>
      <w:i/>
      <w:iCs/>
      <w:color w:val="404040" w:themeColor="text1" w:themeTint="BF"/>
    </w:rPr>
  </w:style>
  <w:style w:type="paragraph" w:styleId="Prrafodelista">
    <w:name w:val="List Paragraph"/>
    <w:basedOn w:val="Normal"/>
    <w:uiPriority w:val="34"/>
    <w:qFormat/>
    <w:rsid w:val="00B6445D"/>
    <w:pPr>
      <w:ind w:left="720"/>
      <w:contextualSpacing/>
    </w:pPr>
  </w:style>
  <w:style w:type="character" w:styleId="nfasisintenso">
    <w:name w:val="Intense Emphasis"/>
    <w:basedOn w:val="Fuentedeprrafopredeter"/>
    <w:uiPriority w:val="21"/>
    <w:qFormat/>
    <w:rsid w:val="00B6445D"/>
    <w:rPr>
      <w:i/>
      <w:iCs/>
      <w:color w:val="0F4761" w:themeColor="accent1" w:themeShade="BF"/>
    </w:rPr>
  </w:style>
  <w:style w:type="paragraph" w:styleId="Citadestacada">
    <w:name w:val="Intense Quote"/>
    <w:basedOn w:val="Normal"/>
    <w:next w:val="Normal"/>
    <w:link w:val="CitadestacadaCar"/>
    <w:uiPriority w:val="30"/>
    <w:qFormat/>
    <w:rsid w:val="00B644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6445D"/>
    <w:rPr>
      <w:i/>
      <w:iCs/>
      <w:color w:val="0F4761" w:themeColor="accent1" w:themeShade="BF"/>
    </w:rPr>
  </w:style>
  <w:style w:type="character" w:styleId="Referenciaintensa">
    <w:name w:val="Intense Reference"/>
    <w:basedOn w:val="Fuentedeprrafopredeter"/>
    <w:uiPriority w:val="32"/>
    <w:qFormat/>
    <w:rsid w:val="00B6445D"/>
    <w:rPr>
      <w:b/>
      <w:bCs/>
      <w:smallCaps/>
      <w:color w:val="0F4761" w:themeColor="accent1" w:themeShade="BF"/>
      <w:spacing w:val="5"/>
    </w:rPr>
  </w:style>
  <w:style w:type="paragraph" w:styleId="Encabezado">
    <w:name w:val="header"/>
    <w:basedOn w:val="Normal"/>
    <w:link w:val="EncabezadoCar"/>
    <w:uiPriority w:val="99"/>
    <w:unhideWhenUsed/>
    <w:rsid w:val="00B6445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6445D"/>
    <w:rPr>
      <w:kern w:val="0"/>
      <w14:ligatures w14:val="none"/>
    </w:rPr>
  </w:style>
  <w:style w:type="paragraph" w:styleId="Piedepgina">
    <w:name w:val="footer"/>
    <w:basedOn w:val="Normal"/>
    <w:link w:val="PiedepginaCar"/>
    <w:uiPriority w:val="99"/>
    <w:unhideWhenUsed/>
    <w:rsid w:val="00B6445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6445D"/>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6445D"/>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B6445D"/>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B6445D"/>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6445D"/>
    <w:rPr>
      <w:vertAlign w:val="superscript"/>
    </w:rPr>
  </w:style>
  <w:style w:type="table" w:styleId="Tablaconcuadrcula">
    <w:name w:val="Table Grid"/>
    <w:basedOn w:val="Tablanormal"/>
    <w:uiPriority w:val="39"/>
    <w:qFormat/>
    <w:rsid w:val="00B6445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B6445D"/>
    <w:pPr>
      <w:spacing w:line="240" w:lineRule="exact"/>
    </w:pPr>
    <w:rPr>
      <w:kern w:val="2"/>
      <w:vertAlign w:val="superscript"/>
      <w14:ligatures w14:val="standardContextual"/>
    </w:rPr>
  </w:style>
  <w:style w:type="table" w:customStyle="1" w:styleId="Tablaconcuadrcula11">
    <w:name w:val="Tabla con cuadrícula11"/>
    <w:basedOn w:val="Tablanormal"/>
    <w:next w:val="Tablaconcuadrcula"/>
    <w:uiPriority w:val="59"/>
    <w:qFormat/>
    <w:rsid w:val="00B6445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content%2F03-documentos-tipo-para-los-procesos-de-seleccion-de-interventoria-de-obra-publica-de&amp;data=05%7C02%7Cnasly.mosquera%40colombiacompra.gov.co%7Cb18b651bca3a4eb8eab008dd269b400d%7C7b09041e245149d08cb179d5e3d8c1be%7C0%7C0%7C638709170414458300%7CUnknown%7CTWFpbGZsb3d8eyJFbXB0eU1hcGkiOnRydWUsIlYiOiIwLjAuMDAwMCIsIlAiOiJXaW4zMiIsIkFOIjoiTWFpbCIsIldUIjoyfQ%3D%3D%7C0%7C%7C%7C&amp;sdata=SqZaEsevHox8%2BLjgTTTQtpeQhOUM2tOa93uLcHHopo8%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amila.ortiz@global-pharma.com.c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nasly.mosquera%40colombiacompra.gov.co%7Cb18b651bca3a4eb8eab008dd269b400d%7C7b09041e245149d08cb179d5e3d8c1be%7C0%7C0%7C638709170414787294%7CUnknown%7CTWFpbGZsb3d8eyJFbXB0eU1hcGkiOnRydWUsIlYiOiIwLjAuMDAwMCIsIlAiOiJXaW4zMiIsIkFOIjoiTWFpbCIsIldUIjoyfQ%3D%3D%7C0%7C%7C%7C&amp;sdata=7ddmhy1UXYuy1GCK0zvWY%2BEJfPjkDDnYMeTiXpqpzL8%3D&amp;reserved=0"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ontent%2F02-documentos-tipo-para-los-procesos-de-seleccion-de-consultoria-de-obra-publica-de&amp;data=05%7C02%7Cnasly.mosquera%40colombiacompra.gov.co%7Cb18b651bca3a4eb8eab008dd269b400d%7C7b09041e245149d08cb179d5e3d8c1be%7C0%7C0%7C638709170414769639%7CUnknown%7CTWFpbGZsb3d8eyJFbXB0eU1hcGkiOnRydWUsIlYiOiIwLjAuMDAwMCIsIlAiOiJXaW4zMiIsIkFOIjoiTWFpbCIsIldUIjoyfQ%3D%3D%7C0%7C%7C%7C&amp;sdata=pNSJo3RRya51ikmriXkA8er45b%2B81sylFsMCms%2Btf9s%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A2A1909-DBF2-440B-98D0-790AD3B314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13307A-6C13-4093-B822-A0651795B46F}">
  <ds:schemaRefs>
    <ds:schemaRef ds:uri="http://schemas.microsoft.com/sharepoint/v3/contenttype/forms"/>
  </ds:schemaRefs>
</ds:datastoreItem>
</file>

<file path=customXml/itemProps3.xml><?xml version="1.0" encoding="utf-8"?>
<ds:datastoreItem xmlns:ds="http://schemas.openxmlformats.org/officeDocument/2006/customXml" ds:itemID="{E4EBA55D-4269-45AC-9A3D-1E85E03F0C27}">
  <ds:schemaRefs>
    <ds:schemaRef ds:uri="http://purl.org/dc/terms/"/>
    <ds:schemaRef ds:uri="http://www.w3.org/XML/1998/namespace"/>
    <ds:schemaRef ds:uri="9d85dbaf-23eb-4e57-a637-93dcacc8b1a1"/>
    <ds:schemaRef ds:uri="http://schemas.microsoft.com/office/infopath/2007/PartnerControls"/>
    <ds:schemaRef ds:uri="http://schemas.openxmlformats.org/package/2006/metadata/core-properties"/>
    <ds:schemaRef ds:uri="http://purl.org/dc/dcmitype/"/>
    <ds:schemaRef ds:uri="http://purl.org/dc/elements/1.1/"/>
    <ds:schemaRef ds:uri="http://schemas.microsoft.com/office/2006/documentManagement/types"/>
    <ds:schemaRef ds:uri="a6cb9e4b-f1d1-4245-83ec-6cad768d538a"/>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3273</Words>
  <Characters>18004</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Nasly Yeana Mosquera Rivas</cp:lastModifiedBy>
  <cp:revision>2</cp:revision>
  <dcterms:created xsi:type="dcterms:W3CDTF">2025-04-29T13:14:00Z</dcterms:created>
  <dcterms:modified xsi:type="dcterms:W3CDTF">2025-04-29T13:14:00Z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