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47BA26" w14:textId="07F56817" w:rsidR="00BE1E33" w:rsidRPr="00E52B90" w:rsidRDefault="00BE1E33" w:rsidP="00B86532">
      <w:pPr>
        <w:spacing w:line="276" w:lineRule="auto"/>
        <w:jc w:val="right"/>
        <w:rPr>
          <w:rFonts w:ascii="Arial" w:hAnsi="Arial" w:cs="Arial"/>
          <w:bCs/>
          <w:sz w:val="16"/>
          <w:szCs w:val="16"/>
          <w:lang w:val="es-ES_tradnl" w:eastAsia="es-ES"/>
        </w:rPr>
      </w:pPr>
      <w:bookmarkStart w:id="0" w:name="_Hlk28946138"/>
      <w:bookmarkStart w:id="1" w:name="_Hlk29548183"/>
      <w:r w:rsidRPr="00E52B90">
        <w:rPr>
          <w:rFonts w:ascii="Arial" w:hAnsi="Arial" w:cs="Arial"/>
          <w:bCs/>
          <w:sz w:val="16"/>
          <w:szCs w:val="16"/>
          <w:lang w:val="es-ES_tradnl" w:eastAsia="es-ES"/>
        </w:rPr>
        <w:t>CCE-DES-FM-17</w:t>
      </w:r>
    </w:p>
    <w:p w14:paraId="17292B8B" w14:textId="1961A17B" w:rsidR="00842E88" w:rsidRPr="007568A1" w:rsidRDefault="00842E88" w:rsidP="00842E88">
      <w:pPr>
        <w:spacing w:line="276" w:lineRule="auto"/>
        <w:jc w:val="both"/>
        <w:rPr>
          <w:rFonts w:ascii="Arial" w:hAnsi="Arial" w:cs="Arial"/>
          <w:b/>
          <w:bCs/>
          <w:sz w:val="22"/>
        </w:rPr>
      </w:pPr>
      <w:r>
        <w:rPr>
          <w:rFonts w:ascii="Arial" w:hAnsi="Arial" w:cs="Arial"/>
          <w:b/>
          <w:bCs/>
          <w:sz w:val="22"/>
        </w:rPr>
        <w:t xml:space="preserve">LEY 80 DE 1993 </w:t>
      </w:r>
      <w:r w:rsidRPr="007568A1">
        <w:rPr>
          <w:rFonts w:ascii="Arial" w:hAnsi="Arial" w:cs="Arial"/>
          <w:b/>
          <w:bCs/>
          <w:sz w:val="22"/>
        </w:rPr>
        <w:t>−</w:t>
      </w:r>
      <w:r>
        <w:rPr>
          <w:rFonts w:ascii="Arial" w:hAnsi="Arial" w:cs="Arial"/>
          <w:b/>
          <w:bCs/>
          <w:sz w:val="22"/>
        </w:rPr>
        <w:t xml:space="preserve"> C</w:t>
      </w:r>
      <w:r w:rsidRPr="007568A1">
        <w:rPr>
          <w:rFonts w:ascii="Arial" w:hAnsi="Arial" w:cs="Arial"/>
          <w:b/>
          <w:bCs/>
          <w:sz w:val="22"/>
        </w:rPr>
        <w:t>ontrato interadministrativo − Convenio interadministrativo</w:t>
      </w:r>
    </w:p>
    <w:p w14:paraId="7F6576C4" w14:textId="77777777" w:rsidR="00703282" w:rsidRDefault="00703282" w:rsidP="00703282">
      <w:pPr>
        <w:jc w:val="both"/>
        <w:rPr>
          <w:rFonts w:ascii="Arial" w:eastAsia="Arial" w:hAnsi="Arial" w:cs="Arial"/>
          <w:sz w:val="20"/>
          <w:szCs w:val="20"/>
          <w:lang w:val="es-ES"/>
        </w:rPr>
      </w:pPr>
    </w:p>
    <w:p w14:paraId="5D3E58D0" w14:textId="3E39FB52" w:rsidR="00703282" w:rsidRPr="00703282" w:rsidRDefault="00703282" w:rsidP="00703282">
      <w:pPr>
        <w:jc w:val="both"/>
        <w:rPr>
          <w:rFonts w:ascii="Arial" w:eastAsia="Arial" w:hAnsi="Arial" w:cs="Arial"/>
          <w:sz w:val="20"/>
          <w:szCs w:val="20"/>
          <w:lang w:val="es-ES"/>
        </w:rPr>
      </w:pPr>
      <w:r>
        <w:rPr>
          <w:rFonts w:ascii="Arial" w:eastAsia="Arial" w:hAnsi="Arial" w:cs="Arial"/>
          <w:sz w:val="20"/>
          <w:szCs w:val="20"/>
          <w:lang w:val="es-ES"/>
        </w:rPr>
        <w:t>S</w:t>
      </w:r>
      <w:r w:rsidRPr="00703282">
        <w:rPr>
          <w:rFonts w:ascii="Arial" w:eastAsia="Arial" w:hAnsi="Arial" w:cs="Arial"/>
          <w:sz w:val="20"/>
          <w:szCs w:val="20"/>
          <w:lang w:val="es-ES"/>
        </w:rPr>
        <w:t>i bien actualmente el EGCAP hace referencia de manera expresa a los contratos interadministrativos y no a los convenios, no por esto puede concluirse que se trate de figuras totalmente diferentes, pues las entidades del Estado, en el marco de la Ley 80 de 1993, pueden acordar entre sí diferentes tipos de obligaciones, siempre que su objeto de creación les permita cumplirlas, con el objetivo común de materializar los fines del Estado. Por este motivo, cuando la Ley 80 de 1993 se refiere a contratos interadministrativos de la misma forma lo hace frente a los convenios, entre otras razones, porque este cuerpo normativo faculta a las entidades públicas a celebrar los demás acuerdos que permitan la autonomía de la voluntad y requieran el cumplimiento de los fines estatales.</w:t>
      </w:r>
    </w:p>
    <w:p w14:paraId="1ABE59A6" w14:textId="77777777" w:rsidR="00703282" w:rsidRDefault="00703282" w:rsidP="00703282">
      <w:pPr>
        <w:jc w:val="both"/>
        <w:rPr>
          <w:rFonts w:ascii="Arial" w:eastAsia="Arial" w:hAnsi="Arial" w:cs="Arial"/>
          <w:sz w:val="20"/>
          <w:szCs w:val="20"/>
          <w:lang w:val="es-ES"/>
        </w:rPr>
      </w:pPr>
    </w:p>
    <w:p w14:paraId="155D204A" w14:textId="516B418B" w:rsidR="00703282" w:rsidRDefault="00703282" w:rsidP="00703282">
      <w:pPr>
        <w:jc w:val="both"/>
        <w:rPr>
          <w:rFonts w:ascii="Arial" w:eastAsia="Arial" w:hAnsi="Arial" w:cs="Arial"/>
          <w:sz w:val="20"/>
          <w:szCs w:val="20"/>
          <w:lang w:val="es-ES"/>
        </w:rPr>
      </w:pPr>
      <w:r w:rsidRPr="00703282">
        <w:rPr>
          <w:rFonts w:ascii="Arial" w:eastAsia="Arial" w:hAnsi="Arial" w:cs="Arial"/>
          <w:sz w:val="20"/>
          <w:szCs w:val="20"/>
          <w:lang w:val="es-ES"/>
        </w:rPr>
        <w:t>Es conveniente destacar que el Decreto 1082 de 2015 dispone que los convenios o contratos interadministrativos, así denominados en su artículo 2.2.1.2.1.4.4, se contratan directamente, por lo que no hay lugar a dudas que representan lo mismo en la medida en que concurran entidades estatales en el acuerdo de voluntades. De este modo, es posible concluir que en la contratación estatal no existen mayores diferencias entre convenio y contrato y, dando aplicación al derecho privado y a la definición contenida en el Código Civil, puede afirmarse que se trata de figuras equivalentes.</w:t>
      </w:r>
    </w:p>
    <w:p w14:paraId="656CEF92" w14:textId="77777777" w:rsidR="00703282" w:rsidRDefault="00703282" w:rsidP="00703282">
      <w:pPr>
        <w:jc w:val="both"/>
        <w:rPr>
          <w:rFonts w:ascii="Arial" w:eastAsia="Arial" w:hAnsi="Arial" w:cs="Arial"/>
          <w:sz w:val="20"/>
          <w:szCs w:val="20"/>
          <w:lang w:val="es-ES"/>
        </w:rPr>
      </w:pPr>
    </w:p>
    <w:p w14:paraId="45C80141" w14:textId="4DD7BE34" w:rsidR="00671638" w:rsidRPr="00CD35C7" w:rsidRDefault="00671638" w:rsidP="00703282">
      <w:pPr>
        <w:jc w:val="both"/>
        <w:rPr>
          <w:rFonts w:ascii="Arial" w:hAnsi="Arial" w:cs="Arial"/>
          <w:b/>
          <w:bCs/>
          <w:sz w:val="22"/>
        </w:rPr>
      </w:pPr>
      <w:r>
        <w:rPr>
          <w:rFonts w:ascii="Arial" w:hAnsi="Arial" w:cs="Arial"/>
          <w:b/>
          <w:bCs/>
          <w:sz w:val="22"/>
        </w:rPr>
        <w:t>PODERES O CLÁUSULAS EXORBITANTES</w:t>
      </w:r>
      <w:r w:rsidRPr="00CD35C7">
        <w:rPr>
          <w:rFonts w:ascii="Arial" w:hAnsi="Arial" w:cs="Arial"/>
          <w:b/>
          <w:bCs/>
          <w:sz w:val="22"/>
        </w:rPr>
        <w:t xml:space="preserve"> – </w:t>
      </w:r>
      <w:r w:rsidR="00537743">
        <w:rPr>
          <w:rFonts w:ascii="Arial" w:hAnsi="Arial" w:cs="Arial"/>
          <w:b/>
          <w:bCs/>
          <w:sz w:val="22"/>
        </w:rPr>
        <w:t>Interpretación unilateral del contrato</w:t>
      </w:r>
    </w:p>
    <w:p w14:paraId="45F2442D" w14:textId="77777777" w:rsidR="002E5C71" w:rsidRDefault="00703282" w:rsidP="00671638">
      <w:pPr>
        <w:pStyle w:val="Textoindependiente"/>
        <w:spacing w:before="122"/>
        <w:jc w:val="both"/>
        <w:rPr>
          <w:sz w:val="20"/>
          <w:szCs w:val="20"/>
        </w:rPr>
      </w:pPr>
      <w:r w:rsidRPr="00703282">
        <w:rPr>
          <w:sz w:val="20"/>
          <w:szCs w:val="20"/>
        </w:rPr>
        <w:t>La definición de la tipología contractual es jurídicamente relevante para determinar si es procedente o no el ejercicio de los poderes excepcionales del artículo 14 del Estatuto General de Contratación de la Administración Pública en los contratos interadministrativos. Lo anterior teniendo en cuenta que las entidades estatales tienen la dirección general y la responsabilidad de ejercer el control y vigilancia de la ejecución del negocio jurídico, con el objeto de evitar la paralización o la afectación grave de los servicios públicos a su cargo y asegurar la inmediata, continua y adecuada prestación.</w:t>
      </w:r>
    </w:p>
    <w:p w14:paraId="669A20C5" w14:textId="77777777" w:rsidR="002E5C71" w:rsidRDefault="002E5C71" w:rsidP="00671638">
      <w:pPr>
        <w:pStyle w:val="Textoindependiente"/>
        <w:spacing w:before="122"/>
        <w:jc w:val="both"/>
        <w:rPr>
          <w:sz w:val="20"/>
          <w:szCs w:val="20"/>
        </w:rPr>
      </w:pPr>
      <w:r>
        <w:rPr>
          <w:sz w:val="20"/>
          <w:szCs w:val="20"/>
        </w:rPr>
        <w:t>[…]</w:t>
      </w:r>
    </w:p>
    <w:p w14:paraId="4B7E8B3D" w14:textId="11E3F8DC" w:rsidR="002E5C71" w:rsidRPr="002E5C71" w:rsidRDefault="00537743" w:rsidP="002E5C71">
      <w:pPr>
        <w:pStyle w:val="Textoindependiente"/>
        <w:spacing w:before="122"/>
        <w:jc w:val="both"/>
        <w:rPr>
          <w:sz w:val="20"/>
          <w:szCs w:val="20"/>
        </w:rPr>
      </w:pPr>
      <w:r>
        <w:rPr>
          <w:sz w:val="20"/>
          <w:szCs w:val="20"/>
        </w:rPr>
        <w:t>L</w:t>
      </w:r>
      <w:r w:rsidR="002E5C71" w:rsidRPr="002E5C71">
        <w:rPr>
          <w:sz w:val="20"/>
          <w:szCs w:val="20"/>
        </w:rPr>
        <w:t xml:space="preserve">as cláusulas de caducidad, interpretación unilateral, imposición unilateral de las multas, etc. están prohibidas en contratos sometidos al derecho privado, pues no derogan las leyes de orden público –art. 16 del Código Civil–, existe objeto ilícito en todo lo que contraviene el derecho público de la nación –art. 1519 del Código Civil– y, por tanto, están viciadas de nulidad absoluta –art. 1741 del Código Civil–. En este sentido, las cláusulas exorbitantes se reservan a los contratos autorizados por la ley, pues son poderes derogatorios del derecho común y requieren una norma excepcional como la citada ut </w:t>
      </w:r>
      <w:proofErr w:type="gramStart"/>
      <w:r w:rsidR="002E5C71" w:rsidRPr="002E5C71">
        <w:rPr>
          <w:sz w:val="20"/>
          <w:szCs w:val="20"/>
        </w:rPr>
        <w:t>supra .</w:t>
      </w:r>
      <w:proofErr w:type="gramEnd"/>
      <w:r w:rsidR="002E5C71" w:rsidRPr="002E5C71">
        <w:rPr>
          <w:sz w:val="20"/>
          <w:szCs w:val="20"/>
        </w:rPr>
        <w:t xml:space="preserve"> </w:t>
      </w:r>
    </w:p>
    <w:p w14:paraId="0151972E" w14:textId="48F6118B" w:rsidR="00703282" w:rsidRDefault="002E5C71" w:rsidP="00671638">
      <w:pPr>
        <w:pStyle w:val="Textoindependiente"/>
        <w:spacing w:before="122"/>
        <w:jc w:val="both"/>
        <w:rPr>
          <w:sz w:val="20"/>
          <w:szCs w:val="20"/>
        </w:rPr>
      </w:pPr>
      <w:r w:rsidRPr="002E5C71">
        <w:rPr>
          <w:sz w:val="20"/>
          <w:szCs w:val="20"/>
        </w:rPr>
        <w:t xml:space="preserve">Particularmente, se destaca que la cláusula excepcional de interpretación unilateral está consagrada en el artículo 15 de la Ley 80 de 1993. Esta procede si durante la ejecución del contrato surgen discrepancias entre la entidad estatal y el contratista sobre la interpretación de algunas de sus estipulaciones, que puedan conducir a la paralización o a la afectación grave del servicio público que se pretende satisfacer con el objeto contratado. En ese caso, si no se logra acuerdo con el contratista, la entidad estatal realizará la interpretación unilateral de las estipulaciones o cláusulas objeto de la diferencia, mediante acto administrativo debidamente </w:t>
      </w:r>
      <w:proofErr w:type="gramStart"/>
      <w:r w:rsidRPr="002E5C71">
        <w:rPr>
          <w:sz w:val="20"/>
          <w:szCs w:val="20"/>
        </w:rPr>
        <w:t>motivado .</w:t>
      </w:r>
      <w:proofErr w:type="gramEnd"/>
    </w:p>
    <w:p w14:paraId="3FA590F7" w14:textId="331680A2" w:rsidR="00671638" w:rsidRPr="009B0395" w:rsidRDefault="00671638" w:rsidP="00671638">
      <w:pPr>
        <w:pStyle w:val="Textoindependiente"/>
        <w:spacing w:before="122"/>
        <w:jc w:val="both"/>
        <w:rPr>
          <w:rFonts w:eastAsiaTheme="minorHAnsi"/>
          <w:b/>
          <w:bCs/>
          <w:lang w:val="es-MX"/>
        </w:rPr>
      </w:pPr>
      <w:r w:rsidRPr="009B0395">
        <w:rPr>
          <w:rFonts w:eastAsiaTheme="minorHAnsi"/>
          <w:b/>
          <w:bCs/>
          <w:lang w:val="es-MX"/>
        </w:rPr>
        <w:t>CLAUSULAS EXORBITANTES – Artículo 14 Ley 80 de 1993 – Contratos interadministrativos</w:t>
      </w:r>
    </w:p>
    <w:p w14:paraId="143BC7CC" w14:textId="6D09DE4F" w:rsidR="00E40D62" w:rsidRPr="00E40D62" w:rsidRDefault="00E40D62" w:rsidP="00E40D62">
      <w:pPr>
        <w:pStyle w:val="Textoindependiente"/>
        <w:spacing w:before="122"/>
        <w:jc w:val="both"/>
        <w:rPr>
          <w:sz w:val="20"/>
          <w:szCs w:val="20"/>
        </w:rPr>
      </w:pPr>
      <w:r>
        <w:rPr>
          <w:sz w:val="20"/>
          <w:szCs w:val="20"/>
        </w:rPr>
        <w:t>E</w:t>
      </w:r>
      <w:r w:rsidRPr="00E40D62">
        <w:rPr>
          <w:sz w:val="20"/>
          <w:szCs w:val="20"/>
        </w:rPr>
        <w:t xml:space="preserve">l artículo 14 de la Ley 80 de 1993 dispone cuatro (4) grupos de contratos. El primer grupo corresponde a aquellos en los que es </w:t>
      </w:r>
      <w:r w:rsidRPr="00E40D62">
        <w:rPr>
          <w:i/>
          <w:iCs/>
          <w:sz w:val="20"/>
          <w:szCs w:val="20"/>
        </w:rPr>
        <w:t>obligatorio</w:t>
      </w:r>
      <w:r w:rsidRPr="00E40D62">
        <w:rPr>
          <w:sz w:val="20"/>
          <w:szCs w:val="20"/>
        </w:rPr>
        <w:t xml:space="preserve"> incluir poderes exorbitantes, formado por aquellos </w:t>
      </w:r>
      <w:r w:rsidRPr="00E40D62">
        <w:rPr>
          <w:sz w:val="20"/>
          <w:szCs w:val="20"/>
        </w:rPr>
        <w:lastRenderedPageBreak/>
        <w:t xml:space="preserve">que tengan por objeto el ejercicio de una actividad que constituya monopolio estatal, la prestación de servicios públicos o la explotación y concesión de bienes del Estado, así como en los contratos de obra. En estas tipologías, conforme a la clasificación del artículo 1501 del Código Civil, los poderes corresponden a cláusulas de naturaleza, es decir, aquellas que –frente al silencio del pliego de condiciones o del contrato– forman parte del negocio en virtud de la </w:t>
      </w:r>
      <w:proofErr w:type="gramStart"/>
      <w:r w:rsidRPr="00E40D62">
        <w:rPr>
          <w:sz w:val="20"/>
          <w:szCs w:val="20"/>
        </w:rPr>
        <w:t>ley .</w:t>
      </w:r>
      <w:proofErr w:type="gramEnd"/>
      <w:r w:rsidRPr="00E40D62">
        <w:rPr>
          <w:sz w:val="20"/>
          <w:szCs w:val="20"/>
        </w:rPr>
        <w:t xml:space="preserve"> Considerando la relación directa de estos contratos con la eficiente prestación de los servicios públicos, los poderes exorbitantes de este grupo son irrenunciables. El segundo grupo está conformado por los contratos en que estas facultades son </w:t>
      </w:r>
      <w:r w:rsidRPr="00E40D62">
        <w:rPr>
          <w:i/>
          <w:iCs/>
          <w:sz w:val="20"/>
          <w:szCs w:val="20"/>
        </w:rPr>
        <w:t>potestativas</w:t>
      </w:r>
      <w:r w:rsidRPr="00E40D62">
        <w:rPr>
          <w:sz w:val="20"/>
          <w:szCs w:val="20"/>
        </w:rPr>
        <w:t xml:space="preserve">, lo cual aplica a los contratos de suministro y de prestación de servicios. Si bien todas las entidades deben cumplir con los fines del artículo 3 de la Ley 80 de 1993, en este caso existe una relación indirecta con la prestación de los servicios públicos, por lo que estas cláusulas no son obligatorias. En este grupo, la ley no suple el silencio del pliego de condiciones o del contrato, pues –conforme al artículo 1501 del Código Civil– son elementos accidentales que requieren pacto expreso. El tercer grupo corresponde a los contratos del parágrafo del artículo 14 del Estatuto General donde la ley </w:t>
      </w:r>
      <w:r w:rsidRPr="00E40D62">
        <w:rPr>
          <w:i/>
          <w:iCs/>
          <w:sz w:val="20"/>
          <w:szCs w:val="20"/>
        </w:rPr>
        <w:t>prohíbe</w:t>
      </w:r>
      <w:r w:rsidRPr="00E40D62">
        <w:rPr>
          <w:sz w:val="20"/>
          <w:szCs w:val="20"/>
        </w:rPr>
        <w:t xml:space="preserve"> pactar estos poderes, so pena de nulidad absoluta por objeto ilícito. Finalmente, el cuarto grupo está conformado por las tipologías que no se encuentran en alguno de los tres (3) grupos anteriormente comentados. Dado que la ley autoriza su ejercicio, no es posible fundamentar estos poderes en la autonomía de la voluntad. Por tanto, se entiende también están prohibidos en este último grupo, tal como lo ha señalado el Consejo de Estado, en los siguientes términos:</w:t>
      </w:r>
      <w:r>
        <w:rPr>
          <w:sz w:val="20"/>
          <w:szCs w:val="20"/>
        </w:rPr>
        <w:t xml:space="preserve"> </w:t>
      </w:r>
      <w:r w:rsidRPr="00E40D62">
        <w:rPr>
          <w:sz w:val="20"/>
          <w:szCs w:val="20"/>
        </w:rPr>
        <w:t>De un lado […], este tipo de poderes requiere, cuando menos, autorización legal para su inclusión y posterior utilización, debido a la naturaleza que tienen estas prerrogativas -por su carácter extraordinario e inusual, en relación con el derecho común-, y, de otro, […] el legislador es el único que puede disponer competencias para la expedición de actos administrativos en desarrollo de los contratos estatales, actos que, como es sabido, constituyen el mecanismo de ejercicio de las exorbitancias contractuales .</w:t>
      </w:r>
    </w:p>
    <w:p w14:paraId="65736ECD" w14:textId="2EA27C01" w:rsidR="00671638" w:rsidRDefault="00E40D62" w:rsidP="00671638">
      <w:pPr>
        <w:pStyle w:val="Textoindependiente"/>
        <w:spacing w:before="122"/>
        <w:jc w:val="both"/>
        <w:rPr>
          <w:sz w:val="20"/>
          <w:szCs w:val="20"/>
        </w:rPr>
      </w:pPr>
      <w:r w:rsidRPr="00E40D62">
        <w:rPr>
          <w:sz w:val="20"/>
          <w:szCs w:val="20"/>
        </w:rPr>
        <w:t>De acuerdo con el parágrafo del artículo 14 de la Ley 80 de 1993, el régimen de las cláusulas exorbitantes del objeto de la consulta corresponde al tercer grupo, pues dispone que «En los contratos […] interadministrativos […] se prescindirá de la utilización de las cláusulas o estipulaciones excepcionales». Es decir, dentro de esta tipología las entidades carecen de competencia para declarar la caducidad, terminación, interpretación y modificación unilateral. Sin embargo, la norma citada no se refiere expresamente a la imposición unilateral de las multas y la cláusula penal pecuniaria en los contratos interadministrativos.</w:t>
      </w:r>
    </w:p>
    <w:p w14:paraId="7A4AB33E" w14:textId="77777777" w:rsidR="0014074B" w:rsidRDefault="0014074B" w:rsidP="0014074B">
      <w:pPr>
        <w:jc w:val="both"/>
        <w:rPr>
          <w:rFonts w:ascii="Arial" w:eastAsia="Calibri" w:hAnsi="Arial" w:cs="Arial"/>
          <w:b/>
          <w:bCs/>
          <w:sz w:val="22"/>
        </w:rPr>
      </w:pPr>
    </w:p>
    <w:p w14:paraId="0ACAB849" w14:textId="31E58974" w:rsidR="0014074B" w:rsidRPr="0014074B" w:rsidRDefault="0014074B" w:rsidP="0014074B">
      <w:pPr>
        <w:jc w:val="both"/>
        <w:rPr>
          <w:rFonts w:ascii="Arial" w:eastAsia="Calibri" w:hAnsi="Arial" w:cs="Arial"/>
          <w:b/>
          <w:bCs/>
          <w:sz w:val="22"/>
        </w:rPr>
      </w:pPr>
      <w:r w:rsidRPr="0014074B">
        <w:rPr>
          <w:rFonts w:ascii="Arial" w:eastAsia="Calibri" w:hAnsi="Arial" w:cs="Arial"/>
          <w:b/>
          <w:bCs/>
          <w:sz w:val="22"/>
        </w:rPr>
        <w:t>INTERPRETACIÓN DEL CONTRATO – Reglas</w:t>
      </w:r>
      <w:r w:rsidR="00537743">
        <w:rPr>
          <w:rFonts w:ascii="Arial" w:eastAsia="Calibri" w:hAnsi="Arial" w:cs="Arial"/>
          <w:b/>
          <w:bCs/>
          <w:sz w:val="22"/>
        </w:rPr>
        <w:t xml:space="preserve"> – Interpretación auténtica, judicial y doctrinal</w:t>
      </w:r>
    </w:p>
    <w:p w14:paraId="1E0C6D9D" w14:textId="77777777" w:rsidR="0014074B" w:rsidRPr="0014074B" w:rsidRDefault="0014074B" w:rsidP="0014074B">
      <w:pPr>
        <w:jc w:val="both"/>
        <w:rPr>
          <w:rFonts w:ascii="Arial" w:eastAsia="Calibri" w:hAnsi="Arial" w:cs="Arial"/>
          <w:sz w:val="20"/>
          <w:szCs w:val="20"/>
        </w:rPr>
      </w:pPr>
    </w:p>
    <w:p w14:paraId="7D2290F2" w14:textId="77777777" w:rsidR="00537743" w:rsidRPr="00537743" w:rsidRDefault="00537743" w:rsidP="00537743">
      <w:pPr>
        <w:jc w:val="both"/>
        <w:rPr>
          <w:rFonts w:ascii="Arial" w:eastAsia="Calibri" w:hAnsi="Arial" w:cs="Arial"/>
          <w:sz w:val="20"/>
          <w:szCs w:val="20"/>
        </w:rPr>
      </w:pPr>
      <w:r w:rsidRPr="00537743">
        <w:rPr>
          <w:rFonts w:ascii="Arial" w:eastAsia="Calibri" w:hAnsi="Arial" w:cs="Arial"/>
          <w:sz w:val="20"/>
          <w:szCs w:val="20"/>
        </w:rPr>
        <w:t>es necesario tener en cuenta la remisión del inciso primero del artículo 13 del Estatuto General de Contratación de la Administración Pública, pues dispone que «Los contratos que celebren las entidades a que se refiere el artículo 2o. del presente estatuto se regirán por las disposiciones comerciales y civiles pertinentes, salvo en las materias particularmente reguladas en esta ley». De esta manera, sin perjuicio de los objetivos previstos en el artículo 28 de la Ley 80 de 1993, se incorporan las pautas previstas en el título XIII del libro cuarto del Código Civil, sobre la interpretación de los contratos . Esto se ratifica en el artículo 23 del Estatuto General, pues también prescribe que en «Las actuaciones de quienes intervengan en la contratación estatal […] se aplicarán […] las normas que regulan […] las reglas de interpretación de la contratación […]».</w:t>
      </w:r>
    </w:p>
    <w:p w14:paraId="18324C32" w14:textId="77777777" w:rsidR="00537743" w:rsidRDefault="00537743" w:rsidP="00537743">
      <w:pPr>
        <w:jc w:val="both"/>
        <w:rPr>
          <w:rFonts w:ascii="Arial" w:eastAsia="Calibri" w:hAnsi="Arial" w:cs="Arial"/>
          <w:sz w:val="20"/>
          <w:szCs w:val="20"/>
        </w:rPr>
      </w:pPr>
    </w:p>
    <w:p w14:paraId="321F86EE" w14:textId="230BD68B" w:rsidR="00537743" w:rsidRPr="00537743" w:rsidRDefault="00537743" w:rsidP="00537743">
      <w:pPr>
        <w:jc w:val="both"/>
        <w:rPr>
          <w:rFonts w:ascii="Arial" w:eastAsia="Calibri" w:hAnsi="Arial" w:cs="Arial"/>
          <w:sz w:val="20"/>
          <w:szCs w:val="20"/>
        </w:rPr>
      </w:pPr>
      <w:r w:rsidRPr="00537743">
        <w:rPr>
          <w:rFonts w:ascii="Arial" w:eastAsia="Calibri" w:hAnsi="Arial" w:cs="Arial"/>
          <w:sz w:val="20"/>
          <w:szCs w:val="20"/>
        </w:rPr>
        <w:t xml:space="preserve">Para estos efectos, la legislación colombiana consagra unas reglas subjetivas y otras objetivas para la interpretación de los contratos, conforme a los artículos 1618 a 1624 del Código Civil . Las primeras son las siguientes: i) una vez conocida la intención de los contratantes ha de estarse más a ella que a lo literal de las palabras (artículo 1618 del Código Civil); ii) las estipulaciones de un contrato pueden interpretarse por la de otro que las partes hayan celebrado sobre la misma materia o por la aplicación </w:t>
      </w:r>
      <w:r w:rsidRPr="00537743">
        <w:rPr>
          <w:rFonts w:ascii="Arial" w:eastAsia="Calibri" w:hAnsi="Arial" w:cs="Arial"/>
          <w:sz w:val="20"/>
          <w:szCs w:val="20"/>
        </w:rPr>
        <w:lastRenderedPageBreak/>
        <w:t xml:space="preserve">práctica que de ellas hayan hecho (artículo 1622, incisos 2 y 3 ibídem); iii) las cláusulas deben interpretarse unas por otras, dándole a cada una el sentido que más convenga al contrato en su totalidad (artículo 1622, inciso 1 ibídem); iv) si en un contrato se expresa un caso para explicar la obligación se entiende que esa mención no es restrictiva sino ejemplificativa (artículo 1623 ibídem); y v) se entiende que las expresiones generales contenidas en el negocio únicamente se aplican a la materia sobre la que se ha contratado (artículo 1619, inciso 2 ibídem). Las segundas son estas: vi) el sentido en que una cláusula pueda producir algún efecto deberá preferirse a aquel en que no produzca efecto alguno (artículo 1620 ibídem); vii) deberá estarse a la interpretación que mejor cuadre con la naturaleza del contrato (artículo 1621 ibídem); viii) las cláusulas ambiguas se interpretan a favor del deudor (artículo 1624, inciso 1 ibídem); y ix) las cláusulas oscuras que hayan sido extendidas o dictadas por una parte se interpretarán contra ella si la ambigüedad proviene de una explicación que ésta ha debido dar (artículo 1624, inciso 2 ibídem). En abstracto, estas últimas son subsidiarias en relación con las primeras, pues no se relacionan con la voluntad contractual. </w:t>
      </w:r>
    </w:p>
    <w:p w14:paraId="1B2754D4" w14:textId="7E882B67" w:rsidR="007F42DA" w:rsidRPr="0014074B" w:rsidRDefault="00537743" w:rsidP="00537743">
      <w:pPr>
        <w:jc w:val="both"/>
        <w:rPr>
          <w:rFonts w:ascii="Arial" w:eastAsia="Batang" w:hAnsi="Arial" w:cs="Arial"/>
          <w:b/>
          <w:bCs/>
          <w:sz w:val="22"/>
        </w:rPr>
      </w:pPr>
      <w:r w:rsidRPr="00537743">
        <w:rPr>
          <w:rFonts w:ascii="Arial" w:eastAsia="Calibri" w:hAnsi="Arial" w:cs="Arial"/>
          <w:sz w:val="20"/>
          <w:szCs w:val="20"/>
        </w:rPr>
        <w:t>Dichas reglas de interpretación están dirigidas fundamentalmente al juez, quien decide de acuerdo con ellas cualquier controversia que surja entre las partes sobre el alcance de los derechos y obligaciones derivados del contrato. Sin embargo, ello no obsta para que estas, de común acuerdo, precisen el contenido de las cláusulas que consideren oscuras, ambiguas o contradictorias . Incluso, terceras personas ajenas al negocio también pueden hacerlo con fines de asesoramiento. Desde esta perspectiva, Díez-Picazo estima que las normas sobre interpretación se dirigen tanto al juez como a las partes del contrato, e incluso a los terceros que pueden de algún modo quedar afectados por él . Esto permite distinguir entre la interpretación auténtica, judicial y doctrinal del contrato, las cuales no solo difieren respecto al sujeto sino también respecto a la fuerza vinculante</w:t>
      </w:r>
    </w:p>
    <w:p w14:paraId="657E3669" w14:textId="77777777" w:rsidR="00792B9C" w:rsidRPr="00E52B90" w:rsidRDefault="00792B9C" w:rsidP="00B86532">
      <w:pPr>
        <w:tabs>
          <w:tab w:val="left" w:pos="709"/>
        </w:tabs>
        <w:spacing w:line="276" w:lineRule="auto"/>
        <w:jc w:val="right"/>
        <w:rPr>
          <w:rFonts w:ascii="Arial" w:eastAsia="Calibri" w:hAnsi="Arial" w:cs="Arial"/>
          <w:sz w:val="22"/>
        </w:rPr>
      </w:pPr>
    </w:p>
    <w:p w14:paraId="637E31FA" w14:textId="2C31842B" w:rsidR="00792B9C" w:rsidRPr="00E52B90" w:rsidRDefault="00792B9C" w:rsidP="00B86532">
      <w:pPr>
        <w:tabs>
          <w:tab w:val="left" w:pos="709"/>
        </w:tabs>
        <w:spacing w:line="276" w:lineRule="auto"/>
        <w:jc w:val="right"/>
        <w:rPr>
          <w:rFonts w:ascii="Arial" w:eastAsia="Calibri" w:hAnsi="Arial" w:cs="Arial"/>
          <w:sz w:val="22"/>
        </w:rPr>
      </w:pPr>
    </w:p>
    <w:p w14:paraId="02A8264A" w14:textId="07D18EFF" w:rsidR="002B4245" w:rsidRPr="00E52B90" w:rsidRDefault="002B4245" w:rsidP="00B86532">
      <w:pPr>
        <w:tabs>
          <w:tab w:val="left" w:pos="709"/>
        </w:tabs>
        <w:spacing w:line="276" w:lineRule="auto"/>
        <w:jc w:val="right"/>
        <w:rPr>
          <w:rFonts w:ascii="Arial" w:eastAsia="Calibri" w:hAnsi="Arial" w:cs="Arial"/>
          <w:sz w:val="22"/>
        </w:rPr>
      </w:pPr>
    </w:p>
    <w:p w14:paraId="0D678344" w14:textId="57237BC5" w:rsidR="002B4245" w:rsidRPr="00E52B90" w:rsidRDefault="002B4245" w:rsidP="00B86532">
      <w:pPr>
        <w:tabs>
          <w:tab w:val="left" w:pos="709"/>
        </w:tabs>
        <w:spacing w:line="276" w:lineRule="auto"/>
        <w:jc w:val="right"/>
        <w:rPr>
          <w:rFonts w:ascii="Arial" w:eastAsia="Calibri" w:hAnsi="Arial" w:cs="Arial"/>
          <w:sz w:val="22"/>
        </w:rPr>
      </w:pPr>
    </w:p>
    <w:p w14:paraId="07500861" w14:textId="245E17E7" w:rsidR="002B4245" w:rsidRPr="00E52B90" w:rsidRDefault="002B4245" w:rsidP="00B86532">
      <w:pPr>
        <w:tabs>
          <w:tab w:val="left" w:pos="709"/>
        </w:tabs>
        <w:spacing w:line="276" w:lineRule="auto"/>
        <w:jc w:val="right"/>
        <w:rPr>
          <w:rFonts w:ascii="Arial" w:eastAsia="Calibri" w:hAnsi="Arial" w:cs="Arial"/>
          <w:sz w:val="22"/>
        </w:rPr>
      </w:pPr>
    </w:p>
    <w:p w14:paraId="48C7C844" w14:textId="335AC041" w:rsidR="002B4245" w:rsidRPr="00E52B90" w:rsidRDefault="002B4245" w:rsidP="00B86532">
      <w:pPr>
        <w:tabs>
          <w:tab w:val="left" w:pos="709"/>
        </w:tabs>
        <w:spacing w:line="276" w:lineRule="auto"/>
        <w:jc w:val="right"/>
        <w:rPr>
          <w:rFonts w:ascii="Arial" w:eastAsia="Calibri" w:hAnsi="Arial" w:cs="Arial"/>
          <w:sz w:val="22"/>
        </w:rPr>
      </w:pPr>
    </w:p>
    <w:p w14:paraId="3B8E5880" w14:textId="5EE60D00" w:rsidR="002B4245" w:rsidRPr="00E52B90" w:rsidRDefault="002B4245" w:rsidP="00B86532">
      <w:pPr>
        <w:tabs>
          <w:tab w:val="left" w:pos="709"/>
        </w:tabs>
        <w:spacing w:line="276" w:lineRule="auto"/>
        <w:jc w:val="right"/>
        <w:rPr>
          <w:rFonts w:ascii="Arial" w:eastAsia="Calibri" w:hAnsi="Arial" w:cs="Arial"/>
          <w:sz w:val="22"/>
        </w:rPr>
      </w:pPr>
    </w:p>
    <w:p w14:paraId="3A8DA56C" w14:textId="670FF3B4" w:rsidR="002B4245" w:rsidRPr="00E52B90" w:rsidRDefault="002B4245" w:rsidP="00B86532">
      <w:pPr>
        <w:tabs>
          <w:tab w:val="left" w:pos="709"/>
        </w:tabs>
        <w:spacing w:line="276" w:lineRule="auto"/>
        <w:jc w:val="right"/>
        <w:rPr>
          <w:rFonts w:ascii="Arial" w:eastAsia="Calibri" w:hAnsi="Arial" w:cs="Arial"/>
          <w:sz w:val="22"/>
        </w:rPr>
      </w:pPr>
    </w:p>
    <w:p w14:paraId="1E26D443" w14:textId="77777777" w:rsidR="008F61CB" w:rsidRDefault="008F61CB" w:rsidP="006026D9">
      <w:pPr>
        <w:jc w:val="both"/>
        <w:outlineLvl w:val="0"/>
        <w:rPr>
          <w:rFonts w:ascii="Arial" w:eastAsia="Calibri" w:hAnsi="Arial" w:cs="Arial"/>
          <w:sz w:val="22"/>
          <w:lang w:val="es-ES"/>
        </w:rPr>
      </w:pPr>
    </w:p>
    <w:p w14:paraId="57C7A637" w14:textId="77777777" w:rsidR="008F61CB" w:rsidRDefault="008F61CB" w:rsidP="006026D9">
      <w:pPr>
        <w:jc w:val="both"/>
        <w:outlineLvl w:val="0"/>
        <w:rPr>
          <w:rFonts w:ascii="Arial" w:eastAsia="Calibri" w:hAnsi="Arial" w:cs="Arial"/>
          <w:sz w:val="22"/>
          <w:lang w:val="es-ES"/>
        </w:rPr>
      </w:pPr>
    </w:p>
    <w:p w14:paraId="3EFC360C" w14:textId="77777777" w:rsidR="008F61CB" w:rsidRDefault="008F61CB" w:rsidP="006026D9">
      <w:pPr>
        <w:jc w:val="both"/>
        <w:outlineLvl w:val="0"/>
        <w:rPr>
          <w:rFonts w:ascii="Arial" w:eastAsia="Calibri" w:hAnsi="Arial" w:cs="Arial"/>
          <w:sz w:val="22"/>
          <w:lang w:val="es-ES"/>
        </w:rPr>
      </w:pPr>
    </w:p>
    <w:p w14:paraId="0D653069" w14:textId="77777777" w:rsidR="008F61CB" w:rsidRDefault="008F61CB" w:rsidP="006026D9">
      <w:pPr>
        <w:jc w:val="both"/>
        <w:outlineLvl w:val="0"/>
        <w:rPr>
          <w:rFonts w:ascii="Arial" w:eastAsia="Calibri" w:hAnsi="Arial" w:cs="Arial"/>
          <w:sz w:val="22"/>
          <w:lang w:val="es-ES"/>
        </w:rPr>
      </w:pPr>
    </w:p>
    <w:p w14:paraId="36B01E9B" w14:textId="77777777" w:rsidR="008F61CB" w:rsidRDefault="008F61CB" w:rsidP="006026D9">
      <w:pPr>
        <w:jc w:val="both"/>
        <w:outlineLvl w:val="0"/>
        <w:rPr>
          <w:rFonts w:ascii="Arial" w:eastAsia="Calibri" w:hAnsi="Arial" w:cs="Arial"/>
          <w:sz w:val="22"/>
          <w:lang w:val="es-ES"/>
        </w:rPr>
      </w:pPr>
    </w:p>
    <w:p w14:paraId="299660DC" w14:textId="77777777" w:rsidR="008F61CB" w:rsidRDefault="008F61CB" w:rsidP="006026D9">
      <w:pPr>
        <w:jc w:val="both"/>
        <w:outlineLvl w:val="0"/>
        <w:rPr>
          <w:rFonts w:ascii="Arial" w:eastAsia="Calibri" w:hAnsi="Arial" w:cs="Arial"/>
          <w:sz w:val="22"/>
          <w:lang w:val="es-ES"/>
        </w:rPr>
      </w:pPr>
    </w:p>
    <w:p w14:paraId="10903C81" w14:textId="77777777" w:rsidR="008F61CB" w:rsidRDefault="008F61CB" w:rsidP="006026D9">
      <w:pPr>
        <w:jc w:val="both"/>
        <w:outlineLvl w:val="0"/>
        <w:rPr>
          <w:rFonts w:ascii="Arial" w:eastAsia="Calibri" w:hAnsi="Arial" w:cs="Arial"/>
          <w:sz w:val="22"/>
          <w:lang w:val="es-ES"/>
        </w:rPr>
      </w:pPr>
    </w:p>
    <w:p w14:paraId="76CE726A" w14:textId="77777777" w:rsidR="008F61CB" w:rsidRDefault="008F61CB" w:rsidP="006026D9">
      <w:pPr>
        <w:jc w:val="both"/>
        <w:outlineLvl w:val="0"/>
        <w:rPr>
          <w:rFonts w:ascii="Arial" w:eastAsia="Calibri" w:hAnsi="Arial" w:cs="Arial"/>
          <w:sz w:val="22"/>
          <w:lang w:val="es-ES"/>
        </w:rPr>
      </w:pPr>
    </w:p>
    <w:p w14:paraId="7DCCFB5D" w14:textId="77777777" w:rsidR="008F61CB" w:rsidRDefault="008F61CB" w:rsidP="006026D9">
      <w:pPr>
        <w:jc w:val="both"/>
        <w:outlineLvl w:val="0"/>
        <w:rPr>
          <w:rFonts w:ascii="Arial" w:eastAsia="Calibri" w:hAnsi="Arial" w:cs="Arial"/>
          <w:sz w:val="22"/>
          <w:lang w:val="es-ES"/>
        </w:rPr>
      </w:pPr>
    </w:p>
    <w:p w14:paraId="50432949" w14:textId="77777777" w:rsidR="008F61CB" w:rsidRDefault="008F61CB" w:rsidP="006026D9">
      <w:pPr>
        <w:jc w:val="both"/>
        <w:outlineLvl w:val="0"/>
        <w:rPr>
          <w:rFonts w:ascii="Arial" w:eastAsia="Calibri" w:hAnsi="Arial" w:cs="Arial"/>
          <w:sz w:val="22"/>
          <w:lang w:val="es-ES"/>
        </w:rPr>
      </w:pPr>
    </w:p>
    <w:p w14:paraId="2B8A504B" w14:textId="77777777" w:rsidR="008F61CB" w:rsidRDefault="008F61CB" w:rsidP="006026D9">
      <w:pPr>
        <w:jc w:val="both"/>
        <w:outlineLvl w:val="0"/>
        <w:rPr>
          <w:rFonts w:ascii="Arial" w:eastAsia="Calibri" w:hAnsi="Arial" w:cs="Arial"/>
          <w:sz w:val="22"/>
          <w:lang w:val="es-ES"/>
        </w:rPr>
      </w:pPr>
    </w:p>
    <w:p w14:paraId="01D234F4" w14:textId="77777777" w:rsidR="008F61CB" w:rsidRDefault="008F61CB" w:rsidP="006026D9">
      <w:pPr>
        <w:jc w:val="both"/>
        <w:outlineLvl w:val="0"/>
        <w:rPr>
          <w:rFonts w:ascii="Arial" w:eastAsia="Calibri" w:hAnsi="Arial" w:cs="Arial"/>
          <w:sz w:val="22"/>
          <w:lang w:val="es-ES"/>
        </w:rPr>
      </w:pPr>
    </w:p>
    <w:p w14:paraId="379D4BA4" w14:textId="77777777" w:rsidR="008F61CB" w:rsidRDefault="008F61CB" w:rsidP="006026D9">
      <w:pPr>
        <w:jc w:val="both"/>
        <w:outlineLvl w:val="0"/>
        <w:rPr>
          <w:rFonts w:ascii="Arial" w:eastAsia="Calibri" w:hAnsi="Arial" w:cs="Arial"/>
          <w:sz w:val="22"/>
          <w:lang w:val="es-ES"/>
        </w:rPr>
      </w:pPr>
    </w:p>
    <w:p w14:paraId="44E220A1" w14:textId="77777777" w:rsidR="008F61CB" w:rsidRDefault="008F61CB" w:rsidP="006026D9">
      <w:pPr>
        <w:jc w:val="both"/>
        <w:outlineLvl w:val="0"/>
        <w:rPr>
          <w:rFonts w:ascii="Arial" w:eastAsia="Calibri" w:hAnsi="Arial" w:cs="Arial"/>
          <w:sz w:val="22"/>
          <w:lang w:val="es-ES"/>
        </w:rPr>
      </w:pPr>
    </w:p>
    <w:p w14:paraId="5DEBC1DF" w14:textId="74A135DE" w:rsidR="008F61CB" w:rsidRDefault="008F61CB" w:rsidP="006026D9">
      <w:pPr>
        <w:jc w:val="both"/>
        <w:outlineLvl w:val="0"/>
        <w:rPr>
          <w:rFonts w:ascii="Arial" w:eastAsia="Calibri" w:hAnsi="Arial" w:cs="Arial"/>
          <w:sz w:val="22"/>
          <w:lang w:val="es-ES"/>
        </w:rPr>
      </w:pPr>
    </w:p>
    <w:p w14:paraId="679C7524" w14:textId="7846CAB4" w:rsidR="0014074B" w:rsidRDefault="0014074B" w:rsidP="006026D9">
      <w:pPr>
        <w:jc w:val="both"/>
        <w:outlineLvl w:val="0"/>
        <w:rPr>
          <w:rFonts w:ascii="Arial" w:eastAsia="Calibri" w:hAnsi="Arial" w:cs="Arial"/>
          <w:sz w:val="22"/>
          <w:lang w:val="es-ES"/>
        </w:rPr>
      </w:pPr>
    </w:p>
    <w:p w14:paraId="6F3ACFDA" w14:textId="77777777" w:rsidR="00537743" w:rsidRDefault="00537743" w:rsidP="006026D9">
      <w:pPr>
        <w:jc w:val="both"/>
        <w:outlineLvl w:val="0"/>
        <w:rPr>
          <w:rFonts w:ascii="Arial" w:eastAsia="Calibri" w:hAnsi="Arial" w:cs="Arial"/>
          <w:sz w:val="22"/>
          <w:lang w:val="es-ES"/>
        </w:rPr>
      </w:pPr>
    </w:p>
    <w:p w14:paraId="1CBDEA17" w14:textId="487643AD" w:rsidR="000C4936" w:rsidRDefault="000C4936" w:rsidP="006026D9">
      <w:pPr>
        <w:jc w:val="both"/>
        <w:outlineLvl w:val="0"/>
        <w:rPr>
          <w:rFonts w:ascii="Arial" w:eastAsia="Calibri" w:hAnsi="Arial" w:cs="Arial"/>
          <w:sz w:val="22"/>
          <w:lang w:val="es-ES"/>
        </w:rPr>
      </w:pPr>
      <w:r>
        <w:rPr>
          <w:rFonts w:ascii="_˘3_ò" w:hAnsi="_˘3_ò" w:cs="_˘3_ò"/>
          <w:color w:val="4E4D4D"/>
          <w:sz w:val="22"/>
          <w:lang w:val="es-ES_tradnl"/>
        </w:rPr>
        <w:lastRenderedPageBreak/>
        <w:t xml:space="preserve">Bogotá, 15 </w:t>
      </w:r>
      <w:proofErr w:type="gramStart"/>
      <w:r>
        <w:rPr>
          <w:rFonts w:ascii="_˘3_ò" w:hAnsi="_˘3_ò" w:cs="_˘3_ò"/>
          <w:color w:val="4E4D4D"/>
          <w:sz w:val="22"/>
          <w:lang w:val="es-ES_tradnl"/>
        </w:rPr>
        <w:t>Junio</w:t>
      </w:r>
      <w:proofErr w:type="gramEnd"/>
      <w:r>
        <w:rPr>
          <w:rFonts w:ascii="_˘3_ò" w:hAnsi="_˘3_ò" w:cs="_˘3_ò"/>
          <w:color w:val="4E4D4D"/>
          <w:sz w:val="22"/>
          <w:lang w:val="es-ES_tradnl"/>
        </w:rPr>
        <w:t xml:space="preserve"> 2022                                             </w:t>
      </w:r>
      <w:r w:rsidRPr="000C4936">
        <w:rPr>
          <w:rFonts w:ascii="_˘3_ò" w:hAnsi="_˘3_ò" w:cs="_˘3_ò"/>
          <w:noProof/>
          <w:color w:val="4E4D4D"/>
          <w:sz w:val="22"/>
          <w:lang w:val="es-ES_tradnl"/>
        </w:rPr>
        <w:drawing>
          <wp:inline distT="0" distB="0" distL="0" distR="0" wp14:anchorId="7C0F2BFF" wp14:editId="588CE5F1">
            <wp:extent cx="3056861" cy="1193800"/>
            <wp:effectExtent l="0" t="0" r="4445" b="0"/>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a:blip r:embed="rId11"/>
                    <a:stretch>
                      <a:fillRect/>
                    </a:stretch>
                  </pic:blipFill>
                  <pic:spPr>
                    <a:xfrm>
                      <a:off x="0" y="0"/>
                      <a:ext cx="3065925" cy="1197340"/>
                    </a:xfrm>
                    <a:prstGeom prst="rect">
                      <a:avLst/>
                    </a:prstGeom>
                  </pic:spPr>
                </pic:pic>
              </a:graphicData>
            </a:graphic>
          </wp:inline>
        </w:drawing>
      </w:r>
    </w:p>
    <w:p w14:paraId="2B4B2772" w14:textId="77777777" w:rsidR="000C4936" w:rsidRDefault="000C4936" w:rsidP="006026D9">
      <w:pPr>
        <w:jc w:val="both"/>
        <w:outlineLvl w:val="0"/>
        <w:rPr>
          <w:rFonts w:ascii="Arial" w:eastAsia="Calibri" w:hAnsi="Arial" w:cs="Arial"/>
          <w:sz w:val="22"/>
          <w:lang w:val="es-ES"/>
        </w:rPr>
      </w:pPr>
    </w:p>
    <w:p w14:paraId="6B6535B7" w14:textId="305E435E" w:rsidR="00E35B0E" w:rsidRPr="00E52B90" w:rsidRDefault="00F41276" w:rsidP="006026D9">
      <w:pPr>
        <w:jc w:val="both"/>
        <w:outlineLvl w:val="0"/>
        <w:rPr>
          <w:rFonts w:ascii="Arial" w:eastAsia="Calibri" w:hAnsi="Arial" w:cs="Arial"/>
          <w:sz w:val="22"/>
          <w:lang w:val="es-ES"/>
        </w:rPr>
      </w:pPr>
      <w:r w:rsidRPr="00E52B90">
        <w:rPr>
          <w:rFonts w:ascii="Arial" w:eastAsia="Calibri" w:hAnsi="Arial" w:cs="Arial"/>
          <w:sz w:val="22"/>
          <w:lang w:val="es-ES"/>
        </w:rPr>
        <w:t>Señor</w:t>
      </w:r>
    </w:p>
    <w:p w14:paraId="0A324933" w14:textId="2A8068E9" w:rsidR="00F41276" w:rsidRPr="00E52B90" w:rsidRDefault="00C2778C" w:rsidP="006026D9">
      <w:pPr>
        <w:jc w:val="both"/>
        <w:rPr>
          <w:rFonts w:ascii="Arial" w:hAnsi="Arial" w:cs="Arial"/>
          <w:b/>
          <w:bCs/>
          <w:sz w:val="22"/>
          <w:lang w:val="es-CO"/>
        </w:rPr>
      </w:pPr>
      <w:r>
        <w:rPr>
          <w:rFonts w:ascii="Arial" w:hAnsi="Arial" w:cs="Arial"/>
          <w:b/>
          <w:bCs/>
          <w:sz w:val="22"/>
          <w:lang w:val="es-CO"/>
        </w:rPr>
        <w:t>Humberto López Maya</w:t>
      </w:r>
    </w:p>
    <w:p w14:paraId="66E298E5" w14:textId="4349E4D8" w:rsidR="00E21549" w:rsidRPr="00E52B90" w:rsidRDefault="00E21549" w:rsidP="006026D9">
      <w:pPr>
        <w:jc w:val="both"/>
        <w:rPr>
          <w:rFonts w:ascii="Arial" w:hAnsi="Arial" w:cs="Arial"/>
          <w:sz w:val="22"/>
          <w:lang w:val="es-CO"/>
        </w:rPr>
      </w:pPr>
      <w:r w:rsidRPr="00E52B90">
        <w:rPr>
          <w:rFonts w:ascii="Arial" w:hAnsi="Arial" w:cs="Arial"/>
          <w:sz w:val="22"/>
          <w:lang w:val="es-CO"/>
        </w:rPr>
        <w:t>Bogotá D.C.</w:t>
      </w:r>
    </w:p>
    <w:p w14:paraId="0973DE01" w14:textId="721284D5" w:rsidR="00E35B0E" w:rsidRPr="00E52B90" w:rsidRDefault="00E35B0E" w:rsidP="006026D9">
      <w:pPr>
        <w:jc w:val="both"/>
        <w:rPr>
          <w:rFonts w:ascii="Arial" w:eastAsia="Calibri" w:hAnsi="Arial" w:cs="Arial"/>
          <w:sz w:val="22"/>
          <w:lang w:val="es-ES"/>
        </w:rPr>
      </w:pPr>
    </w:p>
    <w:p w14:paraId="3D1882E9" w14:textId="77777777" w:rsidR="00E35B0E" w:rsidRPr="00E52B90" w:rsidRDefault="00E35B0E" w:rsidP="006026D9">
      <w:pPr>
        <w:jc w:val="both"/>
        <w:rPr>
          <w:rFonts w:ascii="Arial" w:eastAsia="Calibri" w:hAnsi="Arial" w:cs="Arial"/>
          <w:sz w:val="22"/>
          <w:lang w:val="es-ES"/>
        </w:rPr>
      </w:pPr>
    </w:p>
    <w:p w14:paraId="70630779" w14:textId="1347F480" w:rsidR="00E35B0E" w:rsidRPr="00E52B90" w:rsidRDefault="00E35B0E" w:rsidP="006026D9">
      <w:pPr>
        <w:ind w:firstLine="2694"/>
        <w:jc w:val="both"/>
        <w:outlineLvl w:val="0"/>
        <w:rPr>
          <w:rFonts w:ascii="Arial" w:eastAsia="Calibri" w:hAnsi="Arial" w:cs="Arial"/>
          <w:b/>
          <w:sz w:val="22"/>
          <w:lang w:val="es-ES"/>
        </w:rPr>
      </w:pPr>
      <w:r w:rsidRPr="00E52B90">
        <w:rPr>
          <w:rFonts w:ascii="Arial" w:eastAsia="Calibri" w:hAnsi="Arial" w:cs="Arial"/>
          <w:b/>
          <w:sz w:val="22"/>
          <w:lang w:val="es-ES"/>
        </w:rPr>
        <w:t>Concepto C –</w:t>
      </w:r>
      <w:r w:rsidR="00E21549" w:rsidRPr="00E52B90">
        <w:rPr>
          <w:rFonts w:ascii="Arial" w:eastAsia="Calibri" w:hAnsi="Arial" w:cs="Arial"/>
          <w:b/>
          <w:sz w:val="22"/>
          <w:lang w:val="es-ES"/>
        </w:rPr>
        <w:t xml:space="preserve"> </w:t>
      </w:r>
      <w:r w:rsidR="00C2778C">
        <w:rPr>
          <w:rFonts w:ascii="Arial" w:eastAsia="Calibri" w:hAnsi="Arial" w:cs="Arial"/>
          <w:b/>
          <w:sz w:val="22"/>
          <w:lang w:val="es-ES"/>
        </w:rPr>
        <w:t>385</w:t>
      </w:r>
      <w:r w:rsidRPr="00E52B90">
        <w:rPr>
          <w:rFonts w:ascii="Arial" w:eastAsia="Calibri" w:hAnsi="Arial" w:cs="Arial"/>
          <w:b/>
          <w:sz w:val="22"/>
          <w:lang w:val="es-ES"/>
        </w:rPr>
        <w:t xml:space="preserve"> de 202</w:t>
      </w:r>
      <w:r w:rsidR="00C2778C">
        <w:rPr>
          <w:rFonts w:ascii="Arial" w:eastAsia="Calibri" w:hAnsi="Arial" w:cs="Arial"/>
          <w:b/>
          <w:sz w:val="22"/>
          <w:lang w:val="es-ES"/>
        </w:rPr>
        <w:t>2</w:t>
      </w:r>
    </w:p>
    <w:p w14:paraId="234727AD" w14:textId="77777777" w:rsidR="00BE1E33" w:rsidRPr="00E52B90" w:rsidRDefault="00BE1E33" w:rsidP="006026D9">
      <w:pPr>
        <w:rPr>
          <w:rFonts w:ascii="Arial" w:eastAsia="Calibri" w:hAnsi="Arial" w:cs="Arial"/>
          <w:sz w:val="22"/>
          <w:lang w:val="es-ES"/>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94"/>
        <w:gridCol w:w="6232"/>
      </w:tblGrid>
      <w:tr w:rsidR="00782A9F" w:rsidRPr="00E52B90" w14:paraId="2553E4F3" w14:textId="77777777" w:rsidTr="006026D9">
        <w:tc>
          <w:tcPr>
            <w:tcW w:w="2694" w:type="dxa"/>
            <w:hideMark/>
          </w:tcPr>
          <w:p w14:paraId="7BC9E971" w14:textId="77777777" w:rsidR="00782A9F" w:rsidRPr="00E52B90" w:rsidRDefault="00782A9F" w:rsidP="006026D9">
            <w:pPr>
              <w:rPr>
                <w:rFonts w:ascii="Arial" w:eastAsia="Calibri" w:hAnsi="Arial" w:cs="Arial"/>
                <w:sz w:val="22"/>
                <w:lang w:val="es-ES_tradnl"/>
              </w:rPr>
            </w:pPr>
            <w:r w:rsidRPr="00E52B90">
              <w:rPr>
                <w:rFonts w:ascii="Arial" w:eastAsia="Calibri" w:hAnsi="Arial" w:cs="Arial"/>
                <w:b/>
                <w:sz w:val="22"/>
                <w:lang w:val="es-ES_tradnl"/>
              </w:rPr>
              <w:t>Temas:</w:t>
            </w:r>
            <w:r w:rsidRPr="00E52B90">
              <w:rPr>
                <w:rFonts w:ascii="Arial" w:eastAsia="Calibri" w:hAnsi="Arial" w:cs="Arial"/>
                <w:sz w:val="22"/>
                <w:lang w:val="es-ES_tradnl"/>
              </w:rPr>
              <w:t xml:space="preserve">           </w:t>
            </w:r>
          </w:p>
          <w:p w14:paraId="0C0D8CD7" w14:textId="77777777" w:rsidR="00782A9F" w:rsidRPr="00E52B90" w:rsidRDefault="00782A9F" w:rsidP="006026D9">
            <w:pPr>
              <w:rPr>
                <w:rFonts w:ascii="Arial" w:eastAsia="Calibri" w:hAnsi="Arial" w:cs="Arial"/>
                <w:sz w:val="22"/>
                <w:lang w:val="es-ES_tradnl"/>
              </w:rPr>
            </w:pPr>
            <w:r w:rsidRPr="00E52B90">
              <w:rPr>
                <w:rFonts w:ascii="Arial" w:eastAsia="Calibri" w:hAnsi="Arial" w:cs="Arial"/>
                <w:sz w:val="22"/>
                <w:lang w:val="es-ES_tradnl"/>
              </w:rPr>
              <w:t xml:space="preserve">                           </w:t>
            </w:r>
          </w:p>
        </w:tc>
        <w:tc>
          <w:tcPr>
            <w:tcW w:w="6232" w:type="dxa"/>
            <w:hideMark/>
          </w:tcPr>
          <w:p w14:paraId="0F35FDBD" w14:textId="6AB5B116" w:rsidR="00782A9F" w:rsidRPr="00E52B90" w:rsidRDefault="00A300F3" w:rsidP="006026D9">
            <w:pPr>
              <w:jc w:val="both"/>
              <w:rPr>
                <w:rFonts w:ascii="Arial" w:eastAsia="Calibri" w:hAnsi="Arial" w:cs="Arial"/>
                <w:sz w:val="22"/>
                <w:lang w:val="es-ES_tradnl"/>
              </w:rPr>
            </w:pPr>
            <w:r w:rsidRPr="001234C1">
              <w:rPr>
                <w:rFonts w:ascii="Arial" w:eastAsia="Calibri" w:hAnsi="Arial" w:cs="Arial"/>
                <w:color w:val="000000" w:themeColor="text1"/>
                <w:sz w:val="22"/>
                <w:lang w:val="es-ES_tradnl"/>
              </w:rPr>
              <w:t>LEY 80 DE 1993 − Contrato interadministrativo − Convenio interadministrativo</w:t>
            </w:r>
            <w:r>
              <w:rPr>
                <w:rFonts w:ascii="Arial" w:eastAsia="Calibri" w:hAnsi="Arial" w:cs="Arial"/>
                <w:color w:val="000000" w:themeColor="text1"/>
                <w:sz w:val="22"/>
                <w:lang w:val="es-ES_tradnl"/>
              </w:rPr>
              <w:t xml:space="preserve"> / </w:t>
            </w:r>
            <w:r w:rsidRPr="001234C1">
              <w:rPr>
                <w:rFonts w:ascii="Arial" w:eastAsia="Calibri" w:hAnsi="Arial" w:cs="Arial"/>
                <w:color w:val="000000" w:themeColor="text1"/>
                <w:sz w:val="22"/>
                <w:lang w:val="es-ES_tradnl"/>
              </w:rPr>
              <w:t xml:space="preserve">PODERES O CLÁUSULAS EXORBITANTES – </w:t>
            </w:r>
            <w:r w:rsidRPr="005A5052">
              <w:rPr>
                <w:rFonts w:ascii="Arial" w:eastAsia="Calibri" w:hAnsi="Arial" w:cs="Arial"/>
                <w:color w:val="000000" w:themeColor="text1"/>
                <w:sz w:val="22"/>
                <w:lang w:val="es-ES_tradnl"/>
              </w:rPr>
              <w:t>Interpretación unilateral del contrato</w:t>
            </w:r>
            <w:r>
              <w:rPr>
                <w:rFonts w:ascii="Arial" w:eastAsia="Calibri" w:hAnsi="Arial" w:cs="Arial"/>
                <w:color w:val="000000" w:themeColor="text1"/>
                <w:sz w:val="22"/>
                <w:lang w:val="es-ES_tradnl"/>
              </w:rPr>
              <w:t xml:space="preserve"> / </w:t>
            </w:r>
            <w:r w:rsidRPr="001234C1">
              <w:rPr>
                <w:rFonts w:ascii="Arial" w:eastAsia="Calibri" w:hAnsi="Arial" w:cs="Arial"/>
                <w:color w:val="000000" w:themeColor="text1"/>
                <w:sz w:val="22"/>
                <w:lang w:val="es-ES_tradnl"/>
              </w:rPr>
              <w:t>CLAUSULAS EXORBITANTES – Artículo 14 Ley 80 de 1993 – Contratos interadministrativos</w:t>
            </w:r>
            <w:r>
              <w:rPr>
                <w:rFonts w:ascii="Arial" w:eastAsia="Calibri" w:hAnsi="Arial" w:cs="Arial"/>
                <w:color w:val="000000" w:themeColor="text1"/>
                <w:sz w:val="22"/>
                <w:lang w:val="es-ES_tradnl"/>
              </w:rPr>
              <w:t xml:space="preserve"> / </w:t>
            </w:r>
            <w:r w:rsidRPr="00BF2545">
              <w:rPr>
                <w:rFonts w:ascii="Arial" w:eastAsia="Calibri" w:hAnsi="Arial" w:cs="Arial"/>
                <w:sz w:val="22"/>
              </w:rPr>
              <w:t>INTERPRETACIÓN DEL CONTRATO ESTATAL – Reglas</w:t>
            </w:r>
            <w:r>
              <w:rPr>
                <w:rFonts w:ascii="Arial" w:eastAsia="Calibri" w:hAnsi="Arial" w:cs="Arial"/>
                <w:sz w:val="22"/>
              </w:rPr>
              <w:t xml:space="preserve"> </w:t>
            </w:r>
            <w:r w:rsidRPr="00EE5876">
              <w:rPr>
                <w:rFonts w:ascii="Arial" w:eastAsia="Calibri" w:hAnsi="Arial" w:cs="Arial"/>
                <w:sz w:val="22"/>
              </w:rPr>
              <w:t>Interpretación auténtica, judicial y doctrinal</w:t>
            </w:r>
            <w:r w:rsidRPr="00E52B90">
              <w:rPr>
                <w:rFonts w:ascii="Arial" w:eastAsia="Calibri" w:hAnsi="Arial" w:cs="Arial"/>
                <w:color w:val="000000" w:themeColor="text1"/>
                <w:sz w:val="22"/>
                <w:lang w:val="es-ES_tradnl"/>
              </w:rPr>
              <w:t xml:space="preserve"> </w:t>
            </w:r>
          </w:p>
        </w:tc>
      </w:tr>
      <w:tr w:rsidR="00782A9F" w:rsidRPr="00E52B90" w14:paraId="20F2A3B6" w14:textId="77777777" w:rsidTr="006026D9">
        <w:tc>
          <w:tcPr>
            <w:tcW w:w="2694" w:type="dxa"/>
          </w:tcPr>
          <w:p w14:paraId="1E82F4FA" w14:textId="7BA64145" w:rsidR="00782A9F" w:rsidRPr="00E52B90" w:rsidRDefault="00782A9F" w:rsidP="006026D9">
            <w:pPr>
              <w:spacing w:before="120"/>
              <w:rPr>
                <w:rFonts w:ascii="Arial" w:eastAsia="Calibri" w:hAnsi="Arial" w:cs="Arial"/>
                <w:b/>
                <w:sz w:val="22"/>
                <w:lang w:val="es-ES_tradnl"/>
              </w:rPr>
            </w:pPr>
            <w:r w:rsidRPr="00E52B90">
              <w:rPr>
                <w:rFonts w:ascii="Arial" w:eastAsia="Calibri" w:hAnsi="Arial" w:cs="Arial"/>
                <w:b/>
                <w:sz w:val="22"/>
                <w:lang w:val="es-ES_tradnl"/>
              </w:rPr>
              <w:t>Radicación:</w:t>
            </w:r>
            <w:r w:rsidRPr="00E52B90">
              <w:rPr>
                <w:rFonts w:ascii="Arial" w:eastAsia="Calibri" w:hAnsi="Arial" w:cs="Arial"/>
                <w:sz w:val="22"/>
                <w:lang w:val="es-ES_tradnl"/>
              </w:rPr>
              <w:t xml:space="preserve">                              </w:t>
            </w:r>
          </w:p>
        </w:tc>
        <w:tc>
          <w:tcPr>
            <w:tcW w:w="6232" w:type="dxa"/>
          </w:tcPr>
          <w:p w14:paraId="20FCE53A" w14:textId="5E9A7292" w:rsidR="00782A9F" w:rsidRPr="00E52B90" w:rsidRDefault="00782A9F" w:rsidP="006026D9">
            <w:pPr>
              <w:spacing w:before="120"/>
              <w:jc w:val="both"/>
              <w:rPr>
                <w:rFonts w:ascii="Arial" w:eastAsia="Calibri" w:hAnsi="Arial" w:cs="Arial"/>
                <w:sz w:val="22"/>
                <w:lang w:val="es-ES_tradnl"/>
              </w:rPr>
            </w:pPr>
            <w:r w:rsidRPr="00E52B90">
              <w:rPr>
                <w:rFonts w:ascii="Arial" w:eastAsia="Calibri" w:hAnsi="Arial" w:cs="Arial"/>
                <w:sz w:val="22"/>
                <w:lang w:val="es-ES_tradnl"/>
              </w:rPr>
              <w:t xml:space="preserve">Respuesta a consulta </w:t>
            </w:r>
            <w:r w:rsidR="00C2778C" w:rsidRPr="00C2778C">
              <w:rPr>
                <w:rFonts w:ascii="Arial" w:eastAsia="Calibri" w:hAnsi="Arial" w:cs="Arial"/>
                <w:sz w:val="22"/>
                <w:lang w:val="es-ES_tradnl"/>
              </w:rPr>
              <w:t>P20220503004339</w:t>
            </w:r>
          </w:p>
        </w:tc>
      </w:tr>
    </w:tbl>
    <w:p w14:paraId="06248123" w14:textId="6D917F7A" w:rsidR="00BE1E33" w:rsidRPr="00E52B90" w:rsidRDefault="00BE1E33" w:rsidP="00080255">
      <w:pPr>
        <w:jc w:val="both"/>
        <w:rPr>
          <w:rFonts w:ascii="Arial" w:eastAsia="Calibri" w:hAnsi="Arial" w:cs="Arial"/>
          <w:sz w:val="22"/>
          <w:lang w:val="es-ES_tradnl"/>
        </w:rPr>
      </w:pPr>
    </w:p>
    <w:p w14:paraId="01D461F0" w14:textId="77777777" w:rsidR="00080255" w:rsidRPr="00E52B90" w:rsidRDefault="00080255" w:rsidP="006026D9">
      <w:pPr>
        <w:jc w:val="both"/>
        <w:rPr>
          <w:rFonts w:ascii="Arial" w:eastAsia="Calibri" w:hAnsi="Arial" w:cs="Arial"/>
          <w:sz w:val="22"/>
          <w:lang w:val="es-ES_tradnl"/>
        </w:rPr>
      </w:pPr>
    </w:p>
    <w:p w14:paraId="417ABDA8" w14:textId="5133964F" w:rsidR="00BE1E33" w:rsidRPr="00E52B90" w:rsidRDefault="004E402A" w:rsidP="00B86532">
      <w:pPr>
        <w:spacing w:line="276" w:lineRule="auto"/>
        <w:rPr>
          <w:rFonts w:ascii="Arial" w:eastAsia="Calibri" w:hAnsi="Arial" w:cs="Arial"/>
          <w:sz w:val="22"/>
          <w:lang w:val="es-ES_tradnl"/>
        </w:rPr>
      </w:pPr>
      <w:r w:rsidRPr="00E52B90">
        <w:rPr>
          <w:rFonts w:ascii="Arial" w:eastAsia="Calibri" w:hAnsi="Arial" w:cs="Arial"/>
          <w:sz w:val="22"/>
          <w:lang w:val="es-ES_tradnl"/>
        </w:rPr>
        <w:t>Respetad</w:t>
      </w:r>
      <w:r w:rsidR="006F0030">
        <w:rPr>
          <w:rFonts w:ascii="Arial" w:eastAsia="Calibri" w:hAnsi="Arial" w:cs="Arial"/>
          <w:sz w:val="22"/>
          <w:lang w:val="es-ES_tradnl"/>
        </w:rPr>
        <w:t>o</w:t>
      </w:r>
      <w:r w:rsidR="00F41276" w:rsidRPr="00E52B90">
        <w:rPr>
          <w:rFonts w:ascii="Arial" w:eastAsia="Calibri" w:hAnsi="Arial" w:cs="Arial"/>
          <w:sz w:val="22"/>
          <w:lang w:val="es-ES_tradnl"/>
        </w:rPr>
        <w:t xml:space="preserve"> señor</w:t>
      </w:r>
      <w:r w:rsidR="00871471" w:rsidRPr="00E52B90">
        <w:rPr>
          <w:rFonts w:ascii="Arial" w:eastAsia="Calibri" w:hAnsi="Arial" w:cs="Arial"/>
          <w:sz w:val="22"/>
          <w:lang w:val="es-ES_tradnl"/>
        </w:rPr>
        <w:t xml:space="preserve"> </w:t>
      </w:r>
      <w:r w:rsidR="00C2778C">
        <w:rPr>
          <w:rFonts w:ascii="Arial" w:eastAsia="Calibri" w:hAnsi="Arial" w:cs="Arial"/>
          <w:sz w:val="22"/>
          <w:lang w:val="es-ES_tradnl"/>
        </w:rPr>
        <w:t>López</w:t>
      </w:r>
      <w:r w:rsidRPr="00E52B90">
        <w:rPr>
          <w:rFonts w:ascii="Arial" w:eastAsia="Calibri" w:hAnsi="Arial" w:cs="Arial"/>
          <w:sz w:val="22"/>
          <w:lang w:val="es-ES_tradnl"/>
        </w:rPr>
        <w:t>:</w:t>
      </w:r>
    </w:p>
    <w:p w14:paraId="1CCABABD" w14:textId="77777777" w:rsidR="00BE1E33" w:rsidRPr="00E52B90" w:rsidRDefault="00BE1E33" w:rsidP="00B86532">
      <w:pPr>
        <w:spacing w:line="276" w:lineRule="auto"/>
        <w:rPr>
          <w:rFonts w:ascii="Arial" w:eastAsia="Calibri" w:hAnsi="Arial" w:cs="Arial"/>
          <w:sz w:val="22"/>
          <w:lang w:val="es-ES_tradnl"/>
        </w:rPr>
      </w:pPr>
    </w:p>
    <w:p w14:paraId="286A9CEF" w14:textId="71D50A61" w:rsidR="00BE1E33" w:rsidRPr="00E52B90" w:rsidRDefault="00BE1E33" w:rsidP="00B86532">
      <w:pPr>
        <w:spacing w:line="276" w:lineRule="auto"/>
        <w:jc w:val="both"/>
        <w:rPr>
          <w:rFonts w:ascii="Arial" w:eastAsia="Calibri" w:hAnsi="Arial" w:cs="Arial"/>
          <w:sz w:val="22"/>
          <w:lang w:val="es-ES_tradnl"/>
        </w:rPr>
      </w:pPr>
      <w:r w:rsidRPr="00E52B90">
        <w:rPr>
          <w:rFonts w:ascii="Arial" w:eastAsia="Calibri" w:hAnsi="Arial" w:cs="Arial"/>
          <w:sz w:val="22"/>
          <w:lang w:val="es-ES_tradnl"/>
        </w:rPr>
        <w:t xml:space="preserve">En ejercicio de la competencia otorgada por los artículos 11, numeral 8º, y 3º, numeral 5º, del Decreto Ley 4170 de 2011, la Agencia Nacional de Contratación Pública − Colombia Compra Eficiente responde su consulta </w:t>
      </w:r>
      <w:r w:rsidR="00131937" w:rsidRPr="00E52B90">
        <w:rPr>
          <w:rFonts w:ascii="Arial" w:eastAsia="Calibri" w:hAnsi="Arial" w:cs="Arial"/>
          <w:sz w:val="22"/>
          <w:lang w:val="es-ES_tradnl"/>
        </w:rPr>
        <w:t>de</w:t>
      </w:r>
      <w:r w:rsidR="00991A55">
        <w:rPr>
          <w:rFonts w:ascii="Arial" w:eastAsia="Calibri" w:hAnsi="Arial" w:cs="Arial"/>
          <w:sz w:val="22"/>
          <w:lang w:val="es-ES_tradnl"/>
        </w:rPr>
        <w:t>l</w:t>
      </w:r>
      <w:r w:rsidR="00131937" w:rsidRPr="00E52B90">
        <w:rPr>
          <w:rFonts w:ascii="Arial" w:eastAsia="Calibri" w:hAnsi="Arial" w:cs="Arial"/>
          <w:sz w:val="22"/>
          <w:lang w:val="es-ES_tradnl"/>
        </w:rPr>
        <w:t xml:space="preserve"> </w:t>
      </w:r>
      <w:r w:rsidR="00C2778C">
        <w:rPr>
          <w:rFonts w:ascii="Arial" w:eastAsia="Calibri" w:hAnsi="Arial" w:cs="Arial"/>
          <w:sz w:val="22"/>
          <w:lang w:val="es-ES_tradnl"/>
        </w:rPr>
        <w:t>3</w:t>
      </w:r>
      <w:r w:rsidR="00ED3B2F" w:rsidRPr="00E52B90">
        <w:rPr>
          <w:rFonts w:ascii="Arial" w:eastAsia="Calibri" w:hAnsi="Arial" w:cs="Arial"/>
          <w:sz w:val="22"/>
          <w:lang w:val="es-ES_tradnl"/>
        </w:rPr>
        <w:t xml:space="preserve"> de </w:t>
      </w:r>
      <w:r w:rsidR="00C2778C">
        <w:rPr>
          <w:rFonts w:ascii="Arial" w:eastAsia="Calibri" w:hAnsi="Arial" w:cs="Arial"/>
          <w:sz w:val="22"/>
          <w:lang w:val="es-ES_tradnl"/>
        </w:rPr>
        <w:t>mayo</w:t>
      </w:r>
      <w:r w:rsidR="00787F0A" w:rsidRPr="00E52B90">
        <w:rPr>
          <w:rFonts w:ascii="Arial" w:eastAsia="Calibri" w:hAnsi="Arial" w:cs="Arial"/>
          <w:sz w:val="22"/>
          <w:lang w:val="es-ES_tradnl"/>
        </w:rPr>
        <w:t xml:space="preserve"> de 20</w:t>
      </w:r>
      <w:r w:rsidR="00731B46" w:rsidRPr="00E52B90">
        <w:rPr>
          <w:rFonts w:ascii="Arial" w:eastAsia="Calibri" w:hAnsi="Arial" w:cs="Arial"/>
          <w:sz w:val="22"/>
          <w:lang w:val="es-ES_tradnl"/>
        </w:rPr>
        <w:t>2</w:t>
      </w:r>
      <w:r w:rsidR="00C2778C">
        <w:rPr>
          <w:rFonts w:ascii="Arial" w:eastAsia="Calibri" w:hAnsi="Arial" w:cs="Arial"/>
          <w:sz w:val="22"/>
          <w:lang w:val="es-ES_tradnl"/>
        </w:rPr>
        <w:t>2</w:t>
      </w:r>
      <w:r w:rsidR="00731B46" w:rsidRPr="00E52B90">
        <w:rPr>
          <w:rFonts w:ascii="Arial" w:eastAsia="Calibri" w:hAnsi="Arial" w:cs="Arial"/>
          <w:sz w:val="22"/>
          <w:lang w:val="es-ES_tradnl"/>
        </w:rPr>
        <w:t>.</w:t>
      </w:r>
    </w:p>
    <w:p w14:paraId="1D13401D" w14:textId="77777777" w:rsidR="00BE1E33" w:rsidRPr="00E52B90" w:rsidRDefault="00BE1E33" w:rsidP="00B86532">
      <w:pPr>
        <w:spacing w:line="276" w:lineRule="auto"/>
        <w:jc w:val="both"/>
        <w:rPr>
          <w:rFonts w:ascii="Arial" w:eastAsia="Calibri" w:hAnsi="Arial" w:cs="Arial"/>
          <w:sz w:val="22"/>
          <w:lang w:val="es-ES_tradnl"/>
        </w:rPr>
      </w:pPr>
    </w:p>
    <w:p w14:paraId="70C8CC6D" w14:textId="1537885E" w:rsidR="00ED3B2F" w:rsidRPr="00663C36" w:rsidRDefault="00BE1E33" w:rsidP="006026D9">
      <w:pPr>
        <w:pStyle w:val="Prrafodelista"/>
        <w:numPr>
          <w:ilvl w:val="0"/>
          <w:numId w:val="1"/>
        </w:numPr>
        <w:tabs>
          <w:tab w:val="left" w:pos="284"/>
        </w:tabs>
        <w:spacing w:line="276" w:lineRule="auto"/>
        <w:ind w:left="0" w:firstLine="0"/>
        <w:jc w:val="both"/>
        <w:rPr>
          <w:rFonts w:ascii="Arial" w:eastAsia="Calibri" w:hAnsi="Arial" w:cs="Arial"/>
          <w:b/>
          <w:sz w:val="22"/>
          <w:lang w:val="es-ES_tradnl"/>
        </w:rPr>
      </w:pPr>
      <w:r w:rsidRPr="00E52B90">
        <w:rPr>
          <w:rFonts w:ascii="Arial" w:eastAsia="Calibri" w:hAnsi="Arial" w:cs="Arial"/>
          <w:b/>
          <w:sz w:val="22"/>
          <w:lang w:val="es-ES_tradnl"/>
        </w:rPr>
        <w:t>Problema</w:t>
      </w:r>
      <w:r w:rsidR="001273C3">
        <w:rPr>
          <w:rFonts w:ascii="Arial" w:eastAsia="Calibri" w:hAnsi="Arial" w:cs="Arial"/>
          <w:b/>
          <w:sz w:val="22"/>
          <w:lang w:val="es-ES_tradnl"/>
        </w:rPr>
        <w:t>s</w:t>
      </w:r>
      <w:r w:rsidRPr="00E52B90">
        <w:rPr>
          <w:rFonts w:ascii="Arial" w:eastAsia="Calibri" w:hAnsi="Arial" w:cs="Arial"/>
          <w:b/>
          <w:sz w:val="22"/>
          <w:lang w:val="es-ES_tradnl"/>
        </w:rPr>
        <w:t xml:space="preserve"> planteado</w:t>
      </w:r>
      <w:r w:rsidR="001273C3">
        <w:rPr>
          <w:rFonts w:ascii="Arial" w:eastAsia="Calibri" w:hAnsi="Arial" w:cs="Arial"/>
          <w:b/>
          <w:sz w:val="22"/>
          <w:lang w:val="es-ES_tradnl"/>
        </w:rPr>
        <w:t>s</w:t>
      </w:r>
      <w:r w:rsidRPr="00E52B90">
        <w:rPr>
          <w:rFonts w:ascii="Arial" w:eastAsia="Calibri" w:hAnsi="Arial" w:cs="Arial"/>
          <w:b/>
          <w:sz w:val="22"/>
          <w:lang w:val="es-ES_tradnl"/>
        </w:rPr>
        <w:t xml:space="preserve"> </w:t>
      </w:r>
    </w:p>
    <w:p w14:paraId="42326F9E" w14:textId="77777777" w:rsidR="00856136" w:rsidRDefault="00856136" w:rsidP="00856136">
      <w:pPr>
        <w:tabs>
          <w:tab w:val="left" w:pos="426"/>
        </w:tabs>
        <w:spacing w:line="276" w:lineRule="auto"/>
        <w:jc w:val="both"/>
        <w:rPr>
          <w:rFonts w:ascii="Arial" w:eastAsia="Calibri" w:hAnsi="Arial" w:cs="Arial"/>
          <w:sz w:val="22"/>
          <w:lang w:val="es-ES"/>
        </w:rPr>
      </w:pPr>
    </w:p>
    <w:p w14:paraId="78A09763" w14:textId="3808483D" w:rsidR="00F31211" w:rsidRPr="00E5174D" w:rsidRDefault="00CD35C7" w:rsidP="005C5011">
      <w:pPr>
        <w:tabs>
          <w:tab w:val="left" w:pos="426"/>
        </w:tabs>
        <w:spacing w:line="276" w:lineRule="auto"/>
        <w:jc w:val="both"/>
        <w:rPr>
          <w:rFonts w:ascii="Arial" w:eastAsia="Calibri" w:hAnsi="Arial" w:cs="Arial"/>
          <w:sz w:val="21"/>
          <w:szCs w:val="21"/>
          <w:lang w:val="es-ES"/>
        </w:rPr>
      </w:pPr>
      <w:r w:rsidRPr="001273C3">
        <w:rPr>
          <w:rFonts w:ascii="Arial" w:eastAsia="Calibri" w:hAnsi="Arial" w:cs="Arial"/>
          <w:sz w:val="22"/>
          <w:lang w:val="es-ES"/>
        </w:rPr>
        <w:t>U</w:t>
      </w:r>
      <w:r w:rsidR="00ED3B2F" w:rsidRPr="001273C3">
        <w:rPr>
          <w:rFonts w:ascii="Arial" w:eastAsia="Calibri" w:hAnsi="Arial" w:cs="Arial"/>
          <w:sz w:val="22"/>
          <w:lang w:val="es-ES"/>
        </w:rPr>
        <w:t xml:space="preserve">sted </w:t>
      </w:r>
      <w:r w:rsidR="00B85625">
        <w:rPr>
          <w:rFonts w:ascii="Arial" w:eastAsia="Calibri" w:hAnsi="Arial" w:cs="Arial"/>
          <w:sz w:val="22"/>
          <w:lang w:val="es-ES"/>
        </w:rPr>
        <w:t xml:space="preserve">realiza </w:t>
      </w:r>
      <w:r w:rsidR="00ED3B2F" w:rsidRPr="001273C3">
        <w:rPr>
          <w:rFonts w:ascii="Arial" w:eastAsia="Calibri" w:hAnsi="Arial" w:cs="Arial"/>
          <w:sz w:val="22"/>
          <w:lang w:val="es-ES"/>
        </w:rPr>
        <w:t>l</w:t>
      </w:r>
      <w:r w:rsidR="00B85625">
        <w:rPr>
          <w:rFonts w:ascii="Arial" w:eastAsia="Calibri" w:hAnsi="Arial" w:cs="Arial"/>
          <w:sz w:val="22"/>
          <w:lang w:val="es-ES"/>
        </w:rPr>
        <w:t>as</w:t>
      </w:r>
      <w:r w:rsidR="00ED3B2F" w:rsidRPr="001273C3">
        <w:rPr>
          <w:rFonts w:ascii="Arial" w:eastAsia="Calibri" w:hAnsi="Arial" w:cs="Arial"/>
          <w:sz w:val="22"/>
          <w:lang w:val="es-ES"/>
        </w:rPr>
        <w:t xml:space="preserve"> siguiente</w:t>
      </w:r>
      <w:r w:rsidR="00B85625">
        <w:rPr>
          <w:rFonts w:ascii="Arial" w:eastAsia="Calibri" w:hAnsi="Arial" w:cs="Arial"/>
          <w:sz w:val="22"/>
          <w:lang w:val="es-ES"/>
        </w:rPr>
        <w:t xml:space="preserve">s </w:t>
      </w:r>
      <w:r w:rsidR="00B85625" w:rsidRPr="001273C3">
        <w:rPr>
          <w:rFonts w:ascii="Arial" w:eastAsia="Calibri" w:hAnsi="Arial" w:cs="Arial"/>
          <w:sz w:val="22"/>
          <w:lang w:val="es-ES"/>
        </w:rPr>
        <w:t>pregunta</w:t>
      </w:r>
      <w:r w:rsidR="00B85625">
        <w:rPr>
          <w:rFonts w:ascii="Arial" w:eastAsia="Calibri" w:hAnsi="Arial" w:cs="Arial"/>
          <w:sz w:val="22"/>
          <w:lang w:val="es-ES"/>
        </w:rPr>
        <w:t>s</w:t>
      </w:r>
      <w:r w:rsidR="00FF780B" w:rsidRPr="001273C3">
        <w:rPr>
          <w:rFonts w:ascii="Arial" w:eastAsia="Calibri" w:hAnsi="Arial" w:cs="Arial"/>
          <w:sz w:val="22"/>
          <w:lang w:val="es-ES"/>
        </w:rPr>
        <w:t>:</w:t>
      </w:r>
      <w:r w:rsidR="00ED3B2F" w:rsidRPr="001273C3">
        <w:rPr>
          <w:rFonts w:ascii="Arial" w:eastAsia="Calibri" w:hAnsi="Arial" w:cs="Arial"/>
          <w:sz w:val="22"/>
          <w:lang w:val="es-ES"/>
        </w:rPr>
        <w:t xml:space="preserve"> </w:t>
      </w:r>
      <w:r w:rsidR="001273C3" w:rsidRPr="005C5011">
        <w:rPr>
          <w:rFonts w:ascii="Arial" w:eastAsia="Calibri" w:hAnsi="Arial" w:cs="Arial"/>
          <w:sz w:val="22"/>
          <w:lang w:val="es-ES"/>
        </w:rPr>
        <w:t>i) «</w:t>
      </w:r>
      <w:r w:rsidR="00856136" w:rsidRPr="005C5011">
        <w:rPr>
          <w:rFonts w:ascii="Arial" w:eastAsia="Calibri" w:hAnsi="Arial" w:cs="Arial"/>
          <w:sz w:val="22"/>
          <w:lang w:val="es-ES"/>
        </w:rPr>
        <w:t>¿En concepto de la Unidad Administrativa Especial Agencia Nacional de Contratación Pública Colombia Compra Eficiente, cuando una Entidad Estatal, de las definidas en el artículo 2 de la Ley 80 de 1993, modificado por el artículo 32 de la Ley 1150 de 2007, celebra un contrato interadministrativo de prestación de servicios de los que trata el artículo 2.2.1.2.1.4.4 del Decreto 1082 de 2015, Único Reglamentario del sector Planeación Nacional, y en dicho contracto no se pacta ningún tipo de cláusula excepcional, frente a una eventual discrepancia en la interpretación del clausulado contractual, cuáles son las reglas aplicables para que las partes efectúen una correcta interpretación del contrato?</w:t>
      </w:r>
      <w:r w:rsidR="001273C3" w:rsidRPr="005C5011">
        <w:rPr>
          <w:rFonts w:ascii="Arial" w:eastAsia="Calibri" w:hAnsi="Arial" w:cs="Arial"/>
          <w:sz w:val="22"/>
          <w:lang w:val="es-ES"/>
        </w:rPr>
        <w:t xml:space="preserve">», </w:t>
      </w:r>
      <w:proofErr w:type="spellStart"/>
      <w:r w:rsidR="001273C3" w:rsidRPr="005C5011">
        <w:rPr>
          <w:rFonts w:ascii="Arial" w:eastAsia="Calibri" w:hAnsi="Arial" w:cs="Arial"/>
          <w:sz w:val="22"/>
          <w:lang w:val="es-ES"/>
        </w:rPr>
        <w:t>ii</w:t>
      </w:r>
      <w:proofErr w:type="spellEnd"/>
      <w:r w:rsidR="001273C3" w:rsidRPr="005C5011">
        <w:rPr>
          <w:rFonts w:ascii="Arial" w:eastAsia="Calibri" w:hAnsi="Arial" w:cs="Arial"/>
          <w:sz w:val="22"/>
          <w:lang w:val="es-ES"/>
        </w:rPr>
        <w:t>)</w:t>
      </w:r>
      <w:r w:rsidR="00856136" w:rsidRPr="005C5011">
        <w:rPr>
          <w:rFonts w:ascii="Arial" w:eastAsia="Calibri" w:hAnsi="Arial" w:cs="Arial"/>
          <w:sz w:val="22"/>
          <w:lang w:val="es-ES"/>
        </w:rPr>
        <w:t xml:space="preserve"> </w:t>
      </w:r>
      <w:r w:rsidR="001273C3" w:rsidRPr="005C5011">
        <w:rPr>
          <w:rFonts w:ascii="Arial" w:eastAsia="Calibri" w:hAnsi="Arial" w:cs="Arial"/>
          <w:sz w:val="22"/>
          <w:lang w:val="es-ES"/>
        </w:rPr>
        <w:t>«</w:t>
      </w:r>
      <w:r w:rsidR="00856136" w:rsidRPr="005C5011">
        <w:rPr>
          <w:rFonts w:ascii="Arial" w:eastAsia="Calibri" w:hAnsi="Arial" w:cs="Arial"/>
          <w:sz w:val="22"/>
          <w:lang w:val="es-ES"/>
        </w:rPr>
        <w:t xml:space="preserve">¿A qué otras reglas de interpretación es válido </w:t>
      </w:r>
      <w:r w:rsidR="00856136" w:rsidRPr="005C5011">
        <w:rPr>
          <w:rFonts w:ascii="Arial" w:eastAsia="Calibri" w:hAnsi="Arial" w:cs="Arial"/>
          <w:sz w:val="22"/>
          <w:lang w:val="es-ES"/>
        </w:rPr>
        <w:lastRenderedPageBreak/>
        <w:t>acudir para el caso en que existan discrepancias en la interpretación del contrato en la modalidad reseñada, esto es, contratos interadministrativos de prestación de servicios en los que no se pacta ningún tipo de cláusula excepcional?</w:t>
      </w:r>
      <w:r w:rsidR="001273C3" w:rsidRPr="005C5011">
        <w:rPr>
          <w:rFonts w:ascii="Arial" w:eastAsia="Calibri" w:hAnsi="Arial" w:cs="Arial"/>
          <w:sz w:val="22"/>
          <w:lang w:val="es-ES"/>
        </w:rPr>
        <w:t xml:space="preserve">», </w:t>
      </w:r>
      <w:proofErr w:type="spellStart"/>
      <w:r w:rsidR="001273C3" w:rsidRPr="005C5011">
        <w:rPr>
          <w:rFonts w:ascii="Arial" w:eastAsia="Calibri" w:hAnsi="Arial" w:cs="Arial"/>
          <w:sz w:val="22"/>
          <w:lang w:val="es-ES"/>
        </w:rPr>
        <w:t>iii</w:t>
      </w:r>
      <w:proofErr w:type="spellEnd"/>
      <w:r w:rsidR="001273C3" w:rsidRPr="005C5011">
        <w:rPr>
          <w:rFonts w:ascii="Arial" w:eastAsia="Calibri" w:hAnsi="Arial" w:cs="Arial"/>
          <w:sz w:val="22"/>
          <w:lang w:val="es-ES"/>
        </w:rPr>
        <w:t>) «</w:t>
      </w:r>
      <w:r w:rsidR="00856136" w:rsidRPr="005C5011">
        <w:rPr>
          <w:rFonts w:ascii="Arial" w:eastAsia="Calibri" w:hAnsi="Arial" w:cs="Arial"/>
          <w:sz w:val="22"/>
          <w:lang w:val="es-ES"/>
        </w:rPr>
        <w:t>¿Está facultado el Supervisor del contrato para acudir directamente a las reglas de interpretación referenciadas, dentro del marco del ejercicio de sus funciones y responsabilidades, dentro de la gestión contractual de las Entidades de que trata el artículo 2 de la Ley 80 de 1993, modificado por el artículo 32 de la Ley 1150 de 2007?»</w:t>
      </w:r>
      <w:r w:rsidR="00ED3B2F" w:rsidRPr="00E5174D">
        <w:rPr>
          <w:rFonts w:ascii="Arial" w:eastAsia="Calibri" w:hAnsi="Arial" w:cs="Arial"/>
          <w:sz w:val="21"/>
          <w:szCs w:val="21"/>
          <w:lang w:val="es-ES"/>
        </w:rPr>
        <w:t>.</w:t>
      </w:r>
    </w:p>
    <w:p w14:paraId="22AF328A" w14:textId="77777777" w:rsidR="00856136" w:rsidRPr="005C5011" w:rsidRDefault="00856136" w:rsidP="005C5011">
      <w:pPr>
        <w:spacing w:line="276" w:lineRule="auto"/>
        <w:ind w:left="709" w:right="707"/>
        <w:jc w:val="both"/>
        <w:rPr>
          <w:rFonts w:ascii="Arial" w:eastAsia="Calibri" w:hAnsi="Arial" w:cs="Arial"/>
          <w:sz w:val="22"/>
          <w:lang w:val="es-ES"/>
        </w:rPr>
      </w:pPr>
    </w:p>
    <w:p w14:paraId="01D94D72" w14:textId="1D7B6A71" w:rsidR="00BE1E33" w:rsidRPr="00E52B90" w:rsidRDefault="00BE1E33" w:rsidP="00B86532">
      <w:pPr>
        <w:pStyle w:val="Prrafodelista"/>
        <w:numPr>
          <w:ilvl w:val="0"/>
          <w:numId w:val="1"/>
        </w:numPr>
        <w:tabs>
          <w:tab w:val="left" w:pos="426"/>
        </w:tabs>
        <w:spacing w:line="276" w:lineRule="auto"/>
        <w:ind w:left="284" w:hanging="284"/>
        <w:jc w:val="both"/>
        <w:rPr>
          <w:rFonts w:ascii="Arial" w:eastAsia="Calibri" w:hAnsi="Arial" w:cs="Arial"/>
          <w:b/>
          <w:sz w:val="22"/>
          <w:lang w:val="es-ES_tradnl"/>
        </w:rPr>
      </w:pPr>
      <w:r w:rsidRPr="00E52B90">
        <w:rPr>
          <w:rFonts w:ascii="Arial" w:eastAsia="Calibri" w:hAnsi="Arial" w:cs="Arial"/>
          <w:b/>
          <w:sz w:val="22"/>
          <w:lang w:val="es-ES_tradnl"/>
        </w:rPr>
        <w:t>Consideraciones</w:t>
      </w:r>
    </w:p>
    <w:p w14:paraId="1E54FC88" w14:textId="77777777" w:rsidR="00ED3B2F" w:rsidRPr="00E52B90" w:rsidRDefault="00ED3B2F" w:rsidP="006026D9">
      <w:pPr>
        <w:pStyle w:val="Prrafodelista"/>
        <w:tabs>
          <w:tab w:val="left" w:pos="426"/>
        </w:tabs>
        <w:spacing w:line="276" w:lineRule="auto"/>
        <w:ind w:left="284"/>
        <w:jc w:val="both"/>
        <w:rPr>
          <w:rFonts w:ascii="Arial" w:eastAsia="Calibri" w:hAnsi="Arial" w:cs="Arial"/>
          <w:b/>
          <w:sz w:val="22"/>
          <w:lang w:val="es-ES_tradnl"/>
        </w:rPr>
      </w:pPr>
    </w:p>
    <w:p w14:paraId="5C65F02D" w14:textId="39CED2B3" w:rsidR="00A4372E" w:rsidRPr="00E52B90" w:rsidRDefault="00BE1E33" w:rsidP="00437276">
      <w:pPr>
        <w:spacing w:line="276" w:lineRule="auto"/>
        <w:jc w:val="both"/>
        <w:rPr>
          <w:rFonts w:ascii="Arial" w:hAnsi="Arial" w:cs="Arial"/>
          <w:bCs/>
          <w:color w:val="000000" w:themeColor="text1"/>
          <w:sz w:val="22"/>
        </w:rPr>
      </w:pPr>
      <w:r w:rsidRPr="00E52B90">
        <w:rPr>
          <w:rFonts w:ascii="Arial" w:eastAsia="Calibri" w:hAnsi="Arial" w:cs="Arial"/>
          <w:sz w:val="22"/>
          <w:lang w:val="es-ES_tradnl"/>
        </w:rPr>
        <w:t xml:space="preserve">La Agencia Nacional de Contratación Pública − Colombia Compra Eficiente </w:t>
      </w:r>
      <w:r w:rsidR="00216CC6" w:rsidRPr="00E52B90">
        <w:rPr>
          <w:rFonts w:ascii="Arial" w:eastAsia="Calibri" w:hAnsi="Arial" w:cs="Arial"/>
          <w:sz w:val="22"/>
          <w:lang w:val="es-ES_tradnl"/>
        </w:rPr>
        <w:t>se ha pronunciado sobre</w:t>
      </w:r>
      <w:r w:rsidR="00F17632">
        <w:rPr>
          <w:rFonts w:ascii="Arial" w:eastAsia="Calibri" w:hAnsi="Arial" w:cs="Arial"/>
          <w:sz w:val="22"/>
          <w:lang w:val="es-ES_tradnl"/>
        </w:rPr>
        <w:t xml:space="preserve"> el alcance de</w:t>
      </w:r>
      <w:r w:rsidR="00531AA5">
        <w:rPr>
          <w:rFonts w:ascii="Arial" w:eastAsia="Calibri" w:hAnsi="Arial" w:cs="Arial"/>
          <w:sz w:val="22"/>
          <w:lang w:val="es-ES_tradnl"/>
        </w:rPr>
        <w:t xml:space="preserve"> los contratos y convenios interadministrativos en los </w:t>
      </w:r>
      <w:r w:rsidR="00F17632">
        <w:rPr>
          <w:rFonts w:ascii="Arial" w:eastAsia="Calibri" w:hAnsi="Arial" w:cs="Arial"/>
          <w:sz w:val="22"/>
          <w:lang w:val="es-ES_tradnl"/>
        </w:rPr>
        <w:t>C</w:t>
      </w:r>
      <w:r w:rsidR="00531AA5">
        <w:rPr>
          <w:rFonts w:ascii="Arial" w:eastAsia="Calibri" w:hAnsi="Arial" w:cs="Arial"/>
          <w:sz w:val="22"/>
          <w:lang w:val="es-ES_tradnl"/>
        </w:rPr>
        <w:t>onceptos</w:t>
      </w:r>
      <w:r w:rsidR="00531AA5" w:rsidRPr="00531AA5">
        <w:rPr>
          <w:rFonts w:ascii="Arial" w:eastAsia="Calibri" w:hAnsi="Arial" w:cs="Arial"/>
          <w:sz w:val="22"/>
          <w:lang w:val="es-ES_tradnl"/>
        </w:rPr>
        <w:t xml:space="preserve"> No. 4201913000004536 del 27 de julio de 2019, C−023 del 3 de febrero de 2020, C−702 del 11 de diciembre de 2020, C-097 de 23 de marzo de 202, C-350 del 16 de julio de 2021, C-352 del 27 de julio de 2021, C-508 del 20 de septiembre de 2021</w:t>
      </w:r>
      <w:r w:rsidR="00531AA5">
        <w:rPr>
          <w:rFonts w:ascii="Arial" w:eastAsia="Calibri" w:hAnsi="Arial" w:cs="Arial"/>
          <w:sz w:val="22"/>
          <w:lang w:val="es-ES_tradnl"/>
        </w:rPr>
        <w:t xml:space="preserve"> y C-267 de 5 de mayo de 2022, entre otros.</w:t>
      </w:r>
      <w:r w:rsidR="00216CC6" w:rsidRPr="00E52B90">
        <w:rPr>
          <w:rFonts w:ascii="Arial" w:eastAsia="Calibri" w:hAnsi="Arial" w:cs="Arial"/>
          <w:sz w:val="22"/>
          <w:lang w:val="es-ES_tradnl"/>
        </w:rPr>
        <w:t xml:space="preserve"> </w:t>
      </w:r>
      <w:r w:rsidR="00531AA5">
        <w:rPr>
          <w:rFonts w:ascii="Arial" w:eastAsia="Calibri" w:hAnsi="Arial" w:cs="Arial"/>
          <w:sz w:val="22"/>
          <w:lang w:val="es-ES_tradnl"/>
        </w:rPr>
        <w:t xml:space="preserve">Sobre </w:t>
      </w:r>
      <w:r w:rsidR="00FF3423">
        <w:rPr>
          <w:rFonts w:ascii="Arial" w:eastAsia="Calibri" w:hAnsi="Arial" w:cs="Arial"/>
          <w:bCs/>
          <w:color w:val="000000" w:themeColor="text1"/>
          <w:sz w:val="22"/>
          <w:lang w:val="es-ES_tradnl"/>
        </w:rPr>
        <w:t xml:space="preserve">la </w:t>
      </w:r>
      <w:r w:rsidR="00721BD0">
        <w:rPr>
          <w:rFonts w:ascii="Arial" w:eastAsia="Calibri" w:hAnsi="Arial" w:cs="Arial"/>
          <w:sz w:val="22"/>
          <w:lang w:val="es-ES_tradnl"/>
        </w:rPr>
        <w:t xml:space="preserve">inaplicabilidad de los poderes exorbitantes en los </w:t>
      </w:r>
      <w:r w:rsidR="00FF3423">
        <w:rPr>
          <w:rFonts w:ascii="Arial" w:eastAsia="Calibri" w:hAnsi="Arial" w:cs="Arial"/>
          <w:sz w:val="22"/>
          <w:lang w:val="es-ES_tradnl"/>
        </w:rPr>
        <w:t xml:space="preserve">contratos y </w:t>
      </w:r>
      <w:r w:rsidR="00721BD0">
        <w:rPr>
          <w:rFonts w:ascii="Arial" w:eastAsia="Calibri" w:hAnsi="Arial" w:cs="Arial"/>
          <w:sz w:val="22"/>
          <w:lang w:val="es-ES_tradnl"/>
        </w:rPr>
        <w:t>convenios</w:t>
      </w:r>
      <w:r w:rsidR="004D2897">
        <w:rPr>
          <w:rFonts w:ascii="Arial" w:eastAsia="Calibri" w:hAnsi="Arial" w:cs="Arial"/>
          <w:sz w:val="22"/>
          <w:lang w:val="es-ES_tradnl"/>
        </w:rPr>
        <w:t xml:space="preserve"> </w:t>
      </w:r>
      <w:r w:rsidR="00FF3423">
        <w:rPr>
          <w:rFonts w:ascii="Arial" w:eastAsia="Calibri" w:hAnsi="Arial" w:cs="Arial"/>
          <w:sz w:val="22"/>
          <w:lang w:val="es-ES_tradnl"/>
        </w:rPr>
        <w:t>interadministrativos</w:t>
      </w:r>
      <w:r w:rsidR="00721BD0">
        <w:rPr>
          <w:rFonts w:ascii="Arial" w:eastAsia="Calibri" w:hAnsi="Arial" w:cs="Arial"/>
          <w:sz w:val="22"/>
          <w:lang w:val="es-ES_tradnl"/>
        </w:rPr>
        <w:t xml:space="preserve">, en concreto, en </w:t>
      </w:r>
      <w:r w:rsidR="00FF3423">
        <w:rPr>
          <w:rFonts w:ascii="Arial" w:eastAsia="Calibri" w:hAnsi="Arial" w:cs="Arial"/>
          <w:sz w:val="22"/>
          <w:lang w:val="es-ES_tradnl"/>
        </w:rPr>
        <w:t>los</w:t>
      </w:r>
      <w:r w:rsidR="00721BD0">
        <w:rPr>
          <w:rFonts w:ascii="Arial" w:eastAsia="Calibri" w:hAnsi="Arial" w:cs="Arial"/>
          <w:sz w:val="22"/>
          <w:lang w:val="es-ES_tradnl"/>
        </w:rPr>
        <w:t xml:space="preserve"> Concepto</w:t>
      </w:r>
      <w:r w:rsidR="00822606">
        <w:rPr>
          <w:rFonts w:ascii="Arial" w:eastAsia="Calibri" w:hAnsi="Arial" w:cs="Arial"/>
          <w:sz w:val="22"/>
          <w:lang w:val="es-ES_tradnl"/>
        </w:rPr>
        <w:t>s</w:t>
      </w:r>
      <w:r w:rsidR="00721BD0">
        <w:rPr>
          <w:rFonts w:ascii="Arial" w:eastAsia="Calibri" w:hAnsi="Arial" w:cs="Arial"/>
          <w:sz w:val="22"/>
          <w:lang w:val="es-ES_tradnl"/>
        </w:rPr>
        <w:t xml:space="preserve"> C-585 de 15 de octubre de 2021</w:t>
      </w:r>
      <w:r w:rsidR="00FF3423">
        <w:rPr>
          <w:rFonts w:ascii="Arial" w:eastAsia="Calibri" w:hAnsi="Arial" w:cs="Arial"/>
          <w:sz w:val="22"/>
          <w:lang w:val="es-ES_tradnl"/>
        </w:rPr>
        <w:t xml:space="preserve"> y C-639 de 14 de diciembre de 2021. De otra parte, sobre las reglas de interpretación de los contratos se ha pronunciado en los </w:t>
      </w:r>
      <w:r w:rsidR="00F17632">
        <w:rPr>
          <w:rFonts w:ascii="Arial" w:eastAsia="Calibri" w:hAnsi="Arial" w:cs="Arial"/>
          <w:sz w:val="22"/>
          <w:lang w:val="es-ES_tradnl"/>
        </w:rPr>
        <w:t>C</w:t>
      </w:r>
      <w:r w:rsidR="00FF3423">
        <w:rPr>
          <w:rFonts w:ascii="Arial" w:eastAsia="Calibri" w:hAnsi="Arial" w:cs="Arial"/>
          <w:sz w:val="22"/>
          <w:lang w:val="es-ES_tradnl"/>
        </w:rPr>
        <w:t>onceptos C-303 de 15 de junio de 2020 y C-306 de 4 de junio de 2020</w:t>
      </w:r>
      <w:r w:rsidR="00721BD0">
        <w:rPr>
          <w:rFonts w:ascii="Arial" w:eastAsia="Calibri" w:hAnsi="Arial" w:cs="Arial"/>
          <w:sz w:val="22"/>
          <w:lang w:val="es-ES_tradnl"/>
        </w:rPr>
        <w:t xml:space="preserve">. </w:t>
      </w:r>
      <w:r w:rsidR="0084374B" w:rsidRPr="00E52B90">
        <w:rPr>
          <w:rFonts w:ascii="Arial" w:hAnsi="Arial" w:cs="Arial"/>
          <w:color w:val="000000" w:themeColor="text1"/>
          <w:sz w:val="22"/>
        </w:rPr>
        <w:t xml:space="preserve">Las </w:t>
      </w:r>
      <w:r w:rsidR="00FF780B" w:rsidRPr="00E52B90">
        <w:rPr>
          <w:rFonts w:ascii="Arial" w:hAnsi="Arial" w:cs="Arial"/>
          <w:color w:val="000000" w:themeColor="text1"/>
          <w:sz w:val="22"/>
        </w:rPr>
        <w:t xml:space="preserve">tesis </w:t>
      </w:r>
      <w:r w:rsidR="0084374B" w:rsidRPr="00E52B90">
        <w:rPr>
          <w:rFonts w:ascii="Arial" w:hAnsi="Arial" w:cs="Arial"/>
          <w:color w:val="000000" w:themeColor="text1"/>
          <w:sz w:val="22"/>
        </w:rPr>
        <w:t xml:space="preserve">expuestas en los anteriores conceptos </w:t>
      </w:r>
      <w:r w:rsidR="00FF780B" w:rsidRPr="00E52B90">
        <w:rPr>
          <w:rFonts w:ascii="Arial" w:hAnsi="Arial" w:cs="Arial"/>
          <w:color w:val="000000" w:themeColor="text1"/>
          <w:sz w:val="22"/>
        </w:rPr>
        <w:t>se reitera</w:t>
      </w:r>
      <w:r w:rsidR="0084374B" w:rsidRPr="00E52B90">
        <w:rPr>
          <w:rFonts w:ascii="Arial" w:hAnsi="Arial" w:cs="Arial"/>
          <w:color w:val="000000" w:themeColor="text1"/>
          <w:sz w:val="22"/>
        </w:rPr>
        <w:t>n a continuación</w:t>
      </w:r>
      <w:r w:rsidR="00606FE0" w:rsidRPr="00E52B90">
        <w:rPr>
          <w:rFonts w:ascii="Arial" w:hAnsi="Arial" w:cs="Arial"/>
          <w:bCs/>
          <w:color w:val="000000" w:themeColor="text1"/>
          <w:sz w:val="22"/>
        </w:rPr>
        <w:t xml:space="preserve"> y se complementa</w:t>
      </w:r>
      <w:r w:rsidR="0084374B" w:rsidRPr="00E52B90">
        <w:rPr>
          <w:rFonts w:ascii="Arial" w:hAnsi="Arial" w:cs="Arial"/>
          <w:bCs/>
          <w:color w:val="000000" w:themeColor="text1"/>
          <w:sz w:val="22"/>
        </w:rPr>
        <w:t>n</w:t>
      </w:r>
      <w:r w:rsidR="00606FE0" w:rsidRPr="00E52B90">
        <w:rPr>
          <w:rFonts w:ascii="Arial" w:hAnsi="Arial" w:cs="Arial"/>
          <w:bCs/>
          <w:color w:val="000000" w:themeColor="text1"/>
          <w:sz w:val="22"/>
        </w:rPr>
        <w:t xml:space="preserve"> en lo pertinente. </w:t>
      </w:r>
    </w:p>
    <w:p w14:paraId="63258E41" w14:textId="77777777" w:rsidR="00524B1D" w:rsidRPr="00E52B90" w:rsidRDefault="00524B1D" w:rsidP="006026D9">
      <w:pPr>
        <w:spacing w:line="276" w:lineRule="auto"/>
        <w:ind w:firstLine="708"/>
        <w:jc w:val="both"/>
        <w:rPr>
          <w:rFonts w:ascii="Arial" w:hAnsi="Arial" w:cs="Arial"/>
          <w:bCs/>
          <w:color w:val="000000" w:themeColor="text1"/>
          <w:sz w:val="22"/>
        </w:rPr>
      </w:pPr>
    </w:p>
    <w:p w14:paraId="67AAEC3E" w14:textId="1D7880BD" w:rsidR="006F0030" w:rsidRPr="004D2897" w:rsidRDefault="00663C36" w:rsidP="004D2897">
      <w:pPr>
        <w:tabs>
          <w:tab w:val="left" w:pos="426"/>
        </w:tabs>
        <w:spacing w:line="276" w:lineRule="auto"/>
        <w:jc w:val="both"/>
        <w:rPr>
          <w:rFonts w:ascii="Arial" w:eastAsia="Calibri" w:hAnsi="Arial" w:cs="Arial"/>
          <w:bCs/>
          <w:sz w:val="22"/>
          <w:szCs w:val="24"/>
          <w:lang w:val="es-ES_tradnl" w:eastAsia="es-ES_tradnl"/>
        </w:rPr>
      </w:pPr>
      <w:r w:rsidRPr="00663C36">
        <w:rPr>
          <w:rFonts w:ascii="Arial" w:eastAsia="Calibri" w:hAnsi="Arial" w:cs="Arial"/>
          <w:b/>
          <w:sz w:val="22"/>
          <w:szCs w:val="24"/>
          <w:lang w:val="es-ES_tradnl" w:eastAsia="es-ES_tradnl"/>
        </w:rPr>
        <w:t xml:space="preserve">2.1. </w:t>
      </w:r>
      <w:r w:rsidR="00531AA5">
        <w:rPr>
          <w:rFonts w:ascii="Arial" w:eastAsiaTheme="majorEastAsia" w:hAnsi="Arial" w:cs="Arial"/>
          <w:b/>
          <w:bCs/>
          <w:sz w:val="22"/>
        </w:rPr>
        <w:t>C</w:t>
      </w:r>
      <w:r w:rsidR="006F0030">
        <w:rPr>
          <w:rFonts w:ascii="Arial" w:eastAsiaTheme="majorEastAsia" w:hAnsi="Arial" w:cs="Arial"/>
          <w:b/>
          <w:bCs/>
          <w:sz w:val="22"/>
        </w:rPr>
        <w:t xml:space="preserve">ontratos </w:t>
      </w:r>
      <w:r w:rsidR="00531AA5">
        <w:rPr>
          <w:rFonts w:ascii="Arial" w:eastAsiaTheme="majorEastAsia" w:hAnsi="Arial" w:cs="Arial"/>
          <w:b/>
          <w:bCs/>
          <w:sz w:val="22"/>
        </w:rPr>
        <w:t>o convenios</w:t>
      </w:r>
      <w:r w:rsidR="006F0030">
        <w:rPr>
          <w:rFonts w:ascii="Arial" w:eastAsiaTheme="majorEastAsia" w:hAnsi="Arial" w:cs="Arial"/>
          <w:b/>
          <w:bCs/>
          <w:sz w:val="22"/>
        </w:rPr>
        <w:t xml:space="preserve"> interadministrativos</w:t>
      </w:r>
      <w:r w:rsidR="00531AA5">
        <w:rPr>
          <w:rFonts w:ascii="Arial" w:eastAsiaTheme="majorEastAsia" w:hAnsi="Arial" w:cs="Arial"/>
          <w:b/>
          <w:bCs/>
          <w:sz w:val="22"/>
        </w:rPr>
        <w:t>. Concepto y régimen jurídico apli</w:t>
      </w:r>
      <w:r w:rsidR="00447313">
        <w:rPr>
          <w:rFonts w:ascii="Arial" w:eastAsiaTheme="majorEastAsia" w:hAnsi="Arial" w:cs="Arial"/>
          <w:b/>
          <w:bCs/>
          <w:sz w:val="22"/>
        </w:rPr>
        <w:t>c</w:t>
      </w:r>
      <w:r w:rsidR="00531AA5">
        <w:rPr>
          <w:rFonts w:ascii="Arial" w:eastAsiaTheme="majorEastAsia" w:hAnsi="Arial" w:cs="Arial"/>
          <w:b/>
          <w:bCs/>
          <w:sz w:val="22"/>
        </w:rPr>
        <w:t>able</w:t>
      </w:r>
    </w:p>
    <w:p w14:paraId="2335E5C2" w14:textId="77777777" w:rsidR="006F0030" w:rsidRPr="005702EB" w:rsidRDefault="006F0030" w:rsidP="006F0030">
      <w:pPr>
        <w:pStyle w:val="Textoindependiente"/>
        <w:spacing w:line="276" w:lineRule="auto"/>
        <w:jc w:val="both"/>
        <w:rPr>
          <w:rFonts w:eastAsiaTheme="minorHAnsi"/>
          <w:b/>
          <w:lang w:val="es-MX"/>
        </w:rPr>
      </w:pPr>
    </w:p>
    <w:p w14:paraId="270A7F28" w14:textId="77777777" w:rsidR="00594B04" w:rsidRPr="00446B03" w:rsidRDefault="00594B04" w:rsidP="00594B04">
      <w:pPr>
        <w:pStyle w:val="Textoindependiente"/>
        <w:spacing w:after="120" w:line="276" w:lineRule="auto"/>
        <w:jc w:val="both"/>
      </w:pPr>
      <w:bookmarkStart w:id="2" w:name="_Hlk78820161"/>
      <w:r w:rsidRPr="009E083B">
        <w:t>La tipología de</w:t>
      </w:r>
      <w:r>
        <w:t>l contrato o</w:t>
      </w:r>
      <w:r w:rsidRPr="009E083B">
        <w:t xml:space="preserve"> convenio interadministrativo fue creada en la Ley 80 de 1993</w:t>
      </w:r>
      <w:r>
        <w:t>,</w:t>
      </w:r>
      <w:r w:rsidRPr="009E083B">
        <w:t xml:space="preserve"> </w:t>
      </w:r>
      <w:r>
        <w:t xml:space="preserve">y </w:t>
      </w:r>
      <w:r w:rsidRPr="009E083B">
        <w:t xml:space="preserve">el Decreto 1082 de 2015 </w:t>
      </w:r>
      <w:r>
        <w:t>la califica</w:t>
      </w:r>
      <w:r w:rsidRPr="009E083B">
        <w:t xml:space="preserve"> como aquella contratación entre entidades estatales</w:t>
      </w:r>
      <w:r w:rsidRPr="00446B03">
        <w:rPr>
          <w:rStyle w:val="Refdenotaalpie"/>
        </w:rPr>
        <w:footnoteReference w:id="1"/>
      </w:r>
      <w:r w:rsidRPr="00446B03">
        <w:t>.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w:t>
      </w:r>
      <w:r w:rsidRPr="00446B03">
        <w:rPr>
          <w:spacing w:val="-6"/>
        </w:rPr>
        <w:t xml:space="preserve"> </w:t>
      </w:r>
      <w:r w:rsidRPr="00446B03">
        <w:t>estatales.</w:t>
      </w:r>
    </w:p>
    <w:p w14:paraId="58BCF8F9" w14:textId="77777777" w:rsidR="00594B04" w:rsidRPr="00446B03" w:rsidRDefault="00594B04" w:rsidP="00594B04">
      <w:pPr>
        <w:pStyle w:val="Textoindependiente"/>
        <w:spacing w:before="117" w:after="120" w:line="276" w:lineRule="auto"/>
        <w:ind w:firstLine="707"/>
        <w:jc w:val="both"/>
      </w:pPr>
      <w:bookmarkStart w:id="3" w:name="_Hlk78820654"/>
      <w:r w:rsidRPr="00446B03">
        <w:lastRenderedPageBreak/>
        <w:t>Si bien los contratos o convenios interadministrativos están previstos en la Ley 80 de 1993, en la Ley 1150 de 2007 y en el Decreto en el 1082 de 2015, no quiere decir que solo puedan celebrarse entre entidades estatales que apliquen el régimen de contratación allí previsto, pues bien puede una entidad estatal sometida a la Ley 80 de 1993 celebrar esta clase de convenios con una entidad estatal de régimen especial y no por ello dejará de ser un contrato o convenio interadministrativo.</w:t>
      </w:r>
    </w:p>
    <w:bookmarkEnd w:id="3"/>
    <w:p w14:paraId="64A84152" w14:textId="77777777" w:rsidR="00594B04" w:rsidRPr="00446B03" w:rsidRDefault="00594B04" w:rsidP="00594B04">
      <w:pPr>
        <w:pStyle w:val="Textoindependiente"/>
        <w:spacing w:before="121" w:after="120" w:line="276" w:lineRule="auto"/>
        <w:ind w:firstLine="707"/>
        <w:jc w:val="both"/>
      </w:pPr>
      <w:r w:rsidRPr="00446B03">
        <w:t xml:space="preserve">Un contrato o convenio interadministrativo no está determinado por la modalidad de selección utilizada para celebrarlo. La Ley 1150 de 2007 </w:t>
      </w:r>
      <w:r>
        <w:t>dispone</w:t>
      </w:r>
      <w:r w:rsidRPr="00446B03">
        <w:t xml:space="preserv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con pluralidad de oferentes</w:t>
      </w:r>
      <w:r w:rsidRPr="00446B03">
        <w:rPr>
          <w:rStyle w:val="Refdenotaalpie"/>
        </w:rPr>
        <w:footnoteReference w:id="2"/>
      </w:r>
      <w:r w:rsidRPr="00446B03">
        <w:t>. Nótese que, en este caso, lo que cambia es la modalidad de selección y no la naturaleza de contrato</w:t>
      </w:r>
      <w:r w:rsidRPr="00446B03">
        <w:rPr>
          <w:spacing w:val="-18"/>
        </w:rPr>
        <w:t xml:space="preserve"> </w:t>
      </w:r>
      <w:r w:rsidRPr="00446B03">
        <w:t>interadministrativo.</w:t>
      </w:r>
    </w:p>
    <w:p w14:paraId="25DED0F7" w14:textId="77777777" w:rsidR="00594B04" w:rsidRPr="00446B03" w:rsidRDefault="00594B04" w:rsidP="00594B04">
      <w:pPr>
        <w:pStyle w:val="Textoindependiente"/>
        <w:spacing w:before="114" w:line="276" w:lineRule="auto"/>
        <w:ind w:firstLine="707"/>
        <w:jc w:val="both"/>
      </w:pPr>
      <w:r w:rsidRPr="00446B03">
        <w:t>La Corte Constitucional</w:t>
      </w:r>
      <w:r>
        <w:t>,</w:t>
      </w:r>
      <w:r w:rsidRPr="00446B03">
        <w:t xml:space="preserve"> en Sentencia C–671 de 2015</w:t>
      </w:r>
      <w:r>
        <w:t xml:space="preserve"> expresó</w:t>
      </w:r>
      <w:r w:rsidRPr="00446B03">
        <w:t xml:space="preserve"> que «Lo que hace interadministrativo a un contrato o convenio no es el procedimiento de selección aplicable, sino la calidad de los sujetos contratantes, esto es que las dos partes de la relación jurídica contractual formen parte de la administración pública». Así las cosas, esta clase de acuerdos de voluntades se definen por un criterio orgánico, por lo que uno de sus elementos esenciales es que en los extremos de la relación jurídico negocial concurran personas de derecho público. Adicionalmente, el Consejo de Estado ha indicado, frente al convenio interadministrativo y sus características,</w:t>
      </w:r>
      <w:r w:rsidRPr="00446B03">
        <w:rPr>
          <w:spacing w:val="-13"/>
        </w:rPr>
        <w:t xml:space="preserve"> </w:t>
      </w:r>
      <w:r w:rsidRPr="00446B03">
        <w:t>que:</w:t>
      </w:r>
    </w:p>
    <w:p w14:paraId="700355F7" w14:textId="77777777" w:rsidR="00594B04" w:rsidRPr="00446B03" w:rsidRDefault="00594B04" w:rsidP="00594B04">
      <w:pPr>
        <w:pStyle w:val="Textoindependiente"/>
        <w:ind w:firstLine="707"/>
        <w:jc w:val="both"/>
      </w:pPr>
    </w:p>
    <w:p w14:paraId="4B05D473" w14:textId="77777777" w:rsidR="00594B04" w:rsidRPr="00446B03" w:rsidRDefault="00594B04" w:rsidP="00594B04">
      <w:pPr>
        <w:ind w:left="709" w:right="709"/>
        <w:jc w:val="both"/>
        <w:rPr>
          <w:rFonts w:ascii="Arial" w:hAnsi="Arial" w:cs="Arial"/>
          <w:sz w:val="21"/>
        </w:rPr>
      </w:pPr>
      <w:r w:rsidRPr="00446B03">
        <w:rPr>
          <w:rFonts w:ascii="Arial" w:hAnsi="Arial" w:cs="Arial"/>
          <w:sz w:val="21"/>
        </w:rPr>
        <w:t xml:space="preserve">[…] se puede señalar que los convenios o contratos interadministrativos tienen como características principales las siguientes: (i) constituyen verdaderos contratos en los términos del Código de Comercio cuando su objeto lo constituyen obligaciones patrimoniales; (ii) tienen como fuente la autonomía contractual; (iii) son contratos nominados puesto que están mencionados en la ley; (iv) son contratos atípicos desde la perspectiva legal dado que se advierte la ausencia de unas normas que de manera detallada los disciplinen, los expliquen y los desarrollen, como sí las tienen los contratos típicos, por ejemplo compra venta, arrendamiento, mandato, etc. (v) la normatividad a la cual se encuentran sujetos en principio es la del Estatuto General de Contratación, en atención a que las partes que los celebran son entidades estatales y, por consiguiente, también se obligan a las disposiciones que resulten pertinentes del </w:t>
      </w:r>
      <w:r w:rsidRPr="00446B03">
        <w:rPr>
          <w:rFonts w:ascii="Arial" w:hAnsi="Arial" w:cs="Arial"/>
          <w:sz w:val="21"/>
        </w:rPr>
        <w:lastRenderedPageBreak/>
        <w:t>Código Civil y del Código de Comercio; (vi) dan lugar a la creación de obligaciones jurídicamente exigibles; (vii) persiguen  una finalidad común a través de la realización de intereses compartidos entre las entidades vinculadas; (viii) la acción mediante la cual se deben ventilar las diferencias que sobre el particular surjan es la de controversias contractuales</w:t>
      </w:r>
      <w:r w:rsidRPr="00446B03">
        <w:rPr>
          <w:rStyle w:val="Refdenotaalpie"/>
          <w:rFonts w:ascii="Arial" w:hAnsi="Arial" w:cs="Arial"/>
          <w:sz w:val="21"/>
        </w:rPr>
        <w:footnoteReference w:id="3"/>
      </w:r>
      <w:r w:rsidRPr="00446B03">
        <w:rPr>
          <w:rFonts w:ascii="Arial" w:hAnsi="Arial" w:cs="Arial"/>
          <w:sz w:val="21"/>
        </w:rPr>
        <w:t>.</w:t>
      </w:r>
    </w:p>
    <w:p w14:paraId="39B41306" w14:textId="77777777" w:rsidR="00594B04" w:rsidRPr="009E55E9" w:rsidRDefault="00594B04" w:rsidP="00594B04">
      <w:pPr>
        <w:ind w:left="709" w:right="709"/>
        <w:jc w:val="both"/>
        <w:rPr>
          <w:rFonts w:ascii="Arial" w:hAnsi="Arial" w:cs="Arial"/>
          <w:sz w:val="22"/>
        </w:rPr>
      </w:pPr>
    </w:p>
    <w:p w14:paraId="4C4A9F73" w14:textId="77777777" w:rsidR="00594B04" w:rsidRPr="00446B03" w:rsidRDefault="00594B04" w:rsidP="00594B04">
      <w:pPr>
        <w:pStyle w:val="Textoindependiente"/>
        <w:spacing w:after="120" w:line="276" w:lineRule="auto"/>
        <w:ind w:firstLine="707"/>
        <w:jc w:val="both"/>
      </w:pPr>
      <w:r w:rsidRPr="00446B03">
        <w:t xml:space="preserve">En ese sentido, los convenios interadministrativos se caracterizan por los sujetos que intervienen y por la modalidad de selección que la ley permite aplicar para su celebración, </w:t>
      </w:r>
      <w:r>
        <w:t>pues</w:t>
      </w:r>
      <w:r w:rsidRPr="00446B03">
        <w:t xml:space="preserve"> comporta un grado de excepcionalidad frente a las demás tipologías contractuales, donde los sujetos no están restringidos a una cualificación particular y aplican otras modalidades de selección. El Estatuto General de Contratación de la Administración Pública establece la contratación directa como la modalidad de selección aplicable, por regla general, a la celebración de los contratos interadministrativos.</w:t>
      </w:r>
    </w:p>
    <w:p w14:paraId="65D3E98C" w14:textId="77777777" w:rsidR="00594B04" w:rsidRPr="00446B03" w:rsidRDefault="00594B04" w:rsidP="00594B04">
      <w:pPr>
        <w:pStyle w:val="Textoindependiente"/>
        <w:spacing w:before="119" w:after="120" w:line="276" w:lineRule="auto"/>
        <w:ind w:firstLine="707"/>
        <w:jc w:val="both"/>
      </w:pPr>
      <w:r w:rsidRPr="00446B03">
        <w:t>Así las cosas, la ley no limitó la celebración de contratos interadministrativos a la modalidad de selección de contratación directa, pues solo estableció, excepcionalmente, su celebración de manera directa cuando dos o más entidades del Estado, con el fin de materializar funciones administrativas de interés común para ambas partes, celebran un negocio jurídico. No obstante, es posible que se celebren contratos interadministrativos en el marco de un proceso donde sea posible la participación de los interesados en ofertar, es decir, a través de las otras modalidades de selección previstas en la Ley 1150 de 2007 diferentes a la de contratación directa</w:t>
      </w:r>
      <w:r>
        <w:t>. C</w:t>
      </w:r>
      <w:r w:rsidRPr="00446B03">
        <w:t>omo se indicó, la existencia de un contrato interadministrativo no está determinada por la modalidad de selección sino, entre otras cosas, de la calidad de las partes que lo suscriben, es decir, debe tratarse de entidades</w:t>
      </w:r>
      <w:r w:rsidRPr="00446B03">
        <w:rPr>
          <w:spacing w:val="-3"/>
        </w:rPr>
        <w:t xml:space="preserve"> </w:t>
      </w:r>
      <w:r w:rsidRPr="00446B03">
        <w:t>estatales.</w:t>
      </w:r>
    </w:p>
    <w:p w14:paraId="0DB399D9" w14:textId="77777777" w:rsidR="00594B04" w:rsidRPr="00446B03" w:rsidRDefault="00594B04" w:rsidP="00594B04">
      <w:pPr>
        <w:pStyle w:val="Textoindependiente"/>
        <w:spacing w:before="120" w:line="276" w:lineRule="auto"/>
        <w:ind w:firstLine="709"/>
        <w:jc w:val="both"/>
      </w:pPr>
      <w:r w:rsidRPr="00446B03">
        <w:t xml:space="preserve">Además, es necesario tener en cuenta que para que un contrato o convenio interadministrativo exista, debe cumplir con los siguientes elementos: acuerdo sobre el objeto y la contraprestación, y que se eleve a escrito. Por otra parte, si bien actualmente el EGCAP hace referencia de manera expresa </w:t>
      </w:r>
      <w:r>
        <w:t xml:space="preserve">a </w:t>
      </w:r>
      <w:r w:rsidRPr="00446B03">
        <w:t>l</w:t>
      </w:r>
      <w:r>
        <w:t>os</w:t>
      </w:r>
      <w:r w:rsidRPr="00446B03">
        <w:t xml:space="preserve"> contrato</w:t>
      </w:r>
      <w:r>
        <w:t>s</w:t>
      </w:r>
      <w:r w:rsidRPr="00446B03">
        <w:t xml:space="preserve"> interadministrativo</w:t>
      </w:r>
      <w:r>
        <w:t>s</w:t>
      </w:r>
      <w:r w:rsidRPr="00446B03">
        <w:t xml:space="preserve"> y no a</w:t>
      </w:r>
      <w:r>
        <w:t xml:space="preserve"> </w:t>
      </w:r>
      <w:r w:rsidRPr="00446B03">
        <w:t>l</w:t>
      </w:r>
      <w:r>
        <w:t>os</w:t>
      </w:r>
      <w:r w:rsidRPr="00446B03">
        <w:t xml:space="preserve"> convenio</w:t>
      </w:r>
      <w:r>
        <w:t>s</w:t>
      </w:r>
      <w:r w:rsidRPr="00446B03">
        <w:t>, no por esto puede concluirse que se trate de figuras totalmente diferentes, pues las entidades del Estado, en el marco de la Ley 80 de 1993, pueden acordar entre sí diferentes tipos de obligaciones, siempre que su objeto de creación les permita cumplirlas, con el objetivo común de materializar los fines del Estado. Por este motivo, cuando la Ley 80 de 1993 se refiere a contratos interadministrativos de la misma forma lo hace frente a los convenios, entre otras razones, porque este cuerpo normativo faculta a las entidades públicas a celebrar los demás acuerdos que permitan la autonomía de la voluntad y requieran el cumplimiento de los fines</w:t>
      </w:r>
      <w:r w:rsidRPr="00446B03">
        <w:rPr>
          <w:spacing w:val="-4"/>
        </w:rPr>
        <w:t xml:space="preserve"> </w:t>
      </w:r>
      <w:r w:rsidRPr="00446B03">
        <w:t>estatales.</w:t>
      </w:r>
    </w:p>
    <w:p w14:paraId="3E21C238" w14:textId="77777777" w:rsidR="00594B04" w:rsidRPr="00446B03" w:rsidRDefault="00594B04" w:rsidP="00594B04">
      <w:pPr>
        <w:pStyle w:val="Textoindependiente"/>
        <w:spacing w:before="122" w:after="120" w:line="276" w:lineRule="auto"/>
        <w:ind w:firstLine="708"/>
        <w:jc w:val="both"/>
      </w:pPr>
      <w:r w:rsidRPr="00446B03">
        <w:t xml:space="preserve">Es </w:t>
      </w:r>
      <w:r>
        <w:t>conveniente</w:t>
      </w:r>
      <w:r w:rsidRPr="00446B03">
        <w:t xml:space="preserve"> destacar que el Decreto 1082 de 2015 dispone que los convenios o </w:t>
      </w:r>
      <w:r w:rsidRPr="00446B03">
        <w:lastRenderedPageBreak/>
        <w:t>contratos interadministrativos, así denominados en su artículo 2.2.1.2.1.4.4, se contratan directamente, por lo que no hay lugar a dudas que representan lo mismo en la medida en que concurran entidades estatales en el acuerdo de voluntades. De este modo, es posible concluir que en la contratación estatal no existen mayores diferencias entre convenio y contrato y, dando aplicación al derecho privado y a la definición contenida en el Código Civil, puede afirmarse que se trata de figuras equivalentes.</w:t>
      </w:r>
    </w:p>
    <w:p w14:paraId="3024B483" w14:textId="77777777" w:rsidR="00594B04" w:rsidRPr="00446B03" w:rsidRDefault="00594B04" w:rsidP="005C5011">
      <w:pPr>
        <w:pStyle w:val="Textoindependiente"/>
        <w:spacing w:after="120" w:line="276" w:lineRule="auto"/>
        <w:ind w:firstLine="709"/>
        <w:jc w:val="both"/>
        <w:rPr>
          <w:rFonts w:eastAsia="Calibri"/>
          <w:bCs/>
          <w:lang w:val="es-CO"/>
        </w:rPr>
      </w:pPr>
      <w:r w:rsidRPr="00446B03">
        <w:t>Por tanto, aunque el artículo 95 de la Ley 489 de 1998 dispone que «Las entidades públicas podrán asociarse con el fin de cooperar en el cumplimiento de funciones administrativas o de prestar conjuntamente servicios que se hallen a su cargo, mediante la celebración de convenios interadministrativos […]», esto no significa que dichos acuerdos estén exceptuados del Estatuto General de Contratación de la Administración Pública por no tener carácter contractual. Por ello, la jurisprudencia considera que «Estos convenios cuentan con las características propias de los contratos, cuando su objeto lo constituyen obligaciones patrimoniales, y las entidades estatales que los conforman están sujetas tanto a la normativa contractual pública, como a las normas del derecho civil</w:t>
      </w:r>
      <w:r w:rsidRPr="00446B03">
        <w:rPr>
          <w:spacing w:val="-4"/>
        </w:rPr>
        <w:t xml:space="preserve"> </w:t>
      </w:r>
      <w:r w:rsidRPr="00446B03">
        <w:t>[…]»</w:t>
      </w:r>
      <w:r w:rsidRPr="00446B03">
        <w:rPr>
          <w:rStyle w:val="Refdenotaalpie"/>
        </w:rPr>
        <w:footnoteReference w:id="4"/>
      </w:r>
      <w:r w:rsidRPr="00446B03">
        <w:t>.</w:t>
      </w:r>
    </w:p>
    <w:p w14:paraId="51A7C5DA" w14:textId="11C25962" w:rsidR="00594B04" w:rsidRPr="00594B04" w:rsidRDefault="00594B04" w:rsidP="005C5011">
      <w:pPr>
        <w:pStyle w:val="Textoindependiente"/>
        <w:spacing w:line="276" w:lineRule="auto"/>
        <w:jc w:val="both"/>
        <w:rPr>
          <w:rFonts w:eastAsia="Calibri"/>
          <w:color w:val="000000"/>
          <w:lang w:val="es-ES_tradnl"/>
        </w:rPr>
      </w:pPr>
      <w:r w:rsidRPr="00446B03">
        <w:tab/>
      </w:r>
      <w:r w:rsidR="00D957CF">
        <w:t>E</w:t>
      </w:r>
      <w:r w:rsidRPr="00446B03">
        <w:t>l legislador y el ordenamiento jurídico, en general, en distintas ocasiones utiliza de forma indistinta los conceptos de contrato o convenio para referirse a la misma institución jurídica</w:t>
      </w:r>
      <w:r w:rsidRPr="00446B03">
        <w:rPr>
          <w:rStyle w:val="Refdenotaalpie"/>
        </w:rPr>
        <w:footnoteReference w:id="5"/>
      </w:r>
      <w:r w:rsidRPr="00446B03">
        <w:t>. Incluso vale la pena tener en cuenta como la Corte Constitucional fundamenta la posibilidad de celebrar convenios interadministrativos de forma directa, con fundamento en la causal establecida en la Ley 1150 de 2007 respecto a los contratos interadministrativos</w:t>
      </w:r>
      <w:r w:rsidRPr="00446B03">
        <w:rPr>
          <w:rStyle w:val="Refdenotaalpie"/>
        </w:rPr>
        <w:footnoteReference w:id="6"/>
      </w:r>
      <w:r w:rsidRPr="00446B03">
        <w:t>.</w:t>
      </w:r>
      <w:r w:rsidR="001E3957">
        <w:t xml:space="preserve"> </w:t>
      </w:r>
      <w:r w:rsidRPr="001E3957">
        <w:t xml:space="preserve">Teniendo en cuenta lo anterior, se reitera la conclusión en el sentido de que lo que define los contratos o convenios interadministrativos es la naturaleza de las partes, de manera que están determinados por un criterio orgánico, en el sentido de que lo serán aquellos celebrados entre entidades estatales. </w:t>
      </w:r>
    </w:p>
    <w:p w14:paraId="5DB342CF" w14:textId="77777777" w:rsidR="001E7A8E" w:rsidRPr="00531AA5" w:rsidRDefault="001E7A8E" w:rsidP="005C5011">
      <w:pPr>
        <w:spacing w:line="276" w:lineRule="auto"/>
        <w:ind w:firstLine="709"/>
        <w:jc w:val="both"/>
        <w:rPr>
          <w:rFonts w:ascii="Arial" w:eastAsia="Calibri" w:hAnsi="Arial" w:cs="Arial"/>
          <w:color w:val="000000"/>
          <w:sz w:val="22"/>
          <w:lang w:val="es-ES_tradnl"/>
        </w:rPr>
      </w:pPr>
    </w:p>
    <w:bookmarkEnd w:id="2"/>
    <w:p w14:paraId="14E6DE8E" w14:textId="4C6984B5" w:rsidR="00524B1D" w:rsidRDefault="00524B1D" w:rsidP="00524B1D">
      <w:pPr>
        <w:spacing w:line="276" w:lineRule="auto"/>
        <w:jc w:val="both"/>
        <w:rPr>
          <w:rFonts w:ascii="Arial" w:hAnsi="Arial" w:cs="Arial"/>
          <w:b/>
          <w:bCs/>
          <w:color w:val="000000" w:themeColor="text1"/>
          <w:sz w:val="22"/>
          <w:lang w:val="es-ES_tradnl"/>
        </w:rPr>
      </w:pPr>
      <w:r w:rsidRPr="00E52B90">
        <w:rPr>
          <w:rFonts w:ascii="Arial" w:hAnsi="Arial" w:cs="Arial"/>
          <w:b/>
          <w:bCs/>
          <w:color w:val="000000" w:themeColor="text1"/>
          <w:sz w:val="22"/>
          <w:lang w:val="es-ES_tradnl"/>
        </w:rPr>
        <w:t>2.</w:t>
      </w:r>
      <w:r w:rsidR="009E083B">
        <w:rPr>
          <w:rFonts w:ascii="Arial" w:hAnsi="Arial" w:cs="Arial"/>
          <w:b/>
          <w:bCs/>
          <w:color w:val="000000" w:themeColor="text1"/>
          <w:sz w:val="22"/>
          <w:lang w:val="es-ES_tradnl"/>
        </w:rPr>
        <w:t>2</w:t>
      </w:r>
      <w:r w:rsidRPr="00E52B90">
        <w:rPr>
          <w:rFonts w:ascii="Arial" w:hAnsi="Arial" w:cs="Arial"/>
          <w:b/>
          <w:bCs/>
          <w:color w:val="000000" w:themeColor="text1"/>
          <w:sz w:val="22"/>
          <w:lang w:val="es-ES_tradnl"/>
        </w:rPr>
        <w:t xml:space="preserve">. </w:t>
      </w:r>
      <w:r w:rsidR="009B0673">
        <w:rPr>
          <w:rFonts w:ascii="Arial" w:hAnsi="Arial" w:cs="Arial"/>
          <w:b/>
          <w:bCs/>
          <w:color w:val="000000" w:themeColor="text1"/>
          <w:sz w:val="22"/>
          <w:lang w:val="es-ES_tradnl"/>
        </w:rPr>
        <w:t>I</w:t>
      </w:r>
      <w:r w:rsidRPr="00E52B90">
        <w:rPr>
          <w:rFonts w:ascii="Arial" w:hAnsi="Arial" w:cs="Arial"/>
          <w:b/>
          <w:bCs/>
          <w:color w:val="000000" w:themeColor="text1"/>
          <w:sz w:val="22"/>
          <w:lang w:val="es-ES_tradnl"/>
        </w:rPr>
        <w:t>naplicabilidad de los poderes exorbitantes</w:t>
      </w:r>
      <w:r w:rsidR="009B0673">
        <w:rPr>
          <w:rFonts w:ascii="Arial" w:hAnsi="Arial" w:cs="Arial"/>
          <w:b/>
          <w:bCs/>
          <w:color w:val="000000" w:themeColor="text1"/>
          <w:sz w:val="22"/>
          <w:lang w:val="es-ES_tradnl"/>
        </w:rPr>
        <w:t xml:space="preserve"> </w:t>
      </w:r>
      <w:r w:rsidR="002656BC">
        <w:rPr>
          <w:rFonts w:ascii="Arial" w:hAnsi="Arial" w:cs="Arial"/>
          <w:b/>
          <w:bCs/>
          <w:color w:val="000000" w:themeColor="text1"/>
          <w:sz w:val="22"/>
          <w:lang w:val="es-ES_tradnl"/>
        </w:rPr>
        <w:t xml:space="preserve">del </w:t>
      </w:r>
      <w:r w:rsidR="009E083B">
        <w:rPr>
          <w:rFonts w:ascii="Arial" w:hAnsi="Arial" w:cs="Arial"/>
          <w:b/>
          <w:bCs/>
          <w:color w:val="000000" w:themeColor="text1"/>
          <w:sz w:val="22"/>
          <w:lang w:val="es-ES_tradnl"/>
        </w:rPr>
        <w:t>artículo 14 de la Ley 80 de 1993 a los contratos interadministrativos</w:t>
      </w:r>
    </w:p>
    <w:p w14:paraId="5E118FE3" w14:textId="77777777" w:rsidR="0060131A" w:rsidRPr="00E52B90" w:rsidRDefault="0060131A" w:rsidP="00524B1D">
      <w:pPr>
        <w:spacing w:line="276" w:lineRule="auto"/>
        <w:jc w:val="both"/>
        <w:rPr>
          <w:rFonts w:ascii="Arial" w:eastAsia="Calibri" w:hAnsi="Arial" w:cs="Arial"/>
          <w:color w:val="000000" w:themeColor="text1"/>
          <w:sz w:val="22"/>
          <w:lang w:val="es-ES_tradnl"/>
        </w:rPr>
      </w:pPr>
    </w:p>
    <w:p w14:paraId="24BA7492" w14:textId="7E2963ED" w:rsidR="0062637E" w:rsidRDefault="00770CC7" w:rsidP="0062637E">
      <w:pPr>
        <w:spacing w:line="276" w:lineRule="auto"/>
        <w:jc w:val="both"/>
        <w:rPr>
          <w:rFonts w:ascii="Arial" w:eastAsia="Calibri" w:hAnsi="Arial" w:cs="Arial"/>
          <w:color w:val="000000" w:themeColor="text1"/>
          <w:sz w:val="22"/>
        </w:rPr>
      </w:pPr>
      <w:r>
        <w:rPr>
          <w:rFonts w:ascii="Arial" w:eastAsia="Calibri" w:hAnsi="Arial" w:cs="Arial"/>
          <w:color w:val="000000"/>
          <w:sz w:val="22"/>
          <w:lang w:val="es-ES_tradnl"/>
        </w:rPr>
        <w:lastRenderedPageBreak/>
        <w:t xml:space="preserve">La definición de la tipología contractual es jurídicamente relevante para determinar si es procedente o no el ejercicio de los poderes </w:t>
      </w:r>
      <w:r w:rsidR="00EE432A">
        <w:rPr>
          <w:rFonts w:ascii="Arial" w:eastAsia="Calibri" w:hAnsi="Arial" w:cs="Arial"/>
          <w:color w:val="000000"/>
          <w:sz w:val="22"/>
          <w:lang w:val="es-ES_tradnl"/>
        </w:rPr>
        <w:t>excepcionales</w:t>
      </w:r>
      <w:r>
        <w:rPr>
          <w:rFonts w:ascii="Arial" w:eastAsia="Calibri" w:hAnsi="Arial" w:cs="Arial"/>
          <w:color w:val="000000"/>
          <w:sz w:val="22"/>
          <w:lang w:val="es-ES_tradnl"/>
        </w:rPr>
        <w:t xml:space="preserve"> del artículo 14 </w:t>
      </w:r>
      <w:r w:rsidR="00FF5472">
        <w:rPr>
          <w:rFonts w:ascii="Arial" w:eastAsia="Calibri" w:hAnsi="Arial" w:cs="Arial"/>
          <w:color w:val="000000"/>
          <w:sz w:val="22"/>
          <w:lang w:val="es-ES_tradnl"/>
        </w:rPr>
        <w:t xml:space="preserve">del Estatuto General de Contratación de la Administración Pública </w:t>
      </w:r>
      <w:r>
        <w:rPr>
          <w:rFonts w:ascii="Arial" w:eastAsia="Calibri" w:hAnsi="Arial" w:cs="Arial"/>
          <w:color w:val="000000"/>
          <w:sz w:val="22"/>
          <w:lang w:val="es-ES_tradnl"/>
        </w:rPr>
        <w:t>en los contratos interadministrativos</w:t>
      </w:r>
      <w:r w:rsidR="00205AF2">
        <w:rPr>
          <w:rFonts w:ascii="Arial" w:eastAsia="Calibri" w:hAnsi="Arial" w:cs="Arial"/>
          <w:color w:val="000000" w:themeColor="text1"/>
          <w:sz w:val="22"/>
        </w:rPr>
        <w:t xml:space="preserve">. </w:t>
      </w:r>
      <w:r w:rsidR="009A68F2">
        <w:rPr>
          <w:rFonts w:ascii="Arial" w:eastAsia="Calibri" w:hAnsi="Arial" w:cs="Arial"/>
          <w:color w:val="000000" w:themeColor="text1"/>
          <w:sz w:val="22"/>
        </w:rPr>
        <w:t xml:space="preserve">Lo anterior teniendo en cuenta que </w:t>
      </w:r>
      <w:r w:rsidR="00BC5B67">
        <w:rPr>
          <w:rFonts w:ascii="Arial" w:eastAsia="Calibri" w:hAnsi="Arial" w:cs="Arial"/>
          <w:color w:val="000000" w:themeColor="text1"/>
          <w:sz w:val="22"/>
        </w:rPr>
        <w:t xml:space="preserve">las entidades estatales </w:t>
      </w:r>
      <w:r w:rsidR="00FF5472">
        <w:rPr>
          <w:rFonts w:ascii="Arial" w:eastAsia="Calibri" w:hAnsi="Arial" w:cs="Arial"/>
          <w:color w:val="000000" w:themeColor="text1"/>
          <w:sz w:val="22"/>
        </w:rPr>
        <w:t>tienen</w:t>
      </w:r>
      <w:r w:rsidR="00FF5472" w:rsidRPr="00FF5472">
        <w:rPr>
          <w:rFonts w:ascii="Arial" w:eastAsia="Calibri" w:hAnsi="Arial" w:cs="Arial"/>
          <w:color w:val="000000" w:themeColor="text1"/>
          <w:sz w:val="22"/>
        </w:rPr>
        <w:t xml:space="preserve"> la dirección general y la responsabilidad de ejercer el control y vigilancia de la ejecución del </w:t>
      </w:r>
      <w:r w:rsidR="000370A8">
        <w:rPr>
          <w:rFonts w:ascii="Arial" w:eastAsia="Calibri" w:hAnsi="Arial" w:cs="Arial"/>
          <w:color w:val="000000" w:themeColor="text1"/>
          <w:sz w:val="22"/>
        </w:rPr>
        <w:t>negocio jurídico</w:t>
      </w:r>
      <w:r w:rsidR="00CE196C">
        <w:rPr>
          <w:rFonts w:ascii="Arial" w:eastAsia="Calibri" w:hAnsi="Arial" w:cs="Arial"/>
          <w:color w:val="000000" w:themeColor="text1"/>
          <w:sz w:val="22"/>
        </w:rPr>
        <w:t xml:space="preserve">, con el </w:t>
      </w:r>
      <w:r w:rsidR="00CE196C" w:rsidRPr="00CE196C">
        <w:rPr>
          <w:rFonts w:ascii="Arial" w:eastAsia="Calibri" w:hAnsi="Arial" w:cs="Arial"/>
          <w:color w:val="000000" w:themeColor="text1"/>
          <w:sz w:val="22"/>
        </w:rPr>
        <w:t>objeto de evitar la paralización o la afectación grave de los servicios públicos a su cargo y asegurar la inmediata, continua y adecuada prestación</w:t>
      </w:r>
      <w:r w:rsidR="00AE40BA">
        <w:rPr>
          <w:rFonts w:ascii="Arial" w:eastAsia="Calibri" w:hAnsi="Arial" w:cs="Arial"/>
          <w:color w:val="000000" w:themeColor="text1"/>
          <w:sz w:val="22"/>
        </w:rPr>
        <w:t xml:space="preserve">. </w:t>
      </w:r>
      <w:r w:rsidR="00BE3C79">
        <w:rPr>
          <w:rFonts w:ascii="Arial" w:eastAsia="Calibri" w:hAnsi="Arial" w:cs="Arial"/>
          <w:color w:val="000000" w:themeColor="text1"/>
          <w:sz w:val="22"/>
        </w:rPr>
        <w:t xml:space="preserve">Dentro de esta filosofía, </w:t>
      </w:r>
      <w:r w:rsidR="001D3AE0">
        <w:rPr>
          <w:rFonts w:ascii="Arial" w:eastAsia="Calibri" w:hAnsi="Arial" w:cs="Arial"/>
          <w:color w:val="000000" w:themeColor="text1"/>
          <w:sz w:val="22"/>
        </w:rPr>
        <w:t>el artículo 14 de la Ley 80 de 1993 dispone que:</w:t>
      </w:r>
    </w:p>
    <w:p w14:paraId="2016D01F" w14:textId="77777777" w:rsidR="0062637E" w:rsidRDefault="0062637E" w:rsidP="0062637E">
      <w:pPr>
        <w:spacing w:line="276" w:lineRule="auto"/>
        <w:jc w:val="both"/>
        <w:rPr>
          <w:rFonts w:ascii="Arial" w:eastAsia="Calibri" w:hAnsi="Arial" w:cs="Arial"/>
          <w:color w:val="000000" w:themeColor="text1"/>
          <w:sz w:val="22"/>
        </w:rPr>
      </w:pPr>
    </w:p>
    <w:p w14:paraId="263AE8E4" w14:textId="77777777" w:rsidR="0062637E" w:rsidRPr="00091570" w:rsidRDefault="0062637E" w:rsidP="0062637E">
      <w:pPr>
        <w:ind w:left="709" w:right="709"/>
        <w:jc w:val="both"/>
        <w:rPr>
          <w:rFonts w:ascii="Arial" w:eastAsia="Calibri" w:hAnsi="Arial" w:cs="Arial"/>
          <w:color w:val="000000" w:themeColor="text1"/>
          <w:sz w:val="21"/>
          <w:szCs w:val="21"/>
        </w:rPr>
      </w:pPr>
      <w:r w:rsidRPr="00091570">
        <w:rPr>
          <w:rFonts w:ascii="Arial" w:eastAsia="Calibri" w:hAnsi="Arial" w:cs="Arial"/>
          <w:color w:val="000000" w:themeColor="text1"/>
          <w:sz w:val="21"/>
          <w:szCs w:val="21"/>
        </w:rPr>
        <w:t>Para el cumplimiento de los fines de la contratación, las entidades estatales al celebrar un contrato:</w:t>
      </w:r>
    </w:p>
    <w:p w14:paraId="3D052C13" w14:textId="77777777" w:rsidR="0062637E" w:rsidRPr="00091570" w:rsidRDefault="0062637E" w:rsidP="0062637E">
      <w:pPr>
        <w:spacing w:after="120"/>
        <w:ind w:left="709" w:right="709"/>
        <w:jc w:val="both"/>
        <w:rPr>
          <w:rFonts w:ascii="Arial" w:eastAsia="Calibri" w:hAnsi="Arial" w:cs="Arial"/>
          <w:color w:val="000000" w:themeColor="text1"/>
          <w:sz w:val="21"/>
          <w:szCs w:val="21"/>
        </w:rPr>
      </w:pPr>
      <w:r w:rsidRPr="00091570">
        <w:rPr>
          <w:rFonts w:ascii="Arial" w:eastAsia="Calibri" w:hAnsi="Arial" w:cs="Arial"/>
          <w:color w:val="000000" w:themeColor="text1"/>
          <w:sz w:val="21"/>
          <w:szCs w:val="21"/>
        </w:rPr>
        <w:t xml:space="preserve">[…] </w:t>
      </w:r>
    </w:p>
    <w:p w14:paraId="0A78A60E" w14:textId="77777777" w:rsidR="0062637E" w:rsidRPr="00091570" w:rsidRDefault="0062637E" w:rsidP="0062637E">
      <w:pPr>
        <w:spacing w:after="120"/>
        <w:ind w:left="709" w:right="709"/>
        <w:jc w:val="both"/>
        <w:rPr>
          <w:rFonts w:ascii="Arial" w:eastAsia="Calibri" w:hAnsi="Arial" w:cs="Arial"/>
          <w:color w:val="000000" w:themeColor="text1"/>
          <w:sz w:val="21"/>
          <w:szCs w:val="21"/>
        </w:rPr>
      </w:pPr>
      <w:r w:rsidRPr="00091570">
        <w:rPr>
          <w:rFonts w:ascii="Arial" w:eastAsia="Calibri" w:hAnsi="Arial" w:cs="Arial"/>
          <w:color w:val="000000" w:themeColor="text1"/>
          <w:sz w:val="21"/>
          <w:szCs w:val="21"/>
        </w:rPr>
        <w:t xml:space="preserve">2°. Pactarán las cláusulas excepcionales al derecho común de terminación, interpretación y modificación unilaterales, de sometimiento a las leyes nacionales y de caducidad en los contratos </w:t>
      </w:r>
      <w:bookmarkStart w:id="4" w:name="_Hlk41479392"/>
      <w:bookmarkStart w:id="5" w:name="_Hlk41075680"/>
      <w:r w:rsidRPr="00091570">
        <w:rPr>
          <w:rFonts w:ascii="Arial" w:eastAsia="Calibri" w:hAnsi="Arial" w:cs="Arial"/>
          <w:color w:val="000000" w:themeColor="text1"/>
          <w:sz w:val="21"/>
          <w:szCs w:val="21"/>
        </w:rPr>
        <w:t xml:space="preserve">que tengan por objeto el ejercicio de una actividad que </w:t>
      </w:r>
      <w:r w:rsidRPr="003A06BB">
        <w:rPr>
          <w:rFonts w:ascii="Arial" w:eastAsia="Calibri" w:hAnsi="Arial" w:cs="Arial"/>
          <w:color w:val="000000" w:themeColor="text1"/>
          <w:sz w:val="21"/>
          <w:szCs w:val="21"/>
        </w:rPr>
        <w:t>constituya monopolio estatal</w:t>
      </w:r>
      <w:bookmarkEnd w:id="4"/>
      <w:r w:rsidRPr="00091570">
        <w:rPr>
          <w:rFonts w:ascii="Arial" w:eastAsia="Calibri" w:hAnsi="Arial" w:cs="Arial"/>
          <w:color w:val="000000" w:themeColor="text1"/>
          <w:sz w:val="21"/>
          <w:szCs w:val="21"/>
        </w:rPr>
        <w:t>, la prestación de servicios públicos o la explotación y concesión de bienes del Estado, así como en los contratos de obra</w:t>
      </w:r>
      <w:bookmarkEnd w:id="5"/>
      <w:r w:rsidRPr="00091570">
        <w:rPr>
          <w:rFonts w:ascii="Arial" w:eastAsia="Calibri" w:hAnsi="Arial" w:cs="Arial"/>
          <w:color w:val="000000" w:themeColor="text1"/>
          <w:sz w:val="21"/>
          <w:szCs w:val="21"/>
        </w:rPr>
        <w:t>. En los contratos de explotación y concesión de bienes del Estado se incluirá la cláusula de reversión.</w:t>
      </w:r>
    </w:p>
    <w:p w14:paraId="51870FB2" w14:textId="77777777" w:rsidR="0062637E" w:rsidRPr="00091570" w:rsidRDefault="0062637E" w:rsidP="0062637E">
      <w:pPr>
        <w:spacing w:after="120"/>
        <w:ind w:left="709" w:right="709"/>
        <w:jc w:val="both"/>
        <w:rPr>
          <w:rFonts w:ascii="Arial" w:eastAsia="Calibri" w:hAnsi="Arial" w:cs="Arial"/>
          <w:color w:val="000000" w:themeColor="text1"/>
          <w:sz w:val="21"/>
          <w:szCs w:val="21"/>
        </w:rPr>
      </w:pPr>
      <w:r w:rsidRPr="00091570">
        <w:rPr>
          <w:rFonts w:ascii="Arial" w:eastAsia="Calibri" w:hAnsi="Arial" w:cs="Arial"/>
          <w:color w:val="000000" w:themeColor="text1"/>
          <w:sz w:val="21"/>
          <w:szCs w:val="21"/>
        </w:rPr>
        <w:t>Las entidades estatales podrán pactar estas cláusulas en los contratos de suministro y de prestación de servicios.</w:t>
      </w:r>
    </w:p>
    <w:p w14:paraId="45720ABD" w14:textId="77777777" w:rsidR="0062637E" w:rsidRPr="00091570" w:rsidRDefault="0062637E" w:rsidP="0062637E">
      <w:pPr>
        <w:spacing w:after="120"/>
        <w:ind w:left="709" w:right="709"/>
        <w:jc w:val="both"/>
        <w:rPr>
          <w:rFonts w:ascii="Arial" w:eastAsia="Calibri" w:hAnsi="Arial" w:cs="Arial"/>
          <w:color w:val="000000" w:themeColor="text1"/>
          <w:sz w:val="21"/>
          <w:szCs w:val="21"/>
        </w:rPr>
      </w:pPr>
      <w:bookmarkStart w:id="6" w:name="_Hlk41225379"/>
      <w:r w:rsidRPr="00091570">
        <w:rPr>
          <w:rFonts w:ascii="Arial" w:eastAsia="Calibri" w:hAnsi="Arial" w:cs="Arial"/>
          <w:color w:val="000000" w:themeColor="text1"/>
          <w:sz w:val="21"/>
          <w:szCs w:val="21"/>
        </w:rPr>
        <w:t xml:space="preserve">En los casos previstos en este numeral, </w:t>
      </w:r>
      <w:bookmarkStart w:id="7" w:name="_Hlk41075925"/>
      <w:r w:rsidRPr="00091570">
        <w:rPr>
          <w:rFonts w:ascii="Arial" w:eastAsia="Calibri" w:hAnsi="Arial" w:cs="Arial"/>
          <w:color w:val="000000" w:themeColor="text1"/>
          <w:sz w:val="21"/>
          <w:szCs w:val="21"/>
        </w:rPr>
        <w:t>las cláusulas excepcionales se entienden pactadas aún cuando no se consignen expresamente</w:t>
      </w:r>
      <w:bookmarkEnd w:id="6"/>
      <w:bookmarkEnd w:id="7"/>
      <w:r w:rsidRPr="00091570">
        <w:rPr>
          <w:rFonts w:ascii="Arial" w:eastAsia="Calibri" w:hAnsi="Arial" w:cs="Arial"/>
          <w:color w:val="000000" w:themeColor="text1"/>
          <w:sz w:val="21"/>
          <w:szCs w:val="21"/>
        </w:rPr>
        <w:t>.</w:t>
      </w:r>
    </w:p>
    <w:p w14:paraId="4312BDCA" w14:textId="77777777" w:rsidR="0062637E" w:rsidRPr="00091570" w:rsidRDefault="0062637E" w:rsidP="0062637E">
      <w:pPr>
        <w:ind w:left="709" w:right="709"/>
        <w:jc w:val="both"/>
        <w:rPr>
          <w:rFonts w:ascii="Arial" w:eastAsia="Calibri" w:hAnsi="Arial" w:cs="Arial"/>
          <w:color w:val="000000" w:themeColor="text1"/>
          <w:sz w:val="21"/>
          <w:szCs w:val="21"/>
        </w:rPr>
      </w:pPr>
      <w:r w:rsidRPr="00091570">
        <w:rPr>
          <w:rFonts w:ascii="Arial" w:eastAsia="Calibri" w:hAnsi="Arial" w:cs="Arial"/>
          <w:color w:val="000000" w:themeColor="text1"/>
          <w:sz w:val="21"/>
          <w:szCs w:val="21"/>
        </w:rPr>
        <w:t xml:space="preserve">PARAGRAFO. En los contratos que se celebren con personas públicas internacionales, o de cooperación, ayuda o asistencia; en los interadministrativos; en los de empréstito, donación y arrendamiento y </w:t>
      </w:r>
      <w:bookmarkStart w:id="8" w:name="_Hlk41081433"/>
      <w:r w:rsidRPr="00091570">
        <w:rPr>
          <w:rFonts w:ascii="Arial" w:eastAsia="Calibri" w:hAnsi="Arial" w:cs="Arial"/>
          <w:color w:val="000000" w:themeColor="text1"/>
          <w:sz w:val="21"/>
          <w:szCs w:val="21"/>
        </w:rPr>
        <w:t>en los contratos que tengan por objeto actividades comerciales o industriales de las entidades estatales que no correspondan a las señaladas en el numeral 2°</w:t>
      </w:r>
      <w:bookmarkEnd w:id="8"/>
      <w:r w:rsidRPr="00091570">
        <w:rPr>
          <w:rFonts w:ascii="Arial" w:eastAsia="Calibri" w:hAnsi="Arial" w:cs="Arial"/>
          <w:color w:val="000000" w:themeColor="text1"/>
          <w:sz w:val="21"/>
          <w:szCs w:val="21"/>
        </w:rPr>
        <w:t xml:space="preserve">. de este artículo, o que tengan por objeto el desarrollo directo de actividades científicas o tecnológicas, así como en los contratos de seguro tomados por las entidades estatales, se prescindirá de la utilización de las cláusulas o estipulaciones excepcionales.   </w:t>
      </w:r>
    </w:p>
    <w:p w14:paraId="4107D303" w14:textId="77777777" w:rsidR="0062637E" w:rsidRDefault="0062637E" w:rsidP="0062637E">
      <w:pPr>
        <w:spacing w:line="276" w:lineRule="auto"/>
        <w:jc w:val="both"/>
        <w:rPr>
          <w:rFonts w:ascii="Arial" w:eastAsia="Calibri" w:hAnsi="Arial" w:cs="Arial"/>
          <w:color w:val="000000" w:themeColor="text1"/>
          <w:sz w:val="22"/>
        </w:rPr>
      </w:pPr>
    </w:p>
    <w:p w14:paraId="6436F1C1" w14:textId="77777777" w:rsidR="0062637E" w:rsidRDefault="0062637E" w:rsidP="0062637E">
      <w:pPr>
        <w:spacing w:after="120" w:line="276" w:lineRule="auto"/>
        <w:ind w:firstLine="709"/>
        <w:jc w:val="both"/>
        <w:rPr>
          <w:rFonts w:ascii="Arial" w:eastAsia="Calibri" w:hAnsi="Arial" w:cs="Arial"/>
          <w:color w:val="000000" w:themeColor="text1"/>
          <w:sz w:val="22"/>
        </w:rPr>
      </w:pPr>
      <w:r>
        <w:rPr>
          <w:rFonts w:ascii="Arial" w:eastAsia="Calibri" w:hAnsi="Arial" w:cs="Arial"/>
          <w:color w:val="000000" w:themeColor="text1"/>
          <w:sz w:val="22"/>
        </w:rPr>
        <w:t xml:space="preserve">A estas cláusulas también se les denomina como «exorbitantes». Etimológicamente, esta palabra viene del latín: se compone del prefijo </w:t>
      </w:r>
      <w:r w:rsidRPr="00ED4715">
        <w:rPr>
          <w:rFonts w:ascii="Arial" w:eastAsia="Calibri" w:hAnsi="Arial" w:cs="Arial"/>
          <w:i/>
          <w:iCs/>
          <w:color w:val="000000" w:themeColor="text1"/>
          <w:sz w:val="22"/>
        </w:rPr>
        <w:t>ex</w:t>
      </w:r>
      <w:r>
        <w:rPr>
          <w:rFonts w:ascii="Arial" w:eastAsia="Calibri" w:hAnsi="Arial" w:cs="Arial"/>
          <w:color w:val="000000" w:themeColor="text1"/>
          <w:sz w:val="22"/>
        </w:rPr>
        <w:t xml:space="preserve">, que indica separación o movimiento de salida, y la raíz de la palabra </w:t>
      </w:r>
      <w:r w:rsidRPr="00ED4715">
        <w:rPr>
          <w:rFonts w:ascii="Arial" w:eastAsia="Calibri" w:hAnsi="Arial" w:cs="Arial"/>
          <w:i/>
          <w:iCs/>
          <w:color w:val="000000" w:themeColor="text1"/>
          <w:sz w:val="22"/>
        </w:rPr>
        <w:t>orbita</w:t>
      </w:r>
      <w:r>
        <w:rPr>
          <w:rFonts w:ascii="Arial" w:eastAsia="Calibri" w:hAnsi="Arial" w:cs="Arial"/>
          <w:color w:val="000000" w:themeColor="text1"/>
          <w:sz w:val="22"/>
        </w:rPr>
        <w:t xml:space="preserve">, relacionado con el curso de los astros, un derivado de la palabra </w:t>
      </w:r>
      <w:r w:rsidRPr="00ED4715">
        <w:rPr>
          <w:rFonts w:ascii="Arial" w:eastAsia="Calibri" w:hAnsi="Arial" w:cs="Arial"/>
          <w:i/>
          <w:iCs/>
          <w:color w:val="000000" w:themeColor="text1"/>
          <w:sz w:val="22"/>
        </w:rPr>
        <w:t>orbis</w:t>
      </w:r>
      <w:r>
        <w:rPr>
          <w:rFonts w:ascii="Arial" w:eastAsia="Calibri" w:hAnsi="Arial" w:cs="Arial"/>
          <w:color w:val="000000" w:themeColor="text1"/>
          <w:sz w:val="22"/>
        </w:rPr>
        <w:t>, que significa circunferencia. En esta medida, lo exorbitante es lo que se sale excesivamente de su ritmo o medida habitual</w:t>
      </w:r>
      <w:r>
        <w:rPr>
          <w:rStyle w:val="Refdenotaalpie"/>
          <w:rFonts w:ascii="Arial" w:eastAsia="Calibri" w:hAnsi="Arial" w:cs="Arial"/>
          <w:color w:val="000000" w:themeColor="text1"/>
          <w:sz w:val="22"/>
        </w:rPr>
        <w:footnoteReference w:id="7"/>
      </w:r>
      <w:r>
        <w:rPr>
          <w:rFonts w:ascii="Arial" w:eastAsia="Calibri" w:hAnsi="Arial" w:cs="Arial"/>
          <w:color w:val="000000" w:themeColor="text1"/>
          <w:sz w:val="22"/>
        </w:rPr>
        <w:t xml:space="preserve">. Para la doctrina, estas cláusulas son exorbitantes bien porque son poco habituales en los contratos entre particulares o porque, </w:t>
      </w:r>
      <w:r>
        <w:rPr>
          <w:rFonts w:ascii="Arial" w:eastAsia="Calibri" w:hAnsi="Arial" w:cs="Arial"/>
          <w:color w:val="000000" w:themeColor="text1"/>
          <w:sz w:val="22"/>
        </w:rPr>
        <w:lastRenderedPageBreak/>
        <w:t>pactadas en los mismos, están viciadas de nulidad</w:t>
      </w:r>
      <w:r w:rsidRPr="00860A39">
        <w:rPr>
          <w:rStyle w:val="Refdenotaalpie"/>
          <w:rFonts w:ascii="Arial" w:eastAsia="Calibri" w:hAnsi="Arial" w:cs="Arial"/>
          <w:color w:val="000000" w:themeColor="text1"/>
          <w:sz w:val="22"/>
        </w:rPr>
        <w:footnoteReference w:id="8"/>
      </w:r>
      <w:r w:rsidRPr="002A153A">
        <w:rPr>
          <w:rFonts w:ascii="Arial" w:eastAsia="Calibri" w:hAnsi="Arial" w:cs="Arial"/>
          <w:color w:val="000000" w:themeColor="text1"/>
          <w:sz w:val="21"/>
          <w:szCs w:val="21"/>
        </w:rPr>
        <w:t xml:space="preserve">. </w:t>
      </w:r>
      <w:r>
        <w:rPr>
          <w:rFonts w:ascii="Arial" w:eastAsia="Calibri" w:hAnsi="Arial" w:cs="Arial"/>
          <w:color w:val="000000" w:themeColor="text1"/>
          <w:sz w:val="22"/>
        </w:rPr>
        <w:t>Por ser poco habituales</w:t>
      </w:r>
      <w:r w:rsidRPr="002F2DB4">
        <w:rPr>
          <w:rFonts w:ascii="Arial" w:eastAsia="Calibri" w:hAnsi="Arial" w:cs="Arial"/>
          <w:color w:val="000000" w:themeColor="text1"/>
          <w:sz w:val="22"/>
        </w:rPr>
        <w:t>, cláusulas como las de supervisión e interventoría</w:t>
      </w:r>
      <w:r>
        <w:rPr>
          <w:rFonts w:ascii="Arial" w:eastAsia="Calibri" w:hAnsi="Arial" w:cs="Arial"/>
          <w:color w:val="000000" w:themeColor="text1"/>
          <w:sz w:val="22"/>
        </w:rPr>
        <w:t xml:space="preserve"> tendrían esta naturaleza</w:t>
      </w:r>
      <w:r w:rsidRPr="002F2DB4">
        <w:rPr>
          <w:rFonts w:ascii="Arial" w:eastAsia="Calibri" w:hAnsi="Arial" w:cs="Arial"/>
          <w:color w:val="000000" w:themeColor="text1"/>
          <w:sz w:val="22"/>
        </w:rPr>
        <w:t xml:space="preserve">, las cuales –pese a la definición– </w:t>
      </w:r>
      <w:r>
        <w:rPr>
          <w:rFonts w:ascii="Arial" w:eastAsia="Calibri" w:hAnsi="Arial" w:cs="Arial"/>
          <w:color w:val="000000" w:themeColor="text1"/>
          <w:sz w:val="22"/>
        </w:rPr>
        <w:t>pueden</w:t>
      </w:r>
      <w:r w:rsidRPr="002F2DB4">
        <w:rPr>
          <w:rFonts w:ascii="Arial" w:eastAsia="Calibri" w:hAnsi="Arial" w:cs="Arial"/>
          <w:color w:val="000000" w:themeColor="text1"/>
          <w:sz w:val="22"/>
        </w:rPr>
        <w:t xml:space="preserve"> pactarse en</w:t>
      </w:r>
      <w:r>
        <w:rPr>
          <w:rFonts w:ascii="Arial" w:eastAsia="Calibri" w:hAnsi="Arial" w:cs="Arial"/>
          <w:color w:val="000000" w:themeColor="text1"/>
          <w:sz w:val="22"/>
        </w:rPr>
        <w:t xml:space="preserve"> los</w:t>
      </w:r>
      <w:r w:rsidRPr="002F2DB4">
        <w:rPr>
          <w:rFonts w:ascii="Arial" w:eastAsia="Calibri" w:hAnsi="Arial" w:cs="Arial"/>
          <w:color w:val="000000" w:themeColor="text1"/>
          <w:sz w:val="22"/>
        </w:rPr>
        <w:t xml:space="preserve"> contratos </w:t>
      </w:r>
      <w:r>
        <w:rPr>
          <w:rFonts w:ascii="Arial" w:eastAsia="Calibri" w:hAnsi="Arial" w:cs="Arial"/>
          <w:color w:val="000000" w:themeColor="text1"/>
          <w:sz w:val="22"/>
        </w:rPr>
        <w:t>entre particulares, pues no están expresamente prohibidas</w:t>
      </w:r>
      <w:r w:rsidRPr="002F2DB4">
        <w:rPr>
          <w:rFonts w:ascii="Arial" w:eastAsia="Calibri" w:hAnsi="Arial" w:cs="Arial"/>
          <w:color w:val="000000" w:themeColor="text1"/>
          <w:sz w:val="22"/>
        </w:rPr>
        <w:t>.</w:t>
      </w:r>
      <w:r>
        <w:rPr>
          <w:rFonts w:ascii="Arial" w:eastAsia="Calibri" w:hAnsi="Arial" w:cs="Arial"/>
          <w:color w:val="000000" w:themeColor="text1"/>
          <w:sz w:val="22"/>
        </w:rPr>
        <w:t xml:space="preserve"> </w:t>
      </w:r>
    </w:p>
    <w:p w14:paraId="2AE566E3" w14:textId="10821377" w:rsidR="0062637E" w:rsidRDefault="0062637E" w:rsidP="0062637E">
      <w:pPr>
        <w:spacing w:after="120" w:line="276" w:lineRule="auto"/>
        <w:ind w:firstLine="709"/>
        <w:jc w:val="both"/>
        <w:rPr>
          <w:rFonts w:ascii="Arial" w:eastAsia="Calibri" w:hAnsi="Arial" w:cs="Arial"/>
          <w:color w:val="000000" w:themeColor="text1"/>
          <w:sz w:val="22"/>
        </w:rPr>
      </w:pPr>
      <w:r>
        <w:rPr>
          <w:rFonts w:ascii="Arial" w:eastAsia="Calibri" w:hAnsi="Arial" w:cs="Arial"/>
          <w:color w:val="000000" w:themeColor="text1"/>
          <w:sz w:val="22"/>
        </w:rPr>
        <w:t xml:space="preserve">En contraste, las cláusulas de caducidad, interpretación unilateral, imposición unilateral de las multas, etc. están prohibidas en contratos sometidos al derecho privado, </w:t>
      </w:r>
      <w:r w:rsidR="00C817CE">
        <w:rPr>
          <w:rFonts w:ascii="Arial" w:eastAsia="Calibri" w:hAnsi="Arial" w:cs="Arial"/>
          <w:color w:val="000000" w:themeColor="text1"/>
          <w:sz w:val="22"/>
        </w:rPr>
        <w:t>pues</w:t>
      </w:r>
      <w:r>
        <w:rPr>
          <w:rFonts w:ascii="Arial" w:eastAsia="Calibri" w:hAnsi="Arial" w:cs="Arial"/>
          <w:color w:val="000000" w:themeColor="text1"/>
          <w:sz w:val="22"/>
        </w:rPr>
        <w:t xml:space="preserve"> n</w:t>
      </w:r>
      <w:r w:rsidRPr="002723C7">
        <w:rPr>
          <w:rFonts w:ascii="Arial" w:eastAsia="Calibri" w:hAnsi="Arial" w:cs="Arial"/>
          <w:color w:val="000000" w:themeColor="text1"/>
          <w:sz w:val="22"/>
        </w:rPr>
        <w:t xml:space="preserve">o </w:t>
      </w:r>
      <w:r>
        <w:rPr>
          <w:rFonts w:ascii="Arial" w:eastAsia="Calibri" w:hAnsi="Arial" w:cs="Arial"/>
          <w:color w:val="000000" w:themeColor="text1"/>
          <w:sz w:val="22"/>
        </w:rPr>
        <w:t>derogan</w:t>
      </w:r>
      <w:r w:rsidRPr="002723C7">
        <w:rPr>
          <w:rFonts w:ascii="Arial" w:eastAsia="Calibri" w:hAnsi="Arial" w:cs="Arial"/>
          <w:color w:val="000000" w:themeColor="text1"/>
          <w:sz w:val="22"/>
        </w:rPr>
        <w:t xml:space="preserve"> las leyes </w:t>
      </w:r>
      <w:r>
        <w:rPr>
          <w:rFonts w:ascii="Arial" w:eastAsia="Calibri" w:hAnsi="Arial" w:cs="Arial"/>
          <w:color w:val="000000" w:themeColor="text1"/>
          <w:sz w:val="22"/>
        </w:rPr>
        <w:t>de</w:t>
      </w:r>
      <w:r w:rsidRPr="002723C7">
        <w:rPr>
          <w:rFonts w:ascii="Arial" w:eastAsia="Calibri" w:hAnsi="Arial" w:cs="Arial"/>
          <w:color w:val="000000" w:themeColor="text1"/>
          <w:sz w:val="22"/>
        </w:rPr>
        <w:t xml:space="preserve"> orden</w:t>
      </w:r>
      <w:r>
        <w:rPr>
          <w:rFonts w:ascii="Arial" w:eastAsia="Calibri" w:hAnsi="Arial" w:cs="Arial"/>
          <w:color w:val="000000" w:themeColor="text1"/>
          <w:sz w:val="22"/>
        </w:rPr>
        <w:t xml:space="preserve"> público –art. 16 del Código Civil–, existe objeto ilícito en todo lo que contraviene el derecho público de la nación –art. 1519 del Código Civil– y, por tanto, están viciadas de nulidad absoluta –art. 1741 del Código Civil–. En este sentido, las cláusulas exorbitantes se reservan a los contratos autorizados por la ley, pues son poderes derogatorios del derecho común y requieren una norma excepcional como la citada </w:t>
      </w:r>
      <w:r w:rsidRPr="0083146F">
        <w:rPr>
          <w:rFonts w:ascii="Arial" w:eastAsia="Calibri" w:hAnsi="Arial" w:cs="Arial"/>
          <w:i/>
          <w:iCs/>
          <w:color w:val="000000" w:themeColor="text1"/>
          <w:sz w:val="22"/>
        </w:rPr>
        <w:t>ut supra</w:t>
      </w:r>
      <w:r w:rsidR="00A65034">
        <w:rPr>
          <w:rStyle w:val="Refdenotaalpie"/>
          <w:rFonts w:ascii="Arial" w:eastAsia="Calibri" w:hAnsi="Arial" w:cs="Arial"/>
          <w:i/>
          <w:iCs/>
          <w:color w:val="000000" w:themeColor="text1"/>
          <w:sz w:val="22"/>
        </w:rPr>
        <w:footnoteReference w:id="9"/>
      </w:r>
      <w:r>
        <w:rPr>
          <w:rFonts w:ascii="Arial" w:eastAsia="Calibri" w:hAnsi="Arial" w:cs="Arial"/>
          <w:color w:val="000000" w:themeColor="text1"/>
          <w:sz w:val="22"/>
        </w:rPr>
        <w:t xml:space="preserve">. </w:t>
      </w:r>
    </w:p>
    <w:p w14:paraId="0B22AA0E" w14:textId="48B14465" w:rsidR="00B573F7" w:rsidRPr="001807A8" w:rsidRDefault="00B573F7" w:rsidP="00B573F7">
      <w:pPr>
        <w:tabs>
          <w:tab w:val="left" w:pos="426"/>
        </w:tabs>
        <w:spacing w:before="120" w:after="120" w:line="276" w:lineRule="auto"/>
        <w:jc w:val="both"/>
        <w:rPr>
          <w:rFonts w:ascii="Arial" w:eastAsia="Calibri" w:hAnsi="Arial" w:cs="Arial"/>
          <w:sz w:val="22"/>
        </w:rPr>
      </w:pPr>
      <w:r>
        <w:rPr>
          <w:rFonts w:ascii="Arial" w:hAnsi="Arial" w:cs="Arial"/>
          <w:iCs/>
          <w:sz w:val="22"/>
        </w:rPr>
        <w:tab/>
      </w:r>
      <w:r>
        <w:rPr>
          <w:rFonts w:ascii="Arial" w:hAnsi="Arial" w:cs="Arial"/>
          <w:iCs/>
          <w:sz w:val="22"/>
        </w:rPr>
        <w:tab/>
      </w:r>
      <w:r w:rsidR="00C16768">
        <w:rPr>
          <w:rFonts w:ascii="Arial" w:hAnsi="Arial" w:cs="Arial"/>
          <w:iCs/>
          <w:sz w:val="22"/>
        </w:rPr>
        <w:t>Particularmente</w:t>
      </w:r>
      <w:r>
        <w:rPr>
          <w:rFonts w:ascii="Arial" w:hAnsi="Arial" w:cs="Arial"/>
          <w:iCs/>
          <w:sz w:val="22"/>
        </w:rPr>
        <w:t>, se destaca que l</w:t>
      </w:r>
      <w:r w:rsidRPr="001807A8">
        <w:rPr>
          <w:rFonts w:ascii="Arial" w:eastAsia="Calibri" w:hAnsi="Arial" w:cs="Arial"/>
          <w:sz w:val="22"/>
        </w:rPr>
        <w:t xml:space="preserve">a cláusula excepcional de interpretación unilateral está consagrada en el artículo 15 de la Ley 80 de 1993. Esta procede si durante la ejecución del contrato surgen </w:t>
      </w:r>
      <w:r w:rsidRPr="001807A8">
        <w:rPr>
          <w:rFonts w:ascii="Arial" w:eastAsia="Calibri" w:hAnsi="Arial" w:cs="Arial"/>
          <w:i/>
          <w:sz w:val="22"/>
        </w:rPr>
        <w:t xml:space="preserve">discrepancias </w:t>
      </w:r>
      <w:r w:rsidRPr="001807A8">
        <w:rPr>
          <w:rFonts w:ascii="Arial" w:eastAsia="Calibri" w:hAnsi="Arial" w:cs="Arial"/>
          <w:sz w:val="22"/>
        </w:rPr>
        <w:t xml:space="preserve">entre la entidad estatal y el contratista sobre la interpretación de algunas de sus estipulaciones, </w:t>
      </w:r>
      <w:r w:rsidRPr="001807A8">
        <w:rPr>
          <w:rFonts w:ascii="Arial" w:eastAsia="Calibri" w:hAnsi="Arial" w:cs="Arial"/>
          <w:i/>
          <w:sz w:val="22"/>
        </w:rPr>
        <w:t>que puedan conducir a la paralización o a la afectación grave del servicio público</w:t>
      </w:r>
      <w:r w:rsidRPr="001807A8">
        <w:rPr>
          <w:rFonts w:ascii="Arial" w:eastAsia="Calibri" w:hAnsi="Arial" w:cs="Arial"/>
          <w:sz w:val="22"/>
        </w:rPr>
        <w:t xml:space="preserve"> que se pretende satisfacer con el objeto contratado. En ese caso, si no se logra acuerdo con el contratista, la entidad estatal realizará la interpretación unilateral de las estipulaciones o cláusulas objeto de la diferencia, mediante acto administrativo debidamente motivado</w:t>
      </w:r>
      <w:r w:rsidR="00023E25">
        <w:rPr>
          <w:rStyle w:val="Refdenotaalpie"/>
          <w:rFonts w:ascii="Arial" w:eastAsia="Calibri" w:hAnsi="Arial" w:cs="Arial"/>
          <w:sz w:val="22"/>
        </w:rPr>
        <w:footnoteReference w:id="10"/>
      </w:r>
      <w:r w:rsidRPr="001807A8">
        <w:rPr>
          <w:rFonts w:ascii="Arial" w:eastAsia="Calibri" w:hAnsi="Arial" w:cs="Arial"/>
          <w:sz w:val="22"/>
        </w:rPr>
        <w:t>.</w:t>
      </w:r>
    </w:p>
    <w:p w14:paraId="5DF7D1C2" w14:textId="77777777" w:rsidR="00FA627E" w:rsidRDefault="00FA627E" w:rsidP="0062637E">
      <w:pPr>
        <w:spacing w:after="120" w:line="276" w:lineRule="auto"/>
        <w:ind w:firstLine="709"/>
        <w:jc w:val="both"/>
        <w:rPr>
          <w:rFonts w:ascii="Arial" w:eastAsia="Calibri" w:hAnsi="Arial" w:cs="Arial"/>
          <w:color w:val="000000" w:themeColor="text1"/>
          <w:sz w:val="22"/>
        </w:rPr>
      </w:pPr>
    </w:p>
    <w:p w14:paraId="3DA8C9EA" w14:textId="14EB80EC" w:rsidR="0062637E" w:rsidRDefault="000B4A8D" w:rsidP="0062637E">
      <w:pPr>
        <w:spacing w:after="120" w:line="276" w:lineRule="auto"/>
        <w:ind w:firstLine="709"/>
        <w:jc w:val="both"/>
        <w:rPr>
          <w:rFonts w:ascii="Arial" w:eastAsia="Calibri" w:hAnsi="Arial" w:cs="Arial"/>
          <w:color w:val="000000" w:themeColor="text1"/>
          <w:sz w:val="22"/>
        </w:rPr>
      </w:pPr>
      <w:r>
        <w:rPr>
          <w:rFonts w:ascii="Arial" w:eastAsia="Calibri" w:hAnsi="Arial" w:cs="Arial"/>
          <w:color w:val="000000" w:themeColor="text1"/>
          <w:sz w:val="22"/>
        </w:rPr>
        <w:t>Ahora bien, c</w:t>
      </w:r>
      <w:r w:rsidR="0062637E">
        <w:rPr>
          <w:rFonts w:ascii="Arial" w:eastAsia="Calibri" w:hAnsi="Arial" w:cs="Arial"/>
          <w:color w:val="000000" w:themeColor="text1"/>
          <w:sz w:val="22"/>
        </w:rPr>
        <w:t>omo explica la jurisprudencia, e</w:t>
      </w:r>
      <w:r w:rsidR="0062637E" w:rsidRPr="00C365AF">
        <w:rPr>
          <w:rFonts w:ascii="Arial" w:eastAsia="Calibri" w:hAnsi="Arial" w:cs="Arial"/>
          <w:color w:val="000000" w:themeColor="text1"/>
          <w:sz w:val="22"/>
        </w:rPr>
        <w:t>l artículo 14 de la Ley 80 de 1993</w:t>
      </w:r>
      <w:r w:rsidR="0062637E">
        <w:rPr>
          <w:rFonts w:ascii="Arial" w:eastAsia="Calibri" w:hAnsi="Arial" w:cs="Arial"/>
          <w:color w:val="000000" w:themeColor="text1"/>
          <w:sz w:val="22"/>
        </w:rPr>
        <w:t xml:space="preserve"> dispone</w:t>
      </w:r>
      <w:r w:rsidR="0062637E" w:rsidRPr="00C365AF">
        <w:rPr>
          <w:rFonts w:ascii="Arial" w:eastAsia="Calibri" w:hAnsi="Arial" w:cs="Arial"/>
          <w:color w:val="000000" w:themeColor="text1"/>
          <w:sz w:val="22"/>
        </w:rPr>
        <w:t xml:space="preserve"> </w:t>
      </w:r>
      <w:r w:rsidR="0062637E">
        <w:rPr>
          <w:rFonts w:ascii="Arial" w:eastAsia="Calibri" w:hAnsi="Arial" w:cs="Arial"/>
          <w:color w:val="000000" w:themeColor="text1"/>
          <w:sz w:val="22"/>
        </w:rPr>
        <w:t>cuatro (4)</w:t>
      </w:r>
      <w:r w:rsidR="0062637E" w:rsidRPr="00C365AF">
        <w:rPr>
          <w:rFonts w:ascii="Arial" w:eastAsia="Calibri" w:hAnsi="Arial" w:cs="Arial"/>
          <w:color w:val="000000" w:themeColor="text1"/>
          <w:sz w:val="22"/>
        </w:rPr>
        <w:t xml:space="preserve"> grupos de contratos</w:t>
      </w:r>
      <w:r w:rsidR="0062637E">
        <w:rPr>
          <w:rStyle w:val="Refdenotaalpie"/>
          <w:rFonts w:ascii="Arial" w:eastAsia="Calibri" w:hAnsi="Arial" w:cs="Arial"/>
          <w:color w:val="000000" w:themeColor="text1"/>
          <w:sz w:val="22"/>
        </w:rPr>
        <w:footnoteReference w:id="11"/>
      </w:r>
      <w:r w:rsidR="0062637E">
        <w:rPr>
          <w:rFonts w:ascii="Arial" w:eastAsia="Calibri" w:hAnsi="Arial" w:cs="Arial"/>
          <w:color w:val="000000" w:themeColor="text1"/>
          <w:sz w:val="22"/>
        </w:rPr>
        <w:t xml:space="preserve">. El </w:t>
      </w:r>
      <w:r w:rsidR="0062637E" w:rsidRPr="00FB3430">
        <w:rPr>
          <w:rFonts w:ascii="Arial" w:eastAsia="Calibri" w:hAnsi="Arial" w:cs="Arial"/>
          <w:i/>
          <w:iCs/>
          <w:color w:val="000000" w:themeColor="text1"/>
          <w:sz w:val="22"/>
        </w:rPr>
        <w:t>primer grupo</w:t>
      </w:r>
      <w:r w:rsidR="0062637E">
        <w:rPr>
          <w:rFonts w:ascii="Arial" w:eastAsia="Calibri" w:hAnsi="Arial" w:cs="Arial"/>
          <w:color w:val="000000" w:themeColor="text1"/>
          <w:sz w:val="22"/>
        </w:rPr>
        <w:t xml:space="preserve"> corresponde a aquellos en los que es obligatorio incluir poderes exorbitantes, formado por aquellos </w:t>
      </w:r>
      <w:r w:rsidR="0062637E" w:rsidRPr="000047EA">
        <w:rPr>
          <w:rFonts w:ascii="Arial" w:eastAsia="Calibri" w:hAnsi="Arial" w:cs="Arial"/>
          <w:color w:val="000000" w:themeColor="text1"/>
          <w:sz w:val="22"/>
        </w:rPr>
        <w:t>que tengan por objeto el ejercicio de una actividad que constituya monopolio estatal, la prestación de servicios públicos</w:t>
      </w:r>
      <w:r w:rsidR="00173F98">
        <w:rPr>
          <w:rFonts w:ascii="Arial" w:eastAsia="Calibri" w:hAnsi="Arial" w:cs="Arial"/>
          <w:color w:val="000000" w:themeColor="text1"/>
          <w:sz w:val="22"/>
        </w:rPr>
        <w:t xml:space="preserve">, </w:t>
      </w:r>
      <w:r w:rsidR="00173F98" w:rsidRPr="00173F98">
        <w:rPr>
          <w:rFonts w:ascii="Arial" w:eastAsia="Calibri" w:hAnsi="Arial" w:cs="Arial"/>
          <w:color w:val="000000" w:themeColor="text1"/>
          <w:sz w:val="22"/>
        </w:rPr>
        <w:t>los contratos relacionados con el programa de alimentación escolar</w:t>
      </w:r>
      <w:r w:rsidR="00173F98">
        <w:rPr>
          <w:rStyle w:val="Refdenotaalpie"/>
          <w:rFonts w:ascii="Arial" w:eastAsia="Calibri" w:hAnsi="Arial" w:cs="Arial"/>
          <w:color w:val="000000" w:themeColor="text1"/>
          <w:sz w:val="22"/>
        </w:rPr>
        <w:footnoteReference w:id="12"/>
      </w:r>
      <w:r w:rsidR="0062637E" w:rsidRPr="000047EA">
        <w:rPr>
          <w:rFonts w:ascii="Arial" w:eastAsia="Calibri" w:hAnsi="Arial" w:cs="Arial"/>
          <w:color w:val="000000" w:themeColor="text1"/>
          <w:sz w:val="22"/>
        </w:rPr>
        <w:t xml:space="preserve"> o la explotación y concesión de bienes del Estado, así como en los contratos de obra</w:t>
      </w:r>
      <w:r w:rsidR="0062637E">
        <w:rPr>
          <w:rFonts w:ascii="Arial" w:eastAsia="Calibri" w:hAnsi="Arial" w:cs="Arial"/>
          <w:color w:val="000000" w:themeColor="text1"/>
          <w:sz w:val="22"/>
        </w:rPr>
        <w:t xml:space="preserve">. En estas tipologías, conforme a la clasificación </w:t>
      </w:r>
      <w:bookmarkStart w:id="9" w:name="_Hlk41077919"/>
      <w:r w:rsidR="0062637E">
        <w:rPr>
          <w:rFonts w:ascii="Arial" w:eastAsia="Calibri" w:hAnsi="Arial" w:cs="Arial"/>
          <w:color w:val="000000" w:themeColor="text1"/>
          <w:sz w:val="22"/>
        </w:rPr>
        <w:t>del artículo 1501 del Código Civil</w:t>
      </w:r>
      <w:bookmarkEnd w:id="9"/>
      <w:r w:rsidR="0062637E">
        <w:rPr>
          <w:rFonts w:ascii="Arial" w:eastAsia="Calibri" w:hAnsi="Arial" w:cs="Arial"/>
          <w:color w:val="000000" w:themeColor="text1"/>
          <w:sz w:val="22"/>
        </w:rPr>
        <w:t>, los poderes corresponden a cláusulas de naturaleza, es decir, aquellas que –frente al silencio del pliego de condiciones o del contrato– forman parte del negocio en virtud de la ley</w:t>
      </w:r>
      <w:r w:rsidR="0062637E">
        <w:rPr>
          <w:rStyle w:val="Refdenotaalpie"/>
          <w:rFonts w:ascii="Arial" w:eastAsia="Calibri" w:hAnsi="Arial" w:cs="Arial"/>
          <w:color w:val="000000" w:themeColor="text1"/>
          <w:sz w:val="22"/>
        </w:rPr>
        <w:footnoteReference w:id="13"/>
      </w:r>
      <w:r w:rsidR="0062637E">
        <w:rPr>
          <w:rFonts w:ascii="Arial" w:eastAsia="Calibri" w:hAnsi="Arial" w:cs="Arial"/>
          <w:color w:val="000000" w:themeColor="text1"/>
          <w:sz w:val="22"/>
        </w:rPr>
        <w:t xml:space="preserve">. Considerando la relación directa de estos contratos con la eficiente prestación de los servicios públicos, los poderes exorbitantes de este grupo son irrenunciables. </w:t>
      </w:r>
    </w:p>
    <w:p w14:paraId="0F56D95F" w14:textId="77777777" w:rsidR="0062637E" w:rsidRDefault="0062637E" w:rsidP="0062637E">
      <w:pPr>
        <w:spacing w:after="120" w:line="276" w:lineRule="auto"/>
        <w:ind w:firstLine="709"/>
        <w:jc w:val="both"/>
        <w:rPr>
          <w:rFonts w:ascii="Arial" w:eastAsia="Calibri" w:hAnsi="Arial" w:cs="Arial"/>
          <w:color w:val="000000" w:themeColor="text1"/>
          <w:sz w:val="22"/>
        </w:rPr>
      </w:pPr>
      <w:r>
        <w:rPr>
          <w:rFonts w:ascii="Arial" w:eastAsia="Calibri" w:hAnsi="Arial" w:cs="Arial"/>
          <w:color w:val="000000" w:themeColor="text1"/>
          <w:sz w:val="22"/>
        </w:rPr>
        <w:t xml:space="preserve">El </w:t>
      </w:r>
      <w:r w:rsidRPr="00FB3430">
        <w:rPr>
          <w:rFonts w:ascii="Arial" w:eastAsia="Calibri" w:hAnsi="Arial" w:cs="Arial"/>
          <w:i/>
          <w:iCs/>
          <w:color w:val="000000" w:themeColor="text1"/>
          <w:sz w:val="22"/>
        </w:rPr>
        <w:t>segundo grupo</w:t>
      </w:r>
      <w:r>
        <w:rPr>
          <w:rFonts w:ascii="Arial" w:eastAsia="Calibri" w:hAnsi="Arial" w:cs="Arial"/>
          <w:color w:val="000000" w:themeColor="text1"/>
          <w:sz w:val="22"/>
        </w:rPr>
        <w:t xml:space="preserve"> está conformado por los contratos en que estas facultades son potestativas, lo cual aplica a los contratos de suministro y de prestación de servicios. Si bien todas las entidades deben cumplir con los fines del artículo 3 de la Ley 80 de 1993, en este caso existe una relación indirecta con la prestación de los servicios públicos, por lo que estas cláusulas no son obligatorias. En este grupo, la ley no suple el silencio del pliego de condiciones o del contrato, pues –conforme al </w:t>
      </w:r>
      <w:r w:rsidRPr="004A5E72">
        <w:rPr>
          <w:rFonts w:ascii="Arial" w:eastAsia="Calibri" w:hAnsi="Arial" w:cs="Arial"/>
          <w:color w:val="000000" w:themeColor="text1"/>
          <w:sz w:val="22"/>
        </w:rPr>
        <w:t>artículo 1501 del Código Civil</w:t>
      </w:r>
      <w:r>
        <w:rPr>
          <w:rFonts w:ascii="Arial" w:eastAsia="Calibri" w:hAnsi="Arial" w:cs="Arial"/>
          <w:color w:val="000000" w:themeColor="text1"/>
          <w:sz w:val="22"/>
        </w:rPr>
        <w:t xml:space="preserve">– son elementos accidentales que requieren pacto expreso. </w:t>
      </w:r>
    </w:p>
    <w:p w14:paraId="11DDD04E" w14:textId="45DF3DD4" w:rsidR="0062637E" w:rsidRDefault="0062637E" w:rsidP="0062637E">
      <w:pPr>
        <w:spacing w:line="276" w:lineRule="auto"/>
        <w:ind w:firstLine="709"/>
        <w:jc w:val="both"/>
        <w:rPr>
          <w:rFonts w:ascii="Arial" w:eastAsia="Calibri" w:hAnsi="Arial" w:cs="Arial"/>
          <w:color w:val="000000" w:themeColor="text1"/>
          <w:sz w:val="22"/>
        </w:rPr>
      </w:pPr>
      <w:r>
        <w:rPr>
          <w:rFonts w:ascii="Arial" w:eastAsia="Calibri" w:hAnsi="Arial" w:cs="Arial"/>
          <w:color w:val="000000" w:themeColor="text1"/>
          <w:sz w:val="22"/>
        </w:rPr>
        <w:lastRenderedPageBreak/>
        <w:t xml:space="preserve">El </w:t>
      </w:r>
      <w:r w:rsidRPr="00FB3430">
        <w:rPr>
          <w:rFonts w:ascii="Arial" w:eastAsia="Calibri" w:hAnsi="Arial" w:cs="Arial"/>
          <w:i/>
          <w:iCs/>
          <w:color w:val="000000" w:themeColor="text1"/>
          <w:sz w:val="22"/>
        </w:rPr>
        <w:t>tercer grupo</w:t>
      </w:r>
      <w:r>
        <w:rPr>
          <w:rFonts w:ascii="Arial" w:eastAsia="Calibri" w:hAnsi="Arial" w:cs="Arial"/>
          <w:color w:val="000000" w:themeColor="text1"/>
          <w:sz w:val="22"/>
        </w:rPr>
        <w:t xml:space="preserve"> corresponde a los contratos del parágrafo del artículo 14 del Estatuto General donde la ley prohíbe pactar estos poderes, so pena de nulidad absoluta por objeto ilícito. Finalmente, el </w:t>
      </w:r>
      <w:r w:rsidRPr="00FB3430">
        <w:rPr>
          <w:rFonts w:ascii="Arial" w:eastAsia="Calibri" w:hAnsi="Arial" w:cs="Arial"/>
          <w:i/>
          <w:iCs/>
          <w:color w:val="000000" w:themeColor="text1"/>
          <w:sz w:val="22"/>
        </w:rPr>
        <w:t>cuarto grupo</w:t>
      </w:r>
      <w:r>
        <w:rPr>
          <w:rFonts w:ascii="Arial" w:eastAsia="Calibri" w:hAnsi="Arial" w:cs="Arial"/>
          <w:color w:val="000000" w:themeColor="text1"/>
          <w:sz w:val="22"/>
        </w:rPr>
        <w:t xml:space="preserve"> está conformado por las tipologías que no se encuentran en alguno de los tres (3) grupos anteriormente comentados. Dado que la ley autoriza su ejercicio, no es posible fundamentar estos poderes en la autonomía de la voluntad. Por tanto, se entiende también están prohibidos en este último grupo, </w:t>
      </w:r>
      <w:r w:rsidR="009462D0">
        <w:rPr>
          <w:rFonts w:ascii="Arial" w:eastAsia="Calibri" w:hAnsi="Arial" w:cs="Arial"/>
          <w:color w:val="000000" w:themeColor="text1"/>
          <w:sz w:val="22"/>
        </w:rPr>
        <w:t>tal como lo ha señalado el Consejo de Estado, en los siguientes términos</w:t>
      </w:r>
      <w:r>
        <w:rPr>
          <w:rFonts w:ascii="Arial" w:eastAsia="Calibri" w:hAnsi="Arial" w:cs="Arial"/>
          <w:color w:val="000000" w:themeColor="text1"/>
          <w:sz w:val="22"/>
        </w:rPr>
        <w:t xml:space="preserve">:    </w:t>
      </w:r>
    </w:p>
    <w:p w14:paraId="058CFC0F" w14:textId="77777777" w:rsidR="0062637E" w:rsidRDefault="0062637E" w:rsidP="0062637E">
      <w:pPr>
        <w:spacing w:line="276" w:lineRule="auto"/>
        <w:ind w:firstLine="709"/>
        <w:jc w:val="both"/>
        <w:rPr>
          <w:rFonts w:ascii="Arial" w:eastAsia="Calibri" w:hAnsi="Arial" w:cs="Arial"/>
          <w:color w:val="000000" w:themeColor="text1"/>
          <w:sz w:val="22"/>
        </w:rPr>
      </w:pPr>
    </w:p>
    <w:p w14:paraId="0CAE7603" w14:textId="77777777" w:rsidR="0062637E" w:rsidRPr="00FA08DE" w:rsidRDefault="0062637E" w:rsidP="0062637E">
      <w:pPr>
        <w:ind w:left="709" w:right="709"/>
        <w:jc w:val="both"/>
        <w:rPr>
          <w:rFonts w:ascii="Arial" w:eastAsia="Calibri" w:hAnsi="Arial" w:cs="Arial"/>
          <w:color w:val="000000" w:themeColor="text1"/>
          <w:sz w:val="21"/>
          <w:szCs w:val="21"/>
        </w:rPr>
      </w:pPr>
      <w:r w:rsidRPr="00FA08DE">
        <w:rPr>
          <w:rFonts w:ascii="Arial" w:eastAsia="Calibri" w:hAnsi="Arial" w:cs="Arial"/>
          <w:color w:val="000000" w:themeColor="text1"/>
          <w:sz w:val="21"/>
          <w:szCs w:val="21"/>
        </w:rPr>
        <w:t>De un lado […], este tipo de poderes requiere, cuando menos, autorización legal para su inclusión y posterior utilización, debido a la naturaleza que tienen estas prerrogativas -por su carácter extraordinario e inusual, en relación con el derecho común-, y, de otro, […] el legislador es el único que puede disponer competencias para la expedición de actos administrativos en desarrollo de los contratos estatales, actos que, como es sabido, constituyen el mecanismo de ejercicio de las exorbitancias contractuales</w:t>
      </w:r>
      <w:r>
        <w:rPr>
          <w:rStyle w:val="Refdenotaalpie"/>
          <w:rFonts w:ascii="Arial" w:eastAsia="Calibri" w:hAnsi="Arial" w:cs="Arial"/>
          <w:color w:val="000000" w:themeColor="text1"/>
          <w:sz w:val="21"/>
          <w:szCs w:val="21"/>
        </w:rPr>
        <w:footnoteReference w:id="14"/>
      </w:r>
      <w:r>
        <w:rPr>
          <w:rFonts w:ascii="Arial" w:eastAsia="Calibri" w:hAnsi="Arial" w:cs="Arial"/>
          <w:color w:val="000000" w:themeColor="text1"/>
          <w:sz w:val="21"/>
          <w:szCs w:val="21"/>
        </w:rPr>
        <w:t>.</w:t>
      </w:r>
    </w:p>
    <w:p w14:paraId="1BF20B29" w14:textId="77777777" w:rsidR="0062637E" w:rsidRDefault="0062637E" w:rsidP="0062637E">
      <w:pPr>
        <w:spacing w:line="276" w:lineRule="auto"/>
        <w:jc w:val="both"/>
        <w:rPr>
          <w:rFonts w:ascii="Arial" w:eastAsia="Calibri" w:hAnsi="Arial" w:cs="Arial"/>
          <w:color w:val="000000" w:themeColor="text1"/>
          <w:sz w:val="22"/>
        </w:rPr>
      </w:pPr>
    </w:p>
    <w:p w14:paraId="355B38D8" w14:textId="36E8CBE7" w:rsidR="000F1CD9" w:rsidRDefault="0062637E" w:rsidP="0005644E">
      <w:pPr>
        <w:spacing w:line="276" w:lineRule="auto"/>
        <w:ind w:firstLine="708"/>
        <w:jc w:val="both"/>
        <w:rPr>
          <w:rFonts w:ascii="Arial" w:eastAsia="Calibri" w:hAnsi="Arial" w:cs="Arial"/>
          <w:color w:val="000000" w:themeColor="text1"/>
          <w:sz w:val="22"/>
        </w:rPr>
      </w:pPr>
      <w:r>
        <w:rPr>
          <w:rFonts w:ascii="Arial" w:eastAsia="Calibri" w:hAnsi="Arial" w:cs="Arial"/>
          <w:color w:val="000000" w:themeColor="text1"/>
          <w:sz w:val="22"/>
        </w:rPr>
        <w:t xml:space="preserve">De acuerdo con el </w:t>
      </w:r>
      <w:r w:rsidR="000F094F">
        <w:rPr>
          <w:rFonts w:ascii="Arial" w:eastAsia="Calibri" w:hAnsi="Arial" w:cs="Arial"/>
          <w:color w:val="000000" w:themeColor="text1"/>
          <w:sz w:val="22"/>
        </w:rPr>
        <w:t xml:space="preserve">parágrafo del </w:t>
      </w:r>
      <w:r>
        <w:rPr>
          <w:rFonts w:ascii="Arial" w:eastAsia="Calibri" w:hAnsi="Arial" w:cs="Arial"/>
          <w:color w:val="000000" w:themeColor="text1"/>
          <w:sz w:val="22"/>
        </w:rPr>
        <w:t>artículo 14 de la Ley 80 de 1993, el régimen de las</w:t>
      </w:r>
      <w:r w:rsidR="00C2646C">
        <w:rPr>
          <w:rFonts w:ascii="Arial" w:eastAsia="Calibri" w:hAnsi="Arial" w:cs="Arial"/>
          <w:color w:val="000000" w:themeColor="text1"/>
          <w:sz w:val="22"/>
        </w:rPr>
        <w:t xml:space="preserve"> cláusulas </w:t>
      </w:r>
      <w:r w:rsidR="007D2DEF">
        <w:rPr>
          <w:rFonts w:ascii="Arial" w:eastAsia="Calibri" w:hAnsi="Arial" w:cs="Arial"/>
          <w:color w:val="000000" w:themeColor="text1"/>
          <w:sz w:val="22"/>
        </w:rPr>
        <w:t>exorbitantes</w:t>
      </w:r>
      <w:r>
        <w:rPr>
          <w:rFonts w:ascii="Arial" w:eastAsia="Calibri" w:hAnsi="Arial" w:cs="Arial"/>
          <w:color w:val="000000" w:themeColor="text1"/>
          <w:sz w:val="22"/>
        </w:rPr>
        <w:t xml:space="preserve"> </w:t>
      </w:r>
      <w:r w:rsidR="008A4A59">
        <w:rPr>
          <w:rFonts w:ascii="Arial" w:eastAsia="Calibri" w:hAnsi="Arial" w:cs="Arial"/>
          <w:color w:val="000000" w:themeColor="text1"/>
          <w:sz w:val="22"/>
        </w:rPr>
        <w:t>d</w:t>
      </w:r>
      <w:r w:rsidR="008D6886">
        <w:rPr>
          <w:rFonts w:ascii="Arial" w:eastAsia="Calibri" w:hAnsi="Arial" w:cs="Arial"/>
          <w:color w:val="000000" w:themeColor="text1"/>
          <w:sz w:val="22"/>
        </w:rPr>
        <w:t>el</w:t>
      </w:r>
      <w:r w:rsidR="009A10DA">
        <w:rPr>
          <w:rFonts w:ascii="Arial" w:eastAsia="Calibri" w:hAnsi="Arial" w:cs="Arial"/>
          <w:color w:val="000000" w:themeColor="text1"/>
          <w:sz w:val="22"/>
        </w:rPr>
        <w:t xml:space="preserve"> objeto de la consulta</w:t>
      </w:r>
      <w:r>
        <w:rPr>
          <w:rFonts w:ascii="Arial" w:eastAsia="Calibri" w:hAnsi="Arial" w:cs="Arial"/>
          <w:color w:val="000000" w:themeColor="text1"/>
          <w:sz w:val="22"/>
        </w:rPr>
        <w:t xml:space="preserve"> corresponde al </w:t>
      </w:r>
      <w:r w:rsidR="004126E7">
        <w:rPr>
          <w:rFonts w:ascii="Arial" w:eastAsia="Calibri" w:hAnsi="Arial" w:cs="Arial"/>
          <w:i/>
          <w:iCs/>
          <w:color w:val="000000" w:themeColor="text1"/>
          <w:sz w:val="22"/>
        </w:rPr>
        <w:t>tercer</w:t>
      </w:r>
      <w:r w:rsidRPr="00FA08DE">
        <w:rPr>
          <w:rFonts w:ascii="Arial" w:eastAsia="Calibri" w:hAnsi="Arial" w:cs="Arial"/>
          <w:i/>
          <w:iCs/>
          <w:color w:val="000000" w:themeColor="text1"/>
          <w:sz w:val="22"/>
        </w:rPr>
        <w:t xml:space="preserve"> grupo</w:t>
      </w:r>
      <w:r w:rsidR="009A10DA">
        <w:rPr>
          <w:rFonts w:ascii="Arial" w:eastAsia="Calibri" w:hAnsi="Arial" w:cs="Arial"/>
          <w:color w:val="000000" w:themeColor="text1"/>
          <w:sz w:val="22"/>
        </w:rPr>
        <w:t>, pues dispone que «</w:t>
      </w:r>
      <w:r w:rsidR="009A10DA" w:rsidRPr="009A10DA">
        <w:rPr>
          <w:rFonts w:ascii="Arial" w:eastAsia="Calibri" w:hAnsi="Arial" w:cs="Arial"/>
          <w:color w:val="000000" w:themeColor="text1"/>
          <w:sz w:val="22"/>
        </w:rPr>
        <w:t xml:space="preserve">En los contratos </w:t>
      </w:r>
      <w:r w:rsidR="009A10DA">
        <w:rPr>
          <w:rFonts w:ascii="Arial" w:eastAsia="Calibri" w:hAnsi="Arial" w:cs="Arial"/>
          <w:color w:val="000000" w:themeColor="text1"/>
          <w:sz w:val="22"/>
        </w:rPr>
        <w:t>[…]</w:t>
      </w:r>
      <w:r w:rsidR="009A10DA" w:rsidRPr="009A10DA">
        <w:rPr>
          <w:rFonts w:ascii="Arial" w:eastAsia="Calibri" w:hAnsi="Arial" w:cs="Arial"/>
          <w:color w:val="000000" w:themeColor="text1"/>
          <w:sz w:val="22"/>
        </w:rPr>
        <w:t xml:space="preserve"> interadministrativos</w:t>
      </w:r>
      <w:r w:rsidR="009A10DA">
        <w:rPr>
          <w:rFonts w:ascii="Arial" w:eastAsia="Calibri" w:hAnsi="Arial" w:cs="Arial"/>
          <w:color w:val="000000" w:themeColor="text1"/>
          <w:sz w:val="22"/>
        </w:rPr>
        <w:t xml:space="preserve"> […]</w:t>
      </w:r>
      <w:r w:rsidR="009A10DA" w:rsidRPr="009A10DA">
        <w:rPr>
          <w:rFonts w:ascii="Arial" w:eastAsia="Calibri" w:hAnsi="Arial" w:cs="Arial"/>
          <w:color w:val="000000" w:themeColor="text1"/>
          <w:sz w:val="22"/>
        </w:rPr>
        <w:t xml:space="preserve"> se prescindirá de la utilización de las cláusulas o estipulaciones excepcionales</w:t>
      </w:r>
      <w:r w:rsidR="009A10DA">
        <w:rPr>
          <w:rFonts w:ascii="Arial" w:eastAsia="Calibri" w:hAnsi="Arial" w:cs="Arial"/>
          <w:color w:val="000000" w:themeColor="text1"/>
          <w:sz w:val="22"/>
        </w:rPr>
        <w:t>»</w:t>
      </w:r>
      <w:r>
        <w:rPr>
          <w:rFonts w:ascii="Arial" w:eastAsia="Calibri" w:hAnsi="Arial" w:cs="Arial"/>
          <w:color w:val="000000" w:themeColor="text1"/>
          <w:sz w:val="22"/>
        </w:rPr>
        <w:t>.</w:t>
      </w:r>
      <w:r w:rsidR="00307B93">
        <w:rPr>
          <w:rFonts w:ascii="Arial" w:eastAsia="Calibri" w:hAnsi="Arial" w:cs="Arial"/>
          <w:color w:val="000000" w:themeColor="text1"/>
          <w:sz w:val="22"/>
        </w:rPr>
        <w:t xml:space="preserve"> </w:t>
      </w:r>
      <w:r w:rsidR="004126E7">
        <w:rPr>
          <w:rFonts w:ascii="Arial" w:eastAsia="Calibri" w:hAnsi="Arial" w:cs="Arial"/>
          <w:color w:val="000000" w:themeColor="text1"/>
          <w:sz w:val="22"/>
        </w:rPr>
        <w:t xml:space="preserve">Es decir, dentro de esta tipología </w:t>
      </w:r>
      <w:r w:rsidR="00771133">
        <w:rPr>
          <w:rFonts w:ascii="Arial" w:eastAsia="Calibri" w:hAnsi="Arial" w:cs="Arial"/>
          <w:color w:val="000000" w:themeColor="text1"/>
          <w:sz w:val="22"/>
        </w:rPr>
        <w:t>las entidades carecen de competencia para declarar la caducidad</w:t>
      </w:r>
      <w:r w:rsidR="00BB2D75">
        <w:rPr>
          <w:rFonts w:ascii="Arial" w:eastAsia="Calibri" w:hAnsi="Arial" w:cs="Arial"/>
          <w:color w:val="000000" w:themeColor="text1"/>
          <w:sz w:val="22"/>
        </w:rPr>
        <w:t xml:space="preserve"> o para</w:t>
      </w:r>
      <w:r w:rsidR="00E66D53">
        <w:rPr>
          <w:rFonts w:ascii="Arial" w:eastAsia="Calibri" w:hAnsi="Arial" w:cs="Arial"/>
          <w:color w:val="000000" w:themeColor="text1"/>
          <w:sz w:val="22"/>
        </w:rPr>
        <w:t xml:space="preserve"> </w:t>
      </w:r>
      <w:r w:rsidR="00771133" w:rsidRPr="00771133">
        <w:rPr>
          <w:rFonts w:ascii="Arial" w:eastAsia="Calibri" w:hAnsi="Arial" w:cs="Arial"/>
          <w:color w:val="000000" w:themeColor="text1"/>
          <w:sz w:val="22"/>
        </w:rPr>
        <w:t>termina</w:t>
      </w:r>
      <w:r w:rsidR="00BB2D75">
        <w:rPr>
          <w:rFonts w:ascii="Arial" w:eastAsia="Calibri" w:hAnsi="Arial" w:cs="Arial"/>
          <w:color w:val="000000" w:themeColor="text1"/>
          <w:sz w:val="22"/>
        </w:rPr>
        <w:t>r</w:t>
      </w:r>
      <w:r w:rsidR="00771133" w:rsidRPr="00771133">
        <w:rPr>
          <w:rFonts w:ascii="Arial" w:eastAsia="Calibri" w:hAnsi="Arial" w:cs="Arial"/>
          <w:color w:val="000000" w:themeColor="text1"/>
          <w:sz w:val="22"/>
        </w:rPr>
        <w:t>, interpret</w:t>
      </w:r>
      <w:r w:rsidR="00BB2D75">
        <w:rPr>
          <w:rFonts w:ascii="Arial" w:eastAsia="Calibri" w:hAnsi="Arial" w:cs="Arial"/>
          <w:color w:val="000000" w:themeColor="text1"/>
          <w:sz w:val="22"/>
        </w:rPr>
        <w:t>ar</w:t>
      </w:r>
      <w:r w:rsidR="00771133" w:rsidRPr="00771133">
        <w:rPr>
          <w:rFonts w:ascii="Arial" w:eastAsia="Calibri" w:hAnsi="Arial" w:cs="Arial"/>
          <w:color w:val="000000" w:themeColor="text1"/>
          <w:sz w:val="22"/>
        </w:rPr>
        <w:t xml:space="preserve"> y</w:t>
      </w:r>
      <w:r w:rsidR="00771133">
        <w:rPr>
          <w:rFonts w:ascii="Arial" w:eastAsia="Calibri" w:hAnsi="Arial" w:cs="Arial"/>
          <w:color w:val="000000" w:themeColor="text1"/>
          <w:sz w:val="22"/>
        </w:rPr>
        <w:t xml:space="preserve"> </w:t>
      </w:r>
      <w:r w:rsidR="00771133" w:rsidRPr="00771133">
        <w:rPr>
          <w:rFonts w:ascii="Arial" w:eastAsia="Calibri" w:hAnsi="Arial" w:cs="Arial"/>
          <w:color w:val="000000" w:themeColor="text1"/>
          <w:sz w:val="22"/>
        </w:rPr>
        <w:t>modifica</w:t>
      </w:r>
      <w:r w:rsidR="00BB2D75">
        <w:rPr>
          <w:rFonts w:ascii="Arial" w:eastAsia="Calibri" w:hAnsi="Arial" w:cs="Arial"/>
          <w:color w:val="000000" w:themeColor="text1"/>
          <w:sz w:val="22"/>
        </w:rPr>
        <w:t>r</w:t>
      </w:r>
      <w:r w:rsidR="00771133" w:rsidRPr="00771133">
        <w:rPr>
          <w:rFonts w:ascii="Arial" w:eastAsia="Calibri" w:hAnsi="Arial" w:cs="Arial"/>
          <w:color w:val="000000" w:themeColor="text1"/>
          <w:sz w:val="22"/>
        </w:rPr>
        <w:t xml:space="preserve"> unilateral</w:t>
      </w:r>
      <w:r w:rsidR="00BB2D75">
        <w:rPr>
          <w:rFonts w:ascii="Arial" w:eastAsia="Calibri" w:hAnsi="Arial" w:cs="Arial"/>
          <w:color w:val="000000" w:themeColor="text1"/>
          <w:sz w:val="22"/>
        </w:rPr>
        <w:t>mente el contrato</w:t>
      </w:r>
      <w:r w:rsidR="000A4835">
        <w:rPr>
          <w:rFonts w:ascii="Arial" w:eastAsia="Calibri" w:hAnsi="Arial" w:cs="Arial"/>
          <w:color w:val="000000" w:themeColor="text1"/>
          <w:sz w:val="22"/>
        </w:rPr>
        <w:t>.</w:t>
      </w:r>
      <w:r w:rsidR="00DE70DC">
        <w:rPr>
          <w:rFonts w:ascii="Arial" w:eastAsia="Calibri" w:hAnsi="Arial" w:cs="Arial"/>
          <w:color w:val="000000" w:themeColor="text1"/>
          <w:sz w:val="22"/>
        </w:rPr>
        <w:t xml:space="preserve"> Por tanto, en el caso específico</w:t>
      </w:r>
      <w:r w:rsidR="004B0D18">
        <w:rPr>
          <w:rFonts w:ascii="Arial" w:eastAsia="Calibri" w:hAnsi="Arial" w:cs="Arial"/>
          <w:color w:val="000000" w:themeColor="text1"/>
          <w:sz w:val="22"/>
        </w:rPr>
        <w:t xml:space="preserve"> de la interpretación unilateral</w:t>
      </w:r>
      <w:r w:rsidR="00B659C3">
        <w:rPr>
          <w:rFonts w:ascii="Arial" w:eastAsia="Calibri" w:hAnsi="Arial" w:cs="Arial"/>
          <w:color w:val="000000" w:themeColor="text1"/>
          <w:sz w:val="22"/>
        </w:rPr>
        <w:t xml:space="preserve">, dicha potestad </w:t>
      </w:r>
      <w:r w:rsidR="0067231F">
        <w:rPr>
          <w:rFonts w:ascii="Arial" w:eastAsia="Calibri" w:hAnsi="Arial" w:cs="Arial"/>
          <w:color w:val="000000" w:themeColor="text1"/>
          <w:sz w:val="22"/>
        </w:rPr>
        <w:t>–al igual que las demás mencionadas–</w:t>
      </w:r>
      <w:r w:rsidR="00A967FE">
        <w:rPr>
          <w:rFonts w:ascii="Arial" w:eastAsia="Calibri" w:hAnsi="Arial" w:cs="Arial"/>
          <w:color w:val="000000" w:themeColor="text1"/>
          <w:sz w:val="22"/>
        </w:rPr>
        <w:t xml:space="preserve"> </w:t>
      </w:r>
      <w:r w:rsidR="00B659C3">
        <w:rPr>
          <w:rFonts w:ascii="Arial" w:eastAsia="Calibri" w:hAnsi="Arial" w:cs="Arial"/>
          <w:color w:val="000000" w:themeColor="text1"/>
          <w:sz w:val="22"/>
        </w:rPr>
        <w:t>no puede incorporarse</w:t>
      </w:r>
      <w:r w:rsidR="001B4082">
        <w:rPr>
          <w:rFonts w:ascii="Arial" w:eastAsia="Calibri" w:hAnsi="Arial" w:cs="Arial"/>
          <w:color w:val="000000" w:themeColor="text1"/>
          <w:sz w:val="22"/>
        </w:rPr>
        <w:t xml:space="preserve"> como un elemento de naturaleza ni meramente accidental del negocio jurídico</w:t>
      </w:r>
      <w:r w:rsidR="0067231F">
        <w:rPr>
          <w:rFonts w:ascii="Arial" w:eastAsia="Calibri" w:hAnsi="Arial" w:cs="Arial"/>
          <w:color w:val="000000" w:themeColor="text1"/>
          <w:sz w:val="22"/>
        </w:rPr>
        <w:t>.</w:t>
      </w:r>
      <w:r w:rsidR="004B0D18">
        <w:rPr>
          <w:rFonts w:ascii="Arial" w:eastAsia="Calibri" w:hAnsi="Arial" w:cs="Arial"/>
          <w:color w:val="000000" w:themeColor="text1"/>
          <w:sz w:val="22"/>
        </w:rPr>
        <w:t xml:space="preserve"> </w:t>
      </w:r>
      <w:r w:rsidR="00DE70DC">
        <w:rPr>
          <w:rFonts w:ascii="Arial" w:eastAsia="Calibri" w:hAnsi="Arial" w:cs="Arial"/>
          <w:color w:val="000000" w:themeColor="text1"/>
          <w:sz w:val="22"/>
        </w:rPr>
        <w:t xml:space="preserve"> </w:t>
      </w:r>
      <w:r w:rsidR="004126E7">
        <w:rPr>
          <w:rFonts w:ascii="Arial" w:eastAsia="Calibri" w:hAnsi="Arial" w:cs="Arial"/>
          <w:color w:val="000000" w:themeColor="text1"/>
          <w:sz w:val="22"/>
        </w:rPr>
        <w:t xml:space="preserve"> </w:t>
      </w:r>
    </w:p>
    <w:p w14:paraId="2D136827" w14:textId="77777777" w:rsidR="0005644E" w:rsidRDefault="0005644E" w:rsidP="005C5011">
      <w:pPr>
        <w:spacing w:line="276" w:lineRule="auto"/>
        <w:ind w:firstLine="708"/>
        <w:jc w:val="both"/>
        <w:rPr>
          <w:rFonts w:ascii="Arial" w:eastAsia="Calibri" w:hAnsi="Arial" w:cs="Arial"/>
          <w:color w:val="000000" w:themeColor="text1"/>
          <w:sz w:val="22"/>
        </w:rPr>
      </w:pPr>
    </w:p>
    <w:p w14:paraId="60BDFF90" w14:textId="538C1BB9" w:rsidR="000F1CD9" w:rsidRPr="000F1CD9" w:rsidRDefault="000F1CD9" w:rsidP="000F1CD9">
      <w:pPr>
        <w:spacing w:line="276" w:lineRule="auto"/>
        <w:jc w:val="both"/>
        <w:rPr>
          <w:rFonts w:ascii="Arial" w:eastAsia="Batang" w:hAnsi="Arial" w:cs="Arial"/>
          <w:b/>
          <w:bCs/>
          <w:sz w:val="22"/>
        </w:rPr>
      </w:pPr>
      <w:r w:rsidRPr="000F1CD9">
        <w:rPr>
          <w:rFonts w:ascii="Arial" w:eastAsia="Batang" w:hAnsi="Arial" w:cs="Arial"/>
          <w:b/>
          <w:bCs/>
          <w:sz w:val="22"/>
        </w:rPr>
        <w:t>2.</w:t>
      </w:r>
      <w:r w:rsidR="003C3B97">
        <w:rPr>
          <w:rFonts w:ascii="Arial" w:eastAsia="Batang" w:hAnsi="Arial" w:cs="Arial"/>
          <w:b/>
          <w:bCs/>
          <w:sz w:val="22"/>
        </w:rPr>
        <w:t>3</w:t>
      </w:r>
      <w:r w:rsidRPr="000F1CD9">
        <w:rPr>
          <w:rFonts w:ascii="Arial" w:eastAsia="Batang" w:hAnsi="Arial" w:cs="Arial"/>
          <w:b/>
          <w:bCs/>
          <w:sz w:val="22"/>
        </w:rPr>
        <w:t xml:space="preserve">. </w:t>
      </w:r>
      <w:r w:rsidR="00023EEA">
        <w:rPr>
          <w:rFonts w:ascii="Arial" w:eastAsia="Batang" w:hAnsi="Arial" w:cs="Arial"/>
          <w:b/>
          <w:bCs/>
          <w:sz w:val="22"/>
        </w:rPr>
        <w:t>Criterios para interpretar el sentido y alcance de las cláusulas contractuales</w:t>
      </w:r>
    </w:p>
    <w:p w14:paraId="74022814" w14:textId="77777777" w:rsidR="000F1CD9" w:rsidRPr="000F1CD9" w:rsidRDefault="000F1CD9" w:rsidP="000F1CD9">
      <w:pPr>
        <w:spacing w:line="276" w:lineRule="auto"/>
        <w:jc w:val="both"/>
        <w:rPr>
          <w:rFonts w:ascii="Arial" w:eastAsia="Batang" w:hAnsi="Arial" w:cs="Arial"/>
          <w:b/>
          <w:bCs/>
          <w:sz w:val="22"/>
        </w:rPr>
      </w:pPr>
    </w:p>
    <w:p w14:paraId="0DF2FE20" w14:textId="1DDCDAE5" w:rsidR="00AC3CE7" w:rsidRPr="00537743" w:rsidRDefault="00C2075B" w:rsidP="005C5011">
      <w:pPr>
        <w:spacing w:after="120" w:line="276" w:lineRule="auto"/>
        <w:jc w:val="both"/>
        <w:rPr>
          <w:rFonts w:ascii="Arial" w:eastAsia="Batang" w:hAnsi="Arial" w:cs="Arial"/>
          <w:sz w:val="22"/>
          <w:lang w:val="es-ES"/>
        </w:rPr>
      </w:pPr>
      <w:r w:rsidRPr="00537743">
        <w:rPr>
          <w:rFonts w:ascii="Arial" w:eastAsia="Batang" w:hAnsi="Arial" w:cs="Arial"/>
          <w:sz w:val="22"/>
          <w:lang w:val="es-ES"/>
        </w:rPr>
        <w:t xml:space="preserve">Considerando </w:t>
      </w:r>
      <w:r w:rsidR="00D94238" w:rsidRPr="00537743">
        <w:rPr>
          <w:rFonts w:ascii="Arial" w:eastAsia="Batang" w:hAnsi="Arial" w:cs="Arial"/>
          <w:sz w:val="22"/>
          <w:lang w:val="es-ES"/>
        </w:rPr>
        <w:t xml:space="preserve">que no es posible </w:t>
      </w:r>
      <w:r w:rsidR="00CE040F" w:rsidRPr="00537743">
        <w:rPr>
          <w:rFonts w:ascii="Arial" w:eastAsia="Batang" w:hAnsi="Arial" w:cs="Arial"/>
          <w:sz w:val="22"/>
          <w:lang w:val="es-ES"/>
        </w:rPr>
        <w:t>interpretar unilateralmente los contratos interadministrativos</w:t>
      </w:r>
      <w:r w:rsidR="006311D3" w:rsidRPr="00537743">
        <w:rPr>
          <w:rFonts w:ascii="Arial" w:eastAsia="Batang" w:hAnsi="Arial" w:cs="Arial"/>
          <w:sz w:val="22"/>
          <w:lang w:val="es-ES"/>
        </w:rPr>
        <w:t xml:space="preserve">, salvo que exista algún acuerdo entre las partes sobre el </w:t>
      </w:r>
      <w:r w:rsidR="00354A85" w:rsidRPr="00537743">
        <w:rPr>
          <w:rFonts w:ascii="Arial" w:eastAsia="Batang" w:hAnsi="Arial" w:cs="Arial"/>
          <w:sz w:val="22"/>
          <w:lang w:val="es-ES"/>
        </w:rPr>
        <w:t>alcance de las cláusulas que lo componen</w:t>
      </w:r>
      <w:r w:rsidR="004D474D" w:rsidRPr="00537743">
        <w:rPr>
          <w:rFonts w:ascii="Arial" w:eastAsia="Batang" w:hAnsi="Arial" w:cs="Arial"/>
          <w:sz w:val="22"/>
          <w:lang w:val="es-ES"/>
        </w:rPr>
        <w:t>, corresponde al juez del contrato resolver cualquier controversia</w:t>
      </w:r>
      <w:r w:rsidR="00DE3592" w:rsidRPr="00537743">
        <w:rPr>
          <w:rFonts w:ascii="Arial" w:eastAsia="Batang" w:hAnsi="Arial" w:cs="Arial"/>
          <w:sz w:val="22"/>
          <w:lang w:val="es-ES"/>
        </w:rPr>
        <w:t xml:space="preserve"> sobre la interpretación de sus estipulaciones</w:t>
      </w:r>
      <w:r w:rsidR="00BB64F0" w:rsidRPr="00537743">
        <w:rPr>
          <w:rFonts w:ascii="Arial" w:eastAsia="Batang" w:hAnsi="Arial" w:cs="Arial"/>
          <w:sz w:val="22"/>
          <w:lang w:val="es-ES"/>
        </w:rPr>
        <w:t xml:space="preserve">. </w:t>
      </w:r>
      <w:r w:rsidR="00F4425E" w:rsidRPr="00537743">
        <w:rPr>
          <w:rFonts w:ascii="Arial" w:eastAsia="Batang" w:hAnsi="Arial" w:cs="Arial"/>
          <w:sz w:val="22"/>
          <w:lang w:val="es-ES"/>
        </w:rPr>
        <w:t>C</w:t>
      </w:r>
      <w:r w:rsidR="00BB64F0" w:rsidRPr="00537743">
        <w:rPr>
          <w:rFonts w:ascii="Arial" w:eastAsia="Batang" w:hAnsi="Arial" w:cs="Arial"/>
          <w:sz w:val="22"/>
          <w:lang w:val="es-ES"/>
        </w:rPr>
        <w:t>omo explica la doctrina, «</w:t>
      </w:r>
      <w:r w:rsidR="00D9082A" w:rsidRPr="00537743">
        <w:rPr>
          <w:rFonts w:ascii="Arial" w:eastAsia="Batang" w:hAnsi="Arial" w:cs="Arial"/>
          <w:sz w:val="22"/>
          <w:lang w:val="es-ES"/>
        </w:rPr>
        <w:t>Interpretar un acto jurídico</w:t>
      </w:r>
      <w:r w:rsidR="00DA5C6B" w:rsidRPr="00537743">
        <w:rPr>
          <w:rFonts w:ascii="Arial" w:eastAsia="Batang" w:hAnsi="Arial" w:cs="Arial"/>
          <w:sz w:val="22"/>
          <w:lang w:val="es-ES"/>
        </w:rPr>
        <w:t xml:space="preserve"> es averiguar el verdadero sentido y el alcance de sus estipulaciones</w:t>
      </w:r>
      <w:r w:rsidR="00F24F9F" w:rsidRPr="00537743">
        <w:rPr>
          <w:rFonts w:ascii="Arial" w:eastAsia="Batang" w:hAnsi="Arial" w:cs="Arial"/>
          <w:sz w:val="22"/>
          <w:lang w:val="es-ES"/>
        </w:rPr>
        <w:t>. Quienes tiene que pronunciarse sobre un acto jurídico, especialmente lo</w:t>
      </w:r>
      <w:r w:rsidR="00F71FF8" w:rsidRPr="00537743">
        <w:rPr>
          <w:rFonts w:ascii="Arial" w:eastAsia="Batang" w:hAnsi="Arial" w:cs="Arial"/>
          <w:sz w:val="22"/>
          <w:lang w:val="es-ES"/>
        </w:rPr>
        <w:t>s</w:t>
      </w:r>
      <w:r w:rsidR="00F24F9F" w:rsidRPr="00537743">
        <w:rPr>
          <w:rFonts w:ascii="Arial" w:eastAsia="Batang" w:hAnsi="Arial" w:cs="Arial"/>
          <w:sz w:val="22"/>
          <w:lang w:val="es-ES"/>
        </w:rPr>
        <w:t xml:space="preserve"> jueces llamados a </w:t>
      </w:r>
      <w:proofErr w:type="gramStart"/>
      <w:r w:rsidR="00F24F9F" w:rsidRPr="00537743">
        <w:rPr>
          <w:rFonts w:ascii="Arial" w:eastAsia="Batang" w:hAnsi="Arial" w:cs="Arial"/>
          <w:sz w:val="22"/>
          <w:lang w:val="es-ES"/>
        </w:rPr>
        <w:t>aplicarlo</w:t>
      </w:r>
      <w:r w:rsidR="0004759C" w:rsidRPr="00537743">
        <w:rPr>
          <w:rFonts w:ascii="Arial" w:eastAsia="Batang" w:hAnsi="Arial" w:cs="Arial"/>
          <w:sz w:val="22"/>
          <w:lang w:val="es-ES"/>
        </w:rPr>
        <w:t>,</w:t>
      </w:r>
      <w:proofErr w:type="gramEnd"/>
      <w:r w:rsidR="0004759C" w:rsidRPr="00537743">
        <w:rPr>
          <w:rFonts w:ascii="Arial" w:eastAsia="Batang" w:hAnsi="Arial" w:cs="Arial"/>
          <w:sz w:val="22"/>
          <w:lang w:val="es-ES"/>
        </w:rPr>
        <w:t xml:space="preserve"> tienen que comenzar por entenderlo rectamente, lo que con frecuencia resulta difícil </w:t>
      </w:r>
      <w:r w:rsidR="007C5166" w:rsidRPr="00537743">
        <w:rPr>
          <w:rFonts w:ascii="Arial" w:eastAsia="Batang" w:hAnsi="Arial" w:cs="Arial"/>
          <w:sz w:val="22"/>
          <w:lang w:val="es-ES"/>
        </w:rPr>
        <w:t xml:space="preserve">debido a la oscuridad, imprecisión, ambigüedad o deficiencia de las cláusulas </w:t>
      </w:r>
      <w:r w:rsidR="008D4DBC" w:rsidRPr="00537743">
        <w:rPr>
          <w:rFonts w:ascii="Arial" w:eastAsia="Batang" w:hAnsi="Arial" w:cs="Arial"/>
          <w:sz w:val="22"/>
          <w:lang w:val="es-ES"/>
        </w:rPr>
        <w:t>empleadas por los agentes para expresar su voluntad</w:t>
      </w:r>
      <w:r w:rsidR="00F44173" w:rsidRPr="00537743">
        <w:rPr>
          <w:rFonts w:ascii="Arial" w:eastAsia="Batang" w:hAnsi="Arial" w:cs="Arial"/>
          <w:sz w:val="22"/>
          <w:lang w:val="es-ES"/>
        </w:rPr>
        <w:t>, y hasta debido a contradicciones entre dichas cláusulas</w:t>
      </w:r>
      <w:r w:rsidR="00AA4E77" w:rsidRPr="00537743">
        <w:rPr>
          <w:rFonts w:ascii="Arial" w:eastAsia="Batang" w:hAnsi="Arial" w:cs="Arial"/>
          <w:sz w:val="22"/>
          <w:lang w:val="es-ES"/>
        </w:rPr>
        <w:t xml:space="preserve">. </w:t>
      </w:r>
      <w:r w:rsidR="00AA4E77" w:rsidRPr="00537743">
        <w:rPr>
          <w:rFonts w:ascii="Arial" w:eastAsia="Batang" w:hAnsi="Arial" w:cs="Arial"/>
          <w:sz w:val="22"/>
          <w:lang w:val="es-ES"/>
        </w:rPr>
        <w:lastRenderedPageBreak/>
        <w:t xml:space="preserve">En estos casos corresponde al intérprete </w:t>
      </w:r>
      <w:r w:rsidR="004B49FA" w:rsidRPr="00537743">
        <w:rPr>
          <w:rFonts w:ascii="Arial" w:eastAsia="Batang" w:hAnsi="Arial" w:cs="Arial"/>
          <w:sz w:val="22"/>
          <w:lang w:val="es-ES"/>
        </w:rPr>
        <w:t xml:space="preserve">desentrañar el real significado de las declaraciones formuladas </w:t>
      </w:r>
      <w:r w:rsidR="00A00329" w:rsidRPr="00537743">
        <w:rPr>
          <w:rFonts w:ascii="Arial" w:eastAsia="Batang" w:hAnsi="Arial" w:cs="Arial"/>
          <w:sz w:val="22"/>
          <w:lang w:val="es-ES"/>
        </w:rPr>
        <w:t>y armonizarlas en cuanto ello sea posible»</w:t>
      </w:r>
      <w:r w:rsidR="00113E6A" w:rsidRPr="00537743">
        <w:rPr>
          <w:rStyle w:val="Refdenotaalpie"/>
          <w:rFonts w:ascii="Arial" w:eastAsia="Batang" w:hAnsi="Arial" w:cs="Arial"/>
          <w:sz w:val="22"/>
          <w:lang w:val="es-ES"/>
        </w:rPr>
        <w:footnoteReference w:id="15"/>
      </w:r>
      <w:r w:rsidR="00A00329" w:rsidRPr="00537743">
        <w:rPr>
          <w:rFonts w:ascii="Arial" w:eastAsia="Batang" w:hAnsi="Arial" w:cs="Arial"/>
          <w:sz w:val="22"/>
          <w:lang w:val="es-ES"/>
        </w:rPr>
        <w:t>.</w:t>
      </w:r>
      <w:r w:rsidR="004B49FA" w:rsidRPr="00537743">
        <w:rPr>
          <w:rFonts w:ascii="Arial" w:eastAsia="Batang" w:hAnsi="Arial" w:cs="Arial"/>
          <w:sz w:val="22"/>
          <w:lang w:val="es-ES"/>
        </w:rPr>
        <w:t xml:space="preserve"> </w:t>
      </w:r>
      <w:r w:rsidR="00F44173" w:rsidRPr="00537743">
        <w:rPr>
          <w:rFonts w:ascii="Arial" w:eastAsia="Batang" w:hAnsi="Arial" w:cs="Arial"/>
          <w:sz w:val="22"/>
          <w:lang w:val="es-ES"/>
        </w:rPr>
        <w:t xml:space="preserve"> </w:t>
      </w:r>
      <w:r w:rsidR="008D4DBC" w:rsidRPr="00537743">
        <w:rPr>
          <w:rFonts w:ascii="Arial" w:eastAsia="Batang" w:hAnsi="Arial" w:cs="Arial"/>
          <w:sz w:val="22"/>
          <w:lang w:val="es-ES"/>
        </w:rPr>
        <w:t xml:space="preserve"> </w:t>
      </w:r>
    </w:p>
    <w:p w14:paraId="7185A62A" w14:textId="1B98E67D" w:rsidR="002F7D95" w:rsidRPr="00537743" w:rsidRDefault="00AC3CE7" w:rsidP="00EC149A">
      <w:pPr>
        <w:spacing w:line="276" w:lineRule="auto"/>
        <w:jc w:val="both"/>
        <w:rPr>
          <w:rFonts w:ascii="Arial" w:eastAsia="Batang" w:hAnsi="Arial" w:cs="Arial"/>
          <w:sz w:val="22"/>
          <w:lang w:val="es-ES"/>
        </w:rPr>
      </w:pPr>
      <w:r w:rsidRPr="00537743">
        <w:rPr>
          <w:rFonts w:ascii="Arial" w:eastAsia="Batang" w:hAnsi="Arial" w:cs="Arial"/>
          <w:sz w:val="22"/>
          <w:lang w:val="es-ES"/>
        </w:rPr>
        <w:tab/>
      </w:r>
      <w:r w:rsidR="00F4425E" w:rsidRPr="00537743">
        <w:rPr>
          <w:rFonts w:ascii="Arial" w:eastAsia="Batang" w:hAnsi="Arial" w:cs="Arial"/>
          <w:sz w:val="22"/>
          <w:lang w:val="es-ES"/>
        </w:rPr>
        <w:t>Respecto a la definición de</w:t>
      </w:r>
      <w:r w:rsidRPr="00537743">
        <w:rPr>
          <w:rFonts w:ascii="Arial" w:eastAsia="Batang" w:hAnsi="Arial" w:cs="Arial"/>
          <w:sz w:val="22"/>
          <w:lang w:val="es-ES"/>
        </w:rPr>
        <w:t xml:space="preserve"> los criterios aplicables </w:t>
      </w:r>
      <w:r w:rsidR="002E63AF" w:rsidRPr="00537743">
        <w:rPr>
          <w:rFonts w:ascii="Arial" w:eastAsia="Batang" w:hAnsi="Arial" w:cs="Arial"/>
          <w:sz w:val="22"/>
          <w:lang w:val="es-ES"/>
        </w:rPr>
        <w:t>para interpretar</w:t>
      </w:r>
      <w:r w:rsidR="00BB7250" w:rsidRPr="00537743">
        <w:rPr>
          <w:rFonts w:ascii="Arial" w:eastAsia="Batang" w:hAnsi="Arial" w:cs="Arial"/>
          <w:sz w:val="22"/>
          <w:lang w:val="es-ES"/>
        </w:rPr>
        <w:t xml:space="preserve"> las cláusulas, es necesario tener en cuenta </w:t>
      </w:r>
      <w:r w:rsidR="00CE0751" w:rsidRPr="00537743">
        <w:rPr>
          <w:rFonts w:ascii="Arial" w:eastAsia="Batang" w:hAnsi="Arial" w:cs="Arial"/>
          <w:sz w:val="22"/>
          <w:lang w:val="es-ES"/>
        </w:rPr>
        <w:t xml:space="preserve">la remisión </w:t>
      </w:r>
      <w:r w:rsidR="00D20E66" w:rsidRPr="00537743">
        <w:rPr>
          <w:rFonts w:ascii="Arial" w:eastAsia="Batang" w:hAnsi="Arial" w:cs="Arial"/>
          <w:sz w:val="22"/>
          <w:lang w:val="es-ES"/>
        </w:rPr>
        <w:t>del</w:t>
      </w:r>
      <w:r w:rsidR="005D63DA" w:rsidRPr="00537743">
        <w:rPr>
          <w:rFonts w:ascii="Arial" w:eastAsia="Batang" w:hAnsi="Arial" w:cs="Arial"/>
          <w:sz w:val="22"/>
          <w:lang w:val="es-ES"/>
        </w:rPr>
        <w:t xml:space="preserve"> inciso primero del</w:t>
      </w:r>
      <w:r w:rsidR="00D20E66" w:rsidRPr="00537743">
        <w:rPr>
          <w:rFonts w:ascii="Arial" w:eastAsia="Batang" w:hAnsi="Arial" w:cs="Arial"/>
          <w:sz w:val="22"/>
          <w:lang w:val="es-ES"/>
        </w:rPr>
        <w:t xml:space="preserve"> artículo 13 de</w:t>
      </w:r>
      <w:r w:rsidR="00815003" w:rsidRPr="00537743">
        <w:rPr>
          <w:rFonts w:ascii="Arial" w:eastAsia="Batang" w:hAnsi="Arial" w:cs="Arial"/>
          <w:sz w:val="22"/>
          <w:lang w:val="es-ES"/>
        </w:rPr>
        <w:t>l Estatuto General de Contratación de la Administración Pública</w:t>
      </w:r>
      <w:r w:rsidR="00536560" w:rsidRPr="00537743">
        <w:rPr>
          <w:rFonts w:ascii="Arial" w:eastAsia="Batang" w:hAnsi="Arial" w:cs="Arial"/>
          <w:sz w:val="22"/>
          <w:lang w:val="es-ES"/>
        </w:rPr>
        <w:t>, pues</w:t>
      </w:r>
      <w:r w:rsidR="00815003" w:rsidRPr="00537743">
        <w:rPr>
          <w:rFonts w:ascii="Arial" w:eastAsia="Batang" w:hAnsi="Arial" w:cs="Arial"/>
          <w:sz w:val="22"/>
          <w:lang w:val="es-ES"/>
        </w:rPr>
        <w:t xml:space="preserve"> </w:t>
      </w:r>
      <w:r w:rsidR="005E4E85" w:rsidRPr="00537743">
        <w:rPr>
          <w:rFonts w:ascii="Arial" w:eastAsia="Batang" w:hAnsi="Arial" w:cs="Arial"/>
          <w:sz w:val="22"/>
          <w:lang w:val="es-ES"/>
        </w:rPr>
        <w:t>dispone que «</w:t>
      </w:r>
      <w:r w:rsidR="005D63DA" w:rsidRPr="00537743">
        <w:rPr>
          <w:rFonts w:ascii="Arial" w:eastAsia="Batang" w:hAnsi="Arial" w:cs="Arial"/>
          <w:sz w:val="22"/>
          <w:lang w:val="es-ES"/>
        </w:rPr>
        <w:t>Los contratos que celebren las entidades a que se refiere el artículo 2o. del presente estatuto se regirán por las disposiciones comerciales y civiles pertinentes, salvo en las materias particularmente reguladas en esta ley</w:t>
      </w:r>
      <w:r w:rsidR="00D82BE3" w:rsidRPr="00537743">
        <w:rPr>
          <w:rFonts w:ascii="Arial" w:eastAsia="Batang" w:hAnsi="Arial" w:cs="Arial"/>
          <w:sz w:val="22"/>
          <w:lang w:val="es-ES"/>
        </w:rPr>
        <w:t xml:space="preserve">». De esta manera, </w:t>
      </w:r>
      <w:r w:rsidR="006577D5" w:rsidRPr="00537743">
        <w:rPr>
          <w:rFonts w:ascii="Arial" w:eastAsia="Batang" w:hAnsi="Arial" w:cs="Arial"/>
          <w:sz w:val="22"/>
          <w:lang w:val="es-ES"/>
        </w:rPr>
        <w:t xml:space="preserve">sin perjuicio de los objetivos previstos </w:t>
      </w:r>
      <w:r w:rsidR="002E708B" w:rsidRPr="00537743">
        <w:rPr>
          <w:rFonts w:ascii="Arial" w:eastAsia="Batang" w:hAnsi="Arial" w:cs="Arial"/>
          <w:sz w:val="22"/>
          <w:lang w:val="es-ES"/>
        </w:rPr>
        <w:t>en el artículo</w:t>
      </w:r>
      <w:r w:rsidR="008D35B0" w:rsidRPr="00537743">
        <w:rPr>
          <w:rFonts w:ascii="Arial" w:eastAsia="Batang" w:hAnsi="Arial" w:cs="Arial"/>
          <w:sz w:val="22"/>
          <w:lang w:val="es-ES"/>
        </w:rPr>
        <w:t xml:space="preserve"> 28 de</w:t>
      </w:r>
      <w:r w:rsidR="00F411B8" w:rsidRPr="00537743">
        <w:rPr>
          <w:rFonts w:ascii="Arial" w:eastAsia="Batang" w:hAnsi="Arial" w:cs="Arial"/>
          <w:sz w:val="22"/>
          <w:lang w:val="es-ES"/>
        </w:rPr>
        <w:t xml:space="preserve"> la Ley 80 de 1993</w:t>
      </w:r>
      <w:r w:rsidR="008D35B0" w:rsidRPr="00537743">
        <w:rPr>
          <w:rFonts w:ascii="Arial" w:eastAsia="Batang" w:hAnsi="Arial" w:cs="Arial"/>
          <w:sz w:val="22"/>
          <w:lang w:val="es-ES"/>
        </w:rPr>
        <w:t>,</w:t>
      </w:r>
      <w:r w:rsidR="00D82BE3" w:rsidRPr="00537743">
        <w:rPr>
          <w:rFonts w:ascii="Arial" w:eastAsia="Batang" w:hAnsi="Arial" w:cs="Arial"/>
          <w:sz w:val="22"/>
          <w:lang w:val="es-ES"/>
        </w:rPr>
        <w:t xml:space="preserve"> se incorporan las pautas previstas </w:t>
      </w:r>
      <w:r w:rsidR="00016D2B" w:rsidRPr="00537743">
        <w:rPr>
          <w:rFonts w:ascii="Arial" w:eastAsia="Batang" w:hAnsi="Arial" w:cs="Arial"/>
          <w:sz w:val="22"/>
          <w:lang w:val="es-ES"/>
        </w:rPr>
        <w:t xml:space="preserve">en el título </w:t>
      </w:r>
      <w:r w:rsidR="008605F2" w:rsidRPr="00537743">
        <w:rPr>
          <w:rFonts w:ascii="Arial" w:eastAsia="Batang" w:hAnsi="Arial" w:cs="Arial"/>
          <w:sz w:val="22"/>
          <w:lang w:val="es-ES"/>
        </w:rPr>
        <w:t>XIII</w:t>
      </w:r>
      <w:r w:rsidR="00EF1AAE" w:rsidRPr="00537743">
        <w:rPr>
          <w:rFonts w:ascii="Arial" w:eastAsia="Batang" w:hAnsi="Arial" w:cs="Arial"/>
          <w:sz w:val="22"/>
          <w:lang w:val="es-ES"/>
        </w:rPr>
        <w:t xml:space="preserve"> del libro </w:t>
      </w:r>
      <w:r w:rsidR="006B2AD5" w:rsidRPr="00537743">
        <w:rPr>
          <w:rFonts w:ascii="Arial" w:eastAsia="Batang" w:hAnsi="Arial" w:cs="Arial"/>
          <w:sz w:val="22"/>
          <w:lang w:val="es-ES"/>
        </w:rPr>
        <w:t>cuarto</w:t>
      </w:r>
      <w:r w:rsidR="00B12A1E" w:rsidRPr="00537743">
        <w:rPr>
          <w:rFonts w:ascii="Arial" w:eastAsia="Batang" w:hAnsi="Arial" w:cs="Arial"/>
          <w:sz w:val="22"/>
          <w:lang w:val="es-ES"/>
        </w:rPr>
        <w:t xml:space="preserve"> del Código Civil</w:t>
      </w:r>
      <w:r w:rsidR="00F6208B" w:rsidRPr="00537743">
        <w:rPr>
          <w:rFonts w:ascii="Arial" w:eastAsia="Batang" w:hAnsi="Arial" w:cs="Arial"/>
          <w:sz w:val="22"/>
          <w:lang w:val="es-ES"/>
        </w:rPr>
        <w:t>,</w:t>
      </w:r>
      <w:r w:rsidR="00B12A1E" w:rsidRPr="00537743">
        <w:rPr>
          <w:rFonts w:ascii="Arial" w:eastAsia="Batang" w:hAnsi="Arial" w:cs="Arial"/>
          <w:sz w:val="22"/>
          <w:lang w:val="es-ES"/>
        </w:rPr>
        <w:t xml:space="preserve"> sobre la interpretación de los contratos</w:t>
      </w:r>
      <w:r w:rsidR="00F6208B" w:rsidRPr="00537743">
        <w:rPr>
          <w:rStyle w:val="Refdenotaalpie"/>
          <w:rFonts w:ascii="Arial" w:eastAsia="Batang" w:hAnsi="Arial" w:cs="Arial"/>
          <w:sz w:val="22"/>
          <w:lang w:val="es-ES"/>
        </w:rPr>
        <w:footnoteReference w:id="16"/>
      </w:r>
      <w:r w:rsidR="00B12A1E" w:rsidRPr="00537743">
        <w:rPr>
          <w:rFonts w:ascii="Arial" w:eastAsia="Batang" w:hAnsi="Arial" w:cs="Arial"/>
          <w:sz w:val="22"/>
          <w:lang w:val="es-ES"/>
        </w:rPr>
        <w:t>.</w:t>
      </w:r>
      <w:r w:rsidR="00102D3E" w:rsidRPr="00537743">
        <w:rPr>
          <w:rFonts w:ascii="Arial" w:eastAsia="Batang" w:hAnsi="Arial" w:cs="Arial"/>
          <w:sz w:val="22"/>
          <w:lang w:val="es-ES"/>
        </w:rPr>
        <w:t xml:space="preserve"> Esto se ratifica en el artículo </w:t>
      </w:r>
      <w:r w:rsidR="00730FA6" w:rsidRPr="00537743">
        <w:rPr>
          <w:rFonts w:ascii="Arial" w:eastAsia="Batang" w:hAnsi="Arial" w:cs="Arial"/>
          <w:sz w:val="22"/>
          <w:lang w:val="es-ES"/>
        </w:rPr>
        <w:t>23 del Estatuto General</w:t>
      </w:r>
      <w:r w:rsidR="005163DC" w:rsidRPr="00537743">
        <w:rPr>
          <w:rFonts w:ascii="Arial" w:eastAsia="Batang" w:hAnsi="Arial" w:cs="Arial"/>
          <w:sz w:val="22"/>
          <w:lang w:val="es-ES"/>
        </w:rPr>
        <w:t>, pues también prescribe que</w:t>
      </w:r>
      <w:r w:rsidR="0017042F" w:rsidRPr="00537743">
        <w:rPr>
          <w:rFonts w:ascii="Arial" w:eastAsia="Batang" w:hAnsi="Arial" w:cs="Arial"/>
          <w:sz w:val="22"/>
          <w:lang w:val="es-ES"/>
        </w:rPr>
        <w:t xml:space="preserve"> en</w:t>
      </w:r>
      <w:r w:rsidR="00EC149A" w:rsidRPr="00537743">
        <w:rPr>
          <w:rFonts w:ascii="Arial" w:eastAsia="Batang" w:hAnsi="Arial" w:cs="Arial"/>
          <w:sz w:val="22"/>
          <w:lang w:val="es-ES"/>
        </w:rPr>
        <w:t xml:space="preserve"> «</w:t>
      </w:r>
      <w:r w:rsidR="00EC149A" w:rsidRPr="00537743">
        <w:rPr>
          <w:rFonts w:ascii="Arial" w:eastAsia="Batang" w:hAnsi="Arial" w:cs="Arial"/>
          <w:sz w:val="22"/>
        </w:rPr>
        <w:t xml:space="preserve">Las actuaciones de quienes intervengan en la contratación estatal </w:t>
      </w:r>
      <w:r w:rsidR="00BF7FC6" w:rsidRPr="00537743">
        <w:rPr>
          <w:rFonts w:ascii="Arial" w:eastAsia="Batang" w:hAnsi="Arial" w:cs="Arial"/>
          <w:sz w:val="22"/>
        </w:rPr>
        <w:t>[…]</w:t>
      </w:r>
      <w:r w:rsidR="00EC149A" w:rsidRPr="00537743">
        <w:rPr>
          <w:rFonts w:ascii="Arial" w:eastAsia="Batang" w:hAnsi="Arial" w:cs="Arial"/>
          <w:sz w:val="22"/>
        </w:rPr>
        <w:t xml:space="preserve"> se aplicarán </w:t>
      </w:r>
      <w:r w:rsidR="00BF7FC6" w:rsidRPr="00537743">
        <w:rPr>
          <w:rFonts w:ascii="Arial" w:eastAsia="Batang" w:hAnsi="Arial" w:cs="Arial"/>
          <w:sz w:val="22"/>
        </w:rPr>
        <w:t>[…]</w:t>
      </w:r>
      <w:r w:rsidR="00EC149A" w:rsidRPr="00537743">
        <w:rPr>
          <w:rFonts w:ascii="Arial" w:eastAsia="Batang" w:hAnsi="Arial" w:cs="Arial"/>
          <w:sz w:val="22"/>
        </w:rPr>
        <w:t xml:space="preserve"> las normas que regulan </w:t>
      </w:r>
      <w:r w:rsidR="00BF7FC6" w:rsidRPr="00537743">
        <w:rPr>
          <w:rFonts w:ascii="Arial" w:eastAsia="Batang" w:hAnsi="Arial" w:cs="Arial"/>
          <w:sz w:val="22"/>
        </w:rPr>
        <w:t>[…]</w:t>
      </w:r>
      <w:r w:rsidR="00EC149A" w:rsidRPr="00537743">
        <w:rPr>
          <w:rFonts w:ascii="Arial" w:eastAsia="Batang" w:hAnsi="Arial" w:cs="Arial"/>
          <w:sz w:val="22"/>
        </w:rPr>
        <w:t xml:space="preserve"> las reglas de interpretación de la contratación</w:t>
      </w:r>
      <w:r w:rsidR="00BF7FC6" w:rsidRPr="00537743">
        <w:rPr>
          <w:rFonts w:ascii="Arial" w:eastAsia="Batang" w:hAnsi="Arial" w:cs="Arial"/>
          <w:sz w:val="22"/>
        </w:rPr>
        <w:t xml:space="preserve"> […]».</w:t>
      </w:r>
    </w:p>
    <w:p w14:paraId="706A2416" w14:textId="7AE10D6C" w:rsidR="000F1CD9" w:rsidRPr="00537743" w:rsidRDefault="002E63AF" w:rsidP="005C5011">
      <w:pPr>
        <w:spacing w:before="120" w:after="120" w:line="276" w:lineRule="auto"/>
        <w:ind w:firstLine="709"/>
        <w:jc w:val="both"/>
        <w:rPr>
          <w:rFonts w:ascii="Arial" w:eastAsia="Batang" w:hAnsi="Arial" w:cs="Arial"/>
          <w:sz w:val="22"/>
        </w:rPr>
      </w:pPr>
      <w:r w:rsidRPr="00537743">
        <w:rPr>
          <w:rFonts w:ascii="Arial" w:eastAsia="Batang" w:hAnsi="Arial" w:cs="Arial"/>
          <w:sz w:val="22"/>
          <w:lang w:val="es-ES"/>
        </w:rPr>
        <w:t>Para estos efectos</w:t>
      </w:r>
      <w:r w:rsidR="000F1CD9" w:rsidRPr="00537743">
        <w:rPr>
          <w:rFonts w:ascii="Arial" w:eastAsia="Batang" w:hAnsi="Arial" w:cs="Arial"/>
          <w:sz w:val="22"/>
        </w:rPr>
        <w:t xml:space="preserve">, </w:t>
      </w:r>
      <w:r w:rsidR="00011486" w:rsidRPr="00537743">
        <w:rPr>
          <w:rFonts w:ascii="Arial" w:eastAsia="Batang" w:hAnsi="Arial" w:cs="Arial"/>
          <w:sz w:val="22"/>
        </w:rPr>
        <w:t>la legislación</w:t>
      </w:r>
      <w:r w:rsidR="000F1CD9" w:rsidRPr="00537743">
        <w:rPr>
          <w:rFonts w:ascii="Arial" w:eastAsia="Batang" w:hAnsi="Arial" w:cs="Arial"/>
          <w:sz w:val="22"/>
        </w:rPr>
        <w:t xml:space="preserve"> colombiana </w:t>
      </w:r>
      <w:r w:rsidR="001805BC" w:rsidRPr="00537743">
        <w:rPr>
          <w:rFonts w:ascii="Arial" w:eastAsia="Batang" w:hAnsi="Arial" w:cs="Arial"/>
          <w:sz w:val="22"/>
        </w:rPr>
        <w:t>consagra</w:t>
      </w:r>
      <w:r w:rsidR="000F1CD9" w:rsidRPr="00537743">
        <w:rPr>
          <w:rFonts w:ascii="Arial" w:eastAsia="Batang" w:hAnsi="Arial" w:cs="Arial"/>
          <w:sz w:val="22"/>
        </w:rPr>
        <w:t xml:space="preserve"> unas regla</w:t>
      </w:r>
      <w:r w:rsidR="006A33F1" w:rsidRPr="00537743">
        <w:rPr>
          <w:rFonts w:ascii="Arial" w:eastAsia="Batang" w:hAnsi="Arial" w:cs="Arial"/>
          <w:sz w:val="22"/>
        </w:rPr>
        <w:t>s</w:t>
      </w:r>
      <w:r w:rsidR="000F1CD9" w:rsidRPr="00537743">
        <w:rPr>
          <w:rFonts w:ascii="Arial" w:eastAsia="Batang" w:hAnsi="Arial" w:cs="Arial"/>
          <w:sz w:val="22"/>
        </w:rPr>
        <w:t xml:space="preserve"> subjetivas </w:t>
      </w:r>
      <w:r w:rsidR="006A33F1" w:rsidRPr="00537743">
        <w:rPr>
          <w:rFonts w:ascii="Arial" w:eastAsia="Batang" w:hAnsi="Arial" w:cs="Arial"/>
          <w:sz w:val="22"/>
        </w:rPr>
        <w:t>y otras objetivas</w:t>
      </w:r>
      <w:r w:rsidR="002B024B" w:rsidRPr="00537743">
        <w:rPr>
          <w:rFonts w:ascii="Arial" w:eastAsia="Batang" w:hAnsi="Arial" w:cs="Arial"/>
          <w:sz w:val="22"/>
        </w:rPr>
        <w:t xml:space="preserve"> para la interpretación de los contratos</w:t>
      </w:r>
      <w:r w:rsidR="006A33F1" w:rsidRPr="00537743">
        <w:rPr>
          <w:rFonts w:ascii="Arial" w:eastAsia="Batang" w:hAnsi="Arial" w:cs="Arial"/>
          <w:sz w:val="22"/>
        </w:rPr>
        <w:t xml:space="preserve">, </w:t>
      </w:r>
      <w:r w:rsidR="000F1CD9" w:rsidRPr="00537743">
        <w:rPr>
          <w:rFonts w:ascii="Arial" w:eastAsia="Batang" w:hAnsi="Arial" w:cs="Arial"/>
          <w:sz w:val="22"/>
        </w:rPr>
        <w:t>conforme a los artículos 1618 a 1624 del Código Civil</w:t>
      </w:r>
      <w:r w:rsidR="00450C06" w:rsidRPr="00537743">
        <w:rPr>
          <w:rFonts w:ascii="Arial" w:eastAsia="Batang" w:hAnsi="Arial" w:cs="Arial"/>
          <w:sz w:val="22"/>
          <w:vertAlign w:val="superscript"/>
        </w:rPr>
        <w:footnoteReference w:id="17"/>
      </w:r>
      <w:r w:rsidR="000F1CD9" w:rsidRPr="00537743">
        <w:rPr>
          <w:rFonts w:ascii="Arial" w:eastAsia="Batang" w:hAnsi="Arial" w:cs="Arial"/>
          <w:sz w:val="22"/>
        </w:rPr>
        <w:t xml:space="preserve">. Las primeras son las siguientes: i) una vez conocida la intención de los contratantes ha de estarse más a ella que a lo literal de las palabras (artículo 1618 del Código Civil); ii) </w:t>
      </w:r>
      <w:r w:rsidR="000F1CD9" w:rsidRPr="00537743">
        <w:rPr>
          <w:rFonts w:ascii="Arial" w:eastAsia="Batang" w:hAnsi="Arial" w:cs="Arial"/>
          <w:sz w:val="22"/>
          <w:lang w:val="es-ES_tradnl"/>
        </w:rPr>
        <w:t xml:space="preserve">las estipulaciones de un contrato pueden interpretarse por la de otro que las partes hayan celebrado sobre la misma materia o por la aplicación práctica que de ellas hayan hecho (artículo 1622, incisos 2 y 3 </w:t>
      </w:r>
      <w:proofErr w:type="spellStart"/>
      <w:r w:rsidR="000F1CD9" w:rsidRPr="00537743">
        <w:rPr>
          <w:rFonts w:ascii="Arial" w:eastAsia="Batang" w:hAnsi="Arial" w:cs="Arial"/>
          <w:i/>
          <w:iCs/>
          <w:sz w:val="22"/>
          <w:lang w:val="es-ES_tradnl"/>
        </w:rPr>
        <w:t>ibídem</w:t>
      </w:r>
      <w:proofErr w:type="spellEnd"/>
      <w:r w:rsidR="000F1CD9" w:rsidRPr="00537743">
        <w:rPr>
          <w:rFonts w:ascii="Arial" w:eastAsia="Batang" w:hAnsi="Arial" w:cs="Arial"/>
          <w:sz w:val="22"/>
          <w:lang w:val="es-ES_tradnl"/>
        </w:rPr>
        <w:t xml:space="preserve">); </w:t>
      </w:r>
      <w:proofErr w:type="spellStart"/>
      <w:r w:rsidR="000F1CD9" w:rsidRPr="00537743">
        <w:rPr>
          <w:rFonts w:ascii="Arial" w:eastAsia="Batang" w:hAnsi="Arial" w:cs="Arial"/>
          <w:sz w:val="22"/>
          <w:lang w:val="es-ES_tradnl"/>
        </w:rPr>
        <w:t>iii</w:t>
      </w:r>
      <w:proofErr w:type="spellEnd"/>
      <w:r w:rsidR="000F1CD9" w:rsidRPr="00537743">
        <w:rPr>
          <w:rFonts w:ascii="Arial" w:eastAsia="Batang" w:hAnsi="Arial" w:cs="Arial"/>
          <w:sz w:val="22"/>
          <w:lang w:val="es-ES_tradnl"/>
        </w:rPr>
        <w:t xml:space="preserve">) las cláusulas deben interpretarse unas por otras, dándole a cada una el sentido que más convenga al contrato en su totalidad (artículo 1622, inciso 1 </w:t>
      </w:r>
      <w:proofErr w:type="spellStart"/>
      <w:r w:rsidR="000F1CD9" w:rsidRPr="00537743">
        <w:rPr>
          <w:rFonts w:ascii="Arial" w:eastAsia="Batang" w:hAnsi="Arial" w:cs="Arial"/>
          <w:i/>
          <w:iCs/>
          <w:sz w:val="22"/>
          <w:lang w:val="es-ES_tradnl"/>
        </w:rPr>
        <w:t>ibídem</w:t>
      </w:r>
      <w:proofErr w:type="spellEnd"/>
      <w:r w:rsidR="000F1CD9" w:rsidRPr="00537743">
        <w:rPr>
          <w:rFonts w:ascii="Arial" w:eastAsia="Batang" w:hAnsi="Arial" w:cs="Arial"/>
          <w:sz w:val="22"/>
          <w:lang w:val="es-ES_tradnl"/>
        </w:rPr>
        <w:t xml:space="preserve">); </w:t>
      </w:r>
      <w:proofErr w:type="spellStart"/>
      <w:r w:rsidR="000F1CD9" w:rsidRPr="00537743">
        <w:rPr>
          <w:rFonts w:ascii="Arial" w:eastAsia="Batang" w:hAnsi="Arial" w:cs="Arial"/>
          <w:sz w:val="22"/>
          <w:lang w:val="es-ES_tradnl"/>
        </w:rPr>
        <w:t>iv</w:t>
      </w:r>
      <w:proofErr w:type="spellEnd"/>
      <w:r w:rsidR="000F1CD9" w:rsidRPr="00537743">
        <w:rPr>
          <w:rFonts w:ascii="Arial" w:eastAsia="Batang" w:hAnsi="Arial" w:cs="Arial"/>
          <w:sz w:val="22"/>
          <w:lang w:val="es-ES_tradnl"/>
        </w:rPr>
        <w:t xml:space="preserve">) si en un contrato se expresa un caso para explicar la obligación se entiende que esa mención no es restrictiva sino ejemplificativa (artículo 1623 </w:t>
      </w:r>
      <w:proofErr w:type="spellStart"/>
      <w:r w:rsidR="000F1CD9" w:rsidRPr="00537743">
        <w:rPr>
          <w:rFonts w:ascii="Arial" w:eastAsia="Batang" w:hAnsi="Arial" w:cs="Arial"/>
          <w:i/>
          <w:iCs/>
          <w:sz w:val="22"/>
          <w:lang w:val="es-ES_tradnl"/>
        </w:rPr>
        <w:t>ibídem</w:t>
      </w:r>
      <w:proofErr w:type="spellEnd"/>
      <w:r w:rsidR="000F1CD9" w:rsidRPr="00537743">
        <w:rPr>
          <w:rFonts w:ascii="Arial" w:eastAsia="Batang" w:hAnsi="Arial" w:cs="Arial"/>
          <w:sz w:val="22"/>
          <w:lang w:val="es-ES_tradnl"/>
        </w:rPr>
        <w:t xml:space="preserve">); y v) se entiende que las expresiones generales contenidas en el negocio únicamente se aplican a la materia sobre la que se ha contratado (artículo 1619, inciso 2 </w:t>
      </w:r>
      <w:proofErr w:type="spellStart"/>
      <w:r w:rsidR="000F1CD9" w:rsidRPr="00537743">
        <w:rPr>
          <w:rFonts w:ascii="Arial" w:eastAsia="Batang" w:hAnsi="Arial" w:cs="Arial"/>
          <w:i/>
          <w:iCs/>
          <w:sz w:val="22"/>
          <w:lang w:val="es-ES_tradnl"/>
        </w:rPr>
        <w:t>ibídem</w:t>
      </w:r>
      <w:proofErr w:type="spellEnd"/>
      <w:r w:rsidR="000F1CD9" w:rsidRPr="00537743">
        <w:rPr>
          <w:rFonts w:ascii="Arial" w:eastAsia="Batang" w:hAnsi="Arial" w:cs="Arial"/>
          <w:sz w:val="22"/>
          <w:lang w:val="es-ES_tradnl"/>
        </w:rPr>
        <w:t xml:space="preserve">). Las segundas son estas: vi) </w:t>
      </w:r>
      <w:r w:rsidR="000F1CD9" w:rsidRPr="00537743">
        <w:rPr>
          <w:rFonts w:ascii="Arial" w:eastAsia="Batang" w:hAnsi="Arial" w:cs="Arial"/>
          <w:sz w:val="22"/>
        </w:rPr>
        <w:t xml:space="preserve">el sentido en que una cláusula pueda producir algún efecto deberá preferirse a aquel en que no produzca efecto alguno </w:t>
      </w:r>
      <w:r w:rsidR="000F1CD9" w:rsidRPr="00537743">
        <w:rPr>
          <w:rFonts w:ascii="Arial" w:eastAsia="Batang" w:hAnsi="Arial" w:cs="Arial"/>
          <w:sz w:val="22"/>
          <w:lang w:val="es-ES_tradnl"/>
        </w:rPr>
        <w:t xml:space="preserve">(artículo 1620 </w:t>
      </w:r>
      <w:proofErr w:type="spellStart"/>
      <w:r w:rsidR="000F1CD9" w:rsidRPr="00537743">
        <w:rPr>
          <w:rFonts w:ascii="Arial" w:eastAsia="Batang" w:hAnsi="Arial" w:cs="Arial"/>
          <w:i/>
          <w:iCs/>
          <w:sz w:val="22"/>
          <w:lang w:val="es-ES_tradnl"/>
        </w:rPr>
        <w:t>ibídem</w:t>
      </w:r>
      <w:proofErr w:type="spellEnd"/>
      <w:r w:rsidR="000F1CD9" w:rsidRPr="00537743">
        <w:rPr>
          <w:rFonts w:ascii="Arial" w:eastAsia="Batang" w:hAnsi="Arial" w:cs="Arial"/>
          <w:sz w:val="22"/>
          <w:lang w:val="es-ES_tradnl"/>
        </w:rPr>
        <w:t xml:space="preserve">); </w:t>
      </w:r>
      <w:proofErr w:type="spellStart"/>
      <w:r w:rsidR="000F1CD9" w:rsidRPr="00537743">
        <w:rPr>
          <w:rFonts w:ascii="Arial" w:eastAsia="Batang" w:hAnsi="Arial" w:cs="Arial"/>
          <w:sz w:val="22"/>
          <w:lang w:val="es-ES_tradnl"/>
        </w:rPr>
        <w:t>vii</w:t>
      </w:r>
      <w:proofErr w:type="spellEnd"/>
      <w:r w:rsidR="000F1CD9" w:rsidRPr="00537743">
        <w:rPr>
          <w:rFonts w:ascii="Arial" w:eastAsia="Batang" w:hAnsi="Arial" w:cs="Arial"/>
          <w:sz w:val="22"/>
          <w:lang w:val="es-ES_tradnl"/>
        </w:rPr>
        <w:t>)</w:t>
      </w:r>
      <w:r w:rsidR="000F1CD9" w:rsidRPr="00537743">
        <w:rPr>
          <w:rFonts w:ascii="Arial" w:eastAsia="Batang" w:hAnsi="Arial" w:cs="Arial"/>
          <w:sz w:val="22"/>
        </w:rPr>
        <w:t xml:space="preserve"> deberá estarse a la interpretación que mejor cuadre con la naturaleza del contrato </w:t>
      </w:r>
      <w:r w:rsidR="000F1CD9" w:rsidRPr="00537743">
        <w:rPr>
          <w:rFonts w:ascii="Arial" w:eastAsia="Batang" w:hAnsi="Arial" w:cs="Arial"/>
          <w:sz w:val="22"/>
          <w:lang w:val="es-ES_tradnl"/>
        </w:rPr>
        <w:t xml:space="preserve">(artículo 1621 </w:t>
      </w:r>
      <w:proofErr w:type="spellStart"/>
      <w:r w:rsidR="000F1CD9" w:rsidRPr="00537743">
        <w:rPr>
          <w:rFonts w:ascii="Arial" w:eastAsia="Batang" w:hAnsi="Arial" w:cs="Arial"/>
          <w:i/>
          <w:iCs/>
          <w:sz w:val="22"/>
          <w:lang w:val="es-ES_tradnl"/>
        </w:rPr>
        <w:t>ibídem</w:t>
      </w:r>
      <w:proofErr w:type="spellEnd"/>
      <w:r w:rsidR="000F1CD9" w:rsidRPr="00537743">
        <w:rPr>
          <w:rFonts w:ascii="Arial" w:eastAsia="Batang" w:hAnsi="Arial" w:cs="Arial"/>
          <w:sz w:val="22"/>
          <w:lang w:val="es-ES_tradnl"/>
        </w:rPr>
        <w:t>)</w:t>
      </w:r>
      <w:r w:rsidR="000F1CD9" w:rsidRPr="00537743">
        <w:rPr>
          <w:rFonts w:ascii="Arial" w:eastAsia="Batang" w:hAnsi="Arial" w:cs="Arial"/>
          <w:sz w:val="22"/>
        </w:rPr>
        <w:t xml:space="preserve">; viii) las cláusulas ambiguas se interpretan a favor del deudor </w:t>
      </w:r>
      <w:r w:rsidR="000F1CD9" w:rsidRPr="00537743">
        <w:rPr>
          <w:rFonts w:ascii="Arial" w:eastAsia="Batang" w:hAnsi="Arial" w:cs="Arial"/>
          <w:sz w:val="22"/>
          <w:lang w:val="es-ES_tradnl"/>
        </w:rPr>
        <w:t xml:space="preserve">(artículo 1624, inciso 1 </w:t>
      </w:r>
      <w:proofErr w:type="spellStart"/>
      <w:r w:rsidR="000F1CD9" w:rsidRPr="00537743">
        <w:rPr>
          <w:rFonts w:ascii="Arial" w:eastAsia="Batang" w:hAnsi="Arial" w:cs="Arial"/>
          <w:i/>
          <w:iCs/>
          <w:sz w:val="22"/>
          <w:lang w:val="es-ES_tradnl"/>
        </w:rPr>
        <w:t>ibídem</w:t>
      </w:r>
      <w:proofErr w:type="spellEnd"/>
      <w:r w:rsidR="000F1CD9" w:rsidRPr="00537743">
        <w:rPr>
          <w:rFonts w:ascii="Arial" w:eastAsia="Batang" w:hAnsi="Arial" w:cs="Arial"/>
          <w:sz w:val="22"/>
          <w:lang w:val="es-ES_tradnl"/>
        </w:rPr>
        <w:t xml:space="preserve">); y </w:t>
      </w:r>
      <w:proofErr w:type="spellStart"/>
      <w:r w:rsidR="000F1CD9" w:rsidRPr="00537743">
        <w:rPr>
          <w:rFonts w:ascii="Arial" w:eastAsia="Batang" w:hAnsi="Arial" w:cs="Arial"/>
          <w:sz w:val="22"/>
          <w:lang w:val="es-ES_tradnl"/>
        </w:rPr>
        <w:t>ix</w:t>
      </w:r>
      <w:proofErr w:type="spellEnd"/>
      <w:r w:rsidR="000F1CD9" w:rsidRPr="00537743">
        <w:rPr>
          <w:rFonts w:ascii="Arial" w:eastAsia="Batang" w:hAnsi="Arial" w:cs="Arial"/>
          <w:sz w:val="22"/>
          <w:lang w:val="es-ES_tradnl"/>
        </w:rPr>
        <w:t>)</w:t>
      </w:r>
      <w:r w:rsidR="000F1CD9" w:rsidRPr="00537743">
        <w:rPr>
          <w:rFonts w:ascii="Arial" w:eastAsia="Batang" w:hAnsi="Arial" w:cs="Arial"/>
          <w:sz w:val="22"/>
        </w:rPr>
        <w:t xml:space="preserve"> las cláusulas oscuras que hayan sido extendidas o dictadas por una parte se interpretarán contra ella si la ambigüedad proviene de una explicación que </w:t>
      </w:r>
      <w:r w:rsidR="000F1CD9" w:rsidRPr="00537743">
        <w:rPr>
          <w:rFonts w:ascii="Arial" w:eastAsia="Batang" w:hAnsi="Arial" w:cs="Arial"/>
          <w:sz w:val="22"/>
        </w:rPr>
        <w:lastRenderedPageBreak/>
        <w:t xml:space="preserve">ésta ha debido dar </w:t>
      </w:r>
      <w:r w:rsidR="000F1CD9" w:rsidRPr="00537743">
        <w:rPr>
          <w:rFonts w:ascii="Arial" w:eastAsia="Batang" w:hAnsi="Arial" w:cs="Arial"/>
          <w:sz w:val="22"/>
          <w:lang w:val="es-ES_tradnl"/>
        </w:rPr>
        <w:t xml:space="preserve">(artículo 1624, inciso 2 </w:t>
      </w:r>
      <w:proofErr w:type="spellStart"/>
      <w:r w:rsidR="000F1CD9" w:rsidRPr="00537743">
        <w:rPr>
          <w:rFonts w:ascii="Arial" w:eastAsia="Batang" w:hAnsi="Arial" w:cs="Arial"/>
          <w:i/>
          <w:iCs/>
          <w:sz w:val="22"/>
          <w:lang w:val="es-ES_tradnl"/>
        </w:rPr>
        <w:t>ibídem</w:t>
      </w:r>
      <w:proofErr w:type="spellEnd"/>
      <w:r w:rsidR="000F1CD9" w:rsidRPr="00537743">
        <w:rPr>
          <w:rFonts w:ascii="Arial" w:eastAsia="Batang" w:hAnsi="Arial" w:cs="Arial"/>
          <w:sz w:val="22"/>
          <w:lang w:val="es-ES_tradnl"/>
        </w:rPr>
        <w:t>)</w:t>
      </w:r>
      <w:r w:rsidR="000F1CD9" w:rsidRPr="00537743">
        <w:rPr>
          <w:rFonts w:ascii="Arial" w:eastAsia="Batang" w:hAnsi="Arial" w:cs="Arial"/>
          <w:sz w:val="22"/>
        </w:rPr>
        <w:t>. En abstracto, estas</w:t>
      </w:r>
      <w:r w:rsidR="00393277" w:rsidRPr="00537743">
        <w:rPr>
          <w:rFonts w:ascii="Arial" w:eastAsia="Batang" w:hAnsi="Arial" w:cs="Arial"/>
          <w:sz w:val="22"/>
        </w:rPr>
        <w:t xml:space="preserve"> últimas</w:t>
      </w:r>
      <w:r w:rsidR="000F1CD9" w:rsidRPr="00537743">
        <w:rPr>
          <w:rFonts w:ascii="Arial" w:eastAsia="Batang" w:hAnsi="Arial" w:cs="Arial"/>
          <w:sz w:val="22"/>
        </w:rPr>
        <w:t xml:space="preserve"> son subsidiarias en relación con </w:t>
      </w:r>
      <w:r w:rsidR="00393277" w:rsidRPr="00537743">
        <w:rPr>
          <w:rFonts w:ascii="Arial" w:eastAsia="Batang" w:hAnsi="Arial" w:cs="Arial"/>
          <w:sz w:val="22"/>
        </w:rPr>
        <w:t>las primeras</w:t>
      </w:r>
      <w:r w:rsidR="000F1CD9" w:rsidRPr="00537743">
        <w:rPr>
          <w:rFonts w:ascii="Arial" w:eastAsia="Batang" w:hAnsi="Arial" w:cs="Arial"/>
          <w:sz w:val="22"/>
        </w:rPr>
        <w:t xml:space="preserve">, pues no se relacionan con la voluntad contractual. </w:t>
      </w:r>
    </w:p>
    <w:p w14:paraId="58079C5E" w14:textId="67D6522B" w:rsidR="00141DA7" w:rsidRPr="00537743" w:rsidRDefault="005E397A" w:rsidP="005C5011">
      <w:pPr>
        <w:tabs>
          <w:tab w:val="left" w:pos="6379"/>
        </w:tabs>
        <w:spacing w:line="276" w:lineRule="auto"/>
        <w:ind w:firstLine="708"/>
        <w:jc w:val="both"/>
        <w:rPr>
          <w:rFonts w:ascii="Arial" w:eastAsia="Batang" w:hAnsi="Arial" w:cs="Arial"/>
          <w:sz w:val="22"/>
        </w:rPr>
      </w:pPr>
      <w:r w:rsidRPr="00537743">
        <w:rPr>
          <w:rFonts w:ascii="Arial" w:eastAsia="Batang" w:hAnsi="Arial" w:cs="Arial"/>
          <w:sz w:val="22"/>
        </w:rPr>
        <w:t>Dichas</w:t>
      </w:r>
      <w:r w:rsidR="009C61FC" w:rsidRPr="00537743">
        <w:rPr>
          <w:rFonts w:ascii="Arial" w:eastAsia="Batang" w:hAnsi="Arial" w:cs="Arial"/>
          <w:sz w:val="22"/>
        </w:rPr>
        <w:t xml:space="preserve"> reglas de interpretación están dirigidas </w:t>
      </w:r>
      <w:r w:rsidR="00C26260" w:rsidRPr="00537743">
        <w:rPr>
          <w:rFonts w:ascii="Arial" w:eastAsia="Batang" w:hAnsi="Arial" w:cs="Arial"/>
          <w:sz w:val="22"/>
        </w:rPr>
        <w:t>fundamentalmente al juez</w:t>
      </w:r>
      <w:r w:rsidR="00457C57" w:rsidRPr="00537743">
        <w:rPr>
          <w:rFonts w:ascii="Arial" w:eastAsia="Batang" w:hAnsi="Arial" w:cs="Arial"/>
          <w:sz w:val="22"/>
        </w:rPr>
        <w:t>, quien de</w:t>
      </w:r>
      <w:r w:rsidR="00C26D65" w:rsidRPr="00537743">
        <w:rPr>
          <w:rFonts w:ascii="Arial" w:eastAsia="Batang" w:hAnsi="Arial" w:cs="Arial"/>
          <w:sz w:val="22"/>
        </w:rPr>
        <w:t>cide</w:t>
      </w:r>
      <w:r w:rsidR="00457C57" w:rsidRPr="00537743">
        <w:rPr>
          <w:rFonts w:ascii="Arial" w:eastAsia="Batang" w:hAnsi="Arial" w:cs="Arial"/>
          <w:sz w:val="22"/>
        </w:rPr>
        <w:t xml:space="preserve"> </w:t>
      </w:r>
      <w:r w:rsidR="00231E3E" w:rsidRPr="00537743">
        <w:rPr>
          <w:rFonts w:ascii="Arial" w:eastAsia="Batang" w:hAnsi="Arial" w:cs="Arial"/>
          <w:sz w:val="22"/>
        </w:rPr>
        <w:t>de acuerdo con ellas</w:t>
      </w:r>
      <w:r w:rsidR="00457C57" w:rsidRPr="00537743">
        <w:rPr>
          <w:rFonts w:ascii="Arial" w:eastAsia="Batang" w:hAnsi="Arial" w:cs="Arial"/>
          <w:sz w:val="22"/>
        </w:rPr>
        <w:t xml:space="preserve"> cualquier controversia </w:t>
      </w:r>
      <w:r w:rsidR="008D7B61" w:rsidRPr="00537743">
        <w:rPr>
          <w:rFonts w:ascii="Arial" w:eastAsia="Batang" w:hAnsi="Arial" w:cs="Arial"/>
          <w:sz w:val="22"/>
        </w:rPr>
        <w:t xml:space="preserve">que surja entre las partes sobre el alcance de los derechos y obligaciones </w:t>
      </w:r>
      <w:r w:rsidR="00A90461" w:rsidRPr="00537743">
        <w:rPr>
          <w:rFonts w:ascii="Arial" w:eastAsia="Batang" w:hAnsi="Arial" w:cs="Arial"/>
          <w:sz w:val="22"/>
        </w:rPr>
        <w:t>derivados</w:t>
      </w:r>
      <w:r w:rsidR="008D7B61" w:rsidRPr="00537743">
        <w:rPr>
          <w:rFonts w:ascii="Arial" w:eastAsia="Batang" w:hAnsi="Arial" w:cs="Arial"/>
          <w:sz w:val="22"/>
        </w:rPr>
        <w:t xml:space="preserve"> </w:t>
      </w:r>
      <w:r w:rsidR="00A90461" w:rsidRPr="00537743">
        <w:rPr>
          <w:rFonts w:ascii="Arial" w:eastAsia="Batang" w:hAnsi="Arial" w:cs="Arial"/>
          <w:sz w:val="22"/>
        </w:rPr>
        <w:t>d</w:t>
      </w:r>
      <w:r w:rsidR="008D7B61" w:rsidRPr="00537743">
        <w:rPr>
          <w:rFonts w:ascii="Arial" w:eastAsia="Batang" w:hAnsi="Arial" w:cs="Arial"/>
          <w:sz w:val="22"/>
        </w:rPr>
        <w:t>el contrato</w:t>
      </w:r>
      <w:r w:rsidR="005D61EE" w:rsidRPr="00537743">
        <w:rPr>
          <w:rFonts w:ascii="Arial" w:eastAsia="Batang" w:hAnsi="Arial" w:cs="Arial"/>
          <w:sz w:val="22"/>
        </w:rPr>
        <w:t xml:space="preserve">. Sin embargo, ello no obsta para que </w:t>
      </w:r>
      <w:r w:rsidR="00A90461" w:rsidRPr="00537743">
        <w:rPr>
          <w:rFonts w:ascii="Arial" w:eastAsia="Batang" w:hAnsi="Arial" w:cs="Arial"/>
          <w:sz w:val="22"/>
        </w:rPr>
        <w:t>estas</w:t>
      </w:r>
      <w:r w:rsidR="0066379A" w:rsidRPr="00537743">
        <w:rPr>
          <w:rFonts w:ascii="Arial" w:eastAsia="Batang" w:hAnsi="Arial" w:cs="Arial"/>
          <w:sz w:val="22"/>
        </w:rPr>
        <w:t>,</w:t>
      </w:r>
      <w:r w:rsidR="005D61EE" w:rsidRPr="00537743">
        <w:rPr>
          <w:rFonts w:ascii="Arial" w:eastAsia="Batang" w:hAnsi="Arial" w:cs="Arial"/>
          <w:sz w:val="22"/>
        </w:rPr>
        <w:t xml:space="preserve"> de común acuerdo</w:t>
      </w:r>
      <w:r w:rsidR="0066379A" w:rsidRPr="00537743">
        <w:rPr>
          <w:rFonts w:ascii="Arial" w:eastAsia="Batang" w:hAnsi="Arial" w:cs="Arial"/>
          <w:sz w:val="22"/>
        </w:rPr>
        <w:t>, precisen el</w:t>
      </w:r>
      <w:r w:rsidR="002C3F94" w:rsidRPr="00537743">
        <w:rPr>
          <w:rFonts w:ascii="Arial" w:eastAsia="Batang" w:hAnsi="Arial" w:cs="Arial"/>
          <w:sz w:val="22"/>
        </w:rPr>
        <w:t xml:space="preserve"> contenido </w:t>
      </w:r>
      <w:r w:rsidR="00FB64EB" w:rsidRPr="00537743">
        <w:rPr>
          <w:rFonts w:ascii="Arial" w:eastAsia="Batang" w:hAnsi="Arial" w:cs="Arial"/>
          <w:sz w:val="22"/>
        </w:rPr>
        <w:t xml:space="preserve">de las cláusulas </w:t>
      </w:r>
      <w:r w:rsidR="004B3D9B" w:rsidRPr="00537743">
        <w:rPr>
          <w:rFonts w:ascii="Arial" w:eastAsia="Batang" w:hAnsi="Arial" w:cs="Arial"/>
          <w:sz w:val="22"/>
        </w:rPr>
        <w:t>que consideren oscuras</w:t>
      </w:r>
      <w:r w:rsidR="006F33C0" w:rsidRPr="00537743">
        <w:rPr>
          <w:rFonts w:ascii="Arial" w:eastAsia="Batang" w:hAnsi="Arial" w:cs="Arial"/>
          <w:sz w:val="22"/>
        </w:rPr>
        <w:t>, ambiguas o contradictorias</w:t>
      </w:r>
      <w:r w:rsidR="00DF2541" w:rsidRPr="00537743">
        <w:rPr>
          <w:rStyle w:val="Refdenotaalpie"/>
          <w:rFonts w:ascii="Arial" w:eastAsia="Batang" w:hAnsi="Arial" w:cs="Arial"/>
          <w:sz w:val="22"/>
        </w:rPr>
        <w:footnoteReference w:id="18"/>
      </w:r>
      <w:r w:rsidR="00B86AAE" w:rsidRPr="00537743">
        <w:rPr>
          <w:rFonts w:ascii="Arial" w:eastAsia="Batang" w:hAnsi="Arial" w:cs="Arial"/>
          <w:sz w:val="22"/>
        </w:rPr>
        <w:t xml:space="preserve">. </w:t>
      </w:r>
      <w:r w:rsidR="00AA5598" w:rsidRPr="00537743">
        <w:rPr>
          <w:rFonts w:ascii="Arial" w:eastAsia="Batang" w:hAnsi="Arial" w:cs="Arial"/>
          <w:sz w:val="22"/>
        </w:rPr>
        <w:t xml:space="preserve">Incluso, terceras personas </w:t>
      </w:r>
      <w:r w:rsidR="00CB3625" w:rsidRPr="00537743">
        <w:rPr>
          <w:rFonts w:ascii="Arial" w:eastAsia="Batang" w:hAnsi="Arial" w:cs="Arial"/>
          <w:sz w:val="22"/>
        </w:rPr>
        <w:t xml:space="preserve">ajenas al negocio </w:t>
      </w:r>
      <w:r w:rsidR="00F923A2" w:rsidRPr="00537743">
        <w:rPr>
          <w:rFonts w:ascii="Arial" w:eastAsia="Batang" w:hAnsi="Arial" w:cs="Arial"/>
          <w:sz w:val="22"/>
        </w:rPr>
        <w:t xml:space="preserve">también pueden </w:t>
      </w:r>
      <w:r w:rsidR="00C525C7" w:rsidRPr="00537743">
        <w:rPr>
          <w:rFonts w:ascii="Arial" w:eastAsia="Batang" w:hAnsi="Arial" w:cs="Arial"/>
          <w:sz w:val="22"/>
        </w:rPr>
        <w:t xml:space="preserve">hacerlo </w:t>
      </w:r>
      <w:r w:rsidR="00547904" w:rsidRPr="00537743">
        <w:rPr>
          <w:rFonts w:ascii="Arial" w:eastAsia="Batang" w:hAnsi="Arial" w:cs="Arial"/>
          <w:sz w:val="22"/>
        </w:rPr>
        <w:t xml:space="preserve">con </w:t>
      </w:r>
      <w:r w:rsidR="002D49E5" w:rsidRPr="00537743">
        <w:rPr>
          <w:rFonts w:ascii="Arial" w:eastAsia="Batang" w:hAnsi="Arial" w:cs="Arial"/>
          <w:sz w:val="22"/>
        </w:rPr>
        <w:t xml:space="preserve">fines de asesoramiento. </w:t>
      </w:r>
      <w:r w:rsidR="008119FC" w:rsidRPr="00537743">
        <w:rPr>
          <w:rFonts w:ascii="Arial" w:eastAsia="Batang" w:hAnsi="Arial" w:cs="Arial"/>
          <w:sz w:val="22"/>
        </w:rPr>
        <w:t xml:space="preserve">Desde esta perspectiva, </w:t>
      </w:r>
      <w:r w:rsidR="0093717F" w:rsidRPr="00537743">
        <w:rPr>
          <w:rFonts w:ascii="Arial" w:eastAsia="Batang" w:hAnsi="Arial" w:cs="Arial"/>
          <w:sz w:val="22"/>
        </w:rPr>
        <w:t>Díez-Picazo estima que las normas sobre interpretación se dirigen tanto al juez como a las partes del contrato, e incluso a los terceros que pueden de algún modo quedar afectados por é</w:t>
      </w:r>
      <w:r w:rsidR="007F2A1E" w:rsidRPr="00537743">
        <w:rPr>
          <w:rFonts w:ascii="Arial" w:eastAsia="Batang" w:hAnsi="Arial" w:cs="Arial"/>
          <w:sz w:val="22"/>
        </w:rPr>
        <w:t>l</w:t>
      </w:r>
      <w:r w:rsidR="0059702D" w:rsidRPr="00537743">
        <w:rPr>
          <w:rStyle w:val="Refdenotaalpie"/>
          <w:rFonts w:ascii="Arial" w:eastAsia="Batang" w:hAnsi="Arial" w:cs="Arial"/>
          <w:sz w:val="22"/>
        </w:rPr>
        <w:footnoteReference w:id="19"/>
      </w:r>
      <w:r w:rsidR="00061CB2" w:rsidRPr="00537743">
        <w:rPr>
          <w:rFonts w:ascii="Arial" w:eastAsia="Batang" w:hAnsi="Arial" w:cs="Arial"/>
          <w:sz w:val="22"/>
        </w:rPr>
        <w:t>.</w:t>
      </w:r>
      <w:r w:rsidR="00FA4FB1" w:rsidRPr="00537743">
        <w:rPr>
          <w:rFonts w:ascii="Arial" w:eastAsia="Batang" w:hAnsi="Arial" w:cs="Arial"/>
          <w:sz w:val="22"/>
        </w:rPr>
        <w:t xml:space="preserve"> </w:t>
      </w:r>
      <w:r w:rsidR="00B86AAE" w:rsidRPr="00537743">
        <w:rPr>
          <w:rFonts w:ascii="Arial" w:eastAsia="Batang" w:hAnsi="Arial" w:cs="Arial"/>
          <w:sz w:val="22"/>
        </w:rPr>
        <w:t xml:space="preserve">Esto permite </w:t>
      </w:r>
      <w:r w:rsidR="00D2341A" w:rsidRPr="00537743">
        <w:rPr>
          <w:rFonts w:ascii="Arial" w:eastAsia="Batang" w:hAnsi="Arial" w:cs="Arial"/>
          <w:sz w:val="22"/>
        </w:rPr>
        <w:t>distinguir entre la interpretación auténtica</w:t>
      </w:r>
      <w:r w:rsidR="00781FBA" w:rsidRPr="00537743">
        <w:rPr>
          <w:rFonts w:ascii="Arial" w:eastAsia="Batang" w:hAnsi="Arial" w:cs="Arial"/>
          <w:sz w:val="22"/>
        </w:rPr>
        <w:t xml:space="preserve">, </w:t>
      </w:r>
      <w:r w:rsidR="00D2341A" w:rsidRPr="00537743">
        <w:rPr>
          <w:rFonts w:ascii="Arial" w:eastAsia="Batang" w:hAnsi="Arial" w:cs="Arial"/>
          <w:sz w:val="22"/>
        </w:rPr>
        <w:t>judicial</w:t>
      </w:r>
      <w:r w:rsidR="00781FBA" w:rsidRPr="00537743">
        <w:rPr>
          <w:rFonts w:ascii="Arial" w:eastAsia="Batang" w:hAnsi="Arial" w:cs="Arial"/>
          <w:sz w:val="22"/>
        </w:rPr>
        <w:t xml:space="preserve"> y doctrinal</w:t>
      </w:r>
      <w:r w:rsidR="00D2341A" w:rsidRPr="00537743">
        <w:rPr>
          <w:rFonts w:ascii="Arial" w:eastAsia="Batang" w:hAnsi="Arial" w:cs="Arial"/>
          <w:sz w:val="22"/>
        </w:rPr>
        <w:t xml:space="preserve"> del contrato</w:t>
      </w:r>
      <w:r w:rsidR="00740973" w:rsidRPr="00537743">
        <w:rPr>
          <w:rFonts w:ascii="Arial" w:eastAsia="Batang" w:hAnsi="Arial" w:cs="Arial"/>
          <w:sz w:val="22"/>
        </w:rPr>
        <w:t xml:space="preserve">, las cuales </w:t>
      </w:r>
      <w:r w:rsidR="00141DA7" w:rsidRPr="00537743">
        <w:rPr>
          <w:rFonts w:ascii="Arial" w:eastAsia="Batang" w:hAnsi="Arial" w:cs="Arial"/>
          <w:sz w:val="22"/>
        </w:rPr>
        <w:t xml:space="preserve">no solo difieren </w:t>
      </w:r>
      <w:r w:rsidR="00BE71BA" w:rsidRPr="00537743">
        <w:rPr>
          <w:rFonts w:ascii="Arial" w:eastAsia="Batang" w:hAnsi="Arial" w:cs="Arial"/>
          <w:sz w:val="22"/>
        </w:rPr>
        <w:t xml:space="preserve">respecto al sujeto </w:t>
      </w:r>
      <w:r w:rsidR="00217412" w:rsidRPr="00537743">
        <w:rPr>
          <w:rFonts w:ascii="Arial" w:eastAsia="Batang" w:hAnsi="Arial" w:cs="Arial"/>
          <w:sz w:val="22"/>
        </w:rPr>
        <w:t>sino también respecto a la fuerza vinculante</w:t>
      </w:r>
      <w:r w:rsidR="00954546" w:rsidRPr="00537743">
        <w:rPr>
          <w:rFonts w:ascii="Arial" w:eastAsia="Batang" w:hAnsi="Arial" w:cs="Arial"/>
          <w:sz w:val="22"/>
        </w:rPr>
        <w:t xml:space="preserve">. Por ello, </w:t>
      </w:r>
      <w:r w:rsidR="0061645C" w:rsidRPr="00537743">
        <w:rPr>
          <w:rFonts w:ascii="Arial" w:eastAsia="Batang" w:hAnsi="Arial" w:cs="Arial"/>
          <w:sz w:val="22"/>
        </w:rPr>
        <w:t xml:space="preserve">el autor </w:t>
      </w:r>
      <w:r w:rsidR="00954546" w:rsidRPr="00537743">
        <w:rPr>
          <w:rFonts w:ascii="Arial" w:eastAsia="Batang" w:hAnsi="Arial" w:cs="Arial"/>
          <w:sz w:val="22"/>
        </w:rPr>
        <w:t>citado explica que:</w:t>
      </w:r>
    </w:p>
    <w:p w14:paraId="4CFC18A9" w14:textId="77777777" w:rsidR="001376CD" w:rsidRPr="00537743" w:rsidRDefault="001376CD" w:rsidP="005C5011">
      <w:pPr>
        <w:spacing w:line="276" w:lineRule="auto"/>
        <w:ind w:firstLine="708"/>
        <w:jc w:val="both"/>
        <w:rPr>
          <w:rFonts w:ascii="Arial" w:eastAsia="Batang" w:hAnsi="Arial" w:cs="Arial"/>
          <w:sz w:val="22"/>
        </w:rPr>
      </w:pPr>
    </w:p>
    <w:p w14:paraId="5805499D" w14:textId="219865F7" w:rsidR="00D84E0C" w:rsidRPr="00537743" w:rsidRDefault="00394716" w:rsidP="005C5011">
      <w:pPr>
        <w:ind w:left="709" w:right="709"/>
        <w:jc w:val="both"/>
        <w:rPr>
          <w:rFonts w:ascii="Arial" w:eastAsia="Batang" w:hAnsi="Arial" w:cs="Arial"/>
          <w:sz w:val="21"/>
          <w:szCs w:val="21"/>
        </w:rPr>
      </w:pPr>
      <w:r w:rsidRPr="00537743">
        <w:rPr>
          <w:rFonts w:ascii="Arial" w:eastAsia="Batang" w:hAnsi="Arial" w:cs="Arial"/>
          <w:sz w:val="21"/>
          <w:szCs w:val="21"/>
        </w:rPr>
        <w:t xml:space="preserve">Cabe, por consiguiente, hablar en primer lugar de una </w:t>
      </w:r>
      <w:r w:rsidRPr="00537743">
        <w:rPr>
          <w:rFonts w:ascii="Arial" w:eastAsia="Batang" w:hAnsi="Arial" w:cs="Arial"/>
          <w:b/>
          <w:bCs/>
          <w:sz w:val="21"/>
          <w:szCs w:val="21"/>
        </w:rPr>
        <w:t xml:space="preserve">interpretación auténtica </w:t>
      </w:r>
      <w:r w:rsidRPr="00537743">
        <w:rPr>
          <w:rFonts w:ascii="Arial" w:eastAsia="Batang" w:hAnsi="Arial" w:cs="Arial"/>
          <w:sz w:val="21"/>
          <w:szCs w:val="21"/>
        </w:rPr>
        <w:t>del contrato, que es la interpretación llevada a cabo por los autores del mismo conjuntamente. La interpretación auténtica del contrato dará lugar a un negocio de fijación en el que desembocará la eventual discusión de las partes. Dicho negocio vinculante para ellas dejará establecido el sentido en que el contrato debe entenderse y excluirá –al menos entre las partes</w:t>
      </w:r>
      <w:r w:rsidR="00C6607B" w:rsidRPr="00537743">
        <w:rPr>
          <w:rFonts w:ascii="Arial" w:eastAsia="Batang" w:hAnsi="Arial" w:cs="Arial"/>
          <w:sz w:val="21"/>
          <w:szCs w:val="21"/>
        </w:rPr>
        <w:t>–</w:t>
      </w:r>
      <w:r w:rsidRPr="00537743">
        <w:rPr>
          <w:rFonts w:ascii="Arial" w:eastAsia="Batang" w:hAnsi="Arial" w:cs="Arial"/>
          <w:sz w:val="21"/>
          <w:szCs w:val="21"/>
        </w:rPr>
        <w:t xml:space="preserve"> cualquier otra interpretación. </w:t>
      </w:r>
    </w:p>
    <w:p w14:paraId="0E46D563" w14:textId="77777777" w:rsidR="00D84E0C" w:rsidRPr="00537743" w:rsidRDefault="00394716" w:rsidP="005C5011">
      <w:pPr>
        <w:spacing w:before="120"/>
        <w:ind w:left="709" w:right="709"/>
        <w:jc w:val="both"/>
        <w:rPr>
          <w:rFonts w:ascii="Arial" w:eastAsia="Batang" w:hAnsi="Arial" w:cs="Arial"/>
          <w:sz w:val="21"/>
          <w:szCs w:val="21"/>
        </w:rPr>
      </w:pPr>
      <w:r w:rsidRPr="00537743">
        <w:rPr>
          <w:rFonts w:ascii="Arial" w:eastAsia="Batang" w:hAnsi="Arial" w:cs="Arial"/>
          <w:sz w:val="21"/>
          <w:szCs w:val="21"/>
        </w:rPr>
        <w:t xml:space="preserve">Cabe en segundo lugar hablar de una </w:t>
      </w:r>
      <w:r w:rsidRPr="00537743">
        <w:rPr>
          <w:rFonts w:ascii="Arial" w:eastAsia="Batang" w:hAnsi="Arial" w:cs="Arial"/>
          <w:b/>
          <w:bCs/>
          <w:sz w:val="21"/>
          <w:szCs w:val="21"/>
        </w:rPr>
        <w:t>interpretación judicial</w:t>
      </w:r>
      <w:r w:rsidRPr="00537743">
        <w:rPr>
          <w:rFonts w:ascii="Arial" w:eastAsia="Batang" w:hAnsi="Arial" w:cs="Arial"/>
          <w:sz w:val="21"/>
          <w:szCs w:val="21"/>
        </w:rPr>
        <w:t xml:space="preserve"> del contrato. La interpretación judicial no es sin embargo una actividad autónoma. El juez interpretará el contrato, en caso de litigio, como premisa para resolver la controversia acerca de su ejecución. La interpretación llevada a cabo por el juez vincula las partes en relación con el litigio decidido. </w:t>
      </w:r>
    </w:p>
    <w:p w14:paraId="5AC618F8" w14:textId="1C959C40" w:rsidR="00954546" w:rsidRPr="00537743" w:rsidRDefault="00394716" w:rsidP="005C5011">
      <w:pPr>
        <w:spacing w:before="120"/>
        <w:ind w:left="709" w:right="709"/>
        <w:jc w:val="both"/>
        <w:rPr>
          <w:rFonts w:ascii="Arial" w:eastAsia="Batang" w:hAnsi="Arial" w:cs="Arial"/>
          <w:sz w:val="21"/>
          <w:szCs w:val="21"/>
        </w:rPr>
      </w:pPr>
      <w:r w:rsidRPr="00537743">
        <w:rPr>
          <w:rFonts w:ascii="Arial" w:eastAsia="Batang" w:hAnsi="Arial" w:cs="Arial"/>
          <w:sz w:val="21"/>
          <w:szCs w:val="21"/>
        </w:rPr>
        <w:t xml:space="preserve">Cabe por último hablar de una </w:t>
      </w:r>
      <w:r w:rsidRPr="00537743">
        <w:rPr>
          <w:rFonts w:ascii="Arial" w:eastAsia="Batang" w:hAnsi="Arial" w:cs="Arial"/>
          <w:b/>
          <w:bCs/>
          <w:sz w:val="21"/>
          <w:szCs w:val="21"/>
        </w:rPr>
        <w:t>interpretación doctrinal</w:t>
      </w:r>
      <w:r w:rsidRPr="00537743">
        <w:rPr>
          <w:rFonts w:ascii="Arial" w:eastAsia="Batang" w:hAnsi="Arial" w:cs="Arial"/>
          <w:sz w:val="21"/>
          <w:szCs w:val="21"/>
        </w:rPr>
        <w:t xml:space="preserve"> del contrato llevada a cabo por un tercero en función dictaminadora o asesora. Esta interpretación, naturalmente, no es vinculante</w:t>
      </w:r>
      <w:r w:rsidR="00016ED1" w:rsidRPr="00537743">
        <w:rPr>
          <w:rStyle w:val="Refdenotaalpie"/>
          <w:rFonts w:ascii="Arial" w:eastAsia="Batang" w:hAnsi="Arial" w:cs="Arial"/>
          <w:sz w:val="21"/>
          <w:szCs w:val="21"/>
        </w:rPr>
        <w:footnoteReference w:id="20"/>
      </w:r>
      <w:r w:rsidRPr="00537743">
        <w:rPr>
          <w:rFonts w:ascii="Arial" w:eastAsia="Batang" w:hAnsi="Arial" w:cs="Arial"/>
          <w:sz w:val="21"/>
          <w:szCs w:val="21"/>
        </w:rPr>
        <w:t>.</w:t>
      </w:r>
      <w:r w:rsidR="00AB3ADA" w:rsidRPr="00537743">
        <w:rPr>
          <w:rFonts w:ascii="Arial" w:eastAsia="Batang" w:hAnsi="Arial" w:cs="Arial"/>
          <w:sz w:val="21"/>
          <w:szCs w:val="21"/>
        </w:rPr>
        <w:t xml:space="preserve"> (Énfasis dentro del texto)</w:t>
      </w:r>
    </w:p>
    <w:p w14:paraId="16F7AFE5" w14:textId="77777777" w:rsidR="001376CD" w:rsidRPr="00537743" w:rsidRDefault="001376CD" w:rsidP="005C5011">
      <w:pPr>
        <w:spacing w:line="276" w:lineRule="auto"/>
        <w:jc w:val="both"/>
        <w:rPr>
          <w:rFonts w:ascii="Arial" w:eastAsia="Batang" w:hAnsi="Arial" w:cs="Arial"/>
          <w:sz w:val="22"/>
        </w:rPr>
      </w:pPr>
    </w:p>
    <w:p w14:paraId="662D702F" w14:textId="1971B756" w:rsidR="00D62755" w:rsidRPr="00537743" w:rsidRDefault="00CB1EC1" w:rsidP="005C5011">
      <w:pPr>
        <w:spacing w:after="120" w:line="276" w:lineRule="auto"/>
        <w:ind w:firstLine="709"/>
        <w:jc w:val="both"/>
        <w:rPr>
          <w:rFonts w:ascii="Arial" w:eastAsia="Batang" w:hAnsi="Arial" w:cs="Arial"/>
          <w:sz w:val="22"/>
          <w:lang w:val="es-ES"/>
        </w:rPr>
      </w:pPr>
      <w:r w:rsidRPr="00537743">
        <w:rPr>
          <w:rFonts w:ascii="Arial" w:eastAsia="Batang" w:hAnsi="Arial" w:cs="Arial"/>
          <w:sz w:val="22"/>
        </w:rPr>
        <w:lastRenderedPageBreak/>
        <w:t xml:space="preserve">De acuerdo con </w:t>
      </w:r>
      <w:r w:rsidR="00E378F5" w:rsidRPr="00537743">
        <w:rPr>
          <w:rFonts w:ascii="Arial" w:eastAsia="Batang" w:hAnsi="Arial" w:cs="Arial"/>
          <w:sz w:val="22"/>
        </w:rPr>
        <w:t>el parágrafo del artículo 14 de la Ley 80 de 1993</w:t>
      </w:r>
      <w:r w:rsidRPr="00537743">
        <w:rPr>
          <w:rFonts w:ascii="Arial" w:eastAsia="Batang" w:hAnsi="Arial" w:cs="Arial"/>
          <w:sz w:val="22"/>
        </w:rPr>
        <w:t xml:space="preserve">, </w:t>
      </w:r>
      <w:r w:rsidR="00AE1D75" w:rsidRPr="00537743">
        <w:rPr>
          <w:rFonts w:ascii="Arial" w:eastAsia="Batang" w:hAnsi="Arial" w:cs="Arial"/>
          <w:sz w:val="22"/>
        </w:rPr>
        <w:t xml:space="preserve">en un contrato interadministrativo no es posible definir </w:t>
      </w:r>
      <w:r w:rsidR="008142EC" w:rsidRPr="00537743">
        <w:rPr>
          <w:rFonts w:ascii="Arial" w:eastAsia="Batang" w:hAnsi="Arial" w:cs="Arial"/>
          <w:sz w:val="22"/>
        </w:rPr>
        <w:t xml:space="preserve">unilateralmente </w:t>
      </w:r>
      <w:r w:rsidR="00AE1D75" w:rsidRPr="00537743">
        <w:rPr>
          <w:rFonts w:ascii="Arial" w:eastAsia="Batang" w:hAnsi="Arial" w:cs="Arial"/>
          <w:sz w:val="22"/>
        </w:rPr>
        <w:t xml:space="preserve">el alcance del </w:t>
      </w:r>
      <w:r w:rsidR="008142EC" w:rsidRPr="00537743">
        <w:rPr>
          <w:rFonts w:ascii="Arial" w:eastAsia="Batang" w:hAnsi="Arial" w:cs="Arial"/>
          <w:sz w:val="22"/>
        </w:rPr>
        <w:t>clausulado</w:t>
      </w:r>
      <w:r w:rsidR="008F4C4C" w:rsidRPr="00537743">
        <w:rPr>
          <w:rFonts w:ascii="Arial" w:eastAsia="Batang" w:hAnsi="Arial" w:cs="Arial"/>
          <w:sz w:val="22"/>
        </w:rPr>
        <w:t xml:space="preserve">. </w:t>
      </w:r>
      <w:r w:rsidR="00A74AA7" w:rsidRPr="00537743">
        <w:rPr>
          <w:rFonts w:ascii="Arial" w:eastAsia="Batang" w:hAnsi="Arial" w:cs="Arial"/>
          <w:sz w:val="22"/>
        </w:rPr>
        <w:t>Así las cosas</w:t>
      </w:r>
      <w:r w:rsidR="009E2CE7" w:rsidRPr="00537743">
        <w:rPr>
          <w:rFonts w:ascii="Arial" w:eastAsia="Batang" w:hAnsi="Arial" w:cs="Arial"/>
          <w:sz w:val="22"/>
        </w:rPr>
        <w:t xml:space="preserve">, </w:t>
      </w:r>
      <w:r w:rsidR="00E335B3" w:rsidRPr="00537743">
        <w:rPr>
          <w:rFonts w:ascii="Arial" w:eastAsia="Batang" w:hAnsi="Arial" w:cs="Arial"/>
          <w:sz w:val="22"/>
        </w:rPr>
        <w:t>dado</w:t>
      </w:r>
      <w:r w:rsidR="009E2CE7" w:rsidRPr="00537743">
        <w:rPr>
          <w:rFonts w:ascii="Arial" w:eastAsia="Batang" w:hAnsi="Arial" w:cs="Arial"/>
          <w:sz w:val="22"/>
        </w:rPr>
        <w:t xml:space="preserve"> que el contrato nace de un acuerdo de voluntades</w:t>
      </w:r>
      <w:r w:rsidR="00B14EFA" w:rsidRPr="00537743">
        <w:rPr>
          <w:rFonts w:ascii="Arial" w:eastAsia="Batang" w:hAnsi="Arial" w:cs="Arial"/>
          <w:sz w:val="22"/>
        </w:rPr>
        <w:t xml:space="preserve">, </w:t>
      </w:r>
      <w:r w:rsidR="009A30E1" w:rsidRPr="00537743">
        <w:rPr>
          <w:rFonts w:ascii="Arial" w:eastAsia="Batang" w:hAnsi="Arial" w:cs="Arial"/>
          <w:sz w:val="22"/>
        </w:rPr>
        <w:t>aquel</w:t>
      </w:r>
      <w:r w:rsidR="008E20B8" w:rsidRPr="00537743">
        <w:rPr>
          <w:rFonts w:ascii="Arial" w:eastAsia="Batang" w:hAnsi="Arial" w:cs="Arial"/>
          <w:sz w:val="22"/>
        </w:rPr>
        <w:t xml:space="preserve"> debe interpretarse </w:t>
      </w:r>
      <w:r w:rsidR="00E335B3" w:rsidRPr="00537743">
        <w:rPr>
          <w:rFonts w:ascii="Arial" w:eastAsia="Batang" w:hAnsi="Arial" w:cs="Arial"/>
          <w:sz w:val="22"/>
        </w:rPr>
        <w:t>conforme a</w:t>
      </w:r>
      <w:r w:rsidR="00CC37A5" w:rsidRPr="00537743">
        <w:rPr>
          <w:rFonts w:ascii="Arial" w:eastAsia="Batang" w:hAnsi="Arial" w:cs="Arial"/>
          <w:sz w:val="22"/>
        </w:rPr>
        <w:t xml:space="preserve"> la intención común de las partes</w:t>
      </w:r>
      <w:r w:rsidR="001E3F29" w:rsidRPr="00537743">
        <w:rPr>
          <w:rFonts w:ascii="Arial" w:eastAsia="Batang" w:hAnsi="Arial" w:cs="Arial"/>
          <w:sz w:val="22"/>
        </w:rPr>
        <w:t xml:space="preserve">, especialmente, </w:t>
      </w:r>
      <w:r w:rsidR="00994C37" w:rsidRPr="00537743">
        <w:rPr>
          <w:rFonts w:ascii="Arial" w:eastAsia="Batang" w:hAnsi="Arial" w:cs="Arial"/>
          <w:sz w:val="22"/>
        </w:rPr>
        <w:t>cuando</w:t>
      </w:r>
      <w:r w:rsidR="00913FFC" w:rsidRPr="00537743">
        <w:rPr>
          <w:rFonts w:ascii="Arial" w:eastAsia="Batang" w:hAnsi="Arial" w:cs="Arial"/>
          <w:sz w:val="22"/>
        </w:rPr>
        <w:t xml:space="preserve"> la </w:t>
      </w:r>
      <w:r w:rsidR="006C20E1" w:rsidRPr="00537743">
        <w:rPr>
          <w:rFonts w:ascii="Arial" w:eastAsia="Batang" w:hAnsi="Arial" w:cs="Arial"/>
          <w:sz w:val="22"/>
        </w:rPr>
        <w:t>hermenéutica contractual</w:t>
      </w:r>
      <w:r w:rsidR="00994C37" w:rsidRPr="00537743">
        <w:rPr>
          <w:rFonts w:ascii="Arial" w:eastAsia="Batang" w:hAnsi="Arial" w:cs="Arial"/>
          <w:sz w:val="22"/>
        </w:rPr>
        <w:t xml:space="preserve"> no tiene por objeto el querer dispositivo </w:t>
      </w:r>
      <w:r w:rsidR="009563AC" w:rsidRPr="00537743">
        <w:rPr>
          <w:rFonts w:ascii="Arial" w:eastAsia="Batang" w:hAnsi="Arial" w:cs="Arial"/>
          <w:sz w:val="22"/>
        </w:rPr>
        <w:t>de cada uno de los contratantes individualmente considerado</w:t>
      </w:r>
      <w:r w:rsidR="009D261F" w:rsidRPr="00537743">
        <w:rPr>
          <w:rStyle w:val="Refdenotaalpie"/>
          <w:rFonts w:ascii="Arial" w:eastAsia="Batang" w:hAnsi="Arial" w:cs="Arial"/>
          <w:sz w:val="22"/>
        </w:rPr>
        <w:footnoteReference w:id="21"/>
      </w:r>
      <w:r w:rsidR="006E59E6" w:rsidRPr="00537743">
        <w:rPr>
          <w:rFonts w:ascii="Arial" w:eastAsia="Batang" w:hAnsi="Arial" w:cs="Arial"/>
          <w:sz w:val="22"/>
        </w:rPr>
        <w:t xml:space="preserve">. </w:t>
      </w:r>
      <w:r w:rsidR="008A65EC" w:rsidRPr="00537743">
        <w:rPr>
          <w:rFonts w:ascii="Arial" w:eastAsia="Batang" w:hAnsi="Arial" w:cs="Arial"/>
          <w:sz w:val="22"/>
        </w:rPr>
        <w:t xml:space="preserve">Cuando no existe </w:t>
      </w:r>
      <w:r w:rsidR="007046F9" w:rsidRPr="00537743">
        <w:rPr>
          <w:rFonts w:ascii="Arial" w:eastAsia="Batang" w:hAnsi="Arial" w:cs="Arial"/>
          <w:sz w:val="22"/>
        </w:rPr>
        <w:t>un acuerdo</w:t>
      </w:r>
      <w:r w:rsidR="003D0A73" w:rsidRPr="00537743">
        <w:rPr>
          <w:rFonts w:ascii="Arial" w:eastAsia="Batang" w:hAnsi="Arial" w:cs="Arial"/>
          <w:sz w:val="22"/>
        </w:rPr>
        <w:t xml:space="preserve"> común</w:t>
      </w:r>
      <w:r w:rsidR="007046F9" w:rsidRPr="00537743">
        <w:rPr>
          <w:rFonts w:ascii="Arial" w:eastAsia="Batang" w:hAnsi="Arial" w:cs="Arial"/>
          <w:sz w:val="22"/>
        </w:rPr>
        <w:t xml:space="preserve"> entre las partes</w:t>
      </w:r>
      <w:r w:rsidR="003D0A73" w:rsidRPr="00537743">
        <w:rPr>
          <w:rFonts w:ascii="Arial" w:eastAsia="Batang" w:hAnsi="Arial" w:cs="Arial"/>
          <w:sz w:val="22"/>
        </w:rPr>
        <w:t xml:space="preserve"> –interpretación autentica–</w:t>
      </w:r>
      <w:r w:rsidR="007046F9" w:rsidRPr="00537743">
        <w:rPr>
          <w:rFonts w:ascii="Arial" w:eastAsia="Batang" w:hAnsi="Arial" w:cs="Arial"/>
          <w:sz w:val="22"/>
        </w:rPr>
        <w:t xml:space="preserve">, el </w:t>
      </w:r>
      <w:r w:rsidR="00126CFC" w:rsidRPr="00537743">
        <w:rPr>
          <w:rFonts w:ascii="Arial" w:eastAsia="Batang" w:hAnsi="Arial" w:cs="Arial"/>
          <w:sz w:val="22"/>
        </w:rPr>
        <w:t>sistema de administración de justicia</w:t>
      </w:r>
      <w:r w:rsidR="007046F9" w:rsidRPr="00537743">
        <w:rPr>
          <w:rFonts w:ascii="Arial" w:eastAsia="Batang" w:hAnsi="Arial" w:cs="Arial"/>
          <w:sz w:val="22"/>
        </w:rPr>
        <w:t xml:space="preserve"> define la controversia</w:t>
      </w:r>
      <w:r w:rsidR="009773BB" w:rsidRPr="00537743">
        <w:rPr>
          <w:rFonts w:ascii="Arial" w:eastAsia="Batang" w:hAnsi="Arial" w:cs="Arial"/>
          <w:sz w:val="22"/>
        </w:rPr>
        <w:t xml:space="preserve"> –interpretación judicial–</w:t>
      </w:r>
      <w:r w:rsidR="00B92A77" w:rsidRPr="00537743">
        <w:rPr>
          <w:rFonts w:ascii="Arial" w:eastAsia="Batang" w:hAnsi="Arial" w:cs="Arial"/>
          <w:sz w:val="22"/>
        </w:rPr>
        <w:t xml:space="preserve">. </w:t>
      </w:r>
      <w:r w:rsidR="00E91F8B" w:rsidRPr="00537743">
        <w:rPr>
          <w:rFonts w:ascii="Arial" w:eastAsia="Batang" w:hAnsi="Arial" w:cs="Arial"/>
          <w:sz w:val="22"/>
        </w:rPr>
        <w:t>Si bien ambos son destinatarios de las normas interpretativas d</w:t>
      </w:r>
      <w:r w:rsidR="00E91F8B" w:rsidRPr="00537743">
        <w:rPr>
          <w:rFonts w:ascii="Arial" w:eastAsia="Batang" w:hAnsi="Arial" w:cs="Arial"/>
          <w:sz w:val="22"/>
          <w:lang w:val="es-ES"/>
        </w:rPr>
        <w:t>el título XIII del libro cuarto del Código Civil</w:t>
      </w:r>
      <w:r w:rsidR="007E2564" w:rsidRPr="00537743">
        <w:rPr>
          <w:rFonts w:ascii="Arial" w:eastAsia="Batang" w:hAnsi="Arial" w:cs="Arial"/>
          <w:sz w:val="22"/>
          <w:lang w:val="es-ES"/>
        </w:rPr>
        <w:t>, estas también se extienden a terceros</w:t>
      </w:r>
      <w:r w:rsidR="0070497F" w:rsidRPr="00537743">
        <w:rPr>
          <w:rFonts w:ascii="Arial" w:eastAsia="Batang" w:hAnsi="Arial" w:cs="Arial"/>
          <w:sz w:val="22"/>
          <w:lang w:val="es-ES"/>
        </w:rPr>
        <w:t xml:space="preserve"> como </w:t>
      </w:r>
      <w:r w:rsidR="00D62755" w:rsidRPr="00537743">
        <w:rPr>
          <w:rFonts w:ascii="Arial" w:eastAsia="Batang" w:hAnsi="Arial" w:cs="Arial"/>
          <w:sz w:val="22"/>
          <w:lang w:val="es-ES"/>
        </w:rPr>
        <w:t>los supervisores de los contratos estatales</w:t>
      </w:r>
      <w:r w:rsidR="00DC01BF" w:rsidRPr="00537743">
        <w:rPr>
          <w:rFonts w:ascii="Arial" w:eastAsia="Batang" w:hAnsi="Arial" w:cs="Arial"/>
          <w:sz w:val="22"/>
          <w:lang w:val="es-ES"/>
        </w:rPr>
        <w:t xml:space="preserve"> –interpretación doctrinal–</w:t>
      </w:r>
      <w:r w:rsidR="00D62755" w:rsidRPr="00537743">
        <w:rPr>
          <w:rFonts w:ascii="Arial" w:eastAsia="Batang" w:hAnsi="Arial" w:cs="Arial"/>
          <w:sz w:val="22"/>
          <w:lang w:val="es-ES"/>
        </w:rPr>
        <w:t>.</w:t>
      </w:r>
    </w:p>
    <w:p w14:paraId="505F07C8" w14:textId="5D949AC4" w:rsidR="000F1CD9" w:rsidRDefault="00DC01BF" w:rsidP="005C5011">
      <w:pPr>
        <w:spacing w:line="276" w:lineRule="auto"/>
        <w:ind w:firstLine="709"/>
        <w:jc w:val="both"/>
        <w:rPr>
          <w:rFonts w:ascii="Arial" w:eastAsia="Calibri" w:hAnsi="Arial" w:cs="Arial"/>
          <w:color w:val="000000" w:themeColor="text1"/>
          <w:sz w:val="22"/>
        </w:rPr>
      </w:pPr>
      <w:r w:rsidRPr="00537743">
        <w:rPr>
          <w:rFonts w:ascii="Arial" w:eastAsia="Batang" w:hAnsi="Arial" w:cs="Arial"/>
          <w:sz w:val="22"/>
          <w:lang w:val="es-ES"/>
        </w:rPr>
        <w:t>En este último caso</w:t>
      </w:r>
      <w:r w:rsidR="00DF00DD" w:rsidRPr="00537743">
        <w:rPr>
          <w:rFonts w:ascii="Arial" w:eastAsia="Batang" w:hAnsi="Arial" w:cs="Arial"/>
          <w:sz w:val="22"/>
          <w:lang w:val="es-ES"/>
        </w:rPr>
        <w:t xml:space="preserve">, </w:t>
      </w:r>
      <w:r w:rsidR="00797CED" w:rsidRPr="00537743">
        <w:rPr>
          <w:rFonts w:ascii="Arial" w:eastAsia="Batang" w:hAnsi="Arial" w:cs="Arial"/>
          <w:sz w:val="22"/>
        </w:rPr>
        <w:t>los supervisores tienen la función general de ejercer el control y vigilancia sobre la ejecución de los contratos vigilados</w:t>
      </w:r>
      <w:r w:rsidR="00385566" w:rsidRPr="00537743">
        <w:rPr>
          <w:rFonts w:ascii="Arial" w:eastAsia="Batang" w:hAnsi="Arial" w:cs="Arial"/>
          <w:sz w:val="22"/>
        </w:rPr>
        <w:t>. Dicha labor está</w:t>
      </w:r>
      <w:r w:rsidR="00797CED" w:rsidRPr="00537743">
        <w:rPr>
          <w:rFonts w:ascii="Arial" w:eastAsia="Batang" w:hAnsi="Arial" w:cs="Arial"/>
          <w:sz w:val="22"/>
        </w:rPr>
        <w:t xml:space="preserve"> dirigida a verificar el cumplimiento de las condiciones pactadas en los mismos y</w:t>
      </w:r>
      <w:r w:rsidR="00385566" w:rsidRPr="00537743">
        <w:rPr>
          <w:rFonts w:ascii="Arial" w:eastAsia="Batang" w:hAnsi="Arial" w:cs="Arial"/>
          <w:sz w:val="22"/>
        </w:rPr>
        <w:t xml:space="preserve">, en consecuencia, </w:t>
      </w:r>
      <w:r w:rsidR="00797CED" w:rsidRPr="00537743">
        <w:rPr>
          <w:rFonts w:ascii="Arial" w:eastAsia="Batang" w:hAnsi="Arial" w:cs="Arial"/>
          <w:sz w:val="22"/>
        </w:rPr>
        <w:t>están facultados para solicitar informes, aclaraciones y explicaciones sobre el desarrollo de la ejecución contractual, impartir instrucciones al contratista y hacer recomendaciones encaminadas a lograr la correcta ejecución del objeto contratado</w:t>
      </w:r>
      <w:r w:rsidR="00BD17E9" w:rsidRPr="00537743">
        <w:rPr>
          <w:rFonts w:ascii="Arial" w:eastAsia="Batang" w:hAnsi="Arial" w:cs="Arial"/>
          <w:sz w:val="22"/>
        </w:rPr>
        <w:t xml:space="preserve">. No obstante, </w:t>
      </w:r>
      <w:r w:rsidR="005D226A" w:rsidRPr="00537743">
        <w:rPr>
          <w:rFonts w:ascii="Arial" w:eastAsia="Batang" w:hAnsi="Arial" w:cs="Arial"/>
          <w:sz w:val="22"/>
        </w:rPr>
        <w:t>como se explica en la «Guía para el ejercicio de las funciones de Supervisión e Interventoría de los contratos del Estado»</w:t>
      </w:r>
      <w:r w:rsidR="00A87D39" w:rsidRPr="00537743">
        <w:rPr>
          <w:rFonts w:ascii="Arial" w:eastAsia="Batang" w:hAnsi="Arial" w:cs="Arial"/>
          <w:sz w:val="22"/>
        </w:rPr>
        <w:t>, «En ningún caso los interventores o supervisores en ejercicio de sus funciones pueden sustituir a la Entidad Estatal en la toma de decisiones sobre el contrato vigilado por lo que las mismas siempre deben ser tomadas por el representante legal de la Entidad Estatal con base en lo que los primeros hubieran informado sobre la ejecución de las obligaciones contractuales</w:t>
      </w:r>
      <w:r w:rsidR="00613628" w:rsidRPr="00537743">
        <w:rPr>
          <w:rFonts w:ascii="Arial" w:eastAsia="Batang" w:hAnsi="Arial" w:cs="Arial"/>
          <w:sz w:val="22"/>
        </w:rPr>
        <w:t>»</w:t>
      </w:r>
      <w:r w:rsidR="00CE6234" w:rsidRPr="00537743">
        <w:rPr>
          <w:rStyle w:val="Refdenotaalpie"/>
          <w:rFonts w:ascii="Arial" w:eastAsia="Batang" w:hAnsi="Arial" w:cs="Arial"/>
          <w:sz w:val="22"/>
        </w:rPr>
        <w:footnoteReference w:id="22"/>
      </w:r>
      <w:r w:rsidR="00CE6234" w:rsidRPr="00537743">
        <w:rPr>
          <w:rFonts w:ascii="Arial" w:eastAsia="Batang" w:hAnsi="Arial" w:cs="Arial"/>
          <w:sz w:val="22"/>
        </w:rPr>
        <w:t>.</w:t>
      </w:r>
      <w:r w:rsidR="009D4D50" w:rsidRPr="00537743">
        <w:rPr>
          <w:rFonts w:ascii="Arial" w:eastAsia="Batang" w:hAnsi="Arial" w:cs="Arial"/>
          <w:sz w:val="22"/>
        </w:rPr>
        <w:t xml:space="preserve"> Por tanto, </w:t>
      </w:r>
      <w:r w:rsidR="00E23367" w:rsidRPr="00537743">
        <w:rPr>
          <w:rFonts w:ascii="Arial" w:eastAsia="Batang" w:hAnsi="Arial" w:cs="Arial"/>
          <w:sz w:val="22"/>
        </w:rPr>
        <w:t xml:space="preserve">aunque el supervisor del contrato puede interpretar el alcance de las cláusulas </w:t>
      </w:r>
      <w:r w:rsidR="00CF1BB8" w:rsidRPr="00537743">
        <w:rPr>
          <w:rFonts w:ascii="Arial" w:eastAsia="Batang" w:hAnsi="Arial" w:cs="Arial"/>
          <w:sz w:val="22"/>
        </w:rPr>
        <w:t>oscuras, ambiguas o contradictorias conforme a los criterios de los artículos</w:t>
      </w:r>
      <w:r w:rsidR="00BD5C0B" w:rsidRPr="00537743">
        <w:rPr>
          <w:rFonts w:ascii="Arial" w:eastAsia="Batang" w:hAnsi="Arial" w:cs="Arial"/>
          <w:sz w:val="22"/>
        </w:rPr>
        <w:t xml:space="preserve"> 1618 a 1624 del Código Civil</w:t>
      </w:r>
      <w:r w:rsidR="00053FA1" w:rsidRPr="00537743">
        <w:rPr>
          <w:rFonts w:ascii="Arial" w:eastAsia="Batang" w:hAnsi="Arial" w:cs="Arial"/>
          <w:sz w:val="22"/>
        </w:rPr>
        <w:t xml:space="preserve">, </w:t>
      </w:r>
      <w:r w:rsidR="004E52B8" w:rsidRPr="00537743">
        <w:rPr>
          <w:rFonts w:ascii="Arial" w:eastAsia="Batang" w:hAnsi="Arial" w:cs="Arial"/>
          <w:sz w:val="22"/>
        </w:rPr>
        <w:t>esta no es</w:t>
      </w:r>
      <w:r w:rsidR="00053FA1" w:rsidRPr="00537743">
        <w:rPr>
          <w:rFonts w:ascii="Arial" w:eastAsia="Batang" w:hAnsi="Arial" w:cs="Arial"/>
          <w:sz w:val="22"/>
        </w:rPr>
        <w:t xml:space="preserve"> obligatori</w:t>
      </w:r>
      <w:r w:rsidR="004E52B8" w:rsidRPr="00537743">
        <w:rPr>
          <w:rFonts w:ascii="Arial" w:eastAsia="Batang" w:hAnsi="Arial" w:cs="Arial"/>
          <w:sz w:val="22"/>
        </w:rPr>
        <w:t>a</w:t>
      </w:r>
      <w:r w:rsidR="00053FA1" w:rsidRPr="00537743">
        <w:rPr>
          <w:rFonts w:ascii="Arial" w:eastAsia="Batang" w:hAnsi="Arial" w:cs="Arial"/>
          <w:sz w:val="22"/>
        </w:rPr>
        <w:t xml:space="preserve"> </w:t>
      </w:r>
      <w:r w:rsidR="00C91299" w:rsidRPr="00537743">
        <w:rPr>
          <w:rFonts w:ascii="Arial" w:eastAsia="Batang" w:hAnsi="Arial" w:cs="Arial"/>
          <w:sz w:val="22"/>
        </w:rPr>
        <w:t>para ninguna de las partes</w:t>
      </w:r>
      <w:r w:rsidR="00674244" w:rsidRPr="00537743">
        <w:rPr>
          <w:rFonts w:ascii="Arial" w:eastAsia="Batang" w:hAnsi="Arial" w:cs="Arial"/>
          <w:sz w:val="22"/>
        </w:rPr>
        <w:t xml:space="preserve"> del negocio jurídico</w:t>
      </w:r>
      <w:r w:rsidR="003C3B97" w:rsidRPr="00537743">
        <w:rPr>
          <w:rFonts w:ascii="Arial" w:eastAsia="Batang" w:hAnsi="Arial" w:cs="Arial"/>
          <w:sz w:val="22"/>
        </w:rPr>
        <w:t>.</w:t>
      </w:r>
    </w:p>
    <w:p w14:paraId="25EE2DDF" w14:textId="77777777" w:rsidR="003D70EA" w:rsidRPr="007D4B50" w:rsidRDefault="003D70EA" w:rsidP="00AF5DA5">
      <w:pPr>
        <w:spacing w:line="276" w:lineRule="auto"/>
        <w:ind w:firstLine="708"/>
        <w:jc w:val="both"/>
        <w:rPr>
          <w:rFonts w:ascii="Arial" w:hAnsi="Arial" w:cs="Arial"/>
          <w:color w:val="000000" w:themeColor="text1"/>
          <w:sz w:val="22"/>
          <w:u w:val="single"/>
        </w:rPr>
      </w:pPr>
    </w:p>
    <w:p w14:paraId="65A409E7" w14:textId="29CDD852" w:rsidR="0025163D" w:rsidRPr="00E52B90" w:rsidRDefault="00E824C0" w:rsidP="006026D9">
      <w:pPr>
        <w:pStyle w:val="Textoindependiente"/>
        <w:spacing w:line="276" w:lineRule="auto"/>
        <w:ind w:right="107"/>
        <w:jc w:val="both"/>
        <w:rPr>
          <w:rFonts w:eastAsia="Times New Roman"/>
          <w:bCs/>
          <w:color w:val="000000" w:themeColor="text1"/>
          <w:lang w:eastAsia="es-ES_tradnl"/>
        </w:rPr>
      </w:pPr>
      <w:r w:rsidRPr="00E52B90">
        <w:rPr>
          <w:b/>
          <w:bCs/>
          <w:color w:val="000000" w:themeColor="text1"/>
        </w:rPr>
        <w:t xml:space="preserve">3. </w:t>
      </w:r>
      <w:r w:rsidR="00F31211" w:rsidRPr="00E52B90">
        <w:rPr>
          <w:b/>
          <w:bCs/>
          <w:color w:val="000000" w:themeColor="text1"/>
        </w:rPr>
        <w:t>Respuesta</w:t>
      </w:r>
      <w:r w:rsidR="00F31211" w:rsidRPr="00E52B90">
        <w:rPr>
          <w:rFonts w:eastAsia="Times New Roman"/>
          <w:bCs/>
          <w:color w:val="000000" w:themeColor="text1"/>
          <w:lang w:eastAsia="es-ES_tradnl"/>
        </w:rPr>
        <w:t xml:space="preserve"> </w:t>
      </w:r>
    </w:p>
    <w:p w14:paraId="5B69A38C" w14:textId="77777777" w:rsidR="00E86F8F" w:rsidRPr="00E52B90" w:rsidRDefault="00E86F8F" w:rsidP="00E86F8F">
      <w:pPr>
        <w:pStyle w:val="Textoindependiente"/>
        <w:spacing w:line="276" w:lineRule="auto"/>
        <w:ind w:right="107"/>
        <w:jc w:val="both"/>
        <w:rPr>
          <w:rFonts w:eastAsia="Times New Roman"/>
          <w:bCs/>
          <w:color w:val="000000" w:themeColor="text1"/>
          <w:lang w:eastAsia="es-ES_tradnl"/>
        </w:rPr>
      </w:pPr>
    </w:p>
    <w:p w14:paraId="7B5C30F3" w14:textId="77777777" w:rsidR="00E148FD" w:rsidRDefault="00E148FD" w:rsidP="005C5011">
      <w:pPr>
        <w:spacing w:after="120"/>
        <w:ind w:left="709" w:right="709"/>
        <w:jc w:val="both"/>
        <w:rPr>
          <w:rFonts w:ascii="Arial" w:eastAsia="Times New Roman" w:hAnsi="Arial" w:cs="Arial"/>
          <w:bCs/>
          <w:color w:val="000000" w:themeColor="text1"/>
          <w:sz w:val="21"/>
          <w:szCs w:val="21"/>
          <w:lang w:val="es-ES" w:eastAsia="es-ES_tradnl"/>
        </w:rPr>
      </w:pPr>
      <w:r w:rsidRPr="00E148FD">
        <w:rPr>
          <w:rFonts w:ascii="Arial" w:eastAsia="Times New Roman" w:hAnsi="Arial" w:cs="Arial"/>
          <w:bCs/>
          <w:color w:val="000000" w:themeColor="text1"/>
          <w:sz w:val="21"/>
          <w:szCs w:val="21"/>
          <w:lang w:val="es-ES" w:eastAsia="es-ES_tradnl"/>
        </w:rPr>
        <w:t xml:space="preserve">i) «¿En concepto de la Unidad Administrativa Especial Agencia Nacional de Contratación Pública Colombia Compra Eficiente, cuando una Entidad Estatal, de las definidas en el artículo 2 de la Ley 80 de 1993, modificado por el artículo 32 de la Ley 1150 de 2007, celebra un contrato interadministrativo de prestación de servicios de los que trata el artículo 2.2.1.2.1.4.4 del Decreto 1082 de 2015, Único Reglamentario del sector Planeación Nacional, y en dicho contracto no se pacta ningún tipo de cláusula excepcional, frente a una eventual discrepancia en </w:t>
      </w:r>
      <w:r w:rsidRPr="00E148FD">
        <w:rPr>
          <w:rFonts w:ascii="Arial" w:eastAsia="Times New Roman" w:hAnsi="Arial" w:cs="Arial"/>
          <w:bCs/>
          <w:color w:val="000000" w:themeColor="text1"/>
          <w:sz w:val="21"/>
          <w:szCs w:val="21"/>
          <w:lang w:val="es-ES" w:eastAsia="es-ES_tradnl"/>
        </w:rPr>
        <w:lastRenderedPageBreak/>
        <w:t>la interpretación del clausulado contractual, cuáles son las reglas aplicables para que las partes efectúen una correcta interpretación del contrato?»</w:t>
      </w:r>
      <w:r>
        <w:rPr>
          <w:rFonts w:ascii="Arial" w:eastAsia="Times New Roman" w:hAnsi="Arial" w:cs="Arial"/>
          <w:bCs/>
          <w:color w:val="000000" w:themeColor="text1"/>
          <w:sz w:val="21"/>
          <w:szCs w:val="21"/>
          <w:lang w:val="es-ES" w:eastAsia="es-ES_tradnl"/>
        </w:rPr>
        <w:t>.</w:t>
      </w:r>
    </w:p>
    <w:p w14:paraId="6FB90884" w14:textId="3C20342A" w:rsidR="00E5174D" w:rsidRDefault="00E148FD" w:rsidP="00E148FD">
      <w:pPr>
        <w:ind w:left="709" w:right="709"/>
        <w:jc w:val="both"/>
        <w:rPr>
          <w:rFonts w:ascii="Arial" w:eastAsia="Times New Roman" w:hAnsi="Arial" w:cs="Arial"/>
          <w:bCs/>
          <w:color w:val="000000" w:themeColor="text1"/>
          <w:sz w:val="21"/>
          <w:szCs w:val="21"/>
          <w:lang w:val="es-ES" w:eastAsia="es-ES_tradnl"/>
        </w:rPr>
      </w:pPr>
      <w:proofErr w:type="spellStart"/>
      <w:r w:rsidRPr="00E148FD">
        <w:rPr>
          <w:rFonts w:ascii="Arial" w:eastAsia="Times New Roman" w:hAnsi="Arial" w:cs="Arial"/>
          <w:bCs/>
          <w:color w:val="000000" w:themeColor="text1"/>
          <w:sz w:val="21"/>
          <w:szCs w:val="21"/>
          <w:lang w:val="es-ES" w:eastAsia="es-ES_tradnl"/>
        </w:rPr>
        <w:t>ii</w:t>
      </w:r>
      <w:proofErr w:type="spellEnd"/>
      <w:r w:rsidRPr="00E148FD">
        <w:rPr>
          <w:rFonts w:ascii="Arial" w:eastAsia="Times New Roman" w:hAnsi="Arial" w:cs="Arial"/>
          <w:bCs/>
          <w:color w:val="000000" w:themeColor="text1"/>
          <w:sz w:val="21"/>
          <w:szCs w:val="21"/>
          <w:lang w:val="es-ES" w:eastAsia="es-ES_tradnl"/>
        </w:rPr>
        <w:t>) «¿A qué otras reglas de interpretación es válido acudir para el caso en que existan discrepancias en la interpretación del contrato en la modalidad reseñada, esto es, contratos interadministrativos de prestación de servicios en los que no se pacta ningún tipo de cláusula excepcional?»</w:t>
      </w:r>
      <w:r>
        <w:rPr>
          <w:rFonts w:ascii="Arial" w:eastAsia="Times New Roman" w:hAnsi="Arial" w:cs="Arial"/>
          <w:bCs/>
          <w:color w:val="000000" w:themeColor="text1"/>
          <w:sz w:val="21"/>
          <w:szCs w:val="21"/>
          <w:lang w:val="es-ES" w:eastAsia="es-ES_tradnl"/>
        </w:rPr>
        <w:t>.</w:t>
      </w:r>
      <w:r w:rsidR="00E5174D" w:rsidRPr="00E5174D">
        <w:rPr>
          <w:rFonts w:ascii="Arial" w:eastAsia="Times New Roman" w:hAnsi="Arial" w:cs="Arial"/>
          <w:bCs/>
          <w:color w:val="000000" w:themeColor="text1"/>
          <w:sz w:val="21"/>
          <w:szCs w:val="21"/>
          <w:lang w:val="es-ES" w:eastAsia="es-ES_tradnl"/>
        </w:rPr>
        <w:t xml:space="preserve"> </w:t>
      </w:r>
    </w:p>
    <w:p w14:paraId="05F6B3D8" w14:textId="77777777" w:rsidR="00E5174D" w:rsidRPr="005C5011" w:rsidRDefault="00E5174D" w:rsidP="005C5011">
      <w:pPr>
        <w:spacing w:line="276" w:lineRule="auto"/>
        <w:ind w:left="709" w:right="709"/>
        <w:jc w:val="both"/>
        <w:rPr>
          <w:rFonts w:ascii="Arial" w:eastAsia="Times New Roman" w:hAnsi="Arial" w:cs="Arial"/>
          <w:bCs/>
          <w:color w:val="000000" w:themeColor="text1"/>
          <w:sz w:val="22"/>
          <w:lang w:val="es-ES" w:eastAsia="es-ES_tradnl"/>
        </w:rPr>
      </w:pPr>
    </w:p>
    <w:p w14:paraId="41FD2591" w14:textId="4C71022E" w:rsidR="00303B73" w:rsidRDefault="001359E6" w:rsidP="00303B73">
      <w:pPr>
        <w:spacing w:after="120" w:line="276" w:lineRule="auto"/>
        <w:jc w:val="both"/>
        <w:rPr>
          <w:rFonts w:ascii="Arial" w:eastAsia="Batang" w:hAnsi="Arial" w:cs="Arial"/>
          <w:sz w:val="22"/>
          <w:lang w:val="es-ES"/>
        </w:rPr>
      </w:pPr>
      <w:r>
        <w:rPr>
          <w:rFonts w:ascii="Arial" w:eastAsia="Batang" w:hAnsi="Arial" w:cs="Arial"/>
          <w:sz w:val="22"/>
          <w:lang w:val="es-ES"/>
        </w:rPr>
        <w:t xml:space="preserve">Considerando que no es posible interpretar unilateralmente los contratos interadministrativos, salvo que exista algún acuerdo entre las partes sobre el alcance de las cláusulas que lo componen, corresponde al juez del contrato resolver cualquier controversia </w:t>
      </w:r>
      <w:r w:rsidRPr="00DE3592">
        <w:rPr>
          <w:rFonts w:ascii="Arial" w:eastAsia="Batang" w:hAnsi="Arial" w:cs="Arial"/>
          <w:sz w:val="22"/>
          <w:lang w:val="es-ES"/>
        </w:rPr>
        <w:t>sobre la interpretación de sus estipulaciones</w:t>
      </w:r>
      <w:r>
        <w:rPr>
          <w:rFonts w:ascii="Arial" w:eastAsia="Batang" w:hAnsi="Arial" w:cs="Arial"/>
          <w:sz w:val="22"/>
          <w:lang w:val="es-ES"/>
        </w:rPr>
        <w:t>.</w:t>
      </w:r>
      <w:r w:rsidR="00303B73" w:rsidRPr="00303B73">
        <w:rPr>
          <w:rFonts w:ascii="Arial" w:eastAsia="Batang" w:hAnsi="Arial" w:cs="Arial"/>
          <w:sz w:val="22"/>
          <w:lang w:val="es-ES"/>
        </w:rPr>
        <w:t xml:space="preserve"> </w:t>
      </w:r>
      <w:r w:rsidR="00303B73">
        <w:rPr>
          <w:rFonts w:ascii="Arial" w:eastAsia="Batang" w:hAnsi="Arial" w:cs="Arial"/>
          <w:sz w:val="22"/>
          <w:lang w:val="es-ES"/>
        </w:rPr>
        <w:t>Como explica la doctrina, «Interpretar un acto jurídico es averiguar el verdadero sentido y el alcance de sus estipulaciones. Quienes tiene que pronunciarse sobre un acto jurídico, especialmente lo</w:t>
      </w:r>
      <w:r w:rsidR="00CF3AB8">
        <w:rPr>
          <w:rFonts w:ascii="Arial" w:eastAsia="Batang" w:hAnsi="Arial" w:cs="Arial"/>
          <w:sz w:val="22"/>
          <w:lang w:val="es-ES"/>
        </w:rPr>
        <w:t>s</w:t>
      </w:r>
      <w:r w:rsidR="00303B73">
        <w:rPr>
          <w:rFonts w:ascii="Arial" w:eastAsia="Batang" w:hAnsi="Arial" w:cs="Arial"/>
          <w:sz w:val="22"/>
          <w:lang w:val="es-ES"/>
        </w:rPr>
        <w:t xml:space="preserve"> jueces llamados a </w:t>
      </w:r>
      <w:proofErr w:type="gramStart"/>
      <w:r w:rsidR="00303B73">
        <w:rPr>
          <w:rFonts w:ascii="Arial" w:eastAsia="Batang" w:hAnsi="Arial" w:cs="Arial"/>
          <w:sz w:val="22"/>
          <w:lang w:val="es-ES"/>
        </w:rPr>
        <w:t>aplicarlo,</w:t>
      </w:r>
      <w:proofErr w:type="gramEnd"/>
      <w:r w:rsidR="00303B73">
        <w:rPr>
          <w:rFonts w:ascii="Arial" w:eastAsia="Batang" w:hAnsi="Arial" w:cs="Arial"/>
          <w:sz w:val="22"/>
          <w:lang w:val="es-ES"/>
        </w:rPr>
        <w:t xml:space="preserve"> tienen que comenzar por entenderlo rectamente, lo que con frecuencia resulta difícil debido a la oscuridad, imprecisión, ambigüedad o deficiencia de las cláusulas empleadas por los agentes para expresar su voluntad, y hasta debido a contradicciones entre dichas cláusulas. En estos casos corresponde al intérprete desentrañar el real significado de las declaraciones formuladas y armonizarlas en cuanto ello sea posible».   </w:t>
      </w:r>
    </w:p>
    <w:p w14:paraId="27971434" w14:textId="32563360" w:rsidR="00303B73" w:rsidRDefault="00303B73" w:rsidP="005C5011">
      <w:pPr>
        <w:spacing w:after="120" w:line="276" w:lineRule="auto"/>
        <w:jc w:val="both"/>
        <w:rPr>
          <w:rFonts w:ascii="Arial" w:eastAsia="Batang" w:hAnsi="Arial" w:cs="Arial"/>
          <w:sz w:val="22"/>
          <w:lang w:val="es-ES"/>
        </w:rPr>
      </w:pPr>
      <w:r>
        <w:rPr>
          <w:rFonts w:ascii="Arial" w:eastAsia="Batang" w:hAnsi="Arial" w:cs="Arial"/>
          <w:sz w:val="22"/>
          <w:lang w:val="es-ES"/>
        </w:rPr>
        <w:tab/>
        <w:t>Respecto a la definición de los criterios aplicables para interpretar las cláusulas, es necesario tener en cuenta la remisión del inciso primero del artículo 13 del Estatuto General de Contratación de la Administración Pública, pues dispone que «</w:t>
      </w:r>
      <w:r w:rsidRPr="005D63DA">
        <w:rPr>
          <w:rFonts w:ascii="Arial" w:eastAsia="Batang" w:hAnsi="Arial" w:cs="Arial"/>
          <w:sz w:val="22"/>
          <w:lang w:val="es-ES"/>
        </w:rPr>
        <w:t>Los contratos que celebren las entidades a que se refiere el artículo 2o. del presente estatuto se regirán por las disposiciones comerciales y civiles pertinentes, salvo en las materias particularmente reguladas en esta ley</w:t>
      </w:r>
      <w:r>
        <w:rPr>
          <w:rFonts w:ascii="Arial" w:eastAsia="Batang" w:hAnsi="Arial" w:cs="Arial"/>
          <w:sz w:val="22"/>
          <w:lang w:val="es-ES"/>
        </w:rPr>
        <w:t>». De esta manera, sin perjuicio de los objetivos previstos en el artículo 28 de la Ley 80 de 1993, se incorporan las pautas previstas en el título XIII del libro cuarto del Código Civil, sobre la interpretación de los contratos. Esto se ratifica en el artículo 23 del Estatuto General, pues también prescribe que en «</w:t>
      </w:r>
      <w:r w:rsidRPr="00EC149A">
        <w:rPr>
          <w:rFonts w:ascii="Arial" w:eastAsia="Batang" w:hAnsi="Arial" w:cs="Arial"/>
          <w:sz w:val="22"/>
        </w:rPr>
        <w:t xml:space="preserve">Las actuaciones de quienes intervengan en la contratación estatal </w:t>
      </w:r>
      <w:r>
        <w:rPr>
          <w:rFonts w:ascii="Arial" w:eastAsia="Batang" w:hAnsi="Arial" w:cs="Arial"/>
          <w:sz w:val="22"/>
        </w:rPr>
        <w:t>[…]</w:t>
      </w:r>
      <w:r w:rsidRPr="00EC149A">
        <w:rPr>
          <w:rFonts w:ascii="Arial" w:eastAsia="Batang" w:hAnsi="Arial" w:cs="Arial"/>
          <w:sz w:val="22"/>
        </w:rPr>
        <w:t xml:space="preserve"> se aplicarán </w:t>
      </w:r>
      <w:r>
        <w:rPr>
          <w:rFonts w:ascii="Arial" w:eastAsia="Batang" w:hAnsi="Arial" w:cs="Arial"/>
          <w:sz w:val="22"/>
        </w:rPr>
        <w:t>[…]</w:t>
      </w:r>
      <w:r w:rsidRPr="00EC149A">
        <w:rPr>
          <w:rFonts w:ascii="Arial" w:eastAsia="Batang" w:hAnsi="Arial" w:cs="Arial"/>
          <w:sz w:val="22"/>
        </w:rPr>
        <w:t xml:space="preserve"> las normas que regulan </w:t>
      </w:r>
      <w:r>
        <w:rPr>
          <w:rFonts w:ascii="Arial" w:eastAsia="Batang" w:hAnsi="Arial" w:cs="Arial"/>
          <w:sz w:val="22"/>
        </w:rPr>
        <w:t>[…]</w:t>
      </w:r>
      <w:r w:rsidRPr="00EC149A">
        <w:rPr>
          <w:rFonts w:ascii="Arial" w:eastAsia="Batang" w:hAnsi="Arial" w:cs="Arial"/>
          <w:sz w:val="22"/>
        </w:rPr>
        <w:t xml:space="preserve"> las reglas de interpretación de la contratación</w:t>
      </w:r>
      <w:r>
        <w:rPr>
          <w:rFonts w:ascii="Arial" w:eastAsia="Batang" w:hAnsi="Arial" w:cs="Arial"/>
          <w:sz w:val="22"/>
        </w:rPr>
        <w:t xml:space="preserve"> […]».</w:t>
      </w:r>
    </w:p>
    <w:p w14:paraId="3E4ED31C" w14:textId="20D5349F" w:rsidR="00E86F8F" w:rsidRPr="0045528C" w:rsidRDefault="00303B73" w:rsidP="005C5011">
      <w:pPr>
        <w:spacing w:line="276" w:lineRule="auto"/>
        <w:ind w:firstLine="708"/>
        <w:jc w:val="both"/>
        <w:rPr>
          <w:rFonts w:ascii="Arial" w:eastAsia="Calibri" w:hAnsi="Arial" w:cs="Arial"/>
          <w:color w:val="000000" w:themeColor="text1"/>
          <w:sz w:val="22"/>
        </w:rPr>
      </w:pPr>
      <w:r>
        <w:rPr>
          <w:rFonts w:ascii="Arial" w:eastAsia="Batang" w:hAnsi="Arial" w:cs="Arial"/>
          <w:sz w:val="22"/>
          <w:lang w:val="es-ES"/>
        </w:rPr>
        <w:t>Para estos efectos</w:t>
      </w:r>
      <w:r w:rsidRPr="000F1CD9">
        <w:rPr>
          <w:rFonts w:ascii="Arial" w:eastAsia="Batang" w:hAnsi="Arial" w:cs="Arial"/>
          <w:sz w:val="22"/>
        </w:rPr>
        <w:t xml:space="preserve">, </w:t>
      </w:r>
      <w:r>
        <w:rPr>
          <w:rFonts w:ascii="Arial" w:eastAsia="Batang" w:hAnsi="Arial" w:cs="Arial"/>
          <w:sz w:val="22"/>
        </w:rPr>
        <w:t>la legislación</w:t>
      </w:r>
      <w:r w:rsidRPr="000F1CD9">
        <w:rPr>
          <w:rFonts w:ascii="Arial" w:eastAsia="Batang" w:hAnsi="Arial" w:cs="Arial"/>
          <w:sz w:val="22"/>
        </w:rPr>
        <w:t xml:space="preserve"> colombiana </w:t>
      </w:r>
      <w:r>
        <w:rPr>
          <w:rFonts w:ascii="Arial" w:eastAsia="Batang" w:hAnsi="Arial" w:cs="Arial"/>
          <w:sz w:val="22"/>
        </w:rPr>
        <w:t>consagra</w:t>
      </w:r>
      <w:r w:rsidRPr="000F1CD9">
        <w:rPr>
          <w:rFonts w:ascii="Arial" w:eastAsia="Batang" w:hAnsi="Arial" w:cs="Arial"/>
          <w:sz w:val="22"/>
        </w:rPr>
        <w:t xml:space="preserve"> unas regla</w:t>
      </w:r>
      <w:r>
        <w:rPr>
          <w:rFonts w:ascii="Arial" w:eastAsia="Batang" w:hAnsi="Arial" w:cs="Arial"/>
          <w:sz w:val="22"/>
        </w:rPr>
        <w:t>s</w:t>
      </w:r>
      <w:r w:rsidRPr="000F1CD9">
        <w:rPr>
          <w:rFonts w:ascii="Arial" w:eastAsia="Batang" w:hAnsi="Arial" w:cs="Arial"/>
          <w:sz w:val="22"/>
        </w:rPr>
        <w:t xml:space="preserve"> subjetivas </w:t>
      </w:r>
      <w:r>
        <w:rPr>
          <w:rFonts w:ascii="Arial" w:eastAsia="Batang" w:hAnsi="Arial" w:cs="Arial"/>
          <w:sz w:val="22"/>
        </w:rPr>
        <w:t xml:space="preserve">y otras objetivas para la interpretación de los contratos, </w:t>
      </w:r>
      <w:r w:rsidRPr="000F1CD9">
        <w:rPr>
          <w:rFonts w:ascii="Arial" w:eastAsia="Batang" w:hAnsi="Arial" w:cs="Arial"/>
          <w:sz w:val="22"/>
        </w:rPr>
        <w:t xml:space="preserve">conforme a los artículos 1618 a 1624 del Código Civil. Las primeras son las siguientes: i) una vez conocida la intención de los contratantes ha de estarse más a ella que a lo literal de las palabras (artículo 1618 del Código Civil); ii) </w:t>
      </w:r>
      <w:r w:rsidRPr="000F1CD9">
        <w:rPr>
          <w:rFonts w:ascii="Arial" w:eastAsia="Batang" w:hAnsi="Arial" w:cs="Arial"/>
          <w:sz w:val="22"/>
          <w:lang w:val="es-ES_tradnl"/>
        </w:rPr>
        <w:t xml:space="preserve">las estipulaciones de un contrato pueden interpretarse por la de otro que las partes hayan celebrado sobre la misma materia o por la aplicación práctica que de ellas hayan hecho (artículo 1622, incisos 2 y 3 </w:t>
      </w:r>
      <w:proofErr w:type="spellStart"/>
      <w:r w:rsidRPr="000F1CD9">
        <w:rPr>
          <w:rFonts w:ascii="Arial" w:eastAsia="Batang" w:hAnsi="Arial" w:cs="Arial"/>
          <w:i/>
          <w:iCs/>
          <w:sz w:val="22"/>
          <w:lang w:val="es-ES_tradnl"/>
        </w:rPr>
        <w:t>ibídem</w:t>
      </w:r>
      <w:proofErr w:type="spellEnd"/>
      <w:r w:rsidRPr="000F1CD9">
        <w:rPr>
          <w:rFonts w:ascii="Arial" w:eastAsia="Batang" w:hAnsi="Arial" w:cs="Arial"/>
          <w:sz w:val="22"/>
          <w:lang w:val="es-ES_tradnl"/>
        </w:rPr>
        <w:t xml:space="preserve">); </w:t>
      </w:r>
      <w:proofErr w:type="spellStart"/>
      <w:r w:rsidRPr="000F1CD9">
        <w:rPr>
          <w:rFonts w:ascii="Arial" w:eastAsia="Batang" w:hAnsi="Arial" w:cs="Arial"/>
          <w:sz w:val="22"/>
          <w:lang w:val="es-ES_tradnl"/>
        </w:rPr>
        <w:t>iii</w:t>
      </w:r>
      <w:proofErr w:type="spellEnd"/>
      <w:r w:rsidRPr="000F1CD9">
        <w:rPr>
          <w:rFonts w:ascii="Arial" w:eastAsia="Batang" w:hAnsi="Arial" w:cs="Arial"/>
          <w:sz w:val="22"/>
          <w:lang w:val="es-ES_tradnl"/>
        </w:rPr>
        <w:t xml:space="preserve">) las cláusulas deben interpretarse unas por otras, dándole a cada una el sentido que más convenga al contrato en su totalidad (artículo 1622, inciso 1 </w:t>
      </w:r>
      <w:proofErr w:type="spellStart"/>
      <w:r w:rsidRPr="000F1CD9">
        <w:rPr>
          <w:rFonts w:ascii="Arial" w:eastAsia="Batang" w:hAnsi="Arial" w:cs="Arial"/>
          <w:i/>
          <w:iCs/>
          <w:sz w:val="22"/>
          <w:lang w:val="es-ES_tradnl"/>
        </w:rPr>
        <w:t>ibídem</w:t>
      </w:r>
      <w:proofErr w:type="spellEnd"/>
      <w:r w:rsidRPr="000F1CD9">
        <w:rPr>
          <w:rFonts w:ascii="Arial" w:eastAsia="Batang" w:hAnsi="Arial" w:cs="Arial"/>
          <w:sz w:val="22"/>
          <w:lang w:val="es-ES_tradnl"/>
        </w:rPr>
        <w:t xml:space="preserve">); </w:t>
      </w:r>
      <w:proofErr w:type="spellStart"/>
      <w:r w:rsidRPr="000F1CD9">
        <w:rPr>
          <w:rFonts w:ascii="Arial" w:eastAsia="Batang" w:hAnsi="Arial" w:cs="Arial"/>
          <w:sz w:val="22"/>
          <w:lang w:val="es-ES_tradnl"/>
        </w:rPr>
        <w:t>iv</w:t>
      </w:r>
      <w:proofErr w:type="spellEnd"/>
      <w:r w:rsidRPr="000F1CD9">
        <w:rPr>
          <w:rFonts w:ascii="Arial" w:eastAsia="Batang" w:hAnsi="Arial" w:cs="Arial"/>
          <w:sz w:val="22"/>
          <w:lang w:val="es-ES_tradnl"/>
        </w:rPr>
        <w:t xml:space="preserve">) si en un contrato se expresa un caso para explicar la obligación se entiende que esa mención no es restrictiva sino ejemplificativa (artículo 1623 </w:t>
      </w:r>
      <w:proofErr w:type="spellStart"/>
      <w:r w:rsidRPr="000F1CD9">
        <w:rPr>
          <w:rFonts w:ascii="Arial" w:eastAsia="Batang" w:hAnsi="Arial" w:cs="Arial"/>
          <w:i/>
          <w:iCs/>
          <w:sz w:val="22"/>
          <w:lang w:val="es-ES_tradnl"/>
        </w:rPr>
        <w:t>ibídem</w:t>
      </w:r>
      <w:proofErr w:type="spellEnd"/>
      <w:r w:rsidRPr="000F1CD9">
        <w:rPr>
          <w:rFonts w:ascii="Arial" w:eastAsia="Batang" w:hAnsi="Arial" w:cs="Arial"/>
          <w:sz w:val="22"/>
          <w:lang w:val="es-ES_tradnl"/>
        </w:rPr>
        <w:t xml:space="preserve">); y v) se entiende que las expresiones generales contenidas en el negocio </w:t>
      </w:r>
      <w:r w:rsidRPr="000F1CD9">
        <w:rPr>
          <w:rFonts w:ascii="Arial" w:eastAsia="Batang" w:hAnsi="Arial" w:cs="Arial"/>
          <w:sz w:val="22"/>
          <w:lang w:val="es-ES_tradnl"/>
        </w:rPr>
        <w:lastRenderedPageBreak/>
        <w:t xml:space="preserve">únicamente se aplican a la materia sobre la que se ha contratado (artículo 1619, inciso 2 </w:t>
      </w:r>
      <w:proofErr w:type="spellStart"/>
      <w:r w:rsidRPr="000F1CD9">
        <w:rPr>
          <w:rFonts w:ascii="Arial" w:eastAsia="Batang" w:hAnsi="Arial" w:cs="Arial"/>
          <w:i/>
          <w:iCs/>
          <w:sz w:val="22"/>
          <w:lang w:val="es-ES_tradnl"/>
        </w:rPr>
        <w:t>ibídem</w:t>
      </w:r>
      <w:proofErr w:type="spellEnd"/>
      <w:r w:rsidRPr="000F1CD9">
        <w:rPr>
          <w:rFonts w:ascii="Arial" w:eastAsia="Batang" w:hAnsi="Arial" w:cs="Arial"/>
          <w:sz w:val="22"/>
          <w:lang w:val="es-ES_tradnl"/>
        </w:rPr>
        <w:t xml:space="preserve">). Las segundas son estas: vi) </w:t>
      </w:r>
      <w:r w:rsidRPr="000F1CD9">
        <w:rPr>
          <w:rFonts w:ascii="Arial" w:eastAsia="Batang" w:hAnsi="Arial" w:cs="Arial"/>
          <w:sz w:val="22"/>
        </w:rPr>
        <w:t xml:space="preserve">el sentido en que una cláusula pueda producir algún efecto deberá preferirse a aquel en que no produzca efecto alguno </w:t>
      </w:r>
      <w:r w:rsidRPr="000F1CD9">
        <w:rPr>
          <w:rFonts w:ascii="Arial" w:eastAsia="Batang" w:hAnsi="Arial" w:cs="Arial"/>
          <w:sz w:val="22"/>
          <w:lang w:val="es-ES_tradnl"/>
        </w:rPr>
        <w:t xml:space="preserve">(artículo 1620 </w:t>
      </w:r>
      <w:proofErr w:type="spellStart"/>
      <w:r w:rsidRPr="000F1CD9">
        <w:rPr>
          <w:rFonts w:ascii="Arial" w:eastAsia="Batang" w:hAnsi="Arial" w:cs="Arial"/>
          <w:i/>
          <w:iCs/>
          <w:sz w:val="22"/>
          <w:lang w:val="es-ES_tradnl"/>
        </w:rPr>
        <w:t>ibídem</w:t>
      </w:r>
      <w:proofErr w:type="spellEnd"/>
      <w:r w:rsidRPr="000F1CD9">
        <w:rPr>
          <w:rFonts w:ascii="Arial" w:eastAsia="Batang" w:hAnsi="Arial" w:cs="Arial"/>
          <w:sz w:val="22"/>
          <w:lang w:val="es-ES_tradnl"/>
        </w:rPr>
        <w:t xml:space="preserve">); </w:t>
      </w:r>
      <w:proofErr w:type="spellStart"/>
      <w:r w:rsidRPr="000F1CD9">
        <w:rPr>
          <w:rFonts w:ascii="Arial" w:eastAsia="Batang" w:hAnsi="Arial" w:cs="Arial"/>
          <w:sz w:val="22"/>
          <w:lang w:val="es-ES_tradnl"/>
        </w:rPr>
        <w:t>vii</w:t>
      </w:r>
      <w:proofErr w:type="spellEnd"/>
      <w:r w:rsidRPr="000F1CD9">
        <w:rPr>
          <w:rFonts w:ascii="Arial" w:eastAsia="Batang" w:hAnsi="Arial" w:cs="Arial"/>
          <w:sz w:val="22"/>
          <w:lang w:val="es-ES_tradnl"/>
        </w:rPr>
        <w:t>)</w:t>
      </w:r>
      <w:r w:rsidRPr="000F1CD9">
        <w:rPr>
          <w:rFonts w:ascii="Arial" w:eastAsia="Batang" w:hAnsi="Arial" w:cs="Arial"/>
          <w:sz w:val="22"/>
        </w:rPr>
        <w:t xml:space="preserve"> deberá estarse a la interpretación que mejor cuadre con la naturaleza del contrato </w:t>
      </w:r>
      <w:r w:rsidRPr="000F1CD9">
        <w:rPr>
          <w:rFonts w:ascii="Arial" w:eastAsia="Batang" w:hAnsi="Arial" w:cs="Arial"/>
          <w:sz w:val="22"/>
          <w:lang w:val="es-ES_tradnl"/>
        </w:rPr>
        <w:t xml:space="preserve">(artículo 1621 </w:t>
      </w:r>
      <w:proofErr w:type="spellStart"/>
      <w:r w:rsidRPr="000F1CD9">
        <w:rPr>
          <w:rFonts w:ascii="Arial" w:eastAsia="Batang" w:hAnsi="Arial" w:cs="Arial"/>
          <w:i/>
          <w:iCs/>
          <w:sz w:val="22"/>
          <w:lang w:val="es-ES_tradnl"/>
        </w:rPr>
        <w:t>ibídem</w:t>
      </w:r>
      <w:proofErr w:type="spellEnd"/>
      <w:r w:rsidRPr="000F1CD9">
        <w:rPr>
          <w:rFonts w:ascii="Arial" w:eastAsia="Batang" w:hAnsi="Arial" w:cs="Arial"/>
          <w:sz w:val="22"/>
          <w:lang w:val="es-ES_tradnl"/>
        </w:rPr>
        <w:t>)</w:t>
      </w:r>
      <w:r w:rsidRPr="000F1CD9">
        <w:rPr>
          <w:rFonts w:ascii="Arial" w:eastAsia="Batang" w:hAnsi="Arial" w:cs="Arial"/>
          <w:sz w:val="22"/>
        </w:rPr>
        <w:t xml:space="preserve">; viii) las cláusulas ambiguas se interpretan a favor del deudor </w:t>
      </w:r>
      <w:r w:rsidRPr="000F1CD9">
        <w:rPr>
          <w:rFonts w:ascii="Arial" w:eastAsia="Batang" w:hAnsi="Arial" w:cs="Arial"/>
          <w:sz w:val="22"/>
          <w:lang w:val="es-ES_tradnl"/>
        </w:rPr>
        <w:t xml:space="preserve">(artículo 1624, inciso 1 </w:t>
      </w:r>
      <w:proofErr w:type="spellStart"/>
      <w:r w:rsidRPr="000F1CD9">
        <w:rPr>
          <w:rFonts w:ascii="Arial" w:eastAsia="Batang" w:hAnsi="Arial" w:cs="Arial"/>
          <w:i/>
          <w:iCs/>
          <w:sz w:val="22"/>
          <w:lang w:val="es-ES_tradnl"/>
        </w:rPr>
        <w:t>ibídem</w:t>
      </w:r>
      <w:proofErr w:type="spellEnd"/>
      <w:r w:rsidRPr="000F1CD9">
        <w:rPr>
          <w:rFonts w:ascii="Arial" w:eastAsia="Batang" w:hAnsi="Arial" w:cs="Arial"/>
          <w:sz w:val="22"/>
          <w:lang w:val="es-ES_tradnl"/>
        </w:rPr>
        <w:t xml:space="preserve">); y </w:t>
      </w:r>
      <w:proofErr w:type="spellStart"/>
      <w:r w:rsidRPr="000F1CD9">
        <w:rPr>
          <w:rFonts w:ascii="Arial" w:eastAsia="Batang" w:hAnsi="Arial" w:cs="Arial"/>
          <w:sz w:val="22"/>
          <w:lang w:val="es-ES_tradnl"/>
        </w:rPr>
        <w:t>ix</w:t>
      </w:r>
      <w:proofErr w:type="spellEnd"/>
      <w:r w:rsidRPr="000F1CD9">
        <w:rPr>
          <w:rFonts w:ascii="Arial" w:eastAsia="Batang" w:hAnsi="Arial" w:cs="Arial"/>
          <w:sz w:val="22"/>
          <w:lang w:val="es-ES_tradnl"/>
        </w:rPr>
        <w:t>)</w:t>
      </w:r>
      <w:r w:rsidRPr="000F1CD9">
        <w:rPr>
          <w:rFonts w:ascii="Arial" w:eastAsia="Batang" w:hAnsi="Arial" w:cs="Arial"/>
          <w:sz w:val="22"/>
        </w:rPr>
        <w:t xml:space="preserve"> las cláusulas oscuras que hayan sido extendidas o dictadas por una parte se interpretarán contra ella si la ambigüedad proviene de una explicación que ésta ha debido dar </w:t>
      </w:r>
      <w:r w:rsidRPr="000F1CD9">
        <w:rPr>
          <w:rFonts w:ascii="Arial" w:eastAsia="Batang" w:hAnsi="Arial" w:cs="Arial"/>
          <w:sz w:val="22"/>
          <w:lang w:val="es-ES_tradnl"/>
        </w:rPr>
        <w:t xml:space="preserve">(artículo 1624, inciso 2 </w:t>
      </w:r>
      <w:proofErr w:type="spellStart"/>
      <w:r w:rsidRPr="000F1CD9">
        <w:rPr>
          <w:rFonts w:ascii="Arial" w:eastAsia="Batang" w:hAnsi="Arial" w:cs="Arial"/>
          <w:i/>
          <w:iCs/>
          <w:sz w:val="22"/>
          <w:lang w:val="es-ES_tradnl"/>
        </w:rPr>
        <w:t>ibídem</w:t>
      </w:r>
      <w:proofErr w:type="spellEnd"/>
      <w:r w:rsidRPr="000F1CD9">
        <w:rPr>
          <w:rFonts w:ascii="Arial" w:eastAsia="Batang" w:hAnsi="Arial" w:cs="Arial"/>
          <w:sz w:val="22"/>
          <w:lang w:val="es-ES_tradnl"/>
        </w:rPr>
        <w:t>)</w:t>
      </w:r>
      <w:r w:rsidRPr="000F1CD9">
        <w:rPr>
          <w:rFonts w:ascii="Arial" w:eastAsia="Batang" w:hAnsi="Arial" w:cs="Arial"/>
          <w:sz w:val="22"/>
        </w:rPr>
        <w:t>. En abstracto, estas</w:t>
      </w:r>
      <w:r>
        <w:rPr>
          <w:rFonts w:ascii="Arial" w:eastAsia="Batang" w:hAnsi="Arial" w:cs="Arial"/>
          <w:sz w:val="22"/>
        </w:rPr>
        <w:t xml:space="preserve"> últimas</w:t>
      </w:r>
      <w:r w:rsidRPr="000F1CD9">
        <w:rPr>
          <w:rFonts w:ascii="Arial" w:eastAsia="Batang" w:hAnsi="Arial" w:cs="Arial"/>
          <w:sz w:val="22"/>
        </w:rPr>
        <w:t xml:space="preserve"> son subsidiarias en relación con </w:t>
      </w:r>
      <w:r>
        <w:rPr>
          <w:rFonts w:ascii="Arial" w:eastAsia="Batang" w:hAnsi="Arial" w:cs="Arial"/>
          <w:sz w:val="22"/>
        </w:rPr>
        <w:t>las primeras</w:t>
      </w:r>
      <w:r w:rsidRPr="000F1CD9">
        <w:rPr>
          <w:rFonts w:ascii="Arial" w:eastAsia="Batang" w:hAnsi="Arial" w:cs="Arial"/>
          <w:sz w:val="22"/>
        </w:rPr>
        <w:t>, pues no se relacionan con la voluntad contractual</w:t>
      </w:r>
      <w:r w:rsidR="0045528C" w:rsidRPr="000F1CD9">
        <w:rPr>
          <w:rFonts w:ascii="Arial" w:eastAsia="Batang" w:hAnsi="Arial" w:cs="Arial"/>
          <w:sz w:val="22"/>
        </w:rPr>
        <w:t>.</w:t>
      </w:r>
    </w:p>
    <w:p w14:paraId="0080C4FC" w14:textId="77777777" w:rsidR="00E86F8F" w:rsidRPr="00E86F8F" w:rsidRDefault="00E86F8F" w:rsidP="00CF3AB8">
      <w:pPr>
        <w:spacing w:line="276" w:lineRule="auto"/>
        <w:ind w:right="709"/>
        <w:jc w:val="both"/>
        <w:rPr>
          <w:rFonts w:ascii="Arial" w:eastAsia="Times New Roman" w:hAnsi="Arial" w:cs="Arial"/>
          <w:bCs/>
          <w:color w:val="000000" w:themeColor="text1"/>
          <w:sz w:val="22"/>
          <w:lang w:val="es-ES" w:eastAsia="es-ES_tradnl"/>
        </w:rPr>
      </w:pPr>
    </w:p>
    <w:p w14:paraId="6A70A686" w14:textId="2E507428" w:rsidR="00E5174D" w:rsidRDefault="003916EF" w:rsidP="00E5174D">
      <w:pPr>
        <w:ind w:left="709" w:right="709"/>
        <w:jc w:val="both"/>
        <w:rPr>
          <w:rFonts w:ascii="Arial" w:eastAsia="Times New Roman" w:hAnsi="Arial" w:cs="Arial"/>
          <w:bCs/>
          <w:color w:val="000000" w:themeColor="text1"/>
          <w:sz w:val="22"/>
          <w:lang w:val="es-ES" w:eastAsia="es-ES_tradnl"/>
        </w:rPr>
      </w:pPr>
      <w:proofErr w:type="spellStart"/>
      <w:r>
        <w:rPr>
          <w:rFonts w:ascii="Arial" w:eastAsia="Times New Roman" w:hAnsi="Arial" w:cs="Arial"/>
          <w:bCs/>
          <w:color w:val="000000" w:themeColor="text1"/>
          <w:sz w:val="21"/>
          <w:szCs w:val="21"/>
          <w:lang w:val="es-ES" w:eastAsia="es-ES_tradnl"/>
        </w:rPr>
        <w:t>iii</w:t>
      </w:r>
      <w:proofErr w:type="spellEnd"/>
      <w:r>
        <w:rPr>
          <w:rFonts w:ascii="Arial" w:eastAsia="Times New Roman" w:hAnsi="Arial" w:cs="Arial"/>
          <w:bCs/>
          <w:color w:val="000000" w:themeColor="text1"/>
          <w:sz w:val="21"/>
          <w:szCs w:val="21"/>
          <w:lang w:val="es-ES" w:eastAsia="es-ES_tradnl"/>
        </w:rPr>
        <w:t>)</w:t>
      </w:r>
      <w:r w:rsidR="00E5174D" w:rsidRPr="00E5174D">
        <w:rPr>
          <w:rFonts w:ascii="Arial" w:eastAsia="Times New Roman" w:hAnsi="Arial" w:cs="Arial"/>
          <w:bCs/>
          <w:color w:val="000000" w:themeColor="text1"/>
          <w:sz w:val="21"/>
          <w:szCs w:val="21"/>
          <w:lang w:val="es-ES" w:eastAsia="es-ES_tradnl"/>
        </w:rPr>
        <w:t xml:space="preserve"> </w:t>
      </w:r>
      <w:r>
        <w:rPr>
          <w:rFonts w:ascii="Arial" w:eastAsia="Times New Roman" w:hAnsi="Arial" w:cs="Arial"/>
          <w:bCs/>
          <w:color w:val="000000" w:themeColor="text1"/>
          <w:sz w:val="21"/>
          <w:szCs w:val="21"/>
          <w:lang w:val="es-ES" w:eastAsia="es-ES_tradnl"/>
        </w:rPr>
        <w:t>«</w:t>
      </w:r>
      <w:r w:rsidR="00E5174D" w:rsidRPr="00E5174D">
        <w:rPr>
          <w:rFonts w:ascii="Arial" w:eastAsia="Times New Roman" w:hAnsi="Arial" w:cs="Arial"/>
          <w:bCs/>
          <w:color w:val="000000" w:themeColor="text1"/>
          <w:sz w:val="21"/>
          <w:szCs w:val="21"/>
          <w:lang w:val="es-ES" w:eastAsia="es-ES_tradnl"/>
        </w:rPr>
        <w:t>¿Está facultado el Supervisor del contrato para acudir directamente a las reglas de interpretación referenciadas, dentro del marco del ejercicio de sus funciones y responsabilidades, dentro de la gestión contractual de las Entidades de que trata el artículo 2 de la Ley 80 de 1993, modificado por el artículo 32 de la Ley 1150 de 2007?».</w:t>
      </w:r>
    </w:p>
    <w:p w14:paraId="14CC0A2E" w14:textId="77777777" w:rsidR="00CF5269" w:rsidRDefault="00CF5269" w:rsidP="009F7B7B">
      <w:pPr>
        <w:spacing w:line="276" w:lineRule="auto"/>
        <w:jc w:val="both"/>
        <w:rPr>
          <w:rFonts w:ascii="Arial" w:eastAsia="Times New Roman" w:hAnsi="Arial" w:cs="Arial"/>
          <w:bCs/>
          <w:color w:val="000000" w:themeColor="text1"/>
          <w:sz w:val="22"/>
          <w:lang w:val="es-ES" w:eastAsia="es-ES_tradnl"/>
        </w:rPr>
      </w:pPr>
    </w:p>
    <w:p w14:paraId="265DEEAE" w14:textId="7EFD77B8" w:rsidR="00571ACC" w:rsidRDefault="00571ACC" w:rsidP="005C5011">
      <w:pPr>
        <w:spacing w:after="120" w:line="276" w:lineRule="auto"/>
        <w:jc w:val="both"/>
        <w:rPr>
          <w:rFonts w:ascii="Arial" w:eastAsia="Batang" w:hAnsi="Arial" w:cs="Arial"/>
          <w:sz w:val="22"/>
          <w:lang w:val="es-ES"/>
        </w:rPr>
      </w:pPr>
      <w:bookmarkStart w:id="10" w:name="OLE_LINK1"/>
      <w:bookmarkStart w:id="11" w:name="OLE_LINK2"/>
      <w:r>
        <w:rPr>
          <w:rFonts w:ascii="Arial" w:eastAsia="Batang" w:hAnsi="Arial" w:cs="Arial"/>
          <w:sz w:val="22"/>
        </w:rPr>
        <w:t xml:space="preserve">De acuerdo con </w:t>
      </w:r>
      <w:r w:rsidRPr="00E378F5">
        <w:rPr>
          <w:rFonts w:ascii="Arial" w:eastAsia="Batang" w:hAnsi="Arial" w:cs="Arial"/>
          <w:sz w:val="22"/>
        </w:rPr>
        <w:t>el parágrafo del artículo 14 de la Ley 80 de 1993</w:t>
      </w:r>
      <w:r>
        <w:rPr>
          <w:rFonts w:ascii="Arial" w:eastAsia="Batang" w:hAnsi="Arial" w:cs="Arial"/>
          <w:sz w:val="22"/>
        </w:rPr>
        <w:t>, en un contrato interadministrativo no es posible definir unilateralmente el alcance del clausulado. Así las cosas, dado que el contrato nace de un acuerdo de voluntades, aquel debe interpretarse conforme a la intención común de las partes, especialmente, cuando la hermenéutica contractual no tiene por objeto el querer dispositivo de cada uno de los contratantes individualmente considerado. Cuando no existe un acuerdo común entre las partes –interpretación autentica–, el sistema de administración de justicia define la controversia –interpretación judicial–. Si bien ambos son destinatarios de las normas interpretativas d</w:t>
      </w:r>
      <w:r>
        <w:rPr>
          <w:rFonts w:ascii="Arial" w:eastAsia="Batang" w:hAnsi="Arial" w:cs="Arial"/>
          <w:sz w:val="22"/>
          <w:lang w:val="es-ES"/>
        </w:rPr>
        <w:t>el título XIII del libro cuarto del Código Civil, estas también se extienden a terceros como los supervisores de los contratos estatales –interpretación doctrinal–.</w:t>
      </w:r>
    </w:p>
    <w:p w14:paraId="7C9A5436" w14:textId="77777777" w:rsidR="00571ACC" w:rsidRDefault="00571ACC" w:rsidP="00571ACC">
      <w:pPr>
        <w:spacing w:line="276" w:lineRule="auto"/>
        <w:ind w:firstLine="709"/>
        <w:jc w:val="both"/>
        <w:rPr>
          <w:rFonts w:ascii="Arial" w:eastAsia="Calibri" w:hAnsi="Arial" w:cs="Arial"/>
          <w:color w:val="000000" w:themeColor="text1"/>
          <w:sz w:val="22"/>
        </w:rPr>
      </w:pPr>
      <w:r>
        <w:rPr>
          <w:rFonts w:ascii="Arial" w:eastAsia="Batang" w:hAnsi="Arial" w:cs="Arial"/>
          <w:sz w:val="22"/>
          <w:lang w:val="es-ES"/>
        </w:rPr>
        <w:t xml:space="preserve">En este último caso, </w:t>
      </w:r>
      <w:r>
        <w:rPr>
          <w:rFonts w:ascii="Arial" w:eastAsia="Batang" w:hAnsi="Arial" w:cs="Arial"/>
          <w:sz w:val="22"/>
        </w:rPr>
        <w:t>l</w:t>
      </w:r>
      <w:r w:rsidRPr="00797CED">
        <w:rPr>
          <w:rFonts w:ascii="Arial" w:eastAsia="Batang" w:hAnsi="Arial" w:cs="Arial"/>
          <w:sz w:val="22"/>
        </w:rPr>
        <w:t>os supervisores tienen la función general de ejercer el control y vigilancia sobre la ejecución de los contratos vigilados</w:t>
      </w:r>
      <w:r>
        <w:rPr>
          <w:rFonts w:ascii="Arial" w:eastAsia="Batang" w:hAnsi="Arial" w:cs="Arial"/>
          <w:sz w:val="22"/>
        </w:rPr>
        <w:t>. Dicha labor está</w:t>
      </w:r>
      <w:r w:rsidRPr="00797CED">
        <w:rPr>
          <w:rFonts w:ascii="Arial" w:eastAsia="Batang" w:hAnsi="Arial" w:cs="Arial"/>
          <w:sz w:val="22"/>
        </w:rPr>
        <w:t xml:space="preserve"> dirigida a verificar el cumplimiento de las condiciones pactadas en los mismos y</w:t>
      </w:r>
      <w:r>
        <w:rPr>
          <w:rFonts w:ascii="Arial" w:eastAsia="Batang" w:hAnsi="Arial" w:cs="Arial"/>
          <w:sz w:val="22"/>
        </w:rPr>
        <w:t xml:space="preserve">, en consecuencia, </w:t>
      </w:r>
      <w:r w:rsidRPr="00797CED">
        <w:rPr>
          <w:rFonts w:ascii="Arial" w:eastAsia="Batang" w:hAnsi="Arial" w:cs="Arial"/>
          <w:sz w:val="22"/>
        </w:rPr>
        <w:t>están facultados para solicitar informes, aclaraciones y explicaciones sobre el desarrollo de la ejecución contractual, impartir instrucciones al contratista y hacer recomendaciones encaminadas a lograr la correcta ejecución del objeto contratado</w:t>
      </w:r>
      <w:r>
        <w:rPr>
          <w:rFonts w:ascii="Arial" w:eastAsia="Batang" w:hAnsi="Arial" w:cs="Arial"/>
          <w:sz w:val="22"/>
        </w:rPr>
        <w:t>. No obstante, como se explica en la «</w:t>
      </w:r>
      <w:r w:rsidRPr="005D226A">
        <w:rPr>
          <w:rFonts w:ascii="Arial" w:eastAsia="Batang" w:hAnsi="Arial" w:cs="Arial"/>
          <w:sz w:val="22"/>
        </w:rPr>
        <w:t>Guía para el ejercicio de las funciones de Supervisión e Interventoría de los contratos del Estado</w:t>
      </w:r>
      <w:r>
        <w:rPr>
          <w:rFonts w:ascii="Arial" w:eastAsia="Batang" w:hAnsi="Arial" w:cs="Arial"/>
          <w:sz w:val="22"/>
        </w:rPr>
        <w:t>», «</w:t>
      </w:r>
      <w:r w:rsidRPr="00A87D39">
        <w:rPr>
          <w:rFonts w:ascii="Arial" w:eastAsia="Batang" w:hAnsi="Arial" w:cs="Arial"/>
          <w:sz w:val="22"/>
        </w:rPr>
        <w:t xml:space="preserve">En ningún caso los interventores o supervisores en ejercicio de sus funciones pueden sustituir a la Entidad Estatal en la toma de decisiones sobre el contrato vigilado por lo que las mismas siempre deben ser tomadas por el representante legal de la Entidad Estatal con base en lo que los primeros hubieran informado sobre la ejecución de </w:t>
      </w:r>
      <w:r w:rsidRPr="00A87D39">
        <w:rPr>
          <w:rFonts w:ascii="Arial" w:eastAsia="Batang" w:hAnsi="Arial" w:cs="Arial"/>
          <w:sz w:val="22"/>
        </w:rPr>
        <w:lastRenderedPageBreak/>
        <w:t>las obligaciones contractuales</w:t>
      </w:r>
      <w:r>
        <w:rPr>
          <w:rFonts w:ascii="Arial" w:eastAsia="Batang" w:hAnsi="Arial" w:cs="Arial"/>
          <w:sz w:val="22"/>
        </w:rPr>
        <w:t>»</w:t>
      </w:r>
      <w:r>
        <w:rPr>
          <w:rStyle w:val="Refdenotaalpie"/>
          <w:rFonts w:ascii="Arial" w:eastAsia="Batang" w:hAnsi="Arial" w:cs="Arial"/>
          <w:sz w:val="22"/>
        </w:rPr>
        <w:footnoteReference w:id="23"/>
      </w:r>
      <w:r>
        <w:rPr>
          <w:rFonts w:ascii="Arial" w:eastAsia="Batang" w:hAnsi="Arial" w:cs="Arial"/>
          <w:sz w:val="22"/>
        </w:rPr>
        <w:t xml:space="preserve">. Por tanto, aunque el supervisor del contrato puede interpretar el alcance de las cláusulas </w:t>
      </w:r>
      <w:r w:rsidRPr="00CF1BB8">
        <w:rPr>
          <w:rFonts w:ascii="Arial" w:eastAsia="Batang" w:hAnsi="Arial" w:cs="Arial"/>
          <w:sz w:val="22"/>
        </w:rPr>
        <w:t>oscuras, ambiguas o contradictorias</w:t>
      </w:r>
      <w:r>
        <w:rPr>
          <w:rFonts w:ascii="Arial" w:eastAsia="Batang" w:hAnsi="Arial" w:cs="Arial"/>
          <w:sz w:val="22"/>
        </w:rPr>
        <w:t xml:space="preserve"> conforme a los criterios de los artículos </w:t>
      </w:r>
      <w:r w:rsidRPr="000F1CD9">
        <w:rPr>
          <w:rFonts w:ascii="Arial" w:eastAsia="Batang" w:hAnsi="Arial" w:cs="Arial"/>
          <w:sz w:val="22"/>
        </w:rPr>
        <w:t>1618 a 1624 del Código Civil</w:t>
      </w:r>
      <w:r>
        <w:rPr>
          <w:rFonts w:ascii="Arial" w:eastAsia="Batang" w:hAnsi="Arial" w:cs="Arial"/>
          <w:sz w:val="22"/>
        </w:rPr>
        <w:t>, esta no es obligatoria para ninguna de las partes del negocio jurídico.</w:t>
      </w:r>
    </w:p>
    <w:p w14:paraId="3F1828B0" w14:textId="4F6FA787" w:rsidR="009E7BC5" w:rsidRPr="00C46203" w:rsidRDefault="009E7BC5" w:rsidP="005C5011">
      <w:pPr>
        <w:spacing w:before="120" w:line="276" w:lineRule="auto"/>
        <w:jc w:val="both"/>
        <w:rPr>
          <w:rFonts w:ascii="Arial" w:eastAsia="Calibri" w:hAnsi="Arial" w:cs="Arial"/>
          <w:sz w:val="22"/>
        </w:rPr>
      </w:pPr>
    </w:p>
    <w:bookmarkEnd w:id="10"/>
    <w:bookmarkEnd w:id="11"/>
    <w:p w14:paraId="2BAB32E8" w14:textId="77777777" w:rsidR="005265DE" w:rsidRDefault="005265DE" w:rsidP="005265DE">
      <w:pPr>
        <w:spacing w:line="276" w:lineRule="auto"/>
        <w:jc w:val="both"/>
        <w:rPr>
          <w:rFonts w:ascii="Arial" w:eastAsia="Times New Roman" w:hAnsi="Arial" w:cs="Arial"/>
          <w:sz w:val="22"/>
          <w:bdr w:val="none" w:sz="0" w:space="0" w:color="auto" w:frame="1"/>
          <w:shd w:val="clear" w:color="auto" w:fill="FFFFFF"/>
          <w:lang w:val="es-ES_tradnl" w:eastAsia="es-ES_tradnl"/>
        </w:rPr>
      </w:pPr>
      <w:r>
        <w:rPr>
          <w:rFonts w:ascii="Arial" w:eastAsia="Times New Roman" w:hAnsi="Arial" w:cs="Arial"/>
          <w:sz w:val="22"/>
          <w:bdr w:val="none" w:sz="0" w:space="0" w:color="auto" w:frame="1"/>
          <w:shd w:val="clear" w:color="auto" w:fill="FFFFFF"/>
          <w:lang w:val="es-ES_tradnl" w:eastAsia="es-ES_tradnl"/>
        </w:rPr>
        <w:t>Este concepto tiene el alcance previsto en el artículo 28 del Código de Procedimiento Administrativo y de lo Contencioso Administrativo.</w:t>
      </w:r>
    </w:p>
    <w:p w14:paraId="185D2DA8" w14:textId="77777777" w:rsidR="00CF5269" w:rsidRDefault="00CF5269" w:rsidP="009F7B7B">
      <w:pPr>
        <w:spacing w:line="276" w:lineRule="auto"/>
        <w:jc w:val="both"/>
        <w:rPr>
          <w:rFonts w:ascii="Arial" w:eastAsia="Times New Roman" w:hAnsi="Arial" w:cs="Arial"/>
          <w:sz w:val="22"/>
          <w:lang w:val="es-ES_tradnl" w:eastAsia="es-CO"/>
        </w:rPr>
      </w:pPr>
    </w:p>
    <w:p w14:paraId="2B02915D" w14:textId="3DC3B63C" w:rsidR="00BE1E33" w:rsidRPr="00E52B90" w:rsidRDefault="00BE1E33" w:rsidP="00B86532">
      <w:pPr>
        <w:spacing w:line="276" w:lineRule="auto"/>
        <w:jc w:val="both"/>
        <w:rPr>
          <w:rFonts w:ascii="Arial" w:eastAsia="Times New Roman" w:hAnsi="Arial" w:cs="Arial"/>
          <w:sz w:val="22"/>
          <w:lang w:val="es-ES_tradnl" w:eastAsia="es-CO"/>
        </w:rPr>
      </w:pPr>
      <w:r w:rsidRPr="00E52B90">
        <w:rPr>
          <w:rFonts w:ascii="Arial" w:eastAsia="Times New Roman" w:hAnsi="Arial" w:cs="Arial"/>
          <w:sz w:val="22"/>
          <w:lang w:val="es-ES_tradnl" w:eastAsia="es-CO"/>
        </w:rPr>
        <w:t>Atentamente,</w:t>
      </w:r>
    </w:p>
    <w:bookmarkEnd w:id="0"/>
    <w:bookmarkEnd w:id="1"/>
    <w:p w14:paraId="1C8F6984" w14:textId="48DC3183" w:rsidR="00BE1E33" w:rsidRPr="00E52B90" w:rsidRDefault="00BE1E33" w:rsidP="00B86532">
      <w:pPr>
        <w:spacing w:line="276" w:lineRule="auto"/>
        <w:jc w:val="center"/>
        <w:rPr>
          <w:rFonts w:ascii="Arial" w:eastAsia="Times New Roman" w:hAnsi="Arial" w:cs="Arial"/>
          <w:sz w:val="22"/>
          <w:lang w:val="es-ES_tradnl" w:eastAsia="es-CO"/>
        </w:rPr>
      </w:pPr>
    </w:p>
    <w:p w14:paraId="09E9DFD6" w14:textId="2C85041E" w:rsidR="002B11A5" w:rsidRDefault="000C4936">
      <w:pPr>
        <w:spacing w:line="276" w:lineRule="auto"/>
        <w:jc w:val="center"/>
        <w:rPr>
          <w:rFonts w:ascii="Arial" w:eastAsia="Times New Roman" w:hAnsi="Arial" w:cs="Arial"/>
          <w:sz w:val="22"/>
          <w:lang w:val="es-ES_tradnl" w:eastAsia="es-CO"/>
        </w:rPr>
      </w:pPr>
      <w:r>
        <w:rPr>
          <w:noProof/>
          <w:color w:val="000000" w:themeColor="text1"/>
          <w:lang w:val="es-ES_tradnl"/>
        </w:rPr>
        <w:drawing>
          <wp:inline distT="0" distB="0" distL="0" distR="0" wp14:anchorId="05FBB703" wp14:editId="24A8A5D7">
            <wp:extent cx="2514600" cy="1112520"/>
            <wp:effectExtent l="0" t="0" r="0" b="0"/>
            <wp:docPr id="5" name="Imagen 5"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14600" cy="1112520"/>
                    </a:xfrm>
                    <a:prstGeom prst="rect">
                      <a:avLst/>
                    </a:prstGeom>
                    <a:noFill/>
                    <a:ln>
                      <a:noFill/>
                    </a:ln>
                  </pic:spPr>
                </pic:pic>
              </a:graphicData>
            </a:graphic>
          </wp:inline>
        </w:drawing>
      </w:r>
    </w:p>
    <w:p w14:paraId="724B0300" w14:textId="2B6208D3" w:rsidR="00730CDB" w:rsidRPr="00E52B90" w:rsidRDefault="00730CDB">
      <w:pPr>
        <w:spacing w:line="276" w:lineRule="auto"/>
        <w:jc w:val="center"/>
        <w:rPr>
          <w:rFonts w:ascii="Arial" w:eastAsia="Times New Roman" w:hAnsi="Arial" w:cs="Arial"/>
          <w:sz w:val="22"/>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
        <w:gridCol w:w="5172"/>
      </w:tblGrid>
      <w:tr w:rsidR="00ED1F11" w:rsidRPr="00E52B90" w14:paraId="7E5CB93D" w14:textId="77777777" w:rsidTr="006026D9">
        <w:trPr>
          <w:trHeight w:val="315"/>
        </w:trPr>
        <w:tc>
          <w:tcPr>
            <w:tcW w:w="924" w:type="dxa"/>
            <w:vAlign w:val="center"/>
            <w:hideMark/>
          </w:tcPr>
          <w:p w14:paraId="44CFA06E" w14:textId="77777777" w:rsidR="00BE1E33" w:rsidRPr="00E52B90" w:rsidRDefault="00BE1E33" w:rsidP="006026D9">
            <w:pPr>
              <w:rPr>
                <w:rFonts w:ascii="Arial" w:eastAsia="Times New Roman" w:hAnsi="Arial" w:cs="Arial"/>
                <w:sz w:val="16"/>
                <w:szCs w:val="16"/>
                <w:lang w:val="es-ES_tradnl" w:eastAsia="es-ES"/>
              </w:rPr>
            </w:pPr>
            <w:r w:rsidRPr="00E52B90">
              <w:rPr>
                <w:rFonts w:ascii="Arial" w:eastAsia="Times New Roman" w:hAnsi="Arial" w:cs="Arial"/>
                <w:sz w:val="16"/>
                <w:szCs w:val="16"/>
                <w:lang w:val="es-ES_tradnl" w:eastAsia="es-ES"/>
              </w:rPr>
              <w:t>Elaboró:</w:t>
            </w:r>
          </w:p>
        </w:tc>
        <w:tc>
          <w:tcPr>
            <w:tcW w:w="5172" w:type="dxa"/>
            <w:tcBorders>
              <w:top w:val="nil"/>
              <w:left w:val="nil"/>
              <w:bottom w:val="dotted" w:sz="4" w:space="0" w:color="7F7F7F" w:themeColor="text1" w:themeTint="80"/>
              <w:right w:val="nil"/>
            </w:tcBorders>
            <w:vAlign w:val="center"/>
            <w:hideMark/>
          </w:tcPr>
          <w:p w14:paraId="56D7561C" w14:textId="7886F3C9" w:rsidR="00BE1E33" w:rsidRPr="00E52B90" w:rsidRDefault="00A65F83" w:rsidP="006026D9">
            <w:pPr>
              <w:rPr>
                <w:rFonts w:ascii="Arial" w:eastAsia="Times New Roman" w:hAnsi="Arial" w:cs="Arial"/>
                <w:sz w:val="16"/>
                <w:szCs w:val="16"/>
                <w:lang w:val="es-ES_tradnl" w:eastAsia="es-ES"/>
              </w:rPr>
            </w:pPr>
            <w:r>
              <w:rPr>
                <w:rFonts w:ascii="Arial" w:eastAsia="Times New Roman" w:hAnsi="Arial" w:cs="Arial"/>
                <w:sz w:val="16"/>
                <w:szCs w:val="16"/>
                <w:lang w:val="es-ES_tradnl" w:eastAsia="es-ES"/>
              </w:rPr>
              <w:t>Felipe Bastidas Paredes</w:t>
            </w:r>
          </w:p>
          <w:p w14:paraId="6C4A6DA1" w14:textId="5897BB3C" w:rsidR="00982E99" w:rsidRPr="00E52B90" w:rsidRDefault="00982E99" w:rsidP="006026D9">
            <w:pPr>
              <w:rPr>
                <w:rFonts w:ascii="Arial" w:eastAsia="Times New Roman" w:hAnsi="Arial" w:cs="Arial"/>
                <w:sz w:val="16"/>
                <w:szCs w:val="16"/>
                <w:lang w:val="es-ES_tradnl" w:eastAsia="es-ES"/>
              </w:rPr>
            </w:pPr>
            <w:r w:rsidRPr="00E52B90">
              <w:rPr>
                <w:rFonts w:ascii="Arial" w:eastAsia="Times New Roman" w:hAnsi="Arial" w:cs="Arial"/>
                <w:sz w:val="16"/>
                <w:szCs w:val="16"/>
                <w:lang w:val="es-ES_tradnl" w:eastAsia="es-ES"/>
              </w:rPr>
              <w:t>Contratista de la Subdirección de Gestión Contractual</w:t>
            </w:r>
          </w:p>
        </w:tc>
      </w:tr>
      <w:tr w:rsidR="00ED1F11" w:rsidRPr="00E52B90" w14:paraId="092BCD16" w14:textId="77777777" w:rsidTr="006026D9">
        <w:trPr>
          <w:trHeight w:val="330"/>
        </w:trPr>
        <w:tc>
          <w:tcPr>
            <w:tcW w:w="924" w:type="dxa"/>
            <w:vAlign w:val="center"/>
            <w:hideMark/>
          </w:tcPr>
          <w:p w14:paraId="463B4DD3" w14:textId="77777777" w:rsidR="00BE1E33" w:rsidRPr="00E52B90" w:rsidRDefault="00BE1E33" w:rsidP="006026D9">
            <w:pPr>
              <w:rPr>
                <w:rFonts w:ascii="Arial" w:eastAsia="Times New Roman" w:hAnsi="Arial" w:cs="Arial"/>
                <w:sz w:val="16"/>
                <w:szCs w:val="16"/>
                <w:lang w:val="es-ES_tradnl" w:eastAsia="es-ES"/>
              </w:rPr>
            </w:pPr>
            <w:r w:rsidRPr="00E52B90">
              <w:rPr>
                <w:rFonts w:ascii="Arial" w:eastAsia="Times New Roman" w:hAnsi="Arial" w:cs="Arial"/>
                <w:sz w:val="16"/>
                <w:szCs w:val="16"/>
                <w:lang w:val="es-ES_tradnl" w:eastAsia="es-ES"/>
              </w:rPr>
              <w:t>Revisó:</w:t>
            </w:r>
          </w:p>
        </w:tc>
        <w:tc>
          <w:tcPr>
            <w:tcW w:w="5172" w:type="dxa"/>
            <w:tcBorders>
              <w:top w:val="dotted" w:sz="4" w:space="0" w:color="7F7F7F" w:themeColor="text1" w:themeTint="80"/>
              <w:left w:val="nil"/>
              <w:bottom w:val="dotted" w:sz="4" w:space="0" w:color="7F7F7F" w:themeColor="text1" w:themeTint="80"/>
              <w:right w:val="nil"/>
            </w:tcBorders>
            <w:vAlign w:val="center"/>
            <w:hideMark/>
          </w:tcPr>
          <w:p w14:paraId="3D30E9FA" w14:textId="77777777" w:rsidR="002166C0" w:rsidRPr="00E52B90" w:rsidRDefault="002166C0" w:rsidP="006026D9">
            <w:pPr>
              <w:rPr>
                <w:rFonts w:ascii="Arial" w:eastAsia="Times New Roman" w:hAnsi="Arial" w:cs="Arial"/>
                <w:color w:val="000000" w:themeColor="text1"/>
                <w:sz w:val="16"/>
                <w:szCs w:val="16"/>
                <w:lang w:val="es-CO" w:eastAsia="es-ES"/>
              </w:rPr>
            </w:pPr>
            <w:r w:rsidRPr="00E52B90">
              <w:rPr>
                <w:rFonts w:ascii="Arial" w:eastAsia="Times New Roman" w:hAnsi="Arial" w:cs="Arial"/>
                <w:color w:val="000000" w:themeColor="text1"/>
                <w:sz w:val="16"/>
                <w:szCs w:val="16"/>
                <w:lang w:val="es-CO" w:eastAsia="es-ES"/>
              </w:rPr>
              <w:t xml:space="preserve">Juan David Montoya Penagos </w:t>
            </w:r>
          </w:p>
          <w:p w14:paraId="72718C99" w14:textId="188CDDFC" w:rsidR="00BE1E33" w:rsidRPr="00E52B90" w:rsidRDefault="002166C0" w:rsidP="006026D9">
            <w:pPr>
              <w:rPr>
                <w:rFonts w:ascii="Arial" w:eastAsia="Times New Roman" w:hAnsi="Arial" w:cs="Arial"/>
                <w:sz w:val="16"/>
                <w:szCs w:val="16"/>
                <w:lang w:val="es-ES_tradnl" w:eastAsia="es-ES"/>
              </w:rPr>
            </w:pPr>
            <w:r w:rsidRPr="00E52B90">
              <w:rPr>
                <w:rFonts w:ascii="Arial" w:eastAsia="Times New Roman" w:hAnsi="Arial" w:cs="Arial"/>
                <w:color w:val="000000" w:themeColor="text1"/>
                <w:sz w:val="16"/>
                <w:szCs w:val="16"/>
                <w:lang w:val="es-CO" w:eastAsia="es-ES"/>
              </w:rPr>
              <w:t>Gestor T1-15 de la Subdirección de Gestión Contractual</w:t>
            </w:r>
          </w:p>
        </w:tc>
      </w:tr>
      <w:tr w:rsidR="00982E99" w:rsidRPr="00B02AB2" w14:paraId="57DAFEF9" w14:textId="77777777" w:rsidTr="006026D9">
        <w:trPr>
          <w:trHeight w:val="300"/>
        </w:trPr>
        <w:tc>
          <w:tcPr>
            <w:tcW w:w="924" w:type="dxa"/>
            <w:vAlign w:val="center"/>
            <w:hideMark/>
          </w:tcPr>
          <w:p w14:paraId="70677013" w14:textId="77777777" w:rsidR="00BE1E33" w:rsidRPr="00E52B90" w:rsidRDefault="00BE1E33" w:rsidP="006026D9">
            <w:pPr>
              <w:rPr>
                <w:rFonts w:ascii="Arial" w:eastAsia="Times New Roman" w:hAnsi="Arial" w:cs="Arial"/>
                <w:sz w:val="16"/>
                <w:szCs w:val="16"/>
                <w:lang w:val="es-ES_tradnl" w:eastAsia="es-ES"/>
              </w:rPr>
            </w:pPr>
            <w:r w:rsidRPr="00E52B90">
              <w:rPr>
                <w:rFonts w:ascii="Arial" w:eastAsia="Times New Roman" w:hAnsi="Arial" w:cs="Arial"/>
                <w:sz w:val="16"/>
                <w:szCs w:val="16"/>
                <w:lang w:val="es-ES_tradnl" w:eastAsia="es-ES"/>
              </w:rPr>
              <w:t>Aprobó:</w:t>
            </w:r>
          </w:p>
        </w:tc>
        <w:tc>
          <w:tcPr>
            <w:tcW w:w="5172" w:type="dxa"/>
            <w:tcBorders>
              <w:top w:val="dotted" w:sz="4" w:space="0" w:color="7F7F7F" w:themeColor="text1" w:themeTint="80"/>
              <w:left w:val="nil"/>
              <w:bottom w:val="dotted" w:sz="4" w:space="0" w:color="7F7F7F" w:themeColor="text1" w:themeTint="80"/>
              <w:right w:val="nil"/>
            </w:tcBorders>
            <w:vAlign w:val="center"/>
            <w:hideMark/>
          </w:tcPr>
          <w:p w14:paraId="4B4373C0" w14:textId="10E2AF5F" w:rsidR="00BE1E33" w:rsidRPr="00E52B90" w:rsidRDefault="00346F88" w:rsidP="006026D9">
            <w:pPr>
              <w:rPr>
                <w:rFonts w:ascii="Arial" w:eastAsia="Times New Roman" w:hAnsi="Arial" w:cs="Arial"/>
                <w:sz w:val="16"/>
                <w:szCs w:val="16"/>
                <w:lang w:val="es-ES_tradnl" w:eastAsia="es-ES"/>
              </w:rPr>
            </w:pPr>
            <w:r w:rsidRPr="00E52B90">
              <w:rPr>
                <w:rFonts w:ascii="Arial" w:eastAsia="Times New Roman" w:hAnsi="Arial" w:cs="Arial"/>
                <w:sz w:val="16"/>
                <w:szCs w:val="16"/>
                <w:lang w:val="es-ES_tradnl" w:eastAsia="es-ES"/>
              </w:rPr>
              <w:t>Jorge Augusto Tirado Navarro</w:t>
            </w:r>
          </w:p>
          <w:p w14:paraId="75BC677C" w14:textId="3A1A5563" w:rsidR="00BE1E33" w:rsidRPr="006026D9" w:rsidRDefault="00346F88" w:rsidP="006026D9">
            <w:pPr>
              <w:rPr>
                <w:rFonts w:ascii="Arial" w:eastAsia="Times New Roman" w:hAnsi="Arial" w:cs="Arial"/>
                <w:sz w:val="16"/>
                <w:szCs w:val="16"/>
                <w:lang w:val="es-ES_tradnl" w:eastAsia="es-ES"/>
              </w:rPr>
            </w:pPr>
            <w:r w:rsidRPr="00E52B90">
              <w:rPr>
                <w:rFonts w:ascii="Arial" w:eastAsia="Times New Roman" w:hAnsi="Arial" w:cs="Arial"/>
                <w:sz w:val="16"/>
                <w:szCs w:val="16"/>
                <w:lang w:val="es-ES_tradnl" w:eastAsia="es-ES"/>
              </w:rPr>
              <w:t>Subdirector de Gestión Contractual</w:t>
            </w:r>
            <w:r w:rsidR="00E86F8F">
              <w:rPr>
                <w:rFonts w:ascii="Arial" w:eastAsia="Times New Roman" w:hAnsi="Arial" w:cs="Arial"/>
                <w:sz w:val="16"/>
                <w:szCs w:val="16"/>
                <w:lang w:val="es-ES_tradnl" w:eastAsia="es-ES"/>
              </w:rPr>
              <w:t xml:space="preserve"> ANCP – CCE</w:t>
            </w:r>
          </w:p>
        </w:tc>
      </w:tr>
    </w:tbl>
    <w:p w14:paraId="085A31AB" w14:textId="5A2FF330" w:rsidR="006C5955" w:rsidRPr="00B86532" w:rsidRDefault="006C5955" w:rsidP="00B86532">
      <w:pPr>
        <w:spacing w:line="276" w:lineRule="auto"/>
        <w:rPr>
          <w:rFonts w:ascii="Arial" w:hAnsi="Arial" w:cs="Arial"/>
          <w:sz w:val="22"/>
          <w:lang w:val="es-CO"/>
        </w:rPr>
      </w:pPr>
    </w:p>
    <w:p w14:paraId="67841242" w14:textId="77777777" w:rsidR="005E440E" w:rsidRPr="00B86532" w:rsidRDefault="005E440E" w:rsidP="00B86532">
      <w:pPr>
        <w:spacing w:line="276" w:lineRule="auto"/>
        <w:jc w:val="both"/>
        <w:rPr>
          <w:rFonts w:ascii="Arial" w:hAnsi="Arial" w:cs="Arial"/>
          <w:sz w:val="22"/>
        </w:rPr>
      </w:pPr>
    </w:p>
    <w:p w14:paraId="0AD7000B" w14:textId="77777777" w:rsidR="005E440E" w:rsidRPr="00B86532" w:rsidRDefault="005E440E" w:rsidP="00B86532">
      <w:pPr>
        <w:spacing w:line="276" w:lineRule="auto"/>
        <w:rPr>
          <w:rFonts w:ascii="Arial" w:hAnsi="Arial" w:cs="Arial"/>
          <w:sz w:val="22"/>
        </w:rPr>
      </w:pPr>
    </w:p>
    <w:sectPr w:rsidR="005E440E" w:rsidRPr="00B86532" w:rsidSect="0043588C">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FEAE9C" w14:textId="77777777" w:rsidR="00754F64" w:rsidRDefault="00754F64" w:rsidP="008C487C">
      <w:r>
        <w:separator/>
      </w:r>
    </w:p>
  </w:endnote>
  <w:endnote w:type="continuationSeparator" w:id="0">
    <w:p w14:paraId="47689FD9" w14:textId="77777777" w:rsidR="00754F64" w:rsidRDefault="00754F64" w:rsidP="008C4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_˘3_ò">
    <w:altName w:val="Calibri"/>
    <w:panose1 w:val="020B0604020202020204"/>
    <w:charset w:val="4D"/>
    <w:family w:val="auto"/>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7B59A" w14:textId="3A65DB1A" w:rsidR="00596BA1" w:rsidRDefault="00596BA1" w:rsidP="0043588C">
    <w:pPr>
      <w:pStyle w:val="Sinespaciado"/>
      <w:jc w:val="right"/>
      <w:rPr>
        <w:rFonts w:ascii="Arial" w:hAnsi="Arial" w:cs="Arial"/>
        <w:sz w:val="18"/>
        <w:szCs w:val="18"/>
      </w:rPr>
    </w:pPr>
  </w:p>
  <w:p w14:paraId="709352A1" w14:textId="77777777" w:rsidR="00596BA1" w:rsidRDefault="00596BA1" w:rsidP="0043588C">
    <w:pPr>
      <w:pStyle w:val="Sinespaciado"/>
      <w:jc w:val="right"/>
      <w:rPr>
        <w:rFonts w:ascii="Arial" w:hAnsi="Arial" w:cs="Arial"/>
        <w:sz w:val="18"/>
        <w:szCs w:val="18"/>
      </w:rPr>
    </w:pPr>
  </w:p>
  <w:p w14:paraId="3D3EB348" w14:textId="7E8128F7" w:rsidR="00596BA1" w:rsidRPr="008217B7" w:rsidRDefault="00596BA1" w:rsidP="0043588C">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066C55">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066C55">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p>
  <w:p w14:paraId="29709EEF" w14:textId="77777777" w:rsidR="00596BA1" w:rsidRDefault="00596BA1" w:rsidP="0043588C">
    <w:pPr>
      <w:pStyle w:val="Piedepgina"/>
      <w:jc w:val="center"/>
      <w:rPr>
        <w:lang w:val="es-ES"/>
      </w:rPr>
    </w:pPr>
    <w:r>
      <w:rPr>
        <w:noProof/>
        <w:lang w:val="en-US"/>
      </w:rPr>
      <w:drawing>
        <wp:inline distT="0" distB="0" distL="0" distR="0" wp14:anchorId="0323F87D" wp14:editId="160091C1">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608DFF21" w14:textId="77777777" w:rsidR="00596BA1" w:rsidRPr="00E756AC" w:rsidRDefault="00596BA1" w:rsidP="0043588C">
    <w:pPr>
      <w:pStyle w:val="Piedepgina"/>
      <w:jc w:val="center"/>
      <w:rPr>
        <w:sz w:val="18"/>
        <w:szCs w:val="18"/>
        <w:lang w:val="es-ES"/>
      </w:rPr>
    </w:pPr>
  </w:p>
  <w:p w14:paraId="428179B1" w14:textId="77777777" w:rsidR="00596BA1" w:rsidRPr="00E756AC" w:rsidRDefault="00596BA1" w:rsidP="0043588C">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1983E2" w14:textId="77777777" w:rsidR="00754F64" w:rsidRDefault="00754F64" w:rsidP="008C487C">
      <w:r>
        <w:separator/>
      </w:r>
    </w:p>
  </w:footnote>
  <w:footnote w:type="continuationSeparator" w:id="0">
    <w:p w14:paraId="5252DE75" w14:textId="77777777" w:rsidR="00754F64" w:rsidRDefault="00754F64" w:rsidP="008C487C">
      <w:r>
        <w:continuationSeparator/>
      </w:r>
    </w:p>
  </w:footnote>
  <w:footnote w:id="1">
    <w:p w14:paraId="3C77F1AA" w14:textId="77777777" w:rsidR="00594B04" w:rsidRPr="0015784C" w:rsidRDefault="00594B04" w:rsidP="00594B04">
      <w:pPr>
        <w:ind w:firstLine="709"/>
        <w:jc w:val="both"/>
        <w:rPr>
          <w:rFonts w:ascii="Arial" w:hAnsi="Arial" w:cs="Arial"/>
          <w:sz w:val="18"/>
          <w:szCs w:val="18"/>
        </w:rPr>
      </w:pPr>
      <w:r w:rsidRPr="0015784C">
        <w:rPr>
          <w:rStyle w:val="Refdenotaalpie"/>
          <w:rFonts w:ascii="Arial" w:hAnsi="Arial" w:cs="Arial"/>
          <w:sz w:val="18"/>
          <w:szCs w:val="18"/>
        </w:rPr>
        <w:footnoteRef/>
      </w:r>
      <w:r w:rsidRPr="0015784C">
        <w:rPr>
          <w:rFonts w:ascii="Arial" w:hAnsi="Arial" w:cs="Arial"/>
          <w:sz w:val="18"/>
          <w:szCs w:val="18"/>
        </w:rPr>
        <w:t xml:space="preserve"> Decreto 1082 de 2015: «Artículo 2.2.1.2.1.4.4. Convenios o contratos interadministrativos. La modalidad de selección para la contratación entre Entidades Estatales es la contratación directa; y en consecuencia, le es aplicable lo establecido en el artículo 2.2.1.2.1.4.1 del presente decreto.</w:t>
      </w:r>
    </w:p>
    <w:p w14:paraId="607ECC4A" w14:textId="77777777" w:rsidR="00594B04" w:rsidRDefault="00594B04" w:rsidP="00594B04">
      <w:pPr>
        <w:ind w:firstLine="709"/>
        <w:jc w:val="both"/>
        <w:rPr>
          <w:rFonts w:ascii="Arial" w:hAnsi="Arial" w:cs="Arial"/>
          <w:sz w:val="18"/>
          <w:szCs w:val="18"/>
        </w:rPr>
      </w:pPr>
      <w:r w:rsidRPr="0015784C">
        <w:rPr>
          <w:rFonts w:ascii="Arial" w:hAnsi="Arial" w:cs="Arial"/>
          <w:sz w:val="18"/>
          <w:szCs w:val="18"/>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w:t>
      </w:r>
      <w:r w:rsidRPr="0015784C">
        <w:rPr>
          <w:rFonts w:ascii="Arial" w:hAnsi="Arial" w:cs="Arial"/>
          <w:spacing w:val="-1"/>
          <w:sz w:val="18"/>
          <w:szCs w:val="18"/>
        </w:rPr>
        <w:t xml:space="preserve"> </w:t>
      </w:r>
      <w:r w:rsidRPr="0015784C">
        <w:rPr>
          <w:rFonts w:ascii="Arial" w:hAnsi="Arial" w:cs="Arial"/>
          <w:sz w:val="18"/>
          <w:szCs w:val="18"/>
        </w:rPr>
        <w:t>Estatales».</w:t>
      </w:r>
    </w:p>
    <w:p w14:paraId="7B70224C" w14:textId="77777777" w:rsidR="00594B04" w:rsidRPr="0015784C" w:rsidRDefault="00594B04" w:rsidP="00594B04">
      <w:pPr>
        <w:ind w:firstLine="709"/>
        <w:jc w:val="both"/>
        <w:rPr>
          <w:rFonts w:ascii="Arial" w:hAnsi="Arial" w:cs="Arial"/>
          <w:sz w:val="18"/>
          <w:szCs w:val="18"/>
        </w:rPr>
      </w:pPr>
    </w:p>
  </w:footnote>
  <w:footnote w:id="2">
    <w:p w14:paraId="17E0C1A3" w14:textId="77777777" w:rsidR="00594B04" w:rsidRPr="0015784C" w:rsidRDefault="00594B04" w:rsidP="00594B04">
      <w:pPr>
        <w:ind w:firstLine="709"/>
        <w:jc w:val="both"/>
        <w:rPr>
          <w:rFonts w:ascii="Arial" w:hAnsi="Arial" w:cs="Arial"/>
          <w:sz w:val="18"/>
          <w:szCs w:val="18"/>
        </w:rPr>
      </w:pPr>
      <w:r w:rsidRPr="0015784C">
        <w:rPr>
          <w:rStyle w:val="Refdenotaalpie"/>
          <w:rFonts w:ascii="Arial" w:hAnsi="Arial" w:cs="Arial"/>
          <w:sz w:val="18"/>
          <w:szCs w:val="18"/>
        </w:rPr>
        <w:footnoteRef/>
      </w:r>
      <w:r w:rsidRPr="0015784C">
        <w:rPr>
          <w:rFonts w:ascii="Arial" w:hAnsi="Arial" w:cs="Arial"/>
          <w:sz w:val="18"/>
          <w:szCs w:val="18"/>
        </w:rPr>
        <w:t xml:space="preserve"> 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w:t>
      </w:r>
      <w:r w:rsidRPr="0015784C">
        <w:rPr>
          <w:rFonts w:ascii="Arial" w:hAnsi="Arial" w:cs="Arial"/>
          <w:spacing w:val="-6"/>
          <w:sz w:val="18"/>
          <w:szCs w:val="18"/>
        </w:rPr>
        <w:t xml:space="preserve"> </w:t>
      </w:r>
      <w:r w:rsidRPr="0015784C">
        <w:rPr>
          <w:rFonts w:ascii="Arial" w:hAnsi="Arial" w:cs="Arial"/>
          <w:sz w:val="18"/>
          <w:szCs w:val="18"/>
        </w:rPr>
        <w:t>artículo».</w:t>
      </w:r>
    </w:p>
    <w:p w14:paraId="24713FCA" w14:textId="77777777" w:rsidR="00594B04" w:rsidRPr="0015784C" w:rsidRDefault="00594B04" w:rsidP="00594B04">
      <w:pPr>
        <w:ind w:firstLine="709"/>
        <w:jc w:val="both"/>
        <w:rPr>
          <w:rFonts w:ascii="Arial" w:hAnsi="Arial" w:cs="Arial"/>
          <w:sz w:val="18"/>
          <w:szCs w:val="18"/>
        </w:rPr>
      </w:pPr>
    </w:p>
  </w:footnote>
  <w:footnote w:id="3">
    <w:p w14:paraId="27A8FD5A" w14:textId="77777777" w:rsidR="00594B04" w:rsidRPr="0084172F" w:rsidRDefault="00594B04" w:rsidP="00594B04">
      <w:pPr>
        <w:ind w:right="454" w:firstLine="709"/>
        <w:jc w:val="both"/>
        <w:rPr>
          <w:rFonts w:ascii="Arial" w:hAnsi="Arial" w:cs="Arial"/>
          <w:sz w:val="18"/>
          <w:szCs w:val="18"/>
        </w:rPr>
      </w:pPr>
      <w:r w:rsidRPr="0015784C">
        <w:rPr>
          <w:rStyle w:val="Refdenotaalpie"/>
          <w:rFonts w:ascii="Arial" w:hAnsi="Arial" w:cs="Arial"/>
          <w:sz w:val="18"/>
          <w:szCs w:val="18"/>
        </w:rPr>
        <w:footnoteRef/>
      </w:r>
      <w:r w:rsidRPr="0015784C">
        <w:rPr>
          <w:rFonts w:ascii="Arial" w:hAnsi="Arial" w:cs="Arial"/>
          <w:position w:val="7"/>
          <w:sz w:val="18"/>
          <w:szCs w:val="18"/>
        </w:rPr>
        <w:t xml:space="preserve"> </w:t>
      </w:r>
      <w:r w:rsidRPr="0015784C">
        <w:rPr>
          <w:rFonts w:ascii="Arial" w:hAnsi="Arial" w:cs="Arial"/>
          <w:sz w:val="18"/>
          <w:szCs w:val="18"/>
        </w:rPr>
        <w:t>Consejo de Estado. Sección Tercera. Sentencia del 23 de junio de 2010. Radicación No. 66001-23-31-000-1998-00261-01(17.860). Consejero Ponente: Mauricio Fajardo Gómez.</w:t>
      </w:r>
    </w:p>
  </w:footnote>
  <w:footnote w:id="4">
    <w:p w14:paraId="190C3ECA" w14:textId="77777777" w:rsidR="00594B04" w:rsidRDefault="00594B04" w:rsidP="00594B04">
      <w:pPr>
        <w:ind w:firstLine="709"/>
        <w:jc w:val="both"/>
        <w:rPr>
          <w:rFonts w:ascii="Arial" w:hAnsi="Arial" w:cs="Arial"/>
          <w:sz w:val="18"/>
          <w:szCs w:val="18"/>
        </w:rPr>
      </w:pPr>
      <w:r w:rsidRPr="0015784C">
        <w:rPr>
          <w:rStyle w:val="Refdenotaalpie"/>
          <w:rFonts w:ascii="Arial" w:hAnsi="Arial" w:cs="Arial"/>
          <w:sz w:val="18"/>
          <w:szCs w:val="18"/>
        </w:rPr>
        <w:footnoteRef/>
      </w:r>
      <w:r w:rsidRPr="0015784C">
        <w:rPr>
          <w:rFonts w:ascii="Arial" w:hAnsi="Arial" w:cs="Arial"/>
          <w:sz w:val="18"/>
          <w:szCs w:val="18"/>
        </w:rPr>
        <w:t xml:space="preserve"> Consejo de Estado. Sección Tercera. Subsección C. Sentencia del 11 de diciembre de 2019. Exp. 46.986. C.P. Jaime Enrique Rodríguez Navas.</w:t>
      </w:r>
    </w:p>
    <w:p w14:paraId="05D17DBD" w14:textId="77777777" w:rsidR="00594B04" w:rsidRPr="0015784C" w:rsidRDefault="00594B04" w:rsidP="00594B04">
      <w:pPr>
        <w:ind w:firstLine="709"/>
        <w:jc w:val="both"/>
        <w:rPr>
          <w:rFonts w:ascii="Arial" w:hAnsi="Arial" w:cs="Arial"/>
          <w:sz w:val="18"/>
          <w:szCs w:val="18"/>
        </w:rPr>
      </w:pPr>
    </w:p>
  </w:footnote>
  <w:footnote w:id="5">
    <w:p w14:paraId="3FDE9E9E" w14:textId="3F4C409E" w:rsidR="00594B04" w:rsidRDefault="00594B04" w:rsidP="00594B04">
      <w:pPr>
        <w:pStyle w:val="Textonotapie"/>
        <w:ind w:firstLine="708"/>
        <w:jc w:val="both"/>
        <w:rPr>
          <w:rFonts w:ascii="Arial" w:hAnsi="Arial" w:cs="Arial"/>
          <w:sz w:val="18"/>
          <w:szCs w:val="18"/>
        </w:rPr>
      </w:pPr>
      <w:r w:rsidRPr="0015784C">
        <w:rPr>
          <w:rStyle w:val="Refdenotaalpie"/>
          <w:rFonts w:ascii="Arial" w:hAnsi="Arial" w:cs="Arial"/>
          <w:sz w:val="18"/>
          <w:szCs w:val="18"/>
        </w:rPr>
        <w:footnoteRef/>
      </w:r>
      <w:r w:rsidRPr="0015784C">
        <w:rPr>
          <w:rFonts w:ascii="Arial" w:hAnsi="Arial" w:cs="Arial"/>
          <w:sz w:val="18"/>
          <w:szCs w:val="18"/>
        </w:rPr>
        <w:t xml:space="preserve"> Es lo que sucede, por ejemplo, con el Decreto 092 de 2017, que en su desarrollo hace referencia tanto a los «contratos» como a los «convenios». </w:t>
      </w:r>
    </w:p>
    <w:p w14:paraId="6B57BE05" w14:textId="77777777" w:rsidR="00045A02" w:rsidRPr="0015784C" w:rsidRDefault="00045A02" w:rsidP="00594B04">
      <w:pPr>
        <w:pStyle w:val="Textonotapie"/>
        <w:ind w:firstLine="708"/>
        <w:jc w:val="both"/>
        <w:rPr>
          <w:rFonts w:ascii="Arial" w:hAnsi="Arial" w:cs="Arial"/>
          <w:sz w:val="18"/>
          <w:szCs w:val="18"/>
          <w:lang w:val="es-CO"/>
        </w:rPr>
      </w:pPr>
    </w:p>
  </w:footnote>
  <w:footnote w:id="6">
    <w:p w14:paraId="5A77FA46" w14:textId="77777777" w:rsidR="00594B04" w:rsidRPr="0015784C" w:rsidRDefault="00594B04" w:rsidP="00594B04">
      <w:pPr>
        <w:pStyle w:val="Textonotapie"/>
        <w:ind w:firstLine="708"/>
        <w:jc w:val="both"/>
        <w:rPr>
          <w:rFonts w:ascii="Arial" w:hAnsi="Arial" w:cs="Arial"/>
          <w:sz w:val="18"/>
          <w:szCs w:val="18"/>
          <w:lang w:val="es-CO"/>
        </w:rPr>
      </w:pPr>
      <w:r w:rsidRPr="0015784C">
        <w:rPr>
          <w:rStyle w:val="Refdenotaalpie"/>
          <w:rFonts w:ascii="Arial" w:hAnsi="Arial" w:cs="Arial"/>
          <w:sz w:val="18"/>
          <w:szCs w:val="18"/>
        </w:rPr>
        <w:footnoteRef/>
      </w:r>
      <w:r w:rsidRPr="0015784C">
        <w:rPr>
          <w:rFonts w:ascii="Arial" w:hAnsi="Arial" w:cs="Arial"/>
          <w:sz w:val="18"/>
          <w:szCs w:val="18"/>
        </w:rPr>
        <w:t xml:space="preserve"> A pesar de que la norma se refiere únicamente a los contratos interadministrativos, esto no implica que la excepción a la licitación pública sólo se aplique a éstos y no a los convenios interadministrativos, puesto que ello conduciría a una interpretación irrazonable según la cual esta modalidad contractual, cuyo objeto y finalidad sólo interesa a la administración, deba ser celebrado siguiendo el procedimiento de selección objetiva y en la cual únicamente será proponente aquélla. En tal sentido, la causal de contratación directa es aplicable a los convenios y a los contratos interadministrativos». (Corte Constitucional. Sentencia C-671 de 2015. M.P. Alberto Rojas Ríos).</w:t>
      </w:r>
    </w:p>
  </w:footnote>
  <w:footnote w:id="7">
    <w:p w14:paraId="199C961A" w14:textId="60835938" w:rsidR="0062637E" w:rsidRDefault="0062637E" w:rsidP="0062637E">
      <w:pPr>
        <w:pStyle w:val="Textonotapie"/>
        <w:ind w:firstLine="708"/>
        <w:jc w:val="both"/>
        <w:rPr>
          <w:rFonts w:ascii="Arial" w:hAnsi="Arial" w:cs="Arial"/>
          <w:sz w:val="19"/>
          <w:szCs w:val="19"/>
        </w:rPr>
      </w:pPr>
      <w:r w:rsidRPr="00A9229F">
        <w:rPr>
          <w:rStyle w:val="Refdenotaalpie"/>
          <w:rFonts w:ascii="Arial" w:hAnsi="Arial" w:cs="Arial"/>
          <w:sz w:val="19"/>
          <w:szCs w:val="19"/>
        </w:rPr>
        <w:footnoteRef/>
      </w:r>
      <w:r w:rsidRPr="00A9229F">
        <w:rPr>
          <w:rFonts w:ascii="Arial" w:hAnsi="Arial" w:cs="Arial"/>
          <w:sz w:val="19"/>
          <w:szCs w:val="19"/>
        </w:rPr>
        <w:t xml:space="preserve"> </w:t>
      </w:r>
      <w:r>
        <w:rPr>
          <w:rFonts w:ascii="Arial" w:hAnsi="Arial" w:cs="Arial"/>
          <w:sz w:val="19"/>
          <w:szCs w:val="19"/>
        </w:rPr>
        <w:t xml:space="preserve">Cfr. </w:t>
      </w:r>
      <w:hyperlink r:id="rId1" w:history="1">
        <w:r w:rsidRPr="008A2938">
          <w:rPr>
            <w:rStyle w:val="Hipervnculo"/>
            <w:rFonts w:ascii="Arial" w:hAnsi="Arial" w:cs="Arial"/>
            <w:sz w:val="19"/>
            <w:szCs w:val="19"/>
          </w:rPr>
          <w:t>http://etimologias.dechile.net/?exorbitante</w:t>
        </w:r>
      </w:hyperlink>
      <w:r>
        <w:rPr>
          <w:rFonts w:ascii="Arial" w:hAnsi="Arial" w:cs="Arial"/>
          <w:sz w:val="19"/>
          <w:szCs w:val="19"/>
        </w:rPr>
        <w:t xml:space="preserve">. Consultado el </w:t>
      </w:r>
      <w:r w:rsidR="00AC40D0">
        <w:rPr>
          <w:rFonts w:ascii="Arial" w:hAnsi="Arial" w:cs="Arial"/>
          <w:sz w:val="19"/>
          <w:szCs w:val="19"/>
        </w:rPr>
        <w:t>11</w:t>
      </w:r>
      <w:r>
        <w:rPr>
          <w:rFonts w:ascii="Arial" w:hAnsi="Arial" w:cs="Arial"/>
          <w:sz w:val="19"/>
          <w:szCs w:val="19"/>
        </w:rPr>
        <w:t xml:space="preserve"> de </w:t>
      </w:r>
      <w:r w:rsidR="00AC40D0">
        <w:rPr>
          <w:rFonts w:ascii="Arial" w:hAnsi="Arial" w:cs="Arial"/>
          <w:sz w:val="19"/>
          <w:szCs w:val="19"/>
        </w:rPr>
        <w:t>diciembre</w:t>
      </w:r>
      <w:r>
        <w:rPr>
          <w:rFonts w:ascii="Arial" w:hAnsi="Arial" w:cs="Arial"/>
          <w:sz w:val="19"/>
          <w:szCs w:val="19"/>
        </w:rPr>
        <w:t xml:space="preserve"> de 2020.</w:t>
      </w:r>
    </w:p>
    <w:p w14:paraId="27372C47" w14:textId="77777777" w:rsidR="0062637E" w:rsidRPr="00A9229F" w:rsidRDefault="0062637E" w:rsidP="0062637E">
      <w:pPr>
        <w:pStyle w:val="Textonotapie"/>
        <w:ind w:firstLine="708"/>
        <w:jc w:val="both"/>
        <w:rPr>
          <w:rFonts w:ascii="Arial" w:hAnsi="Arial" w:cs="Arial"/>
          <w:sz w:val="19"/>
          <w:szCs w:val="19"/>
          <w:lang w:val="es-ES"/>
        </w:rPr>
      </w:pPr>
    </w:p>
  </w:footnote>
  <w:footnote w:id="8">
    <w:p w14:paraId="0AAA688D" w14:textId="77777777" w:rsidR="0062637E" w:rsidRDefault="0062637E" w:rsidP="0062637E">
      <w:pPr>
        <w:pStyle w:val="Textonotapie"/>
        <w:ind w:firstLine="708"/>
        <w:jc w:val="both"/>
        <w:rPr>
          <w:rFonts w:ascii="Arial" w:hAnsi="Arial" w:cs="Arial"/>
          <w:sz w:val="19"/>
          <w:szCs w:val="19"/>
        </w:rPr>
      </w:pPr>
      <w:r w:rsidRPr="00A9229F">
        <w:rPr>
          <w:rStyle w:val="Refdenotaalpie"/>
          <w:rFonts w:ascii="Arial" w:hAnsi="Arial" w:cs="Arial"/>
          <w:sz w:val="19"/>
          <w:szCs w:val="19"/>
        </w:rPr>
        <w:footnoteRef/>
      </w:r>
      <w:r w:rsidRPr="00A9229F">
        <w:rPr>
          <w:rFonts w:ascii="Arial" w:hAnsi="Arial" w:cs="Arial"/>
          <w:sz w:val="19"/>
          <w:szCs w:val="19"/>
        </w:rPr>
        <w:t xml:space="preserve"> </w:t>
      </w:r>
      <w:r>
        <w:rPr>
          <w:rFonts w:ascii="Arial" w:hAnsi="Arial" w:cs="Arial"/>
          <w:sz w:val="19"/>
          <w:szCs w:val="19"/>
        </w:rPr>
        <w:t>En efecto, «</w:t>
      </w:r>
      <w:r w:rsidRPr="00860A39">
        <w:rPr>
          <w:rFonts w:ascii="Arial" w:hAnsi="Arial" w:cs="Arial"/>
          <w:sz w:val="19"/>
          <w:szCs w:val="19"/>
        </w:rPr>
        <w:t>Se llaman así porque son evidentemente diferentes del derecho común. No se concebirían en los contratos civiles porque quedaría roto el principio de igualdad entre las partes y el de libertad contractual. Estas cláusulas exorbitantes del derecho común sobrepasan el ámbito de este derecho, ya sea porque son inusuales o porque incluidas en los contratos de derecho privado resultarían ilícitas por exceder el ámbito de la libertad contractual. Vale decir, en consecuencia, que las cláusulas exorbitantes pueden ser inusuales o ilícitas y en este caso por afectar el orden público</w:t>
      </w:r>
      <w:r>
        <w:rPr>
          <w:rFonts w:ascii="Arial" w:hAnsi="Arial" w:cs="Arial"/>
          <w:sz w:val="19"/>
          <w:szCs w:val="19"/>
        </w:rPr>
        <w:t>» (</w:t>
      </w:r>
      <w:r w:rsidRPr="00A9229F">
        <w:rPr>
          <w:rFonts w:ascii="Arial" w:hAnsi="Arial" w:cs="Arial"/>
          <w:sz w:val="19"/>
          <w:szCs w:val="19"/>
        </w:rPr>
        <w:t>DÍEZ, Manuel María. Manual de derecho administrativo. Tomo I. Décima Edición. Buenos Aires: Editorial Plus Ultra. p. 293.</w:t>
      </w:r>
      <w:r>
        <w:rPr>
          <w:rFonts w:ascii="Arial" w:hAnsi="Arial" w:cs="Arial"/>
          <w:sz w:val="19"/>
          <w:szCs w:val="19"/>
        </w:rPr>
        <w:t xml:space="preserve"> En el mismo sentido, </w:t>
      </w:r>
      <w:r w:rsidRPr="00A9229F">
        <w:rPr>
          <w:rFonts w:ascii="Arial" w:hAnsi="Arial" w:cs="Arial"/>
          <w:sz w:val="19"/>
          <w:szCs w:val="19"/>
        </w:rPr>
        <w:t>RIVERÓ, Jean. Derecho Administrativo. Caracas: Universidad Central de Venezuela, 1984. pp. 128-129</w:t>
      </w:r>
      <w:r>
        <w:rPr>
          <w:rFonts w:ascii="Arial" w:hAnsi="Arial" w:cs="Arial"/>
          <w:sz w:val="19"/>
          <w:szCs w:val="19"/>
        </w:rPr>
        <w:t xml:space="preserve">. VEDEL, George. Derecho administrativo. Madrid: Editorial Aguilar, 1980. p. 191). </w:t>
      </w:r>
      <w:r w:rsidRPr="002F2DB4">
        <w:rPr>
          <w:rFonts w:ascii="Arial" w:hAnsi="Arial" w:cs="Arial"/>
          <w:sz w:val="19"/>
          <w:szCs w:val="19"/>
        </w:rPr>
        <w:t xml:space="preserve"> </w:t>
      </w:r>
    </w:p>
    <w:p w14:paraId="4679AB02" w14:textId="77777777" w:rsidR="0062637E" w:rsidRPr="00A9229F" w:rsidRDefault="0062637E" w:rsidP="0062637E">
      <w:pPr>
        <w:pStyle w:val="Textonotapie"/>
        <w:ind w:firstLine="708"/>
        <w:jc w:val="both"/>
        <w:rPr>
          <w:rFonts w:ascii="Arial" w:hAnsi="Arial" w:cs="Arial"/>
          <w:sz w:val="19"/>
          <w:szCs w:val="19"/>
          <w:lang w:val="es-ES"/>
        </w:rPr>
      </w:pPr>
    </w:p>
  </w:footnote>
  <w:footnote w:id="9">
    <w:p w14:paraId="69317CD1" w14:textId="5976E3B5" w:rsidR="00A65034" w:rsidRPr="005C5011" w:rsidRDefault="00A65034" w:rsidP="005522BD">
      <w:pPr>
        <w:pStyle w:val="Textonotapie"/>
        <w:ind w:firstLine="708"/>
        <w:jc w:val="both"/>
        <w:rPr>
          <w:rFonts w:ascii="Arial" w:hAnsi="Arial" w:cs="Arial"/>
          <w:iCs/>
          <w:sz w:val="19"/>
          <w:szCs w:val="19"/>
        </w:rPr>
      </w:pPr>
      <w:r w:rsidRPr="005C5011">
        <w:rPr>
          <w:rStyle w:val="Refdenotaalpie"/>
          <w:rFonts w:ascii="Arial" w:hAnsi="Arial" w:cs="Arial"/>
          <w:sz w:val="19"/>
          <w:szCs w:val="19"/>
        </w:rPr>
        <w:footnoteRef/>
      </w:r>
      <w:r w:rsidRPr="005C5011">
        <w:rPr>
          <w:rFonts w:ascii="Arial" w:hAnsi="Arial" w:cs="Arial"/>
          <w:sz w:val="19"/>
          <w:szCs w:val="19"/>
        </w:rPr>
        <w:t xml:space="preserve"> </w:t>
      </w:r>
      <w:r w:rsidR="005522BD" w:rsidRPr="005522BD">
        <w:rPr>
          <w:rFonts w:ascii="Arial" w:hAnsi="Arial" w:cs="Arial"/>
          <w:iCs/>
          <w:sz w:val="19"/>
          <w:szCs w:val="19"/>
        </w:rPr>
        <w:t xml:space="preserve">En torno a estas cláusulas excepcionales, Expósito Vélez </w:t>
      </w:r>
      <w:r w:rsidR="005522BD">
        <w:rPr>
          <w:rFonts w:ascii="Arial" w:hAnsi="Arial" w:cs="Arial"/>
          <w:iCs/>
          <w:sz w:val="19"/>
          <w:szCs w:val="19"/>
        </w:rPr>
        <w:t>considera lo siguiente</w:t>
      </w:r>
      <w:r w:rsidR="005522BD" w:rsidRPr="005522BD">
        <w:rPr>
          <w:rFonts w:ascii="Arial" w:hAnsi="Arial" w:cs="Arial"/>
          <w:iCs/>
          <w:sz w:val="19"/>
          <w:szCs w:val="19"/>
        </w:rPr>
        <w:t xml:space="preserve">: </w:t>
      </w:r>
      <w:r w:rsidR="004526FC">
        <w:rPr>
          <w:rFonts w:ascii="Arial" w:hAnsi="Arial" w:cs="Arial"/>
          <w:iCs/>
          <w:sz w:val="19"/>
          <w:szCs w:val="19"/>
        </w:rPr>
        <w:t>«</w:t>
      </w:r>
      <w:r w:rsidR="005522BD" w:rsidRPr="005522BD">
        <w:rPr>
          <w:rFonts w:ascii="Arial" w:hAnsi="Arial" w:cs="Arial"/>
          <w:iCs/>
          <w:sz w:val="19"/>
          <w:szCs w:val="19"/>
        </w:rPr>
        <w:t xml:space="preserve">[…] podemos decir que se trata de un mecanismo encaminado a preservar la legalidad de las autoridades públicas, comprendido por el conjunto de prerrogativas que ostenta la Administración en el ámbito contractual dirigido a tutelar el interés público de la comunidad. Estas potestades pueden ser ejercidas por la Administración como manifestación de su </w:t>
      </w:r>
      <w:r w:rsidR="005522BD" w:rsidRPr="005522BD">
        <w:rPr>
          <w:rFonts w:ascii="Arial" w:hAnsi="Arial" w:cs="Arial"/>
          <w:i/>
          <w:iCs/>
          <w:sz w:val="19"/>
          <w:szCs w:val="19"/>
        </w:rPr>
        <w:t xml:space="preserve">imperium </w:t>
      </w:r>
      <w:r w:rsidR="005522BD" w:rsidRPr="005522BD">
        <w:rPr>
          <w:rFonts w:ascii="Arial" w:hAnsi="Arial" w:cs="Arial"/>
          <w:iCs/>
          <w:sz w:val="19"/>
          <w:szCs w:val="19"/>
        </w:rPr>
        <w:t>o poder del Estado, que se concreta en el poder jurídico para imponer coactivamente su voluntad, lo cual debe matizarse, dado que estas prerrogativas solo podrán ser ejercidas en las situaciones de hecho previamente establecidas por la ley y dentro de los límites señalados por la misma. Se trata de cláusulas excepcionales al derecho común, típicamente administrativas</w:t>
      </w:r>
      <w:r w:rsidR="004526FC">
        <w:rPr>
          <w:rFonts w:ascii="Arial" w:hAnsi="Arial" w:cs="Arial"/>
          <w:iCs/>
          <w:sz w:val="19"/>
          <w:szCs w:val="19"/>
        </w:rPr>
        <w:t>» (</w:t>
      </w:r>
      <w:r w:rsidR="00242223" w:rsidRPr="00242223">
        <w:rPr>
          <w:rFonts w:ascii="Arial" w:hAnsi="Arial" w:cs="Arial"/>
          <w:iCs/>
          <w:sz w:val="19"/>
          <w:szCs w:val="19"/>
        </w:rPr>
        <w:t>EXPÓSITO VÉLEZ, Juan Carlos. Forma y contenido del contrato estatal. Bogotá: Universidad Externado de Colombia, 2013. p. 190</w:t>
      </w:r>
      <w:r w:rsidR="00242223">
        <w:rPr>
          <w:rFonts w:ascii="Arial" w:hAnsi="Arial" w:cs="Arial"/>
          <w:iCs/>
          <w:sz w:val="19"/>
          <w:szCs w:val="19"/>
        </w:rPr>
        <w:t>).</w:t>
      </w:r>
    </w:p>
    <w:p w14:paraId="68E3D796" w14:textId="77777777" w:rsidR="00A65034" w:rsidRPr="005C5011" w:rsidRDefault="00A65034" w:rsidP="005C5011">
      <w:pPr>
        <w:pStyle w:val="Textonotapie"/>
        <w:ind w:firstLine="708"/>
        <w:jc w:val="both"/>
        <w:rPr>
          <w:rFonts w:ascii="Arial" w:hAnsi="Arial" w:cs="Arial"/>
          <w:sz w:val="19"/>
          <w:szCs w:val="19"/>
          <w:lang w:val="es-CO"/>
        </w:rPr>
      </w:pPr>
    </w:p>
  </w:footnote>
  <w:footnote w:id="10">
    <w:p w14:paraId="5399B10E" w14:textId="4C47102B" w:rsidR="00023E25" w:rsidRDefault="00023E25" w:rsidP="009319D0">
      <w:pPr>
        <w:pStyle w:val="Textonotapie"/>
        <w:ind w:firstLine="708"/>
        <w:jc w:val="both"/>
        <w:rPr>
          <w:rFonts w:ascii="Arial" w:hAnsi="Arial" w:cs="Arial"/>
          <w:sz w:val="19"/>
          <w:szCs w:val="19"/>
        </w:rPr>
      </w:pPr>
      <w:r w:rsidRPr="005C5011">
        <w:rPr>
          <w:rStyle w:val="Refdenotaalpie"/>
          <w:rFonts w:ascii="Arial" w:hAnsi="Arial" w:cs="Arial"/>
          <w:sz w:val="19"/>
          <w:szCs w:val="19"/>
        </w:rPr>
        <w:footnoteRef/>
      </w:r>
      <w:r w:rsidRPr="005C5011">
        <w:rPr>
          <w:rFonts w:ascii="Arial" w:hAnsi="Arial" w:cs="Arial"/>
          <w:sz w:val="19"/>
          <w:szCs w:val="19"/>
        </w:rPr>
        <w:t xml:space="preserve"> </w:t>
      </w:r>
      <w:r>
        <w:rPr>
          <w:rFonts w:ascii="Arial" w:hAnsi="Arial" w:cs="Arial"/>
          <w:sz w:val="19"/>
          <w:szCs w:val="19"/>
        </w:rPr>
        <w:t>El artículo 15</w:t>
      </w:r>
      <w:r w:rsidR="000A56E8">
        <w:rPr>
          <w:rFonts w:ascii="Arial" w:hAnsi="Arial" w:cs="Arial"/>
          <w:sz w:val="19"/>
          <w:szCs w:val="19"/>
        </w:rPr>
        <w:t xml:space="preserve"> del Estatuto General de Contratación de la Administración Pública dispone que «</w:t>
      </w:r>
      <w:r w:rsidR="009319D0" w:rsidRPr="009319D0">
        <w:rPr>
          <w:rFonts w:ascii="Arial" w:hAnsi="Arial" w:cs="Arial"/>
          <w:sz w:val="19"/>
          <w:szCs w:val="19"/>
        </w:rPr>
        <w:t>Si durante la ejecución del contrato surgen discrepancias entre las partes sobre la interpretación de algunas de sus estipulaciones que puedan conducir a la paralización o a la afectación grave del servicio público que se pretende satisfacer con el objeto contratado, la entidad estatal, si no se logra acuerdo, interpretará en acto administrativo debidamente motivado, las estipulaciones o cláusulas objeto de la diferencia</w:t>
      </w:r>
      <w:r w:rsidR="009319D0">
        <w:rPr>
          <w:rFonts w:ascii="Arial" w:hAnsi="Arial" w:cs="Arial"/>
          <w:sz w:val="19"/>
          <w:szCs w:val="19"/>
        </w:rPr>
        <w:t>».</w:t>
      </w:r>
    </w:p>
    <w:p w14:paraId="39707B5B" w14:textId="77777777" w:rsidR="00023E25" w:rsidRPr="005C5011" w:rsidRDefault="00023E25" w:rsidP="005C5011">
      <w:pPr>
        <w:pStyle w:val="Textonotapie"/>
        <w:ind w:firstLine="708"/>
        <w:jc w:val="both"/>
        <w:rPr>
          <w:rFonts w:ascii="Arial" w:hAnsi="Arial" w:cs="Arial"/>
          <w:sz w:val="19"/>
          <w:szCs w:val="19"/>
          <w:lang w:val="es-CO"/>
        </w:rPr>
      </w:pPr>
    </w:p>
  </w:footnote>
  <w:footnote w:id="11">
    <w:p w14:paraId="44A257FF" w14:textId="77777777" w:rsidR="0062637E" w:rsidRDefault="0062637E" w:rsidP="0062637E">
      <w:pPr>
        <w:pStyle w:val="Textonotapie"/>
        <w:ind w:firstLine="708"/>
        <w:jc w:val="both"/>
        <w:rPr>
          <w:rFonts w:ascii="Arial" w:hAnsi="Arial" w:cs="Arial"/>
          <w:sz w:val="19"/>
          <w:szCs w:val="19"/>
        </w:rPr>
      </w:pPr>
      <w:r w:rsidRPr="004B5B9E">
        <w:rPr>
          <w:rStyle w:val="Refdenotaalpie"/>
          <w:rFonts w:ascii="Arial" w:hAnsi="Arial" w:cs="Arial"/>
          <w:sz w:val="19"/>
          <w:szCs w:val="19"/>
        </w:rPr>
        <w:footnoteRef/>
      </w:r>
      <w:r w:rsidRPr="004B5B9E">
        <w:rPr>
          <w:rFonts w:ascii="Arial" w:hAnsi="Arial" w:cs="Arial"/>
          <w:sz w:val="19"/>
          <w:szCs w:val="19"/>
        </w:rPr>
        <w:t xml:space="preserve"> </w:t>
      </w:r>
      <w:r>
        <w:rPr>
          <w:rFonts w:ascii="Arial" w:hAnsi="Arial" w:cs="Arial"/>
          <w:sz w:val="19"/>
          <w:szCs w:val="19"/>
        </w:rPr>
        <w:t xml:space="preserve">CONSEJO DE ESTADO. Sección Tercera. Sentencia del 30 de noviembre de 2006. Exp. 30.832. C.P. </w:t>
      </w:r>
      <w:r w:rsidRPr="00790BB8">
        <w:rPr>
          <w:rFonts w:ascii="Arial" w:hAnsi="Arial" w:cs="Arial"/>
          <w:sz w:val="19"/>
          <w:szCs w:val="19"/>
        </w:rPr>
        <w:t>Alier Eduardo Hernández Enríquez</w:t>
      </w:r>
      <w:r>
        <w:rPr>
          <w:rFonts w:ascii="Arial" w:hAnsi="Arial" w:cs="Arial"/>
          <w:sz w:val="19"/>
          <w:szCs w:val="19"/>
        </w:rPr>
        <w:t xml:space="preserve">. Idea reiterada en la Subsección A. Sentencia del 16 de agosto de 2012. Exp. 22.822. C.P. </w:t>
      </w:r>
      <w:r w:rsidRPr="000047EA">
        <w:rPr>
          <w:rFonts w:ascii="Arial" w:hAnsi="Arial" w:cs="Arial"/>
          <w:sz w:val="19"/>
          <w:szCs w:val="19"/>
        </w:rPr>
        <w:t>Mauricio Fajardo Gómez</w:t>
      </w:r>
      <w:r>
        <w:rPr>
          <w:rFonts w:ascii="Arial" w:hAnsi="Arial" w:cs="Arial"/>
          <w:sz w:val="19"/>
          <w:szCs w:val="19"/>
        </w:rPr>
        <w:t xml:space="preserve">; Subsección A. Sentencia del 12 de noviembre de 2014. Exp. 30.251. C.P. </w:t>
      </w:r>
      <w:r w:rsidRPr="00B217CA">
        <w:rPr>
          <w:rFonts w:ascii="Arial" w:hAnsi="Arial" w:cs="Arial"/>
          <w:sz w:val="19"/>
          <w:szCs w:val="19"/>
        </w:rPr>
        <w:t>Hernán Andrade Rincón</w:t>
      </w:r>
      <w:r>
        <w:rPr>
          <w:rFonts w:ascii="Arial" w:hAnsi="Arial" w:cs="Arial"/>
          <w:sz w:val="19"/>
          <w:szCs w:val="19"/>
        </w:rPr>
        <w:t xml:space="preserve">; Subsección C. Sentencia del 13 de mayo de 2015. Exp. 32.492. C.P. </w:t>
      </w:r>
      <w:r w:rsidRPr="0095113A">
        <w:rPr>
          <w:rFonts w:ascii="Arial" w:hAnsi="Arial" w:cs="Arial"/>
          <w:sz w:val="19"/>
          <w:szCs w:val="19"/>
        </w:rPr>
        <w:t xml:space="preserve">Olga Mélida Valle </w:t>
      </w:r>
      <w:r>
        <w:rPr>
          <w:rFonts w:ascii="Arial" w:hAnsi="Arial" w:cs="Arial"/>
          <w:sz w:val="19"/>
          <w:szCs w:val="19"/>
        </w:rPr>
        <w:t>d</w:t>
      </w:r>
      <w:r w:rsidRPr="0095113A">
        <w:rPr>
          <w:rFonts w:ascii="Arial" w:hAnsi="Arial" w:cs="Arial"/>
          <w:sz w:val="19"/>
          <w:szCs w:val="19"/>
        </w:rPr>
        <w:t>e De La Hoz (E)</w:t>
      </w:r>
      <w:r>
        <w:rPr>
          <w:rFonts w:ascii="Arial" w:hAnsi="Arial" w:cs="Arial"/>
          <w:sz w:val="19"/>
          <w:szCs w:val="19"/>
        </w:rPr>
        <w:t xml:space="preserve">, entre otras. </w:t>
      </w:r>
    </w:p>
    <w:p w14:paraId="2316BD89" w14:textId="77777777" w:rsidR="0062637E" w:rsidRPr="004B5B9E" w:rsidRDefault="0062637E" w:rsidP="0062637E">
      <w:pPr>
        <w:pStyle w:val="Textonotapie"/>
        <w:ind w:firstLine="708"/>
        <w:jc w:val="both"/>
        <w:rPr>
          <w:rFonts w:ascii="Arial" w:hAnsi="Arial" w:cs="Arial"/>
          <w:sz w:val="19"/>
          <w:szCs w:val="19"/>
          <w:lang w:val="es-ES"/>
        </w:rPr>
      </w:pPr>
    </w:p>
  </w:footnote>
  <w:footnote w:id="12">
    <w:p w14:paraId="4501B5CB" w14:textId="711AF1C0" w:rsidR="00173F98" w:rsidRDefault="00173F98" w:rsidP="00173F98">
      <w:pPr>
        <w:pStyle w:val="Textonotapie"/>
        <w:ind w:firstLine="708"/>
        <w:jc w:val="both"/>
        <w:rPr>
          <w:rFonts w:ascii="Arial" w:hAnsi="Arial" w:cs="Arial"/>
          <w:sz w:val="19"/>
          <w:szCs w:val="19"/>
        </w:rPr>
      </w:pPr>
      <w:r>
        <w:rPr>
          <w:rStyle w:val="Refdenotaalpie"/>
        </w:rPr>
        <w:footnoteRef/>
      </w:r>
      <w:r>
        <w:t xml:space="preserve"> </w:t>
      </w:r>
      <w:r w:rsidRPr="00173F98">
        <w:rPr>
          <w:rFonts w:ascii="Arial" w:hAnsi="Arial" w:cs="Arial"/>
          <w:sz w:val="19"/>
          <w:szCs w:val="19"/>
        </w:rPr>
        <w:t xml:space="preserve">Según modificación hecha por el artículo 52 de la Ley 2195 de 2022 </w:t>
      </w:r>
      <w:r>
        <w:rPr>
          <w:rFonts w:ascii="Arial" w:hAnsi="Arial" w:cs="Arial"/>
          <w:sz w:val="19"/>
          <w:szCs w:val="19"/>
        </w:rPr>
        <w:t>«</w:t>
      </w:r>
      <w:r w:rsidRPr="00173F98">
        <w:rPr>
          <w:rFonts w:ascii="Arial" w:hAnsi="Arial" w:cs="Arial"/>
          <w:sz w:val="19"/>
          <w:szCs w:val="19"/>
        </w:rPr>
        <w:t>Por medio de la cual se adoptan medidas en materia de transparencia, prevención y lucha contra la corrupción y se dictan otras disposiciones</w:t>
      </w:r>
      <w:r>
        <w:rPr>
          <w:rFonts w:ascii="Arial" w:hAnsi="Arial" w:cs="Arial"/>
          <w:sz w:val="19"/>
          <w:szCs w:val="19"/>
        </w:rPr>
        <w:t>»</w:t>
      </w:r>
      <w:r w:rsidRPr="00173F98">
        <w:rPr>
          <w:rFonts w:ascii="Arial" w:hAnsi="Arial" w:cs="Arial"/>
          <w:sz w:val="19"/>
          <w:szCs w:val="19"/>
        </w:rPr>
        <w:t xml:space="preserve">. </w:t>
      </w:r>
    </w:p>
    <w:p w14:paraId="31B95474" w14:textId="77777777" w:rsidR="002C20EE" w:rsidRPr="00173F98" w:rsidRDefault="002C20EE" w:rsidP="00173F98">
      <w:pPr>
        <w:pStyle w:val="Textonotapie"/>
        <w:ind w:firstLine="708"/>
        <w:jc w:val="both"/>
        <w:rPr>
          <w:rFonts w:ascii="Arial" w:hAnsi="Arial" w:cs="Arial"/>
          <w:sz w:val="19"/>
          <w:szCs w:val="19"/>
        </w:rPr>
      </w:pPr>
    </w:p>
  </w:footnote>
  <w:footnote w:id="13">
    <w:p w14:paraId="4189F150" w14:textId="7E3AC5A1" w:rsidR="0062637E" w:rsidRDefault="0062637E" w:rsidP="008E7851">
      <w:pPr>
        <w:pStyle w:val="Textonotapie"/>
        <w:ind w:firstLine="708"/>
        <w:jc w:val="both"/>
        <w:rPr>
          <w:rFonts w:ascii="Arial" w:hAnsi="Arial" w:cs="Arial"/>
          <w:sz w:val="19"/>
          <w:szCs w:val="19"/>
        </w:rPr>
      </w:pPr>
      <w:r w:rsidRPr="000C51AF">
        <w:rPr>
          <w:rStyle w:val="Refdenotaalpie"/>
          <w:rFonts w:ascii="Arial" w:hAnsi="Arial" w:cs="Arial"/>
          <w:sz w:val="19"/>
          <w:szCs w:val="19"/>
        </w:rPr>
        <w:footnoteRef/>
      </w:r>
      <w:r w:rsidRPr="000C51AF">
        <w:rPr>
          <w:rFonts w:ascii="Arial" w:hAnsi="Arial" w:cs="Arial"/>
          <w:sz w:val="19"/>
          <w:szCs w:val="19"/>
        </w:rPr>
        <w:t xml:space="preserve"> </w:t>
      </w:r>
      <w:r>
        <w:rPr>
          <w:rFonts w:ascii="Arial" w:hAnsi="Arial" w:cs="Arial"/>
          <w:sz w:val="19"/>
          <w:szCs w:val="19"/>
        </w:rPr>
        <w:t>El artículo 1501 del Código Civil prescribe lo siguiente: «</w:t>
      </w:r>
      <w:r w:rsidRPr="000C51AF">
        <w:rPr>
          <w:rFonts w:ascii="Arial" w:hAnsi="Arial" w:cs="Arial"/>
          <w:sz w:val="19"/>
          <w:szCs w:val="19"/>
        </w:rPr>
        <w:t xml:space="preserve">Se distinguen en cada contrato las cosas que son de su esencia, las que son de su naturaleza, y las puramente accidentales. Son de la esencia de un contrato aquellas cosas sin las cuales, o no produce efecto alguno, o degeneran en otro contrato diferente; </w:t>
      </w:r>
      <w:r w:rsidRPr="00DF6B09">
        <w:rPr>
          <w:rFonts w:ascii="Arial" w:hAnsi="Arial" w:cs="Arial"/>
          <w:i/>
          <w:iCs/>
          <w:sz w:val="19"/>
          <w:szCs w:val="19"/>
        </w:rPr>
        <w:t>son de la naturaleza de un contrato las que no siendo esenciales en él, se entienden pertenecerle, sin necesidad de una cláusula especial</w:t>
      </w:r>
      <w:r w:rsidRPr="000C51AF">
        <w:rPr>
          <w:rFonts w:ascii="Arial" w:hAnsi="Arial" w:cs="Arial"/>
          <w:sz w:val="19"/>
          <w:szCs w:val="19"/>
        </w:rPr>
        <w:t>; y son accidentales a un contrato aquellas que ni esencial ni naturalmente le pertenecen, y que se le agregan por medio de cláusulas especiales</w:t>
      </w:r>
      <w:r>
        <w:rPr>
          <w:rFonts w:ascii="Arial" w:hAnsi="Arial" w:cs="Arial"/>
          <w:sz w:val="19"/>
          <w:szCs w:val="19"/>
        </w:rPr>
        <w:t>» (Énfasis fuera de texto)</w:t>
      </w:r>
      <w:r w:rsidRPr="000C51AF">
        <w:rPr>
          <w:rFonts w:ascii="Arial" w:hAnsi="Arial" w:cs="Arial"/>
          <w:sz w:val="19"/>
          <w:szCs w:val="19"/>
        </w:rPr>
        <w:t>.</w:t>
      </w:r>
    </w:p>
    <w:p w14:paraId="2FBCA089" w14:textId="77777777" w:rsidR="00902242" w:rsidRPr="008E7851" w:rsidRDefault="00902242" w:rsidP="008E7851">
      <w:pPr>
        <w:pStyle w:val="Textonotapie"/>
        <w:ind w:firstLine="708"/>
        <w:jc w:val="both"/>
        <w:rPr>
          <w:rFonts w:ascii="Arial" w:hAnsi="Arial" w:cs="Arial"/>
          <w:sz w:val="19"/>
          <w:szCs w:val="19"/>
        </w:rPr>
      </w:pPr>
    </w:p>
  </w:footnote>
  <w:footnote w:id="14">
    <w:p w14:paraId="63FB65D9" w14:textId="77777777" w:rsidR="0062637E" w:rsidRDefault="0062637E" w:rsidP="0062637E">
      <w:pPr>
        <w:pStyle w:val="Textonotapie"/>
        <w:ind w:firstLine="708"/>
        <w:jc w:val="both"/>
        <w:rPr>
          <w:rFonts w:ascii="Arial" w:hAnsi="Arial" w:cs="Arial"/>
          <w:sz w:val="19"/>
          <w:szCs w:val="19"/>
        </w:rPr>
      </w:pPr>
      <w:r w:rsidRPr="0083539E">
        <w:rPr>
          <w:rStyle w:val="Refdenotaalpie"/>
          <w:rFonts w:ascii="Arial" w:hAnsi="Arial" w:cs="Arial"/>
          <w:sz w:val="19"/>
          <w:szCs w:val="19"/>
        </w:rPr>
        <w:footnoteRef/>
      </w:r>
      <w:r w:rsidRPr="0083539E">
        <w:rPr>
          <w:rFonts w:ascii="Arial" w:hAnsi="Arial" w:cs="Arial"/>
          <w:sz w:val="19"/>
          <w:szCs w:val="19"/>
        </w:rPr>
        <w:t xml:space="preserve"> </w:t>
      </w:r>
      <w:r>
        <w:rPr>
          <w:rFonts w:ascii="Arial" w:hAnsi="Arial" w:cs="Arial"/>
          <w:sz w:val="19"/>
          <w:szCs w:val="19"/>
        </w:rPr>
        <w:t xml:space="preserve">CONSEJO DE ESTADO. Sección Tercera. Sentencia del 30 de noviembre de 2006. Exp. 30.832. C.P. </w:t>
      </w:r>
      <w:r w:rsidRPr="00790BB8">
        <w:rPr>
          <w:rFonts w:ascii="Arial" w:hAnsi="Arial" w:cs="Arial"/>
          <w:sz w:val="19"/>
          <w:szCs w:val="19"/>
        </w:rPr>
        <w:t>Alier Eduardo Hernández Enríquez</w:t>
      </w:r>
      <w:r>
        <w:rPr>
          <w:rFonts w:ascii="Arial" w:hAnsi="Arial" w:cs="Arial"/>
          <w:sz w:val="19"/>
          <w:szCs w:val="19"/>
        </w:rPr>
        <w:t>.</w:t>
      </w:r>
    </w:p>
    <w:p w14:paraId="3E7F233A" w14:textId="77777777" w:rsidR="0062637E" w:rsidRPr="0083539E" w:rsidRDefault="0062637E" w:rsidP="0062637E">
      <w:pPr>
        <w:pStyle w:val="Textonotapie"/>
        <w:ind w:firstLine="708"/>
        <w:jc w:val="both"/>
        <w:rPr>
          <w:rFonts w:ascii="Arial" w:hAnsi="Arial" w:cs="Arial"/>
          <w:sz w:val="19"/>
          <w:szCs w:val="19"/>
          <w:lang w:val="es-ES"/>
        </w:rPr>
      </w:pPr>
    </w:p>
  </w:footnote>
  <w:footnote w:id="15">
    <w:p w14:paraId="22F7A2EA" w14:textId="78934052" w:rsidR="00113E6A" w:rsidRPr="005C5011" w:rsidRDefault="00113E6A" w:rsidP="005C5011">
      <w:pPr>
        <w:pStyle w:val="Textonotapie"/>
        <w:ind w:firstLine="708"/>
        <w:rPr>
          <w:rFonts w:ascii="Arial" w:hAnsi="Arial" w:cs="Arial"/>
          <w:sz w:val="19"/>
          <w:szCs w:val="19"/>
          <w:lang w:val="es-CO"/>
        </w:rPr>
      </w:pPr>
      <w:r w:rsidRPr="005C5011">
        <w:rPr>
          <w:rStyle w:val="Refdenotaalpie"/>
          <w:rFonts w:ascii="Arial" w:hAnsi="Arial" w:cs="Arial"/>
          <w:sz w:val="19"/>
          <w:szCs w:val="19"/>
        </w:rPr>
        <w:footnoteRef/>
      </w:r>
      <w:r w:rsidRPr="005C5011">
        <w:rPr>
          <w:rFonts w:ascii="Arial" w:hAnsi="Arial" w:cs="Arial"/>
          <w:sz w:val="19"/>
          <w:szCs w:val="19"/>
        </w:rPr>
        <w:t xml:space="preserve"> </w:t>
      </w:r>
      <w:r w:rsidR="00B747C9">
        <w:rPr>
          <w:rFonts w:ascii="Arial" w:hAnsi="Arial" w:cs="Arial"/>
          <w:sz w:val="19"/>
          <w:szCs w:val="19"/>
        </w:rPr>
        <w:t>OSPINA FERNÁNDEZ</w:t>
      </w:r>
      <w:r w:rsidR="00154F41">
        <w:rPr>
          <w:rFonts w:ascii="Arial" w:hAnsi="Arial" w:cs="Arial"/>
          <w:sz w:val="19"/>
          <w:szCs w:val="19"/>
        </w:rPr>
        <w:t>,</w:t>
      </w:r>
      <w:r w:rsidR="00B747C9">
        <w:rPr>
          <w:rFonts w:ascii="Arial" w:hAnsi="Arial" w:cs="Arial"/>
          <w:sz w:val="19"/>
          <w:szCs w:val="19"/>
        </w:rPr>
        <w:t xml:space="preserve"> </w:t>
      </w:r>
      <w:r w:rsidR="00154F41">
        <w:rPr>
          <w:rFonts w:ascii="Arial" w:hAnsi="Arial" w:cs="Arial"/>
          <w:sz w:val="19"/>
          <w:szCs w:val="19"/>
        </w:rPr>
        <w:t xml:space="preserve">Guillermo y OSPINA ACOSTA, </w:t>
      </w:r>
      <w:r w:rsidR="00F65777">
        <w:rPr>
          <w:rFonts w:ascii="Arial" w:hAnsi="Arial" w:cs="Arial"/>
          <w:sz w:val="19"/>
          <w:szCs w:val="19"/>
        </w:rPr>
        <w:t xml:space="preserve">Eduardo. </w:t>
      </w:r>
      <w:r w:rsidR="00D6203C">
        <w:rPr>
          <w:rFonts w:ascii="Arial" w:hAnsi="Arial" w:cs="Arial"/>
          <w:sz w:val="19"/>
          <w:szCs w:val="19"/>
        </w:rPr>
        <w:t xml:space="preserve">Teoría general del contrato y del negocio jurídico. </w:t>
      </w:r>
      <w:r w:rsidR="005A561F">
        <w:rPr>
          <w:rFonts w:ascii="Arial" w:hAnsi="Arial" w:cs="Arial"/>
          <w:sz w:val="19"/>
          <w:szCs w:val="19"/>
        </w:rPr>
        <w:t>Séptima edición. Bogotá: Temis, 20</w:t>
      </w:r>
      <w:r w:rsidR="0021653A">
        <w:rPr>
          <w:rFonts w:ascii="Arial" w:hAnsi="Arial" w:cs="Arial"/>
          <w:sz w:val="19"/>
          <w:szCs w:val="19"/>
        </w:rPr>
        <w:t>16</w:t>
      </w:r>
      <w:r w:rsidR="005A561F">
        <w:rPr>
          <w:rFonts w:ascii="Arial" w:hAnsi="Arial" w:cs="Arial"/>
          <w:sz w:val="19"/>
          <w:szCs w:val="19"/>
        </w:rPr>
        <w:t>.</w:t>
      </w:r>
      <w:r w:rsidR="00F65777">
        <w:rPr>
          <w:rFonts w:ascii="Arial" w:hAnsi="Arial" w:cs="Arial"/>
          <w:sz w:val="19"/>
          <w:szCs w:val="19"/>
        </w:rPr>
        <w:t xml:space="preserve"> </w:t>
      </w:r>
      <w:r w:rsidR="00154F41">
        <w:rPr>
          <w:rFonts w:ascii="Arial" w:hAnsi="Arial" w:cs="Arial"/>
          <w:sz w:val="19"/>
          <w:szCs w:val="19"/>
        </w:rPr>
        <w:t>p</w:t>
      </w:r>
      <w:r w:rsidR="00481BA7">
        <w:rPr>
          <w:rFonts w:ascii="Arial" w:hAnsi="Arial" w:cs="Arial"/>
          <w:sz w:val="19"/>
          <w:szCs w:val="19"/>
        </w:rPr>
        <w:t>. 395</w:t>
      </w:r>
      <w:r w:rsidR="005A561F">
        <w:rPr>
          <w:rFonts w:ascii="Arial" w:hAnsi="Arial" w:cs="Arial"/>
          <w:sz w:val="19"/>
          <w:szCs w:val="19"/>
        </w:rPr>
        <w:t>.</w:t>
      </w:r>
    </w:p>
  </w:footnote>
  <w:footnote w:id="16">
    <w:p w14:paraId="428851E3" w14:textId="73682E88" w:rsidR="00F6208B" w:rsidRDefault="00F6208B" w:rsidP="00021EE8">
      <w:pPr>
        <w:pStyle w:val="Textonotapie"/>
        <w:ind w:firstLine="708"/>
        <w:jc w:val="both"/>
        <w:rPr>
          <w:rFonts w:ascii="Arial" w:hAnsi="Arial" w:cs="Arial"/>
          <w:sz w:val="19"/>
          <w:szCs w:val="19"/>
        </w:rPr>
      </w:pPr>
      <w:r w:rsidRPr="005C5011">
        <w:rPr>
          <w:rStyle w:val="Refdenotaalpie"/>
          <w:rFonts w:ascii="Arial" w:hAnsi="Arial" w:cs="Arial"/>
          <w:sz w:val="19"/>
          <w:szCs w:val="19"/>
        </w:rPr>
        <w:footnoteRef/>
      </w:r>
      <w:r w:rsidRPr="005C5011">
        <w:rPr>
          <w:rFonts w:ascii="Arial" w:hAnsi="Arial" w:cs="Arial"/>
          <w:sz w:val="19"/>
          <w:szCs w:val="19"/>
        </w:rPr>
        <w:t xml:space="preserve"> </w:t>
      </w:r>
      <w:r w:rsidR="00676133">
        <w:rPr>
          <w:rFonts w:ascii="Arial" w:hAnsi="Arial" w:cs="Arial"/>
          <w:sz w:val="19"/>
          <w:szCs w:val="19"/>
        </w:rPr>
        <w:t>El artículo 28 de la Ley 80 de 1993 dispone que «</w:t>
      </w:r>
      <w:r w:rsidR="00676133" w:rsidRPr="00676133">
        <w:rPr>
          <w:rFonts w:ascii="Arial" w:hAnsi="Arial" w:cs="Arial"/>
          <w:sz w:val="19"/>
          <w:szCs w:val="19"/>
        </w:rPr>
        <w:t xml:space="preserve">En la interpretación </w:t>
      </w:r>
      <w:r w:rsidR="00614421">
        <w:rPr>
          <w:rFonts w:ascii="Arial" w:hAnsi="Arial" w:cs="Arial"/>
          <w:sz w:val="19"/>
          <w:szCs w:val="19"/>
        </w:rPr>
        <w:t>[…]</w:t>
      </w:r>
      <w:r w:rsidR="00676133" w:rsidRPr="00676133">
        <w:rPr>
          <w:rFonts w:ascii="Arial" w:hAnsi="Arial" w:cs="Arial"/>
          <w:sz w:val="19"/>
          <w:szCs w:val="19"/>
        </w:rPr>
        <w:t xml:space="preserve"> de las cláusulas y estipulaciones de los contratos, se tendrá en consideración los fines y los principios de que trata esta ley, los mandatos de la buena fe y la igualdad y equilibrio entre prestaciones y derechos que caracteriza a los contratos conmutativos</w:t>
      </w:r>
      <w:r w:rsidR="00676133">
        <w:rPr>
          <w:rFonts w:ascii="Arial" w:hAnsi="Arial" w:cs="Arial"/>
          <w:sz w:val="19"/>
          <w:szCs w:val="19"/>
        </w:rPr>
        <w:t>»</w:t>
      </w:r>
      <w:r w:rsidR="00793F69">
        <w:rPr>
          <w:rFonts w:ascii="Arial" w:hAnsi="Arial" w:cs="Arial"/>
          <w:sz w:val="19"/>
          <w:szCs w:val="19"/>
        </w:rPr>
        <w:t>.</w:t>
      </w:r>
    </w:p>
    <w:p w14:paraId="3D982D62" w14:textId="77777777" w:rsidR="00021EE8" w:rsidRPr="005C5011" w:rsidRDefault="00021EE8" w:rsidP="005C5011">
      <w:pPr>
        <w:pStyle w:val="Textonotapie"/>
        <w:ind w:firstLine="708"/>
        <w:jc w:val="both"/>
        <w:rPr>
          <w:rFonts w:ascii="Arial" w:hAnsi="Arial" w:cs="Arial"/>
          <w:sz w:val="19"/>
          <w:szCs w:val="19"/>
          <w:lang w:val="es-CO"/>
        </w:rPr>
      </w:pPr>
    </w:p>
  </w:footnote>
  <w:footnote w:id="17">
    <w:p w14:paraId="2B23F7B4" w14:textId="77777777" w:rsidR="00450C06" w:rsidRPr="00645B79" w:rsidRDefault="00450C06" w:rsidP="00450C06">
      <w:pPr>
        <w:pStyle w:val="Textonotapie"/>
        <w:ind w:firstLine="708"/>
        <w:jc w:val="both"/>
        <w:rPr>
          <w:rFonts w:ascii="Arial" w:hAnsi="Arial" w:cs="Arial"/>
          <w:sz w:val="19"/>
          <w:szCs w:val="19"/>
        </w:rPr>
      </w:pPr>
      <w:r w:rsidRPr="00645B79">
        <w:rPr>
          <w:rStyle w:val="Refdenotaalpie"/>
          <w:rFonts w:ascii="Arial" w:hAnsi="Arial" w:cs="Arial"/>
          <w:sz w:val="19"/>
          <w:szCs w:val="19"/>
        </w:rPr>
        <w:footnoteRef/>
      </w:r>
      <w:r w:rsidRPr="00645B79">
        <w:rPr>
          <w:rFonts w:ascii="Arial" w:hAnsi="Arial" w:cs="Arial"/>
          <w:sz w:val="19"/>
          <w:szCs w:val="19"/>
        </w:rPr>
        <w:t xml:space="preserve"> SANTOFIMIO GAMBÓA, Jaime Orlando. Compendio de Derecho Administrativo. Editorial Universidad Externado de Colombia. Págs. 672-673. Bogotá, 2017.</w:t>
      </w:r>
    </w:p>
  </w:footnote>
  <w:footnote w:id="18">
    <w:p w14:paraId="2A3B2168" w14:textId="01F9A51F" w:rsidR="00F67761" w:rsidRDefault="00DF2541" w:rsidP="00F67761">
      <w:pPr>
        <w:pStyle w:val="Textonotapie"/>
        <w:ind w:firstLine="708"/>
        <w:jc w:val="both"/>
        <w:rPr>
          <w:rFonts w:ascii="Arial" w:hAnsi="Arial" w:cs="Arial"/>
          <w:sz w:val="19"/>
          <w:szCs w:val="19"/>
        </w:rPr>
      </w:pPr>
      <w:r w:rsidRPr="005C5011">
        <w:rPr>
          <w:rStyle w:val="Refdenotaalpie"/>
          <w:rFonts w:ascii="Arial" w:hAnsi="Arial" w:cs="Arial"/>
          <w:sz w:val="19"/>
          <w:szCs w:val="19"/>
        </w:rPr>
        <w:footnoteRef/>
      </w:r>
      <w:r w:rsidRPr="005C5011">
        <w:rPr>
          <w:rFonts w:ascii="Arial" w:hAnsi="Arial" w:cs="Arial"/>
          <w:sz w:val="19"/>
          <w:szCs w:val="19"/>
        </w:rPr>
        <w:t xml:space="preserve"> </w:t>
      </w:r>
      <w:r w:rsidR="00F67761">
        <w:rPr>
          <w:rFonts w:ascii="Arial" w:hAnsi="Arial" w:cs="Arial"/>
          <w:sz w:val="19"/>
          <w:szCs w:val="19"/>
        </w:rPr>
        <w:t xml:space="preserve">Al respecto, Arrubla Paucar considera que «Para muchos, el juez es el único destinatario de las normas interpretativas. Sin embargo, si las normas deben ser observadas </w:t>
      </w:r>
      <w:r w:rsidR="008A5D70">
        <w:rPr>
          <w:rFonts w:ascii="Arial" w:hAnsi="Arial" w:cs="Arial"/>
          <w:sz w:val="19"/>
          <w:szCs w:val="19"/>
        </w:rPr>
        <w:t>por la sociedad en general, sería extraño que</w:t>
      </w:r>
      <w:r w:rsidR="00C24D6B">
        <w:rPr>
          <w:rFonts w:ascii="Arial" w:hAnsi="Arial" w:cs="Arial"/>
          <w:sz w:val="19"/>
          <w:szCs w:val="19"/>
        </w:rPr>
        <w:t xml:space="preserve"> el</w:t>
      </w:r>
      <w:r w:rsidR="008A5D70">
        <w:rPr>
          <w:rFonts w:ascii="Arial" w:hAnsi="Arial" w:cs="Arial"/>
          <w:sz w:val="19"/>
          <w:szCs w:val="19"/>
        </w:rPr>
        <w:t xml:space="preserve"> único destinatario</w:t>
      </w:r>
      <w:r w:rsidR="00154FAA">
        <w:rPr>
          <w:rFonts w:ascii="Arial" w:hAnsi="Arial" w:cs="Arial"/>
          <w:sz w:val="19"/>
          <w:szCs w:val="19"/>
        </w:rPr>
        <w:t xml:space="preserve"> fuese el juez, que es el llamado a reprimir los casos de inobservancia</w:t>
      </w:r>
      <w:r w:rsidR="00CF6CC0">
        <w:rPr>
          <w:rFonts w:ascii="Arial" w:hAnsi="Arial" w:cs="Arial"/>
          <w:sz w:val="19"/>
          <w:szCs w:val="19"/>
        </w:rPr>
        <w:t xml:space="preserve">. “Por consiguiente, al igual que las otras normas, hay que considerar </w:t>
      </w:r>
      <w:r w:rsidR="00FA55F0">
        <w:rPr>
          <w:rFonts w:ascii="Arial" w:hAnsi="Arial" w:cs="Arial"/>
          <w:sz w:val="19"/>
          <w:szCs w:val="19"/>
        </w:rPr>
        <w:t>que las relativas a la interpretación del contrato van dirigidas</w:t>
      </w:r>
      <w:r w:rsidR="00594448">
        <w:rPr>
          <w:rFonts w:ascii="Arial" w:hAnsi="Arial" w:cs="Arial"/>
          <w:sz w:val="19"/>
          <w:szCs w:val="19"/>
        </w:rPr>
        <w:t>, en primer lugar a las partes y luego al juez”» (ARRUBLA PAUCAR, Jaime Alberto. Contratos mercantiles.</w:t>
      </w:r>
      <w:r w:rsidR="00162EC8">
        <w:rPr>
          <w:rFonts w:ascii="Arial" w:hAnsi="Arial" w:cs="Arial"/>
          <w:sz w:val="19"/>
          <w:szCs w:val="19"/>
        </w:rPr>
        <w:t xml:space="preserve"> Teoría general del negocio mercantil. </w:t>
      </w:r>
      <w:r w:rsidR="00754B2C">
        <w:rPr>
          <w:rFonts w:ascii="Arial" w:hAnsi="Arial" w:cs="Arial"/>
          <w:sz w:val="19"/>
          <w:szCs w:val="19"/>
        </w:rPr>
        <w:t xml:space="preserve">Decimotercera edición: Bogotá: Legis, 2012. </w:t>
      </w:r>
      <w:r w:rsidR="00162EC8">
        <w:rPr>
          <w:rFonts w:ascii="Arial" w:hAnsi="Arial" w:cs="Arial"/>
          <w:sz w:val="19"/>
          <w:szCs w:val="19"/>
        </w:rPr>
        <w:t>p. 337</w:t>
      </w:r>
      <w:r w:rsidR="00754B2C">
        <w:rPr>
          <w:rFonts w:ascii="Arial" w:hAnsi="Arial" w:cs="Arial"/>
          <w:sz w:val="19"/>
          <w:szCs w:val="19"/>
        </w:rPr>
        <w:t>).</w:t>
      </w:r>
      <w:r w:rsidR="00FA55F0">
        <w:rPr>
          <w:rFonts w:ascii="Arial" w:hAnsi="Arial" w:cs="Arial"/>
          <w:sz w:val="19"/>
          <w:szCs w:val="19"/>
        </w:rPr>
        <w:t xml:space="preserve"> </w:t>
      </w:r>
      <w:r w:rsidR="008A5D70">
        <w:rPr>
          <w:rFonts w:ascii="Arial" w:hAnsi="Arial" w:cs="Arial"/>
          <w:sz w:val="19"/>
          <w:szCs w:val="19"/>
        </w:rPr>
        <w:t xml:space="preserve">  </w:t>
      </w:r>
      <w:r w:rsidR="00F67761">
        <w:rPr>
          <w:rFonts w:ascii="Arial" w:hAnsi="Arial" w:cs="Arial"/>
          <w:sz w:val="19"/>
          <w:szCs w:val="19"/>
        </w:rPr>
        <w:t xml:space="preserve">  </w:t>
      </w:r>
    </w:p>
    <w:p w14:paraId="241B189C" w14:textId="397D6115" w:rsidR="00DF2541" w:rsidRPr="005C5011" w:rsidRDefault="00DF2541" w:rsidP="005C5011">
      <w:pPr>
        <w:pStyle w:val="Textonotapie"/>
        <w:ind w:firstLine="708"/>
        <w:jc w:val="both"/>
        <w:rPr>
          <w:rFonts w:ascii="Arial" w:hAnsi="Arial" w:cs="Arial"/>
          <w:sz w:val="19"/>
          <w:szCs w:val="19"/>
        </w:rPr>
      </w:pPr>
    </w:p>
  </w:footnote>
  <w:footnote w:id="19">
    <w:p w14:paraId="4F900B60" w14:textId="0C1473B6" w:rsidR="0059702D" w:rsidRDefault="0059702D" w:rsidP="0059702D">
      <w:pPr>
        <w:pStyle w:val="Textonotapie"/>
        <w:ind w:firstLine="708"/>
        <w:jc w:val="both"/>
        <w:rPr>
          <w:rFonts w:ascii="Arial" w:hAnsi="Arial" w:cs="Arial"/>
          <w:sz w:val="19"/>
          <w:szCs w:val="19"/>
        </w:rPr>
      </w:pPr>
      <w:r w:rsidRPr="005C5011">
        <w:rPr>
          <w:rStyle w:val="Refdenotaalpie"/>
          <w:rFonts w:ascii="Arial" w:hAnsi="Arial" w:cs="Arial"/>
          <w:sz w:val="19"/>
          <w:szCs w:val="19"/>
        </w:rPr>
        <w:footnoteRef/>
      </w:r>
      <w:r w:rsidRPr="005C5011">
        <w:rPr>
          <w:rFonts w:ascii="Arial" w:hAnsi="Arial" w:cs="Arial"/>
          <w:sz w:val="19"/>
          <w:szCs w:val="19"/>
        </w:rPr>
        <w:t xml:space="preserve"> </w:t>
      </w:r>
      <w:r w:rsidR="002A0A9B">
        <w:rPr>
          <w:rFonts w:ascii="Arial" w:hAnsi="Arial" w:cs="Arial"/>
          <w:sz w:val="19"/>
          <w:szCs w:val="19"/>
        </w:rPr>
        <w:t xml:space="preserve">Cfr. </w:t>
      </w:r>
      <w:r w:rsidR="002A0A9B" w:rsidRPr="002A0A9B">
        <w:rPr>
          <w:rFonts w:ascii="Arial" w:hAnsi="Arial" w:cs="Arial"/>
          <w:sz w:val="19"/>
          <w:szCs w:val="19"/>
        </w:rPr>
        <w:t>DÍEZ PICAZO</w:t>
      </w:r>
      <w:r w:rsidR="002A0A9B">
        <w:rPr>
          <w:rFonts w:ascii="Arial" w:hAnsi="Arial" w:cs="Arial"/>
          <w:sz w:val="19"/>
          <w:szCs w:val="19"/>
        </w:rPr>
        <w:t xml:space="preserve">, Luis. </w:t>
      </w:r>
      <w:r w:rsidR="002A0A9B" w:rsidRPr="002A0A9B">
        <w:rPr>
          <w:rFonts w:ascii="Arial" w:hAnsi="Arial" w:cs="Arial"/>
          <w:sz w:val="19"/>
          <w:szCs w:val="19"/>
        </w:rPr>
        <w:t>Fundamentos de Derecho Civil patrimonial</w:t>
      </w:r>
      <w:r w:rsidR="002A0A9B">
        <w:rPr>
          <w:rFonts w:ascii="Arial" w:hAnsi="Arial" w:cs="Arial"/>
          <w:sz w:val="19"/>
          <w:szCs w:val="19"/>
        </w:rPr>
        <w:t xml:space="preserve">. </w:t>
      </w:r>
      <w:r w:rsidR="00551AFA">
        <w:rPr>
          <w:rFonts w:ascii="Arial" w:hAnsi="Arial" w:cs="Arial"/>
          <w:sz w:val="19"/>
          <w:szCs w:val="19"/>
        </w:rPr>
        <w:t xml:space="preserve">Volumen </w:t>
      </w:r>
      <w:r w:rsidR="00FA4FB1">
        <w:rPr>
          <w:rFonts w:ascii="Arial" w:hAnsi="Arial" w:cs="Arial"/>
          <w:sz w:val="19"/>
          <w:szCs w:val="19"/>
        </w:rPr>
        <w:t xml:space="preserve">I. </w:t>
      </w:r>
      <w:r w:rsidR="002A0A9B">
        <w:rPr>
          <w:rFonts w:ascii="Arial" w:hAnsi="Arial" w:cs="Arial"/>
          <w:sz w:val="19"/>
          <w:szCs w:val="19"/>
        </w:rPr>
        <w:t xml:space="preserve">Segunda edición. </w:t>
      </w:r>
      <w:r w:rsidR="008E3A49">
        <w:rPr>
          <w:rFonts w:ascii="Arial" w:hAnsi="Arial" w:cs="Arial"/>
          <w:sz w:val="19"/>
          <w:szCs w:val="19"/>
        </w:rPr>
        <w:t xml:space="preserve">Madrid: Tecnos, 1983. p. </w:t>
      </w:r>
      <w:r w:rsidR="00485B9F">
        <w:rPr>
          <w:rFonts w:ascii="Arial" w:hAnsi="Arial" w:cs="Arial"/>
          <w:sz w:val="19"/>
          <w:szCs w:val="19"/>
        </w:rPr>
        <w:t>261.</w:t>
      </w:r>
    </w:p>
    <w:p w14:paraId="07A7C5C4" w14:textId="77777777" w:rsidR="001376CD" w:rsidRPr="005C5011" w:rsidRDefault="001376CD" w:rsidP="005C5011">
      <w:pPr>
        <w:pStyle w:val="Textonotapie"/>
        <w:ind w:firstLine="708"/>
        <w:jc w:val="both"/>
        <w:rPr>
          <w:rFonts w:ascii="Arial" w:hAnsi="Arial" w:cs="Arial"/>
          <w:sz w:val="19"/>
          <w:szCs w:val="19"/>
          <w:lang w:val="es-CO"/>
        </w:rPr>
      </w:pPr>
    </w:p>
  </w:footnote>
  <w:footnote w:id="20">
    <w:p w14:paraId="24238AB2" w14:textId="53C1FC30" w:rsidR="00016ED1" w:rsidRDefault="00016ED1" w:rsidP="001376CD">
      <w:pPr>
        <w:pStyle w:val="Textonotapie"/>
        <w:ind w:firstLine="708"/>
        <w:jc w:val="both"/>
        <w:rPr>
          <w:rFonts w:ascii="Arial" w:hAnsi="Arial" w:cs="Arial"/>
          <w:sz w:val="19"/>
          <w:szCs w:val="19"/>
        </w:rPr>
      </w:pPr>
      <w:r w:rsidRPr="005C5011">
        <w:rPr>
          <w:rStyle w:val="Refdenotaalpie"/>
          <w:rFonts w:ascii="Arial" w:hAnsi="Arial" w:cs="Arial"/>
          <w:sz w:val="19"/>
          <w:szCs w:val="19"/>
        </w:rPr>
        <w:footnoteRef/>
      </w:r>
      <w:r w:rsidRPr="005C5011">
        <w:rPr>
          <w:rFonts w:ascii="Arial" w:hAnsi="Arial" w:cs="Arial"/>
          <w:sz w:val="19"/>
          <w:szCs w:val="19"/>
        </w:rPr>
        <w:t xml:space="preserve"> </w:t>
      </w:r>
      <w:r w:rsidR="001376CD" w:rsidRPr="005C5011">
        <w:rPr>
          <w:rFonts w:ascii="Arial" w:hAnsi="Arial" w:cs="Arial"/>
          <w:i/>
          <w:iCs/>
          <w:sz w:val="19"/>
          <w:szCs w:val="19"/>
        </w:rPr>
        <w:t>Ibidem</w:t>
      </w:r>
      <w:r w:rsidR="001376CD">
        <w:rPr>
          <w:rFonts w:ascii="Arial" w:hAnsi="Arial" w:cs="Arial"/>
          <w:sz w:val="19"/>
          <w:szCs w:val="19"/>
        </w:rPr>
        <w:t>.</w:t>
      </w:r>
    </w:p>
    <w:p w14:paraId="53F49FD1" w14:textId="77777777" w:rsidR="009D261F" w:rsidRPr="005C5011" w:rsidRDefault="009D261F" w:rsidP="005C5011">
      <w:pPr>
        <w:pStyle w:val="Textonotapie"/>
        <w:ind w:firstLine="708"/>
        <w:jc w:val="both"/>
        <w:rPr>
          <w:rFonts w:ascii="Arial" w:hAnsi="Arial" w:cs="Arial"/>
          <w:sz w:val="19"/>
          <w:szCs w:val="19"/>
          <w:lang w:val="es-CO"/>
        </w:rPr>
      </w:pPr>
    </w:p>
  </w:footnote>
  <w:footnote w:id="21">
    <w:p w14:paraId="4131AFDF" w14:textId="63CF6C3D" w:rsidR="009D261F" w:rsidRDefault="009D261F" w:rsidP="00334B2A">
      <w:pPr>
        <w:pStyle w:val="Textonotapie"/>
        <w:ind w:firstLine="708"/>
        <w:jc w:val="both"/>
        <w:rPr>
          <w:rFonts w:ascii="Arial" w:hAnsi="Arial" w:cs="Arial"/>
          <w:sz w:val="19"/>
          <w:szCs w:val="19"/>
        </w:rPr>
      </w:pPr>
      <w:r w:rsidRPr="005C5011">
        <w:rPr>
          <w:rStyle w:val="Refdenotaalpie"/>
          <w:rFonts w:ascii="Arial" w:hAnsi="Arial" w:cs="Arial"/>
          <w:sz w:val="19"/>
          <w:szCs w:val="19"/>
        </w:rPr>
        <w:footnoteRef/>
      </w:r>
      <w:r w:rsidRPr="005C5011">
        <w:rPr>
          <w:rFonts w:ascii="Arial" w:hAnsi="Arial" w:cs="Arial"/>
          <w:sz w:val="19"/>
          <w:szCs w:val="19"/>
        </w:rPr>
        <w:t xml:space="preserve"> </w:t>
      </w:r>
      <w:r w:rsidR="008746F2">
        <w:rPr>
          <w:rFonts w:ascii="Arial" w:hAnsi="Arial" w:cs="Arial"/>
          <w:sz w:val="19"/>
          <w:szCs w:val="19"/>
        </w:rPr>
        <w:t xml:space="preserve">Cfr. CONSEJO DE ESTADO. </w:t>
      </w:r>
      <w:r w:rsidR="00334B2A" w:rsidRPr="00334B2A">
        <w:rPr>
          <w:rFonts w:ascii="Arial" w:hAnsi="Arial" w:cs="Arial"/>
          <w:sz w:val="19"/>
          <w:szCs w:val="19"/>
        </w:rPr>
        <w:t>Sección Tercera. Subsección C. Sentencia del 7 de julio de 2011</w:t>
      </w:r>
      <w:r w:rsidR="00334B2A">
        <w:rPr>
          <w:rFonts w:ascii="Arial" w:hAnsi="Arial" w:cs="Arial"/>
          <w:sz w:val="19"/>
          <w:szCs w:val="19"/>
        </w:rPr>
        <w:t>.</w:t>
      </w:r>
      <w:r w:rsidR="00334B2A" w:rsidRPr="00334B2A">
        <w:rPr>
          <w:rFonts w:ascii="Arial" w:hAnsi="Arial" w:cs="Arial"/>
          <w:sz w:val="19"/>
          <w:szCs w:val="19"/>
        </w:rPr>
        <w:t xml:space="preserve"> </w:t>
      </w:r>
      <w:r w:rsidR="00334B2A">
        <w:rPr>
          <w:rFonts w:ascii="Arial" w:hAnsi="Arial" w:cs="Arial"/>
          <w:sz w:val="19"/>
          <w:szCs w:val="19"/>
        </w:rPr>
        <w:t>E</w:t>
      </w:r>
      <w:r w:rsidR="00334B2A" w:rsidRPr="00334B2A">
        <w:rPr>
          <w:rFonts w:ascii="Arial" w:hAnsi="Arial" w:cs="Arial"/>
          <w:sz w:val="19"/>
          <w:szCs w:val="19"/>
        </w:rPr>
        <w:t>xp. 18.762</w:t>
      </w:r>
      <w:r w:rsidR="00334B2A">
        <w:rPr>
          <w:rFonts w:ascii="Arial" w:hAnsi="Arial" w:cs="Arial"/>
          <w:sz w:val="19"/>
          <w:szCs w:val="19"/>
        </w:rPr>
        <w:t xml:space="preserve">. C.P. </w:t>
      </w:r>
      <w:r w:rsidR="005F137F" w:rsidRPr="005F137F">
        <w:rPr>
          <w:rFonts w:ascii="Arial" w:hAnsi="Arial" w:cs="Arial"/>
          <w:sz w:val="19"/>
          <w:szCs w:val="19"/>
        </w:rPr>
        <w:t>Jaime Orlando Santofimio Gamboa</w:t>
      </w:r>
      <w:r w:rsidR="005F137F">
        <w:rPr>
          <w:rFonts w:ascii="Arial" w:hAnsi="Arial" w:cs="Arial"/>
          <w:sz w:val="19"/>
          <w:szCs w:val="19"/>
        </w:rPr>
        <w:t>.</w:t>
      </w:r>
    </w:p>
    <w:p w14:paraId="27783F52" w14:textId="77777777" w:rsidR="00CE6234" w:rsidRPr="005C5011" w:rsidRDefault="00CE6234" w:rsidP="005C5011">
      <w:pPr>
        <w:pStyle w:val="Textonotapie"/>
        <w:ind w:firstLine="708"/>
        <w:jc w:val="both"/>
        <w:rPr>
          <w:rFonts w:ascii="Arial" w:hAnsi="Arial" w:cs="Arial"/>
          <w:sz w:val="19"/>
          <w:szCs w:val="19"/>
          <w:lang w:val="es-CO"/>
        </w:rPr>
      </w:pPr>
    </w:p>
  </w:footnote>
  <w:footnote w:id="22">
    <w:p w14:paraId="1A652442" w14:textId="52ED07E0" w:rsidR="00CE6234" w:rsidRPr="005C5011" w:rsidRDefault="00CE6234" w:rsidP="005C5011">
      <w:pPr>
        <w:pStyle w:val="Textonotapie"/>
        <w:ind w:firstLine="708"/>
        <w:jc w:val="both"/>
        <w:rPr>
          <w:rFonts w:ascii="Arial" w:hAnsi="Arial" w:cs="Arial"/>
          <w:sz w:val="19"/>
          <w:szCs w:val="19"/>
          <w:lang w:val="es-CO"/>
        </w:rPr>
      </w:pPr>
      <w:r w:rsidRPr="005C5011">
        <w:rPr>
          <w:rStyle w:val="Refdenotaalpie"/>
          <w:rFonts w:ascii="Arial" w:hAnsi="Arial" w:cs="Arial"/>
          <w:sz w:val="19"/>
          <w:szCs w:val="19"/>
        </w:rPr>
        <w:footnoteRef/>
      </w:r>
      <w:r w:rsidRPr="005C5011">
        <w:rPr>
          <w:rFonts w:ascii="Arial" w:hAnsi="Arial" w:cs="Arial"/>
          <w:sz w:val="19"/>
          <w:szCs w:val="19"/>
        </w:rPr>
        <w:t xml:space="preserve"> </w:t>
      </w:r>
      <w:r w:rsidR="00834EF5">
        <w:rPr>
          <w:rFonts w:ascii="Arial" w:hAnsi="Arial" w:cs="Arial"/>
          <w:sz w:val="19"/>
          <w:szCs w:val="19"/>
        </w:rPr>
        <w:t xml:space="preserve">Cfr. </w:t>
      </w:r>
      <w:hyperlink r:id="rId2" w:history="1">
        <w:r w:rsidR="00834EF5" w:rsidRPr="004D6F53">
          <w:rPr>
            <w:rStyle w:val="Hipervnculo"/>
            <w:rFonts w:ascii="Arial" w:hAnsi="Arial" w:cs="Arial"/>
            <w:sz w:val="19"/>
            <w:szCs w:val="19"/>
          </w:rPr>
          <w:t>https://www.colombiacompra.gov.co/sites/cce_public/files/cce_documents/cce_guia_para_el_ejercicio_de_las_funciones_de_supervision_e_interventoria_de_los_contratos_del_estado.pdf</w:t>
        </w:r>
      </w:hyperlink>
      <w:r w:rsidR="00834EF5">
        <w:rPr>
          <w:rFonts w:ascii="Arial" w:hAnsi="Arial" w:cs="Arial"/>
          <w:sz w:val="19"/>
          <w:szCs w:val="19"/>
        </w:rPr>
        <w:t xml:space="preserve">. </w:t>
      </w:r>
    </w:p>
  </w:footnote>
  <w:footnote w:id="23">
    <w:p w14:paraId="15444AB6" w14:textId="77777777" w:rsidR="00571ACC" w:rsidRPr="006C37BE" w:rsidRDefault="00571ACC" w:rsidP="00571ACC">
      <w:pPr>
        <w:pStyle w:val="Textonotapie"/>
        <w:ind w:firstLine="708"/>
        <w:jc w:val="both"/>
        <w:rPr>
          <w:rFonts w:ascii="Arial" w:hAnsi="Arial" w:cs="Arial"/>
          <w:sz w:val="19"/>
          <w:szCs w:val="19"/>
          <w:lang w:val="es-CO"/>
        </w:rPr>
      </w:pPr>
      <w:r w:rsidRPr="006C37BE">
        <w:rPr>
          <w:rStyle w:val="Refdenotaalpie"/>
          <w:rFonts w:ascii="Arial" w:hAnsi="Arial" w:cs="Arial"/>
          <w:sz w:val="19"/>
          <w:szCs w:val="19"/>
        </w:rPr>
        <w:footnoteRef/>
      </w:r>
      <w:r w:rsidRPr="006C37BE">
        <w:rPr>
          <w:rFonts w:ascii="Arial" w:hAnsi="Arial" w:cs="Arial"/>
          <w:sz w:val="19"/>
          <w:szCs w:val="19"/>
        </w:rPr>
        <w:t xml:space="preserve"> </w:t>
      </w:r>
      <w:r>
        <w:rPr>
          <w:rFonts w:ascii="Arial" w:hAnsi="Arial" w:cs="Arial"/>
          <w:sz w:val="19"/>
          <w:szCs w:val="19"/>
        </w:rPr>
        <w:t xml:space="preserve">Cfr. </w:t>
      </w:r>
      <w:hyperlink r:id="rId3" w:history="1">
        <w:r w:rsidRPr="004D6F53">
          <w:rPr>
            <w:rStyle w:val="Hipervnculo"/>
            <w:rFonts w:ascii="Arial" w:hAnsi="Arial" w:cs="Arial"/>
            <w:sz w:val="19"/>
            <w:szCs w:val="19"/>
          </w:rPr>
          <w:t>https://www.colombiacompra.gov.co/sites/cce_public/files/cce_documents/cce_guia_para_el_ejercicio_de_las_funciones_de_supervision_e_interventoria_de_los_contratos_del_estado.pdf</w:t>
        </w:r>
      </w:hyperlink>
      <w:r>
        <w:rPr>
          <w:rFonts w:ascii="Arial" w:hAnsi="Arial" w:cs="Arial"/>
          <w:sz w:val="19"/>
          <w:szCs w:val="19"/>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98637" w14:textId="77777777" w:rsidR="00596BA1" w:rsidRDefault="00596BA1">
    <w:pPr>
      <w:pStyle w:val="Encabezado"/>
    </w:pPr>
    <w:r>
      <w:rPr>
        <w:noProof/>
        <w:lang w:val="en-US"/>
      </w:rPr>
      <w:drawing>
        <wp:anchor distT="0" distB="0" distL="114300" distR="114300" simplePos="0" relativeHeight="251659264" behindDoc="1" locked="0" layoutInCell="1" allowOverlap="1" wp14:anchorId="683F734A" wp14:editId="6536D205">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A7A293D8"/>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2" w15:restartNumberingAfterBreak="0">
    <w:nsid w:val="1B984CCC"/>
    <w:multiLevelType w:val="hybridMultilevel"/>
    <w:tmpl w:val="C6B6C074"/>
    <w:lvl w:ilvl="0" w:tplc="FE68A6A6">
      <w:start w:val="5"/>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36752BB"/>
    <w:multiLevelType w:val="multilevel"/>
    <w:tmpl w:val="219A6F0E"/>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4"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FE043BB"/>
    <w:multiLevelType w:val="multilevel"/>
    <w:tmpl w:val="9C9A30F4"/>
    <w:lvl w:ilvl="0">
      <w:start w:val="1"/>
      <w:numFmt w:val="decimal"/>
      <w:lvlText w:val="%1."/>
      <w:lvlJc w:val="left"/>
      <w:pPr>
        <w:ind w:left="585" w:hanging="285"/>
        <w:jc w:val="right"/>
      </w:pPr>
      <w:rPr>
        <w:rFonts w:ascii="Arial" w:eastAsia="Arial" w:hAnsi="Arial" w:cs="Arial" w:hint="default"/>
        <w:b/>
        <w:bCs/>
        <w:color w:val="4E4D4D"/>
        <w:spacing w:val="-21"/>
        <w:w w:val="100"/>
        <w:sz w:val="22"/>
        <w:szCs w:val="22"/>
        <w:lang w:val="es-ES" w:eastAsia="en-US" w:bidi="ar-SA"/>
      </w:rPr>
    </w:lvl>
    <w:lvl w:ilvl="1">
      <w:start w:val="1"/>
      <w:numFmt w:val="decimal"/>
      <w:lvlText w:val="%1.%2."/>
      <w:lvlJc w:val="left"/>
      <w:pPr>
        <w:ind w:left="300" w:hanging="470"/>
      </w:pPr>
      <w:rPr>
        <w:rFonts w:ascii="Arial" w:eastAsia="Arial" w:hAnsi="Arial" w:cs="Arial" w:hint="default"/>
        <w:b/>
        <w:bCs/>
        <w:color w:val="4E4D4D"/>
        <w:spacing w:val="-19"/>
        <w:w w:val="100"/>
        <w:sz w:val="22"/>
        <w:szCs w:val="22"/>
        <w:lang w:val="es-ES" w:eastAsia="en-US" w:bidi="ar-SA"/>
      </w:rPr>
    </w:lvl>
    <w:lvl w:ilvl="2">
      <w:start w:val="1"/>
      <w:numFmt w:val="lowerRoman"/>
      <w:lvlText w:val="%3)"/>
      <w:lvlJc w:val="left"/>
      <w:pPr>
        <w:ind w:left="623" w:hanging="198"/>
      </w:pPr>
      <w:rPr>
        <w:rFonts w:ascii="Arial" w:eastAsia="Arial" w:hAnsi="Arial" w:cs="Arial" w:hint="default"/>
        <w:color w:val="4E4D4D"/>
        <w:spacing w:val="0"/>
        <w:w w:val="100"/>
        <w:sz w:val="22"/>
        <w:szCs w:val="22"/>
        <w:lang w:val="es-ES" w:eastAsia="en-US" w:bidi="ar-SA"/>
      </w:rPr>
    </w:lvl>
    <w:lvl w:ilvl="3">
      <w:numFmt w:val="bullet"/>
      <w:lvlText w:val="•"/>
      <w:lvlJc w:val="left"/>
      <w:pPr>
        <w:ind w:left="2571" w:hanging="198"/>
      </w:pPr>
      <w:rPr>
        <w:rFonts w:hint="default"/>
        <w:lang w:val="es-ES" w:eastAsia="en-US" w:bidi="ar-SA"/>
      </w:rPr>
    </w:lvl>
    <w:lvl w:ilvl="4">
      <w:numFmt w:val="bullet"/>
      <w:lvlText w:val="•"/>
      <w:lvlJc w:val="left"/>
      <w:pPr>
        <w:ind w:left="3566" w:hanging="198"/>
      </w:pPr>
      <w:rPr>
        <w:rFonts w:hint="default"/>
        <w:lang w:val="es-ES" w:eastAsia="en-US" w:bidi="ar-SA"/>
      </w:rPr>
    </w:lvl>
    <w:lvl w:ilvl="5">
      <w:numFmt w:val="bullet"/>
      <w:lvlText w:val="•"/>
      <w:lvlJc w:val="left"/>
      <w:pPr>
        <w:ind w:left="4562" w:hanging="198"/>
      </w:pPr>
      <w:rPr>
        <w:rFonts w:hint="default"/>
        <w:lang w:val="es-ES" w:eastAsia="en-US" w:bidi="ar-SA"/>
      </w:rPr>
    </w:lvl>
    <w:lvl w:ilvl="6">
      <w:numFmt w:val="bullet"/>
      <w:lvlText w:val="•"/>
      <w:lvlJc w:val="left"/>
      <w:pPr>
        <w:ind w:left="5557" w:hanging="198"/>
      </w:pPr>
      <w:rPr>
        <w:rFonts w:hint="default"/>
        <w:lang w:val="es-ES" w:eastAsia="en-US" w:bidi="ar-SA"/>
      </w:rPr>
    </w:lvl>
    <w:lvl w:ilvl="7">
      <w:numFmt w:val="bullet"/>
      <w:lvlText w:val="•"/>
      <w:lvlJc w:val="left"/>
      <w:pPr>
        <w:ind w:left="6553" w:hanging="198"/>
      </w:pPr>
      <w:rPr>
        <w:rFonts w:hint="default"/>
        <w:lang w:val="es-ES" w:eastAsia="en-US" w:bidi="ar-SA"/>
      </w:rPr>
    </w:lvl>
    <w:lvl w:ilvl="8">
      <w:numFmt w:val="bullet"/>
      <w:lvlText w:val="•"/>
      <w:lvlJc w:val="left"/>
      <w:pPr>
        <w:ind w:left="7548" w:hanging="198"/>
      </w:pPr>
      <w:rPr>
        <w:rFonts w:hint="default"/>
        <w:lang w:val="es-ES" w:eastAsia="en-US" w:bidi="ar-SA"/>
      </w:rPr>
    </w:lvl>
  </w:abstractNum>
  <w:abstractNum w:abstractNumId="6" w15:restartNumberingAfterBreak="0">
    <w:nsid w:val="4E637631"/>
    <w:multiLevelType w:val="hybridMultilevel"/>
    <w:tmpl w:val="F0D6E9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DC52852"/>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abstractNum w:abstractNumId="9"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10" w15:restartNumberingAfterBreak="0">
    <w:nsid w:val="730D1215"/>
    <w:multiLevelType w:val="hybridMultilevel"/>
    <w:tmpl w:val="AB1022BE"/>
    <w:lvl w:ilvl="0" w:tplc="FD74D86E">
      <w:start w:val="2"/>
      <w:numFmt w:val="bullet"/>
      <w:lvlText w:val="-"/>
      <w:lvlJc w:val="left"/>
      <w:pPr>
        <w:ind w:left="720" w:hanging="360"/>
      </w:pPr>
      <w:rPr>
        <w:rFonts w:ascii="Arial" w:eastAsia="Calibri" w:hAnsi="Arial" w:cs="Aria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3D92557"/>
    <w:multiLevelType w:val="multilevel"/>
    <w:tmpl w:val="8D08ECD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7EC35B3B"/>
    <w:multiLevelType w:val="multilevel"/>
    <w:tmpl w:val="681A1C4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3202" w:hanging="720"/>
      </w:pPr>
      <w:rPr>
        <w:rFonts w:hint="default"/>
      </w:rPr>
    </w:lvl>
    <w:lvl w:ilvl="3">
      <w:start w:val="1"/>
      <w:numFmt w:val="decimal"/>
      <w:lvlText w:val="%1.%2.%3.%4."/>
      <w:lvlJc w:val="left"/>
      <w:pPr>
        <w:ind w:left="19803" w:hanging="1080"/>
      </w:pPr>
      <w:rPr>
        <w:rFonts w:hint="default"/>
      </w:rPr>
    </w:lvl>
    <w:lvl w:ilvl="4">
      <w:start w:val="1"/>
      <w:numFmt w:val="decimal"/>
      <w:lvlText w:val="%1.%2.%3.%4.%5."/>
      <w:lvlJc w:val="left"/>
      <w:pPr>
        <w:ind w:left="26044" w:hanging="1080"/>
      </w:pPr>
      <w:rPr>
        <w:rFonts w:hint="default"/>
      </w:rPr>
    </w:lvl>
    <w:lvl w:ilvl="5">
      <w:start w:val="1"/>
      <w:numFmt w:val="decimal"/>
      <w:lvlText w:val="%1.%2.%3.%4.%5.%6."/>
      <w:lvlJc w:val="left"/>
      <w:pPr>
        <w:ind w:left="32645" w:hanging="1440"/>
      </w:pPr>
      <w:rPr>
        <w:rFonts w:hint="default"/>
      </w:rPr>
    </w:lvl>
    <w:lvl w:ilvl="6">
      <w:start w:val="1"/>
      <w:numFmt w:val="decimal"/>
      <w:lvlText w:val="%1.%2.%3.%4.%5.%6.%7."/>
      <w:lvlJc w:val="left"/>
      <w:pPr>
        <w:ind w:left="-26650" w:hanging="1440"/>
      </w:pPr>
      <w:rPr>
        <w:rFonts w:hint="default"/>
      </w:rPr>
    </w:lvl>
    <w:lvl w:ilvl="7">
      <w:start w:val="1"/>
      <w:numFmt w:val="decimal"/>
      <w:lvlText w:val="%1.%2.%3.%4.%5.%6.%7.%8."/>
      <w:lvlJc w:val="left"/>
      <w:pPr>
        <w:ind w:left="-20049" w:hanging="1800"/>
      </w:pPr>
      <w:rPr>
        <w:rFonts w:hint="default"/>
      </w:rPr>
    </w:lvl>
    <w:lvl w:ilvl="8">
      <w:start w:val="1"/>
      <w:numFmt w:val="decimal"/>
      <w:lvlText w:val="%1.%2.%3.%4.%5.%6.%7.%8.%9."/>
      <w:lvlJc w:val="left"/>
      <w:pPr>
        <w:ind w:left="-13808" w:hanging="1800"/>
      </w:pPr>
      <w:rPr>
        <w:rFonts w:hint="default"/>
      </w:rPr>
    </w:lvl>
  </w:abstractNum>
  <w:num w:numId="1" w16cid:durableId="81526878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6686004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3218312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95277573">
    <w:abstractNumId w:val="1"/>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6719906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5067429">
    <w:abstractNumId w:val="12"/>
  </w:num>
  <w:num w:numId="7" w16cid:durableId="259145463">
    <w:abstractNumId w:val="11"/>
  </w:num>
  <w:num w:numId="8" w16cid:durableId="2113940683">
    <w:abstractNumId w:val="5"/>
  </w:num>
  <w:num w:numId="9" w16cid:durableId="1276401083">
    <w:abstractNumId w:val="2"/>
  </w:num>
  <w:num w:numId="10" w16cid:durableId="188683769">
    <w:abstractNumId w:val="6"/>
  </w:num>
  <w:num w:numId="11" w16cid:durableId="59641486">
    <w:abstractNumId w:val="10"/>
  </w:num>
  <w:num w:numId="12" w16cid:durableId="643629997">
    <w:abstractNumId w:val="3"/>
  </w:num>
  <w:num w:numId="13" w16cid:durableId="137350443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4"/>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487C"/>
    <w:rsid w:val="00001319"/>
    <w:rsid w:val="0000199E"/>
    <w:rsid w:val="00004682"/>
    <w:rsid w:val="000063EC"/>
    <w:rsid w:val="00007FF7"/>
    <w:rsid w:val="000103C9"/>
    <w:rsid w:val="0001066B"/>
    <w:rsid w:val="00010D30"/>
    <w:rsid w:val="0001135B"/>
    <w:rsid w:val="00011486"/>
    <w:rsid w:val="0001620E"/>
    <w:rsid w:val="00016D2B"/>
    <w:rsid w:val="00016ED1"/>
    <w:rsid w:val="000205D6"/>
    <w:rsid w:val="000207A0"/>
    <w:rsid w:val="00020C38"/>
    <w:rsid w:val="0002170C"/>
    <w:rsid w:val="00021EE8"/>
    <w:rsid w:val="00023E25"/>
    <w:rsid w:val="00023EEA"/>
    <w:rsid w:val="00023EEE"/>
    <w:rsid w:val="0002648F"/>
    <w:rsid w:val="00027B72"/>
    <w:rsid w:val="0003091B"/>
    <w:rsid w:val="000333A2"/>
    <w:rsid w:val="000370A8"/>
    <w:rsid w:val="00040C88"/>
    <w:rsid w:val="00040D6E"/>
    <w:rsid w:val="00042C0C"/>
    <w:rsid w:val="00044B5E"/>
    <w:rsid w:val="00044FF2"/>
    <w:rsid w:val="00045A02"/>
    <w:rsid w:val="0004759C"/>
    <w:rsid w:val="000479EC"/>
    <w:rsid w:val="000514D4"/>
    <w:rsid w:val="000528CF"/>
    <w:rsid w:val="00053FA1"/>
    <w:rsid w:val="00055688"/>
    <w:rsid w:val="0005644E"/>
    <w:rsid w:val="00057295"/>
    <w:rsid w:val="00060575"/>
    <w:rsid w:val="00061CB2"/>
    <w:rsid w:val="00061E92"/>
    <w:rsid w:val="00061EE4"/>
    <w:rsid w:val="00062291"/>
    <w:rsid w:val="00062B0D"/>
    <w:rsid w:val="00063AEF"/>
    <w:rsid w:val="0006519B"/>
    <w:rsid w:val="00066C55"/>
    <w:rsid w:val="00066EDE"/>
    <w:rsid w:val="00067408"/>
    <w:rsid w:val="000707A0"/>
    <w:rsid w:val="00073E7F"/>
    <w:rsid w:val="000757F8"/>
    <w:rsid w:val="00077A75"/>
    <w:rsid w:val="00080255"/>
    <w:rsid w:val="00082589"/>
    <w:rsid w:val="0008307A"/>
    <w:rsid w:val="000854BC"/>
    <w:rsid w:val="00086A16"/>
    <w:rsid w:val="00086C02"/>
    <w:rsid w:val="00090D92"/>
    <w:rsid w:val="00093069"/>
    <w:rsid w:val="00094F86"/>
    <w:rsid w:val="00097117"/>
    <w:rsid w:val="00097CD6"/>
    <w:rsid w:val="000A12B4"/>
    <w:rsid w:val="000A1DBA"/>
    <w:rsid w:val="000A4835"/>
    <w:rsid w:val="000A56E8"/>
    <w:rsid w:val="000A6338"/>
    <w:rsid w:val="000A7A2D"/>
    <w:rsid w:val="000B0058"/>
    <w:rsid w:val="000B09B5"/>
    <w:rsid w:val="000B34BD"/>
    <w:rsid w:val="000B4552"/>
    <w:rsid w:val="000B4A8D"/>
    <w:rsid w:val="000B4C69"/>
    <w:rsid w:val="000B4E6D"/>
    <w:rsid w:val="000B6696"/>
    <w:rsid w:val="000B7CD4"/>
    <w:rsid w:val="000C0E39"/>
    <w:rsid w:val="000C2952"/>
    <w:rsid w:val="000C4936"/>
    <w:rsid w:val="000C4CCA"/>
    <w:rsid w:val="000C659B"/>
    <w:rsid w:val="000C67EA"/>
    <w:rsid w:val="000D088F"/>
    <w:rsid w:val="000D2220"/>
    <w:rsid w:val="000D2FE0"/>
    <w:rsid w:val="000D3508"/>
    <w:rsid w:val="000D392A"/>
    <w:rsid w:val="000D5464"/>
    <w:rsid w:val="000D5552"/>
    <w:rsid w:val="000D7BBD"/>
    <w:rsid w:val="000E1137"/>
    <w:rsid w:val="000E4A3C"/>
    <w:rsid w:val="000E6867"/>
    <w:rsid w:val="000E69A5"/>
    <w:rsid w:val="000E7F3A"/>
    <w:rsid w:val="000F094F"/>
    <w:rsid w:val="000F1CD9"/>
    <w:rsid w:val="000F2E14"/>
    <w:rsid w:val="000F2FE4"/>
    <w:rsid w:val="000F5F52"/>
    <w:rsid w:val="000F6DE5"/>
    <w:rsid w:val="001029F8"/>
    <w:rsid w:val="00102D3E"/>
    <w:rsid w:val="00103CB5"/>
    <w:rsid w:val="001056C0"/>
    <w:rsid w:val="00107607"/>
    <w:rsid w:val="00107884"/>
    <w:rsid w:val="00111D1A"/>
    <w:rsid w:val="001120C8"/>
    <w:rsid w:val="00112597"/>
    <w:rsid w:val="00113AD4"/>
    <w:rsid w:val="00113E6A"/>
    <w:rsid w:val="00116557"/>
    <w:rsid w:val="00117289"/>
    <w:rsid w:val="0012089B"/>
    <w:rsid w:val="001236B9"/>
    <w:rsid w:val="001245C5"/>
    <w:rsid w:val="00124E15"/>
    <w:rsid w:val="00126CFC"/>
    <w:rsid w:val="001273C3"/>
    <w:rsid w:val="00127B2C"/>
    <w:rsid w:val="00130CB8"/>
    <w:rsid w:val="00131661"/>
    <w:rsid w:val="00131937"/>
    <w:rsid w:val="001321AB"/>
    <w:rsid w:val="00133D22"/>
    <w:rsid w:val="001345F5"/>
    <w:rsid w:val="00135571"/>
    <w:rsid w:val="001359E6"/>
    <w:rsid w:val="00135E98"/>
    <w:rsid w:val="0013733E"/>
    <w:rsid w:val="001376CD"/>
    <w:rsid w:val="00137B0D"/>
    <w:rsid w:val="00137DDF"/>
    <w:rsid w:val="0014074B"/>
    <w:rsid w:val="00140E57"/>
    <w:rsid w:val="00141330"/>
    <w:rsid w:val="001417AD"/>
    <w:rsid w:val="00141C64"/>
    <w:rsid w:val="00141DA7"/>
    <w:rsid w:val="00142706"/>
    <w:rsid w:val="00143C75"/>
    <w:rsid w:val="00144375"/>
    <w:rsid w:val="0014462B"/>
    <w:rsid w:val="0014628D"/>
    <w:rsid w:val="00146827"/>
    <w:rsid w:val="00147E4A"/>
    <w:rsid w:val="00154F41"/>
    <w:rsid w:val="00154FAA"/>
    <w:rsid w:val="001556C8"/>
    <w:rsid w:val="001573A6"/>
    <w:rsid w:val="00160687"/>
    <w:rsid w:val="00160AB9"/>
    <w:rsid w:val="001620DB"/>
    <w:rsid w:val="0016251D"/>
    <w:rsid w:val="001625C4"/>
    <w:rsid w:val="00162EC8"/>
    <w:rsid w:val="00164E79"/>
    <w:rsid w:val="00166272"/>
    <w:rsid w:val="001669C8"/>
    <w:rsid w:val="0017042F"/>
    <w:rsid w:val="00170F4E"/>
    <w:rsid w:val="00173047"/>
    <w:rsid w:val="00173342"/>
    <w:rsid w:val="00173F98"/>
    <w:rsid w:val="00174532"/>
    <w:rsid w:val="0017558C"/>
    <w:rsid w:val="0017603D"/>
    <w:rsid w:val="00177397"/>
    <w:rsid w:val="001805BC"/>
    <w:rsid w:val="00180881"/>
    <w:rsid w:val="00180AD1"/>
    <w:rsid w:val="001810AD"/>
    <w:rsid w:val="001813D5"/>
    <w:rsid w:val="0018144F"/>
    <w:rsid w:val="00181A3E"/>
    <w:rsid w:val="00182BF2"/>
    <w:rsid w:val="001848A7"/>
    <w:rsid w:val="0018591D"/>
    <w:rsid w:val="001901E3"/>
    <w:rsid w:val="00190B79"/>
    <w:rsid w:val="00190F26"/>
    <w:rsid w:val="00192084"/>
    <w:rsid w:val="0019352D"/>
    <w:rsid w:val="0019433A"/>
    <w:rsid w:val="00194C50"/>
    <w:rsid w:val="00196911"/>
    <w:rsid w:val="001A0536"/>
    <w:rsid w:val="001A0A51"/>
    <w:rsid w:val="001A3537"/>
    <w:rsid w:val="001A4179"/>
    <w:rsid w:val="001A624E"/>
    <w:rsid w:val="001A6A98"/>
    <w:rsid w:val="001B13DF"/>
    <w:rsid w:val="001B2E5D"/>
    <w:rsid w:val="001B2EA2"/>
    <w:rsid w:val="001B329B"/>
    <w:rsid w:val="001B3573"/>
    <w:rsid w:val="001B4082"/>
    <w:rsid w:val="001B5D63"/>
    <w:rsid w:val="001B6C66"/>
    <w:rsid w:val="001B7D2C"/>
    <w:rsid w:val="001C303D"/>
    <w:rsid w:val="001C4850"/>
    <w:rsid w:val="001C507E"/>
    <w:rsid w:val="001C628A"/>
    <w:rsid w:val="001C6D64"/>
    <w:rsid w:val="001D027D"/>
    <w:rsid w:val="001D3657"/>
    <w:rsid w:val="001D3AE0"/>
    <w:rsid w:val="001D4F98"/>
    <w:rsid w:val="001E0FE8"/>
    <w:rsid w:val="001E3957"/>
    <w:rsid w:val="001E3F29"/>
    <w:rsid w:val="001E4AEB"/>
    <w:rsid w:val="001E5DBB"/>
    <w:rsid w:val="001E7A8E"/>
    <w:rsid w:val="001F01B2"/>
    <w:rsid w:val="001F1051"/>
    <w:rsid w:val="001F1B78"/>
    <w:rsid w:val="001F3010"/>
    <w:rsid w:val="001F34A8"/>
    <w:rsid w:val="001F4CFB"/>
    <w:rsid w:val="001F7297"/>
    <w:rsid w:val="002001EA"/>
    <w:rsid w:val="002026F7"/>
    <w:rsid w:val="002034AD"/>
    <w:rsid w:val="002044D6"/>
    <w:rsid w:val="00205AF2"/>
    <w:rsid w:val="00211222"/>
    <w:rsid w:val="00212C92"/>
    <w:rsid w:val="00213B48"/>
    <w:rsid w:val="002163A3"/>
    <w:rsid w:val="0021653A"/>
    <w:rsid w:val="002166C0"/>
    <w:rsid w:val="00216CC6"/>
    <w:rsid w:val="00217412"/>
    <w:rsid w:val="00217BCA"/>
    <w:rsid w:val="00220F87"/>
    <w:rsid w:val="002218CE"/>
    <w:rsid w:val="002219C9"/>
    <w:rsid w:val="00222032"/>
    <w:rsid w:val="00223918"/>
    <w:rsid w:val="002239B4"/>
    <w:rsid w:val="00225C5F"/>
    <w:rsid w:val="00227257"/>
    <w:rsid w:val="00230016"/>
    <w:rsid w:val="00230B24"/>
    <w:rsid w:val="00230BD7"/>
    <w:rsid w:val="0023180C"/>
    <w:rsid w:val="00231E3E"/>
    <w:rsid w:val="002321B7"/>
    <w:rsid w:val="0023225E"/>
    <w:rsid w:val="00233B2D"/>
    <w:rsid w:val="00234C6C"/>
    <w:rsid w:val="00236264"/>
    <w:rsid w:val="0023635F"/>
    <w:rsid w:val="0023774F"/>
    <w:rsid w:val="002377F6"/>
    <w:rsid w:val="00242223"/>
    <w:rsid w:val="0024539A"/>
    <w:rsid w:val="00247549"/>
    <w:rsid w:val="002475CF"/>
    <w:rsid w:val="00247D11"/>
    <w:rsid w:val="002511E0"/>
    <w:rsid w:val="0025163D"/>
    <w:rsid w:val="002516D4"/>
    <w:rsid w:val="002551A3"/>
    <w:rsid w:val="00265031"/>
    <w:rsid w:val="002656BC"/>
    <w:rsid w:val="00266277"/>
    <w:rsid w:val="00270371"/>
    <w:rsid w:val="00272F63"/>
    <w:rsid w:val="0027329E"/>
    <w:rsid w:val="00273B05"/>
    <w:rsid w:val="00274057"/>
    <w:rsid w:val="00274370"/>
    <w:rsid w:val="00274581"/>
    <w:rsid w:val="00274999"/>
    <w:rsid w:val="00274D05"/>
    <w:rsid w:val="00280A81"/>
    <w:rsid w:val="00281E4E"/>
    <w:rsid w:val="00283250"/>
    <w:rsid w:val="00284C12"/>
    <w:rsid w:val="00286834"/>
    <w:rsid w:val="00290405"/>
    <w:rsid w:val="00291D1E"/>
    <w:rsid w:val="002928EE"/>
    <w:rsid w:val="002931BE"/>
    <w:rsid w:val="002959FA"/>
    <w:rsid w:val="00296330"/>
    <w:rsid w:val="002972F3"/>
    <w:rsid w:val="002A0A9B"/>
    <w:rsid w:val="002A1903"/>
    <w:rsid w:val="002A24BB"/>
    <w:rsid w:val="002A365B"/>
    <w:rsid w:val="002A4002"/>
    <w:rsid w:val="002A4BCA"/>
    <w:rsid w:val="002A517F"/>
    <w:rsid w:val="002B024B"/>
    <w:rsid w:val="002B11A5"/>
    <w:rsid w:val="002B27BC"/>
    <w:rsid w:val="002B282F"/>
    <w:rsid w:val="002B304B"/>
    <w:rsid w:val="002B3D8B"/>
    <w:rsid w:val="002B4245"/>
    <w:rsid w:val="002B4B30"/>
    <w:rsid w:val="002B784C"/>
    <w:rsid w:val="002B79B2"/>
    <w:rsid w:val="002C1261"/>
    <w:rsid w:val="002C20EE"/>
    <w:rsid w:val="002C2C8A"/>
    <w:rsid w:val="002C3F94"/>
    <w:rsid w:val="002C465A"/>
    <w:rsid w:val="002C6B45"/>
    <w:rsid w:val="002C7D43"/>
    <w:rsid w:val="002D0454"/>
    <w:rsid w:val="002D1A52"/>
    <w:rsid w:val="002D28E0"/>
    <w:rsid w:val="002D49E5"/>
    <w:rsid w:val="002D6347"/>
    <w:rsid w:val="002D7E44"/>
    <w:rsid w:val="002E0961"/>
    <w:rsid w:val="002E2234"/>
    <w:rsid w:val="002E5C71"/>
    <w:rsid w:val="002E5CE0"/>
    <w:rsid w:val="002E6318"/>
    <w:rsid w:val="002E63AF"/>
    <w:rsid w:val="002E6804"/>
    <w:rsid w:val="002E708B"/>
    <w:rsid w:val="002E7390"/>
    <w:rsid w:val="002E79B6"/>
    <w:rsid w:val="002E7BC2"/>
    <w:rsid w:val="002F3529"/>
    <w:rsid w:val="002F418D"/>
    <w:rsid w:val="002F5479"/>
    <w:rsid w:val="002F63BB"/>
    <w:rsid w:val="002F701E"/>
    <w:rsid w:val="002F76C8"/>
    <w:rsid w:val="002F7D95"/>
    <w:rsid w:val="0030076B"/>
    <w:rsid w:val="0030140E"/>
    <w:rsid w:val="00302F9F"/>
    <w:rsid w:val="00303B73"/>
    <w:rsid w:val="00304386"/>
    <w:rsid w:val="003051E7"/>
    <w:rsid w:val="003067AC"/>
    <w:rsid w:val="00307B93"/>
    <w:rsid w:val="003141AC"/>
    <w:rsid w:val="00314F61"/>
    <w:rsid w:val="003163C5"/>
    <w:rsid w:val="00316D0D"/>
    <w:rsid w:val="003174DA"/>
    <w:rsid w:val="00324C9D"/>
    <w:rsid w:val="00325E03"/>
    <w:rsid w:val="00333059"/>
    <w:rsid w:val="003342C9"/>
    <w:rsid w:val="00334B2A"/>
    <w:rsid w:val="00336836"/>
    <w:rsid w:val="00337731"/>
    <w:rsid w:val="003401FE"/>
    <w:rsid w:val="00340A7A"/>
    <w:rsid w:val="00345AE1"/>
    <w:rsid w:val="00346AFA"/>
    <w:rsid w:val="00346D80"/>
    <w:rsid w:val="00346F88"/>
    <w:rsid w:val="00346F8E"/>
    <w:rsid w:val="00351536"/>
    <w:rsid w:val="00354A85"/>
    <w:rsid w:val="00360470"/>
    <w:rsid w:val="00360F9A"/>
    <w:rsid w:val="00363B13"/>
    <w:rsid w:val="00364684"/>
    <w:rsid w:val="0036754F"/>
    <w:rsid w:val="00371192"/>
    <w:rsid w:val="00373C6F"/>
    <w:rsid w:val="003750DA"/>
    <w:rsid w:val="003756DE"/>
    <w:rsid w:val="00381C4A"/>
    <w:rsid w:val="00384629"/>
    <w:rsid w:val="00385513"/>
    <w:rsid w:val="00385566"/>
    <w:rsid w:val="00386679"/>
    <w:rsid w:val="00387E9E"/>
    <w:rsid w:val="00390DCF"/>
    <w:rsid w:val="003916EF"/>
    <w:rsid w:val="00393277"/>
    <w:rsid w:val="00393B92"/>
    <w:rsid w:val="00394716"/>
    <w:rsid w:val="003951EF"/>
    <w:rsid w:val="00395556"/>
    <w:rsid w:val="00397046"/>
    <w:rsid w:val="00397FF3"/>
    <w:rsid w:val="003A00C3"/>
    <w:rsid w:val="003A00DA"/>
    <w:rsid w:val="003A0C33"/>
    <w:rsid w:val="003A2944"/>
    <w:rsid w:val="003A2D20"/>
    <w:rsid w:val="003A3731"/>
    <w:rsid w:val="003A633B"/>
    <w:rsid w:val="003A7D27"/>
    <w:rsid w:val="003B0DEF"/>
    <w:rsid w:val="003B23CA"/>
    <w:rsid w:val="003B604C"/>
    <w:rsid w:val="003B6EB0"/>
    <w:rsid w:val="003C0237"/>
    <w:rsid w:val="003C1180"/>
    <w:rsid w:val="003C200C"/>
    <w:rsid w:val="003C2074"/>
    <w:rsid w:val="003C3ADB"/>
    <w:rsid w:val="003C3B97"/>
    <w:rsid w:val="003C5E88"/>
    <w:rsid w:val="003C752E"/>
    <w:rsid w:val="003D0A73"/>
    <w:rsid w:val="003D116C"/>
    <w:rsid w:val="003D11B5"/>
    <w:rsid w:val="003D134C"/>
    <w:rsid w:val="003D69A5"/>
    <w:rsid w:val="003D6D9F"/>
    <w:rsid w:val="003D70EA"/>
    <w:rsid w:val="003E0079"/>
    <w:rsid w:val="003E09D5"/>
    <w:rsid w:val="003E14F9"/>
    <w:rsid w:val="003E4851"/>
    <w:rsid w:val="003E7BFC"/>
    <w:rsid w:val="003F045D"/>
    <w:rsid w:val="003F0513"/>
    <w:rsid w:val="003F3119"/>
    <w:rsid w:val="003F3C60"/>
    <w:rsid w:val="003F4D44"/>
    <w:rsid w:val="003F564D"/>
    <w:rsid w:val="003F6D32"/>
    <w:rsid w:val="003F70CE"/>
    <w:rsid w:val="00402C27"/>
    <w:rsid w:val="00403519"/>
    <w:rsid w:val="00403F42"/>
    <w:rsid w:val="00405714"/>
    <w:rsid w:val="00405F92"/>
    <w:rsid w:val="0040662C"/>
    <w:rsid w:val="00406B09"/>
    <w:rsid w:val="00406C44"/>
    <w:rsid w:val="004126E7"/>
    <w:rsid w:val="004129FA"/>
    <w:rsid w:val="00421B11"/>
    <w:rsid w:val="004265FC"/>
    <w:rsid w:val="004276E5"/>
    <w:rsid w:val="00430B5A"/>
    <w:rsid w:val="00431328"/>
    <w:rsid w:val="004330CB"/>
    <w:rsid w:val="00433B17"/>
    <w:rsid w:val="0043588C"/>
    <w:rsid w:val="004365FE"/>
    <w:rsid w:val="00437276"/>
    <w:rsid w:val="004377A2"/>
    <w:rsid w:val="00437A8B"/>
    <w:rsid w:val="0044029B"/>
    <w:rsid w:val="00440B11"/>
    <w:rsid w:val="0044207D"/>
    <w:rsid w:val="00443937"/>
    <w:rsid w:val="00445988"/>
    <w:rsid w:val="00447313"/>
    <w:rsid w:val="00447FE5"/>
    <w:rsid w:val="00450614"/>
    <w:rsid w:val="0045082C"/>
    <w:rsid w:val="00450B83"/>
    <w:rsid w:val="00450C06"/>
    <w:rsid w:val="004526FC"/>
    <w:rsid w:val="004535E3"/>
    <w:rsid w:val="0045528C"/>
    <w:rsid w:val="00456CED"/>
    <w:rsid w:val="00457C57"/>
    <w:rsid w:val="00460C31"/>
    <w:rsid w:val="00461585"/>
    <w:rsid w:val="004617B8"/>
    <w:rsid w:val="0046504E"/>
    <w:rsid w:val="00466B6E"/>
    <w:rsid w:val="00467C8E"/>
    <w:rsid w:val="004758FE"/>
    <w:rsid w:val="00481BA7"/>
    <w:rsid w:val="00481DE3"/>
    <w:rsid w:val="004830C8"/>
    <w:rsid w:val="004837AB"/>
    <w:rsid w:val="004837B0"/>
    <w:rsid w:val="0048387A"/>
    <w:rsid w:val="00483A2F"/>
    <w:rsid w:val="00483C0A"/>
    <w:rsid w:val="00484084"/>
    <w:rsid w:val="00485A30"/>
    <w:rsid w:val="00485B9F"/>
    <w:rsid w:val="0048714C"/>
    <w:rsid w:val="00487ADF"/>
    <w:rsid w:val="00490DBF"/>
    <w:rsid w:val="00494315"/>
    <w:rsid w:val="00494F12"/>
    <w:rsid w:val="00497571"/>
    <w:rsid w:val="004976A1"/>
    <w:rsid w:val="004A13B5"/>
    <w:rsid w:val="004A21A4"/>
    <w:rsid w:val="004A254B"/>
    <w:rsid w:val="004A41EB"/>
    <w:rsid w:val="004A46B5"/>
    <w:rsid w:val="004A5382"/>
    <w:rsid w:val="004A6E34"/>
    <w:rsid w:val="004A6EE1"/>
    <w:rsid w:val="004B0D18"/>
    <w:rsid w:val="004B1BEE"/>
    <w:rsid w:val="004B22E7"/>
    <w:rsid w:val="004B2AB8"/>
    <w:rsid w:val="004B3D9B"/>
    <w:rsid w:val="004B49FA"/>
    <w:rsid w:val="004B6AD7"/>
    <w:rsid w:val="004C1BA6"/>
    <w:rsid w:val="004C3D5C"/>
    <w:rsid w:val="004C42C0"/>
    <w:rsid w:val="004D04EB"/>
    <w:rsid w:val="004D0DA3"/>
    <w:rsid w:val="004D2897"/>
    <w:rsid w:val="004D3C91"/>
    <w:rsid w:val="004D474D"/>
    <w:rsid w:val="004D5263"/>
    <w:rsid w:val="004D660D"/>
    <w:rsid w:val="004D770C"/>
    <w:rsid w:val="004E0A28"/>
    <w:rsid w:val="004E1477"/>
    <w:rsid w:val="004E3243"/>
    <w:rsid w:val="004E370E"/>
    <w:rsid w:val="004E402A"/>
    <w:rsid w:val="004E52B8"/>
    <w:rsid w:val="004E5D3D"/>
    <w:rsid w:val="004F006C"/>
    <w:rsid w:val="004F0A29"/>
    <w:rsid w:val="004F3D32"/>
    <w:rsid w:val="004F407C"/>
    <w:rsid w:val="004F4387"/>
    <w:rsid w:val="004F4D3B"/>
    <w:rsid w:val="004F7059"/>
    <w:rsid w:val="004F7A45"/>
    <w:rsid w:val="004F7F85"/>
    <w:rsid w:val="005015C9"/>
    <w:rsid w:val="00501FCD"/>
    <w:rsid w:val="005029C2"/>
    <w:rsid w:val="00502A41"/>
    <w:rsid w:val="00505280"/>
    <w:rsid w:val="005053E6"/>
    <w:rsid w:val="00506B56"/>
    <w:rsid w:val="005107CE"/>
    <w:rsid w:val="00510BF5"/>
    <w:rsid w:val="0051467B"/>
    <w:rsid w:val="00515265"/>
    <w:rsid w:val="005163DC"/>
    <w:rsid w:val="00517E74"/>
    <w:rsid w:val="00521BA7"/>
    <w:rsid w:val="0052492F"/>
    <w:rsid w:val="00524B1D"/>
    <w:rsid w:val="00525051"/>
    <w:rsid w:val="005252E2"/>
    <w:rsid w:val="0052571C"/>
    <w:rsid w:val="005265DE"/>
    <w:rsid w:val="00526D27"/>
    <w:rsid w:val="005308D9"/>
    <w:rsid w:val="00530EAD"/>
    <w:rsid w:val="00531AA5"/>
    <w:rsid w:val="00534AE0"/>
    <w:rsid w:val="00535305"/>
    <w:rsid w:val="00536560"/>
    <w:rsid w:val="00537743"/>
    <w:rsid w:val="005409D3"/>
    <w:rsid w:val="0054171D"/>
    <w:rsid w:val="00541B55"/>
    <w:rsid w:val="0054315A"/>
    <w:rsid w:val="0054577D"/>
    <w:rsid w:val="00546BE0"/>
    <w:rsid w:val="0054718F"/>
    <w:rsid w:val="00547904"/>
    <w:rsid w:val="00550508"/>
    <w:rsid w:val="005511D5"/>
    <w:rsid w:val="00551564"/>
    <w:rsid w:val="00551AFA"/>
    <w:rsid w:val="00551FB1"/>
    <w:rsid w:val="005522BD"/>
    <w:rsid w:val="0055390E"/>
    <w:rsid w:val="005548C5"/>
    <w:rsid w:val="00554E71"/>
    <w:rsid w:val="00557A5C"/>
    <w:rsid w:val="00560F5F"/>
    <w:rsid w:val="00561350"/>
    <w:rsid w:val="00561B11"/>
    <w:rsid w:val="00563E22"/>
    <w:rsid w:val="00566177"/>
    <w:rsid w:val="0056768C"/>
    <w:rsid w:val="00570856"/>
    <w:rsid w:val="00571ACC"/>
    <w:rsid w:val="005724E7"/>
    <w:rsid w:val="00575DC6"/>
    <w:rsid w:val="00580859"/>
    <w:rsid w:val="0058233D"/>
    <w:rsid w:val="0058306B"/>
    <w:rsid w:val="005831A0"/>
    <w:rsid w:val="00585FB5"/>
    <w:rsid w:val="005875EC"/>
    <w:rsid w:val="00591586"/>
    <w:rsid w:val="0059347A"/>
    <w:rsid w:val="00593F13"/>
    <w:rsid w:val="005940B2"/>
    <w:rsid w:val="00594448"/>
    <w:rsid w:val="00594B04"/>
    <w:rsid w:val="005966FE"/>
    <w:rsid w:val="00596BA1"/>
    <w:rsid w:val="0059702D"/>
    <w:rsid w:val="00597215"/>
    <w:rsid w:val="00597D66"/>
    <w:rsid w:val="005A0936"/>
    <w:rsid w:val="005A1143"/>
    <w:rsid w:val="005A14BC"/>
    <w:rsid w:val="005A3EDE"/>
    <w:rsid w:val="005A4C16"/>
    <w:rsid w:val="005A561F"/>
    <w:rsid w:val="005A6235"/>
    <w:rsid w:val="005A70C4"/>
    <w:rsid w:val="005B3F0E"/>
    <w:rsid w:val="005B4DB4"/>
    <w:rsid w:val="005B6484"/>
    <w:rsid w:val="005B6C20"/>
    <w:rsid w:val="005B6F36"/>
    <w:rsid w:val="005B753D"/>
    <w:rsid w:val="005C0C32"/>
    <w:rsid w:val="005C214C"/>
    <w:rsid w:val="005C2656"/>
    <w:rsid w:val="005C298B"/>
    <w:rsid w:val="005C29D9"/>
    <w:rsid w:val="005C5011"/>
    <w:rsid w:val="005C6086"/>
    <w:rsid w:val="005D0C9A"/>
    <w:rsid w:val="005D226A"/>
    <w:rsid w:val="005D24AD"/>
    <w:rsid w:val="005D2AAA"/>
    <w:rsid w:val="005D33A2"/>
    <w:rsid w:val="005D3438"/>
    <w:rsid w:val="005D3442"/>
    <w:rsid w:val="005D3555"/>
    <w:rsid w:val="005D426A"/>
    <w:rsid w:val="005D4B7E"/>
    <w:rsid w:val="005D61EE"/>
    <w:rsid w:val="005D63DA"/>
    <w:rsid w:val="005E0108"/>
    <w:rsid w:val="005E0D88"/>
    <w:rsid w:val="005E397A"/>
    <w:rsid w:val="005E440E"/>
    <w:rsid w:val="005E4E85"/>
    <w:rsid w:val="005E7551"/>
    <w:rsid w:val="005F0732"/>
    <w:rsid w:val="005F1007"/>
    <w:rsid w:val="005F137F"/>
    <w:rsid w:val="005F5D19"/>
    <w:rsid w:val="005F627F"/>
    <w:rsid w:val="005F6B0B"/>
    <w:rsid w:val="005F6CBF"/>
    <w:rsid w:val="005F7A80"/>
    <w:rsid w:val="0060131A"/>
    <w:rsid w:val="006026D9"/>
    <w:rsid w:val="00602DD2"/>
    <w:rsid w:val="00605672"/>
    <w:rsid w:val="00606103"/>
    <w:rsid w:val="0060624B"/>
    <w:rsid w:val="006062E0"/>
    <w:rsid w:val="00606FE0"/>
    <w:rsid w:val="0061332C"/>
    <w:rsid w:val="006135E6"/>
    <w:rsid w:val="00613628"/>
    <w:rsid w:val="00613B07"/>
    <w:rsid w:val="00614421"/>
    <w:rsid w:val="00615659"/>
    <w:rsid w:val="00615852"/>
    <w:rsid w:val="0061645C"/>
    <w:rsid w:val="00616C15"/>
    <w:rsid w:val="00616FE1"/>
    <w:rsid w:val="00617345"/>
    <w:rsid w:val="0061752D"/>
    <w:rsid w:val="006176EA"/>
    <w:rsid w:val="00617DF2"/>
    <w:rsid w:val="00621810"/>
    <w:rsid w:val="00624F67"/>
    <w:rsid w:val="0062637E"/>
    <w:rsid w:val="00626EC5"/>
    <w:rsid w:val="00627A30"/>
    <w:rsid w:val="006311D3"/>
    <w:rsid w:val="00632EA5"/>
    <w:rsid w:val="00633823"/>
    <w:rsid w:val="006378CD"/>
    <w:rsid w:val="00641087"/>
    <w:rsid w:val="00642D69"/>
    <w:rsid w:val="00643E6E"/>
    <w:rsid w:val="00645447"/>
    <w:rsid w:val="006473D2"/>
    <w:rsid w:val="00651D32"/>
    <w:rsid w:val="00653B4D"/>
    <w:rsid w:val="006550F8"/>
    <w:rsid w:val="00655766"/>
    <w:rsid w:val="006561DA"/>
    <w:rsid w:val="00656926"/>
    <w:rsid w:val="0065701C"/>
    <w:rsid w:val="006577D5"/>
    <w:rsid w:val="00657C16"/>
    <w:rsid w:val="006606E6"/>
    <w:rsid w:val="00660BC7"/>
    <w:rsid w:val="00661CE0"/>
    <w:rsid w:val="00662792"/>
    <w:rsid w:val="00663460"/>
    <w:rsid w:val="0066379A"/>
    <w:rsid w:val="00663C36"/>
    <w:rsid w:val="006660B3"/>
    <w:rsid w:val="00666ED7"/>
    <w:rsid w:val="00667654"/>
    <w:rsid w:val="00671132"/>
    <w:rsid w:val="0067152F"/>
    <w:rsid w:val="00671638"/>
    <w:rsid w:val="00671A31"/>
    <w:rsid w:val="0067231F"/>
    <w:rsid w:val="00672F75"/>
    <w:rsid w:val="006734CA"/>
    <w:rsid w:val="00674244"/>
    <w:rsid w:val="006744F1"/>
    <w:rsid w:val="0067459C"/>
    <w:rsid w:val="00675F04"/>
    <w:rsid w:val="00676133"/>
    <w:rsid w:val="00677E38"/>
    <w:rsid w:val="006818B6"/>
    <w:rsid w:val="00681ABE"/>
    <w:rsid w:val="006824B8"/>
    <w:rsid w:val="006834EE"/>
    <w:rsid w:val="00683BD5"/>
    <w:rsid w:val="00685A27"/>
    <w:rsid w:val="0069203E"/>
    <w:rsid w:val="00693348"/>
    <w:rsid w:val="006A1142"/>
    <w:rsid w:val="006A33F1"/>
    <w:rsid w:val="006A4A0C"/>
    <w:rsid w:val="006A602E"/>
    <w:rsid w:val="006A7743"/>
    <w:rsid w:val="006B0B79"/>
    <w:rsid w:val="006B2AD5"/>
    <w:rsid w:val="006B5315"/>
    <w:rsid w:val="006B54FE"/>
    <w:rsid w:val="006B6339"/>
    <w:rsid w:val="006B6C6A"/>
    <w:rsid w:val="006B7CFC"/>
    <w:rsid w:val="006C1567"/>
    <w:rsid w:val="006C15D5"/>
    <w:rsid w:val="006C20E1"/>
    <w:rsid w:val="006C234F"/>
    <w:rsid w:val="006C386E"/>
    <w:rsid w:val="006C3D0C"/>
    <w:rsid w:val="006C3FBC"/>
    <w:rsid w:val="006C5955"/>
    <w:rsid w:val="006D31E1"/>
    <w:rsid w:val="006D343E"/>
    <w:rsid w:val="006D359C"/>
    <w:rsid w:val="006D36C5"/>
    <w:rsid w:val="006D3940"/>
    <w:rsid w:val="006D3C28"/>
    <w:rsid w:val="006D519D"/>
    <w:rsid w:val="006E1202"/>
    <w:rsid w:val="006E26BF"/>
    <w:rsid w:val="006E2710"/>
    <w:rsid w:val="006E59E6"/>
    <w:rsid w:val="006E63F1"/>
    <w:rsid w:val="006E7246"/>
    <w:rsid w:val="006E7542"/>
    <w:rsid w:val="006F0030"/>
    <w:rsid w:val="006F1011"/>
    <w:rsid w:val="006F1FD7"/>
    <w:rsid w:val="006F299D"/>
    <w:rsid w:val="006F33C0"/>
    <w:rsid w:val="006F39D0"/>
    <w:rsid w:val="006F599E"/>
    <w:rsid w:val="006F5B90"/>
    <w:rsid w:val="006F5BAB"/>
    <w:rsid w:val="006F5E3E"/>
    <w:rsid w:val="006F6897"/>
    <w:rsid w:val="006F7484"/>
    <w:rsid w:val="006F7746"/>
    <w:rsid w:val="00702C9D"/>
    <w:rsid w:val="00703282"/>
    <w:rsid w:val="007040FA"/>
    <w:rsid w:val="007046F9"/>
    <w:rsid w:val="0070497F"/>
    <w:rsid w:val="00706CF4"/>
    <w:rsid w:val="007071B1"/>
    <w:rsid w:val="00711157"/>
    <w:rsid w:val="00714E2B"/>
    <w:rsid w:val="00715B7E"/>
    <w:rsid w:val="00716769"/>
    <w:rsid w:val="00720D29"/>
    <w:rsid w:val="00721BD0"/>
    <w:rsid w:val="0072244D"/>
    <w:rsid w:val="00725ED0"/>
    <w:rsid w:val="007260A8"/>
    <w:rsid w:val="00730CDB"/>
    <w:rsid w:val="00730F26"/>
    <w:rsid w:val="00730FA6"/>
    <w:rsid w:val="00731B46"/>
    <w:rsid w:val="00735882"/>
    <w:rsid w:val="007366EA"/>
    <w:rsid w:val="00736C89"/>
    <w:rsid w:val="00740973"/>
    <w:rsid w:val="007413C5"/>
    <w:rsid w:val="00745744"/>
    <w:rsid w:val="007462F1"/>
    <w:rsid w:val="0075032A"/>
    <w:rsid w:val="0075092A"/>
    <w:rsid w:val="00754B2C"/>
    <w:rsid w:val="00754F64"/>
    <w:rsid w:val="00762250"/>
    <w:rsid w:val="00762F69"/>
    <w:rsid w:val="0076384D"/>
    <w:rsid w:val="007667EC"/>
    <w:rsid w:val="007708B1"/>
    <w:rsid w:val="00770CC7"/>
    <w:rsid w:val="00770D7D"/>
    <w:rsid w:val="00771052"/>
    <w:rsid w:val="00771133"/>
    <w:rsid w:val="00772497"/>
    <w:rsid w:val="007744E3"/>
    <w:rsid w:val="00775292"/>
    <w:rsid w:val="007756D5"/>
    <w:rsid w:val="0077601E"/>
    <w:rsid w:val="00776241"/>
    <w:rsid w:val="00776CA9"/>
    <w:rsid w:val="00776F45"/>
    <w:rsid w:val="00781047"/>
    <w:rsid w:val="007812C4"/>
    <w:rsid w:val="00781FBA"/>
    <w:rsid w:val="00782A9F"/>
    <w:rsid w:val="00784474"/>
    <w:rsid w:val="00787F0A"/>
    <w:rsid w:val="00791377"/>
    <w:rsid w:val="007917E6"/>
    <w:rsid w:val="00791D6A"/>
    <w:rsid w:val="007928D4"/>
    <w:rsid w:val="00792B9C"/>
    <w:rsid w:val="00793F69"/>
    <w:rsid w:val="00795512"/>
    <w:rsid w:val="007972AC"/>
    <w:rsid w:val="00797CED"/>
    <w:rsid w:val="007A4F15"/>
    <w:rsid w:val="007A5340"/>
    <w:rsid w:val="007A674B"/>
    <w:rsid w:val="007A73EA"/>
    <w:rsid w:val="007A769B"/>
    <w:rsid w:val="007A7884"/>
    <w:rsid w:val="007B233E"/>
    <w:rsid w:val="007B2687"/>
    <w:rsid w:val="007B2DC6"/>
    <w:rsid w:val="007B538F"/>
    <w:rsid w:val="007B5FA8"/>
    <w:rsid w:val="007B6C2E"/>
    <w:rsid w:val="007B6FDF"/>
    <w:rsid w:val="007C0C73"/>
    <w:rsid w:val="007C5166"/>
    <w:rsid w:val="007C7892"/>
    <w:rsid w:val="007D03DD"/>
    <w:rsid w:val="007D0590"/>
    <w:rsid w:val="007D0C7B"/>
    <w:rsid w:val="007D169E"/>
    <w:rsid w:val="007D1D53"/>
    <w:rsid w:val="007D1F1D"/>
    <w:rsid w:val="007D27F3"/>
    <w:rsid w:val="007D2DEF"/>
    <w:rsid w:val="007D4B50"/>
    <w:rsid w:val="007D4C7B"/>
    <w:rsid w:val="007D5FEC"/>
    <w:rsid w:val="007D62C7"/>
    <w:rsid w:val="007E10EB"/>
    <w:rsid w:val="007E1611"/>
    <w:rsid w:val="007E2564"/>
    <w:rsid w:val="007E4719"/>
    <w:rsid w:val="007E4B98"/>
    <w:rsid w:val="007E6A15"/>
    <w:rsid w:val="007E6A27"/>
    <w:rsid w:val="007F0259"/>
    <w:rsid w:val="007F2A1E"/>
    <w:rsid w:val="007F3514"/>
    <w:rsid w:val="007F355C"/>
    <w:rsid w:val="007F42DA"/>
    <w:rsid w:val="007F687A"/>
    <w:rsid w:val="007F6AA7"/>
    <w:rsid w:val="007F7AC6"/>
    <w:rsid w:val="00803061"/>
    <w:rsid w:val="00803439"/>
    <w:rsid w:val="008034D3"/>
    <w:rsid w:val="008056B3"/>
    <w:rsid w:val="00807EEE"/>
    <w:rsid w:val="0081087D"/>
    <w:rsid w:val="008109D6"/>
    <w:rsid w:val="00810F65"/>
    <w:rsid w:val="008119FC"/>
    <w:rsid w:val="00812482"/>
    <w:rsid w:val="008135F4"/>
    <w:rsid w:val="00813893"/>
    <w:rsid w:val="008142EC"/>
    <w:rsid w:val="008149E7"/>
    <w:rsid w:val="00815003"/>
    <w:rsid w:val="00815DBF"/>
    <w:rsid w:val="008218D6"/>
    <w:rsid w:val="00822606"/>
    <w:rsid w:val="0082266E"/>
    <w:rsid w:val="008234E2"/>
    <w:rsid w:val="00824361"/>
    <w:rsid w:val="00830843"/>
    <w:rsid w:val="008327EE"/>
    <w:rsid w:val="0083350D"/>
    <w:rsid w:val="00834968"/>
    <w:rsid w:val="00834EF5"/>
    <w:rsid w:val="00835417"/>
    <w:rsid w:val="00840F38"/>
    <w:rsid w:val="0084172F"/>
    <w:rsid w:val="00841CC4"/>
    <w:rsid w:val="00841F95"/>
    <w:rsid w:val="00842644"/>
    <w:rsid w:val="00842E74"/>
    <w:rsid w:val="00842E88"/>
    <w:rsid w:val="00842FA6"/>
    <w:rsid w:val="0084355F"/>
    <w:rsid w:val="0084374B"/>
    <w:rsid w:val="00843BE5"/>
    <w:rsid w:val="0084777B"/>
    <w:rsid w:val="00847E94"/>
    <w:rsid w:val="0085037B"/>
    <w:rsid w:val="00851088"/>
    <w:rsid w:val="00854E74"/>
    <w:rsid w:val="00855030"/>
    <w:rsid w:val="00856136"/>
    <w:rsid w:val="00856B64"/>
    <w:rsid w:val="00856CDE"/>
    <w:rsid w:val="0085702A"/>
    <w:rsid w:val="00857DEF"/>
    <w:rsid w:val="008602F0"/>
    <w:rsid w:val="008605F2"/>
    <w:rsid w:val="00861F13"/>
    <w:rsid w:val="00862C81"/>
    <w:rsid w:val="00863DD9"/>
    <w:rsid w:val="00866446"/>
    <w:rsid w:val="00866D61"/>
    <w:rsid w:val="0086741B"/>
    <w:rsid w:val="00870BDD"/>
    <w:rsid w:val="00871471"/>
    <w:rsid w:val="008746F2"/>
    <w:rsid w:val="008751A3"/>
    <w:rsid w:val="008771C4"/>
    <w:rsid w:val="00880204"/>
    <w:rsid w:val="00881249"/>
    <w:rsid w:val="008840CA"/>
    <w:rsid w:val="00884EB1"/>
    <w:rsid w:val="00884F26"/>
    <w:rsid w:val="00885DEA"/>
    <w:rsid w:val="00886F29"/>
    <w:rsid w:val="00887F70"/>
    <w:rsid w:val="0089027D"/>
    <w:rsid w:val="00891979"/>
    <w:rsid w:val="008921D6"/>
    <w:rsid w:val="00892517"/>
    <w:rsid w:val="008927FE"/>
    <w:rsid w:val="00892A25"/>
    <w:rsid w:val="00896DE0"/>
    <w:rsid w:val="00897DAB"/>
    <w:rsid w:val="008A0633"/>
    <w:rsid w:val="008A0FEA"/>
    <w:rsid w:val="008A1724"/>
    <w:rsid w:val="008A3386"/>
    <w:rsid w:val="008A37D8"/>
    <w:rsid w:val="008A4A59"/>
    <w:rsid w:val="008A53F2"/>
    <w:rsid w:val="008A5D70"/>
    <w:rsid w:val="008A65EC"/>
    <w:rsid w:val="008B099B"/>
    <w:rsid w:val="008B09B1"/>
    <w:rsid w:val="008B09D2"/>
    <w:rsid w:val="008C0723"/>
    <w:rsid w:val="008C1CE8"/>
    <w:rsid w:val="008C24B6"/>
    <w:rsid w:val="008C3987"/>
    <w:rsid w:val="008C3E5B"/>
    <w:rsid w:val="008C487C"/>
    <w:rsid w:val="008C4C28"/>
    <w:rsid w:val="008C5224"/>
    <w:rsid w:val="008D07ED"/>
    <w:rsid w:val="008D0BF9"/>
    <w:rsid w:val="008D2CBA"/>
    <w:rsid w:val="008D35B0"/>
    <w:rsid w:val="008D40D6"/>
    <w:rsid w:val="008D4381"/>
    <w:rsid w:val="008D4DBC"/>
    <w:rsid w:val="008D6886"/>
    <w:rsid w:val="008D701A"/>
    <w:rsid w:val="008D7B61"/>
    <w:rsid w:val="008E0FCC"/>
    <w:rsid w:val="008E1386"/>
    <w:rsid w:val="008E20B8"/>
    <w:rsid w:val="008E2FE3"/>
    <w:rsid w:val="008E3A49"/>
    <w:rsid w:val="008E437C"/>
    <w:rsid w:val="008E5667"/>
    <w:rsid w:val="008E5EB0"/>
    <w:rsid w:val="008E5F34"/>
    <w:rsid w:val="008E7851"/>
    <w:rsid w:val="008F0FBE"/>
    <w:rsid w:val="008F2267"/>
    <w:rsid w:val="008F3EE2"/>
    <w:rsid w:val="008F4C4C"/>
    <w:rsid w:val="008F4CB7"/>
    <w:rsid w:val="008F4FBB"/>
    <w:rsid w:val="008F5D30"/>
    <w:rsid w:val="008F61CB"/>
    <w:rsid w:val="008F6B23"/>
    <w:rsid w:val="00902242"/>
    <w:rsid w:val="00902C94"/>
    <w:rsid w:val="00903783"/>
    <w:rsid w:val="00905E83"/>
    <w:rsid w:val="00905EE9"/>
    <w:rsid w:val="00907F0B"/>
    <w:rsid w:val="00910B3C"/>
    <w:rsid w:val="00911243"/>
    <w:rsid w:val="0091202E"/>
    <w:rsid w:val="0091226B"/>
    <w:rsid w:val="00912EA2"/>
    <w:rsid w:val="00913FFC"/>
    <w:rsid w:val="009161B8"/>
    <w:rsid w:val="0091627F"/>
    <w:rsid w:val="00916488"/>
    <w:rsid w:val="00916D06"/>
    <w:rsid w:val="0092216E"/>
    <w:rsid w:val="0092233E"/>
    <w:rsid w:val="009223EA"/>
    <w:rsid w:val="009231E0"/>
    <w:rsid w:val="00924365"/>
    <w:rsid w:val="00925932"/>
    <w:rsid w:val="00926E16"/>
    <w:rsid w:val="009270B9"/>
    <w:rsid w:val="009319D0"/>
    <w:rsid w:val="009326EC"/>
    <w:rsid w:val="00933EF5"/>
    <w:rsid w:val="00935BE4"/>
    <w:rsid w:val="00935F01"/>
    <w:rsid w:val="00936092"/>
    <w:rsid w:val="009364F1"/>
    <w:rsid w:val="0093717F"/>
    <w:rsid w:val="00943956"/>
    <w:rsid w:val="00943CDD"/>
    <w:rsid w:val="0094508D"/>
    <w:rsid w:val="009458E4"/>
    <w:rsid w:val="009462D0"/>
    <w:rsid w:val="009506A7"/>
    <w:rsid w:val="00954546"/>
    <w:rsid w:val="009549DD"/>
    <w:rsid w:val="009563AC"/>
    <w:rsid w:val="0095686F"/>
    <w:rsid w:val="00957E93"/>
    <w:rsid w:val="00960CAB"/>
    <w:rsid w:val="00962D6C"/>
    <w:rsid w:val="0096333C"/>
    <w:rsid w:val="009638F2"/>
    <w:rsid w:val="009655F6"/>
    <w:rsid w:val="00965D9D"/>
    <w:rsid w:val="00967230"/>
    <w:rsid w:val="00967B56"/>
    <w:rsid w:val="00972C13"/>
    <w:rsid w:val="00974EE3"/>
    <w:rsid w:val="0097544E"/>
    <w:rsid w:val="00975FF2"/>
    <w:rsid w:val="00976F3B"/>
    <w:rsid w:val="009773BB"/>
    <w:rsid w:val="00977876"/>
    <w:rsid w:val="00980729"/>
    <w:rsid w:val="009812D7"/>
    <w:rsid w:val="00982E99"/>
    <w:rsid w:val="00983325"/>
    <w:rsid w:val="00983879"/>
    <w:rsid w:val="0098491A"/>
    <w:rsid w:val="009853E2"/>
    <w:rsid w:val="009869A5"/>
    <w:rsid w:val="00991A55"/>
    <w:rsid w:val="0099267F"/>
    <w:rsid w:val="00993BFE"/>
    <w:rsid w:val="00993CE0"/>
    <w:rsid w:val="00993EA2"/>
    <w:rsid w:val="00994C37"/>
    <w:rsid w:val="00995931"/>
    <w:rsid w:val="009963CB"/>
    <w:rsid w:val="00997B5A"/>
    <w:rsid w:val="009A10DA"/>
    <w:rsid w:val="009A22AD"/>
    <w:rsid w:val="009A30E1"/>
    <w:rsid w:val="009A3D14"/>
    <w:rsid w:val="009A5714"/>
    <w:rsid w:val="009A5A15"/>
    <w:rsid w:val="009A5DA7"/>
    <w:rsid w:val="009A68F2"/>
    <w:rsid w:val="009A764B"/>
    <w:rsid w:val="009B0673"/>
    <w:rsid w:val="009B0FED"/>
    <w:rsid w:val="009B1AEC"/>
    <w:rsid w:val="009B1BCD"/>
    <w:rsid w:val="009B25E1"/>
    <w:rsid w:val="009B2845"/>
    <w:rsid w:val="009B44A7"/>
    <w:rsid w:val="009B7262"/>
    <w:rsid w:val="009C0FAC"/>
    <w:rsid w:val="009C59BA"/>
    <w:rsid w:val="009C61FC"/>
    <w:rsid w:val="009C66E7"/>
    <w:rsid w:val="009C6F56"/>
    <w:rsid w:val="009D1D57"/>
    <w:rsid w:val="009D1DE1"/>
    <w:rsid w:val="009D261F"/>
    <w:rsid w:val="009D266A"/>
    <w:rsid w:val="009D39BD"/>
    <w:rsid w:val="009D4D50"/>
    <w:rsid w:val="009D6670"/>
    <w:rsid w:val="009D6FEF"/>
    <w:rsid w:val="009E083B"/>
    <w:rsid w:val="009E14F0"/>
    <w:rsid w:val="009E2544"/>
    <w:rsid w:val="009E2770"/>
    <w:rsid w:val="009E2CE7"/>
    <w:rsid w:val="009E2D72"/>
    <w:rsid w:val="009E41C2"/>
    <w:rsid w:val="009E4759"/>
    <w:rsid w:val="009E4A43"/>
    <w:rsid w:val="009E4AE9"/>
    <w:rsid w:val="009E69E4"/>
    <w:rsid w:val="009E6C5F"/>
    <w:rsid w:val="009E7BC5"/>
    <w:rsid w:val="009F2261"/>
    <w:rsid w:val="009F3537"/>
    <w:rsid w:val="009F7244"/>
    <w:rsid w:val="009F7B7B"/>
    <w:rsid w:val="00A00329"/>
    <w:rsid w:val="00A03256"/>
    <w:rsid w:val="00A04962"/>
    <w:rsid w:val="00A05C21"/>
    <w:rsid w:val="00A109C0"/>
    <w:rsid w:val="00A12450"/>
    <w:rsid w:val="00A13B29"/>
    <w:rsid w:val="00A13C4B"/>
    <w:rsid w:val="00A156BC"/>
    <w:rsid w:val="00A15A7B"/>
    <w:rsid w:val="00A25657"/>
    <w:rsid w:val="00A27907"/>
    <w:rsid w:val="00A300F3"/>
    <w:rsid w:val="00A31880"/>
    <w:rsid w:val="00A329B6"/>
    <w:rsid w:val="00A32C19"/>
    <w:rsid w:val="00A32FFB"/>
    <w:rsid w:val="00A367A1"/>
    <w:rsid w:val="00A37CBD"/>
    <w:rsid w:val="00A415D2"/>
    <w:rsid w:val="00A421D8"/>
    <w:rsid w:val="00A4372E"/>
    <w:rsid w:val="00A460BA"/>
    <w:rsid w:val="00A47EC1"/>
    <w:rsid w:val="00A510F6"/>
    <w:rsid w:val="00A53684"/>
    <w:rsid w:val="00A54C77"/>
    <w:rsid w:val="00A54D07"/>
    <w:rsid w:val="00A54F89"/>
    <w:rsid w:val="00A5772D"/>
    <w:rsid w:val="00A607D3"/>
    <w:rsid w:val="00A6449E"/>
    <w:rsid w:val="00A645A9"/>
    <w:rsid w:val="00A64F88"/>
    <w:rsid w:val="00A65034"/>
    <w:rsid w:val="00A651C9"/>
    <w:rsid w:val="00A657F1"/>
    <w:rsid w:val="00A65F83"/>
    <w:rsid w:val="00A6700F"/>
    <w:rsid w:val="00A70F57"/>
    <w:rsid w:val="00A733E0"/>
    <w:rsid w:val="00A74021"/>
    <w:rsid w:val="00A742C9"/>
    <w:rsid w:val="00A74AA7"/>
    <w:rsid w:val="00A757E5"/>
    <w:rsid w:val="00A758DC"/>
    <w:rsid w:val="00A75B4C"/>
    <w:rsid w:val="00A762A2"/>
    <w:rsid w:val="00A76331"/>
    <w:rsid w:val="00A765EA"/>
    <w:rsid w:val="00A80739"/>
    <w:rsid w:val="00A83829"/>
    <w:rsid w:val="00A83947"/>
    <w:rsid w:val="00A84139"/>
    <w:rsid w:val="00A8447D"/>
    <w:rsid w:val="00A85AFF"/>
    <w:rsid w:val="00A86FEB"/>
    <w:rsid w:val="00A87D39"/>
    <w:rsid w:val="00A90461"/>
    <w:rsid w:val="00A95100"/>
    <w:rsid w:val="00A967FE"/>
    <w:rsid w:val="00AA2A39"/>
    <w:rsid w:val="00AA3A3C"/>
    <w:rsid w:val="00AA4E77"/>
    <w:rsid w:val="00AA5598"/>
    <w:rsid w:val="00AA615B"/>
    <w:rsid w:val="00AA6B2A"/>
    <w:rsid w:val="00AA7209"/>
    <w:rsid w:val="00AB0DED"/>
    <w:rsid w:val="00AB254D"/>
    <w:rsid w:val="00AB3ADA"/>
    <w:rsid w:val="00AB4502"/>
    <w:rsid w:val="00AB5F84"/>
    <w:rsid w:val="00AB616D"/>
    <w:rsid w:val="00AB657B"/>
    <w:rsid w:val="00AC0C81"/>
    <w:rsid w:val="00AC3005"/>
    <w:rsid w:val="00AC3CE7"/>
    <w:rsid w:val="00AC40D0"/>
    <w:rsid w:val="00AC5CA3"/>
    <w:rsid w:val="00AC5FE7"/>
    <w:rsid w:val="00AC799F"/>
    <w:rsid w:val="00AC7B7A"/>
    <w:rsid w:val="00AC7C1F"/>
    <w:rsid w:val="00AD21C2"/>
    <w:rsid w:val="00AD2600"/>
    <w:rsid w:val="00AD2D01"/>
    <w:rsid w:val="00AD4320"/>
    <w:rsid w:val="00AD5FA4"/>
    <w:rsid w:val="00AD7725"/>
    <w:rsid w:val="00AE13A1"/>
    <w:rsid w:val="00AE194E"/>
    <w:rsid w:val="00AE1CAD"/>
    <w:rsid w:val="00AE1D75"/>
    <w:rsid w:val="00AE2A04"/>
    <w:rsid w:val="00AE355C"/>
    <w:rsid w:val="00AE40BA"/>
    <w:rsid w:val="00AE6142"/>
    <w:rsid w:val="00AE668A"/>
    <w:rsid w:val="00AE6858"/>
    <w:rsid w:val="00AF185A"/>
    <w:rsid w:val="00AF2203"/>
    <w:rsid w:val="00AF24A4"/>
    <w:rsid w:val="00AF4523"/>
    <w:rsid w:val="00AF59BD"/>
    <w:rsid w:val="00AF5C62"/>
    <w:rsid w:val="00AF5DA5"/>
    <w:rsid w:val="00AF6D01"/>
    <w:rsid w:val="00AF7270"/>
    <w:rsid w:val="00AF7DE1"/>
    <w:rsid w:val="00AF7F14"/>
    <w:rsid w:val="00AF7F8A"/>
    <w:rsid w:val="00B00B72"/>
    <w:rsid w:val="00B0135B"/>
    <w:rsid w:val="00B02AAD"/>
    <w:rsid w:val="00B02AB2"/>
    <w:rsid w:val="00B062A5"/>
    <w:rsid w:val="00B1005D"/>
    <w:rsid w:val="00B100E5"/>
    <w:rsid w:val="00B122D7"/>
    <w:rsid w:val="00B12A1E"/>
    <w:rsid w:val="00B139DC"/>
    <w:rsid w:val="00B14EFA"/>
    <w:rsid w:val="00B15E0A"/>
    <w:rsid w:val="00B17BC5"/>
    <w:rsid w:val="00B20A3A"/>
    <w:rsid w:val="00B20B34"/>
    <w:rsid w:val="00B2158C"/>
    <w:rsid w:val="00B2166A"/>
    <w:rsid w:val="00B2365C"/>
    <w:rsid w:val="00B24E57"/>
    <w:rsid w:val="00B2594C"/>
    <w:rsid w:val="00B259A3"/>
    <w:rsid w:val="00B26E57"/>
    <w:rsid w:val="00B30582"/>
    <w:rsid w:val="00B30964"/>
    <w:rsid w:val="00B30D96"/>
    <w:rsid w:val="00B33648"/>
    <w:rsid w:val="00B35792"/>
    <w:rsid w:val="00B37F98"/>
    <w:rsid w:val="00B406AA"/>
    <w:rsid w:val="00B40E44"/>
    <w:rsid w:val="00B411C7"/>
    <w:rsid w:val="00B416C7"/>
    <w:rsid w:val="00B43CD5"/>
    <w:rsid w:val="00B44EB3"/>
    <w:rsid w:val="00B46660"/>
    <w:rsid w:val="00B47CBC"/>
    <w:rsid w:val="00B502EC"/>
    <w:rsid w:val="00B506DA"/>
    <w:rsid w:val="00B5123E"/>
    <w:rsid w:val="00B51442"/>
    <w:rsid w:val="00B5157F"/>
    <w:rsid w:val="00B522C4"/>
    <w:rsid w:val="00B52B0E"/>
    <w:rsid w:val="00B52CFA"/>
    <w:rsid w:val="00B5337D"/>
    <w:rsid w:val="00B54E4B"/>
    <w:rsid w:val="00B5527E"/>
    <w:rsid w:val="00B56215"/>
    <w:rsid w:val="00B573F7"/>
    <w:rsid w:val="00B62DD9"/>
    <w:rsid w:val="00B63A7D"/>
    <w:rsid w:val="00B648FF"/>
    <w:rsid w:val="00B65290"/>
    <w:rsid w:val="00B659C3"/>
    <w:rsid w:val="00B67C63"/>
    <w:rsid w:val="00B70E26"/>
    <w:rsid w:val="00B718F1"/>
    <w:rsid w:val="00B71D17"/>
    <w:rsid w:val="00B744E8"/>
    <w:rsid w:val="00B747C9"/>
    <w:rsid w:val="00B74D24"/>
    <w:rsid w:val="00B75D9F"/>
    <w:rsid w:val="00B77186"/>
    <w:rsid w:val="00B771D4"/>
    <w:rsid w:val="00B77C40"/>
    <w:rsid w:val="00B81CA8"/>
    <w:rsid w:val="00B81F75"/>
    <w:rsid w:val="00B82E84"/>
    <w:rsid w:val="00B84BE3"/>
    <w:rsid w:val="00B84E9D"/>
    <w:rsid w:val="00B85625"/>
    <w:rsid w:val="00B863F6"/>
    <w:rsid w:val="00B86532"/>
    <w:rsid w:val="00B86AAE"/>
    <w:rsid w:val="00B874CB"/>
    <w:rsid w:val="00B92A77"/>
    <w:rsid w:val="00B9397D"/>
    <w:rsid w:val="00B9767F"/>
    <w:rsid w:val="00B97D95"/>
    <w:rsid w:val="00BA0BF0"/>
    <w:rsid w:val="00BA383B"/>
    <w:rsid w:val="00BA3DFF"/>
    <w:rsid w:val="00BA59EC"/>
    <w:rsid w:val="00BA6091"/>
    <w:rsid w:val="00BA6BDE"/>
    <w:rsid w:val="00BA7E78"/>
    <w:rsid w:val="00BB0EA7"/>
    <w:rsid w:val="00BB1CA8"/>
    <w:rsid w:val="00BB2D75"/>
    <w:rsid w:val="00BB3DBA"/>
    <w:rsid w:val="00BB59F9"/>
    <w:rsid w:val="00BB5DAE"/>
    <w:rsid w:val="00BB64F0"/>
    <w:rsid w:val="00BB7250"/>
    <w:rsid w:val="00BC15B8"/>
    <w:rsid w:val="00BC2142"/>
    <w:rsid w:val="00BC2D10"/>
    <w:rsid w:val="00BC3D32"/>
    <w:rsid w:val="00BC5279"/>
    <w:rsid w:val="00BC5B67"/>
    <w:rsid w:val="00BC6627"/>
    <w:rsid w:val="00BC6C4E"/>
    <w:rsid w:val="00BC71A3"/>
    <w:rsid w:val="00BD0990"/>
    <w:rsid w:val="00BD0A88"/>
    <w:rsid w:val="00BD1086"/>
    <w:rsid w:val="00BD17E9"/>
    <w:rsid w:val="00BD23BD"/>
    <w:rsid w:val="00BD2EF8"/>
    <w:rsid w:val="00BD5341"/>
    <w:rsid w:val="00BD58A7"/>
    <w:rsid w:val="00BD5C0B"/>
    <w:rsid w:val="00BD7FF3"/>
    <w:rsid w:val="00BE1E33"/>
    <w:rsid w:val="00BE2251"/>
    <w:rsid w:val="00BE2AD3"/>
    <w:rsid w:val="00BE2B56"/>
    <w:rsid w:val="00BE36F7"/>
    <w:rsid w:val="00BE3C79"/>
    <w:rsid w:val="00BE3CD6"/>
    <w:rsid w:val="00BE4E4A"/>
    <w:rsid w:val="00BE50B7"/>
    <w:rsid w:val="00BE71BA"/>
    <w:rsid w:val="00BF1787"/>
    <w:rsid w:val="00BF2443"/>
    <w:rsid w:val="00BF4AE5"/>
    <w:rsid w:val="00BF4F8A"/>
    <w:rsid w:val="00BF7B9F"/>
    <w:rsid w:val="00BF7FC6"/>
    <w:rsid w:val="00C00831"/>
    <w:rsid w:val="00C00A9E"/>
    <w:rsid w:val="00C01306"/>
    <w:rsid w:val="00C02D09"/>
    <w:rsid w:val="00C030DA"/>
    <w:rsid w:val="00C03689"/>
    <w:rsid w:val="00C05EDB"/>
    <w:rsid w:val="00C064F4"/>
    <w:rsid w:val="00C069D0"/>
    <w:rsid w:val="00C103F8"/>
    <w:rsid w:val="00C110F6"/>
    <w:rsid w:val="00C11BCD"/>
    <w:rsid w:val="00C12201"/>
    <w:rsid w:val="00C13354"/>
    <w:rsid w:val="00C13418"/>
    <w:rsid w:val="00C1405A"/>
    <w:rsid w:val="00C142DC"/>
    <w:rsid w:val="00C16768"/>
    <w:rsid w:val="00C2075B"/>
    <w:rsid w:val="00C20A16"/>
    <w:rsid w:val="00C22412"/>
    <w:rsid w:val="00C247F3"/>
    <w:rsid w:val="00C24D6B"/>
    <w:rsid w:val="00C24EAC"/>
    <w:rsid w:val="00C25E14"/>
    <w:rsid w:val="00C26186"/>
    <w:rsid w:val="00C26260"/>
    <w:rsid w:val="00C2646C"/>
    <w:rsid w:val="00C266A5"/>
    <w:rsid w:val="00C26D65"/>
    <w:rsid w:val="00C2778C"/>
    <w:rsid w:val="00C31E96"/>
    <w:rsid w:val="00C31ED6"/>
    <w:rsid w:val="00C32446"/>
    <w:rsid w:val="00C33F31"/>
    <w:rsid w:val="00C40C84"/>
    <w:rsid w:val="00C417BD"/>
    <w:rsid w:val="00C44E14"/>
    <w:rsid w:val="00C4526C"/>
    <w:rsid w:val="00C46203"/>
    <w:rsid w:val="00C50B1B"/>
    <w:rsid w:val="00C525C7"/>
    <w:rsid w:val="00C52801"/>
    <w:rsid w:val="00C6210F"/>
    <w:rsid w:val="00C623AE"/>
    <w:rsid w:val="00C63CE5"/>
    <w:rsid w:val="00C63FB4"/>
    <w:rsid w:val="00C6607B"/>
    <w:rsid w:val="00C667C1"/>
    <w:rsid w:val="00C70C7D"/>
    <w:rsid w:val="00C71AE9"/>
    <w:rsid w:val="00C745C6"/>
    <w:rsid w:val="00C75D22"/>
    <w:rsid w:val="00C75DB8"/>
    <w:rsid w:val="00C76A82"/>
    <w:rsid w:val="00C76D92"/>
    <w:rsid w:val="00C77521"/>
    <w:rsid w:val="00C817CE"/>
    <w:rsid w:val="00C860C4"/>
    <w:rsid w:val="00C908EE"/>
    <w:rsid w:val="00C909D4"/>
    <w:rsid w:val="00C91299"/>
    <w:rsid w:val="00C92B82"/>
    <w:rsid w:val="00C956D0"/>
    <w:rsid w:val="00C964DE"/>
    <w:rsid w:val="00C96C57"/>
    <w:rsid w:val="00C97F69"/>
    <w:rsid w:val="00CA0586"/>
    <w:rsid w:val="00CA1428"/>
    <w:rsid w:val="00CA3C3B"/>
    <w:rsid w:val="00CA5790"/>
    <w:rsid w:val="00CA57E9"/>
    <w:rsid w:val="00CA634C"/>
    <w:rsid w:val="00CB004E"/>
    <w:rsid w:val="00CB0D87"/>
    <w:rsid w:val="00CB1EC1"/>
    <w:rsid w:val="00CB2797"/>
    <w:rsid w:val="00CB3625"/>
    <w:rsid w:val="00CB66A1"/>
    <w:rsid w:val="00CB7787"/>
    <w:rsid w:val="00CC1134"/>
    <w:rsid w:val="00CC37A5"/>
    <w:rsid w:val="00CC3C9A"/>
    <w:rsid w:val="00CC3DEC"/>
    <w:rsid w:val="00CD05DC"/>
    <w:rsid w:val="00CD35C7"/>
    <w:rsid w:val="00CD373C"/>
    <w:rsid w:val="00CD3C6F"/>
    <w:rsid w:val="00CD4694"/>
    <w:rsid w:val="00CD5DF3"/>
    <w:rsid w:val="00CD7DB3"/>
    <w:rsid w:val="00CE040F"/>
    <w:rsid w:val="00CE0751"/>
    <w:rsid w:val="00CE153F"/>
    <w:rsid w:val="00CE196C"/>
    <w:rsid w:val="00CE58C4"/>
    <w:rsid w:val="00CE6234"/>
    <w:rsid w:val="00CF183E"/>
    <w:rsid w:val="00CF1BB8"/>
    <w:rsid w:val="00CF207A"/>
    <w:rsid w:val="00CF326B"/>
    <w:rsid w:val="00CF3AB8"/>
    <w:rsid w:val="00CF478E"/>
    <w:rsid w:val="00CF5269"/>
    <w:rsid w:val="00CF56D7"/>
    <w:rsid w:val="00CF605F"/>
    <w:rsid w:val="00CF6C6F"/>
    <w:rsid w:val="00CF6CC0"/>
    <w:rsid w:val="00CF7291"/>
    <w:rsid w:val="00D051D2"/>
    <w:rsid w:val="00D058DF"/>
    <w:rsid w:val="00D0763E"/>
    <w:rsid w:val="00D103D2"/>
    <w:rsid w:val="00D12644"/>
    <w:rsid w:val="00D13774"/>
    <w:rsid w:val="00D14A23"/>
    <w:rsid w:val="00D1531B"/>
    <w:rsid w:val="00D15EAB"/>
    <w:rsid w:val="00D162D5"/>
    <w:rsid w:val="00D165DC"/>
    <w:rsid w:val="00D20E66"/>
    <w:rsid w:val="00D22702"/>
    <w:rsid w:val="00D22CDB"/>
    <w:rsid w:val="00D230CE"/>
    <w:rsid w:val="00D2333F"/>
    <w:rsid w:val="00D2341A"/>
    <w:rsid w:val="00D237A9"/>
    <w:rsid w:val="00D24140"/>
    <w:rsid w:val="00D24682"/>
    <w:rsid w:val="00D24F06"/>
    <w:rsid w:val="00D25059"/>
    <w:rsid w:val="00D25877"/>
    <w:rsid w:val="00D25AEF"/>
    <w:rsid w:val="00D349EE"/>
    <w:rsid w:val="00D3779A"/>
    <w:rsid w:val="00D404BB"/>
    <w:rsid w:val="00D421E8"/>
    <w:rsid w:val="00D43ADB"/>
    <w:rsid w:val="00D43ECF"/>
    <w:rsid w:val="00D44F85"/>
    <w:rsid w:val="00D458A7"/>
    <w:rsid w:val="00D516F2"/>
    <w:rsid w:val="00D5473B"/>
    <w:rsid w:val="00D56763"/>
    <w:rsid w:val="00D56766"/>
    <w:rsid w:val="00D56CC4"/>
    <w:rsid w:val="00D56D47"/>
    <w:rsid w:val="00D6064B"/>
    <w:rsid w:val="00D6203C"/>
    <w:rsid w:val="00D62755"/>
    <w:rsid w:val="00D644D8"/>
    <w:rsid w:val="00D648B0"/>
    <w:rsid w:val="00D7088A"/>
    <w:rsid w:val="00D70FB4"/>
    <w:rsid w:val="00D7261D"/>
    <w:rsid w:val="00D7339F"/>
    <w:rsid w:val="00D74A1C"/>
    <w:rsid w:val="00D75BD6"/>
    <w:rsid w:val="00D76E57"/>
    <w:rsid w:val="00D815C1"/>
    <w:rsid w:val="00D822D9"/>
    <w:rsid w:val="00D82BE3"/>
    <w:rsid w:val="00D838D1"/>
    <w:rsid w:val="00D83A95"/>
    <w:rsid w:val="00D843FF"/>
    <w:rsid w:val="00D84DC5"/>
    <w:rsid w:val="00D84E0C"/>
    <w:rsid w:val="00D850C8"/>
    <w:rsid w:val="00D85C85"/>
    <w:rsid w:val="00D86FEA"/>
    <w:rsid w:val="00D87665"/>
    <w:rsid w:val="00D87808"/>
    <w:rsid w:val="00D9082A"/>
    <w:rsid w:val="00D923D3"/>
    <w:rsid w:val="00D92F6C"/>
    <w:rsid w:val="00D93CB6"/>
    <w:rsid w:val="00D94238"/>
    <w:rsid w:val="00D942A5"/>
    <w:rsid w:val="00D957CF"/>
    <w:rsid w:val="00D95879"/>
    <w:rsid w:val="00D95C0B"/>
    <w:rsid w:val="00D961FC"/>
    <w:rsid w:val="00D97A6B"/>
    <w:rsid w:val="00DA2FA3"/>
    <w:rsid w:val="00DA34D9"/>
    <w:rsid w:val="00DA43AF"/>
    <w:rsid w:val="00DA585A"/>
    <w:rsid w:val="00DA5C6B"/>
    <w:rsid w:val="00DA681A"/>
    <w:rsid w:val="00DB23F5"/>
    <w:rsid w:val="00DB3F57"/>
    <w:rsid w:val="00DB4079"/>
    <w:rsid w:val="00DB5EE5"/>
    <w:rsid w:val="00DB6988"/>
    <w:rsid w:val="00DB7208"/>
    <w:rsid w:val="00DB751D"/>
    <w:rsid w:val="00DC0138"/>
    <w:rsid w:val="00DC01BF"/>
    <w:rsid w:val="00DC0F98"/>
    <w:rsid w:val="00DC1080"/>
    <w:rsid w:val="00DC10EA"/>
    <w:rsid w:val="00DC1941"/>
    <w:rsid w:val="00DC1FAD"/>
    <w:rsid w:val="00DC22C6"/>
    <w:rsid w:val="00DC4BB8"/>
    <w:rsid w:val="00DC4EAD"/>
    <w:rsid w:val="00DC59FA"/>
    <w:rsid w:val="00DC679E"/>
    <w:rsid w:val="00DC7C2C"/>
    <w:rsid w:val="00DD0E98"/>
    <w:rsid w:val="00DD17C8"/>
    <w:rsid w:val="00DD1A92"/>
    <w:rsid w:val="00DD265C"/>
    <w:rsid w:val="00DD2D2E"/>
    <w:rsid w:val="00DD3481"/>
    <w:rsid w:val="00DD5DFC"/>
    <w:rsid w:val="00DE0A9A"/>
    <w:rsid w:val="00DE0E26"/>
    <w:rsid w:val="00DE3047"/>
    <w:rsid w:val="00DE3592"/>
    <w:rsid w:val="00DE3F5F"/>
    <w:rsid w:val="00DE5699"/>
    <w:rsid w:val="00DE6220"/>
    <w:rsid w:val="00DE64DE"/>
    <w:rsid w:val="00DE70DC"/>
    <w:rsid w:val="00DE7AB4"/>
    <w:rsid w:val="00DF00DD"/>
    <w:rsid w:val="00DF0661"/>
    <w:rsid w:val="00DF0B19"/>
    <w:rsid w:val="00DF2541"/>
    <w:rsid w:val="00DF2F9C"/>
    <w:rsid w:val="00DF4D86"/>
    <w:rsid w:val="00DF5983"/>
    <w:rsid w:val="00DF5FDD"/>
    <w:rsid w:val="00DF6644"/>
    <w:rsid w:val="00DF6A51"/>
    <w:rsid w:val="00DF6CF7"/>
    <w:rsid w:val="00DF7033"/>
    <w:rsid w:val="00DF7BCF"/>
    <w:rsid w:val="00DF7EC8"/>
    <w:rsid w:val="00DF7F6E"/>
    <w:rsid w:val="00E0053A"/>
    <w:rsid w:val="00E01D84"/>
    <w:rsid w:val="00E01E05"/>
    <w:rsid w:val="00E030B1"/>
    <w:rsid w:val="00E03290"/>
    <w:rsid w:val="00E0556E"/>
    <w:rsid w:val="00E06637"/>
    <w:rsid w:val="00E11787"/>
    <w:rsid w:val="00E137BB"/>
    <w:rsid w:val="00E148FD"/>
    <w:rsid w:val="00E152F3"/>
    <w:rsid w:val="00E16A21"/>
    <w:rsid w:val="00E16A8F"/>
    <w:rsid w:val="00E16D8B"/>
    <w:rsid w:val="00E17AA0"/>
    <w:rsid w:val="00E204B4"/>
    <w:rsid w:val="00E21549"/>
    <w:rsid w:val="00E221EC"/>
    <w:rsid w:val="00E224A4"/>
    <w:rsid w:val="00E23367"/>
    <w:rsid w:val="00E23A7D"/>
    <w:rsid w:val="00E30022"/>
    <w:rsid w:val="00E30B8F"/>
    <w:rsid w:val="00E30C6B"/>
    <w:rsid w:val="00E3199C"/>
    <w:rsid w:val="00E335B3"/>
    <w:rsid w:val="00E33680"/>
    <w:rsid w:val="00E33820"/>
    <w:rsid w:val="00E34A66"/>
    <w:rsid w:val="00E35B0E"/>
    <w:rsid w:val="00E378F5"/>
    <w:rsid w:val="00E40D62"/>
    <w:rsid w:val="00E42425"/>
    <w:rsid w:val="00E47F40"/>
    <w:rsid w:val="00E5174D"/>
    <w:rsid w:val="00E52B90"/>
    <w:rsid w:val="00E53A9A"/>
    <w:rsid w:val="00E53ED1"/>
    <w:rsid w:val="00E5460B"/>
    <w:rsid w:val="00E54BB4"/>
    <w:rsid w:val="00E575A6"/>
    <w:rsid w:val="00E62E6F"/>
    <w:rsid w:val="00E6312F"/>
    <w:rsid w:val="00E63ADB"/>
    <w:rsid w:val="00E64758"/>
    <w:rsid w:val="00E64988"/>
    <w:rsid w:val="00E64A38"/>
    <w:rsid w:val="00E650D8"/>
    <w:rsid w:val="00E664DA"/>
    <w:rsid w:val="00E66D53"/>
    <w:rsid w:val="00E674C5"/>
    <w:rsid w:val="00E70E72"/>
    <w:rsid w:val="00E75356"/>
    <w:rsid w:val="00E756AC"/>
    <w:rsid w:val="00E774AD"/>
    <w:rsid w:val="00E824C0"/>
    <w:rsid w:val="00E8381A"/>
    <w:rsid w:val="00E84004"/>
    <w:rsid w:val="00E85358"/>
    <w:rsid w:val="00E861B6"/>
    <w:rsid w:val="00E8653E"/>
    <w:rsid w:val="00E86F8F"/>
    <w:rsid w:val="00E87596"/>
    <w:rsid w:val="00E87794"/>
    <w:rsid w:val="00E87D6E"/>
    <w:rsid w:val="00E915B4"/>
    <w:rsid w:val="00E91F8B"/>
    <w:rsid w:val="00E9217A"/>
    <w:rsid w:val="00E926E3"/>
    <w:rsid w:val="00E95578"/>
    <w:rsid w:val="00E96422"/>
    <w:rsid w:val="00E9748F"/>
    <w:rsid w:val="00EA08EA"/>
    <w:rsid w:val="00EA0B70"/>
    <w:rsid w:val="00EA2206"/>
    <w:rsid w:val="00EA3B7D"/>
    <w:rsid w:val="00EA4081"/>
    <w:rsid w:val="00EA44AB"/>
    <w:rsid w:val="00EA5A59"/>
    <w:rsid w:val="00EB0051"/>
    <w:rsid w:val="00EB05E2"/>
    <w:rsid w:val="00EB0DF3"/>
    <w:rsid w:val="00EB28A8"/>
    <w:rsid w:val="00EB32F2"/>
    <w:rsid w:val="00EB3D8F"/>
    <w:rsid w:val="00EB42D3"/>
    <w:rsid w:val="00EB5061"/>
    <w:rsid w:val="00EB5184"/>
    <w:rsid w:val="00EB51C9"/>
    <w:rsid w:val="00EB67D6"/>
    <w:rsid w:val="00EB79B1"/>
    <w:rsid w:val="00EC092E"/>
    <w:rsid w:val="00EC1362"/>
    <w:rsid w:val="00EC149A"/>
    <w:rsid w:val="00EC1F05"/>
    <w:rsid w:val="00EC2129"/>
    <w:rsid w:val="00EC2287"/>
    <w:rsid w:val="00EC28A2"/>
    <w:rsid w:val="00EC2D8F"/>
    <w:rsid w:val="00EC317B"/>
    <w:rsid w:val="00ED0FE3"/>
    <w:rsid w:val="00ED1F11"/>
    <w:rsid w:val="00ED2119"/>
    <w:rsid w:val="00ED2621"/>
    <w:rsid w:val="00ED3B2F"/>
    <w:rsid w:val="00ED3EF0"/>
    <w:rsid w:val="00ED5E06"/>
    <w:rsid w:val="00EE121F"/>
    <w:rsid w:val="00EE2707"/>
    <w:rsid w:val="00EE432A"/>
    <w:rsid w:val="00EF1295"/>
    <w:rsid w:val="00EF1AAE"/>
    <w:rsid w:val="00EF2CA6"/>
    <w:rsid w:val="00EF3A6E"/>
    <w:rsid w:val="00EF4DC4"/>
    <w:rsid w:val="00EF52F2"/>
    <w:rsid w:val="00EF553C"/>
    <w:rsid w:val="00EF7592"/>
    <w:rsid w:val="00F039B1"/>
    <w:rsid w:val="00F0422A"/>
    <w:rsid w:val="00F0523A"/>
    <w:rsid w:val="00F0717E"/>
    <w:rsid w:val="00F102C0"/>
    <w:rsid w:val="00F117B1"/>
    <w:rsid w:val="00F12D75"/>
    <w:rsid w:val="00F134F9"/>
    <w:rsid w:val="00F1636F"/>
    <w:rsid w:val="00F17632"/>
    <w:rsid w:val="00F17AD4"/>
    <w:rsid w:val="00F218E0"/>
    <w:rsid w:val="00F21DDD"/>
    <w:rsid w:val="00F22672"/>
    <w:rsid w:val="00F23CE5"/>
    <w:rsid w:val="00F24382"/>
    <w:rsid w:val="00F24C62"/>
    <w:rsid w:val="00F24F9F"/>
    <w:rsid w:val="00F25A85"/>
    <w:rsid w:val="00F25CE2"/>
    <w:rsid w:val="00F267C7"/>
    <w:rsid w:val="00F26DB6"/>
    <w:rsid w:val="00F27497"/>
    <w:rsid w:val="00F27E56"/>
    <w:rsid w:val="00F30366"/>
    <w:rsid w:val="00F31211"/>
    <w:rsid w:val="00F33F55"/>
    <w:rsid w:val="00F34138"/>
    <w:rsid w:val="00F346BF"/>
    <w:rsid w:val="00F34863"/>
    <w:rsid w:val="00F3642B"/>
    <w:rsid w:val="00F36FC3"/>
    <w:rsid w:val="00F3784C"/>
    <w:rsid w:val="00F379D7"/>
    <w:rsid w:val="00F40221"/>
    <w:rsid w:val="00F411B8"/>
    <w:rsid w:val="00F41276"/>
    <w:rsid w:val="00F418A2"/>
    <w:rsid w:val="00F4230D"/>
    <w:rsid w:val="00F44173"/>
    <w:rsid w:val="00F4425E"/>
    <w:rsid w:val="00F45997"/>
    <w:rsid w:val="00F45AC6"/>
    <w:rsid w:val="00F464FA"/>
    <w:rsid w:val="00F47FCE"/>
    <w:rsid w:val="00F501D2"/>
    <w:rsid w:val="00F5266F"/>
    <w:rsid w:val="00F52E42"/>
    <w:rsid w:val="00F53123"/>
    <w:rsid w:val="00F55428"/>
    <w:rsid w:val="00F55AB2"/>
    <w:rsid w:val="00F55C60"/>
    <w:rsid w:val="00F56447"/>
    <w:rsid w:val="00F573FF"/>
    <w:rsid w:val="00F619ED"/>
    <w:rsid w:val="00F61FCE"/>
    <w:rsid w:val="00F6208B"/>
    <w:rsid w:val="00F62FAD"/>
    <w:rsid w:val="00F64055"/>
    <w:rsid w:val="00F645CD"/>
    <w:rsid w:val="00F64BF6"/>
    <w:rsid w:val="00F65777"/>
    <w:rsid w:val="00F659B8"/>
    <w:rsid w:val="00F67011"/>
    <w:rsid w:val="00F67761"/>
    <w:rsid w:val="00F710C6"/>
    <w:rsid w:val="00F71FF8"/>
    <w:rsid w:val="00F72327"/>
    <w:rsid w:val="00F75CC9"/>
    <w:rsid w:val="00F8284E"/>
    <w:rsid w:val="00F828DB"/>
    <w:rsid w:val="00F834B2"/>
    <w:rsid w:val="00F848D2"/>
    <w:rsid w:val="00F87FD4"/>
    <w:rsid w:val="00F90890"/>
    <w:rsid w:val="00F911E4"/>
    <w:rsid w:val="00F923A2"/>
    <w:rsid w:val="00F9343D"/>
    <w:rsid w:val="00F93C62"/>
    <w:rsid w:val="00F9481A"/>
    <w:rsid w:val="00F964FD"/>
    <w:rsid w:val="00F96AB1"/>
    <w:rsid w:val="00F97692"/>
    <w:rsid w:val="00F9783F"/>
    <w:rsid w:val="00F978B3"/>
    <w:rsid w:val="00FA0932"/>
    <w:rsid w:val="00FA2523"/>
    <w:rsid w:val="00FA282C"/>
    <w:rsid w:val="00FA4FB1"/>
    <w:rsid w:val="00FA547C"/>
    <w:rsid w:val="00FA55F0"/>
    <w:rsid w:val="00FA627E"/>
    <w:rsid w:val="00FA64F7"/>
    <w:rsid w:val="00FA6BBB"/>
    <w:rsid w:val="00FA7068"/>
    <w:rsid w:val="00FB0C45"/>
    <w:rsid w:val="00FB0CCD"/>
    <w:rsid w:val="00FB44F1"/>
    <w:rsid w:val="00FB603A"/>
    <w:rsid w:val="00FB64EB"/>
    <w:rsid w:val="00FC194C"/>
    <w:rsid w:val="00FC3C38"/>
    <w:rsid w:val="00FC6D39"/>
    <w:rsid w:val="00FC755D"/>
    <w:rsid w:val="00FD17AB"/>
    <w:rsid w:val="00FD2124"/>
    <w:rsid w:val="00FD376E"/>
    <w:rsid w:val="00FD4AF2"/>
    <w:rsid w:val="00FD66CF"/>
    <w:rsid w:val="00FD6A1D"/>
    <w:rsid w:val="00FD724A"/>
    <w:rsid w:val="00FE00F9"/>
    <w:rsid w:val="00FE1B8F"/>
    <w:rsid w:val="00FE22E3"/>
    <w:rsid w:val="00FE3DFF"/>
    <w:rsid w:val="00FE5B90"/>
    <w:rsid w:val="00FE7C7D"/>
    <w:rsid w:val="00FF0CEE"/>
    <w:rsid w:val="00FF3341"/>
    <w:rsid w:val="00FF3423"/>
    <w:rsid w:val="00FF34F7"/>
    <w:rsid w:val="00FF3519"/>
    <w:rsid w:val="00FF3804"/>
    <w:rsid w:val="00FF4D95"/>
    <w:rsid w:val="00FF5472"/>
    <w:rsid w:val="00FF780B"/>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50F1F1"/>
  <w15:chartTrackingRefBased/>
  <w15:docId w15:val="{BC932481-D884-4528-9B02-C5C5F77CC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487C"/>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8C487C"/>
    <w:pPr>
      <w:tabs>
        <w:tab w:val="center" w:pos="4419"/>
        <w:tab w:val="right" w:pos="8838"/>
      </w:tabs>
    </w:pPr>
  </w:style>
  <w:style w:type="character" w:customStyle="1" w:styleId="PiedepginaCar">
    <w:name w:val="Pie de página Car"/>
    <w:basedOn w:val="Fuentedeprrafopredeter"/>
    <w:link w:val="Piedepgina"/>
    <w:uiPriority w:val="99"/>
    <w:rsid w:val="008C487C"/>
    <w:rPr>
      <w:sz w:val="24"/>
      <w:lang w:val="es-MX"/>
    </w:rPr>
  </w:style>
  <w:style w:type="paragraph" w:styleId="Encabezado">
    <w:name w:val="header"/>
    <w:basedOn w:val="Normal"/>
    <w:link w:val="EncabezadoCar"/>
    <w:uiPriority w:val="99"/>
    <w:unhideWhenUsed/>
    <w:rsid w:val="008C487C"/>
    <w:pPr>
      <w:tabs>
        <w:tab w:val="center" w:pos="4252"/>
        <w:tab w:val="right" w:pos="8504"/>
      </w:tabs>
    </w:pPr>
  </w:style>
  <w:style w:type="character" w:customStyle="1" w:styleId="EncabezadoCar">
    <w:name w:val="Encabezado Car"/>
    <w:basedOn w:val="Fuentedeprrafopredeter"/>
    <w:link w:val="Encabezado"/>
    <w:uiPriority w:val="99"/>
    <w:rsid w:val="008C487C"/>
    <w:rPr>
      <w:sz w:val="24"/>
      <w:lang w:val="es-MX"/>
    </w:rPr>
  </w:style>
  <w:style w:type="table" w:styleId="Tablaconcuadrcula">
    <w:name w:val="Table Grid"/>
    <w:basedOn w:val="Tablanormal"/>
    <w:uiPriority w:val="39"/>
    <w:rsid w:val="008C48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8C487C"/>
    <w:pPr>
      <w:ind w:left="720"/>
      <w:contextualSpacing/>
    </w:pPr>
  </w:style>
  <w:style w:type="paragraph" w:styleId="Sinespaciado">
    <w:name w:val="No Spacing"/>
    <w:aliases w:val="No Indent"/>
    <w:uiPriority w:val="3"/>
    <w:qFormat/>
    <w:rsid w:val="008C487C"/>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8C487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R"/>
    <w:basedOn w:val="Normal"/>
    <w:link w:val="TextonotapieCar"/>
    <w:uiPriority w:val="99"/>
    <w:unhideWhenUsed/>
    <w:qFormat/>
    <w:rsid w:val="008C487C"/>
    <w:rPr>
      <w:sz w:val="20"/>
      <w:szCs w:val="20"/>
    </w:rPr>
  </w:style>
  <w:style w:type="character" w:customStyle="1" w:styleId="TextonotapieCar1">
    <w:name w:val="Texto nota pie Car1"/>
    <w:basedOn w:val="Fuentedeprrafopredeter"/>
    <w:uiPriority w:val="99"/>
    <w:semiHidden/>
    <w:rsid w:val="008C487C"/>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C487C"/>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8C487C"/>
    <w:rPr>
      <w:vertAlign w:val="superscript"/>
    </w:rPr>
  </w:style>
  <w:style w:type="character" w:styleId="Hipervnculo">
    <w:name w:val="Hyperlink"/>
    <w:basedOn w:val="Fuentedeprrafopredeter"/>
    <w:uiPriority w:val="99"/>
    <w:unhideWhenUsed/>
    <w:rsid w:val="008C487C"/>
    <w:rPr>
      <w:color w:val="0563C1" w:themeColor="hyperlink"/>
      <w:u w:val="single"/>
    </w:rPr>
  </w:style>
  <w:style w:type="paragraph" w:styleId="Textodeglobo">
    <w:name w:val="Balloon Text"/>
    <w:basedOn w:val="Normal"/>
    <w:link w:val="TextodegloboCar"/>
    <w:uiPriority w:val="99"/>
    <w:semiHidden/>
    <w:unhideWhenUsed/>
    <w:rsid w:val="00B6529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65290"/>
    <w:rPr>
      <w:rFonts w:ascii="Segoe UI" w:hAnsi="Segoe UI" w:cs="Segoe UI"/>
      <w:sz w:val="18"/>
      <w:szCs w:val="18"/>
      <w:lang w:val="es-MX"/>
    </w:rPr>
  </w:style>
  <w:style w:type="paragraph" w:customStyle="1" w:styleId="Default">
    <w:name w:val="Default"/>
    <w:rsid w:val="00430B5A"/>
    <w:pPr>
      <w:autoSpaceDE w:val="0"/>
      <w:autoSpaceDN w:val="0"/>
      <w:adjustRightInd w:val="0"/>
      <w:spacing w:after="0" w:line="240" w:lineRule="auto"/>
    </w:pPr>
    <w:rPr>
      <w:rFonts w:ascii="Arial" w:hAnsi="Arial" w:cs="Arial"/>
      <w:color w:val="000000"/>
      <w:sz w:val="24"/>
      <w:szCs w:val="24"/>
      <w:lang w:val="es-MX"/>
    </w:rPr>
  </w:style>
  <w:style w:type="character" w:customStyle="1" w:styleId="Mencinsinresolver1">
    <w:name w:val="Mención sin resolver1"/>
    <w:basedOn w:val="Fuentedeprrafopredeter"/>
    <w:uiPriority w:val="99"/>
    <w:semiHidden/>
    <w:unhideWhenUsed/>
    <w:rsid w:val="00BE2AD3"/>
    <w:rPr>
      <w:color w:val="605E5C"/>
      <w:shd w:val="clear" w:color="auto" w:fill="E1DFDD"/>
    </w:rPr>
  </w:style>
  <w:style w:type="paragraph" w:customStyle="1" w:styleId="InviasNormal">
    <w:name w:val="Invias Normal"/>
    <w:basedOn w:val="Normal"/>
    <w:link w:val="InviasNormalCar"/>
    <w:qFormat/>
    <w:rsid w:val="00BE1E33"/>
    <w:pPr>
      <w:tabs>
        <w:tab w:val="left" w:pos="-142"/>
      </w:tabs>
      <w:autoSpaceDE w:val="0"/>
      <w:autoSpaceDN w:val="0"/>
      <w:adjustRightInd w:val="0"/>
      <w:spacing w:before="120" w:after="240"/>
      <w:jc w:val="both"/>
    </w:pPr>
    <w:rPr>
      <w:rFonts w:ascii="Arial Narrow" w:eastAsia="Times New Roman" w:hAnsi="Arial Narrow" w:cs="Times New Roman"/>
      <w:color w:val="3B3838" w:themeColor="background2" w:themeShade="40"/>
      <w:szCs w:val="24"/>
      <w:lang w:val="x-none" w:eastAsia="es-ES"/>
    </w:rPr>
  </w:style>
  <w:style w:type="character" w:customStyle="1" w:styleId="InviasNormalCar">
    <w:name w:val="Invias Normal Car"/>
    <w:link w:val="InviasNormal"/>
    <w:locked/>
    <w:rsid w:val="00BE1E33"/>
    <w:rPr>
      <w:rFonts w:ascii="Arial Narrow" w:eastAsia="Times New Roman" w:hAnsi="Arial Narrow" w:cs="Times New Roman"/>
      <w:color w:val="3B3838" w:themeColor="background2" w:themeShade="40"/>
      <w:sz w:val="24"/>
      <w:szCs w:val="24"/>
      <w:lang w:val="x-none" w:eastAsia="es-ES"/>
    </w:rPr>
  </w:style>
  <w:style w:type="paragraph" w:customStyle="1" w:styleId="Invias-VietaNumerada">
    <w:name w:val="Invias-Viñeta Numerada"/>
    <w:next w:val="Normal"/>
    <w:link w:val="Invias-VietaNumeradaCar"/>
    <w:uiPriority w:val="99"/>
    <w:qFormat/>
    <w:rsid w:val="00BE1E33"/>
    <w:pPr>
      <w:spacing w:before="240" w:after="120" w:line="240" w:lineRule="auto"/>
      <w:jc w:val="both"/>
    </w:pPr>
    <w:rPr>
      <w:rFonts w:ascii="Arial Narrow" w:eastAsia="Times New Roman" w:hAnsi="Arial Narrow" w:cs="Times New Roman"/>
      <w:sz w:val="24"/>
      <w:szCs w:val="24"/>
      <w:lang w:val="en-US" w:eastAsia="es-ES"/>
    </w:rPr>
  </w:style>
  <w:style w:type="character" w:customStyle="1" w:styleId="Invias-VietaNumeradaCar">
    <w:name w:val="Invias-Viñeta Numerada Car"/>
    <w:link w:val="Invias-VietaNumerada"/>
    <w:uiPriority w:val="99"/>
    <w:locked/>
    <w:rsid w:val="00BE1E33"/>
    <w:rPr>
      <w:rFonts w:ascii="Arial Narrow" w:eastAsia="Times New Roman" w:hAnsi="Arial Narrow" w:cs="Times New Roman"/>
      <w:sz w:val="24"/>
      <w:szCs w:val="24"/>
      <w:lang w:val="en-US" w:eastAsia="es-ES"/>
    </w:rPr>
  </w:style>
  <w:style w:type="character" w:styleId="Refdecomentario">
    <w:name w:val="annotation reference"/>
    <w:basedOn w:val="Fuentedeprrafopredeter"/>
    <w:uiPriority w:val="99"/>
    <w:semiHidden/>
    <w:unhideWhenUsed/>
    <w:rsid w:val="006C15D5"/>
    <w:rPr>
      <w:sz w:val="16"/>
      <w:szCs w:val="16"/>
    </w:rPr>
  </w:style>
  <w:style w:type="paragraph" w:styleId="Textocomentario">
    <w:name w:val="annotation text"/>
    <w:basedOn w:val="Normal"/>
    <w:link w:val="TextocomentarioCar"/>
    <w:uiPriority w:val="99"/>
    <w:unhideWhenUsed/>
    <w:rsid w:val="006C15D5"/>
    <w:rPr>
      <w:sz w:val="20"/>
      <w:szCs w:val="20"/>
    </w:rPr>
  </w:style>
  <w:style w:type="character" w:customStyle="1" w:styleId="TextocomentarioCar">
    <w:name w:val="Texto comentario Car"/>
    <w:basedOn w:val="Fuentedeprrafopredeter"/>
    <w:link w:val="Textocomentario"/>
    <w:uiPriority w:val="99"/>
    <w:rsid w:val="006C15D5"/>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6C15D5"/>
    <w:rPr>
      <w:b/>
      <w:bCs/>
    </w:rPr>
  </w:style>
  <w:style w:type="character" w:customStyle="1" w:styleId="AsuntodelcomentarioCar">
    <w:name w:val="Asunto del comentario Car"/>
    <w:basedOn w:val="TextocomentarioCar"/>
    <w:link w:val="Asuntodelcomentario"/>
    <w:uiPriority w:val="99"/>
    <w:semiHidden/>
    <w:rsid w:val="006C15D5"/>
    <w:rPr>
      <w:b/>
      <w:bCs/>
      <w:sz w:val="20"/>
      <w:szCs w:val="20"/>
      <w:lang w:val="es-MX"/>
    </w:rPr>
  </w:style>
  <w:style w:type="paragraph" w:styleId="NormalWeb">
    <w:name w:val="Normal (Web)"/>
    <w:basedOn w:val="Normal"/>
    <w:link w:val="NormalWebCar"/>
    <w:uiPriority w:val="99"/>
    <w:unhideWhenUsed/>
    <w:rsid w:val="00E17AA0"/>
    <w:pPr>
      <w:spacing w:before="100" w:beforeAutospacing="1" w:after="100" w:afterAutospacing="1"/>
    </w:pPr>
    <w:rPr>
      <w:rFonts w:ascii="Times New Roman" w:eastAsia="Times New Roman" w:hAnsi="Times New Roman" w:cs="Times New Roman"/>
      <w:szCs w:val="24"/>
      <w:lang w:val="es-CO" w:eastAsia="es-ES_tradnl"/>
    </w:rPr>
  </w:style>
  <w:style w:type="paragraph" w:styleId="Revisin">
    <w:name w:val="Revision"/>
    <w:hidden/>
    <w:uiPriority w:val="99"/>
    <w:semiHidden/>
    <w:rsid w:val="006062E0"/>
    <w:pPr>
      <w:spacing w:after="0" w:line="240" w:lineRule="auto"/>
    </w:pPr>
    <w:rPr>
      <w:sz w:val="24"/>
      <w:lang w:val="es-MX"/>
    </w:rPr>
  </w:style>
  <w:style w:type="paragraph" w:styleId="Textonotaalfinal">
    <w:name w:val="endnote text"/>
    <w:basedOn w:val="Normal"/>
    <w:link w:val="TextonotaalfinalCar"/>
    <w:uiPriority w:val="99"/>
    <w:semiHidden/>
    <w:unhideWhenUsed/>
    <w:rsid w:val="00B63A7D"/>
    <w:rPr>
      <w:sz w:val="20"/>
      <w:szCs w:val="20"/>
    </w:rPr>
  </w:style>
  <w:style w:type="character" w:customStyle="1" w:styleId="TextonotaalfinalCar">
    <w:name w:val="Texto nota al final Car"/>
    <w:basedOn w:val="Fuentedeprrafopredeter"/>
    <w:link w:val="Textonotaalfinal"/>
    <w:uiPriority w:val="99"/>
    <w:semiHidden/>
    <w:rsid w:val="00B63A7D"/>
    <w:rPr>
      <w:sz w:val="20"/>
      <w:szCs w:val="20"/>
      <w:lang w:val="es-MX"/>
    </w:rPr>
  </w:style>
  <w:style w:type="character" w:styleId="Refdenotaalfinal">
    <w:name w:val="endnote reference"/>
    <w:basedOn w:val="Fuentedeprrafopredeter"/>
    <w:uiPriority w:val="99"/>
    <w:semiHidden/>
    <w:unhideWhenUsed/>
    <w:rsid w:val="00B63A7D"/>
    <w:rPr>
      <w:vertAlign w:val="superscript"/>
    </w:rPr>
  </w:style>
  <w:style w:type="paragraph" w:styleId="Textoindependiente">
    <w:name w:val="Body Text"/>
    <w:basedOn w:val="Normal"/>
    <w:link w:val="TextoindependienteCar"/>
    <w:uiPriority w:val="1"/>
    <w:qFormat/>
    <w:rsid w:val="00B26E57"/>
    <w:pPr>
      <w:widowControl w:val="0"/>
      <w:autoSpaceDE w:val="0"/>
      <w:autoSpaceDN w:val="0"/>
    </w:pPr>
    <w:rPr>
      <w:rFonts w:ascii="Arial" w:eastAsia="Arial" w:hAnsi="Arial" w:cs="Arial"/>
      <w:sz w:val="22"/>
      <w:lang w:val="es-ES"/>
    </w:rPr>
  </w:style>
  <w:style w:type="character" w:customStyle="1" w:styleId="TextoindependienteCar">
    <w:name w:val="Texto independiente Car"/>
    <w:basedOn w:val="Fuentedeprrafopredeter"/>
    <w:link w:val="Textoindependiente"/>
    <w:uiPriority w:val="1"/>
    <w:rsid w:val="00B26E57"/>
    <w:rPr>
      <w:rFonts w:ascii="Arial" w:eastAsia="Arial" w:hAnsi="Arial" w:cs="Arial"/>
      <w:lang w:val="es-ES"/>
    </w:rPr>
  </w:style>
  <w:style w:type="character" w:customStyle="1" w:styleId="normaltextrun">
    <w:name w:val="normaltextrun"/>
    <w:basedOn w:val="Fuentedeprrafopredeter"/>
    <w:rsid w:val="00F964FD"/>
  </w:style>
  <w:style w:type="paragraph" w:customStyle="1" w:styleId="Appelnotedebasde">
    <w:name w:val="Appel note de bas de..."/>
    <w:basedOn w:val="Normal"/>
    <w:link w:val="Refdenotaalpie"/>
    <w:uiPriority w:val="99"/>
    <w:rsid w:val="009223EA"/>
    <w:pPr>
      <w:spacing w:after="160" w:line="240" w:lineRule="exact"/>
    </w:pPr>
    <w:rPr>
      <w:sz w:val="22"/>
      <w:vertAlign w:val="superscript"/>
      <w:lang w:val="es-CO"/>
    </w:rPr>
  </w:style>
  <w:style w:type="paragraph" w:customStyle="1" w:styleId="Textoindependiente21">
    <w:name w:val="Texto independiente 21"/>
    <w:basedOn w:val="Normal"/>
    <w:rsid w:val="00CE153F"/>
    <w:pPr>
      <w:overflowPunct w:val="0"/>
      <w:autoSpaceDE w:val="0"/>
      <w:autoSpaceDN w:val="0"/>
      <w:adjustRightInd w:val="0"/>
      <w:spacing w:line="360" w:lineRule="auto"/>
      <w:ind w:firstLine="710"/>
      <w:jc w:val="both"/>
      <w:textAlignment w:val="baseline"/>
    </w:pPr>
    <w:rPr>
      <w:rFonts w:ascii="Arial" w:eastAsia="Times New Roman" w:hAnsi="Arial" w:cs="Times New Roman"/>
      <w:szCs w:val="20"/>
      <w:lang w:val="es-CO" w:eastAsia="es-ES"/>
    </w:rPr>
  </w:style>
  <w:style w:type="character" w:styleId="Textoennegrita">
    <w:name w:val="Strong"/>
    <w:uiPriority w:val="22"/>
    <w:qFormat/>
    <w:rsid w:val="005409D3"/>
    <w:rPr>
      <w:b/>
      <w:bCs/>
    </w:rPr>
  </w:style>
  <w:style w:type="table" w:customStyle="1" w:styleId="Tablaconcuadrcula2">
    <w:name w:val="Tabla con cuadrícula2"/>
    <w:basedOn w:val="Tablanormal"/>
    <w:next w:val="Tablaconcuadrcula"/>
    <w:uiPriority w:val="39"/>
    <w:rsid w:val="00CF60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j">
    <w:name w:val="b_aj"/>
    <w:basedOn w:val="Fuentedeprrafopredeter"/>
    <w:rsid w:val="006A1142"/>
  </w:style>
  <w:style w:type="character" w:styleId="nfasis">
    <w:name w:val="Emphasis"/>
    <w:basedOn w:val="Fuentedeprrafopredeter"/>
    <w:uiPriority w:val="20"/>
    <w:qFormat/>
    <w:rsid w:val="00D56CC4"/>
    <w:rPr>
      <w:i/>
      <w:iCs/>
    </w:rPr>
  </w:style>
  <w:style w:type="character" w:customStyle="1" w:styleId="NormalWebCar">
    <w:name w:val="Normal (Web) Car"/>
    <w:link w:val="NormalWeb"/>
    <w:uiPriority w:val="99"/>
    <w:rsid w:val="00D56CC4"/>
    <w:rPr>
      <w:rFonts w:ascii="Times New Roman" w:eastAsia="Times New Roman" w:hAnsi="Times New Roman" w:cs="Times New Roman"/>
      <w:sz w:val="24"/>
      <w:szCs w:val="24"/>
      <w:lang w:eastAsia="es-ES_tradnl"/>
    </w:rPr>
  </w:style>
  <w:style w:type="character" w:styleId="Mencinsinresolver">
    <w:name w:val="Unresolved Mention"/>
    <w:basedOn w:val="Fuentedeprrafopredeter"/>
    <w:uiPriority w:val="99"/>
    <w:semiHidden/>
    <w:unhideWhenUsed/>
    <w:rsid w:val="00834E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768898">
      <w:bodyDiv w:val="1"/>
      <w:marLeft w:val="0"/>
      <w:marRight w:val="0"/>
      <w:marTop w:val="0"/>
      <w:marBottom w:val="0"/>
      <w:divBdr>
        <w:top w:val="none" w:sz="0" w:space="0" w:color="auto"/>
        <w:left w:val="none" w:sz="0" w:space="0" w:color="auto"/>
        <w:bottom w:val="none" w:sz="0" w:space="0" w:color="auto"/>
        <w:right w:val="none" w:sz="0" w:space="0" w:color="auto"/>
      </w:divBdr>
    </w:div>
    <w:div w:id="98061915">
      <w:bodyDiv w:val="1"/>
      <w:marLeft w:val="0"/>
      <w:marRight w:val="0"/>
      <w:marTop w:val="0"/>
      <w:marBottom w:val="0"/>
      <w:divBdr>
        <w:top w:val="none" w:sz="0" w:space="0" w:color="auto"/>
        <w:left w:val="none" w:sz="0" w:space="0" w:color="auto"/>
        <w:bottom w:val="none" w:sz="0" w:space="0" w:color="auto"/>
        <w:right w:val="none" w:sz="0" w:space="0" w:color="auto"/>
      </w:divBdr>
    </w:div>
    <w:div w:id="99225316">
      <w:bodyDiv w:val="1"/>
      <w:marLeft w:val="0"/>
      <w:marRight w:val="0"/>
      <w:marTop w:val="0"/>
      <w:marBottom w:val="0"/>
      <w:divBdr>
        <w:top w:val="none" w:sz="0" w:space="0" w:color="auto"/>
        <w:left w:val="none" w:sz="0" w:space="0" w:color="auto"/>
        <w:bottom w:val="none" w:sz="0" w:space="0" w:color="auto"/>
        <w:right w:val="none" w:sz="0" w:space="0" w:color="auto"/>
      </w:divBdr>
    </w:div>
    <w:div w:id="110368420">
      <w:bodyDiv w:val="1"/>
      <w:marLeft w:val="0"/>
      <w:marRight w:val="0"/>
      <w:marTop w:val="0"/>
      <w:marBottom w:val="0"/>
      <w:divBdr>
        <w:top w:val="none" w:sz="0" w:space="0" w:color="auto"/>
        <w:left w:val="none" w:sz="0" w:space="0" w:color="auto"/>
        <w:bottom w:val="none" w:sz="0" w:space="0" w:color="auto"/>
        <w:right w:val="none" w:sz="0" w:space="0" w:color="auto"/>
      </w:divBdr>
    </w:div>
    <w:div w:id="119567785">
      <w:bodyDiv w:val="1"/>
      <w:marLeft w:val="0"/>
      <w:marRight w:val="0"/>
      <w:marTop w:val="0"/>
      <w:marBottom w:val="0"/>
      <w:divBdr>
        <w:top w:val="none" w:sz="0" w:space="0" w:color="auto"/>
        <w:left w:val="none" w:sz="0" w:space="0" w:color="auto"/>
        <w:bottom w:val="none" w:sz="0" w:space="0" w:color="auto"/>
        <w:right w:val="none" w:sz="0" w:space="0" w:color="auto"/>
      </w:divBdr>
    </w:div>
    <w:div w:id="139076228">
      <w:bodyDiv w:val="1"/>
      <w:marLeft w:val="0"/>
      <w:marRight w:val="0"/>
      <w:marTop w:val="0"/>
      <w:marBottom w:val="0"/>
      <w:divBdr>
        <w:top w:val="none" w:sz="0" w:space="0" w:color="auto"/>
        <w:left w:val="none" w:sz="0" w:space="0" w:color="auto"/>
        <w:bottom w:val="none" w:sz="0" w:space="0" w:color="auto"/>
        <w:right w:val="none" w:sz="0" w:space="0" w:color="auto"/>
      </w:divBdr>
    </w:div>
    <w:div w:id="165286871">
      <w:bodyDiv w:val="1"/>
      <w:marLeft w:val="0"/>
      <w:marRight w:val="0"/>
      <w:marTop w:val="0"/>
      <w:marBottom w:val="0"/>
      <w:divBdr>
        <w:top w:val="none" w:sz="0" w:space="0" w:color="auto"/>
        <w:left w:val="none" w:sz="0" w:space="0" w:color="auto"/>
        <w:bottom w:val="none" w:sz="0" w:space="0" w:color="auto"/>
        <w:right w:val="none" w:sz="0" w:space="0" w:color="auto"/>
      </w:divBdr>
    </w:div>
    <w:div w:id="229006121">
      <w:bodyDiv w:val="1"/>
      <w:marLeft w:val="0"/>
      <w:marRight w:val="0"/>
      <w:marTop w:val="0"/>
      <w:marBottom w:val="0"/>
      <w:divBdr>
        <w:top w:val="none" w:sz="0" w:space="0" w:color="auto"/>
        <w:left w:val="none" w:sz="0" w:space="0" w:color="auto"/>
        <w:bottom w:val="none" w:sz="0" w:space="0" w:color="auto"/>
        <w:right w:val="none" w:sz="0" w:space="0" w:color="auto"/>
      </w:divBdr>
    </w:div>
    <w:div w:id="249974752">
      <w:bodyDiv w:val="1"/>
      <w:marLeft w:val="0"/>
      <w:marRight w:val="0"/>
      <w:marTop w:val="0"/>
      <w:marBottom w:val="0"/>
      <w:divBdr>
        <w:top w:val="none" w:sz="0" w:space="0" w:color="auto"/>
        <w:left w:val="none" w:sz="0" w:space="0" w:color="auto"/>
        <w:bottom w:val="none" w:sz="0" w:space="0" w:color="auto"/>
        <w:right w:val="none" w:sz="0" w:space="0" w:color="auto"/>
      </w:divBdr>
    </w:div>
    <w:div w:id="312564202">
      <w:bodyDiv w:val="1"/>
      <w:marLeft w:val="0"/>
      <w:marRight w:val="0"/>
      <w:marTop w:val="0"/>
      <w:marBottom w:val="0"/>
      <w:divBdr>
        <w:top w:val="none" w:sz="0" w:space="0" w:color="auto"/>
        <w:left w:val="none" w:sz="0" w:space="0" w:color="auto"/>
        <w:bottom w:val="none" w:sz="0" w:space="0" w:color="auto"/>
        <w:right w:val="none" w:sz="0" w:space="0" w:color="auto"/>
      </w:divBdr>
      <w:divsChild>
        <w:div w:id="1794135826">
          <w:blockQuote w:val="1"/>
          <w:marLeft w:val="600"/>
          <w:marRight w:val="0"/>
          <w:marTop w:val="0"/>
          <w:marBottom w:val="0"/>
          <w:divBdr>
            <w:top w:val="none" w:sz="0" w:space="0" w:color="auto"/>
            <w:left w:val="none" w:sz="0" w:space="0" w:color="auto"/>
            <w:bottom w:val="none" w:sz="0" w:space="0" w:color="auto"/>
            <w:right w:val="none" w:sz="0" w:space="0" w:color="auto"/>
          </w:divBdr>
        </w:div>
        <w:div w:id="891385502">
          <w:blockQuote w:val="1"/>
          <w:marLeft w:val="600"/>
          <w:marRight w:val="0"/>
          <w:marTop w:val="0"/>
          <w:marBottom w:val="0"/>
          <w:divBdr>
            <w:top w:val="none" w:sz="0" w:space="0" w:color="auto"/>
            <w:left w:val="none" w:sz="0" w:space="0" w:color="auto"/>
            <w:bottom w:val="none" w:sz="0" w:space="0" w:color="auto"/>
            <w:right w:val="none" w:sz="0" w:space="0" w:color="auto"/>
          </w:divBdr>
          <w:divsChild>
            <w:div w:id="2084179664">
              <w:marLeft w:val="0"/>
              <w:marRight w:val="0"/>
              <w:marTop w:val="0"/>
              <w:marBottom w:val="0"/>
              <w:divBdr>
                <w:top w:val="none" w:sz="0" w:space="0" w:color="auto"/>
                <w:left w:val="none" w:sz="0" w:space="0" w:color="auto"/>
                <w:bottom w:val="none" w:sz="0" w:space="0" w:color="auto"/>
                <w:right w:val="none" w:sz="0" w:space="0" w:color="auto"/>
              </w:divBdr>
            </w:div>
            <w:div w:id="1440371367">
              <w:marLeft w:val="0"/>
              <w:marRight w:val="0"/>
              <w:marTop w:val="0"/>
              <w:marBottom w:val="0"/>
              <w:divBdr>
                <w:top w:val="none" w:sz="0" w:space="0" w:color="auto"/>
                <w:left w:val="none" w:sz="0" w:space="0" w:color="auto"/>
                <w:bottom w:val="none" w:sz="0" w:space="0" w:color="auto"/>
                <w:right w:val="none" w:sz="0" w:space="0" w:color="auto"/>
              </w:divBdr>
            </w:div>
            <w:div w:id="2037461834">
              <w:marLeft w:val="0"/>
              <w:marRight w:val="0"/>
              <w:marTop w:val="0"/>
              <w:marBottom w:val="0"/>
              <w:divBdr>
                <w:top w:val="none" w:sz="0" w:space="0" w:color="auto"/>
                <w:left w:val="none" w:sz="0" w:space="0" w:color="auto"/>
                <w:bottom w:val="none" w:sz="0" w:space="0" w:color="auto"/>
                <w:right w:val="none" w:sz="0" w:space="0" w:color="auto"/>
              </w:divBdr>
            </w:div>
            <w:div w:id="1965500430">
              <w:blockQuote w:val="1"/>
              <w:marLeft w:val="720"/>
              <w:marRight w:val="0"/>
              <w:marTop w:val="0"/>
              <w:marBottom w:val="0"/>
              <w:divBdr>
                <w:top w:val="none" w:sz="0" w:space="0" w:color="auto"/>
                <w:left w:val="none" w:sz="0" w:space="0" w:color="auto"/>
                <w:bottom w:val="none" w:sz="0" w:space="0" w:color="auto"/>
                <w:right w:val="none" w:sz="0" w:space="0" w:color="auto"/>
              </w:divBdr>
              <w:divsChild>
                <w:div w:id="693531222">
                  <w:marLeft w:val="0"/>
                  <w:marRight w:val="0"/>
                  <w:marTop w:val="0"/>
                  <w:marBottom w:val="0"/>
                  <w:divBdr>
                    <w:top w:val="none" w:sz="0" w:space="0" w:color="auto"/>
                    <w:left w:val="none" w:sz="0" w:space="0" w:color="auto"/>
                    <w:bottom w:val="none" w:sz="0" w:space="0" w:color="auto"/>
                    <w:right w:val="none" w:sz="0" w:space="0" w:color="auto"/>
                  </w:divBdr>
                </w:div>
              </w:divsChild>
            </w:div>
            <w:div w:id="503741413">
              <w:blockQuote w:val="1"/>
              <w:marLeft w:val="720"/>
              <w:marRight w:val="0"/>
              <w:marTop w:val="0"/>
              <w:marBottom w:val="0"/>
              <w:divBdr>
                <w:top w:val="none" w:sz="0" w:space="0" w:color="auto"/>
                <w:left w:val="none" w:sz="0" w:space="0" w:color="auto"/>
                <w:bottom w:val="none" w:sz="0" w:space="0" w:color="auto"/>
                <w:right w:val="none" w:sz="0" w:space="0" w:color="auto"/>
              </w:divBdr>
              <w:divsChild>
                <w:div w:id="171845325">
                  <w:marLeft w:val="0"/>
                  <w:marRight w:val="0"/>
                  <w:marTop w:val="0"/>
                  <w:marBottom w:val="0"/>
                  <w:divBdr>
                    <w:top w:val="none" w:sz="0" w:space="0" w:color="auto"/>
                    <w:left w:val="none" w:sz="0" w:space="0" w:color="auto"/>
                    <w:bottom w:val="none" w:sz="0" w:space="0" w:color="auto"/>
                    <w:right w:val="none" w:sz="0" w:space="0" w:color="auto"/>
                  </w:divBdr>
                  <w:divsChild>
                    <w:div w:id="722144536">
                      <w:marLeft w:val="0"/>
                      <w:marRight w:val="0"/>
                      <w:marTop w:val="0"/>
                      <w:marBottom w:val="0"/>
                      <w:divBdr>
                        <w:top w:val="none" w:sz="0" w:space="0" w:color="auto"/>
                        <w:left w:val="none" w:sz="0" w:space="0" w:color="auto"/>
                        <w:bottom w:val="none" w:sz="0" w:space="0" w:color="auto"/>
                        <w:right w:val="none" w:sz="0" w:space="0" w:color="auto"/>
                      </w:divBdr>
                    </w:div>
                    <w:div w:id="1690721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2671293">
          <w:marLeft w:val="0"/>
          <w:marRight w:val="0"/>
          <w:marTop w:val="0"/>
          <w:marBottom w:val="0"/>
          <w:divBdr>
            <w:top w:val="none" w:sz="0" w:space="0" w:color="auto"/>
            <w:left w:val="none" w:sz="0" w:space="0" w:color="auto"/>
            <w:bottom w:val="none" w:sz="0" w:space="0" w:color="auto"/>
            <w:right w:val="none" w:sz="0" w:space="0" w:color="auto"/>
          </w:divBdr>
        </w:div>
        <w:div w:id="1200389164">
          <w:marLeft w:val="0"/>
          <w:marRight w:val="0"/>
          <w:marTop w:val="0"/>
          <w:marBottom w:val="0"/>
          <w:divBdr>
            <w:top w:val="none" w:sz="0" w:space="0" w:color="auto"/>
            <w:left w:val="none" w:sz="0" w:space="0" w:color="auto"/>
            <w:bottom w:val="none" w:sz="0" w:space="0" w:color="auto"/>
            <w:right w:val="none" w:sz="0" w:space="0" w:color="auto"/>
          </w:divBdr>
        </w:div>
        <w:div w:id="1433281411">
          <w:marLeft w:val="0"/>
          <w:marRight w:val="0"/>
          <w:marTop w:val="0"/>
          <w:marBottom w:val="0"/>
          <w:divBdr>
            <w:top w:val="none" w:sz="0" w:space="0" w:color="auto"/>
            <w:left w:val="none" w:sz="0" w:space="0" w:color="auto"/>
            <w:bottom w:val="none" w:sz="0" w:space="0" w:color="auto"/>
            <w:right w:val="none" w:sz="0" w:space="0" w:color="auto"/>
          </w:divBdr>
        </w:div>
        <w:div w:id="1553730751">
          <w:marLeft w:val="0"/>
          <w:marRight w:val="0"/>
          <w:marTop w:val="0"/>
          <w:marBottom w:val="0"/>
          <w:divBdr>
            <w:top w:val="none" w:sz="0" w:space="0" w:color="auto"/>
            <w:left w:val="none" w:sz="0" w:space="0" w:color="auto"/>
            <w:bottom w:val="none" w:sz="0" w:space="0" w:color="auto"/>
            <w:right w:val="none" w:sz="0" w:space="0" w:color="auto"/>
          </w:divBdr>
        </w:div>
        <w:div w:id="402526769">
          <w:marLeft w:val="0"/>
          <w:marRight w:val="0"/>
          <w:marTop w:val="0"/>
          <w:marBottom w:val="0"/>
          <w:divBdr>
            <w:top w:val="none" w:sz="0" w:space="0" w:color="auto"/>
            <w:left w:val="none" w:sz="0" w:space="0" w:color="auto"/>
            <w:bottom w:val="none" w:sz="0" w:space="0" w:color="auto"/>
            <w:right w:val="none" w:sz="0" w:space="0" w:color="auto"/>
          </w:divBdr>
        </w:div>
        <w:div w:id="1777868649">
          <w:marLeft w:val="0"/>
          <w:marRight w:val="0"/>
          <w:marTop w:val="0"/>
          <w:marBottom w:val="0"/>
          <w:divBdr>
            <w:top w:val="none" w:sz="0" w:space="0" w:color="auto"/>
            <w:left w:val="none" w:sz="0" w:space="0" w:color="auto"/>
            <w:bottom w:val="none" w:sz="0" w:space="0" w:color="auto"/>
            <w:right w:val="none" w:sz="0" w:space="0" w:color="auto"/>
          </w:divBdr>
        </w:div>
      </w:divsChild>
    </w:div>
    <w:div w:id="614558484">
      <w:bodyDiv w:val="1"/>
      <w:marLeft w:val="0"/>
      <w:marRight w:val="0"/>
      <w:marTop w:val="0"/>
      <w:marBottom w:val="0"/>
      <w:divBdr>
        <w:top w:val="none" w:sz="0" w:space="0" w:color="auto"/>
        <w:left w:val="none" w:sz="0" w:space="0" w:color="auto"/>
        <w:bottom w:val="none" w:sz="0" w:space="0" w:color="auto"/>
        <w:right w:val="none" w:sz="0" w:space="0" w:color="auto"/>
      </w:divBdr>
    </w:div>
    <w:div w:id="625701464">
      <w:bodyDiv w:val="1"/>
      <w:marLeft w:val="0"/>
      <w:marRight w:val="0"/>
      <w:marTop w:val="0"/>
      <w:marBottom w:val="0"/>
      <w:divBdr>
        <w:top w:val="none" w:sz="0" w:space="0" w:color="auto"/>
        <w:left w:val="none" w:sz="0" w:space="0" w:color="auto"/>
        <w:bottom w:val="none" w:sz="0" w:space="0" w:color="auto"/>
        <w:right w:val="none" w:sz="0" w:space="0" w:color="auto"/>
      </w:divBdr>
    </w:div>
    <w:div w:id="735980449">
      <w:bodyDiv w:val="1"/>
      <w:marLeft w:val="0"/>
      <w:marRight w:val="0"/>
      <w:marTop w:val="0"/>
      <w:marBottom w:val="0"/>
      <w:divBdr>
        <w:top w:val="none" w:sz="0" w:space="0" w:color="auto"/>
        <w:left w:val="none" w:sz="0" w:space="0" w:color="auto"/>
        <w:bottom w:val="none" w:sz="0" w:space="0" w:color="auto"/>
        <w:right w:val="none" w:sz="0" w:space="0" w:color="auto"/>
      </w:divBdr>
    </w:div>
    <w:div w:id="745109321">
      <w:bodyDiv w:val="1"/>
      <w:marLeft w:val="0"/>
      <w:marRight w:val="0"/>
      <w:marTop w:val="0"/>
      <w:marBottom w:val="0"/>
      <w:divBdr>
        <w:top w:val="none" w:sz="0" w:space="0" w:color="auto"/>
        <w:left w:val="none" w:sz="0" w:space="0" w:color="auto"/>
        <w:bottom w:val="none" w:sz="0" w:space="0" w:color="auto"/>
        <w:right w:val="none" w:sz="0" w:space="0" w:color="auto"/>
      </w:divBdr>
    </w:div>
    <w:div w:id="758218568">
      <w:bodyDiv w:val="1"/>
      <w:marLeft w:val="0"/>
      <w:marRight w:val="0"/>
      <w:marTop w:val="0"/>
      <w:marBottom w:val="0"/>
      <w:divBdr>
        <w:top w:val="none" w:sz="0" w:space="0" w:color="auto"/>
        <w:left w:val="none" w:sz="0" w:space="0" w:color="auto"/>
        <w:bottom w:val="none" w:sz="0" w:space="0" w:color="auto"/>
        <w:right w:val="none" w:sz="0" w:space="0" w:color="auto"/>
      </w:divBdr>
      <w:divsChild>
        <w:div w:id="453256617">
          <w:marLeft w:val="0"/>
          <w:marRight w:val="0"/>
          <w:marTop w:val="0"/>
          <w:marBottom w:val="0"/>
          <w:divBdr>
            <w:top w:val="none" w:sz="0" w:space="0" w:color="auto"/>
            <w:left w:val="none" w:sz="0" w:space="0" w:color="auto"/>
            <w:bottom w:val="none" w:sz="0" w:space="0" w:color="auto"/>
            <w:right w:val="none" w:sz="0" w:space="0" w:color="auto"/>
          </w:divBdr>
        </w:div>
        <w:div w:id="1613323627">
          <w:marLeft w:val="0"/>
          <w:marRight w:val="0"/>
          <w:marTop w:val="0"/>
          <w:marBottom w:val="0"/>
          <w:divBdr>
            <w:top w:val="none" w:sz="0" w:space="0" w:color="auto"/>
            <w:left w:val="none" w:sz="0" w:space="0" w:color="auto"/>
            <w:bottom w:val="none" w:sz="0" w:space="0" w:color="auto"/>
            <w:right w:val="none" w:sz="0" w:space="0" w:color="auto"/>
          </w:divBdr>
        </w:div>
        <w:div w:id="1981836880">
          <w:marLeft w:val="0"/>
          <w:marRight w:val="0"/>
          <w:marTop w:val="0"/>
          <w:marBottom w:val="0"/>
          <w:divBdr>
            <w:top w:val="none" w:sz="0" w:space="0" w:color="auto"/>
            <w:left w:val="none" w:sz="0" w:space="0" w:color="auto"/>
            <w:bottom w:val="none" w:sz="0" w:space="0" w:color="auto"/>
            <w:right w:val="none" w:sz="0" w:space="0" w:color="auto"/>
          </w:divBdr>
        </w:div>
        <w:div w:id="426385364">
          <w:marLeft w:val="0"/>
          <w:marRight w:val="0"/>
          <w:marTop w:val="0"/>
          <w:marBottom w:val="0"/>
          <w:divBdr>
            <w:top w:val="none" w:sz="0" w:space="0" w:color="auto"/>
            <w:left w:val="none" w:sz="0" w:space="0" w:color="auto"/>
            <w:bottom w:val="none" w:sz="0" w:space="0" w:color="auto"/>
            <w:right w:val="none" w:sz="0" w:space="0" w:color="auto"/>
          </w:divBdr>
        </w:div>
        <w:div w:id="724528403">
          <w:marLeft w:val="0"/>
          <w:marRight w:val="0"/>
          <w:marTop w:val="0"/>
          <w:marBottom w:val="0"/>
          <w:divBdr>
            <w:top w:val="none" w:sz="0" w:space="0" w:color="auto"/>
            <w:left w:val="none" w:sz="0" w:space="0" w:color="auto"/>
            <w:bottom w:val="none" w:sz="0" w:space="0" w:color="auto"/>
            <w:right w:val="none" w:sz="0" w:space="0" w:color="auto"/>
          </w:divBdr>
        </w:div>
        <w:div w:id="746389531">
          <w:marLeft w:val="0"/>
          <w:marRight w:val="0"/>
          <w:marTop w:val="0"/>
          <w:marBottom w:val="0"/>
          <w:divBdr>
            <w:top w:val="none" w:sz="0" w:space="0" w:color="auto"/>
            <w:left w:val="none" w:sz="0" w:space="0" w:color="auto"/>
            <w:bottom w:val="none" w:sz="0" w:space="0" w:color="auto"/>
            <w:right w:val="none" w:sz="0" w:space="0" w:color="auto"/>
          </w:divBdr>
        </w:div>
        <w:div w:id="635260147">
          <w:marLeft w:val="0"/>
          <w:marRight w:val="0"/>
          <w:marTop w:val="0"/>
          <w:marBottom w:val="0"/>
          <w:divBdr>
            <w:top w:val="none" w:sz="0" w:space="0" w:color="auto"/>
            <w:left w:val="none" w:sz="0" w:space="0" w:color="auto"/>
            <w:bottom w:val="none" w:sz="0" w:space="0" w:color="auto"/>
            <w:right w:val="none" w:sz="0" w:space="0" w:color="auto"/>
          </w:divBdr>
        </w:div>
      </w:divsChild>
    </w:div>
    <w:div w:id="867834431">
      <w:bodyDiv w:val="1"/>
      <w:marLeft w:val="0"/>
      <w:marRight w:val="0"/>
      <w:marTop w:val="0"/>
      <w:marBottom w:val="0"/>
      <w:divBdr>
        <w:top w:val="none" w:sz="0" w:space="0" w:color="auto"/>
        <w:left w:val="none" w:sz="0" w:space="0" w:color="auto"/>
        <w:bottom w:val="none" w:sz="0" w:space="0" w:color="auto"/>
        <w:right w:val="none" w:sz="0" w:space="0" w:color="auto"/>
      </w:divBdr>
    </w:div>
    <w:div w:id="970987250">
      <w:bodyDiv w:val="1"/>
      <w:marLeft w:val="0"/>
      <w:marRight w:val="0"/>
      <w:marTop w:val="0"/>
      <w:marBottom w:val="0"/>
      <w:divBdr>
        <w:top w:val="none" w:sz="0" w:space="0" w:color="auto"/>
        <w:left w:val="none" w:sz="0" w:space="0" w:color="auto"/>
        <w:bottom w:val="none" w:sz="0" w:space="0" w:color="auto"/>
        <w:right w:val="none" w:sz="0" w:space="0" w:color="auto"/>
      </w:divBdr>
    </w:div>
    <w:div w:id="1091664537">
      <w:bodyDiv w:val="1"/>
      <w:marLeft w:val="0"/>
      <w:marRight w:val="0"/>
      <w:marTop w:val="0"/>
      <w:marBottom w:val="0"/>
      <w:divBdr>
        <w:top w:val="none" w:sz="0" w:space="0" w:color="auto"/>
        <w:left w:val="none" w:sz="0" w:space="0" w:color="auto"/>
        <w:bottom w:val="none" w:sz="0" w:space="0" w:color="auto"/>
        <w:right w:val="none" w:sz="0" w:space="0" w:color="auto"/>
      </w:divBdr>
    </w:div>
    <w:div w:id="1187020654">
      <w:bodyDiv w:val="1"/>
      <w:marLeft w:val="0"/>
      <w:marRight w:val="0"/>
      <w:marTop w:val="0"/>
      <w:marBottom w:val="0"/>
      <w:divBdr>
        <w:top w:val="none" w:sz="0" w:space="0" w:color="auto"/>
        <w:left w:val="none" w:sz="0" w:space="0" w:color="auto"/>
        <w:bottom w:val="none" w:sz="0" w:space="0" w:color="auto"/>
        <w:right w:val="none" w:sz="0" w:space="0" w:color="auto"/>
      </w:divBdr>
    </w:div>
    <w:div w:id="1359817568">
      <w:bodyDiv w:val="1"/>
      <w:marLeft w:val="0"/>
      <w:marRight w:val="0"/>
      <w:marTop w:val="0"/>
      <w:marBottom w:val="0"/>
      <w:divBdr>
        <w:top w:val="none" w:sz="0" w:space="0" w:color="auto"/>
        <w:left w:val="none" w:sz="0" w:space="0" w:color="auto"/>
        <w:bottom w:val="none" w:sz="0" w:space="0" w:color="auto"/>
        <w:right w:val="none" w:sz="0" w:space="0" w:color="auto"/>
      </w:divBdr>
    </w:div>
    <w:div w:id="1409301886">
      <w:bodyDiv w:val="1"/>
      <w:marLeft w:val="0"/>
      <w:marRight w:val="0"/>
      <w:marTop w:val="0"/>
      <w:marBottom w:val="0"/>
      <w:divBdr>
        <w:top w:val="none" w:sz="0" w:space="0" w:color="auto"/>
        <w:left w:val="none" w:sz="0" w:space="0" w:color="auto"/>
        <w:bottom w:val="none" w:sz="0" w:space="0" w:color="auto"/>
        <w:right w:val="none" w:sz="0" w:space="0" w:color="auto"/>
      </w:divBdr>
    </w:div>
    <w:div w:id="1531383682">
      <w:bodyDiv w:val="1"/>
      <w:marLeft w:val="0"/>
      <w:marRight w:val="0"/>
      <w:marTop w:val="0"/>
      <w:marBottom w:val="0"/>
      <w:divBdr>
        <w:top w:val="none" w:sz="0" w:space="0" w:color="auto"/>
        <w:left w:val="none" w:sz="0" w:space="0" w:color="auto"/>
        <w:bottom w:val="none" w:sz="0" w:space="0" w:color="auto"/>
        <w:right w:val="none" w:sz="0" w:space="0" w:color="auto"/>
      </w:divBdr>
    </w:div>
    <w:div w:id="1548099665">
      <w:bodyDiv w:val="1"/>
      <w:marLeft w:val="0"/>
      <w:marRight w:val="0"/>
      <w:marTop w:val="0"/>
      <w:marBottom w:val="0"/>
      <w:divBdr>
        <w:top w:val="none" w:sz="0" w:space="0" w:color="auto"/>
        <w:left w:val="none" w:sz="0" w:space="0" w:color="auto"/>
        <w:bottom w:val="none" w:sz="0" w:space="0" w:color="auto"/>
        <w:right w:val="none" w:sz="0" w:space="0" w:color="auto"/>
      </w:divBdr>
    </w:div>
    <w:div w:id="1756365929">
      <w:bodyDiv w:val="1"/>
      <w:marLeft w:val="0"/>
      <w:marRight w:val="0"/>
      <w:marTop w:val="0"/>
      <w:marBottom w:val="0"/>
      <w:divBdr>
        <w:top w:val="none" w:sz="0" w:space="0" w:color="auto"/>
        <w:left w:val="none" w:sz="0" w:space="0" w:color="auto"/>
        <w:bottom w:val="none" w:sz="0" w:space="0" w:color="auto"/>
        <w:right w:val="none" w:sz="0" w:space="0" w:color="auto"/>
      </w:divBdr>
    </w:div>
    <w:div w:id="1762330777">
      <w:bodyDiv w:val="1"/>
      <w:marLeft w:val="0"/>
      <w:marRight w:val="0"/>
      <w:marTop w:val="0"/>
      <w:marBottom w:val="0"/>
      <w:divBdr>
        <w:top w:val="none" w:sz="0" w:space="0" w:color="auto"/>
        <w:left w:val="none" w:sz="0" w:space="0" w:color="auto"/>
        <w:bottom w:val="none" w:sz="0" w:space="0" w:color="auto"/>
        <w:right w:val="none" w:sz="0" w:space="0" w:color="auto"/>
      </w:divBdr>
    </w:div>
    <w:div w:id="1836996864">
      <w:bodyDiv w:val="1"/>
      <w:marLeft w:val="0"/>
      <w:marRight w:val="0"/>
      <w:marTop w:val="0"/>
      <w:marBottom w:val="0"/>
      <w:divBdr>
        <w:top w:val="none" w:sz="0" w:space="0" w:color="auto"/>
        <w:left w:val="none" w:sz="0" w:space="0" w:color="auto"/>
        <w:bottom w:val="none" w:sz="0" w:space="0" w:color="auto"/>
        <w:right w:val="none" w:sz="0" w:space="0" w:color="auto"/>
      </w:divBdr>
    </w:div>
    <w:div w:id="1886990557">
      <w:bodyDiv w:val="1"/>
      <w:marLeft w:val="0"/>
      <w:marRight w:val="0"/>
      <w:marTop w:val="0"/>
      <w:marBottom w:val="0"/>
      <w:divBdr>
        <w:top w:val="none" w:sz="0" w:space="0" w:color="auto"/>
        <w:left w:val="none" w:sz="0" w:space="0" w:color="auto"/>
        <w:bottom w:val="none" w:sz="0" w:space="0" w:color="auto"/>
        <w:right w:val="none" w:sz="0" w:space="0" w:color="auto"/>
      </w:divBdr>
    </w:div>
    <w:div w:id="1894804151">
      <w:bodyDiv w:val="1"/>
      <w:marLeft w:val="0"/>
      <w:marRight w:val="0"/>
      <w:marTop w:val="0"/>
      <w:marBottom w:val="0"/>
      <w:divBdr>
        <w:top w:val="none" w:sz="0" w:space="0" w:color="auto"/>
        <w:left w:val="none" w:sz="0" w:space="0" w:color="auto"/>
        <w:bottom w:val="none" w:sz="0" w:space="0" w:color="auto"/>
        <w:right w:val="none" w:sz="0" w:space="0" w:color="auto"/>
      </w:divBdr>
    </w:div>
    <w:div w:id="2139956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3" Type="http://schemas.openxmlformats.org/officeDocument/2006/relationships/hyperlink" Target="https://www.colombiacompra.gov.co/sites/cce_public/files/cce_documents/cce_guia_para_el_ejercicio_de_las_funciones_de_supervision_e_interventoria_de_los_contratos_del_estado.pdf" TargetMode="External"/><Relationship Id="rId2" Type="http://schemas.openxmlformats.org/officeDocument/2006/relationships/hyperlink" Target="https://www.colombiacompra.gov.co/sites/cce_public/files/cce_documents/cce_guia_para_el_ejercicio_de_las_funciones_de_supervision_e_interventoria_de_los_contratos_del_estado.pdf" TargetMode="External"/><Relationship Id="rId1" Type="http://schemas.openxmlformats.org/officeDocument/2006/relationships/hyperlink" Target="http://etimologias.dechile.net/?exorbitant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C0A85C5-6DD7-49F7-8710-03CB77B71D21}">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997BBF3F-E837-4F88-BCB0-0E632895B878}">
  <ds:schemaRefs>
    <ds:schemaRef ds:uri="http://schemas.microsoft.com/sharepoint/v3/contenttype/forms"/>
  </ds:schemaRefs>
</ds:datastoreItem>
</file>

<file path=customXml/itemProps3.xml><?xml version="1.0" encoding="utf-8"?>
<ds:datastoreItem xmlns:ds="http://schemas.openxmlformats.org/officeDocument/2006/customXml" ds:itemID="{719F2BEE-C4BA-4727-A204-0D1C11661133}">
  <ds:schemaRefs>
    <ds:schemaRef ds:uri="http://schemas.openxmlformats.org/officeDocument/2006/bibliography"/>
  </ds:schemaRefs>
</ds:datastoreItem>
</file>

<file path=customXml/itemProps4.xml><?xml version="1.0" encoding="utf-8"?>
<ds:datastoreItem xmlns:ds="http://schemas.openxmlformats.org/officeDocument/2006/customXml" ds:itemID="{31DA3B0F-C00F-4D09-B746-F2E12FDD39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6972</Words>
  <Characters>38348</Characters>
  <Application>Microsoft Office Word</Application>
  <DocSecurity>0</DocSecurity>
  <Lines>319</Lines>
  <Paragraphs>90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Castellanos</dc:creator>
  <cp:keywords/>
  <dc:description/>
  <cp:lastModifiedBy>MARIA CLAUDIA DE LA OSSA BOBADILLA</cp:lastModifiedBy>
  <cp:revision>2</cp:revision>
  <cp:lastPrinted>2021-08-12T22:16:00Z</cp:lastPrinted>
  <dcterms:created xsi:type="dcterms:W3CDTF">2022-07-25T21:44:00Z</dcterms:created>
  <dcterms:modified xsi:type="dcterms:W3CDTF">2022-07-25T21:44:00Z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