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E5723" w14:textId="77777777" w:rsidR="002F7BC1" w:rsidRDefault="002F7BC1" w:rsidP="005B4382">
      <w:pPr>
        <w:spacing w:after="0" w:line="276" w:lineRule="auto"/>
        <w:jc w:val="both"/>
        <w:rPr>
          <w:rFonts w:ascii="Century Gothic" w:hAnsi="Century Gothic" w:cs="Arial"/>
          <w:noProof/>
          <w:lang w:val="es-ES_tradnl"/>
        </w:rPr>
      </w:pPr>
    </w:p>
    <w:p w14:paraId="73CA46D6" w14:textId="77777777" w:rsidR="00640F3C" w:rsidRPr="00640F3C" w:rsidRDefault="00640F3C" w:rsidP="00640F3C">
      <w:pPr>
        <w:spacing w:after="0" w:line="240" w:lineRule="auto"/>
        <w:jc w:val="both"/>
        <w:rPr>
          <w:rFonts w:ascii="Century Gothic" w:eastAsia="Calibri" w:hAnsi="Century Gothic" w:cs="Arial"/>
          <w:b/>
          <w:color w:val="000000" w:themeColor="text1"/>
          <w:lang w:val="es-ES"/>
        </w:rPr>
      </w:pPr>
      <w:r w:rsidRPr="00640F3C">
        <w:rPr>
          <w:rFonts w:ascii="Century Gothic" w:eastAsia="Calibri" w:hAnsi="Century Gothic" w:cs="Arial"/>
          <w:b/>
          <w:color w:val="000000" w:themeColor="text1"/>
          <w:lang w:val="es-ES"/>
        </w:rPr>
        <w:t xml:space="preserve">GARANTÍAS – Contratación estatal – Constitución de garantías – Finalidad – Cumplimiento – Obligaciones contractuales </w:t>
      </w:r>
    </w:p>
    <w:p w14:paraId="320C74B5" w14:textId="77777777" w:rsidR="00640F3C" w:rsidRPr="00640F3C" w:rsidRDefault="00640F3C" w:rsidP="00640F3C">
      <w:pPr>
        <w:spacing w:after="0" w:line="240" w:lineRule="auto"/>
        <w:jc w:val="both"/>
        <w:rPr>
          <w:rFonts w:ascii="Century Gothic" w:eastAsia="Calibri" w:hAnsi="Century Gothic" w:cs="Arial"/>
          <w:bCs/>
          <w:color w:val="000000" w:themeColor="text1"/>
          <w:sz w:val="20"/>
          <w:szCs w:val="20"/>
          <w:lang w:val="es-ES"/>
        </w:rPr>
      </w:pPr>
    </w:p>
    <w:p w14:paraId="22E60C10" w14:textId="77777777" w:rsidR="00640F3C" w:rsidRPr="00640F3C" w:rsidRDefault="00640F3C" w:rsidP="00640F3C">
      <w:pPr>
        <w:spacing w:after="0" w:line="240" w:lineRule="auto"/>
        <w:jc w:val="both"/>
        <w:rPr>
          <w:rFonts w:ascii="Century Gothic" w:eastAsia="Calibri" w:hAnsi="Century Gothic" w:cs="Arial"/>
          <w:color w:val="000000" w:themeColor="text1"/>
          <w:sz w:val="20"/>
          <w:szCs w:val="20"/>
          <w:lang w:val="es-ES_tradnl"/>
        </w:rPr>
      </w:pPr>
      <w:r w:rsidRPr="00640F3C">
        <w:rPr>
          <w:rFonts w:ascii="Century Gothic" w:eastAsia="Calibri" w:hAnsi="Century Gothic" w:cs="Arial"/>
          <w:color w:val="000000" w:themeColor="text1"/>
          <w:sz w:val="20"/>
          <w:szCs w:val="20"/>
          <w:lang w:val="es-ES_tradnl" w:eastAsia="es-ES_tradnl"/>
        </w:rPr>
        <w:t xml:space="preserve">El Estatuto General de Contratación de la Administración Pública exige, por regla general, en los procesos de contratación pública </w:t>
      </w:r>
      <w:r w:rsidRPr="00640F3C">
        <w:rPr>
          <w:rFonts w:ascii="Century Gothic" w:eastAsia="Calibri" w:hAnsi="Century Gothic" w:cs="Arial"/>
          <w:color w:val="000000" w:themeColor="text1"/>
          <w:sz w:val="20"/>
          <w:szCs w:val="20"/>
          <w:lang w:val="es-ES" w:eastAsia="es-ES_tradnl"/>
        </w:rPr>
        <w:t xml:space="preserve">la constitución de </w:t>
      </w:r>
      <w:proofErr w:type="gramStart"/>
      <w:r w:rsidRPr="00640F3C">
        <w:rPr>
          <w:rFonts w:ascii="Century Gothic" w:eastAsia="Calibri" w:hAnsi="Century Gothic" w:cs="Arial"/>
          <w:color w:val="000000" w:themeColor="text1"/>
          <w:sz w:val="20"/>
          <w:szCs w:val="20"/>
          <w:lang w:val="es-ES" w:eastAsia="es-ES_tradnl"/>
        </w:rPr>
        <w:t>garantías,</w:t>
      </w:r>
      <w:proofErr w:type="gramEnd"/>
      <w:r w:rsidRPr="00640F3C">
        <w:rPr>
          <w:rFonts w:ascii="Century Gothic" w:eastAsia="Calibri" w:hAnsi="Century Gothic" w:cs="Arial"/>
          <w:color w:val="000000" w:themeColor="text1"/>
          <w:sz w:val="20"/>
          <w:szCs w:val="20"/>
          <w:lang w:val="es-ES" w:eastAsia="es-ES_tradnl"/>
        </w:rPr>
        <w:t xml:space="preserve"> ya sea en la etapa precontractual, contractual o </w:t>
      </w:r>
      <w:proofErr w:type="spellStart"/>
      <w:r w:rsidRPr="00640F3C">
        <w:rPr>
          <w:rFonts w:ascii="Century Gothic" w:eastAsia="Calibri" w:hAnsi="Century Gothic" w:cs="Arial"/>
          <w:color w:val="000000" w:themeColor="text1"/>
          <w:sz w:val="20"/>
          <w:szCs w:val="20"/>
          <w:lang w:val="es-ES" w:eastAsia="es-ES_tradnl"/>
        </w:rPr>
        <w:t>postcontractual</w:t>
      </w:r>
      <w:proofErr w:type="spellEnd"/>
      <w:r w:rsidRPr="00640F3C">
        <w:rPr>
          <w:rFonts w:ascii="Century Gothic" w:eastAsia="Calibri" w:hAnsi="Century Gothic" w:cs="Arial"/>
          <w:color w:val="000000" w:themeColor="text1"/>
          <w:sz w:val="20"/>
          <w:szCs w:val="20"/>
          <w:lang w:val="es-ES" w:eastAsia="es-ES_tradnl"/>
        </w:rPr>
        <w:t>, con el fin de evitar o mitigar posibles riesgos</w:t>
      </w:r>
      <w:r w:rsidRPr="00640F3C">
        <w:rPr>
          <w:rFonts w:ascii="Century Gothic" w:eastAsia="Calibri" w:hAnsi="Century Gothic" w:cs="Arial"/>
          <w:color w:val="000000" w:themeColor="text1"/>
          <w:sz w:val="20"/>
          <w:szCs w:val="20"/>
          <w:lang w:val="es-ES_tradnl" w:eastAsia="es-ES_tradnl"/>
        </w:rPr>
        <w:t xml:space="preserve">. En esa orientación, </w:t>
      </w:r>
      <w:r w:rsidRPr="00640F3C">
        <w:rPr>
          <w:rFonts w:ascii="Century Gothic" w:eastAsia="Calibri" w:hAnsi="Century Gothic" w:cs="Arial"/>
          <w:color w:val="000000" w:themeColor="text1"/>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599181B1" w14:textId="77777777" w:rsidR="00A6559E" w:rsidRDefault="00A6559E" w:rsidP="005B4382">
      <w:pPr>
        <w:spacing w:after="0" w:line="276" w:lineRule="auto"/>
        <w:jc w:val="both"/>
        <w:rPr>
          <w:rFonts w:ascii="Century Gothic" w:hAnsi="Century Gothic" w:cs="Arial"/>
          <w:noProof/>
          <w:lang w:val="es-ES_tradnl"/>
        </w:rPr>
      </w:pPr>
    </w:p>
    <w:p w14:paraId="522BB950" w14:textId="77777777" w:rsidR="00767026" w:rsidRPr="00767026" w:rsidRDefault="00767026" w:rsidP="00767026">
      <w:pPr>
        <w:spacing w:after="0" w:line="240" w:lineRule="auto"/>
        <w:jc w:val="both"/>
        <w:rPr>
          <w:rFonts w:ascii="Century Gothic" w:eastAsia="Calibri" w:hAnsi="Century Gothic" w:cs="Arial"/>
          <w:b/>
          <w:color w:val="000000" w:themeColor="text1"/>
          <w:lang w:val="es-ES"/>
        </w:rPr>
      </w:pPr>
      <w:r w:rsidRPr="00767026">
        <w:rPr>
          <w:rFonts w:ascii="Century Gothic" w:eastAsia="Calibri" w:hAnsi="Century Gothic" w:cs="Arial"/>
          <w:b/>
          <w:color w:val="000000" w:themeColor="text1"/>
          <w:lang w:val="es-ES"/>
        </w:rPr>
        <w:t>GARANTÍA DE SERIEDAD – Alcance – Finalidad</w:t>
      </w:r>
    </w:p>
    <w:p w14:paraId="72710D66" w14:textId="77777777" w:rsidR="00767026" w:rsidRPr="00767026" w:rsidRDefault="00767026" w:rsidP="00767026">
      <w:pPr>
        <w:spacing w:after="0" w:line="240" w:lineRule="auto"/>
        <w:jc w:val="both"/>
        <w:rPr>
          <w:rFonts w:ascii="Century Gothic" w:eastAsia="Calibri" w:hAnsi="Century Gothic" w:cs="Arial"/>
          <w:color w:val="000000" w:themeColor="text1"/>
          <w:sz w:val="20"/>
          <w:szCs w:val="20"/>
          <w:lang w:val="es-ES"/>
        </w:rPr>
      </w:pPr>
    </w:p>
    <w:p w14:paraId="761BEC00" w14:textId="77777777" w:rsidR="00767026" w:rsidRPr="00767026" w:rsidRDefault="00767026" w:rsidP="00767026">
      <w:pPr>
        <w:spacing w:after="0" w:line="240" w:lineRule="auto"/>
        <w:jc w:val="both"/>
        <w:rPr>
          <w:rFonts w:ascii="Century Gothic" w:eastAsia="Calibri" w:hAnsi="Century Gothic" w:cs="Arial"/>
          <w:color w:val="000000" w:themeColor="text1"/>
          <w:sz w:val="20"/>
          <w:szCs w:val="20"/>
          <w:lang w:val="es-ES"/>
        </w:rPr>
      </w:pPr>
      <w:r w:rsidRPr="00767026">
        <w:rPr>
          <w:rFonts w:ascii="Century Gothic" w:eastAsia="Calibri" w:hAnsi="Century Gothic" w:cs="Arial"/>
          <w:color w:val="000000" w:themeColor="text1"/>
          <w:sz w:val="20"/>
          <w:szCs w:val="20"/>
          <w:lang w:val="es-ES"/>
        </w:rPr>
        <w:t xml:space="preserve">La garantía en la etapa precontractual implica una caución provisional que avala la propuesta y es una garantía precontractual –y parcialmente contractual– destinada a asegurar la suscripción del acuerdo, entre otras obligaciones. En cambio, las garantías en la etapa contractual o </w:t>
      </w:r>
      <w:proofErr w:type="spellStart"/>
      <w:r w:rsidRPr="00767026">
        <w:rPr>
          <w:rFonts w:ascii="Century Gothic" w:eastAsia="Calibri" w:hAnsi="Century Gothic" w:cs="Arial"/>
          <w:color w:val="000000" w:themeColor="text1"/>
          <w:sz w:val="20"/>
          <w:szCs w:val="20"/>
          <w:lang w:val="es-ES"/>
        </w:rPr>
        <w:t>postcontractual</w:t>
      </w:r>
      <w:proofErr w:type="spellEnd"/>
      <w:r w:rsidRPr="00767026">
        <w:rPr>
          <w:rFonts w:ascii="Century Gothic" w:eastAsia="Calibri" w:hAnsi="Century Gothic" w:cs="Arial"/>
          <w:color w:val="000000" w:themeColor="text1"/>
          <w:sz w:val="20"/>
          <w:szCs w:val="20"/>
          <w:lang w:val="es-ES"/>
        </w:rPr>
        <w:t xml:space="preserve"> son mecanismos de cobertura del riesgo derivado del incumplimiento de las obligaciones del contrato o de otros eventos estipulados en el negocio jurídico, como por ejemplo la responsabilidad civil extracontractual. </w:t>
      </w:r>
    </w:p>
    <w:p w14:paraId="2839B636" w14:textId="77777777" w:rsidR="00767026" w:rsidRPr="00767026" w:rsidRDefault="00767026" w:rsidP="00767026">
      <w:pPr>
        <w:spacing w:after="0" w:line="240" w:lineRule="auto"/>
        <w:jc w:val="both"/>
        <w:rPr>
          <w:rFonts w:ascii="Century Gothic" w:eastAsia="Calibri" w:hAnsi="Century Gothic" w:cs="Arial"/>
          <w:color w:val="000000" w:themeColor="text1"/>
          <w:sz w:val="20"/>
          <w:szCs w:val="20"/>
          <w:lang w:val="es-ES"/>
        </w:rPr>
      </w:pPr>
    </w:p>
    <w:p w14:paraId="490FF2FC" w14:textId="6FAB26A2" w:rsidR="00767026" w:rsidRPr="00767026" w:rsidRDefault="00767026" w:rsidP="00767026">
      <w:pPr>
        <w:spacing w:after="0" w:line="240" w:lineRule="auto"/>
        <w:jc w:val="both"/>
        <w:rPr>
          <w:rFonts w:ascii="Century Gothic" w:eastAsia="Calibri" w:hAnsi="Century Gothic" w:cs="Arial"/>
          <w:color w:val="000000" w:themeColor="text1"/>
          <w:sz w:val="20"/>
          <w:szCs w:val="20"/>
        </w:rPr>
      </w:pPr>
      <w:r w:rsidRPr="00767026">
        <w:rPr>
          <w:rFonts w:ascii="Century Gothic" w:eastAsia="Calibri" w:hAnsi="Century Gothic" w:cs="Arial"/>
          <w:color w:val="000000" w:themeColor="text1"/>
          <w:sz w:val="20"/>
          <w:szCs w:val="20"/>
          <w:lang w:val="es-ES"/>
        </w:rPr>
        <w:t>A partir de esta conceptualización, se destaca</w:t>
      </w:r>
      <w:r w:rsidRPr="00767026">
        <w:rPr>
          <w:rFonts w:ascii="Century Gothic" w:eastAsia="Calibri" w:hAnsi="Century Gothic" w:cs="Arial"/>
          <w:i/>
          <w:iCs/>
          <w:color w:val="000000" w:themeColor="text1"/>
          <w:sz w:val="20"/>
          <w:szCs w:val="20"/>
          <w:lang w:val="es-ES" w:eastAsia="es-ES_tradnl"/>
        </w:rPr>
        <w:t xml:space="preserve"> que la garantía de seriedad</w:t>
      </w:r>
      <w:r w:rsidRPr="00767026">
        <w:rPr>
          <w:rFonts w:ascii="Century Gothic" w:eastAsia="Calibri" w:hAnsi="Century Gothic" w:cs="Arial"/>
          <w:color w:val="000000" w:themeColor="text1"/>
          <w:sz w:val="20"/>
          <w:szCs w:val="20"/>
          <w:lang w:val="es-ES" w:eastAsia="es-ES_tradnl"/>
        </w:rPr>
        <w:t xml:space="preserve"> </w:t>
      </w:r>
      <w:r w:rsidRPr="00767026">
        <w:rPr>
          <w:rFonts w:ascii="Century Gothic" w:eastAsia="Calibri" w:hAnsi="Century Gothic" w:cs="Arial"/>
          <w:i/>
          <w:iCs/>
          <w:color w:val="000000" w:themeColor="text1"/>
          <w:sz w:val="20"/>
          <w:szCs w:val="20"/>
          <w:lang w:val="es-ES" w:eastAsia="es-ES_tradnl"/>
        </w:rPr>
        <w:t xml:space="preserve">de la oferta </w:t>
      </w:r>
      <w:r w:rsidRPr="00767026">
        <w:rPr>
          <w:rFonts w:ascii="Century Gothic" w:eastAsia="Calibri" w:hAnsi="Century Gothic" w:cs="Arial"/>
          <w:color w:val="000000" w:themeColor="text1"/>
          <w:sz w:val="20"/>
          <w:szCs w:val="20"/>
          <w:lang w:val="es-ES" w:eastAsia="es-ES_tradnl"/>
        </w:rPr>
        <w:t xml:space="preserve">está regulada en el inciso primero del artículo 7 de la Ley 1150 de 2007, que dispone: </w:t>
      </w:r>
      <w:r>
        <w:rPr>
          <w:rFonts w:ascii="Century Gothic" w:eastAsia="Times New Roman" w:hAnsi="Century Gothic" w:cs="Times New Roman"/>
          <w:color w:val="000000" w:themeColor="text1"/>
          <w:sz w:val="20"/>
          <w:szCs w:val="20"/>
          <w:lang w:eastAsia="es-CO"/>
        </w:rPr>
        <w:t>“</w:t>
      </w:r>
      <w:r w:rsidRPr="00767026">
        <w:rPr>
          <w:rFonts w:ascii="Century Gothic" w:eastAsia="Calibri" w:hAnsi="Century Gothic" w:cs="Arial"/>
          <w:color w:val="000000" w:themeColor="text1"/>
          <w:sz w:val="20"/>
          <w:szCs w:val="20"/>
          <w:lang w:val="es-ES_tradnl"/>
        </w:rPr>
        <w:t>Los proponentes prestarán garantía de seriedad de los ofrecimientos hechos</w:t>
      </w:r>
      <w:r>
        <w:rPr>
          <w:rFonts w:ascii="Century Gothic" w:eastAsia="Calibri" w:hAnsi="Century Gothic" w:cs="Arial"/>
          <w:color w:val="000000" w:themeColor="text1"/>
          <w:sz w:val="20"/>
          <w:szCs w:val="20"/>
        </w:rPr>
        <w:t>”</w:t>
      </w:r>
      <w:r w:rsidRPr="00767026">
        <w:rPr>
          <w:rFonts w:ascii="Century Gothic" w:eastAsia="Calibri" w:hAnsi="Century Gothic" w:cs="Arial"/>
          <w:color w:val="000000" w:themeColor="text1"/>
          <w:sz w:val="20"/>
          <w:szCs w:val="20"/>
          <w:lang w:val="es-ES_tradnl"/>
        </w:rPr>
        <w:t>.</w:t>
      </w:r>
      <w:r w:rsidRPr="00767026">
        <w:rPr>
          <w:rFonts w:ascii="Century Gothic" w:eastAsia="Calibri" w:hAnsi="Century Gothic" w:cs="Arial"/>
          <w:color w:val="000000" w:themeColor="text1"/>
          <w:sz w:val="20"/>
          <w:szCs w:val="20"/>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vinculación de los proponentes a los ofrecimientos hechos, de manera que estos no puedan arrepentirse de la propuesta efectuada, </w:t>
      </w:r>
      <w:r w:rsidRPr="00767026">
        <w:rPr>
          <w:rFonts w:ascii="Century Gothic" w:eastAsia="Calibri" w:hAnsi="Century Gothic" w:cs="Arial"/>
          <w:i/>
          <w:color w:val="000000" w:themeColor="text1"/>
          <w:sz w:val="20"/>
          <w:szCs w:val="20"/>
        </w:rPr>
        <w:t>so pena</w:t>
      </w:r>
      <w:r w:rsidRPr="00767026">
        <w:rPr>
          <w:rFonts w:ascii="Century Gothic" w:eastAsia="Calibri" w:hAnsi="Century Gothic" w:cs="Arial"/>
          <w:color w:val="000000" w:themeColor="text1"/>
          <w:sz w:val="20"/>
          <w:szCs w:val="20"/>
        </w:rPr>
        <w:t xml:space="preserve"> de que se haga efectiva dicha garantía y, por tanto, quedes obligados a celebrar el contrato. De acuerdo, con esta idea, Roberto Dromi expresa: </w:t>
      </w:r>
      <w:r>
        <w:rPr>
          <w:rFonts w:ascii="Century Gothic" w:eastAsia="Times New Roman" w:hAnsi="Century Gothic" w:cs="Times New Roman"/>
          <w:color w:val="000000" w:themeColor="text1"/>
          <w:sz w:val="20"/>
          <w:szCs w:val="20"/>
          <w:lang w:eastAsia="es-CO"/>
        </w:rPr>
        <w:t>“</w:t>
      </w:r>
      <w:r w:rsidRPr="00767026">
        <w:rPr>
          <w:rFonts w:ascii="Century Gothic" w:eastAsia="Calibri" w:hAnsi="Century Gothic" w:cs="Arial"/>
          <w:color w:val="000000" w:themeColor="text1"/>
          <w:sz w:val="20"/>
          <w:szCs w:val="20"/>
        </w:rPr>
        <w:t xml:space="preserve">Las </w:t>
      </w:r>
      <w:r w:rsidRPr="00767026">
        <w:rPr>
          <w:rFonts w:ascii="Century Gothic" w:eastAsia="Calibri" w:hAnsi="Century Gothic" w:cs="Arial"/>
          <w:i/>
          <w:color w:val="000000" w:themeColor="text1"/>
          <w:sz w:val="20"/>
          <w:szCs w:val="20"/>
        </w:rPr>
        <w:t xml:space="preserve">garantías provisionales </w:t>
      </w:r>
      <w:r w:rsidRPr="00767026">
        <w:rPr>
          <w:rFonts w:ascii="Century Gothic" w:eastAsia="Calibri" w:hAnsi="Century Gothic" w:cs="Arial"/>
          <w:color w:val="000000" w:themeColor="text1"/>
          <w:sz w:val="20"/>
          <w:szCs w:val="20"/>
        </w:rPr>
        <w:t xml:space="preserve">avalan la oferta del contratista y constituyen una caución </w:t>
      </w:r>
      <w:r w:rsidRPr="00767026">
        <w:rPr>
          <w:rFonts w:ascii="Century Gothic" w:eastAsia="Calibri" w:hAnsi="Century Gothic" w:cs="Arial"/>
          <w:i/>
          <w:color w:val="000000" w:themeColor="text1"/>
          <w:sz w:val="20"/>
          <w:szCs w:val="20"/>
        </w:rPr>
        <w:t xml:space="preserve">precontractual </w:t>
      </w:r>
      <w:r w:rsidRPr="00767026">
        <w:rPr>
          <w:rFonts w:ascii="Century Gothic" w:eastAsia="Calibri" w:hAnsi="Century Gothic" w:cs="Arial"/>
          <w:color w:val="000000" w:themeColor="text1"/>
          <w:sz w:val="20"/>
          <w:szCs w:val="20"/>
        </w:rPr>
        <w:t xml:space="preserve">destinada a </w:t>
      </w:r>
      <w:r w:rsidRPr="00767026">
        <w:rPr>
          <w:rFonts w:ascii="Century Gothic" w:eastAsia="Calibri" w:hAnsi="Century Gothic" w:cs="Arial"/>
          <w:i/>
          <w:color w:val="000000" w:themeColor="text1"/>
          <w:sz w:val="20"/>
          <w:szCs w:val="20"/>
        </w:rPr>
        <w:t>asegurar la celebración del contrato</w:t>
      </w:r>
      <w:r w:rsidRPr="00767026">
        <w:rPr>
          <w:rFonts w:ascii="Century Gothic" w:eastAsia="Calibri" w:hAnsi="Century Gothic" w:cs="Arial"/>
          <w:color w:val="000000" w:themeColor="text1"/>
          <w:sz w:val="20"/>
          <w:szCs w:val="20"/>
        </w:rPr>
        <w:t>, no su cumplimiento […]</w:t>
      </w:r>
      <w:r>
        <w:rPr>
          <w:rFonts w:ascii="Century Gothic" w:eastAsia="Calibri" w:hAnsi="Century Gothic" w:cs="Arial"/>
          <w:color w:val="000000" w:themeColor="text1"/>
          <w:sz w:val="20"/>
          <w:szCs w:val="20"/>
        </w:rPr>
        <w:t>”</w:t>
      </w:r>
      <w:r w:rsidRPr="00767026">
        <w:rPr>
          <w:rFonts w:ascii="Century Gothic" w:eastAsia="Calibri" w:hAnsi="Century Gothic" w:cs="Arial"/>
          <w:color w:val="000000" w:themeColor="text1"/>
          <w:sz w:val="20"/>
          <w:szCs w:val="20"/>
        </w:rPr>
        <w:t>.</w:t>
      </w:r>
    </w:p>
    <w:p w14:paraId="03E97E53" w14:textId="77777777" w:rsidR="00767026" w:rsidRPr="00767026" w:rsidRDefault="00767026" w:rsidP="00767026">
      <w:pPr>
        <w:spacing w:after="0" w:line="240" w:lineRule="auto"/>
        <w:jc w:val="both"/>
        <w:rPr>
          <w:rFonts w:ascii="Century Gothic" w:eastAsia="Calibri" w:hAnsi="Century Gothic" w:cs="Arial"/>
          <w:color w:val="000000" w:themeColor="text1"/>
          <w:sz w:val="20"/>
          <w:szCs w:val="20"/>
          <w:lang w:val="es-ES" w:eastAsia="es-ES_tradnl"/>
        </w:rPr>
      </w:pPr>
    </w:p>
    <w:p w14:paraId="2F9FE249" w14:textId="77777777" w:rsidR="00767026" w:rsidRPr="00767026" w:rsidRDefault="00767026" w:rsidP="00767026">
      <w:pPr>
        <w:spacing w:after="0" w:line="240" w:lineRule="auto"/>
        <w:jc w:val="both"/>
        <w:rPr>
          <w:rFonts w:ascii="Century Gothic" w:eastAsia="Calibri" w:hAnsi="Century Gothic" w:cs="Arial"/>
          <w:color w:val="000000" w:themeColor="text1"/>
          <w:sz w:val="20"/>
          <w:szCs w:val="20"/>
          <w:lang w:val="es-ES"/>
        </w:rPr>
      </w:pPr>
      <w:r w:rsidRPr="00767026">
        <w:rPr>
          <w:rFonts w:ascii="Century Gothic" w:eastAsia="Calibri" w:hAnsi="Century Gothic" w:cs="Arial"/>
          <w:color w:val="000000" w:themeColor="text1"/>
          <w:sz w:val="20"/>
          <w:szCs w:val="20"/>
          <w:lang w:val="es-ES" w:eastAsia="es-ES_tradnl"/>
        </w:rPr>
        <w:t>Esta garantía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puesto que pondría en desventaja a los demás oferentes, en perjuicio de los principios de igualdad y buena fe.</w:t>
      </w:r>
    </w:p>
    <w:p w14:paraId="347AC036" w14:textId="77777777" w:rsidR="00640F3C" w:rsidRDefault="00640F3C" w:rsidP="005B4382">
      <w:pPr>
        <w:spacing w:after="0" w:line="276" w:lineRule="auto"/>
        <w:jc w:val="both"/>
        <w:rPr>
          <w:rFonts w:ascii="Century Gothic" w:hAnsi="Century Gothic" w:cs="Arial"/>
          <w:noProof/>
          <w:lang w:val="es-ES_tradnl"/>
        </w:rPr>
      </w:pPr>
    </w:p>
    <w:p w14:paraId="4ED942B9" w14:textId="77777777" w:rsidR="00A6559E" w:rsidRDefault="00A6559E" w:rsidP="005B4382">
      <w:pPr>
        <w:spacing w:after="0" w:line="276" w:lineRule="auto"/>
        <w:jc w:val="both"/>
        <w:rPr>
          <w:rFonts w:ascii="Century Gothic" w:hAnsi="Century Gothic" w:cs="Arial"/>
          <w:noProof/>
          <w:lang w:val="es-ES_tradnl"/>
        </w:rPr>
      </w:pPr>
    </w:p>
    <w:p w14:paraId="0D9058A5" w14:textId="77777777" w:rsidR="00A6559E" w:rsidRDefault="00A6559E" w:rsidP="005B4382">
      <w:pPr>
        <w:spacing w:after="0" w:line="276" w:lineRule="auto"/>
        <w:jc w:val="both"/>
        <w:rPr>
          <w:rFonts w:ascii="Century Gothic" w:hAnsi="Century Gothic" w:cs="Arial"/>
          <w:noProof/>
          <w:lang w:val="es-ES_tradnl"/>
        </w:rPr>
      </w:pPr>
    </w:p>
    <w:p w14:paraId="63BADC5A" w14:textId="77777777" w:rsidR="00A6559E" w:rsidRDefault="00A6559E" w:rsidP="005B4382">
      <w:pPr>
        <w:spacing w:after="0" w:line="276" w:lineRule="auto"/>
        <w:jc w:val="both"/>
        <w:rPr>
          <w:rFonts w:ascii="Century Gothic" w:hAnsi="Century Gothic" w:cs="Arial"/>
          <w:noProof/>
          <w:lang w:val="es-ES_tradnl"/>
        </w:rPr>
      </w:pPr>
    </w:p>
    <w:p w14:paraId="49C4D5F8" w14:textId="77777777" w:rsidR="007979CA" w:rsidRDefault="007979CA" w:rsidP="007979CA">
      <w:pPr>
        <w:spacing w:after="0" w:line="240" w:lineRule="auto"/>
        <w:jc w:val="both"/>
        <w:rPr>
          <w:rFonts w:ascii="Century Gothic" w:eastAsia="Calibri" w:hAnsi="Century Gothic" w:cs="Arial"/>
          <w:b/>
          <w:lang w:val="es-ES"/>
        </w:rPr>
      </w:pPr>
    </w:p>
    <w:p w14:paraId="7A2D82DE" w14:textId="7E0E8217" w:rsidR="007979CA" w:rsidRPr="007979CA" w:rsidRDefault="007979CA" w:rsidP="007979CA">
      <w:pPr>
        <w:spacing w:after="0" w:line="240" w:lineRule="auto"/>
        <w:jc w:val="both"/>
        <w:rPr>
          <w:rFonts w:ascii="Century Gothic" w:eastAsia="Calibri" w:hAnsi="Century Gothic" w:cs="Arial"/>
          <w:b/>
          <w:lang w:val="es-ES"/>
        </w:rPr>
      </w:pPr>
      <w:r w:rsidRPr="007979CA">
        <w:rPr>
          <w:rFonts w:ascii="Century Gothic" w:eastAsia="Calibri" w:hAnsi="Century Gothic" w:cs="Arial"/>
          <w:b/>
          <w:lang w:val="es-ES"/>
        </w:rPr>
        <w:t>GARANTÍA DE CUMPLIMIENTO – Amparos – Finalidad</w:t>
      </w:r>
    </w:p>
    <w:p w14:paraId="3F0278DB" w14:textId="77777777" w:rsidR="007979CA" w:rsidRPr="007979CA" w:rsidRDefault="007979CA" w:rsidP="007979CA">
      <w:pPr>
        <w:spacing w:after="0" w:line="240" w:lineRule="auto"/>
        <w:jc w:val="both"/>
        <w:rPr>
          <w:rFonts w:ascii="Century Gothic" w:eastAsia="Calibri" w:hAnsi="Century Gothic" w:cs="Arial"/>
          <w:b/>
          <w:lang w:val="es-ES"/>
        </w:rPr>
      </w:pPr>
    </w:p>
    <w:p w14:paraId="5CE34D49" w14:textId="77777777" w:rsidR="007979CA" w:rsidRPr="007979CA" w:rsidRDefault="007979CA" w:rsidP="007979CA">
      <w:pPr>
        <w:spacing w:after="120" w:line="240" w:lineRule="auto"/>
        <w:jc w:val="both"/>
        <w:rPr>
          <w:rFonts w:ascii="Century Gothic" w:eastAsia="Times New Roman" w:hAnsi="Century Gothic" w:cs="Arial"/>
          <w:bCs/>
          <w:color w:val="000000" w:themeColor="text1"/>
          <w:sz w:val="20"/>
          <w:szCs w:val="20"/>
          <w:lang w:val="es-ES_tradnl"/>
        </w:rPr>
      </w:pPr>
      <w:r w:rsidRPr="007979CA">
        <w:rPr>
          <w:rFonts w:ascii="Century Gothic" w:eastAsia="Calibri" w:hAnsi="Century Gothic" w:cs="Arial"/>
          <w:bCs/>
          <w:sz w:val="20"/>
          <w:szCs w:val="20"/>
          <w:lang w:val="es-ES"/>
        </w:rPr>
        <w:t xml:space="preserve">[…] </w:t>
      </w:r>
      <w:r w:rsidRPr="007979CA">
        <w:rPr>
          <w:rFonts w:ascii="Century Gothic" w:eastAsia="Times New Roman" w:hAnsi="Century Gothic" w:cs="Arial"/>
          <w:bCs/>
          <w:color w:val="000000" w:themeColor="text1"/>
          <w:sz w:val="20"/>
          <w:szCs w:val="20"/>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1718E0A9" w14:textId="77777777" w:rsidR="007979CA" w:rsidRDefault="007979CA" w:rsidP="007979CA">
      <w:pPr>
        <w:spacing w:after="0" w:line="240" w:lineRule="auto"/>
        <w:jc w:val="both"/>
        <w:rPr>
          <w:rFonts w:ascii="Century Gothic" w:eastAsia="Calibri" w:hAnsi="Century Gothic" w:cs="Arial"/>
          <w:color w:val="000000"/>
          <w:sz w:val="20"/>
          <w:szCs w:val="20"/>
          <w:lang w:val="es-ES_tradnl"/>
        </w:rPr>
      </w:pPr>
      <w:r w:rsidRPr="007979CA">
        <w:rPr>
          <w:rFonts w:ascii="Century Gothic" w:eastAsia="Times New Roman" w:hAnsi="Century Gothic" w:cs="Arial"/>
          <w:bCs/>
          <w:color w:val="000000" w:themeColor="text1"/>
          <w:sz w:val="20"/>
          <w:szCs w:val="20"/>
          <w:lang w:val="es-ES_tradnl"/>
        </w:rPr>
        <w:t xml:space="preserve">Finalizando con el análisis general del régimen de garantías en el Decreto 1082 de 2015, </w:t>
      </w:r>
      <w:r w:rsidRPr="007979CA">
        <w:rPr>
          <w:rFonts w:ascii="Century Gothic" w:eastAsia="Calibri" w:hAnsi="Century Gothic" w:cs="Arial"/>
          <w:color w:val="000000"/>
          <w:sz w:val="20"/>
          <w:szCs w:val="20"/>
          <w:lang w:val="es-ES" w:eastAsia="es-ES_tradnl"/>
        </w:rPr>
        <w:t xml:space="preserve">los artículos 2.2.1.2.3.1.6 y 2.2.1.2.3.1.9 establecen las condiciones que debe cumplir la garantía de los riesgos derivados del incumplimiento de la oferta. </w:t>
      </w:r>
      <w:r w:rsidRPr="007979CA">
        <w:rPr>
          <w:rFonts w:ascii="Century Gothic" w:eastAsia="Calibri" w:hAnsi="Century Gothic" w:cs="Arial"/>
          <w:color w:val="000000"/>
          <w:sz w:val="20"/>
          <w:szCs w:val="20"/>
          <w:lang w:val="es-ES_tradnl"/>
        </w:rPr>
        <w:t xml:space="preserve">De otro lado, el artículo 2.2.1.3.1.7 prescribe que la garantía de cumplimiento debe cubrir: i) el buen manejo y correcta inversión del anticipo; </w:t>
      </w:r>
      <w:proofErr w:type="spellStart"/>
      <w:r w:rsidRPr="007979CA">
        <w:rPr>
          <w:rFonts w:ascii="Century Gothic" w:eastAsia="Calibri" w:hAnsi="Century Gothic" w:cs="Arial"/>
          <w:color w:val="000000"/>
          <w:sz w:val="20"/>
          <w:szCs w:val="20"/>
          <w:lang w:val="es-ES_tradnl"/>
        </w:rPr>
        <w:t>ii</w:t>
      </w:r>
      <w:proofErr w:type="spellEnd"/>
      <w:r w:rsidRPr="007979CA">
        <w:rPr>
          <w:rFonts w:ascii="Century Gothic" w:eastAsia="Calibri" w:hAnsi="Century Gothic" w:cs="Arial"/>
          <w:color w:val="000000"/>
          <w:sz w:val="20"/>
          <w:szCs w:val="20"/>
          <w:lang w:val="es-ES_tradnl"/>
        </w:rPr>
        <w:t xml:space="preserve">) la devolución del pago anticipado; </w:t>
      </w:r>
      <w:proofErr w:type="spellStart"/>
      <w:r w:rsidRPr="007979CA">
        <w:rPr>
          <w:rFonts w:ascii="Century Gothic" w:eastAsia="Calibri" w:hAnsi="Century Gothic" w:cs="Arial"/>
          <w:color w:val="000000"/>
          <w:sz w:val="20"/>
          <w:szCs w:val="20"/>
          <w:lang w:val="es-ES_tradnl"/>
        </w:rPr>
        <w:t>iii</w:t>
      </w:r>
      <w:proofErr w:type="spellEnd"/>
      <w:r w:rsidRPr="007979CA">
        <w:rPr>
          <w:rFonts w:ascii="Century Gothic" w:eastAsia="Calibri" w:hAnsi="Century Gothic" w:cs="Arial"/>
          <w:color w:val="000000"/>
          <w:sz w:val="20"/>
          <w:szCs w:val="20"/>
          <w:lang w:val="es-ES_tradnl"/>
        </w:rPr>
        <w:t xml:space="preserve">) el cumplimiento del contrato; </w:t>
      </w:r>
      <w:proofErr w:type="spellStart"/>
      <w:r w:rsidRPr="007979CA">
        <w:rPr>
          <w:rFonts w:ascii="Century Gothic" w:eastAsia="Calibri" w:hAnsi="Century Gothic" w:cs="Arial"/>
          <w:color w:val="000000"/>
          <w:sz w:val="20"/>
          <w:szCs w:val="20"/>
          <w:lang w:val="es-ES_tradnl"/>
        </w:rPr>
        <w:t>iv</w:t>
      </w:r>
      <w:proofErr w:type="spellEnd"/>
      <w:r w:rsidRPr="007979CA">
        <w:rPr>
          <w:rFonts w:ascii="Century Gothic" w:eastAsia="Calibri" w:hAnsi="Century Gothic" w:cs="Arial"/>
          <w:color w:val="000000"/>
          <w:sz w:val="20"/>
          <w:szCs w:val="20"/>
          <w:lang w:val="es-ES_tradnl"/>
        </w:rPr>
        <w:t xml:space="preserve">) el pago de salarios, prestaciones sociales legales e indemnizaciones laborales; v) la estabilidad y calidad de la obra; vi) la calidad del servicio; </w:t>
      </w:r>
      <w:proofErr w:type="spellStart"/>
      <w:r w:rsidRPr="007979CA">
        <w:rPr>
          <w:rFonts w:ascii="Century Gothic" w:eastAsia="Calibri" w:hAnsi="Century Gothic" w:cs="Arial"/>
          <w:color w:val="000000"/>
          <w:sz w:val="20"/>
          <w:szCs w:val="20"/>
          <w:lang w:val="es-ES_tradnl"/>
        </w:rPr>
        <w:t>vii</w:t>
      </w:r>
      <w:proofErr w:type="spellEnd"/>
      <w:r w:rsidRPr="007979CA">
        <w:rPr>
          <w:rFonts w:ascii="Century Gothic" w:eastAsia="Calibri" w:hAnsi="Century Gothic" w:cs="Arial"/>
          <w:color w:val="000000"/>
          <w:sz w:val="20"/>
          <w:szCs w:val="20"/>
          <w:lang w:val="es-ES_tradnl"/>
        </w:rPr>
        <w:t xml:space="preserve">) la calidad y correcto funcionamiento de los bienes; y </w:t>
      </w:r>
      <w:proofErr w:type="spellStart"/>
      <w:r w:rsidRPr="007979CA">
        <w:rPr>
          <w:rFonts w:ascii="Century Gothic" w:eastAsia="Calibri" w:hAnsi="Century Gothic" w:cs="Arial"/>
          <w:color w:val="000000"/>
          <w:sz w:val="20"/>
          <w:szCs w:val="20"/>
          <w:lang w:val="es-ES_tradnl"/>
        </w:rPr>
        <w:t>viii</w:t>
      </w:r>
      <w:proofErr w:type="spellEnd"/>
      <w:r w:rsidRPr="007979CA">
        <w:rPr>
          <w:rFonts w:ascii="Century Gothic" w:eastAsia="Calibri" w:hAnsi="Century Gothic" w:cs="Arial"/>
          <w:color w:val="000000"/>
          <w:sz w:val="20"/>
          <w:szCs w:val="20"/>
          <w:lang w:val="es-ES_tradnl"/>
        </w:rPr>
        <w:t>) los demás incumplimientos de las obligaciones que la entidad estatal considere deben ser amparados.</w:t>
      </w:r>
    </w:p>
    <w:p w14:paraId="58C5C51F" w14:textId="77777777" w:rsidR="00C60C0D" w:rsidRDefault="00C60C0D" w:rsidP="007979CA">
      <w:pPr>
        <w:spacing w:after="0" w:line="240" w:lineRule="auto"/>
        <w:jc w:val="both"/>
        <w:rPr>
          <w:rFonts w:ascii="Century Gothic" w:eastAsia="Calibri" w:hAnsi="Century Gothic" w:cs="Arial"/>
          <w:color w:val="000000"/>
          <w:sz w:val="20"/>
          <w:szCs w:val="20"/>
          <w:lang w:val="es-ES_tradnl"/>
        </w:rPr>
      </w:pPr>
    </w:p>
    <w:p w14:paraId="0E2C3E49" w14:textId="77777777" w:rsidR="00A35C8B" w:rsidRPr="003A0861" w:rsidRDefault="00A35C8B" w:rsidP="007979CA">
      <w:pPr>
        <w:spacing w:after="0" w:line="240" w:lineRule="auto"/>
        <w:jc w:val="both"/>
        <w:rPr>
          <w:rFonts w:ascii="Century Gothic" w:eastAsia="Calibri" w:hAnsi="Century Gothic" w:cs="Arial"/>
          <w:color w:val="000000"/>
          <w:sz w:val="20"/>
          <w:szCs w:val="20"/>
          <w:lang w:val="es-ES_tradnl"/>
        </w:rPr>
      </w:pPr>
    </w:p>
    <w:p w14:paraId="432135D0" w14:textId="77777777" w:rsidR="003A0861" w:rsidRPr="003A0861" w:rsidRDefault="003A0861" w:rsidP="003A0861">
      <w:pPr>
        <w:tabs>
          <w:tab w:val="left" w:pos="426"/>
        </w:tabs>
        <w:jc w:val="both"/>
        <w:rPr>
          <w:rFonts w:ascii="Century Gothic" w:hAnsi="Century Gothic" w:cs="Arial"/>
          <w:b/>
          <w:sz w:val="20"/>
          <w:szCs w:val="20"/>
          <w:lang w:eastAsia="es-CO"/>
        </w:rPr>
      </w:pPr>
      <w:r w:rsidRPr="003A0861">
        <w:rPr>
          <w:rFonts w:ascii="Century Gothic" w:hAnsi="Century Gothic" w:cs="Arial"/>
          <w:b/>
          <w:sz w:val="20"/>
          <w:szCs w:val="20"/>
          <w:lang w:eastAsia="es-CO"/>
        </w:rPr>
        <w:t xml:space="preserve">GARANTÍA DE ESTABILIDAD Y CALIDAD DE LA OBRA – Suficiencia – Decreto 1082 de 2015 </w:t>
      </w:r>
    </w:p>
    <w:p w14:paraId="6C1A426E" w14:textId="77777777" w:rsidR="003A0861" w:rsidRPr="003A0861" w:rsidRDefault="003A0861" w:rsidP="003A0861">
      <w:pPr>
        <w:tabs>
          <w:tab w:val="left" w:pos="426"/>
        </w:tabs>
        <w:jc w:val="both"/>
        <w:rPr>
          <w:rFonts w:ascii="Century Gothic" w:hAnsi="Century Gothic" w:cs="Arial"/>
          <w:b/>
          <w:sz w:val="20"/>
          <w:szCs w:val="20"/>
          <w:lang w:eastAsia="es-CO"/>
        </w:rPr>
      </w:pPr>
    </w:p>
    <w:p w14:paraId="51B4F29D" w14:textId="15CE3694" w:rsidR="003A0861" w:rsidRPr="003A0861" w:rsidRDefault="003A0861" w:rsidP="003A0861">
      <w:pPr>
        <w:tabs>
          <w:tab w:val="left" w:pos="426"/>
        </w:tabs>
        <w:jc w:val="both"/>
        <w:rPr>
          <w:rFonts w:ascii="Century Gothic" w:hAnsi="Century Gothic" w:cs="Arial"/>
          <w:bCs/>
          <w:sz w:val="20"/>
          <w:szCs w:val="20"/>
          <w:lang w:eastAsia="es-CO"/>
        </w:rPr>
      </w:pPr>
      <w:r w:rsidRPr="003A0861">
        <w:rPr>
          <w:rFonts w:ascii="Century Gothic" w:hAnsi="Century Gothic" w:cs="Arial"/>
          <w:bCs/>
          <w:sz w:val="20"/>
          <w:szCs w:val="20"/>
          <w:lang w:eastAsia="es-CO"/>
        </w:rPr>
        <w:t xml:space="preserve">De acuerdo con el artículo 2.2.1.2.3.1.14 del Decreto 1082 de 2015 modificado por el Decreto 399 de 2021, la garantía de estabilidad y calidad de la obra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w:t>
      </w:r>
    </w:p>
    <w:p w14:paraId="2B750D20" w14:textId="63A58748" w:rsidR="003A0861" w:rsidRPr="003A0861" w:rsidRDefault="003A0861" w:rsidP="003A0861">
      <w:pPr>
        <w:tabs>
          <w:tab w:val="left" w:pos="426"/>
        </w:tabs>
        <w:jc w:val="both"/>
        <w:rPr>
          <w:rFonts w:ascii="Century Gothic" w:hAnsi="Century Gothic" w:cs="Arial"/>
          <w:bCs/>
          <w:sz w:val="20"/>
          <w:szCs w:val="20"/>
          <w:lang w:eastAsia="es-CO"/>
        </w:rPr>
      </w:pPr>
      <w:r w:rsidRPr="003A0861">
        <w:rPr>
          <w:rFonts w:ascii="Century Gothic" w:hAnsi="Century Gothic" w:cs="Arial"/>
          <w:bCs/>
          <w:sz w:val="20"/>
          <w:szCs w:val="20"/>
          <w:lang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44853C86" w14:textId="77777777" w:rsidR="003A0861" w:rsidRPr="003A0861" w:rsidRDefault="003A0861" w:rsidP="003A0861">
      <w:pPr>
        <w:tabs>
          <w:tab w:val="left" w:pos="426"/>
        </w:tabs>
        <w:jc w:val="both"/>
        <w:rPr>
          <w:rFonts w:ascii="Century Gothic" w:hAnsi="Century Gothic" w:cs="Arial"/>
          <w:bCs/>
          <w:sz w:val="20"/>
          <w:szCs w:val="20"/>
          <w:lang w:eastAsia="es-CO"/>
        </w:rPr>
      </w:pPr>
      <w:r w:rsidRPr="003A0861">
        <w:rPr>
          <w:rFonts w:ascii="Century Gothic" w:hAnsi="Century Gothic" w:cs="Arial"/>
          <w:bCs/>
          <w:sz w:val="20"/>
          <w:szCs w:val="20"/>
          <w:lang w:eastAsia="es-CO"/>
        </w:rPr>
        <w:t>La Entidad Estatal puede aceptar que esta garantía tenga una vigencia inferior a cinco (5) años previa justificación técnica de un experto en la materia objeto del contrato, lo cual se debe reflejar en los documentos del proceso. Como consecuencia del análisis anterior y según la complejidad técnica del contrato a celebrar, esta garantía podrá tener una vigencia inferior a cinco (5) años y en todo caso de mínimo un (1) año.</w:t>
      </w:r>
    </w:p>
    <w:p w14:paraId="466FA77D" w14:textId="77777777" w:rsidR="003A0861" w:rsidRPr="00FB589C" w:rsidRDefault="003A0861" w:rsidP="003A0861">
      <w:pPr>
        <w:jc w:val="both"/>
        <w:rPr>
          <w:rFonts w:ascii="Arial" w:eastAsia="Calibri" w:hAnsi="Arial" w:cs="Arial"/>
          <w:color w:val="000000" w:themeColor="text1"/>
          <w:sz w:val="20"/>
          <w:szCs w:val="20"/>
        </w:rPr>
      </w:pPr>
    </w:p>
    <w:p w14:paraId="447932D6" w14:textId="77777777" w:rsidR="003A0861" w:rsidRPr="00E0703C" w:rsidRDefault="003A0861" w:rsidP="003A0861">
      <w:pPr>
        <w:tabs>
          <w:tab w:val="left" w:pos="426"/>
        </w:tabs>
        <w:jc w:val="both"/>
        <w:rPr>
          <w:rFonts w:ascii="Arial" w:eastAsia="Calibri" w:hAnsi="Arial" w:cs="Arial"/>
          <w:b/>
          <w:bCs/>
          <w:color w:val="1A1A1A" w:themeColor="background1" w:themeShade="1A"/>
        </w:rPr>
      </w:pPr>
    </w:p>
    <w:p w14:paraId="71B63E98" w14:textId="77777777" w:rsidR="00C60C0D" w:rsidRDefault="00C60C0D" w:rsidP="007979CA">
      <w:pPr>
        <w:spacing w:after="0" w:line="240" w:lineRule="auto"/>
        <w:jc w:val="both"/>
        <w:rPr>
          <w:rFonts w:ascii="Arial" w:hAnsi="Arial" w:cs="Arial"/>
          <w:color w:val="1A1A1A" w:themeColor="background1" w:themeShade="1A"/>
          <w:lang w:val="es-ES_tradnl"/>
        </w:rPr>
      </w:pPr>
    </w:p>
    <w:p w14:paraId="115CC507" w14:textId="77777777" w:rsidR="003A0861" w:rsidRDefault="003A0861" w:rsidP="007979CA">
      <w:pPr>
        <w:spacing w:after="0" w:line="240" w:lineRule="auto"/>
        <w:jc w:val="both"/>
        <w:rPr>
          <w:rFonts w:ascii="Century Gothic" w:eastAsia="Calibri" w:hAnsi="Century Gothic" w:cs="Arial"/>
          <w:color w:val="000000"/>
          <w:sz w:val="20"/>
          <w:szCs w:val="20"/>
          <w:lang w:val="es-ES_tradnl"/>
        </w:rPr>
      </w:pPr>
    </w:p>
    <w:p w14:paraId="42B21FC4" w14:textId="77777777" w:rsidR="00552238" w:rsidRPr="003E3D81" w:rsidRDefault="00552238" w:rsidP="00552238">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b/>
          <w:bCs/>
          <w:sz w:val="22"/>
          <w:szCs w:val="22"/>
        </w:rPr>
        <w:t>SOCIEDAD DE ECONOMÍA MIXTA – Régimen contractual</w:t>
      </w:r>
      <w:r w:rsidRPr="003E3D81">
        <w:rPr>
          <w:rStyle w:val="eop"/>
          <w:rFonts w:ascii="Century Gothic" w:hAnsi="Century Gothic" w:cs="Arial"/>
          <w:sz w:val="22"/>
          <w:szCs w:val="22"/>
        </w:rPr>
        <w:t> </w:t>
      </w:r>
    </w:p>
    <w:p w14:paraId="46798C3A" w14:textId="77777777" w:rsidR="00552238" w:rsidRPr="003E3D81" w:rsidRDefault="00552238" w:rsidP="00552238">
      <w:pPr>
        <w:pStyle w:val="paragraph"/>
        <w:spacing w:before="0" w:beforeAutospacing="0" w:after="0" w:afterAutospacing="0"/>
        <w:jc w:val="both"/>
        <w:textAlignment w:val="baseline"/>
        <w:rPr>
          <w:rFonts w:ascii="Century Gothic" w:hAnsi="Century Gothic" w:cs="Segoe UI"/>
          <w:sz w:val="18"/>
          <w:szCs w:val="18"/>
        </w:rPr>
      </w:pPr>
      <w:r w:rsidRPr="003E3D81">
        <w:rPr>
          <w:rStyle w:val="eop"/>
          <w:rFonts w:ascii="Century Gothic" w:hAnsi="Century Gothic" w:cs="Arial"/>
          <w:sz w:val="22"/>
          <w:szCs w:val="22"/>
        </w:rPr>
        <w:t> </w:t>
      </w:r>
    </w:p>
    <w:p w14:paraId="400567BC" w14:textId="70053BF2" w:rsidR="00552238" w:rsidRPr="003E3D81" w:rsidRDefault="00552238" w:rsidP="00552238">
      <w:pPr>
        <w:pStyle w:val="paragraph"/>
        <w:spacing w:before="0" w:beforeAutospacing="0" w:after="0" w:afterAutospacing="0"/>
        <w:jc w:val="both"/>
        <w:textAlignment w:val="baseline"/>
        <w:rPr>
          <w:rStyle w:val="normaltextrun"/>
          <w:rFonts w:ascii="Century Gothic" w:hAnsi="Century Gothic" w:cs="Arial"/>
          <w:sz w:val="20"/>
          <w:szCs w:val="20"/>
          <w:lang w:val="es-ES"/>
        </w:rPr>
      </w:pPr>
      <w:r w:rsidRPr="003E3D81">
        <w:rPr>
          <w:rStyle w:val="normaltextrun"/>
          <w:rFonts w:ascii="Century Gothic" w:hAnsi="Century Gothic" w:cs="Arial"/>
          <w:sz w:val="20"/>
          <w:szCs w:val="20"/>
          <w:lang w:val="es-ES"/>
        </w:rPr>
        <w:t xml:space="preserve">[…]estableció que del análisis de esta norma se concluye que: </w:t>
      </w:r>
      <w:r>
        <w:rPr>
          <w:rStyle w:val="normaltextrun"/>
          <w:rFonts w:ascii="Century Gothic" w:hAnsi="Century Gothic" w:cs="Arial"/>
          <w:sz w:val="20"/>
          <w:szCs w:val="20"/>
          <w:lang w:val="es-ES"/>
        </w:rPr>
        <w:t>“</w:t>
      </w:r>
      <w:r w:rsidRPr="003E3D81">
        <w:rPr>
          <w:rStyle w:val="normaltextrun"/>
          <w:rFonts w:ascii="Century Gothic" w:hAnsi="Century Gothic" w:cs="Arial"/>
          <w:sz w:val="20"/>
          <w:szCs w:val="20"/>
          <w:lang w:val="es-ES"/>
        </w:rPr>
        <w:t>si la participación estatal en una sociedad de economía mixta es superior al cincuenta por ciento (50%) de su capital, ya no le aplica el derecho privado, como es la regla general, sino el Estatuto General de Contratación de la Administración Pública</w:t>
      </w:r>
      <w:r>
        <w:rPr>
          <w:rStyle w:val="normaltextrun"/>
          <w:rFonts w:ascii="Century Gothic" w:hAnsi="Century Gothic" w:cs="Arial"/>
          <w:sz w:val="20"/>
          <w:szCs w:val="20"/>
          <w:lang w:val="es-ES"/>
        </w:rPr>
        <w:t>”</w:t>
      </w:r>
      <w:r w:rsidRPr="003E3D81">
        <w:rPr>
          <w:rStyle w:val="normaltextrun"/>
          <w:rFonts w:ascii="Century Gothic" w:hAnsi="Century Gothic" w:cs="Arial"/>
          <w:sz w:val="20"/>
          <w:szCs w:val="20"/>
          <w:lang w:val="es-ES"/>
        </w:rPr>
        <w:t>. Es claro, entonces, que las sociedades de economía mixta con participación estatal superior al cincuenta por ciento (50%) se rigen en materia contractual por la Ley 80 de 1993, de acuerdo con la libertad de configuración del legislador en la materia. </w:t>
      </w:r>
    </w:p>
    <w:p w14:paraId="2A6968E5" w14:textId="77777777" w:rsidR="00552238" w:rsidRPr="003E3D81" w:rsidRDefault="00552238" w:rsidP="00552238">
      <w:pPr>
        <w:pStyle w:val="paragraph"/>
        <w:spacing w:before="0" w:beforeAutospacing="0" w:after="0" w:afterAutospacing="0"/>
        <w:jc w:val="both"/>
        <w:textAlignment w:val="baseline"/>
        <w:rPr>
          <w:rStyle w:val="normaltextrun"/>
          <w:rFonts w:ascii="Century Gothic" w:hAnsi="Century Gothic" w:cs="Arial"/>
          <w:sz w:val="20"/>
          <w:szCs w:val="20"/>
          <w:lang w:val="es-ES"/>
        </w:rPr>
      </w:pPr>
    </w:p>
    <w:p w14:paraId="28E9EB9D" w14:textId="77777777" w:rsidR="00552238" w:rsidRPr="003E3D81" w:rsidRDefault="00552238" w:rsidP="00552238">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sz w:val="20"/>
          <w:szCs w:val="20"/>
          <w:lang w:val="es-ES"/>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r w:rsidRPr="003E3D81">
        <w:rPr>
          <w:rStyle w:val="eop"/>
          <w:rFonts w:ascii="Century Gothic" w:hAnsi="Century Gothic" w:cs="Arial"/>
        </w:rPr>
        <w:t> </w:t>
      </w:r>
    </w:p>
    <w:p w14:paraId="661CB84B" w14:textId="77777777" w:rsidR="006A358D" w:rsidRDefault="006A358D" w:rsidP="007979CA">
      <w:pPr>
        <w:spacing w:after="0" w:line="240" w:lineRule="auto"/>
        <w:jc w:val="both"/>
        <w:rPr>
          <w:rFonts w:ascii="Century Gothic" w:eastAsia="Calibri" w:hAnsi="Century Gothic" w:cs="Arial"/>
          <w:color w:val="000000"/>
          <w:sz w:val="20"/>
          <w:szCs w:val="20"/>
          <w:lang w:val="es-ES_tradnl"/>
        </w:rPr>
      </w:pPr>
    </w:p>
    <w:p w14:paraId="3295A303" w14:textId="77777777" w:rsidR="006A358D" w:rsidRPr="007979CA" w:rsidRDefault="006A358D" w:rsidP="007979CA">
      <w:pPr>
        <w:spacing w:after="0" w:line="240" w:lineRule="auto"/>
        <w:jc w:val="both"/>
        <w:rPr>
          <w:rFonts w:ascii="Century Gothic" w:eastAsia="Calibri" w:hAnsi="Century Gothic" w:cs="Arial"/>
          <w:color w:val="000000"/>
          <w:sz w:val="20"/>
          <w:szCs w:val="20"/>
          <w:lang w:val="es-ES_tradnl"/>
        </w:rPr>
      </w:pPr>
    </w:p>
    <w:p w14:paraId="48141455" w14:textId="77777777" w:rsidR="00A6559E" w:rsidRDefault="00A6559E" w:rsidP="005B4382">
      <w:pPr>
        <w:spacing w:after="0" w:line="276" w:lineRule="auto"/>
        <w:jc w:val="both"/>
        <w:rPr>
          <w:rFonts w:ascii="Century Gothic" w:hAnsi="Century Gothic" w:cs="Arial"/>
          <w:noProof/>
          <w:lang w:val="es-ES_tradnl"/>
        </w:rPr>
      </w:pPr>
    </w:p>
    <w:p w14:paraId="13C1733B" w14:textId="77777777" w:rsidR="00A6559E" w:rsidRDefault="00A6559E" w:rsidP="005B4382">
      <w:pPr>
        <w:spacing w:after="0" w:line="276" w:lineRule="auto"/>
        <w:jc w:val="both"/>
        <w:rPr>
          <w:rFonts w:ascii="Century Gothic" w:hAnsi="Century Gothic" w:cs="Arial"/>
          <w:noProof/>
          <w:lang w:val="es-ES_tradnl"/>
        </w:rPr>
      </w:pPr>
    </w:p>
    <w:p w14:paraId="4557B42E" w14:textId="77777777" w:rsidR="00A6559E" w:rsidRDefault="00A6559E" w:rsidP="005B4382">
      <w:pPr>
        <w:spacing w:after="0" w:line="276" w:lineRule="auto"/>
        <w:jc w:val="both"/>
        <w:rPr>
          <w:rFonts w:ascii="Century Gothic" w:hAnsi="Century Gothic" w:cs="Arial"/>
          <w:noProof/>
          <w:lang w:val="es-ES_tradnl"/>
        </w:rPr>
      </w:pPr>
    </w:p>
    <w:p w14:paraId="5D594BDC" w14:textId="77777777" w:rsidR="00A6559E" w:rsidRDefault="00A6559E" w:rsidP="005B4382">
      <w:pPr>
        <w:spacing w:after="0" w:line="276" w:lineRule="auto"/>
        <w:jc w:val="both"/>
        <w:rPr>
          <w:rFonts w:ascii="Century Gothic" w:hAnsi="Century Gothic" w:cs="Arial"/>
          <w:noProof/>
          <w:lang w:val="es-ES_tradnl"/>
        </w:rPr>
      </w:pPr>
    </w:p>
    <w:p w14:paraId="750D91F9" w14:textId="77777777" w:rsidR="00A6559E" w:rsidRDefault="00A6559E" w:rsidP="005B4382">
      <w:pPr>
        <w:spacing w:after="0" w:line="276" w:lineRule="auto"/>
        <w:jc w:val="both"/>
        <w:rPr>
          <w:rFonts w:ascii="Century Gothic" w:hAnsi="Century Gothic" w:cs="Arial"/>
          <w:noProof/>
          <w:lang w:val="es-ES_tradnl"/>
        </w:rPr>
      </w:pPr>
    </w:p>
    <w:p w14:paraId="0E6B94DF" w14:textId="77777777" w:rsidR="00A6559E" w:rsidRDefault="00A6559E" w:rsidP="005B4382">
      <w:pPr>
        <w:spacing w:after="0" w:line="276" w:lineRule="auto"/>
        <w:jc w:val="both"/>
        <w:rPr>
          <w:rFonts w:ascii="Century Gothic" w:hAnsi="Century Gothic" w:cs="Arial"/>
          <w:noProof/>
          <w:lang w:val="es-ES_tradnl"/>
        </w:rPr>
      </w:pPr>
    </w:p>
    <w:p w14:paraId="7CA8573F" w14:textId="77777777" w:rsidR="00A6559E" w:rsidRDefault="00A6559E" w:rsidP="005B4382">
      <w:pPr>
        <w:spacing w:after="0" w:line="276" w:lineRule="auto"/>
        <w:jc w:val="both"/>
        <w:rPr>
          <w:rFonts w:ascii="Century Gothic" w:hAnsi="Century Gothic" w:cs="Arial"/>
          <w:noProof/>
          <w:lang w:val="es-ES_tradnl"/>
        </w:rPr>
      </w:pPr>
    </w:p>
    <w:p w14:paraId="550926B2" w14:textId="77777777" w:rsidR="00A6559E" w:rsidRDefault="00A6559E" w:rsidP="005B4382">
      <w:pPr>
        <w:spacing w:after="0" w:line="276" w:lineRule="auto"/>
        <w:jc w:val="both"/>
        <w:rPr>
          <w:rFonts w:ascii="Century Gothic" w:hAnsi="Century Gothic" w:cs="Arial"/>
          <w:noProof/>
          <w:lang w:val="es-ES_tradnl"/>
        </w:rPr>
      </w:pPr>
    </w:p>
    <w:p w14:paraId="363AC36C" w14:textId="77777777" w:rsidR="00A6559E" w:rsidRDefault="00A6559E" w:rsidP="005B4382">
      <w:pPr>
        <w:spacing w:after="0" w:line="276" w:lineRule="auto"/>
        <w:jc w:val="both"/>
        <w:rPr>
          <w:rFonts w:ascii="Century Gothic" w:hAnsi="Century Gothic" w:cs="Arial"/>
          <w:noProof/>
          <w:lang w:val="es-ES_tradnl"/>
        </w:rPr>
      </w:pPr>
    </w:p>
    <w:p w14:paraId="3781E546" w14:textId="77777777" w:rsidR="00A6559E" w:rsidRDefault="00A6559E" w:rsidP="005B4382">
      <w:pPr>
        <w:spacing w:after="0" w:line="276" w:lineRule="auto"/>
        <w:jc w:val="both"/>
        <w:rPr>
          <w:rFonts w:ascii="Century Gothic" w:hAnsi="Century Gothic" w:cs="Arial"/>
          <w:noProof/>
          <w:lang w:val="es-ES_tradnl"/>
        </w:rPr>
      </w:pPr>
    </w:p>
    <w:p w14:paraId="3D254C49" w14:textId="77777777" w:rsidR="00A6559E" w:rsidRDefault="00A6559E" w:rsidP="005B4382">
      <w:pPr>
        <w:spacing w:after="0" w:line="276" w:lineRule="auto"/>
        <w:jc w:val="both"/>
        <w:rPr>
          <w:rFonts w:ascii="Century Gothic" w:hAnsi="Century Gothic" w:cs="Arial"/>
          <w:noProof/>
          <w:lang w:val="es-ES_tradnl"/>
        </w:rPr>
      </w:pPr>
    </w:p>
    <w:p w14:paraId="395F11C2" w14:textId="77777777" w:rsidR="00A6559E" w:rsidRDefault="00A6559E" w:rsidP="005B4382">
      <w:pPr>
        <w:spacing w:after="0" w:line="276" w:lineRule="auto"/>
        <w:jc w:val="both"/>
        <w:rPr>
          <w:rFonts w:ascii="Century Gothic" w:hAnsi="Century Gothic" w:cs="Arial"/>
          <w:noProof/>
          <w:lang w:val="es-ES_tradnl"/>
        </w:rPr>
      </w:pPr>
    </w:p>
    <w:p w14:paraId="1D9E1DD0" w14:textId="77777777" w:rsidR="00A6559E" w:rsidRDefault="00A6559E" w:rsidP="005B4382">
      <w:pPr>
        <w:spacing w:after="0" w:line="276" w:lineRule="auto"/>
        <w:jc w:val="both"/>
        <w:rPr>
          <w:rFonts w:ascii="Century Gothic" w:hAnsi="Century Gothic" w:cs="Arial"/>
          <w:noProof/>
          <w:lang w:val="es-ES_tradnl"/>
        </w:rPr>
      </w:pPr>
    </w:p>
    <w:p w14:paraId="07D0B51C" w14:textId="77777777" w:rsidR="00A6559E" w:rsidRDefault="00A6559E" w:rsidP="005B4382">
      <w:pPr>
        <w:spacing w:after="0" w:line="276" w:lineRule="auto"/>
        <w:jc w:val="both"/>
        <w:rPr>
          <w:rFonts w:ascii="Century Gothic" w:hAnsi="Century Gothic" w:cs="Arial"/>
          <w:noProof/>
          <w:lang w:val="es-ES_tradnl"/>
        </w:rPr>
      </w:pPr>
    </w:p>
    <w:p w14:paraId="34C06BBF" w14:textId="77777777" w:rsidR="00A6559E" w:rsidRDefault="00A6559E" w:rsidP="005B4382">
      <w:pPr>
        <w:spacing w:after="0" w:line="276" w:lineRule="auto"/>
        <w:jc w:val="both"/>
        <w:rPr>
          <w:rFonts w:ascii="Century Gothic" w:hAnsi="Century Gothic" w:cs="Arial"/>
          <w:noProof/>
          <w:lang w:val="es-ES_tradnl"/>
        </w:rPr>
      </w:pPr>
    </w:p>
    <w:p w14:paraId="6ED68A42" w14:textId="77777777" w:rsidR="00A6559E" w:rsidRDefault="00A6559E" w:rsidP="005B4382">
      <w:pPr>
        <w:spacing w:after="0" w:line="276" w:lineRule="auto"/>
        <w:jc w:val="both"/>
        <w:rPr>
          <w:rFonts w:ascii="Century Gothic" w:hAnsi="Century Gothic" w:cs="Arial"/>
          <w:noProof/>
          <w:lang w:val="es-ES_tradnl"/>
        </w:rPr>
      </w:pPr>
    </w:p>
    <w:p w14:paraId="3F561104" w14:textId="77777777" w:rsidR="00A6559E" w:rsidRDefault="00A6559E" w:rsidP="005B4382">
      <w:pPr>
        <w:spacing w:after="0" w:line="276" w:lineRule="auto"/>
        <w:jc w:val="both"/>
        <w:rPr>
          <w:rFonts w:ascii="Century Gothic" w:hAnsi="Century Gothic" w:cs="Arial"/>
          <w:noProof/>
          <w:lang w:val="es-ES_tradnl"/>
        </w:rPr>
      </w:pPr>
    </w:p>
    <w:p w14:paraId="66B00F7F" w14:textId="059BA6AE" w:rsidR="00EA1B6C" w:rsidRDefault="00EA1B6C" w:rsidP="005B4382">
      <w:pPr>
        <w:spacing w:after="0" w:line="276" w:lineRule="auto"/>
        <w:jc w:val="both"/>
        <w:rPr>
          <w:rFonts w:ascii="Century Gothic" w:hAnsi="Century Gothic" w:cs="Arial"/>
          <w:noProof/>
          <w:lang w:val="es-ES_tradnl"/>
        </w:rPr>
      </w:pPr>
      <w:r w:rsidRPr="00BA39FD">
        <w:rPr>
          <w:rFonts w:ascii="Century Gothic" w:hAnsi="Century Gothic" w:cs="Arial"/>
          <w:noProof/>
          <w:lang w:val="es-ES_tradnl"/>
        </w:rPr>
        <w:lastRenderedPageBreak/>
        <w:t>Bogotá D.C., [Día] [Mes.NombreCapitalizado] [Año]</w:t>
      </w:r>
      <w:r w:rsidRPr="00BA39FD">
        <w:rPr>
          <w:rFonts w:ascii="Century Gothic" w:hAnsi="Century Gothic" w:cs="Arial"/>
          <w:noProof/>
          <w:lang w:val="es-ES_tradnl"/>
        </w:rPr>
        <w:tab/>
      </w:r>
    </w:p>
    <w:p w14:paraId="0B4F60E5" w14:textId="6A1C1F11" w:rsidR="00EA1B6C" w:rsidRPr="00D039D0" w:rsidRDefault="00F932A0" w:rsidP="00F932A0">
      <w:pPr>
        <w:pStyle w:val="Sinespaciado"/>
        <w:jc w:val="right"/>
        <w:rPr>
          <w:rFonts w:ascii="Century Gothic" w:hAnsi="Century Gothic"/>
        </w:rPr>
      </w:pPr>
      <w:r w:rsidRPr="00F932A0">
        <w:rPr>
          <w:rFonts w:ascii="Century Gothic" w:hAnsi="Century Gothic"/>
          <w:sz w:val="22"/>
          <w:szCs w:val="20"/>
        </w:rPr>
        <w:drawing>
          <wp:inline distT="0" distB="0" distL="0" distR="0" wp14:anchorId="53E0B4DA" wp14:editId="6E86FBB0">
            <wp:extent cx="2382646" cy="864500"/>
            <wp:effectExtent l="0" t="0" r="0" b="0"/>
            <wp:docPr id="17411029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02995" name="Imagen 1" descr="Texto&#10;&#10;Descripción generada automáticamente"/>
                    <pic:cNvPicPr/>
                  </pic:nvPicPr>
                  <pic:blipFill>
                    <a:blip r:embed="rId11"/>
                    <a:stretch>
                      <a:fillRect/>
                    </a:stretch>
                  </pic:blipFill>
                  <pic:spPr>
                    <a:xfrm>
                      <a:off x="0" y="0"/>
                      <a:ext cx="2385819" cy="865651"/>
                    </a:xfrm>
                    <a:prstGeom prst="rect">
                      <a:avLst/>
                    </a:prstGeom>
                  </pic:spPr>
                </pic:pic>
              </a:graphicData>
            </a:graphic>
          </wp:inline>
        </w:drawing>
      </w:r>
    </w:p>
    <w:p w14:paraId="7F44D7ED" w14:textId="77777777" w:rsidR="00EA1B6C" w:rsidRPr="00D039D0" w:rsidRDefault="00EA1B6C" w:rsidP="005B4382">
      <w:pPr>
        <w:pStyle w:val="Sinespaciado"/>
        <w:rPr>
          <w:rFonts w:ascii="Century Gothic" w:hAnsi="Century Gothic"/>
          <w:sz w:val="22"/>
          <w:szCs w:val="20"/>
        </w:rPr>
      </w:pPr>
      <w:r w:rsidRPr="00D039D0">
        <w:rPr>
          <w:rFonts w:ascii="Century Gothic" w:hAnsi="Century Gothic"/>
          <w:sz w:val="22"/>
          <w:szCs w:val="20"/>
        </w:rPr>
        <w:t>Señor</w:t>
      </w:r>
    </w:p>
    <w:p w14:paraId="0F1C9BC8" w14:textId="6F10CB6B" w:rsidR="00EA1B6C" w:rsidRPr="00D039D0" w:rsidRDefault="00EA1B6C" w:rsidP="005B4382">
      <w:pPr>
        <w:pStyle w:val="Sinespaciado"/>
        <w:rPr>
          <w:rFonts w:ascii="Century Gothic" w:hAnsi="Century Gothic"/>
          <w:b/>
          <w:bCs/>
          <w:sz w:val="22"/>
          <w:szCs w:val="20"/>
        </w:rPr>
      </w:pPr>
      <w:r w:rsidRPr="00D039D0">
        <w:rPr>
          <w:rFonts w:ascii="Century Gothic" w:hAnsi="Century Gothic"/>
          <w:b/>
          <w:bCs/>
          <w:sz w:val="22"/>
          <w:szCs w:val="20"/>
        </w:rPr>
        <w:t>Santiago Castaño Salas</w:t>
      </w:r>
    </w:p>
    <w:p w14:paraId="579104B9" w14:textId="77777777" w:rsidR="00EA1B6C" w:rsidRPr="00D039D0" w:rsidRDefault="00EA1B6C" w:rsidP="005B4382">
      <w:pPr>
        <w:pStyle w:val="Sinespaciado"/>
        <w:rPr>
          <w:rFonts w:ascii="Century Gothic" w:hAnsi="Century Gothic"/>
          <w:sz w:val="22"/>
          <w:szCs w:val="20"/>
        </w:rPr>
      </w:pPr>
      <w:r w:rsidRPr="00D039D0">
        <w:rPr>
          <w:rFonts w:ascii="Century Gothic" w:hAnsi="Century Gothic"/>
          <w:sz w:val="22"/>
          <w:szCs w:val="20"/>
        </w:rPr>
        <w:t>Gerente comercial de la Sociedad de Activos Especiales S.A.S</w:t>
      </w:r>
    </w:p>
    <w:p w14:paraId="716F0878" w14:textId="77777777" w:rsidR="00EA1B6C" w:rsidRPr="00D039D0" w:rsidRDefault="00EA1B6C" w:rsidP="005B4382">
      <w:pPr>
        <w:pStyle w:val="Sinespaciado"/>
        <w:rPr>
          <w:rFonts w:ascii="Century Gothic" w:hAnsi="Century Gothic"/>
          <w:sz w:val="22"/>
          <w:szCs w:val="20"/>
        </w:rPr>
      </w:pPr>
      <w:r w:rsidRPr="00D039D0">
        <w:rPr>
          <w:rFonts w:ascii="Century Gothic" w:hAnsi="Century Gothic"/>
          <w:sz w:val="22"/>
          <w:szCs w:val="20"/>
        </w:rPr>
        <w:t>cargomez@saesas.gov.co</w:t>
      </w:r>
    </w:p>
    <w:p w14:paraId="4BA4C693" w14:textId="08D1E55A" w:rsidR="00EA1B6C" w:rsidRPr="00D039D0" w:rsidRDefault="00EA1B6C" w:rsidP="005B4382">
      <w:pPr>
        <w:pStyle w:val="Sinespaciado"/>
        <w:rPr>
          <w:rFonts w:ascii="Century Gothic" w:hAnsi="Century Gothic"/>
          <w:sz w:val="22"/>
          <w:szCs w:val="20"/>
        </w:rPr>
      </w:pPr>
      <w:r w:rsidRPr="00D039D0">
        <w:rPr>
          <w:rFonts w:ascii="Century Gothic" w:hAnsi="Century Gothic"/>
          <w:sz w:val="22"/>
          <w:szCs w:val="20"/>
        </w:rPr>
        <w:t>Ciudad</w:t>
      </w:r>
      <w:r w:rsidR="00F932A0" w:rsidRPr="00F932A0">
        <w:rPr>
          <w:noProof/>
        </w:rPr>
        <w:t xml:space="preserve"> </w:t>
      </w:r>
    </w:p>
    <w:p w14:paraId="0B62CD4C" w14:textId="77777777" w:rsidR="00EA1B6C" w:rsidRPr="00884C5C" w:rsidRDefault="00EA1B6C" w:rsidP="005B4382">
      <w:pPr>
        <w:spacing w:after="0"/>
        <w:rPr>
          <w:rFonts w:ascii="Century Gothic" w:eastAsia="Calibri" w:hAnsi="Century Gothic" w:cs="Arial"/>
          <w:lang w:val="es-ES_tradnl"/>
        </w:rPr>
      </w:pPr>
    </w:p>
    <w:p w14:paraId="686A928E" w14:textId="77777777" w:rsidR="00EA1B6C" w:rsidRPr="00884C5C" w:rsidRDefault="00EA1B6C" w:rsidP="005B4382">
      <w:pPr>
        <w:spacing w:after="0"/>
        <w:ind w:left="2694"/>
        <w:rPr>
          <w:rFonts w:ascii="Century Gothic" w:eastAsia="Calibri" w:hAnsi="Century Gothic" w:cs="Arial"/>
          <w:b/>
          <w:bCs/>
          <w:lang w:val="es-ES"/>
        </w:rPr>
      </w:pPr>
      <w:r w:rsidRPr="00884C5C">
        <w:rPr>
          <w:rFonts w:ascii="Century Gothic" w:eastAsia="Calibri" w:hAnsi="Century Gothic" w:cs="Arial"/>
          <w:b/>
          <w:bCs/>
          <w:lang w:val="es-ES"/>
        </w:rPr>
        <w:t>Concepto C-386 de 2023</w:t>
      </w:r>
    </w:p>
    <w:p w14:paraId="5B854965" w14:textId="77777777" w:rsidR="00EA1B6C" w:rsidRPr="00884C5C" w:rsidRDefault="00EA1B6C" w:rsidP="005B4382">
      <w:pPr>
        <w:spacing w:after="0"/>
        <w:jc w:val="both"/>
        <w:rPr>
          <w:rFonts w:ascii="Century Gothic" w:eastAsia="Calibri" w:hAnsi="Century Gothic" w:cs="Arial"/>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A1B6C" w:rsidRPr="00884C5C" w14:paraId="3467BF7E" w14:textId="77777777" w:rsidTr="008C406E">
        <w:trPr>
          <w:jc w:val="right"/>
        </w:trPr>
        <w:tc>
          <w:tcPr>
            <w:tcW w:w="1838" w:type="dxa"/>
          </w:tcPr>
          <w:p w14:paraId="235D928B" w14:textId="77777777" w:rsidR="00EA1B6C" w:rsidRPr="00884C5C" w:rsidRDefault="00EA1B6C" w:rsidP="005B4382">
            <w:pPr>
              <w:jc w:val="center"/>
              <w:rPr>
                <w:rFonts w:ascii="Century Gothic" w:eastAsia="Calibri" w:hAnsi="Century Gothic" w:cs="Arial"/>
                <w:lang w:val="es-ES_tradnl"/>
              </w:rPr>
            </w:pPr>
            <w:r w:rsidRPr="00884C5C">
              <w:rPr>
                <w:rFonts w:ascii="Century Gothic" w:eastAsia="Calibri" w:hAnsi="Century Gothic" w:cs="Arial"/>
                <w:b/>
                <w:lang w:val="es-ES_tradnl"/>
              </w:rPr>
              <w:t>Temas:</w:t>
            </w:r>
          </w:p>
        </w:tc>
        <w:tc>
          <w:tcPr>
            <w:tcW w:w="6237" w:type="dxa"/>
          </w:tcPr>
          <w:p w14:paraId="57CB92B8" w14:textId="09CE4318" w:rsidR="00EA1B6C" w:rsidRPr="00884C5C" w:rsidRDefault="00EA1B6C" w:rsidP="005B4382">
            <w:pPr>
              <w:jc w:val="both"/>
              <w:rPr>
                <w:rFonts w:ascii="Century Gothic" w:eastAsia="Calibri" w:hAnsi="Century Gothic" w:cs="Arial"/>
              </w:rPr>
            </w:pPr>
            <w:r w:rsidRPr="00884C5C">
              <w:rPr>
                <w:rFonts w:ascii="Century Gothic" w:eastAsia="Calibri" w:hAnsi="Century Gothic" w:cs="Arial"/>
              </w:rPr>
              <w:t xml:space="preserve">GARANTÍAS – Contratación estatal – Constitución de garantías – Finalidad – Cumplimiento – Obligaciones contractuales </w:t>
            </w:r>
            <w:r w:rsidR="005E30EE">
              <w:rPr>
                <w:rFonts w:ascii="Century Gothic" w:eastAsia="Calibri" w:hAnsi="Century Gothic" w:cs="Arial"/>
              </w:rPr>
              <w:t xml:space="preserve">/ </w:t>
            </w:r>
            <w:r w:rsidRPr="00884C5C">
              <w:rPr>
                <w:rFonts w:ascii="Century Gothic" w:eastAsia="Calibri" w:hAnsi="Century Gothic" w:cs="Arial"/>
              </w:rPr>
              <w:t>TIPOS DE GARANTÍAS/ GARANTÍA DE SERIEDAD – Alcance – Finalidad / GARANTÍA DE CUMPLIMIENTO – Amparos – Finalidad/</w:t>
            </w:r>
            <w:r w:rsidRPr="00884C5C">
              <w:t xml:space="preserve"> </w:t>
            </w:r>
            <w:r w:rsidRPr="00884C5C">
              <w:rPr>
                <w:rFonts w:ascii="Century Gothic" w:eastAsia="Calibri" w:hAnsi="Century Gothic" w:cs="Arial"/>
              </w:rPr>
              <w:t>GARANTÍA DE ESTABILIDAD Y CALIDAD DE LA OBRA</w:t>
            </w:r>
            <w:r w:rsidR="002F2C32">
              <w:rPr>
                <w:rFonts w:ascii="Century Gothic" w:eastAsia="Calibri" w:hAnsi="Century Gothic" w:cs="Arial"/>
              </w:rPr>
              <w:t xml:space="preserve"> </w:t>
            </w:r>
            <w:r w:rsidRPr="00884C5C">
              <w:rPr>
                <w:rFonts w:ascii="Century Gothic" w:eastAsia="Calibri" w:hAnsi="Century Gothic" w:cs="Arial"/>
              </w:rPr>
              <w:t>– Finalidad</w:t>
            </w:r>
            <w:r w:rsidR="002F2C32">
              <w:rPr>
                <w:rFonts w:ascii="Century Gothic" w:eastAsia="Calibri" w:hAnsi="Century Gothic" w:cs="Arial"/>
              </w:rPr>
              <w:t xml:space="preserve"> </w:t>
            </w:r>
            <w:r w:rsidRPr="00884C5C">
              <w:rPr>
                <w:rFonts w:ascii="Century Gothic" w:eastAsia="Calibri" w:hAnsi="Century Gothic" w:cs="Arial"/>
              </w:rPr>
              <w:t>/ SOCIEDAD DE ECONOMÍA MIXTA – Régimen contractual</w:t>
            </w:r>
          </w:p>
          <w:p w14:paraId="23F62149" w14:textId="77777777" w:rsidR="00EA1B6C" w:rsidRPr="00884C5C" w:rsidRDefault="00EA1B6C" w:rsidP="005B4382">
            <w:pPr>
              <w:jc w:val="both"/>
              <w:rPr>
                <w:rFonts w:ascii="Century Gothic" w:hAnsi="Century Gothic" w:cs="Arial"/>
                <w:lang w:val="es-ES_tradnl"/>
              </w:rPr>
            </w:pPr>
          </w:p>
        </w:tc>
      </w:tr>
      <w:tr w:rsidR="00EA1B6C" w:rsidRPr="00884C5C" w14:paraId="367B1B1C" w14:textId="77777777" w:rsidTr="008C406E">
        <w:trPr>
          <w:jc w:val="right"/>
        </w:trPr>
        <w:tc>
          <w:tcPr>
            <w:tcW w:w="1838" w:type="dxa"/>
          </w:tcPr>
          <w:p w14:paraId="0B2A13AD" w14:textId="77777777" w:rsidR="00EA1B6C" w:rsidRPr="00884C5C" w:rsidRDefault="00EA1B6C" w:rsidP="005B4382">
            <w:pPr>
              <w:jc w:val="center"/>
              <w:rPr>
                <w:rFonts w:ascii="Century Gothic" w:eastAsia="Calibri" w:hAnsi="Century Gothic" w:cs="Arial"/>
                <w:b/>
                <w:lang w:val="es-ES"/>
              </w:rPr>
            </w:pPr>
            <w:r w:rsidRPr="00884C5C">
              <w:rPr>
                <w:rFonts w:ascii="Century Gothic" w:eastAsia="Calibri" w:hAnsi="Century Gothic" w:cs="Arial"/>
                <w:b/>
                <w:lang w:val="es-ES"/>
              </w:rPr>
              <w:t>Radicación:</w:t>
            </w:r>
          </w:p>
        </w:tc>
        <w:tc>
          <w:tcPr>
            <w:tcW w:w="6237" w:type="dxa"/>
          </w:tcPr>
          <w:p w14:paraId="68419196" w14:textId="77777777" w:rsidR="00EA1B6C" w:rsidRPr="00884C5C" w:rsidRDefault="00EA1B6C" w:rsidP="005B4382">
            <w:pPr>
              <w:jc w:val="both"/>
              <w:rPr>
                <w:rFonts w:ascii="Century Gothic" w:eastAsia="Calibri" w:hAnsi="Century Gothic" w:cs="Arial"/>
                <w:lang w:val="es-ES"/>
              </w:rPr>
            </w:pPr>
            <w:r w:rsidRPr="00884C5C">
              <w:rPr>
                <w:rFonts w:ascii="Century Gothic" w:eastAsia="Calibri" w:hAnsi="Century Gothic" w:cs="Arial"/>
                <w:lang w:val="es-ES"/>
              </w:rPr>
              <w:t>Respuesta a consulta P20231222017877</w:t>
            </w:r>
          </w:p>
        </w:tc>
      </w:tr>
    </w:tbl>
    <w:p w14:paraId="2BCBBF10" w14:textId="77777777" w:rsidR="00EA1B6C" w:rsidRPr="00884C5C" w:rsidRDefault="00EA1B6C" w:rsidP="005B4382">
      <w:pPr>
        <w:spacing w:after="0"/>
        <w:jc w:val="both"/>
        <w:rPr>
          <w:rFonts w:ascii="Century Gothic" w:eastAsia="Calibri" w:hAnsi="Century Gothic" w:cs="Arial"/>
          <w:lang w:val="es-ES_tradnl"/>
        </w:rPr>
      </w:pPr>
    </w:p>
    <w:p w14:paraId="03397004" w14:textId="77777777" w:rsidR="00EA1B6C" w:rsidRPr="00884C5C" w:rsidRDefault="00EA1B6C" w:rsidP="005B4382">
      <w:pPr>
        <w:spacing w:after="0"/>
        <w:jc w:val="both"/>
        <w:rPr>
          <w:rFonts w:ascii="Century Gothic" w:eastAsia="Calibri" w:hAnsi="Century Gothic" w:cs="Arial"/>
          <w:bCs/>
          <w:lang w:val="es-ES_tradnl"/>
        </w:rPr>
      </w:pPr>
      <w:r w:rsidRPr="00884C5C">
        <w:rPr>
          <w:rFonts w:ascii="Century Gothic" w:eastAsia="Calibri" w:hAnsi="Century Gothic" w:cs="Arial"/>
          <w:lang w:val="es-ES_tradnl"/>
        </w:rPr>
        <w:t xml:space="preserve">Estimado señor </w:t>
      </w:r>
      <w:r w:rsidRPr="00884C5C">
        <w:rPr>
          <w:rFonts w:ascii="Century Gothic" w:eastAsia="Calibri" w:hAnsi="Century Gothic" w:cs="Arial"/>
          <w:bCs/>
          <w:lang w:val="es-ES_tradnl"/>
        </w:rPr>
        <w:t>Castaño Salas:</w:t>
      </w:r>
    </w:p>
    <w:p w14:paraId="4D8AFF07" w14:textId="77777777" w:rsidR="00EA1B6C" w:rsidRPr="00884C5C" w:rsidRDefault="00EA1B6C" w:rsidP="005B4382">
      <w:pPr>
        <w:spacing w:after="0"/>
        <w:jc w:val="both"/>
        <w:rPr>
          <w:rFonts w:ascii="Century Gothic" w:eastAsia="Calibri" w:hAnsi="Century Gothic" w:cs="Arial"/>
          <w:lang w:val="es-ES_tradnl"/>
        </w:rPr>
      </w:pPr>
    </w:p>
    <w:p w14:paraId="68668483" w14:textId="77777777" w:rsidR="00EA1B6C" w:rsidRDefault="00EA1B6C" w:rsidP="005B4382">
      <w:pPr>
        <w:spacing w:after="0" w:line="276" w:lineRule="auto"/>
        <w:jc w:val="both"/>
        <w:rPr>
          <w:rFonts w:ascii="Century Gothic" w:eastAsia="Calibri" w:hAnsi="Century Gothic" w:cs="Arial"/>
          <w:lang w:val="es-ES"/>
        </w:rPr>
      </w:pPr>
      <w:r w:rsidRPr="00884C5C">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 consulta del 22 de diciembre de 2023.</w:t>
      </w:r>
    </w:p>
    <w:p w14:paraId="60C268EC" w14:textId="77777777" w:rsidR="005B4382" w:rsidRDefault="005B4382" w:rsidP="005B4382">
      <w:pPr>
        <w:spacing w:after="0" w:line="276" w:lineRule="auto"/>
        <w:jc w:val="both"/>
        <w:rPr>
          <w:rFonts w:ascii="Century Gothic" w:eastAsia="Calibri" w:hAnsi="Century Gothic" w:cs="Arial"/>
          <w:lang w:val="es-ES"/>
        </w:rPr>
      </w:pPr>
    </w:p>
    <w:p w14:paraId="7E2B573D" w14:textId="77777777" w:rsidR="001B3092" w:rsidRDefault="001B3092" w:rsidP="005B4382">
      <w:pPr>
        <w:spacing w:after="0" w:line="276" w:lineRule="auto"/>
        <w:jc w:val="both"/>
        <w:rPr>
          <w:rFonts w:ascii="Century Gothic" w:eastAsia="Calibri" w:hAnsi="Century Gothic" w:cs="Arial"/>
          <w:lang w:val="es-ES"/>
        </w:rPr>
      </w:pPr>
    </w:p>
    <w:p w14:paraId="6F735A38" w14:textId="77777777" w:rsidR="00EA1B6C" w:rsidRDefault="00EA1B6C" w:rsidP="005B4382">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884C5C">
        <w:rPr>
          <w:rFonts w:ascii="Century Gothic" w:eastAsia="Calibri" w:hAnsi="Century Gothic" w:cs="Arial"/>
          <w:b/>
          <w:lang w:val="es-ES_tradnl"/>
        </w:rPr>
        <w:t xml:space="preserve">Problema planteado </w:t>
      </w:r>
    </w:p>
    <w:p w14:paraId="4C2C37B8" w14:textId="77777777" w:rsidR="00D87DA4" w:rsidRPr="00884C5C" w:rsidRDefault="00D87DA4" w:rsidP="00D87DA4">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703E651E" w14:textId="24B9E644" w:rsidR="00EA1B6C" w:rsidRPr="00884C5C" w:rsidRDefault="00EA1B6C" w:rsidP="005B4382">
      <w:pPr>
        <w:spacing w:after="0" w:line="276" w:lineRule="auto"/>
        <w:ind w:left="709" w:right="709"/>
        <w:jc w:val="both"/>
        <w:rPr>
          <w:rFonts w:ascii="Century Gothic" w:hAnsi="Century Gothic" w:cs="Arial"/>
          <w:sz w:val="21"/>
          <w:szCs w:val="21"/>
          <w:lang w:val="es-ES_tradnl"/>
        </w:rPr>
      </w:pPr>
      <w:r w:rsidRPr="00884C5C">
        <w:rPr>
          <w:rFonts w:ascii="Century Gothic" w:hAnsi="Century Gothic" w:cs="Arial"/>
          <w:lang w:val="es-ES_tradnl"/>
        </w:rPr>
        <w:t xml:space="preserve">Se procede a hacer la siguiente consulta: </w:t>
      </w:r>
      <w:r w:rsidRPr="00884C5C">
        <w:rPr>
          <w:rFonts w:ascii="Century Gothic" w:hAnsi="Century Gothic" w:cs="Arial"/>
          <w:sz w:val="21"/>
          <w:szCs w:val="21"/>
          <w:lang w:val="es-ES_tradnl"/>
        </w:rPr>
        <w:t>“¿Qué se entiende por garantía? ¿Cuáles son los tipos de garantías? ¿Cuáles son las normas que regulan las garantías de los contratos celebrados por una entidad pública, particularmente una sociedad de economía mixta? ¿Qué es lo mínimo que debe cubrir una garantía? ¿Un pagaré en blanco constituye una garantía?”</w:t>
      </w:r>
      <w:r w:rsidR="002E0EE4">
        <w:rPr>
          <w:rFonts w:ascii="Century Gothic" w:hAnsi="Century Gothic" w:cs="Arial"/>
          <w:sz w:val="21"/>
          <w:szCs w:val="21"/>
          <w:lang w:val="es-ES_tradnl"/>
        </w:rPr>
        <w:t xml:space="preserve"> (SIC)</w:t>
      </w:r>
    </w:p>
    <w:p w14:paraId="6920A08C" w14:textId="77777777" w:rsidR="001B3092" w:rsidRDefault="001B3092" w:rsidP="005B4382">
      <w:pPr>
        <w:spacing w:after="0" w:line="276" w:lineRule="auto"/>
        <w:ind w:right="709"/>
        <w:jc w:val="both"/>
        <w:rPr>
          <w:rFonts w:ascii="Century Gothic" w:hAnsi="Century Gothic" w:cs="Arial"/>
          <w:sz w:val="21"/>
          <w:szCs w:val="21"/>
          <w:lang w:val="es-ES_tradnl"/>
        </w:rPr>
      </w:pPr>
    </w:p>
    <w:p w14:paraId="629B4A0F" w14:textId="77777777" w:rsidR="009764FE" w:rsidRDefault="009764FE" w:rsidP="005B4382">
      <w:pPr>
        <w:spacing w:after="0" w:line="276" w:lineRule="auto"/>
        <w:ind w:right="709"/>
        <w:jc w:val="both"/>
        <w:rPr>
          <w:rFonts w:ascii="Century Gothic" w:hAnsi="Century Gothic" w:cs="Arial"/>
          <w:sz w:val="21"/>
          <w:szCs w:val="21"/>
          <w:lang w:val="es-ES_tradnl"/>
        </w:rPr>
      </w:pPr>
    </w:p>
    <w:p w14:paraId="049EDC8D" w14:textId="77777777" w:rsidR="00F55250" w:rsidRDefault="00F55250" w:rsidP="005B4382">
      <w:pPr>
        <w:spacing w:after="0" w:line="276" w:lineRule="auto"/>
        <w:ind w:right="709"/>
        <w:jc w:val="both"/>
        <w:rPr>
          <w:rFonts w:ascii="Century Gothic" w:hAnsi="Century Gothic" w:cs="Arial"/>
          <w:sz w:val="21"/>
          <w:szCs w:val="21"/>
          <w:lang w:val="es-ES_tradnl"/>
        </w:rPr>
      </w:pPr>
    </w:p>
    <w:p w14:paraId="7C6FC8A8" w14:textId="77777777" w:rsidR="005B4382" w:rsidRDefault="005B4382" w:rsidP="005B4382">
      <w:pPr>
        <w:spacing w:after="0" w:line="276" w:lineRule="auto"/>
        <w:ind w:right="709"/>
        <w:jc w:val="both"/>
        <w:rPr>
          <w:rFonts w:ascii="Century Gothic" w:hAnsi="Century Gothic" w:cs="Arial"/>
          <w:sz w:val="21"/>
          <w:szCs w:val="21"/>
          <w:lang w:val="es-ES_tradnl"/>
        </w:rPr>
      </w:pPr>
    </w:p>
    <w:p w14:paraId="144A58FD" w14:textId="77777777" w:rsidR="00EA1B6C" w:rsidRPr="00884C5C" w:rsidRDefault="00EA1B6C" w:rsidP="005B4382">
      <w:pPr>
        <w:pStyle w:val="Prrafodelista"/>
        <w:numPr>
          <w:ilvl w:val="0"/>
          <w:numId w:val="17"/>
        </w:numPr>
        <w:tabs>
          <w:tab w:val="left" w:pos="0"/>
          <w:tab w:val="left" w:pos="284"/>
        </w:tabs>
        <w:spacing w:after="0" w:line="240" w:lineRule="auto"/>
        <w:ind w:left="0" w:firstLine="0"/>
        <w:contextualSpacing w:val="0"/>
        <w:jc w:val="both"/>
        <w:rPr>
          <w:rFonts w:ascii="Century Gothic" w:eastAsia="Calibri" w:hAnsi="Century Gothic" w:cs="Arial"/>
          <w:b/>
          <w:lang w:val="es-ES_tradnl"/>
        </w:rPr>
      </w:pPr>
      <w:r w:rsidRPr="00884C5C">
        <w:rPr>
          <w:rFonts w:ascii="Century Gothic" w:eastAsia="Calibri" w:hAnsi="Century Gothic" w:cs="Arial"/>
          <w:b/>
          <w:lang w:val="es-ES_tradnl"/>
        </w:rPr>
        <w:t>Consideraciones</w:t>
      </w:r>
    </w:p>
    <w:p w14:paraId="03449803" w14:textId="77777777" w:rsidR="00EA1B6C" w:rsidRPr="00884C5C" w:rsidRDefault="00EA1B6C" w:rsidP="005B4382">
      <w:pPr>
        <w:pStyle w:val="Prrafodelista"/>
        <w:tabs>
          <w:tab w:val="left" w:pos="0"/>
          <w:tab w:val="left" w:pos="284"/>
        </w:tabs>
        <w:spacing w:after="0"/>
        <w:ind w:left="0"/>
        <w:contextualSpacing w:val="0"/>
        <w:jc w:val="both"/>
        <w:rPr>
          <w:rFonts w:ascii="Century Gothic" w:eastAsia="Calibri" w:hAnsi="Century Gothic" w:cs="Arial"/>
          <w:b/>
          <w:lang w:val="es-ES_tradnl"/>
        </w:rPr>
      </w:pPr>
    </w:p>
    <w:p w14:paraId="7988641B" w14:textId="094F4BE5" w:rsidR="00EA1B6C" w:rsidRPr="00884C5C" w:rsidRDefault="00EA1B6C" w:rsidP="00D87DA4">
      <w:pPr>
        <w:spacing w:after="120" w:line="276" w:lineRule="auto"/>
        <w:jc w:val="both"/>
        <w:rPr>
          <w:rFonts w:ascii="Century Gothic" w:hAnsi="Century Gothic" w:cs="Arial"/>
          <w:lang w:val="es-ES"/>
        </w:rPr>
      </w:pPr>
      <w:r w:rsidRPr="00884C5C">
        <w:rPr>
          <w:rFonts w:ascii="Century Gothic" w:hAnsi="Century Gothic" w:cs="Aria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884C5C">
        <w:rPr>
          <w:rFonts w:ascii="Century Gothic" w:hAnsi="Century Gothic" w:cs="Arial"/>
          <w:lang w:val="es-ES"/>
        </w:rPr>
        <w:t xml:space="preserve">Es necesario tener en cuenta que </w:t>
      </w:r>
      <w:bookmarkStart w:id="2" w:name="_Hlk61026958"/>
      <w:r w:rsidRPr="00884C5C">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84C5C">
        <w:rPr>
          <w:rFonts w:ascii="Century Gothic" w:hAnsi="Century Gothic" w:cs="Arial"/>
        </w:rPr>
        <w:t xml:space="preserve"> de todos los partícipes de la contratación estatal.</w:t>
      </w:r>
    </w:p>
    <w:p w14:paraId="007568C9" w14:textId="77777777" w:rsidR="00EA1B6C" w:rsidRPr="00884C5C" w:rsidRDefault="00EA1B6C" w:rsidP="00D87DA4">
      <w:pPr>
        <w:spacing w:after="120" w:line="276" w:lineRule="auto"/>
        <w:ind w:firstLine="708"/>
        <w:jc w:val="both"/>
        <w:rPr>
          <w:rFonts w:ascii="Century Gothic" w:hAnsi="Century Gothic" w:cs="Arial"/>
          <w:lang w:val="es-ES"/>
        </w:rPr>
      </w:pPr>
      <w:r w:rsidRPr="00884C5C">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84C5C">
        <w:rPr>
          <w:rStyle w:val="Refdenotaalpie"/>
          <w:rFonts w:ascii="Century Gothic" w:hAnsi="Century Gothic" w:cs="Arial"/>
        </w:rPr>
        <w:footnoteReference w:id="1"/>
      </w:r>
      <w:r w:rsidRPr="00884C5C">
        <w:rPr>
          <w:rFonts w:ascii="Century Gothic" w:hAnsi="Century Gothic"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884C5C">
        <w:rPr>
          <w:rFonts w:ascii="Century Gothic" w:hAnsi="Century Gothic"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33418CB6" w14:textId="77777777" w:rsidR="00EA1B6C" w:rsidRPr="00884C5C" w:rsidRDefault="00EA1B6C" w:rsidP="00D87DA4">
      <w:pPr>
        <w:tabs>
          <w:tab w:val="left" w:pos="426"/>
        </w:tabs>
        <w:spacing w:after="120" w:line="276" w:lineRule="auto"/>
        <w:jc w:val="both"/>
        <w:rPr>
          <w:rFonts w:ascii="Century Gothic" w:eastAsia="Calibri" w:hAnsi="Century Gothic" w:cs="Arial"/>
          <w:bCs/>
        </w:rPr>
      </w:pPr>
      <w:r w:rsidRPr="00884C5C">
        <w:rPr>
          <w:rFonts w:ascii="Century Gothic" w:hAnsi="Century Gothic" w:cs="Arial"/>
        </w:rPr>
        <w:tab/>
      </w:r>
      <w:r w:rsidRPr="00884C5C">
        <w:rPr>
          <w:rFonts w:ascii="Century Gothic" w:hAnsi="Century Gothic" w:cs="Arial"/>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884C5C">
        <w:rPr>
          <w:rFonts w:ascii="Century Gothic" w:eastAsia="Calibri" w:hAnsi="Century Gothic" w:cs="Arial"/>
          <w:lang w:val="es-ES"/>
        </w:rPr>
        <w:t>los siguientes temas</w:t>
      </w:r>
      <w:r w:rsidRPr="00884C5C">
        <w:rPr>
          <w:rFonts w:ascii="Century Gothic" w:hAnsi="Century Gothic" w:cs="Arial"/>
          <w:lang w:val="es-ES"/>
        </w:rPr>
        <w:t xml:space="preserve">: </w:t>
      </w:r>
      <w:r w:rsidRPr="00884C5C">
        <w:rPr>
          <w:rFonts w:ascii="Century Gothic" w:hAnsi="Century Gothic" w:cs="Arial"/>
          <w:lang w:val="es-ES_tradnl"/>
        </w:rPr>
        <w:t xml:space="preserve">i) </w:t>
      </w:r>
      <w:r w:rsidRPr="00884C5C">
        <w:rPr>
          <w:rFonts w:ascii="Century Gothic" w:hAnsi="Century Gothic" w:cs="Arial"/>
          <w:lang w:val="es-ES_tradnl"/>
        </w:rPr>
        <w:lastRenderedPageBreak/>
        <w:t xml:space="preserve">Garantías en la contratación estatal, y </w:t>
      </w:r>
      <w:proofErr w:type="spellStart"/>
      <w:r w:rsidRPr="00884C5C">
        <w:rPr>
          <w:rFonts w:ascii="Century Gothic" w:hAnsi="Century Gothic" w:cs="Arial"/>
          <w:lang w:val="es-ES"/>
        </w:rPr>
        <w:t>ii</w:t>
      </w:r>
      <w:proofErr w:type="spellEnd"/>
      <w:r w:rsidRPr="00884C5C">
        <w:rPr>
          <w:rFonts w:ascii="Century Gothic" w:hAnsi="Century Gothic" w:cs="Arial"/>
          <w:lang w:val="es-ES"/>
        </w:rPr>
        <w:t xml:space="preserve">) </w:t>
      </w:r>
      <w:r w:rsidRPr="00884C5C">
        <w:rPr>
          <w:rFonts w:ascii="Century Gothic" w:eastAsia="Calibri" w:hAnsi="Century Gothic" w:cs="Arial"/>
          <w:bCs/>
        </w:rPr>
        <w:t>Régimen contractual de las Sociedades de Economía Mixta.</w:t>
      </w:r>
    </w:p>
    <w:p w14:paraId="74BFE39A" w14:textId="64100816" w:rsidR="00EA1B6C" w:rsidRPr="00884C5C" w:rsidRDefault="004B721F" w:rsidP="00D87DA4">
      <w:pPr>
        <w:tabs>
          <w:tab w:val="left" w:pos="426"/>
        </w:tabs>
        <w:spacing w:after="120" w:line="276" w:lineRule="auto"/>
        <w:jc w:val="both"/>
        <w:rPr>
          <w:rFonts w:ascii="Century Gothic" w:eastAsia="Calibri" w:hAnsi="Century Gothic" w:cs="Arial"/>
          <w:lang w:val="es-ES"/>
        </w:rPr>
      </w:pPr>
      <w:r>
        <w:rPr>
          <w:rFonts w:ascii="Century Gothic" w:eastAsia="Calibri" w:hAnsi="Century Gothic" w:cs="Arial"/>
          <w:lang w:val="es-ES"/>
        </w:rPr>
        <w:tab/>
      </w:r>
      <w:r>
        <w:rPr>
          <w:rFonts w:ascii="Century Gothic" w:eastAsia="Calibri" w:hAnsi="Century Gothic" w:cs="Arial"/>
          <w:lang w:val="es-ES"/>
        </w:rPr>
        <w:tab/>
      </w:r>
      <w:r w:rsidR="00EA1B6C" w:rsidRPr="00884C5C">
        <w:rPr>
          <w:rFonts w:ascii="Century Gothic" w:eastAsia="Calibri" w:hAnsi="Century Gothic" w:cs="Arial"/>
          <w:lang w:val="es-ES"/>
        </w:rPr>
        <w:t xml:space="preserve">La Agencia Nacional de Contratación Pública – Colombia Compra Eficiente, en los conceptos 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se </w:t>
      </w:r>
      <w:r w:rsidR="00EA1B6C" w:rsidRPr="00884C5C">
        <w:rPr>
          <w:rFonts w:ascii="Century Gothic" w:eastAsia="Calibri" w:hAnsi="Century Gothic" w:cs="Arial"/>
          <w:lang w:val="es-ES" w:eastAsia="es-ES"/>
        </w:rPr>
        <w:t xml:space="preserve">pronunció </w:t>
      </w:r>
      <w:r w:rsidR="00EA1B6C" w:rsidRPr="00884C5C">
        <w:rPr>
          <w:rFonts w:ascii="Century Gothic" w:hAnsi="Century Gothic" w:cs="Arial"/>
          <w:lang w:val="es-ES"/>
        </w:rPr>
        <w:t>en términos generales sobre las garantías en la contratación estatal</w:t>
      </w:r>
      <w:r w:rsidR="00EA1B6C" w:rsidRPr="00884C5C">
        <w:rPr>
          <w:rFonts w:ascii="Century Gothic" w:eastAsia="Calibri" w:hAnsi="Century Gothic" w:cs="Arial"/>
          <w:lang w:val="es-ES"/>
        </w:rPr>
        <w:t xml:space="preserve">. Así mismo, </w:t>
      </w:r>
      <w:r w:rsidR="00EA1B6C" w:rsidRPr="00884C5C">
        <w:rPr>
          <w:rStyle w:val="normaltextrun"/>
          <w:rFonts w:ascii="Century Gothic" w:hAnsi="Century Gothic" w:cs="Arial"/>
          <w:shd w:val="clear" w:color="auto" w:fill="FFFFFF"/>
          <w:lang w:val="es-ES"/>
        </w:rPr>
        <w:t xml:space="preserve">se pronunció sobre el régimen de las sociedades de economía mixta en los conceptos </w:t>
      </w:r>
      <w:r w:rsidR="00EA1B6C" w:rsidRPr="00884C5C">
        <w:rPr>
          <w:rFonts w:ascii="Century Gothic" w:eastAsia="Calibri" w:hAnsi="Century Gothic" w:cs="Arial"/>
          <w:lang w:val="es-ES"/>
        </w:rPr>
        <w:t>C- 762 del 6 de enero de 2020, C-089 del 22 de marzo de 2022, C-458 de 17 de julio de 2022, C-147 de 27 de julio de 2023 y C-296 del 17 de agosto de 2023</w:t>
      </w:r>
      <w:r w:rsidR="00EA1B6C" w:rsidRPr="00884C5C">
        <w:rPr>
          <w:rStyle w:val="Refdenotaalpie"/>
          <w:rFonts w:ascii="Century Gothic" w:eastAsia="Calibri" w:hAnsi="Century Gothic" w:cs="Arial"/>
        </w:rPr>
        <w:footnoteReference w:id="2"/>
      </w:r>
      <w:r w:rsidR="00EA1B6C" w:rsidRPr="00884C5C">
        <w:rPr>
          <w:rFonts w:ascii="Century Gothic" w:eastAsia="Calibri" w:hAnsi="Century Gothic" w:cs="Arial"/>
          <w:lang w:val="es-ES"/>
        </w:rPr>
        <w:t xml:space="preserve">. Las tesis expuestas en estos conceptos se reiteran a continuación y se complementan en lo pertinente, teniendo en cuenta los interrogantes planteados. </w:t>
      </w:r>
    </w:p>
    <w:p w14:paraId="008B8D36" w14:textId="77777777" w:rsidR="00EA1B6C" w:rsidRPr="00884C5C" w:rsidRDefault="00EA1B6C" w:rsidP="005B4382">
      <w:pPr>
        <w:spacing w:after="0" w:line="276" w:lineRule="auto"/>
        <w:ind w:firstLine="709"/>
        <w:jc w:val="both"/>
        <w:rPr>
          <w:rFonts w:ascii="Century Gothic" w:eastAsia="Calibri" w:hAnsi="Century Gothic" w:cs="Arial"/>
          <w:lang w:val="es-ES"/>
        </w:rPr>
      </w:pPr>
    </w:p>
    <w:p w14:paraId="04B50F09" w14:textId="77777777" w:rsidR="00EA1B6C" w:rsidRPr="00884C5C" w:rsidRDefault="00EA1B6C" w:rsidP="005B4382">
      <w:pPr>
        <w:spacing w:after="0" w:line="276" w:lineRule="auto"/>
        <w:jc w:val="both"/>
        <w:rPr>
          <w:rFonts w:ascii="Century Gothic" w:hAnsi="Century Gothic" w:cs="Arial"/>
          <w:b/>
          <w:bCs/>
          <w:lang w:val="es-ES_tradnl"/>
        </w:rPr>
      </w:pPr>
      <w:r w:rsidRPr="00884C5C">
        <w:rPr>
          <w:rFonts w:ascii="Century Gothic" w:eastAsia="Calibri" w:hAnsi="Century Gothic" w:cs="Arial"/>
          <w:b/>
          <w:bCs/>
          <w:lang w:eastAsia="en-GB"/>
        </w:rPr>
        <w:t xml:space="preserve">2.1. </w:t>
      </w:r>
      <w:bookmarkStart w:id="3" w:name="_Hlk156471851"/>
      <w:r w:rsidRPr="00884C5C">
        <w:rPr>
          <w:rFonts w:ascii="Century Gothic" w:hAnsi="Century Gothic" w:cs="Arial"/>
          <w:b/>
          <w:bCs/>
          <w:lang w:val="es-ES_tradnl"/>
        </w:rPr>
        <w:t>Garantías en la contratación estatal</w:t>
      </w:r>
      <w:bookmarkEnd w:id="3"/>
      <w:r w:rsidRPr="00884C5C">
        <w:rPr>
          <w:rFonts w:ascii="Century Gothic" w:hAnsi="Century Gothic" w:cs="Arial"/>
          <w:b/>
          <w:bCs/>
          <w:lang w:val="es-ES_tradnl"/>
        </w:rPr>
        <w:t xml:space="preserve">. Reiteración de línea. </w:t>
      </w:r>
    </w:p>
    <w:p w14:paraId="310E8B83" w14:textId="77777777" w:rsidR="00EA1B6C" w:rsidRPr="00884C5C" w:rsidRDefault="00EA1B6C" w:rsidP="005B4382">
      <w:pPr>
        <w:spacing w:after="0" w:line="276" w:lineRule="auto"/>
        <w:jc w:val="both"/>
        <w:rPr>
          <w:rFonts w:ascii="Century Gothic" w:eastAsia="Arial" w:hAnsi="Century Gothic" w:cs="Arial"/>
          <w:b/>
          <w:bCs/>
          <w:lang w:val="es-ES_tradnl"/>
        </w:rPr>
      </w:pPr>
    </w:p>
    <w:p w14:paraId="160AEB41" w14:textId="77777777" w:rsidR="00EA1B6C" w:rsidRPr="00884C5C" w:rsidRDefault="00EA1B6C" w:rsidP="00D87DA4">
      <w:pPr>
        <w:spacing w:after="120" w:line="276" w:lineRule="auto"/>
        <w:jc w:val="both"/>
        <w:rPr>
          <w:rFonts w:ascii="Century Gothic" w:eastAsia="Calibri" w:hAnsi="Century Gothic" w:cs="Arial"/>
          <w:lang w:val="es-ES_tradnl"/>
        </w:rPr>
      </w:pPr>
      <w:bookmarkStart w:id="4" w:name="_Hlk35876968"/>
      <w:r w:rsidRPr="00884C5C">
        <w:rPr>
          <w:rFonts w:ascii="Century Gothic" w:eastAsia="Calibri" w:hAnsi="Century Gothic" w:cs="Arial"/>
          <w:lang w:val="es-ES_tradnl"/>
        </w:rPr>
        <w:t xml:space="preserve">El Estatuto General de Contratación de la Administración Pública exige, por regla general, en los procesos de contratación pública </w:t>
      </w:r>
      <w:r w:rsidRPr="00884C5C">
        <w:rPr>
          <w:rFonts w:ascii="Century Gothic" w:eastAsia="Calibri" w:hAnsi="Century Gothic" w:cs="Arial"/>
          <w:lang w:val="es-ES"/>
        </w:rPr>
        <w:t>la constitución de garantías ya sea en la etapa precontractual, contractual o postcontractual, con el fin de evitar o mitigar posibles riesgos</w:t>
      </w:r>
      <w:r w:rsidRPr="00884C5C">
        <w:rPr>
          <w:rFonts w:ascii="Century Gothic" w:eastAsia="Calibri" w:hAnsi="Century Gothic"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3BEFDBD1" w14:textId="77777777" w:rsidR="00EA1B6C" w:rsidRPr="00884C5C" w:rsidRDefault="00EA1B6C" w:rsidP="00D87DA4">
      <w:pPr>
        <w:spacing w:after="120" w:line="240" w:lineRule="auto"/>
        <w:jc w:val="both"/>
        <w:rPr>
          <w:rFonts w:ascii="Century Gothic" w:eastAsia="Calibri" w:hAnsi="Century Gothic" w:cs="Arial"/>
          <w:lang w:val="es-ES_tradnl"/>
        </w:rPr>
      </w:pPr>
    </w:p>
    <w:p w14:paraId="7BD0AFC9"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 xml:space="preserve">Los contratistas prestarán garantía única para el cumplimiento de las obligaciones surgidas del contrato. Los proponentes prestarán garantía de seriedad de los ofrecimientos hechos. </w:t>
      </w:r>
    </w:p>
    <w:p w14:paraId="0FF4A5DD"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p>
    <w:p w14:paraId="378BBBDE"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 xml:space="preserve">Las garantías consistirán en pólizas expedidas por compañías de seguros legalmente autorizadas para funcionar en Colombia, en garantías bancarias y en general, en los demás mecanismos de cobertura del </w:t>
      </w:r>
      <w:r w:rsidRPr="00884C5C">
        <w:rPr>
          <w:rFonts w:ascii="Century Gothic" w:eastAsia="Calibri" w:hAnsi="Century Gothic" w:cs="Arial"/>
          <w:sz w:val="21"/>
          <w:szCs w:val="21"/>
          <w:lang w:val="es-ES_tradnl"/>
        </w:rPr>
        <w:lastRenderedPageBreak/>
        <w:t xml:space="preserve">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06B3106A"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p>
    <w:p w14:paraId="1E89610A"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 xml:space="preserve">El Gobierno Nacional señalará los criterios que seguirán las entidades para la exigencia de garantías, las clases y niveles de amparo de los riesgos de los contratos, así como los casos en </w:t>
      </w:r>
      <w:proofErr w:type="gramStart"/>
      <w:r w:rsidRPr="00884C5C">
        <w:rPr>
          <w:rFonts w:ascii="Century Gothic" w:eastAsia="Calibri" w:hAnsi="Century Gothic" w:cs="Arial"/>
          <w:sz w:val="21"/>
          <w:szCs w:val="21"/>
          <w:lang w:val="es-ES_tradnl"/>
        </w:rPr>
        <w:t>que</w:t>
      </w:r>
      <w:proofErr w:type="gramEnd"/>
      <w:r w:rsidRPr="00884C5C">
        <w:rPr>
          <w:rFonts w:ascii="Century Gothic" w:eastAsia="Calibri" w:hAnsi="Century Gothic" w:cs="Arial"/>
          <w:sz w:val="21"/>
          <w:szCs w:val="21"/>
          <w:lang w:val="es-ES_tradnl"/>
        </w:rPr>
        <w:t xml:space="preserve"> por las características y complejidad del contrato a celebrar, la garantía pueda ser dividida teniendo en cuenta las etapas o riesgos relativos a la ejecución del respectivo contrato. </w:t>
      </w:r>
    </w:p>
    <w:p w14:paraId="175C8EC2"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p>
    <w:p w14:paraId="54DD5EF3"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El acaecimiento del siniestro que amparan las garantías será comunicado por la entidad pública al respectivo asegurador mediante la notificación del acto administrativo que así lo declare.</w:t>
      </w:r>
    </w:p>
    <w:p w14:paraId="4B906C24" w14:textId="77777777" w:rsidR="00EA1B6C" w:rsidRPr="00884C5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 xml:space="preserve"> </w:t>
      </w:r>
    </w:p>
    <w:p w14:paraId="2C5F2F7A" w14:textId="174966C3" w:rsidR="00EA1B6C" w:rsidRDefault="00EA1B6C" w:rsidP="00D87DA4">
      <w:pPr>
        <w:spacing w:after="120" w:line="240" w:lineRule="auto"/>
        <w:ind w:left="709" w:right="709"/>
        <w:jc w:val="both"/>
        <w:rPr>
          <w:rFonts w:ascii="Century Gothic" w:eastAsia="Calibri" w:hAnsi="Century Gothic" w:cs="Arial"/>
          <w:sz w:val="21"/>
          <w:szCs w:val="21"/>
          <w:lang w:val="es-ES_tradnl"/>
        </w:rPr>
      </w:pPr>
      <w:r w:rsidRPr="00884C5C">
        <w:rPr>
          <w:rFonts w:ascii="Century Gothic" w:eastAsia="Calibri" w:hAnsi="Century Gothic" w:cs="Arial"/>
          <w:sz w:val="21"/>
          <w:szCs w:val="21"/>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4"/>
    </w:p>
    <w:p w14:paraId="0F88AA35" w14:textId="77777777" w:rsidR="00050B7D" w:rsidRPr="000B20C2" w:rsidRDefault="00050B7D" w:rsidP="00D87DA4">
      <w:pPr>
        <w:spacing w:after="120" w:line="240" w:lineRule="auto"/>
        <w:ind w:left="709" w:right="709"/>
        <w:jc w:val="both"/>
        <w:rPr>
          <w:rFonts w:ascii="Century Gothic" w:eastAsia="Calibri" w:hAnsi="Century Gothic" w:cs="Arial"/>
          <w:sz w:val="21"/>
          <w:szCs w:val="21"/>
          <w:lang w:val="es-ES_tradnl"/>
        </w:rPr>
      </w:pPr>
    </w:p>
    <w:p w14:paraId="5AAD33A9" w14:textId="77777777" w:rsidR="00EA1B6C" w:rsidRPr="00884C5C" w:rsidRDefault="00EA1B6C" w:rsidP="00D87DA4">
      <w:pPr>
        <w:spacing w:after="120" w:line="276" w:lineRule="auto"/>
        <w:ind w:firstLine="709"/>
        <w:jc w:val="both"/>
        <w:rPr>
          <w:rFonts w:ascii="Century Gothic" w:eastAsia="Calibri" w:hAnsi="Century Gothic" w:cs="Arial"/>
          <w:lang w:val="es-ES_tradnl"/>
        </w:rPr>
      </w:pPr>
      <w:r w:rsidRPr="00884C5C">
        <w:rPr>
          <w:rFonts w:ascii="Century Gothic" w:eastAsia="Calibri" w:hAnsi="Century Gothic" w:cs="Arial"/>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41A3BA27" w14:textId="1CECCAB1" w:rsidR="00EA1B6C" w:rsidRPr="00884C5C" w:rsidRDefault="00EA1B6C" w:rsidP="00D87DA4">
      <w:pPr>
        <w:spacing w:after="120" w:line="276" w:lineRule="auto"/>
        <w:ind w:firstLine="709"/>
        <w:jc w:val="both"/>
        <w:rPr>
          <w:rFonts w:ascii="Century Gothic" w:hAnsi="Century Gothic" w:cs="Arial"/>
        </w:rPr>
      </w:pPr>
      <w:r w:rsidRPr="00884C5C">
        <w:rPr>
          <w:rFonts w:ascii="Century Gothic" w:eastAsia="Calibri" w:hAnsi="Century Gothic" w:cs="Arial"/>
          <w:lang w:val="es-ES_tradnl"/>
        </w:rPr>
        <w:t>De acuerdo a lo expresado anteriormente, l</w:t>
      </w:r>
      <w:r w:rsidRPr="00884C5C">
        <w:rPr>
          <w:rFonts w:ascii="Century Gothic" w:hAnsi="Century Gothic" w:cs="Aria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884C5C">
        <w:rPr>
          <w:rFonts w:ascii="Century Gothic" w:eastAsia="Calibri" w:hAnsi="Century Gothic" w:cs="Arial"/>
        </w:rPr>
        <w:t xml:space="preserve">para amparar los riesgos contractuales; </w:t>
      </w:r>
      <w:proofErr w:type="spellStart"/>
      <w:r w:rsidRPr="00884C5C">
        <w:rPr>
          <w:rFonts w:ascii="Century Gothic" w:hAnsi="Century Gothic" w:cs="Arial"/>
        </w:rPr>
        <w:t>ii</w:t>
      </w:r>
      <w:proofErr w:type="spellEnd"/>
      <w:r w:rsidRPr="00884C5C">
        <w:rPr>
          <w:rFonts w:ascii="Century Gothic" w:hAnsi="Century Gothic" w:cs="Arial"/>
        </w:rPr>
        <w:t xml:space="preserve">) fiducia mercantil de garantía, que es un contrato que suscribe el oferente, contratista o un </w:t>
      </w:r>
      <w:r w:rsidRPr="00884C5C">
        <w:rPr>
          <w:rFonts w:ascii="Century Gothic" w:hAnsi="Century Gothic" w:cs="Arial"/>
        </w:rPr>
        <w:lastRenderedPageBreak/>
        <w:t>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884C5C">
        <w:rPr>
          <w:rStyle w:val="Refdenotaalpie"/>
          <w:rFonts w:ascii="Century Gothic" w:hAnsi="Century Gothic" w:cs="Arial"/>
        </w:rPr>
        <w:footnoteReference w:id="3"/>
      </w:r>
      <w:r w:rsidRPr="00884C5C">
        <w:rPr>
          <w:rFonts w:ascii="Century Gothic" w:hAnsi="Century Gothic" w:cs="Arial"/>
        </w:rPr>
        <w:t>;</w:t>
      </w:r>
      <w:r w:rsidR="007752F3">
        <w:rPr>
          <w:rFonts w:ascii="Century Gothic" w:hAnsi="Century Gothic" w:cs="Arial"/>
        </w:rPr>
        <w:t xml:space="preserve"> </w:t>
      </w:r>
      <w:proofErr w:type="spellStart"/>
      <w:r w:rsidRPr="00884C5C">
        <w:rPr>
          <w:rFonts w:ascii="Century Gothic" w:hAnsi="Century Gothic" w:cs="Arial"/>
        </w:rPr>
        <w:t>iii</w:t>
      </w:r>
      <w:proofErr w:type="spellEnd"/>
      <w:r w:rsidRPr="00884C5C">
        <w:rPr>
          <w:rFonts w:ascii="Century Gothic" w:hAnsi="Century Gothic" w:cs="Arial"/>
        </w:rPr>
        <w:t xml:space="preserve">) garantías bancarias o cartas de crédito </w:t>
      </w:r>
      <w:r w:rsidRPr="00884C5C">
        <w:rPr>
          <w:rFonts w:ascii="Century Gothic" w:hAnsi="Century Gothic" w:cs="Arial"/>
          <w:i/>
          <w:iCs/>
        </w:rPr>
        <w:t>stand</w:t>
      </w:r>
      <w:r w:rsidRPr="00884C5C">
        <w:rPr>
          <w:rFonts w:ascii="Century Gothic" w:hAnsi="Century Gothic" w:cs="Arial"/>
        </w:rPr>
        <w:t xml:space="preserve"> </w:t>
      </w:r>
      <w:proofErr w:type="spellStart"/>
      <w:r w:rsidRPr="00884C5C">
        <w:rPr>
          <w:rFonts w:ascii="Century Gothic" w:hAnsi="Century Gothic" w:cs="Arial"/>
          <w:i/>
          <w:iCs/>
        </w:rPr>
        <w:t>by</w:t>
      </w:r>
      <w:proofErr w:type="spellEnd"/>
      <w:r w:rsidRPr="00884C5C">
        <w:rPr>
          <w:rFonts w:ascii="Century Gothic" w:hAnsi="Century Gothic" w:cs="Arial"/>
        </w:rPr>
        <w:t>, que consisten en compromisos irrevocables o incondicionales asumidos por una entidad financiera de pagar una suma determinada de dinero</w:t>
      </w:r>
      <w:r w:rsidRPr="00884C5C">
        <w:rPr>
          <w:rStyle w:val="Refdenotaalpie"/>
          <w:rFonts w:ascii="Century Gothic" w:hAnsi="Century Gothic" w:cs="Arial"/>
        </w:rPr>
        <w:footnoteReference w:id="4"/>
      </w:r>
      <w:r w:rsidRPr="00884C5C">
        <w:rPr>
          <w:rFonts w:ascii="Century Gothic" w:hAnsi="Century Gothic" w:cs="Arial"/>
        </w:rPr>
        <w:t xml:space="preserve">. La suficiencia y la vigencia de las garantías deben ser las reguladas en los artículos 2.2.1.2.3.1.9 a 2.2.1.2.3.1.16 del Decreto 1082 de 2015. </w:t>
      </w:r>
    </w:p>
    <w:p w14:paraId="41294941" w14:textId="77777777" w:rsidR="00EA1B6C" w:rsidRPr="00884C5C" w:rsidRDefault="00EA1B6C" w:rsidP="00D87DA4">
      <w:pPr>
        <w:spacing w:after="120" w:line="276" w:lineRule="auto"/>
        <w:ind w:firstLine="709"/>
        <w:jc w:val="both"/>
      </w:pPr>
      <w:r w:rsidRPr="00884C5C">
        <w:rPr>
          <w:rFonts w:ascii="Century Gothic" w:hAnsi="Century Gothic" w:cs="Arial"/>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r w:rsidRPr="00884C5C">
        <w:t xml:space="preserve"> </w:t>
      </w:r>
    </w:p>
    <w:p w14:paraId="67EC0958" w14:textId="77777777" w:rsidR="00EA1B6C" w:rsidRPr="00884C5C" w:rsidRDefault="00EA1B6C" w:rsidP="00D87DA4">
      <w:pPr>
        <w:spacing w:after="120" w:line="276" w:lineRule="auto"/>
        <w:ind w:firstLine="709"/>
        <w:jc w:val="both"/>
        <w:rPr>
          <w:rFonts w:ascii="Century Gothic" w:hAnsi="Century Gothic" w:cs="Arial"/>
        </w:rPr>
      </w:pPr>
      <w:r w:rsidRPr="00884C5C">
        <w:rPr>
          <w:rFonts w:ascii="Century Gothic" w:hAnsi="Century Gothic" w:cs="Arial"/>
        </w:rPr>
        <w:t>Teniendo en cuenta este panorama general, se precisa que un tipo de mecanismo de cobertura del riesgo como la garantía bancaria solo puede emplearse para amparar la seriedad de la oferta y el cumplimiento, pues la cobertura del riesgo de responsabilidad civil extracontractual solamente puede ser amparada con un contrato de seguro, según el artículo 2.2.1.2.3.1.5. del Decreto 1082 de 2015. Por su parte, las pólizas de seguro pueden constituirse como garantías únicas de cumplimiento, garantías de seriedad de la oferta y garantías de responsabilidad civil extracontractual.</w:t>
      </w:r>
    </w:p>
    <w:p w14:paraId="652F60CA" w14:textId="77777777" w:rsidR="00EA1B6C" w:rsidRPr="00884C5C" w:rsidRDefault="00EA1B6C" w:rsidP="00D87DA4">
      <w:pPr>
        <w:spacing w:after="120" w:line="276" w:lineRule="auto"/>
        <w:ind w:firstLine="709"/>
        <w:jc w:val="both"/>
        <w:rPr>
          <w:rFonts w:ascii="Century Gothic" w:eastAsia="Calibri" w:hAnsi="Century Gothic" w:cs="Arial"/>
          <w:lang w:val="es-ES_tradnl"/>
        </w:rPr>
      </w:pPr>
      <w:r w:rsidRPr="00884C5C">
        <w:rPr>
          <w:rFonts w:ascii="Century Gothic" w:eastAsia="Calibri" w:hAnsi="Century Gothic" w:cs="Arial"/>
          <w:lang w:val="es-ES_tradnl"/>
        </w:rPr>
        <w:t xml:space="preserve">A partir de las fases del Proceso de Contratación, la Guía de Garantía expedida por la Agencia Nacional de Contratación Pública – Colombia Compra Eficiente expone los riesgos que deben cubrirse mediante las garantías: </w:t>
      </w:r>
    </w:p>
    <w:p w14:paraId="65A10DD5" w14:textId="77777777" w:rsidR="00EA1B6C" w:rsidRPr="00884C5C" w:rsidRDefault="00EA1B6C" w:rsidP="00D87DA4">
      <w:pPr>
        <w:spacing w:after="120" w:line="276" w:lineRule="auto"/>
        <w:ind w:firstLine="709"/>
        <w:jc w:val="both"/>
        <w:rPr>
          <w:rFonts w:ascii="Century Gothic" w:hAnsi="Century Gothic" w:cs="Arial"/>
        </w:rPr>
      </w:pPr>
      <w:r w:rsidRPr="00884C5C">
        <w:rPr>
          <w:rFonts w:ascii="Century Gothic" w:eastAsia="Calibri" w:hAnsi="Century Gothic" w:cs="Arial"/>
          <w:lang w:val="es-ES_tradnl"/>
        </w:rPr>
        <w:t xml:space="preserve">i) </w:t>
      </w:r>
      <w:r w:rsidRPr="00884C5C">
        <w:rPr>
          <w:rFonts w:ascii="Century Gothic" w:eastAsia="Calibri" w:hAnsi="Century Gothic" w:cs="Arial"/>
          <w:i/>
          <w:iCs/>
          <w:lang w:val="es-ES_tradnl"/>
        </w:rPr>
        <w:t>Selección o etapa previa</w:t>
      </w:r>
      <w:r w:rsidRPr="00884C5C">
        <w:rPr>
          <w:rFonts w:ascii="Century Gothic" w:eastAsia="Calibri" w:hAnsi="Century Gothic" w:cs="Arial"/>
          <w:lang w:val="es-ES_tradnl"/>
        </w:rPr>
        <w:t xml:space="preserve">: el proponente debe otorgar </w:t>
      </w:r>
      <w:r w:rsidRPr="00884C5C">
        <w:rPr>
          <w:rFonts w:ascii="Century Gothic" w:hAnsi="Century Gothic" w:cs="Arial"/>
        </w:rPr>
        <w:t xml:space="preserve">garantía de seriedad de la oferta amparando los siguientes eventos: la no ampliación de la vigencia de la garantía cuando el plazo para la adjudicación o suscripción del contrato sea prorrogado, siempre que esa prórroga no exceda de tres (3) meses; </w:t>
      </w:r>
      <w:r w:rsidRPr="00884C5C">
        <w:rPr>
          <w:rFonts w:ascii="Century Gothic" w:hAnsi="Century Gothic" w:cs="Arial"/>
        </w:rPr>
        <w:lastRenderedPageBreak/>
        <w:t xml:space="preserve">retiro de la oferta después de vencido el plazo para su presentación; la no suscripción del contrato sin justa causa por parte del adjudicatario; la no constitución de la garantía de cumplimiento del contrato por parte del adjudicatario. </w:t>
      </w:r>
    </w:p>
    <w:p w14:paraId="6E9C8628" w14:textId="77777777" w:rsidR="00EA1B6C" w:rsidRPr="00884C5C" w:rsidRDefault="00EA1B6C" w:rsidP="00D87DA4">
      <w:pPr>
        <w:spacing w:after="120" w:line="276" w:lineRule="auto"/>
        <w:ind w:firstLine="709"/>
        <w:jc w:val="both"/>
        <w:rPr>
          <w:rFonts w:ascii="Century Gothic" w:hAnsi="Century Gothic" w:cs="Arial"/>
        </w:rPr>
      </w:pPr>
      <w:proofErr w:type="spellStart"/>
      <w:r w:rsidRPr="00884C5C">
        <w:rPr>
          <w:rFonts w:ascii="Century Gothic" w:hAnsi="Century Gothic" w:cs="Arial"/>
        </w:rPr>
        <w:t>ii</w:t>
      </w:r>
      <w:proofErr w:type="spellEnd"/>
      <w:r w:rsidRPr="00884C5C">
        <w:rPr>
          <w:rFonts w:ascii="Century Gothic" w:hAnsi="Century Gothic" w:cs="Arial"/>
        </w:rPr>
        <w:t xml:space="preserve">) Contratación y ejecución: en esta fase la garantía debe cubrir los riesgos derivados del incumplimiento del contrato. Esta garantía puede cubrir todos o algunos de los siguientes amparos, de acuerdo con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14:paraId="05D3AE50" w14:textId="77777777" w:rsidR="00EA1B6C" w:rsidRPr="00884C5C" w:rsidRDefault="00EA1B6C" w:rsidP="00D87DA4">
      <w:pPr>
        <w:spacing w:after="120" w:line="276" w:lineRule="auto"/>
        <w:ind w:firstLine="709"/>
        <w:jc w:val="both"/>
        <w:rPr>
          <w:rFonts w:ascii="Century Gothic" w:hAnsi="Century Gothic" w:cs="Arial"/>
        </w:rPr>
      </w:pPr>
      <w:proofErr w:type="spellStart"/>
      <w:r w:rsidRPr="00884C5C">
        <w:rPr>
          <w:rFonts w:ascii="Century Gothic" w:hAnsi="Century Gothic" w:cs="Arial"/>
        </w:rPr>
        <w:t>iii</w:t>
      </w:r>
      <w:proofErr w:type="spellEnd"/>
      <w:r w:rsidRPr="00884C5C">
        <w:rPr>
          <w:rFonts w:ascii="Century Gothic" w:hAnsi="Century Gothic" w:cs="Arial"/>
        </w:rPr>
        <w:t>) Garantías posteriores a la ejecución: cubren los riesgos que se presenten con posterioridad a la terminación del contrato y sus amparos pueden ser: estabilidad y calidad de la obra; calidad del servicio; y calidad y correcto funcionamiento de los bienes</w:t>
      </w:r>
      <w:r w:rsidRPr="00884C5C">
        <w:rPr>
          <w:rStyle w:val="Refdenotaalpie"/>
          <w:rFonts w:ascii="Century Gothic" w:hAnsi="Century Gothic" w:cs="Arial"/>
        </w:rPr>
        <w:footnoteReference w:id="5"/>
      </w:r>
      <w:r w:rsidRPr="00884C5C">
        <w:rPr>
          <w:rFonts w:ascii="Century Gothic" w:hAnsi="Century Gothic" w:cs="Arial"/>
        </w:rPr>
        <w:t>.</w:t>
      </w:r>
    </w:p>
    <w:p w14:paraId="37780102" w14:textId="77777777" w:rsidR="007D201A" w:rsidRDefault="00EA1B6C" w:rsidP="00D87DA4">
      <w:pPr>
        <w:spacing w:after="120" w:line="276" w:lineRule="auto"/>
        <w:ind w:firstLine="709"/>
        <w:jc w:val="both"/>
        <w:rPr>
          <w:rFonts w:ascii="Century Gothic" w:hAnsi="Century Gothic" w:cs="Arial"/>
        </w:rPr>
      </w:pPr>
      <w:r w:rsidRPr="00884C5C">
        <w:rPr>
          <w:rFonts w:ascii="Century Gothic" w:hAnsi="Century Gothic" w:cs="Arial"/>
        </w:rPr>
        <w:t>En cada caso, la obligatoriedad de exigir garantías depende de los tipos contractuales y de las modalidades de selección que deban aplicarse, de acuerdo con el objeto contenido en los procesos de contratación. Asimismo, los amparos que estarán inmersos en cada garantía dependerán de los riesgos que son propios de cada tipo contractual.</w:t>
      </w:r>
    </w:p>
    <w:p w14:paraId="69709BF9" w14:textId="77777777" w:rsidR="00EA1B6C" w:rsidRPr="00884C5C" w:rsidRDefault="00EA1B6C" w:rsidP="005B4382">
      <w:pPr>
        <w:spacing w:after="0" w:line="276" w:lineRule="auto"/>
        <w:jc w:val="both"/>
        <w:rPr>
          <w:rFonts w:ascii="Century Gothic" w:eastAsia="Calibri" w:hAnsi="Century Gothic" w:cs="Arial"/>
          <w:lang w:val="es-ES"/>
        </w:rPr>
      </w:pPr>
    </w:p>
    <w:p w14:paraId="201C8E34" w14:textId="59777E77" w:rsidR="00EA1B6C" w:rsidRPr="00884C5C" w:rsidRDefault="00EA1B6C" w:rsidP="005B4382">
      <w:pPr>
        <w:spacing w:after="0" w:line="276" w:lineRule="auto"/>
        <w:jc w:val="both"/>
        <w:rPr>
          <w:rFonts w:ascii="Century Gothic" w:hAnsi="Century Gothic" w:cs="Arial"/>
          <w:b/>
          <w:bCs/>
        </w:rPr>
      </w:pPr>
      <w:r w:rsidRPr="00884C5C">
        <w:rPr>
          <w:rFonts w:ascii="Century Gothic" w:hAnsi="Century Gothic" w:cs="Arial"/>
          <w:b/>
          <w:bCs/>
        </w:rPr>
        <w:t>2.</w:t>
      </w:r>
      <w:r w:rsidR="001A48E0">
        <w:rPr>
          <w:rFonts w:ascii="Century Gothic" w:hAnsi="Century Gothic" w:cs="Arial"/>
          <w:b/>
          <w:bCs/>
        </w:rPr>
        <w:t>2</w:t>
      </w:r>
      <w:r w:rsidRPr="00884C5C">
        <w:rPr>
          <w:rFonts w:ascii="Century Gothic" w:hAnsi="Century Gothic" w:cs="Arial"/>
          <w:b/>
          <w:bCs/>
        </w:rPr>
        <w:t xml:space="preserve">. Garantía de seriedad de la oferta: noción y obligatoriedad </w:t>
      </w:r>
    </w:p>
    <w:p w14:paraId="02882634" w14:textId="77777777" w:rsidR="00EA1B6C" w:rsidRPr="00884C5C" w:rsidRDefault="00EA1B6C" w:rsidP="005B4382">
      <w:pPr>
        <w:spacing w:after="0" w:line="276" w:lineRule="auto"/>
        <w:jc w:val="both"/>
        <w:rPr>
          <w:rFonts w:ascii="Century Gothic" w:eastAsia="Times New Roman" w:hAnsi="Century Gothic" w:cs="Arial"/>
          <w:b/>
          <w:bCs/>
        </w:rPr>
      </w:pPr>
    </w:p>
    <w:p w14:paraId="3C2E4D0B" w14:textId="77777777" w:rsidR="00EA1B6C" w:rsidRPr="00884C5C" w:rsidRDefault="00EA1B6C" w:rsidP="00F660FD">
      <w:pPr>
        <w:spacing w:after="120" w:line="276" w:lineRule="auto"/>
        <w:jc w:val="both"/>
        <w:rPr>
          <w:rFonts w:ascii="Century Gothic" w:eastAsia="Calibri" w:hAnsi="Century Gothic" w:cs="Arial"/>
          <w:lang w:val="es-ES_tradnl"/>
        </w:rPr>
      </w:pPr>
      <w:r w:rsidRPr="00884C5C">
        <w:rPr>
          <w:rFonts w:ascii="Century Gothic" w:hAnsi="Century Gothic" w:cs="Arial"/>
          <w:bCs/>
          <w:lang w:val="es-ES_tradnl"/>
        </w:rPr>
        <w:t xml:space="preserve">La “Guía de Garantías en Procesos de Contratación” señala que “Las garantías son instrumentos de cobertura de algunos Riesgos comunes en Procesos de Contratación”.  </w:t>
      </w:r>
      <w:r w:rsidRPr="00884C5C">
        <w:rPr>
          <w:rFonts w:ascii="Century Gothic" w:eastAsia="Calibri" w:hAnsi="Century Gothic" w:cs="Arial"/>
          <w:lang w:val="es-ES_tradnl"/>
        </w:rPr>
        <w:t xml:space="preserve">Específicamente, la </w:t>
      </w:r>
      <w:r w:rsidRPr="00884C5C">
        <w:rPr>
          <w:rFonts w:ascii="Century Gothic" w:eastAsia="Calibri" w:hAnsi="Century Gothic" w:cs="Arial"/>
          <w:i/>
          <w:iCs/>
          <w:lang w:val="es-ES_tradnl"/>
        </w:rPr>
        <w:t>garantía de seriedad</w:t>
      </w:r>
      <w:r w:rsidRPr="00884C5C">
        <w:rPr>
          <w:rFonts w:ascii="Century Gothic" w:eastAsia="Calibri" w:hAnsi="Century Gothic" w:cs="Arial"/>
          <w:lang w:val="es-ES_tradnl"/>
        </w:rPr>
        <w:t xml:space="preserve"> implica una caución provisional que avala la propuesta y es una garantía precontractual –y parcialmente contractual– destinada a asegurar la suscripción del futuro acuerdo, entre otras obligaciones. Desde esta perspectiva, la garantía de seriedad de la oferta constituye una obligación de seguridad, es decir, aquella donde el interés </w:t>
      </w:r>
      <w:r w:rsidRPr="00884C5C">
        <w:rPr>
          <w:rFonts w:ascii="Century Gothic" w:eastAsia="Calibri" w:hAnsi="Century Gothic" w:cs="Arial"/>
          <w:lang w:val="es-ES_tradnl"/>
        </w:rPr>
        <w:lastRenderedPageBreak/>
        <w:t>del acreedor no consiste en una utilidad específica y tangible, sino en la tranquilidad frente a ciertos riesgos por la cobertura de sus consecuencias nocivas.</w:t>
      </w:r>
    </w:p>
    <w:p w14:paraId="574E62A8" w14:textId="77777777" w:rsidR="00EA1B6C" w:rsidRPr="00884C5C" w:rsidRDefault="00EA1B6C" w:rsidP="00F660FD">
      <w:pPr>
        <w:spacing w:after="120" w:line="276" w:lineRule="auto"/>
        <w:ind w:firstLine="708"/>
        <w:jc w:val="both"/>
        <w:rPr>
          <w:rFonts w:ascii="Century Gothic" w:eastAsia="Calibri" w:hAnsi="Century Gothic" w:cs="Arial"/>
          <w:lang w:val="es-ES"/>
        </w:rPr>
      </w:pPr>
      <w:r w:rsidRPr="00884C5C">
        <w:rPr>
          <w:rFonts w:ascii="Century Gothic" w:eastAsia="Calibri" w:hAnsi="Century Gothic" w:cs="Arial"/>
          <w:lang w:val="es-ES"/>
        </w:rPr>
        <w:t xml:space="preserve">Sobre la garantía de seriedad se destaca que respalda al principio de irrevocabilidad de la oferta, caso en el cual los proponentes que pierdan interés en la adjudicación resarcirán los perjuicios causados por su retiro del Proceso de Contratación.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 </w:t>
      </w:r>
    </w:p>
    <w:p w14:paraId="752BB8B2" w14:textId="77777777" w:rsidR="00EA1B6C" w:rsidRPr="00884C5C" w:rsidRDefault="00EA1B6C" w:rsidP="00F660FD">
      <w:pPr>
        <w:spacing w:after="120" w:line="276" w:lineRule="auto"/>
        <w:ind w:firstLine="708"/>
        <w:jc w:val="both"/>
        <w:rPr>
          <w:rFonts w:ascii="Century Gothic" w:eastAsia="Calibri" w:hAnsi="Century Gothic" w:cs="Arial"/>
          <w:lang w:val="es-ES"/>
        </w:rPr>
      </w:pPr>
      <w:r w:rsidRPr="00884C5C">
        <w:rPr>
          <w:rFonts w:ascii="Century Gothic" w:eastAsia="Calibri" w:hAnsi="Century Gothic" w:cs="Arial"/>
          <w:lang w:val="es-ES"/>
        </w:rPr>
        <w:t xml:space="preserve">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w:t>
      </w:r>
      <w:bookmarkStart w:id="5" w:name="_Hlk50454376"/>
      <w:r w:rsidRPr="00884C5C">
        <w:rPr>
          <w:rFonts w:ascii="Century Gothic" w:eastAsia="Calibri" w:hAnsi="Century Gothic" w:cs="Arial"/>
          <w:lang w:val="es-ES"/>
        </w:rPr>
        <w:t>2.2.1.2.3.2.8</w:t>
      </w:r>
      <w:bookmarkEnd w:id="5"/>
      <w:r w:rsidRPr="00884C5C">
        <w:rPr>
          <w:rFonts w:ascii="Century Gothic" w:eastAsia="Calibri" w:hAnsi="Century Gothic" w:cs="Arial"/>
          <w:lang w:val="es-ES"/>
        </w:rPr>
        <w:t xml:space="preserve"> del Decreto 1082 de 2015 dispone que “En caso de siniestro en la garantía de la seriedad de la oferta, la compañía de seguros debe responder por el total del valor asegurado a título de sanción”.</w:t>
      </w:r>
    </w:p>
    <w:p w14:paraId="2959738F" w14:textId="77777777" w:rsidR="00EA1B6C" w:rsidRPr="00884C5C" w:rsidRDefault="00EA1B6C" w:rsidP="00F660FD">
      <w:pPr>
        <w:spacing w:after="120" w:line="276" w:lineRule="auto"/>
        <w:ind w:firstLine="709"/>
        <w:jc w:val="both"/>
        <w:rPr>
          <w:rFonts w:ascii="Century Gothic" w:eastAsia="Calibri" w:hAnsi="Century Gothic" w:cs="Arial"/>
          <w:lang w:val="es-ES"/>
        </w:rPr>
      </w:pPr>
      <w:r w:rsidRPr="00884C5C">
        <w:rPr>
          <w:rFonts w:ascii="Century Gothic" w:eastAsia="Calibri" w:hAnsi="Century Gothic" w:cs="Arial"/>
          <w:lang w:val="es-ES"/>
        </w:rPr>
        <w:t>Naturalmente, esta garantía solo la constituyen quienes presenten oferta, motivo por el cual sus efectos no se extienden a personas ajenas a la actividad precontractual, sin perjuicio de que la garantía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884C5C">
        <w:rPr>
          <w:rFonts w:ascii="Century Gothic" w:eastAsia="Calibri" w:hAnsi="Century Gothic" w:cs="Arial"/>
          <w:vertAlign w:val="superscript"/>
          <w:lang w:val="es-ES"/>
        </w:rPr>
        <w:footnoteReference w:id="6"/>
      </w:r>
      <w:r w:rsidRPr="00884C5C">
        <w:rPr>
          <w:rFonts w:ascii="Century Gothic" w:eastAsia="Calibri" w:hAnsi="Century Gothic" w:cs="Arial"/>
          <w:lang w:val="es-ES"/>
        </w:rPr>
        <w:t>.</w:t>
      </w:r>
    </w:p>
    <w:p w14:paraId="67B30831" w14:textId="77777777" w:rsidR="00EA1B6C" w:rsidRPr="00884C5C" w:rsidRDefault="00EA1B6C" w:rsidP="00F660FD">
      <w:pPr>
        <w:spacing w:after="120" w:line="276" w:lineRule="auto"/>
        <w:ind w:firstLine="709"/>
        <w:jc w:val="both"/>
        <w:rPr>
          <w:rFonts w:ascii="Century Gothic" w:eastAsia="Calibri" w:hAnsi="Century Gothic" w:cs="Arial"/>
          <w:lang w:val="es-ES"/>
        </w:rPr>
      </w:pPr>
      <w:r w:rsidRPr="00884C5C">
        <w:rPr>
          <w:rFonts w:ascii="Century Gothic" w:eastAsia="Calibri" w:hAnsi="Century Gothic" w:cs="Arial"/>
          <w:lang w:val="es-ES"/>
        </w:rPr>
        <w:t xml:space="preserve">El artículo </w:t>
      </w:r>
      <w:bookmarkStart w:id="6" w:name="_Hlk47457215"/>
      <w:r w:rsidRPr="00884C5C">
        <w:rPr>
          <w:rFonts w:ascii="Century Gothic" w:eastAsia="Calibri" w:hAnsi="Century Gothic" w:cs="Arial"/>
          <w:lang w:val="es-ES"/>
        </w:rPr>
        <w:t>2.2.1.2.3.1.9</w:t>
      </w:r>
      <w:bookmarkEnd w:id="6"/>
      <w:r w:rsidRPr="00884C5C">
        <w:rPr>
          <w:rFonts w:ascii="Century Gothic" w:eastAsia="Calibri" w:hAnsi="Century Gothic" w:cs="Arial"/>
          <w:lang w:val="es-ES"/>
        </w:rPr>
        <w:t xml:space="preserve">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Respecto al valor, dispone que tendrá un monto igual o superior al diez por ciento (10%) de la oferta, constituyendo la suma </w:t>
      </w:r>
      <w:r w:rsidRPr="00884C5C">
        <w:rPr>
          <w:rFonts w:ascii="Century Gothic" w:eastAsia="Calibri" w:hAnsi="Century Gothic" w:cs="Arial"/>
          <w:lang w:val="es-ES"/>
        </w:rPr>
        <w:lastRenderedPageBreak/>
        <w:t xml:space="preserve">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SMLMV. </w:t>
      </w:r>
    </w:p>
    <w:p w14:paraId="5A4E386F" w14:textId="77777777" w:rsidR="00EA1B6C" w:rsidRPr="00884C5C" w:rsidRDefault="00EA1B6C" w:rsidP="00F660FD">
      <w:pPr>
        <w:spacing w:after="120" w:line="276" w:lineRule="auto"/>
        <w:ind w:firstLine="709"/>
        <w:jc w:val="both"/>
        <w:rPr>
          <w:rFonts w:ascii="Century Gothic" w:eastAsia="Calibri" w:hAnsi="Century Gothic" w:cs="Arial"/>
          <w:lang w:val="es-ES"/>
        </w:rPr>
      </w:pPr>
      <w:r w:rsidRPr="00884C5C">
        <w:rPr>
          <w:rFonts w:ascii="Century Gothic" w:eastAsia="Calibri" w:hAnsi="Century Gothic" w:cs="Arial"/>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884C5C">
        <w:rPr>
          <w:rFonts w:ascii="Century Gothic" w:eastAsia="Calibri" w:hAnsi="Century Gothic" w:cs="Arial"/>
          <w:i/>
          <w:iCs/>
          <w:lang w:val="es-ES"/>
        </w:rPr>
        <w:t>dies</w:t>
      </w:r>
      <w:proofErr w:type="spellEnd"/>
      <w:r w:rsidRPr="00884C5C">
        <w:rPr>
          <w:rFonts w:ascii="Century Gothic" w:eastAsia="Calibri" w:hAnsi="Century Gothic" w:cs="Arial"/>
          <w:i/>
          <w:iCs/>
          <w:lang w:val="es-ES"/>
        </w:rPr>
        <w:t xml:space="preserve"> a quo</w:t>
      </w:r>
      <w:r w:rsidRPr="00884C5C">
        <w:rPr>
          <w:rFonts w:ascii="Century Gothic" w:eastAsia="Calibri" w:hAnsi="Century Gothic" w:cs="Arial"/>
          <w:lang w:val="es-ES"/>
        </w:rPr>
        <w:t>–, pero la fecha final –</w:t>
      </w:r>
      <w:proofErr w:type="spellStart"/>
      <w:r w:rsidRPr="00884C5C">
        <w:rPr>
          <w:rFonts w:ascii="Century Gothic" w:eastAsia="Calibri" w:hAnsi="Century Gothic" w:cs="Arial"/>
          <w:i/>
          <w:iCs/>
          <w:lang w:val="es-ES"/>
        </w:rPr>
        <w:t>dies</w:t>
      </w:r>
      <w:proofErr w:type="spellEnd"/>
      <w:r w:rsidRPr="00884C5C">
        <w:rPr>
          <w:rFonts w:ascii="Century Gothic" w:eastAsia="Calibri" w:hAnsi="Century Gothic" w:cs="Arial"/>
          <w:i/>
          <w:iCs/>
          <w:lang w:val="es-ES"/>
        </w:rPr>
        <w:t xml:space="preserve"> ad </w:t>
      </w:r>
      <w:proofErr w:type="spellStart"/>
      <w:r w:rsidRPr="00884C5C">
        <w:rPr>
          <w:rFonts w:ascii="Century Gothic" w:eastAsia="Calibri" w:hAnsi="Century Gothic" w:cs="Arial"/>
          <w:i/>
          <w:iCs/>
          <w:lang w:val="es-ES"/>
        </w:rPr>
        <w:t>quem</w:t>
      </w:r>
      <w:proofErr w:type="spellEnd"/>
      <w:r w:rsidRPr="00884C5C">
        <w:rPr>
          <w:rFonts w:ascii="Century Gothic" w:eastAsia="Calibri" w:hAnsi="Century Gothic" w:cs="Arial"/>
          <w:lang w:val="es-ES"/>
        </w:rPr>
        <w:t>– se somete a una estimación razonable sobre el tiempo que toma adelantar el procedimiento de selección y la posterior legalización del contrato, especialmente cuando la aprobación de la garantía es uno de los requisitos de ejecución</w:t>
      </w:r>
      <w:r w:rsidRPr="00884C5C">
        <w:rPr>
          <w:rStyle w:val="Refdenotaalpie"/>
          <w:rFonts w:ascii="Century Gothic" w:eastAsia="Calibri" w:hAnsi="Century Gothic" w:cs="Arial"/>
        </w:rPr>
        <w:footnoteReference w:id="7"/>
      </w:r>
      <w:r w:rsidRPr="00884C5C">
        <w:rPr>
          <w:rFonts w:ascii="Century Gothic" w:eastAsia="Calibri" w:hAnsi="Century Gothic" w:cs="Arial"/>
          <w:lang w:val="es-ES"/>
        </w:rPr>
        <w:t>.</w:t>
      </w:r>
    </w:p>
    <w:p w14:paraId="05D7E51A" w14:textId="77777777" w:rsidR="00EA1B6C" w:rsidRPr="00884C5C" w:rsidRDefault="00EA1B6C" w:rsidP="00F660FD">
      <w:pPr>
        <w:spacing w:after="120" w:line="276" w:lineRule="auto"/>
        <w:ind w:firstLine="709"/>
        <w:jc w:val="both"/>
        <w:rPr>
          <w:rFonts w:ascii="Century Gothic" w:eastAsia="Calibri" w:hAnsi="Century Gothic" w:cs="Arial"/>
          <w:lang w:val="es-ES"/>
        </w:rPr>
      </w:pPr>
      <w:r w:rsidRPr="00884C5C">
        <w:rPr>
          <w:rFonts w:ascii="Century Gothic" w:eastAsia="Calibri" w:hAnsi="Century Gothic" w:cs="Arial"/>
          <w:lang w:val="es-ES"/>
        </w:rPr>
        <w:t xml:space="preserve">Determinar el </w:t>
      </w:r>
      <w:r w:rsidRPr="00884C5C">
        <w:rPr>
          <w:rFonts w:ascii="Century Gothic" w:eastAsia="Calibri" w:hAnsi="Century Gothic" w:cs="Arial"/>
          <w:i/>
          <w:iCs/>
          <w:lang w:val="es-ES"/>
        </w:rPr>
        <w:t>valor</w:t>
      </w:r>
      <w:r w:rsidRPr="00884C5C">
        <w:rPr>
          <w:rFonts w:ascii="Century Gothic" w:eastAsia="Calibri" w:hAnsi="Century Gothic" w:cs="Arial"/>
          <w:lang w:val="es-ES"/>
        </w:rPr>
        <w:t xml:space="preserve"> y el </w:t>
      </w:r>
      <w:r w:rsidRPr="00884C5C">
        <w:rPr>
          <w:rFonts w:ascii="Century Gothic" w:eastAsia="Calibri" w:hAnsi="Century Gothic" w:cs="Arial"/>
          <w:i/>
          <w:iCs/>
          <w:lang w:val="es-ES"/>
        </w:rPr>
        <w:t>tiempo</w:t>
      </w:r>
      <w:r w:rsidRPr="00884C5C">
        <w:rPr>
          <w:rFonts w:ascii="Century Gothic" w:eastAsia="Calibri" w:hAnsi="Century Gothic" w:cs="Arial"/>
          <w:lang w:val="es-ES"/>
        </w:rPr>
        <w:t xml:space="preserve"> de cobertura de esta garantía precontractual es esencial en el procedimiento de selección. El </w:t>
      </w:r>
      <w:r w:rsidRPr="00884C5C">
        <w:rPr>
          <w:rFonts w:ascii="Century Gothic" w:eastAsia="Calibri" w:hAnsi="Century Gothic" w:cs="Arial"/>
          <w:i/>
          <w:lang w:val="es-ES"/>
        </w:rPr>
        <w:t>valor</w:t>
      </w:r>
      <w:r w:rsidRPr="00884C5C">
        <w:rPr>
          <w:rFonts w:ascii="Century Gothic" w:eastAsia="Calibri" w:hAnsi="Century Gothic" w:cs="Arial"/>
          <w:lang w:val="es-ES"/>
        </w:rPr>
        <w:t xml:space="preserve"> corresponde a la sanción por el incumplimiento de la seriedad de la propuesta, delimitando –en los términos del artículo 2.2.1.2.3.2.8 del Decreto 1082 de 2015– la obligación pecuniaria de la aseguradora. Lo anterior es una consecuencia del principio de responsabilidad, ya que, el mantenimiento de la oferta está sujeto al deber de buena fe y, por tanto, el desconocimiento de las expectativas legítimas de la Administración autoriza la reparación de los perjuicios sufridos. El </w:t>
      </w:r>
      <w:r w:rsidRPr="00884C5C">
        <w:rPr>
          <w:rFonts w:ascii="Century Gothic" w:eastAsia="Calibri" w:hAnsi="Century Gothic" w:cs="Arial"/>
          <w:i/>
          <w:iCs/>
          <w:lang w:val="es-ES"/>
        </w:rPr>
        <w:t xml:space="preserve">plazo de cobertura </w:t>
      </w:r>
      <w:r w:rsidRPr="00884C5C">
        <w:rPr>
          <w:rFonts w:ascii="Century Gothic" w:eastAsia="Calibri" w:hAnsi="Century Gothic" w:cs="Arial"/>
          <w:lang w:val="es-ES"/>
        </w:rPr>
        <w:t>delimita directamente</w:t>
      </w:r>
      <w:r w:rsidRPr="00884C5C">
        <w:rPr>
          <w:rFonts w:ascii="Century Gothic" w:eastAsia="Calibri" w:hAnsi="Century Gothic" w:cs="Arial"/>
          <w:i/>
          <w:iCs/>
          <w:lang w:val="es-ES"/>
        </w:rPr>
        <w:t xml:space="preserve"> </w:t>
      </w:r>
      <w:r w:rsidRPr="00884C5C">
        <w:rPr>
          <w:rFonts w:ascii="Century Gothic" w:eastAsia="Calibri" w:hAnsi="Century Gothic" w:cs="Arial"/>
          <w:lang w:val="es-ES"/>
        </w:rPr>
        <w:t xml:space="preserve">el período de vigencia de la oferta. </w:t>
      </w:r>
    </w:p>
    <w:p w14:paraId="467CC3B4" w14:textId="77777777" w:rsidR="00EA1B6C" w:rsidRPr="00884C5C" w:rsidRDefault="00EA1B6C" w:rsidP="00F660FD">
      <w:pPr>
        <w:spacing w:after="120" w:line="276" w:lineRule="auto"/>
        <w:ind w:firstLine="709"/>
        <w:jc w:val="both"/>
        <w:rPr>
          <w:rFonts w:ascii="Century Gothic" w:eastAsia="Calibri" w:hAnsi="Century Gothic" w:cs="Arial"/>
          <w:lang w:val="es-ES"/>
        </w:rPr>
      </w:pPr>
      <w:r w:rsidRPr="00884C5C">
        <w:rPr>
          <w:rFonts w:ascii="Century Gothic" w:eastAsia="Calibri" w:hAnsi="Century Gothic" w:cs="Arial"/>
          <w:lang w:val="es-ES"/>
        </w:rPr>
        <w:t>Además, es importante definir los casos en los que la entidad puede hacer efectiva la garantía de seriedad. Conforme al artículo 2.2.1.2.3.1.6 del Decreto 1082 de 2015, cubre la sanción derivada del incumplimiento de la propuesta, en los siguientes eventos:</w:t>
      </w:r>
    </w:p>
    <w:p w14:paraId="3B6C9F24" w14:textId="77777777" w:rsidR="00EA1B6C" w:rsidRPr="00884C5C" w:rsidRDefault="00EA1B6C" w:rsidP="00F660FD">
      <w:pPr>
        <w:spacing w:after="120" w:line="276" w:lineRule="auto"/>
        <w:ind w:firstLine="709"/>
        <w:jc w:val="both"/>
        <w:rPr>
          <w:rFonts w:ascii="Century Gothic" w:eastAsia="Calibri" w:hAnsi="Century Gothic" w:cs="Arial"/>
          <w:lang w:val="es-ES"/>
        </w:rPr>
      </w:pPr>
    </w:p>
    <w:p w14:paraId="5121FE3F"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r w:rsidRPr="00884C5C">
        <w:rPr>
          <w:rFonts w:ascii="Century Gothic" w:eastAsia="Calibri" w:hAnsi="Century Gothic" w:cs="Arial"/>
          <w:sz w:val="21"/>
          <w:szCs w:val="21"/>
          <w:lang w:val="es-ES"/>
        </w:rPr>
        <w:t xml:space="preserve">“1. </w:t>
      </w:r>
      <w:bookmarkStart w:id="7" w:name="_Hlk47463074"/>
      <w:r w:rsidRPr="00884C5C">
        <w:rPr>
          <w:rFonts w:ascii="Century Gothic" w:eastAsia="Calibri" w:hAnsi="Century Gothic" w:cs="Arial"/>
          <w:sz w:val="21"/>
          <w:szCs w:val="21"/>
          <w:lang w:val="es-ES"/>
        </w:rPr>
        <w:t>La no ampliación de la vigencia de la garantía de seriedad de la oferta cuando el plazo para la adjudicación o para suscribir el contrato es prorrogado, siempre que tal prórroga sea inferior a tres (3) meses</w:t>
      </w:r>
      <w:bookmarkEnd w:id="7"/>
      <w:r w:rsidRPr="00884C5C">
        <w:rPr>
          <w:rFonts w:ascii="Century Gothic" w:eastAsia="Calibri" w:hAnsi="Century Gothic" w:cs="Arial"/>
          <w:sz w:val="21"/>
          <w:szCs w:val="21"/>
          <w:lang w:val="es-ES"/>
        </w:rPr>
        <w:t>.</w:t>
      </w:r>
    </w:p>
    <w:p w14:paraId="20238C62"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p>
    <w:p w14:paraId="0ECD48BF"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r w:rsidRPr="00884C5C">
        <w:rPr>
          <w:rFonts w:ascii="Century Gothic" w:eastAsia="Calibri" w:hAnsi="Century Gothic" w:cs="Arial"/>
          <w:sz w:val="21"/>
          <w:szCs w:val="21"/>
          <w:lang w:val="es-ES"/>
        </w:rPr>
        <w:t>2. El retiro de la oferta después de vencido el plazo fijado para la presentación de las ofertas.</w:t>
      </w:r>
    </w:p>
    <w:p w14:paraId="746C8340"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p>
    <w:p w14:paraId="01F4337A"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r w:rsidRPr="00884C5C">
        <w:rPr>
          <w:rFonts w:ascii="Century Gothic" w:eastAsia="Calibri" w:hAnsi="Century Gothic" w:cs="Arial"/>
          <w:sz w:val="21"/>
          <w:szCs w:val="21"/>
          <w:lang w:val="es-ES"/>
        </w:rPr>
        <w:t>3. La no suscripción del contrato sin justa causa por parte del adjudicatario.</w:t>
      </w:r>
    </w:p>
    <w:p w14:paraId="1067814D"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p>
    <w:p w14:paraId="6DD8205E" w14:textId="77777777" w:rsidR="00EA1B6C" w:rsidRPr="00884C5C" w:rsidRDefault="00EA1B6C" w:rsidP="00F660FD">
      <w:pPr>
        <w:spacing w:after="120"/>
        <w:ind w:left="709" w:right="709"/>
        <w:contextualSpacing/>
        <w:jc w:val="both"/>
        <w:rPr>
          <w:rFonts w:ascii="Century Gothic" w:eastAsia="Calibri" w:hAnsi="Century Gothic" w:cs="Arial"/>
          <w:sz w:val="21"/>
          <w:szCs w:val="21"/>
          <w:lang w:val="es-ES"/>
        </w:rPr>
      </w:pPr>
      <w:r w:rsidRPr="00884C5C">
        <w:rPr>
          <w:rFonts w:ascii="Century Gothic" w:eastAsia="Calibri" w:hAnsi="Century Gothic" w:cs="Arial"/>
          <w:sz w:val="21"/>
          <w:szCs w:val="21"/>
          <w:lang w:val="es-ES"/>
        </w:rPr>
        <w:t xml:space="preserve">4. La </w:t>
      </w:r>
      <w:bookmarkStart w:id="8" w:name="_Hlk49506502"/>
      <w:r w:rsidRPr="00884C5C">
        <w:rPr>
          <w:rFonts w:ascii="Century Gothic" w:eastAsia="Calibri" w:hAnsi="Century Gothic" w:cs="Arial"/>
          <w:sz w:val="21"/>
          <w:szCs w:val="21"/>
          <w:lang w:val="es-ES"/>
        </w:rPr>
        <w:t>falta de otorgamiento por parte del proponente seleccionado de la garantía de cumplimiento del contrato</w:t>
      </w:r>
      <w:bookmarkEnd w:id="8"/>
      <w:r w:rsidRPr="00884C5C">
        <w:rPr>
          <w:rFonts w:ascii="Century Gothic" w:eastAsia="Calibri" w:hAnsi="Century Gothic" w:cs="Arial"/>
          <w:sz w:val="21"/>
          <w:szCs w:val="21"/>
          <w:lang w:val="es-ES"/>
        </w:rPr>
        <w:t>”.</w:t>
      </w:r>
    </w:p>
    <w:p w14:paraId="175EAC3D" w14:textId="77777777" w:rsidR="00EA1B6C" w:rsidRPr="00884C5C" w:rsidRDefault="00EA1B6C" w:rsidP="00F660FD">
      <w:pPr>
        <w:spacing w:after="120"/>
        <w:ind w:right="709"/>
        <w:jc w:val="both"/>
        <w:rPr>
          <w:rFonts w:ascii="Century Gothic" w:eastAsia="Calibri" w:hAnsi="Century Gothic" w:cs="Arial"/>
          <w:lang w:val="es-ES"/>
        </w:rPr>
      </w:pPr>
    </w:p>
    <w:p w14:paraId="26025DD4" w14:textId="77777777" w:rsidR="00EA1B6C" w:rsidRPr="00884C5C" w:rsidRDefault="00EA1B6C" w:rsidP="00F660FD">
      <w:pPr>
        <w:spacing w:after="120" w:line="276" w:lineRule="auto"/>
        <w:ind w:firstLine="709"/>
        <w:jc w:val="both"/>
        <w:rPr>
          <w:rFonts w:ascii="Century Gothic" w:eastAsia="Calibri" w:hAnsi="Century Gothic" w:cs="Arial"/>
          <w:b/>
          <w:bCs/>
        </w:rPr>
      </w:pPr>
      <w:r w:rsidRPr="00884C5C">
        <w:rPr>
          <w:rFonts w:ascii="Century Gothic" w:eastAsia="Calibri" w:hAnsi="Century Gothic" w:cs="Arial"/>
          <w:lang w:val="es-ES"/>
        </w:rPr>
        <w:t xml:space="preserve">Las causales 1, 3 y 4 se configuran a través de omisiones –no ampliar, no suscribir y no otorgar–, mientras que la causal 2 se configura a través de una acción –retirar la oferta–. Además, guardan relación con diferentes etapas del procedimiento: mientras las causales 1, 2 y 3 están ubicadas en la etapa precontractual, la causal 4 lo está en la contractual. Finalmente, mientras las causales 2, 3 y 4 dependen de la conducta pura y simple del proponente, la causal 1 depende de una exigencia previa de la entidad contratante en la que, posteriormente, el oferente incumple el deber de mantener la vigencia de la garantía del ofrecimiento. </w:t>
      </w:r>
    </w:p>
    <w:p w14:paraId="43D6544C" w14:textId="77777777" w:rsidR="00EA1B6C" w:rsidRPr="00884C5C" w:rsidRDefault="00EA1B6C" w:rsidP="00F660FD">
      <w:pPr>
        <w:spacing w:after="120" w:line="276" w:lineRule="auto"/>
        <w:ind w:firstLine="709"/>
        <w:jc w:val="both"/>
        <w:rPr>
          <w:rFonts w:ascii="Century Gothic" w:eastAsia="Calibri" w:hAnsi="Century Gothic" w:cs="Arial"/>
          <w:b/>
          <w:bCs/>
        </w:rPr>
      </w:pPr>
      <w:r w:rsidRPr="00884C5C">
        <w:rPr>
          <w:rFonts w:ascii="Century Gothic" w:hAnsi="Century Gothic" w:cs="Arial"/>
        </w:rPr>
        <w:t xml:space="preserve">Frente a la obligación de las Entidades Estatales de exigir la garantía de seriedad de la oferta en contratos de obra, es pertinente indicar que la </w:t>
      </w:r>
      <w:r w:rsidRPr="00884C5C">
        <w:rPr>
          <w:rFonts w:ascii="Century Gothic" w:eastAsia="Calibri" w:hAnsi="Century Gothic" w:cs="Arial"/>
          <w:lang w:val="es-ES_tradnl"/>
        </w:rPr>
        <w:t xml:space="preserve">“Guía de Garantías en los Procesos de Contratación”, al analizar si todos los contratos estatales deben estar cubiertos por una garantía señala que en las modalidades de selección de contratación directa y mínima cuantía, así como en la contratación de seguros, la Entidad Estatal debe justificar la necesidad de exigir o no la constitución de garantías. En relación con las demás modalidades la guía dispone que son obligatorias la </w:t>
      </w:r>
      <w:r w:rsidRPr="00884C5C">
        <w:rPr>
          <w:rFonts w:ascii="Century Gothic" w:eastAsia="Calibri" w:hAnsi="Century Gothic" w:cs="Arial"/>
          <w:i/>
          <w:iCs/>
          <w:lang w:val="es-ES_tradnl"/>
        </w:rPr>
        <w:t>garantía de seriedad</w:t>
      </w:r>
      <w:r w:rsidRPr="00884C5C">
        <w:rPr>
          <w:rFonts w:ascii="Century Gothic" w:eastAsia="Calibri" w:hAnsi="Century Gothic" w:cs="Arial"/>
          <w:lang w:val="es-ES_tradnl"/>
        </w:rPr>
        <w:t xml:space="preserve"> de la oferta y la garantía de cumplimiento. Tratándose de la garantía de responsabilidad civil extracontractual será obligatoria su constitución en los contratos de obra y en aquellos en los cuales las Entidad Estatal lo considere necesario debido a su objeto o naturaleza.  </w:t>
      </w:r>
    </w:p>
    <w:p w14:paraId="2B3395F5" w14:textId="77777777" w:rsidR="00EA1B6C" w:rsidRPr="00884C5C" w:rsidRDefault="00EA1B6C" w:rsidP="005B4382">
      <w:pPr>
        <w:spacing w:after="0" w:line="276" w:lineRule="auto"/>
        <w:jc w:val="both"/>
        <w:rPr>
          <w:rFonts w:ascii="Century Gothic" w:eastAsia="Calibri" w:hAnsi="Century Gothic" w:cs="Arial"/>
          <w:lang w:val="es-ES"/>
        </w:rPr>
      </w:pPr>
    </w:p>
    <w:p w14:paraId="750CA22E" w14:textId="21706582" w:rsidR="00EA1B6C" w:rsidRPr="00884C5C" w:rsidRDefault="00EA1B6C" w:rsidP="005B4382">
      <w:pPr>
        <w:tabs>
          <w:tab w:val="left" w:pos="426"/>
        </w:tabs>
        <w:spacing w:after="0" w:line="276" w:lineRule="auto"/>
        <w:jc w:val="both"/>
        <w:rPr>
          <w:rFonts w:ascii="Century Gothic" w:hAnsi="Century Gothic" w:cs="Arial"/>
          <w:b/>
          <w:bCs/>
        </w:rPr>
      </w:pPr>
      <w:r w:rsidRPr="00884C5C">
        <w:rPr>
          <w:rFonts w:ascii="Century Gothic" w:eastAsia="Calibri" w:hAnsi="Century Gothic" w:cs="Arial"/>
          <w:b/>
          <w:bCs/>
          <w:lang w:val="es-ES"/>
        </w:rPr>
        <w:t>2.</w:t>
      </w:r>
      <w:r w:rsidR="00C05701">
        <w:rPr>
          <w:rFonts w:ascii="Century Gothic" w:eastAsia="Calibri" w:hAnsi="Century Gothic" w:cs="Arial"/>
          <w:b/>
          <w:bCs/>
          <w:lang w:val="es-ES"/>
        </w:rPr>
        <w:t>3</w:t>
      </w:r>
      <w:r w:rsidRPr="00884C5C">
        <w:rPr>
          <w:rFonts w:ascii="Century Gothic" w:eastAsia="Calibri" w:hAnsi="Century Gothic" w:cs="Arial"/>
          <w:b/>
          <w:bCs/>
          <w:lang w:val="es-ES"/>
        </w:rPr>
        <w:t xml:space="preserve"> </w:t>
      </w:r>
      <w:r w:rsidRPr="00884C5C">
        <w:rPr>
          <w:rFonts w:ascii="Century Gothic" w:eastAsia="Calibri" w:hAnsi="Century Gothic" w:cs="Arial"/>
          <w:b/>
          <w:bCs/>
        </w:rPr>
        <w:t xml:space="preserve">Garantía de cumplimiento: noción y vigencia </w:t>
      </w:r>
    </w:p>
    <w:p w14:paraId="00B6B82D" w14:textId="77777777" w:rsidR="00EA1B6C" w:rsidRPr="00884C5C" w:rsidRDefault="00EA1B6C" w:rsidP="005B4382">
      <w:pPr>
        <w:spacing w:after="0" w:line="276" w:lineRule="auto"/>
        <w:jc w:val="both"/>
        <w:rPr>
          <w:rFonts w:ascii="Century Gothic" w:eastAsia="Calibri" w:hAnsi="Century Gothic" w:cs="Arial"/>
          <w:lang w:val="es-ES_tradnl"/>
        </w:rPr>
      </w:pPr>
    </w:p>
    <w:p w14:paraId="7CC43464" w14:textId="585F35CE" w:rsidR="00EA1B6C" w:rsidRPr="00884C5C" w:rsidRDefault="00EA1B6C" w:rsidP="00F660FD">
      <w:pPr>
        <w:spacing w:after="120" w:line="276" w:lineRule="auto"/>
        <w:jc w:val="both"/>
        <w:rPr>
          <w:rFonts w:ascii="Century Gothic" w:hAnsi="Century Gothic" w:cs="Arial"/>
          <w:bCs/>
          <w:lang w:val="es-ES_tradnl"/>
        </w:rPr>
      </w:pPr>
      <w:r w:rsidRPr="00884C5C">
        <w:rPr>
          <w:rFonts w:ascii="Century Gothic" w:hAnsi="Century Gothic" w:cs="Arial"/>
          <w:bCs/>
          <w:lang w:val="es-ES_tradnl"/>
        </w:rPr>
        <w:t>La Guía de garantías en Procesos de Contratación emitid</w:t>
      </w:r>
      <w:r w:rsidR="00C05701">
        <w:rPr>
          <w:rFonts w:ascii="Century Gothic" w:hAnsi="Century Gothic" w:cs="Arial"/>
          <w:bCs/>
          <w:lang w:val="es-ES_tradnl"/>
        </w:rPr>
        <w:t>a</w:t>
      </w:r>
      <w:r w:rsidRPr="00884C5C">
        <w:rPr>
          <w:rFonts w:ascii="Century Gothic" w:hAnsi="Century Gothic" w:cs="Arial"/>
          <w:bCs/>
          <w:lang w:val="es-ES_tradnl"/>
        </w:rPr>
        <w:t xml:space="preserve"> por esta Agencia, señala que </w:t>
      </w:r>
      <w:r w:rsidRPr="00884C5C">
        <w:rPr>
          <w:rFonts w:ascii="Century Gothic" w:hAnsi="Century Gothic" w:cs="Arial"/>
          <w:bCs/>
          <w:i/>
          <w:iCs/>
          <w:lang w:val="es-ES_tradnl"/>
        </w:rPr>
        <w:t>“Las garantías son instrumentos de cobertura de algunos Riesgos comunes en Procesos de Contratación”</w:t>
      </w:r>
      <w:r w:rsidRPr="00884C5C">
        <w:rPr>
          <w:rFonts w:ascii="Century Gothic" w:hAnsi="Century Gothic" w:cs="Arial"/>
          <w:bCs/>
          <w:i/>
          <w:iCs/>
          <w:vertAlign w:val="superscript"/>
          <w:lang w:val="es-ES_tradnl"/>
        </w:rPr>
        <w:footnoteReference w:id="8"/>
      </w:r>
      <w:r w:rsidRPr="00884C5C">
        <w:rPr>
          <w:rFonts w:ascii="Century Gothic" w:hAnsi="Century Gothic" w:cs="Arial"/>
          <w:bCs/>
          <w:i/>
          <w:iCs/>
          <w:lang w:val="es-ES_tradnl"/>
        </w:rPr>
        <w:t>.</w:t>
      </w:r>
      <w:r w:rsidR="00D218F2">
        <w:rPr>
          <w:rFonts w:ascii="Century Gothic" w:hAnsi="Century Gothic" w:cs="Arial"/>
          <w:bCs/>
          <w:lang w:val="es-ES_tradnl"/>
        </w:rPr>
        <w:t xml:space="preserve"> </w:t>
      </w:r>
      <w:r w:rsidRPr="00884C5C">
        <w:rPr>
          <w:rFonts w:ascii="Century Gothic" w:hAnsi="Century Gothic" w:cs="Arial"/>
          <w:bCs/>
          <w:lang w:val="es-ES_tradnl"/>
        </w:rPr>
        <w:t xml:space="preserve">En relación con la garantía de </w:t>
      </w:r>
      <w:r w:rsidRPr="00884C5C">
        <w:rPr>
          <w:rFonts w:ascii="Century Gothic" w:hAnsi="Century Gothic" w:cs="Arial"/>
          <w:bCs/>
          <w:lang w:val="es-ES_tradnl"/>
        </w:rPr>
        <w:lastRenderedPageBreak/>
        <w:t>cumplimiento, la Agencia Nacional de Contratación Pública ha sostenido lo siguiente:</w:t>
      </w:r>
    </w:p>
    <w:p w14:paraId="0E1ADA51" w14:textId="77777777" w:rsidR="00EA1B6C" w:rsidRPr="00884C5C" w:rsidRDefault="00EA1B6C" w:rsidP="00F660FD">
      <w:pPr>
        <w:spacing w:after="120"/>
        <w:ind w:left="709" w:right="758"/>
        <w:jc w:val="both"/>
        <w:rPr>
          <w:rFonts w:ascii="Century Gothic" w:hAnsi="Century Gothic" w:cs="Arial"/>
          <w:bCs/>
          <w:lang w:val="es-ES_tradnl"/>
        </w:rPr>
      </w:pPr>
    </w:p>
    <w:p w14:paraId="3736095A" w14:textId="77777777" w:rsidR="00EA1B6C" w:rsidRPr="00884C5C" w:rsidRDefault="00EA1B6C" w:rsidP="00F660FD">
      <w:pPr>
        <w:spacing w:after="120"/>
        <w:ind w:left="709" w:right="709"/>
        <w:jc w:val="both"/>
        <w:rPr>
          <w:rFonts w:ascii="Century Gothic" w:hAnsi="Century Gothic" w:cs="Arial"/>
          <w:bCs/>
          <w:sz w:val="21"/>
          <w:szCs w:val="21"/>
          <w:lang w:val="es-ES_tradnl"/>
        </w:rPr>
      </w:pPr>
      <w:r w:rsidRPr="00884C5C">
        <w:rPr>
          <w:rFonts w:ascii="Century Gothic" w:hAnsi="Century Gothic" w:cs="Arial"/>
          <w:i/>
          <w:iCs/>
          <w:sz w:val="21"/>
          <w:szCs w:val="21"/>
          <w:lang w:val="es-ES_tradnl"/>
        </w:rPr>
        <w:t>“</w:t>
      </w:r>
      <w:r w:rsidRPr="00884C5C">
        <w:rPr>
          <w:rFonts w:ascii="Century Gothic" w:hAnsi="Century Gothic" w:cs="Arial"/>
          <w:bCs/>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2F1196D1" w14:textId="77777777" w:rsidR="00EA1B6C" w:rsidRPr="00884C5C" w:rsidRDefault="00EA1B6C" w:rsidP="00F660FD">
      <w:pPr>
        <w:spacing w:after="120"/>
        <w:ind w:left="709" w:right="709"/>
        <w:jc w:val="both"/>
        <w:rPr>
          <w:rFonts w:ascii="Century Gothic" w:hAnsi="Century Gothic" w:cs="Arial"/>
          <w:bCs/>
          <w:sz w:val="21"/>
          <w:szCs w:val="21"/>
          <w:lang w:val="es-ES_tradnl"/>
        </w:rPr>
      </w:pPr>
    </w:p>
    <w:p w14:paraId="50D39097" w14:textId="77777777" w:rsidR="00EA1B6C" w:rsidRPr="00884C5C" w:rsidRDefault="00EA1B6C" w:rsidP="00F660FD">
      <w:pPr>
        <w:spacing w:after="120"/>
        <w:ind w:left="709" w:right="709"/>
        <w:jc w:val="both"/>
        <w:rPr>
          <w:rFonts w:ascii="Century Gothic" w:hAnsi="Century Gothic" w:cs="Arial"/>
          <w:sz w:val="21"/>
          <w:szCs w:val="21"/>
          <w:lang w:val="es-ES" w:eastAsia="es-ES"/>
        </w:rPr>
      </w:pPr>
      <w:r w:rsidRPr="00884C5C">
        <w:rPr>
          <w:rFonts w:ascii="Century Gothic" w:hAnsi="Century Gothic" w:cs="Arial"/>
          <w:sz w:val="21"/>
          <w:szCs w:val="21"/>
          <w:lang w:val="es-ES" w:eastAsia="es-ES"/>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884C5C">
        <w:rPr>
          <w:rFonts w:ascii="Century Gothic" w:hAnsi="Century Gothic" w:cs="Arial"/>
          <w:i/>
          <w:iCs/>
          <w:sz w:val="21"/>
          <w:szCs w:val="21"/>
          <w:lang w:val="es-ES" w:eastAsia="es-ES"/>
        </w:rPr>
        <w:t xml:space="preserve"> “</w:t>
      </w:r>
      <w:r w:rsidRPr="00884C5C">
        <w:rPr>
          <w:rFonts w:ascii="Century Gothic" w:hAnsi="Century Gothic" w:cs="Arial"/>
          <w:sz w:val="21"/>
          <w:szCs w:val="21"/>
          <w:vertAlign w:val="superscript"/>
          <w:lang w:val="es-ES" w:eastAsia="es-ES"/>
        </w:rPr>
        <w:footnoteReference w:id="9"/>
      </w:r>
      <w:r w:rsidRPr="00884C5C">
        <w:rPr>
          <w:rFonts w:ascii="Century Gothic" w:eastAsia="Calibri" w:hAnsi="Century Gothic" w:cs="Arial"/>
          <w:sz w:val="21"/>
          <w:szCs w:val="21"/>
          <w:lang w:val="es-ES" w:eastAsia="es-ES"/>
        </w:rPr>
        <w:t>.</w:t>
      </w:r>
    </w:p>
    <w:p w14:paraId="5F5EC154" w14:textId="77777777" w:rsidR="00EA1B6C" w:rsidRPr="00884C5C" w:rsidRDefault="00EA1B6C" w:rsidP="00F660FD">
      <w:pPr>
        <w:spacing w:after="120" w:line="276" w:lineRule="auto"/>
        <w:jc w:val="both"/>
        <w:rPr>
          <w:rFonts w:ascii="Century Gothic" w:hAnsi="Century Gothic" w:cs="Arial"/>
          <w:bCs/>
          <w:lang w:val="es-ES_tradnl"/>
        </w:rPr>
      </w:pPr>
    </w:p>
    <w:p w14:paraId="512B9080"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0F53684D"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En efecto, según el artículo 2.2.1.2.3.1.7. del Decreto 1082 de 2015</w:t>
      </w:r>
      <w:r w:rsidRPr="00884C5C">
        <w:rPr>
          <w:rFonts w:ascii="Century Gothic" w:hAnsi="Century Gothic" w:cs="Arial"/>
          <w:bCs/>
          <w:vertAlign w:val="superscript"/>
          <w:lang w:val="es-ES_tradnl"/>
        </w:rPr>
        <w:footnoteReference w:id="10"/>
      </w:r>
      <w:r w:rsidRPr="00884C5C">
        <w:rPr>
          <w:rFonts w:ascii="Century Gothic" w:hAnsi="Century Gothic" w:cs="Arial"/>
          <w:bCs/>
          <w:lang w:val="es-ES_tradnl"/>
        </w:rPr>
        <w:t xml:space="preserve">, la garantía única de cumplimiento cuenta con varios amparos, que incluyen el de </w:t>
      </w:r>
      <w:r w:rsidRPr="00884C5C">
        <w:rPr>
          <w:rFonts w:ascii="Century Gothic" w:hAnsi="Century Gothic" w:cs="Arial"/>
          <w:bCs/>
          <w:lang w:val="es-ES_tradnl"/>
        </w:rPr>
        <w:lastRenderedPageBreak/>
        <w:t>buen manejo y correcta inversión del anticipo; la devolución del pago anticipado; el amparo de cumplimiento del contrato; la garantía de pago de salarios, prestaciones sociales legales e indemnizaciones laborales, entre otros.</w:t>
      </w:r>
    </w:p>
    <w:p w14:paraId="0DD517BC" w14:textId="77777777" w:rsidR="00EA1B6C" w:rsidRPr="00884C5C" w:rsidRDefault="00EA1B6C" w:rsidP="00F660FD">
      <w:pPr>
        <w:spacing w:after="120" w:line="276" w:lineRule="auto"/>
        <w:ind w:firstLine="709"/>
        <w:jc w:val="both"/>
        <w:rPr>
          <w:rFonts w:ascii="Century Gothic" w:hAnsi="Century Gothic" w:cs="Arial"/>
          <w:bCs/>
          <w:lang w:val="es-ES_tradnl"/>
        </w:rPr>
      </w:pPr>
      <w:bookmarkStart w:id="9" w:name="_Hlk127975343"/>
      <w:r w:rsidRPr="00884C5C">
        <w:rPr>
          <w:rFonts w:ascii="Century Gothic" w:hAnsi="Century Gothic" w:cs="Arial"/>
          <w:bCs/>
          <w:lang w:val="es-ES_tradnl"/>
        </w:rPr>
        <w:t xml:space="preserve">Por tanto, el amparo de cumplimiento es uno de los múltiples amparos que conforman la garantía única de cumplimiento. Al tenor de lo preceptuado en el artículo 2.2.1.2.3.1.7. </w:t>
      </w:r>
      <w:proofErr w:type="spellStart"/>
      <w:r w:rsidRPr="00884C5C">
        <w:rPr>
          <w:rFonts w:ascii="Century Gothic" w:hAnsi="Century Gothic" w:cs="Arial"/>
          <w:bCs/>
          <w:i/>
          <w:iCs/>
          <w:lang w:val="es-ES_tradnl"/>
        </w:rPr>
        <w:t>ibídem</w:t>
      </w:r>
      <w:proofErr w:type="spellEnd"/>
      <w:r w:rsidRPr="00884C5C">
        <w:rPr>
          <w:rFonts w:ascii="Century Gothic" w:hAnsi="Century Gothic" w:cs="Arial"/>
          <w:bCs/>
          <w:lang w:val="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bookmarkEnd w:id="9"/>
    <w:p w14:paraId="42FC3EE5"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 xml:space="preserve">De otra parte, en relación con la vigencia de las garantías, el artículo 2.2.1.2.3.1.12. del citado Decreto señala expresamente que </w:t>
      </w:r>
      <w:r w:rsidRPr="00884C5C">
        <w:rPr>
          <w:rFonts w:ascii="Century Gothic" w:hAnsi="Century Gothic" w:cs="Arial"/>
          <w:bCs/>
          <w:i/>
          <w:iCs/>
          <w:lang w:val="es-ES_tradnl"/>
        </w:rPr>
        <w:t>“[l]a garantía de cumplimiento del contrato debe tener una vigencia mínima hasta la liquidación del contrato”.</w:t>
      </w:r>
      <w:r w:rsidRPr="00884C5C">
        <w:rPr>
          <w:rFonts w:ascii="Century Gothic" w:hAnsi="Century Gothic" w:cs="Arial"/>
          <w:bCs/>
          <w:lang w:val="es-ES_tradnl"/>
        </w:rPr>
        <w:t xml:space="preserve"> </w:t>
      </w:r>
    </w:p>
    <w:p w14:paraId="6205A87D"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proofErr w:type="spellStart"/>
      <w:r w:rsidRPr="00884C5C">
        <w:rPr>
          <w:rFonts w:ascii="Century Gothic" w:hAnsi="Century Gothic" w:cs="Arial"/>
          <w:bCs/>
          <w:i/>
          <w:iCs/>
          <w:lang w:val="es-ES_tradnl"/>
        </w:rPr>
        <w:t>Ibídem</w:t>
      </w:r>
      <w:proofErr w:type="spellEnd"/>
      <w:r w:rsidRPr="00884C5C">
        <w:rPr>
          <w:rFonts w:ascii="Century Gothic" w:hAnsi="Century Gothic" w:cs="Arial"/>
          <w:bCs/>
          <w:lang w:val="es-ES_tradnl"/>
        </w:rPr>
        <w:t xml:space="preserve"> prescribe que la garantía de pago de salarios y prestaciones sociales debe estar vigente por el plazo del contrato y 3 años adicionales y, a su vez, el artículo 2.2.1.2.3.1.14 establece un término no inferior a 5 años para la garantía de estabilidad de la obra. </w:t>
      </w:r>
    </w:p>
    <w:p w14:paraId="0E1DA053" w14:textId="533DB1A1"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 xml:space="preserve">Al respecto, en Concepto C-479 </w:t>
      </w:r>
      <w:r w:rsidR="002B0A3E">
        <w:rPr>
          <w:rFonts w:ascii="Century Gothic" w:hAnsi="Century Gothic" w:cs="Arial"/>
          <w:bCs/>
          <w:lang w:val="es-ES_tradnl"/>
        </w:rPr>
        <w:t xml:space="preserve">de 2021 </w:t>
      </w:r>
      <w:r w:rsidRPr="00884C5C">
        <w:rPr>
          <w:rFonts w:ascii="Century Gothic" w:hAnsi="Century Gothic" w:cs="Arial"/>
          <w:bCs/>
          <w:lang w:val="es-ES_tradnl"/>
        </w:rPr>
        <w:t>de esta Agencia, se precisó que hay dos conceptos jurídicos relevantes para comprender el alcance del artículo 2.2.1.2.3.1.12 del Decreto 1082 de 2015.,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p>
    <w:p w14:paraId="219C4C9F"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lastRenderedPageBreak/>
        <w:t xml:space="preserve">En relación con este aspecto, el artículo 1047 del Código de Comercio establece que la póliza debe expresar, entre otros, </w:t>
      </w:r>
      <w:r w:rsidRPr="00884C5C">
        <w:rPr>
          <w:rFonts w:ascii="Century Gothic" w:hAnsi="Century Gothic" w:cs="Arial"/>
          <w:bCs/>
          <w:i/>
          <w:iCs/>
          <w:lang w:val="es-ES_tradnl"/>
        </w:rPr>
        <w:t>“</w:t>
      </w:r>
      <w:proofErr w:type="spellStart"/>
      <w:r w:rsidRPr="00884C5C">
        <w:rPr>
          <w:rFonts w:ascii="Century Gothic" w:hAnsi="Century Gothic" w:cs="Arial"/>
          <w:bCs/>
          <w:i/>
          <w:iCs/>
          <w:lang w:val="es-ES_tradnl"/>
        </w:rPr>
        <w:t>ii</w:t>
      </w:r>
      <w:proofErr w:type="spellEnd"/>
      <w:r w:rsidRPr="00884C5C">
        <w:rPr>
          <w:rFonts w:ascii="Century Gothic" w:hAnsi="Century Gothic" w:cs="Arial"/>
          <w:bCs/>
          <w:i/>
          <w:iCs/>
          <w:lang w:val="es-ES_tradnl"/>
        </w:rPr>
        <w:t>) la vigencia del contrato, con indicación de las fechas y horas de iniciación y vencimiento, o el modo de determinar unas y otras”.</w:t>
      </w:r>
      <w:r w:rsidRPr="00884C5C">
        <w:rPr>
          <w:rFonts w:ascii="Century Gothic" w:hAnsi="Century Gothic" w:cs="Arial"/>
          <w:bCs/>
          <w:lang w:val="es-ES_tradnl"/>
        </w:rPr>
        <w:t xml:space="preserve"> El Consejo de Estado se pronunció sobre esta disposición en los siguientes términos: </w:t>
      </w:r>
    </w:p>
    <w:p w14:paraId="043439A5" w14:textId="77777777" w:rsidR="00EA1B6C" w:rsidRPr="00884C5C" w:rsidRDefault="00EA1B6C" w:rsidP="00F660FD">
      <w:pPr>
        <w:spacing w:after="120"/>
        <w:ind w:left="709" w:right="758"/>
        <w:jc w:val="both"/>
        <w:rPr>
          <w:rFonts w:ascii="Century Gothic" w:hAnsi="Century Gothic" w:cs="Arial"/>
          <w:bCs/>
          <w:lang w:val="es-ES_tradnl"/>
        </w:rPr>
      </w:pPr>
    </w:p>
    <w:p w14:paraId="62942629" w14:textId="77777777" w:rsidR="00EA1B6C" w:rsidRPr="00884C5C" w:rsidRDefault="00EA1B6C" w:rsidP="00F660FD">
      <w:pPr>
        <w:spacing w:after="120"/>
        <w:ind w:left="709" w:right="709"/>
        <w:jc w:val="both"/>
        <w:rPr>
          <w:rFonts w:ascii="Century Gothic" w:hAnsi="Century Gothic" w:cs="Arial"/>
          <w:bCs/>
          <w:sz w:val="21"/>
          <w:szCs w:val="21"/>
          <w:lang w:val="es-ES_tradnl"/>
        </w:rPr>
      </w:pPr>
      <w:r w:rsidRPr="00884C5C">
        <w:rPr>
          <w:rFonts w:ascii="Century Gothic" w:hAnsi="Century Gothic" w:cs="Arial"/>
          <w:bCs/>
          <w:sz w:val="21"/>
          <w:szCs w:val="21"/>
          <w:lang w:val="es-ES_tradnl"/>
        </w:rPr>
        <w:t>“Dada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lapso, es decir si el siniestro se presenta dentro de esos límites temporales</w:t>
      </w:r>
      <w:r w:rsidRPr="00884C5C">
        <w:rPr>
          <w:rFonts w:ascii="Century Gothic" w:hAnsi="Century Gothic" w:cs="Arial"/>
          <w:bCs/>
          <w:sz w:val="21"/>
          <w:szCs w:val="21"/>
          <w:vertAlign w:val="superscript"/>
          <w:lang w:val="es-ES_tradnl"/>
        </w:rPr>
        <w:footnoteReference w:id="11"/>
      </w:r>
      <w:r w:rsidRPr="00884C5C">
        <w:rPr>
          <w:rFonts w:ascii="Century Gothic" w:hAnsi="Century Gothic" w:cs="Arial"/>
          <w:bCs/>
          <w:sz w:val="21"/>
          <w:szCs w:val="21"/>
          <w:lang w:val="es-ES_tradnl"/>
        </w:rPr>
        <w:t xml:space="preserve">.” </w:t>
      </w:r>
    </w:p>
    <w:p w14:paraId="6888EE13" w14:textId="77777777" w:rsidR="00EA1B6C" w:rsidRPr="00884C5C" w:rsidRDefault="00EA1B6C" w:rsidP="00F660FD">
      <w:pPr>
        <w:spacing w:after="120"/>
        <w:ind w:left="709" w:right="758"/>
        <w:jc w:val="both"/>
        <w:rPr>
          <w:rFonts w:ascii="Century Gothic" w:hAnsi="Century Gothic" w:cs="Arial"/>
          <w:bCs/>
          <w:lang w:val="es-ES_tradnl"/>
        </w:rPr>
      </w:pPr>
    </w:p>
    <w:p w14:paraId="6822406B"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 xml:space="preserve">Resulta claro que el riesgo que se traslada al garante solamente será aquel que se realice dentro del plazo de vigencia de la garantía,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050E29D5"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t>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p>
    <w:p w14:paraId="0B678582"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lang w:val="es-ES_tradnl"/>
        </w:rPr>
        <w:lastRenderedPageBreak/>
        <w:t xml:space="preserve">Ahora bien,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1D797763" w14:textId="77777777" w:rsidR="00EA1B6C" w:rsidRPr="00884C5C" w:rsidRDefault="00EA1B6C" w:rsidP="00F660FD">
      <w:pPr>
        <w:spacing w:after="120" w:line="276" w:lineRule="auto"/>
        <w:ind w:firstLine="709"/>
        <w:jc w:val="both"/>
        <w:rPr>
          <w:rFonts w:ascii="Century Gothic" w:hAnsi="Century Gothic" w:cs="Arial"/>
          <w:bCs/>
        </w:rPr>
      </w:pPr>
      <w:r w:rsidRPr="00884C5C">
        <w:rPr>
          <w:rFonts w:ascii="Century Gothic" w:hAnsi="Century Gothic" w:cs="Arial"/>
          <w:bCs/>
        </w:rPr>
        <w:t xml:space="preserve">Bajo estas consideraciones, existe la obligación por parte del contratista de mantener la vigencia de la garantía de cumplimiento, en cuanto al amparo de cumplimiento del contrato, hasta la liquidación del contrato, para lo cual se deberá tener en cuenta lo dispuesto por el artículo 11 de la Ley 1150 de 2007, según el cual </w:t>
      </w:r>
      <w:r w:rsidRPr="00884C5C">
        <w:rPr>
          <w:rFonts w:ascii="Century Gothic" w:hAnsi="Century Gothic" w:cs="Arial"/>
          <w:bCs/>
          <w:lang w:val="es-ES_tradnl"/>
        </w:rPr>
        <w:t>la liquidación de los contratos se hará de mutuo acuerdo dentro del término fijado en los pliegos de condiciones o sus equivalentes o dentro del que acuerden las partes para el efecto</w:t>
      </w:r>
      <w:r w:rsidRPr="00884C5C">
        <w:rPr>
          <w:rFonts w:ascii="Century Gothic" w:hAnsi="Century Gothic" w:cs="Arial"/>
          <w:bCs/>
        </w:rPr>
        <w:t xml:space="preserve"> o en su ausencia,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57E5DC6B" w14:textId="77777777" w:rsidR="00EA1B6C" w:rsidRPr="00884C5C" w:rsidRDefault="00EA1B6C" w:rsidP="00F660FD">
      <w:pPr>
        <w:spacing w:after="120" w:line="276" w:lineRule="auto"/>
        <w:ind w:firstLine="709"/>
        <w:jc w:val="both"/>
        <w:rPr>
          <w:rFonts w:ascii="Century Gothic" w:hAnsi="Century Gothic" w:cs="Arial"/>
          <w:bCs/>
          <w:lang w:val="es-ES_tradnl"/>
        </w:rPr>
      </w:pPr>
      <w:r w:rsidRPr="00884C5C">
        <w:rPr>
          <w:rFonts w:ascii="Century Gothic" w:hAnsi="Century Gothic" w:cs="Arial"/>
          <w:bCs/>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884C5C">
        <w:rPr>
          <w:rFonts w:ascii="Century Gothic" w:hAnsi="Century Gothic" w:cs="Arial"/>
          <w:bCs/>
          <w:lang w:val="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2845CB57" w14:textId="77777777" w:rsidR="00EA1B6C" w:rsidRPr="00884C5C" w:rsidRDefault="00EA1B6C" w:rsidP="005B4382">
      <w:pPr>
        <w:spacing w:after="0" w:line="276" w:lineRule="auto"/>
        <w:jc w:val="both"/>
        <w:rPr>
          <w:rFonts w:ascii="Century Gothic" w:hAnsi="Century Gothic" w:cs="Arial"/>
          <w:bCs/>
          <w:lang w:val="es-ES_tradnl"/>
        </w:rPr>
      </w:pPr>
    </w:p>
    <w:p w14:paraId="63A99AB1" w14:textId="63FD5447" w:rsidR="00EA1B6C" w:rsidRDefault="00EA1B6C" w:rsidP="005B4382">
      <w:pPr>
        <w:tabs>
          <w:tab w:val="left" w:pos="0"/>
        </w:tabs>
        <w:spacing w:after="0"/>
        <w:jc w:val="both"/>
        <w:rPr>
          <w:rFonts w:ascii="Century Gothic" w:hAnsi="Century Gothic" w:cs="Arial"/>
          <w:b/>
          <w:bCs/>
          <w:lang w:val="es-ES_tradnl"/>
        </w:rPr>
      </w:pPr>
      <w:r w:rsidRPr="00884C5C">
        <w:rPr>
          <w:rFonts w:ascii="Century Gothic" w:hAnsi="Century Gothic" w:cs="Arial"/>
          <w:b/>
          <w:lang w:val="es-ES_tradnl"/>
        </w:rPr>
        <w:t>2.</w:t>
      </w:r>
      <w:r w:rsidR="00A634C2">
        <w:rPr>
          <w:rFonts w:ascii="Century Gothic" w:hAnsi="Century Gothic" w:cs="Arial"/>
          <w:b/>
          <w:lang w:val="es-ES_tradnl"/>
        </w:rPr>
        <w:t>4</w:t>
      </w:r>
      <w:r w:rsidRPr="00884C5C">
        <w:rPr>
          <w:rFonts w:ascii="Century Gothic" w:hAnsi="Century Gothic" w:cs="Arial"/>
          <w:b/>
          <w:lang w:val="es-ES_tradnl"/>
        </w:rPr>
        <w:t>.</w:t>
      </w:r>
      <w:r w:rsidRPr="00884C5C">
        <w:rPr>
          <w:rFonts w:ascii="Century Gothic" w:hAnsi="Century Gothic" w:cs="Arial"/>
          <w:bCs/>
          <w:lang w:val="es-ES_tradnl"/>
        </w:rPr>
        <w:t xml:space="preserve"> </w:t>
      </w:r>
      <w:r w:rsidRPr="00884C5C">
        <w:rPr>
          <w:rFonts w:ascii="Century Gothic" w:hAnsi="Century Gothic" w:cs="Arial"/>
          <w:b/>
          <w:bCs/>
          <w:lang w:val="es-ES_tradnl"/>
        </w:rPr>
        <w:t>Garantía de estabilidad y calidad de la obra</w:t>
      </w:r>
    </w:p>
    <w:p w14:paraId="26FDB4CE" w14:textId="77777777" w:rsidR="00250249" w:rsidRPr="00884C5C" w:rsidRDefault="00250249" w:rsidP="005B4382">
      <w:pPr>
        <w:tabs>
          <w:tab w:val="left" w:pos="0"/>
        </w:tabs>
        <w:spacing w:after="0"/>
        <w:jc w:val="both"/>
        <w:rPr>
          <w:rFonts w:ascii="Century Gothic" w:hAnsi="Century Gothic" w:cs="Arial"/>
          <w:b/>
          <w:bCs/>
          <w:lang w:val="es-ES_tradnl"/>
        </w:rPr>
      </w:pPr>
    </w:p>
    <w:p w14:paraId="7CA05C07" w14:textId="6896C504" w:rsidR="00EA1B6C" w:rsidRPr="00884C5C" w:rsidRDefault="00EA1B6C" w:rsidP="00F660FD">
      <w:pPr>
        <w:spacing w:after="120" w:line="276" w:lineRule="auto"/>
        <w:jc w:val="both"/>
        <w:rPr>
          <w:rFonts w:ascii="Century Gothic" w:eastAsia="Calibri" w:hAnsi="Century Gothic" w:cs="Arial"/>
          <w:lang w:val="es-ES_tradnl"/>
        </w:rPr>
      </w:pPr>
      <w:r w:rsidRPr="00884C5C">
        <w:rPr>
          <w:rFonts w:ascii="Century Gothic" w:eastAsia="Calibri" w:hAnsi="Century Gothic" w:cs="Arial"/>
          <w:lang w:val="es-ES_tradnl"/>
        </w:rPr>
        <w:lastRenderedPageBreak/>
        <w:t xml:space="preserve">El </w:t>
      </w:r>
      <w:r w:rsidRPr="00884C5C">
        <w:rPr>
          <w:rFonts w:ascii="Century Gothic" w:eastAsia="Calibri" w:hAnsi="Century Gothic" w:cs="Arial"/>
          <w:lang w:val="es-ES"/>
        </w:rPr>
        <w:t>amparo de estabilidad y calidad de la obra, sin perjuicio de la</w:t>
      </w:r>
      <w:r w:rsidRPr="00884C5C">
        <w:rPr>
          <w:rFonts w:ascii="Century Gothic" w:eastAsia="Calibri" w:hAnsi="Century Gothic" w:cs="Arial"/>
          <w:lang w:val="es-ES_tradnl"/>
        </w:rPr>
        <w:t xml:space="preserve"> garantía decenal de que trata el artículo 2060.3 del Código Civil</w:t>
      </w:r>
      <w:r w:rsidRPr="00884C5C">
        <w:rPr>
          <w:rFonts w:ascii="Century Gothic" w:eastAsia="Calibri" w:hAnsi="Century Gothic" w:cs="Arial"/>
          <w:vertAlign w:val="superscript"/>
          <w:lang w:val="es-ES_tradnl"/>
        </w:rPr>
        <w:footnoteReference w:id="12"/>
      </w:r>
      <w:r w:rsidRPr="00884C5C">
        <w:rPr>
          <w:rFonts w:ascii="Century Gothic" w:eastAsia="Calibri" w:hAnsi="Century Gothic" w:cs="Arial"/>
          <w:lang w:val="es-ES_tradnl"/>
        </w:rPr>
        <w:t>, el numeral 5 del artículo 2.2.1.3.1.7</w:t>
      </w:r>
      <w:r w:rsidR="00530768">
        <w:rPr>
          <w:rFonts w:ascii="Century Gothic" w:eastAsia="Calibri" w:hAnsi="Century Gothic" w:cs="Arial"/>
          <w:lang w:val="es-ES_tradnl"/>
        </w:rPr>
        <w:t xml:space="preserve"> </w:t>
      </w:r>
      <w:r w:rsidRPr="00884C5C">
        <w:rPr>
          <w:rFonts w:ascii="Century Gothic" w:eastAsia="Calibri" w:hAnsi="Century Gothic" w:cs="Arial"/>
          <w:lang w:val="es-ES_tradnl"/>
        </w:rPr>
        <w:t>del Decreto 1082 de 2015 dispone que “</w:t>
      </w:r>
      <w:r w:rsidRPr="00884C5C">
        <w:rPr>
          <w:rFonts w:ascii="Century Gothic" w:hAnsi="Century Gothic"/>
          <w:lang w:val="es-MX"/>
        </w:rPr>
        <w:t xml:space="preserve">[…] </w:t>
      </w:r>
      <w:r w:rsidRPr="00884C5C">
        <w:rPr>
          <w:rFonts w:ascii="Century Gothic" w:eastAsia="Calibri" w:hAnsi="Century Gothic" w:cs="Arial"/>
          <w:lang w:val="es-ES_tradnl"/>
        </w:rPr>
        <w:t xml:space="preserve">cubre a la Entidad Estatal de los perjuicios ocasionados por cualquier tipo de daño o deterioro, imputable al contratista, sufrido por la obra entregada a satisfacción”. </w:t>
      </w:r>
    </w:p>
    <w:p w14:paraId="2EF76FAE" w14:textId="77777777" w:rsidR="00EA1B6C" w:rsidRPr="00884C5C" w:rsidRDefault="00EA1B6C" w:rsidP="00F660FD">
      <w:pPr>
        <w:spacing w:after="120" w:line="276" w:lineRule="auto"/>
        <w:ind w:firstLine="708"/>
        <w:jc w:val="both"/>
        <w:rPr>
          <w:rFonts w:ascii="Century Gothic" w:eastAsia="Calibri" w:hAnsi="Century Gothic" w:cs="Arial"/>
          <w:lang w:val="es-ES_tradnl"/>
        </w:rPr>
      </w:pPr>
      <w:r w:rsidRPr="00884C5C">
        <w:rPr>
          <w:rFonts w:ascii="Century Gothic" w:eastAsia="Calibri" w:hAnsi="Century Gothic" w:cs="Arial"/>
          <w:lang w:val="es-ES_tradnl"/>
        </w:rPr>
        <w:t xml:space="preserve">Por otra parte, el artículo 2.2.1.2.3.1.14 prescribe que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agregando que “La Entidad Estatal puede aceptar que esta garantía tenga una vigencia inferior a cinco (5) años previa justificación técnica de un experto en la materia objeto del contrato”. </w:t>
      </w:r>
    </w:p>
    <w:p w14:paraId="658438DB" w14:textId="77777777" w:rsidR="00EA1B6C" w:rsidRPr="00884C5C" w:rsidRDefault="00EA1B6C" w:rsidP="00F660FD">
      <w:pPr>
        <w:spacing w:after="120" w:line="276" w:lineRule="auto"/>
        <w:ind w:firstLine="708"/>
        <w:jc w:val="both"/>
        <w:rPr>
          <w:rFonts w:ascii="Century Gothic" w:eastAsia="Calibri" w:hAnsi="Century Gothic" w:cs="Arial"/>
          <w:lang w:val="es-ES_tradnl"/>
        </w:rPr>
      </w:pPr>
      <w:r w:rsidRPr="00884C5C">
        <w:rPr>
          <w:rFonts w:ascii="Century Gothic" w:eastAsia="Calibri" w:hAnsi="Century Gothic" w:cs="Arial"/>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De esta manera, el siniestro de esta garantía no concurre con la imposición de multas, y en todo caso, no necesariamente concurre con la declaratoria de incumplimiento e imposición de clausula penal.</w:t>
      </w:r>
    </w:p>
    <w:p w14:paraId="1C8610D0" w14:textId="77777777" w:rsidR="00EA1B6C" w:rsidRPr="00884C5C" w:rsidRDefault="00EA1B6C" w:rsidP="005B4382">
      <w:pPr>
        <w:spacing w:after="0" w:line="276" w:lineRule="auto"/>
        <w:jc w:val="both"/>
        <w:rPr>
          <w:rFonts w:ascii="Century Gothic" w:hAnsi="Century Gothic" w:cs="Arial"/>
          <w:bCs/>
          <w:lang w:val="es-ES_tradnl"/>
        </w:rPr>
      </w:pPr>
    </w:p>
    <w:p w14:paraId="5E3FBA93" w14:textId="30BB6231" w:rsidR="00EA1B6C" w:rsidRPr="00884C5C" w:rsidRDefault="00534343" w:rsidP="005B4382">
      <w:pPr>
        <w:spacing w:after="0" w:line="276" w:lineRule="auto"/>
        <w:jc w:val="both"/>
        <w:rPr>
          <w:rFonts w:ascii="Century Gothic" w:eastAsia="Calibri" w:hAnsi="Century Gothic" w:cs="Arial"/>
          <w:b/>
          <w:lang w:val="es-ES_tradnl"/>
        </w:rPr>
      </w:pPr>
      <w:r>
        <w:rPr>
          <w:rFonts w:ascii="Century Gothic" w:hAnsi="Century Gothic" w:cs="Arial"/>
          <w:b/>
          <w:lang w:val="es-ES_tradnl"/>
        </w:rPr>
        <w:t>2</w:t>
      </w:r>
      <w:r w:rsidR="00EA1B6C" w:rsidRPr="00884C5C">
        <w:rPr>
          <w:rFonts w:ascii="Century Gothic" w:hAnsi="Century Gothic" w:cs="Arial"/>
          <w:b/>
          <w:lang w:val="es-ES_tradnl"/>
        </w:rPr>
        <w:t>.</w:t>
      </w:r>
      <w:r>
        <w:rPr>
          <w:rFonts w:ascii="Century Gothic" w:hAnsi="Century Gothic" w:cs="Arial"/>
          <w:b/>
          <w:lang w:val="es-ES_tradnl"/>
        </w:rPr>
        <w:t>5</w:t>
      </w:r>
      <w:r w:rsidR="00EA1B6C" w:rsidRPr="00884C5C">
        <w:rPr>
          <w:rFonts w:ascii="Century Gothic" w:hAnsi="Century Gothic" w:cs="Arial"/>
          <w:b/>
          <w:lang w:val="es-ES_tradnl"/>
        </w:rPr>
        <w:t xml:space="preserve"> </w:t>
      </w:r>
      <w:bookmarkStart w:id="10" w:name="_Hlk156471883"/>
      <w:r w:rsidR="00EA1B6C" w:rsidRPr="00884C5C">
        <w:rPr>
          <w:rFonts w:ascii="Century Gothic" w:eastAsia="Calibri" w:hAnsi="Century Gothic" w:cs="Arial"/>
          <w:b/>
          <w:lang w:val="es-ES_tradnl"/>
        </w:rPr>
        <w:t>Régimen contractual de las Sociedades de Economía Mixta</w:t>
      </w:r>
      <w:bookmarkEnd w:id="10"/>
      <w:r w:rsidR="00EA1B6C" w:rsidRPr="00884C5C">
        <w:rPr>
          <w:rFonts w:ascii="Century Gothic" w:eastAsia="Calibri" w:hAnsi="Century Gothic" w:cs="Arial"/>
          <w:b/>
          <w:lang w:val="es-ES_tradnl"/>
        </w:rPr>
        <w:t>. Reiteración de línea</w:t>
      </w:r>
    </w:p>
    <w:p w14:paraId="4DE59063" w14:textId="77777777" w:rsidR="00EA1B6C" w:rsidRPr="00884C5C" w:rsidRDefault="00EA1B6C" w:rsidP="005B4382">
      <w:pPr>
        <w:spacing w:after="0" w:line="276" w:lineRule="auto"/>
        <w:jc w:val="both"/>
        <w:rPr>
          <w:rFonts w:ascii="Century Gothic" w:eastAsia="Calibri" w:hAnsi="Century Gothic" w:cs="Arial"/>
          <w:b/>
          <w:bCs/>
          <w:lang w:val="es-ES_tradnl"/>
        </w:rPr>
      </w:pPr>
    </w:p>
    <w:p w14:paraId="7AE110E2" w14:textId="77777777" w:rsidR="00EA1B6C" w:rsidRPr="00884C5C" w:rsidRDefault="00EA1B6C" w:rsidP="00F660FD">
      <w:pPr>
        <w:autoSpaceDE w:val="0"/>
        <w:autoSpaceDN w:val="0"/>
        <w:adjustRightInd w:val="0"/>
        <w:spacing w:after="120" w:line="276" w:lineRule="auto"/>
        <w:jc w:val="both"/>
        <w:rPr>
          <w:rFonts w:ascii="Century Gothic" w:hAnsi="Century Gothic" w:cs="Arial"/>
          <w:lang w:val="es-ES_tradnl"/>
        </w:rPr>
      </w:pPr>
      <w:r w:rsidRPr="00884C5C">
        <w:rPr>
          <w:rFonts w:ascii="Century Gothic" w:hAnsi="Century Gothic" w:cs="Arial"/>
          <w:lang w:val="es-ES_tradnl"/>
        </w:rPr>
        <w:t>En nuestro ordenamiento jurídico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2751B606"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 xml:space="preserve">En este sentido, la misma Ley, en los artículos 38 y 68, clasifica a las sociedades de economía mixta como entidades descentralizadas por servicios, </w:t>
      </w:r>
      <w:r w:rsidRPr="00884C5C">
        <w:rPr>
          <w:rFonts w:ascii="Century Gothic" w:hAnsi="Century Gothic" w:cs="Arial"/>
          <w:lang w:val="es-ES_tradnl" w:eastAsia="es-MX"/>
        </w:rPr>
        <w:lastRenderedPageBreak/>
        <w:t>con personería jurídica, autonomía administrativa y patrimonio propio</w:t>
      </w:r>
      <w:r w:rsidRPr="00884C5C">
        <w:rPr>
          <w:rStyle w:val="Refdenotaalpie"/>
          <w:rFonts w:ascii="Century Gothic" w:hAnsi="Century Gothic" w:cs="Arial"/>
          <w:lang w:val="es-ES_tradnl" w:eastAsia="es-MX"/>
        </w:rPr>
        <w:footnoteReference w:id="13"/>
      </w:r>
      <w:r w:rsidRPr="00884C5C">
        <w:rPr>
          <w:rFonts w:ascii="Century Gothic" w:hAnsi="Century Gothic" w:cs="Arial"/>
          <w:lang w:val="es-ES_tradnl" w:eastAsia="es-MX"/>
        </w:rPr>
        <w:t>, que pueden ser del orden nacional, departamental o municipal, según su órgano de creación</w:t>
      </w:r>
      <w:r w:rsidRPr="00884C5C">
        <w:rPr>
          <w:rStyle w:val="Refdenotaalpie"/>
          <w:rFonts w:ascii="Century Gothic" w:hAnsi="Century Gothic" w:cs="Arial"/>
          <w:lang w:val="es-ES_tradnl" w:eastAsia="es-MX"/>
        </w:rPr>
        <w:footnoteReference w:id="14"/>
      </w:r>
      <w:r w:rsidRPr="00884C5C">
        <w:rPr>
          <w:rFonts w:ascii="Century Gothic" w:hAnsi="Century Gothic" w:cs="Arial"/>
          <w:lang w:val="es-ES_tradnl"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884C5C">
        <w:rPr>
          <w:rFonts w:ascii="Century Gothic" w:hAnsi="Century Gothic" w:cs="Arial"/>
          <w:lang w:val="es-ES_tradnl" w:eastAsia="es-MX"/>
        </w:rPr>
        <w:t>ii</w:t>
      </w:r>
      <w:proofErr w:type="spellEnd"/>
      <w:r w:rsidRPr="00884C5C">
        <w:rPr>
          <w:rFonts w:ascii="Century Gothic" w:hAnsi="Century Gothic" w:cs="Arial"/>
          <w:lang w:val="es-ES_tradnl" w:eastAsia="es-MX"/>
        </w:rPr>
        <w:t xml:space="preserve">) están sujetas al control fiscal, financiero, de gestión y de resultados en cabeza de la Contraloría General de la República. Por otra parte, </w:t>
      </w:r>
      <w:proofErr w:type="spellStart"/>
      <w:r w:rsidRPr="00884C5C">
        <w:rPr>
          <w:rFonts w:ascii="Century Gothic" w:hAnsi="Century Gothic" w:cs="Arial"/>
          <w:lang w:val="es-ES_tradnl" w:eastAsia="es-MX"/>
        </w:rPr>
        <w:t>iii</w:t>
      </w:r>
      <w:proofErr w:type="spellEnd"/>
      <w:r w:rsidRPr="00884C5C">
        <w:rPr>
          <w:rFonts w:ascii="Century Gothic" w:hAnsi="Century Gothic" w:cs="Arial"/>
          <w:lang w:val="es-ES_tradnl" w:eastAsia="es-MX"/>
        </w:rPr>
        <w:t xml:space="preserve">) se someten al control político, que ejerce directamente el Congreso de la República. Además, </w:t>
      </w:r>
      <w:proofErr w:type="spellStart"/>
      <w:r w:rsidRPr="00884C5C">
        <w:rPr>
          <w:rFonts w:ascii="Century Gothic" w:hAnsi="Century Gothic" w:cs="Arial"/>
          <w:lang w:val="es-ES_tradnl" w:eastAsia="es-MX"/>
        </w:rPr>
        <w:t>iv</w:t>
      </w:r>
      <w:proofErr w:type="spellEnd"/>
      <w:r w:rsidRPr="00884C5C">
        <w:rPr>
          <w:rFonts w:ascii="Century Gothic" w:hAnsi="Century Gothic" w:cs="Arial"/>
          <w:lang w:val="es-ES_tradnl"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884C5C">
        <w:rPr>
          <w:rFonts w:ascii="Century Gothic" w:hAnsi="Century Gothic" w:cs="Arial"/>
          <w:lang w:val="es-ES_tradnl" w:eastAsia="es-MX"/>
        </w:rPr>
        <w:t>vii</w:t>
      </w:r>
      <w:proofErr w:type="spellEnd"/>
      <w:r w:rsidRPr="00884C5C">
        <w:rPr>
          <w:rFonts w:ascii="Century Gothic" w:hAnsi="Century Gothic" w:cs="Arial"/>
          <w:lang w:val="es-ES_tradnl" w:eastAsia="es-MX"/>
        </w:rPr>
        <w:t xml:space="preserve">) en materia presupuestal, las sociedades de economía mixta quedan sujetas a las reglas de la ley orgánica del presupuesto. De otro lado, </w:t>
      </w:r>
      <w:proofErr w:type="spellStart"/>
      <w:r w:rsidRPr="00884C5C">
        <w:rPr>
          <w:rFonts w:ascii="Century Gothic" w:hAnsi="Century Gothic" w:cs="Arial"/>
          <w:lang w:val="es-ES_tradnl" w:eastAsia="es-MX"/>
        </w:rPr>
        <w:t>viii</w:t>
      </w:r>
      <w:proofErr w:type="spellEnd"/>
      <w:r w:rsidRPr="00884C5C">
        <w:rPr>
          <w:rFonts w:ascii="Century Gothic" w:hAnsi="Century Gothic" w:cs="Arial"/>
          <w:lang w:val="es-ES_tradnl" w:eastAsia="es-MX"/>
        </w:rPr>
        <w:t xml:space="preserve">) en materia contable, quedan vinculadas a las reglas de contabilidad oficial. Además, </w:t>
      </w:r>
      <w:proofErr w:type="spellStart"/>
      <w:r w:rsidRPr="00884C5C">
        <w:rPr>
          <w:rFonts w:ascii="Century Gothic" w:hAnsi="Century Gothic" w:cs="Arial"/>
          <w:lang w:val="es-ES_tradnl" w:eastAsia="es-MX"/>
        </w:rPr>
        <w:t>ix</w:t>
      </w:r>
      <w:proofErr w:type="spellEnd"/>
      <w:r w:rsidRPr="00884C5C">
        <w:rPr>
          <w:rFonts w:ascii="Century Gothic" w:hAnsi="Century Gothic" w:cs="Arial"/>
          <w:lang w:val="es-ES_tradnl" w:eastAsia="es-MX"/>
        </w:rPr>
        <w:t>) se rigen por el derecho privado, en virtud de la naturaleza de las actividades que desarrollan.  </w:t>
      </w:r>
    </w:p>
    <w:p w14:paraId="04C0CAD7"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Sin embargo,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884C5C">
        <w:rPr>
          <w:rStyle w:val="Refdenotaalpie"/>
          <w:rFonts w:ascii="Century Gothic" w:hAnsi="Century Gothic" w:cs="Arial"/>
          <w:lang w:val="es-ES_tradnl" w:eastAsia="es-MX"/>
        </w:rPr>
        <w:footnoteReference w:id="15"/>
      </w:r>
      <w:r w:rsidRPr="00884C5C">
        <w:rPr>
          <w:rFonts w:ascii="Century Gothic" w:hAnsi="Century Gothic" w:cs="Arial"/>
          <w:lang w:val="es-ES_tradnl" w:eastAsia="es-MX"/>
        </w:rPr>
        <w:t>, más precisamente de la función administrativa</w:t>
      </w:r>
      <w:r w:rsidRPr="00884C5C">
        <w:rPr>
          <w:rStyle w:val="Refdenotaalpie"/>
          <w:rFonts w:ascii="Century Gothic" w:hAnsi="Century Gothic" w:cs="Arial"/>
          <w:lang w:val="es-ES_tradnl" w:eastAsia="es-MX"/>
        </w:rPr>
        <w:footnoteReference w:id="16"/>
      </w:r>
      <w:r w:rsidRPr="00884C5C">
        <w:rPr>
          <w:rFonts w:ascii="Century Gothic" w:hAnsi="Century Gothic" w:cs="Arial"/>
          <w:lang w:val="es-ES_tradnl" w:eastAsia="es-MX"/>
        </w:rPr>
        <w:t xml:space="preserve">, en virtud del aporte público en la </w:t>
      </w:r>
      <w:r w:rsidRPr="00884C5C">
        <w:rPr>
          <w:rFonts w:ascii="Century Gothic" w:hAnsi="Century Gothic" w:cs="Arial"/>
          <w:lang w:val="es-ES_tradnl" w:eastAsia="es-MX"/>
        </w:rPr>
        <w:lastRenderedPageBreak/>
        <w:t>constitución del capital social y la consiguiente pertenencia a la administración pública, en la condición de entidades descentralizadas.</w:t>
      </w:r>
    </w:p>
    <w:p w14:paraId="73325898"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14:paraId="6D7DABCA"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884C5C">
        <w:rPr>
          <w:rStyle w:val="Refdenotaalpie"/>
          <w:rFonts w:ascii="Century Gothic" w:hAnsi="Century Gothic" w:cs="Arial"/>
          <w:lang w:val="es-ES_tradnl" w:eastAsia="es-MX"/>
        </w:rPr>
        <w:footnoteReference w:id="17"/>
      </w:r>
      <w:r w:rsidRPr="00884C5C">
        <w:rPr>
          <w:rFonts w:ascii="Century Gothic" w:hAnsi="Century Gothic" w:cs="Arial"/>
          <w:lang w:val="es-ES_tradnl" w:eastAsia="es-MX"/>
        </w:rPr>
        <w:t xml:space="preserve">. Esto significa que el legislador, en el año 1993, estableció que las sociedades de economía mixta donde el Estado tenga participación superior al cincuenta por ciento (50%) están sujetos al Estatuto General de Contratación de la Administración Pública. </w:t>
      </w:r>
    </w:p>
    <w:p w14:paraId="093445DE"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Frente al particular,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884C5C">
        <w:rPr>
          <w:rStyle w:val="Refdenotaalpie"/>
          <w:rFonts w:ascii="Century Gothic" w:hAnsi="Century Gothic" w:cs="Arial"/>
          <w:lang w:val="es-ES_tradnl" w:eastAsia="es-MX"/>
        </w:rPr>
        <w:footnoteReference w:id="18"/>
      </w:r>
      <w:r w:rsidRPr="00884C5C">
        <w:rPr>
          <w:rFonts w:ascii="Century Gothic" w:hAnsi="Century Gothic" w:cs="Arial"/>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14:paraId="35691543" w14:textId="77777777" w:rsidR="00EA1B6C" w:rsidRPr="00884C5C"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 xml:space="preserve">Sin embargo, actualmente el artículo 14 de la Ley 1150 de 2007 previó que las sociedades de economía mixta en las que el Estado tenga participación superior al cincuenta por ciento (50%) y sus filiales que cuenten con participación </w:t>
      </w:r>
      <w:r w:rsidRPr="00884C5C">
        <w:rPr>
          <w:rFonts w:ascii="Century Gothic" w:hAnsi="Century Gothic" w:cs="Arial"/>
          <w:lang w:val="es-ES_tradnl" w:eastAsia="es-MX"/>
        </w:rPr>
        <w:lastRenderedPageBreak/>
        <w:t>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884C5C">
        <w:rPr>
          <w:rStyle w:val="Refdenotaalpie"/>
          <w:rFonts w:ascii="Century Gothic" w:hAnsi="Century Gothic" w:cs="Arial"/>
          <w:lang w:val="es-ES_tradnl" w:eastAsia="es-MX"/>
        </w:rPr>
        <w:footnoteReference w:id="19"/>
      </w:r>
      <w:r w:rsidRPr="00884C5C">
        <w:rPr>
          <w:rFonts w:ascii="Century Gothic" w:hAnsi="Century Gothic"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7CE18659" w14:textId="431C36DF" w:rsidR="00F55250" w:rsidRDefault="00EA1B6C" w:rsidP="00F660FD">
      <w:pPr>
        <w:spacing w:after="120" w:line="276" w:lineRule="auto"/>
        <w:ind w:firstLine="709"/>
        <w:jc w:val="both"/>
        <w:textAlignment w:val="baseline"/>
        <w:rPr>
          <w:rFonts w:ascii="Century Gothic" w:hAnsi="Century Gothic" w:cs="Arial"/>
          <w:lang w:val="es-ES_tradnl" w:eastAsia="es-MX"/>
        </w:rPr>
      </w:pPr>
      <w:r w:rsidRPr="00884C5C">
        <w:rPr>
          <w:rFonts w:ascii="Century Gothic" w:hAnsi="Century Gothic" w:cs="Arial"/>
          <w:lang w:val="es-ES_tradnl"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281B76BD" w14:textId="77777777" w:rsidR="009764FE" w:rsidRPr="00884C5C" w:rsidRDefault="009764FE" w:rsidP="005B4382">
      <w:pPr>
        <w:spacing w:after="0" w:line="276" w:lineRule="auto"/>
        <w:ind w:firstLine="709"/>
        <w:jc w:val="both"/>
        <w:textAlignment w:val="baseline"/>
        <w:rPr>
          <w:rFonts w:ascii="Century Gothic" w:hAnsi="Century Gothic" w:cs="Arial"/>
          <w:lang w:val="es-ES_tradnl" w:eastAsia="es-MX"/>
        </w:rPr>
      </w:pPr>
    </w:p>
    <w:p w14:paraId="0C062A14" w14:textId="7B0E34DF" w:rsidR="00EA1B6C" w:rsidRPr="00884C5C" w:rsidRDefault="00534343" w:rsidP="005B4382">
      <w:pPr>
        <w:pStyle w:val="Prrafodelista"/>
        <w:spacing w:after="0" w:line="276" w:lineRule="auto"/>
        <w:ind w:left="0" w:right="191"/>
        <w:jc w:val="both"/>
        <w:textAlignment w:val="baseline"/>
        <w:rPr>
          <w:rFonts w:ascii="Century Gothic" w:hAnsi="Century Gothic" w:cs="Arial"/>
          <w:b/>
          <w:bCs/>
          <w:lang w:val="es-ES_tradnl" w:eastAsia="es-MX"/>
        </w:rPr>
      </w:pPr>
      <w:r>
        <w:rPr>
          <w:rFonts w:ascii="Century Gothic" w:hAnsi="Century Gothic" w:cs="Arial"/>
          <w:b/>
          <w:bCs/>
          <w:lang w:val="es-ES_tradnl" w:eastAsia="es-MX"/>
        </w:rPr>
        <w:t xml:space="preserve">3. </w:t>
      </w:r>
      <w:r w:rsidR="00EA1B6C" w:rsidRPr="00884C5C">
        <w:rPr>
          <w:rFonts w:ascii="Century Gothic" w:hAnsi="Century Gothic" w:cs="Arial"/>
          <w:b/>
          <w:bCs/>
          <w:lang w:val="es-ES_tradnl" w:eastAsia="es-MX"/>
        </w:rPr>
        <w:t xml:space="preserve">Respuestas </w:t>
      </w:r>
    </w:p>
    <w:p w14:paraId="6388EB99" w14:textId="77777777" w:rsidR="00EA1B6C" w:rsidRPr="00884C5C" w:rsidRDefault="00EA1B6C" w:rsidP="005B4382">
      <w:pPr>
        <w:spacing w:after="0" w:line="276" w:lineRule="auto"/>
        <w:ind w:right="709"/>
        <w:jc w:val="both"/>
        <w:rPr>
          <w:rFonts w:ascii="Century Gothic" w:hAnsi="Century Gothic" w:cs="Arial"/>
          <w:sz w:val="21"/>
          <w:szCs w:val="21"/>
          <w:lang w:val="es-ES_tradnl"/>
        </w:rPr>
      </w:pPr>
    </w:p>
    <w:p w14:paraId="16C33E7A" w14:textId="77777777" w:rsidR="00EA1B6C" w:rsidRPr="00884C5C" w:rsidRDefault="00EA1B6C" w:rsidP="005B4382">
      <w:pPr>
        <w:spacing w:after="0" w:line="276" w:lineRule="auto"/>
        <w:ind w:left="709" w:right="709"/>
        <w:jc w:val="both"/>
        <w:rPr>
          <w:rFonts w:ascii="Century Gothic" w:hAnsi="Century Gothic" w:cs="Arial"/>
          <w:sz w:val="21"/>
          <w:szCs w:val="21"/>
          <w:lang w:val="es-ES_tradnl"/>
        </w:rPr>
      </w:pPr>
      <w:r w:rsidRPr="00884C5C">
        <w:rPr>
          <w:rFonts w:ascii="Century Gothic" w:hAnsi="Century Gothic" w:cs="Arial"/>
          <w:sz w:val="21"/>
          <w:szCs w:val="21"/>
          <w:lang w:val="es-ES_tradnl"/>
        </w:rPr>
        <w:t>“¿Qué se entiende por garantía? ¿Cuáles son los tipos de garantías? ¿Qué es lo mínimo que debe cubrir una garantía? ¿Un pagaré en blanco constituye una garantía?”</w:t>
      </w:r>
    </w:p>
    <w:p w14:paraId="5B408564" w14:textId="77777777" w:rsidR="00EA1B6C" w:rsidRPr="00884C5C" w:rsidRDefault="00EA1B6C" w:rsidP="005B4382">
      <w:pPr>
        <w:spacing w:after="0" w:line="276" w:lineRule="auto"/>
        <w:ind w:left="709" w:right="709"/>
        <w:jc w:val="both"/>
        <w:rPr>
          <w:rFonts w:ascii="Century Gothic" w:hAnsi="Century Gothic" w:cs="Arial"/>
          <w:sz w:val="21"/>
          <w:szCs w:val="21"/>
          <w:lang w:val="es-ES_tradnl"/>
        </w:rPr>
      </w:pPr>
    </w:p>
    <w:p w14:paraId="554A3A93" w14:textId="1FB2BC0F" w:rsidR="00EA1B6C" w:rsidRPr="00884C5C" w:rsidRDefault="00EA1B6C" w:rsidP="00F660FD">
      <w:pPr>
        <w:spacing w:after="120" w:line="276" w:lineRule="auto"/>
        <w:ind w:right="49"/>
        <w:jc w:val="both"/>
        <w:rPr>
          <w:rFonts w:ascii="Century Gothic" w:eastAsia="Calibri" w:hAnsi="Century Gothic" w:cs="Arial"/>
          <w:lang w:val="es-ES_tradnl"/>
        </w:rPr>
      </w:pPr>
      <w:r w:rsidRPr="00884C5C">
        <w:rPr>
          <w:rFonts w:ascii="Century Gothic" w:hAnsi="Century Gothic" w:cs="Arial"/>
          <w:sz w:val="21"/>
          <w:szCs w:val="21"/>
          <w:lang w:val="es-ES_tradnl"/>
        </w:rPr>
        <w:t>Las garantías son instrumentos de cobertura de algunos riesgos comunes en Procesos de Contratación</w:t>
      </w:r>
      <w:r w:rsidR="007F11FF">
        <w:rPr>
          <w:rFonts w:ascii="Century Gothic" w:hAnsi="Century Gothic" w:cs="Arial"/>
          <w:sz w:val="21"/>
          <w:szCs w:val="21"/>
          <w:lang w:val="es-ES_tradnl"/>
        </w:rPr>
        <w:t>.</w:t>
      </w:r>
      <w:r w:rsidRPr="00884C5C">
        <w:rPr>
          <w:rFonts w:ascii="Century Gothic" w:hAnsi="Century Gothic" w:cs="Arial"/>
          <w:sz w:val="21"/>
          <w:szCs w:val="21"/>
          <w:lang w:val="es-ES_tradnl"/>
        </w:rPr>
        <w:t xml:space="preserve"> </w:t>
      </w:r>
      <w:r w:rsidRPr="00884C5C">
        <w:rPr>
          <w:rFonts w:ascii="Century Gothic" w:eastAsia="Calibri" w:hAnsi="Century Gothic" w:cs="Arial"/>
          <w:lang w:val="es-ES_tradnl"/>
        </w:rPr>
        <w:t xml:space="preserve">Es así como los contratistas tienen la obligación de constituir garantías para el cumplimiento de las obligaciones surgidas del contrato, y los proponentes por el ofrecimiento realizado, pudiendo consistir en pólizas expedidas </w:t>
      </w:r>
      <w:r w:rsidRPr="00884C5C">
        <w:rPr>
          <w:rFonts w:ascii="Century Gothic" w:eastAsia="Calibri" w:hAnsi="Century Gothic" w:cs="Arial"/>
          <w:lang w:val="es-ES_tradnl"/>
        </w:rPr>
        <w:lastRenderedPageBreak/>
        <w:t xml:space="preserve">por compañías aseguradoras, garantías bancarias u otros mecanismos permitidos por la ley y el reglamento. </w:t>
      </w:r>
    </w:p>
    <w:p w14:paraId="1BB5ECCD" w14:textId="77777777" w:rsidR="00EA1B6C" w:rsidRDefault="00EA1B6C" w:rsidP="00F660FD">
      <w:pPr>
        <w:spacing w:after="120" w:line="276" w:lineRule="auto"/>
        <w:ind w:firstLine="708"/>
        <w:jc w:val="both"/>
        <w:rPr>
          <w:rFonts w:ascii="Century Gothic" w:eastAsia="Calibri" w:hAnsi="Century Gothic" w:cs="Arial"/>
          <w:lang w:val="es-ES"/>
        </w:rPr>
      </w:pPr>
      <w:r w:rsidRPr="00884C5C">
        <w:rPr>
          <w:rFonts w:ascii="Century Gothic" w:eastAsia="Calibri" w:hAnsi="Century Gothic" w:cs="Arial"/>
          <w:lang w:val="es-ES_tradnl"/>
        </w:rPr>
        <w:t xml:space="preserve">Es así como se establecen:  </w:t>
      </w:r>
      <w:r w:rsidRPr="00884C5C">
        <w:rPr>
          <w:rFonts w:ascii="Century Gothic" w:eastAsia="Calibri" w:hAnsi="Century Gothic" w:cs="Arial"/>
          <w:i/>
          <w:iCs/>
          <w:lang w:val="es-ES"/>
        </w:rPr>
        <w:t>la garantía de seriedad</w:t>
      </w:r>
      <w:r w:rsidRPr="00884C5C">
        <w:rPr>
          <w:rFonts w:ascii="Century Gothic" w:eastAsia="Calibri" w:hAnsi="Century Gothic" w:cs="Arial"/>
          <w:lang w:val="es-ES"/>
        </w:rPr>
        <w:t xml:space="preserve"> </w:t>
      </w:r>
      <w:r w:rsidRPr="00884C5C">
        <w:rPr>
          <w:rFonts w:ascii="Century Gothic" w:eastAsia="Calibri" w:hAnsi="Century Gothic" w:cs="Arial"/>
          <w:i/>
          <w:iCs/>
          <w:lang w:val="es-ES"/>
        </w:rPr>
        <w:t xml:space="preserve">de la oferta </w:t>
      </w:r>
      <w:r w:rsidRPr="00884C5C">
        <w:rPr>
          <w:rFonts w:ascii="Century Gothic" w:eastAsia="Calibri" w:hAnsi="Century Gothic" w:cs="Arial"/>
          <w:lang w:val="es-ES"/>
        </w:rPr>
        <w:t>la cual</w:t>
      </w:r>
      <w:r w:rsidRPr="00884C5C">
        <w:rPr>
          <w:rFonts w:ascii="Century Gothic" w:eastAsia="Calibri" w:hAnsi="Century Gothic" w:cs="Arial"/>
          <w:i/>
          <w:iCs/>
          <w:lang w:val="es-ES"/>
        </w:rPr>
        <w:t xml:space="preserve"> </w:t>
      </w:r>
      <w:r w:rsidRPr="00884C5C">
        <w:rPr>
          <w:rFonts w:ascii="Century Gothic" w:eastAsia="Calibri" w:hAnsi="Century Gothic" w:cs="Arial"/>
          <w:lang w:val="es-ES"/>
        </w:rPr>
        <w:t xml:space="preserve">respalda al principio de irrevocabilidad de la oferta, caso en el cual los proponentes que pierdan interés en la adjudicación resarcirán los perjuicios causados por su retiro del Proceso de Contratación.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 </w:t>
      </w:r>
    </w:p>
    <w:p w14:paraId="2A1ABF21" w14:textId="7A061CD5" w:rsidR="00666A53" w:rsidRPr="00884C5C" w:rsidRDefault="00666A53" w:rsidP="00F660FD">
      <w:pPr>
        <w:spacing w:after="120" w:line="276" w:lineRule="auto"/>
        <w:ind w:firstLine="708"/>
        <w:jc w:val="both"/>
        <w:rPr>
          <w:rFonts w:ascii="Century Gothic" w:eastAsia="Calibri" w:hAnsi="Century Gothic" w:cs="Arial"/>
          <w:lang w:val="es-ES"/>
        </w:rPr>
      </w:pPr>
      <w:r>
        <w:rPr>
          <w:rFonts w:ascii="Century Gothic" w:eastAsia="Calibri" w:hAnsi="Century Gothic" w:cs="Arial"/>
          <w:lang w:val="es-ES"/>
        </w:rPr>
        <w:t xml:space="preserve">Esta garantía </w:t>
      </w:r>
      <w:r w:rsidRPr="00884C5C">
        <w:rPr>
          <w:rFonts w:ascii="Century Gothic" w:eastAsia="Calibri" w:hAnsi="Century Gothic" w:cs="Arial"/>
          <w:lang w:val="es-ES"/>
        </w:rPr>
        <w:t xml:space="preserve">cubre la sanción derivada del incumplimiento de la propuesta, en los siguientes eventos: i) la no ampliación de la vigencia de la garantía de seriedad de la oferta cuando el plazo para la adjudicación o para suscribir el contrato es prorrogado, siempre que tal prórroga sea inferior a tres (3) meses; </w:t>
      </w:r>
      <w:proofErr w:type="spellStart"/>
      <w:r w:rsidRPr="00884C5C">
        <w:rPr>
          <w:rFonts w:ascii="Century Gothic" w:eastAsia="Calibri" w:hAnsi="Century Gothic" w:cs="Arial"/>
          <w:lang w:val="es-ES"/>
        </w:rPr>
        <w:t>ii</w:t>
      </w:r>
      <w:proofErr w:type="spellEnd"/>
      <w:r w:rsidRPr="00884C5C">
        <w:rPr>
          <w:rFonts w:ascii="Century Gothic" w:eastAsia="Calibri" w:hAnsi="Century Gothic" w:cs="Arial"/>
          <w:lang w:val="es-ES"/>
        </w:rPr>
        <w:t xml:space="preserve">) el retiro de la oferta después de vencido el plazo fijado para la presentación de las ofertas; </w:t>
      </w:r>
      <w:proofErr w:type="spellStart"/>
      <w:r w:rsidRPr="00884C5C">
        <w:rPr>
          <w:rFonts w:ascii="Century Gothic" w:eastAsia="Calibri" w:hAnsi="Century Gothic" w:cs="Arial"/>
          <w:lang w:val="es-ES"/>
        </w:rPr>
        <w:t>iii</w:t>
      </w:r>
      <w:proofErr w:type="spellEnd"/>
      <w:r w:rsidRPr="00884C5C">
        <w:rPr>
          <w:rFonts w:ascii="Century Gothic" w:eastAsia="Calibri" w:hAnsi="Century Gothic" w:cs="Arial"/>
          <w:lang w:val="es-ES"/>
        </w:rPr>
        <w:t xml:space="preserve">) la no suscripción del contrato sin justa causa por parte del adjudicatario y </w:t>
      </w:r>
      <w:proofErr w:type="spellStart"/>
      <w:r w:rsidRPr="00884C5C">
        <w:rPr>
          <w:rFonts w:ascii="Century Gothic" w:eastAsia="Calibri" w:hAnsi="Century Gothic" w:cs="Arial"/>
          <w:lang w:val="es-ES"/>
        </w:rPr>
        <w:t>iv</w:t>
      </w:r>
      <w:proofErr w:type="spellEnd"/>
      <w:r w:rsidRPr="00884C5C">
        <w:rPr>
          <w:rFonts w:ascii="Century Gothic" w:eastAsia="Calibri" w:hAnsi="Century Gothic" w:cs="Arial"/>
          <w:lang w:val="es-ES"/>
        </w:rPr>
        <w:t>) la falta de otorgamiento por parte del proponente seleccionado de la garantía de cumplimiento del contrato.</w:t>
      </w:r>
    </w:p>
    <w:p w14:paraId="2D4A2E52" w14:textId="7DEE2BA0" w:rsidR="00EA1B6C" w:rsidRPr="00884C5C" w:rsidRDefault="00666D55" w:rsidP="00F660FD">
      <w:pPr>
        <w:spacing w:after="120" w:line="276" w:lineRule="auto"/>
        <w:ind w:firstLine="709"/>
        <w:jc w:val="both"/>
        <w:rPr>
          <w:rFonts w:ascii="Century Gothic" w:hAnsi="Century Gothic" w:cs="Arial"/>
          <w:bCs/>
          <w:lang w:val="es-ES_tradnl"/>
        </w:rPr>
      </w:pPr>
      <w:r>
        <w:rPr>
          <w:rFonts w:ascii="Century Gothic" w:hAnsi="Century Gothic" w:cs="Arial"/>
          <w:bCs/>
          <w:i/>
          <w:iCs/>
          <w:lang w:val="es-ES_tradnl"/>
        </w:rPr>
        <w:t>L</w:t>
      </w:r>
      <w:r w:rsidR="00EA1B6C" w:rsidRPr="00884C5C">
        <w:rPr>
          <w:rFonts w:ascii="Century Gothic" w:hAnsi="Century Gothic" w:cs="Arial"/>
          <w:bCs/>
          <w:i/>
          <w:iCs/>
          <w:lang w:val="es-ES_tradnl"/>
        </w:rPr>
        <w:t>a garantía de cumplimiento</w:t>
      </w:r>
      <w:r w:rsidR="00EA1B6C" w:rsidRPr="00884C5C">
        <w:rPr>
          <w:rFonts w:ascii="Century Gothic" w:hAnsi="Century Gothic" w:cs="Arial"/>
          <w:bCs/>
          <w:lang w:val="es-ES_tradnl"/>
        </w:rPr>
        <w:t xml:space="preserve"> tiene el deber </w:t>
      </w:r>
      <w:r w:rsidR="00E21328">
        <w:rPr>
          <w:rFonts w:ascii="Century Gothic" w:hAnsi="Century Gothic" w:cs="Arial"/>
          <w:bCs/>
          <w:lang w:val="es-ES_tradnl"/>
        </w:rPr>
        <w:t xml:space="preserve">de </w:t>
      </w:r>
      <w:r w:rsidR="00EA1B6C" w:rsidRPr="00884C5C">
        <w:rPr>
          <w:rFonts w:ascii="Century Gothic" w:hAnsi="Century Gothic" w:cs="Arial"/>
          <w:bCs/>
          <w:lang w:val="es-ES_tradnl"/>
        </w:rPr>
        <w:t xml:space="preserve">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38A763B4" w14:textId="33252786" w:rsidR="00276277" w:rsidRPr="00761076" w:rsidRDefault="00276277" w:rsidP="00F660FD">
      <w:pPr>
        <w:spacing w:after="120" w:line="276" w:lineRule="auto"/>
        <w:ind w:firstLine="708"/>
        <w:jc w:val="both"/>
        <w:rPr>
          <w:rFonts w:ascii="Century Gothic" w:eastAsia="Calibri" w:hAnsi="Century Gothic" w:cs="Arial"/>
          <w:lang w:val="es-ES_tradnl"/>
        </w:rPr>
      </w:pPr>
      <w:r w:rsidRPr="00C27763">
        <w:rPr>
          <w:rFonts w:ascii="Century Gothic" w:eastAsia="Calibri" w:hAnsi="Century Gothic" w:cs="Arial"/>
          <w:i/>
          <w:iCs/>
          <w:lang w:val="es-ES"/>
        </w:rPr>
        <w:t xml:space="preserve">Y la garantía de </w:t>
      </w:r>
      <w:r w:rsidR="00EF5560" w:rsidRPr="00C27763">
        <w:rPr>
          <w:rFonts w:ascii="Century Gothic" w:eastAsia="Calibri" w:hAnsi="Century Gothic" w:cs="Arial"/>
          <w:i/>
          <w:iCs/>
          <w:lang w:val="es-ES"/>
        </w:rPr>
        <w:t xml:space="preserve">calidad </w:t>
      </w:r>
      <w:r w:rsidR="00C27763" w:rsidRPr="00884C5C">
        <w:rPr>
          <w:rFonts w:ascii="Century Gothic" w:eastAsia="Calibri" w:hAnsi="Century Gothic" w:cs="Arial"/>
          <w:lang w:val="es-ES_tradnl"/>
        </w:rPr>
        <w:t xml:space="preserve">cubre la ocurrencia de vicios, </w:t>
      </w:r>
      <w:r w:rsidR="00C27763">
        <w:rPr>
          <w:rFonts w:ascii="Century Gothic" w:eastAsia="Calibri" w:hAnsi="Century Gothic" w:cs="Arial"/>
          <w:lang w:val="es-ES_tradnl"/>
        </w:rPr>
        <w:t xml:space="preserve">la </w:t>
      </w:r>
      <w:r w:rsidR="00C27763" w:rsidRPr="00884C5C">
        <w:rPr>
          <w:rFonts w:ascii="Century Gothic" w:eastAsia="Calibri" w:hAnsi="Century Gothic" w:cs="Arial"/>
          <w:lang w:val="es-ES_tradnl"/>
        </w:rPr>
        <w:t xml:space="preserve">mala calidad, </w:t>
      </w:r>
      <w:r w:rsidR="00C27763">
        <w:rPr>
          <w:rFonts w:ascii="Century Gothic" w:eastAsia="Calibri" w:hAnsi="Century Gothic" w:cs="Arial"/>
          <w:lang w:val="es-ES_tradnl"/>
        </w:rPr>
        <w:t xml:space="preserve">los </w:t>
      </w:r>
      <w:r w:rsidR="00C27763" w:rsidRPr="00884C5C">
        <w:rPr>
          <w:rFonts w:ascii="Century Gothic" w:eastAsia="Calibri" w:hAnsi="Century Gothic" w:cs="Arial"/>
          <w:lang w:val="es-ES_tradnl"/>
        </w:rPr>
        <w:t>defectos, deficiencias técnicas o fallas que la Administración no detecte al momento de recibir la obra o que descubre con posterioridad a la finalización del contrato, afectando el cumplimiento de los objetivos que animaron la suscripción. De esta manera, el siniestro de esta garantía no concurre con la imposición de multas, y en todo caso, no necesariamente concurre con la declaratoria de incumplimiento e imposición de clausula penal.</w:t>
      </w:r>
    </w:p>
    <w:p w14:paraId="0A84E880" w14:textId="097D946A" w:rsidR="0031694B" w:rsidRDefault="00EA1B6C" w:rsidP="00F660FD">
      <w:pPr>
        <w:spacing w:after="120" w:line="276" w:lineRule="auto"/>
        <w:ind w:firstLine="708"/>
        <w:jc w:val="both"/>
        <w:rPr>
          <w:rFonts w:ascii="Century Gothic" w:eastAsia="Calibri" w:hAnsi="Century Gothic" w:cs="Arial"/>
          <w:lang w:val="es-ES"/>
        </w:rPr>
      </w:pPr>
      <w:r w:rsidRPr="00884C5C">
        <w:rPr>
          <w:rFonts w:ascii="Century Gothic" w:eastAsia="Calibri" w:hAnsi="Century Gothic" w:cs="Arial"/>
          <w:lang w:val="es-ES"/>
        </w:rPr>
        <w:t>Dicho esto, aterrizando en su pregunta particular sobre si un pagar</w:t>
      </w:r>
      <w:r w:rsidR="002E5A7B">
        <w:rPr>
          <w:rFonts w:ascii="Century Gothic" w:eastAsia="Calibri" w:hAnsi="Century Gothic" w:cs="Arial"/>
          <w:lang w:val="es-ES"/>
        </w:rPr>
        <w:t>é</w:t>
      </w:r>
      <w:r w:rsidRPr="00884C5C">
        <w:rPr>
          <w:rFonts w:ascii="Century Gothic" w:eastAsia="Calibri" w:hAnsi="Century Gothic" w:cs="Arial"/>
          <w:lang w:val="es-ES"/>
        </w:rPr>
        <w:t xml:space="preserve"> constituye una garantía,</w:t>
      </w:r>
      <w:r w:rsidR="000B00EC">
        <w:rPr>
          <w:rFonts w:ascii="Century Gothic" w:eastAsia="Calibri" w:hAnsi="Century Gothic" w:cs="Arial"/>
          <w:lang w:val="es-ES"/>
        </w:rPr>
        <w:t xml:space="preserve"> </w:t>
      </w:r>
      <w:r w:rsidR="005F50DE">
        <w:rPr>
          <w:rFonts w:ascii="Century Gothic" w:eastAsia="Calibri" w:hAnsi="Century Gothic" w:cs="Arial"/>
          <w:lang w:val="es-ES"/>
        </w:rPr>
        <w:t>es importante resaltar que</w:t>
      </w:r>
      <w:r w:rsidR="007B02A7">
        <w:rPr>
          <w:rFonts w:ascii="Century Gothic" w:eastAsia="Calibri" w:hAnsi="Century Gothic" w:cs="Arial"/>
          <w:lang w:val="es-ES"/>
        </w:rPr>
        <w:t xml:space="preserve"> </w:t>
      </w:r>
      <w:r w:rsidR="007B02A7" w:rsidRPr="000E4D63">
        <w:rPr>
          <w:rFonts w:ascii="Century Gothic" w:eastAsia="Calibri" w:hAnsi="Century Gothic" w:cs="Arial"/>
          <w:i/>
          <w:iCs/>
          <w:lang w:val="es-ES"/>
        </w:rPr>
        <w:t>el pagar</w:t>
      </w:r>
      <w:r w:rsidR="005F50DE">
        <w:rPr>
          <w:rFonts w:ascii="Century Gothic" w:eastAsia="Calibri" w:hAnsi="Century Gothic" w:cs="Arial"/>
          <w:i/>
          <w:iCs/>
          <w:lang w:val="es-ES"/>
        </w:rPr>
        <w:t>é</w:t>
      </w:r>
      <w:r w:rsidR="007B02A7">
        <w:rPr>
          <w:rFonts w:ascii="Century Gothic" w:eastAsia="Calibri" w:hAnsi="Century Gothic" w:cs="Arial"/>
          <w:lang w:val="es-ES"/>
        </w:rPr>
        <w:t xml:space="preserve"> corresponde a la </w:t>
      </w:r>
      <w:r w:rsidR="007B02A7">
        <w:rPr>
          <w:rFonts w:ascii="Century Gothic" w:eastAsia="Calibri" w:hAnsi="Century Gothic" w:cs="Arial"/>
          <w:lang w:val="es-ES"/>
        </w:rPr>
        <w:lastRenderedPageBreak/>
        <w:t>promesa de pagar una determina suma de dinero</w:t>
      </w:r>
      <w:r w:rsidR="004927D3">
        <w:rPr>
          <w:rFonts w:ascii="Century Gothic" w:eastAsia="Calibri" w:hAnsi="Century Gothic" w:cs="Arial"/>
          <w:lang w:val="es-ES"/>
        </w:rPr>
        <w:t xml:space="preserve">, </w:t>
      </w:r>
      <w:r w:rsidR="00E607F9">
        <w:rPr>
          <w:rFonts w:ascii="Century Gothic" w:eastAsia="Calibri" w:hAnsi="Century Gothic" w:cs="Arial"/>
          <w:lang w:val="es-ES"/>
        </w:rPr>
        <w:t xml:space="preserve">sin embargo, </w:t>
      </w:r>
      <w:r w:rsidR="00A075BD">
        <w:rPr>
          <w:rFonts w:ascii="Century Gothic" w:eastAsia="Calibri" w:hAnsi="Century Gothic" w:cs="Arial"/>
          <w:lang w:val="es-ES"/>
        </w:rPr>
        <w:t xml:space="preserve">en los procesos de </w:t>
      </w:r>
      <w:r w:rsidR="00896F1E">
        <w:rPr>
          <w:rFonts w:ascii="Century Gothic" w:eastAsia="Calibri" w:hAnsi="Century Gothic" w:cs="Arial"/>
          <w:lang w:val="es-ES"/>
        </w:rPr>
        <w:t>contratación pública un pagaré en blanco no constituye una garantía,</w:t>
      </w:r>
      <w:r w:rsidR="00037159">
        <w:rPr>
          <w:rFonts w:ascii="Century Gothic" w:eastAsia="Calibri" w:hAnsi="Century Gothic" w:cs="Arial"/>
          <w:lang w:val="es-ES"/>
        </w:rPr>
        <w:t xml:space="preserve"> debido </w:t>
      </w:r>
      <w:r w:rsidR="00E53C45">
        <w:rPr>
          <w:rFonts w:ascii="Century Gothic" w:eastAsia="Calibri" w:hAnsi="Century Gothic" w:cs="Arial"/>
          <w:lang w:val="es-ES"/>
        </w:rPr>
        <w:t>que este no garantiza el cumplimiento de las obligaciones</w:t>
      </w:r>
      <w:r w:rsidR="00E53C45" w:rsidRPr="00884C5C">
        <w:rPr>
          <w:rFonts w:ascii="Century Gothic" w:eastAsia="Calibri" w:hAnsi="Century Gothic" w:cs="Arial"/>
          <w:lang w:val="es-ES_tradnl"/>
        </w:rPr>
        <w:t xml:space="preserve"> surgidas del contrato</w:t>
      </w:r>
      <w:r w:rsidR="00E53C45">
        <w:rPr>
          <w:rFonts w:ascii="Century Gothic" w:eastAsia="Calibri" w:hAnsi="Century Gothic" w:cs="Arial"/>
          <w:lang w:val="es-ES_tradnl"/>
        </w:rPr>
        <w:t xml:space="preserve"> ni la posibilidad de </w:t>
      </w:r>
      <w:r w:rsidR="00E53C45" w:rsidRPr="00884C5C">
        <w:rPr>
          <w:rFonts w:ascii="Century Gothic" w:eastAsia="Calibri" w:hAnsi="Century Gothic" w:cs="Arial"/>
          <w:lang w:val="es-ES"/>
        </w:rPr>
        <w:t>evitar o mitigar posibles riesgos</w:t>
      </w:r>
      <w:r w:rsidR="00336725">
        <w:rPr>
          <w:rFonts w:ascii="Century Gothic" w:eastAsia="Calibri" w:hAnsi="Century Gothic" w:cs="Arial"/>
          <w:lang w:val="es-ES"/>
        </w:rPr>
        <w:t xml:space="preserve">, </w:t>
      </w:r>
      <w:r w:rsidR="0004210C">
        <w:rPr>
          <w:rFonts w:ascii="Century Gothic" w:eastAsia="Calibri" w:hAnsi="Century Gothic" w:cs="Arial"/>
          <w:lang w:val="es-ES"/>
        </w:rPr>
        <w:t>toda vez que</w:t>
      </w:r>
      <w:r w:rsidR="00336725">
        <w:rPr>
          <w:rFonts w:ascii="Century Gothic" w:eastAsia="Calibri" w:hAnsi="Century Gothic" w:cs="Arial"/>
          <w:lang w:val="es-ES"/>
        </w:rPr>
        <w:t xml:space="preserve"> </w:t>
      </w:r>
      <w:r w:rsidR="006758A8">
        <w:rPr>
          <w:rFonts w:ascii="Century Gothic" w:eastAsia="Calibri" w:hAnsi="Century Gothic" w:cs="Arial"/>
          <w:lang w:val="es-ES"/>
        </w:rPr>
        <w:t xml:space="preserve">no se estipula en el </w:t>
      </w:r>
      <w:r w:rsidR="002E32A8">
        <w:rPr>
          <w:rFonts w:ascii="Century Gothic" w:eastAsia="Calibri" w:hAnsi="Century Gothic" w:cs="Arial"/>
          <w:lang w:val="es-ES"/>
        </w:rPr>
        <w:t>los amparos, la vigencia, sumas aseguradas ni valor</w:t>
      </w:r>
      <w:r w:rsidR="0004210C">
        <w:rPr>
          <w:rFonts w:ascii="Century Gothic" w:eastAsia="Calibri" w:hAnsi="Century Gothic" w:cs="Arial"/>
          <w:lang w:val="es-ES"/>
        </w:rPr>
        <w:t xml:space="preserve"> de la prima. </w:t>
      </w:r>
    </w:p>
    <w:p w14:paraId="445E4748" w14:textId="351F6F4C" w:rsidR="00A410D8" w:rsidRDefault="00A410D8" w:rsidP="00F660FD">
      <w:pPr>
        <w:spacing w:after="120" w:line="276" w:lineRule="auto"/>
        <w:ind w:firstLine="709"/>
        <w:jc w:val="both"/>
        <w:rPr>
          <w:rFonts w:ascii="Century Gothic" w:hAnsi="Century Gothic" w:cs="Arial"/>
        </w:rPr>
      </w:pPr>
      <w:r w:rsidRPr="00884C5C">
        <w:rPr>
          <w:rFonts w:ascii="Century Gothic" w:eastAsia="Calibri" w:hAnsi="Century Gothic" w:cs="Arial"/>
          <w:lang w:val="es-ES_tradnl"/>
        </w:rPr>
        <w:t>De acuerdo a lo expresado anteriormente, l</w:t>
      </w:r>
      <w:r w:rsidRPr="00884C5C">
        <w:rPr>
          <w:rFonts w:ascii="Century Gothic" w:hAnsi="Century Gothic" w:cs="Aria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884C5C">
        <w:rPr>
          <w:rFonts w:ascii="Century Gothic" w:eastAsia="Calibri" w:hAnsi="Century Gothic" w:cs="Arial"/>
        </w:rPr>
        <w:t xml:space="preserve">para amparar los riesgos contractuales; </w:t>
      </w:r>
      <w:proofErr w:type="spellStart"/>
      <w:r w:rsidRPr="00884C5C">
        <w:rPr>
          <w:rFonts w:ascii="Century Gothic" w:hAnsi="Century Gothic" w:cs="Arial"/>
        </w:rPr>
        <w:t>ii</w:t>
      </w:r>
      <w:proofErr w:type="spellEnd"/>
      <w:r w:rsidRPr="00884C5C">
        <w:rPr>
          <w:rFonts w:ascii="Century Gothic" w:hAnsi="Century Gothic" w:cs="Arial"/>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884C5C">
        <w:rPr>
          <w:rStyle w:val="Refdenotaalpie"/>
          <w:rFonts w:ascii="Century Gothic" w:hAnsi="Century Gothic" w:cs="Arial"/>
        </w:rPr>
        <w:footnoteReference w:id="20"/>
      </w:r>
      <w:r w:rsidRPr="00884C5C">
        <w:rPr>
          <w:rFonts w:ascii="Century Gothic" w:hAnsi="Century Gothic" w:cs="Arial"/>
        </w:rPr>
        <w:t xml:space="preserve">;  </w:t>
      </w:r>
      <w:proofErr w:type="spellStart"/>
      <w:r w:rsidRPr="00884C5C">
        <w:rPr>
          <w:rFonts w:ascii="Century Gothic" w:hAnsi="Century Gothic" w:cs="Arial"/>
        </w:rPr>
        <w:t>iii</w:t>
      </w:r>
      <w:proofErr w:type="spellEnd"/>
      <w:r w:rsidRPr="00884C5C">
        <w:rPr>
          <w:rFonts w:ascii="Century Gothic" w:hAnsi="Century Gothic" w:cs="Arial"/>
        </w:rPr>
        <w:t xml:space="preserve">) garantías bancarias o cartas de crédito </w:t>
      </w:r>
      <w:r w:rsidRPr="00884C5C">
        <w:rPr>
          <w:rFonts w:ascii="Century Gothic" w:hAnsi="Century Gothic" w:cs="Arial"/>
          <w:i/>
          <w:iCs/>
        </w:rPr>
        <w:t>stand</w:t>
      </w:r>
      <w:r w:rsidRPr="00884C5C">
        <w:rPr>
          <w:rFonts w:ascii="Century Gothic" w:hAnsi="Century Gothic" w:cs="Arial"/>
        </w:rPr>
        <w:t xml:space="preserve"> </w:t>
      </w:r>
      <w:proofErr w:type="spellStart"/>
      <w:r w:rsidRPr="00884C5C">
        <w:rPr>
          <w:rFonts w:ascii="Century Gothic" w:hAnsi="Century Gothic" w:cs="Arial"/>
          <w:i/>
          <w:iCs/>
        </w:rPr>
        <w:t>by</w:t>
      </w:r>
      <w:proofErr w:type="spellEnd"/>
      <w:r w:rsidRPr="00884C5C">
        <w:rPr>
          <w:rFonts w:ascii="Century Gothic" w:hAnsi="Century Gothic" w:cs="Arial"/>
        </w:rPr>
        <w:t>, que consisten en compromisos irrevocables o incondicionales asumidos por una entidad financiera de pagar una suma determinada de dinero</w:t>
      </w:r>
      <w:r w:rsidRPr="00884C5C">
        <w:rPr>
          <w:rStyle w:val="Refdenotaalpie"/>
          <w:rFonts w:ascii="Century Gothic" w:hAnsi="Century Gothic" w:cs="Arial"/>
        </w:rPr>
        <w:footnoteReference w:id="21"/>
      </w:r>
      <w:r w:rsidRPr="00884C5C">
        <w:rPr>
          <w:rFonts w:ascii="Century Gothic" w:hAnsi="Century Gothic" w:cs="Arial"/>
        </w:rPr>
        <w:t xml:space="preserve">. La suficiencia y la vigencia de las garantías deben ser las reguladas en los artículos 2.2.1.2.3.1.9 a 2.2.1.2.3.1.16 del Decreto 1082 de 2015. </w:t>
      </w:r>
    </w:p>
    <w:p w14:paraId="72828BB8" w14:textId="77777777" w:rsidR="00F55250" w:rsidRDefault="00F55250" w:rsidP="005B4382">
      <w:pPr>
        <w:spacing w:after="0" w:line="276" w:lineRule="auto"/>
        <w:ind w:firstLine="709"/>
        <w:jc w:val="both"/>
        <w:rPr>
          <w:rFonts w:ascii="Century Gothic" w:hAnsi="Century Gothic" w:cs="Arial"/>
        </w:rPr>
      </w:pPr>
    </w:p>
    <w:p w14:paraId="24779C05" w14:textId="4E8762F2" w:rsidR="00EA1B6C" w:rsidRDefault="00EA1B6C" w:rsidP="005B4382">
      <w:pPr>
        <w:spacing w:after="0" w:line="276" w:lineRule="auto"/>
        <w:ind w:left="709" w:right="709"/>
        <w:jc w:val="both"/>
        <w:rPr>
          <w:rFonts w:ascii="Century Gothic" w:hAnsi="Century Gothic" w:cs="Arial"/>
          <w:sz w:val="21"/>
          <w:szCs w:val="21"/>
          <w:lang w:val="es-ES_tradnl"/>
        </w:rPr>
      </w:pPr>
      <w:r w:rsidRPr="00884C5C">
        <w:rPr>
          <w:rFonts w:ascii="Century Gothic" w:hAnsi="Century Gothic" w:cs="Arial"/>
          <w:sz w:val="21"/>
          <w:szCs w:val="21"/>
          <w:lang w:val="es-ES_tradnl"/>
        </w:rPr>
        <w:t>¿Cuáles son las normas que regulan las garantías de los contratos celebrados por una entidad pública, particularmente una sociedad de economía mixta?</w:t>
      </w:r>
    </w:p>
    <w:p w14:paraId="11207BA2" w14:textId="77777777" w:rsidR="00F660FD" w:rsidRPr="00884C5C" w:rsidRDefault="00F660FD" w:rsidP="005B4382">
      <w:pPr>
        <w:spacing w:after="0" w:line="276" w:lineRule="auto"/>
        <w:ind w:left="709" w:right="709"/>
        <w:jc w:val="both"/>
        <w:rPr>
          <w:rFonts w:ascii="Century Gothic" w:hAnsi="Century Gothic" w:cs="Arial"/>
          <w:sz w:val="21"/>
          <w:szCs w:val="21"/>
          <w:lang w:val="es-ES_tradnl"/>
        </w:rPr>
      </w:pPr>
    </w:p>
    <w:p w14:paraId="440DDBCE" w14:textId="28536EBC" w:rsidR="00EA1B6C" w:rsidRDefault="00002860" w:rsidP="00F660FD">
      <w:pPr>
        <w:spacing w:after="120" w:line="276" w:lineRule="auto"/>
        <w:ind w:right="49"/>
        <w:jc w:val="both"/>
        <w:rPr>
          <w:rFonts w:ascii="Century Gothic" w:hAnsi="Century Gothic" w:cs="Arial"/>
          <w:sz w:val="21"/>
          <w:szCs w:val="21"/>
          <w:lang w:val="es-ES_tradnl"/>
        </w:rPr>
      </w:pPr>
      <w:r>
        <w:rPr>
          <w:rFonts w:ascii="Century Gothic" w:hAnsi="Century Gothic" w:cs="Arial"/>
          <w:sz w:val="21"/>
          <w:szCs w:val="21"/>
          <w:lang w:val="es-ES_tradnl"/>
        </w:rPr>
        <w:t>L</w:t>
      </w:r>
      <w:r w:rsidR="00EA1B6C" w:rsidRPr="00884C5C">
        <w:rPr>
          <w:rFonts w:ascii="Century Gothic" w:hAnsi="Century Gothic" w:cs="Arial"/>
          <w:sz w:val="21"/>
          <w:szCs w:val="21"/>
          <w:lang w:val="es-ES_tradnl"/>
        </w:rPr>
        <w:t xml:space="preserve">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En otras palabras, el legislador estableció que, por regla general, las sociedades de economía mixta en las que el Estado tenga </w:t>
      </w:r>
      <w:r w:rsidR="00EA1B6C" w:rsidRPr="00884C5C">
        <w:rPr>
          <w:rFonts w:ascii="Century Gothic" w:hAnsi="Century Gothic" w:cs="Arial"/>
          <w:sz w:val="21"/>
          <w:szCs w:val="21"/>
          <w:lang w:val="es-ES_tradnl"/>
        </w:rPr>
        <w:lastRenderedPageBreak/>
        <w:t>participación superior al cincuenta por ciento (50%), estarán sometidas al EGCAP</w:t>
      </w:r>
      <w:r w:rsidR="00321C99">
        <w:rPr>
          <w:rFonts w:ascii="Century Gothic" w:hAnsi="Century Gothic" w:cs="Arial"/>
          <w:sz w:val="21"/>
          <w:szCs w:val="21"/>
          <w:lang w:val="es-ES_tradnl"/>
        </w:rPr>
        <w:t>, es decir que las garantías serán reguladas principalmente por la Ley 1150 de 2007 y el Decreto 1082 de 2015,</w:t>
      </w:r>
      <w:r w:rsidR="00EA1B6C" w:rsidRPr="00884C5C">
        <w:rPr>
          <w:rFonts w:ascii="Century Gothic" w:hAnsi="Century Gothic" w:cs="Arial"/>
          <w:sz w:val="21"/>
          <w:szCs w:val="21"/>
          <w:lang w:val="es-ES_tradnl"/>
        </w:rPr>
        <w:t xml:space="preserve"> salvo cuando se encuentran en competencia con el sector privado o público, nacional o internacional o desarrollan su actividad en mercados regulados</w:t>
      </w:r>
      <w:r w:rsidR="005A4415">
        <w:rPr>
          <w:rFonts w:ascii="Century Gothic" w:hAnsi="Century Gothic" w:cs="Arial"/>
          <w:sz w:val="21"/>
          <w:szCs w:val="21"/>
          <w:lang w:val="es-ES_tradnl"/>
        </w:rPr>
        <w:t xml:space="preserve">, o la participación del Estado es inferior al </w:t>
      </w:r>
      <w:r w:rsidR="005A4415" w:rsidRPr="00884C5C">
        <w:rPr>
          <w:rFonts w:ascii="Century Gothic" w:hAnsi="Century Gothic" w:cs="Arial"/>
          <w:sz w:val="21"/>
          <w:szCs w:val="21"/>
          <w:lang w:val="es-ES_tradnl"/>
        </w:rPr>
        <w:t>cincuenta por ciento (50%)</w:t>
      </w:r>
      <w:r w:rsidR="005A4415">
        <w:rPr>
          <w:rFonts w:ascii="Century Gothic" w:hAnsi="Century Gothic" w:cs="Arial"/>
          <w:sz w:val="21"/>
          <w:szCs w:val="21"/>
          <w:lang w:val="es-ES_tradnl"/>
        </w:rPr>
        <w:t xml:space="preserve">, </w:t>
      </w:r>
      <w:r w:rsidR="001D055F">
        <w:rPr>
          <w:rFonts w:ascii="Century Gothic" w:hAnsi="Century Gothic" w:cs="Arial"/>
          <w:sz w:val="21"/>
          <w:szCs w:val="21"/>
          <w:lang w:val="es-ES_tradnl"/>
        </w:rPr>
        <w:t xml:space="preserve">caso en el cual </w:t>
      </w:r>
      <w:r w:rsidR="00EA1B6C" w:rsidRPr="00884C5C">
        <w:rPr>
          <w:rFonts w:ascii="Century Gothic" w:hAnsi="Century Gothic" w:cs="Arial"/>
          <w:sz w:val="21"/>
          <w:szCs w:val="21"/>
          <w:lang w:val="es-ES_tradnl"/>
        </w:rPr>
        <w:t>estarán sometid</w:t>
      </w:r>
      <w:r w:rsidR="001D055F">
        <w:rPr>
          <w:rFonts w:ascii="Century Gothic" w:hAnsi="Century Gothic" w:cs="Arial"/>
          <w:sz w:val="21"/>
          <w:szCs w:val="21"/>
          <w:lang w:val="es-ES_tradnl"/>
        </w:rPr>
        <w:t>a</w:t>
      </w:r>
      <w:r w:rsidR="00EA1B6C" w:rsidRPr="00884C5C">
        <w:rPr>
          <w:rFonts w:ascii="Century Gothic" w:hAnsi="Century Gothic" w:cs="Arial"/>
          <w:sz w:val="21"/>
          <w:szCs w:val="21"/>
          <w:lang w:val="es-ES_tradnl"/>
        </w:rPr>
        <w:t>s al derecho privado</w:t>
      </w:r>
      <w:r w:rsidR="001D055F">
        <w:rPr>
          <w:rFonts w:ascii="Century Gothic" w:hAnsi="Century Gothic" w:cs="Arial"/>
          <w:sz w:val="21"/>
          <w:szCs w:val="21"/>
          <w:lang w:val="es-ES_tradnl"/>
        </w:rPr>
        <w:t>, y las garantías también se sujetarán a este</w:t>
      </w:r>
      <w:r w:rsidR="00EA1B6C" w:rsidRPr="00884C5C">
        <w:rPr>
          <w:rFonts w:ascii="Century Gothic" w:hAnsi="Century Gothic" w:cs="Arial"/>
          <w:sz w:val="21"/>
          <w:szCs w:val="21"/>
          <w:lang w:val="es-ES_tradnl"/>
        </w:rPr>
        <w:t>.</w:t>
      </w:r>
    </w:p>
    <w:p w14:paraId="078C5629" w14:textId="77777777" w:rsidR="00F55250" w:rsidRPr="00EA1B6C" w:rsidRDefault="00F55250" w:rsidP="00F660FD">
      <w:pPr>
        <w:spacing w:after="120" w:line="276" w:lineRule="auto"/>
        <w:ind w:right="49"/>
        <w:jc w:val="both"/>
        <w:rPr>
          <w:rFonts w:ascii="Century Gothic" w:hAnsi="Century Gothic" w:cs="Arial"/>
          <w:sz w:val="21"/>
          <w:szCs w:val="21"/>
          <w:lang w:val="es-ES_tradnl"/>
        </w:rPr>
      </w:pPr>
    </w:p>
    <w:p w14:paraId="03B802BE" w14:textId="17A55BC7" w:rsidR="00EA1B6C" w:rsidRPr="00987B10" w:rsidRDefault="00EA1B6C" w:rsidP="00F660FD">
      <w:pPr>
        <w:widowControl w:val="0"/>
        <w:autoSpaceDE w:val="0"/>
        <w:autoSpaceDN w:val="0"/>
        <w:spacing w:after="120" w:line="276" w:lineRule="auto"/>
        <w:jc w:val="both"/>
        <w:rPr>
          <w:rFonts w:ascii="Century Gothic" w:hAnsi="Century Gothic" w:cs="Arial"/>
          <w:lang w:val="es-ES_tradnl"/>
        </w:rPr>
      </w:pPr>
      <w:r w:rsidRPr="00884C5C">
        <w:rPr>
          <w:rFonts w:ascii="Century Gothic" w:hAnsi="Century Gothic" w:cs="Arial"/>
        </w:rPr>
        <w:t xml:space="preserve">Este concepto tiene el alcance previsto en el artículo 28 del Código de Procedimiento Administrativo y de lo Contencioso Administrativo </w:t>
      </w:r>
      <w:r w:rsidRPr="00884C5C">
        <w:rPr>
          <w:rFonts w:ascii="Century Gothic" w:hAnsi="Century Gothic" w:cs="Arial"/>
          <w:lang w:val="es-ES_tradnl"/>
        </w:rPr>
        <w:t>y las expresiones aquí utilizadas con mayúscula inicial deben ser entendidas con el significado que les otorga el artículo 2.2.1.1.1.3.1. del Decreto 1082 de 2015.</w:t>
      </w:r>
    </w:p>
    <w:p w14:paraId="454DE407" w14:textId="77777777" w:rsidR="00EA1B6C" w:rsidRPr="00884C5C" w:rsidRDefault="00EA1B6C" w:rsidP="00F660FD">
      <w:pPr>
        <w:spacing w:after="120" w:line="240" w:lineRule="auto"/>
        <w:rPr>
          <w:rFonts w:ascii="Century Gothic" w:eastAsia="Times New Roman" w:hAnsi="Century Gothic" w:cs="Arial"/>
          <w:lang w:eastAsia="es-CO"/>
        </w:rPr>
      </w:pPr>
      <w:r w:rsidRPr="00884C5C">
        <w:rPr>
          <w:rFonts w:ascii="Century Gothic" w:eastAsia="Times New Roman" w:hAnsi="Century Gothic" w:cs="Arial"/>
          <w:lang w:eastAsia="es-CO"/>
        </w:rPr>
        <w:t>Atentamente,</w:t>
      </w:r>
    </w:p>
    <w:p w14:paraId="5831B270" w14:textId="085615F5" w:rsidR="00EA1B6C" w:rsidRPr="00884C5C" w:rsidRDefault="00D34D10" w:rsidP="00F660FD">
      <w:pPr>
        <w:spacing w:after="120" w:line="276" w:lineRule="auto"/>
        <w:jc w:val="center"/>
        <w:rPr>
          <w:rFonts w:ascii="Century Gothic" w:eastAsia="Times New Roman" w:hAnsi="Century Gothic" w:cs="Arial"/>
          <w:lang w:val="es-ES_tradnl" w:eastAsia="es-CO"/>
        </w:rPr>
      </w:pPr>
      <w:r>
        <w:rPr>
          <w:noProof/>
        </w:rPr>
        <w:drawing>
          <wp:inline distT="0" distB="0" distL="0" distR="0" wp14:anchorId="5608482D" wp14:editId="16C5BE8B">
            <wp:extent cx="2775006" cy="1064730"/>
            <wp:effectExtent l="0" t="0" r="6350" b="2540"/>
            <wp:docPr id="1249577931" name="Imagen 124957793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059760FC" w14:textId="77777777" w:rsidR="00EA1B6C" w:rsidRPr="00884C5C" w:rsidRDefault="00EA1B6C" w:rsidP="005B4382">
      <w:pPr>
        <w:spacing w:after="0" w:line="276" w:lineRule="auto"/>
        <w:jc w:val="center"/>
        <w:rPr>
          <w:rFonts w:ascii="Century Gothic" w:eastAsia="Times New Roman" w:hAnsi="Century Gothic" w:cs="Arial"/>
          <w:lang w:val="es-ES" w:eastAsia="es-CO"/>
        </w:rPr>
      </w:pPr>
    </w:p>
    <w:p w14:paraId="1B706569" w14:textId="77777777" w:rsidR="00EA1B6C" w:rsidRPr="00884C5C" w:rsidRDefault="00EA1B6C" w:rsidP="005B4382">
      <w:pPr>
        <w:spacing w:after="0" w:line="240" w:lineRule="auto"/>
        <w:rPr>
          <w:rFonts w:ascii="Century Gothic" w:eastAsia="Times New Roman" w:hAnsi="Century Gothic" w:cs="Arial"/>
          <w:lang w:eastAsia="es-ES"/>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EA1B6C" w:rsidRPr="00C12605" w14:paraId="26704B72" w14:textId="77777777" w:rsidTr="008C406E">
        <w:trPr>
          <w:trHeight w:val="315"/>
        </w:trPr>
        <w:tc>
          <w:tcPr>
            <w:tcW w:w="810" w:type="dxa"/>
            <w:tcBorders>
              <w:top w:val="nil"/>
              <w:left w:val="nil"/>
              <w:bottom w:val="nil"/>
              <w:right w:val="nil"/>
            </w:tcBorders>
            <w:shd w:val="clear" w:color="auto" w:fill="auto"/>
            <w:vAlign w:val="center"/>
            <w:hideMark/>
          </w:tcPr>
          <w:p w14:paraId="41EF3A05"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Elaboró: </w:t>
            </w:r>
          </w:p>
        </w:tc>
        <w:tc>
          <w:tcPr>
            <w:tcW w:w="4410" w:type="dxa"/>
            <w:tcBorders>
              <w:top w:val="nil"/>
              <w:left w:val="nil"/>
              <w:bottom w:val="dotted" w:sz="6" w:space="0" w:color="7F7F7F"/>
              <w:right w:val="nil"/>
            </w:tcBorders>
            <w:shd w:val="clear" w:color="auto" w:fill="auto"/>
            <w:vAlign w:val="center"/>
            <w:hideMark/>
          </w:tcPr>
          <w:p w14:paraId="1191B998"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Olga Isabel Pertuz De la Hoz</w:t>
            </w:r>
          </w:p>
          <w:p w14:paraId="1E89C5A7"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Analista T2-2 de la Subdirección de Gestión Contractual</w:t>
            </w:r>
          </w:p>
        </w:tc>
      </w:tr>
      <w:tr w:rsidR="00EA1B6C" w:rsidRPr="00C12605" w14:paraId="39E0E862" w14:textId="77777777" w:rsidTr="008C406E">
        <w:trPr>
          <w:trHeight w:val="315"/>
        </w:trPr>
        <w:tc>
          <w:tcPr>
            <w:tcW w:w="810" w:type="dxa"/>
            <w:tcBorders>
              <w:top w:val="nil"/>
              <w:left w:val="nil"/>
              <w:bottom w:val="nil"/>
              <w:right w:val="nil"/>
            </w:tcBorders>
            <w:shd w:val="clear" w:color="auto" w:fill="auto"/>
            <w:vAlign w:val="center"/>
            <w:hideMark/>
          </w:tcPr>
          <w:p w14:paraId="3D0B1B99"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Revisó: </w:t>
            </w:r>
          </w:p>
        </w:tc>
        <w:tc>
          <w:tcPr>
            <w:tcW w:w="4410" w:type="dxa"/>
            <w:tcBorders>
              <w:top w:val="dotted" w:sz="6" w:space="0" w:color="7F7F7F"/>
              <w:left w:val="nil"/>
              <w:bottom w:val="dotted" w:sz="6" w:space="0" w:color="7F7F7F"/>
              <w:right w:val="nil"/>
            </w:tcBorders>
            <w:shd w:val="clear" w:color="auto" w:fill="auto"/>
            <w:vAlign w:val="center"/>
            <w:hideMark/>
          </w:tcPr>
          <w:p w14:paraId="6E2E857C"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Ximena Ríos López</w:t>
            </w:r>
          </w:p>
          <w:p w14:paraId="09C3DC23"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Gestor T1</w:t>
            </w:r>
            <w:r w:rsidRPr="00C12605">
              <w:rPr>
                <w:rFonts w:ascii="Arial" w:hAnsi="Arial" w:cs="Arial"/>
                <w:sz w:val="12"/>
                <w:szCs w:val="10"/>
              </w:rPr>
              <w:t>‒</w:t>
            </w:r>
            <w:r w:rsidRPr="00C12605">
              <w:rPr>
                <w:rFonts w:ascii="Century Gothic" w:hAnsi="Century Gothic"/>
                <w:sz w:val="12"/>
                <w:szCs w:val="10"/>
              </w:rPr>
              <w:t>11 de la Subdirección de Gestión Contractual</w:t>
            </w:r>
          </w:p>
        </w:tc>
      </w:tr>
      <w:tr w:rsidR="00EA1B6C" w:rsidRPr="00C12605" w14:paraId="5661D5E2" w14:textId="77777777" w:rsidTr="008C406E">
        <w:trPr>
          <w:trHeight w:val="300"/>
        </w:trPr>
        <w:tc>
          <w:tcPr>
            <w:tcW w:w="810" w:type="dxa"/>
            <w:tcBorders>
              <w:top w:val="nil"/>
              <w:left w:val="nil"/>
              <w:bottom w:val="nil"/>
              <w:right w:val="nil"/>
            </w:tcBorders>
            <w:shd w:val="clear" w:color="auto" w:fill="auto"/>
            <w:vAlign w:val="center"/>
            <w:hideMark/>
          </w:tcPr>
          <w:p w14:paraId="043FBDE3"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Aprobó: </w:t>
            </w:r>
          </w:p>
        </w:tc>
        <w:tc>
          <w:tcPr>
            <w:tcW w:w="4410" w:type="dxa"/>
            <w:tcBorders>
              <w:top w:val="dotted" w:sz="6" w:space="0" w:color="7F7F7F"/>
              <w:left w:val="nil"/>
              <w:bottom w:val="dotted" w:sz="6" w:space="0" w:color="7F7F7F"/>
              <w:right w:val="nil"/>
            </w:tcBorders>
            <w:shd w:val="clear" w:color="auto" w:fill="auto"/>
            <w:vAlign w:val="center"/>
            <w:hideMark/>
          </w:tcPr>
          <w:p w14:paraId="1C646F7B"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 xml:space="preserve">Nohelia del Carmen Zawady Palacio </w:t>
            </w:r>
          </w:p>
          <w:p w14:paraId="54157622" w14:textId="77777777" w:rsidR="00EA1B6C" w:rsidRPr="00C12605" w:rsidRDefault="00EA1B6C" w:rsidP="005B4382">
            <w:pPr>
              <w:pStyle w:val="Sinespaciado"/>
              <w:rPr>
                <w:rFonts w:ascii="Century Gothic" w:hAnsi="Century Gothic"/>
                <w:sz w:val="12"/>
                <w:szCs w:val="10"/>
              </w:rPr>
            </w:pPr>
            <w:r w:rsidRPr="00C12605">
              <w:rPr>
                <w:rFonts w:ascii="Century Gothic" w:hAnsi="Century Gothic"/>
                <w:sz w:val="12"/>
                <w:szCs w:val="10"/>
              </w:rPr>
              <w:t>Subdirectora de Gestión Contractual ANCP-CCE</w:t>
            </w:r>
          </w:p>
        </w:tc>
      </w:tr>
    </w:tbl>
    <w:p w14:paraId="1EEA038F" w14:textId="77777777" w:rsidR="00EA1B6C" w:rsidRPr="00884C5C" w:rsidRDefault="00EA1B6C" w:rsidP="005B4382">
      <w:pPr>
        <w:spacing w:after="0" w:line="276" w:lineRule="auto"/>
        <w:jc w:val="both"/>
        <w:rPr>
          <w:rFonts w:ascii="Century Gothic" w:eastAsia="Calibri" w:hAnsi="Century Gothic" w:cs="Arial"/>
          <w:lang w:val="es-ES"/>
        </w:rPr>
      </w:pPr>
    </w:p>
    <w:sectPr w:rsidR="00EA1B6C" w:rsidRPr="00884C5C" w:rsidSect="009663D1">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73AEA" w14:textId="77777777" w:rsidR="009663D1" w:rsidRDefault="009663D1" w:rsidP="004A1847">
      <w:pPr>
        <w:spacing w:after="0" w:line="240" w:lineRule="auto"/>
      </w:pPr>
      <w:r>
        <w:separator/>
      </w:r>
    </w:p>
  </w:endnote>
  <w:endnote w:type="continuationSeparator" w:id="0">
    <w:p w14:paraId="33F95FEB" w14:textId="77777777" w:rsidR="009663D1" w:rsidRDefault="009663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718A" w14:textId="77777777" w:rsidR="009663D1" w:rsidRDefault="009663D1" w:rsidP="004A1847">
      <w:pPr>
        <w:spacing w:after="0" w:line="240" w:lineRule="auto"/>
      </w:pPr>
      <w:r>
        <w:separator/>
      </w:r>
    </w:p>
  </w:footnote>
  <w:footnote w:type="continuationSeparator" w:id="0">
    <w:p w14:paraId="10672E8E" w14:textId="77777777" w:rsidR="009663D1" w:rsidRDefault="009663D1" w:rsidP="004A1847">
      <w:pPr>
        <w:spacing w:after="0" w:line="240" w:lineRule="auto"/>
      </w:pPr>
      <w:r>
        <w:continuationSeparator/>
      </w:r>
    </w:p>
  </w:footnote>
  <w:footnote w:id="1">
    <w:p w14:paraId="7EB400EF" w14:textId="4169AECF" w:rsidR="00EA1B6C" w:rsidRPr="0012771A" w:rsidRDefault="00EA1B6C" w:rsidP="00EA1B6C">
      <w:pPr>
        <w:pStyle w:val="Textonotapie"/>
        <w:ind w:firstLine="709"/>
        <w:jc w:val="both"/>
        <w:rPr>
          <w:rFonts w:ascii="Century Gothic" w:hAnsi="Century Gothic" w:cs="Arial"/>
          <w:sz w:val="12"/>
          <w:szCs w:val="12"/>
          <w:lang w:val="es-ES"/>
        </w:rPr>
      </w:pPr>
      <w:r w:rsidRPr="0012771A">
        <w:rPr>
          <w:rStyle w:val="Refdenotaalpie"/>
          <w:rFonts w:ascii="Century Gothic" w:hAnsi="Century Gothic"/>
          <w:sz w:val="12"/>
          <w:szCs w:val="12"/>
        </w:rPr>
        <w:footnoteRef/>
      </w:r>
      <w:r w:rsidRPr="0012771A">
        <w:rPr>
          <w:rFonts w:ascii="Century Gothic" w:hAnsi="Century Gothic"/>
          <w:sz w:val="12"/>
          <w:szCs w:val="12"/>
        </w:rPr>
        <w:t xml:space="preserve"> </w:t>
      </w:r>
      <w:r w:rsidRPr="0012771A">
        <w:rPr>
          <w:rFonts w:ascii="Century Gothic" w:hAnsi="Century Gothic" w:cs="Arial"/>
          <w:sz w:val="12"/>
          <w:szCs w:val="12"/>
        </w:rPr>
        <w:t xml:space="preserve">La Agencia Nacional de Contratación Pública </w:t>
      </w:r>
      <w:r w:rsidRPr="0012771A">
        <w:rPr>
          <w:rFonts w:ascii="Arial" w:hAnsi="Arial" w:cs="Arial"/>
          <w:sz w:val="12"/>
          <w:szCs w:val="12"/>
        </w:rPr>
        <w:t>‒</w:t>
      </w:r>
      <w:r w:rsidRPr="0012771A">
        <w:rPr>
          <w:rFonts w:ascii="Century Gothic" w:hAnsi="Century Gothic" w:cs="Arial"/>
          <w:sz w:val="12"/>
          <w:szCs w:val="12"/>
        </w:rPr>
        <w:t xml:space="preserve"> Colombia Compra Eficiente fue creada por el Decreto Ley 4170 de 2011. Su objetivo es servir como ente rector de la pol</w:t>
      </w:r>
      <w:r w:rsidRPr="0012771A">
        <w:rPr>
          <w:rFonts w:ascii="Century Gothic" w:hAnsi="Century Gothic" w:cs="Century Gothic"/>
          <w:sz w:val="12"/>
          <w:szCs w:val="12"/>
        </w:rPr>
        <w:t>í</w:t>
      </w:r>
      <w:r w:rsidRPr="0012771A">
        <w:rPr>
          <w:rFonts w:ascii="Century Gothic" w:hAnsi="Century Gothic" w:cs="Arial"/>
          <w:sz w:val="12"/>
          <w:szCs w:val="12"/>
        </w:rPr>
        <w:t>tica de compras y contrataci</w:t>
      </w:r>
      <w:r w:rsidRPr="0012771A">
        <w:rPr>
          <w:rFonts w:ascii="Century Gothic" w:hAnsi="Century Gothic" w:cs="Century Gothic"/>
          <w:sz w:val="12"/>
          <w:szCs w:val="12"/>
        </w:rPr>
        <w:t>ó</w:t>
      </w:r>
      <w:r w:rsidRPr="0012771A">
        <w:rPr>
          <w:rFonts w:ascii="Century Gothic" w:hAnsi="Century Gothic" w:cs="Arial"/>
          <w:sz w:val="12"/>
          <w:szCs w:val="12"/>
        </w:rPr>
        <w:t xml:space="preserve">n del Estado. Para tales fines, como </w:t>
      </w:r>
      <w:r w:rsidRPr="0012771A">
        <w:rPr>
          <w:rFonts w:ascii="Century Gothic" w:hAnsi="Century Gothic" w:cs="Century Gothic"/>
          <w:sz w:val="12"/>
          <w:szCs w:val="12"/>
        </w:rPr>
        <w:t>ó</w:t>
      </w:r>
      <w:r w:rsidRPr="0012771A">
        <w:rPr>
          <w:rFonts w:ascii="Century Gothic" w:hAnsi="Century Gothic" w:cs="Arial"/>
          <w:sz w:val="12"/>
          <w:szCs w:val="12"/>
        </w:rPr>
        <w:t>rgano t</w:t>
      </w:r>
      <w:r w:rsidRPr="0012771A">
        <w:rPr>
          <w:rFonts w:ascii="Century Gothic" w:hAnsi="Century Gothic" w:cs="Century Gothic"/>
          <w:sz w:val="12"/>
          <w:szCs w:val="12"/>
        </w:rPr>
        <w:t>é</w:t>
      </w:r>
      <w:r w:rsidRPr="0012771A">
        <w:rPr>
          <w:rFonts w:ascii="Century Gothic" w:hAnsi="Century Gothic" w:cs="Arial"/>
          <w:sz w:val="12"/>
          <w:szCs w:val="12"/>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12771A">
        <w:rPr>
          <w:rFonts w:ascii="Century Gothic" w:hAnsi="Century Gothic" w:cs="Arial"/>
          <w:i/>
          <w:iCs/>
          <w:sz w:val="12"/>
          <w:szCs w:val="12"/>
        </w:rPr>
        <w:t xml:space="preserve">ibidem </w:t>
      </w:r>
      <w:r w:rsidRPr="0012771A">
        <w:rPr>
          <w:rFonts w:ascii="Century Gothic" w:hAnsi="Century Gothic" w:cs="Arial"/>
          <w:sz w:val="12"/>
          <w:szCs w:val="12"/>
        </w:rPr>
        <w:t>señala, de manera precisa, las funciones de Colombia Compra Eficiente. Concretamente, el numeral 5º de este artículo establece que le corresponde a esta entidad: “[a]</w:t>
      </w:r>
      <w:proofErr w:type="spellStart"/>
      <w:r w:rsidRPr="0012771A">
        <w:rPr>
          <w:rFonts w:ascii="Century Gothic" w:hAnsi="Century Gothic" w:cs="Arial"/>
          <w:sz w:val="12"/>
          <w:szCs w:val="12"/>
        </w:rPr>
        <w:t>bsolver</w:t>
      </w:r>
      <w:proofErr w:type="spellEnd"/>
      <w:r w:rsidRPr="0012771A">
        <w:rPr>
          <w:rFonts w:ascii="Century Gothic" w:hAnsi="Century Gothic" w:cs="Arial"/>
          <w:sz w:val="12"/>
          <w:szCs w:val="12"/>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12771A">
        <w:rPr>
          <w:rFonts w:ascii="Century Gothic" w:hAnsi="Century Gothic" w:cs="Arial"/>
          <w:sz w:val="12"/>
          <w:szCs w:val="12"/>
        </w:rPr>
        <w:t>bsolver</w:t>
      </w:r>
      <w:proofErr w:type="spellEnd"/>
      <w:r w:rsidRPr="0012771A">
        <w:rPr>
          <w:rFonts w:ascii="Century Gothic" w:hAnsi="Century Gothic" w:cs="Arial"/>
          <w:sz w:val="12"/>
          <w:szCs w:val="12"/>
        </w:rPr>
        <w:t xml:space="preserve"> consultas sobre la aplicación de normas de carácter general”.</w:t>
      </w:r>
    </w:p>
    <w:p w14:paraId="5A94D43F" w14:textId="77777777" w:rsidR="00EA1B6C" w:rsidRPr="0012771A" w:rsidRDefault="00EA1B6C" w:rsidP="00EA1B6C">
      <w:pPr>
        <w:pStyle w:val="Textonotapie"/>
        <w:rPr>
          <w:rFonts w:ascii="Century Gothic" w:hAnsi="Century Gothic"/>
          <w:sz w:val="12"/>
          <w:szCs w:val="12"/>
          <w:lang w:val="es-CO"/>
        </w:rPr>
      </w:pPr>
    </w:p>
  </w:footnote>
  <w:footnote w:id="2">
    <w:p w14:paraId="1A9F65CE" w14:textId="30EC8DC8" w:rsidR="00EA1B6C" w:rsidRPr="0012771A" w:rsidRDefault="00EA1B6C" w:rsidP="00EA1B6C">
      <w:pPr>
        <w:pStyle w:val="Textonotapie"/>
        <w:ind w:firstLine="709"/>
        <w:jc w:val="both"/>
        <w:rPr>
          <w:rFonts w:ascii="Century Gothic" w:hAnsi="Century Gothic"/>
          <w:sz w:val="12"/>
          <w:szCs w:val="12"/>
          <w:lang w:val="es-CO"/>
        </w:rPr>
      </w:pPr>
      <w:r w:rsidRPr="0012771A">
        <w:rPr>
          <w:rStyle w:val="Refdenotaalpie"/>
          <w:rFonts w:ascii="Century Gothic" w:hAnsi="Century Gothic"/>
          <w:sz w:val="12"/>
          <w:szCs w:val="12"/>
        </w:rPr>
        <w:footnoteRef/>
      </w:r>
      <w:r w:rsidRPr="0012771A">
        <w:rPr>
          <w:rFonts w:ascii="Century Gothic" w:hAnsi="Century Gothic"/>
          <w:sz w:val="12"/>
          <w:szCs w:val="12"/>
        </w:rPr>
        <w:t xml:space="preserve"> Los conceptos expedidos por la Subdirección de Gestión Contractual de la Agencia Nacional de Contratación Pública pueden ser consultados en plataforma de relatoría a la cual se puede acceder a través del siguiente enlace: https://relatoria.colombiacompra.gov.co/busqueda/conceptos</w:t>
      </w:r>
    </w:p>
  </w:footnote>
  <w:footnote w:id="3">
    <w:p w14:paraId="70115F68" w14:textId="28222BFF" w:rsidR="00EA1B6C" w:rsidRPr="0012771A" w:rsidRDefault="00EA1B6C" w:rsidP="00EA1B6C">
      <w:pPr>
        <w:pStyle w:val="Textonotapie"/>
        <w:ind w:firstLine="708"/>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COLOMBIA COMPRA EFICIENTE. Guía de garantías en procesos de contratación. p. 12. Disponible en: </w:t>
      </w:r>
      <w:hyperlink r:id="rId1" w:history="1">
        <w:r w:rsidRPr="0012771A">
          <w:rPr>
            <w:rStyle w:val="Hipervnculo"/>
            <w:rFonts w:ascii="Century Gothic" w:hAnsi="Century Gothic" w:cs="Arial"/>
            <w:sz w:val="12"/>
            <w:szCs w:val="12"/>
          </w:rPr>
          <w:t>https://www.colombiacompra.gov.co/manuales-guias-y-pliegos-tipo/manuales-y-guias</w:t>
        </w:r>
      </w:hyperlink>
      <w:r w:rsidRPr="0012771A">
        <w:rPr>
          <w:rFonts w:ascii="Century Gothic" w:hAnsi="Century Gothic" w:cs="Arial"/>
          <w:sz w:val="12"/>
          <w:szCs w:val="12"/>
        </w:rPr>
        <w:t xml:space="preserve">. </w:t>
      </w:r>
    </w:p>
    <w:p w14:paraId="6586153C" w14:textId="77777777" w:rsidR="00EA1B6C" w:rsidRPr="0012771A" w:rsidRDefault="00EA1B6C" w:rsidP="00EA1B6C">
      <w:pPr>
        <w:pStyle w:val="Textonotapie"/>
        <w:ind w:firstLine="708"/>
        <w:rPr>
          <w:rFonts w:ascii="Century Gothic" w:hAnsi="Century Gothic" w:cs="Arial"/>
          <w:sz w:val="12"/>
          <w:szCs w:val="12"/>
          <w:lang w:val="es-CO"/>
        </w:rPr>
      </w:pPr>
    </w:p>
  </w:footnote>
  <w:footnote w:id="4">
    <w:p w14:paraId="63E993C2" w14:textId="0808EC43" w:rsidR="00EA1B6C" w:rsidRPr="0012771A" w:rsidRDefault="00EA1B6C" w:rsidP="00EA1B6C">
      <w:pPr>
        <w:pStyle w:val="Textonotapie"/>
        <w:ind w:firstLine="708"/>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w:t>
      </w:r>
      <w:proofErr w:type="spellStart"/>
      <w:r w:rsidRPr="0012771A">
        <w:rPr>
          <w:rFonts w:ascii="Century Gothic" w:hAnsi="Century Gothic" w:cs="Arial"/>
          <w:sz w:val="12"/>
          <w:szCs w:val="12"/>
        </w:rPr>
        <w:t>Ibídem</w:t>
      </w:r>
      <w:proofErr w:type="spellEnd"/>
      <w:r w:rsidRPr="0012771A">
        <w:rPr>
          <w:rFonts w:ascii="Century Gothic" w:hAnsi="Century Gothic" w:cs="Arial"/>
          <w:sz w:val="12"/>
          <w:szCs w:val="12"/>
        </w:rPr>
        <w:t xml:space="preserve">., p. 17. La guía además señala en relación con las garantías bancarias y cartas de crédito stand </w:t>
      </w:r>
      <w:proofErr w:type="spellStart"/>
      <w:r w:rsidRPr="0012771A">
        <w:rPr>
          <w:rFonts w:ascii="Century Gothic" w:hAnsi="Century Gothic" w:cs="Arial"/>
          <w:sz w:val="12"/>
          <w:szCs w:val="12"/>
        </w:rPr>
        <w:t>by</w:t>
      </w:r>
      <w:proofErr w:type="spellEnd"/>
      <w:r w:rsidRPr="0012771A">
        <w:rPr>
          <w:rFonts w:ascii="Century Gothic" w:hAnsi="Century Gothic" w:cs="Arial"/>
          <w:sz w:val="12"/>
          <w:szCs w:val="12"/>
        </w:rPr>
        <w:t xml:space="preserve">, que </w:t>
      </w:r>
      <w:r w:rsidR="001B3092" w:rsidRPr="0012771A">
        <w:rPr>
          <w:rFonts w:ascii="Century Gothic" w:hAnsi="Century Gothic" w:cs="Arial"/>
          <w:sz w:val="12"/>
          <w:szCs w:val="12"/>
        </w:rPr>
        <w:t>“</w:t>
      </w:r>
      <w:r w:rsidRPr="0012771A">
        <w:rPr>
          <w:rFonts w:ascii="Century Gothic" w:hAnsi="Century Gothic" w:cs="Arial"/>
          <w:sz w:val="12"/>
          <w:szCs w:val="12"/>
        </w:rPr>
        <w:t>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r w:rsidR="001B3092" w:rsidRPr="0012771A">
        <w:rPr>
          <w:rFonts w:ascii="Century Gothic" w:hAnsi="Century Gothic" w:cs="Arial"/>
          <w:sz w:val="12"/>
          <w:szCs w:val="12"/>
        </w:rPr>
        <w:t>”</w:t>
      </w:r>
      <w:r w:rsidRPr="0012771A">
        <w:rPr>
          <w:rFonts w:ascii="Century Gothic" w:hAnsi="Century Gothic" w:cs="Arial"/>
          <w:sz w:val="12"/>
          <w:szCs w:val="12"/>
        </w:rPr>
        <w:t>.</w:t>
      </w:r>
    </w:p>
  </w:footnote>
  <w:footnote w:id="5">
    <w:p w14:paraId="12D66813" w14:textId="61205E31" w:rsidR="00EA1B6C" w:rsidRPr="0012771A" w:rsidRDefault="00EA1B6C" w:rsidP="00EA1B6C">
      <w:pPr>
        <w:pStyle w:val="Textonotapie"/>
        <w:ind w:firstLine="708"/>
        <w:rPr>
          <w:rFonts w:ascii="Century Gothic" w:hAnsi="Century Gothic"/>
          <w:sz w:val="12"/>
          <w:szCs w:val="12"/>
          <w:lang w:val="es-CO"/>
        </w:rPr>
      </w:pPr>
      <w:r w:rsidRPr="0012771A">
        <w:rPr>
          <w:rStyle w:val="Refdenotaalpie"/>
          <w:rFonts w:ascii="Century Gothic" w:hAnsi="Century Gothic"/>
          <w:sz w:val="12"/>
          <w:szCs w:val="12"/>
        </w:rPr>
        <w:footnoteRef/>
      </w:r>
      <w:r w:rsidRPr="0012771A">
        <w:rPr>
          <w:rFonts w:ascii="Century Gothic" w:hAnsi="Century Gothic"/>
          <w:sz w:val="12"/>
          <w:szCs w:val="12"/>
        </w:rPr>
        <w:t xml:space="preserve"> </w:t>
      </w:r>
      <w:proofErr w:type="spellStart"/>
      <w:r w:rsidRPr="0012771A">
        <w:rPr>
          <w:rFonts w:ascii="Century Gothic" w:hAnsi="Century Gothic"/>
          <w:sz w:val="12"/>
          <w:szCs w:val="12"/>
        </w:rPr>
        <w:t>Ibíd</w:t>
      </w:r>
      <w:proofErr w:type="spellEnd"/>
      <w:r w:rsidRPr="0012771A">
        <w:rPr>
          <w:rFonts w:ascii="Century Gothic" w:hAnsi="Century Gothic"/>
          <w:sz w:val="12"/>
          <w:szCs w:val="12"/>
        </w:rPr>
        <w:t xml:space="preserve">., pp. 5-6. </w:t>
      </w:r>
    </w:p>
  </w:footnote>
  <w:footnote w:id="6">
    <w:p w14:paraId="51B29DD2" w14:textId="3C264E04" w:rsidR="00EA1B6C" w:rsidRPr="0012771A" w:rsidRDefault="00EA1B6C" w:rsidP="00EA1B6C">
      <w:pPr>
        <w:pStyle w:val="Textonotapie"/>
        <w:ind w:firstLine="708"/>
        <w:contextualSpacing/>
        <w:jc w:val="both"/>
        <w:rPr>
          <w:rFonts w:ascii="Century Gothic" w:hAnsi="Century Gothic" w:cs="Arial"/>
          <w:color w:val="000000" w:themeColor="text1"/>
          <w:sz w:val="12"/>
          <w:szCs w:val="12"/>
        </w:rPr>
      </w:pPr>
      <w:r w:rsidRPr="0012771A">
        <w:rPr>
          <w:rStyle w:val="Refdenotaalpie"/>
          <w:rFonts w:ascii="Century Gothic" w:hAnsi="Century Gothic" w:cs="Arial"/>
          <w:color w:val="000000" w:themeColor="text1"/>
          <w:sz w:val="12"/>
          <w:szCs w:val="12"/>
        </w:rPr>
        <w:footnoteRef/>
      </w:r>
      <w:r w:rsidRPr="0012771A">
        <w:rPr>
          <w:rFonts w:ascii="Century Gothic" w:hAnsi="Century Gothic" w:cs="Arial"/>
          <w:color w:val="000000" w:themeColor="text1"/>
          <w:sz w:val="12"/>
          <w:szCs w:val="12"/>
          <w:lang w:val="pt-BR"/>
        </w:rPr>
        <w:t xml:space="preserve"> CORTE CONSTITUCIONAL. Sentencia C-452 de 1999. </w:t>
      </w:r>
      <w:r w:rsidRPr="0012771A">
        <w:rPr>
          <w:rFonts w:ascii="Century Gothic" w:hAnsi="Century Gothic" w:cs="Arial"/>
          <w:color w:val="000000" w:themeColor="text1"/>
          <w:sz w:val="12"/>
          <w:szCs w:val="12"/>
        </w:rPr>
        <w:t xml:space="preserve">M.P. Eduardo Cifuentes Muñoz. </w:t>
      </w:r>
    </w:p>
    <w:p w14:paraId="4C5D68EA" w14:textId="77777777" w:rsidR="00EA1B6C" w:rsidRPr="0012771A" w:rsidRDefault="00EA1B6C" w:rsidP="00EA1B6C">
      <w:pPr>
        <w:pStyle w:val="Textonotapie"/>
        <w:ind w:firstLine="708"/>
        <w:contextualSpacing/>
        <w:jc w:val="both"/>
        <w:rPr>
          <w:rFonts w:ascii="Century Gothic" w:hAnsi="Century Gothic" w:cs="Arial"/>
          <w:color w:val="000000" w:themeColor="text1"/>
          <w:sz w:val="12"/>
          <w:szCs w:val="12"/>
        </w:rPr>
      </w:pPr>
    </w:p>
  </w:footnote>
  <w:footnote w:id="7">
    <w:p w14:paraId="368EBADD" w14:textId="77777777" w:rsidR="00EA1B6C" w:rsidRPr="0012771A" w:rsidRDefault="00EA1B6C" w:rsidP="00EA1B6C">
      <w:pPr>
        <w:pStyle w:val="Textonotapie"/>
        <w:ind w:firstLine="708"/>
        <w:contextualSpacing/>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Al respecto,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CA392AB" w14:textId="77777777" w:rsidR="00EA1B6C" w:rsidRPr="0012771A" w:rsidRDefault="00EA1B6C" w:rsidP="00EA1B6C">
      <w:pPr>
        <w:pStyle w:val="Textonotapie"/>
        <w:ind w:firstLine="708"/>
        <w:contextualSpacing/>
        <w:jc w:val="both"/>
        <w:rPr>
          <w:rFonts w:ascii="Century Gothic" w:hAnsi="Century Gothic" w:cs="Arial"/>
          <w:sz w:val="12"/>
          <w:szCs w:val="12"/>
        </w:rPr>
      </w:pPr>
    </w:p>
  </w:footnote>
  <w:footnote w:id="8">
    <w:p w14:paraId="4A3E708E" w14:textId="20CD3E65" w:rsidR="00EA1B6C" w:rsidRPr="0012771A" w:rsidRDefault="00EA1B6C" w:rsidP="00EA1B6C">
      <w:pPr>
        <w:pStyle w:val="Textonotapie"/>
        <w:ind w:firstLine="708"/>
        <w:jc w:val="both"/>
        <w:rPr>
          <w:rFonts w:ascii="Century Gothic" w:hAnsi="Century Gothic" w:cs="Arial"/>
          <w:color w:val="000000"/>
          <w:sz w:val="12"/>
          <w:szCs w:val="12"/>
          <w:lang w:val="es-ES"/>
        </w:rPr>
      </w:pPr>
      <w:r w:rsidRPr="0012771A">
        <w:rPr>
          <w:rStyle w:val="Refdenotaalpie"/>
          <w:rFonts w:ascii="Century Gothic" w:hAnsi="Century Gothic" w:cs="Arial"/>
          <w:color w:val="000000"/>
          <w:sz w:val="12"/>
          <w:szCs w:val="12"/>
        </w:rPr>
        <w:footnoteRef/>
      </w:r>
      <w:r w:rsidRPr="0012771A">
        <w:rPr>
          <w:rFonts w:ascii="Century Gothic" w:hAnsi="Century Gothic" w:cs="Arial"/>
          <w:color w:val="000000"/>
          <w:sz w:val="12"/>
          <w:szCs w:val="12"/>
        </w:rPr>
        <w:t xml:space="preserve"> </w:t>
      </w:r>
      <w:r w:rsidRPr="0012771A">
        <w:rPr>
          <w:rFonts w:ascii="Century Gothic" w:hAnsi="Century Gothic" w:cs="Arial"/>
          <w:color w:val="000000"/>
          <w:sz w:val="12"/>
          <w:szCs w:val="12"/>
          <w:lang w:val="es-ES"/>
        </w:rPr>
        <w:t xml:space="preserve">COLOMBIA COMPRA EFICIENTE. Guía de Garantías en Proceso de Contratación. Disponible en: </w:t>
      </w:r>
      <w:hyperlink r:id="rId2" w:history="1">
        <w:r w:rsidRPr="0012771A">
          <w:rPr>
            <w:rStyle w:val="Hipervnculo1"/>
            <w:rFonts w:ascii="Century Gothic" w:hAnsi="Century Gothic" w:cs="Arial"/>
            <w:color w:val="000000"/>
            <w:sz w:val="12"/>
            <w:szCs w:val="12"/>
          </w:rPr>
          <w:t>https://www.colombiacompra.gov.co/sites/cce_public/files/cce_documents/cce_guia_garantias.pdf</w:t>
        </w:r>
      </w:hyperlink>
      <w:r w:rsidRPr="0012771A">
        <w:rPr>
          <w:rFonts w:ascii="Century Gothic" w:hAnsi="Century Gothic" w:cs="Arial"/>
          <w:color w:val="000000"/>
          <w:sz w:val="12"/>
          <w:szCs w:val="12"/>
          <w:lang w:val="es-ES"/>
        </w:rPr>
        <w:t xml:space="preserve"> </w:t>
      </w:r>
    </w:p>
    <w:p w14:paraId="5870C789" w14:textId="77777777" w:rsidR="00EA1B6C" w:rsidRPr="0012771A" w:rsidRDefault="00EA1B6C" w:rsidP="00EA1B6C">
      <w:pPr>
        <w:pStyle w:val="Textonotapie"/>
        <w:jc w:val="both"/>
        <w:rPr>
          <w:rFonts w:ascii="Century Gothic" w:hAnsi="Century Gothic" w:cs="Arial"/>
          <w:color w:val="000000"/>
          <w:sz w:val="12"/>
          <w:szCs w:val="12"/>
        </w:rPr>
      </w:pPr>
    </w:p>
  </w:footnote>
  <w:footnote w:id="9">
    <w:p w14:paraId="79A3A556" w14:textId="77777777" w:rsidR="00EA1B6C" w:rsidRPr="0012771A" w:rsidRDefault="00EA1B6C" w:rsidP="00EA1B6C">
      <w:pPr>
        <w:pStyle w:val="Textonotapie"/>
        <w:ind w:firstLine="708"/>
        <w:jc w:val="both"/>
        <w:rPr>
          <w:rFonts w:ascii="Century Gothic" w:hAnsi="Century Gothic" w:cs="Arial"/>
          <w:color w:val="000000"/>
          <w:sz w:val="12"/>
          <w:szCs w:val="12"/>
          <w:lang w:val="es-ES"/>
        </w:rPr>
      </w:pPr>
      <w:r w:rsidRPr="0012771A">
        <w:rPr>
          <w:rStyle w:val="Refdenotaalpie"/>
          <w:rFonts w:ascii="Century Gothic" w:hAnsi="Century Gothic" w:cs="Arial"/>
          <w:color w:val="000000"/>
          <w:sz w:val="12"/>
          <w:szCs w:val="12"/>
        </w:rPr>
        <w:footnoteRef/>
      </w:r>
      <w:r w:rsidRPr="0012771A">
        <w:rPr>
          <w:rFonts w:ascii="Century Gothic" w:hAnsi="Century Gothic" w:cs="Arial"/>
          <w:color w:val="000000"/>
          <w:sz w:val="12"/>
          <w:szCs w:val="12"/>
        </w:rPr>
        <w:t xml:space="preserve"> </w:t>
      </w:r>
      <w:r w:rsidRPr="0012771A">
        <w:rPr>
          <w:rFonts w:ascii="Century Gothic" w:hAnsi="Century Gothic" w:cs="Arial"/>
          <w:color w:val="000000"/>
          <w:sz w:val="12"/>
          <w:szCs w:val="12"/>
          <w:lang w:val="es-ES"/>
        </w:rPr>
        <w:t xml:space="preserve">COLOMBIA COMPRA EFICIENTE. Síntesis: 8. Etapa precontractual: Garantía de cumplimiento del contrato estatal. </w:t>
      </w:r>
    </w:p>
    <w:p w14:paraId="160ADAE4" w14:textId="77777777" w:rsidR="00EA1B6C" w:rsidRPr="0012771A" w:rsidRDefault="00EA1B6C" w:rsidP="00EA1B6C">
      <w:pPr>
        <w:pStyle w:val="Textonotapie"/>
        <w:ind w:firstLine="708"/>
        <w:jc w:val="both"/>
        <w:rPr>
          <w:rFonts w:ascii="Century Gothic" w:hAnsi="Century Gothic" w:cs="Arial"/>
          <w:color w:val="000000"/>
          <w:sz w:val="12"/>
          <w:szCs w:val="12"/>
        </w:rPr>
      </w:pPr>
    </w:p>
  </w:footnote>
  <w:footnote w:id="10">
    <w:p w14:paraId="397C200A" w14:textId="23D661A5" w:rsidR="00EA1B6C" w:rsidRPr="0012771A" w:rsidRDefault="00EA1B6C" w:rsidP="00EA1B6C">
      <w:pPr>
        <w:pStyle w:val="Textonotapie"/>
        <w:ind w:firstLine="708"/>
        <w:jc w:val="both"/>
        <w:rPr>
          <w:rFonts w:ascii="Century Gothic" w:hAnsi="Century Gothic" w:cs="Arial"/>
          <w:color w:val="000000"/>
          <w:sz w:val="12"/>
          <w:szCs w:val="12"/>
        </w:rPr>
      </w:pPr>
      <w:r w:rsidRPr="0012771A">
        <w:rPr>
          <w:rStyle w:val="Refdenotaalpie"/>
          <w:rFonts w:ascii="Century Gothic" w:hAnsi="Century Gothic" w:cs="Arial"/>
          <w:color w:val="000000"/>
          <w:sz w:val="12"/>
          <w:szCs w:val="12"/>
        </w:rPr>
        <w:footnoteRef/>
      </w:r>
      <w:r w:rsidRPr="0012771A">
        <w:rPr>
          <w:rFonts w:ascii="Century Gothic" w:hAnsi="Century Gothic" w:cs="Arial"/>
          <w:color w:val="000000"/>
          <w:sz w:val="12"/>
          <w:szCs w:val="12"/>
        </w:rPr>
        <w:t xml:space="preserve"> La norma citada dispone: “Artículo 2.2.1.2.3.1.7. Garantía de cumplimiento. La garantía de cumplimiento del contrato debe cubrir:</w:t>
      </w:r>
    </w:p>
    <w:p w14:paraId="69E5F6D9"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“1.    Buen manejo y correcta inversión del anticipo. Este amparo cubre los perjuicios sufridos por la Entidad Estatal con ocasión de: (i) la no inversión del anticipo; (</w:t>
      </w:r>
      <w:proofErr w:type="spellStart"/>
      <w:r w:rsidRPr="0012771A">
        <w:rPr>
          <w:rFonts w:ascii="Century Gothic" w:hAnsi="Century Gothic" w:cs="Arial"/>
          <w:color w:val="000000"/>
          <w:sz w:val="12"/>
          <w:szCs w:val="12"/>
        </w:rPr>
        <w:t>ii</w:t>
      </w:r>
      <w:proofErr w:type="spellEnd"/>
      <w:r w:rsidRPr="0012771A">
        <w:rPr>
          <w:rFonts w:ascii="Century Gothic" w:hAnsi="Century Gothic" w:cs="Arial"/>
          <w:color w:val="000000"/>
          <w:sz w:val="12"/>
          <w:szCs w:val="12"/>
        </w:rPr>
        <w:t>) el uso indebido del anticipo; y (</w:t>
      </w:r>
      <w:proofErr w:type="spellStart"/>
      <w:r w:rsidRPr="0012771A">
        <w:rPr>
          <w:rFonts w:ascii="Century Gothic" w:hAnsi="Century Gothic" w:cs="Arial"/>
          <w:color w:val="000000"/>
          <w:sz w:val="12"/>
          <w:szCs w:val="12"/>
        </w:rPr>
        <w:t>iii</w:t>
      </w:r>
      <w:proofErr w:type="spellEnd"/>
      <w:r w:rsidRPr="0012771A">
        <w:rPr>
          <w:rFonts w:ascii="Century Gothic" w:hAnsi="Century Gothic" w:cs="Arial"/>
          <w:color w:val="000000"/>
          <w:sz w:val="12"/>
          <w:szCs w:val="12"/>
        </w:rPr>
        <w:t>) la apropiación indebida de los recursos recibidos en calidad de anticipo.</w:t>
      </w:r>
    </w:p>
    <w:p w14:paraId="363BCD28"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“2.    Devolución del pago anticipado. Este amparo cubre los perjuicios sufridos por la Entidad Estatal por la no devolución total o parcial del dinero entregado al contratista a título de pago anticipado, cuando a ello hubiere lugar.</w:t>
      </w:r>
    </w:p>
    <w:p w14:paraId="2F3A47B5"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“3.    Cumplimiento del contrato. Este amparo cubre a la Entidad Estatal de los perjuicios derivados de:</w:t>
      </w:r>
    </w:p>
    <w:p w14:paraId="69DDABDD"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“3.1.   El incumplimiento total o parcial del contrato, cuando el incumplimiento es imputable al contratista;</w:t>
      </w:r>
    </w:p>
    <w:p w14:paraId="78173791"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“3.2.   El cumplimiento tardío o defectuoso del contrato, cuando el incumplimiento es imputable al contratista;</w:t>
      </w:r>
    </w:p>
    <w:p w14:paraId="2DBBA04D"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“3.3.   Los daños imputables al contratista por entregas parciales de la obra, cuando el contrato no prevé entregas parciales; y</w:t>
      </w:r>
    </w:p>
    <w:p w14:paraId="12016FBC"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“3.4.   El pago del valor de las multas y de la cláusula penal pecuniaria.</w:t>
      </w:r>
    </w:p>
    <w:p w14:paraId="5C2836E4"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0DCEC07E"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“La Entidad Estatal no debe exigir una garantía para cubrir este Riesgo en los contratos que se ejecuten fuera del territorio nacional con personal contratado bajo un régimen jurídico distinto al colombiano.</w:t>
      </w:r>
    </w:p>
    <w:p w14:paraId="4FBB5852"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“5.    Estabilidad y calidad de la obra. Este amparo cubre a la Entidad Estatal de los perjuicios ocasionados por cualquier tipo de daño o deterioro, imputable al contratista, sufrido por la obra entregada a satisfacción.</w:t>
      </w:r>
    </w:p>
    <w:p w14:paraId="6138249E"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“6.    Calidad del servicio. Este amparo cubre a la Entidad Estatal por los perjuicios deri­vados de la deficiente calidad del servicio prestado.</w:t>
      </w:r>
    </w:p>
    <w:p w14:paraId="41E1B1A4"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“7.    Calidad y correcto funcionamiento de los bienes. Este amparo debe cubrir la calidad y el correcto funcionamiento de los bienes que recibe la Entidad Estatal en cumplimiento de un contrato.</w:t>
      </w:r>
    </w:p>
    <w:p w14:paraId="0A68BE2B" w14:textId="77777777" w:rsidR="00EA1B6C" w:rsidRPr="0012771A" w:rsidRDefault="00EA1B6C" w:rsidP="00EA1B6C">
      <w:pPr>
        <w:pStyle w:val="Textonotapie"/>
        <w:ind w:firstLine="708"/>
        <w:jc w:val="both"/>
        <w:rPr>
          <w:rFonts w:ascii="Century Gothic" w:hAnsi="Century Gothic" w:cs="Arial"/>
          <w:color w:val="000000"/>
          <w:sz w:val="12"/>
          <w:szCs w:val="12"/>
        </w:rPr>
      </w:pPr>
      <w:r w:rsidRPr="0012771A">
        <w:rPr>
          <w:rFonts w:ascii="Century Gothic" w:hAnsi="Century Gothic" w:cs="Arial"/>
          <w:color w:val="000000"/>
          <w:sz w:val="12"/>
          <w:szCs w:val="12"/>
        </w:rPr>
        <w:t>“8.    Los demás incumplimientos de obligaciones que la Entidad Estatal considere deben ser amparados de manera proporcional y acorde a la naturaleza del contrato”.</w:t>
      </w:r>
    </w:p>
  </w:footnote>
  <w:footnote w:id="11">
    <w:p w14:paraId="6F542613" w14:textId="4FA71E82" w:rsidR="00EA1B6C" w:rsidRPr="0012771A" w:rsidRDefault="00EA1B6C" w:rsidP="00EA1B6C">
      <w:pPr>
        <w:pStyle w:val="Textonotapie"/>
        <w:ind w:firstLine="708"/>
        <w:jc w:val="both"/>
        <w:rPr>
          <w:rFonts w:ascii="Century Gothic" w:hAnsi="Century Gothic" w:cs="Arial"/>
          <w:color w:val="000000"/>
          <w:sz w:val="12"/>
          <w:szCs w:val="12"/>
        </w:rPr>
      </w:pPr>
      <w:r w:rsidRPr="0012771A">
        <w:rPr>
          <w:rStyle w:val="Refdenotaalpie"/>
          <w:rFonts w:ascii="Century Gothic" w:hAnsi="Century Gothic" w:cs="Arial"/>
          <w:color w:val="000000"/>
          <w:sz w:val="12"/>
          <w:szCs w:val="12"/>
        </w:rPr>
        <w:footnoteRef/>
      </w:r>
      <w:r w:rsidRPr="0012771A">
        <w:rPr>
          <w:rFonts w:ascii="Century Gothic" w:hAnsi="Century Gothic" w:cs="Arial"/>
          <w:color w:val="000000"/>
          <w:sz w:val="12"/>
          <w:szCs w:val="12"/>
        </w:rPr>
        <w:t xml:space="preserve"> Consejo de Estado. Sección Tercera. Subsección B. Sentencia de 19 de junio de 2013. </w:t>
      </w:r>
      <w:proofErr w:type="spellStart"/>
      <w:r w:rsidRPr="0012771A">
        <w:rPr>
          <w:rFonts w:ascii="Century Gothic" w:hAnsi="Century Gothic" w:cs="Arial"/>
          <w:color w:val="000000"/>
          <w:sz w:val="12"/>
          <w:szCs w:val="12"/>
        </w:rPr>
        <w:t>Exp</w:t>
      </w:r>
      <w:proofErr w:type="spellEnd"/>
      <w:r w:rsidRPr="0012771A">
        <w:rPr>
          <w:rFonts w:ascii="Century Gothic" w:hAnsi="Century Gothic" w:cs="Arial"/>
          <w:color w:val="000000"/>
          <w:sz w:val="12"/>
          <w:szCs w:val="12"/>
        </w:rPr>
        <w:t xml:space="preserve">. 25472. </w:t>
      </w:r>
    </w:p>
  </w:footnote>
  <w:footnote w:id="12">
    <w:p w14:paraId="0A45986C" w14:textId="40467472" w:rsidR="00EA1B6C" w:rsidRPr="0012771A" w:rsidRDefault="00EA1B6C" w:rsidP="00EA1B6C">
      <w:pPr>
        <w:pStyle w:val="Textonotapie"/>
        <w:ind w:firstLine="708"/>
        <w:jc w:val="both"/>
        <w:rPr>
          <w:rFonts w:ascii="Century Gothic" w:eastAsia="Calibri" w:hAnsi="Century Gothic" w:cs="Arial"/>
          <w:color w:val="000000" w:themeColor="text1"/>
          <w:sz w:val="12"/>
          <w:szCs w:val="12"/>
          <w:lang w:val="es-ES_tradnl"/>
        </w:rPr>
      </w:pPr>
      <w:r w:rsidRPr="0012771A">
        <w:rPr>
          <w:rStyle w:val="Refdenotaalpie"/>
          <w:rFonts w:ascii="Century Gothic" w:hAnsi="Century Gothic"/>
          <w:color w:val="000000" w:themeColor="text1"/>
          <w:sz w:val="12"/>
          <w:szCs w:val="12"/>
        </w:rPr>
        <w:footnoteRef/>
      </w:r>
      <w:r w:rsidRPr="0012771A">
        <w:rPr>
          <w:rFonts w:ascii="Century Gothic" w:hAnsi="Century Gothic"/>
          <w:color w:val="000000" w:themeColor="text1"/>
          <w:sz w:val="12"/>
          <w:szCs w:val="12"/>
        </w:rPr>
        <w:t xml:space="preserve"> </w:t>
      </w:r>
      <w:r w:rsidRPr="0012771A">
        <w:rPr>
          <w:rFonts w:ascii="Century Gothic" w:eastAsia="Calibri" w:hAnsi="Century Gothic" w:cs="Arial"/>
          <w:color w:val="000000" w:themeColor="text1"/>
          <w:sz w:val="12"/>
          <w:szCs w:val="12"/>
          <w:lang w:val="es-ES_tradnl"/>
        </w:rPr>
        <w:t xml:space="preserve">Esta norma dispone que “Los contratos para construcción de edificios, celebrados con un empresario que se encarga de toda la obra por un precio único prefijado, se sujetan además a las reglas siguientes: </w:t>
      </w:r>
    </w:p>
    <w:p w14:paraId="2AF521E8" w14:textId="77777777" w:rsidR="00EA1B6C" w:rsidRPr="0012771A" w:rsidRDefault="00EA1B6C" w:rsidP="00EA1B6C">
      <w:pPr>
        <w:pStyle w:val="Textonotapie"/>
        <w:ind w:firstLine="708"/>
        <w:jc w:val="both"/>
        <w:rPr>
          <w:rFonts w:ascii="Century Gothic" w:eastAsia="Calibri" w:hAnsi="Century Gothic" w:cs="Arial"/>
          <w:color w:val="000000" w:themeColor="text1"/>
          <w:sz w:val="12"/>
          <w:szCs w:val="12"/>
          <w:lang w:val="es-ES_tradnl"/>
        </w:rPr>
      </w:pPr>
      <w:r w:rsidRPr="0012771A">
        <w:rPr>
          <w:rFonts w:ascii="Century Gothic" w:eastAsia="Calibri" w:hAnsi="Century Gothic" w:cs="Arial"/>
          <w:color w:val="000000" w:themeColor="text1"/>
          <w:sz w:val="12"/>
          <w:szCs w:val="12"/>
          <w:lang w:val="es-ES_tradnl"/>
        </w:rPr>
        <w:t xml:space="preserve">[…] </w:t>
      </w:r>
    </w:p>
    <w:p w14:paraId="19227D60" w14:textId="77777777" w:rsidR="00EA1B6C" w:rsidRPr="0012771A" w:rsidRDefault="00EA1B6C" w:rsidP="00EA1B6C">
      <w:pPr>
        <w:pStyle w:val="Textonotapie"/>
        <w:ind w:firstLine="708"/>
        <w:jc w:val="both"/>
        <w:rPr>
          <w:rFonts w:ascii="Century Gothic" w:hAnsi="Century Gothic"/>
          <w:color w:val="000000" w:themeColor="text1"/>
          <w:sz w:val="12"/>
          <w:szCs w:val="12"/>
        </w:rPr>
      </w:pPr>
      <w:r w:rsidRPr="0012771A">
        <w:rPr>
          <w:rFonts w:ascii="Century Gothic" w:eastAsia="Calibri" w:hAnsi="Century Gothic" w:cs="Arial"/>
          <w:color w:val="000000" w:themeColor="text1"/>
          <w:sz w:val="12"/>
          <w:szCs w:val="12"/>
          <w:lang w:val="es-ES_tradnl"/>
        </w:rPr>
        <w:t xml:space="preserve">“3. Si el edificio perece o amenaza ruina, en todo o parte, en los diez años subsiguientes a su entrega, por vicio de la construcción, o por vicio del suelo que el empresario o las personas empleadas por él hayan debido conocer </w:t>
      </w:r>
      <w:proofErr w:type="gramStart"/>
      <w:r w:rsidRPr="0012771A">
        <w:rPr>
          <w:rFonts w:ascii="Century Gothic" w:eastAsia="Calibri" w:hAnsi="Century Gothic" w:cs="Arial"/>
          <w:color w:val="000000" w:themeColor="text1"/>
          <w:sz w:val="12"/>
          <w:szCs w:val="12"/>
          <w:lang w:val="es-ES_tradnl"/>
        </w:rPr>
        <w:t>en razón de</w:t>
      </w:r>
      <w:proofErr w:type="gramEnd"/>
      <w:r w:rsidRPr="0012771A">
        <w:rPr>
          <w:rFonts w:ascii="Century Gothic" w:eastAsia="Calibri" w:hAnsi="Century Gothic" w:cs="Arial"/>
          <w:color w:val="000000" w:themeColor="text1"/>
          <w:sz w:val="12"/>
          <w:szCs w:val="12"/>
          <w:lang w:val="es-ES_tradnl"/>
        </w:rPr>
        <w:t xml:space="preserve"> su oficio, o por vicio de los materiales, será responsable el empresario; si los materiales han sido suministrados por el dueño, no habrá lugar a la responsabilidad del empresario sino en conformidad al artículo 2041,2057 inciso final […]”.</w:t>
      </w:r>
    </w:p>
    <w:p w14:paraId="5B309946" w14:textId="77777777" w:rsidR="00EA1B6C" w:rsidRPr="0012771A" w:rsidRDefault="00EA1B6C" w:rsidP="00EA1B6C">
      <w:pPr>
        <w:pStyle w:val="Textonotapie"/>
        <w:ind w:firstLine="708"/>
        <w:jc w:val="both"/>
        <w:rPr>
          <w:color w:val="000000" w:themeColor="text1"/>
          <w:sz w:val="12"/>
          <w:szCs w:val="12"/>
          <w:lang w:val="es-ES"/>
        </w:rPr>
      </w:pPr>
    </w:p>
  </w:footnote>
  <w:footnote w:id="13">
    <w:p w14:paraId="7275049E" w14:textId="77936343" w:rsidR="00EA1B6C" w:rsidRPr="0012771A" w:rsidRDefault="00EA1B6C" w:rsidP="00EA1B6C">
      <w:pPr>
        <w:pStyle w:val="paragraph"/>
        <w:spacing w:before="0" w:beforeAutospacing="0" w:after="0" w:afterAutospacing="0"/>
        <w:ind w:firstLine="709"/>
        <w:jc w:val="both"/>
        <w:textAlignment w:val="baseline"/>
        <w:rPr>
          <w:rFonts w:ascii="Century Gothic" w:hAnsi="Century Gothic" w:cs="Arial"/>
          <w:color w:val="000000" w:themeColor="text1"/>
          <w:sz w:val="12"/>
          <w:szCs w:val="12"/>
        </w:rPr>
      </w:pPr>
      <w:r w:rsidRPr="0012771A">
        <w:rPr>
          <w:rStyle w:val="Refdenotaalpie"/>
          <w:rFonts w:ascii="Century Gothic" w:eastAsiaTheme="majorEastAsia" w:hAnsi="Century Gothic" w:cs="Arial"/>
          <w:color w:val="000000" w:themeColor="text1"/>
          <w:sz w:val="12"/>
          <w:szCs w:val="12"/>
        </w:rPr>
        <w:footnoteRef/>
      </w:r>
      <w:r w:rsidRPr="0012771A">
        <w:rPr>
          <w:rFonts w:ascii="Century Gothic" w:hAnsi="Century Gothic" w:cs="Arial"/>
          <w:color w:val="000000" w:themeColor="text1"/>
          <w:sz w:val="12"/>
          <w:szCs w:val="12"/>
        </w:rPr>
        <w:t xml:space="preserve"> </w:t>
      </w:r>
      <w:r w:rsidRPr="0012771A">
        <w:rPr>
          <w:rFonts w:ascii="Century Gothic" w:hAnsi="Century Gothic" w:cs="Arial"/>
          <w:color w:val="000000" w:themeColor="text1"/>
          <w:sz w:val="12"/>
          <w:szCs w:val="12"/>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12771A">
        <w:rPr>
          <w:rFonts w:ascii="Century Gothic" w:hAnsi="Century Gothic" w:cs="Arial"/>
          <w:color w:val="000000" w:themeColor="text1"/>
          <w:sz w:val="12"/>
          <w:szCs w:val="12"/>
        </w:rPr>
        <w:t>  </w:t>
      </w:r>
    </w:p>
    <w:p w14:paraId="60F5178E" w14:textId="77777777" w:rsidR="009E6D9D" w:rsidRPr="0012771A" w:rsidRDefault="009E6D9D" w:rsidP="00EA1B6C">
      <w:pPr>
        <w:pStyle w:val="paragraph"/>
        <w:spacing w:before="0" w:beforeAutospacing="0" w:after="0" w:afterAutospacing="0"/>
        <w:ind w:firstLine="709"/>
        <w:jc w:val="both"/>
        <w:textAlignment w:val="baseline"/>
        <w:rPr>
          <w:rFonts w:ascii="Century Gothic" w:hAnsi="Century Gothic" w:cs="Arial"/>
          <w:color w:val="000000" w:themeColor="text1"/>
          <w:sz w:val="12"/>
          <w:szCs w:val="12"/>
        </w:rPr>
      </w:pPr>
    </w:p>
  </w:footnote>
  <w:footnote w:id="14">
    <w:p w14:paraId="25F06E98" w14:textId="323539A5" w:rsidR="00EA1B6C" w:rsidRPr="0012771A" w:rsidRDefault="00EA1B6C" w:rsidP="000B20C2">
      <w:pPr>
        <w:ind w:firstLine="709"/>
        <w:jc w:val="both"/>
        <w:rPr>
          <w:rFonts w:ascii="Century Gothic" w:hAnsi="Century Gothic" w:cs="Arial"/>
          <w:color w:val="000000" w:themeColor="text1"/>
          <w:sz w:val="12"/>
          <w:szCs w:val="12"/>
          <w:lang w:eastAsia="es-MX"/>
        </w:rPr>
      </w:pPr>
      <w:r w:rsidRPr="0012771A">
        <w:rPr>
          <w:rFonts w:ascii="Century Gothic" w:hAnsi="Century Gothic" w:cs="Arial"/>
          <w:color w:val="000000" w:themeColor="text1"/>
          <w:sz w:val="12"/>
          <w:szCs w:val="12"/>
          <w:lang w:val="es-ES" w:eastAsia="es-MX"/>
        </w:rPr>
        <w:t xml:space="preserve"> </w:t>
      </w:r>
      <w:r w:rsidRPr="0012771A">
        <w:rPr>
          <w:rStyle w:val="Refdenotaalpie"/>
          <w:rFonts w:ascii="Century Gothic" w:hAnsi="Century Gothic" w:cs="Arial"/>
          <w:color w:val="000000" w:themeColor="text1"/>
          <w:sz w:val="12"/>
          <w:szCs w:val="12"/>
        </w:rPr>
        <w:footnoteRef/>
      </w:r>
      <w:r w:rsidRPr="0012771A">
        <w:rPr>
          <w:rFonts w:ascii="Century Gothic" w:hAnsi="Century Gothic" w:cs="Arial"/>
          <w:color w:val="000000" w:themeColor="text1"/>
          <w:sz w:val="12"/>
          <w:szCs w:val="12"/>
          <w:lang w:val="es-ES" w:eastAsia="es-MX"/>
        </w:rPr>
        <w:t xml:space="preserve"> Así lo establece la Constitución Política, en el artículo 150, numeral 7, así como en el artículo 300, numeral 7 y en el artículo 313, numeral 6.</w:t>
      </w:r>
    </w:p>
  </w:footnote>
  <w:footnote w:id="15">
    <w:p w14:paraId="13CF72B8" w14:textId="77777777" w:rsidR="00EA1B6C" w:rsidRPr="0012771A" w:rsidRDefault="00EA1B6C" w:rsidP="00EA1B6C">
      <w:pPr>
        <w:pStyle w:val="Textonotapie"/>
        <w:ind w:firstLine="709"/>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1870CAD9" w14:textId="77777777" w:rsidR="00EA1B6C" w:rsidRPr="0012771A" w:rsidRDefault="00EA1B6C" w:rsidP="00EA1B6C">
      <w:pPr>
        <w:pStyle w:val="Textonotapie"/>
        <w:ind w:firstLine="709"/>
        <w:jc w:val="both"/>
        <w:rPr>
          <w:rFonts w:ascii="Century Gothic" w:hAnsi="Century Gothic" w:cs="Arial"/>
          <w:sz w:val="12"/>
          <w:szCs w:val="12"/>
        </w:rPr>
      </w:pPr>
    </w:p>
  </w:footnote>
  <w:footnote w:id="16">
    <w:p w14:paraId="3A229DAE" w14:textId="77777777" w:rsidR="00EA1B6C" w:rsidRPr="0012771A" w:rsidRDefault="00EA1B6C" w:rsidP="00EA1B6C">
      <w:pPr>
        <w:pStyle w:val="Textonotapie"/>
        <w:ind w:firstLine="709"/>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p w14:paraId="5D07F48D" w14:textId="77777777" w:rsidR="00EA1B6C" w:rsidRPr="0012771A" w:rsidRDefault="00EA1B6C" w:rsidP="00EA1B6C">
      <w:pPr>
        <w:pStyle w:val="Textonotapie"/>
        <w:ind w:firstLine="709"/>
        <w:jc w:val="both"/>
        <w:rPr>
          <w:rFonts w:ascii="Century Gothic" w:hAnsi="Century Gothic" w:cs="Arial"/>
          <w:sz w:val="12"/>
          <w:szCs w:val="12"/>
          <w:lang w:val="es-CO"/>
        </w:rPr>
      </w:pPr>
    </w:p>
  </w:footnote>
  <w:footnote w:id="17">
    <w:p w14:paraId="153DA4FC" w14:textId="047C795C" w:rsidR="00EA1B6C" w:rsidRPr="0012771A" w:rsidRDefault="00EA1B6C" w:rsidP="00EA1B6C">
      <w:pPr>
        <w:pStyle w:val="Textonotapie"/>
        <w:ind w:firstLine="708"/>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Ley 80 de 1993, artículo 2, literal a):</w:t>
      </w:r>
      <w:bookmarkStart w:id="11" w:name="2"/>
      <w:r w:rsidRPr="0012771A">
        <w:rPr>
          <w:rFonts w:ascii="Century Gothic" w:hAnsi="Century Gothic" w:cs="Arial"/>
          <w:sz w:val="12"/>
          <w:szCs w:val="12"/>
        </w:rPr>
        <w:t xml:space="preserve"> “Artículo 2o. de la definición de entidades, servidores y servicios públicos. </w:t>
      </w:r>
      <w:bookmarkEnd w:id="11"/>
      <w:r w:rsidRPr="0012771A">
        <w:rPr>
          <w:rFonts w:ascii="Century Gothic" w:hAnsi="Century Gothic" w:cs="Arial"/>
          <w:sz w:val="12"/>
          <w:szCs w:val="12"/>
        </w:rPr>
        <w:t>Para los solos efectos de esta ley:</w:t>
      </w:r>
    </w:p>
    <w:p w14:paraId="78EF1044" w14:textId="77777777" w:rsidR="00EA1B6C" w:rsidRPr="0012771A" w:rsidRDefault="00EA1B6C" w:rsidP="00EA1B6C">
      <w:pPr>
        <w:pStyle w:val="Textonotapie"/>
        <w:ind w:firstLine="708"/>
        <w:jc w:val="both"/>
        <w:rPr>
          <w:rFonts w:ascii="Century Gothic" w:hAnsi="Century Gothic" w:cs="Arial"/>
          <w:sz w:val="12"/>
          <w:szCs w:val="12"/>
        </w:rPr>
      </w:pPr>
      <w:r w:rsidRPr="0012771A">
        <w:rPr>
          <w:rFonts w:ascii="Century Gothic" w:hAnsi="Century Gothic" w:cs="Arial"/>
          <w:sz w:val="12"/>
          <w:szCs w:val="12"/>
        </w:rPr>
        <w:t>“1o. Se denominan entidades estatales:</w:t>
      </w:r>
    </w:p>
    <w:p w14:paraId="064FEDCD" w14:textId="77777777" w:rsidR="00EA1B6C" w:rsidRPr="0012771A" w:rsidRDefault="00EA1B6C" w:rsidP="00EA1B6C">
      <w:pPr>
        <w:pStyle w:val="Textonotapie"/>
        <w:ind w:firstLine="708"/>
        <w:jc w:val="both"/>
        <w:rPr>
          <w:rFonts w:ascii="Century Gothic" w:hAnsi="Century Gothic" w:cs="Arial"/>
          <w:sz w:val="12"/>
          <w:szCs w:val="12"/>
        </w:rPr>
      </w:pPr>
      <w:r w:rsidRPr="0012771A">
        <w:rPr>
          <w:rFonts w:ascii="Century Gothic" w:hAnsi="Century Gothic" w:cs="Arial"/>
          <w:sz w:val="12"/>
          <w:szCs w:val="12"/>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36296EE" w14:textId="77777777" w:rsidR="00EA1B6C" w:rsidRPr="0012771A" w:rsidRDefault="00EA1B6C" w:rsidP="00EA1B6C">
      <w:pPr>
        <w:pStyle w:val="Textonotapie"/>
        <w:ind w:firstLine="708"/>
        <w:jc w:val="both"/>
        <w:rPr>
          <w:rFonts w:ascii="Century Gothic" w:hAnsi="Century Gothic" w:cs="Arial"/>
          <w:sz w:val="12"/>
          <w:szCs w:val="12"/>
        </w:rPr>
      </w:pPr>
      <w:r w:rsidRPr="0012771A">
        <w:rPr>
          <w:rFonts w:ascii="Century Gothic" w:hAnsi="Century Gothic" w:cs="Arial"/>
          <w:sz w:val="12"/>
          <w:szCs w:val="12"/>
        </w:rPr>
        <w:t>[…]”.</w:t>
      </w:r>
    </w:p>
    <w:p w14:paraId="6D7293EE" w14:textId="77777777" w:rsidR="00CC2A72" w:rsidRPr="0012771A" w:rsidRDefault="00CC2A72" w:rsidP="00EA1B6C">
      <w:pPr>
        <w:pStyle w:val="Textonotapie"/>
        <w:ind w:firstLine="708"/>
        <w:jc w:val="both"/>
        <w:rPr>
          <w:rFonts w:ascii="Century Gothic" w:hAnsi="Century Gothic" w:cs="Arial"/>
          <w:sz w:val="12"/>
          <w:szCs w:val="12"/>
        </w:rPr>
      </w:pPr>
    </w:p>
  </w:footnote>
  <w:footnote w:id="18">
    <w:p w14:paraId="384510E9" w14:textId="77777777" w:rsidR="00EA1B6C" w:rsidRPr="0012771A" w:rsidRDefault="00EA1B6C" w:rsidP="00EA1B6C">
      <w:pPr>
        <w:pStyle w:val="Textonotapie"/>
        <w:ind w:firstLine="708"/>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Consejo de Estado, Sala de Consulta y Servicio Civil, Concepto 1127 del 10 de diciembre de 2004. M.P. Enrique José Arboleda Perdomo </w:t>
      </w:r>
    </w:p>
    <w:p w14:paraId="573A7EC7" w14:textId="77777777" w:rsidR="00530768" w:rsidRPr="0012771A" w:rsidRDefault="00530768" w:rsidP="00EA1B6C">
      <w:pPr>
        <w:pStyle w:val="Textonotapie"/>
        <w:ind w:firstLine="708"/>
        <w:jc w:val="both"/>
        <w:rPr>
          <w:rFonts w:ascii="Century Gothic" w:hAnsi="Century Gothic" w:cs="Arial"/>
          <w:sz w:val="12"/>
          <w:szCs w:val="12"/>
        </w:rPr>
      </w:pPr>
    </w:p>
  </w:footnote>
  <w:footnote w:id="19">
    <w:p w14:paraId="4CA69C6D" w14:textId="30AD4903" w:rsidR="00EA1B6C" w:rsidRPr="0012771A" w:rsidRDefault="00EA1B6C" w:rsidP="00EA1B6C">
      <w:pPr>
        <w:pStyle w:val="Textonotapie"/>
        <w:ind w:firstLine="708"/>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Ley 1150 de 2007, artículo 14: </w:t>
      </w:r>
      <w:r w:rsidR="00463C26" w:rsidRPr="0012771A">
        <w:rPr>
          <w:rFonts w:ascii="Century Gothic" w:hAnsi="Century Gothic" w:cs="Arial"/>
          <w:sz w:val="12"/>
          <w:szCs w:val="12"/>
        </w:rPr>
        <w:t>“</w:t>
      </w:r>
      <w:r w:rsidRPr="0012771A">
        <w:rPr>
          <w:rFonts w:ascii="Century Gothic" w:hAnsi="Century Gothic" w:cs="Arial"/>
          <w:sz w:val="12"/>
          <w:szCs w:val="12"/>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20">
    <w:p w14:paraId="72E1ECBB" w14:textId="11A8945D" w:rsidR="00A410D8" w:rsidRPr="0012771A" w:rsidRDefault="00A410D8" w:rsidP="00A410D8">
      <w:pPr>
        <w:pStyle w:val="Textonotapie"/>
        <w:ind w:firstLine="708"/>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COLOMBIA COMPRA EFICIENTE. Guía de garantías en procesos de contratación. p. 12. Disponible en: </w:t>
      </w:r>
      <w:hyperlink r:id="rId3" w:history="1">
        <w:r w:rsidRPr="0012771A">
          <w:rPr>
            <w:rStyle w:val="Hipervnculo"/>
            <w:rFonts w:ascii="Century Gothic" w:hAnsi="Century Gothic" w:cs="Arial"/>
            <w:sz w:val="12"/>
            <w:szCs w:val="12"/>
          </w:rPr>
          <w:t>https://www.colombiacompra.gov.co/manuales-guias-y-pliegos-tipo/manuales-y-guias</w:t>
        </w:r>
      </w:hyperlink>
      <w:r w:rsidRPr="0012771A">
        <w:rPr>
          <w:rFonts w:ascii="Century Gothic" w:hAnsi="Century Gothic" w:cs="Arial"/>
          <w:sz w:val="12"/>
          <w:szCs w:val="12"/>
        </w:rPr>
        <w:t xml:space="preserve">. </w:t>
      </w:r>
    </w:p>
    <w:p w14:paraId="6043AAAF" w14:textId="77777777" w:rsidR="00A410D8" w:rsidRPr="0012771A" w:rsidRDefault="00A410D8" w:rsidP="00A410D8">
      <w:pPr>
        <w:pStyle w:val="Textonotapie"/>
        <w:ind w:firstLine="708"/>
        <w:rPr>
          <w:rFonts w:ascii="Century Gothic" w:hAnsi="Century Gothic" w:cs="Arial"/>
          <w:sz w:val="12"/>
          <w:szCs w:val="12"/>
          <w:lang w:val="es-CO"/>
        </w:rPr>
      </w:pPr>
    </w:p>
  </w:footnote>
  <w:footnote w:id="21">
    <w:p w14:paraId="1EF7D305" w14:textId="0D8B28D3" w:rsidR="00A410D8" w:rsidRPr="0012771A" w:rsidRDefault="00A410D8" w:rsidP="00A410D8">
      <w:pPr>
        <w:pStyle w:val="Textonotapie"/>
        <w:ind w:firstLine="708"/>
        <w:jc w:val="both"/>
        <w:rPr>
          <w:rFonts w:ascii="Century Gothic" w:hAnsi="Century Gothic" w:cs="Arial"/>
          <w:sz w:val="12"/>
          <w:szCs w:val="12"/>
        </w:rPr>
      </w:pPr>
      <w:r w:rsidRPr="0012771A">
        <w:rPr>
          <w:rStyle w:val="Refdenotaalpie"/>
          <w:rFonts w:ascii="Century Gothic" w:hAnsi="Century Gothic" w:cs="Arial"/>
          <w:sz w:val="12"/>
          <w:szCs w:val="12"/>
        </w:rPr>
        <w:footnoteRef/>
      </w:r>
      <w:r w:rsidRPr="0012771A">
        <w:rPr>
          <w:rFonts w:ascii="Century Gothic" w:hAnsi="Century Gothic" w:cs="Arial"/>
          <w:sz w:val="12"/>
          <w:szCs w:val="12"/>
        </w:rPr>
        <w:t xml:space="preserve"> </w:t>
      </w:r>
      <w:proofErr w:type="spellStart"/>
      <w:r w:rsidRPr="0012771A">
        <w:rPr>
          <w:rFonts w:ascii="Century Gothic" w:hAnsi="Century Gothic" w:cs="Arial"/>
          <w:sz w:val="12"/>
          <w:szCs w:val="12"/>
        </w:rPr>
        <w:t>Ibídem</w:t>
      </w:r>
      <w:proofErr w:type="spellEnd"/>
      <w:r w:rsidRPr="0012771A">
        <w:rPr>
          <w:rFonts w:ascii="Century Gothic" w:hAnsi="Century Gothic" w:cs="Arial"/>
          <w:sz w:val="12"/>
          <w:szCs w:val="12"/>
        </w:rPr>
        <w:t xml:space="preserve">., p. 17. La guía además señala en relación con las garantías bancarias y cartas de crédito stand </w:t>
      </w:r>
      <w:proofErr w:type="spellStart"/>
      <w:r w:rsidRPr="0012771A">
        <w:rPr>
          <w:rFonts w:ascii="Century Gothic" w:hAnsi="Century Gothic" w:cs="Arial"/>
          <w:sz w:val="12"/>
          <w:szCs w:val="12"/>
        </w:rPr>
        <w:t>by</w:t>
      </w:r>
      <w:proofErr w:type="spellEnd"/>
      <w:r w:rsidRPr="0012771A">
        <w:rPr>
          <w:rFonts w:ascii="Century Gothic" w:hAnsi="Century Gothic" w:cs="Arial"/>
          <w:sz w:val="12"/>
          <w:szCs w:val="12"/>
        </w:rPr>
        <w:t xml:space="preserve">, que </w:t>
      </w:r>
      <w:r w:rsidR="000B20C2" w:rsidRPr="0012771A">
        <w:rPr>
          <w:rFonts w:ascii="Century Gothic" w:hAnsi="Century Gothic" w:cs="Arial"/>
          <w:sz w:val="12"/>
          <w:szCs w:val="12"/>
        </w:rPr>
        <w:t>“</w:t>
      </w:r>
      <w:r w:rsidRPr="0012771A">
        <w:rPr>
          <w:rFonts w:ascii="Century Gothic" w:hAnsi="Century Gothic" w:cs="Arial"/>
          <w:sz w:val="12"/>
          <w:szCs w:val="12"/>
        </w:rPr>
        <w:t>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r w:rsidR="000B20C2" w:rsidRPr="0012771A">
        <w:rPr>
          <w:rFonts w:ascii="Century Gothic" w:hAnsi="Century Gothic" w:cs="Arial"/>
          <w:sz w:val="12"/>
          <w:szCs w:val="12"/>
        </w:rPr>
        <w:t>”</w:t>
      </w:r>
      <w:r w:rsidRPr="0012771A">
        <w:rPr>
          <w:rFonts w:ascii="Century Gothic" w:hAnsi="Century Gothic" w:cs="Arial"/>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10.2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679729D"/>
    <w:multiLevelType w:val="hybridMultilevel"/>
    <w:tmpl w:val="8BA6E548"/>
    <w:lvl w:ilvl="0" w:tplc="3B162A56">
      <w:start w:val="4"/>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972222">
    <w:abstractNumId w:val="7"/>
  </w:num>
  <w:num w:numId="2" w16cid:durableId="1623220217">
    <w:abstractNumId w:val="3"/>
  </w:num>
  <w:num w:numId="3" w16cid:durableId="1731732021">
    <w:abstractNumId w:val="5"/>
  </w:num>
  <w:num w:numId="4" w16cid:durableId="7367110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0860293">
    <w:abstractNumId w:val="3"/>
  </w:num>
  <w:num w:numId="6" w16cid:durableId="271597651">
    <w:abstractNumId w:val="14"/>
  </w:num>
  <w:num w:numId="7" w16cid:durableId="1747846789">
    <w:abstractNumId w:val="6"/>
  </w:num>
  <w:num w:numId="8" w16cid:durableId="1383597019">
    <w:abstractNumId w:val="13"/>
  </w:num>
  <w:num w:numId="9" w16cid:durableId="17123775">
    <w:abstractNumId w:val="9"/>
  </w:num>
  <w:num w:numId="10" w16cid:durableId="1305045977">
    <w:abstractNumId w:val="12"/>
  </w:num>
  <w:num w:numId="11" w16cid:durableId="600376999">
    <w:abstractNumId w:val="10"/>
  </w:num>
  <w:num w:numId="12" w16cid:durableId="2111123384">
    <w:abstractNumId w:val="2"/>
  </w:num>
  <w:num w:numId="13" w16cid:durableId="2133667154">
    <w:abstractNumId w:val="4"/>
  </w:num>
  <w:num w:numId="14" w16cid:durableId="1189224460">
    <w:abstractNumId w:val="15"/>
  </w:num>
  <w:num w:numId="15" w16cid:durableId="408767542">
    <w:abstractNumId w:val="11"/>
  </w:num>
  <w:num w:numId="16" w16cid:durableId="1004865531">
    <w:abstractNumId w:val="0"/>
  </w:num>
  <w:num w:numId="17" w16cid:durableId="1645500354">
    <w:abstractNumId w:val="1"/>
  </w:num>
  <w:num w:numId="18" w16cid:durableId="89140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860"/>
    <w:rsid w:val="00004E30"/>
    <w:rsid w:val="00020089"/>
    <w:rsid w:val="0002349B"/>
    <w:rsid w:val="00037159"/>
    <w:rsid w:val="00041EF9"/>
    <w:rsid w:val="0004210C"/>
    <w:rsid w:val="00050B7D"/>
    <w:rsid w:val="00061B2A"/>
    <w:rsid w:val="00082362"/>
    <w:rsid w:val="0008466C"/>
    <w:rsid w:val="000A0768"/>
    <w:rsid w:val="000A683E"/>
    <w:rsid w:val="000B00EC"/>
    <w:rsid w:val="000B19B9"/>
    <w:rsid w:val="000B20C2"/>
    <w:rsid w:val="000D0334"/>
    <w:rsid w:val="000E4D63"/>
    <w:rsid w:val="000F5B46"/>
    <w:rsid w:val="000F6486"/>
    <w:rsid w:val="00125105"/>
    <w:rsid w:val="00127233"/>
    <w:rsid w:val="0012771A"/>
    <w:rsid w:val="00165000"/>
    <w:rsid w:val="00182680"/>
    <w:rsid w:val="001A48E0"/>
    <w:rsid w:val="001B3092"/>
    <w:rsid w:val="001D055F"/>
    <w:rsid w:val="001D426D"/>
    <w:rsid w:val="001E4177"/>
    <w:rsid w:val="001F7DC6"/>
    <w:rsid w:val="00220F20"/>
    <w:rsid w:val="002421BB"/>
    <w:rsid w:val="00250249"/>
    <w:rsid w:val="002707A2"/>
    <w:rsid w:val="00276277"/>
    <w:rsid w:val="002951A0"/>
    <w:rsid w:val="002962BC"/>
    <w:rsid w:val="002A093D"/>
    <w:rsid w:val="002A0DD0"/>
    <w:rsid w:val="002A49AC"/>
    <w:rsid w:val="002A64FD"/>
    <w:rsid w:val="002A75D6"/>
    <w:rsid w:val="002B0A3E"/>
    <w:rsid w:val="002C7A84"/>
    <w:rsid w:val="002E0EE4"/>
    <w:rsid w:val="002E32A8"/>
    <w:rsid w:val="002E4FD9"/>
    <w:rsid w:val="002E5A7B"/>
    <w:rsid w:val="002F2C32"/>
    <w:rsid w:val="002F7BC1"/>
    <w:rsid w:val="0031694B"/>
    <w:rsid w:val="00321C99"/>
    <w:rsid w:val="00322A85"/>
    <w:rsid w:val="00336725"/>
    <w:rsid w:val="003448F4"/>
    <w:rsid w:val="00374F5E"/>
    <w:rsid w:val="003774CE"/>
    <w:rsid w:val="00377E3E"/>
    <w:rsid w:val="003806EE"/>
    <w:rsid w:val="00393163"/>
    <w:rsid w:val="003A0861"/>
    <w:rsid w:val="003A779E"/>
    <w:rsid w:val="003B395D"/>
    <w:rsid w:val="003C4F9A"/>
    <w:rsid w:val="003D0F4D"/>
    <w:rsid w:val="003D5B0D"/>
    <w:rsid w:val="003E0499"/>
    <w:rsid w:val="003E1F8D"/>
    <w:rsid w:val="003F3941"/>
    <w:rsid w:val="00406575"/>
    <w:rsid w:val="0042722E"/>
    <w:rsid w:val="00463C26"/>
    <w:rsid w:val="004927D3"/>
    <w:rsid w:val="00496B68"/>
    <w:rsid w:val="004A1847"/>
    <w:rsid w:val="004A305D"/>
    <w:rsid w:val="004B0896"/>
    <w:rsid w:val="004B721F"/>
    <w:rsid w:val="004C475D"/>
    <w:rsid w:val="004F21C4"/>
    <w:rsid w:val="004F685F"/>
    <w:rsid w:val="00504133"/>
    <w:rsid w:val="00514BB5"/>
    <w:rsid w:val="005154B9"/>
    <w:rsid w:val="00530768"/>
    <w:rsid w:val="00530B22"/>
    <w:rsid w:val="00534343"/>
    <w:rsid w:val="00543E40"/>
    <w:rsid w:val="00552238"/>
    <w:rsid w:val="005566E8"/>
    <w:rsid w:val="00574867"/>
    <w:rsid w:val="00591460"/>
    <w:rsid w:val="005A2340"/>
    <w:rsid w:val="005A4415"/>
    <w:rsid w:val="005B4382"/>
    <w:rsid w:val="005B77CC"/>
    <w:rsid w:val="005C3777"/>
    <w:rsid w:val="005C5CDC"/>
    <w:rsid w:val="005D476C"/>
    <w:rsid w:val="005E30EE"/>
    <w:rsid w:val="005F50DE"/>
    <w:rsid w:val="0060082F"/>
    <w:rsid w:val="006219F8"/>
    <w:rsid w:val="00640F3C"/>
    <w:rsid w:val="0064523C"/>
    <w:rsid w:val="00665D70"/>
    <w:rsid w:val="00666A53"/>
    <w:rsid w:val="00666D55"/>
    <w:rsid w:val="006758A8"/>
    <w:rsid w:val="00685F73"/>
    <w:rsid w:val="006900D9"/>
    <w:rsid w:val="006A358D"/>
    <w:rsid w:val="006A6B89"/>
    <w:rsid w:val="006B4529"/>
    <w:rsid w:val="006D121C"/>
    <w:rsid w:val="006D2272"/>
    <w:rsid w:val="006E4560"/>
    <w:rsid w:val="006F0036"/>
    <w:rsid w:val="006F3D20"/>
    <w:rsid w:val="006F7D0B"/>
    <w:rsid w:val="00706C16"/>
    <w:rsid w:val="00727A47"/>
    <w:rsid w:val="00730105"/>
    <w:rsid w:val="0075571C"/>
    <w:rsid w:val="00756841"/>
    <w:rsid w:val="00761076"/>
    <w:rsid w:val="007649AB"/>
    <w:rsid w:val="00767026"/>
    <w:rsid w:val="00771D0C"/>
    <w:rsid w:val="007752F3"/>
    <w:rsid w:val="007754D6"/>
    <w:rsid w:val="007833AC"/>
    <w:rsid w:val="007845D3"/>
    <w:rsid w:val="007979CA"/>
    <w:rsid w:val="007B02A7"/>
    <w:rsid w:val="007B1A45"/>
    <w:rsid w:val="007B268C"/>
    <w:rsid w:val="007B7171"/>
    <w:rsid w:val="007C09CA"/>
    <w:rsid w:val="007C3DC2"/>
    <w:rsid w:val="007D201A"/>
    <w:rsid w:val="007E5497"/>
    <w:rsid w:val="007F11FF"/>
    <w:rsid w:val="00806F5F"/>
    <w:rsid w:val="00820278"/>
    <w:rsid w:val="008843B6"/>
    <w:rsid w:val="00891928"/>
    <w:rsid w:val="00896F1E"/>
    <w:rsid w:val="008A446D"/>
    <w:rsid w:val="008D180B"/>
    <w:rsid w:val="008F0EA7"/>
    <w:rsid w:val="008F2B8B"/>
    <w:rsid w:val="00923EEF"/>
    <w:rsid w:val="009419F9"/>
    <w:rsid w:val="00961B09"/>
    <w:rsid w:val="00965334"/>
    <w:rsid w:val="009663D1"/>
    <w:rsid w:val="0097093E"/>
    <w:rsid w:val="009764FE"/>
    <w:rsid w:val="00987B10"/>
    <w:rsid w:val="009A6976"/>
    <w:rsid w:val="009C71FA"/>
    <w:rsid w:val="009C72E7"/>
    <w:rsid w:val="009E6D9D"/>
    <w:rsid w:val="009F3A13"/>
    <w:rsid w:val="00A075BD"/>
    <w:rsid w:val="00A122D3"/>
    <w:rsid w:val="00A17F13"/>
    <w:rsid w:val="00A20739"/>
    <w:rsid w:val="00A33C78"/>
    <w:rsid w:val="00A35C8B"/>
    <w:rsid w:val="00A410D8"/>
    <w:rsid w:val="00A60C84"/>
    <w:rsid w:val="00A634C2"/>
    <w:rsid w:val="00A6559E"/>
    <w:rsid w:val="00A733BD"/>
    <w:rsid w:val="00A74122"/>
    <w:rsid w:val="00A74463"/>
    <w:rsid w:val="00A902DC"/>
    <w:rsid w:val="00AB02C6"/>
    <w:rsid w:val="00AB0ADB"/>
    <w:rsid w:val="00AD307C"/>
    <w:rsid w:val="00AF129C"/>
    <w:rsid w:val="00B446EE"/>
    <w:rsid w:val="00B72CD3"/>
    <w:rsid w:val="00B72FFF"/>
    <w:rsid w:val="00B76F90"/>
    <w:rsid w:val="00BC3B30"/>
    <w:rsid w:val="00BC3D36"/>
    <w:rsid w:val="00BD7F72"/>
    <w:rsid w:val="00C04FB3"/>
    <w:rsid w:val="00C05701"/>
    <w:rsid w:val="00C12605"/>
    <w:rsid w:val="00C27763"/>
    <w:rsid w:val="00C330EB"/>
    <w:rsid w:val="00C60C0D"/>
    <w:rsid w:val="00C633A0"/>
    <w:rsid w:val="00C754BE"/>
    <w:rsid w:val="00C76B1C"/>
    <w:rsid w:val="00CB6357"/>
    <w:rsid w:val="00CC1B26"/>
    <w:rsid w:val="00CC2A72"/>
    <w:rsid w:val="00CD3B53"/>
    <w:rsid w:val="00CE1CBB"/>
    <w:rsid w:val="00D039D0"/>
    <w:rsid w:val="00D218F2"/>
    <w:rsid w:val="00D34D10"/>
    <w:rsid w:val="00D423A2"/>
    <w:rsid w:val="00D63AC2"/>
    <w:rsid w:val="00D7383B"/>
    <w:rsid w:val="00D74FD2"/>
    <w:rsid w:val="00D87DA4"/>
    <w:rsid w:val="00DA231B"/>
    <w:rsid w:val="00DC7B7C"/>
    <w:rsid w:val="00DF5254"/>
    <w:rsid w:val="00E0241E"/>
    <w:rsid w:val="00E14A1B"/>
    <w:rsid w:val="00E16408"/>
    <w:rsid w:val="00E20894"/>
    <w:rsid w:val="00E21328"/>
    <w:rsid w:val="00E245AB"/>
    <w:rsid w:val="00E2764C"/>
    <w:rsid w:val="00E27F2E"/>
    <w:rsid w:val="00E32F8D"/>
    <w:rsid w:val="00E4170A"/>
    <w:rsid w:val="00E50AFE"/>
    <w:rsid w:val="00E53C45"/>
    <w:rsid w:val="00E5449A"/>
    <w:rsid w:val="00E56100"/>
    <w:rsid w:val="00E607F9"/>
    <w:rsid w:val="00E771DC"/>
    <w:rsid w:val="00E8772A"/>
    <w:rsid w:val="00E90F6B"/>
    <w:rsid w:val="00E92C27"/>
    <w:rsid w:val="00E96FFF"/>
    <w:rsid w:val="00E97D30"/>
    <w:rsid w:val="00EA0E3D"/>
    <w:rsid w:val="00EA1B6C"/>
    <w:rsid w:val="00ED16CF"/>
    <w:rsid w:val="00EE1AA8"/>
    <w:rsid w:val="00EE57EF"/>
    <w:rsid w:val="00EF5560"/>
    <w:rsid w:val="00F31EDC"/>
    <w:rsid w:val="00F462B3"/>
    <w:rsid w:val="00F55250"/>
    <w:rsid w:val="00F5664F"/>
    <w:rsid w:val="00F660FD"/>
    <w:rsid w:val="00F666C4"/>
    <w:rsid w:val="00F737E6"/>
    <w:rsid w:val="00F76AFC"/>
    <w:rsid w:val="00F932A0"/>
    <w:rsid w:val="00FA3405"/>
    <w:rsid w:val="00FB0D05"/>
    <w:rsid w:val="00FB5DD1"/>
    <w:rsid w:val="00FC2B5D"/>
    <w:rsid w:val="00FC6E2A"/>
    <w:rsid w:val="00FD3078"/>
    <w:rsid w:val="00FD6FD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C45"/>
  </w:style>
  <w:style w:type="paragraph" w:styleId="Ttulo1">
    <w:name w:val="heading 1"/>
    <w:basedOn w:val="Normal"/>
    <w:next w:val="Normal"/>
    <w:link w:val="Ttulo1Car"/>
    <w:uiPriority w:val="9"/>
    <w:qFormat/>
    <w:rsid w:val="00C126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Sinespaciado">
    <w:name w:val="No Spacing"/>
    <w:aliases w:val="No Indent"/>
    <w:uiPriority w:val="1"/>
    <w:qFormat/>
    <w:rsid w:val="00EA1B6C"/>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1B6C"/>
    <w:rPr>
      <w:rFonts w:ascii="Geomanist Light" w:hAnsi="Geomanist Light"/>
      <w:lang w:val="es-ES"/>
    </w:rPr>
  </w:style>
  <w:style w:type="paragraph" w:customStyle="1" w:styleId="Appelnotedebasde">
    <w:name w:val="Appel note de bas de..."/>
    <w:basedOn w:val="Normal"/>
    <w:link w:val="Refdenotaalpie"/>
    <w:rsid w:val="00EA1B6C"/>
    <w:pPr>
      <w:spacing w:line="240" w:lineRule="exact"/>
    </w:pPr>
    <w:rPr>
      <w:vertAlign w:val="superscript"/>
    </w:rPr>
  </w:style>
  <w:style w:type="character" w:customStyle="1" w:styleId="baj">
    <w:name w:val="b_aj"/>
    <w:basedOn w:val="Fuentedeprrafopredeter"/>
    <w:rsid w:val="00EA1B6C"/>
  </w:style>
  <w:style w:type="character" w:customStyle="1" w:styleId="Hipervnculo1">
    <w:name w:val="Hipervínculo1"/>
    <w:basedOn w:val="Fuentedeprrafopredeter"/>
    <w:uiPriority w:val="99"/>
    <w:unhideWhenUsed/>
    <w:rsid w:val="00EA1B6C"/>
    <w:rPr>
      <w:color w:val="F2F2F2"/>
      <w:u w:val="single"/>
    </w:rPr>
  </w:style>
  <w:style w:type="character" w:styleId="Refdecomentario">
    <w:name w:val="annotation reference"/>
    <w:basedOn w:val="Fuentedeprrafopredeter"/>
    <w:uiPriority w:val="99"/>
    <w:semiHidden/>
    <w:unhideWhenUsed/>
    <w:rsid w:val="00020089"/>
    <w:rPr>
      <w:sz w:val="16"/>
      <w:szCs w:val="16"/>
    </w:rPr>
  </w:style>
  <w:style w:type="paragraph" w:styleId="Textocomentario">
    <w:name w:val="annotation text"/>
    <w:basedOn w:val="Normal"/>
    <w:link w:val="TextocomentarioCar"/>
    <w:uiPriority w:val="99"/>
    <w:unhideWhenUsed/>
    <w:rsid w:val="00020089"/>
    <w:pPr>
      <w:spacing w:line="240" w:lineRule="auto"/>
    </w:pPr>
    <w:rPr>
      <w:sz w:val="20"/>
      <w:szCs w:val="20"/>
    </w:rPr>
  </w:style>
  <w:style w:type="character" w:customStyle="1" w:styleId="TextocomentarioCar">
    <w:name w:val="Texto comentario Car"/>
    <w:basedOn w:val="Fuentedeprrafopredeter"/>
    <w:link w:val="Textocomentario"/>
    <w:uiPriority w:val="99"/>
    <w:rsid w:val="00020089"/>
    <w:rPr>
      <w:sz w:val="20"/>
      <w:szCs w:val="20"/>
    </w:rPr>
  </w:style>
  <w:style w:type="paragraph" w:styleId="Asuntodelcomentario">
    <w:name w:val="annotation subject"/>
    <w:basedOn w:val="Textocomentario"/>
    <w:next w:val="Textocomentario"/>
    <w:link w:val="AsuntodelcomentarioCar"/>
    <w:uiPriority w:val="99"/>
    <w:semiHidden/>
    <w:unhideWhenUsed/>
    <w:rsid w:val="00020089"/>
    <w:rPr>
      <w:b/>
      <w:bCs/>
    </w:rPr>
  </w:style>
  <w:style w:type="character" w:customStyle="1" w:styleId="AsuntodelcomentarioCar">
    <w:name w:val="Asunto del comentario Car"/>
    <w:basedOn w:val="TextocomentarioCar"/>
    <w:link w:val="Asuntodelcomentario"/>
    <w:uiPriority w:val="99"/>
    <w:semiHidden/>
    <w:rsid w:val="00020089"/>
    <w:rPr>
      <w:b/>
      <w:bCs/>
      <w:sz w:val="20"/>
      <w:szCs w:val="20"/>
    </w:rPr>
  </w:style>
  <w:style w:type="character" w:customStyle="1" w:styleId="Ttulo1Car">
    <w:name w:val="Título 1 Car"/>
    <w:basedOn w:val="Fuentedeprrafopredeter"/>
    <w:link w:val="Ttulo1"/>
    <w:uiPriority w:val="9"/>
    <w:rsid w:val="00C1260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manuales-guias-y-pliegos-tipo/manuales-y-guias" TargetMode="External"/><Relationship Id="rId2" Type="http://schemas.openxmlformats.org/officeDocument/2006/relationships/hyperlink" Target="https://www.colombiacompra.gov.co/sites/cce_public/files/cce_documents/cce_guia_garantia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Olga Isabel Pertuz De La Hoz</DisplayName>
        <AccountId>692</AccountId>
        <AccountType/>
      </UserInfo>
      <UserInfo>
        <DisplayName>Ximena Ríos López</DisplayName>
        <AccountId>48</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B91A6F7-D0ED-4F48-86D9-749D78153C10}">
  <ds:schemaRefs>
    <ds:schemaRef ds:uri="http://schemas.openxmlformats.org/officeDocument/2006/bibliography"/>
  </ds:schemaRefs>
</ds:datastoreItem>
</file>

<file path=customXml/itemProps2.xml><?xml version="1.0" encoding="utf-8"?>
<ds:datastoreItem xmlns:ds="http://schemas.openxmlformats.org/officeDocument/2006/customXml" ds:itemID="{F3B4A864-4CAF-4871-82A0-82840C587B8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http://schemas.microsoft.com/office/infopath/2007/PartnerControls"/>
    <ds:schemaRef ds:uri="http://www.w3.org/XML/1998/namespace"/>
    <ds:schemaRef ds:uri="51ffb7fd-4899-4472-8c42-8dade94ea362"/>
    <ds:schemaRef ds:uri="8ae15d26-076e-464e-81a7-6f76a0fb3917"/>
    <ds:schemaRef ds:uri="http://schemas.microsoft.com/office/2006/documentManagement/types"/>
    <ds:schemaRef ds:uri="http://purl.org/dc/elements/1.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7651</Words>
  <Characters>42081</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14</cp:revision>
  <cp:lastPrinted>2023-01-10T21:18:00Z</cp:lastPrinted>
  <dcterms:created xsi:type="dcterms:W3CDTF">2024-01-30T19:57:00Z</dcterms:created>
  <dcterms:modified xsi:type="dcterms:W3CDTF">2024-02-02T14:17:00Z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