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E3E8" w14:textId="77777777" w:rsidR="00824294" w:rsidRPr="00824294" w:rsidRDefault="00824294" w:rsidP="00824294">
      <w:pPr>
        <w:jc w:val="right"/>
        <w:rPr>
          <w:rFonts w:ascii="Arial" w:eastAsia="Times New Roman" w:hAnsi="Arial" w:cs="Arial"/>
          <w:b/>
          <w:color w:val="000000" w:themeColor="text1"/>
          <w:sz w:val="16"/>
          <w:szCs w:val="16"/>
          <w:lang w:eastAsia="es-ES"/>
        </w:rPr>
      </w:pPr>
      <w:r w:rsidRPr="00824294">
        <w:rPr>
          <w:rFonts w:ascii="Arial" w:eastAsia="Times New Roman" w:hAnsi="Arial" w:cs="Arial"/>
          <w:b/>
          <w:color w:val="000000" w:themeColor="text1"/>
          <w:sz w:val="16"/>
          <w:szCs w:val="16"/>
          <w:lang w:eastAsia="es-ES"/>
        </w:rPr>
        <w:t>CCE-DES-FM-17</w:t>
      </w:r>
    </w:p>
    <w:p w14:paraId="214D315F"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296BC72E" w14:textId="77777777" w:rsidR="00824294" w:rsidRPr="00824294" w:rsidRDefault="00824294" w:rsidP="00824294">
      <w:pPr>
        <w:spacing w:line="276" w:lineRule="auto"/>
        <w:rPr>
          <w:rFonts w:ascii="Arial" w:eastAsia="Calibri" w:hAnsi="Arial" w:cs="Arial"/>
          <w:b/>
          <w:color w:val="000000" w:themeColor="text1"/>
          <w:sz w:val="22"/>
          <w:lang w:eastAsia="es-MX"/>
        </w:rPr>
      </w:pPr>
      <w:r w:rsidRPr="00824294">
        <w:rPr>
          <w:rFonts w:ascii="Arial" w:eastAsia="Calibri" w:hAnsi="Arial" w:cs="Arial"/>
          <w:b/>
          <w:color w:val="000000" w:themeColor="text1"/>
          <w:sz w:val="22"/>
          <w:lang w:eastAsia="es-MX"/>
        </w:rPr>
        <w:t xml:space="preserve">REQUISITOS HABILITANTES – Noción </w:t>
      </w:r>
    </w:p>
    <w:p w14:paraId="26C4F5FF"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6D1DF9A5" w14:textId="77777777" w:rsidR="00824294" w:rsidRPr="00824294" w:rsidRDefault="00824294" w:rsidP="00824294">
      <w:pPr>
        <w:spacing w:after="120"/>
        <w:jc w:val="both"/>
        <w:rPr>
          <w:rFonts w:ascii="Arial" w:eastAsia="Calibri" w:hAnsi="Arial" w:cs="Arial"/>
          <w:color w:val="000000" w:themeColor="text1"/>
          <w:sz w:val="20"/>
          <w:szCs w:val="20"/>
          <w:lang w:val="es-ES_tradnl" w:eastAsia="es-MX"/>
        </w:rPr>
      </w:pPr>
      <w:r w:rsidRPr="00824294">
        <w:rPr>
          <w:rFonts w:ascii="Arial" w:eastAsia="Calibri" w:hAnsi="Arial" w:cs="Arial"/>
          <w:color w:val="000000" w:themeColor="text1"/>
          <w:sz w:val="20"/>
          <w:szCs w:val="20"/>
          <w:lang w:val="es-ES_tradnl" w:eastAsia="es-MX"/>
        </w:rPr>
        <w:t xml:space="preserve">Los </w:t>
      </w:r>
      <w:r w:rsidRPr="00824294">
        <w:rPr>
          <w:rFonts w:ascii="Arial" w:eastAsia="Calibri" w:hAnsi="Arial" w:cs="Arial"/>
          <w:i/>
          <w:iCs/>
          <w:color w:val="000000" w:themeColor="text1"/>
          <w:sz w:val="20"/>
          <w:szCs w:val="20"/>
          <w:lang w:val="es-ES_tradnl" w:eastAsia="es-MX"/>
        </w:rPr>
        <w:t>requisitos habilitantes</w:t>
      </w:r>
      <w:r w:rsidRPr="00824294">
        <w:rPr>
          <w:rFonts w:ascii="Arial" w:eastAsia="Calibri" w:hAnsi="Arial" w:cs="Arial"/>
          <w:color w:val="000000" w:themeColor="text1"/>
          <w:sz w:val="20"/>
          <w:szCs w:val="20"/>
          <w:lang w:val="es-ES_tradnl" w:eastAsia="es-MX"/>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824294">
        <w:rPr>
          <w:rFonts w:ascii="Arial" w:eastAsia="Calibri" w:hAnsi="Arial" w:cs="Arial"/>
          <w:i/>
          <w:iCs/>
          <w:color w:val="000000" w:themeColor="text1"/>
          <w:sz w:val="20"/>
          <w:szCs w:val="20"/>
          <w:lang w:val="es-ES_tradnl" w:eastAsia="es-MX"/>
        </w:rPr>
        <w:t>criterios de evaluación</w:t>
      </w:r>
      <w:r w:rsidRPr="00824294">
        <w:rPr>
          <w:rFonts w:ascii="Arial" w:eastAsia="Calibri" w:hAnsi="Arial" w:cs="Arial"/>
          <w:color w:val="000000" w:themeColor="text1"/>
          <w:sz w:val="20"/>
          <w:szCs w:val="20"/>
          <w:lang w:val="es-ES_tradnl" w:eastAsia="es-MX"/>
        </w:rPr>
        <w:t xml:space="preserve"> –también conocidos como </w:t>
      </w:r>
      <w:r w:rsidRPr="00824294">
        <w:rPr>
          <w:rFonts w:ascii="Arial" w:eastAsia="Calibri" w:hAnsi="Arial" w:cs="Arial"/>
          <w:i/>
          <w:iCs/>
          <w:color w:val="000000" w:themeColor="text1"/>
          <w:sz w:val="20"/>
          <w:szCs w:val="20"/>
          <w:lang w:val="es-ES_tradnl" w:eastAsia="es-MX"/>
        </w:rPr>
        <w:t>criterios de calificación</w:t>
      </w:r>
      <w:r w:rsidRPr="00824294">
        <w:rPr>
          <w:rFonts w:ascii="Arial" w:eastAsia="Calibri" w:hAnsi="Arial" w:cs="Arial"/>
          <w:color w:val="000000" w:themeColor="text1"/>
          <w:sz w:val="20"/>
          <w:szCs w:val="20"/>
          <w:lang w:val="es-ES_tradnl" w:eastAsia="es-MX"/>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31FF301E" w14:textId="77777777" w:rsidR="00824294" w:rsidRPr="00824294" w:rsidRDefault="00824294" w:rsidP="00824294">
      <w:pPr>
        <w:spacing w:after="120"/>
        <w:jc w:val="both"/>
        <w:rPr>
          <w:rFonts w:ascii="Arial" w:eastAsia="Calibri" w:hAnsi="Arial" w:cs="Arial"/>
          <w:color w:val="000000" w:themeColor="text1"/>
          <w:sz w:val="20"/>
          <w:szCs w:val="20"/>
          <w:lang w:val="es-ES_tradnl" w:eastAsia="es-MX"/>
        </w:rPr>
      </w:pPr>
      <w:r w:rsidRPr="00824294">
        <w:rPr>
          <w:rFonts w:ascii="Arial" w:eastAsia="Calibri" w:hAnsi="Arial" w:cs="Arial"/>
          <w:color w:val="000000" w:themeColor="text1"/>
          <w:sz w:val="20"/>
          <w:szCs w:val="20"/>
          <w:lang w:val="es-ES_tradnl" w:eastAsia="es-MX"/>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5E5CE6F" w14:textId="77777777" w:rsidR="00824294" w:rsidRPr="00824294" w:rsidRDefault="00824294" w:rsidP="00824294">
      <w:pPr>
        <w:spacing w:line="276" w:lineRule="auto"/>
        <w:jc w:val="both"/>
        <w:rPr>
          <w:rFonts w:ascii="Arial" w:eastAsia="Calibri" w:hAnsi="Arial" w:cs="Arial"/>
          <w:b/>
          <w:bCs/>
          <w:color w:val="000000" w:themeColor="text1"/>
          <w:sz w:val="22"/>
          <w:lang w:val="es-ES_tradnl" w:eastAsia="es-MX"/>
        </w:rPr>
      </w:pPr>
      <w:r w:rsidRPr="00824294">
        <w:rPr>
          <w:rFonts w:ascii="Arial" w:eastAsia="Calibri" w:hAnsi="Arial" w:cs="Arial"/>
          <w:b/>
          <w:bCs/>
          <w:color w:val="000000" w:themeColor="text1"/>
          <w:sz w:val="22"/>
          <w:lang w:val="es-ES_tradnl" w:eastAsia="es-MX"/>
        </w:rPr>
        <w:t xml:space="preserve">REQUISITOS HABILITANTES – Autonomía de la Voluntad </w:t>
      </w:r>
    </w:p>
    <w:p w14:paraId="7C2D4280" w14:textId="77777777" w:rsidR="00824294" w:rsidRPr="00824294" w:rsidRDefault="00824294" w:rsidP="00824294">
      <w:pPr>
        <w:ind w:right="709"/>
        <w:jc w:val="both"/>
        <w:rPr>
          <w:rFonts w:ascii="Arial" w:eastAsia="Calibri" w:hAnsi="Arial" w:cs="Arial"/>
          <w:color w:val="000000" w:themeColor="text1"/>
          <w:sz w:val="20"/>
          <w:szCs w:val="20"/>
          <w:lang w:val="es-ES_tradnl" w:eastAsia="es-MX"/>
        </w:rPr>
      </w:pPr>
    </w:p>
    <w:p w14:paraId="6F5D21F5" w14:textId="77777777" w:rsidR="00824294" w:rsidRPr="00824294" w:rsidRDefault="00824294" w:rsidP="00824294">
      <w:pPr>
        <w:spacing w:after="120"/>
        <w:jc w:val="both"/>
        <w:rPr>
          <w:rFonts w:ascii="Arial" w:eastAsia="Calibri" w:hAnsi="Arial" w:cs="Arial"/>
          <w:color w:val="000000" w:themeColor="text1"/>
          <w:sz w:val="20"/>
          <w:szCs w:val="20"/>
          <w:lang w:val="es-ES_tradnl" w:eastAsia="es-MX"/>
        </w:rPr>
      </w:pPr>
      <w:r w:rsidRPr="00824294">
        <w:rPr>
          <w:rFonts w:ascii="Arial" w:eastAsia="Times New Roman" w:hAnsi="Arial" w:cs="Arial"/>
          <w:color w:val="000000" w:themeColor="text1"/>
          <w:sz w:val="20"/>
          <w:szCs w:val="20"/>
          <w:lang w:val="es-ES_tradnl" w:eastAsia="es-MX"/>
        </w:rPr>
        <w:t xml:space="preserve">Una vez fijados los requisitos habilitantes por la entidad estatal, quienes presenten ofertas deben </w:t>
      </w:r>
      <w:r w:rsidRPr="00824294">
        <w:rPr>
          <w:rFonts w:ascii="Arial" w:eastAsia="Times New Roman" w:hAnsi="Arial" w:cs="Arial"/>
          <w:bCs/>
          <w:i/>
          <w:iCs/>
          <w:color w:val="000000" w:themeColor="text1"/>
          <w:sz w:val="20"/>
          <w:szCs w:val="20"/>
          <w:lang w:val="es-ES_tradnl" w:eastAsia="es-MX"/>
        </w:rPr>
        <w:t>acreditar</w:t>
      </w:r>
      <w:r w:rsidRPr="00824294">
        <w:rPr>
          <w:rFonts w:ascii="Arial" w:eastAsia="Times New Roman" w:hAnsi="Arial" w:cs="Arial"/>
          <w:color w:val="000000" w:themeColor="text1"/>
          <w:sz w:val="20"/>
          <w:szCs w:val="20"/>
          <w:lang w:val="es-ES_tradnl" w:eastAsia="es-MX"/>
        </w:rPr>
        <w:t xml:space="preserve"> que cumplen con los mismos, pues, en el evento contrario, las propuestas deberán ser rechazadas. </w:t>
      </w:r>
      <w:r w:rsidRPr="00824294">
        <w:rPr>
          <w:rFonts w:ascii="Arial" w:eastAsia="Calibri" w:hAnsi="Arial" w:cs="Arial"/>
          <w:color w:val="000000" w:themeColor="text1"/>
          <w:sz w:val="20"/>
          <w:szCs w:val="20"/>
          <w:lang w:val="es-ES_tradnl" w:eastAsia="es-MX"/>
        </w:rPr>
        <w:t xml:space="preserve">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 </w:t>
      </w:r>
    </w:p>
    <w:p w14:paraId="62EC9EC6" w14:textId="77777777" w:rsidR="00824294" w:rsidRPr="00824294" w:rsidRDefault="00824294" w:rsidP="00824294">
      <w:pPr>
        <w:spacing w:before="120" w:after="120"/>
        <w:contextualSpacing/>
        <w:jc w:val="both"/>
        <w:rPr>
          <w:sz w:val="20"/>
          <w:szCs w:val="20"/>
          <w:lang w:val="es-MX"/>
        </w:rPr>
      </w:pPr>
      <w:r w:rsidRPr="00824294">
        <w:rPr>
          <w:rFonts w:ascii="Arial" w:eastAsia="Calibri" w:hAnsi="Arial" w:cs="Arial"/>
          <w:color w:val="000000" w:themeColor="text1"/>
          <w:sz w:val="20"/>
          <w:szCs w:val="20"/>
          <w:lang w:val="es-ES_tradnl"/>
        </w:rPr>
        <w:t xml:space="preserve">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 </w:t>
      </w:r>
      <w:r w:rsidRPr="00824294">
        <w:rPr>
          <w:rFonts w:ascii="Arial" w:hAnsi="Arial" w:cs="Arial"/>
          <w:sz w:val="20"/>
          <w:szCs w:val="20"/>
          <w:lang w:val="es-MX"/>
        </w:rPr>
        <w:t>Uno de los criterios relevantes para el presente concepto es la capacidad financiera, la cual se explicará a continuación.</w:t>
      </w:r>
    </w:p>
    <w:p w14:paraId="2A940BFD"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0C9CBEA2" w14:textId="77777777" w:rsidR="00824294" w:rsidRPr="00824294" w:rsidRDefault="00824294" w:rsidP="00824294">
      <w:pPr>
        <w:spacing w:line="276" w:lineRule="auto"/>
        <w:rPr>
          <w:rFonts w:ascii="Arial" w:eastAsia="Calibri" w:hAnsi="Arial" w:cs="Arial"/>
          <w:b/>
          <w:color w:val="000000" w:themeColor="text1"/>
          <w:sz w:val="22"/>
          <w:lang w:eastAsia="es-MX"/>
        </w:rPr>
      </w:pPr>
      <w:r w:rsidRPr="00824294">
        <w:rPr>
          <w:rFonts w:ascii="Arial" w:eastAsia="Calibri" w:hAnsi="Arial" w:cs="Arial"/>
          <w:b/>
          <w:color w:val="000000" w:themeColor="text1"/>
          <w:sz w:val="22"/>
          <w:lang w:eastAsia="es-MX"/>
        </w:rPr>
        <w:t xml:space="preserve">CAPACIDAD FINANCIERA – Definición </w:t>
      </w:r>
    </w:p>
    <w:p w14:paraId="7449F888" w14:textId="77777777" w:rsidR="00824294" w:rsidRPr="00824294" w:rsidRDefault="00824294" w:rsidP="00824294">
      <w:pPr>
        <w:spacing w:line="276" w:lineRule="auto"/>
        <w:rPr>
          <w:rFonts w:ascii="Arial" w:eastAsia="Calibri" w:hAnsi="Arial" w:cs="Arial"/>
          <w:b/>
          <w:color w:val="000000" w:themeColor="text1"/>
          <w:sz w:val="20"/>
          <w:szCs w:val="20"/>
          <w:lang w:eastAsia="es-MX"/>
        </w:rPr>
      </w:pPr>
    </w:p>
    <w:p w14:paraId="54D075A3" w14:textId="77777777" w:rsidR="00824294" w:rsidRPr="00824294" w:rsidRDefault="00824294" w:rsidP="00824294">
      <w:pPr>
        <w:spacing w:after="120"/>
        <w:jc w:val="both"/>
        <w:rPr>
          <w:rFonts w:ascii="Arial" w:eastAsia="Calibri" w:hAnsi="Arial" w:cs="Arial"/>
          <w:color w:val="000000" w:themeColor="text1"/>
          <w:sz w:val="20"/>
          <w:szCs w:val="20"/>
          <w:lang w:val="es-ES_tradnl" w:eastAsia="es-MX"/>
        </w:rPr>
      </w:pPr>
      <w:r w:rsidRPr="00824294">
        <w:rPr>
          <w:rFonts w:ascii="Arial" w:eastAsia="Calibri" w:hAnsi="Arial" w:cs="Arial"/>
          <w:color w:val="000000" w:themeColor="text1"/>
          <w:sz w:val="20"/>
          <w:szCs w:val="20"/>
          <w:lang w:val="es-ES_tradnl" w:eastAsia="es-MX"/>
        </w:rPr>
        <w:t xml:space="preserve">La </w:t>
      </w:r>
      <w:r w:rsidRPr="00824294">
        <w:rPr>
          <w:rFonts w:ascii="Arial" w:eastAsia="Calibri" w:hAnsi="Arial" w:cs="Arial"/>
          <w:bCs/>
          <w:i/>
          <w:iCs/>
          <w:color w:val="000000" w:themeColor="text1"/>
          <w:sz w:val="20"/>
          <w:szCs w:val="20"/>
          <w:lang w:val="es-ES_tradnl" w:eastAsia="es-MX"/>
        </w:rPr>
        <w:t>capacidad financiera</w:t>
      </w:r>
      <w:r w:rsidRPr="00824294">
        <w:rPr>
          <w:rFonts w:ascii="Arial" w:eastAsia="Calibri" w:hAnsi="Arial" w:cs="Arial"/>
          <w:i/>
          <w:iCs/>
          <w:color w:val="000000" w:themeColor="text1"/>
          <w:sz w:val="20"/>
          <w:szCs w:val="20"/>
          <w:lang w:val="es-ES_tradnl" w:eastAsia="es-MX"/>
        </w:rPr>
        <w:t xml:space="preserve"> </w:t>
      </w:r>
      <w:r w:rsidRPr="00824294">
        <w:rPr>
          <w:rFonts w:ascii="Arial" w:eastAsia="Calibri" w:hAnsi="Arial" w:cs="Arial"/>
          <w:color w:val="000000" w:themeColor="text1"/>
          <w:sz w:val="20"/>
          <w:szCs w:val="20"/>
          <w:lang w:val="es-ES_tradnl" w:eastAsia="es-MX"/>
        </w:rPr>
        <w:t xml:space="preserve">se determina a través de la liquidez y el endeudamiento de los proponentes. Esta busca establecer condiciones mínimas en relación con la «salud financiera»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 </w:t>
      </w:r>
    </w:p>
    <w:p w14:paraId="5C3DCE59" w14:textId="77777777" w:rsidR="00824294" w:rsidRPr="00824294" w:rsidRDefault="00824294" w:rsidP="00824294">
      <w:pPr>
        <w:rPr>
          <w:rFonts w:ascii="Arial" w:eastAsia="Calibri" w:hAnsi="Arial" w:cs="Arial"/>
          <w:b/>
          <w:color w:val="000000" w:themeColor="text1"/>
          <w:sz w:val="22"/>
          <w:lang w:eastAsia="es-MX"/>
        </w:rPr>
      </w:pPr>
    </w:p>
    <w:p w14:paraId="4A2207E5" w14:textId="77777777" w:rsidR="00824294" w:rsidRPr="00824294" w:rsidRDefault="00824294" w:rsidP="00824294">
      <w:pPr>
        <w:spacing w:line="276" w:lineRule="auto"/>
        <w:rPr>
          <w:rFonts w:ascii="Arial" w:eastAsia="Calibri" w:hAnsi="Arial" w:cs="Arial"/>
          <w:b/>
          <w:color w:val="000000" w:themeColor="text1"/>
          <w:sz w:val="22"/>
          <w:lang w:eastAsia="es-MX"/>
        </w:rPr>
      </w:pPr>
      <w:r w:rsidRPr="00824294">
        <w:rPr>
          <w:rFonts w:ascii="Arial" w:eastAsia="Calibri" w:hAnsi="Arial" w:cs="Arial"/>
          <w:b/>
          <w:color w:val="000000" w:themeColor="text1"/>
          <w:sz w:val="22"/>
          <w:lang w:eastAsia="es-MX"/>
        </w:rPr>
        <w:t xml:space="preserve">CAPACIDAD FINANCIERA – Uso de indicadores – medio de prueba </w:t>
      </w:r>
    </w:p>
    <w:p w14:paraId="1695B4AF" w14:textId="77777777" w:rsidR="00824294" w:rsidRPr="00824294" w:rsidRDefault="00824294" w:rsidP="00824294">
      <w:pPr>
        <w:spacing w:before="120"/>
        <w:jc w:val="both"/>
        <w:rPr>
          <w:rFonts w:ascii="Arial" w:eastAsia="Calibri" w:hAnsi="Arial" w:cs="Arial"/>
          <w:color w:val="000000" w:themeColor="text1"/>
          <w:sz w:val="20"/>
          <w:szCs w:val="20"/>
          <w:lang w:val="es-ES_tradnl" w:eastAsia="es-MX"/>
        </w:rPr>
      </w:pPr>
      <w:r w:rsidRPr="00824294">
        <w:rPr>
          <w:rFonts w:ascii="Arial" w:eastAsia="Calibri" w:hAnsi="Arial" w:cs="Arial"/>
          <w:color w:val="000000" w:themeColor="text1"/>
          <w:sz w:val="20"/>
          <w:szCs w:val="20"/>
          <w:lang w:val="es-ES_tradnl" w:eastAsia="es-MX"/>
        </w:rPr>
        <w:lastRenderedPageBreak/>
        <w:t xml:space="preserve">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824294">
        <w:rPr>
          <w:rFonts w:ascii="Arial" w:eastAsia="Calibri" w:hAnsi="Arial" w:cs="Arial"/>
          <w:i/>
          <w:iCs/>
          <w:color w:val="000000" w:themeColor="text1"/>
          <w:sz w:val="20"/>
          <w:szCs w:val="20"/>
          <w:lang w:val="es-ES_tradnl" w:eastAsia="es-MX"/>
        </w:rPr>
        <w:t>índice de liquidez</w:t>
      </w:r>
      <w:r w:rsidRPr="00824294">
        <w:rPr>
          <w:rFonts w:ascii="Arial" w:eastAsia="Calibri" w:hAnsi="Arial" w:cs="Arial"/>
          <w:color w:val="000000" w:themeColor="text1"/>
          <w:sz w:val="20"/>
          <w:szCs w:val="20"/>
          <w:lang w:val="es-ES_tradnl" w:eastAsia="es-MX"/>
        </w:rPr>
        <w:t xml:space="preserve">, que corresponde a la división entre el activo corriente y el pasivo corriente, y que determina la capacidad que tiene el proponente para cumplir con sus obligaciones de corto plazo; ii) el </w:t>
      </w:r>
      <w:r w:rsidRPr="00824294">
        <w:rPr>
          <w:rFonts w:ascii="Arial" w:eastAsia="Calibri" w:hAnsi="Arial" w:cs="Arial"/>
          <w:i/>
          <w:iCs/>
          <w:color w:val="000000" w:themeColor="text1"/>
          <w:sz w:val="20"/>
          <w:szCs w:val="20"/>
          <w:lang w:val="es-ES_tradnl" w:eastAsia="es-MX"/>
        </w:rPr>
        <w:t>índice de endeudamiento</w:t>
      </w:r>
      <w:r w:rsidRPr="00824294">
        <w:rPr>
          <w:rFonts w:ascii="Arial" w:eastAsia="Calibri" w:hAnsi="Arial" w:cs="Arial"/>
          <w:color w:val="000000" w:themeColor="text1"/>
          <w:sz w:val="20"/>
          <w:szCs w:val="20"/>
          <w:lang w:val="es-ES_tradnl" w:eastAsia="es-MX"/>
        </w:rPr>
        <w:t xml:space="preserve">, que se calcula dividiendo el pasivo total por el activo total, el cual determina el grado de endeudamiento en la estructura de financiación del proponente; y iii) la </w:t>
      </w:r>
      <w:r w:rsidRPr="00824294">
        <w:rPr>
          <w:rFonts w:ascii="Arial" w:eastAsia="Calibri" w:hAnsi="Arial" w:cs="Arial"/>
          <w:i/>
          <w:iCs/>
          <w:color w:val="000000" w:themeColor="text1"/>
          <w:sz w:val="20"/>
          <w:szCs w:val="20"/>
          <w:lang w:val="es-ES_tradnl" w:eastAsia="es-MX"/>
        </w:rPr>
        <w:t>razón de cobertura de intereses</w:t>
      </w:r>
      <w:r w:rsidRPr="00824294">
        <w:rPr>
          <w:rFonts w:ascii="Arial" w:eastAsia="Calibri" w:hAnsi="Arial" w:cs="Arial"/>
          <w:color w:val="000000" w:themeColor="text1"/>
          <w:sz w:val="20"/>
          <w:szCs w:val="20"/>
          <w:lang w:val="es-ES_tradnl" w:eastAsia="es-MX"/>
        </w:rPr>
        <w:t xml:space="preserve">, que es igual a la utilidad operacional, sobre los gastos de intereses, y que refleja la capacidad del proponente para cumplir con sus obligaciones financieras. Adicionalmente, Colombia Compra Eficiente recomienda valorar otro tipo de indicadores como el </w:t>
      </w:r>
      <w:r w:rsidRPr="00824294">
        <w:rPr>
          <w:rFonts w:ascii="Arial" w:eastAsia="Calibri" w:hAnsi="Arial" w:cs="Arial"/>
          <w:i/>
          <w:iCs/>
          <w:color w:val="000000" w:themeColor="text1"/>
          <w:sz w:val="20"/>
          <w:szCs w:val="20"/>
          <w:lang w:val="es-ES_tradnl" w:eastAsia="es-MX"/>
        </w:rPr>
        <w:t>capital de trabajo</w:t>
      </w:r>
      <w:r w:rsidRPr="00824294">
        <w:rPr>
          <w:rFonts w:ascii="Arial" w:eastAsia="Calibri" w:hAnsi="Arial" w:cs="Arial"/>
          <w:color w:val="000000" w:themeColor="text1"/>
          <w:sz w:val="20"/>
          <w:szCs w:val="20"/>
          <w:lang w:val="es-ES_tradnl" w:eastAsia="es-MX"/>
        </w:rPr>
        <w:t xml:space="preserve">, la </w:t>
      </w:r>
      <w:r w:rsidRPr="00824294">
        <w:rPr>
          <w:rFonts w:ascii="Arial" w:eastAsia="Calibri" w:hAnsi="Arial" w:cs="Arial"/>
          <w:i/>
          <w:iCs/>
          <w:color w:val="000000" w:themeColor="text1"/>
          <w:sz w:val="20"/>
          <w:szCs w:val="20"/>
          <w:lang w:val="es-ES_tradnl" w:eastAsia="es-MX"/>
        </w:rPr>
        <w:t>razón de efectivo</w:t>
      </w:r>
      <w:r w:rsidRPr="00824294">
        <w:rPr>
          <w:rFonts w:ascii="Arial" w:eastAsia="Calibri" w:hAnsi="Arial" w:cs="Arial"/>
          <w:color w:val="000000" w:themeColor="text1"/>
          <w:sz w:val="20"/>
          <w:szCs w:val="20"/>
          <w:lang w:val="es-ES_tradnl" w:eastAsia="es-MX"/>
        </w:rPr>
        <w:t xml:space="preserve">, la denominada </w:t>
      </w:r>
      <w:r w:rsidRPr="00824294">
        <w:rPr>
          <w:rFonts w:ascii="Arial" w:eastAsia="Calibri" w:hAnsi="Arial" w:cs="Arial"/>
          <w:i/>
          <w:iCs/>
          <w:color w:val="000000" w:themeColor="text1"/>
          <w:sz w:val="20"/>
          <w:szCs w:val="20"/>
          <w:lang w:val="es-ES_tradnl" w:eastAsia="es-MX"/>
        </w:rPr>
        <w:t>prueba ácida</w:t>
      </w:r>
      <w:r w:rsidRPr="00824294">
        <w:rPr>
          <w:rFonts w:ascii="Arial" w:eastAsia="Calibri" w:hAnsi="Arial" w:cs="Arial"/>
          <w:color w:val="000000" w:themeColor="text1"/>
          <w:sz w:val="20"/>
          <w:szCs w:val="20"/>
          <w:lang w:val="es-ES_tradnl" w:eastAsia="es-MX"/>
        </w:rPr>
        <w:t xml:space="preserve">, la </w:t>
      </w:r>
      <w:r w:rsidRPr="00824294">
        <w:rPr>
          <w:rFonts w:ascii="Arial" w:eastAsia="Calibri" w:hAnsi="Arial" w:cs="Arial"/>
          <w:i/>
          <w:iCs/>
          <w:color w:val="000000" w:themeColor="text1"/>
          <w:sz w:val="20"/>
          <w:szCs w:val="20"/>
          <w:lang w:val="es-ES_tradnl" w:eastAsia="es-MX"/>
        </w:rPr>
        <w:t xml:space="preserve">concentración de endeudamiento a corto </w:t>
      </w:r>
      <w:r w:rsidRPr="00824294">
        <w:rPr>
          <w:rFonts w:ascii="Arial" w:eastAsia="Calibri" w:hAnsi="Arial" w:cs="Arial"/>
          <w:color w:val="000000" w:themeColor="text1"/>
          <w:sz w:val="20"/>
          <w:szCs w:val="20"/>
          <w:lang w:val="es-ES_tradnl" w:eastAsia="es-MX"/>
        </w:rPr>
        <w:t>y</w:t>
      </w:r>
      <w:r w:rsidRPr="00824294">
        <w:rPr>
          <w:rFonts w:ascii="Arial" w:eastAsia="Calibri" w:hAnsi="Arial" w:cs="Arial"/>
          <w:i/>
          <w:iCs/>
          <w:color w:val="000000" w:themeColor="text1"/>
          <w:sz w:val="20"/>
          <w:szCs w:val="20"/>
          <w:lang w:val="es-ES_tradnl" w:eastAsia="es-MX"/>
        </w:rPr>
        <w:t xml:space="preserve"> a largo plazo</w:t>
      </w:r>
      <w:r w:rsidRPr="00824294">
        <w:rPr>
          <w:rFonts w:ascii="Arial" w:eastAsia="Calibri" w:hAnsi="Arial" w:cs="Arial"/>
          <w:color w:val="000000" w:themeColor="text1"/>
          <w:sz w:val="20"/>
          <w:szCs w:val="20"/>
          <w:lang w:val="es-ES_tradnl" w:eastAsia="es-MX"/>
        </w:rPr>
        <w:t xml:space="preserve"> y el </w:t>
      </w:r>
      <w:r w:rsidRPr="00824294">
        <w:rPr>
          <w:rFonts w:ascii="Arial" w:eastAsia="Calibri" w:hAnsi="Arial" w:cs="Arial"/>
          <w:i/>
          <w:iCs/>
          <w:color w:val="000000" w:themeColor="text1"/>
          <w:sz w:val="20"/>
          <w:szCs w:val="20"/>
          <w:lang w:val="es-ES_tradnl" w:eastAsia="es-MX"/>
        </w:rPr>
        <w:t>patrimonio</w:t>
      </w:r>
      <w:r w:rsidRPr="00824294">
        <w:rPr>
          <w:rFonts w:ascii="Arial" w:eastAsia="Calibri" w:hAnsi="Arial" w:cs="Arial"/>
          <w:color w:val="000000" w:themeColor="text1"/>
          <w:sz w:val="20"/>
          <w:szCs w:val="20"/>
          <w:lang w:val="es-ES_tradnl" w:eastAsia="es-MX"/>
        </w:rPr>
        <w:t>.</w:t>
      </w:r>
    </w:p>
    <w:p w14:paraId="084164E9" w14:textId="77777777" w:rsidR="00824294" w:rsidRPr="00824294" w:rsidRDefault="00824294" w:rsidP="00824294">
      <w:pPr>
        <w:tabs>
          <w:tab w:val="left" w:pos="0"/>
        </w:tabs>
        <w:spacing w:line="276" w:lineRule="auto"/>
        <w:jc w:val="both"/>
        <w:rPr>
          <w:rFonts w:ascii="Arial" w:eastAsia="Calibri" w:hAnsi="Arial" w:cs="Arial"/>
          <w:b/>
          <w:color w:val="000000" w:themeColor="text1"/>
          <w:sz w:val="22"/>
          <w:lang w:val="es-ES_tradnl" w:eastAsia="es-MX"/>
        </w:rPr>
      </w:pPr>
    </w:p>
    <w:p w14:paraId="4FC8EF1F"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6A8A661B"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5A7BFE96"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61E2A618"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4F0ACC3F"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6C4A6B72"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7E08D717"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3430961A"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46FB29F4"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2C854C8F"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10D6D867"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1D38A1B7"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20A0A919"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4E83DFB9"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342AAC87"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6429753B"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25834F7F"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398D86AA"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05740533"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4EF8160C"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1E729DC2"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2E1AD553"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56768D52"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1D185729"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49D4879A"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7962F243"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63F4F3F1"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473F4B47"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6237BDC1"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0F778296" w14:textId="77777777" w:rsidR="00824294" w:rsidRPr="00824294" w:rsidRDefault="00824294" w:rsidP="00824294">
      <w:pPr>
        <w:spacing w:line="276" w:lineRule="auto"/>
        <w:rPr>
          <w:rFonts w:ascii="Arial" w:eastAsia="Calibri" w:hAnsi="Arial" w:cs="Arial"/>
          <w:b/>
          <w:color w:val="000000" w:themeColor="text1"/>
          <w:sz w:val="22"/>
          <w:lang w:eastAsia="es-MX"/>
        </w:rPr>
      </w:pPr>
    </w:p>
    <w:p w14:paraId="76D9766D" w14:textId="77777777" w:rsidR="00824294" w:rsidRPr="00824294" w:rsidRDefault="00824294" w:rsidP="00824294">
      <w:pPr>
        <w:jc w:val="right"/>
        <w:rPr>
          <w:rFonts w:ascii="Times New Roman" w:eastAsia="Times New Roman" w:hAnsi="Times New Roman" w:cs="Times New Roman"/>
          <w:lang w:eastAsia="es-MX"/>
        </w:rPr>
      </w:pPr>
      <w:r w:rsidRPr="00824294">
        <w:rPr>
          <w:rFonts w:ascii="Times New Roman" w:eastAsia="Times New Roman" w:hAnsi="Times New Roman" w:cs="Times New Roman"/>
          <w:lang w:eastAsia="es-MX"/>
        </w:rPr>
        <w:fldChar w:fldCharType="begin"/>
      </w:r>
      <w:r w:rsidRPr="00824294">
        <w:rPr>
          <w:rFonts w:ascii="Times New Roman" w:eastAsia="Times New Roman" w:hAnsi="Times New Roman" w:cs="Times New Roman"/>
          <w:lang w:eastAsia="es-MX"/>
        </w:rPr>
        <w:instrText xml:space="preserve"> INCLUDEPICTURE "/var/folders/tb/0fmk9b510f57pz5rwhv8lnpw0000gp/T/com.microsoft.Word/WebArchiveCopyPasteTempFiles/page1image3250776208" \* MERGEFORMATINET </w:instrText>
      </w:r>
      <w:r w:rsidRPr="00824294">
        <w:rPr>
          <w:rFonts w:ascii="Times New Roman" w:eastAsia="Times New Roman" w:hAnsi="Times New Roman" w:cs="Times New Roman"/>
          <w:lang w:eastAsia="es-MX"/>
        </w:rPr>
        <w:fldChar w:fldCharType="separate"/>
      </w:r>
      <w:r w:rsidRPr="00824294">
        <w:rPr>
          <w:rFonts w:ascii="Times New Roman" w:eastAsia="Times New Roman" w:hAnsi="Times New Roman" w:cs="Times New Roman"/>
          <w:noProof/>
          <w:lang w:eastAsia="es-MX"/>
        </w:rPr>
        <w:drawing>
          <wp:inline distT="0" distB="0" distL="0" distR="0" wp14:anchorId="422D0CB5" wp14:editId="554D4256">
            <wp:extent cx="2393315" cy="603250"/>
            <wp:effectExtent l="0" t="0" r="0" b="6350"/>
            <wp:docPr id="4" name="Imagen 4" descr="page1image325077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25077620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3315" cy="603250"/>
                    </a:xfrm>
                    <a:prstGeom prst="rect">
                      <a:avLst/>
                    </a:prstGeom>
                    <a:noFill/>
                    <a:ln>
                      <a:noFill/>
                    </a:ln>
                  </pic:spPr>
                </pic:pic>
              </a:graphicData>
            </a:graphic>
          </wp:inline>
        </w:drawing>
      </w:r>
      <w:r w:rsidRPr="00824294">
        <w:rPr>
          <w:rFonts w:ascii="Times New Roman" w:eastAsia="Times New Roman" w:hAnsi="Times New Roman" w:cs="Times New Roman"/>
          <w:lang w:eastAsia="es-MX"/>
        </w:rPr>
        <w:fldChar w:fldCharType="end"/>
      </w:r>
    </w:p>
    <w:p w14:paraId="0FA12DCF" w14:textId="77777777" w:rsidR="00824294" w:rsidRPr="00824294" w:rsidRDefault="00824294" w:rsidP="00824294">
      <w:pPr>
        <w:spacing w:line="276" w:lineRule="auto"/>
        <w:jc w:val="right"/>
        <w:rPr>
          <w:rFonts w:ascii="Arial" w:eastAsia="Times New Roman" w:hAnsi="Arial" w:cs="Arial"/>
          <w:b/>
          <w:bCs/>
          <w:sz w:val="22"/>
          <w:lang w:eastAsia="es-MX"/>
        </w:rPr>
      </w:pPr>
    </w:p>
    <w:p w14:paraId="35671B91" w14:textId="77777777" w:rsidR="00824294" w:rsidRPr="00824294" w:rsidRDefault="00824294" w:rsidP="00824294">
      <w:pPr>
        <w:spacing w:line="276" w:lineRule="auto"/>
        <w:jc w:val="right"/>
        <w:rPr>
          <w:rFonts w:ascii="Arial" w:eastAsia="Times New Roman" w:hAnsi="Arial" w:cs="Arial"/>
          <w:b/>
          <w:bCs/>
          <w:sz w:val="22"/>
          <w:lang w:eastAsia="es-MX"/>
        </w:rPr>
      </w:pPr>
    </w:p>
    <w:p w14:paraId="4F995A73" w14:textId="77777777" w:rsidR="00824294" w:rsidRPr="00824294" w:rsidRDefault="00824294" w:rsidP="00824294">
      <w:pPr>
        <w:rPr>
          <w:rFonts w:ascii="Arial" w:eastAsia="Calibri" w:hAnsi="Arial" w:cs="Arial"/>
          <w:color w:val="000000" w:themeColor="text1"/>
          <w:sz w:val="22"/>
          <w:lang w:eastAsia="es-MX"/>
        </w:rPr>
      </w:pPr>
      <w:r w:rsidRPr="00824294">
        <w:rPr>
          <w:rFonts w:ascii="Arial" w:eastAsia="Calibri" w:hAnsi="Arial" w:cs="Arial"/>
          <w:color w:val="000000" w:themeColor="text1"/>
          <w:sz w:val="22"/>
          <w:lang w:eastAsia="es-MX"/>
        </w:rPr>
        <w:t>Señora</w:t>
      </w:r>
    </w:p>
    <w:p w14:paraId="492FC046" w14:textId="77777777" w:rsidR="00824294" w:rsidRPr="00824294" w:rsidRDefault="00824294" w:rsidP="00824294">
      <w:pPr>
        <w:rPr>
          <w:rFonts w:ascii="Arial" w:eastAsia="Calibri" w:hAnsi="Arial" w:cs="Arial"/>
          <w:b/>
          <w:bCs/>
          <w:color w:val="000000" w:themeColor="text1"/>
          <w:sz w:val="22"/>
          <w:lang w:eastAsia="es-MX"/>
        </w:rPr>
      </w:pPr>
      <w:r w:rsidRPr="00824294">
        <w:rPr>
          <w:rFonts w:ascii="Arial" w:eastAsia="Calibri" w:hAnsi="Arial" w:cs="Arial"/>
          <w:b/>
          <w:bCs/>
          <w:color w:val="000000" w:themeColor="text1"/>
          <w:sz w:val="22"/>
          <w:lang w:eastAsia="es-MX"/>
        </w:rPr>
        <w:t>XXXX</w:t>
      </w:r>
    </w:p>
    <w:p w14:paraId="47F016BE" w14:textId="77777777" w:rsidR="00824294" w:rsidRPr="00824294" w:rsidRDefault="00824294" w:rsidP="00824294">
      <w:pPr>
        <w:rPr>
          <w:rFonts w:ascii="Arial" w:eastAsia="Calibri" w:hAnsi="Arial" w:cs="Arial"/>
          <w:color w:val="000000" w:themeColor="text1"/>
          <w:sz w:val="22"/>
          <w:lang w:eastAsia="es-MX"/>
        </w:rPr>
      </w:pPr>
      <w:r w:rsidRPr="00824294">
        <w:rPr>
          <w:rFonts w:ascii="Arial" w:eastAsia="Calibri" w:hAnsi="Arial" w:cs="Arial"/>
          <w:color w:val="000000" w:themeColor="text1"/>
          <w:sz w:val="22"/>
          <w:lang w:eastAsia="es-MX"/>
        </w:rPr>
        <w:t xml:space="preserve">Bogotá D.C </w:t>
      </w:r>
    </w:p>
    <w:p w14:paraId="60A564A4" w14:textId="77777777" w:rsidR="00824294" w:rsidRPr="00824294" w:rsidRDefault="00824294" w:rsidP="00824294">
      <w:pPr>
        <w:rPr>
          <w:rFonts w:ascii="Arial" w:eastAsia="Calibri" w:hAnsi="Arial" w:cs="Arial"/>
          <w:color w:val="000000" w:themeColor="text1"/>
          <w:sz w:val="22"/>
          <w:lang w:eastAsia="es-MX"/>
        </w:rPr>
      </w:pPr>
    </w:p>
    <w:p w14:paraId="4412DDD1" w14:textId="77777777" w:rsidR="00824294" w:rsidRPr="00824294" w:rsidRDefault="00824294" w:rsidP="00824294">
      <w:pPr>
        <w:rPr>
          <w:rFonts w:ascii="Arial" w:eastAsia="Calibri" w:hAnsi="Arial" w:cs="Arial"/>
          <w:b/>
          <w:color w:val="000000" w:themeColor="text1"/>
          <w:sz w:val="22"/>
          <w:lang w:eastAsia="es-MX"/>
        </w:rPr>
      </w:pPr>
    </w:p>
    <w:p w14:paraId="22D46688" w14:textId="77777777" w:rsidR="00824294" w:rsidRPr="00824294" w:rsidRDefault="00824294" w:rsidP="00824294">
      <w:pPr>
        <w:rPr>
          <w:rFonts w:ascii="Arial" w:eastAsia="Calibri" w:hAnsi="Arial" w:cs="Arial"/>
          <w:b/>
          <w:color w:val="000000" w:themeColor="text1"/>
          <w:sz w:val="22"/>
          <w:lang w:eastAsia="es-MX"/>
        </w:rPr>
      </w:pPr>
      <w:r w:rsidRPr="00824294">
        <w:rPr>
          <w:rFonts w:ascii="Arial" w:eastAsia="Calibri" w:hAnsi="Arial" w:cs="Arial"/>
          <w:b/>
          <w:color w:val="000000" w:themeColor="text1"/>
          <w:sz w:val="22"/>
          <w:lang w:eastAsia="es-MX"/>
        </w:rPr>
        <w:t xml:space="preserve">                                            Concepto C – 387 de 2021 </w:t>
      </w:r>
    </w:p>
    <w:p w14:paraId="496E2D72" w14:textId="77777777" w:rsidR="00824294" w:rsidRPr="00824294" w:rsidRDefault="00824294" w:rsidP="00824294">
      <w:pPr>
        <w:jc w:val="center"/>
        <w:rPr>
          <w:rFonts w:ascii="Arial" w:eastAsia="Calibri" w:hAnsi="Arial" w:cs="Arial"/>
          <w:b/>
          <w:color w:val="000000" w:themeColor="text1"/>
          <w:sz w:val="22"/>
          <w:lang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24294" w:rsidRPr="00824294" w14:paraId="79E2A69A" w14:textId="77777777" w:rsidTr="00145C1D">
        <w:trPr>
          <w:trHeight w:val="920"/>
        </w:trPr>
        <w:tc>
          <w:tcPr>
            <w:tcW w:w="2689" w:type="dxa"/>
          </w:tcPr>
          <w:p w14:paraId="22D2578A" w14:textId="77777777" w:rsidR="00824294" w:rsidRPr="00824294" w:rsidRDefault="00824294" w:rsidP="00824294">
            <w:pPr>
              <w:rPr>
                <w:rFonts w:ascii="Arial" w:eastAsia="Calibri" w:hAnsi="Arial" w:cs="Arial"/>
                <w:color w:val="000000" w:themeColor="text1"/>
                <w:lang w:eastAsia="es-MX"/>
              </w:rPr>
            </w:pPr>
            <w:r w:rsidRPr="00824294">
              <w:rPr>
                <w:rFonts w:ascii="Arial" w:eastAsia="Calibri" w:hAnsi="Arial" w:cs="Arial"/>
                <w:b/>
                <w:color w:val="000000" w:themeColor="text1"/>
                <w:lang w:eastAsia="es-MX"/>
              </w:rPr>
              <w:t>Temas:</w:t>
            </w:r>
            <w:r w:rsidRPr="00824294">
              <w:rPr>
                <w:rFonts w:ascii="Arial" w:eastAsia="Calibri" w:hAnsi="Arial" w:cs="Arial"/>
                <w:color w:val="000000" w:themeColor="text1"/>
                <w:lang w:eastAsia="es-MX"/>
              </w:rPr>
              <w:t xml:space="preserve">                                      </w:t>
            </w:r>
          </w:p>
        </w:tc>
        <w:tc>
          <w:tcPr>
            <w:tcW w:w="6237" w:type="dxa"/>
          </w:tcPr>
          <w:p w14:paraId="7A751CE6" w14:textId="77777777" w:rsidR="00824294" w:rsidRPr="00824294" w:rsidRDefault="00824294" w:rsidP="00824294">
            <w:pPr>
              <w:spacing w:after="120" w:line="276" w:lineRule="auto"/>
              <w:jc w:val="both"/>
              <w:rPr>
                <w:rFonts w:ascii="Arial" w:eastAsia="Calibri" w:hAnsi="Arial" w:cs="Arial"/>
                <w:bCs/>
                <w:color w:val="000000" w:themeColor="text1"/>
                <w:lang w:eastAsia="es-MX"/>
              </w:rPr>
            </w:pPr>
            <w:r w:rsidRPr="00824294">
              <w:rPr>
                <w:rFonts w:ascii="Arial" w:eastAsia="Calibri" w:hAnsi="Arial" w:cs="Arial"/>
                <w:bCs/>
                <w:color w:val="000000" w:themeColor="text1"/>
                <w:lang w:eastAsia="es-MX"/>
              </w:rPr>
              <w:t>REQUISITOS HABILITANTES – Noción / REQUISITOS HABILITANTES – Autonomía de la Voluntad / CAPACIDAD FINANCIERA – Definición / CAPACIDAD FINANCIERA –Uso de Indicadores – Medio de Prueba</w:t>
            </w:r>
          </w:p>
        </w:tc>
      </w:tr>
      <w:tr w:rsidR="00824294" w:rsidRPr="00824294" w14:paraId="440D2FDB" w14:textId="77777777" w:rsidTr="00145C1D">
        <w:tc>
          <w:tcPr>
            <w:tcW w:w="2689" w:type="dxa"/>
          </w:tcPr>
          <w:p w14:paraId="071E5650" w14:textId="77777777" w:rsidR="00824294" w:rsidRPr="00824294" w:rsidRDefault="00824294" w:rsidP="00824294">
            <w:pPr>
              <w:rPr>
                <w:rFonts w:ascii="Arial" w:eastAsia="Calibri" w:hAnsi="Arial" w:cs="Arial"/>
                <w:color w:val="000000" w:themeColor="text1"/>
                <w:lang w:eastAsia="es-MX"/>
              </w:rPr>
            </w:pPr>
            <w:r w:rsidRPr="00824294">
              <w:rPr>
                <w:rFonts w:ascii="Arial" w:eastAsia="Calibri" w:hAnsi="Arial" w:cs="Arial"/>
                <w:b/>
                <w:color w:val="000000" w:themeColor="text1"/>
                <w:lang w:eastAsia="es-MX"/>
              </w:rPr>
              <w:t>Radicación:</w:t>
            </w:r>
            <w:r w:rsidRPr="00824294">
              <w:rPr>
                <w:rFonts w:ascii="Arial" w:eastAsia="Calibri" w:hAnsi="Arial" w:cs="Arial"/>
                <w:color w:val="000000" w:themeColor="text1"/>
                <w:lang w:eastAsia="es-MX"/>
              </w:rPr>
              <w:t xml:space="preserve">                              </w:t>
            </w:r>
          </w:p>
        </w:tc>
        <w:tc>
          <w:tcPr>
            <w:tcW w:w="6237" w:type="dxa"/>
          </w:tcPr>
          <w:p w14:paraId="31E1F1FC" w14:textId="77777777" w:rsidR="00824294" w:rsidRPr="00824294" w:rsidRDefault="00824294" w:rsidP="00824294">
            <w:pPr>
              <w:rPr>
                <w:rFonts w:ascii="Arial" w:eastAsia="Calibri" w:hAnsi="Arial" w:cs="Arial"/>
                <w:color w:val="000000" w:themeColor="text1"/>
                <w:lang w:eastAsia="es-MX"/>
              </w:rPr>
            </w:pPr>
            <w:r w:rsidRPr="00824294">
              <w:rPr>
                <w:rFonts w:ascii="Arial" w:eastAsia="Calibri" w:hAnsi="Arial" w:cs="Arial"/>
                <w:color w:val="000000" w:themeColor="text1"/>
                <w:lang w:eastAsia="es-MX"/>
              </w:rPr>
              <w:t>Respuesta a consulta P20210618005350</w:t>
            </w:r>
          </w:p>
        </w:tc>
      </w:tr>
    </w:tbl>
    <w:p w14:paraId="48F1C032" w14:textId="77777777" w:rsidR="00824294" w:rsidRPr="00824294" w:rsidRDefault="00824294" w:rsidP="00824294">
      <w:pPr>
        <w:spacing w:line="276" w:lineRule="auto"/>
        <w:rPr>
          <w:rFonts w:ascii="Arial" w:eastAsia="Calibri" w:hAnsi="Arial" w:cs="Arial"/>
          <w:color w:val="000000" w:themeColor="text1"/>
          <w:sz w:val="22"/>
          <w:lang w:eastAsia="es-MX"/>
        </w:rPr>
      </w:pPr>
    </w:p>
    <w:p w14:paraId="7D671D9F" w14:textId="77777777" w:rsidR="00824294" w:rsidRPr="00824294" w:rsidRDefault="00824294" w:rsidP="00824294">
      <w:pPr>
        <w:spacing w:line="276" w:lineRule="auto"/>
        <w:rPr>
          <w:rFonts w:ascii="Arial" w:eastAsia="Calibri" w:hAnsi="Arial" w:cs="Arial"/>
          <w:color w:val="000000" w:themeColor="text1"/>
          <w:sz w:val="22"/>
          <w:lang w:eastAsia="es-MX"/>
        </w:rPr>
      </w:pPr>
    </w:p>
    <w:p w14:paraId="77E84655" w14:textId="77777777" w:rsidR="00824294" w:rsidRPr="00824294" w:rsidRDefault="00824294" w:rsidP="00824294">
      <w:pPr>
        <w:tabs>
          <w:tab w:val="left" w:pos="3736"/>
        </w:tabs>
        <w:spacing w:line="276" w:lineRule="auto"/>
        <w:rPr>
          <w:rFonts w:ascii="Arial" w:eastAsia="Calibri" w:hAnsi="Arial" w:cs="Arial"/>
          <w:color w:val="000000" w:themeColor="text1"/>
          <w:sz w:val="22"/>
          <w:lang w:eastAsia="es-MX"/>
        </w:rPr>
      </w:pPr>
      <w:r w:rsidRPr="00824294">
        <w:rPr>
          <w:rFonts w:ascii="Arial" w:eastAsia="Calibri" w:hAnsi="Arial" w:cs="Arial"/>
          <w:color w:val="000000" w:themeColor="text1"/>
          <w:sz w:val="22"/>
          <w:lang w:eastAsia="es-MX"/>
        </w:rPr>
        <w:t>Estimada señora :</w:t>
      </w:r>
      <w:r w:rsidRPr="00824294">
        <w:rPr>
          <w:rFonts w:ascii="Arial" w:eastAsia="Calibri" w:hAnsi="Arial" w:cs="Arial"/>
          <w:color w:val="000000" w:themeColor="text1"/>
          <w:sz w:val="22"/>
          <w:lang w:eastAsia="es-MX"/>
        </w:rPr>
        <w:tab/>
      </w:r>
    </w:p>
    <w:p w14:paraId="24DF2889" w14:textId="77777777" w:rsidR="00824294" w:rsidRPr="00824294" w:rsidRDefault="00824294" w:rsidP="00824294">
      <w:pPr>
        <w:spacing w:line="276" w:lineRule="auto"/>
        <w:rPr>
          <w:rFonts w:ascii="Arial" w:eastAsia="Calibri" w:hAnsi="Arial" w:cs="Arial"/>
          <w:color w:val="000000" w:themeColor="text1"/>
          <w:sz w:val="22"/>
          <w:lang w:eastAsia="es-MX"/>
        </w:rPr>
      </w:pPr>
    </w:p>
    <w:p w14:paraId="2022DAC6" w14:textId="77777777" w:rsidR="00824294" w:rsidRPr="00824294" w:rsidRDefault="00824294" w:rsidP="00824294">
      <w:pPr>
        <w:spacing w:line="276" w:lineRule="auto"/>
        <w:jc w:val="both"/>
        <w:rPr>
          <w:rFonts w:ascii="Arial" w:eastAsia="Calibri" w:hAnsi="Arial" w:cs="Arial"/>
          <w:color w:val="000000" w:themeColor="text1"/>
          <w:sz w:val="22"/>
          <w:lang w:eastAsia="es-MX"/>
        </w:rPr>
      </w:pPr>
      <w:r w:rsidRPr="00824294">
        <w:rPr>
          <w:rFonts w:ascii="Arial" w:eastAsia="Calibri" w:hAnsi="Arial" w:cs="Arial"/>
          <w:color w:val="000000" w:themeColor="text1"/>
          <w:sz w:val="22"/>
          <w:lang w:eastAsia="es-MX"/>
        </w:rPr>
        <w:t xml:space="preserve">La Agencia Nacional de Contratación Pública – Colombia Compra Eficiente responde a su consulta del 18 de junio, en ejercicio de la competencia otorgada por el numeral 8 del artículo 11 y el numeral 5 del artículo 3 del Decreto Ley 4170 de 2011. </w:t>
      </w:r>
    </w:p>
    <w:p w14:paraId="742FB0F3" w14:textId="77777777" w:rsidR="00824294" w:rsidRPr="00824294" w:rsidRDefault="00824294" w:rsidP="00824294">
      <w:pPr>
        <w:spacing w:line="276" w:lineRule="auto"/>
        <w:contextualSpacing/>
        <w:rPr>
          <w:rFonts w:ascii="Arial" w:eastAsia="Calibri" w:hAnsi="Arial" w:cs="Arial"/>
          <w:color w:val="000000" w:themeColor="text1"/>
          <w:sz w:val="22"/>
          <w:szCs w:val="22"/>
          <w:lang w:val="es-MX"/>
        </w:rPr>
      </w:pPr>
    </w:p>
    <w:p w14:paraId="64A43E01" w14:textId="77777777" w:rsidR="00824294" w:rsidRPr="00824294" w:rsidRDefault="00824294" w:rsidP="00824294">
      <w:pPr>
        <w:tabs>
          <w:tab w:val="left" w:pos="0"/>
        </w:tabs>
        <w:spacing w:line="276" w:lineRule="auto"/>
        <w:jc w:val="both"/>
        <w:rPr>
          <w:rFonts w:ascii="Arial" w:eastAsia="Calibri" w:hAnsi="Arial" w:cs="Arial"/>
          <w:b/>
          <w:color w:val="000000" w:themeColor="text1"/>
          <w:sz w:val="22"/>
          <w:lang w:eastAsia="es-MX"/>
        </w:rPr>
      </w:pPr>
      <w:r w:rsidRPr="00824294">
        <w:rPr>
          <w:rFonts w:ascii="Arial" w:eastAsia="Calibri" w:hAnsi="Arial" w:cs="Arial"/>
          <w:b/>
          <w:color w:val="000000" w:themeColor="text1"/>
          <w:sz w:val="22"/>
          <w:lang w:eastAsia="es-MX"/>
        </w:rPr>
        <w:t>1. Problema planteado</w:t>
      </w:r>
    </w:p>
    <w:p w14:paraId="0BEBA394" w14:textId="77777777" w:rsidR="00824294" w:rsidRPr="00824294" w:rsidRDefault="00824294" w:rsidP="00824294">
      <w:pPr>
        <w:rPr>
          <w:rFonts w:ascii="Arial" w:eastAsia="Calibri" w:hAnsi="Arial" w:cs="Arial"/>
          <w:color w:val="000000" w:themeColor="text1"/>
          <w:sz w:val="22"/>
          <w:lang w:eastAsia="es-MX"/>
        </w:rPr>
      </w:pPr>
    </w:p>
    <w:p w14:paraId="69EF17DD" w14:textId="77777777" w:rsidR="00824294" w:rsidRPr="00824294" w:rsidRDefault="00824294" w:rsidP="00824294">
      <w:pPr>
        <w:spacing w:line="276" w:lineRule="auto"/>
        <w:jc w:val="both"/>
        <w:rPr>
          <w:rFonts w:ascii="Arial" w:eastAsia="Calibri" w:hAnsi="Arial" w:cs="Arial"/>
          <w:sz w:val="22"/>
          <w:szCs w:val="22"/>
          <w:lang w:eastAsia="es-MX"/>
        </w:rPr>
      </w:pPr>
      <w:r w:rsidRPr="00824294">
        <w:rPr>
          <w:rFonts w:ascii="Arial" w:eastAsia="Calibri" w:hAnsi="Arial" w:cs="Arial"/>
          <w:sz w:val="22"/>
          <w:szCs w:val="22"/>
          <w:lang w:eastAsia="es-MX"/>
        </w:rPr>
        <w:t>Usted formula la siguiente pregunta: «¿</w:t>
      </w:r>
      <w:r w:rsidRPr="00824294">
        <w:rPr>
          <w:rFonts w:ascii="Arial" w:eastAsia="Times New Roman" w:hAnsi="Arial" w:cs="Arial"/>
          <w:sz w:val="22"/>
          <w:szCs w:val="22"/>
          <w:lang w:eastAsia="es-MX"/>
        </w:rPr>
        <w:t>Todos los indicadores financieros establecidos en el numeral 3 del artículo 2.2.1.1.1.5.3 del Decreto 1882 de 2015 son obligatorios y por lo tanto se deben incluir de manera obligatoria en el pliego de condiciones?».</w:t>
      </w:r>
    </w:p>
    <w:p w14:paraId="147374D8" w14:textId="77777777" w:rsidR="00824294" w:rsidRPr="00824294" w:rsidRDefault="00824294" w:rsidP="00824294">
      <w:pPr>
        <w:rPr>
          <w:rFonts w:ascii="Arial" w:eastAsia="Calibri" w:hAnsi="Arial" w:cs="Arial"/>
          <w:b/>
          <w:color w:val="000000" w:themeColor="text1"/>
          <w:sz w:val="22"/>
          <w:lang w:eastAsia="es-MX"/>
        </w:rPr>
      </w:pPr>
    </w:p>
    <w:p w14:paraId="2C564A1A" w14:textId="77777777" w:rsidR="00824294" w:rsidRPr="00824294" w:rsidRDefault="00824294" w:rsidP="00824294">
      <w:pPr>
        <w:spacing w:line="276" w:lineRule="auto"/>
        <w:jc w:val="both"/>
        <w:rPr>
          <w:rFonts w:ascii="Arial" w:eastAsia="Calibri" w:hAnsi="Arial" w:cs="Arial"/>
          <w:color w:val="000000" w:themeColor="text1"/>
          <w:sz w:val="22"/>
          <w:lang w:eastAsia="es-MX"/>
        </w:rPr>
      </w:pPr>
      <w:r w:rsidRPr="00824294">
        <w:rPr>
          <w:rFonts w:ascii="Arial" w:eastAsia="Calibri" w:hAnsi="Arial" w:cs="Arial"/>
          <w:b/>
          <w:color w:val="000000" w:themeColor="text1"/>
          <w:sz w:val="22"/>
          <w:lang w:eastAsia="es-MX"/>
        </w:rPr>
        <w:t>2. Consideraciones</w:t>
      </w:r>
    </w:p>
    <w:p w14:paraId="056593CD" w14:textId="77777777" w:rsidR="00824294" w:rsidRPr="00824294" w:rsidRDefault="00824294" w:rsidP="00824294">
      <w:pPr>
        <w:ind w:left="284"/>
        <w:contextualSpacing/>
        <w:jc w:val="both"/>
        <w:rPr>
          <w:rFonts w:ascii="Arial" w:eastAsia="Calibri" w:hAnsi="Arial" w:cs="Arial"/>
          <w:color w:val="000000" w:themeColor="text1"/>
          <w:sz w:val="22"/>
          <w:szCs w:val="22"/>
          <w:lang w:val="es-MX"/>
        </w:rPr>
      </w:pPr>
    </w:p>
    <w:p w14:paraId="24E3D679" w14:textId="77777777" w:rsidR="00824294" w:rsidRPr="00824294" w:rsidRDefault="00824294" w:rsidP="00824294">
      <w:pPr>
        <w:spacing w:after="120" w:line="276" w:lineRule="auto"/>
        <w:jc w:val="both"/>
        <w:rPr>
          <w:rFonts w:ascii="Arial" w:eastAsia="Times New Roman" w:hAnsi="Arial" w:cs="Arial"/>
          <w:bCs/>
          <w:sz w:val="22"/>
          <w:lang w:eastAsia="es-MX"/>
        </w:rPr>
      </w:pPr>
      <w:r w:rsidRPr="00824294">
        <w:rPr>
          <w:rFonts w:ascii="Arial" w:eastAsia="Times New Roman" w:hAnsi="Arial" w:cs="Arial"/>
          <w:bCs/>
          <w:sz w:val="22"/>
          <w:lang w:eastAsia="es-MX"/>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53A79FDF" w14:textId="77777777" w:rsidR="00824294" w:rsidRPr="00824294" w:rsidRDefault="00824294" w:rsidP="00824294">
      <w:pPr>
        <w:tabs>
          <w:tab w:val="left" w:pos="426"/>
        </w:tabs>
        <w:spacing w:after="120" w:line="276" w:lineRule="auto"/>
        <w:jc w:val="both"/>
        <w:rPr>
          <w:rFonts w:ascii="Arial" w:eastAsia="Calibri" w:hAnsi="Arial" w:cs="Arial"/>
          <w:bCs/>
          <w:sz w:val="22"/>
          <w:lang w:eastAsia="es-MX"/>
        </w:rPr>
      </w:pPr>
      <w:r w:rsidRPr="00824294">
        <w:rPr>
          <w:rFonts w:ascii="Arial" w:eastAsia="Times New Roman" w:hAnsi="Arial" w:cs="Arial"/>
          <w:sz w:val="22"/>
          <w:lang w:val="es-ES" w:eastAsia="es-MX"/>
        </w:rPr>
        <w:tab/>
      </w:r>
      <w:r w:rsidRPr="00824294">
        <w:rPr>
          <w:rFonts w:ascii="Arial" w:eastAsia="Times New Roman" w:hAnsi="Arial" w:cs="Arial"/>
          <w:sz w:val="22"/>
          <w:lang w:val="es-ES" w:eastAsia="es-MX"/>
        </w:rPr>
        <w:tab/>
        <w:t xml:space="preserve">Es necesario tener en cuenta que esta entidad solo tiene competencia para responder solicitudes sobre la aplicación de normas de carácter general en materia de </w:t>
      </w:r>
      <w:r w:rsidRPr="00824294">
        <w:rPr>
          <w:rFonts w:ascii="Arial" w:eastAsia="Times New Roman" w:hAnsi="Arial" w:cs="Arial"/>
          <w:sz w:val="22"/>
          <w:lang w:val="es-ES" w:eastAsia="es-MX"/>
        </w:rPr>
        <w:lastRenderedPageBreak/>
        <w:t>compras y contratación pública</w:t>
      </w:r>
      <w:r w:rsidRPr="00824294">
        <w:rPr>
          <w:rFonts w:ascii="Arial" w:eastAsia="Times New Roman" w:hAnsi="Arial" w:cs="Arial"/>
          <w:sz w:val="22"/>
          <w:vertAlign w:val="superscript"/>
          <w:lang w:val="es-ES" w:eastAsia="es-MX"/>
        </w:rPr>
        <w:footnoteReference w:id="1"/>
      </w:r>
      <w:r w:rsidRPr="00824294">
        <w:rPr>
          <w:rFonts w:ascii="Arial" w:eastAsia="Times New Roman" w:hAnsi="Arial" w:cs="Arial"/>
          <w:sz w:val="22"/>
          <w:lang w:val="es-ES" w:eastAsia="es-MX"/>
        </w:rPr>
        <w:t>. Esta se fija con límites claros, con el objeto de evitar que la Agencia actúe como una instancia de validación de las actuaciones de las entidades sujetas a la Ley 80 de 1993 o de los demás participantes de la contratación pública.</w:t>
      </w:r>
    </w:p>
    <w:p w14:paraId="60AD0587" w14:textId="77777777" w:rsidR="00824294" w:rsidRPr="00824294" w:rsidRDefault="00824294" w:rsidP="00824294">
      <w:pPr>
        <w:spacing w:after="120" w:line="276" w:lineRule="auto"/>
        <w:ind w:firstLine="709"/>
        <w:jc w:val="both"/>
        <w:rPr>
          <w:rFonts w:ascii="Arial" w:eastAsia="Calibri" w:hAnsi="Arial" w:cs="Arial"/>
          <w:b/>
          <w:sz w:val="22"/>
          <w:lang w:val="es-ES" w:eastAsia="es-MX"/>
        </w:rPr>
      </w:pPr>
      <w:r w:rsidRPr="00824294">
        <w:rPr>
          <w:rFonts w:ascii="Arial" w:eastAsia="Calibri" w:hAnsi="Arial" w:cs="Arial"/>
          <w:color w:val="000000" w:themeColor="text1"/>
          <w:sz w:val="22"/>
          <w:lang w:val="es-ES" w:eastAsia="es-MX"/>
        </w:rPr>
        <w:t>Por ello, la Subdirección –dentro de los límites de sus atribuciones– resolverá la consulta conforme a las normas generales en materia de contratación estatal. Con este objetivo se analizarán los siguientes temas:</w:t>
      </w:r>
      <w:r w:rsidRPr="00824294">
        <w:rPr>
          <w:rFonts w:ascii="Arial" w:eastAsia="Calibri" w:hAnsi="Arial" w:cs="Arial"/>
          <w:color w:val="000000" w:themeColor="text1"/>
          <w:sz w:val="22"/>
          <w:lang w:eastAsia="es-MX"/>
        </w:rPr>
        <w:t xml:space="preserve"> i) requisitos habilitantes y criterios para participar en los procedimientos de selección contractual, ii) alcance de la capacidad financiera en la contratación estatal y iii) carácter enunciativo de los requisitos habilitantes previstos en el artículo 5, numeral 1, de la Ley 1150 de 2007 y autonomía de la voluntad de las entidades estatales para establecerlos.</w:t>
      </w:r>
    </w:p>
    <w:p w14:paraId="68B9EBE0" w14:textId="77777777" w:rsidR="00824294" w:rsidRPr="00824294" w:rsidRDefault="00824294" w:rsidP="00824294">
      <w:pPr>
        <w:tabs>
          <w:tab w:val="left" w:pos="426"/>
        </w:tabs>
        <w:spacing w:line="276" w:lineRule="auto"/>
        <w:ind w:firstLine="709"/>
        <w:jc w:val="both"/>
        <w:rPr>
          <w:rFonts w:ascii="Arial" w:eastAsia="Calibri" w:hAnsi="Arial" w:cs="Arial"/>
          <w:sz w:val="22"/>
          <w:lang w:val="es-ES" w:eastAsia="es-MX"/>
        </w:rPr>
      </w:pPr>
      <w:r w:rsidRPr="00824294">
        <w:rPr>
          <w:rFonts w:ascii="Arial" w:eastAsia="Calibri" w:hAnsi="Arial" w:cs="Arial"/>
          <w:color w:val="000000" w:themeColor="text1"/>
          <w:sz w:val="22"/>
          <w:lang w:val="es-ES_tradnl" w:eastAsia="es-MX"/>
        </w:rPr>
        <w:t xml:space="preserve">Al respecto, conviene indicar que 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y C-396 de 16 de julio de 2020, analizó la naturaleza de los requisitos habilitantes y su carácter </w:t>
      </w:r>
      <w:r w:rsidRPr="00824294">
        <w:rPr>
          <w:rFonts w:ascii="Arial" w:eastAsia="Calibri" w:hAnsi="Arial" w:cs="Arial"/>
          <w:i/>
          <w:iCs/>
          <w:color w:val="000000" w:themeColor="text1"/>
          <w:sz w:val="22"/>
          <w:lang w:val="es-ES_tradnl" w:eastAsia="es-MX"/>
        </w:rPr>
        <w:t>enunciativo</w:t>
      </w:r>
      <w:r w:rsidRPr="00824294">
        <w:rPr>
          <w:rFonts w:ascii="Arial" w:eastAsia="Calibri" w:hAnsi="Arial" w:cs="Arial"/>
          <w:color w:val="000000" w:themeColor="text1"/>
          <w:sz w:val="22"/>
          <w:lang w:val="es-ES_tradnl" w:eastAsia="es-MX"/>
        </w:rPr>
        <w:t xml:space="preserve"> en el artículo 5, numeral 1, de la Ley 1150 de 2007. </w:t>
      </w:r>
      <w:r w:rsidRPr="00824294">
        <w:rPr>
          <w:rFonts w:ascii="Arial" w:eastAsia="Times New Roman" w:hAnsi="Arial" w:cs="Arial"/>
          <w:color w:val="000000" w:themeColor="text1"/>
          <w:sz w:val="22"/>
          <w:lang w:val="es-ES_tradnl" w:eastAsia="es-MX"/>
        </w:rPr>
        <w:t>Las tesis propuestas se reiteran a continuación</w:t>
      </w:r>
      <w:r w:rsidRPr="00824294">
        <w:rPr>
          <w:rFonts w:ascii="Arial" w:eastAsia="Calibri" w:hAnsi="Arial" w:cs="Arial"/>
          <w:sz w:val="22"/>
          <w:lang w:val="es-ES" w:eastAsia="es-MX"/>
        </w:rPr>
        <w:t>:</w:t>
      </w:r>
    </w:p>
    <w:p w14:paraId="3F9AD66D" w14:textId="77777777" w:rsidR="00824294" w:rsidRPr="00824294" w:rsidRDefault="00824294" w:rsidP="00824294">
      <w:pPr>
        <w:tabs>
          <w:tab w:val="left" w:pos="426"/>
        </w:tabs>
        <w:spacing w:line="276" w:lineRule="auto"/>
        <w:jc w:val="both"/>
        <w:rPr>
          <w:rFonts w:ascii="Arial" w:eastAsia="Calibri" w:hAnsi="Arial" w:cs="Arial"/>
          <w:sz w:val="22"/>
          <w:lang w:val="es-ES" w:eastAsia="es-MX"/>
        </w:rPr>
      </w:pPr>
    </w:p>
    <w:p w14:paraId="3220FC93" w14:textId="77777777" w:rsidR="00824294" w:rsidRPr="00824294" w:rsidRDefault="00824294" w:rsidP="00824294">
      <w:pPr>
        <w:spacing w:line="276" w:lineRule="auto"/>
        <w:jc w:val="both"/>
        <w:rPr>
          <w:rFonts w:ascii="Arial" w:eastAsia="Times New Roman" w:hAnsi="Arial" w:cs="Arial"/>
          <w:b/>
          <w:bCs/>
          <w:color w:val="000000" w:themeColor="text1"/>
          <w:sz w:val="22"/>
          <w:lang w:val="es-ES_tradnl" w:eastAsia="es-MX"/>
        </w:rPr>
      </w:pPr>
      <w:r w:rsidRPr="00824294">
        <w:rPr>
          <w:rFonts w:ascii="Arial" w:eastAsia="Times New Roman" w:hAnsi="Arial" w:cs="Arial"/>
          <w:b/>
          <w:bCs/>
          <w:color w:val="000000" w:themeColor="text1"/>
          <w:sz w:val="22"/>
          <w:lang w:val="es-ES_tradnl" w:eastAsia="es-MX"/>
        </w:rPr>
        <w:t>2.1. Requisitos habilitantes: criterios obligatorios para participar en los procedimientos de selección contractual</w:t>
      </w:r>
    </w:p>
    <w:p w14:paraId="3686593D" w14:textId="77777777" w:rsidR="00824294" w:rsidRPr="00824294" w:rsidRDefault="00824294" w:rsidP="00824294">
      <w:pPr>
        <w:spacing w:line="276" w:lineRule="auto"/>
        <w:ind w:left="1080"/>
        <w:contextualSpacing/>
        <w:jc w:val="both"/>
        <w:rPr>
          <w:rFonts w:ascii="Arial" w:hAnsi="Arial" w:cs="Arial"/>
          <w:b/>
          <w:bCs/>
          <w:color w:val="000000" w:themeColor="text1"/>
          <w:sz w:val="22"/>
          <w:szCs w:val="22"/>
          <w:lang w:val="es-ES_tradnl"/>
        </w:rPr>
      </w:pPr>
    </w:p>
    <w:p w14:paraId="5B1A37B9" w14:textId="77777777" w:rsidR="00824294" w:rsidRPr="00824294" w:rsidRDefault="00824294" w:rsidP="00824294">
      <w:pPr>
        <w:spacing w:after="120" w:line="276" w:lineRule="auto"/>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Los </w:t>
      </w:r>
      <w:r w:rsidRPr="00824294">
        <w:rPr>
          <w:rFonts w:ascii="Arial" w:eastAsia="Calibri" w:hAnsi="Arial" w:cs="Arial"/>
          <w:i/>
          <w:iCs/>
          <w:color w:val="000000" w:themeColor="text1"/>
          <w:sz w:val="22"/>
          <w:lang w:val="es-ES_tradnl" w:eastAsia="es-MX"/>
        </w:rPr>
        <w:t>requisitos habilitantes</w:t>
      </w:r>
      <w:r w:rsidRPr="00824294">
        <w:rPr>
          <w:rFonts w:ascii="Arial" w:eastAsia="Calibri" w:hAnsi="Arial" w:cs="Arial"/>
          <w:color w:val="000000" w:themeColor="text1"/>
          <w:sz w:val="22"/>
          <w:lang w:val="es-ES_tradnl" w:eastAsia="es-MX"/>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824294">
        <w:rPr>
          <w:rFonts w:ascii="Arial" w:eastAsia="Calibri" w:hAnsi="Arial" w:cs="Arial"/>
          <w:i/>
          <w:iCs/>
          <w:color w:val="000000" w:themeColor="text1"/>
          <w:sz w:val="22"/>
          <w:lang w:val="es-ES_tradnl" w:eastAsia="es-MX"/>
        </w:rPr>
        <w:t>criterios de evaluación</w:t>
      </w:r>
      <w:r w:rsidRPr="00824294">
        <w:rPr>
          <w:rFonts w:ascii="Arial" w:eastAsia="Calibri" w:hAnsi="Arial" w:cs="Arial"/>
          <w:color w:val="000000" w:themeColor="text1"/>
          <w:sz w:val="22"/>
          <w:lang w:val="es-ES_tradnl" w:eastAsia="es-MX"/>
        </w:rPr>
        <w:t xml:space="preserve"> –también conocidos como </w:t>
      </w:r>
      <w:r w:rsidRPr="00824294">
        <w:rPr>
          <w:rFonts w:ascii="Arial" w:eastAsia="Calibri" w:hAnsi="Arial" w:cs="Arial"/>
          <w:i/>
          <w:iCs/>
          <w:color w:val="000000" w:themeColor="text1"/>
          <w:sz w:val="22"/>
          <w:lang w:val="es-ES_tradnl" w:eastAsia="es-MX"/>
        </w:rPr>
        <w:t>criterios de calificación</w:t>
      </w:r>
      <w:r w:rsidRPr="00824294">
        <w:rPr>
          <w:rFonts w:ascii="Arial" w:eastAsia="Calibri" w:hAnsi="Arial" w:cs="Arial"/>
          <w:color w:val="000000" w:themeColor="text1"/>
          <w:sz w:val="22"/>
          <w:lang w:val="es-ES_tradnl" w:eastAsia="es-MX"/>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17D8A7C0" w14:textId="77777777" w:rsidR="00824294" w:rsidRPr="00824294" w:rsidRDefault="00824294" w:rsidP="00824294">
      <w:pPr>
        <w:spacing w:after="120" w:line="276" w:lineRule="auto"/>
        <w:ind w:firstLine="708"/>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lastRenderedPageBreak/>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6DA827AC" w14:textId="77777777" w:rsidR="00824294" w:rsidRPr="00824294" w:rsidRDefault="00824294" w:rsidP="00824294">
      <w:pPr>
        <w:spacing w:line="276" w:lineRule="auto"/>
        <w:ind w:firstLine="708"/>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6706D0CB" w14:textId="77777777" w:rsidR="00824294" w:rsidRPr="00824294" w:rsidRDefault="00824294" w:rsidP="00824294">
      <w:pPr>
        <w:spacing w:before="120" w:line="276" w:lineRule="auto"/>
        <w:ind w:firstLine="709"/>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Específicamente, el numeral 1º del artículo referido establece que en los procesos de selección de contratistas serán objeto de verificación, como requisitos habilitantes, </w:t>
      </w:r>
      <w:r w:rsidRPr="00824294">
        <w:rPr>
          <w:rFonts w:ascii="Arial" w:eastAsia="Calibri" w:hAnsi="Arial" w:cs="Arial"/>
          <w:i/>
          <w:iCs/>
          <w:color w:val="000000" w:themeColor="text1"/>
          <w:sz w:val="22"/>
          <w:lang w:val="es-ES_tradnl" w:eastAsia="es-MX"/>
        </w:rPr>
        <w:t>entre otros</w:t>
      </w:r>
      <w:r w:rsidRPr="00824294">
        <w:rPr>
          <w:rFonts w:ascii="Arial" w:eastAsia="Calibri" w:hAnsi="Arial" w:cs="Arial"/>
          <w:color w:val="000000" w:themeColor="text1"/>
          <w:sz w:val="22"/>
          <w:lang w:val="es-ES_tradnl" w:eastAsia="es-MX"/>
        </w:rPr>
        <w:t xml:space="preserve">, los siguientes: i) la capacidad jurídica; ii) la experiencia; iii) la capacidad financiera y iv) la capacidad de organización. En efecto, la normativa citada dispone: </w:t>
      </w:r>
    </w:p>
    <w:p w14:paraId="0B84D763" w14:textId="77777777" w:rsidR="00824294" w:rsidRPr="00824294" w:rsidRDefault="00824294" w:rsidP="00824294">
      <w:pPr>
        <w:jc w:val="both"/>
        <w:rPr>
          <w:rFonts w:ascii="Arial" w:eastAsia="Calibri" w:hAnsi="Arial" w:cs="Arial"/>
          <w:color w:val="000000" w:themeColor="text1"/>
          <w:sz w:val="22"/>
          <w:lang w:val="es-ES_tradnl" w:eastAsia="es-MX"/>
        </w:rPr>
      </w:pPr>
    </w:p>
    <w:p w14:paraId="0247AA10" w14:textId="77777777" w:rsidR="00824294" w:rsidRPr="00824294" w:rsidRDefault="00824294" w:rsidP="00824294">
      <w:pPr>
        <w:ind w:left="709" w:right="709"/>
        <w:jc w:val="both"/>
        <w:rPr>
          <w:rFonts w:ascii="Arial" w:eastAsia="Calibri" w:hAnsi="Arial" w:cs="Arial"/>
          <w:color w:val="000000" w:themeColor="text1"/>
          <w:sz w:val="21"/>
          <w:szCs w:val="21"/>
          <w:lang w:val="es-ES_tradnl" w:eastAsia="es-MX"/>
        </w:rPr>
      </w:pPr>
      <w:r w:rsidRPr="00824294">
        <w:rPr>
          <w:rFonts w:ascii="Arial" w:eastAsia="Calibri" w:hAnsi="Arial" w:cs="Arial"/>
          <w:color w:val="000000" w:themeColor="text1"/>
          <w:sz w:val="21"/>
          <w:szCs w:val="21"/>
          <w:lang w:val="es-ES_tradnl" w:eastAsia="es-MX"/>
        </w:rPr>
        <w:t xml:space="preserve">Artículo 5. De la Selección Objetiva. </w:t>
      </w:r>
    </w:p>
    <w:p w14:paraId="1253EB07" w14:textId="77777777" w:rsidR="00824294" w:rsidRPr="00824294" w:rsidRDefault="00824294" w:rsidP="00824294">
      <w:pPr>
        <w:spacing w:after="120"/>
        <w:ind w:left="709" w:right="709"/>
        <w:jc w:val="both"/>
        <w:rPr>
          <w:rFonts w:ascii="Arial" w:eastAsia="Calibri" w:hAnsi="Arial" w:cs="Arial"/>
          <w:color w:val="000000" w:themeColor="text1"/>
          <w:sz w:val="21"/>
          <w:szCs w:val="21"/>
          <w:lang w:val="es-ES_tradnl" w:eastAsia="es-MX"/>
        </w:rPr>
      </w:pPr>
      <w:r w:rsidRPr="00824294">
        <w:rPr>
          <w:rFonts w:ascii="Arial" w:eastAsia="Calibri" w:hAnsi="Arial" w:cs="Arial"/>
          <w:color w:val="000000" w:themeColor="text1"/>
          <w:sz w:val="21"/>
          <w:szCs w:val="21"/>
          <w:lang w:val="es-ES_tradnl" w:eastAsia="es-MX"/>
        </w:rPr>
        <w:t>[…]</w:t>
      </w:r>
    </w:p>
    <w:p w14:paraId="386C1C66" w14:textId="77777777" w:rsidR="00824294" w:rsidRPr="00824294" w:rsidRDefault="00824294" w:rsidP="00824294">
      <w:pPr>
        <w:ind w:left="709" w:right="709"/>
        <w:contextualSpacing/>
        <w:jc w:val="both"/>
        <w:rPr>
          <w:rFonts w:ascii="Arial" w:eastAsia="Calibri" w:hAnsi="Arial" w:cs="Arial"/>
          <w:color w:val="000000" w:themeColor="text1"/>
          <w:sz w:val="21"/>
          <w:szCs w:val="21"/>
          <w:lang w:val="es-ES_tradnl"/>
        </w:rPr>
      </w:pPr>
      <w:r w:rsidRPr="00824294">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268A5005" w14:textId="77777777" w:rsidR="00824294" w:rsidRPr="00824294" w:rsidRDefault="00824294" w:rsidP="00824294">
      <w:pPr>
        <w:spacing w:line="276" w:lineRule="auto"/>
        <w:ind w:right="709"/>
        <w:jc w:val="both"/>
        <w:rPr>
          <w:rFonts w:ascii="Arial" w:eastAsia="Calibri" w:hAnsi="Arial" w:cs="Arial"/>
          <w:color w:val="000000" w:themeColor="text1"/>
          <w:sz w:val="22"/>
          <w:szCs w:val="22"/>
          <w:lang w:val="es-ES_tradnl" w:eastAsia="es-MX"/>
        </w:rPr>
      </w:pPr>
    </w:p>
    <w:p w14:paraId="232C96ED" w14:textId="77777777" w:rsidR="00824294" w:rsidRPr="00824294" w:rsidRDefault="00824294" w:rsidP="00824294">
      <w:pPr>
        <w:spacing w:after="120" w:line="276" w:lineRule="auto"/>
        <w:ind w:firstLine="709"/>
        <w:jc w:val="both"/>
        <w:rPr>
          <w:rFonts w:ascii="Arial" w:eastAsia="Calibri" w:hAnsi="Arial" w:cs="Arial"/>
          <w:color w:val="000000" w:themeColor="text1"/>
          <w:sz w:val="22"/>
          <w:lang w:val="es-ES_tradnl" w:eastAsia="es-MX"/>
        </w:rPr>
      </w:pPr>
      <w:r w:rsidRPr="00824294">
        <w:rPr>
          <w:rFonts w:ascii="Arial" w:eastAsia="Times New Roman" w:hAnsi="Arial" w:cs="Arial"/>
          <w:color w:val="000000" w:themeColor="text1"/>
          <w:sz w:val="22"/>
          <w:lang w:val="es-ES_tradnl" w:eastAsia="es-MX"/>
        </w:rPr>
        <w:t xml:space="preserve">Una vez fijados los requisitos habilitantes por la entidad estatal, quienes presenten ofertas deben </w:t>
      </w:r>
      <w:r w:rsidRPr="00824294">
        <w:rPr>
          <w:rFonts w:ascii="Arial" w:eastAsia="Times New Roman" w:hAnsi="Arial" w:cs="Arial"/>
          <w:bCs/>
          <w:i/>
          <w:iCs/>
          <w:color w:val="000000" w:themeColor="text1"/>
          <w:sz w:val="22"/>
          <w:lang w:val="es-ES_tradnl" w:eastAsia="es-MX"/>
        </w:rPr>
        <w:t>acreditar</w:t>
      </w:r>
      <w:r w:rsidRPr="00824294">
        <w:rPr>
          <w:rFonts w:ascii="Arial" w:eastAsia="Times New Roman" w:hAnsi="Arial" w:cs="Arial"/>
          <w:color w:val="000000" w:themeColor="text1"/>
          <w:sz w:val="22"/>
          <w:lang w:val="es-ES_tradnl" w:eastAsia="es-MX"/>
        </w:rPr>
        <w:t xml:space="preserve"> que cumplen con los mismos, pues, en el evento contrario, las propuestas deberán ser rechazadas. </w:t>
      </w:r>
      <w:r w:rsidRPr="00824294">
        <w:rPr>
          <w:rFonts w:ascii="Arial" w:eastAsia="Calibri" w:hAnsi="Arial" w:cs="Arial"/>
          <w:color w:val="000000" w:themeColor="text1"/>
          <w:sz w:val="22"/>
          <w:lang w:val="es-ES_tradnl" w:eastAsia="es-MX"/>
        </w:rPr>
        <w:t xml:space="preserve">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w:t>
      </w:r>
      <w:r w:rsidRPr="00824294">
        <w:rPr>
          <w:rFonts w:ascii="Arial" w:eastAsia="Calibri" w:hAnsi="Arial" w:cs="Arial"/>
          <w:color w:val="000000" w:themeColor="text1"/>
          <w:sz w:val="22"/>
          <w:lang w:val="es-ES_tradnl" w:eastAsia="es-MX"/>
        </w:rPr>
        <w:lastRenderedPageBreak/>
        <w:t>la experiencia, capacidad jurídica, capacidad financiera y organizacional, así como la clasificación del proponente</w:t>
      </w:r>
      <w:r w:rsidRPr="00824294">
        <w:rPr>
          <w:rFonts w:ascii="Arial" w:eastAsia="Calibri" w:hAnsi="Arial" w:cs="Arial"/>
          <w:color w:val="000000" w:themeColor="text1"/>
          <w:sz w:val="22"/>
          <w:vertAlign w:val="superscript"/>
          <w:lang w:val="es-ES_tradnl" w:eastAsia="es-MX"/>
        </w:rPr>
        <w:footnoteReference w:id="2"/>
      </w:r>
      <w:r w:rsidRPr="00824294">
        <w:rPr>
          <w:rFonts w:ascii="Arial" w:eastAsia="Calibri" w:hAnsi="Arial" w:cs="Arial"/>
          <w:color w:val="000000" w:themeColor="text1"/>
          <w:sz w:val="22"/>
          <w:lang w:val="es-ES_tradnl" w:eastAsia="es-MX"/>
        </w:rPr>
        <w:t xml:space="preserve">. </w:t>
      </w:r>
    </w:p>
    <w:p w14:paraId="00A6C40A" w14:textId="77777777" w:rsidR="00824294" w:rsidRPr="00824294" w:rsidRDefault="00824294" w:rsidP="00824294">
      <w:pPr>
        <w:spacing w:before="120" w:after="120" w:line="276" w:lineRule="auto"/>
        <w:ind w:firstLine="709"/>
        <w:contextualSpacing/>
        <w:jc w:val="both"/>
        <w:rPr>
          <w:szCs w:val="22"/>
          <w:lang w:val="es-MX"/>
        </w:rPr>
      </w:pPr>
      <w:r w:rsidRPr="00824294">
        <w:rPr>
          <w:rFonts w:ascii="Arial" w:eastAsia="Calibri" w:hAnsi="Arial" w:cs="Arial"/>
          <w:color w:val="000000" w:themeColor="text1"/>
          <w:sz w:val="22"/>
          <w:szCs w:val="22"/>
          <w:lang w:val="es-ES_tradnl"/>
        </w:rPr>
        <w:t>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824294">
        <w:rPr>
          <w:rFonts w:ascii="Arial" w:eastAsia="Calibri" w:hAnsi="Arial" w:cs="Arial"/>
          <w:color w:val="000000" w:themeColor="text1"/>
          <w:sz w:val="22"/>
          <w:szCs w:val="22"/>
          <w:vertAlign w:val="superscript"/>
          <w:lang w:val="es-ES_tradnl"/>
        </w:rPr>
        <w:footnoteReference w:id="3"/>
      </w:r>
      <w:r w:rsidRPr="00824294">
        <w:rPr>
          <w:rFonts w:ascii="Arial" w:eastAsia="Calibri" w:hAnsi="Arial" w:cs="Arial"/>
          <w:color w:val="000000" w:themeColor="text1"/>
          <w:sz w:val="22"/>
          <w:szCs w:val="22"/>
          <w:lang w:val="es-ES_tradnl"/>
        </w:rPr>
        <w:t xml:space="preserve">. </w:t>
      </w:r>
      <w:r w:rsidRPr="00824294">
        <w:rPr>
          <w:rFonts w:ascii="Arial" w:hAnsi="Arial" w:cs="Arial"/>
          <w:sz w:val="22"/>
          <w:szCs w:val="22"/>
          <w:lang w:val="es-MX"/>
        </w:rPr>
        <w:t>Uno de los criterios relevantes para el presente concepto es la capacidad financiera, la cual se explicará a continuación.</w:t>
      </w:r>
    </w:p>
    <w:p w14:paraId="18BB611E" w14:textId="77777777" w:rsidR="00824294" w:rsidRPr="00824294" w:rsidRDefault="00824294" w:rsidP="00824294">
      <w:pPr>
        <w:ind w:right="709"/>
        <w:jc w:val="both"/>
        <w:rPr>
          <w:rFonts w:ascii="Arial" w:eastAsia="Calibri" w:hAnsi="Arial" w:cs="Arial"/>
          <w:color w:val="000000" w:themeColor="text1"/>
          <w:sz w:val="21"/>
          <w:szCs w:val="21"/>
          <w:lang w:val="es-ES_tradnl" w:eastAsia="es-MX"/>
        </w:rPr>
      </w:pPr>
    </w:p>
    <w:p w14:paraId="67897930" w14:textId="77777777" w:rsidR="00824294" w:rsidRPr="00824294" w:rsidRDefault="00824294" w:rsidP="00824294">
      <w:pPr>
        <w:spacing w:line="276" w:lineRule="auto"/>
        <w:jc w:val="both"/>
        <w:rPr>
          <w:rFonts w:ascii="Arial" w:eastAsia="Calibri" w:hAnsi="Arial" w:cs="Arial"/>
          <w:b/>
          <w:bCs/>
          <w:color w:val="000000" w:themeColor="text1"/>
          <w:sz w:val="22"/>
          <w:lang w:val="es-ES_tradnl" w:eastAsia="es-MX"/>
        </w:rPr>
      </w:pPr>
      <w:r w:rsidRPr="00824294">
        <w:rPr>
          <w:rFonts w:ascii="Arial" w:eastAsia="Calibri" w:hAnsi="Arial" w:cs="Arial"/>
          <w:b/>
          <w:bCs/>
          <w:color w:val="000000" w:themeColor="text1"/>
          <w:sz w:val="22"/>
          <w:lang w:val="es-ES_tradnl" w:eastAsia="es-MX"/>
        </w:rPr>
        <w:t>2.2. Capacidad financiera en la contratación estatal</w:t>
      </w:r>
    </w:p>
    <w:p w14:paraId="1FFB221C" w14:textId="77777777" w:rsidR="00824294" w:rsidRPr="00824294" w:rsidRDefault="00824294" w:rsidP="00824294">
      <w:pPr>
        <w:spacing w:line="276" w:lineRule="auto"/>
        <w:ind w:left="720"/>
        <w:contextualSpacing/>
        <w:jc w:val="both"/>
        <w:rPr>
          <w:rFonts w:ascii="Arial" w:eastAsia="Calibri" w:hAnsi="Arial" w:cs="Arial"/>
          <w:b/>
          <w:bCs/>
          <w:color w:val="000000" w:themeColor="text1"/>
          <w:sz w:val="22"/>
          <w:szCs w:val="22"/>
          <w:lang w:val="es-ES_tradnl"/>
        </w:rPr>
      </w:pPr>
    </w:p>
    <w:p w14:paraId="00584B1E" w14:textId="77777777" w:rsidR="00824294" w:rsidRPr="00824294" w:rsidRDefault="00824294" w:rsidP="00824294">
      <w:pPr>
        <w:spacing w:after="120" w:line="276" w:lineRule="auto"/>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La </w:t>
      </w:r>
      <w:r w:rsidRPr="00824294">
        <w:rPr>
          <w:rFonts w:ascii="Arial" w:eastAsia="Calibri" w:hAnsi="Arial" w:cs="Arial"/>
          <w:bCs/>
          <w:i/>
          <w:iCs/>
          <w:color w:val="000000" w:themeColor="text1"/>
          <w:sz w:val="22"/>
          <w:lang w:val="es-ES_tradnl" w:eastAsia="es-MX"/>
        </w:rPr>
        <w:t>capacidad financiera</w:t>
      </w:r>
      <w:r w:rsidRPr="00824294">
        <w:rPr>
          <w:rFonts w:ascii="Arial" w:eastAsia="Calibri" w:hAnsi="Arial" w:cs="Arial"/>
          <w:i/>
          <w:iCs/>
          <w:color w:val="000000" w:themeColor="text1"/>
          <w:sz w:val="22"/>
          <w:lang w:val="es-ES_tradnl" w:eastAsia="es-MX"/>
        </w:rPr>
        <w:t xml:space="preserve"> </w:t>
      </w:r>
      <w:r w:rsidRPr="00824294">
        <w:rPr>
          <w:rFonts w:ascii="Arial" w:eastAsia="Calibri" w:hAnsi="Arial" w:cs="Arial"/>
          <w:color w:val="000000" w:themeColor="text1"/>
          <w:sz w:val="22"/>
          <w:lang w:val="es-ES_tradnl" w:eastAsia="es-MX"/>
        </w:rPr>
        <w:t xml:space="preserve">se determina a través de la liquidez y el endeudamiento de los proponentes. Esta busca establecer condiciones mínimas en relación con la «salud financiera»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 </w:t>
      </w:r>
    </w:p>
    <w:p w14:paraId="56466130" w14:textId="77777777" w:rsidR="00824294" w:rsidRPr="00824294" w:rsidRDefault="00824294" w:rsidP="00824294">
      <w:pPr>
        <w:spacing w:line="276" w:lineRule="auto"/>
        <w:ind w:firstLine="708"/>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lastRenderedPageBreak/>
        <w:t>Para la doctrina, este requisito «[…] corresponde a la idea de que el proponente tiene la solidez económica y financiera suficiente para responder por el objeto contractual que se llegue a pactar. Para el efecto, se analizan los principales indicadores económicos del proponente (patrimonio, liquidez y nivel de endeudamiento) y, con fundamento en ellos, se determina si este es suficientemente idóneo desde la perspectiva económica para ejecutar adecuadamente el contrato»</w:t>
      </w:r>
      <w:r w:rsidRPr="00824294">
        <w:rPr>
          <w:rFonts w:ascii="Arial" w:eastAsia="Calibri" w:hAnsi="Arial" w:cs="Arial"/>
          <w:color w:val="000000" w:themeColor="text1"/>
          <w:sz w:val="22"/>
          <w:vertAlign w:val="superscript"/>
          <w:lang w:val="es-ES_tradnl" w:eastAsia="es-MX"/>
        </w:rPr>
        <w:footnoteReference w:id="4"/>
      </w:r>
      <w:r w:rsidRPr="00824294">
        <w:rPr>
          <w:rFonts w:ascii="Arial" w:eastAsia="Calibri" w:hAnsi="Arial" w:cs="Arial"/>
          <w:color w:val="000000" w:themeColor="text1"/>
          <w:sz w:val="22"/>
          <w:lang w:val="es-ES_tradnl" w:eastAsia="es-MX"/>
        </w:rPr>
        <w:t xml:space="preserve">. </w:t>
      </w:r>
    </w:p>
    <w:p w14:paraId="650B5D7B" w14:textId="77777777" w:rsidR="00824294" w:rsidRPr="00824294" w:rsidRDefault="00824294" w:rsidP="00824294">
      <w:pPr>
        <w:spacing w:before="120" w:line="276" w:lineRule="auto"/>
        <w:ind w:firstLine="709"/>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824294">
        <w:rPr>
          <w:rFonts w:ascii="Arial" w:eastAsia="Calibri" w:hAnsi="Arial" w:cs="Arial"/>
          <w:i/>
          <w:iCs/>
          <w:color w:val="000000" w:themeColor="text1"/>
          <w:sz w:val="22"/>
          <w:lang w:val="es-ES_tradnl" w:eastAsia="es-MX"/>
        </w:rPr>
        <w:t>índice de liquidez</w:t>
      </w:r>
      <w:r w:rsidRPr="00824294">
        <w:rPr>
          <w:rFonts w:ascii="Arial" w:eastAsia="Calibri" w:hAnsi="Arial" w:cs="Arial"/>
          <w:color w:val="000000" w:themeColor="text1"/>
          <w:sz w:val="22"/>
          <w:lang w:val="es-ES_tradnl" w:eastAsia="es-MX"/>
        </w:rPr>
        <w:t xml:space="preserve">, que corresponde a la división entre el activo corriente y el pasivo corriente, y que determina la capacidad que tiene el proponente para cumplir con sus obligaciones de corto plazo; ii) el </w:t>
      </w:r>
      <w:r w:rsidRPr="00824294">
        <w:rPr>
          <w:rFonts w:ascii="Arial" w:eastAsia="Calibri" w:hAnsi="Arial" w:cs="Arial"/>
          <w:i/>
          <w:iCs/>
          <w:color w:val="000000" w:themeColor="text1"/>
          <w:sz w:val="22"/>
          <w:lang w:val="es-ES_tradnl" w:eastAsia="es-MX"/>
        </w:rPr>
        <w:t>índice de endeudamiento</w:t>
      </w:r>
      <w:r w:rsidRPr="00824294">
        <w:rPr>
          <w:rFonts w:ascii="Arial" w:eastAsia="Calibri" w:hAnsi="Arial" w:cs="Arial"/>
          <w:color w:val="000000" w:themeColor="text1"/>
          <w:sz w:val="22"/>
          <w:lang w:val="es-ES_tradnl" w:eastAsia="es-MX"/>
        </w:rPr>
        <w:t xml:space="preserve">, que se calcula dividiendo el pasivo total por el activo total, el cual determina el grado de endeudamiento en la estructura de financiación del proponente; y iii) la </w:t>
      </w:r>
      <w:r w:rsidRPr="00824294">
        <w:rPr>
          <w:rFonts w:ascii="Arial" w:eastAsia="Calibri" w:hAnsi="Arial" w:cs="Arial"/>
          <w:i/>
          <w:iCs/>
          <w:color w:val="000000" w:themeColor="text1"/>
          <w:sz w:val="22"/>
          <w:lang w:val="es-ES_tradnl" w:eastAsia="es-MX"/>
        </w:rPr>
        <w:t>razón de cobertura de intereses</w:t>
      </w:r>
      <w:r w:rsidRPr="00824294">
        <w:rPr>
          <w:rFonts w:ascii="Arial" w:eastAsia="Calibri" w:hAnsi="Arial" w:cs="Arial"/>
          <w:color w:val="000000" w:themeColor="text1"/>
          <w:sz w:val="22"/>
          <w:lang w:val="es-ES_tradnl" w:eastAsia="es-MX"/>
        </w:rPr>
        <w:t xml:space="preserve">, que es igual a la utilidad operacional, sobre los gastos de intereses, y que refleja la capacidad del proponente para cumplir con sus obligaciones financieras. Adicionalmente, Colombia Compra Eficiente recomienda valorar otro tipo de indicadores como el </w:t>
      </w:r>
      <w:r w:rsidRPr="00824294">
        <w:rPr>
          <w:rFonts w:ascii="Arial" w:eastAsia="Calibri" w:hAnsi="Arial" w:cs="Arial"/>
          <w:i/>
          <w:iCs/>
          <w:color w:val="000000" w:themeColor="text1"/>
          <w:sz w:val="22"/>
          <w:lang w:val="es-ES_tradnl" w:eastAsia="es-MX"/>
        </w:rPr>
        <w:t>capital de trabajo</w:t>
      </w:r>
      <w:r w:rsidRPr="00824294">
        <w:rPr>
          <w:rFonts w:ascii="Arial" w:eastAsia="Calibri" w:hAnsi="Arial" w:cs="Arial"/>
          <w:color w:val="000000" w:themeColor="text1"/>
          <w:sz w:val="22"/>
          <w:lang w:val="es-ES_tradnl" w:eastAsia="es-MX"/>
        </w:rPr>
        <w:t xml:space="preserve">, la </w:t>
      </w:r>
      <w:r w:rsidRPr="00824294">
        <w:rPr>
          <w:rFonts w:ascii="Arial" w:eastAsia="Calibri" w:hAnsi="Arial" w:cs="Arial"/>
          <w:i/>
          <w:iCs/>
          <w:color w:val="000000" w:themeColor="text1"/>
          <w:sz w:val="22"/>
          <w:lang w:val="es-ES_tradnl" w:eastAsia="es-MX"/>
        </w:rPr>
        <w:t>razón de efectivo</w:t>
      </w:r>
      <w:r w:rsidRPr="00824294">
        <w:rPr>
          <w:rFonts w:ascii="Arial" w:eastAsia="Calibri" w:hAnsi="Arial" w:cs="Arial"/>
          <w:color w:val="000000" w:themeColor="text1"/>
          <w:sz w:val="22"/>
          <w:lang w:val="es-ES_tradnl" w:eastAsia="es-MX"/>
        </w:rPr>
        <w:t xml:space="preserve">, la denominada </w:t>
      </w:r>
      <w:r w:rsidRPr="00824294">
        <w:rPr>
          <w:rFonts w:ascii="Arial" w:eastAsia="Calibri" w:hAnsi="Arial" w:cs="Arial"/>
          <w:i/>
          <w:iCs/>
          <w:color w:val="000000" w:themeColor="text1"/>
          <w:sz w:val="22"/>
          <w:lang w:val="es-ES_tradnl" w:eastAsia="es-MX"/>
        </w:rPr>
        <w:t>prueba ácida</w:t>
      </w:r>
      <w:r w:rsidRPr="00824294">
        <w:rPr>
          <w:rFonts w:ascii="Arial" w:eastAsia="Calibri" w:hAnsi="Arial" w:cs="Arial"/>
          <w:color w:val="000000" w:themeColor="text1"/>
          <w:sz w:val="22"/>
          <w:vertAlign w:val="superscript"/>
          <w:lang w:val="es-ES_tradnl" w:eastAsia="es-MX"/>
        </w:rPr>
        <w:footnoteReference w:id="5"/>
      </w:r>
      <w:r w:rsidRPr="00824294">
        <w:rPr>
          <w:rFonts w:ascii="Arial" w:eastAsia="Calibri" w:hAnsi="Arial" w:cs="Arial"/>
          <w:color w:val="000000" w:themeColor="text1"/>
          <w:sz w:val="22"/>
          <w:lang w:val="es-ES_tradnl" w:eastAsia="es-MX"/>
        </w:rPr>
        <w:t xml:space="preserve">, la </w:t>
      </w:r>
      <w:r w:rsidRPr="00824294">
        <w:rPr>
          <w:rFonts w:ascii="Arial" w:eastAsia="Calibri" w:hAnsi="Arial" w:cs="Arial"/>
          <w:i/>
          <w:iCs/>
          <w:color w:val="000000" w:themeColor="text1"/>
          <w:sz w:val="22"/>
          <w:lang w:val="es-ES_tradnl" w:eastAsia="es-MX"/>
        </w:rPr>
        <w:t xml:space="preserve">concentración de endeudamiento a corto </w:t>
      </w:r>
      <w:r w:rsidRPr="00824294">
        <w:rPr>
          <w:rFonts w:ascii="Arial" w:eastAsia="Calibri" w:hAnsi="Arial" w:cs="Arial"/>
          <w:color w:val="000000" w:themeColor="text1"/>
          <w:sz w:val="22"/>
          <w:lang w:val="es-ES_tradnl" w:eastAsia="es-MX"/>
        </w:rPr>
        <w:t>y</w:t>
      </w:r>
      <w:r w:rsidRPr="00824294">
        <w:rPr>
          <w:rFonts w:ascii="Arial" w:eastAsia="Calibri" w:hAnsi="Arial" w:cs="Arial"/>
          <w:i/>
          <w:iCs/>
          <w:color w:val="000000" w:themeColor="text1"/>
          <w:sz w:val="22"/>
          <w:lang w:val="es-ES_tradnl" w:eastAsia="es-MX"/>
        </w:rPr>
        <w:t xml:space="preserve"> a largo plazo</w:t>
      </w:r>
      <w:r w:rsidRPr="00824294">
        <w:rPr>
          <w:rFonts w:ascii="Arial" w:eastAsia="Calibri" w:hAnsi="Arial" w:cs="Arial"/>
          <w:color w:val="000000" w:themeColor="text1"/>
          <w:sz w:val="22"/>
          <w:lang w:val="es-ES_tradnl" w:eastAsia="es-MX"/>
        </w:rPr>
        <w:t xml:space="preserve"> y el </w:t>
      </w:r>
      <w:r w:rsidRPr="00824294">
        <w:rPr>
          <w:rFonts w:ascii="Arial" w:eastAsia="Calibri" w:hAnsi="Arial" w:cs="Arial"/>
          <w:i/>
          <w:iCs/>
          <w:color w:val="000000" w:themeColor="text1"/>
          <w:sz w:val="22"/>
          <w:lang w:val="es-ES_tradnl" w:eastAsia="es-MX"/>
        </w:rPr>
        <w:t>patrimonio</w:t>
      </w:r>
      <w:r w:rsidRPr="00824294">
        <w:rPr>
          <w:rFonts w:ascii="Arial" w:eastAsia="Calibri" w:hAnsi="Arial" w:cs="Arial"/>
          <w:color w:val="000000" w:themeColor="text1"/>
          <w:sz w:val="22"/>
          <w:lang w:val="es-ES_tradnl" w:eastAsia="es-MX"/>
        </w:rPr>
        <w:t>.</w:t>
      </w:r>
    </w:p>
    <w:p w14:paraId="000E2742" w14:textId="77777777" w:rsidR="00824294" w:rsidRPr="00824294" w:rsidRDefault="00824294" w:rsidP="00824294">
      <w:pPr>
        <w:spacing w:before="120" w:line="276" w:lineRule="auto"/>
        <w:ind w:firstLine="709"/>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Para efectos de la consulta,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3A04ADD9" w14:textId="77777777" w:rsidR="00824294" w:rsidRPr="00824294" w:rsidRDefault="00824294" w:rsidP="00824294">
      <w:pPr>
        <w:spacing w:before="120" w:line="276" w:lineRule="auto"/>
        <w:ind w:firstLine="709"/>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lastRenderedPageBreak/>
        <w:t xml:space="preserve">Este último caso, como se explicó anteriormente, los indicadores deben establecerse en proporción a la naturaleza del contrato a suscribir y su valor, plazo y forma de pago. Tratándose de la mínima cuantía, el numeral 2 del artículo 2.2.1.2.1.5.2 del Decreto 1082 de 2015 dispone que «La Entidad Estatal puede exigir una capacidad financiera mínima cuando no hace el pago contra entrega a satisfacción de los bienes, obras o servicios. Si la Entidad Estatal exige capacidad financiera debe indicar cómo hará la verificación correspondiente». Esto significa que en determinadas circunstancias es posible prescindir de la verificación de la capacidad financiera, por ejemplo, cuando existe un pago inmediato contra entrega de los bienes adquiridos o suministrados. Por tanto, en función de los criterios mencionados, la entidad también puede verificar este aspecto con alguno o todos los indicadores previstos en el artículo 2.2.1.1.1.5.3. del Decreto 1082 de 2015, incluso con la posibilidad de validar criterios adicionales a los previstos en el numeral 3 </w:t>
      </w:r>
      <w:r w:rsidRPr="00824294">
        <w:rPr>
          <w:rFonts w:ascii="Arial" w:eastAsia="Calibri" w:hAnsi="Arial" w:cs="Arial"/>
          <w:i/>
          <w:iCs/>
          <w:color w:val="000000" w:themeColor="text1"/>
          <w:sz w:val="22"/>
          <w:lang w:val="es-ES_tradnl" w:eastAsia="es-MX"/>
        </w:rPr>
        <w:t>ibidem</w:t>
      </w:r>
      <w:r w:rsidRPr="00824294">
        <w:rPr>
          <w:rFonts w:ascii="Arial" w:eastAsia="Calibri" w:hAnsi="Arial" w:cs="Arial"/>
          <w:color w:val="000000" w:themeColor="text1"/>
          <w:sz w:val="22"/>
          <w:lang w:val="es-ES_tradnl" w:eastAsia="es-MX"/>
        </w:rPr>
        <w:t xml:space="preserve">.   </w:t>
      </w:r>
    </w:p>
    <w:p w14:paraId="608E3160" w14:textId="77777777" w:rsidR="00824294" w:rsidRPr="00824294" w:rsidRDefault="00824294" w:rsidP="00824294">
      <w:pPr>
        <w:spacing w:before="120" w:line="276" w:lineRule="auto"/>
        <w:ind w:firstLine="709"/>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Considerando la discrecionalidad para establecer el requisito habilitante, es necesario tener en cuenta que </w:t>
      </w:r>
      <w:r w:rsidRPr="00824294">
        <w:rPr>
          <w:rFonts w:ascii="Arial" w:eastAsia="Calibri" w:hAnsi="Arial" w:cs="Arial"/>
          <w:sz w:val="22"/>
          <w:lang w:eastAsia="es-MX"/>
        </w:rPr>
        <w:t xml:space="preserve">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para efectos de los escenarios descritos en el párrafo precedente, la inclusión o exclusión de </w:t>
      </w:r>
      <w:r w:rsidRPr="00824294">
        <w:rPr>
          <w:rFonts w:ascii="Arial" w:eastAsia="Calibri" w:hAnsi="Arial" w:cs="Arial"/>
          <w:color w:val="000000" w:themeColor="text1"/>
          <w:sz w:val="22"/>
          <w:lang w:val="es-ES_tradnl" w:eastAsia="es-MX"/>
        </w:rPr>
        <w:t>los indicadores previstos en el artículo 2.2.1.1.1.5.3. del Decreto 1082 de 2015</w:t>
      </w:r>
      <w:r w:rsidRPr="00824294">
        <w:rPr>
          <w:rFonts w:ascii="Arial" w:eastAsia="Calibri" w:hAnsi="Arial" w:cs="Arial"/>
          <w:sz w:val="22"/>
          <w:lang w:eastAsia="es-MX"/>
        </w:rPr>
        <w:t xml:space="preserve"> está unida a la carga justificativa de la entidad en los estudios y documentos previos del proceso de selección.</w:t>
      </w:r>
      <w:r w:rsidRPr="00824294">
        <w:rPr>
          <w:rFonts w:ascii="Arial" w:eastAsia="Calibri" w:hAnsi="Arial" w:cs="Arial"/>
          <w:color w:val="000000" w:themeColor="text1"/>
          <w:sz w:val="22"/>
          <w:lang w:val="es-ES_tradnl" w:eastAsia="es-MX"/>
        </w:rPr>
        <w:t xml:space="preserve">   </w:t>
      </w:r>
    </w:p>
    <w:p w14:paraId="4A092BA8" w14:textId="77777777" w:rsidR="00824294" w:rsidRPr="00824294" w:rsidRDefault="00824294" w:rsidP="00824294">
      <w:pPr>
        <w:tabs>
          <w:tab w:val="left" w:pos="0"/>
        </w:tabs>
        <w:spacing w:line="276" w:lineRule="auto"/>
        <w:jc w:val="both"/>
        <w:rPr>
          <w:rFonts w:ascii="Arial" w:eastAsia="Calibri" w:hAnsi="Arial" w:cs="Arial"/>
          <w:b/>
          <w:color w:val="000000" w:themeColor="text1"/>
          <w:sz w:val="22"/>
          <w:lang w:val="es-ES_tradnl" w:eastAsia="es-MX"/>
        </w:rPr>
      </w:pPr>
    </w:p>
    <w:p w14:paraId="5CDCA891" w14:textId="77777777" w:rsidR="00824294" w:rsidRPr="00824294" w:rsidRDefault="00824294" w:rsidP="00824294">
      <w:pPr>
        <w:tabs>
          <w:tab w:val="left" w:pos="0"/>
        </w:tabs>
        <w:spacing w:line="276" w:lineRule="auto"/>
        <w:jc w:val="both"/>
        <w:rPr>
          <w:rFonts w:ascii="Arial" w:eastAsia="Calibri" w:hAnsi="Arial" w:cs="Arial"/>
          <w:b/>
          <w:color w:val="000000" w:themeColor="text1"/>
          <w:sz w:val="22"/>
          <w:lang w:val="es-ES_tradnl" w:eastAsia="es-MX"/>
        </w:rPr>
      </w:pPr>
      <w:r w:rsidRPr="00824294">
        <w:rPr>
          <w:rFonts w:ascii="Arial" w:eastAsia="Calibri" w:hAnsi="Arial" w:cs="Arial"/>
          <w:b/>
          <w:color w:val="000000" w:themeColor="text1"/>
          <w:sz w:val="22"/>
          <w:lang w:val="es-ES_tradnl" w:eastAsia="es-MX"/>
        </w:rPr>
        <w:t>2.3. Carácter enunciativo de los requisitos habilitantes previstos en el artículo 5, numeral 1, de la Ley 1150 de 2007 y autonomía de la voluntad de las entidades estatales para establecerlos</w:t>
      </w:r>
    </w:p>
    <w:p w14:paraId="183BA908" w14:textId="77777777" w:rsidR="00824294" w:rsidRPr="00824294" w:rsidRDefault="00824294" w:rsidP="00824294">
      <w:pPr>
        <w:spacing w:line="276" w:lineRule="auto"/>
        <w:jc w:val="both"/>
        <w:rPr>
          <w:rFonts w:ascii="Arial" w:eastAsia="Times New Roman" w:hAnsi="Arial" w:cs="Arial"/>
          <w:color w:val="000000" w:themeColor="text1"/>
          <w:sz w:val="22"/>
          <w:lang w:val="es-ES_tradnl" w:eastAsia="es-MX"/>
        </w:rPr>
      </w:pPr>
    </w:p>
    <w:p w14:paraId="43D05007" w14:textId="77777777" w:rsidR="00824294" w:rsidRPr="00824294" w:rsidRDefault="00824294" w:rsidP="00824294">
      <w:pPr>
        <w:spacing w:line="276" w:lineRule="auto"/>
        <w:jc w:val="both"/>
        <w:rPr>
          <w:rFonts w:ascii="Arial" w:eastAsia="Times New Roman" w:hAnsi="Arial" w:cs="Arial"/>
          <w:color w:val="000000" w:themeColor="text1"/>
          <w:sz w:val="22"/>
          <w:lang w:val="es-ES_tradnl" w:eastAsia="es-MX"/>
        </w:rPr>
      </w:pPr>
      <w:r w:rsidRPr="00824294">
        <w:rPr>
          <w:rFonts w:ascii="Arial" w:eastAsia="Times New Roman" w:hAnsi="Arial" w:cs="Arial"/>
          <w:color w:val="000000" w:themeColor="text1"/>
          <w:sz w:val="22"/>
          <w:lang w:val="es-ES_tradnl" w:eastAsia="es-MX"/>
        </w:rPr>
        <w:t xml:space="preserve">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w:t>
      </w:r>
      <w:r w:rsidRPr="00824294">
        <w:rPr>
          <w:rFonts w:ascii="Arial" w:eastAsia="Times New Roman" w:hAnsi="Arial" w:cs="Arial"/>
          <w:color w:val="000000" w:themeColor="text1"/>
          <w:sz w:val="22"/>
          <w:lang w:val="es-ES_tradnl" w:eastAsia="es-MX"/>
        </w:rPr>
        <w:lastRenderedPageBreak/>
        <w:t>parágrafo 1, de la Ley 1150 de 2007</w:t>
      </w:r>
      <w:r w:rsidRPr="00824294">
        <w:rPr>
          <w:rFonts w:ascii="Arial" w:eastAsia="Times New Roman" w:hAnsi="Arial" w:cs="Arial"/>
          <w:color w:val="000000" w:themeColor="text1"/>
          <w:sz w:val="22"/>
          <w:vertAlign w:val="superscript"/>
          <w:lang w:val="es-ES_tradnl" w:eastAsia="es-MX"/>
        </w:rPr>
        <w:footnoteReference w:id="6"/>
      </w:r>
      <w:r w:rsidRPr="00824294">
        <w:rPr>
          <w:rFonts w:ascii="Arial" w:eastAsia="Times New Roman" w:hAnsi="Arial" w:cs="Arial"/>
          <w:color w:val="000000" w:themeColor="text1"/>
          <w:sz w:val="22"/>
          <w:lang w:val="es-ES_tradnl" w:eastAsia="es-MX"/>
        </w:rPr>
        <w:t xml:space="preserve">. Esta segunda respuesta contiene la interpretación legal que comparte la Agencia Nacional de Contratación Pública. </w:t>
      </w:r>
    </w:p>
    <w:p w14:paraId="299AF842" w14:textId="77777777" w:rsidR="00824294" w:rsidRPr="00824294" w:rsidRDefault="00824294" w:rsidP="00824294">
      <w:pPr>
        <w:spacing w:before="120" w:line="276" w:lineRule="auto"/>
        <w:ind w:firstLine="709"/>
        <w:jc w:val="both"/>
        <w:rPr>
          <w:rFonts w:ascii="Arial" w:eastAsia="Times New Roman" w:hAnsi="Arial" w:cs="Arial"/>
          <w:color w:val="000000" w:themeColor="text1"/>
          <w:sz w:val="22"/>
          <w:lang w:val="es-ES_tradnl" w:eastAsia="es-MX"/>
        </w:rPr>
      </w:pPr>
      <w:r w:rsidRPr="00824294">
        <w:rPr>
          <w:rFonts w:ascii="Arial" w:eastAsia="Times New Roman" w:hAnsi="Arial" w:cs="Arial"/>
          <w:color w:val="000000" w:themeColor="text1"/>
          <w:sz w:val="22"/>
          <w:lang w:val="es-ES_tradnl" w:eastAsia="es-MX"/>
        </w:rPr>
        <w:t>Existen otros argumentos que sustentan dicha elección interpretativa. Como lo han considerado la Corte Constitucional</w:t>
      </w:r>
      <w:r w:rsidRPr="00824294">
        <w:rPr>
          <w:rFonts w:ascii="Arial" w:eastAsia="Times New Roman" w:hAnsi="Arial" w:cs="Arial"/>
          <w:color w:val="000000" w:themeColor="text1"/>
          <w:sz w:val="22"/>
          <w:vertAlign w:val="superscript"/>
          <w:lang w:val="es-ES_tradnl" w:eastAsia="es-MX"/>
        </w:rPr>
        <w:footnoteReference w:id="7"/>
      </w:r>
      <w:r w:rsidRPr="00824294">
        <w:rPr>
          <w:rFonts w:ascii="Arial" w:eastAsia="Times New Roman" w:hAnsi="Arial" w:cs="Arial"/>
          <w:color w:val="000000" w:themeColor="text1"/>
          <w:sz w:val="22"/>
          <w:lang w:val="es-ES_tradnl" w:eastAsia="es-MX"/>
        </w:rPr>
        <w:t xml:space="preserve"> y el Consejo de Estado</w:t>
      </w:r>
      <w:r w:rsidRPr="00824294">
        <w:rPr>
          <w:rFonts w:ascii="Arial" w:eastAsia="Times New Roman" w:hAnsi="Arial" w:cs="Arial"/>
          <w:color w:val="000000" w:themeColor="text1"/>
          <w:sz w:val="22"/>
          <w:vertAlign w:val="superscript"/>
          <w:lang w:val="es-ES_tradnl" w:eastAsia="es-MX"/>
        </w:rPr>
        <w:footnoteReference w:id="8"/>
      </w:r>
      <w:r w:rsidRPr="00824294">
        <w:rPr>
          <w:rFonts w:ascii="Arial" w:eastAsia="Times New Roman" w:hAnsi="Arial" w:cs="Arial"/>
          <w:color w:val="000000" w:themeColor="text1"/>
          <w:sz w:val="22"/>
          <w:lang w:val="es-ES_tradnl" w:eastAsia="es-MX"/>
        </w:rPr>
        <w:t>,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sidRPr="00824294">
        <w:rPr>
          <w:rFonts w:ascii="Arial" w:eastAsia="Times New Roman" w:hAnsi="Arial" w:cs="Arial"/>
          <w:color w:val="000000" w:themeColor="text1"/>
          <w:lang w:val="es-ES_tradnl" w:eastAsia="es-MX"/>
        </w:rPr>
        <w:t>l</w:t>
      </w:r>
      <w:r w:rsidRPr="00824294">
        <w:rPr>
          <w:rFonts w:ascii="Arial" w:eastAsia="Times New Roman" w:hAnsi="Arial" w:cs="Arial"/>
          <w:color w:val="000000" w:themeColor="text1"/>
          <w:sz w:val="22"/>
          <w:lang w:val="es-ES_tradnl" w:eastAsia="es-MX"/>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3932BC0A" w14:textId="77777777" w:rsidR="00824294" w:rsidRPr="00824294" w:rsidRDefault="00824294" w:rsidP="00824294">
      <w:pPr>
        <w:spacing w:before="120" w:line="276" w:lineRule="auto"/>
        <w:ind w:firstLine="709"/>
        <w:jc w:val="both"/>
        <w:rPr>
          <w:rFonts w:ascii="Arial" w:eastAsia="Times New Roman" w:hAnsi="Arial" w:cs="Arial"/>
          <w:color w:val="000000" w:themeColor="text1"/>
          <w:sz w:val="22"/>
          <w:lang w:val="es-ES_tradnl" w:eastAsia="es-MX"/>
        </w:rPr>
      </w:pPr>
      <w:r w:rsidRPr="00824294">
        <w:rPr>
          <w:rFonts w:ascii="Arial" w:eastAsia="Times New Roman" w:hAnsi="Arial" w:cs="Arial"/>
          <w:color w:val="000000" w:themeColor="text1"/>
          <w:sz w:val="22"/>
          <w:lang w:val="es-ES_tradnl" w:eastAsia="es-MX"/>
        </w:rPr>
        <w:t xml:space="preserve">La intención del legislador, de la cual dan cuenta los antecedentes legislativos de la norma </w:t>
      </w:r>
      <w:r w:rsidRPr="00824294">
        <w:rPr>
          <w:rFonts w:ascii="Arial" w:eastAsia="Times New Roman" w:hAnsi="Arial" w:cs="Arial"/>
          <w:i/>
          <w:iCs/>
          <w:color w:val="000000" w:themeColor="text1"/>
          <w:sz w:val="22"/>
          <w:lang w:val="es-ES_tradnl" w:eastAsia="es-MX"/>
        </w:rPr>
        <w:t>sub examine</w:t>
      </w:r>
      <w:r w:rsidRPr="00824294">
        <w:rPr>
          <w:rFonts w:ascii="Arial" w:eastAsia="Times New Roman" w:hAnsi="Arial" w:cs="Arial"/>
          <w:color w:val="000000" w:themeColor="text1"/>
          <w:sz w:val="22"/>
          <w:lang w:val="es-ES_tradnl" w:eastAsia="es-MX"/>
        </w:rPr>
        <w:t>, también justifica la interpretación propuesta por esta Agencia, ya que fue hasta el cuarto debate parlamentario en donde se incluyó el parágrafo comentando anteriormente</w:t>
      </w:r>
      <w:r w:rsidRPr="00824294">
        <w:rPr>
          <w:rFonts w:ascii="Arial" w:eastAsia="Times New Roman" w:hAnsi="Arial" w:cs="Arial"/>
          <w:color w:val="000000" w:themeColor="text1"/>
          <w:sz w:val="22"/>
          <w:vertAlign w:val="superscript"/>
          <w:lang w:val="es-ES_tradnl" w:eastAsia="es-MX"/>
        </w:rPr>
        <w:footnoteReference w:id="9"/>
      </w:r>
      <w:r w:rsidRPr="00824294">
        <w:rPr>
          <w:rFonts w:ascii="Arial" w:eastAsia="Times New Roman" w:hAnsi="Arial" w:cs="Arial"/>
          <w:color w:val="000000" w:themeColor="text1"/>
          <w:sz w:val="22"/>
          <w:lang w:val="es-ES_tradnl" w:eastAsia="es-MX"/>
        </w:rPr>
        <w:t>, lo que deja ver la necesidad que tenía el Congreso de aclarar que unos documentos no podrían ser tenidos como requisitos habilitantes, lo que da cuenta, a su vez, del reconocimiento tácito de la existencia de otros requisitos habilitantes, distintos a los cuatro que establece el artículo 5, parágrafo 1, de la Ley 1150 de 2007.</w:t>
      </w:r>
    </w:p>
    <w:p w14:paraId="6A64B115" w14:textId="77777777" w:rsidR="00824294" w:rsidRPr="00824294" w:rsidRDefault="00824294" w:rsidP="00824294">
      <w:pPr>
        <w:spacing w:before="120" w:line="276" w:lineRule="auto"/>
        <w:ind w:firstLine="709"/>
        <w:jc w:val="both"/>
        <w:rPr>
          <w:rFonts w:ascii="Arial" w:eastAsia="Times New Roman" w:hAnsi="Arial" w:cs="Arial"/>
          <w:color w:val="000000" w:themeColor="text1"/>
          <w:sz w:val="22"/>
          <w:lang w:val="es-ES_tradnl" w:eastAsia="es-MX"/>
        </w:rPr>
      </w:pPr>
      <w:r w:rsidRPr="00824294">
        <w:rPr>
          <w:rFonts w:ascii="Arial" w:eastAsia="Times New Roman" w:hAnsi="Arial" w:cs="Arial"/>
          <w:color w:val="000000" w:themeColor="text1"/>
          <w:sz w:val="22"/>
          <w:lang w:val="es-ES_tradnl" w:eastAsia="es-MX"/>
        </w:rPr>
        <w:lastRenderedPageBreak/>
        <w:t xml:space="preserve">Por otro lado, en el referido «Manual para determinar y verificar los requisitos habilitantes en los Procesos de Contratación» se determinaron los parámetros para </w:t>
      </w:r>
      <w:r w:rsidRPr="00824294">
        <w:rPr>
          <w:rFonts w:ascii="Arial" w:eastAsia="Times New Roman" w:hAnsi="Arial" w:cs="Arial"/>
          <w:i/>
          <w:iCs/>
          <w:color w:val="000000" w:themeColor="text1"/>
          <w:sz w:val="22"/>
          <w:lang w:val="es-ES_tradnl" w:eastAsia="es-MX"/>
        </w:rPr>
        <w:t>establecer</w:t>
      </w:r>
      <w:r w:rsidRPr="00824294">
        <w:rPr>
          <w:rFonts w:ascii="Arial" w:eastAsia="Times New Roman" w:hAnsi="Arial" w:cs="Arial"/>
          <w:color w:val="000000" w:themeColor="text1"/>
          <w:sz w:val="22"/>
          <w:lang w:val="es-ES_tradnl" w:eastAsia="es-MX"/>
        </w:rPr>
        <w:t xml:space="preserve">, </w:t>
      </w:r>
      <w:r w:rsidRPr="00824294">
        <w:rPr>
          <w:rFonts w:ascii="Arial" w:eastAsia="Times New Roman" w:hAnsi="Arial" w:cs="Arial"/>
          <w:i/>
          <w:iCs/>
          <w:color w:val="000000" w:themeColor="text1"/>
          <w:sz w:val="22"/>
          <w:lang w:val="es-ES_tradnl" w:eastAsia="es-MX"/>
        </w:rPr>
        <w:t>acreditar</w:t>
      </w:r>
      <w:r w:rsidRPr="00824294">
        <w:rPr>
          <w:rFonts w:ascii="Arial" w:eastAsia="Times New Roman" w:hAnsi="Arial" w:cs="Arial"/>
          <w:color w:val="000000" w:themeColor="text1"/>
          <w:sz w:val="22"/>
          <w:lang w:val="es-ES_tradnl" w:eastAsia="es-MX"/>
        </w:rPr>
        <w:t xml:space="preserve"> y </w:t>
      </w:r>
      <w:r w:rsidRPr="00824294">
        <w:rPr>
          <w:rFonts w:ascii="Arial" w:eastAsia="Times New Roman" w:hAnsi="Arial" w:cs="Arial"/>
          <w:i/>
          <w:iCs/>
          <w:color w:val="000000" w:themeColor="text1"/>
          <w:sz w:val="22"/>
          <w:lang w:val="es-ES_tradnl" w:eastAsia="es-MX"/>
        </w:rPr>
        <w:t>subsanar</w:t>
      </w:r>
      <w:r w:rsidRPr="00824294">
        <w:rPr>
          <w:rFonts w:ascii="Arial" w:eastAsia="Times New Roman" w:hAnsi="Arial" w:cs="Arial"/>
          <w:color w:val="000000" w:themeColor="text1"/>
          <w:sz w:val="22"/>
          <w:lang w:val="es-ES_tradnl" w:eastAsia="es-MX"/>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33EA7096" w14:textId="77777777" w:rsidR="00824294" w:rsidRPr="00824294" w:rsidRDefault="00824294" w:rsidP="00824294">
      <w:pPr>
        <w:spacing w:before="120" w:after="120" w:line="276" w:lineRule="auto"/>
        <w:ind w:firstLine="709"/>
        <w:jc w:val="both"/>
        <w:rPr>
          <w:rFonts w:ascii="Arial" w:eastAsia="Times New Roman" w:hAnsi="Arial" w:cs="Arial"/>
          <w:color w:val="000000" w:themeColor="text1"/>
          <w:sz w:val="22"/>
          <w:lang w:val="es-ES_tradnl" w:eastAsia="es-MX"/>
        </w:rPr>
      </w:pPr>
      <w:bookmarkStart w:id="0" w:name="_Hlk34917473"/>
      <w:r w:rsidRPr="00824294">
        <w:rPr>
          <w:rFonts w:ascii="Arial" w:eastAsia="Times New Roman" w:hAnsi="Arial" w:cs="Arial"/>
          <w:color w:val="000000" w:themeColor="text1"/>
          <w:sz w:val="22"/>
          <w:lang w:val="es-ES_tradnl" w:eastAsia="es-MX"/>
        </w:rPr>
        <w:t xml:space="preserve">En consecuencia, corresponde a las entidades estatales, durante la etapa de planeación del contrato estatal, estudiar y </w:t>
      </w:r>
      <w:r w:rsidRPr="00824294">
        <w:rPr>
          <w:rFonts w:ascii="Arial" w:eastAsia="Times New Roman" w:hAnsi="Arial" w:cs="Arial"/>
          <w:bCs/>
          <w:iCs/>
          <w:color w:val="000000" w:themeColor="text1"/>
          <w:sz w:val="22"/>
          <w:lang w:val="es-ES_tradnl" w:eastAsia="es-MX"/>
        </w:rPr>
        <w:t>determinar</w:t>
      </w:r>
      <w:r w:rsidRPr="00824294">
        <w:rPr>
          <w:rFonts w:ascii="Arial" w:eastAsia="Times New Roman" w:hAnsi="Arial" w:cs="Arial"/>
          <w:color w:val="000000" w:themeColor="text1"/>
          <w:sz w:val="22"/>
          <w:lang w:val="es-ES_tradnl" w:eastAsia="es-MX"/>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824294">
        <w:rPr>
          <w:rFonts w:ascii="Arial" w:eastAsia="Times New Roman" w:hAnsi="Arial" w:cs="Arial"/>
          <w:i/>
          <w:iCs/>
          <w:color w:val="000000" w:themeColor="text1"/>
          <w:sz w:val="22"/>
          <w:lang w:val="es-ES_tradnl" w:eastAsia="es-MX"/>
        </w:rPr>
        <w:t>riesgos</w:t>
      </w:r>
      <w:r w:rsidRPr="00824294">
        <w:rPr>
          <w:rFonts w:ascii="Arial" w:eastAsia="Times New Roman" w:hAnsi="Arial" w:cs="Arial"/>
          <w:color w:val="000000" w:themeColor="text1"/>
          <w:sz w:val="22"/>
          <w:lang w:val="es-ES_tradnl" w:eastAsia="es-MX"/>
        </w:rPr>
        <w:t xml:space="preserve"> </w:t>
      </w:r>
      <w:r w:rsidRPr="00824294">
        <w:rPr>
          <w:rFonts w:ascii="Arial" w:eastAsia="Times New Roman" w:hAnsi="Arial" w:cs="Arial"/>
          <w:i/>
          <w:iCs/>
          <w:color w:val="000000" w:themeColor="text1"/>
          <w:sz w:val="22"/>
          <w:lang w:val="es-ES_tradnl" w:eastAsia="es-MX"/>
        </w:rPr>
        <w:t>asociados al contrato</w:t>
      </w:r>
      <w:r w:rsidRPr="00824294">
        <w:rPr>
          <w:rFonts w:ascii="Arial" w:eastAsia="Times New Roman" w:hAnsi="Arial" w:cs="Arial"/>
          <w:color w:val="000000" w:themeColor="text1"/>
          <w:sz w:val="22"/>
          <w:lang w:val="es-ES_tradnl" w:eastAsia="es-MX"/>
        </w:rPr>
        <w:t xml:space="preserve">,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bookmarkEnd w:id="0"/>
    <w:p w14:paraId="43EDEAEE" w14:textId="77777777" w:rsidR="00824294" w:rsidRPr="00824294" w:rsidRDefault="00824294" w:rsidP="00824294">
      <w:pPr>
        <w:spacing w:before="120" w:after="120" w:line="276" w:lineRule="auto"/>
        <w:ind w:firstLine="709"/>
        <w:jc w:val="both"/>
        <w:rPr>
          <w:rFonts w:ascii="Arial" w:eastAsia="Times New Roman" w:hAnsi="Arial" w:cs="Arial"/>
          <w:color w:val="000000" w:themeColor="text1"/>
          <w:sz w:val="22"/>
          <w:lang w:val="es-ES_tradnl" w:eastAsia="es-MX"/>
        </w:rPr>
      </w:pPr>
      <w:r w:rsidRPr="00824294">
        <w:rPr>
          <w:rFonts w:ascii="Arial" w:eastAsia="Times New Roman" w:hAnsi="Arial" w:cs="Arial"/>
          <w:color w:val="000000" w:themeColor="text1"/>
          <w:sz w:val="22"/>
          <w:lang w:val="es-ES_tradnl" w:eastAsia="es-MX"/>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195A8E65" w14:textId="77777777" w:rsidR="00824294" w:rsidRPr="00824294" w:rsidRDefault="00824294" w:rsidP="00824294">
      <w:pPr>
        <w:spacing w:before="120" w:after="120" w:line="276" w:lineRule="auto"/>
        <w:ind w:firstLine="709"/>
        <w:jc w:val="both"/>
        <w:rPr>
          <w:rFonts w:ascii="Arial" w:eastAsia="Times New Roman" w:hAnsi="Arial" w:cs="Arial"/>
          <w:color w:val="000000" w:themeColor="text1"/>
          <w:sz w:val="22"/>
          <w:lang w:val="es-ES_tradnl" w:eastAsia="es-MX"/>
        </w:rPr>
      </w:pPr>
      <w:r w:rsidRPr="00824294">
        <w:rPr>
          <w:rFonts w:ascii="Arial" w:eastAsia="Times New Roman" w:hAnsi="Arial" w:cs="Arial"/>
          <w:color w:val="000000" w:themeColor="text1"/>
          <w:sz w:val="22"/>
          <w:lang w:val="es-ES_tradnl" w:eastAsia="es-MX"/>
        </w:rPr>
        <w:t xml:space="preserve">El </w:t>
      </w:r>
      <w:r w:rsidRPr="00824294">
        <w:rPr>
          <w:rFonts w:ascii="Arial" w:eastAsia="Times New Roman" w:hAnsi="Arial" w:cs="Arial"/>
          <w:i/>
          <w:iCs/>
          <w:color w:val="000000" w:themeColor="text1"/>
          <w:sz w:val="22"/>
          <w:lang w:val="es-ES_tradnl" w:eastAsia="es-MX"/>
        </w:rPr>
        <w:t>principio de autonomía de la voluntad</w:t>
      </w:r>
      <w:r w:rsidRPr="00824294">
        <w:rPr>
          <w:rFonts w:ascii="Arial" w:eastAsia="Times New Roman" w:hAnsi="Arial" w:cs="Arial"/>
          <w:color w:val="000000" w:themeColor="text1"/>
          <w:sz w:val="22"/>
          <w:lang w:val="es-ES_tradnl" w:eastAsia="es-MX"/>
        </w:rPr>
        <w:t xml:space="preserve">,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w:t>
      </w:r>
      <w:proofErr w:type="gramStart"/>
      <w:r w:rsidRPr="00824294">
        <w:rPr>
          <w:rFonts w:ascii="Arial" w:eastAsia="Times New Roman" w:hAnsi="Arial" w:cs="Arial"/>
          <w:color w:val="000000" w:themeColor="text1"/>
          <w:sz w:val="22"/>
          <w:lang w:val="es-ES_tradnl" w:eastAsia="es-MX"/>
        </w:rPr>
        <w:t>que</w:t>
      </w:r>
      <w:proofErr w:type="gramEnd"/>
      <w:r w:rsidRPr="00824294">
        <w:rPr>
          <w:rFonts w:ascii="Arial" w:eastAsia="Times New Roman" w:hAnsi="Arial" w:cs="Arial"/>
          <w:color w:val="000000" w:themeColor="text1"/>
          <w:sz w:val="22"/>
          <w:lang w:val="es-ES_tradnl" w:eastAsia="es-MX"/>
        </w:rPr>
        <w:t xml:space="preserve"> si se incluyen los que aquel prevé, por regla general, no otorgan puntaje; </w:t>
      </w:r>
      <w:r w:rsidRPr="00824294">
        <w:rPr>
          <w:rFonts w:ascii="Arial" w:eastAsia="Times New Roman" w:hAnsi="Arial" w:cs="Arial"/>
          <w:color w:val="000000" w:themeColor="text1"/>
          <w:sz w:val="22"/>
          <w:lang w:val="es-ES_tradnl" w:eastAsia="es-MX"/>
        </w:rPr>
        <w:lastRenderedPageBreak/>
        <w:t>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42157BAD" w14:textId="77777777" w:rsidR="00824294" w:rsidRPr="00824294" w:rsidRDefault="00824294" w:rsidP="00824294">
      <w:pPr>
        <w:tabs>
          <w:tab w:val="left" w:pos="426"/>
        </w:tabs>
        <w:spacing w:before="120" w:line="276" w:lineRule="auto"/>
        <w:ind w:firstLine="709"/>
        <w:jc w:val="both"/>
        <w:rPr>
          <w:rFonts w:ascii="Arial" w:eastAsia="Calibri" w:hAnsi="Arial" w:cs="Arial"/>
          <w:bCs/>
          <w:sz w:val="22"/>
          <w:szCs w:val="22"/>
          <w:lang w:val="es-ES_tradnl" w:eastAsia="es-MX"/>
        </w:rPr>
      </w:pPr>
      <w:r w:rsidRPr="00824294">
        <w:rPr>
          <w:rFonts w:ascii="Arial" w:eastAsia="Calibri" w:hAnsi="Arial" w:cs="Arial"/>
          <w:color w:val="000000" w:themeColor="text1"/>
          <w:sz w:val="22"/>
          <w:lang w:val="es-ES_tradnl" w:eastAsia="es-MX"/>
        </w:rPr>
        <w:t xml:space="preserve">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 </w:t>
      </w:r>
    </w:p>
    <w:p w14:paraId="4D368486" w14:textId="77777777" w:rsidR="00824294" w:rsidRPr="00824294" w:rsidRDefault="00824294" w:rsidP="00824294">
      <w:pPr>
        <w:tabs>
          <w:tab w:val="left" w:pos="709"/>
        </w:tabs>
        <w:spacing w:line="276" w:lineRule="auto"/>
        <w:ind w:firstLine="709"/>
        <w:jc w:val="both"/>
        <w:rPr>
          <w:rFonts w:ascii="Arial" w:eastAsia="Calibri" w:hAnsi="Arial" w:cs="Arial"/>
          <w:bCs/>
          <w:sz w:val="22"/>
          <w:szCs w:val="22"/>
          <w:lang w:val="es-ES_tradnl" w:eastAsia="es-MX"/>
        </w:rPr>
      </w:pPr>
    </w:p>
    <w:p w14:paraId="3F86D901" w14:textId="77777777" w:rsidR="00824294" w:rsidRPr="00824294" w:rsidRDefault="00824294" w:rsidP="00824294">
      <w:pPr>
        <w:tabs>
          <w:tab w:val="left" w:pos="709"/>
        </w:tabs>
        <w:spacing w:line="276" w:lineRule="auto"/>
        <w:jc w:val="both"/>
        <w:rPr>
          <w:rFonts w:ascii="Arial" w:eastAsia="Calibri" w:hAnsi="Arial" w:cs="Arial"/>
          <w:b/>
          <w:sz w:val="22"/>
          <w:lang w:val="es-ES_tradnl" w:eastAsia="es-MX"/>
        </w:rPr>
      </w:pPr>
      <w:r w:rsidRPr="00824294">
        <w:rPr>
          <w:rFonts w:ascii="Arial" w:eastAsia="Calibri" w:hAnsi="Arial" w:cs="Arial"/>
          <w:b/>
          <w:sz w:val="22"/>
          <w:lang w:val="es-ES_tradnl" w:eastAsia="es-MX"/>
        </w:rPr>
        <w:t>3. Respuesta</w:t>
      </w:r>
    </w:p>
    <w:p w14:paraId="333FCA6A" w14:textId="77777777" w:rsidR="00824294" w:rsidRPr="00824294" w:rsidRDefault="00824294" w:rsidP="00824294">
      <w:pPr>
        <w:tabs>
          <w:tab w:val="left" w:pos="709"/>
        </w:tabs>
        <w:spacing w:line="276" w:lineRule="auto"/>
        <w:ind w:left="709" w:right="709"/>
        <w:jc w:val="both"/>
        <w:rPr>
          <w:rFonts w:ascii="Arial" w:eastAsia="Calibri" w:hAnsi="Arial" w:cs="Arial"/>
          <w:b/>
          <w:sz w:val="21"/>
          <w:szCs w:val="21"/>
          <w:lang w:val="es-ES_tradnl" w:eastAsia="es-MX"/>
        </w:rPr>
      </w:pPr>
    </w:p>
    <w:p w14:paraId="31451030" w14:textId="77777777" w:rsidR="00824294" w:rsidRPr="00824294" w:rsidRDefault="00824294" w:rsidP="00824294">
      <w:pPr>
        <w:ind w:left="709" w:right="709"/>
        <w:jc w:val="both"/>
        <w:rPr>
          <w:rFonts w:ascii="Arial" w:eastAsia="Calibri" w:hAnsi="Arial" w:cs="Arial"/>
          <w:sz w:val="21"/>
          <w:szCs w:val="21"/>
          <w:lang w:eastAsia="es-MX"/>
        </w:rPr>
      </w:pPr>
      <w:r w:rsidRPr="00824294">
        <w:rPr>
          <w:rFonts w:ascii="Arial" w:eastAsia="Calibri" w:hAnsi="Arial" w:cs="Arial"/>
          <w:sz w:val="21"/>
          <w:szCs w:val="21"/>
          <w:lang w:eastAsia="es-MX"/>
        </w:rPr>
        <w:t>«¿</w:t>
      </w:r>
      <w:r w:rsidRPr="00824294">
        <w:rPr>
          <w:rFonts w:ascii="Arial" w:eastAsia="Times New Roman" w:hAnsi="Arial" w:cs="Arial"/>
          <w:sz w:val="21"/>
          <w:szCs w:val="21"/>
          <w:lang w:eastAsia="es-MX"/>
        </w:rPr>
        <w:t>Todos los indicadores financieros establecidos en el numeral 3 del artículo 2.2.1.1.1.5.3 del Decreto 1882 de 2015 son obligatorios y por lo tanto se deben incluir de manera obligatoria en el pliego de condiciones?».</w:t>
      </w:r>
    </w:p>
    <w:p w14:paraId="418AC672" w14:textId="77777777" w:rsidR="00824294" w:rsidRPr="00824294" w:rsidRDefault="00824294" w:rsidP="00824294">
      <w:pPr>
        <w:spacing w:line="276" w:lineRule="auto"/>
        <w:jc w:val="both"/>
        <w:rPr>
          <w:rFonts w:ascii="Arial" w:eastAsia="Times New Roman" w:hAnsi="Arial" w:cs="Arial"/>
          <w:color w:val="000000"/>
          <w:sz w:val="22"/>
          <w:szCs w:val="22"/>
          <w:bdr w:val="none" w:sz="0" w:space="0" w:color="auto" w:frame="1"/>
          <w:lang w:val="es-ES_tradnl" w:eastAsia="es-MX"/>
        </w:rPr>
      </w:pPr>
    </w:p>
    <w:p w14:paraId="03EBE86C" w14:textId="77777777" w:rsidR="00824294" w:rsidRPr="00824294" w:rsidRDefault="00824294" w:rsidP="00824294">
      <w:pPr>
        <w:spacing w:after="120" w:line="276" w:lineRule="auto"/>
        <w:jc w:val="both"/>
        <w:rPr>
          <w:rFonts w:ascii="Arial" w:eastAsia="Times New Roman" w:hAnsi="Arial" w:cs="Arial"/>
          <w:color w:val="000000"/>
          <w:sz w:val="22"/>
          <w:szCs w:val="22"/>
          <w:bdr w:val="none" w:sz="0" w:space="0" w:color="auto" w:frame="1"/>
          <w:lang w:eastAsia="es-MX"/>
        </w:rPr>
      </w:pPr>
      <w:r w:rsidRPr="00824294">
        <w:rPr>
          <w:rFonts w:ascii="Arial" w:eastAsia="Times New Roman" w:hAnsi="Arial" w:cs="Arial"/>
          <w:color w:val="000000"/>
          <w:sz w:val="22"/>
          <w:szCs w:val="22"/>
          <w:bdr w:val="none" w:sz="0" w:space="0" w:color="auto" w:frame="1"/>
          <w:lang w:eastAsia="es-MX"/>
        </w:rPr>
        <w:t xml:space="preserve">Conforme a lo explicado en el presente oficio, es importante poner de presente que en nuestro ordenamiento jurídico, a efectos de la determinación de los requisitos habilitantes en cada proceso contractual, no existe una configuración taxativa y, por el contrario, las entidades estatales, en ejercicio de su autonomía de la voluntad, deben decidir el contenido de los requisitos habilitantes que en cada caso o proceso de selección permitirán comprobar que los eventuales oferentes puedan estar habilitados para participar. </w:t>
      </w:r>
    </w:p>
    <w:p w14:paraId="0C402505" w14:textId="77777777" w:rsidR="00824294" w:rsidRPr="00824294" w:rsidRDefault="00824294" w:rsidP="00824294">
      <w:pPr>
        <w:spacing w:before="120" w:line="276" w:lineRule="auto"/>
        <w:ind w:firstLine="709"/>
        <w:jc w:val="both"/>
        <w:rPr>
          <w:rFonts w:ascii="Arial" w:eastAsia="Calibri" w:hAnsi="Arial" w:cs="Arial"/>
          <w:color w:val="000000" w:themeColor="text1"/>
          <w:sz w:val="22"/>
          <w:lang w:val="es-ES_tradnl" w:eastAsia="es-MX"/>
        </w:rPr>
      </w:pPr>
      <w:r w:rsidRPr="00824294">
        <w:rPr>
          <w:rFonts w:ascii="Arial" w:eastAsia="Times New Roman" w:hAnsi="Arial" w:cs="Arial"/>
          <w:color w:val="000000"/>
          <w:sz w:val="22"/>
          <w:szCs w:val="22"/>
          <w:bdr w:val="none" w:sz="0" w:space="0" w:color="auto" w:frame="1"/>
          <w:lang w:eastAsia="es-MX"/>
        </w:rPr>
        <w:t xml:space="preserve">Tratándose de la capacidad financiera, </w:t>
      </w:r>
      <w:r w:rsidRPr="00824294">
        <w:rPr>
          <w:rFonts w:ascii="Arial" w:eastAsia="Calibri" w:hAnsi="Arial" w:cs="Arial"/>
          <w:color w:val="000000" w:themeColor="text1"/>
          <w:sz w:val="22"/>
          <w:lang w:val="es-ES_tradnl" w:eastAsia="es-MX"/>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pues deben conocer cada indicador, sus fórmulas de cálculo y su interpretación. </w:t>
      </w:r>
    </w:p>
    <w:p w14:paraId="13D8E39F" w14:textId="77777777" w:rsidR="00824294" w:rsidRPr="00824294" w:rsidRDefault="00824294" w:rsidP="00824294">
      <w:pPr>
        <w:spacing w:before="120" w:line="276" w:lineRule="auto"/>
        <w:ind w:firstLine="709"/>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w:t>
      </w:r>
      <w:r w:rsidRPr="00824294">
        <w:rPr>
          <w:rFonts w:ascii="Arial" w:eastAsia="Calibri" w:hAnsi="Arial" w:cs="Arial"/>
          <w:color w:val="000000" w:themeColor="text1"/>
          <w:sz w:val="22"/>
          <w:lang w:val="es-ES_tradnl" w:eastAsia="es-MX"/>
        </w:rPr>
        <w:lastRenderedPageBreak/>
        <w:t>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02A10416" w14:textId="77777777" w:rsidR="00824294" w:rsidRPr="00824294" w:rsidRDefault="00824294" w:rsidP="00824294">
      <w:pPr>
        <w:spacing w:before="120" w:after="120" w:line="276" w:lineRule="auto"/>
        <w:ind w:firstLine="709"/>
        <w:jc w:val="both"/>
        <w:rPr>
          <w:rFonts w:ascii="Arial" w:eastAsia="Calibri" w:hAnsi="Arial" w:cs="Arial"/>
          <w:color w:val="000000" w:themeColor="text1"/>
          <w:sz w:val="22"/>
          <w:lang w:val="es-ES_tradnl" w:eastAsia="es-MX"/>
        </w:rPr>
      </w:pPr>
      <w:r w:rsidRPr="00824294">
        <w:rPr>
          <w:rFonts w:ascii="Arial" w:eastAsia="Calibri" w:hAnsi="Arial" w:cs="Arial"/>
          <w:color w:val="000000" w:themeColor="text1"/>
          <w:sz w:val="22"/>
          <w:lang w:val="es-ES_tradnl" w:eastAsia="es-MX"/>
        </w:rPr>
        <w:t xml:space="preserve">Respecto a la mínima cuantía, el numeral 2 del artículo 2.2.1.2.1.5.2 del Decreto 1082 de 2015 dispone que «La Entidad Estatal puede exigir una capacidad financiera mínima cuando no hace el pago contra entrega a satisfacción de los bienes, obras o servicios. Si la Entidad Estatal exige capacidad financiera debe indicar cómo hará la verificación correspondiente». Esto significa que en determinadas circunstancias es posible prescindir de la verificación de la capacidad financiera, por ejemplo, cuando existe un pago inmediato contra entrega de los bienes adquiridos o suministrados. Por tanto, en función de los criterios mencionados </w:t>
      </w:r>
      <w:r w:rsidRPr="00824294">
        <w:rPr>
          <w:rFonts w:ascii="Arial" w:eastAsia="Calibri" w:hAnsi="Arial" w:cs="Arial"/>
          <w:i/>
          <w:iCs/>
          <w:color w:val="000000" w:themeColor="text1"/>
          <w:sz w:val="22"/>
          <w:lang w:val="es-ES_tradnl" w:eastAsia="es-MX"/>
        </w:rPr>
        <w:t>ut supra</w:t>
      </w:r>
      <w:r w:rsidRPr="00824294">
        <w:rPr>
          <w:rFonts w:ascii="Arial" w:eastAsia="Calibri" w:hAnsi="Arial" w:cs="Arial"/>
          <w:color w:val="000000" w:themeColor="text1"/>
          <w:sz w:val="22"/>
          <w:lang w:val="es-ES_tradnl" w:eastAsia="es-MX"/>
        </w:rPr>
        <w:t xml:space="preserve">, la entidad también puede verificar este aspecto con alguno o todos los indicadores previstos en el artículo 2.2.1.1.1.5.3. del Decreto 1082 de 2015, incluso con la posibilidad de validar criterios adicionales a los previstos en el numeral 3 </w:t>
      </w:r>
      <w:r w:rsidRPr="00824294">
        <w:rPr>
          <w:rFonts w:ascii="Arial" w:eastAsia="Calibri" w:hAnsi="Arial" w:cs="Arial"/>
          <w:i/>
          <w:iCs/>
          <w:color w:val="000000" w:themeColor="text1"/>
          <w:sz w:val="22"/>
          <w:lang w:val="es-ES_tradnl" w:eastAsia="es-MX"/>
        </w:rPr>
        <w:t>ibidem</w:t>
      </w:r>
      <w:r w:rsidRPr="00824294">
        <w:rPr>
          <w:rFonts w:ascii="Arial" w:eastAsia="Calibri" w:hAnsi="Arial" w:cs="Arial"/>
          <w:color w:val="000000" w:themeColor="text1"/>
          <w:sz w:val="22"/>
          <w:lang w:val="es-ES_tradnl" w:eastAsia="es-MX"/>
        </w:rPr>
        <w:t xml:space="preserve">.   </w:t>
      </w:r>
    </w:p>
    <w:p w14:paraId="762671BE" w14:textId="77777777" w:rsidR="00824294" w:rsidRPr="00824294" w:rsidRDefault="00824294" w:rsidP="00824294">
      <w:pPr>
        <w:spacing w:after="120" w:line="276" w:lineRule="auto"/>
        <w:ind w:firstLine="708"/>
        <w:jc w:val="both"/>
        <w:rPr>
          <w:rFonts w:ascii="Arial" w:eastAsia="Times New Roman" w:hAnsi="Arial" w:cs="Arial"/>
          <w:color w:val="000000"/>
          <w:sz w:val="22"/>
          <w:szCs w:val="22"/>
          <w:lang w:eastAsia="es-MX"/>
        </w:rPr>
      </w:pPr>
      <w:r w:rsidRPr="00824294">
        <w:rPr>
          <w:rFonts w:ascii="Arial" w:eastAsia="Calibri" w:hAnsi="Arial" w:cs="Arial"/>
          <w:color w:val="000000" w:themeColor="text1"/>
          <w:sz w:val="22"/>
          <w:lang w:val="es-ES_tradnl" w:eastAsia="es-MX"/>
        </w:rPr>
        <w:t xml:space="preserve">Considerando la discrecionalidad para establecer el requisito habilitante, es necesario tener en cuenta que </w:t>
      </w:r>
      <w:r w:rsidRPr="00824294">
        <w:rPr>
          <w:rFonts w:ascii="Arial" w:eastAsia="Calibri" w:hAnsi="Arial" w:cs="Arial"/>
          <w:sz w:val="22"/>
          <w:lang w:eastAsia="es-MX"/>
        </w:rPr>
        <w:t xml:space="preserve">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para efectos de los escenarios descritos en el párrafo precedente, la inclusión o exclusión de </w:t>
      </w:r>
      <w:r w:rsidRPr="00824294">
        <w:rPr>
          <w:rFonts w:ascii="Arial" w:eastAsia="Calibri" w:hAnsi="Arial" w:cs="Arial"/>
          <w:color w:val="000000" w:themeColor="text1"/>
          <w:sz w:val="22"/>
          <w:lang w:val="es-ES_tradnl" w:eastAsia="es-MX"/>
        </w:rPr>
        <w:t>los indicadores previstos en el artículo 2.2.1.1.1.5.3. del Decreto 1082 de 2015</w:t>
      </w:r>
      <w:r w:rsidRPr="00824294">
        <w:rPr>
          <w:rFonts w:ascii="Arial" w:eastAsia="Calibri" w:hAnsi="Arial" w:cs="Arial"/>
          <w:sz w:val="22"/>
          <w:lang w:eastAsia="es-MX"/>
        </w:rPr>
        <w:t xml:space="preserve"> está unida a la carga justificativa de la entidad en los estudios y documentos previos del proceso de selección.</w:t>
      </w:r>
    </w:p>
    <w:p w14:paraId="3BE6773E" w14:textId="77777777" w:rsidR="00824294" w:rsidRPr="00824294" w:rsidRDefault="00824294" w:rsidP="00824294">
      <w:pPr>
        <w:spacing w:line="276" w:lineRule="auto"/>
        <w:jc w:val="both"/>
        <w:rPr>
          <w:rFonts w:ascii="Arial" w:eastAsia="Times New Roman" w:hAnsi="Arial" w:cs="Arial"/>
          <w:color w:val="000000"/>
          <w:sz w:val="22"/>
          <w:szCs w:val="22"/>
          <w:lang w:eastAsia="es-MX"/>
        </w:rPr>
      </w:pPr>
    </w:p>
    <w:p w14:paraId="1379619D" w14:textId="77777777" w:rsidR="00824294" w:rsidRPr="00824294" w:rsidRDefault="00824294" w:rsidP="00824294">
      <w:pPr>
        <w:spacing w:line="276" w:lineRule="auto"/>
        <w:jc w:val="both"/>
        <w:rPr>
          <w:rFonts w:ascii="Arial" w:eastAsia="Calibri" w:hAnsi="Arial" w:cs="Arial"/>
          <w:color w:val="000000" w:themeColor="text1"/>
          <w:sz w:val="22"/>
          <w:lang w:eastAsia="es-MX"/>
        </w:rPr>
      </w:pPr>
      <w:r w:rsidRPr="00824294">
        <w:rPr>
          <w:rFonts w:ascii="Arial" w:eastAsia="Calibri" w:hAnsi="Arial" w:cs="Arial"/>
          <w:color w:val="000000" w:themeColor="text1"/>
          <w:sz w:val="22"/>
          <w:szCs w:val="22"/>
          <w:lang w:eastAsia="es-MX"/>
        </w:rPr>
        <w:t>Este concepto tiene el alcance previsto en el artículo 28 del Cód</w:t>
      </w:r>
      <w:r w:rsidRPr="00824294">
        <w:rPr>
          <w:rFonts w:ascii="Arial" w:eastAsia="Calibri" w:hAnsi="Arial" w:cs="Arial"/>
          <w:color w:val="000000" w:themeColor="text1"/>
          <w:sz w:val="22"/>
          <w:lang w:eastAsia="es-MX"/>
        </w:rPr>
        <w:t>igo de Procedimiento Administrativo y de lo Contencioso Administrativo.</w:t>
      </w:r>
    </w:p>
    <w:p w14:paraId="32A28094" w14:textId="77777777" w:rsidR="00824294" w:rsidRPr="00824294" w:rsidRDefault="00824294" w:rsidP="00824294">
      <w:pPr>
        <w:jc w:val="both"/>
        <w:rPr>
          <w:rFonts w:ascii="Arial" w:eastAsia="Calibri" w:hAnsi="Arial" w:cs="Arial"/>
          <w:color w:val="000000" w:themeColor="text1"/>
          <w:sz w:val="22"/>
          <w:lang w:eastAsia="es-MX"/>
        </w:rPr>
      </w:pPr>
    </w:p>
    <w:p w14:paraId="1F2B7E9E" w14:textId="77777777" w:rsidR="00824294" w:rsidRPr="00824294" w:rsidRDefault="00824294" w:rsidP="00824294">
      <w:pPr>
        <w:jc w:val="both"/>
        <w:rPr>
          <w:rFonts w:ascii="Arial" w:eastAsia="Times New Roman" w:hAnsi="Arial" w:cs="Arial"/>
          <w:color w:val="000000" w:themeColor="text1"/>
          <w:sz w:val="22"/>
          <w:lang w:eastAsia="es-CO"/>
        </w:rPr>
      </w:pPr>
      <w:r w:rsidRPr="00824294">
        <w:rPr>
          <w:rFonts w:ascii="Arial" w:eastAsia="Times New Roman" w:hAnsi="Arial" w:cs="Arial"/>
          <w:color w:val="000000" w:themeColor="text1"/>
          <w:sz w:val="22"/>
          <w:lang w:eastAsia="es-CO"/>
        </w:rPr>
        <w:t>Atentamente,</w:t>
      </w:r>
    </w:p>
    <w:p w14:paraId="62A5267F" w14:textId="59169590" w:rsidR="00824294" w:rsidRDefault="00824294" w:rsidP="00824294">
      <w:pPr>
        <w:jc w:val="center"/>
        <w:rPr>
          <w:rFonts w:ascii="Arial" w:eastAsia="Times New Roman" w:hAnsi="Arial" w:cs="Arial"/>
          <w:color w:val="000000" w:themeColor="text1"/>
          <w:sz w:val="18"/>
          <w:szCs w:val="20"/>
          <w:lang w:eastAsia="es-CO"/>
        </w:rPr>
      </w:pPr>
    </w:p>
    <w:p w14:paraId="52748DBA" w14:textId="5C6DFF4C" w:rsidR="00057F35" w:rsidRPr="00824294" w:rsidRDefault="00057F35" w:rsidP="00824294">
      <w:pPr>
        <w:jc w:val="center"/>
        <w:rPr>
          <w:rFonts w:ascii="Arial" w:eastAsia="Times New Roman" w:hAnsi="Arial" w:cs="Arial"/>
          <w:color w:val="000000" w:themeColor="text1"/>
          <w:sz w:val="18"/>
          <w:szCs w:val="20"/>
          <w:lang w:eastAsia="es-CO"/>
        </w:rPr>
      </w:pPr>
      <w:r w:rsidRPr="00FC4438">
        <w:rPr>
          <w:noProof/>
        </w:rPr>
        <w:drawing>
          <wp:inline distT="0" distB="0" distL="0" distR="0" wp14:anchorId="02E7E194" wp14:editId="14C58B83">
            <wp:extent cx="2514600" cy="1114425"/>
            <wp:effectExtent l="0" t="0" r="0" b="9525"/>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pic:nvPicPr>
                  <pic:blipFill>
                    <a:blip r:embed="rId10"/>
                    <a:stretch>
                      <a:fillRect/>
                    </a:stretch>
                  </pic:blipFill>
                  <pic:spPr>
                    <a:xfrm>
                      <a:off x="0" y="0"/>
                      <a:ext cx="2514600" cy="1114425"/>
                    </a:xfrm>
                    <a:prstGeom prst="rect">
                      <a:avLst/>
                    </a:prstGeom>
                  </pic:spPr>
                </pic:pic>
              </a:graphicData>
            </a:graphic>
          </wp:inline>
        </w:drawing>
      </w:r>
    </w:p>
    <w:p w14:paraId="74C2D1B1" w14:textId="77777777" w:rsidR="00824294" w:rsidRPr="00824294" w:rsidRDefault="00824294" w:rsidP="00824294">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24294" w:rsidRPr="00824294" w14:paraId="5B1103B7" w14:textId="77777777" w:rsidTr="00145C1D">
        <w:trPr>
          <w:trHeight w:val="315"/>
        </w:trPr>
        <w:tc>
          <w:tcPr>
            <w:tcW w:w="812" w:type="dxa"/>
            <w:vAlign w:val="center"/>
            <w:hideMark/>
          </w:tcPr>
          <w:p w14:paraId="70F3614B"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3E86CF6"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 xml:space="preserve">Camilo Perdomo Villamil </w:t>
            </w:r>
          </w:p>
          <w:p w14:paraId="46A8F6CD"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Contratista de la Subdirección de Gestión Contractual</w:t>
            </w:r>
          </w:p>
        </w:tc>
      </w:tr>
      <w:tr w:rsidR="00824294" w:rsidRPr="00824294" w14:paraId="30929495" w14:textId="77777777" w:rsidTr="00145C1D">
        <w:trPr>
          <w:trHeight w:val="330"/>
        </w:trPr>
        <w:tc>
          <w:tcPr>
            <w:tcW w:w="812" w:type="dxa"/>
            <w:vAlign w:val="center"/>
            <w:hideMark/>
          </w:tcPr>
          <w:p w14:paraId="36C87D3D"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796D5E"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 xml:space="preserve">Juan David Montoya Penagos </w:t>
            </w:r>
          </w:p>
          <w:p w14:paraId="016591AF"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Gestor T1-11 de la Subdirección de Gestión Contractual</w:t>
            </w:r>
          </w:p>
        </w:tc>
      </w:tr>
      <w:tr w:rsidR="00824294" w:rsidRPr="00824294" w14:paraId="7F7A79A1" w14:textId="77777777" w:rsidTr="00145C1D">
        <w:trPr>
          <w:trHeight w:val="300"/>
        </w:trPr>
        <w:tc>
          <w:tcPr>
            <w:tcW w:w="812" w:type="dxa"/>
            <w:vAlign w:val="center"/>
            <w:hideMark/>
          </w:tcPr>
          <w:p w14:paraId="025ADFD7"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49F390"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Jorge Augusto Tirado Navarro</w:t>
            </w:r>
          </w:p>
          <w:p w14:paraId="7711C333" w14:textId="77777777" w:rsidR="00824294" w:rsidRPr="00824294" w:rsidRDefault="00824294" w:rsidP="00824294">
            <w:pPr>
              <w:rPr>
                <w:rFonts w:ascii="Arial" w:eastAsia="Times New Roman" w:hAnsi="Arial" w:cs="Arial"/>
                <w:color w:val="000000" w:themeColor="text1"/>
                <w:sz w:val="16"/>
                <w:szCs w:val="16"/>
                <w:lang w:eastAsia="es-ES"/>
              </w:rPr>
            </w:pPr>
            <w:r w:rsidRPr="00824294">
              <w:rPr>
                <w:rFonts w:ascii="Arial" w:eastAsia="Times New Roman" w:hAnsi="Arial" w:cs="Arial"/>
                <w:color w:val="000000" w:themeColor="text1"/>
                <w:sz w:val="16"/>
                <w:szCs w:val="16"/>
                <w:lang w:eastAsia="es-ES"/>
              </w:rPr>
              <w:t>Subdirector de Gestión Contractual ANCP – CCE</w:t>
            </w:r>
          </w:p>
        </w:tc>
      </w:tr>
    </w:tbl>
    <w:p w14:paraId="18990A4E" w14:textId="77777777" w:rsidR="00824294" w:rsidRPr="00824294" w:rsidRDefault="00824294" w:rsidP="00824294">
      <w:pPr>
        <w:rPr>
          <w:rFonts w:ascii="Times New Roman" w:eastAsia="Times New Roman" w:hAnsi="Times New Roman" w:cs="Times New Roman"/>
          <w:lang w:eastAsia="es-MX"/>
        </w:rPr>
      </w:pPr>
    </w:p>
    <w:p w14:paraId="7487BED1" w14:textId="77777777" w:rsidR="00824294" w:rsidRDefault="00824294"/>
    <w:sectPr w:rsidR="00824294" w:rsidSect="007F1895">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0CD0B" w14:textId="77777777" w:rsidR="0090215B" w:rsidRDefault="0090215B" w:rsidP="00824294">
      <w:r>
        <w:separator/>
      </w:r>
    </w:p>
  </w:endnote>
  <w:endnote w:type="continuationSeparator" w:id="0">
    <w:p w14:paraId="23BE980A" w14:textId="77777777" w:rsidR="0090215B" w:rsidRDefault="0090215B" w:rsidP="00824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DDFCA" w14:textId="77777777" w:rsidR="00387886" w:rsidRDefault="0090215B" w:rsidP="007F1895">
    <w:pPr>
      <w:pStyle w:val="Sinespaciado"/>
      <w:jc w:val="right"/>
      <w:rPr>
        <w:rFonts w:ascii="Arial" w:hAnsi="Arial" w:cs="Arial"/>
        <w:sz w:val="18"/>
        <w:szCs w:val="18"/>
      </w:rPr>
    </w:pPr>
  </w:p>
  <w:p w14:paraId="0F3EF6B1" w14:textId="77777777" w:rsidR="00387886" w:rsidRDefault="0090215B" w:rsidP="007F1895">
    <w:pPr>
      <w:pStyle w:val="Sinespaciado"/>
      <w:jc w:val="right"/>
      <w:rPr>
        <w:rFonts w:ascii="Arial" w:hAnsi="Arial" w:cs="Arial"/>
        <w:sz w:val="18"/>
        <w:szCs w:val="18"/>
      </w:rPr>
    </w:pPr>
  </w:p>
  <w:p w14:paraId="7D8AA184" w14:textId="77777777" w:rsidR="00387886" w:rsidRPr="008217B7" w:rsidRDefault="00E2625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A6339A7" w14:textId="77777777" w:rsidR="00387886" w:rsidRDefault="00E26250" w:rsidP="007F1895">
    <w:pPr>
      <w:pStyle w:val="Piedepgina"/>
      <w:jc w:val="center"/>
      <w:rPr>
        <w:lang w:val="es-ES"/>
      </w:rPr>
    </w:pPr>
    <w:r>
      <w:rPr>
        <w:noProof/>
      </w:rPr>
      <w:drawing>
        <wp:inline distT="0" distB="0" distL="0" distR="0" wp14:anchorId="3CBF32E5" wp14:editId="0E10621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BA7A517" w14:textId="77777777" w:rsidR="00387886" w:rsidRPr="00E756AC" w:rsidRDefault="0090215B" w:rsidP="007F1895">
    <w:pPr>
      <w:pStyle w:val="Piedepgina"/>
      <w:jc w:val="center"/>
      <w:rPr>
        <w:sz w:val="18"/>
        <w:szCs w:val="18"/>
        <w:lang w:val="es-ES"/>
      </w:rPr>
    </w:pPr>
  </w:p>
  <w:p w14:paraId="49755300" w14:textId="77777777" w:rsidR="00387886" w:rsidRPr="00E756AC" w:rsidRDefault="0090215B"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B99CC" w14:textId="77777777" w:rsidR="0090215B" w:rsidRDefault="0090215B" w:rsidP="00824294">
      <w:r>
        <w:separator/>
      </w:r>
    </w:p>
  </w:footnote>
  <w:footnote w:type="continuationSeparator" w:id="0">
    <w:p w14:paraId="0CF1848B" w14:textId="77777777" w:rsidR="0090215B" w:rsidRDefault="0090215B" w:rsidP="00824294">
      <w:r>
        <w:continuationSeparator/>
      </w:r>
    </w:p>
  </w:footnote>
  <w:footnote w:id="1">
    <w:p w14:paraId="0FF6BB21" w14:textId="77777777" w:rsidR="00824294" w:rsidRDefault="00824294" w:rsidP="00824294">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0775AB52" w14:textId="77777777" w:rsidR="00824294" w:rsidRPr="0093085B" w:rsidRDefault="00824294" w:rsidP="00824294">
      <w:pPr>
        <w:pStyle w:val="NormalWeb"/>
        <w:ind w:firstLine="708"/>
        <w:jc w:val="both"/>
        <w:rPr>
          <w:rFonts w:ascii="Arial" w:hAnsi="Arial" w:cs="Arial"/>
          <w:color w:val="000000" w:themeColor="text1"/>
          <w:sz w:val="19"/>
          <w:szCs w:val="19"/>
        </w:rPr>
      </w:pPr>
      <w:r w:rsidRPr="0093085B">
        <w:rPr>
          <w:rStyle w:val="Refdenotaalpie"/>
          <w:rFonts w:ascii="Arial" w:hAnsi="Arial" w:cs="Arial"/>
          <w:color w:val="000000" w:themeColor="text1"/>
          <w:sz w:val="19"/>
          <w:szCs w:val="19"/>
        </w:rPr>
        <w:footnoteRef/>
      </w:r>
      <w:r w:rsidRPr="0093085B">
        <w:rPr>
          <w:rFonts w:ascii="Arial" w:hAnsi="Arial" w:cs="Arial"/>
          <w:color w:val="000000" w:themeColor="text1"/>
          <w:sz w:val="19"/>
          <w:szCs w:val="19"/>
        </w:rPr>
        <w:t xml:space="preserve"> </w:t>
      </w:r>
      <w:r w:rsidRPr="0093085B">
        <w:rPr>
          <w:rFonts w:ascii="Arial" w:hAnsi="Arial" w:cs="Arial"/>
          <w:color w:val="000000" w:themeColor="text1"/>
          <w:sz w:val="19"/>
          <w:szCs w:val="19"/>
          <w:lang w:val="es-ES"/>
        </w:rPr>
        <w:t>Art 6 Ley 1150 de 2007 “</w:t>
      </w:r>
      <w:r w:rsidRPr="0093085B">
        <w:rPr>
          <w:rFonts w:ascii="Arial" w:hAnsi="Arial" w:cs="Arial"/>
          <w:color w:val="000000" w:themeColor="text1"/>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83A2375" w14:textId="77777777" w:rsidR="00824294" w:rsidRPr="0093085B" w:rsidRDefault="00824294" w:rsidP="00824294">
      <w:pPr>
        <w:pStyle w:val="NormalWeb"/>
        <w:ind w:firstLine="708"/>
        <w:jc w:val="both"/>
        <w:rPr>
          <w:rFonts w:ascii="Arial" w:hAnsi="Arial" w:cs="Arial"/>
          <w:color w:val="000000" w:themeColor="text1"/>
          <w:sz w:val="19"/>
          <w:szCs w:val="19"/>
        </w:rPr>
      </w:pPr>
      <w:r w:rsidRPr="0093085B">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96F21F5" w14:textId="77777777" w:rsidR="00824294" w:rsidRDefault="00824294" w:rsidP="00824294">
      <w:pPr>
        <w:pStyle w:val="NormalWeb"/>
        <w:ind w:firstLine="708"/>
        <w:jc w:val="both"/>
        <w:rPr>
          <w:rFonts w:ascii="Arial" w:hAnsi="Arial" w:cs="Arial"/>
          <w:color w:val="000000" w:themeColor="text1"/>
          <w:sz w:val="19"/>
          <w:szCs w:val="19"/>
        </w:rPr>
      </w:pPr>
      <w:r w:rsidRPr="0093085B">
        <w:rPr>
          <w:rFonts w:ascii="Arial" w:hAnsi="Arial" w:cs="Arial"/>
          <w:color w:val="000000" w:themeColor="text1"/>
          <w:sz w:val="19"/>
          <w:szCs w:val="19"/>
        </w:rPr>
        <w:t>En dicho registro constará la información relacionada con la experiencia, capacidad jurídica, financiera y de organización del proponente y su clasificación</w:t>
      </w:r>
      <w:r>
        <w:rPr>
          <w:rFonts w:ascii="Arial" w:hAnsi="Arial" w:cs="Arial"/>
          <w:color w:val="000000" w:themeColor="text1"/>
          <w:sz w:val="19"/>
          <w:szCs w:val="19"/>
        </w:rPr>
        <w:t>”</w:t>
      </w:r>
      <w:r w:rsidRPr="0093085B">
        <w:rPr>
          <w:rFonts w:ascii="Arial" w:hAnsi="Arial" w:cs="Arial"/>
          <w:color w:val="000000" w:themeColor="text1"/>
          <w:sz w:val="19"/>
          <w:szCs w:val="19"/>
        </w:rPr>
        <w:t>.</w:t>
      </w:r>
    </w:p>
    <w:p w14:paraId="3776A7C5" w14:textId="77777777" w:rsidR="00824294" w:rsidRPr="0093085B" w:rsidRDefault="00824294" w:rsidP="00824294">
      <w:pPr>
        <w:pStyle w:val="NormalWeb"/>
        <w:ind w:firstLine="708"/>
        <w:jc w:val="both"/>
        <w:rPr>
          <w:rFonts w:ascii="Arial" w:hAnsi="Arial" w:cs="Arial"/>
          <w:color w:val="000000" w:themeColor="text1"/>
          <w:sz w:val="19"/>
          <w:szCs w:val="19"/>
        </w:rPr>
      </w:pPr>
    </w:p>
  </w:footnote>
  <w:footnote w:id="3">
    <w:p w14:paraId="5E0EFC78" w14:textId="77777777" w:rsidR="00824294" w:rsidRPr="0093085B" w:rsidRDefault="00824294" w:rsidP="00824294">
      <w:pPr>
        <w:ind w:firstLine="708"/>
        <w:jc w:val="both"/>
        <w:rPr>
          <w:rFonts w:ascii="Arial" w:hAnsi="Arial" w:cs="Arial"/>
          <w:color w:val="000000" w:themeColor="text1"/>
          <w:sz w:val="19"/>
          <w:szCs w:val="19"/>
        </w:rPr>
      </w:pPr>
      <w:r w:rsidRPr="0093085B">
        <w:rPr>
          <w:rStyle w:val="Refdenotaalpie"/>
          <w:rFonts w:ascii="Arial" w:hAnsi="Arial" w:cs="Arial"/>
          <w:color w:val="000000" w:themeColor="text1"/>
          <w:sz w:val="19"/>
          <w:szCs w:val="19"/>
        </w:rPr>
        <w:footnoteRef/>
      </w:r>
      <w:r w:rsidRPr="0093085B">
        <w:rPr>
          <w:rFonts w:ascii="Arial" w:hAnsi="Arial" w:cs="Arial"/>
          <w:color w:val="000000" w:themeColor="text1"/>
          <w:sz w:val="19"/>
          <w:szCs w:val="19"/>
        </w:rPr>
        <w:t xml:space="preserve"> </w:t>
      </w:r>
      <w:r>
        <w:rPr>
          <w:rFonts w:ascii="Arial" w:hAnsi="Arial" w:cs="Arial"/>
          <w:color w:val="000000" w:themeColor="text1"/>
          <w:sz w:val="19"/>
          <w:szCs w:val="19"/>
        </w:rPr>
        <w:t>“</w:t>
      </w:r>
      <w:r w:rsidRPr="0093085B">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color w:val="000000" w:themeColor="text1"/>
          <w:sz w:val="19"/>
          <w:szCs w:val="19"/>
        </w:rPr>
        <w:t xml:space="preserve">”. </w:t>
      </w:r>
    </w:p>
    <w:p w14:paraId="7FF86181" w14:textId="77777777" w:rsidR="00824294" w:rsidRPr="0093085B" w:rsidRDefault="00824294" w:rsidP="00824294">
      <w:pPr>
        <w:pStyle w:val="Textonotapie"/>
        <w:rPr>
          <w:lang w:val="es-ES"/>
        </w:rPr>
      </w:pPr>
    </w:p>
  </w:footnote>
  <w:footnote w:id="4">
    <w:p w14:paraId="76C190DD" w14:textId="77777777" w:rsidR="00824294" w:rsidRDefault="00824294" w:rsidP="00824294">
      <w:pPr>
        <w:pStyle w:val="Textonotapie"/>
        <w:ind w:firstLine="708"/>
        <w:jc w:val="both"/>
        <w:rPr>
          <w:rFonts w:ascii="Arial" w:hAnsi="Arial" w:cs="Arial"/>
          <w:sz w:val="19"/>
          <w:szCs w:val="19"/>
        </w:rPr>
      </w:pPr>
      <w:r w:rsidRPr="006C0EA1">
        <w:rPr>
          <w:rStyle w:val="Refdenotaalpie"/>
          <w:rFonts w:ascii="Arial" w:hAnsi="Arial" w:cs="Arial"/>
          <w:sz w:val="19"/>
          <w:szCs w:val="19"/>
        </w:rPr>
        <w:footnoteRef/>
      </w:r>
      <w:r w:rsidRPr="006C0EA1">
        <w:rPr>
          <w:rFonts w:ascii="Arial" w:hAnsi="Arial" w:cs="Arial"/>
          <w:sz w:val="19"/>
          <w:szCs w:val="19"/>
        </w:rPr>
        <w:t xml:space="preserve"> </w:t>
      </w:r>
      <w:r>
        <w:rPr>
          <w:rFonts w:ascii="Arial" w:hAnsi="Arial" w:cs="Arial"/>
          <w:sz w:val="19"/>
          <w:szCs w:val="19"/>
        </w:rPr>
        <w:t>EXPÓSITO VÉLEZ, Juan Carlos. El deber de selección objetiva. En: Del contrato estatal a los sistemas de compras públicas. Bogotá: Universidad Externado de Colombia. p. 150-151</w:t>
      </w:r>
    </w:p>
    <w:p w14:paraId="7ADF69FD" w14:textId="77777777" w:rsidR="00824294" w:rsidRPr="006C0EA1" w:rsidRDefault="00824294" w:rsidP="00824294">
      <w:pPr>
        <w:pStyle w:val="Textonotapie"/>
        <w:ind w:firstLine="708"/>
        <w:jc w:val="both"/>
        <w:rPr>
          <w:rFonts w:ascii="Arial" w:hAnsi="Arial" w:cs="Arial"/>
          <w:sz w:val="19"/>
          <w:szCs w:val="19"/>
        </w:rPr>
      </w:pPr>
    </w:p>
  </w:footnote>
  <w:footnote w:id="5">
    <w:p w14:paraId="67F20AEA" w14:textId="77777777" w:rsidR="00824294" w:rsidRPr="00970615" w:rsidRDefault="00824294" w:rsidP="00824294">
      <w:pPr>
        <w:pStyle w:val="Textonotapie"/>
        <w:ind w:firstLine="708"/>
        <w:jc w:val="both"/>
        <w:rPr>
          <w:rFonts w:ascii="Arial" w:hAnsi="Arial" w:cs="Arial"/>
          <w:sz w:val="19"/>
          <w:szCs w:val="19"/>
          <w:lang w:val="es-ES"/>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hAnsi="Arial" w:cs="Arial"/>
          <w:sz w:val="19"/>
          <w:szCs w:val="19"/>
        </w:rPr>
        <w:t>Mide la liquidez del proponente de manera más estricta que el índice de liquidez</w:t>
      </w:r>
      <w:r>
        <w:rPr>
          <w:rFonts w:ascii="Arial" w:hAnsi="Arial" w:cs="Arial"/>
          <w:sz w:val="19"/>
          <w:szCs w:val="19"/>
        </w:rPr>
        <w:t>,</w:t>
      </w:r>
      <w:r w:rsidRPr="00970615">
        <w:rPr>
          <w:rFonts w:ascii="Arial" w:hAnsi="Arial" w:cs="Arial"/>
          <w:sz w:val="19"/>
          <w:szCs w:val="19"/>
        </w:rPr>
        <w:t xml:space="preserve"> pues no tiene en cuenta su inventario. El inventario es excluido</w:t>
      </w:r>
      <w:r>
        <w:rPr>
          <w:rFonts w:ascii="Arial" w:hAnsi="Arial" w:cs="Arial"/>
          <w:sz w:val="19"/>
          <w:szCs w:val="19"/>
        </w:rPr>
        <w:t>,</w:t>
      </w:r>
      <w:r w:rsidRPr="00970615">
        <w:rPr>
          <w:rFonts w:ascii="Arial" w:hAnsi="Arial" w:cs="Arial"/>
          <w:sz w:val="19"/>
          <w:szCs w:val="19"/>
        </w:rPr>
        <w:t xml:space="preserve"> teniendo en cuenta que es la cuenta menos líquida del activo corriente y no debe ser usada para pagar las obligaciones de corto plazo.</w:t>
      </w:r>
    </w:p>
  </w:footnote>
  <w:footnote w:id="6">
    <w:p w14:paraId="4B99A486" w14:textId="77777777" w:rsidR="00824294" w:rsidRPr="00E90F2C" w:rsidRDefault="00824294" w:rsidP="00824294">
      <w:pPr>
        <w:pStyle w:val="NormalWeb"/>
        <w:ind w:firstLine="709"/>
        <w:jc w:val="both"/>
        <w:rPr>
          <w:rFonts w:ascii="Arial" w:hAnsi="Arial" w:cs="Arial"/>
          <w:color w:val="4B4949"/>
          <w:sz w:val="18"/>
          <w:szCs w:val="18"/>
        </w:rPr>
      </w:pPr>
      <w:r w:rsidRPr="00E90F2C">
        <w:rPr>
          <w:rStyle w:val="Refdenotaalpie"/>
          <w:rFonts w:ascii="Arial" w:hAnsi="Arial" w:cs="Arial"/>
          <w:sz w:val="18"/>
          <w:szCs w:val="18"/>
        </w:rPr>
        <w:footnoteRef/>
      </w:r>
      <w:r w:rsidRPr="00E90F2C">
        <w:rPr>
          <w:rFonts w:ascii="Arial" w:hAnsi="Arial" w:cs="Arial"/>
          <w:sz w:val="18"/>
          <w:szCs w:val="18"/>
        </w:rPr>
        <w:t xml:space="preserve"> </w:t>
      </w:r>
      <w:r w:rsidRPr="00E90F2C">
        <w:rPr>
          <w:rFonts w:ascii="Arial" w:hAnsi="Arial" w:cs="Arial"/>
          <w:sz w:val="18"/>
          <w:szCs w:val="18"/>
          <w:lang w:val="es-ES"/>
        </w:rPr>
        <w:t>“</w:t>
      </w:r>
      <w:r w:rsidRPr="00E90F2C">
        <w:rPr>
          <w:rFonts w:ascii="Arial" w:hAnsi="Arial" w:cs="Arial"/>
          <w:color w:val="4B4949"/>
          <w:sz w:val="18"/>
          <w:szCs w:val="18"/>
        </w:rPr>
        <w:t>Para poder participar en los procesos de selección de los contratos de obra, la capacidad residual del proponente o K de contratación deberá ser igual o superior al que la entidad haya establecido para el efecto en los pliegos de condiciones</w:t>
      </w:r>
    </w:p>
    <w:p w14:paraId="604989A3" w14:textId="77777777" w:rsidR="00824294" w:rsidRPr="00E90F2C" w:rsidRDefault="00824294" w:rsidP="00824294">
      <w:pPr>
        <w:spacing w:before="100" w:beforeAutospacing="1" w:after="100" w:afterAutospacing="1"/>
        <w:ind w:firstLine="709"/>
        <w:jc w:val="both"/>
        <w:rPr>
          <w:rFonts w:ascii="Arial" w:hAnsi="Arial" w:cs="Arial"/>
          <w:color w:val="4B4949"/>
          <w:sz w:val="18"/>
          <w:szCs w:val="18"/>
        </w:rPr>
      </w:pPr>
      <w:r w:rsidRPr="00E90F2C">
        <w:rPr>
          <w:rFonts w:ascii="Arial" w:hAnsi="Arial" w:cs="Arial"/>
          <w:color w:val="4B4949"/>
          <w:sz w:val="18"/>
          <w:szCs w:val="18"/>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7">
    <w:p w14:paraId="00320DB5" w14:textId="77777777" w:rsidR="00824294" w:rsidRPr="00970615" w:rsidRDefault="00824294" w:rsidP="00824294">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hAnsi="Arial" w:cs="Arial"/>
          <w:sz w:val="19"/>
          <w:szCs w:val="19"/>
        </w:rPr>
        <w:t>Cfr. Corte Constitucional. Sentencia C-569 de 2004. M.P. Rodrigo Uprimny Yepes.</w:t>
      </w:r>
    </w:p>
    <w:p w14:paraId="1B4483EA" w14:textId="77777777" w:rsidR="00824294" w:rsidRPr="00970615" w:rsidRDefault="00824294" w:rsidP="00824294">
      <w:pPr>
        <w:pStyle w:val="Textonotapie"/>
        <w:ind w:firstLine="708"/>
        <w:jc w:val="both"/>
        <w:rPr>
          <w:rFonts w:ascii="Arial" w:hAnsi="Arial" w:cs="Arial"/>
          <w:sz w:val="19"/>
          <w:szCs w:val="19"/>
          <w:lang w:val="es-ES"/>
        </w:rPr>
      </w:pPr>
    </w:p>
  </w:footnote>
  <w:footnote w:id="8">
    <w:p w14:paraId="2E857377" w14:textId="77777777" w:rsidR="00824294" w:rsidRPr="00970615" w:rsidRDefault="00824294" w:rsidP="00824294">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hAnsi="Arial" w:cs="Arial"/>
          <w:sz w:val="19"/>
          <w:szCs w:val="19"/>
        </w:rPr>
        <w:t>Cfr. Consejo de Estado. Sección Tercera. Providencias del 11 de diciembre de 2002, dictada dentro del expediente AG-1683, y del 18 de octubre de 2001, proferida dentro del plenario AG-021.</w:t>
      </w:r>
    </w:p>
    <w:p w14:paraId="50AB5AB8" w14:textId="77777777" w:rsidR="00824294" w:rsidRPr="00970615" w:rsidRDefault="00824294" w:rsidP="00824294">
      <w:pPr>
        <w:pStyle w:val="Textonotapie"/>
        <w:ind w:firstLine="708"/>
        <w:jc w:val="both"/>
        <w:rPr>
          <w:rFonts w:ascii="Arial" w:hAnsi="Arial" w:cs="Arial"/>
          <w:sz w:val="19"/>
          <w:szCs w:val="19"/>
          <w:lang w:val="es-ES"/>
        </w:rPr>
      </w:pPr>
    </w:p>
  </w:footnote>
  <w:footnote w:id="9">
    <w:p w14:paraId="58C4316A" w14:textId="77777777" w:rsidR="00824294" w:rsidRPr="00970615" w:rsidRDefault="00824294" w:rsidP="00824294">
      <w:pPr>
        <w:pStyle w:val="Textonotapie"/>
        <w:ind w:firstLine="708"/>
        <w:jc w:val="both"/>
        <w:rPr>
          <w:rFonts w:ascii="Arial" w:hAnsi="Arial" w:cs="Arial"/>
          <w:sz w:val="19"/>
          <w:szCs w:val="19"/>
          <w:lang w:val="es-ES"/>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hAnsi="Arial" w:cs="Arial"/>
          <w:sz w:val="19"/>
          <w:szCs w:val="19"/>
        </w:rPr>
        <w:t xml:space="preserve">Gaceta 096 de 2007. Pág. 9. Allí se lee: «Parágrafo 2°. Nuevo. Se adiciona un parágrafo nuevo para </w:t>
      </w:r>
      <w:r w:rsidRPr="00970615">
        <w:rPr>
          <w:rFonts w:ascii="Arial" w:hAnsi="Arial" w:cs="Arial"/>
          <w:i/>
          <w:iCs/>
          <w:sz w:val="19"/>
          <w:szCs w:val="19"/>
        </w:rPr>
        <w:t>establecer de manera concreta</w:t>
      </w:r>
      <w:r w:rsidRPr="00970615">
        <w:rPr>
          <w:rFonts w:ascii="Arial" w:hAnsi="Arial" w:cs="Arial"/>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w:t>
      </w:r>
      <w:r>
        <w:rPr>
          <w:rFonts w:ascii="Arial" w:hAnsi="Arial" w:cs="Arial"/>
          <w:sz w:val="19"/>
          <w:szCs w:val="19"/>
        </w:rPr>
        <w:t xml:space="preserve"> (Cursivas propias)</w:t>
      </w:r>
      <w:r w:rsidRPr="00970615">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90E9" w14:textId="77777777" w:rsidR="00387886" w:rsidRDefault="00E26250">
    <w:pPr>
      <w:pStyle w:val="Encabezado"/>
    </w:pPr>
    <w:r>
      <w:rPr>
        <w:noProof/>
        <w:lang w:eastAsia="es-CO"/>
      </w:rPr>
      <w:drawing>
        <wp:anchor distT="0" distB="0" distL="114300" distR="114300" simplePos="0" relativeHeight="251659264" behindDoc="1" locked="0" layoutInCell="1" allowOverlap="1" wp14:anchorId="0D67E151" wp14:editId="653BA89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94"/>
    <w:rsid w:val="00057F35"/>
    <w:rsid w:val="00824294"/>
    <w:rsid w:val="0090215B"/>
    <w:rsid w:val="00E262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4E16AF2"/>
  <w15:chartTrackingRefBased/>
  <w15:docId w15:val="{A24C6097-74B3-7B41-8B9F-BE433AE0E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824294"/>
    <w:pPr>
      <w:tabs>
        <w:tab w:val="center" w:pos="4419"/>
        <w:tab w:val="right" w:pos="8838"/>
      </w:tabs>
    </w:pPr>
  </w:style>
  <w:style w:type="character" w:customStyle="1" w:styleId="PiedepginaCar">
    <w:name w:val="Pie de página Car"/>
    <w:basedOn w:val="Fuentedeprrafopredeter"/>
    <w:link w:val="Piedepgina"/>
    <w:uiPriority w:val="99"/>
    <w:semiHidden/>
    <w:rsid w:val="00824294"/>
  </w:style>
  <w:style w:type="paragraph" w:styleId="Encabezado">
    <w:name w:val="header"/>
    <w:basedOn w:val="Normal"/>
    <w:link w:val="EncabezadoCar"/>
    <w:uiPriority w:val="99"/>
    <w:semiHidden/>
    <w:unhideWhenUsed/>
    <w:rsid w:val="00824294"/>
    <w:pPr>
      <w:tabs>
        <w:tab w:val="center" w:pos="4419"/>
        <w:tab w:val="right" w:pos="8838"/>
      </w:tabs>
    </w:pPr>
  </w:style>
  <w:style w:type="character" w:customStyle="1" w:styleId="EncabezadoCar">
    <w:name w:val="Encabezado Car"/>
    <w:basedOn w:val="Fuentedeprrafopredeter"/>
    <w:link w:val="Encabezado"/>
    <w:uiPriority w:val="99"/>
    <w:semiHidden/>
    <w:rsid w:val="00824294"/>
  </w:style>
  <w:style w:type="paragraph" w:styleId="Sinespaciado">
    <w:name w:val="No Spacing"/>
    <w:uiPriority w:val="1"/>
    <w:qFormat/>
    <w:rsid w:val="00824294"/>
  </w:style>
  <w:style w:type="paragraph" w:styleId="Textonotapie">
    <w:name w:val="footnote text"/>
    <w:basedOn w:val="Normal"/>
    <w:link w:val="TextonotapieCar"/>
    <w:uiPriority w:val="99"/>
    <w:semiHidden/>
    <w:unhideWhenUsed/>
    <w:rsid w:val="00824294"/>
    <w:rPr>
      <w:sz w:val="20"/>
      <w:szCs w:val="20"/>
    </w:rPr>
  </w:style>
  <w:style w:type="character" w:customStyle="1" w:styleId="TextonotapieCar">
    <w:name w:val="Texto nota pie Car"/>
    <w:basedOn w:val="Fuentedeprrafopredeter"/>
    <w:link w:val="Textonotapie"/>
    <w:uiPriority w:val="99"/>
    <w:semiHidden/>
    <w:rsid w:val="00824294"/>
    <w:rPr>
      <w:sz w:val="20"/>
      <w:szCs w:val="20"/>
    </w:rPr>
  </w:style>
  <w:style w:type="paragraph" w:styleId="NormalWeb">
    <w:name w:val="Normal (Web)"/>
    <w:basedOn w:val="Normal"/>
    <w:uiPriority w:val="99"/>
    <w:semiHidden/>
    <w:unhideWhenUsed/>
    <w:rsid w:val="00824294"/>
    <w:rPr>
      <w:rFonts w:ascii="Times New Roman" w:hAnsi="Times New Roman" w:cs="Times New Roman"/>
    </w:rPr>
  </w:style>
  <w:style w:type="table" w:styleId="Tablaconcuadrcula">
    <w:name w:val="Table Grid"/>
    <w:basedOn w:val="Tablanormal"/>
    <w:uiPriority w:val="59"/>
    <w:rsid w:val="0082429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24294"/>
    <w:rPr>
      <w:vertAlign w:val="superscript"/>
    </w:rPr>
  </w:style>
  <w:style w:type="paragraph" w:customStyle="1" w:styleId="Appelnotedebasde">
    <w:name w:val="Appel note de bas de..."/>
    <w:basedOn w:val="Normal"/>
    <w:link w:val="Refdenotaalpie"/>
    <w:uiPriority w:val="99"/>
    <w:rsid w:val="00824294"/>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B0C8C8-4F3A-4915-944F-F8E547170A7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0F22553-863A-4832-9479-F6EA3C2780C1}">
  <ds:schemaRefs>
    <ds:schemaRef ds:uri="http://schemas.microsoft.com/sharepoint/v3/contenttype/forms"/>
  </ds:schemaRefs>
</ds:datastoreItem>
</file>

<file path=customXml/itemProps3.xml><?xml version="1.0" encoding="utf-8"?>
<ds:datastoreItem xmlns:ds="http://schemas.openxmlformats.org/officeDocument/2006/customXml" ds:itemID="{A353859E-6CFE-4C06-89D1-698B21C7D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4469</Words>
  <Characters>24585</Characters>
  <Application>Microsoft Office Word</Application>
  <DocSecurity>0</DocSecurity>
  <Lines>204</Lines>
  <Paragraphs>57</Paragraphs>
  <ScaleCrop>false</ScaleCrop>
  <Company/>
  <LinksUpToDate>false</LinksUpToDate>
  <CharactersWithSpaces>28997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JUAN CAMILO VESGA BONILLA</cp:lastModifiedBy>
  <cp:revision>2</cp:revision>
  <dcterms:created xsi:type="dcterms:W3CDTF">2021-08-13T16:42:00Z</dcterms:created>
  <dcterms:modified xsi:type="dcterms:W3CDTF">2021-08-30T13:34:00Z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