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2C5A6" w14:textId="77777777" w:rsidR="008469EA" w:rsidRPr="00DE2B01" w:rsidRDefault="008469EA" w:rsidP="008469EA">
      <w:pPr>
        <w:spacing w:after="0" w:line="240" w:lineRule="auto"/>
        <w:rPr>
          <w:rFonts w:ascii="Century Gothic" w:eastAsia="Calibri" w:hAnsi="Century Gothic"/>
          <w:b/>
        </w:rPr>
      </w:pPr>
      <w:r w:rsidRPr="00DE2B01">
        <w:rPr>
          <w:rFonts w:ascii="Century Gothic" w:eastAsia="Calibri" w:hAnsi="Century Gothic"/>
          <w:b/>
          <w:lang w:eastAsia="es-ES_tradnl"/>
        </w:rPr>
        <w:t>COLOMBIA COMPRA EFICIENTE – Competencia Consultiva – Contratación Estatal – Normas Generales – Alcance – No vinculante</w:t>
      </w:r>
    </w:p>
    <w:p w14:paraId="46254A2B" w14:textId="77777777" w:rsidR="008469EA" w:rsidRPr="00DE2B01" w:rsidRDefault="008469EA" w:rsidP="008469EA">
      <w:pPr>
        <w:spacing w:after="0" w:line="240" w:lineRule="auto"/>
        <w:rPr>
          <w:rFonts w:ascii="Century Gothic" w:eastAsia="Times New Roman" w:hAnsi="Century Gothic"/>
          <w:sz w:val="20"/>
          <w:szCs w:val="20"/>
          <w:lang w:eastAsia="es-ES_tradnl"/>
        </w:rPr>
      </w:pPr>
    </w:p>
    <w:p w14:paraId="1F9B3DCC" w14:textId="77777777" w:rsidR="008469EA" w:rsidRPr="00DE2B01" w:rsidRDefault="008469EA" w:rsidP="008469EA">
      <w:pPr>
        <w:spacing w:line="240" w:lineRule="auto"/>
        <w:rPr>
          <w:rFonts w:ascii="Century Gothic" w:eastAsia="Times New Roman" w:hAnsi="Century Gothic"/>
          <w:sz w:val="20"/>
          <w:szCs w:val="20"/>
          <w:lang w:eastAsia="es-ES_tradnl"/>
        </w:rPr>
      </w:pPr>
      <w:r w:rsidRPr="00DE2B01">
        <w:rPr>
          <w:rFonts w:ascii="Century Gothic" w:eastAsia="Times New Roman" w:hAnsi="Century Gothic"/>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219E7D59" w14:textId="77777777" w:rsidR="008469EA" w:rsidRPr="00DE2B01" w:rsidRDefault="008469EA" w:rsidP="008469EA">
      <w:pPr>
        <w:spacing w:after="0" w:line="240" w:lineRule="auto"/>
        <w:rPr>
          <w:rFonts w:ascii="Century Gothic" w:eastAsia="Times New Roman" w:hAnsi="Century Gothic"/>
          <w:sz w:val="20"/>
          <w:szCs w:val="20"/>
          <w:lang w:eastAsia="es-ES_tradnl"/>
        </w:rPr>
      </w:pPr>
      <w:r w:rsidRPr="00DE2B01">
        <w:rPr>
          <w:rFonts w:ascii="Century Gothic" w:eastAsia="Times New Roman" w:hAnsi="Century Gothic"/>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583B88B0" w14:textId="77777777" w:rsidR="008469EA" w:rsidRPr="00DE2B01" w:rsidRDefault="008469EA" w:rsidP="008469EA">
      <w:pPr>
        <w:spacing w:after="0"/>
        <w:rPr>
          <w:rFonts w:ascii="Century Gothic" w:hAnsi="Century Gothic"/>
        </w:rPr>
      </w:pPr>
    </w:p>
    <w:p w14:paraId="7EF79B1B" w14:textId="77777777" w:rsidR="008469EA" w:rsidRPr="00DE2B01" w:rsidRDefault="008469EA" w:rsidP="008469EA">
      <w:pPr>
        <w:spacing w:after="0" w:line="240" w:lineRule="auto"/>
        <w:rPr>
          <w:rFonts w:ascii="Century Gothic" w:eastAsia="Times New Roman" w:hAnsi="Century Gothic"/>
          <w:b/>
          <w:bCs/>
          <w:color w:val="000000" w:themeColor="text1"/>
          <w:shd w:val="clear" w:color="auto" w:fill="FFFFFF"/>
          <w:lang w:val="es-ES" w:eastAsia="es-MX"/>
        </w:rPr>
      </w:pPr>
      <w:r w:rsidRPr="00DE2B01">
        <w:rPr>
          <w:rFonts w:ascii="Century Gothic" w:eastAsia="Times New Roman" w:hAnsi="Century Gothic"/>
          <w:b/>
          <w:bCs/>
          <w:color w:val="000000" w:themeColor="text1"/>
          <w:shd w:val="clear" w:color="auto" w:fill="FFFFFF"/>
          <w:lang w:val="es-ES" w:eastAsia="es-MX"/>
        </w:rPr>
        <w:t>CONTRATO DE INTERVENTORÍA – Finalidad – Ley 1474 de 2011 – Artículo 83</w:t>
      </w:r>
    </w:p>
    <w:p w14:paraId="7C064C79" w14:textId="77777777" w:rsidR="008469EA" w:rsidRPr="00DE2B01" w:rsidRDefault="008469EA" w:rsidP="008469EA">
      <w:pPr>
        <w:spacing w:after="0" w:line="276" w:lineRule="auto"/>
        <w:rPr>
          <w:rFonts w:ascii="Century Gothic" w:eastAsia="Times New Roman" w:hAnsi="Century Gothic"/>
          <w:color w:val="000000" w:themeColor="text1"/>
          <w:shd w:val="clear" w:color="auto" w:fill="FFFFFF"/>
          <w:lang w:val="es-ES" w:eastAsia="es-MX"/>
        </w:rPr>
      </w:pPr>
    </w:p>
    <w:p w14:paraId="18B0ACEE" w14:textId="77777777" w:rsidR="008469EA" w:rsidRPr="00DE2B01" w:rsidRDefault="008469EA" w:rsidP="008469EA">
      <w:pPr>
        <w:spacing w:after="0" w:line="240" w:lineRule="auto"/>
        <w:rPr>
          <w:rFonts w:ascii="Century Gothic" w:eastAsia="Times New Roman" w:hAnsi="Century Gothic"/>
          <w:color w:val="000000" w:themeColor="text1"/>
          <w:sz w:val="20"/>
          <w:szCs w:val="20"/>
          <w:shd w:val="clear" w:color="auto" w:fill="FFFFFF"/>
          <w:lang w:val="es-ES" w:eastAsia="es-MX"/>
        </w:rPr>
      </w:pPr>
      <w:r w:rsidRPr="00DE2B01">
        <w:rPr>
          <w:rFonts w:ascii="Century Gothic" w:eastAsia="Times New Roman" w:hAnsi="Century Gothic"/>
          <w:color w:val="000000" w:themeColor="text1"/>
          <w:sz w:val="20"/>
          <w:szCs w:val="20"/>
          <w:shd w:val="clear" w:color="auto" w:fill="FFFFFF"/>
          <w:lang w:val="es-ES" w:eastAsia="es-MX"/>
        </w:rPr>
        <w:t>La Ley 1474 de 2011 enmarcó el seguimiento, control y vigilancia de la ejecución del contrato estatal dentro del principio de moralidad administrativa. El artículo 83 ibidem señala: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supervisión en interventoría, como mecanismos que pueden usar las Entidades Estatales para vigilar el contrato […].</w:t>
      </w:r>
    </w:p>
    <w:p w14:paraId="4CE6DA63" w14:textId="77777777" w:rsidR="008469EA" w:rsidRPr="00DE2B01" w:rsidRDefault="008469EA" w:rsidP="008469EA">
      <w:pPr>
        <w:spacing w:after="0" w:line="276" w:lineRule="auto"/>
        <w:rPr>
          <w:rFonts w:ascii="Century Gothic" w:eastAsia="Times New Roman" w:hAnsi="Century Gothic"/>
          <w:color w:val="000000" w:themeColor="text1"/>
          <w:shd w:val="clear" w:color="auto" w:fill="FFFFFF"/>
          <w:lang w:val="es-ES" w:eastAsia="es-MX"/>
        </w:rPr>
      </w:pPr>
    </w:p>
    <w:p w14:paraId="4F54DD15" w14:textId="77777777" w:rsidR="008469EA" w:rsidRPr="00DE2B01" w:rsidRDefault="008469EA" w:rsidP="008469EA">
      <w:pPr>
        <w:spacing w:after="0" w:line="240" w:lineRule="auto"/>
        <w:rPr>
          <w:rFonts w:ascii="Century Gothic" w:eastAsia="Times New Roman" w:hAnsi="Century Gothic"/>
          <w:b/>
          <w:bCs/>
          <w:color w:val="000000" w:themeColor="text1"/>
          <w:shd w:val="clear" w:color="auto" w:fill="FFFFFF"/>
          <w:lang w:val="es-ES" w:eastAsia="es-MX"/>
        </w:rPr>
      </w:pPr>
      <w:r w:rsidRPr="00DE2B01">
        <w:rPr>
          <w:rFonts w:ascii="Century Gothic" w:eastAsia="Times New Roman" w:hAnsi="Century Gothic"/>
          <w:b/>
          <w:bCs/>
          <w:color w:val="000000" w:themeColor="text1"/>
          <w:shd w:val="clear" w:color="auto" w:fill="FFFFFF"/>
          <w:lang w:val="es-ES" w:eastAsia="es-MX"/>
        </w:rPr>
        <w:t>CONTRATO DE INTERVENTORÍA – Características</w:t>
      </w:r>
    </w:p>
    <w:p w14:paraId="05B255A9" w14:textId="77777777" w:rsidR="008469EA" w:rsidRPr="00DE2B01" w:rsidRDefault="008469EA" w:rsidP="008469EA">
      <w:pPr>
        <w:spacing w:after="0" w:line="276" w:lineRule="auto"/>
        <w:rPr>
          <w:rFonts w:ascii="Century Gothic" w:eastAsia="Times New Roman" w:hAnsi="Century Gothic"/>
          <w:b/>
          <w:bCs/>
          <w:color w:val="000000" w:themeColor="text1"/>
          <w:shd w:val="clear" w:color="auto" w:fill="FFFFFF"/>
          <w:lang w:val="es-ES" w:eastAsia="es-MX"/>
        </w:rPr>
      </w:pPr>
    </w:p>
    <w:p w14:paraId="258CDE82" w14:textId="77777777" w:rsidR="008469EA" w:rsidRPr="00DE2B01" w:rsidRDefault="008469EA" w:rsidP="008469EA">
      <w:pPr>
        <w:spacing w:after="0" w:line="240" w:lineRule="auto"/>
        <w:rPr>
          <w:rFonts w:ascii="Century Gothic" w:eastAsia="Times New Roman" w:hAnsi="Century Gothic"/>
          <w:color w:val="000000" w:themeColor="text1"/>
          <w:sz w:val="20"/>
          <w:shd w:val="clear" w:color="auto" w:fill="FFFFFF"/>
          <w:lang w:val="es-ES" w:eastAsia="es-MX"/>
        </w:rPr>
      </w:pPr>
      <w:r w:rsidRPr="00DE2B01">
        <w:rPr>
          <w:rFonts w:ascii="Century Gothic" w:eastAsia="Times New Roman" w:hAnsi="Century Gothic"/>
          <w:color w:val="000000" w:themeColor="text1"/>
          <w:sz w:val="20"/>
          <w:shd w:val="clear" w:color="auto" w:fill="FFFFFF"/>
          <w:lang w:val="es-ES" w:eastAsia="es-MX"/>
        </w:rPr>
        <w:t xml:space="preserve">[…]la interventoría puede caracterizarse de la siguiente manera: i) es un mecanismo de vigilancia contingente en la medida que sólo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especia del contrato de consultoría – art. 32, numeral 2, inciso 2, Ley 80 de 1993 </w:t>
      </w:r>
      <w:r w:rsidRPr="00DE2B01">
        <w:rPr>
          <w:rFonts w:eastAsia="Times New Roman"/>
          <w:color w:val="000000" w:themeColor="text1"/>
          <w:sz w:val="20"/>
          <w:shd w:val="clear" w:color="auto" w:fill="FFFFFF"/>
          <w:lang w:val="es-ES" w:eastAsia="es-MX"/>
        </w:rPr>
        <w:t>‒</w:t>
      </w:r>
      <w:r w:rsidRPr="00DE2B01">
        <w:rPr>
          <w:rFonts w:ascii="Century Gothic" w:eastAsia="Times New Roman" w:hAnsi="Century Gothic"/>
          <w:color w:val="000000" w:themeColor="text1"/>
          <w:sz w:val="20"/>
          <w:shd w:val="clear" w:color="auto" w:fill="FFFFFF"/>
          <w:lang w:val="es-ES" w:eastAsia="es-MX"/>
        </w:rPr>
        <w:t>, de manera que la interventor</w:t>
      </w:r>
      <w:r w:rsidRPr="00DE2B01">
        <w:rPr>
          <w:rFonts w:ascii="Century Gothic" w:eastAsia="Times New Roman" w:hAnsi="Century Gothic" w:cs="Century Gothic"/>
          <w:color w:val="000000" w:themeColor="text1"/>
          <w:sz w:val="20"/>
          <w:shd w:val="clear" w:color="auto" w:fill="FFFFFF"/>
          <w:lang w:val="es-ES" w:eastAsia="es-MX"/>
        </w:rPr>
        <w:t>í</w:t>
      </w:r>
      <w:r w:rsidRPr="00DE2B01">
        <w:rPr>
          <w:rFonts w:ascii="Century Gothic" w:eastAsia="Times New Roman" w:hAnsi="Century Gothic"/>
          <w:color w:val="000000" w:themeColor="text1"/>
          <w:sz w:val="20"/>
          <w:shd w:val="clear" w:color="auto" w:fill="FFFFFF"/>
          <w:lang w:val="es-ES" w:eastAsia="es-MX"/>
        </w:rPr>
        <w:t xml:space="preserve">a es realizada por </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olor w:val="000000" w:themeColor="text1"/>
          <w:sz w:val="20"/>
          <w:shd w:val="clear" w:color="auto" w:fill="FFFFFF"/>
          <w:lang w:val="es-ES" w:eastAsia="es-MX"/>
        </w:rPr>
        <w:t>una persona natural o jur</w:t>
      </w:r>
      <w:r w:rsidRPr="00DE2B01">
        <w:rPr>
          <w:rFonts w:ascii="Century Gothic" w:eastAsia="Times New Roman" w:hAnsi="Century Gothic" w:cs="Century Gothic"/>
          <w:color w:val="000000" w:themeColor="text1"/>
          <w:sz w:val="20"/>
          <w:shd w:val="clear" w:color="auto" w:fill="FFFFFF"/>
          <w:lang w:val="es-ES" w:eastAsia="es-MX"/>
        </w:rPr>
        <w:t>í</w:t>
      </w:r>
      <w:r w:rsidRPr="00DE2B01">
        <w:rPr>
          <w:rFonts w:ascii="Century Gothic" w:eastAsia="Times New Roman" w:hAnsi="Century Gothic"/>
          <w:color w:val="000000" w:themeColor="text1"/>
          <w:sz w:val="20"/>
          <w:shd w:val="clear" w:color="auto" w:fill="FFFFFF"/>
          <w:lang w:val="es-ES" w:eastAsia="es-MX"/>
        </w:rPr>
        <w:t>dica contratada para tal fin por la Entidad Estatal</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olor w:val="000000" w:themeColor="text1"/>
          <w:sz w:val="20"/>
          <w:shd w:val="clear" w:color="auto" w:fill="FFFFFF"/>
          <w:lang w:val="es-ES" w:eastAsia="es-MX"/>
        </w:rPr>
        <w:t xml:space="preserve"> </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olor w:val="000000" w:themeColor="text1"/>
          <w:sz w:val="20"/>
          <w:shd w:val="clear" w:color="auto" w:fill="FFFFFF"/>
          <w:lang w:val="es-ES" w:eastAsia="es-MX"/>
        </w:rPr>
        <w:t>art. 83, Ley 1474</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olor w:val="000000" w:themeColor="text1"/>
          <w:sz w:val="20"/>
          <w:shd w:val="clear" w:color="auto" w:fill="FFFFFF"/>
          <w:lang w:val="es-ES" w:eastAsia="es-MX"/>
        </w:rPr>
        <w:t xml:space="preserve">. </w:t>
      </w:r>
      <w:proofErr w:type="spellStart"/>
      <w:r w:rsidRPr="00DE2B01">
        <w:rPr>
          <w:rFonts w:ascii="Century Gothic" w:eastAsia="Times New Roman" w:hAnsi="Century Gothic"/>
          <w:color w:val="000000" w:themeColor="text1"/>
          <w:sz w:val="20"/>
          <w:shd w:val="clear" w:color="auto" w:fill="FFFFFF"/>
          <w:lang w:val="es-ES" w:eastAsia="es-MX"/>
        </w:rPr>
        <w:t>iv</w:t>
      </w:r>
      <w:proofErr w:type="spellEnd"/>
      <w:r w:rsidRPr="00DE2B01">
        <w:rPr>
          <w:rFonts w:ascii="Century Gothic" w:eastAsia="Times New Roman" w:hAnsi="Century Gothic"/>
          <w:color w:val="000000" w:themeColor="text1"/>
          <w:sz w:val="20"/>
          <w:shd w:val="clear" w:color="auto" w:fill="FFFFFF"/>
          <w:lang w:val="es-ES" w:eastAsia="es-MX"/>
        </w:rPr>
        <w:t>) Le es inherente el seguimiento t</w:t>
      </w:r>
      <w:r w:rsidRPr="00DE2B01">
        <w:rPr>
          <w:rFonts w:ascii="Century Gothic" w:eastAsia="Times New Roman" w:hAnsi="Century Gothic" w:cs="Century Gothic"/>
          <w:color w:val="000000" w:themeColor="text1"/>
          <w:sz w:val="20"/>
          <w:shd w:val="clear" w:color="auto" w:fill="FFFFFF"/>
          <w:lang w:val="es-ES" w:eastAsia="es-MX"/>
        </w:rPr>
        <w:t>é</w:t>
      </w:r>
      <w:r w:rsidRPr="00DE2B01">
        <w:rPr>
          <w:rFonts w:ascii="Century Gothic" w:eastAsia="Times New Roman" w:hAnsi="Century Gothic"/>
          <w:color w:val="000000" w:themeColor="text1"/>
          <w:sz w:val="20"/>
          <w:shd w:val="clear" w:color="auto" w:fill="FFFFFF"/>
          <w:lang w:val="es-ES" w:eastAsia="es-MX"/>
        </w:rPr>
        <w:t xml:space="preserve">cnico, frente a la vigilancia de la correcta ejecución del contrato vigilado; sin embargo, el artículo 83 de la Ley 1474 de 2011 permite que en el </w:t>
      </w:r>
      <w:r w:rsidRPr="00DE2B01">
        <w:rPr>
          <w:rFonts w:ascii="Century Gothic" w:eastAsia="Times New Roman" w:hAnsi="Century Gothic"/>
          <w:color w:val="000000" w:themeColor="text1"/>
          <w:sz w:val="20"/>
          <w:shd w:val="clear" w:color="auto" w:fill="FFFFFF"/>
          <w:lang w:val="es-ES" w:eastAsia="es-MX"/>
        </w:rPr>
        <w:lastRenderedPageBreak/>
        <w:t>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23, inciso 4–.</w:t>
      </w:r>
    </w:p>
    <w:p w14:paraId="2840D7DA" w14:textId="77777777" w:rsidR="008469EA" w:rsidRPr="00DE2B01" w:rsidRDefault="008469EA" w:rsidP="008469EA">
      <w:pPr>
        <w:spacing w:after="0"/>
        <w:rPr>
          <w:rFonts w:ascii="Century Gothic" w:hAnsi="Century Gothic"/>
          <w:lang w:val="es-ES"/>
        </w:rPr>
      </w:pPr>
    </w:p>
    <w:p w14:paraId="5AA589A1" w14:textId="77777777" w:rsidR="008469EA" w:rsidRPr="00DE2B01" w:rsidRDefault="008469EA" w:rsidP="008469EA">
      <w:pPr>
        <w:spacing w:after="0" w:line="240" w:lineRule="auto"/>
        <w:contextualSpacing/>
        <w:rPr>
          <w:rFonts w:ascii="Century Gothic" w:eastAsia="Calibri" w:hAnsi="Century Gothic"/>
          <w:b/>
          <w:bCs/>
          <w:lang w:val="es-MX" w:eastAsia="es-ES_tradnl"/>
        </w:rPr>
      </w:pPr>
      <w:r w:rsidRPr="00DE2B01">
        <w:rPr>
          <w:rFonts w:ascii="Century Gothic" w:eastAsia="Calibri" w:hAnsi="Century Gothic"/>
          <w:b/>
          <w:bCs/>
          <w:lang w:val="es-MX" w:eastAsia="es-ES_tradnl"/>
        </w:rPr>
        <w:t>FACTOR MULTIPLICADOR – Noción – Estipulación del precio</w:t>
      </w:r>
    </w:p>
    <w:p w14:paraId="1B9DD19D" w14:textId="77777777" w:rsidR="008469EA" w:rsidRPr="00DE2B01" w:rsidRDefault="008469EA" w:rsidP="008469EA">
      <w:pPr>
        <w:spacing w:after="0" w:line="240" w:lineRule="auto"/>
        <w:contextualSpacing/>
        <w:rPr>
          <w:rFonts w:ascii="Century Gothic" w:eastAsia="Calibri" w:hAnsi="Century Gothic"/>
          <w:b/>
          <w:bCs/>
          <w:lang w:val="es-MX" w:eastAsia="es-ES_tradnl"/>
        </w:rPr>
      </w:pPr>
    </w:p>
    <w:p w14:paraId="107F2BA3" w14:textId="77777777" w:rsidR="008469EA" w:rsidRPr="00DE2B01" w:rsidRDefault="008469EA" w:rsidP="008469EA">
      <w:pPr>
        <w:spacing w:after="0" w:line="240" w:lineRule="auto"/>
        <w:contextualSpacing/>
        <w:rPr>
          <w:rFonts w:ascii="Century Gothic" w:eastAsia="Times New Roman" w:hAnsi="Century Gothic"/>
          <w:noProof/>
          <w:sz w:val="20"/>
          <w:szCs w:val="20"/>
          <w:lang w:val="es-ES_tradnl" w:eastAsia="es-ES_tradnl"/>
        </w:rPr>
      </w:pPr>
      <w:r w:rsidRPr="00DE2B01">
        <w:rPr>
          <w:rFonts w:ascii="Century Gothic" w:eastAsia="Times New Roman" w:hAnsi="Century Gothic"/>
          <w:noProof/>
          <w:sz w:val="20"/>
          <w:szCs w:val="20"/>
          <w:lang w:val="es-ES_tradnl" w:eastAsia="es-ES_tradnl"/>
        </w:rPr>
        <w:t>En la estipulación del precio de los contratos de consultoría es común la utilización del sistema del factor multiplicador, el cual permite imputar al contrato los costos directos asociados a salarios del personal vinculado con carácter exclusivo al proyecto, así como conceptos asociados a prestaciones sociales, la utilidad de ingeniero y los costos de administración . De esta manera se obtiene un subtotal de costos directos a partir de la sumatoria de los valores correspondientes a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79B9B725" w14:textId="77777777" w:rsidR="008469EA" w:rsidRPr="00DE2B01" w:rsidRDefault="008469EA" w:rsidP="008469EA">
      <w:pPr>
        <w:spacing w:after="0" w:line="240" w:lineRule="auto"/>
        <w:contextualSpacing/>
        <w:rPr>
          <w:rFonts w:ascii="Century Gothic" w:eastAsia="Times New Roman" w:hAnsi="Century Gothic"/>
          <w:noProof/>
          <w:sz w:val="20"/>
          <w:szCs w:val="20"/>
          <w:lang w:val="es-ES_tradnl" w:eastAsia="es-ES_tradnl"/>
        </w:rPr>
      </w:pPr>
    </w:p>
    <w:p w14:paraId="64B409B7" w14:textId="77777777" w:rsidR="008469EA" w:rsidRPr="00DE2B01" w:rsidRDefault="008469EA" w:rsidP="008469EA">
      <w:pPr>
        <w:spacing w:after="0" w:line="240" w:lineRule="auto"/>
        <w:contextualSpacing/>
        <w:rPr>
          <w:rFonts w:ascii="Century Gothic" w:eastAsia="Calibri" w:hAnsi="Century Gothic"/>
          <w:b/>
          <w:bCs/>
          <w:lang w:val="es-MX" w:eastAsia="es-ES_tradnl"/>
        </w:rPr>
      </w:pPr>
      <w:r w:rsidRPr="00DE2B01">
        <w:rPr>
          <w:rFonts w:ascii="Century Gothic" w:eastAsia="Calibri" w:hAnsi="Century Gothic"/>
          <w:b/>
          <w:bCs/>
          <w:lang w:val="es-MX" w:eastAsia="es-ES_tradnl"/>
        </w:rPr>
        <w:t>FACTOR MULTIPLICADOR – Ausencia de marco normativo – Deber de planeación – Principio de autonomía</w:t>
      </w:r>
    </w:p>
    <w:p w14:paraId="69E5944F" w14:textId="77777777" w:rsidR="008469EA" w:rsidRPr="00DE2B01" w:rsidRDefault="008469EA" w:rsidP="008469EA">
      <w:pPr>
        <w:spacing w:after="0" w:line="240" w:lineRule="auto"/>
        <w:contextualSpacing/>
        <w:rPr>
          <w:rFonts w:ascii="Century Gothic" w:eastAsia="Calibri" w:hAnsi="Century Gothic"/>
          <w:b/>
          <w:bCs/>
          <w:lang w:val="es-MX" w:eastAsia="es-ES_tradnl"/>
        </w:rPr>
      </w:pPr>
    </w:p>
    <w:p w14:paraId="27778AF2" w14:textId="77777777" w:rsidR="008469EA" w:rsidRPr="00DE2B01" w:rsidRDefault="008469EA" w:rsidP="008469EA">
      <w:pPr>
        <w:spacing w:after="0" w:line="240" w:lineRule="auto"/>
        <w:contextualSpacing/>
        <w:rPr>
          <w:rFonts w:ascii="Century Gothic" w:eastAsia="Times New Roman" w:hAnsi="Century Gothic"/>
          <w:noProof/>
          <w:sz w:val="20"/>
          <w:szCs w:val="20"/>
          <w:lang w:val="es-ES_tradnl" w:eastAsia="es-ES_tradnl"/>
        </w:rPr>
      </w:pPr>
      <w:r w:rsidRPr="00DE2B01">
        <w:rPr>
          <w:rFonts w:ascii="Century Gothic" w:eastAsia="Times New Roman" w:hAnsi="Century Gothic"/>
          <w:noProof/>
          <w:sz w:val="20"/>
          <w:szCs w:val="20"/>
          <w:lang w:val="es-ES_tradnl" w:eastAsia="es-ES_tradnl"/>
        </w:rPr>
        <w:t>Pese a que el Estatuto General de Contratación de la Administración Pública, en adelante EGCAP, no establece una regulación integral o detallada conforme a la cual se debe dar la estructuración del valor del contrato cuando se usa el sistema de precios unitarios, el Decreto 1082 de 2015 impone taxativamente una carga justificativa para las entidades que utilicen dicho sistema. Al respecto, el artículo 2.2.1.1.2.1.1 del Decreto 1082 de 2015 que regula el contenido del estudio del sector, indica en su numeral 4 que: “Cuando el valor del contrato esté determinado por precios unitarios, la Entidad Estatal debe incluir la forma como los calculó y soportar sus cálculos presupuestales en la estimación de aquello”. En todo caso, esta Agencia estima que, si bien el factor multiplicador no está mencionado en el referido artículo, ello no implica que la entidad esté exenta del deber de incluir en los estudios previos, la razón por la cual determinó la viabilidad o conveniencia de usar tal metodología para estimar el valor del contrato, esto, independientemente del método que haya utilizado para calcularlo.</w:t>
      </w:r>
    </w:p>
    <w:p w14:paraId="301A1D23" w14:textId="77777777" w:rsidR="008469EA" w:rsidRPr="00DE2B01" w:rsidRDefault="008469EA" w:rsidP="008469EA">
      <w:pPr>
        <w:spacing w:after="0" w:line="240" w:lineRule="auto"/>
        <w:contextualSpacing/>
        <w:rPr>
          <w:rFonts w:ascii="Century Gothic" w:eastAsia="Times New Roman" w:hAnsi="Century Gothic"/>
          <w:noProof/>
          <w:sz w:val="20"/>
          <w:szCs w:val="20"/>
          <w:lang w:val="es-ES_tradnl" w:eastAsia="es-ES_tradnl"/>
        </w:rPr>
      </w:pPr>
    </w:p>
    <w:p w14:paraId="74DC9C88" w14:textId="77777777" w:rsidR="008469EA" w:rsidRPr="00DE2B01" w:rsidRDefault="008469EA" w:rsidP="008469EA">
      <w:pPr>
        <w:spacing w:after="0" w:line="240" w:lineRule="auto"/>
        <w:contextualSpacing/>
        <w:rPr>
          <w:rFonts w:ascii="Century Gothic" w:eastAsia="Times New Roman" w:hAnsi="Century Gothic"/>
          <w:noProof/>
          <w:sz w:val="20"/>
          <w:szCs w:val="20"/>
          <w:lang w:val="es-ES_tradnl" w:eastAsia="es-ES_tradnl"/>
        </w:rPr>
      </w:pPr>
      <w:r w:rsidRPr="00DE2B01">
        <w:rPr>
          <w:rFonts w:ascii="Century Gothic" w:eastAsia="Times New Roman" w:hAnsi="Century Gothic"/>
          <w:noProof/>
          <w:sz w:val="20"/>
          <w:szCs w:val="20"/>
          <w:lang w:val="es-ES_tradnl" w:eastAsia="es-ES_tradnl"/>
        </w:rPr>
        <w:t>[…]el principal sustento para que las Entidades Estatales sujetas al EGCAP, como las excluidas de este, aplique las referidas metodologías, es la autonomía de la que gozan para la estructuración de las condiciones del negocio jurídico, determinando el sistema más apropiado para satisfacer los fines de la contratación, respetando los límites previstos en el ordenamiento. De ahí que, las entidades cuenten con la discrecionalidad para disponer en los documentos del proceso, la aplicación de metodologías como las explicadas, siempre que resulten adecuadas y proporcionales al objeto del contrato.</w:t>
      </w:r>
    </w:p>
    <w:p w14:paraId="4E6DFEEC" w14:textId="77777777" w:rsidR="008469EA" w:rsidRPr="00DE2B01" w:rsidRDefault="008469EA" w:rsidP="008469EA">
      <w:pPr>
        <w:spacing w:after="0"/>
        <w:rPr>
          <w:rFonts w:ascii="Century Gothic" w:hAnsi="Century Gothic"/>
          <w:lang w:val="es-ES_tradnl"/>
        </w:rPr>
      </w:pPr>
    </w:p>
    <w:p w14:paraId="059036A5" w14:textId="77777777" w:rsidR="00093283" w:rsidRDefault="008469EA">
      <w:pPr>
        <w:spacing w:after="262"/>
        <w:ind w:left="-5" w:right="0"/>
      </w:pPr>
      <w:r>
        <w:rPr>
          <w:noProof/>
        </w:rPr>
        <w:drawing>
          <wp:anchor distT="0" distB="0" distL="114300" distR="114300" simplePos="0" relativeHeight="251658240" behindDoc="0" locked="0" layoutInCell="1" allowOverlap="0" wp14:anchorId="0ABC58FD" wp14:editId="76AE9E86">
            <wp:simplePos x="0" y="0"/>
            <wp:positionH relativeFrom="column">
              <wp:posOffset>3211830</wp:posOffset>
            </wp:positionH>
            <wp:positionV relativeFrom="paragraph">
              <wp:posOffset>-24760</wp:posOffset>
            </wp:positionV>
            <wp:extent cx="2400300" cy="615950"/>
            <wp:effectExtent l="0" t="0" r="0" b="0"/>
            <wp:wrapSquare wrapText="bothSides"/>
            <wp:docPr id="632" name="Picture 632"/>
            <wp:cNvGraphicFramePr/>
            <a:graphic xmlns:a="http://schemas.openxmlformats.org/drawingml/2006/main">
              <a:graphicData uri="http://schemas.openxmlformats.org/drawingml/2006/picture">
                <pic:pic xmlns:pic="http://schemas.openxmlformats.org/drawingml/2006/picture">
                  <pic:nvPicPr>
                    <pic:cNvPr id="632" name="Picture 632"/>
                    <pic:cNvPicPr/>
                  </pic:nvPicPr>
                  <pic:blipFill>
                    <a:blip r:embed="rId7"/>
                    <a:stretch>
                      <a:fillRect/>
                    </a:stretch>
                  </pic:blipFill>
                  <pic:spPr>
                    <a:xfrm>
                      <a:off x="0" y="0"/>
                      <a:ext cx="2400300" cy="615950"/>
                    </a:xfrm>
                    <a:prstGeom prst="rect">
                      <a:avLst/>
                    </a:prstGeom>
                  </pic:spPr>
                </pic:pic>
              </a:graphicData>
            </a:graphic>
          </wp:anchor>
        </w:drawing>
      </w:r>
      <w:r>
        <w:t>Bogotá D.C., 25 Septiembre 2023</w:t>
      </w:r>
    </w:p>
    <w:p w14:paraId="088D0FEB" w14:textId="77777777" w:rsidR="00093283" w:rsidRDefault="008469EA">
      <w:pPr>
        <w:spacing w:after="7"/>
        <w:ind w:left="-5" w:right="0"/>
      </w:pPr>
      <w:r>
        <w:t>Señor</w:t>
      </w:r>
    </w:p>
    <w:p w14:paraId="26A851C9" w14:textId="77777777" w:rsidR="00093283" w:rsidRDefault="008469EA">
      <w:pPr>
        <w:pStyle w:val="Ttulo1"/>
        <w:numPr>
          <w:ilvl w:val="0"/>
          <w:numId w:val="0"/>
        </w:numPr>
        <w:spacing w:after="10"/>
        <w:ind w:left="-5" w:right="0"/>
      </w:pPr>
      <w:r>
        <w:t>Jimmy Fernando Alarcón Jiménez</w:t>
      </w:r>
    </w:p>
    <w:p w14:paraId="22565454" w14:textId="77777777" w:rsidR="00093283" w:rsidRDefault="008469EA">
      <w:pPr>
        <w:spacing w:after="7"/>
        <w:ind w:left="-5" w:right="0"/>
      </w:pPr>
      <w:r>
        <w:t>Oficina de contratación</w:t>
      </w:r>
    </w:p>
    <w:p w14:paraId="64EDD8DB" w14:textId="77777777" w:rsidR="00093283" w:rsidRDefault="008469EA">
      <w:pPr>
        <w:spacing w:after="7"/>
        <w:ind w:left="-5" w:right="0"/>
      </w:pPr>
      <w:r>
        <w:t>Municipio de Acacias</w:t>
      </w:r>
    </w:p>
    <w:p w14:paraId="13A52832" w14:textId="77777777" w:rsidR="00093283" w:rsidRDefault="008469EA">
      <w:pPr>
        <w:spacing w:after="260"/>
        <w:ind w:left="-5" w:right="0"/>
      </w:pPr>
      <w:r>
        <w:t>Acacias, Meta</w:t>
      </w:r>
    </w:p>
    <w:p w14:paraId="4203C973" w14:textId="77777777" w:rsidR="00093283" w:rsidRDefault="008469EA">
      <w:pPr>
        <w:spacing w:after="26" w:line="259" w:lineRule="auto"/>
        <w:ind w:left="0" w:right="634" w:firstLine="0"/>
        <w:jc w:val="center"/>
      </w:pPr>
      <w:r>
        <w:rPr>
          <w:b/>
        </w:rPr>
        <w:t>Concepto C-388 de 2023</w:t>
      </w:r>
    </w:p>
    <w:tbl>
      <w:tblPr>
        <w:tblStyle w:val="TableGrid"/>
        <w:tblW w:w="7840" w:type="dxa"/>
        <w:tblInd w:w="1059" w:type="dxa"/>
        <w:tblCellMar>
          <w:top w:w="0" w:type="dxa"/>
          <w:left w:w="0" w:type="dxa"/>
          <w:bottom w:w="0" w:type="dxa"/>
          <w:right w:w="0" w:type="dxa"/>
        </w:tblCellMar>
        <w:tblLook w:val="04A0" w:firstRow="1" w:lastRow="0" w:firstColumn="1" w:lastColumn="0" w:noHBand="0" w:noVBand="1"/>
      </w:tblPr>
      <w:tblGrid>
        <w:gridCol w:w="1542"/>
        <w:gridCol w:w="6298"/>
      </w:tblGrid>
      <w:tr w:rsidR="00093283" w14:paraId="4EDFFD36" w14:textId="77777777">
        <w:trPr>
          <w:trHeight w:val="2132"/>
        </w:trPr>
        <w:tc>
          <w:tcPr>
            <w:tcW w:w="1542" w:type="dxa"/>
            <w:tcBorders>
              <w:top w:val="nil"/>
              <w:left w:val="nil"/>
              <w:bottom w:val="nil"/>
              <w:right w:val="nil"/>
            </w:tcBorders>
          </w:tcPr>
          <w:p w14:paraId="26541EF7" w14:textId="77777777" w:rsidR="00093283" w:rsidRDefault="008469EA">
            <w:pPr>
              <w:spacing w:after="0" w:line="259" w:lineRule="auto"/>
              <w:ind w:left="238" w:right="0" w:firstLine="0"/>
              <w:jc w:val="left"/>
            </w:pPr>
            <w:r>
              <w:rPr>
                <w:b/>
              </w:rPr>
              <w:t>Temas:</w:t>
            </w:r>
          </w:p>
        </w:tc>
        <w:tc>
          <w:tcPr>
            <w:tcW w:w="6298" w:type="dxa"/>
            <w:tcBorders>
              <w:top w:val="nil"/>
              <w:left w:val="nil"/>
              <w:bottom w:val="nil"/>
              <w:right w:val="nil"/>
            </w:tcBorders>
          </w:tcPr>
          <w:p w14:paraId="0434A993" w14:textId="77777777" w:rsidR="00093283" w:rsidRDefault="008469EA">
            <w:pPr>
              <w:spacing w:after="0" w:line="259" w:lineRule="auto"/>
              <w:ind w:left="0" w:right="0" w:firstLine="0"/>
            </w:pPr>
            <w:r>
              <w:t xml:space="preserve">COLOMBIA COMPRA EFICIENTE –  Competencia Consultiva  – </w:t>
            </w:r>
          </w:p>
          <w:p w14:paraId="735A1696" w14:textId="77777777" w:rsidR="00093283" w:rsidRDefault="008469EA">
            <w:pPr>
              <w:spacing w:after="0" w:line="259" w:lineRule="auto"/>
              <w:ind w:left="0" w:right="0" w:firstLine="0"/>
            </w:pPr>
            <w:r>
              <w:t xml:space="preserve">Contratación Estatal  – Normas </w:t>
            </w:r>
            <w:r>
              <w:t xml:space="preserve">Generales / FUNCIÓN </w:t>
            </w:r>
          </w:p>
          <w:p w14:paraId="62215C72" w14:textId="77777777" w:rsidR="00093283" w:rsidRDefault="008469EA">
            <w:pPr>
              <w:spacing w:after="0" w:line="259" w:lineRule="auto"/>
              <w:ind w:left="0" w:right="0" w:firstLine="0"/>
            </w:pPr>
            <w:r>
              <w:t xml:space="preserve">CONSULTIVA  – Alcance  – No vinculante / CONTRATO DE </w:t>
            </w:r>
          </w:p>
          <w:p w14:paraId="34E4673E" w14:textId="77777777" w:rsidR="00093283" w:rsidRDefault="008469EA">
            <w:pPr>
              <w:spacing w:after="0" w:line="259" w:lineRule="auto"/>
              <w:ind w:left="0" w:right="0" w:firstLine="0"/>
            </w:pPr>
            <w:r>
              <w:t xml:space="preserve">INTERVENTORÍA  – Finalidad  – Ley 1474 de 2011 / CONTRATO </w:t>
            </w:r>
          </w:p>
          <w:p w14:paraId="39598998" w14:textId="77777777" w:rsidR="00093283" w:rsidRDefault="008469EA">
            <w:pPr>
              <w:tabs>
                <w:tab w:val="center" w:pos="1515"/>
                <w:tab w:val="center" w:pos="2788"/>
                <w:tab w:val="center" w:pos="3901"/>
                <w:tab w:val="center" w:pos="4984"/>
                <w:tab w:val="right" w:pos="6298"/>
              </w:tabs>
              <w:spacing w:after="0" w:line="259" w:lineRule="auto"/>
              <w:ind w:left="0" w:right="0" w:firstLine="0"/>
              <w:jc w:val="left"/>
            </w:pPr>
            <w:r>
              <w:t xml:space="preserve">DE </w:t>
            </w:r>
            <w:r>
              <w:tab/>
              <w:t xml:space="preserve">INTERVENTORÍA </w:t>
            </w:r>
            <w:r>
              <w:tab/>
              <w:t xml:space="preserve"> – </w:t>
            </w:r>
            <w:r>
              <w:tab/>
              <w:t xml:space="preserve">Características </w:t>
            </w:r>
            <w:r>
              <w:tab/>
              <w:t xml:space="preserve">/ </w:t>
            </w:r>
            <w:r>
              <w:tab/>
              <w:t xml:space="preserve">FACTOR </w:t>
            </w:r>
          </w:p>
          <w:p w14:paraId="3B005E6A" w14:textId="77777777" w:rsidR="00093283" w:rsidRDefault="008469EA">
            <w:pPr>
              <w:spacing w:after="0" w:line="259" w:lineRule="auto"/>
              <w:ind w:left="0" w:right="0" w:firstLine="0"/>
            </w:pPr>
            <w:r>
              <w:t xml:space="preserve">MULTIPLICADOR  – Noción  – Estipulación de precio / FACTOR </w:t>
            </w:r>
          </w:p>
          <w:p w14:paraId="1832EC51" w14:textId="77777777" w:rsidR="00093283" w:rsidRDefault="008469EA">
            <w:pPr>
              <w:spacing w:after="0" w:line="259" w:lineRule="auto"/>
              <w:ind w:left="0" w:right="0" w:firstLine="0"/>
              <w:jc w:val="left"/>
            </w:pPr>
            <w:r>
              <w:t>MULTIPLICADOR – Ausencia de marco normativo</w:t>
            </w:r>
          </w:p>
          <w:p w14:paraId="74A090CD" w14:textId="77777777" w:rsidR="00093283" w:rsidRDefault="008469EA">
            <w:pPr>
              <w:spacing w:after="0" w:line="259" w:lineRule="auto"/>
              <w:ind w:left="0" w:right="0" w:firstLine="0"/>
              <w:jc w:val="left"/>
            </w:pPr>
            <w:r>
              <w:t>Deber de planeación – Principio de autonomía</w:t>
            </w:r>
          </w:p>
        </w:tc>
      </w:tr>
      <w:tr w:rsidR="00093283" w14:paraId="0DDC73BE" w14:textId="77777777">
        <w:trPr>
          <w:trHeight w:val="361"/>
        </w:trPr>
        <w:tc>
          <w:tcPr>
            <w:tcW w:w="1542" w:type="dxa"/>
            <w:tcBorders>
              <w:top w:val="nil"/>
              <w:left w:val="nil"/>
              <w:bottom w:val="nil"/>
              <w:right w:val="nil"/>
            </w:tcBorders>
            <w:vAlign w:val="bottom"/>
          </w:tcPr>
          <w:p w14:paraId="0201DA76" w14:textId="77777777" w:rsidR="00093283" w:rsidRDefault="008469EA">
            <w:pPr>
              <w:spacing w:after="0" w:line="259" w:lineRule="auto"/>
              <w:ind w:left="0" w:right="0" w:firstLine="0"/>
              <w:jc w:val="left"/>
            </w:pPr>
            <w:r>
              <w:rPr>
                <w:b/>
              </w:rPr>
              <w:t>Radicación:</w:t>
            </w:r>
          </w:p>
        </w:tc>
        <w:tc>
          <w:tcPr>
            <w:tcW w:w="6298" w:type="dxa"/>
            <w:tcBorders>
              <w:top w:val="nil"/>
              <w:left w:val="nil"/>
              <w:bottom w:val="nil"/>
              <w:right w:val="nil"/>
            </w:tcBorders>
            <w:vAlign w:val="bottom"/>
          </w:tcPr>
          <w:p w14:paraId="1C268C2E" w14:textId="77777777" w:rsidR="00093283" w:rsidRDefault="008469EA">
            <w:pPr>
              <w:spacing w:after="0" w:line="259" w:lineRule="auto"/>
              <w:ind w:left="0" w:right="0" w:firstLine="0"/>
              <w:jc w:val="left"/>
            </w:pPr>
            <w:r>
              <w:t>Respuesta a consulta P20230811014130</w:t>
            </w:r>
          </w:p>
        </w:tc>
      </w:tr>
    </w:tbl>
    <w:p w14:paraId="5D50FEE3" w14:textId="77777777" w:rsidR="00093283" w:rsidRDefault="008469EA">
      <w:pPr>
        <w:spacing w:after="298"/>
        <w:ind w:left="-5" w:right="0"/>
      </w:pPr>
      <w:r>
        <w:t>Estimado señor Alarcón:</w:t>
      </w:r>
    </w:p>
    <w:p w14:paraId="074F3385" w14:textId="77777777" w:rsidR="00093283" w:rsidRDefault="008469EA">
      <w:pPr>
        <w:spacing w:after="315"/>
        <w:ind w:left="-5" w:right="0"/>
      </w:pPr>
      <w:r>
        <w:t xml:space="preserve">En virtud de la competencia conferida por el numeral 8 del artículo 11 y el numeral 5 del </w:t>
      </w:r>
      <w:r>
        <w:t>artículo 3 del Decreto Ley 4170 de 2011, la Agencia Nacional de Contratación Pública - Colombia Compra Eficiente- responde a su consulta del 11 de agosto de 2023.</w:t>
      </w:r>
    </w:p>
    <w:p w14:paraId="04781BC2" w14:textId="77777777" w:rsidR="00093283" w:rsidRDefault="008469EA">
      <w:pPr>
        <w:pStyle w:val="Ttulo1"/>
        <w:spacing w:after="308"/>
        <w:ind w:left="693" w:right="0" w:hanging="708"/>
      </w:pPr>
      <w:r>
        <w:t>Problema planteado</w:t>
      </w:r>
    </w:p>
    <w:p w14:paraId="0ECD9BED" w14:textId="77777777" w:rsidR="00093283" w:rsidRDefault="008469EA">
      <w:pPr>
        <w:spacing w:after="286"/>
        <w:ind w:left="-5" w:right="0"/>
      </w:pPr>
      <w:r>
        <w:t>E n relación con  la aplicación del factor multiplicador en contratos de interventoría, usted  plantea las siguientes inquietudes:</w:t>
      </w:r>
    </w:p>
    <w:p w14:paraId="00E37A4A" w14:textId="77777777" w:rsidR="00093283" w:rsidRDefault="008469EA">
      <w:pPr>
        <w:spacing w:after="240" w:line="241" w:lineRule="auto"/>
        <w:ind w:left="846" w:right="755"/>
      </w:pPr>
      <w:r>
        <w:rPr>
          <w:sz w:val="21"/>
        </w:rPr>
        <w:t xml:space="preserve">“ PREGUNTA 1: ¿Si se usa el factor multiplicador como fórmula para la determinación de los costos del contrato, el contratista debe demostrar el gasto de todos los componentes de costo que se tuvieron en cuenta para determinarlo? En este caso el pago de las prestaciones sociales del personal. </w:t>
      </w:r>
    </w:p>
    <w:p w14:paraId="31D71C49" w14:textId="77777777" w:rsidR="00093283" w:rsidRDefault="008469EA">
      <w:pPr>
        <w:spacing w:after="240" w:line="241" w:lineRule="auto"/>
        <w:ind w:left="846" w:right="755"/>
      </w:pPr>
      <w:r>
        <w:rPr>
          <w:sz w:val="21"/>
        </w:rPr>
        <w:t xml:space="preserve">PREGUNTA 2: ¿En caso de que el contratista no asuma tal costo por la modalidad de contratación del personal del que dispone para la ejecución del contrato, se debe disminuir el porcentaje correspondiente a este concepto a través de una modificación al contrato o en el acta de liquidación del mismo? </w:t>
      </w:r>
    </w:p>
    <w:p w14:paraId="2464E73A" w14:textId="77777777" w:rsidR="00093283" w:rsidRDefault="008469EA">
      <w:pPr>
        <w:spacing w:after="240" w:line="241" w:lineRule="auto"/>
        <w:ind w:left="846" w:right="755"/>
      </w:pPr>
      <w:r>
        <w:rPr>
          <w:sz w:val="21"/>
        </w:rPr>
        <w:lastRenderedPageBreak/>
        <w:t>PREGUNTA 3: ¿Es posible determinar en el presupuesto oficial el porcentaje Factor Multiplicador a través de únicamente costos indirectos como lo son, papelería, transporte, arrendamientos, servicios públicos, ensayos de laboratorio y multiplicarle este porcentaje al valor de costos directos de personal? Es decir, los componentes del FM no son factor prestacional sino de costos indirectos.</w:t>
      </w:r>
    </w:p>
    <w:p w14:paraId="4E075EB8" w14:textId="77777777" w:rsidR="00093283" w:rsidRDefault="008469EA">
      <w:pPr>
        <w:spacing w:after="311" w:line="241" w:lineRule="auto"/>
        <w:ind w:left="846" w:right="755"/>
      </w:pPr>
      <w:r>
        <w:rPr>
          <w:sz w:val="21"/>
        </w:rPr>
        <w:t>PREGUNTA 4: ¿Es posible determinar el presupuesto oficial de un contrato de interventoría a través de la suma de los costos de personal + los costos directos (aplicando la figura del AIU) en vez del Factor Multiplicador?”</w:t>
      </w:r>
      <w:r>
        <w:t>.</w:t>
      </w:r>
    </w:p>
    <w:p w14:paraId="0BC99559" w14:textId="77777777" w:rsidR="00093283" w:rsidRDefault="008469EA">
      <w:pPr>
        <w:pStyle w:val="Ttulo1"/>
        <w:spacing w:after="308"/>
        <w:ind w:left="693" w:right="0" w:hanging="708"/>
      </w:pPr>
      <w:r>
        <w:t>Consideraciones</w:t>
      </w:r>
    </w:p>
    <w:p w14:paraId="4F7320B1" w14:textId="77777777" w:rsidR="00093283" w:rsidRDefault="008469EA">
      <w:pPr>
        <w:ind w:left="-5" w:right="0"/>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240478DC" wp14:editId="5A9D6544">
                <wp:simplePos x="0" y="0"/>
                <wp:positionH relativeFrom="column">
                  <wp:posOffset>1062344</wp:posOffset>
                </wp:positionH>
                <wp:positionV relativeFrom="paragraph">
                  <wp:posOffset>714189</wp:posOffset>
                </wp:positionV>
                <wp:extent cx="52816" cy="156071"/>
                <wp:effectExtent l="0" t="0" r="0" b="0"/>
                <wp:wrapNone/>
                <wp:docPr id="75243" name="Group 75243"/>
                <wp:cNvGraphicFramePr/>
                <a:graphic xmlns:a="http://schemas.openxmlformats.org/drawingml/2006/main">
                  <a:graphicData uri="http://schemas.microsoft.com/office/word/2010/wordprocessingGroup">
                    <wpg:wgp>
                      <wpg:cNvGrpSpPr/>
                      <wpg:grpSpPr>
                        <a:xfrm>
                          <a:off x="0" y="0"/>
                          <a:ext cx="52816" cy="156071"/>
                          <a:chOff x="0" y="0"/>
                          <a:chExt cx="52816" cy="156071"/>
                        </a:xfrm>
                      </wpg:grpSpPr>
                      <wps:wsp>
                        <wps:cNvPr id="78852" name="Shape 78852"/>
                        <wps:cNvSpPr/>
                        <wps:spPr>
                          <a:xfrm>
                            <a:off x="0" y="0"/>
                            <a:ext cx="52816" cy="156071"/>
                          </a:xfrm>
                          <a:custGeom>
                            <a:avLst/>
                            <a:gdLst/>
                            <a:ahLst/>
                            <a:cxnLst/>
                            <a:rect l="0" t="0" r="0" b="0"/>
                            <a:pathLst>
                              <a:path w="52816" h="156071">
                                <a:moveTo>
                                  <a:pt x="0" y="0"/>
                                </a:moveTo>
                                <a:lnTo>
                                  <a:pt x="52816" y="0"/>
                                </a:lnTo>
                                <a:lnTo>
                                  <a:pt x="52816" y="156071"/>
                                </a:lnTo>
                                <a:lnTo>
                                  <a:pt x="0" y="156071"/>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g:wgp>
                  </a:graphicData>
                </a:graphic>
              </wp:anchor>
            </w:drawing>
          </mc:Choice>
          <mc:Fallback xmlns:a="http://schemas.openxmlformats.org/drawingml/2006/main">
            <w:pict>
              <v:group id="Group 75243" style="width:4.15871pt;height:12.2891pt;position:absolute;z-index:-2147483313;mso-position-horizontal-relative:text;mso-position-horizontal:absolute;margin-left:83.6491pt;mso-position-vertical-relative:text;margin-top:56.2354pt;" coordsize="528,1560">
                <v:shape id="Shape 78853" style="position:absolute;width:528;height:1560;left:0;top:0;" coordsize="52816,156071" path="m0,0l52816,0l52816,156071l0,156071l0,0">
                  <v:stroke weight="0pt" endcap="flat" joinstyle="miter" miterlimit="10" on="false" color="#000000" opacity="0"/>
                  <v:fill on="true" color="#e6e6e6"/>
                </v:shape>
              </v:group>
            </w:pict>
          </mc:Fallback>
        </mc:AlternateContent>
      </w:r>
      <w:r>
        <w:t>En ejercicio de las competencias previstas en los artículos 3, numeral 5° y 11, numeral 8 ° del Decreto-Ley 4170 de 2011, la Agencia Nacional de Contratación Pública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w:t>
      </w:r>
      <w:r>
        <w:t>ral en materia de compras y contratación pública. En este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0EBA0A55" w14:textId="77777777" w:rsidR="00093283" w:rsidRDefault="008469EA">
      <w:pPr>
        <w:ind w:left="-15" w:right="0" w:firstLine="708"/>
      </w:pPr>
      <w:r>
        <w:t xml:space="preserve">La competencia de esta entidad se fija con límites claros, con el objeto de evitar que la Agencia intervenga como una instancia de validación de las actuaciones de las </w:t>
      </w:r>
      <w:r>
        <w:t>entidades sujetas a la Ley 80 de 1993 o de los demás participantes de la contratación pública</w:t>
      </w:r>
      <w:r>
        <w:rPr>
          <w:vertAlign w:val="superscript"/>
        </w:rPr>
        <w:footnoteReference w:id="1"/>
      </w:r>
      <w:r>
        <w:t xml:space="preserve"> .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w:t>
      </w:r>
      <w:r>
        <w:t>estos temas corresponde a la entidad que adelanta el procedimiento de selección y, en caso de conflicto, a las autoridades judiciales, fiscales y/o disciplinarias, según corresponda.</w:t>
      </w:r>
    </w:p>
    <w:p w14:paraId="122B252A" w14:textId="77777777" w:rsidR="00093283" w:rsidRDefault="008469EA">
      <w:pPr>
        <w:ind w:left="-15" w:right="0" w:firstLine="708"/>
      </w:pPr>
      <w:r>
        <w:t xml:space="preserve">Bajo este entendido ,  la Subdirección -dentro del límite de sus atribuciones, esto es, haciendo abstracción de cualquier caso particular que pueda llegar a proponer el </w:t>
      </w:r>
      <w:r>
        <w:lastRenderedPageBreak/>
        <w:t xml:space="preserve">peticionario- resolverá la presente consulta de acuerdo con el alcance general de las normas en materia de contratación estatal. Con tal propósito, analizará los siguientes temas: </w:t>
      </w:r>
      <w:r>
        <w:rPr>
          <w:i/>
        </w:rPr>
        <w:t>(</w:t>
      </w:r>
      <w:r>
        <w:t xml:space="preserve"> </w:t>
      </w:r>
      <w:r>
        <w:rPr>
          <w:i/>
        </w:rPr>
        <w:t>i)</w:t>
      </w:r>
      <w:r>
        <w:t xml:space="preserve"> los efectos de los conceptos emitidos por la Agencia Nacional de Contratación Pública -Colombia Compra Eficiente;  </w:t>
      </w:r>
      <w:r>
        <w:rPr>
          <w:i/>
        </w:rPr>
        <w:t>( ii )</w:t>
      </w:r>
      <w:r>
        <w:t xml:space="preserve"> la finalidad y características del contrato de interventoría a la luz de lo previsto en el artículo 83 de la Ley 1474 de 2011; y  </w:t>
      </w:r>
      <w:r>
        <w:rPr>
          <w:i/>
        </w:rPr>
        <w:t>( iii )</w:t>
      </w:r>
      <w:r>
        <w:t xml:space="preserve">  la noción del factor multiplicador, la estipulación del precio ant</w:t>
      </w:r>
      <w:r>
        <w:t>e la ausencia de marco normativo y el deber de planeación en el marco de la autonomía de la voluntad.</w:t>
      </w:r>
    </w:p>
    <w:p w14:paraId="1C3D7E46" w14:textId="77777777" w:rsidR="00093283" w:rsidRDefault="008469EA">
      <w:pPr>
        <w:spacing w:after="965"/>
        <w:ind w:left="-15" w:right="0" w:firstLine="708"/>
      </w:pPr>
      <w:r>
        <w:t>La Agencia Nacional de Contratación Pública -Colombia Compra Eficiente- se ha referido previamente a los temas planteados en los conceptos  4201714000006240 del 27 de septiembre de 2017,  conceptos 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w:t>
      </w:r>
      <w:r>
        <w:t xml:space="preserve"> C- 590 del 20 de septiembre de 2022,  C-716 del 15 de noviembre de 2022,  C-114 del 4 de mayo de 2023, C-198 del 16 de junio de 2023, C-250 del 31 de julio de 2023 y C-288 del 14 de julio de 2023,  entre otros</w:t>
      </w:r>
      <w:r>
        <w:rPr>
          <w:vertAlign w:val="superscript"/>
        </w:rPr>
        <w:footnoteReference w:id="2"/>
      </w:r>
      <w:r>
        <w:t xml:space="preserve"> . Las tesis propuestas se reiteran y complementan en lo pertinente a continuación:</w:t>
      </w:r>
    </w:p>
    <w:p w14:paraId="7E21F7E0" w14:textId="77777777" w:rsidR="00093283" w:rsidRDefault="008469EA">
      <w:pPr>
        <w:pStyle w:val="Ttulo2"/>
        <w:ind w:left="693" w:right="0" w:hanging="708"/>
      </w:pPr>
      <w:r>
        <w:t>Los efectos de los conceptos emitidos por Colombia Compra Eficiente</w:t>
      </w:r>
    </w:p>
    <w:p w14:paraId="782F5245" w14:textId="77777777" w:rsidR="00093283" w:rsidRDefault="008469EA">
      <w:pPr>
        <w:spacing w:after="146"/>
        <w:ind w:left="-5" w:right="0"/>
      </w:pPr>
      <w:r>
        <w:t xml:space="preserve">Además de lo anteriormente expuesto sobre la competencia consultiva de esta entidad, cabe aclarar que, en </w:t>
      </w:r>
      <w:r>
        <w:t>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relacionadas en los artículos antes referidos. Esta atribución se relaciona con el artículo 28 de la Ley 1437 de 2011, sustituido por el artículo 1 de la Ley 1755, que dispone lo s</w:t>
      </w:r>
      <w:r>
        <w:t xml:space="preserve">iguiente: </w:t>
      </w:r>
    </w:p>
    <w:p w14:paraId="4A7411AF" w14:textId="77777777" w:rsidR="00093283" w:rsidRDefault="008469EA">
      <w:pPr>
        <w:spacing w:after="248" w:line="240" w:lineRule="auto"/>
        <w:ind w:left="704" w:right="755"/>
      </w:pPr>
      <w:r>
        <w:rPr>
          <w:sz w:val="20"/>
        </w:rPr>
        <w:t xml:space="preserve">“ Artículo 28. Alcance de los conceptos. Salvo disposición legal en contrario, los conceptos emitidos por las autoridades como respuestas a peticiones realizadas en ejercicio del derecho a formular consultas no serán de obligatorio cumplimiento o ejecución”. </w:t>
      </w:r>
    </w:p>
    <w:p w14:paraId="61D740B6" w14:textId="77777777" w:rsidR="00093283" w:rsidRDefault="008469EA">
      <w:pPr>
        <w:spacing w:after="200"/>
        <w:ind w:left="-5" w:right="0"/>
      </w:pPr>
      <w:r>
        <w:t xml:space="preserve"> La ley es clara cuando establece que los conceptos emitidos por las autoridades al responder peticiones realizadas en ejercicio del derecho a formular consultas  – como fue el caso del concepto de la solicitud de queja – no son de obligatorio cumplimiento o de obligatoria ejecución, en otras palabras, no tienen efectos vinculantes. Las respuestas emitidas como concepto, entonces, consisten en la posición hermenéutica que las entidades </w:t>
      </w:r>
      <w:r>
        <w:lastRenderedPageBreak/>
        <w:t>tienen respecto del ordenamiento jurídico. Esto explica por qué esta Agencia no resuelve controversias concretas ni brinda asesoría a los partícipes de la contratación estatal</w:t>
      </w:r>
      <w:r>
        <w:rPr>
          <w:vertAlign w:val="superscript"/>
        </w:rPr>
        <w:footnoteReference w:id="3"/>
      </w:r>
      <w:r>
        <w:t>.</w:t>
      </w:r>
    </w:p>
    <w:p w14:paraId="19DA73AA" w14:textId="77777777" w:rsidR="00093283" w:rsidRDefault="008469EA">
      <w:pPr>
        <w:spacing w:after="164"/>
        <w:ind w:left="-5" w:right="0"/>
      </w:pPr>
      <w:r>
        <w:t xml:space="preserve"> Esta posición es compartida por varias entidades públicas que ejercen la misma función. Por ejemplo, la Procuraduría General de la Nación aclaró que el concepto </w:t>
      </w:r>
      <w:r>
        <w:rPr>
          <w:i/>
        </w:rPr>
        <w:t>“</w:t>
      </w:r>
      <w:r>
        <w:t xml:space="preserve"> </w:t>
      </w:r>
      <w:r>
        <w:rPr>
          <w:i/>
        </w:rPr>
        <w:t>[  …]   sólo constituye un criterio auxiliar de interpretación y que no tiene carácter vinculante de acuerdo con lo dispuesto en los artículos 230 de la Constitución Política, 5° de la Ley 153 de 1887 y 28 de la ley 1437 de 2011 ”</w:t>
      </w:r>
      <w:r>
        <w:rPr>
          <w:vertAlign w:val="superscript"/>
        </w:rPr>
        <w:footnoteReference w:id="4"/>
      </w:r>
      <w:r>
        <w:rPr>
          <w:i/>
        </w:rPr>
        <w:t xml:space="preserve"> </w:t>
      </w:r>
      <w:r>
        <w:t>. Igualmente, en concepto del año 2017</w:t>
      </w:r>
      <w:r>
        <w:rPr>
          <w:vertAlign w:val="superscript"/>
        </w:rPr>
        <w:footnoteReference w:id="5"/>
      </w:r>
      <w:r>
        <w:t xml:space="preserve"> , la Contraloría General de la República precisó que los  “ [ … ] conceptos emitidos por la Oficina Jurídica de la Contraloría General de la República, son orientaciones de carácter general que [ …]  no son de obligatorio cumplimiento o ejecución, ni tienen el carácter de fuente normativa y sólo pueden ser utilizados para facilitar la interpretación y aplicación de las normas jurídicas vigentes […]”.</w:t>
      </w:r>
    </w:p>
    <w:p w14:paraId="6C9409A9" w14:textId="77777777" w:rsidR="00093283" w:rsidRDefault="008469EA">
      <w:pPr>
        <w:spacing w:after="146"/>
        <w:ind w:left="-5" w:right="0"/>
      </w:pPr>
      <w:r>
        <w:t xml:space="preserve"> 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w:t>
      </w:r>
      <w:r>
        <w:t>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 Al respecto, el profesor Enrique José Arboleda Perdomo</w:t>
      </w:r>
      <w:r>
        <w:rPr>
          <w:vertAlign w:val="superscript"/>
        </w:rPr>
        <w:footnoteReference w:id="6"/>
      </w:r>
      <w:r>
        <w:t xml:space="preserve"> , al interpretar el artículo transcrito, expuso lo siguiente:</w:t>
      </w:r>
    </w:p>
    <w:p w14:paraId="06438E7C" w14:textId="77777777" w:rsidR="00093283" w:rsidRDefault="008469EA">
      <w:pPr>
        <w:spacing w:line="240" w:lineRule="auto"/>
        <w:ind w:left="704" w:right="755"/>
      </w:pPr>
      <w:r>
        <w:rPr>
          <w:sz w:val="20"/>
        </w:rPr>
        <w:t xml:space="preserve">“ El artículo 28 regula los efectos jurídicos de los conceptos que emita la entidad como respuesta a las consultas que le formulen los particulares, ordenando que  </w:t>
      </w:r>
      <w:r>
        <w:rPr>
          <w:i/>
          <w:sz w:val="20"/>
        </w:rPr>
        <w:t xml:space="preserve">no </w:t>
      </w:r>
      <w:r>
        <w:rPr>
          <w:i/>
          <w:sz w:val="20"/>
        </w:rPr>
        <w:lastRenderedPageBreak/>
        <w:t xml:space="preserve">serán de obligatorio cumplimiento o ejecución </w:t>
      </w:r>
      <w:r>
        <w:rPr>
          <w:sz w:val="20"/>
        </w:rPr>
        <w:t>. De este mandato surgen las siguientes consideraciones:</w:t>
      </w:r>
    </w:p>
    <w:p w14:paraId="68BDE8B6" w14:textId="77777777" w:rsidR="00093283" w:rsidRDefault="008469EA">
      <w:pPr>
        <w:spacing w:line="240" w:lineRule="auto"/>
        <w:ind w:left="704" w:right="755"/>
      </w:pPr>
      <w:r>
        <w:rPr>
          <w:sz w:val="20"/>
        </w:rPr>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58957AC3" w14:textId="77777777" w:rsidR="00093283" w:rsidRDefault="008469EA">
      <w:pPr>
        <w:spacing w:line="240" w:lineRule="auto"/>
        <w:ind w:left="704" w:right="755"/>
      </w:pPr>
      <w:r>
        <w:rPr>
          <w:sz w:val="20"/>
        </w:rPr>
        <w:t xml:space="preserve">La segunda, que la forma como la administración actúa de manera vinculante para sí misma y para la Generalidad de las personas es el reglamento, no sólo a través de la potestad </w:t>
      </w:r>
      <w:r>
        <w:rPr>
          <w:sz w:val="20"/>
        </w:rPr>
        <w:t xml:space="preserve">reglamentaria propia del presidente de la República, sino a través de los demás reglamentos de la administración en el preciso marco de las competencias de cada organismo o entidad, por lo cual los conceptos emitidos no pueden suplir ni menos aún competir con los reglamentos. </w:t>
      </w:r>
    </w:p>
    <w:p w14:paraId="79937336" w14:textId="77777777" w:rsidR="00093283" w:rsidRDefault="008469EA">
      <w:pPr>
        <w:spacing w:after="178" w:line="240" w:lineRule="auto"/>
        <w:ind w:left="704" w:right="755"/>
      </w:pPr>
      <w:r>
        <w:rPr>
          <w:sz w:val="20"/>
        </w:rPr>
        <w:t>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w:t>
      </w:r>
    </w:p>
    <w:p w14:paraId="28B7DFCC" w14:textId="77777777" w:rsidR="00093283" w:rsidRDefault="008469EA">
      <w:pPr>
        <w:spacing w:after="164"/>
        <w:ind w:left="-5" w:right="0"/>
      </w:pPr>
      <w:r>
        <w:t xml:space="preserve"> 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w:t>
      </w:r>
      <w:r>
        <w: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w:t>
      </w:r>
      <w:r>
        <w:t xml:space="preserve"> de la disposición normativa, el concepto emitido por la entidad no deja de ser tal y no adquiere efectos vinculantes, por más que coincida con el de la autoridad judicial, pues, en esa hipótesis, lo que vincula es la decisión del juez, no el criterio de la entidad que ejerció la función consultiva, pues, como se viene diciendo, dicha competencia se enmarca en el artículo 28 de la Ley 1437 de 2011, en otras palabras, los conceptos “no serán de obligatorio cumplimiento o ejecución”.</w:t>
      </w:r>
    </w:p>
    <w:p w14:paraId="31114E48" w14:textId="77777777" w:rsidR="00093283" w:rsidRDefault="008469EA">
      <w:pPr>
        <w:spacing w:after="175"/>
        <w:ind w:left="-5" w:right="0"/>
      </w:pPr>
      <w:r>
        <w:t xml:space="preserve"> En similares términos, el artículo 112 de la Ley 1437 de 2011 establece, en relación con la Sala de Consulta y Servicio Civil, que  “[  … ] los conceptos de la Sala no serán vinculantes, salvo que la ley disponga lo contrario” </w:t>
      </w:r>
      <w:r>
        <w:rPr>
          <w:vertAlign w:val="superscript"/>
        </w:rPr>
        <w:footnoteReference w:id="7"/>
      </w:r>
      <w:r>
        <w:t xml:space="preserve"> . Se trata,  </w:t>
      </w:r>
      <w:r>
        <w:rPr>
          <w:i/>
        </w:rPr>
        <w:t xml:space="preserve">mutatis  </w:t>
      </w:r>
      <w:proofErr w:type="spellStart"/>
      <w:r>
        <w:rPr>
          <w:i/>
        </w:rPr>
        <w:t>mutandi</w:t>
      </w:r>
      <w:proofErr w:type="spellEnd"/>
      <w:r>
        <w:t>,</w:t>
      </w:r>
      <w:r>
        <w:rPr>
          <w:i/>
        </w:rPr>
        <w:t xml:space="preserve">   </w:t>
      </w:r>
      <w:r>
        <w:t xml:space="preserve">del ejercicio de una función consultiva, cuyos efectos, por ende, serán los mismos: no vinculantes ni de </w:t>
      </w:r>
      <w:r>
        <w:lastRenderedPageBreak/>
        <w:t>obligatorio cumplimiento. En relación con el tema objeto de controversia, la Sala de Consulta y Servicio Civil del Consejo de Estado</w:t>
      </w:r>
      <w:r>
        <w:rPr>
          <w:vertAlign w:val="superscript"/>
        </w:rPr>
        <w:footnoteReference w:id="8"/>
      </w:r>
      <w:r>
        <w:t>, se pronunció en los siguientes términos:</w:t>
      </w:r>
    </w:p>
    <w:p w14:paraId="7FF4EA55" w14:textId="77777777" w:rsidR="00093283" w:rsidRDefault="008469EA">
      <w:pPr>
        <w:spacing w:line="240" w:lineRule="auto"/>
        <w:ind w:left="704" w:right="755"/>
      </w:pPr>
      <w:r>
        <w:rPr>
          <w:sz w:val="20"/>
        </w:rPr>
        <w:t>“ 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w:t>
      </w:r>
      <w:r>
        <w:rPr>
          <w:sz w:val="20"/>
        </w:rPr>
        <w:t>endencia de criterios, dentro de una lógica de colaboración armónica de poderes (art.113 C.P).</w:t>
      </w:r>
    </w:p>
    <w:p w14:paraId="71CEB856" w14:textId="77777777" w:rsidR="00093283" w:rsidRDefault="008469EA">
      <w:pPr>
        <w:spacing w:after="178" w:line="240" w:lineRule="auto"/>
        <w:ind w:left="709" w:right="348" w:firstLine="0"/>
        <w:jc w:val="left"/>
      </w:pPr>
      <w:r>
        <w:rPr>
          <w:sz w:val="20"/>
        </w:rPr>
        <w:t>No se trata entonces de dar la razón a una u otra posición en temas controvertibles, sino de rendir un concepto jurídico que sirva a la Administración en la búsqueda del cumplimiento de las finalidades esenciales del Estado”.</w:t>
      </w:r>
    </w:p>
    <w:p w14:paraId="2282A604" w14:textId="77777777" w:rsidR="00093283" w:rsidRDefault="008469EA">
      <w:pPr>
        <w:spacing w:after="164"/>
        <w:ind w:left="-5" w:right="0"/>
      </w:pPr>
      <w:r>
        <w:t xml:space="preserve"> El ejercicio de la función consultiva del artículo 28 de la Ley 1437 de 2011 descarta la resolución de controversias en curso o de problemas cuyos efectos se concreten. Lo primero, debe manejarlo la propia entidad ante la que se presenta el problema, y lo segundo el juez competente. En últimas, siempre que no exista una decisión judicial vinculante, los destinatarios de la norma serán los que interpreten el ordenamiento jurídico. Así las cosas, a título de ejemplo, si una entidad considera que un término v</w:t>
      </w:r>
      <w:r>
        <w:t>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w:t>
      </w:r>
      <w:r>
        <w:t>. El peso de la interpretación depende de la razonabilidad de los argumentos y de la inteligibilidad de la opinión, pero nunca de la autoridad de quien opina.</w:t>
      </w:r>
    </w:p>
    <w:p w14:paraId="0927BB27" w14:textId="77777777" w:rsidR="00093283" w:rsidRDefault="008469EA">
      <w:pPr>
        <w:ind w:left="-5" w:right="0"/>
      </w:pPr>
      <w:r>
        <w:t xml:space="preserve"> 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w:t>
      </w:r>
      <w:r>
        <w:t xml:space="preserve"> misma no es vinculante.</w:t>
      </w:r>
    </w:p>
    <w:p w14:paraId="54437686" w14:textId="77777777" w:rsidR="00093283" w:rsidRDefault="008469EA">
      <w:pPr>
        <w:spacing w:after="634"/>
        <w:ind w:left="-5" w:right="0"/>
      </w:pPr>
      <w:r>
        <w:t xml:space="preserve"> Así las cosas, los conceptos de esta Agencia no son actos administrativos y, por lo mismo, no tienen efectos vinculantes en relación con una situación jurídica particular y concreta. </w:t>
      </w:r>
      <w:r>
        <w:lastRenderedPageBreak/>
        <w:t>Simplemente, en ellos se expone un criterio que, aunque jurídicamente fundamentado, no representa la única interpretación válida del ordenamiento jurídico.</w:t>
      </w:r>
    </w:p>
    <w:p w14:paraId="3B26C4BA" w14:textId="77777777" w:rsidR="00093283" w:rsidRDefault="008469EA">
      <w:pPr>
        <w:pStyle w:val="Ttulo2"/>
        <w:ind w:left="693" w:right="0" w:hanging="708"/>
      </w:pPr>
      <w:r>
        <w:t>El contrato de interventoría: finalidades y principales características</w:t>
      </w:r>
    </w:p>
    <w:p w14:paraId="5955E970" w14:textId="77777777" w:rsidR="00093283" w:rsidRDefault="008469EA">
      <w:pPr>
        <w:ind w:left="-5" w:right="0"/>
      </w:pPr>
      <w:r>
        <w:t xml:space="preserve">La Ley 1474 de 2011  "[p] </w:t>
      </w:r>
      <w:proofErr w:type="spellStart"/>
      <w:r>
        <w:t>or</w:t>
      </w:r>
      <w:proofErr w:type="spellEnd"/>
      <w:r>
        <w:t xml:space="preserve"> la cual se dictan normas orientadas a fortalecer los mecanismos de prevención, investigación y sanción de actos de corrupción y la efectividad del control de la gestión pública" tuvo como uno de sus propósitos enmarcar el  seguimiento, control y vigilancia de la ejecución del contrato estatal dentro del principio de moralidad administrativa. En efecto, en su artículo 83 se dispuso que  “ con el fin de proteger la moralidad administrativa, de prevenir la ocurrencia de actos de corrupción y de tutelar la t</w:t>
      </w:r>
      <w:r>
        <w:t xml:space="preserve">ransparencia de la actividad contractual, las entidades públicas están obligadas a vigilar permanentemente la correcta ejecución del objeto contratado a través de un supervisor o un interventor, según corresponda ” . Además, el legislador, en el mismo precepto, definió las nociones de  </w:t>
      </w:r>
      <w:r>
        <w:rPr>
          <w:i/>
        </w:rPr>
        <w:t>supervisión</w:t>
      </w:r>
      <w:r>
        <w:t xml:space="preserve"> e  </w:t>
      </w:r>
      <w:r>
        <w:rPr>
          <w:i/>
        </w:rPr>
        <w:t xml:space="preserve">interventoría </w:t>
      </w:r>
      <w:r>
        <w:t>, como mecanismos que pueden usar las entidades estatales para vigilar el contrato, en estos términos:</w:t>
      </w:r>
    </w:p>
    <w:p w14:paraId="4FE94DAC" w14:textId="77777777" w:rsidR="00093283" w:rsidRDefault="008469EA">
      <w:pPr>
        <w:spacing w:after="119" w:line="241" w:lineRule="auto"/>
        <w:ind w:left="719" w:right="755"/>
      </w:pPr>
      <w:r>
        <w:rPr>
          <w:sz w:val="21"/>
        </w:rPr>
        <w:t>“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44558D1C" w14:textId="77777777" w:rsidR="00093283" w:rsidRDefault="008469EA">
      <w:pPr>
        <w:spacing w:after="299" w:line="241" w:lineRule="auto"/>
        <w:ind w:left="719" w:right="755"/>
      </w:pPr>
      <w:r>
        <w:rPr>
          <w:sz w:val="21"/>
        </w:rPr>
        <w:t xml:space="preserve">La interventoría consistirá en el seguimiento técnico que sobre el cumplimiento del contrato realice una persona natural o jurídica contratada para tal fin por la Entidad </w:t>
      </w:r>
      <w:r>
        <w:rPr>
          <w:sz w:val="21"/>
        </w:rPr>
        <w:t>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21134BE8" w14:textId="77777777" w:rsidR="00093283" w:rsidRDefault="008469EA">
      <w:pPr>
        <w:ind w:left="-15" w:right="0" w:firstLine="709"/>
      </w:pPr>
      <w:r>
        <w:t xml:space="preserve">De conformidad con lo anterior, dentro de las principales características del contrato de interventoría, pueden mencionarse:  </w:t>
      </w:r>
      <w:r>
        <w:rPr>
          <w:i/>
        </w:rPr>
        <w:t>(i)</w:t>
      </w:r>
      <w:r>
        <w:t xml:space="preserve"> es un mecanismo de vigilancia contingente, de suerte que solo es obligatorio para el seguimiento de los contratos de obra adjudicados por licitación pública  - art. 32, numeral 1 - ; en los demás casos se requerirá cuando  “ el seguimiento del contrato suponga conocimiento especializado en la materia, o cuando la complejidad o la extensión del mismo lo justifiquen”   - art. 83, Ley 1474 de 2011 - ;  </w:t>
      </w:r>
      <w:r>
        <w:rPr>
          <w:i/>
        </w:rPr>
        <w:t>( ii )</w:t>
      </w:r>
      <w:r>
        <w:t xml:space="preserve"> este mecanismo de vigilancia exige, en su ejecución, la utilización de conocimientos especializado</w:t>
      </w:r>
      <w:r>
        <w:t xml:space="preserve">s; ( iii ) en virtud de lo anterior, la entidad contrata un experto a través de un concurso de méritos, al tratarse la interventoría de una especie del contrato de consultoría - </w:t>
      </w:r>
      <w:r>
        <w:lastRenderedPageBreak/>
        <w:t>art. 32, numeral 2, inciso 2, Ley 80 de 1993</w:t>
      </w:r>
      <w:r>
        <w:rPr>
          <w:vertAlign w:val="superscript"/>
        </w:rPr>
        <w:footnoteReference w:id="9"/>
      </w:r>
      <w:r>
        <w:t xml:space="preserve"> -,  de manera que la interventoría es realizada por una  “ persona natural o jurídica contratada para tal fin por la Entidad Estatal ”  ‒ art. 83, Ley 1474 - ;  </w:t>
      </w:r>
      <w:r>
        <w:rPr>
          <w:i/>
        </w:rPr>
        <w:t xml:space="preserve">( </w:t>
      </w:r>
      <w:proofErr w:type="spellStart"/>
      <w:r>
        <w:rPr>
          <w:i/>
        </w:rPr>
        <w:t>iv</w:t>
      </w:r>
      <w:proofErr w:type="spellEnd"/>
      <w:r>
        <w:rPr>
          <w:i/>
        </w:rPr>
        <w:t xml:space="preserve"> )</w:t>
      </w:r>
      <w: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w:t>
      </w:r>
      <w:r>
        <w:t xml:space="preserve"> de que no se encomiende al interventor el seguimiento total del contrato, en el contrato de interventoría  “ se deberán indicar las actividades técnicas a cargo del interventor y las demás quedarán a cargo de la Entidad a través del supervisor”  ‒  art. 83, inciso 3‒  ; y, finalmente, </w:t>
      </w:r>
      <w:r>
        <w:rPr>
          <w:i/>
        </w:rPr>
        <w:t xml:space="preserve"> (vi)</w:t>
      </w:r>
      <w:r>
        <w:t xml:space="preserve"> el contrato de interventoría será supervisado directamente por la entidad  - art. 83, inciso 4-.</w:t>
      </w:r>
    </w:p>
    <w:p w14:paraId="7C53C9DC" w14:textId="77777777" w:rsidR="00093283" w:rsidRDefault="008469EA">
      <w:pPr>
        <w:ind w:left="-15" w:right="0" w:firstLine="709"/>
      </w:pPr>
      <w:r>
        <w:t xml:space="preserve">Por otra parte, interesa mencionar que el interventor es un contratista externo a la entidad estatal y al contratista vigilado, de tal forma que es seleccionado por la entidad estatal mediante los procedimientos del artículo 2 de la Ley 1150 de 2007, en principio, a través del concurso de méritos. Lo anterior, sin perjuicio de que eventualmente aplique alguna causal especial que permita la celebración de este tipo de contratos mediante una modalidad diferente, como podría suceder frente a la posibilidad de </w:t>
      </w:r>
      <w:r>
        <w:t>realizar, por ejemplo, una contratación de mínima cuantía o una contratación directa, en caso de presentarse alguna de las causales establecidas en el artículo 2 de la Ley 1150 de 2007, que dé lugar a acudir a otra modalidad de selección.</w:t>
      </w:r>
    </w:p>
    <w:p w14:paraId="3574012C" w14:textId="77777777" w:rsidR="00093283" w:rsidRDefault="008469EA">
      <w:pPr>
        <w:ind w:left="-15" w:right="0" w:firstLine="709"/>
      </w:pPr>
      <w:r>
        <w:t>El interventor contratado usará las facultades previstas en el artículo 84 de la Ley 1474 de 2011 para hacer el seguimiento al cumplimiento obligacional del contrato y estará sometido a los deberes y responsabilidades que implica el ejercicio de dicha actividad. Así las cosas, aun cuando el contrato de interventoría se celebra con un tercero a quien se le confía la labor de vigilar la ejecución idónea de otro contrato, por lo general un contrato de obra pública, aquel actúa con facultades similares a las qu</w:t>
      </w:r>
      <w:r>
        <w:t>e tiene la entidad estatal cuando ejerce la supervisión por su propia cuenta. Esto, en la medida en que ambos son mecanismos a través de los cuales las entidades cumplen el deber de vigilar la correcta ejecución de los contratos, por lo que comparten una finalidad común.</w:t>
      </w:r>
    </w:p>
    <w:p w14:paraId="3E5DBF63" w14:textId="77777777" w:rsidR="00093283" w:rsidRDefault="008469EA">
      <w:pPr>
        <w:spacing w:after="157"/>
        <w:ind w:left="-15" w:right="0" w:firstLine="709"/>
      </w:pPr>
      <w:r>
        <w:t>Ahora bien, el contrato de interventoría supone la existencia de otro contrato -es decir, el contrato vigilado-, por lo que la jurisprudencia ha caracterizado esta tipología como un negocio jurídico íntimamente relacionado en su objeto con el contrato respecto del que ejerce las actividades del interventor</w:t>
      </w:r>
      <w:r>
        <w:rPr>
          <w:vertAlign w:val="superscript"/>
        </w:rPr>
        <w:footnoteReference w:id="10"/>
      </w:r>
      <w:r>
        <w:t xml:space="preserve"> . No obstante, a pesar de ello, el contrato de </w:t>
      </w:r>
      <w:r>
        <w:t xml:space="preserve">interventoría es independiente del otro contrato en aspectos específicos como, por ejemplo, la prórroga y el incumplimiento. En efecto, la prórroga de la obra no implica de suyo la del interventor, aunque puede realizarse cumpliendo las solemnidades de ley; además, el </w:t>
      </w:r>
      <w:r>
        <w:lastRenderedPageBreak/>
        <w:t>incumplimiento del contrato vigilado, como lo sería un contrato de obra, no significa por sí solo el incumplimiento del de interventoría</w:t>
      </w:r>
      <w:r>
        <w:rPr>
          <w:vertAlign w:val="superscript"/>
        </w:rPr>
        <w:footnoteReference w:id="11"/>
      </w:r>
      <w:r>
        <w:t>.</w:t>
      </w:r>
    </w:p>
    <w:p w14:paraId="2D8420F7" w14:textId="77777777" w:rsidR="00093283" w:rsidRDefault="008469EA">
      <w:pPr>
        <w:spacing w:after="155"/>
        <w:ind w:left="-15" w:right="0" w:firstLine="709"/>
      </w:pPr>
      <w:r>
        <w:t>El contrato de interventoría es un contrato bilateral, conmutativo y oneroso, por lo que crea obligaciones tanto para la entidad contratante como para el contratista interventor. Asimismo, este contrato es de ejecución sucesiva, toda vez que las prestaciones se prolongan en el tiempo, es decir, la satisfacción de las prestaciones no se da con la prestación de un solo servicio, sino que se requiere el desarrollo de dicha actividad durante un periodo de tiempo. No obstante, también puede ser de ejecución inme</w:t>
      </w:r>
      <w:r>
        <w:t>diata cuando recae sobre obligaciones, razón por la cual tendría la virtualidad de modificar su naturaleza siendo, no ya de ejecución sucesiva, sino instantánea</w:t>
      </w:r>
      <w:r>
        <w:rPr>
          <w:vertAlign w:val="superscript"/>
        </w:rPr>
        <w:footnoteReference w:id="12"/>
      </w:r>
      <w:r>
        <w:t>.</w:t>
      </w:r>
    </w:p>
    <w:p w14:paraId="40F18211" w14:textId="77777777" w:rsidR="00093283" w:rsidRDefault="008469EA">
      <w:pPr>
        <w:spacing w:after="295"/>
        <w:ind w:left="-15" w:right="0" w:firstLine="709"/>
      </w:pPr>
      <w:r>
        <w:t xml:space="preserve">A su vez, las obligaciones del interventor se derivan de dos fuentes: (i) las disposiciones normativas de carácter legal o reglamentario; y (i </w:t>
      </w:r>
      <w:proofErr w:type="spellStart"/>
      <w:r>
        <w:t>i</w:t>
      </w:r>
      <w:proofErr w:type="spellEnd"/>
      <w:r>
        <w:t xml:space="preserve"> ) el contrato  –</w:t>
      </w:r>
      <w:proofErr w:type="spellStart"/>
      <w:r>
        <w:t>l o</w:t>
      </w:r>
      <w:proofErr w:type="spellEnd"/>
      <w:r>
        <w:t xml:space="preserve"> que incluye no solo la minuta, sino también el pliego de condiciones, o el documento equivalente, y sus anexos – . Ciertamente, la Ley 1474 de 2011 es el principal cuerpo normativo en el que se encuentran consagrados los deberes de los interventores. Estas obligaciones, con fundamento en los artículos 83  –i </w:t>
      </w:r>
      <w:proofErr w:type="spellStart"/>
      <w:r>
        <w:t>nciso</w:t>
      </w:r>
      <w:proofErr w:type="spellEnd"/>
      <w:r>
        <w:t xml:space="preserve"> 3 – y 84 de dicha Ley, se sintetizan en el ejercicio de una adecuada inspección del cumplimiento del contrato objeto de interventoría. Por ello, como indica el referido artíc</w:t>
      </w:r>
      <w:r>
        <w:t>ulo 84,  “ [l]os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w:t>
      </w:r>
    </w:p>
    <w:p w14:paraId="0C1793F4" w14:textId="77777777" w:rsidR="00093283" w:rsidRDefault="008469EA">
      <w:pPr>
        <w:ind w:left="-15" w:right="0" w:firstLine="709"/>
      </w:pPr>
      <w:r>
        <w:t xml:space="preserve">Esto último no obsta para que las partes, en ejercicio de su autonomía de la voluntad, puedan estipular en el contrato -con la debida justificación- obligaciones conexas, que el interventor también deberá cumplir e incluso contemplar, pues el plazo de ejecución del contrato de interventoría puede extenderse por un término adicional a la liquidación del contrato objeto de seguimiento, para que vigile el cumplimiento de las obligaciones  post- </w:t>
      </w:r>
    </w:p>
    <w:p w14:paraId="7F93BFF1" w14:textId="77777777" w:rsidR="00093283" w:rsidRDefault="00093283">
      <w:pPr>
        <w:sectPr w:rsidR="00093283">
          <w:headerReference w:type="even" r:id="rId8"/>
          <w:headerReference w:type="default" r:id="rId9"/>
          <w:footerReference w:type="even" r:id="rId10"/>
          <w:footerReference w:type="default" r:id="rId11"/>
          <w:headerReference w:type="first" r:id="rId12"/>
          <w:footerReference w:type="first" r:id="rId13"/>
          <w:pgSz w:w="12240" w:h="15840"/>
          <w:pgMar w:top="2290" w:right="1640" w:bottom="1819" w:left="1701" w:header="467" w:footer="552" w:gutter="0"/>
          <w:cols w:space="720"/>
        </w:sectPr>
      </w:pPr>
    </w:p>
    <w:p w14:paraId="62378B9E" w14:textId="77777777" w:rsidR="00093283" w:rsidRDefault="008469EA">
      <w:pPr>
        <w:spacing w:after="414"/>
        <w:ind w:left="-5" w:right="0"/>
      </w:pPr>
      <w:r>
        <w:lastRenderedPageBreak/>
        <w:t>contractuales que queden pendientes, salvaguardando así el equilibrio económico del contrato de interventoría.</w:t>
      </w:r>
    </w:p>
    <w:p w14:paraId="07F40B09" w14:textId="77777777" w:rsidR="00093283" w:rsidRDefault="008469EA">
      <w:pPr>
        <w:pStyle w:val="Ttulo2"/>
        <w:ind w:left="-5" w:right="0"/>
      </w:pPr>
      <w:r>
        <w:t xml:space="preserve">La noción del factor multiplicador, la estipulación del precio ante la ausencia de marco </w:t>
      </w:r>
      <w:r>
        <w:t>normativo y el deber de planeación en el marco de la autonomía de la voluntad</w:t>
      </w:r>
    </w:p>
    <w:p w14:paraId="38581B8E" w14:textId="77777777" w:rsidR="00093283" w:rsidRDefault="008469EA">
      <w:pPr>
        <w:spacing w:after="11"/>
        <w:ind w:left="-5" w:right="0"/>
      </w:pPr>
      <w:r>
        <w:t>Por interesar a la presente consulta, es menester precisar que por  precio se entiende aquel  “ valor pecuniario en que se estima algo ”</w:t>
      </w:r>
      <w:r>
        <w:rPr>
          <w:vertAlign w:val="superscript"/>
        </w:rPr>
        <w:footnoteReference w:id="13"/>
      </w:r>
      <w:r>
        <w:t xml:space="preserve"> .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2725F4C6" w14:textId="77777777" w:rsidR="00093283" w:rsidRDefault="008469EA">
      <w:pPr>
        <w:spacing w:after="0" w:line="259" w:lineRule="auto"/>
        <w:ind w:left="0" w:right="0" w:firstLine="0"/>
        <w:jc w:val="left"/>
      </w:pPr>
      <w:r>
        <w:t xml:space="preserve"> </w:t>
      </w:r>
    </w:p>
    <w:p w14:paraId="762C0FC4" w14:textId="77777777" w:rsidR="00093283" w:rsidRDefault="008469EA">
      <w:pPr>
        <w:spacing w:after="119" w:line="241" w:lineRule="auto"/>
        <w:ind w:left="719" w:right="755"/>
      </w:pPr>
      <w:r>
        <w:rPr>
          <w:sz w:val="21"/>
        </w:rPr>
        <w:t xml:space="preserve">“ [Artículo 1849 del </w:t>
      </w:r>
      <w:r>
        <w:rPr>
          <w:sz w:val="21"/>
        </w:rPr>
        <w:t>Código Civil]: La compraventa es un contrato en que una de las partes se obliga a dar una cosa y la otra a pagarla en dinero. Aquella se dice vender y esta comprar. El dinero que el comprador da por la cosa vendida se llama precio.</w:t>
      </w:r>
    </w:p>
    <w:p w14:paraId="1365C91E" w14:textId="77777777" w:rsidR="00093283" w:rsidRDefault="008469EA">
      <w:pPr>
        <w:spacing w:after="299" w:line="241" w:lineRule="auto"/>
        <w:ind w:left="719" w:right="755"/>
      </w:pPr>
      <w:r>
        <w:rPr>
          <w:sz w:val="21"/>
        </w:rPr>
        <w:t>[Artículo 905 del Código de Comercio]: La compraventa es un contrato en que una de las partes se obliga a trasmitir la propiedad de una cosa y la otra a pagarla en dinero. El dinero que el comprador da por la cosa vendida se llama precio”.</w:t>
      </w:r>
    </w:p>
    <w:p w14:paraId="42E14191" w14:textId="77777777" w:rsidR="00093283" w:rsidRDefault="008469EA">
      <w:pPr>
        <w:spacing w:after="10"/>
        <w:ind w:left="-15" w:right="0" w:firstLine="708"/>
      </w:pPr>
      <w:r>
        <w:t>El precio es uno de los elementos de los contratos estatales, que por lo general se identifica con el valor del contrato . Aunque no todo contrato lo incluye  – pues también existen negocios gratuitos – lo usual es que los contratos estatales se configuren como onerosos y, la mayoría de las veces, como conmutativos, cuando hay un acuerdo entre el objeto y la contraprestación pactado por escrito entre la entidad estatal y el contratista</w:t>
      </w:r>
      <w:r>
        <w:rPr>
          <w:vertAlign w:val="superscript"/>
        </w:rPr>
        <w:footnoteReference w:id="14"/>
      </w:r>
      <w:r>
        <w:t xml:space="preserve"> .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Pr>
          <w:vertAlign w:val="superscript"/>
        </w:rPr>
        <w:footnoteReference w:id="15"/>
      </w:r>
      <w:r>
        <w:t xml:space="preserve"> , en los términos de los artículos 1864 y 1865 del Código Civil y, de manera general está </w:t>
      </w:r>
      <w:r>
        <w:lastRenderedPageBreak/>
        <w:t>compuesto por dos elementos esenciales: los costos y la utilidad, cuya estructuración interna depende de las condiciones técnicas, financieras, regulatorias, etc. de cada contrato</w:t>
      </w:r>
    </w:p>
    <w:p w14:paraId="569D1DF5" w14:textId="77777777" w:rsidR="00093283" w:rsidRDefault="008469EA">
      <w:pPr>
        <w:spacing w:after="250" w:line="259" w:lineRule="auto"/>
        <w:ind w:left="0" w:right="0" w:firstLine="0"/>
        <w:jc w:val="left"/>
      </w:pPr>
      <w:r>
        <w:rPr>
          <w:sz w:val="15"/>
        </w:rPr>
        <w:t>16</w:t>
      </w:r>
      <w:r>
        <w:t>.</w:t>
      </w:r>
    </w:p>
    <w:p w14:paraId="64932861" w14:textId="77777777" w:rsidR="00093283" w:rsidRDefault="008469EA">
      <w:pPr>
        <w:ind w:left="-15" w:right="0" w:firstLine="709"/>
      </w:pPr>
      <w: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 que incluye el estudio del mercado – y definir la metodología con la cual estructurarán el precio del contrato. Dicho de otro modo, hace parte de los estudios previos la definición del esquema que la Administración usará </w:t>
      </w:r>
      <w:r>
        <w:t>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Pr>
          <w:vertAlign w:val="superscript"/>
        </w:rPr>
        <w:t>17</w:t>
      </w:r>
      <w:r>
        <w:t xml:space="preserve"> . No hay, pues, una sola metodología para pactar el precio y, en gran medida, la manera de hacerlo ha obedecido a la costumbre mercantil y a la influencia de disciplinas técnicas, como la ingeniería o la administración de empresa</w:t>
      </w:r>
      <w:r>
        <w:t>s, en la contratación estatal.</w:t>
      </w:r>
    </w:p>
    <w:p w14:paraId="7C80EC0C" w14:textId="77777777" w:rsidR="00093283" w:rsidRDefault="008469EA">
      <w:pPr>
        <w:spacing w:after="1840"/>
        <w:ind w:left="-15" w:right="0" w:firstLine="709"/>
      </w:pPr>
      <w:r>
        <w:t>Una de las metodologías que ha hecho carrera en la práctica contractual pública es el sistema de precios unitarios, método en el marco del cual la entidad contratante, al momento de estimar valor del contrato separa a los costos directos –  es decir, los que están directamente implicados en la ejecución del objeto – , de los costos indirectos  – que equivalen a los rubros que no tienen que ver de manera inmediata con la ejecución de las actividades contractuales, pero que integran también el precio, bien po</w:t>
      </w:r>
      <w:r>
        <w:t xml:space="preserve">rque constituyen erogaciones administrativas o contingentes para el contratista o bien porque se dirigen a salvaguardar </w:t>
      </w:r>
    </w:p>
    <w:p w14:paraId="78EC8E41" w14:textId="77777777" w:rsidR="00093283" w:rsidRDefault="008469EA">
      <w:pPr>
        <w:spacing w:after="306" w:line="259" w:lineRule="auto"/>
        <w:ind w:left="0" w:right="0" w:firstLine="0"/>
        <w:jc w:val="left"/>
      </w:pPr>
      <w:r>
        <w:rPr>
          <w:rFonts w:ascii="Calibri" w:eastAsia="Calibri" w:hAnsi="Calibri" w:cs="Calibri"/>
          <w:noProof/>
        </w:rPr>
        <mc:AlternateContent>
          <mc:Choice Requires="wpg">
            <w:drawing>
              <wp:inline distT="0" distB="0" distL="0" distR="0" wp14:anchorId="6342B745" wp14:editId="117DBC8B">
                <wp:extent cx="1828800" cy="6350"/>
                <wp:effectExtent l="0" t="0" r="0" b="0"/>
                <wp:docPr id="77272" name="Group 77272"/>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2430" name="Shape 12430"/>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272" style="width:144pt;height:0.5pt;mso-position-horizontal-relative:char;mso-position-vertical-relative:line" coordsize="18288,63">
                <v:shape id="Shape 12430" style="position:absolute;width:18288;height:0;left:0;top:0;" coordsize="1828800,0" path="m0,0l1828800,0">
                  <v:stroke weight="0.5pt" endcap="flat" joinstyle="miter" miterlimit="10" on="true" color="#000000"/>
                  <v:fill on="false" color="#000000" opacity="0"/>
                </v:shape>
              </v:group>
            </w:pict>
          </mc:Fallback>
        </mc:AlternateContent>
      </w:r>
    </w:p>
    <w:p w14:paraId="261A443B" w14:textId="77777777" w:rsidR="00093283" w:rsidRDefault="008469EA">
      <w:pPr>
        <w:numPr>
          <w:ilvl w:val="0"/>
          <w:numId w:val="1"/>
        </w:numPr>
        <w:spacing w:after="0" w:line="259" w:lineRule="auto"/>
        <w:ind w:right="-15" w:hanging="171"/>
        <w:jc w:val="right"/>
      </w:pPr>
      <w:r>
        <w:rPr>
          <w:sz w:val="14"/>
        </w:rPr>
        <w:t xml:space="preserve">Consejo de Estado, Sección Tercera, Subsección A sentencia de 19 de julio de </w:t>
      </w:r>
      <w:r>
        <w:rPr>
          <w:sz w:val="14"/>
        </w:rPr>
        <w:t xml:space="preserve">2018, M.P. Marta Nubia Velázquez Rico, Rad. </w:t>
      </w:r>
    </w:p>
    <w:p w14:paraId="58B86592" w14:textId="77777777" w:rsidR="00093283" w:rsidRDefault="008469EA">
      <w:pPr>
        <w:spacing w:after="169" w:line="250" w:lineRule="auto"/>
        <w:ind w:left="-5" w:right="0"/>
      </w:pPr>
      <w:r>
        <w:rPr>
          <w:sz w:val="14"/>
        </w:rPr>
        <w:t xml:space="preserve">2013-01826(57.576) </w:t>
      </w:r>
    </w:p>
    <w:p w14:paraId="351D7F96" w14:textId="77777777" w:rsidR="00093283" w:rsidRDefault="008469EA">
      <w:pPr>
        <w:numPr>
          <w:ilvl w:val="0"/>
          <w:numId w:val="1"/>
        </w:numPr>
        <w:spacing w:after="0" w:line="259" w:lineRule="auto"/>
        <w:ind w:right="-15" w:hanging="171"/>
        <w:jc w:val="right"/>
      </w:pPr>
      <w:r>
        <w:rPr>
          <w:sz w:val="14"/>
        </w:rPr>
        <w:t xml:space="preserve">“ La manera como las ofertas presentan el precio varía demasiado, incluso por razón de la costumbre que se impone en </w:t>
      </w:r>
    </w:p>
    <w:p w14:paraId="47B46666" w14:textId="77777777" w:rsidR="00093283" w:rsidRDefault="008469EA">
      <w:pPr>
        <w:spacing w:after="3" w:line="250" w:lineRule="auto"/>
        <w:ind w:left="-5" w:right="0"/>
      </w:pPr>
      <w:r>
        <w:rPr>
          <w:sz w:val="14"/>
        </w:rPr>
        <w:t xml:space="preserve">determinados negocios. Por ejemplo, tratándose de la </w:t>
      </w:r>
      <w:r>
        <w:rPr>
          <w:sz w:val="14"/>
        </w:rPr>
        <w:t>compraventa, del suministro o la prestación de servicios profesionales  – entre otros contratos, que de hecho son la mayoría – el valor que se ofrece no se desglosa para revelar al destinatario su estructura de costos. El proponente se limita a establecer una cifra por la que está dispuesto a asumir ciertas obligaciones, pero el comprador desconoce cómo se compone internamente, es decir, no sabe –  ni usualmente le interesa conocerlo – qué parte del valor corresponde a gastos de mano de obra, de transporte,</w:t>
      </w:r>
      <w:r>
        <w:rPr>
          <w:sz w:val="14"/>
        </w:rPr>
        <w:t xml:space="preserve"> de energía, cuál es la utilidad esperada, entre otros conceptos. En estos casos se limita a conocer con claridad absoluta cuánto le costará el bien o el servicio, porque es lo que pagará.</w:t>
      </w:r>
    </w:p>
    <w:p w14:paraId="6EC926C7" w14:textId="77777777" w:rsidR="00093283" w:rsidRDefault="008469EA">
      <w:pPr>
        <w:spacing w:after="0" w:line="259" w:lineRule="auto"/>
        <w:ind w:right="-15"/>
        <w:jc w:val="right"/>
      </w:pPr>
      <w:r>
        <w:rPr>
          <w:sz w:val="14"/>
        </w:rPr>
        <w:t xml:space="preserve">Sin embargo, en otros negocios, como la obra pública, la concesión y la consultoría, el Estado está acostumbrado a que se desglosen </w:t>
      </w:r>
    </w:p>
    <w:p w14:paraId="35E18453" w14:textId="77777777" w:rsidR="00093283" w:rsidRDefault="008469EA">
      <w:pPr>
        <w:spacing w:after="3" w:line="250" w:lineRule="auto"/>
        <w:ind w:left="-5" w:right="0"/>
      </w:pPr>
      <w:r>
        <w:rPr>
          <w:sz w:val="14"/>
        </w:rPr>
        <w:lastRenderedPageBreak/>
        <w:t xml:space="preserve">intensamente los costos, exigiendo no sólo el precio total sino una distinción entre los </w:t>
      </w:r>
      <w:r>
        <w:rPr>
          <w:i/>
          <w:sz w:val="14"/>
        </w:rPr>
        <w:t>costos</w:t>
      </w:r>
      <w:r>
        <w:rPr>
          <w:sz w:val="14"/>
        </w:rPr>
        <w:t xml:space="preserve"> </w:t>
      </w:r>
      <w:r>
        <w:rPr>
          <w:i/>
          <w:sz w:val="14"/>
        </w:rPr>
        <w:t xml:space="preserve"> directos</w:t>
      </w:r>
      <w:r>
        <w:rPr>
          <w:sz w:val="14"/>
        </w:rPr>
        <w:t xml:space="preserve"> y los</w:t>
      </w:r>
      <w:r>
        <w:rPr>
          <w:i/>
          <w:sz w:val="14"/>
        </w:rPr>
        <w:t xml:space="preserve"> costos indirectos </w:t>
      </w:r>
      <w:r>
        <w:rPr>
          <w:sz w:val="14"/>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 representados en los  </w:t>
      </w:r>
      <w:r>
        <w:rPr>
          <w:i/>
          <w:sz w:val="14"/>
        </w:rPr>
        <w:t>ítems</w:t>
      </w:r>
      <w:r>
        <w:rPr>
          <w:sz w:val="14"/>
        </w:rPr>
        <w:t xml:space="preserve"> que componen el contrato – . Los costos  </w:t>
      </w:r>
      <w:r>
        <w:rPr>
          <w:i/>
          <w:sz w:val="14"/>
        </w:rPr>
        <w:t>indirectos</w:t>
      </w:r>
      <w:r>
        <w:rPr>
          <w:sz w:val="14"/>
        </w:rPr>
        <w:t xml:space="preserve"> aluden a los gastos que también son necesarios para la obra, pero que no hacen parte de los elementos mismos con los que s</w:t>
      </w:r>
      <w:r>
        <w:rPr>
          <w:sz w:val="14"/>
        </w:rPr>
        <w:t>e construye, es decir, se trata de los costos de administración de la obra, los imprevistos que se presentan durante su ejecución y la utilidad esperada ” (MARÍN CORTÉS, Fabián. El precio. Serie: Las cláusulas del contrato estatal. Medellín: Librería Jurídica Sánchez y Centro de Estudios de Derecho Administrativo –CEDA–, 2012. pp. 63-64).</w:t>
      </w:r>
    </w:p>
    <w:p w14:paraId="279E2A83" w14:textId="77777777" w:rsidR="00093283" w:rsidRDefault="008469EA">
      <w:pPr>
        <w:ind w:left="-5" w:right="0"/>
      </w:pPr>
      <w:r>
        <w:t xml:space="preserve">su ganancia – , solicitando a los proponentes que discriminen los últimos al momento de presentar la propuesta.  En tal sentido, mientras que los costos directos se evidencian en el análisis de precios unitarios  – APU – , como la sumatoria de los valores de los  </w:t>
      </w:r>
      <w:r>
        <w:rPr>
          <w:i/>
        </w:rPr>
        <w:t>ítems</w:t>
      </w:r>
      <w:r>
        <w:t xml:space="preserve"> según su unidad de medida, los costos indirectos se suelen abreviar en las variables que integran el acrónimo AIU  – Administración, Imprevistos y Utilidad – , que se calcula como un porcentaje aplicado a los costos indirectos. De esta forma, en los contratos en los que se aplica el sistema de precios unitarios el valor del contrato y de las ofertas se determina por la sumatoria de los costos directos – APU – y los costos indirectos – suma equivalente al porcentaje de AIU–.</w:t>
      </w:r>
    </w:p>
    <w:p w14:paraId="79D1AC91" w14:textId="77777777" w:rsidR="00093283" w:rsidRDefault="008469EA">
      <w:pPr>
        <w:ind w:left="-15" w:right="0" w:firstLine="709"/>
      </w:pPr>
      <w:r>
        <w:t>De otra parte,  en la estipulación del precio de los contratos de consultoría es común la utilización del sistema de factor multiplicador, el cual permite imputar al contrato los costos directos asociados a salarios del personal vinculado con carácter exclusivo al proyecto, así como conceptos asociados a prestaciones sociales, la utilidad del ingeniero y los costos de administración</w:t>
      </w:r>
      <w:r>
        <w:rPr>
          <w:vertAlign w:val="superscript"/>
        </w:rPr>
        <w:footnoteReference w:id="16"/>
      </w:r>
      <w:r>
        <w:t xml:space="preserve"> .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w:t>
      </w:r>
      <w:r>
        <w:t>te la aplicación del factor multiplicador.</w:t>
      </w:r>
    </w:p>
    <w:p w14:paraId="7BD633BA" w14:textId="77777777" w:rsidR="00093283" w:rsidRDefault="008469EA">
      <w:pPr>
        <w:spacing w:after="154"/>
        <w:ind w:left="-15" w:right="0" w:firstLine="709"/>
      </w:pPr>
      <w:r>
        <w:t>En ese contexto, las metodologías señaladas están asociadas, por un lado, a la estimación del valor del contrato por parte de la Entidad Estatal en el marco de lo requerido por la planeación correspondiente, y  por otro lado, a la determinación del precio del contrato en el marco del proceso de selección, en la medida en que se tornan relevantes para la presentación de la oferta económica. Sin embargo, debe advertirse que ni en el sistema de precios unitario ni el factor multiplicador son asuntos expresamen</w:t>
      </w:r>
      <w:r>
        <w:t>te regulados en el conjunto de las disposiciones legales y reglamentarias que integran la normativa contractual del Estado. La justificación de estas formas de establecer o cotizar el precio procede, incluso, de la formación universitaria que reciben los ingenieros, a quienes se les enseña esta metodología para elaborar las ofertas. En ese sentido, estas metodologías para la configuración del precio del contrato, determinantes para la elaboración de la propuesta económica, no proceden de la ley ni del regla</w:t>
      </w:r>
      <w:r>
        <w:t>mento, sino de la costumbre</w:t>
      </w:r>
      <w:r>
        <w:rPr>
          <w:vertAlign w:val="superscript"/>
        </w:rPr>
        <w:t>19</w:t>
      </w:r>
      <w:r>
        <w:t>.</w:t>
      </w:r>
    </w:p>
    <w:p w14:paraId="638B6CEA" w14:textId="77777777" w:rsidR="00093283" w:rsidRDefault="008469EA">
      <w:pPr>
        <w:ind w:left="-15" w:right="0" w:firstLine="708"/>
      </w:pPr>
      <w:r>
        <w:lastRenderedPageBreak/>
        <w:t>Pese a que el Estatuto General de Contratación de la Administración Pública, en adelante EGCAP, no establece una regulación integral o detallada conforme a la cual se debe dar la estructuración del valor del contrato cuando se usa el sistema de precios unitarios, el Decreto 1082 de 2015 impone taxativamente una carga justificativa para las entidades que utilicen dicho sistema. Al respecto, el artículo 2.2.1.1.2.1.1 del Decreto 1082 de 2015 que regula el contenido del estudio del sector, indica en su numeral</w:t>
      </w:r>
      <w:r>
        <w:t xml:space="preserve"> 4 que:  “ Cuando el valor del contrato esté determinado por precios unitarios, la Entidad Estatal debe incluir la forma como los calculó y soportar sus cálculos presupuestales en la estimación de aquello ” . En todo caso, esta Agencia estima que, si bien el factor multiplicador no está mencionado en el referido artículo, ello no implica que la entidad esté exenta del deber de incluir en los estudios previos, la razón por la cual determinó la viabilidad o conveniencia de usar tal metodología para estimar el</w:t>
      </w:r>
      <w:r>
        <w:t xml:space="preserve"> valor del contrato, esto, independientemente del método que haya utilizado para calcularlo.</w:t>
      </w:r>
    </w:p>
    <w:p w14:paraId="76DE4112" w14:textId="77777777" w:rsidR="00093283" w:rsidRDefault="008469EA">
      <w:pPr>
        <w:ind w:left="-5" w:right="0"/>
      </w:pPr>
      <w:r>
        <w:t xml:space="preserve"> Así pues, el principal sustento para que las Entidades Estatales sujetas al EGCAP, como las excluidas de este, aplique las referidas metodologías, es la autonomía de la que gozan para la estructuración de las condiciones del negocio jurídico, determinando el sistema más apropiado para satisfacer los fines de la contratación, respetando los límites previstos en el ordenamiento. De ahí que, las entidades cuenten con la discrecionalidad para disponer en los documentos del proceso, la aplicación de metodología</w:t>
      </w:r>
      <w:r>
        <w:t>s como las explicadas, siempre que resulten adecuadas y proporcionales al objeto del contrato.</w:t>
      </w:r>
    </w:p>
    <w:p w14:paraId="4773373D" w14:textId="77777777" w:rsidR="00093283" w:rsidRDefault="008469EA">
      <w:pPr>
        <w:ind w:left="-5" w:right="0"/>
      </w:pPr>
      <w:r>
        <w:t xml:space="preserve"> En ese orden, ante la ausencia de un marco normativo particularmente aplicable a las referidas metodologías, corresponderá a las Entidades Estatales establecer las reglas para su aplicación, con el propósito de dar a conocer los aspectos que deben tenerse en cuenta a la hora de configurar las ofertas. A partir de tales reglas, la entidad podrá exigir el desglose de determinados factores imputables a costos directos de cierta forma, realizar una tasación del AIU o el factor multiplicador, y en general, esta</w:t>
      </w:r>
      <w:r>
        <w:t>blecer parámetros que garanticen el desarrollo de principios de la función administrativa y de la gestión fiscal, dentro de los cuales se encuentra el principio de economía, postulado este, que exige la optimización de los recursos públicos.</w:t>
      </w:r>
    </w:p>
    <w:p w14:paraId="2A1B07FD" w14:textId="77777777" w:rsidR="00093283" w:rsidRDefault="008469EA">
      <w:pPr>
        <w:ind w:left="-5" w:right="0"/>
      </w:pPr>
      <w:r>
        <w:t xml:space="preserve"> Bajo esta órbita, se aclara que los proponentes al momento de estructurar sus ofertas tienen la obligación, respecto del proceso de selección, de conocer las normas que lo rigen, sus características, condiciones de ejecución del contrato y riesgos previsibles. Esto, en razón a que, mediante la presentación de la oferta se pone en contexto a la entidad contratante frente a una serie de documentos que en conjunto conforman un acervo probatorio, de los requisitos que se pretenden hacer valer y que permiten de</w:t>
      </w:r>
      <w:r>
        <w:t>terminar, entre varias ofertas, la que represente la mejor condición de elegibilidad.</w:t>
      </w:r>
    </w:p>
    <w:p w14:paraId="6A0E2CCE" w14:textId="77777777" w:rsidR="00093283" w:rsidRDefault="008469EA">
      <w:pPr>
        <w:ind w:left="-5" w:right="0"/>
      </w:pPr>
      <w:r>
        <w:t xml:space="preserve"> Los requisitos de los proponentes, que se hacen valer por medio de la oferta en su integridad, pueden ser entendidos en tres cales: i)  </w:t>
      </w:r>
      <w:r>
        <w:rPr>
          <w:i/>
        </w:rPr>
        <w:t xml:space="preserve">subjetivos,  </w:t>
      </w:r>
      <w:r>
        <w:t xml:space="preserve">que atienden a las calidades, </w:t>
      </w:r>
      <w:r>
        <w:lastRenderedPageBreak/>
        <w:t xml:space="preserve">capacidades, idoneidad y condiciones de los oferentes;  ii )  </w:t>
      </w:r>
      <w:r>
        <w:rPr>
          <w:i/>
        </w:rPr>
        <w:t xml:space="preserve">objetivos  </w:t>
      </w:r>
      <w:r>
        <w:t xml:space="preserve">que se refieren a aspectos técnicos, económicos, presupuestales, etc., que permiten ponderar las ofertas en su real y efectiva dimensión; y  iii )  </w:t>
      </w:r>
      <w:r>
        <w:rPr>
          <w:i/>
        </w:rPr>
        <w:t xml:space="preserve">formales  </w:t>
      </w:r>
      <w:r>
        <w:t xml:space="preserve">que se atienden a la instrumentalización y protocolización de los actos jurídicos, tanto de la propuesta como del contrato estatal. </w:t>
      </w:r>
    </w:p>
    <w:p w14:paraId="3CD9C802" w14:textId="77777777" w:rsidR="00093283" w:rsidRDefault="008469EA">
      <w:pPr>
        <w:ind w:left="-15" w:right="0" w:firstLine="709"/>
      </w:pPr>
      <w:r>
        <w:t xml:space="preserve">Ahora bien, desde luego que los costos asociados al personal requerido para ejecutar el contrato son un aspecto que entran a determinar su precio, por lo que son un tema para considerar al hacer el ofrecimiento económico en la etapa de presentación de ofertas, con sujeción al mecanismo para determinar el precio que regule la entidad en el pliego de condiciones. En ese sentido, cuando una entidad incorpora el mecanismo del factor multiplicador debe incluir las reglas para que estos sean considerados por los </w:t>
      </w:r>
      <w:r>
        <w:t>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entidades estatales en los pliegos de condiciones para regular los mencionados aspectos son las que en últimas determinan que tipo de contratación de personal es la que corresponde realizar al contratist</w:t>
      </w:r>
      <w:r>
        <w:t xml:space="preserve">a para ejecutar el proyecto, así como la posibilidad de que los costos de dicha contratación – ya sea laboral o por prestación de servicios – , se incorporen al precio del contrato, por la vía del factor multiplicador aplicado para hacer la oferta económica. </w:t>
      </w:r>
    </w:p>
    <w:p w14:paraId="09DAC128" w14:textId="77777777" w:rsidR="00093283" w:rsidRDefault="008469EA">
      <w:pPr>
        <w:spacing w:after="144"/>
        <w:ind w:left="-15" w:right="0" w:firstLine="708"/>
      </w:pPr>
      <w:r>
        <w:t xml:space="preserve">En conclusión, cuando la Entidad Estatal haga uso del factor multiplicador, debe asegurarse de ejercer una buena vigilancia de la ejecución contractual, con el fin de poder realizar adecuadamente la auditoría de los costos del contrato para apagar sólo aquello que se hayan causado efectivamente. Por tanto, podrán verificarse los soportes contables, administrativos y financieros de la ejecución, ya que la Entidad Estatal sólo debe pagar aquellos costos que hubieran sido pagados por el contratista so pena de </w:t>
      </w:r>
      <w:r>
        <w:t>que se configure un enriquecimiento sin causa de su parte.</w:t>
      </w:r>
    </w:p>
    <w:p w14:paraId="2830D980" w14:textId="77777777" w:rsidR="00093283" w:rsidRDefault="008469EA">
      <w:pPr>
        <w:pStyle w:val="Ttulo1"/>
        <w:spacing w:after="261"/>
        <w:ind w:left="693" w:right="0" w:hanging="708"/>
      </w:pPr>
      <w:r>
        <w:t>Respuesta</w:t>
      </w:r>
    </w:p>
    <w:p w14:paraId="7514BF4A" w14:textId="77777777" w:rsidR="00093283" w:rsidRDefault="008469EA">
      <w:pPr>
        <w:spacing w:after="240" w:line="241" w:lineRule="auto"/>
        <w:ind w:left="846" w:right="755"/>
      </w:pPr>
      <w:r>
        <w:rPr>
          <w:sz w:val="21"/>
        </w:rPr>
        <w:t xml:space="preserve">“ PREGUNTA 1: ¿Si se usa el factor multiplicador como fórmula para la determinación de los costos del contrato, el contratista debe demostrar el gasto de todos los componentes de costo que se tuvieron en cuenta para </w:t>
      </w:r>
      <w:r>
        <w:rPr>
          <w:sz w:val="21"/>
        </w:rPr>
        <w:t>determinarlo? En este caso el pago de las prestaciones sociales del personal.</w:t>
      </w:r>
    </w:p>
    <w:p w14:paraId="37FB7823" w14:textId="77777777" w:rsidR="00093283" w:rsidRDefault="008469EA">
      <w:pPr>
        <w:spacing w:after="240" w:line="241" w:lineRule="auto"/>
        <w:ind w:left="846" w:right="755"/>
      </w:pPr>
      <w:r>
        <w:rPr>
          <w:sz w:val="21"/>
        </w:rPr>
        <w:t xml:space="preserve">PREGUNTA 2: ¿En caso de que el contratista no asuma tal costo por la modalidad de contratación del personal del que dispone para la ejecución del contrato, se debe disminuir el porcentaje correspondiente a este concepto a través de una modificación al contrato o en el acta de liquidación del mismo? </w:t>
      </w:r>
    </w:p>
    <w:p w14:paraId="453CB31A" w14:textId="77777777" w:rsidR="00093283" w:rsidRDefault="008469EA">
      <w:pPr>
        <w:spacing w:after="240" w:line="241" w:lineRule="auto"/>
        <w:ind w:left="846" w:right="755"/>
      </w:pPr>
      <w:r>
        <w:rPr>
          <w:sz w:val="21"/>
        </w:rPr>
        <w:t xml:space="preserve">PREGUNTA 3: ¿Es posible determinar en el presupuesto oficial el porcentaje Factor Multiplicador a través de únicamente costos indirectos como lo son, </w:t>
      </w:r>
      <w:r>
        <w:rPr>
          <w:sz w:val="21"/>
        </w:rPr>
        <w:lastRenderedPageBreak/>
        <w:t>papelería, transporte, arrendamientos, servicios públicos, ensayos de laboratorio y multiplicarle este porcentaje al valor de costos directos de personal? Es decir, los componentes del FM no son factor prestacional sino de costos indirectos.</w:t>
      </w:r>
    </w:p>
    <w:p w14:paraId="44AFC4DC" w14:textId="77777777" w:rsidR="00093283" w:rsidRDefault="008469EA">
      <w:pPr>
        <w:spacing w:after="292" w:line="241" w:lineRule="auto"/>
        <w:ind w:left="846" w:right="755"/>
      </w:pPr>
      <w:r>
        <w:rPr>
          <w:sz w:val="21"/>
        </w:rPr>
        <w:t>PREGUNTA 4: ¿Es posible determinar el presupuesto oficial de un contrato de interventoría a través de la suma de los costos de personal + los costos directos (aplicando la figura del AIU) en vez del Factor Multiplicador?”</w:t>
      </w:r>
      <w:r>
        <w:t>.</w:t>
      </w:r>
    </w:p>
    <w:p w14:paraId="262012A7" w14:textId="77777777" w:rsidR="00093283" w:rsidRDefault="008469EA">
      <w:pPr>
        <w:ind w:left="-5" w:right="0"/>
      </w:pPr>
      <w:r>
        <w:t>En ejercicio de las competencias establecidas en los artículos 3, numeral 5° y 11, numeral 8° del Decreto 4170 de 2011, la Agencia Nacional de Contratación Pública -Colombia Compra Eficiente- solo tiene competencia para responder solicitudes sobre la aplicación de normas de carácter general en materia de compras y contratación pública. En ese sentido, esta Agencia no tiene competencia para  brindar asesorías, ni para pronunciarse sobre asuntos particulares, mucho menos para brindar directrices especiales so</w:t>
      </w:r>
      <w:r>
        <w:t>bre la definición y/o estructuración de  un metodología específica para calcular el valor de un contrato a partir del sistema de precios unitarios o del factor multiplicador.</w:t>
      </w:r>
    </w:p>
    <w:p w14:paraId="37784545" w14:textId="77777777" w:rsidR="00093283" w:rsidRDefault="008469EA">
      <w:pPr>
        <w:ind w:left="-15" w:right="0" w:firstLine="709"/>
      </w:pPr>
      <w:r>
        <w:t>Sin embargo, en línea con las precisiones normativas previamente realizadas, para dar respuesta en bloque a las inquietudes que originaron la presente consulta, conviene precisar que  la estipulación del precio en los contratos de consultoría a través del sistema del factor multiplicador, en líneas generales, permite imputar al contrato los costos directos asociados a salarios del personal vinculado con carácter exclusivo al proyecto, así como conceptos asociados a prestaciones sociales, la utilidad de inge</w:t>
      </w:r>
      <w:r>
        <w:t>niero y los costos de administración. Sin embargo, dicha metodología no se encuentra reglamentada por la normativa contractual, pues como se indicó en acápite precedente, su justificación procede de la costumbre.</w:t>
      </w:r>
    </w:p>
    <w:p w14:paraId="1C062F2D" w14:textId="77777777" w:rsidR="00093283" w:rsidRDefault="008469EA">
      <w:pPr>
        <w:ind w:left="-15" w:right="0" w:firstLine="709"/>
      </w:pPr>
      <w:r>
        <w:t>De ahí que, pese a que el factor multiplicador no está mencionado en el artículo 2.2.1.1.2.1.1 del Decreto 1082 de 2015 que regula el contenido del estudio del sector, en criterio de esta Agencia las Entidades Estatales no están exentas de incluir en los estudios previos la razón con base en la cual determinaron la viabilidad de usar tal metodología para estimar el valor del contrato y establecer las reglas para su aplicación con el propósito de dar a conocer los aspectos que deben tenerse en cuenta al mome</w:t>
      </w:r>
      <w:r>
        <w:t>nto de configurar las ofertas. A partir de tales reglas, la entidad podrá exigir el desglose de determinados factores imputables a costos directos de cierta forma, realizar una tasación del AIU o el factor multiplicador y, en general, establecer parámetros que garanticen el desarrollo de principios de la función administrativa y de la gestión fiscal.</w:t>
      </w:r>
    </w:p>
    <w:p w14:paraId="344C9349" w14:textId="77777777" w:rsidR="00093283" w:rsidRDefault="008469EA">
      <w:pPr>
        <w:ind w:left="-15" w:right="0" w:firstLine="709"/>
      </w:pPr>
      <w:r>
        <w:t xml:space="preserve">Si se usa el factor multiplicador como fórmula para la determinación de los costos del contrato, el contratista debe demostrar el gasto de todos los componentes de costo que se tuvieron en cuenta para determinarlo. En este contexto, en el caso de los salarios y </w:t>
      </w:r>
      <w:r>
        <w:lastRenderedPageBreak/>
        <w:t>prestaciones sociales, si el contratista no debe asumir tal costo por la modalidad de contratación del personal del que dispone para la ejecución del contrato, se debe disminuir el porcentaje correspondiente a este concepto a través de una modificación al contrato o en el acta de liquidación del mismo.</w:t>
      </w:r>
    </w:p>
    <w:p w14:paraId="78BB2B5C" w14:textId="77777777" w:rsidR="00093283" w:rsidRDefault="008469EA">
      <w:pPr>
        <w:ind w:left="-15" w:right="0" w:firstLine="709"/>
      </w:pPr>
      <w:r>
        <w:t xml:space="preserve">Los costos asociados al personal requerido para ejecutar el contrato son un aspecto que incide en la determinación de su precio, por lo que constituye un punto que debe considerarse en clave del ofrecimiento económico en la etapa de presentación de ofertas, (con sujeción al mecanismo para determinar el precio que regule la entidad en el pliego de condiciones). En este sentido, cuando una entidad incorpora el mecanismo del factor multiplicador debe incluir las reglas para que estos sean considerados por los </w:t>
      </w:r>
      <w:r>
        <w:t>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entidades estatales en los pliegos de condiciones para regular los mencionados aspectos son las que en últimas determinan que tipo de contratación de personal es la que corresponde realizar al contratist</w:t>
      </w:r>
      <w:r>
        <w:t>a para ejecutar el proyecto, así como la posibilidad de que los costos de dicha contratación – ya sea laboral o por prestación de servicios –,  se incorporen al precio del contrato, por la vía del factor multiplicador aplicado para hacer la oferta económica.</w:t>
      </w:r>
    </w:p>
    <w:p w14:paraId="3F7B7271" w14:textId="77777777" w:rsidR="00093283" w:rsidRDefault="008469EA">
      <w:pPr>
        <w:spacing w:after="295"/>
        <w:ind w:left="-5" w:right="0"/>
      </w:pPr>
      <w:r>
        <w:t>Este concepto tiene el alcance previsto en el artículo 28 del Código de Procedimiento Administrativo y de lo Contencioso Administrativo.</w:t>
      </w:r>
    </w:p>
    <w:p w14:paraId="7DE22300" w14:textId="77777777" w:rsidR="00093283" w:rsidRDefault="008469EA">
      <w:pPr>
        <w:spacing w:after="0"/>
        <w:ind w:left="-5" w:right="0"/>
      </w:pPr>
      <w:r>
        <w:t>Atentamente,</w:t>
      </w:r>
    </w:p>
    <w:p w14:paraId="6765C1EA" w14:textId="3B0C454E" w:rsidR="00093283" w:rsidRDefault="008469EA">
      <w:pPr>
        <w:spacing w:after="399" w:line="259" w:lineRule="auto"/>
        <w:ind w:left="2244" w:right="0" w:firstLine="0"/>
        <w:jc w:val="left"/>
      </w:pPr>
      <w:r>
        <w:rPr>
          <w:noProof/>
        </w:rPr>
        <w:drawing>
          <wp:inline distT="0" distB="0" distL="0" distR="0" wp14:anchorId="0C520EE4" wp14:editId="4311EB3D">
            <wp:extent cx="3161665" cy="1209040"/>
            <wp:effectExtent l="0" t="0" r="635" b="0"/>
            <wp:docPr id="13029394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39429" name="Imagen 1"/>
                    <pic:cNvPicPr>
                      <a:picLocks noChangeAspect="1"/>
                    </pic:cNvPicPr>
                  </pic:nvPicPr>
                  <pic:blipFill>
                    <a:blip r:embed="rId14"/>
                    <a:stretch>
                      <a:fillRect/>
                    </a:stretch>
                  </pic:blipFill>
                  <pic:spPr>
                    <a:xfrm>
                      <a:off x="0" y="0"/>
                      <a:ext cx="3161665" cy="1209040"/>
                    </a:xfrm>
                    <a:prstGeom prst="rect">
                      <a:avLst/>
                    </a:prstGeom>
                  </pic:spPr>
                </pic:pic>
              </a:graphicData>
            </a:graphic>
          </wp:inline>
        </w:drawing>
      </w:r>
    </w:p>
    <w:p w14:paraId="45CD2538" w14:textId="77777777" w:rsidR="00093283" w:rsidRDefault="008469EA">
      <w:pPr>
        <w:spacing w:after="0" w:line="216" w:lineRule="auto"/>
        <w:ind w:left="-15" w:right="5399" w:firstLine="639"/>
        <w:jc w:val="left"/>
      </w:pPr>
      <w:r>
        <w:rPr>
          <w:sz w:val="16"/>
        </w:rPr>
        <w:t>Diego Andrés Zambrano Pérez Elaboró:</w:t>
      </w:r>
    </w:p>
    <w:p w14:paraId="6A19AECE" w14:textId="77777777" w:rsidR="00093283" w:rsidRDefault="008469EA">
      <w:pPr>
        <w:spacing w:after="29" w:line="216" w:lineRule="auto"/>
        <w:ind w:left="649" w:right="0"/>
        <w:jc w:val="left"/>
      </w:pPr>
      <w:r>
        <w:rPr>
          <w:sz w:val="16"/>
        </w:rPr>
        <w:t>Contratista de la Subdirección de Gestión Contractual</w:t>
      </w:r>
    </w:p>
    <w:p w14:paraId="76541064" w14:textId="77777777" w:rsidR="00093283" w:rsidRDefault="008469EA">
      <w:pPr>
        <w:spacing w:after="0" w:line="216" w:lineRule="auto"/>
        <w:ind w:left="-15" w:right="5399" w:firstLine="639"/>
        <w:jc w:val="left"/>
      </w:pPr>
      <w:r>
        <w:rPr>
          <w:sz w:val="16"/>
        </w:rPr>
        <w:t>Alejandro Raúl Sarmiento Cantillo Revisó:</w:t>
      </w:r>
    </w:p>
    <w:p w14:paraId="1205BA53" w14:textId="77777777" w:rsidR="00093283" w:rsidRDefault="008469EA">
      <w:pPr>
        <w:spacing w:after="29" w:line="216" w:lineRule="auto"/>
        <w:ind w:left="649" w:right="0"/>
        <w:jc w:val="left"/>
      </w:pPr>
      <w:r>
        <w:rPr>
          <w:sz w:val="16"/>
        </w:rPr>
        <w:t>Gestor T1-15 de la Subdirección de Gestión Contractual</w:t>
      </w:r>
    </w:p>
    <w:p w14:paraId="00C9CE82" w14:textId="77777777" w:rsidR="00093283" w:rsidRDefault="008469EA">
      <w:pPr>
        <w:spacing w:after="0" w:line="216" w:lineRule="auto"/>
        <w:ind w:left="-15" w:right="5399" w:firstLine="639"/>
        <w:jc w:val="left"/>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48546425" wp14:editId="6892C305">
                <wp:simplePos x="0" y="0"/>
                <wp:positionH relativeFrom="column">
                  <wp:posOffset>405765</wp:posOffset>
                </wp:positionH>
                <wp:positionV relativeFrom="paragraph">
                  <wp:posOffset>-265955</wp:posOffset>
                </wp:positionV>
                <wp:extent cx="3287395" cy="486371"/>
                <wp:effectExtent l="0" t="0" r="0" b="0"/>
                <wp:wrapNone/>
                <wp:docPr id="75863" name="Group 75863"/>
                <wp:cNvGraphicFramePr/>
                <a:graphic xmlns:a="http://schemas.openxmlformats.org/drawingml/2006/main">
                  <a:graphicData uri="http://schemas.microsoft.com/office/word/2010/wordprocessingGroup">
                    <wpg:wgp>
                      <wpg:cNvGrpSpPr/>
                      <wpg:grpSpPr>
                        <a:xfrm>
                          <a:off x="0" y="0"/>
                          <a:ext cx="3287395" cy="486371"/>
                          <a:chOff x="0" y="0"/>
                          <a:chExt cx="3287395" cy="486371"/>
                        </a:xfrm>
                      </wpg:grpSpPr>
                      <wps:wsp>
                        <wps:cNvPr id="17830" name="Shape 17830"/>
                        <wps:cNvSpPr/>
                        <wps:spPr>
                          <a:xfrm>
                            <a:off x="0" y="0"/>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7831" name="Shape 17831"/>
                        <wps:cNvSpPr/>
                        <wps:spPr>
                          <a:xfrm>
                            <a:off x="0" y="0"/>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7832" name="Shape 17832"/>
                        <wps:cNvSpPr/>
                        <wps:spPr>
                          <a:xfrm>
                            <a:off x="0" y="243185"/>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7833" name="Shape 17833"/>
                        <wps:cNvSpPr/>
                        <wps:spPr>
                          <a:xfrm>
                            <a:off x="0" y="243185"/>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7834" name="Shape 17834"/>
                        <wps:cNvSpPr/>
                        <wps:spPr>
                          <a:xfrm>
                            <a:off x="0" y="486371"/>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5863" style="width:258.85pt;height:38.2969pt;position:absolute;z-index:-2147483157;mso-position-horizontal-relative:text;mso-position-horizontal:absolute;margin-left:31.95pt;mso-position-vertical-relative:text;margin-top:-20.9414pt;" coordsize="32873,4863">
                <v:shape id="Shape 17830" style="position:absolute;width:32873;height:0;left:0;top:0;" coordsize="3287395,0" path="m0,0l3287395,0">
                  <v:stroke weight="0.75pt" endcap="square" dashstyle="0 4" joinstyle="miter" miterlimit="10" on="true" color="#7f7f7f"/>
                  <v:fill on="false" color="#000000" opacity="0"/>
                </v:shape>
                <v:shape id="Shape 17831" style="position:absolute;width:32873;height:0;left:0;top:0;" coordsize="3287395,0" path="m0,0l3287395,0">
                  <v:stroke weight="0.75pt" endcap="square" dashstyle="0 4" joinstyle="miter" miterlimit="10" on="true" color="#7f7f7f"/>
                  <v:fill on="false" color="#000000" opacity="0"/>
                </v:shape>
                <v:shape id="Shape 17832" style="position:absolute;width:32873;height:0;left:0;top:2431;" coordsize="3287395,0" path="m0,0l3287395,0">
                  <v:stroke weight="0.75pt" endcap="square" dashstyle="0 4" joinstyle="miter" miterlimit="10" on="true" color="#7f7f7f"/>
                  <v:fill on="false" color="#000000" opacity="0"/>
                </v:shape>
                <v:shape id="Shape 17833" style="position:absolute;width:32873;height:0;left:0;top:2431;" coordsize="3287395,0" path="m0,0l3287395,0">
                  <v:stroke weight="0.75pt" endcap="square" dashstyle="0 4" joinstyle="miter" miterlimit="10" on="true" color="#7f7f7f"/>
                  <v:fill on="false" color="#000000" opacity="0"/>
                </v:shape>
                <v:shape id="Shape 17834" style="position:absolute;width:32873;height:0;left:0;top:4863;" coordsize="3287395,0" path="m0,0l3287395,0">
                  <v:stroke weight="0.75pt" endcap="square" dashstyle="0 4" joinstyle="miter" miterlimit="10" on="true" color="#7f7f7f"/>
                  <v:fill on="false" color="#000000" opacity="0"/>
                </v:shape>
              </v:group>
            </w:pict>
          </mc:Fallback>
        </mc:AlternateContent>
      </w:r>
      <w:r>
        <w:rPr>
          <w:sz w:val="16"/>
        </w:rPr>
        <w:t>Nohelia del Carmen Zawady Palacio Aprobó:</w:t>
      </w:r>
    </w:p>
    <w:p w14:paraId="59040839" w14:textId="77777777" w:rsidR="00093283" w:rsidRDefault="008469EA">
      <w:pPr>
        <w:spacing w:after="29" w:line="216" w:lineRule="auto"/>
        <w:ind w:left="649" w:right="5399"/>
        <w:jc w:val="left"/>
      </w:pPr>
      <w:r>
        <w:rPr>
          <w:sz w:val="16"/>
        </w:rPr>
        <w:t>Subdirectora de Gestión Contractual</w:t>
      </w:r>
    </w:p>
    <w:sectPr w:rsidR="00093283">
      <w:headerReference w:type="even" r:id="rId15"/>
      <w:headerReference w:type="default" r:id="rId16"/>
      <w:footerReference w:type="even" r:id="rId17"/>
      <w:footerReference w:type="default" r:id="rId18"/>
      <w:headerReference w:type="first" r:id="rId19"/>
      <w:footerReference w:type="first" r:id="rId20"/>
      <w:pgSz w:w="12240" w:h="15840"/>
      <w:pgMar w:top="2294" w:right="1701" w:bottom="1819" w:left="1701" w:header="467" w:footer="5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3345B" w14:textId="77777777" w:rsidR="008469EA" w:rsidRDefault="008469EA">
      <w:pPr>
        <w:spacing w:after="0" w:line="240" w:lineRule="auto"/>
      </w:pPr>
      <w:r>
        <w:separator/>
      </w:r>
    </w:p>
  </w:endnote>
  <w:endnote w:type="continuationSeparator" w:id="0">
    <w:p w14:paraId="7FDABC6B" w14:textId="77777777" w:rsidR="008469EA" w:rsidRDefault="00846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093283" w14:paraId="257CF37E"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6D516D82" w14:textId="77777777" w:rsidR="00093283" w:rsidRDefault="008469EA">
          <w:pPr>
            <w:spacing w:after="0" w:line="259" w:lineRule="auto"/>
            <w:ind w:left="34" w:right="0"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67E30597" w14:textId="77777777" w:rsidR="00093283" w:rsidRDefault="008469EA">
          <w:pPr>
            <w:spacing w:after="0" w:line="259" w:lineRule="auto"/>
            <w:ind w:left="7" w:right="0"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0B5A6B51" w14:textId="77777777" w:rsidR="00093283" w:rsidRDefault="008469EA">
          <w:pPr>
            <w:spacing w:after="0" w:line="259" w:lineRule="auto"/>
            <w:ind w:left="0" w:right="0"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26D3C6C3" w14:textId="77777777" w:rsidR="00093283" w:rsidRDefault="008469EA">
          <w:pPr>
            <w:spacing w:after="0" w:line="259" w:lineRule="auto"/>
            <w:ind w:left="0" w:right="0"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16</w:t>
          </w:r>
          <w:r>
            <w:rPr>
              <w:b/>
              <w:sz w:val="16"/>
            </w:rPr>
            <w:fldChar w:fldCharType="end"/>
          </w:r>
        </w:p>
      </w:tc>
    </w:tr>
  </w:tbl>
  <w:p w14:paraId="4595FBA5" w14:textId="77777777" w:rsidR="00093283" w:rsidRDefault="008469EA">
    <w:pPr>
      <w:spacing w:after="0" w:line="259" w:lineRule="auto"/>
      <w:ind w:left="-1701" w:firstLine="0"/>
      <w:jc w:val="left"/>
    </w:pPr>
    <w:r>
      <w:rPr>
        <w:noProof/>
      </w:rPr>
      <w:drawing>
        <wp:anchor distT="0" distB="0" distL="114300" distR="114300" simplePos="0" relativeHeight="251667456" behindDoc="0" locked="0" layoutInCell="1" allowOverlap="0" wp14:anchorId="0F8A6E1F" wp14:editId="4CAF479E">
          <wp:simplePos x="0" y="0"/>
          <wp:positionH relativeFrom="page">
            <wp:posOffset>1080135</wp:posOffset>
          </wp:positionH>
          <wp:positionV relativeFrom="page">
            <wp:posOffset>8906157</wp:posOffset>
          </wp:positionV>
          <wp:extent cx="5612131" cy="65024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093283" w14:paraId="1AA00B37"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2D190B50" w14:textId="77777777" w:rsidR="00093283" w:rsidRDefault="008469EA">
          <w:pPr>
            <w:spacing w:after="0" w:line="259" w:lineRule="auto"/>
            <w:ind w:left="34" w:right="0"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34D3CDCF" w14:textId="77777777" w:rsidR="00093283" w:rsidRDefault="008469EA">
          <w:pPr>
            <w:spacing w:after="0" w:line="259" w:lineRule="auto"/>
            <w:ind w:left="7" w:right="0"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3C8B5E8F" w14:textId="77777777" w:rsidR="00093283" w:rsidRDefault="008469EA">
          <w:pPr>
            <w:spacing w:after="0" w:line="259" w:lineRule="auto"/>
            <w:ind w:left="0" w:right="0"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9B75E0E" w14:textId="77777777" w:rsidR="00093283" w:rsidRDefault="008469EA">
          <w:pPr>
            <w:spacing w:after="0" w:line="259" w:lineRule="auto"/>
            <w:ind w:left="0" w:right="0"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16</w:t>
          </w:r>
          <w:r>
            <w:rPr>
              <w:b/>
              <w:sz w:val="16"/>
            </w:rPr>
            <w:fldChar w:fldCharType="end"/>
          </w:r>
        </w:p>
      </w:tc>
    </w:tr>
  </w:tbl>
  <w:p w14:paraId="08DB0571" w14:textId="77777777" w:rsidR="00093283" w:rsidRDefault="008469EA">
    <w:pPr>
      <w:spacing w:after="0" w:line="259" w:lineRule="auto"/>
      <w:ind w:left="-1701" w:firstLine="0"/>
      <w:jc w:val="left"/>
    </w:pPr>
    <w:r>
      <w:rPr>
        <w:noProof/>
      </w:rPr>
      <w:drawing>
        <wp:anchor distT="0" distB="0" distL="114300" distR="114300" simplePos="0" relativeHeight="251668480" behindDoc="0" locked="0" layoutInCell="1" allowOverlap="0" wp14:anchorId="7B5B669D" wp14:editId="7C7C9CA7">
          <wp:simplePos x="0" y="0"/>
          <wp:positionH relativeFrom="page">
            <wp:posOffset>1080135</wp:posOffset>
          </wp:positionH>
          <wp:positionV relativeFrom="page">
            <wp:posOffset>8906157</wp:posOffset>
          </wp:positionV>
          <wp:extent cx="5612131" cy="650240"/>
          <wp:effectExtent l="0" t="0" r="0" b="0"/>
          <wp:wrapSquare wrapText="bothSides"/>
          <wp:docPr id="490844853"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093283" w14:paraId="4A6E7586"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34C4E437" w14:textId="77777777" w:rsidR="00093283" w:rsidRDefault="008469EA">
          <w:pPr>
            <w:spacing w:after="0" w:line="259" w:lineRule="auto"/>
            <w:ind w:left="34" w:right="0"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073E12F" w14:textId="77777777" w:rsidR="00093283" w:rsidRDefault="008469EA">
          <w:pPr>
            <w:spacing w:after="0" w:line="259" w:lineRule="auto"/>
            <w:ind w:left="7" w:right="0"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78927B52" w14:textId="77777777" w:rsidR="00093283" w:rsidRDefault="008469EA">
          <w:pPr>
            <w:spacing w:after="0" w:line="259" w:lineRule="auto"/>
            <w:ind w:left="0" w:right="0"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26920249" w14:textId="77777777" w:rsidR="00093283" w:rsidRDefault="008469EA">
          <w:pPr>
            <w:spacing w:after="0" w:line="259" w:lineRule="auto"/>
            <w:ind w:left="0" w:right="0"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16</w:t>
          </w:r>
          <w:r>
            <w:rPr>
              <w:b/>
              <w:sz w:val="16"/>
            </w:rPr>
            <w:fldChar w:fldCharType="end"/>
          </w:r>
        </w:p>
      </w:tc>
    </w:tr>
  </w:tbl>
  <w:p w14:paraId="0A9F68B4" w14:textId="77777777" w:rsidR="00093283" w:rsidRDefault="008469EA">
    <w:pPr>
      <w:spacing w:after="0" w:line="259" w:lineRule="auto"/>
      <w:ind w:left="-1701" w:firstLine="0"/>
      <w:jc w:val="left"/>
    </w:pPr>
    <w:r>
      <w:rPr>
        <w:noProof/>
      </w:rPr>
      <w:drawing>
        <wp:anchor distT="0" distB="0" distL="114300" distR="114300" simplePos="0" relativeHeight="251669504" behindDoc="0" locked="0" layoutInCell="1" allowOverlap="0" wp14:anchorId="2B55E104" wp14:editId="18A60FC7">
          <wp:simplePos x="0" y="0"/>
          <wp:positionH relativeFrom="page">
            <wp:posOffset>1080135</wp:posOffset>
          </wp:positionH>
          <wp:positionV relativeFrom="page">
            <wp:posOffset>8906157</wp:posOffset>
          </wp:positionV>
          <wp:extent cx="5612131" cy="650240"/>
          <wp:effectExtent l="0" t="0" r="0" b="0"/>
          <wp:wrapSquare wrapText="bothSides"/>
          <wp:docPr id="120007401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093283" w14:paraId="35EDD4AD"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6003C196" w14:textId="77777777" w:rsidR="00093283" w:rsidRDefault="008469EA">
          <w:pPr>
            <w:spacing w:after="0" w:line="259" w:lineRule="auto"/>
            <w:ind w:left="34" w:right="0"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B268CD5" w14:textId="77777777" w:rsidR="00093283" w:rsidRDefault="008469EA">
          <w:pPr>
            <w:spacing w:after="0" w:line="259" w:lineRule="auto"/>
            <w:ind w:left="7" w:right="0" w:firstLine="0"/>
            <w:jc w:val="center"/>
          </w:pPr>
          <w:r>
            <w:rPr>
              <w:sz w:val="16"/>
            </w:rPr>
            <w:t xml:space="preserve">CÓDIGO: </w:t>
          </w:r>
          <w:r>
            <w:rPr>
              <w:b/>
              <w:sz w:val="16"/>
            </w:rPr>
            <w:t>CCE-REC-FM-1</w:t>
          </w:r>
          <w:r>
            <w:rPr>
              <w:b/>
              <w:sz w:val="16"/>
            </w:rPr>
            <w:t>7</w:t>
          </w:r>
        </w:p>
      </w:tc>
      <w:tc>
        <w:tcPr>
          <w:tcW w:w="2699" w:type="dxa"/>
          <w:tcBorders>
            <w:top w:val="single" w:sz="4" w:space="0" w:color="808080"/>
            <w:left w:val="single" w:sz="4" w:space="0" w:color="808080"/>
            <w:bottom w:val="single" w:sz="4" w:space="0" w:color="808080"/>
            <w:right w:val="single" w:sz="4" w:space="0" w:color="808080"/>
          </w:tcBorders>
        </w:tcPr>
        <w:p w14:paraId="60F58C16" w14:textId="77777777" w:rsidR="00093283" w:rsidRDefault="008469EA">
          <w:pPr>
            <w:spacing w:after="0" w:line="259" w:lineRule="auto"/>
            <w:ind w:left="0" w:right="0"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70C177C" w14:textId="77777777" w:rsidR="00093283" w:rsidRDefault="008469EA">
          <w:pPr>
            <w:spacing w:after="0" w:line="259" w:lineRule="auto"/>
            <w:ind w:left="0" w:right="0"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16</w:t>
          </w:r>
          <w:r>
            <w:rPr>
              <w:b/>
              <w:sz w:val="16"/>
            </w:rPr>
            <w:fldChar w:fldCharType="end"/>
          </w:r>
        </w:p>
      </w:tc>
    </w:tr>
  </w:tbl>
  <w:p w14:paraId="0004C885" w14:textId="77777777" w:rsidR="00093283" w:rsidRDefault="008469EA">
    <w:pPr>
      <w:spacing w:after="0" w:line="259" w:lineRule="auto"/>
      <w:ind w:left="-1701" w:right="0" w:firstLine="0"/>
      <w:jc w:val="left"/>
    </w:pPr>
    <w:r>
      <w:rPr>
        <w:noProof/>
      </w:rPr>
      <w:drawing>
        <wp:anchor distT="0" distB="0" distL="114300" distR="114300" simplePos="0" relativeHeight="251679744" behindDoc="0" locked="0" layoutInCell="1" allowOverlap="0" wp14:anchorId="1F21A139" wp14:editId="6832DA20">
          <wp:simplePos x="0" y="0"/>
          <wp:positionH relativeFrom="page">
            <wp:posOffset>1080135</wp:posOffset>
          </wp:positionH>
          <wp:positionV relativeFrom="page">
            <wp:posOffset>8906157</wp:posOffset>
          </wp:positionV>
          <wp:extent cx="5612131" cy="650240"/>
          <wp:effectExtent l="0" t="0" r="0" b="0"/>
          <wp:wrapSquare wrapText="bothSides"/>
          <wp:docPr id="10551" name="Picture 10551"/>
          <wp:cNvGraphicFramePr/>
          <a:graphic xmlns:a="http://schemas.openxmlformats.org/drawingml/2006/main">
            <a:graphicData uri="http://schemas.openxmlformats.org/drawingml/2006/picture">
              <pic:pic xmlns:pic="http://schemas.openxmlformats.org/drawingml/2006/picture">
                <pic:nvPicPr>
                  <pic:cNvPr id="10551" name="Picture 10551"/>
                  <pic:cNvPicPr/>
                </pic:nvPicPr>
                <pic:blipFill>
                  <a:blip r:embed="rId1"/>
                  <a:stretch>
                    <a:fillRect/>
                  </a:stretch>
                </pic:blipFill>
                <pic:spPr>
                  <a:xfrm>
                    <a:off x="0" y="0"/>
                    <a:ext cx="5612131" cy="65024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093283" w14:paraId="0F360478"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0E91A23D" w14:textId="77777777" w:rsidR="00093283" w:rsidRDefault="008469EA">
          <w:pPr>
            <w:spacing w:after="0" w:line="259" w:lineRule="auto"/>
            <w:ind w:left="34" w:right="0"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409A906" w14:textId="77777777" w:rsidR="00093283" w:rsidRDefault="008469EA">
          <w:pPr>
            <w:spacing w:after="0" w:line="259" w:lineRule="auto"/>
            <w:ind w:left="7" w:right="0"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01A5FAC3" w14:textId="77777777" w:rsidR="00093283" w:rsidRDefault="008469EA">
          <w:pPr>
            <w:spacing w:after="0" w:line="259" w:lineRule="auto"/>
            <w:ind w:left="0" w:right="0"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5791CB6D" w14:textId="77777777" w:rsidR="00093283" w:rsidRDefault="008469EA">
          <w:pPr>
            <w:spacing w:after="0" w:line="259" w:lineRule="auto"/>
            <w:ind w:left="0" w:right="0"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16</w:t>
          </w:r>
          <w:r>
            <w:rPr>
              <w:b/>
              <w:sz w:val="16"/>
            </w:rPr>
            <w:fldChar w:fldCharType="end"/>
          </w:r>
        </w:p>
      </w:tc>
    </w:tr>
  </w:tbl>
  <w:p w14:paraId="265635CE" w14:textId="77777777" w:rsidR="00093283" w:rsidRDefault="008469EA">
    <w:pPr>
      <w:spacing w:after="0" w:line="259" w:lineRule="auto"/>
      <w:ind w:left="-1701" w:right="0" w:firstLine="0"/>
      <w:jc w:val="left"/>
    </w:pPr>
    <w:r>
      <w:rPr>
        <w:noProof/>
      </w:rPr>
      <w:drawing>
        <wp:anchor distT="0" distB="0" distL="114300" distR="114300" simplePos="0" relativeHeight="251680768" behindDoc="0" locked="0" layoutInCell="1" allowOverlap="0" wp14:anchorId="01E6F657" wp14:editId="14850C9F">
          <wp:simplePos x="0" y="0"/>
          <wp:positionH relativeFrom="page">
            <wp:posOffset>1080135</wp:posOffset>
          </wp:positionH>
          <wp:positionV relativeFrom="page">
            <wp:posOffset>8906157</wp:posOffset>
          </wp:positionV>
          <wp:extent cx="5612131" cy="650240"/>
          <wp:effectExtent l="0" t="0" r="0" b="0"/>
          <wp:wrapSquare wrapText="bothSides"/>
          <wp:docPr id="220447227" name="Picture 10551"/>
          <wp:cNvGraphicFramePr/>
          <a:graphic xmlns:a="http://schemas.openxmlformats.org/drawingml/2006/main">
            <a:graphicData uri="http://schemas.openxmlformats.org/drawingml/2006/picture">
              <pic:pic xmlns:pic="http://schemas.openxmlformats.org/drawingml/2006/picture">
                <pic:nvPicPr>
                  <pic:cNvPr id="10551" name="Picture 10551"/>
                  <pic:cNvPicPr/>
                </pic:nvPicPr>
                <pic:blipFill>
                  <a:blip r:embed="rId1"/>
                  <a:stretch>
                    <a:fillRect/>
                  </a:stretch>
                </pic:blipFill>
                <pic:spPr>
                  <a:xfrm>
                    <a:off x="0" y="0"/>
                    <a:ext cx="5612131" cy="65024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3" w:type="dxa"/>
        <w:left w:w="108" w:type="dxa"/>
        <w:bottom w:w="0" w:type="dxa"/>
        <w:right w:w="115" w:type="dxa"/>
      </w:tblCellMar>
      <w:tblLook w:val="04A0" w:firstRow="1" w:lastRow="0" w:firstColumn="1" w:lastColumn="0" w:noHBand="0" w:noVBand="1"/>
    </w:tblPr>
    <w:tblGrid>
      <w:gridCol w:w="1271"/>
      <w:gridCol w:w="2693"/>
      <w:gridCol w:w="2699"/>
      <w:gridCol w:w="2268"/>
    </w:tblGrid>
    <w:tr w:rsidR="00093283" w14:paraId="321FA2F5"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61C86C33" w14:textId="77777777" w:rsidR="00093283" w:rsidRDefault="008469EA">
          <w:pPr>
            <w:spacing w:after="0" w:line="259" w:lineRule="auto"/>
            <w:ind w:left="34" w:right="0"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60EBD351" w14:textId="77777777" w:rsidR="00093283" w:rsidRDefault="008469EA">
          <w:pPr>
            <w:spacing w:after="0" w:line="259" w:lineRule="auto"/>
            <w:ind w:left="7" w:right="0"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5216AEC1" w14:textId="77777777" w:rsidR="00093283" w:rsidRDefault="008469EA">
          <w:pPr>
            <w:spacing w:after="0" w:line="259" w:lineRule="auto"/>
            <w:ind w:left="0" w:right="0"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B3B0445" w14:textId="77777777" w:rsidR="00093283" w:rsidRDefault="008469EA">
          <w:pPr>
            <w:spacing w:after="0" w:line="259" w:lineRule="auto"/>
            <w:ind w:left="0" w:right="0"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16</w:t>
          </w:r>
          <w:r>
            <w:rPr>
              <w:b/>
              <w:sz w:val="16"/>
            </w:rPr>
            <w:fldChar w:fldCharType="end"/>
          </w:r>
        </w:p>
      </w:tc>
    </w:tr>
  </w:tbl>
  <w:p w14:paraId="02BB6D52" w14:textId="77777777" w:rsidR="00093283" w:rsidRDefault="008469EA">
    <w:pPr>
      <w:spacing w:after="0" w:line="259" w:lineRule="auto"/>
      <w:ind w:left="-1701" w:right="0" w:firstLine="0"/>
      <w:jc w:val="left"/>
    </w:pPr>
    <w:r>
      <w:rPr>
        <w:noProof/>
      </w:rPr>
      <w:drawing>
        <wp:anchor distT="0" distB="0" distL="114300" distR="114300" simplePos="0" relativeHeight="251681792" behindDoc="0" locked="0" layoutInCell="1" allowOverlap="0" wp14:anchorId="3F87BF3F" wp14:editId="55C0B511">
          <wp:simplePos x="0" y="0"/>
          <wp:positionH relativeFrom="page">
            <wp:posOffset>1080135</wp:posOffset>
          </wp:positionH>
          <wp:positionV relativeFrom="page">
            <wp:posOffset>8906157</wp:posOffset>
          </wp:positionV>
          <wp:extent cx="5612131" cy="650240"/>
          <wp:effectExtent l="0" t="0" r="0" b="0"/>
          <wp:wrapSquare wrapText="bothSides"/>
          <wp:docPr id="81816005" name="Picture 10551"/>
          <wp:cNvGraphicFramePr/>
          <a:graphic xmlns:a="http://schemas.openxmlformats.org/drawingml/2006/main">
            <a:graphicData uri="http://schemas.openxmlformats.org/drawingml/2006/picture">
              <pic:pic xmlns:pic="http://schemas.openxmlformats.org/drawingml/2006/picture">
                <pic:nvPicPr>
                  <pic:cNvPr id="10551" name="Picture 10551"/>
                  <pic:cNvPicPr/>
                </pic:nvPicPr>
                <pic:blipFill>
                  <a:blip r:embed="rId1"/>
                  <a:stretch>
                    <a:fillRect/>
                  </a:stretch>
                </pic:blipFill>
                <pic:spPr>
                  <a:xfrm>
                    <a:off x="0" y="0"/>
                    <a:ext cx="5612131" cy="6502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BF430" w14:textId="77777777" w:rsidR="00093283" w:rsidRDefault="008469EA">
      <w:pPr>
        <w:spacing w:after="0" w:line="259" w:lineRule="auto"/>
        <w:ind w:left="0" w:firstLine="0"/>
        <w:jc w:val="right"/>
      </w:pPr>
      <w:r>
        <w:separator/>
      </w:r>
    </w:p>
  </w:footnote>
  <w:footnote w:type="continuationSeparator" w:id="0">
    <w:p w14:paraId="7356E872" w14:textId="77777777" w:rsidR="00093283" w:rsidRDefault="008469EA">
      <w:pPr>
        <w:spacing w:after="0" w:line="259" w:lineRule="auto"/>
        <w:ind w:left="0" w:firstLine="0"/>
        <w:jc w:val="right"/>
      </w:pPr>
      <w:r>
        <w:continuationSeparator/>
      </w:r>
    </w:p>
  </w:footnote>
  <w:footnote w:id="1">
    <w:p w14:paraId="5CEF3D91" w14:textId="77777777" w:rsidR="00093283" w:rsidRDefault="008469EA">
      <w:pPr>
        <w:pStyle w:val="footnotedescription"/>
        <w:ind w:right="61"/>
        <w:jc w:val="right"/>
      </w:pPr>
      <w:r>
        <w:rPr>
          <w:rStyle w:val="footnotemark"/>
        </w:rPr>
        <w:footnoteRef/>
      </w:r>
      <w:r>
        <w:t xml:space="preserve"> La Agencia Nacional de Contratación Pública -Colombia Compra </w:t>
      </w:r>
      <w:r>
        <w:t xml:space="preserve">Eficiente- fue creada por el Decreto-Ley 4170 de 2011. Su objetivo </w:t>
      </w:r>
    </w:p>
    <w:p w14:paraId="6119CF32" w14:textId="77777777" w:rsidR="00093283" w:rsidRDefault="008469EA">
      <w:pPr>
        <w:pStyle w:val="footnotedescription"/>
        <w:spacing w:line="240" w:lineRule="auto"/>
        <w:ind w:right="61"/>
      </w:pPr>
      <w:r>
        <w:t xml:space="preserve">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Pr>
          <w:i/>
        </w:rPr>
        <w:t xml:space="preserve">ibidem  </w:t>
      </w:r>
      <w:r>
        <w:t xml:space="preserve">señala, de manera precisa, las funciones de la entidad. Concretamente, el numeral 5º del citado artículo establece que le corresponde a esta entidad:  </w:t>
      </w:r>
      <w:r>
        <w:rPr>
          <w:i/>
        </w:rPr>
        <w:t xml:space="preserve">“[ a] </w:t>
      </w:r>
      <w:proofErr w:type="spellStart"/>
      <w:r>
        <w:rPr>
          <w:i/>
        </w:rPr>
        <w:t>bsolver</w:t>
      </w:r>
      <w:proofErr w:type="spellEnd"/>
      <w:r>
        <w:rPr>
          <w:i/>
        </w:rPr>
        <w:t xml:space="preserve"> consultas sobre la aplicación de normas de carácter general y expedir circulares externas en materia de compras y contratación pública ”</w:t>
      </w:r>
      <w:r>
        <w:t>.</w:t>
      </w:r>
      <w:r>
        <w:rPr>
          <w:i/>
        </w:rPr>
        <w:t xml:space="preserve"> </w:t>
      </w:r>
      <w:r>
        <w:t xml:space="preserve"> A su turno, el numeral 8º del artículo 11  </w:t>
      </w:r>
      <w:r>
        <w:rPr>
          <w:i/>
        </w:rPr>
        <w:t>ibidem</w:t>
      </w:r>
      <w:r>
        <w:t xml:space="preserve"> indica que es función de la Subdirección de Gestión Contractual: </w:t>
      </w:r>
      <w:r>
        <w:rPr>
          <w:i/>
        </w:rPr>
        <w:t>“</w:t>
      </w:r>
      <w:r>
        <w:t xml:space="preserve"> </w:t>
      </w:r>
      <w:r>
        <w:rPr>
          <w:i/>
        </w:rPr>
        <w:t xml:space="preserve"> [a] </w:t>
      </w:r>
      <w:proofErr w:type="spellStart"/>
      <w:r>
        <w:rPr>
          <w:i/>
        </w:rPr>
        <w:t>bsolver</w:t>
      </w:r>
      <w:proofErr w:type="spellEnd"/>
      <w:r>
        <w:rPr>
          <w:i/>
        </w:rPr>
        <w:t xml:space="preserve"> consultas sobre la aplicación de normas de carácter general”</w:t>
      </w:r>
      <w:r>
        <w:t>.</w:t>
      </w:r>
    </w:p>
  </w:footnote>
  <w:footnote w:id="2">
    <w:p w14:paraId="362EA41B" w14:textId="77777777" w:rsidR="00093283" w:rsidRDefault="008469EA">
      <w:pPr>
        <w:pStyle w:val="footnotedescription"/>
        <w:ind w:right="61"/>
        <w:jc w:val="right"/>
      </w:pPr>
      <w:r>
        <w:rPr>
          <w:rStyle w:val="footnotemark"/>
        </w:rPr>
        <w:footnoteRef/>
      </w:r>
      <w:r>
        <w:t xml:space="preserve"> Estos conceptos pueden ser consultados en la relatoría de Colombia Compra Eficiente en el siguiente enlace:  </w:t>
      </w:r>
    </w:p>
    <w:p w14:paraId="365A6BB6" w14:textId="77777777" w:rsidR="00093283" w:rsidRDefault="008469EA">
      <w:pPr>
        <w:pStyle w:val="footnotedescription"/>
        <w:jc w:val="left"/>
      </w:pPr>
      <w:hyperlink r:id="rId1">
        <w:r>
          <w:rPr>
            <w:u w:val="single" w:color="000000"/>
          </w:rPr>
          <w:t>http://relatoria.colombiacompra.gov.co/busqueda/conceptos</w:t>
        </w:r>
      </w:hyperlink>
    </w:p>
  </w:footnote>
  <w:footnote w:id="3">
    <w:p w14:paraId="45E2FF08" w14:textId="77777777" w:rsidR="00093283" w:rsidRDefault="008469EA">
      <w:pPr>
        <w:pStyle w:val="footnotedescription"/>
        <w:ind w:right="61"/>
        <w:jc w:val="right"/>
      </w:pPr>
      <w:r>
        <w:rPr>
          <w:rStyle w:val="footnotemark"/>
        </w:rPr>
        <w:footnoteRef/>
      </w:r>
      <w:r>
        <w:t xml:space="preserve"> Cfr. Respuestas emitidas dentro de los radicados Nos.: </w:t>
      </w:r>
      <w:r>
        <w:t xml:space="preserve">4202013000002250, 4202013000002249, 202013000002232, </w:t>
      </w:r>
    </w:p>
    <w:tbl>
      <w:tblPr>
        <w:tblStyle w:val="TableGrid"/>
        <w:tblW w:w="8877" w:type="dxa"/>
        <w:tblInd w:w="0" w:type="dxa"/>
        <w:tblCellMar>
          <w:top w:w="0" w:type="dxa"/>
          <w:left w:w="0" w:type="dxa"/>
          <w:bottom w:w="0" w:type="dxa"/>
          <w:right w:w="0" w:type="dxa"/>
        </w:tblCellMar>
        <w:tblLook w:val="04A0" w:firstRow="1" w:lastRow="0" w:firstColumn="1" w:lastColumn="0" w:noHBand="0" w:noVBand="1"/>
      </w:tblPr>
      <w:tblGrid>
        <w:gridCol w:w="6043"/>
        <w:gridCol w:w="1511"/>
        <w:gridCol w:w="1323"/>
      </w:tblGrid>
      <w:tr w:rsidR="00093283" w14:paraId="5AFBDF16" w14:textId="77777777">
        <w:trPr>
          <w:trHeight w:val="146"/>
        </w:trPr>
        <w:tc>
          <w:tcPr>
            <w:tcW w:w="6043" w:type="dxa"/>
            <w:tcBorders>
              <w:top w:val="nil"/>
              <w:left w:val="nil"/>
              <w:bottom w:val="nil"/>
              <w:right w:val="nil"/>
            </w:tcBorders>
          </w:tcPr>
          <w:p w14:paraId="305EAE8C" w14:textId="77777777" w:rsidR="00093283" w:rsidRDefault="008469EA">
            <w:pPr>
              <w:tabs>
                <w:tab w:val="center" w:pos="2153"/>
                <w:tab w:val="center" w:pos="3663"/>
                <w:tab w:val="center" w:pos="5174"/>
              </w:tabs>
              <w:spacing w:after="160" w:line="259" w:lineRule="auto"/>
              <w:ind w:left="0" w:right="0" w:firstLine="0"/>
              <w:jc w:val="left"/>
            </w:pPr>
            <w:r>
              <w:rPr>
                <w:sz w:val="14"/>
              </w:rPr>
              <w:t xml:space="preserve">4202013000002225, </w:t>
            </w:r>
            <w:r>
              <w:rPr>
                <w:sz w:val="14"/>
              </w:rPr>
              <w:tab/>
              <w:t xml:space="preserve">4202013000002227, </w:t>
            </w:r>
            <w:r>
              <w:rPr>
                <w:sz w:val="14"/>
              </w:rPr>
              <w:tab/>
              <w:t xml:space="preserve">4202013000002220, </w:t>
            </w:r>
            <w:r>
              <w:rPr>
                <w:sz w:val="14"/>
              </w:rPr>
              <w:tab/>
              <w:t xml:space="preserve">4202013000002221, </w:t>
            </w:r>
          </w:p>
        </w:tc>
        <w:tc>
          <w:tcPr>
            <w:tcW w:w="1511" w:type="dxa"/>
            <w:tcBorders>
              <w:top w:val="nil"/>
              <w:left w:val="nil"/>
              <w:bottom w:val="nil"/>
              <w:right w:val="nil"/>
            </w:tcBorders>
          </w:tcPr>
          <w:p w14:paraId="3B5B0621" w14:textId="77777777" w:rsidR="00093283" w:rsidRDefault="008469EA">
            <w:pPr>
              <w:spacing w:after="160" w:line="259" w:lineRule="auto"/>
              <w:ind w:left="0" w:right="0" w:firstLine="0"/>
              <w:jc w:val="left"/>
            </w:pPr>
            <w:r>
              <w:rPr>
                <w:sz w:val="14"/>
              </w:rPr>
              <w:t xml:space="preserve">4202013000002217, </w:t>
            </w:r>
          </w:p>
        </w:tc>
        <w:tc>
          <w:tcPr>
            <w:tcW w:w="1323" w:type="dxa"/>
            <w:tcBorders>
              <w:top w:val="nil"/>
              <w:left w:val="nil"/>
              <w:bottom w:val="nil"/>
              <w:right w:val="nil"/>
            </w:tcBorders>
          </w:tcPr>
          <w:p w14:paraId="2E06EE97" w14:textId="77777777" w:rsidR="00093283" w:rsidRDefault="008469EA">
            <w:pPr>
              <w:spacing w:after="160" w:line="259" w:lineRule="auto"/>
              <w:ind w:left="0" w:right="0" w:firstLine="0"/>
            </w:pPr>
            <w:r>
              <w:rPr>
                <w:sz w:val="14"/>
              </w:rPr>
              <w:t xml:space="preserve">4202013000002215, </w:t>
            </w:r>
          </w:p>
        </w:tc>
      </w:tr>
      <w:tr w:rsidR="00093283" w14:paraId="4F75BA4E" w14:textId="77777777">
        <w:trPr>
          <w:trHeight w:val="161"/>
        </w:trPr>
        <w:tc>
          <w:tcPr>
            <w:tcW w:w="6043" w:type="dxa"/>
            <w:tcBorders>
              <w:top w:val="nil"/>
              <w:left w:val="nil"/>
              <w:bottom w:val="nil"/>
              <w:right w:val="nil"/>
            </w:tcBorders>
          </w:tcPr>
          <w:p w14:paraId="0BAA2CBB" w14:textId="77777777" w:rsidR="00093283" w:rsidRDefault="008469EA">
            <w:pPr>
              <w:tabs>
                <w:tab w:val="center" w:pos="2153"/>
                <w:tab w:val="center" w:pos="3663"/>
                <w:tab w:val="center" w:pos="5174"/>
              </w:tabs>
              <w:spacing w:after="160" w:line="259" w:lineRule="auto"/>
              <w:ind w:left="0" w:right="0" w:firstLine="0"/>
              <w:jc w:val="left"/>
            </w:pPr>
            <w:r>
              <w:rPr>
                <w:sz w:val="14"/>
              </w:rPr>
              <w:t xml:space="preserve">4202013000002230, </w:t>
            </w:r>
            <w:r>
              <w:rPr>
                <w:sz w:val="14"/>
              </w:rPr>
              <w:tab/>
              <w:t xml:space="preserve">4202013000002223, </w:t>
            </w:r>
            <w:r>
              <w:rPr>
                <w:sz w:val="14"/>
              </w:rPr>
              <w:tab/>
              <w:t xml:space="preserve">4202013000002219, </w:t>
            </w:r>
            <w:r>
              <w:rPr>
                <w:sz w:val="14"/>
              </w:rPr>
              <w:tab/>
            </w:r>
            <w:r>
              <w:rPr>
                <w:sz w:val="14"/>
              </w:rPr>
              <w:t xml:space="preserve">4202013000002237, </w:t>
            </w:r>
          </w:p>
        </w:tc>
        <w:tc>
          <w:tcPr>
            <w:tcW w:w="1511" w:type="dxa"/>
            <w:tcBorders>
              <w:top w:val="nil"/>
              <w:left w:val="nil"/>
              <w:bottom w:val="nil"/>
              <w:right w:val="nil"/>
            </w:tcBorders>
          </w:tcPr>
          <w:p w14:paraId="1A82BE54" w14:textId="77777777" w:rsidR="00093283" w:rsidRDefault="008469EA">
            <w:pPr>
              <w:spacing w:after="160" w:line="259" w:lineRule="auto"/>
              <w:ind w:left="0" w:right="0" w:firstLine="0"/>
              <w:jc w:val="left"/>
            </w:pPr>
            <w:r>
              <w:rPr>
                <w:sz w:val="14"/>
              </w:rPr>
              <w:t xml:space="preserve">4202013000002210, </w:t>
            </w:r>
          </w:p>
        </w:tc>
        <w:tc>
          <w:tcPr>
            <w:tcW w:w="1323" w:type="dxa"/>
            <w:tcBorders>
              <w:top w:val="nil"/>
              <w:left w:val="nil"/>
              <w:bottom w:val="nil"/>
              <w:right w:val="nil"/>
            </w:tcBorders>
          </w:tcPr>
          <w:p w14:paraId="24CC5F6E" w14:textId="77777777" w:rsidR="00093283" w:rsidRDefault="008469EA">
            <w:pPr>
              <w:spacing w:after="160" w:line="259" w:lineRule="auto"/>
              <w:ind w:left="0" w:right="0" w:firstLine="0"/>
            </w:pPr>
            <w:r>
              <w:rPr>
                <w:sz w:val="14"/>
              </w:rPr>
              <w:t xml:space="preserve">4202013000002278, </w:t>
            </w:r>
          </w:p>
        </w:tc>
      </w:tr>
      <w:tr w:rsidR="00093283" w14:paraId="183421A0" w14:textId="77777777">
        <w:trPr>
          <w:trHeight w:val="161"/>
        </w:trPr>
        <w:tc>
          <w:tcPr>
            <w:tcW w:w="6043" w:type="dxa"/>
            <w:tcBorders>
              <w:top w:val="nil"/>
              <w:left w:val="nil"/>
              <w:bottom w:val="nil"/>
              <w:right w:val="nil"/>
            </w:tcBorders>
          </w:tcPr>
          <w:p w14:paraId="727916C7" w14:textId="77777777" w:rsidR="00093283" w:rsidRDefault="008469EA">
            <w:pPr>
              <w:tabs>
                <w:tab w:val="center" w:pos="2153"/>
                <w:tab w:val="center" w:pos="3663"/>
                <w:tab w:val="center" w:pos="5174"/>
              </w:tabs>
              <w:spacing w:after="160" w:line="259" w:lineRule="auto"/>
              <w:ind w:left="0" w:right="0" w:firstLine="0"/>
              <w:jc w:val="left"/>
            </w:pPr>
            <w:r>
              <w:rPr>
                <w:sz w:val="14"/>
              </w:rPr>
              <w:t xml:space="preserve">4202013000002277, </w:t>
            </w:r>
            <w:r>
              <w:rPr>
                <w:sz w:val="14"/>
              </w:rPr>
              <w:tab/>
              <w:t xml:space="preserve">4202013000002272, </w:t>
            </w:r>
            <w:r>
              <w:rPr>
                <w:sz w:val="14"/>
              </w:rPr>
              <w:tab/>
              <w:t xml:space="preserve">4202013000002696, </w:t>
            </w:r>
            <w:r>
              <w:rPr>
                <w:sz w:val="14"/>
              </w:rPr>
              <w:tab/>
              <w:t xml:space="preserve">4202013000002699, </w:t>
            </w:r>
          </w:p>
        </w:tc>
        <w:tc>
          <w:tcPr>
            <w:tcW w:w="1511" w:type="dxa"/>
            <w:tcBorders>
              <w:top w:val="nil"/>
              <w:left w:val="nil"/>
              <w:bottom w:val="nil"/>
              <w:right w:val="nil"/>
            </w:tcBorders>
          </w:tcPr>
          <w:p w14:paraId="2A6BC555" w14:textId="77777777" w:rsidR="00093283" w:rsidRDefault="008469EA">
            <w:pPr>
              <w:spacing w:after="160" w:line="259" w:lineRule="auto"/>
              <w:ind w:left="0" w:right="0" w:firstLine="0"/>
              <w:jc w:val="left"/>
            </w:pPr>
            <w:r>
              <w:rPr>
                <w:sz w:val="14"/>
              </w:rPr>
              <w:t xml:space="preserve">4202012000002681, </w:t>
            </w:r>
          </w:p>
        </w:tc>
        <w:tc>
          <w:tcPr>
            <w:tcW w:w="1323" w:type="dxa"/>
            <w:tcBorders>
              <w:top w:val="nil"/>
              <w:left w:val="nil"/>
              <w:bottom w:val="nil"/>
              <w:right w:val="nil"/>
            </w:tcBorders>
          </w:tcPr>
          <w:p w14:paraId="037E1D3B" w14:textId="77777777" w:rsidR="00093283" w:rsidRDefault="008469EA">
            <w:pPr>
              <w:spacing w:after="160" w:line="259" w:lineRule="auto"/>
              <w:ind w:left="0" w:right="0" w:firstLine="0"/>
            </w:pPr>
            <w:r>
              <w:rPr>
                <w:sz w:val="14"/>
              </w:rPr>
              <w:t xml:space="preserve">4202012000002683, </w:t>
            </w:r>
          </w:p>
        </w:tc>
      </w:tr>
      <w:tr w:rsidR="00093283" w14:paraId="5D754372" w14:textId="77777777">
        <w:trPr>
          <w:trHeight w:val="161"/>
        </w:trPr>
        <w:tc>
          <w:tcPr>
            <w:tcW w:w="6043" w:type="dxa"/>
            <w:tcBorders>
              <w:top w:val="nil"/>
              <w:left w:val="nil"/>
              <w:bottom w:val="nil"/>
              <w:right w:val="nil"/>
            </w:tcBorders>
          </w:tcPr>
          <w:p w14:paraId="22FAABA7" w14:textId="77777777" w:rsidR="00093283" w:rsidRDefault="008469EA">
            <w:pPr>
              <w:tabs>
                <w:tab w:val="center" w:pos="2153"/>
                <w:tab w:val="center" w:pos="3663"/>
                <w:tab w:val="center" w:pos="5174"/>
              </w:tabs>
              <w:spacing w:after="160" w:line="259" w:lineRule="auto"/>
              <w:ind w:left="0" w:right="0" w:firstLine="0"/>
              <w:jc w:val="left"/>
            </w:pPr>
            <w:r>
              <w:rPr>
                <w:sz w:val="14"/>
              </w:rPr>
              <w:t xml:space="preserve">4202012000002676, </w:t>
            </w:r>
            <w:r>
              <w:rPr>
                <w:sz w:val="14"/>
              </w:rPr>
              <w:tab/>
              <w:t xml:space="preserve">4202012000002682, </w:t>
            </w:r>
            <w:r>
              <w:rPr>
                <w:sz w:val="14"/>
              </w:rPr>
              <w:tab/>
              <w:t xml:space="preserve">4202012000002689, </w:t>
            </w:r>
            <w:r>
              <w:rPr>
                <w:sz w:val="14"/>
              </w:rPr>
              <w:tab/>
            </w:r>
            <w:r>
              <w:rPr>
                <w:sz w:val="14"/>
              </w:rPr>
              <w:t xml:space="preserve">4202013000002697, </w:t>
            </w:r>
          </w:p>
        </w:tc>
        <w:tc>
          <w:tcPr>
            <w:tcW w:w="1511" w:type="dxa"/>
            <w:tcBorders>
              <w:top w:val="nil"/>
              <w:left w:val="nil"/>
              <w:bottom w:val="nil"/>
              <w:right w:val="nil"/>
            </w:tcBorders>
          </w:tcPr>
          <w:p w14:paraId="0597E5CF" w14:textId="77777777" w:rsidR="00093283" w:rsidRDefault="008469EA">
            <w:pPr>
              <w:spacing w:after="160" w:line="259" w:lineRule="auto"/>
              <w:ind w:left="0" w:right="0" w:firstLine="0"/>
              <w:jc w:val="left"/>
            </w:pPr>
            <w:r>
              <w:rPr>
                <w:sz w:val="14"/>
              </w:rPr>
              <w:t xml:space="preserve">4202013000002723, </w:t>
            </w:r>
          </w:p>
        </w:tc>
        <w:tc>
          <w:tcPr>
            <w:tcW w:w="1323" w:type="dxa"/>
            <w:tcBorders>
              <w:top w:val="nil"/>
              <w:left w:val="nil"/>
              <w:bottom w:val="nil"/>
              <w:right w:val="nil"/>
            </w:tcBorders>
          </w:tcPr>
          <w:p w14:paraId="2F57FC42" w14:textId="77777777" w:rsidR="00093283" w:rsidRDefault="008469EA">
            <w:pPr>
              <w:spacing w:after="160" w:line="259" w:lineRule="auto"/>
              <w:ind w:left="0" w:right="0" w:firstLine="0"/>
            </w:pPr>
            <w:r>
              <w:rPr>
                <w:sz w:val="14"/>
              </w:rPr>
              <w:t xml:space="preserve">4202012000002688, </w:t>
            </w:r>
          </w:p>
        </w:tc>
      </w:tr>
      <w:tr w:rsidR="00093283" w14:paraId="250126F7" w14:textId="77777777">
        <w:trPr>
          <w:trHeight w:val="307"/>
        </w:trPr>
        <w:tc>
          <w:tcPr>
            <w:tcW w:w="6043" w:type="dxa"/>
            <w:tcBorders>
              <w:top w:val="nil"/>
              <w:left w:val="nil"/>
              <w:bottom w:val="nil"/>
              <w:right w:val="nil"/>
            </w:tcBorders>
          </w:tcPr>
          <w:p w14:paraId="76A95396" w14:textId="77777777" w:rsidR="00093283" w:rsidRDefault="008469EA">
            <w:pPr>
              <w:spacing w:after="160" w:line="259" w:lineRule="auto"/>
              <w:ind w:left="0" w:right="0" w:firstLine="0"/>
              <w:jc w:val="left"/>
            </w:pPr>
            <w:r>
              <w:rPr>
                <w:sz w:val="14"/>
              </w:rPr>
              <w:t xml:space="preserve">4202013000002813, </w:t>
            </w:r>
            <w:r>
              <w:rPr>
                <w:sz w:val="14"/>
              </w:rPr>
              <w:tab/>
              <w:t xml:space="preserve">4202013000002808, </w:t>
            </w:r>
            <w:r>
              <w:rPr>
                <w:sz w:val="14"/>
              </w:rPr>
              <w:tab/>
              <w:t xml:space="preserve">4202013000002798, </w:t>
            </w:r>
            <w:r>
              <w:rPr>
                <w:sz w:val="14"/>
              </w:rPr>
              <w:tab/>
              <w:t>4202013000002793, 4202013000002790 y 4202020000002788, entre muchos otros similares.</w:t>
            </w:r>
          </w:p>
        </w:tc>
        <w:tc>
          <w:tcPr>
            <w:tcW w:w="1511" w:type="dxa"/>
            <w:tcBorders>
              <w:top w:val="nil"/>
              <w:left w:val="nil"/>
              <w:bottom w:val="nil"/>
              <w:right w:val="nil"/>
            </w:tcBorders>
          </w:tcPr>
          <w:p w14:paraId="58F8A644" w14:textId="77777777" w:rsidR="00093283" w:rsidRDefault="008469EA">
            <w:pPr>
              <w:spacing w:after="160" w:line="259" w:lineRule="auto"/>
              <w:ind w:left="0" w:right="0" w:firstLine="0"/>
              <w:jc w:val="left"/>
            </w:pPr>
            <w:r>
              <w:rPr>
                <w:sz w:val="14"/>
              </w:rPr>
              <w:t xml:space="preserve">4202013000002792, </w:t>
            </w:r>
          </w:p>
        </w:tc>
        <w:tc>
          <w:tcPr>
            <w:tcW w:w="1323" w:type="dxa"/>
            <w:tcBorders>
              <w:top w:val="nil"/>
              <w:left w:val="nil"/>
              <w:bottom w:val="nil"/>
              <w:right w:val="nil"/>
            </w:tcBorders>
          </w:tcPr>
          <w:p w14:paraId="560F5372" w14:textId="77777777" w:rsidR="00093283" w:rsidRDefault="008469EA">
            <w:pPr>
              <w:spacing w:after="160" w:line="259" w:lineRule="auto"/>
              <w:ind w:left="0" w:right="0" w:firstLine="0"/>
            </w:pPr>
            <w:r>
              <w:rPr>
                <w:sz w:val="14"/>
              </w:rPr>
              <w:t xml:space="preserve">4202013000002791, </w:t>
            </w:r>
          </w:p>
        </w:tc>
      </w:tr>
    </w:tbl>
    <w:p w14:paraId="38409072" w14:textId="77777777" w:rsidR="008469EA" w:rsidRDefault="008469EA"/>
  </w:footnote>
  <w:footnote w:id="4">
    <w:p w14:paraId="1FF24087" w14:textId="77777777" w:rsidR="00093283" w:rsidRDefault="008469EA">
      <w:pPr>
        <w:pStyle w:val="footnotedescription"/>
        <w:spacing w:after="150" w:line="245" w:lineRule="auto"/>
        <w:ind w:firstLine="709"/>
      </w:pPr>
      <w:r>
        <w:rPr>
          <w:rStyle w:val="footnotemark"/>
        </w:rPr>
        <w:footnoteRef/>
      </w:r>
      <w:r>
        <w:t xml:space="preserve"> </w:t>
      </w:r>
      <w:r>
        <w:t>Procuraduría General de la Nación. Concepto del 15 de octubre de 2014. Procuraduría  Delegada para Asuntos Disciplinarios. Radicado PAD C-114-2014.</w:t>
      </w:r>
    </w:p>
  </w:footnote>
  <w:footnote w:id="5">
    <w:p w14:paraId="2BA25017" w14:textId="77777777" w:rsidR="00093283" w:rsidRDefault="008469EA">
      <w:pPr>
        <w:pStyle w:val="footnotedescription"/>
        <w:spacing w:after="29"/>
        <w:ind w:left="708"/>
        <w:jc w:val="left"/>
      </w:pPr>
      <w:r>
        <w:rPr>
          <w:rStyle w:val="footnotemark"/>
        </w:rPr>
        <w:footnoteRef/>
      </w:r>
      <w:r>
        <w:t xml:space="preserve"> Contraloría General de la República. Oficina Jurídica. Concepto 80112-OJ-008 2017.</w:t>
      </w:r>
    </w:p>
  </w:footnote>
  <w:footnote w:id="6">
    <w:p w14:paraId="0CE73C0E" w14:textId="77777777" w:rsidR="00093283" w:rsidRDefault="008469EA">
      <w:pPr>
        <w:pStyle w:val="footnotedescription"/>
        <w:spacing w:line="246" w:lineRule="auto"/>
        <w:ind w:firstLine="708"/>
      </w:pPr>
      <w:r>
        <w:rPr>
          <w:rStyle w:val="footnotemark"/>
        </w:rPr>
        <w:footnoteRef/>
      </w:r>
      <w:r>
        <w:t xml:space="preserve"> ARBOLEDA PERDOMO, Enrique José. Comentarios al Nuevo Código de Procedimiento Administrativo y de lo Contencioso Administrativo (2ª ed.). Editorial Legis. Bogotá. 2012. p.59.</w:t>
      </w:r>
    </w:p>
  </w:footnote>
  <w:footnote w:id="7">
    <w:p w14:paraId="1DF79352" w14:textId="77777777" w:rsidR="00093283" w:rsidRDefault="008469EA">
      <w:pPr>
        <w:pStyle w:val="footnotedescription"/>
        <w:spacing w:line="242" w:lineRule="auto"/>
        <w:ind w:right="61" w:firstLine="709"/>
      </w:pPr>
      <w:r>
        <w:rPr>
          <w:rStyle w:val="footnotemark"/>
        </w:rPr>
        <w:footnoteRef/>
      </w:r>
      <w: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r>
        <w:rPr>
          <w:u w:val="single" w:color="000000"/>
        </w:rPr>
        <w:t>https://issuu.com/estudiolegalhernandez/docs/ahb._funci__n_consultiva_y_consejo_</w:t>
      </w:r>
      <w:r>
        <w:t>.</w:t>
      </w:r>
    </w:p>
  </w:footnote>
  <w:footnote w:id="8">
    <w:p w14:paraId="3DDB670A" w14:textId="77777777" w:rsidR="00093283" w:rsidRDefault="008469EA">
      <w:pPr>
        <w:pStyle w:val="footnotedescription"/>
        <w:spacing w:line="245" w:lineRule="auto"/>
        <w:ind w:firstLine="708"/>
      </w:pPr>
      <w:r>
        <w:rPr>
          <w:rStyle w:val="footnotemark"/>
        </w:rPr>
        <w:footnoteRef/>
      </w:r>
      <w:r>
        <w:t xml:space="preserve"> CONSEJO DE ESTADO. Sala de Consulta y Servicio Civil. Concepto del 5 de octubre de 2009. Expediente 11001-03-06-000- 2009-00049-00(1966). C.P. William Zambrano Cetina.</w:t>
      </w:r>
    </w:p>
  </w:footnote>
  <w:footnote w:id="9">
    <w:p w14:paraId="250CB198" w14:textId="77777777" w:rsidR="00093283" w:rsidRDefault="008469EA">
      <w:pPr>
        <w:pStyle w:val="footnotedescription"/>
        <w:spacing w:after="524"/>
        <w:ind w:left="708"/>
        <w:jc w:val="left"/>
      </w:pPr>
      <w:r>
        <w:rPr>
          <w:rStyle w:val="footnotemark"/>
        </w:rPr>
        <w:footnoteRef/>
      </w:r>
      <w:r>
        <w:t xml:space="preserve"> “Son también contratos de consultoría los que tienen por objeto la interventoría […]”.</w:t>
      </w:r>
    </w:p>
  </w:footnote>
  <w:footnote w:id="10">
    <w:p w14:paraId="7305C837" w14:textId="77777777" w:rsidR="00093283" w:rsidRDefault="008469EA">
      <w:pPr>
        <w:pStyle w:val="footnotedescription"/>
        <w:ind w:left="100"/>
        <w:jc w:val="center"/>
      </w:pPr>
      <w:r>
        <w:rPr>
          <w:rStyle w:val="footnotemark"/>
        </w:rPr>
        <w:footnoteRef/>
      </w:r>
      <w:r>
        <w:t xml:space="preserve"> Consejo de Estado. Sección Tercera. Sentencia del 28 de febrero de 2013. </w:t>
      </w:r>
      <w:proofErr w:type="spellStart"/>
      <w:r>
        <w:t>Exp</w:t>
      </w:r>
      <w:proofErr w:type="spellEnd"/>
      <w:r>
        <w:t xml:space="preserve">. 24.266 M.P. Danilo Rojas </w:t>
      </w:r>
      <w:proofErr w:type="spellStart"/>
      <w:r>
        <w:t>Betancourth</w:t>
      </w:r>
      <w:proofErr w:type="spellEnd"/>
      <w:r>
        <w:t>.</w:t>
      </w:r>
    </w:p>
  </w:footnote>
  <w:footnote w:id="11">
    <w:p w14:paraId="3FDEE86E" w14:textId="77777777" w:rsidR="00093283" w:rsidRDefault="008469EA">
      <w:pPr>
        <w:pStyle w:val="footnotedescription"/>
        <w:ind w:right="61"/>
        <w:jc w:val="right"/>
      </w:pPr>
      <w:r>
        <w:rPr>
          <w:rStyle w:val="footnotemark"/>
        </w:rPr>
        <w:footnoteRef/>
      </w:r>
      <w:r>
        <w:t xml:space="preserve"> Consejo de Estado, Sección Tercera. Sentencia del 8 de marzo de 1996, expediente  </w:t>
      </w:r>
      <w:proofErr w:type="spellStart"/>
      <w:r>
        <w:t>n.°</w:t>
      </w:r>
      <w:proofErr w:type="spellEnd"/>
      <w:r>
        <w:t xml:space="preserve"> 8070, C.P. Jesús María Carrillo:  “ el </w:t>
      </w:r>
    </w:p>
    <w:p w14:paraId="6587A6F0" w14:textId="77777777" w:rsidR="00093283" w:rsidRDefault="008469EA">
      <w:pPr>
        <w:pStyle w:val="footnotedescription"/>
        <w:spacing w:after="135" w:line="240" w:lineRule="auto"/>
        <w:ind w:right="61"/>
      </w:pPr>
      <w:r>
        <w:t xml:space="preserve">interventor carece de facultades para exigir del contratante un supuesto derecho a prórrogas, como queriendo hacer valer el </w:t>
      </w:r>
      <w:r>
        <w:t xml:space="preserve">contrato de interventoría como un contrato accesorio del contrato de obra, y con esa perspectiva alegar que por la sola naturaleza accesoria "debe" obtener la misma suerte que la del contrato principal ” . Consejo de Estado, Sala de lo Contencioso Administrativo, Sección Tercera, sentencia del 13 de septiembre de 1991, expediente  </w:t>
      </w:r>
      <w:proofErr w:type="spellStart"/>
      <w:r>
        <w:t>n°</w:t>
      </w:r>
      <w:proofErr w:type="spellEnd"/>
      <w:r>
        <w:t xml:space="preserve"> . 5127, C.P. Carlos Betancur:  “ Debe distinguirse entre el contrato de obra pública y el de interventoría, pues el incumplimiento del contratista de obra no puede imputarse al</w:t>
      </w:r>
      <w:r>
        <w:t xml:space="preserve"> del interventor como si éste fuera obligado a la ejecución de la obra”.  </w:t>
      </w:r>
    </w:p>
  </w:footnote>
  <w:footnote w:id="12">
    <w:p w14:paraId="201C435E" w14:textId="77777777" w:rsidR="00093283" w:rsidRDefault="008469EA">
      <w:pPr>
        <w:pStyle w:val="footnotedescription"/>
        <w:ind w:right="61"/>
        <w:jc w:val="right"/>
      </w:pPr>
      <w:r>
        <w:rPr>
          <w:rStyle w:val="footnotemark"/>
        </w:rPr>
        <w:footnoteRef/>
      </w:r>
      <w:r>
        <w:t xml:space="preserve"> SANCHEZ CALVO, John Gilberto. La liquidación. Análisis del contrato de interventoría desde la visión de la jurisprudencia </w:t>
      </w:r>
    </w:p>
    <w:p w14:paraId="7751427D" w14:textId="77777777" w:rsidR="00093283" w:rsidRDefault="008469EA">
      <w:pPr>
        <w:pStyle w:val="footnotedescription"/>
        <w:jc w:val="left"/>
      </w:pPr>
      <w:r>
        <w:t xml:space="preserve">colombiana. Disponible en el siguiente enlace: </w:t>
      </w:r>
      <w:hyperlink r:id="rId2">
        <w:r>
          <w:rPr>
            <w:u w:val="single" w:color="000000"/>
          </w:rPr>
          <w:t>https://revistas.usergioarboleda.edu.co/index.php/Cuadernos/article/download/1008/844/3102</w:t>
        </w:r>
      </w:hyperlink>
    </w:p>
  </w:footnote>
  <w:footnote w:id="13">
    <w:p w14:paraId="0370B158" w14:textId="77777777" w:rsidR="00093283" w:rsidRDefault="008469EA">
      <w:pPr>
        <w:pStyle w:val="footnotedescription"/>
        <w:spacing w:after="184"/>
        <w:ind w:left="708"/>
        <w:jc w:val="left"/>
      </w:pPr>
      <w:r>
        <w:rPr>
          <w:rStyle w:val="footnotemark"/>
        </w:rPr>
        <w:footnoteRef/>
      </w:r>
      <w:r>
        <w:t xml:space="preserve"> Diccionario de la Lengua Española.</w:t>
      </w:r>
    </w:p>
  </w:footnote>
  <w:footnote w:id="14">
    <w:p w14:paraId="1550413B" w14:textId="77777777" w:rsidR="00093283" w:rsidRDefault="008469EA">
      <w:pPr>
        <w:pStyle w:val="footnotedescription"/>
        <w:spacing w:after="176" w:line="241" w:lineRule="auto"/>
        <w:ind w:firstLine="708"/>
      </w:pPr>
      <w:r>
        <w:rPr>
          <w:rStyle w:val="footnotemark"/>
        </w:rPr>
        <w:footnoteRef/>
      </w:r>
      <w:r>
        <w:t xml:space="preserve"> Al respecto, la doctrina sostiene que  “ Los contratos instados por los entes, organismos y entidades del sector público […  ] tienen [ … ] un carácter oneroso. Efectivamente, el carácter sinalagmático del contrato comporta [ …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w:t>
      </w:r>
      <w:r>
        <w:t xml:space="preserve">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t>
      </w:r>
      <w:proofErr w:type="spellStart"/>
      <w:r>
        <w:t>Wolker</w:t>
      </w:r>
      <w:proofErr w:type="spellEnd"/>
      <w:r>
        <w:t xml:space="preserve">   </w:t>
      </w:r>
      <w:proofErr w:type="spellStart"/>
      <w:r>
        <w:t>Kluwer</w:t>
      </w:r>
      <w:proofErr w:type="spellEnd"/>
      <w:r>
        <w:t xml:space="preserve">, 2018. p. 268).     </w:t>
      </w:r>
    </w:p>
  </w:footnote>
  <w:footnote w:id="15">
    <w:p w14:paraId="42E33A1E" w14:textId="77777777" w:rsidR="00093283" w:rsidRDefault="008469EA">
      <w:pPr>
        <w:pStyle w:val="footnotedescription"/>
        <w:spacing w:line="245" w:lineRule="auto"/>
        <w:ind w:firstLine="708"/>
      </w:pPr>
      <w:r>
        <w:rPr>
          <w:rStyle w:val="footnotemark"/>
        </w:rPr>
        <w:footnoteRef/>
      </w:r>
      <w:r>
        <w:t xml:space="preserve"> MARÍN CORTÉS, Fabián G. El precio. Ed. Librería Jurídica Sánchez R. Ltda. y Centro de Estudios de Derecho Administrativo, Medellín, 2012, p. 60. </w:t>
      </w:r>
    </w:p>
  </w:footnote>
  <w:footnote w:id="16">
    <w:p w14:paraId="223967E4" w14:textId="77777777" w:rsidR="00093283" w:rsidRDefault="008469EA">
      <w:pPr>
        <w:pStyle w:val="footnotedescription"/>
        <w:jc w:val="right"/>
      </w:pPr>
      <w:r>
        <w:rPr>
          <w:rStyle w:val="footnotemark"/>
        </w:rPr>
        <w:footnoteRef/>
      </w:r>
      <w:r>
        <w:t xml:space="preserve"> El factor multiplicador se encontraba regulado en los artículos 33, 34 y 35 del Decreto 1522 de 1983,  “ Por </w:t>
      </w:r>
      <w:r>
        <w:t xml:space="preserve">el cual se dictan normas </w:t>
      </w:r>
    </w:p>
    <w:p w14:paraId="0F536B40" w14:textId="77777777" w:rsidR="00093283" w:rsidRDefault="008469EA">
      <w:pPr>
        <w:pStyle w:val="footnotedescription"/>
        <w:spacing w:line="243" w:lineRule="auto"/>
      </w:pPr>
      <w:r>
        <w:t xml:space="preserve">sobre registro de proponentes y concurso de méritos ” . No obstante, este reglamento fue posteriormente derogado por el Decreto 2326 de 1995, "Por el cual se reglamenta la Ley 80 de 1993 en cuanto a los Concursos para la selección de consultores de diseño, planos, anteproyectos y proyectos arquitectónicos, se hace una adición al Decreto 1584 de 1994 y se dictan otras disposiciones". </w:t>
      </w:r>
      <w:r>
        <w:rPr>
          <w:vertAlign w:val="superscript"/>
        </w:rPr>
        <w:t>19</w:t>
      </w:r>
      <w:r>
        <w:t xml:space="preserve"> MARÍN, </w:t>
      </w:r>
      <w:proofErr w:type="spellStart"/>
      <w:r>
        <w:t>Op</w:t>
      </w:r>
      <w:proofErr w:type="spellEnd"/>
      <w:r>
        <w:t>. Cit., pp. 64-65.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B41C" w14:textId="77777777" w:rsidR="00093283" w:rsidRDefault="008469EA">
    <w:pPr>
      <w:spacing w:after="5" w:line="259" w:lineRule="auto"/>
      <w:ind w:left="0" w:right="0" w:firstLine="0"/>
      <w:jc w:val="left"/>
    </w:pPr>
    <w:r>
      <w:rPr>
        <w:noProof/>
      </w:rPr>
      <w:drawing>
        <wp:anchor distT="0" distB="0" distL="114300" distR="114300" simplePos="0" relativeHeight="251658240" behindDoc="0" locked="0" layoutInCell="1" allowOverlap="0" wp14:anchorId="6C2D7F96" wp14:editId="28848C76">
          <wp:simplePos x="0" y="0"/>
          <wp:positionH relativeFrom="page">
            <wp:posOffset>4935220</wp:posOffset>
          </wp:positionH>
          <wp:positionV relativeFrom="page">
            <wp:posOffset>296285</wp:posOffset>
          </wp:positionV>
          <wp:extent cx="1757045" cy="6286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000D6529" wp14:editId="1CEE84A7">
              <wp:simplePos x="0" y="0"/>
              <wp:positionH relativeFrom="page">
                <wp:posOffset>1080135</wp:posOffset>
              </wp:positionH>
              <wp:positionV relativeFrom="page">
                <wp:posOffset>372745</wp:posOffset>
              </wp:positionV>
              <wp:extent cx="1399540" cy="485775"/>
              <wp:effectExtent l="0" t="0" r="0" b="0"/>
              <wp:wrapSquare wrapText="bothSides"/>
              <wp:docPr id="77998" name="Group 77998"/>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7999" name="Picture 77999"/>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8000" name="Picture 78000"/>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7998" style="width:110.2pt;height:38.25pt;position:absolute;mso-position-horizontal-relative:page;mso-position-horizontal:absolute;margin-left:85.05pt;mso-position-vertical-relative:page;margin-top:29.35pt;" coordsize="13995,4857">
              <v:shape id="Picture 77999" style="position:absolute;width:13995;height:4857;left:0;top:0;" filled="f">
                <v:imagedata r:id="rId32"/>
              </v:shape>
              <v:shape id="Picture 78000" style="position:absolute;width:13995;height:4857;left:0;top:0;" filled="f">
                <v:imagedata r:id="rId32"/>
              </v:shape>
              <w10:wrap type="square"/>
            </v:group>
          </w:pict>
        </mc:Fallback>
      </mc:AlternateContent>
    </w:r>
    <w:r>
      <w:rPr>
        <w:color w:val="002060"/>
        <w:sz w:val="16"/>
      </w:rPr>
      <w:t>FORMATO PQRSD</w:t>
    </w:r>
  </w:p>
  <w:p w14:paraId="6FB887C3" w14:textId="77777777" w:rsidR="00093283" w:rsidRDefault="008469EA">
    <w:pPr>
      <w:spacing w:after="5" w:line="259" w:lineRule="auto"/>
      <w:ind w:left="0" w:right="0" w:firstLine="0"/>
      <w:jc w:val="left"/>
    </w:pPr>
    <w:r>
      <w:rPr>
        <w:b/>
        <w:sz w:val="16"/>
      </w:rPr>
      <w:t xml:space="preserve">Código: </w:t>
    </w:r>
    <w:r>
      <w:rPr>
        <w:sz w:val="16"/>
      </w:rPr>
      <w:t>CCE-REC-FM-17</w:t>
    </w:r>
  </w:p>
  <w:p w14:paraId="153D2BC5" w14:textId="77777777" w:rsidR="00093283" w:rsidRDefault="008469EA">
    <w:pPr>
      <w:spacing w:after="0" w:line="259" w:lineRule="auto"/>
      <w:ind w:left="0" w:right="0" w:firstLine="0"/>
      <w:jc w:val="left"/>
    </w:pPr>
    <w:r>
      <w:rPr>
        <w:b/>
        <w:sz w:val="16"/>
      </w:rPr>
      <w:t xml:space="preserve">Versión: </w:t>
    </w:r>
    <w:r>
      <w:rPr>
        <w:sz w:val="16"/>
      </w:rPr>
      <w:t>02 DEL 31 DE AGOSTO DE 2023</w:t>
    </w:r>
  </w:p>
  <w:p w14:paraId="66C4D5A4" w14:textId="77777777" w:rsidR="00093283" w:rsidRDefault="008469EA">
    <w:r>
      <w:rPr>
        <w:rFonts w:ascii="Calibri" w:eastAsia="Calibri" w:hAnsi="Calibri" w:cs="Calibri"/>
        <w:noProof/>
      </w:rPr>
      <mc:AlternateContent>
        <mc:Choice Requires="wpg">
          <w:drawing>
            <wp:anchor distT="0" distB="0" distL="114300" distR="114300" simplePos="0" relativeHeight="251660288" behindDoc="1" locked="0" layoutInCell="1" allowOverlap="1" wp14:anchorId="0563BB56" wp14:editId="5E1689FD">
              <wp:simplePos x="0" y="0"/>
              <wp:positionH relativeFrom="page">
                <wp:posOffset>0</wp:posOffset>
              </wp:positionH>
              <wp:positionV relativeFrom="page">
                <wp:posOffset>0</wp:posOffset>
              </wp:positionV>
              <wp:extent cx="7772400" cy="10058399"/>
              <wp:effectExtent l="0" t="0" r="0" b="0"/>
              <wp:wrapNone/>
              <wp:docPr id="78025" name="Group 78025"/>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8026" name="Picture 78026"/>
                        <pic:cNvPicPr/>
                      </pic:nvPicPr>
                      <pic:blipFill>
                        <a:blip r:embed="rId33"/>
                        <a:stretch>
                          <a:fillRect/>
                        </a:stretch>
                      </pic:blipFill>
                      <pic:spPr>
                        <a:xfrm>
                          <a:off x="7333488" y="0"/>
                          <a:ext cx="438912" cy="2353056"/>
                        </a:xfrm>
                        <a:prstGeom prst="rect">
                          <a:avLst/>
                        </a:prstGeom>
                      </pic:spPr>
                    </pic:pic>
                    <pic:pic xmlns:pic="http://schemas.openxmlformats.org/drawingml/2006/picture">
                      <pic:nvPicPr>
                        <pic:cNvPr id="78029" name="Picture 78029"/>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028" name="Picture 78028"/>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027" name="Picture 78027"/>
                        <pic:cNvPicPr/>
                      </pic:nvPicPr>
                      <pic:blipFill>
                        <a:blip r:embed="rId3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8025" style="width:612pt;height:792pt;position:absolute;z-index:-2147483648;mso-position-horizontal-relative:page;mso-position-horizontal:absolute;margin-left:9.53674e-07pt;mso-position-vertical-relative:page;margin-top:0pt;" coordsize="77724,100583">
              <v:shape id="Picture 78026" style="position:absolute;width:4389;height:23530;left:73334;top:0;" filled="f">
                <v:imagedata r:id="rId35"/>
              </v:shape>
              <v:shape id="Picture 78029" style="position:absolute;width:4785;height:30998;left:0;top:69555;" filled="f">
                <v:imagedata r:id="rId36"/>
              </v:shape>
              <v:shape id="Picture 78028" style="position:absolute;width:4785;height:30998;left:0;top:69555;" filled="f">
                <v:imagedata r:id="rId36"/>
              </v:shape>
              <v:shape id="Picture 78027" style="position:absolute;width:4389;height:23530;left:73334;top:0;" filled="f">
                <v:imagedata r:id="rId35"/>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A1002" w14:textId="77777777" w:rsidR="00093283" w:rsidRDefault="008469EA">
    <w:pPr>
      <w:spacing w:after="5" w:line="259" w:lineRule="auto"/>
      <w:ind w:left="0" w:right="0" w:firstLine="0"/>
      <w:jc w:val="left"/>
    </w:pPr>
    <w:r>
      <w:rPr>
        <w:noProof/>
      </w:rPr>
      <w:drawing>
        <wp:anchor distT="0" distB="0" distL="114300" distR="114300" simplePos="0" relativeHeight="251661312" behindDoc="0" locked="0" layoutInCell="1" allowOverlap="0" wp14:anchorId="21B88E25" wp14:editId="4031F61C">
          <wp:simplePos x="0" y="0"/>
          <wp:positionH relativeFrom="page">
            <wp:posOffset>4935220</wp:posOffset>
          </wp:positionH>
          <wp:positionV relativeFrom="page">
            <wp:posOffset>296285</wp:posOffset>
          </wp:positionV>
          <wp:extent cx="1757045" cy="628650"/>
          <wp:effectExtent l="0" t="0" r="0" b="0"/>
          <wp:wrapSquare wrapText="bothSides"/>
          <wp:docPr id="1580759462"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2336" behindDoc="0" locked="0" layoutInCell="1" allowOverlap="1" wp14:anchorId="57BB73C0" wp14:editId="4D5475F3">
              <wp:simplePos x="0" y="0"/>
              <wp:positionH relativeFrom="page">
                <wp:posOffset>1080135</wp:posOffset>
              </wp:positionH>
              <wp:positionV relativeFrom="page">
                <wp:posOffset>372745</wp:posOffset>
              </wp:positionV>
              <wp:extent cx="1399540" cy="485775"/>
              <wp:effectExtent l="0" t="0" r="0" b="0"/>
              <wp:wrapSquare wrapText="bothSides"/>
              <wp:docPr id="77899" name="Group 77899"/>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7900" name="Picture 77900"/>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7901" name="Picture 77901"/>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7899" style="width:110.2pt;height:38.25pt;position:absolute;mso-position-horizontal-relative:page;mso-position-horizontal:absolute;margin-left:85.05pt;mso-position-vertical-relative:page;margin-top:29.35pt;" coordsize="13995,4857">
              <v:shape id="Picture 77900" style="position:absolute;width:13995;height:4857;left:0;top:0;" filled="f">
                <v:imagedata r:id="rId32"/>
              </v:shape>
              <v:shape id="Picture 77901" style="position:absolute;width:13995;height:4857;left:0;top:0;" filled="f">
                <v:imagedata r:id="rId32"/>
              </v:shape>
              <w10:wrap type="square"/>
            </v:group>
          </w:pict>
        </mc:Fallback>
      </mc:AlternateContent>
    </w:r>
    <w:r>
      <w:rPr>
        <w:color w:val="002060"/>
        <w:sz w:val="16"/>
      </w:rPr>
      <w:t>FORMATO PQRSD</w:t>
    </w:r>
  </w:p>
  <w:p w14:paraId="4C550553" w14:textId="77777777" w:rsidR="00093283" w:rsidRDefault="008469EA">
    <w:pPr>
      <w:spacing w:after="5" w:line="259" w:lineRule="auto"/>
      <w:ind w:left="0" w:right="0" w:firstLine="0"/>
      <w:jc w:val="left"/>
    </w:pPr>
    <w:r>
      <w:rPr>
        <w:b/>
        <w:sz w:val="16"/>
      </w:rPr>
      <w:t xml:space="preserve">Código: </w:t>
    </w:r>
    <w:r>
      <w:rPr>
        <w:sz w:val="16"/>
      </w:rPr>
      <w:t>CCE-REC-FM-17</w:t>
    </w:r>
  </w:p>
  <w:p w14:paraId="74BA30DE" w14:textId="77777777" w:rsidR="00093283" w:rsidRDefault="008469EA">
    <w:pPr>
      <w:spacing w:after="0" w:line="259" w:lineRule="auto"/>
      <w:ind w:left="0" w:right="0" w:firstLine="0"/>
      <w:jc w:val="left"/>
    </w:pPr>
    <w:r>
      <w:rPr>
        <w:b/>
        <w:sz w:val="16"/>
      </w:rPr>
      <w:t xml:space="preserve">Versión: </w:t>
    </w:r>
    <w:r>
      <w:rPr>
        <w:sz w:val="16"/>
      </w:rPr>
      <w:t xml:space="preserve">02 DEL 31 </w:t>
    </w:r>
    <w:r>
      <w:rPr>
        <w:sz w:val="16"/>
      </w:rPr>
      <w:t>DE AGOSTO DE 2023</w:t>
    </w:r>
  </w:p>
  <w:p w14:paraId="25F1AE2F" w14:textId="77777777" w:rsidR="00093283" w:rsidRDefault="008469EA">
    <w:r>
      <w:rPr>
        <w:rFonts w:ascii="Calibri" w:eastAsia="Calibri" w:hAnsi="Calibri" w:cs="Calibri"/>
        <w:noProof/>
      </w:rPr>
      <mc:AlternateContent>
        <mc:Choice Requires="wpg">
          <w:drawing>
            <wp:anchor distT="0" distB="0" distL="114300" distR="114300" simplePos="0" relativeHeight="251663360" behindDoc="1" locked="0" layoutInCell="1" allowOverlap="1" wp14:anchorId="3C3DC604" wp14:editId="28E26005">
              <wp:simplePos x="0" y="0"/>
              <wp:positionH relativeFrom="page">
                <wp:posOffset>0</wp:posOffset>
              </wp:positionH>
              <wp:positionV relativeFrom="page">
                <wp:posOffset>0</wp:posOffset>
              </wp:positionV>
              <wp:extent cx="7772400" cy="10058399"/>
              <wp:effectExtent l="0" t="0" r="0" b="0"/>
              <wp:wrapNone/>
              <wp:docPr id="77926" name="Group 77926"/>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7927" name="Picture 77927"/>
                        <pic:cNvPicPr/>
                      </pic:nvPicPr>
                      <pic:blipFill>
                        <a:blip r:embed="rId33"/>
                        <a:stretch>
                          <a:fillRect/>
                        </a:stretch>
                      </pic:blipFill>
                      <pic:spPr>
                        <a:xfrm>
                          <a:off x="7333488" y="0"/>
                          <a:ext cx="438912" cy="2353056"/>
                        </a:xfrm>
                        <a:prstGeom prst="rect">
                          <a:avLst/>
                        </a:prstGeom>
                      </pic:spPr>
                    </pic:pic>
                    <pic:pic xmlns:pic="http://schemas.openxmlformats.org/drawingml/2006/picture">
                      <pic:nvPicPr>
                        <pic:cNvPr id="77930" name="Picture 77930"/>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7929" name="Picture 77929"/>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7928" name="Picture 77928"/>
                        <pic:cNvPicPr/>
                      </pic:nvPicPr>
                      <pic:blipFill>
                        <a:blip r:embed="rId3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7926" style="width:612pt;height:792pt;position:absolute;z-index:-2147483648;mso-position-horizontal-relative:page;mso-position-horizontal:absolute;margin-left:9.53674e-07pt;mso-position-vertical-relative:page;margin-top:0pt;" coordsize="77724,100583">
              <v:shape id="Picture 77927" style="position:absolute;width:4389;height:23530;left:73334;top:0;" filled="f">
                <v:imagedata r:id="rId35"/>
              </v:shape>
              <v:shape id="Picture 77930" style="position:absolute;width:4785;height:30998;left:0;top:69555;" filled="f">
                <v:imagedata r:id="rId36"/>
              </v:shape>
              <v:shape id="Picture 77929" style="position:absolute;width:4785;height:30998;left:0;top:69555;" filled="f">
                <v:imagedata r:id="rId36"/>
              </v:shape>
              <v:shape id="Picture 77928" style="position:absolute;width:4389;height:23530;left:73334;top:0;" filled="f">
                <v:imagedata r:id="rId3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08B20" w14:textId="77777777" w:rsidR="00093283" w:rsidRDefault="008469EA">
    <w:pPr>
      <w:spacing w:after="5" w:line="259" w:lineRule="auto"/>
      <w:ind w:left="0" w:right="0" w:firstLine="0"/>
      <w:jc w:val="left"/>
    </w:pPr>
    <w:r>
      <w:rPr>
        <w:noProof/>
      </w:rPr>
      <w:drawing>
        <wp:anchor distT="0" distB="0" distL="114300" distR="114300" simplePos="0" relativeHeight="251664384" behindDoc="0" locked="0" layoutInCell="1" allowOverlap="0" wp14:anchorId="5392AA2D" wp14:editId="3C9775C3">
          <wp:simplePos x="0" y="0"/>
          <wp:positionH relativeFrom="page">
            <wp:posOffset>4935220</wp:posOffset>
          </wp:positionH>
          <wp:positionV relativeFrom="page">
            <wp:posOffset>296285</wp:posOffset>
          </wp:positionV>
          <wp:extent cx="1757045" cy="628650"/>
          <wp:effectExtent l="0" t="0" r="0" b="0"/>
          <wp:wrapSquare wrapText="bothSides"/>
          <wp:docPr id="1420927069"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198D8585" wp14:editId="65480453">
              <wp:simplePos x="0" y="0"/>
              <wp:positionH relativeFrom="page">
                <wp:posOffset>1080135</wp:posOffset>
              </wp:positionH>
              <wp:positionV relativeFrom="page">
                <wp:posOffset>372745</wp:posOffset>
              </wp:positionV>
              <wp:extent cx="1399540" cy="485775"/>
              <wp:effectExtent l="0" t="0" r="0" b="0"/>
              <wp:wrapSquare wrapText="bothSides"/>
              <wp:docPr id="77800" name="Group 77800"/>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7801" name="Picture 77801"/>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7802" name="Picture 77802"/>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7800" style="width:110.2pt;height:38.25pt;position:absolute;mso-position-horizontal-relative:page;mso-position-horizontal:absolute;margin-left:85.05pt;mso-position-vertical-relative:page;margin-top:29.35pt;" coordsize="13995,4857">
              <v:shape id="Picture 77801" style="position:absolute;width:13995;height:4857;left:0;top:0;" filled="f">
                <v:imagedata r:id="rId32"/>
              </v:shape>
              <v:shape id="Picture 77802" style="position:absolute;width:13995;height:4857;left:0;top:0;" filled="f">
                <v:imagedata r:id="rId32"/>
              </v:shape>
              <w10:wrap type="square"/>
            </v:group>
          </w:pict>
        </mc:Fallback>
      </mc:AlternateContent>
    </w:r>
    <w:r>
      <w:rPr>
        <w:color w:val="002060"/>
        <w:sz w:val="16"/>
      </w:rPr>
      <w:t>FORMATO PQRSD</w:t>
    </w:r>
  </w:p>
  <w:p w14:paraId="56360EA9" w14:textId="77777777" w:rsidR="00093283" w:rsidRDefault="008469EA">
    <w:pPr>
      <w:spacing w:after="5" w:line="259" w:lineRule="auto"/>
      <w:ind w:left="0" w:right="0" w:firstLine="0"/>
      <w:jc w:val="left"/>
    </w:pPr>
    <w:r>
      <w:rPr>
        <w:b/>
        <w:sz w:val="16"/>
      </w:rPr>
      <w:t xml:space="preserve">Código: </w:t>
    </w:r>
    <w:r>
      <w:rPr>
        <w:sz w:val="16"/>
      </w:rPr>
      <w:t>CCE-REC-FM-17</w:t>
    </w:r>
  </w:p>
  <w:p w14:paraId="72DD4089" w14:textId="77777777" w:rsidR="00093283" w:rsidRDefault="008469EA">
    <w:pPr>
      <w:spacing w:after="0" w:line="259" w:lineRule="auto"/>
      <w:ind w:left="0" w:right="0" w:firstLine="0"/>
      <w:jc w:val="left"/>
    </w:pPr>
    <w:r>
      <w:rPr>
        <w:b/>
        <w:sz w:val="16"/>
      </w:rPr>
      <w:t xml:space="preserve">Versión: </w:t>
    </w:r>
    <w:r>
      <w:rPr>
        <w:sz w:val="16"/>
      </w:rPr>
      <w:t>02 DEL 31 DE AGOSTO DE 2023</w:t>
    </w:r>
  </w:p>
  <w:p w14:paraId="2D01AB20" w14:textId="77777777" w:rsidR="00093283" w:rsidRDefault="008469EA">
    <w:r>
      <w:rPr>
        <w:rFonts w:ascii="Calibri" w:eastAsia="Calibri" w:hAnsi="Calibri" w:cs="Calibri"/>
        <w:noProof/>
      </w:rPr>
      <mc:AlternateContent>
        <mc:Choice Requires="wpg">
          <w:drawing>
            <wp:anchor distT="0" distB="0" distL="114300" distR="114300" simplePos="0" relativeHeight="251666432" behindDoc="1" locked="0" layoutInCell="1" allowOverlap="1" wp14:anchorId="16DAC929" wp14:editId="6263D7AD">
              <wp:simplePos x="0" y="0"/>
              <wp:positionH relativeFrom="page">
                <wp:posOffset>0</wp:posOffset>
              </wp:positionH>
              <wp:positionV relativeFrom="page">
                <wp:posOffset>0</wp:posOffset>
              </wp:positionV>
              <wp:extent cx="7772400" cy="10058399"/>
              <wp:effectExtent l="0" t="0" r="0" b="0"/>
              <wp:wrapNone/>
              <wp:docPr id="77827" name="Group 77827"/>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7828" name="Picture 77828"/>
                        <pic:cNvPicPr/>
                      </pic:nvPicPr>
                      <pic:blipFill>
                        <a:blip r:embed="rId33"/>
                        <a:stretch>
                          <a:fillRect/>
                        </a:stretch>
                      </pic:blipFill>
                      <pic:spPr>
                        <a:xfrm>
                          <a:off x="7333488" y="0"/>
                          <a:ext cx="438912" cy="2353056"/>
                        </a:xfrm>
                        <a:prstGeom prst="rect">
                          <a:avLst/>
                        </a:prstGeom>
                      </pic:spPr>
                    </pic:pic>
                    <pic:pic xmlns:pic="http://schemas.openxmlformats.org/drawingml/2006/picture">
                      <pic:nvPicPr>
                        <pic:cNvPr id="77831" name="Picture 77831"/>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7830" name="Picture 77830"/>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7829" name="Picture 77829"/>
                        <pic:cNvPicPr/>
                      </pic:nvPicPr>
                      <pic:blipFill>
                        <a:blip r:embed="rId3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7827" style="width:612pt;height:792pt;position:absolute;z-index:-2147483648;mso-position-horizontal-relative:page;mso-position-horizontal:absolute;margin-left:9.53674e-07pt;mso-position-vertical-relative:page;margin-top:0pt;" coordsize="77724,100583">
              <v:shape id="Picture 77828" style="position:absolute;width:4389;height:23530;left:73334;top:0;" filled="f">
                <v:imagedata r:id="rId35"/>
              </v:shape>
              <v:shape id="Picture 77831" style="position:absolute;width:4785;height:30998;left:0;top:69555;" filled="f">
                <v:imagedata r:id="rId36"/>
              </v:shape>
              <v:shape id="Picture 77830" style="position:absolute;width:4785;height:30998;left:0;top:69555;" filled="f">
                <v:imagedata r:id="rId36"/>
              </v:shape>
              <v:shape id="Picture 77829" style="position:absolute;width:4389;height:23530;left:73334;top:0;" filled="f">
                <v:imagedata r:id="rId35"/>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BA93F" w14:textId="77777777" w:rsidR="00093283" w:rsidRDefault="008469EA">
    <w:pPr>
      <w:spacing w:after="5" w:line="259" w:lineRule="auto"/>
      <w:ind w:left="0" w:right="0" w:firstLine="0"/>
      <w:jc w:val="left"/>
    </w:pPr>
    <w:r>
      <w:rPr>
        <w:noProof/>
      </w:rPr>
      <w:drawing>
        <wp:anchor distT="0" distB="0" distL="114300" distR="114300" simplePos="0" relativeHeight="251670528" behindDoc="0" locked="0" layoutInCell="1" allowOverlap="0" wp14:anchorId="35B7F70C" wp14:editId="6D8D5236">
          <wp:simplePos x="0" y="0"/>
          <wp:positionH relativeFrom="page">
            <wp:posOffset>4935220</wp:posOffset>
          </wp:positionH>
          <wp:positionV relativeFrom="page">
            <wp:posOffset>296285</wp:posOffset>
          </wp:positionV>
          <wp:extent cx="1757045" cy="628650"/>
          <wp:effectExtent l="0" t="0" r="0" b="0"/>
          <wp:wrapSquare wrapText="bothSides"/>
          <wp:docPr id="13117" name="Picture 13117"/>
          <wp:cNvGraphicFramePr/>
          <a:graphic xmlns:a="http://schemas.openxmlformats.org/drawingml/2006/main">
            <a:graphicData uri="http://schemas.openxmlformats.org/drawingml/2006/picture">
              <pic:pic xmlns:pic="http://schemas.openxmlformats.org/drawingml/2006/picture">
                <pic:nvPicPr>
                  <pic:cNvPr id="13117" name="Picture 13117"/>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1552" behindDoc="0" locked="0" layoutInCell="1" allowOverlap="1" wp14:anchorId="6197CD10" wp14:editId="17A2CAF0">
              <wp:simplePos x="0" y="0"/>
              <wp:positionH relativeFrom="page">
                <wp:posOffset>1080135</wp:posOffset>
              </wp:positionH>
              <wp:positionV relativeFrom="page">
                <wp:posOffset>372745</wp:posOffset>
              </wp:positionV>
              <wp:extent cx="1399540" cy="485775"/>
              <wp:effectExtent l="0" t="0" r="0" b="0"/>
              <wp:wrapSquare wrapText="bothSides"/>
              <wp:docPr id="78306" name="Group 78306"/>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8307" name="Picture 78307"/>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8308" name="Picture 78308"/>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8306" style="width:110.2pt;height:38.25pt;position:absolute;mso-position-horizontal-relative:page;mso-position-horizontal:absolute;margin-left:85.05pt;mso-position-vertical-relative:page;margin-top:29.35pt;" coordsize="13995,4857">
              <v:shape id="Picture 78307" style="position:absolute;width:13995;height:4857;left:0;top:0;" filled="f">
                <v:imagedata r:id="rId32"/>
              </v:shape>
              <v:shape id="Picture 78308" style="position:absolute;width:13995;height:4857;left:0;top:0;" filled="f">
                <v:imagedata r:id="rId32"/>
              </v:shape>
              <w10:wrap type="square"/>
            </v:group>
          </w:pict>
        </mc:Fallback>
      </mc:AlternateContent>
    </w:r>
    <w:r>
      <w:rPr>
        <w:color w:val="002060"/>
        <w:sz w:val="16"/>
      </w:rPr>
      <w:t>FORMATO PQRSD</w:t>
    </w:r>
  </w:p>
  <w:p w14:paraId="14E8CEC0" w14:textId="77777777" w:rsidR="00093283" w:rsidRDefault="008469EA">
    <w:pPr>
      <w:spacing w:after="5" w:line="259" w:lineRule="auto"/>
      <w:ind w:left="0" w:right="0" w:firstLine="0"/>
      <w:jc w:val="left"/>
    </w:pPr>
    <w:r>
      <w:rPr>
        <w:b/>
        <w:sz w:val="16"/>
      </w:rPr>
      <w:t xml:space="preserve">Código: </w:t>
    </w:r>
    <w:r>
      <w:rPr>
        <w:sz w:val="16"/>
      </w:rPr>
      <w:t>CCE-REC-FM-17</w:t>
    </w:r>
  </w:p>
  <w:p w14:paraId="42504EC7" w14:textId="77777777" w:rsidR="00093283" w:rsidRDefault="008469EA">
    <w:pPr>
      <w:spacing w:after="208" w:line="259" w:lineRule="auto"/>
      <w:ind w:left="0" w:right="0" w:firstLine="0"/>
      <w:jc w:val="left"/>
    </w:pPr>
    <w:r>
      <w:rPr>
        <w:b/>
        <w:sz w:val="16"/>
      </w:rPr>
      <w:t xml:space="preserve">Versión: </w:t>
    </w:r>
    <w:r>
      <w:rPr>
        <w:sz w:val="16"/>
      </w:rPr>
      <w:t>02 DEL 31 DE AGOSTO DE 2023</w:t>
    </w:r>
  </w:p>
  <w:p w14:paraId="1DEAF685" w14:textId="77777777" w:rsidR="00093283" w:rsidRDefault="008469EA">
    <w:pPr>
      <w:spacing w:after="0" w:line="259" w:lineRule="auto"/>
      <w:ind w:left="4878" w:right="-61" w:firstLine="0"/>
      <w:jc w:val="left"/>
    </w:pPr>
    <w:r>
      <w:t xml:space="preserve"> </w:t>
    </w:r>
    <w:r>
      <w:tab/>
      <w:t xml:space="preserve"> </w:t>
    </w:r>
    <w:r>
      <w:tab/>
      <w:t xml:space="preserve"> </w:t>
    </w:r>
  </w:p>
  <w:p w14:paraId="5A001811" w14:textId="77777777" w:rsidR="00093283" w:rsidRDefault="008469EA">
    <w:r>
      <w:rPr>
        <w:rFonts w:ascii="Calibri" w:eastAsia="Calibri" w:hAnsi="Calibri" w:cs="Calibri"/>
        <w:noProof/>
      </w:rPr>
      <mc:AlternateContent>
        <mc:Choice Requires="wpg">
          <w:drawing>
            <wp:anchor distT="0" distB="0" distL="114300" distR="114300" simplePos="0" relativeHeight="251672576" behindDoc="1" locked="0" layoutInCell="1" allowOverlap="1" wp14:anchorId="5B5010C8" wp14:editId="29A0C052">
              <wp:simplePos x="0" y="0"/>
              <wp:positionH relativeFrom="page">
                <wp:posOffset>0</wp:posOffset>
              </wp:positionH>
              <wp:positionV relativeFrom="page">
                <wp:posOffset>0</wp:posOffset>
              </wp:positionV>
              <wp:extent cx="7772400" cy="10058399"/>
              <wp:effectExtent l="0" t="0" r="0" b="0"/>
              <wp:wrapNone/>
              <wp:docPr id="78340" name="Group 78340"/>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8341" name="Picture 78341"/>
                        <pic:cNvPicPr/>
                      </pic:nvPicPr>
                      <pic:blipFill>
                        <a:blip r:embed="rId33"/>
                        <a:stretch>
                          <a:fillRect/>
                        </a:stretch>
                      </pic:blipFill>
                      <pic:spPr>
                        <a:xfrm>
                          <a:off x="7333488" y="0"/>
                          <a:ext cx="438912" cy="2353056"/>
                        </a:xfrm>
                        <a:prstGeom prst="rect">
                          <a:avLst/>
                        </a:prstGeom>
                      </pic:spPr>
                    </pic:pic>
                    <pic:pic xmlns:pic="http://schemas.openxmlformats.org/drawingml/2006/picture">
                      <pic:nvPicPr>
                        <pic:cNvPr id="78344" name="Picture 78344"/>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343" name="Picture 78343"/>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342" name="Picture 78342"/>
                        <pic:cNvPicPr/>
                      </pic:nvPicPr>
                      <pic:blipFill>
                        <a:blip r:embed="rId3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8340" style="width:612pt;height:792pt;position:absolute;z-index:-2147483648;mso-position-horizontal-relative:page;mso-position-horizontal:absolute;margin-left:9.53674e-07pt;mso-position-vertical-relative:page;margin-top:0pt;" coordsize="77724,100583">
              <v:shape id="Picture 78341" style="position:absolute;width:4389;height:23530;left:73334;top:0;" filled="f">
                <v:imagedata r:id="rId35"/>
              </v:shape>
              <v:shape id="Picture 78344" style="position:absolute;width:4785;height:30998;left:0;top:69555;" filled="f">
                <v:imagedata r:id="rId36"/>
              </v:shape>
              <v:shape id="Picture 78343" style="position:absolute;width:4785;height:30998;left:0;top:69555;" filled="f">
                <v:imagedata r:id="rId36"/>
              </v:shape>
              <v:shape id="Picture 78342" style="position:absolute;width:4389;height:23530;left:73334;top:0;" filled="f">
                <v:imagedata r:id="rId35"/>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46D5" w14:textId="77777777" w:rsidR="00093283" w:rsidRDefault="008469EA">
    <w:pPr>
      <w:spacing w:after="5" w:line="259" w:lineRule="auto"/>
      <w:ind w:left="0" w:right="0" w:firstLine="0"/>
      <w:jc w:val="left"/>
    </w:pPr>
    <w:r>
      <w:rPr>
        <w:noProof/>
      </w:rPr>
      <w:drawing>
        <wp:anchor distT="0" distB="0" distL="114300" distR="114300" simplePos="0" relativeHeight="251673600" behindDoc="0" locked="0" layoutInCell="1" allowOverlap="0" wp14:anchorId="16FEC057" wp14:editId="46258613">
          <wp:simplePos x="0" y="0"/>
          <wp:positionH relativeFrom="page">
            <wp:posOffset>4935220</wp:posOffset>
          </wp:positionH>
          <wp:positionV relativeFrom="page">
            <wp:posOffset>296285</wp:posOffset>
          </wp:positionV>
          <wp:extent cx="1757045" cy="628650"/>
          <wp:effectExtent l="0" t="0" r="0" b="0"/>
          <wp:wrapSquare wrapText="bothSides"/>
          <wp:docPr id="11794" name="Picture 11794"/>
          <wp:cNvGraphicFramePr/>
          <a:graphic xmlns:a="http://schemas.openxmlformats.org/drawingml/2006/main">
            <a:graphicData uri="http://schemas.openxmlformats.org/drawingml/2006/picture">
              <pic:pic xmlns:pic="http://schemas.openxmlformats.org/drawingml/2006/picture">
                <pic:nvPicPr>
                  <pic:cNvPr id="11794" name="Picture 11794"/>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4624" behindDoc="0" locked="0" layoutInCell="1" allowOverlap="1" wp14:anchorId="289550C9" wp14:editId="0348E63F">
              <wp:simplePos x="0" y="0"/>
              <wp:positionH relativeFrom="page">
                <wp:posOffset>1080135</wp:posOffset>
              </wp:positionH>
              <wp:positionV relativeFrom="page">
                <wp:posOffset>372745</wp:posOffset>
              </wp:positionV>
              <wp:extent cx="1399540" cy="485775"/>
              <wp:effectExtent l="0" t="0" r="0" b="0"/>
              <wp:wrapSquare wrapText="bothSides"/>
              <wp:docPr id="78202" name="Group 78202"/>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8203" name="Picture 78203"/>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8204" name="Picture 78204"/>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8202" style="width:110.2pt;height:38.25pt;position:absolute;mso-position-horizontal-relative:page;mso-position-horizontal:absolute;margin-left:85.05pt;mso-position-vertical-relative:page;margin-top:29.35pt;" coordsize="13995,4857">
              <v:shape id="Picture 78203" style="position:absolute;width:13995;height:4857;left:0;top:0;" filled="f">
                <v:imagedata r:id="rId32"/>
              </v:shape>
              <v:shape id="Picture 78204" style="position:absolute;width:13995;height:4857;left:0;top:0;" filled="f">
                <v:imagedata r:id="rId32"/>
              </v:shape>
              <w10:wrap type="square"/>
            </v:group>
          </w:pict>
        </mc:Fallback>
      </mc:AlternateContent>
    </w:r>
    <w:r>
      <w:rPr>
        <w:color w:val="002060"/>
        <w:sz w:val="16"/>
      </w:rPr>
      <w:t>FORMATO PQRSD</w:t>
    </w:r>
  </w:p>
  <w:p w14:paraId="1CEA5444" w14:textId="77777777" w:rsidR="00093283" w:rsidRDefault="008469EA">
    <w:pPr>
      <w:spacing w:after="5" w:line="259" w:lineRule="auto"/>
      <w:ind w:left="0" w:right="0" w:firstLine="0"/>
      <w:jc w:val="left"/>
    </w:pPr>
    <w:r>
      <w:rPr>
        <w:b/>
        <w:sz w:val="16"/>
      </w:rPr>
      <w:t xml:space="preserve">Código: </w:t>
    </w:r>
    <w:r>
      <w:rPr>
        <w:sz w:val="16"/>
      </w:rPr>
      <w:t>CCE-REC-FM-17</w:t>
    </w:r>
  </w:p>
  <w:p w14:paraId="64AF63FB" w14:textId="77777777" w:rsidR="00093283" w:rsidRDefault="008469EA">
    <w:pPr>
      <w:spacing w:after="208" w:line="259" w:lineRule="auto"/>
      <w:ind w:left="0" w:right="0" w:firstLine="0"/>
      <w:jc w:val="left"/>
    </w:pPr>
    <w:r>
      <w:rPr>
        <w:b/>
        <w:sz w:val="16"/>
      </w:rPr>
      <w:t xml:space="preserve">Versión: </w:t>
    </w:r>
    <w:r>
      <w:rPr>
        <w:sz w:val="16"/>
      </w:rPr>
      <w:t>02 DEL 31 DE AGOSTO DE 2023</w:t>
    </w:r>
  </w:p>
  <w:p w14:paraId="379B85A0" w14:textId="77777777" w:rsidR="00093283" w:rsidRDefault="008469EA">
    <w:pPr>
      <w:spacing w:after="0" w:line="259" w:lineRule="auto"/>
      <w:ind w:left="0" w:right="-61" w:firstLine="0"/>
      <w:jc w:val="right"/>
    </w:pPr>
    <w:r>
      <w:t xml:space="preserve"> </w:t>
    </w:r>
    <w:r>
      <w:tab/>
      <w:t xml:space="preserve"> </w:t>
    </w:r>
  </w:p>
  <w:p w14:paraId="6462251D" w14:textId="77777777" w:rsidR="00093283" w:rsidRDefault="008469EA">
    <w:r>
      <w:rPr>
        <w:rFonts w:ascii="Calibri" w:eastAsia="Calibri" w:hAnsi="Calibri" w:cs="Calibri"/>
        <w:noProof/>
      </w:rPr>
      <mc:AlternateContent>
        <mc:Choice Requires="wpg">
          <w:drawing>
            <wp:anchor distT="0" distB="0" distL="114300" distR="114300" simplePos="0" relativeHeight="251675648" behindDoc="1" locked="0" layoutInCell="1" allowOverlap="1" wp14:anchorId="1EB5AD58" wp14:editId="3AC7D420">
              <wp:simplePos x="0" y="0"/>
              <wp:positionH relativeFrom="page">
                <wp:posOffset>0</wp:posOffset>
              </wp:positionH>
              <wp:positionV relativeFrom="page">
                <wp:posOffset>0</wp:posOffset>
              </wp:positionV>
              <wp:extent cx="7772400" cy="10058399"/>
              <wp:effectExtent l="0" t="0" r="0" b="0"/>
              <wp:wrapNone/>
              <wp:docPr id="78234" name="Group 78234"/>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8235" name="Picture 78235"/>
                        <pic:cNvPicPr/>
                      </pic:nvPicPr>
                      <pic:blipFill>
                        <a:blip r:embed="rId33"/>
                        <a:stretch>
                          <a:fillRect/>
                        </a:stretch>
                      </pic:blipFill>
                      <pic:spPr>
                        <a:xfrm>
                          <a:off x="7333488" y="0"/>
                          <a:ext cx="438912" cy="2353056"/>
                        </a:xfrm>
                        <a:prstGeom prst="rect">
                          <a:avLst/>
                        </a:prstGeom>
                      </pic:spPr>
                    </pic:pic>
                    <pic:pic xmlns:pic="http://schemas.openxmlformats.org/drawingml/2006/picture">
                      <pic:nvPicPr>
                        <pic:cNvPr id="78238" name="Picture 78238"/>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237" name="Picture 78237"/>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236" name="Picture 78236"/>
                        <pic:cNvPicPr/>
                      </pic:nvPicPr>
                      <pic:blipFill>
                        <a:blip r:embed="rId3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8234" style="width:612pt;height:792pt;position:absolute;z-index:-2147483648;mso-position-horizontal-relative:page;mso-position-horizontal:absolute;margin-left:9.53674e-07pt;mso-position-vertical-relative:page;margin-top:0pt;" coordsize="77724,100583">
              <v:shape id="Picture 78235" style="position:absolute;width:4389;height:23530;left:73334;top:0;" filled="f">
                <v:imagedata r:id="rId35"/>
              </v:shape>
              <v:shape id="Picture 78238" style="position:absolute;width:4785;height:30998;left:0;top:69555;" filled="f">
                <v:imagedata r:id="rId36"/>
              </v:shape>
              <v:shape id="Picture 78237" style="position:absolute;width:4785;height:30998;left:0;top:69555;" filled="f">
                <v:imagedata r:id="rId36"/>
              </v:shape>
              <v:shape id="Picture 78236" style="position:absolute;width:4389;height:23530;left:73334;top:0;" filled="f">
                <v:imagedata r:id="rId35"/>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C8AC" w14:textId="77777777" w:rsidR="00093283" w:rsidRDefault="008469EA">
    <w:pPr>
      <w:spacing w:after="5" w:line="259" w:lineRule="auto"/>
      <w:ind w:left="0" w:right="0" w:firstLine="0"/>
      <w:jc w:val="left"/>
    </w:pPr>
    <w:r>
      <w:rPr>
        <w:noProof/>
      </w:rPr>
      <w:drawing>
        <wp:anchor distT="0" distB="0" distL="114300" distR="114300" simplePos="0" relativeHeight="251676672" behindDoc="0" locked="0" layoutInCell="1" allowOverlap="0" wp14:anchorId="4F41FF43" wp14:editId="31EA9378">
          <wp:simplePos x="0" y="0"/>
          <wp:positionH relativeFrom="page">
            <wp:posOffset>4935220</wp:posOffset>
          </wp:positionH>
          <wp:positionV relativeFrom="page">
            <wp:posOffset>296285</wp:posOffset>
          </wp:positionV>
          <wp:extent cx="1757045" cy="628650"/>
          <wp:effectExtent l="0" t="0" r="0" b="0"/>
          <wp:wrapSquare wrapText="bothSides"/>
          <wp:docPr id="10525" name="Picture 10525"/>
          <wp:cNvGraphicFramePr/>
          <a:graphic xmlns:a="http://schemas.openxmlformats.org/drawingml/2006/main">
            <a:graphicData uri="http://schemas.openxmlformats.org/drawingml/2006/picture">
              <pic:pic xmlns:pic="http://schemas.openxmlformats.org/drawingml/2006/picture">
                <pic:nvPicPr>
                  <pic:cNvPr id="10525" name="Picture 10525"/>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7696" behindDoc="0" locked="0" layoutInCell="1" allowOverlap="1" wp14:anchorId="0F282C2D" wp14:editId="13337C10">
              <wp:simplePos x="0" y="0"/>
              <wp:positionH relativeFrom="page">
                <wp:posOffset>1080135</wp:posOffset>
              </wp:positionH>
              <wp:positionV relativeFrom="page">
                <wp:posOffset>372745</wp:posOffset>
              </wp:positionV>
              <wp:extent cx="1399540" cy="485775"/>
              <wp:effectExtent l="0" t="0" r="0" b="0"/>
              <wp:wrapSquare wrapText="bothSides"/>
              <wp:docPr id="78098" name="Group 78098"/>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8099" name="Picture 78099"/>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8100" name="Picture 78100"/>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8098" style="width:110.2pt;height:38.25pt;position:absolute;mso-position-horizontal-relative:page;mso-position-horizontal:absolute;margin-left:85.05pt;mso-position-vertical-relative:page;margin-top:29.35pt;" coordsize="13995,4857">
              <v:shape id="Picture 78099" style="position:absolute;width:13995;height:4857;left:0;top:0;" filled="f">
                <v:imagedata r:id="rId32"/>
              </v:shape>
              <v:shape id="Picture 78100" style="position:absolute;width:13995;height:4857;left:0;top:0;" filled="f">
                <v:imagedata r:id="rId32"/>
              </v:shape>
              <w10:wrap type="square"/>
            </v:group>
          </w:pict>
        </mc:Fallback>
      </mc:AlternateContent>
    </w:r>
    <w:r>
      <w:rPr>
        <w:color w:val="002060"/>
        <w:sz w:val="16"/>
      </w:rPr>
      <w:t>FORMATO PQRSD</w:t>
    </w:r>
  </w:p>
  <w:p w14:paraId="599E4DA4" w14:textId="77777777" w:rsidR="00093283" w:rsidRDefault="008469EA">
    <w:pPr>
      <w:spacing w:after="5" w:line="259" w:lineRule="auto"/>
      <w:ind w:left="0" w:right="0" w:firstLine="0"/>
      <w:jc w:val="left"/>
    </w:pPr>
    <w:r>
      <w:rPr>
        <w:b/>
        <w:sz w:val="16"/>
      </w:rPr>
      <w:t xml:space="preserve">Código: </w:t>
    </w:r>
    <w:r>
      <w:rPr>
        <w:sz w:val="16"/>
      </w:rPr>
      <w:t>CCE-REC-FM-17</w:t>
    </w:r>
  </w:p>
  <w:p w14:paraId="291580A5" w14:textId="77777777" w:rsidR="00093283" w:rsidRDefault="008469EA">
    <w:pPr>
      <w:spacing w:after="208" w:line="259" w:lineRule="auto"/>
      <w:ind w:left="0" w:right="0" w:firstLine="0"/>
      <w:jc w:val="left"/>
    </w:pPr>
    <w:r>
      <w:rPr>
        <w:b/>
        <w:sz w:val="16"/>
      </w:rPr>
      <w:t xml:space="preserve">Versión: </w:t>
    </w:r>
    <w:r>
      <w:rPr>
        <w:sz w:val="16"/>
      </w:rPr>
      <w:t>02 DEL 31 DE AGOSTO DE 2023</w:t>
    </w:r>
  </w:p>
  <w:p w14:paraId="38F4FB48" w14:textId="77777777" w:rsidR="00093283" w:rsidRDefault="008469EA">
    <w:pPr>
      <w:spacing w:after="0" w:line="259" w:lineRule="auto"/>
      <w:ind w:left="6259" w:right="-61" w:firstLine="0"/>
      <w:jc w:val="left"/>
    </w:pPr>
    <w:r>
      <w:t xml:space="preserve"> </w:t>
    </w:r>
    <w:r>
      <w:tab/>
      <w:t xml:space="preserve"> </w:t>
    </w:r>
  </w:p>
  <w:p w14:paraId="2958BB9F" w14:textId="77777777" w:rsidR="00093283" w:rsidRDefault="008469EA">
    <w:r>
      <w:rPr>
        <w:rFonts w:ascii="Calibri" w:eastAsia="Calibri" w:hAnsi="Calibri" w:cs="Calibri"/>
        <w:noProof/>
      </w:rPr>
      <mc:AlternateContent>
        <mc:Choice Requires="wpg">
          <w:drawing>
            <wp:anchor distT="0" distB="0" distL="114300" distR="114300" simplePos="0" relativeHeight="251678720" behindDoc="1" locked="0" layoutInCell="1" allowOverlap="1" wp14:anchorId="392B30C1" wp14:editId="48FA25C4">
              <wp:simplePos x="0" y="0"/>
              <wp:positionH relativeFrom="page">
                <wp:posOffset>0</wp:posOffset>
              </wp:positionH>
              <wp:positionV relativeFrom="page">
                <wp:posOffset>0</wp:posOffset>
              </wp:positionV>
              <wp:extent cx="7772400" cy="10058399"/>
              <wp:effectExtent l="0" t="0" r="0" b="0"/>
              <wp:wrapNone/>
              <wp:docPr id="78130" name="Group 78130"/>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8131" name="Picture 78131"/>
                        <pic:cNvPicPr/>
                      </pic:nvPicPr>
                      <pic:blipFill>
                        <a:blip r:embed="rId33"/>
                        <a:stretch>
                          <a:fillRect/>
                        </a:stretch>
                      </pic:blipFill>
                      <pic:spPr>
                        <a:xfrm>
                          <a:off x="7333488" y="0"/>
                          <a:ext cx="438912" cy="2353056"/>
                        </a:xfrm>
                        <a:prstGeom prst="rect">
                          <a:avLst/>
                        </a:prstGeom>
                      </pic:spPr>
                    </pic:pic>
                    <pic:pic xmlns:pic="http://schemas.openxmlformats.org/drawingml/2006/picture">
                      <pic:nvPicPr>
                        <pic:cNvPr id="78134" name="Picture 78134"/>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133" name="Picture 78133"/>
                        <pic:cNvPicPr/>
                      </pic:nvPicPr>
                      <pic:blipFill>
                        <a:blip r:embed="rId34"/>
                        <a:stretch>
                          <a:fillRect/>
                        </a:stretch>
                      </pic:blipFill>
                      <pic:spPr>
                        <a:xfrm>
                          <a:off x="0" y="6955536"/>
                          <a:ext cx="478536" cy="3099816"/>
                        </a:xfrm>
                        <a:prstGeom prst="rect">
                          <a:avLst/>
                        </a:prstGeom>
                      </pic:spPr>
                    </pic:pic>
                    <pic:pic xmlns:pic="http://schemas.openxmlformats.org/drawingml/2006/picture">
                      <pic:nvPicPr>
                        <pic:cNvPr id="78132" name="Picture 78132"/>
                        <pic:cNvPicPr/>
                      </pic:nvPicPr>
                      <pic:blipFill>
                        <a:blip r:embed="rId33"/>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8130" style="width:612pt;height:792pt;position:absolute;z-index:-2147483648;mso-position-horizontal-relative:page;mso-position-horizontal:absolute;margin-left:9.53674e-07pt;mso-position-vertical-relative:page;margin-top:0pt;" coordsize="77724,100583">
              <v:shape id="Picture 78131" style="position:absolute;width:4389;height:23530;left:73334;top:0;" filled="f">
                <v:imagedata r:id="rId35"/>
              </v:shape>
              <v:shape id="Picture 78134" style="position:absolute;width:4785;height:30998;left:0;top:69555;" filled="f">
                <v:imagedata r:id="rId36"/>
              </v:shape>
              <v:shape id="Picture 78133" style="position:absolute;width:4785;height:30998;left:0;top:69555;" filled="f">
                <v:imagedata r:id="rId36"/>
              </v:shape>
              <v:shape id="Picture 78132" style="position:absolute;width:4389;height:23530;left:73334;top:0;" filled="f">
                <v:imagedata r:id="rId35"/>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47B75"/>
    <w:multiLevelType w:val="multilevel"/>
    <w:tmpl w:val="25686EE8"/>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DDE4C53"/>
    <w:multiLevelType w:val="hybridMultilevel"/>
    <w:tmpl w:val="898AF284"/>
    <w:lvl w:ilvl="0" w:tplc="4A4E1A42">
      <w:start w:val="16"/>
      <w:numFmt w:val="decimal"/>
      <w:lvlText w:val="%1"/>
      <w:lvlJc w:val="left"/>
      <w:pPr>
        <w:ind w:left="171"/>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1" w:tplc="C7F8F182">
      <w:start w:val="1"/>
      <w:numFmt w:val="lowerLetter"/>
      <w:lvlText w:val="%2"/>
      <w:lvlJc w:val="left"/>
      <w:pPr>
        <w:ind w:left="17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2" w:tplc="988A85C4">
      <w:start w:val="1"/>
      <w:numFmt w:val="lowerRoman"/>
      <w:lvlText w:val="%3"/>
      <w:lvlJc w:val="left"/>
      <w:pPr>
        <w:ind w:left="2509"/>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3" w:tplc="10305836">
      <w:start w:val="1"/>
      <w:numFmt w:val="decimal"/>
      <w:lvlText w:val="%4"/>
      <w:lvlJc w:val="left"/>
      <w:pPr>
        <w:ind w:left="32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4" w:tplc="8DFA3C38">
      <w:start w:val="1"/>
      <w:numFmt w:val="lowerLetter"/>
      <w:lvlText w:val="%5"/>
      <w:lvlJc w:val="left"/>
      <w:pPr>
        <w:ind w:left="394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5" w:tplc="A5089C08">
      <w:start w:val="1"/>
      <w:numFmt w:val="lowerRoman"/>
      <w:lvlText w:val="%6"/>
      <w:lvlJc w:val="left"/>
      <w:pPr>
        <w:ind w:left="4669"/>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6" w:tplc="52B2D9EC">
      <w:start w:val="1"/>
      <w:numFmt w:val="decimal"/>
      <w:lvlText w:val="%7"/>
      <w:lvlJc w:val="left"/>
      <w:pPr>
        <w:ind w:left="5389"/>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7" w:tplc="DCE6F978">
      <w:start w:val="1"/>
      <w:numFmt w:val="lowerLetter"/>
      <w:lvlText w:val="%8"/>
      <w:lvlJc w:val="left"/>
      <w:pPr>
        <w:ind w:left="6109"/>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8" w:tplc="027E1A1A">
      <w:start w:val="1"/>
      <w:numFmt w:val="lowerRoman"/>
      <w:lvlText w:val="%9"/>
      <w:lvlJc w:val="left"/>
      <w:pPr>
        <w:ind w:left="6829"/>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abstractNum>
  <w:num w:numId="1" w16cid:durableId="1980574462">
    <w:abstractNumId w:val="1"/>
  </w:num>
  <w:num w:numId="2" w16cid:durableId="1514107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283"/>
    <w:rsid w:val="00093283"/>
    <w:rsid w:val="008469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685FB"/>
  <w15:docId w15:val="{A847AE28-8435-4F34-A04E-7F48F4A2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1" w:lineRule="auto"/>
      <w:ind w:left="10" w:right="61" w:hanging="10"/>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2"/>
      </w:numPr>
      <w:spacing w:after="132" w:line="268" w:lineRule="auto"/>
      <w:ind w:left="10" w:right="61" w:hanging="10"/>
      <w:jc w:val="both"/>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2"/>
      </w:numPr>
      <w:spacing w:after="132" w:line="268" w:lineRule="auto"/>
      <w:ind w:left="10" w:right="61" w:hanging="10"/>
      <w:jc w:val="both"/>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pPr>
      <w:spacing w:after="0" w:line="259" w:lineRule="auto"/>
      <w:jc w:val="both"/>
    </w:pPr>
    <w:rPr>
      <w:rFonts w:ascii="Arial" w:eastAsia="Arial" w:hAnsi="Arial" w:cs="Arial"/>
      <w:color w:val="000000"/>
      <w:sz w:val="14"/>
    </w:rPr>
  </w:style>
  <w:style w:type="character" w:customStyle="1" w:styleId="footnotedescriptionChar">
    <w:name w:val="footnote description Char"/>
    <w:link w:val="footnotedescription"/>
    <w:rPr>
      <w:rFonts w:ascii="Arial" w:eastAsia="Arial" w:hAnsi="Arial" w:cs="Arial"/>
      <w:color w:val="000000"/>
      <w:sz w:val="14"/>
    </w:rPr>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9.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revistas.usergioarboleda.edu.co/index.php/Cuadernos/article/download/1008/844/3102"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4" Type="http://schemas.openxmlformats.org/officeDocument/2006/relationships/image" Target="media/image5.png"/><Relationship Id="rId3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32" Type="http://schemas.openxmlformats.org/officeDocument/2006/relationships/image" Target="media/image20.png"/><Relationship Id="rId36" Type="http://schemas.openxmlformats.org/officeDocument/2006/relationships/image" Target="media/image7.png"/><Relationship Id="rId35" Type="http://schemas.openxmlformats.org/officeDocument/2006/relationships/image" Target="media/image6.png"/></Relationships>
</file>

<file path=word/_rels/header2.xml.rels><?xml version="1.0" encoding="UTF-8" standalone="yes"?>
<Relationships xmlns="http://schemas.openxmlformats.org/package/2006/relationships"><Relationship Id="rId34" Type="http://schemas.openxmlformats.org/officeDocument/2006/relationships/image" Target="media/image5.png"/><Relationship Id="rId3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32" Type="http://schemas.openxmlformats.org/officeDocument/2006/relationships/image" Target="media/image20.png"/><Relationship Id="rId36" Type="http://schemas.openxmlformats.org/officeDocument/2006/relationships/image" Target="media/image7.png"/><Relationship Id="rId35" Type="http://schemas.openxmlformats.org/officeDocument/2006/relationships/image" Target="media/image6.png"/></Relationships>
</file>

<file path=word/_rels/header3.xml.rels><?xml version="1.0" encoding="UTF-8" standalone="yes"?>
<Relationships xmlns="http://schemas.openxmlformats.org/package/2006/relationships"><Relationship Id="rId34" Type="http://schemas.openxmlformats.org/officeDocument/2006/relationships/image" Target="media/image5.png"/><Relationship Id="rId3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32" Type="http://schemas.openxmlformats.org/officeDocument/2006/relationships/image" Target="media/image20.png"/><Relationship Id="rId36" Type="http://schemas.openxmlformats.org/officeDocument/2006/relationships/image" Target="media/image7.png"/><Relationship Id="rId35" Type="http://schemas.openxmlformats.org/officeDocument/2006/relationships/image" Target="media/image6.png"/></Relationships>
</file>

<file path=word/_rels/header4.xml.rels><?xml version="1.0" encoding="UTF-8" standalone="yes"?>
<Relationships xmlns="http://schemas.openxmlformats.org/package/2006/relationships"><Relationship Id="rId34" Type="http://schemas.openxmlformats.org/officeDocument/2006/relationships/image" Target="media/image5.png"/><Relationship Id="rId3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32" Type="http://schemas.openxmlformats.org/officeDocument/2006/relationships/image" Target="media/image20.png"/><Relationship Id="rId36" Type="http://schemas.openxmlformats.org/officeDocument/2006/relationships/image" Target="media/image7.png"/><Relationship Id="rId35" Type="http://schemas.openxmlformats.org/officeDocument/2006/relationships/image" Target="media/image6.png"/></Relationships>
</file>

<file path=word/_rels/header5.xml.rels><?xml version="1.0" encoding="UTF-8" standalone="yes"?>
<Relationships xmlns="http://schemas.openxmlformats.org/package/2006/relationships"><Relationship Id="rId34" Type="http://schemas.openxmlformats.org/officeDocument/2006/relationships/image" Target="media/image5.png"/><Relationship Id="rId3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32" Type="http://schemas.openxmlformats.org/officeDocument/2006/relationships/image" Target="media/image20.png"/><Relationship Id="rId36" Type="http://schemas.openxmlformats.org/officeDocument/2006/relationships/image" Target="media/image7.png"/><Relationship Id="rId35" Type="http://schemas.openxmlformats.org/officeDocument/2006/relationships/image" Target="media/image6.png"/></Relationships>
</file>

<file path=word/_rels/header6.xml.rels><?xml version="1.0" encoding="UTF-8" standalone="yes"?>
<Relationships xmlns="http://schemas.openxmlformats.org/package/2006/relationships"><Relationship Id="rId34" Type="http://schemas.openxmlformats.org/officeDocument/2006/relationships/image" Target="media/image5.png"/><Relationship Id="rId3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32" Type="http://schemas.openxmlformats.org/officeDocument/2006/relationships/image" Target="media/image20.png"/><Relationship Id="rId36" Type="http://schemas.openxmlformats.org/officeDocument/2006/relationships/image" Target="media/image7.png"/><Relationship Id="rId35"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7757</Words>
  <Characters>42665</Characters>
  <Application>Microsoft Office Word</Application>
  <DocSecurity>0</DocSecurity>
  <Lines>355</Lines>
  <Paragraphs>100</Paragraphs>
  <ScaleCrop>false</ScaleCrop>
  <Company/>
  <LinksUpToDate>false</LinksUpToDate>
  <CharactersWithSpaces>50322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Santiago Alberto Herrera Morillo</cp:lastModifiedBy>
  <cp:revision>2</cp:revision>
  <dcterms:created xsi:type="dcterms:W3CDTF">2024-03-15T19:44:00Z</dcterms:created>
  <dcterms:modified xsi:type="dcterms:W3CDTF">2024-03-15T19:44:00Z</dcterms:modified>
</cp:coreProperties>
</file>