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0DBE" w14:textId="6E5D2267" w:rsidR="00950DF7" w:rsidRPr="003E0825" w:rsidRDefault="70551974" w:rsidP="00F304EA">
      <w:pPr>
        <w:jc w:val="right"/>
        <w:rPr>
          <w:rFonts w:ascii="Arial" w:eastAsia="Calibri" w:hAnsi="Arial" w:cs="Arial"/>
          <w:b/>
          <w:bCs/>
          <w:color w:val="000000" w:themeColor="text1"/>
          <w:sz w:val="21"/>
          <w:szCs w:val="21"/>
          <w:lang w:val="es-ES"/>
        </w:rPr>
      </w:pPr>
      <w:bookmarkStart w:id="0" w:name="_Hlk28946138"/>
      <w:bookmarkStart w:id="1" w:name="_Hlk29548183"/>
      <w:r w:rsidRPr="003E0825">
        <w:rPr>
          <w:rFonts w:ascii="Arial" w:hAnsi="Arial" w:cs="Arial"/>
          <w:color w:val="000000" w:themeColor="text1"/>
          <w:sz w:val="21"/>
          <w:szCs w:val="21"/>
          <w:lang w:val="es-ES" w:eastAsia="es-ES"/>
        </w:rPr>
        <w:t>CCE-DES-FM-17</w:t>
      </w:r>
      <w:bookmarkEnd w:id="0"/>
      <w:bookmarkEnd w:id="1"/>
    </w:p>
    <w:p w14:paraId="107FB809" w14:textId="77777777" w:rsidR="001A79FB" w:rsidRPr="003E0825" w:rsidRDefault="001A79FB" w:rsidP="001A79FB">
      <w:pPr>
        <w:jc w:val="both"/>
        <w:rPr>
          <w:rFonts w:ascii="Arial" w:eastAsia="Calibri" w:hAnsi="Arial" w:cs="Arial"/>
          <w:b/>
          <w:color w:val="000000" w:themeColor="text1"/>
          <w:sz w:val="21"/>
          <w:szCs w:val="21"/>
        </w:rPr>
      </w:pPr>
      <w:r w:rsidRPr="003E0825">
        <w:rPr>
          <w:rFonts w:ascii="Arial" w:eastAsia="Calibri" w:hAnsi="Arial" w:cs="Arial"/>
          <w:b/>
          <w:color w:val="000000" w:themeColor="text1"/>
          <w:sz w:val="21"/>
          <w:szCs w:val="21"/>
        </w:rPr>
        <w:t xml:space="preserve">LEY DE EMPRENDIMIENTO – Ley 2069 de 2020 – Vigencia </w:t>
      </w:r>
    </w:p>
    <w:p w14:paraId="0EC3EABE" w14:textId="77777777" w:rsidR="001A79FB" w:rsidRPr="003E0825" w:rsidRDefault="001A79FB" w:rsidP="001A79FB">
      <w:pPr>
        <w:jc w:val="both"/>
        <w:rPr>
          <w:rFonts w:ascii="Arial" w:eastAsia="Calibri" w:hAnsi="Arial" w:cs="Arial"/>
          <w:b/>
          <w:color w:val="000000" w:themeColor="text1"/>
          <w:sz w:val="21"/>
          <w:szCs w:val="21"/>
        </w:rPr>
      </w:pPr>
    </w:p>
    <w:p w14:paraId="0D113AB7" w14:textId="0041C073" w:rsidR="001A79FB" w:rsidRPr="003E0825" w:rsidRDefault="001A79FB" w:rsidP="001A79FB">
      <w:pPr>
        <w:jc w:val="both"/>
        <w:rPr>
          <w:rFonts w:ascii="Arial" w:eastAsia="Calibri" w:hAnsi="Arial" w:cs="Arial"/>
          <w:bCs/>
          <w:color w:val="000000" w:themeColor="text1"/>
          <w:sz w:val="21"/>
          <w:szCs w:val="21"/>
        </w:rPr>
      </w:pPr>
      <w:r w:rsidRPr="003E0825">
        <w:rPr>
          <w:rFonts w:ascii="Arial" w:eastAsia="Calibri" w:hAnsi="Arial" w:cs="Arial"/>
          <w:bCs/>
          <w:color w:val="000000" w:themeColor="text1"/>
          <w:sz w:val="21"/>
          <w:szCs w:val="21"/>
        </w:rPr>
        <w:t>El 31 de diciembre de 2020 se promulgó la Ley 2069, «Por medio de la cual se impulsa el emprendimiento en Colombia</w:t>
      </w:r>
      <w:r w:rsidR="007503D9" w:rsidRPr="003E0825">
        <w:rPr>
          <w:rFonts w:ascii="Arial" w:eastAsia="Calibri" w:hAnsi="Arial" w:cs="Arial"/>
          <w:bCs/>
          <w:color w:val="000000" w:themeColor="text1"/>
          <w:sz w:val="21"/>
          <w:szCs w:val="21"/>
        </w:rPr>
        <w:t>”</w:t>
      </w:r>
      <w:r w:rsidRPr="003E0825">
        <w:rPr>
          <w:rFonts w:ascii="Arial" w:eastAsia="Calibri" w:hAnsi="Arial" w:cs="Arial"/>
          <w:bCs/>
          <w:color w:val="000000" w:themeColor="text1"/>
          <w:sz w:val="21"/>
          <w:szCs w:val="21"/>
        </w:rPr>
        <w:t>. El artículo 84 dispone que «La presente Ley rige a partir del momento de su promulgación […]</w:t>
      </w:r>
      <w:r w:rsidR="007503D9" w:rsidRPr="003E0825">
        <w:rPr>
          <w:rFonts w:ascii="Arial" w:eastAsia="Calibri" w:hAnsi="Arial" w:cs="Arial"/>
          <w:bCs/>
          <w:color w:val="000000" w:themeColor="text1"/>
          <w:sz w:val="21"/>
          <w:szCs w:val="21"/>
        </w:rPr>
        <w:t>”</w:t>
      </w:r>
      <w:r w:rsidRPr="003E0825">
        <w:rPr>
          <w:rFonts w:ascii="Arial" w:eastAsia="Calibri" w:hAnsi="Arial" w:cs="Arial"/>
          <w:bCs/>
          <w:color w:val="000000" w:themeColor="text1"/>
          <w:sz w:val="21"/>
          <w:szCs w:val="21"/>
        </w:rPr>
        <w:t>, por lo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69064117" w14:textId="77777777" w:rsidR="001A79FB" w:rsidRPr="003E0825" w:rsidRDefault="001A79FB" w:rsidP="001A79FB">
      <w:pPr>
        <w:jc w:val="both"/>
        <w:rPr>
          <w:rFonts w:ascii="Arial" w:eastAsia="Calibri" w:hAnsi="Arial" w:cs="Arial"/>
          <w:bCs/>
          <w:color w:val="000000" w:themeColor="text1"/>
          <w:sz w:val="21"/>
          <w:szCs w:val="21"/>
        </w:rPr>
      </w:pPr>
    </w:p>
    <w:p w14:paraId="2FFBFB8E" w14:textId="1D71B5D5" w:rsidR="001A79FB" w:rsidRPr="003E0825" w:rsidRDefault="001A79FB" w:rsidP="001A79FB">
      <w:pPr>
        <w:jc w:val="both"/>
        <w:rPr>
          <w:rFonts w:ascii="Arial" w:eastAsia="Calibri" w:hAnsi="Arial" w:cs="Arial"/>
          <w:bCs/>
          <w:color w:val="000000" w:themeColor="text1"/>
          <w:sz w:val="21"/>
          <w:szCs w:val="21"/>
        </w:rPr>
      </w:pPr>
      <w:r w:rsidRPr="003E0825">
        <w:rPr>
          <w:rFonts w:ascii="Arial" w:eastAsia="Calibri" w:hAnsi="Arial" w:cs="Arial"/>
          <w:bCs/>
          <w:color w:val="000000" w:themeColor="text1"/>
          <w:sz w:val="21"/>
          <w:szCs w:val="21"/>
        </w:rPr>
        <w:t xml:space="preserve">En cuanto a su contenido, como dispone el artículo 1, esta «tiene por objeto establecer un marco regulatorio que propicie el emprendimiento y el crecimiento, consolidación y sostenibilidad de las empresas, con el fin de aumentar el bienestar social y generar equidad». Lo anterior a partir de </w:t>
      </w:r>
      <w:r w:rsidR="009444F0" w:rsidRPr="003E0825">
        <w:rPr>
          <w:rFonts w:ascii="Arial" w:eastAsia="Calibri" w:hAnsi="Arial" w:cs="Arial"/>
          <w:bCs/>
          <w:color w:val="000000" w:themeColor="text1"/>
          <w:sz w:val="21"/>
          <w:szCs w:val="21"/>
        </w:rPr>
        <w:t>“</w:t>
      </w:r>
      <w:r w:rsidRPr="003E0825">
        <w:rPr>
          <w:rFonts w:ascii="Arial" w:eastAsia="Calibri" w:hAnsi="Arial" w:cs="Arial"/>
          <w:bCs/>
          <w:color w:val="000000" w:themeColor="text1"/>
          <w:sz w:val="21"/>
          <w:szCs w:val="21"/>
        </w:rPr>
        <w:t>[…] un enfoque regionalizado de acuerdo con las realidades socioeconómicas de cada región</w:t>
      </w:r>
      <w:r w:rsidR="009444F0" w:rsidRPr="003E0825">
        <w:rPr>
          <w:rFonts w:ascii="Arial" w:eastAsia="Calibri" w:hAnsi="Arial" w:cs="Arial"/>
          <w:bCs/>
          <w:color w:val="000000" w:themeColor="text1"/>
          <w:sz w:val="21"/>
          <w:szCs w:val="21"/>
        </w:rPr>
        <w:t>”</w:t>
      </w:r>
      <w:r w:rsidRPr="003E0825">
        <w:rPr>
          <w:rFonts w:ascii="Arial" w:eastAsia="Calibri" w:hAnsi="Arial" w:cs="Arial"/>
          <w:bCs/>
          <w:color w:val="000000" w:themeColor="text1"/>
          <w:sz w:val="21"/>
          <w:szCs w:val="21"/>
        </w:rPr>
        <w:t>. En desarrollo de esta finalidad, se establecen medidas de apoyo para las micro, pequeñas y medianas empresas –Mipyme–,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0EE3526" w14:textId="77777777" w:rsidR="001A79FB" w:rsidRPr="003E0825" w:rsidRDefault="001A79FB" w:rsidP="001A79FB">
      <w:pPr>
        <w:jc w:val="both"/>
        <w:rPr>
          <w:rFonts w:ascii="Arial" w:eastAsia="Calibri" w:hAnsi="Arial" w:cs="Arial"/>
          <w:bCs/>
          <w:color w:val="000000" w:themeColor="text1"/>
          <w:sz w:val="21"/>
          <w:szCs w:val="21"/>
        </w:rPr>
      </w:pPr>
    </w:p>
    <w:p w14:paraId="7D79E657" w14:textId="77777777" w:rsidR="001A79FB" w:rsidRPr="003E0825" w:rsidRDefault="001A79FB" w:rsidP="001A79FB">
      <w:pPr>
        <w:jc w:val="both"/>
        <w:rPr>
          <w:rFonts w:ascii="Arial" w:eastAsia="Calibri" w:hAnsi="Arial" w:cs="Arial"/>
          <w:b/>
          <w:color w:val="000000" w:themeColor="text1"/>
          <w:sz w:val="21"/>
          <w:szCs w:val="21"/>
        </w:rPr>
      </w:pPr>
      <w:r w:rsidRPr="003E0825">
        <w:rPr>
          <w:rFonts w:ascii="Arial" w:eastAsia="Calibri" w:hAnsi="Arial" w:cs="Arial"/>
          <w:b/>
          <w:color w:val="000000" w:themeColor="text1"/>
          <w:sz w:val="21"/>
          <w:szCs w:val="21"/>
        </w:rPr>
        <w:t xml:space="preserve">MIPYMES – Artículo 34 de la Ley 2069 de 2020 – artículo 5 del Decreto 1860 de 2021 Convocatorias limitadas territorialmente - Vigencia </w:t>
      </w:r>
    </w:p>
    <w:p w14:paraId="48869B67" w14:textId="77777777" w:rsidR="001A79FB" w:rsidRPr="003E0825" w:rsidRDefault="001A79FB" w:rsidP="001A79FB">
      <w:pPr>
        <w:jc w:val="both"/>
        <w:rPr>
          <w:rFonts w:ascii="Arial" w:eastAsia="Calibri" w:hAnsi="Arial" w:cs="Arial"/>
          <w:b/>
          <w:color w:val="000000" w:themeColor="text1"/>
          <w:sz w:val="21"/>
          <w:szCs w:val="21"/>
        </w:rPr>
      </w:pPr>
    </w:p>
    <w:p w14:paraId="6F04ABBC" w14:textId="0F29A357" w:rsidR="001A79FB" w:rsidRPr="003E0825" w:rsidRDefault="001A79FB" w:rsidP="001A79FB">
      <w:pPr>
        <w:spacing w:before="120"/>
        <w:jc w:val="both"/>
        <w:rPr>
          <w:rFonts w:ascii="Arial" w:eastAsia="Calibri" w:hAnsi="Arial" w:cs="Arial"/>
          <w:bCs/>
          <w:color w:val="000000" w:themeColor="text1"/>
          <w:sz w:val="21"/>
          <w:szCs w:val="21"/>
        </w:rPr>
      </w:pPr>
      <w:r w:rsidRPr="003E0825">
        <w:rPr>
          <w:rFonts w:ascii="Arial" w:eastAsia="Calibri" w:hAnsi="Arial" w:cs="Arial"/>
          <w:bCs/>
          <w:color w:val="000000" w:themeColor="text1"/>
          <w:sz w:val="21"/>
          <w:szCs w:val="21"/>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original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w:t>
      </w:r>
      <w:r w:rsidR="009444F0" w:rsidRPr="003E0825">
        <w:rPr>
          <w:rFonts w:ascii="Arial" w:eastAsia="Calibri" w:hAnsi="Arial" w:cs="Arial"/>
          <w:bCs/>
          <w:color w:val="000000" w:themeColor="text1"/>
          <w:sz w:val="21"/>
          <w:szCs w:val="21"/>
        </w:rPr>
        <w:t>“</w:t>
      </w:r>
      <w:r w:rsidRPr="003E0825">
        <w:rPr>
          <w:rFonts w:ascii="Arial" w:eastAsia="Calibri" w:hAnsi="Arial" w:cs="Arial"/>
          <w:bCs/>
          <w:color w:val="000000" w:themeColor="text1"/>
          <w:sz w:val="21"/>
          <w:szCs w:val="21"/>
        </w:rPr>
        <w:t>Cuando desaparezcan sus fundamentos de hecho o de derecho</w:t>
      </w:r>
      <w:r w:rsidR="009444F0" w:rsidRPr="003E0825">
        <w:rPr>
          <w:rFonts w:ascii="Arial" w:eastAsia="Calibri" w:hAnsi="Arial" w:cs="Arial"/>
          <w:bCs/>
          <w:color w:val="000000" w:themeColor="text1"/>
          <w:sz w:val="21"/>
          <w:szCs w:val="21"/>
        </w:rPr>
        <w:t>”</w:t>
      </w:r>
      <w:r w:rsidRPr="003E0825">
        <w:rPr>
          <w:rFonts w:ascii="Arial" w:eastAsia="Calibri" w:hAnsi="Arial" w:cs="Arial"/>
          <w:bCs/>
          <w:color w:val="000000" w:themeColor="text1"/>
          <w:sz w:val="21"/>
          <w:szCs w:val="21"/>
        </w:rPr>
        <w:t xml:space="preserve">. </w:t>
      </w:r>
    </w:p>
    <w:p w14:paraId="213D4C07" w14:textId="77777777" w:rsidR="001A79FB" w:rsidRPr="003E0825" w:rsidRDefault="001A79FB" w:rsidP="001A79FB">
      <w:pPr>
        <w:jc w:val="both"/>
        <w:rPr>
          <w:rFonts w:ascii="Arial" w:eastAsia="Calibri" w:hAnsi="Arial" w:cs="Arial"/>
          <w:bCs/>
          <w:color w:val="000000" w:themeColor="text1"/>
          <w:sz w:val="21"/>
          <w:szCs w:val="21"/>
        </w:rPr>
      </w:pPr>
    </w:p>
    <w:p w14:paraId="479A5E6B" w14:textId="7B742CE9" w:rsidR="001A79FB" w:rsidRPr="003E0825" w:rsidRDefault="001A79FB" w:rsidP="001A79FB">
      <w:pPr>
        <w:jc w:val="both"/>
        <w:rPr>
          <w:rFonts w:ascii="Arial" w:eastAsia="Calibri" w:hAnsi="Arial" w:cs="Arial"/>
          <w:bCs/>
          <w:color w:val="000000" w:themeColor="text1"/>
          <w:sz w:val="21"/>
          <w:szCs w:val="21"/>
        </w:rPr>
      </w:pPr>
      <w:r w:rsidRPr="003E0825">
        <w:rPr>
          <w:rFonts w:ascii="Arial" w:eastAsia="Calibri" w:hAnsi="Arial" w:cs="Arial"/>
          <w:bCs/>
          <w:color w:val="000000" w:themeColor="text1"/>
          <w:sz w:val="21"/>
          <w:szCs w:val="21"/>
        </w:rPr>
        <w:t xml:space="preserve">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Estas modificaciones, de acuerdo con el artículo 8 del Decreto 1860 de 2021 </w:t>
      </w:r>
      <w:r w:rsidR="009444F0" w:rsidRPr="003E0825">
        <w:rPr>
          <w:rFonts w:ascii="Arial" w:eastAsia="Calibri" w:hAnsi="Arial" w:cs="Arial"/>
          <w:bCs/>
          <w:color w:val="000000" w:themeColor="text1"/>
          <w:sz w:val="21"/>
          <w:szCs w:val="21"/>
        </w:rPr>
        <w:t>“</w:t>
      </w:r>
      <w:r w:rsidRPr="003E0825">
        <w:rPr>
          <w:rFonts w:ascii="Arial" w:eastAsia="Calibri" w:hAnsi="Arial" w:cs="Arial"/>
          <w:bCs/>
          <w:color w:val="000000" w:themeColor="text1"/>
          <w:sz w:val="21"/>
          <w:szCs w:val="21"/>
        </w:rPr>
        <w:t>aplicarán a los procedimientos de selección cuya invitación, aviso de convocatoria o documento equivalente se publique a los tres (3) meses contados a partir de su expedición</w:t>
      </w:r>
      <w:r w:rsidR="009444F0" w:rsidRPr="003E0825">
        <w:rPr>
          <w:rFonts w:ascii="Arial" w:eastAsia="Calibri" w:hAnsi="Arial" w:cs="Arial"/>
          <w:bCs/>
          <w:color w:val="000000" w:themeColor="text1"/>
          <w:sz w:val="21"/>
          <w:szCs w:val="21"/>
        </w:rPr>
        <w:t>”</w:t>
      </w:r>
      <w:r w:rsidRPr="003E0825">
        <w:rPr>
          <w:rFonts w:ascii="Arial" w:eastAsia="Calibri" w:hAnsi="Arial" w:cs="Arial"/>
          <w:bCs/>
          <w:color w:val="000000" w:themeColor="text1"/>
          <w:sz w:val="21"/>
          <w:szCs w:val="21"/>
        </w:rPr>
        <w:t>, esto es, a partir del 24 de marzo de 2022.</w:t>
      </w:r>
    </w:p>
    <w:p w14:paraId="0824F95B" w14:textId="77777777" w:rsidR="001A79FB" w:rsidRPr="003E0825" w:rsidRDefault="001A79FB" w:rsidP="001A79FB">
      <w:pPr>
        <w:jc w:val="both"/>
        <w:rPr>
          <w:rFonts w:ascii="Arial" w:eastAsia="Calibri" w:hAnsi="Arial" w:cs="Arial"/>
          <w:b/>
          <w:color w:val="000000" w:themeColor="text1"/>
          <w:sz w:val="21"/>
          <w:szCs w:val="21"/>
        </w:rPr>
      </w:pPr>
    </w:p>
    <w:p w14:paraId="0D7EBA4E" w14:textId="77777777" w:rsidR="001A79FB" w:rsidRPr="003E0825" w:rsidRDefault="001A79FB" w:rsidP="001A79FB">
      <w:pPr>
        <w:jc w:val="both"/>
        <w:rPr>
          <w:rFonts w:ascii="Arial" w:eastAsia="Calibri" w:hAnsi="Arial" w:cs="Arial"/>
          <w:b/>
          <w:color w:val="000000" w:themeColor="text1"/>
          <w:sz w:val="21"/>
          <w:szCs w:val="21"/>
        </w:rPr>
      </w:pPr>
      <w:r w:rsidRPr="003E0825">
        <w:rPr>
          <w:rFonts w:ascii="Arial" w:eastAsia="Calibri" w:hAnsi="Arial" w:cs="Arial"/>
          <w:b/>
          <w:color w:val="000000" w:themeColor="text1"/>
          <w:sz w:val="21"/>
          <w:szCs w:val="21"/>
        </w:rPr>
        <w:t>CONVOCATORIAS LIMITADAS A MIPYMES NACIONALES – Limitación territorial – Consorcios y uniones temporales – Requisitos</w:t>
      </w:r>
    </w:p>
    <w:p w14:paraId="51BDF630" w14:textId="77777777" w:rsidR="001A79FB" w:rsidRPr="003E0825" w:rsidRDefault="001A79FB" w:rsidP="001A79FB">
      <w:pPr>
        <w:jc w:val="both"/>
        <w:rPr>
          <w:rFonts w:ascii="Arial" w:eastAsia="Calibri" w:hAnsi="Arial" w:cs="Arial"/>
          <w:b/>
          <w:color w:val="000000" w:themeColor="text1"/>
          <w:sz w:val="21"/>
          <w:szCs w:val="21"/>
        </w:rPr>
      </w:pPr>
    </w:p>
    <w:p w14:paraId="7F9A5D96" w14:textId="77777777" w:rsidR="001A79FB" w:rsidRPr="003E0825" w:rsidRDefault="001A79FB" w:rsidP="001A79FB">
      <w:pPr>
        <w:jc w:val="both"/>
        <w:rPr>
          <w:rFonts w:ascii="Arial" w:eastAsia="Calibri" w:hAnsi="Arial" w:cs="Arial"/>
          <w:bCs/>
          <w:color w:val="000000" w:themeColor="text1"/>
          <w:sz w:val="21"/>
          <w:szCs w:val="21"/>
        </w:rPr>
      </w:pPr>
      <w:r w:rsidRPr="003E0825">
        <w:rPr>
          <w:rFonts w:ascii="Arial" w:eastAsia="Calibri" w:hAnsi="Arial" w:cs="Arial"/>
          <w:bCs/>
          <w:color w:val="000000" w:themeColor="text1"/>
          <w:sz w:val="21"/>
          <w:szCs w:val="21"/>
        </w:rPr>
        <w:t>Tratándose de consorcios o uniones temporales formados exclusivamente por Mipymes, habilitados para solicitar la limitación del proceso contractual, todas las Mipymes que participarán en la figura asociativa deben tener su domicilio en el departamento o municipio en relación con el cual se limitará el proceso contractual. En este caso, la exigencia de estar domiciliado en el lugar de ejecución del contrato se entiende acreditada cuando todas las Mipymes tienen su domicilio en el lugar de ejecución del contrato, no cuando una o varias de ellas lo tienen, pues con una sola que no acredite dicha exigencia, el consorcio o unión temporal estaría imposibilitado para participar en el proceso de selección.</w:t>
      </w:r>
    </w:p>
    <w:p w14:paraId="60052EA3" w14:textId="77777777" w:rsidR="001A79FB" w:rsidRPr="003E0825" w:rsidRDefault="001A79FB" w:rsidP="001A79FB">
      <w:pPr>
        <w:jc w:val="both"/>
        <w:rPr>
          <w:rFonts w:ascii="Arial" w:eastAsia="Calibri" w:hAnsi="Arial" w:cs="Arial"/>
          <w:bCs/>
          <w:color w:val="000000" w:themeColor="text1"/>
          <w:sz w:val="21"/>
          <w:szCs w:val="21"/>
        </w:rPr>
      </w:pPr>
    </w:p>
    <w:p w14:paraId="41DB19D4" w14:textId="77777777" w:rsidR="001A79FB" w:rsidRPr="003E0825" w:rsidRDefault="001A79FB" w:rsidP="001A79FB">
      <w:pPr>
        <w:jc w:val="both"/>
        <w:rPr>
          <w:rFonts w:ascii="Arial" w:eastAsia="Calibri" w:hAnsi="Arial" w:cs="Arial"/>
          <w:bCs/>
          <w:color w:val="000000" w:themeColor="text1"/>
          <w:sz w:val="21"/>
          <w:szCs w:val="21"/>
        </w:rPr>
      </w:pPr>
      <w:r w:rsidRPr="003E0825">
        <w:rPr>
          <w:rFonts w:ascii="Arial" w:eastAsia="Calibri" w:hAnsi="Arial" w:cs="Arial"/>
          <w:bCs/>
          <w:color w:val="000000" w:themeColor="text1"/>
          <w:sz w:val="21"/>
          <w:szCs w:val="21"/>
        </w:rPr>
        <w:t>De esta forma, si el consorcio o unión temporal está conformado por tres sociedades, y la entidad decide ejercer la facultad que le otorga el artículo 2.2.1.2.4.2.3. del Decreto 1082 de 2015, modificado por el Decreto 1860 de 2021, las tres sociedades deberán acreditar que tienen su domicilio en el lugar de ejecución del contrato, so pena de que la figura asociativa no pueda participar en el proceso de contratación estatal, aceptar lo contrario, implicaría hacer nugatorios los efectos de la mencionada disposición normativa.</w:t>
      </w:r>
    </w:p>
    <w:p w14:paraId="672FCDF0" w14:textId="77777777" w:rsidR="00950DF7" w:rsidRPr="00D80977" w:rsidRDefault="00950DF7" w:rsidP="00F304EA">
      <w:pPr>
        <w:jc w:val="both"/>
        <w:rPr>
          <w:rFonts w:ascii="Arial" w:eastAsia="Calibri" w:hAnsi="Arial" w:cs="Arial"/>
          <w:b/>
          <w:bCs/>
          <w:color w:val="000000" w:themeColor="text1"/>
          <w:sz w:val="22"/>
          <w:szCs w:val="22"/>
          <w:lang w:val="es-ES_tradnl" w:eastAsia="en-US"/>
        </w:rPr>
      </w:pPr>
    </w:p>
    <w:p w14:paraId="59507FD2" w14:textId="77777777" w:rsidR="00950DF7" w:rsidRPr="00D80977" w:rsidRDefault="00950DF7" w:rsidP="00F304EA">
      <w:pPr>
        <w:jc w:val="both"/>
        <w:rPr>
          <w:rFonts w:ascii="Arial" w:eastAsia="Calibri" w:hAnsi="Arial" w:cs="Arial"/>
          <w:b/>
          <w:color w:val="000000" w:themeColor="text1"/>
          <w:sz w:val="22"/>
          <w:szCs w:val="22"/>
          <w:lang w:val="es-ES_tradnl"/>
        </w:rPr>
      </w:pPr>
    </w:p>
    <w:p w14:paraId="0044883D" w14:textId="77777777" w:rsidR="00950DF7" w:rsidRPr="00D80977" w:rsidRDefault="00950DF7" w:rsidP="00F304EA">
      <w:pPr>
        <w:spacing w:line="276" w:lineRule="auto"/>
        <w:jc w:val="both"/>
        <w:rPr>
          <w:rFonts w:ascii="Arial" w:hAnsi="Arial" w:cs="Arial"/>
          <w:noProof/>
          <w:color w:val="000000" w:themeColor="text1"/>
          <w:sz w:val="22"/>
          <w:szCs w:val="22"/>
          <w:lang w:val="es-ES_tradnl"/>
        </w:rPr>
      </w:pPr>
    </w:p>
    <w:p w14:paraId="602B43AE" w14:textId="77777777" w:rsidR="00950DF7" w:rsidRPr="00D80977" w:rsidRDefault="00950DF7" w:rsidP="00F304EA">
      <w:pPr>
        <w:spacing w:line="276" w:lineRule="auto"/>
        <w:jc w:val="both"/>
        <w:rPr>
          <w:rFonts w:ascii="Arial" w:hAnsi="Arial" w:cs="Arial"/>
          <w:noProof/>
          <w:color w:val="000000" w:themeColor="text1"/>
          <w:sz w:val="22"/>
          <w:szCs w:val="22"/>
          <w:lang w:val="es-ES_tradnl"/>
        </w:rPr>
      </w:pPr>
    </w:p>
    <w:p w14:paraId="76D05AE7" w14:textId="77777777" w:rsidR="00950DF7" w:rsidRPr="00D80977" w:rsidRDefault="00950DF7" w:rsidP="00F304EA">
      <w:pPr>
        <w:spacing w:line="276" w:lineRule="auto"/>
        <w:jc w:val="both"/>
        <w:rPr>
          <w:rFonts w:ascii="Arial" w:hAnsi="Arial" w:cs="Arial"/>
          <w:noProof/>
          <w:color w:val="000000" w:themeColor="text1"/>
          <w:sz w:val="22"/>
          <w:szCs w:val="22"/>
          <w:lang w:val="es-ES_tradnl"/>
        </w:rPr>
      </w:pPr>
    </w:p>
    <w:p w14:paraId="323C3F56" w14:textId="77777777" w:rsidR="00950DF7" w:rsidRPr="00D80977" w:rsidRDefault="00950DF7" w:rsidP="00F304EA">
      <w:pPr>
        <w:spacing w:line="276" w:lineRule="auto"/>
        <w:jc w:val="both"/>
        <w:rPr>
          <w:rFonts w:ascii="Arial" w:hAnsi="Arial" w:cs="Arial"/>
          <w:noProof/>
          <w:color w:val="000000" w:themeColor="text1"/>
          <w:sz w:val="22"/>
          <w:szCs w:val="22"/>
          <w:lang w:val="es-ES_tradnl"/>
        </w:rPr>
      </w:pPr>
    </w:p>
    <w:p w14:paraId="4C56A3FA" w14:textId="77777777" w:rsidR="00950DF7" w:rsidRPr="00D80977" w:rsidRDefault="00950DF7" w:rsidP="00F304EA">
      <w:pPr>
        <w:spacing w:line="276" w:lineRule="auto"/>
        <w:jc w:val="both"/>
        <w:rPr>
          <w:rFonts w:ascii="Arial" w:hAnsi="Arial" w:cs="Arial"/>
          <w:noProof/>
          <w:color w:val="000000" w:themeColor="text1"/>
          <w:sz w:val="22"/>
          <w:szCs w:val="22"/>
          <w:lang w:val="es-ES_tradnl"/>
        </w:rPr>
      </w:pPr>
    </w:p>
    <w:p w14:paraId="32DD9094" w14:textId="77777777" w:rsidR="00950DF7" w:rsidRPr="00D80977" w:rsidRDefault="00950DF7" w:rsidP="00F304EA">
      <w:pPr>
        <w:spacing w:line="276" w:lineRule="auto"/>
        <w:jc w:val="both"/>
        <w:rPr>
          <w:rFonts w:ascii="Arial" w:hAnsi="Arial" w:cs="Arial"/>
          <w:noProof/>
          <w:color w:val="000000" w:themeColor="text1"/>
          <w:sz w:val="22"/>
          <w:szCs w:val="22"/>
          <w:lang w:val="es-ES_tradnl"/>
        </w:rPr>
      </w:pPr>
    </w:p>
    <w:p w14:paraId="5D92A4CD" w14:textId="77777777" w:rsidR="00603258" w:rsidRPr="00D80977" w:rsidRDefault="00603258" w:rsidP="00F304EA">
      <w:pPr>
        <w:spacing w:line="276" w:lineRule="auto"/>
        <w:jc w:val="both"/>
        <w:rPr>
          <w:rFonts w:ascii="Arial" w:hAnsi="Arial" w:cs="Arial"/>
          <w:noProof/>
          <w:color w:val="000000" w:themeColor="text1"/>
          <w:sz w:val="22"/>
          <w:szCs w:val="22"/>
          <w:lang w:val="es-ES_tradnl"/>
        </w:rPr>
      </w:pPr>
    </w:p>
    <w:p w14:paraId="6439606E" w14:textId="77777777" w:rsidR="00941D0A" w:rsidRPr="00D80977" w:rsidRDefault="00941D0A" w:rsidP="00F304EA">
      <w:pPr>
        <w:spacing w:line="276" w:lineRule="auto"/>
        <w:jc w:val="both"/>
        <w:rPr>
          <w:rFonts w:ascii="Arial" w:hAnsi="Arial" w:cs="Arial"/>
          <w:noProof/>
          <w:color w:val="000000" w:themeColor="text1"/>
          <w:sz w:val="22"/>
          <w:szCs w:val="22"/>
          <w:lang w:val="es-ES_tradnl"/>
        </w:rPr>
      </w:pPr>
    </w:p>
    <w:p w14:paraId="00575D5E" w14:textId="77777777" w:rsidR="00941D0A" w:rsidRPr="00D80977" w:rsidRDefault="00941D0A" w:rsidP="00F304EA">
      <w:pPr>
        <w:spacing w:line="276" w:lineRule="auto"/>
        <w:jc w:val="both"/>
        <w:rPr>
          <w:rFonts w:ascii="Arial" w:hAnsi="Arial" w:cs="Arial"/>
          <w:noProof/>
          <w:color w:val="000000" w:themeColor="text1"/>
          <w:sz w:val="22"/>
          <w:szCs w:val="22"/>
          <w:lang w:val="es-ES_tradnl"/>
        </w:rPr>
      </w:pPr>
    </w:p>
    <w:p w14:paraId="14BD5863" w14:textId="77777777" w:rsidR="00941D0A" w:rsidRPr="00D80977" w:rsidRDefault="00941D0A" w:rsidP="00F304EA">
      <w:pPr>
        <w:spacing w:line="276" w:lineRule="auto"/>
        <w:jc w:val="both"/>
        <w:rPr>
          <w:rFonts w:ascii="Arial" w:hAnsi="Arial" w:cs="Arial"/>
          <w:noProof/>
          <w:color w:val="000000" w:themeColor="text1"/>
          <w:sz w:val="22"/>
          <w:szCs w:val="22"/>
          <w:lang w:val="es-ES_tradnl"/>
        </w:rPr>
      </w:pPr>
    </w:p>
    <w:p w14:paraId="4807BBD7" w14:textId="77777777" w:rsidR="00941D0A" w:rsidRPr="00D80977" w:rsidRDefault="00941D0A" w:rsidP="00F304EA">
      <w:pPr>
        <w:spacing w:line="276" w:lineRule="auto"/>
        <w:jc w:val="both"/>
        <w:rPr>
          <w:rFonts w:ascii="Arial" w:hAnsi="Arial" w:cs="Arial"/>
          <w:noProof/>
          <w:color w:val="000000" w:themeColor="text1"/>
          <w:sz w:val="22"/>
          <w:szCs w:val="22"/>
          <w:lang w:val="es-ES_tradnl"/>
        </w:rPr>
      </w:pPr>
    </w:p>
    <w:p w14:paraId="72511FEE" w14:textId="77777777" w:rsidR="00941D0A" w:rsidRPr="00D80977" w:rsidRDefault="00941D0A" w:rsidP="00F304EA">
      <w:pPr>
        <w:spacing w:line="276" w:lineRule="auto"/>
        <w:jc w:val="both"/>
        <w:rPr>
          <w:rFonts w:ascii="Arial" w:hAnsi="Arial" w:cs="Arial"/>
          <w:noProof/>
          <w:color w:val="000000" w:themeColor="text1"/>
          <w:sz w:val="22"/>
          <w:szCs w:val="22"/>
          <w:lang w:val="es-ES_tradnl"/>
        </w:rPr>
      </w:pPr>
    </w:p>
    <w:p w14:paraId="3025AAE6" w14:textId="77777777" w:rsidR="004E4FED" w:rsidRPr="00D80977" w:rsidRDefault="004E4FED">
      <w:pPr>
        <w:spacing w:after="160" w:line="259" w:lineRule="auto"/>
        <w:rPr>
          <w:rFonts w:ascii="Arial" w:hAnsi="Arial" w:cs="Arial"/>
          <w:color w:val="000000" w:themeColor="text1"/>
          <w:sz w:val="22"/>
          <w:szCs w:val="22"/>
          <w:shd w:val="clear" w:color="auto" w:fill="E6E6E6"/>
          <w:lang w:val="es-MX" w:eastAsia="es-CO"/>
        </w:rPr>
      </w:pPr>
      <w:r w:rsidRPr="00D80977">
        <w:rPr>
          <w:rFonts w:ascii="Arial" w:hAnsi="Arial" w:cs="Arial"/>
          <w:color w:val="000000" w:themeColor="text1"/>
          <w:sz w:val="22"/>
          <w:szCs w:val="22"/>
          <w:shd w:val="clear" w:color="auto" w:fill="E6E6E6"/>
          <w:lang w:val="es-MX" w:eastAsia="es-CO"/>
        </w:rPr>
        <w:br w:type="page"/>
      </w:r>
    </w:p>
    <w:p w14:paraId="2337F005" w14:textId="77777777" w:rsidR="004968D8" w:rsidRPr="004968D8" w:rsidRDefault="004968D8" w:rsidP="004968D8">
      <w:pPr>
        <w:rPr>
          <w:rFonts w:ascii="Arial" w:hAnsi="Arial" w:cs="Arial"/>
          <w:color w:val="000000" w:themeColor="text1"/>
          <w:sz w:val="22"/>
          <w:szCs w:val="22"/>
        </w:rPr>
      </w:pPr>
      <w:r w:rsidRPr="004968D8">
        <w:rPr>
          <w:rFonts w:ascii="Arial" w:hAnsi="Arial" w:cs="Arial"/>
          <w:color w:val="000000" w:themeColor="text1"/>
          <w:sz w:val="22"/>
          <w:szCs w:val="22"/>
        </w:rPr>
        <w:lastRenderedPageBreak/>
        <w:t>Bogotá D.C., 22 Septiembre 2023</w:t>
      </w:r>
    </w:p>
    <w:p w14:paraId="5DE8AB30" w14:textId="412641FB" w:rsidR="004968D8" w:rsidRPr="00D80977" w:rsidRDefault="004968D8" w:rsidP="004968D8">
      <w:pPr>
        <w:jc w:val="right"/>
        <w:rPr>
          <w:rFonts w:ascii="Arial" w:hAnsi="Arial" w:cs="Arial"/>
          <w:noProof/>
          <w:color w:val="000000" w:themeColor="text1"/>
          <w:sz w:val="22"/>
          <w:szCs w:val="22"/>
          <w:lang w:val="es-ES_tradnl"/>
        </w:rPr>
      </w:pPr>
      <w:r w:rsidRPr="004968D8">
        <w:rPr>
          <w:rFonts w:ascii="Arial" w:eastAsia="Calibri" w:hAnsi="Arial" w:cs="Arial"/>
          <w:noProof/>
          <w:color w:val="000000" w:themeColor="text1"/>
          <w:lang w:val="es-ES_tradnl"/>
        </w:rPr>
        <w:drawing>
          <wp:inline distT="0" distB="0" distL="0" distR="0" wp14:anchorId="73BE10CC" wp14:editId="5D976169">
            <wp:extent cx="2730174" cy="733644"/>
            <wp:effectExtent l="0" t="0" r="0" b="9525"/>
            <wp:docPr id="3167007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00756" name=""/>
                    <pic:cNvPicPr/>
                  </pic:nvPicPr>
                  <pic:blipFill>
                    <a:blip r:embed="rId11"/>
                    <a:stretch>
                      <a:fillRect/>
                    </a:stretch>
                  </pic:blipFill>
                  <pic:spPr>
                    <a:xfrm>
                      <a:off x="0" y="0"/>
                      <a:ext cx="2762288" cy="742274"/>
                    </a:xfrm>
                    <a:prstGeom prst="rect">
                      <a:avLst/>
                    </a:prstGeom>
                  </pic:spPr>
                </pic:pic>
              </a:graphicData>
            </a:graphic>
          </wp:inline>
        </w:drawing>
      </w:r>
    </w:p>
    <w:p w14:paraId="728898C3" w14:textId="77777777" w:rsidR="00E226F9" w:rsidRPr="00B9713F" w:rsidRDefault="00E226F9" w:rsidP="00E226F9">
      <w:pPr>
        <w:pStyle w:val="Sinespaciado"/>
        <w:rPr>
          <w:rFonts w:ascii="Arial" w:hAnsi="Arial" w:cs="Arial"/>
          <w:lang w:val="es-ES"/>
        </w:rPr>
      </w:pPr>
      <w:bookmarkStart w:id="2" w:name="_Hlk143851769"/>
      <w:r w:rsidRPr="00B9713F">
        <w:rPr>
          <w:rFonts w:ascii="Arial" w:hAnsi="Arial" w:cs="Arial"/>
          <w:lang w:val="es-ES"/>
        </w:rPr>
        <w:t>Señor</w:t>
      </w:r>
    </w:p>
    <w:p w14:paraId="7D5952D8" w14:textId="77777777" w:rsidR="00E226F9" w:rsidRPr="00B9713F" w:rsidRDefault="00E226F9" w:rsidP="00E226F9">
      <w:pPr>
        <w:pStyle w:val="Sinespaciado"/>
        <w:rPr>
          <w:rFonts w:ascii="Arial" w:hAnsi="Arial" w:cs="Arial"/>
          <w:b/>
          <w:bCs/>
          <w:lang w:val="es-ES"/>
        </w:rPr>
      </w:pPr>
      <w:r w:rsidRPr="00B9713F">
        <w:rPr>
          <w:rFonts w:ascii="Arial" w:hAnsi="Arial" w:cs="Arial"/>
          <w:b/>
          <w:bCs/>
          <w:lang w:val="es-ES"/>
        </w:rPr>
        <w:t>Diddier Yovanny Millán López</w:t>
      </w:r>
    </w:p>
    <w:p w14:paraId="66CC18C9" w14:textId="77777777" w:rsidR="00E226F9" w:rsidRPr="00B9713F" w:rsidRDefault="00E226F9" w:rsidP="00E226F9">
      <w:pPr>
        <w:pStyle w:val="Sinespaciado"/>
        <w:rPr>
          <w:rFonts w:ascii="Arial" w:hAnsi="Arial" w:cs="Arial"/>
          <w:lang w:val="es-ES"/>
        </w:rPr>
      </w:pPr>
      <w:r w:rsidRPr="00B9713F">
        <w:rPr>
          <w:rFonts w:ascii="Arial" w:hAnsi="Arial" w:cs="Arial"/>
          <w:lang w:val="es-ES"/>
        </w:rPr>
        <w:t>utopiadm@gmail.com</w:t>
      </w:r>
    </w:p>
    <w:p w14:paraId="3EDFBBA6" w14:textId="77777777" w:rsidR="00E226F9" w:rsidRPr="00B9713F" w:rsidRDefault="00E226F9" w:rsidP="00E226F9">
      <w:pPr>
        <w:pStyle w:val="Sinespaciado"/>
        <w:rPr>
          <w:rFonts w:ascii="Arial" w:hAnsi="Arial" w:cs="Arial"/>
          <w:lang w:val="es-ES_tradnl"/>
        </w:rPr>
      </w:pPr>
      <w:r w:rsidRPr="00B9713F">
        <w:rPr>
          <w:rFonts w:ascii="Arial" w:hAnsi="Arial" w:cs="Arial"/>
          <w:bCs/>
          <w:lang w:val="es-ES_tradnl"/>
        </w:rPr>
        <w:t>Manizales</w:t>
      </w:r>
      <w:r w:rsidRPr="00B9713F">
        <w:rPr>
          <w:rFonts w:ascii="Arial" w:hAnsi="Arial" w:cs="Arial"/>
          <w:lang w:val="es-ES_tradnl"/>
        </w:rPr>
        <w:t>, Caldas</w:t>
      </w:r>
    </w:p>
    <w:p w14:paraId="282EA6F9" w14:textId="29ABDC11" w:rsidR="00E226F9" w:rsidRPr="00B9713F" w:rsidRDefault="00E226F9" w:rsidP="004968D8">
      <w:pPr>
        <w:jc w:val="right"/>
        <w:rPr>
          <w:rFonts w:ascii="Arial" w:eastAsia="Calibri" w:hAnsi="Arial" w:cs="Arial"/>
          <w:color w:val="000000" w:themeColor="text1"/>
          <w:lang w:val="es-ES_tradnl"/>
        </w:rPr>
      </w:pPr>
    </w:p>
    <w:p w14:paraId="20C865DE" w14:textId="77777777" w:rsidR="00E226F9" w:rsidRPr="00B9713F" w:rsidRDefault="00E226F9" w:rsidP="00E226F9">
      <w:pPr>
        <w:ind w:left="2694"/>
        <w:rPr>
          <w:rFonts w:ascii="Arial" w:eastAsia="Calibri" w:hAnsi="Arial" w:cs="Arial"/>
          <w:b/>
          <w:bCs/>
          <w:color w:val="000000" w:themeColor="text1"/>
          <w:lang w:val="es-ES"/>
        </w:rPr>
      </w:pPr>
      <w:r w:rsidRPr="00B9713F">
        <w:rPr>
          <w:rFonts w:ascii="Arial" w:eastAsia="Calibri" w:hAnsi="Arial" w:cs="Arial"/>
          <w:b/>
          <w:bCs/>
          <w:color w:val="000000" w:themeColor="text1"/>
          <w:lang w:val="es-ES"/>
        </w:rPr>
        <w:t>Concepto C-389 de 2023</w:t>
      </w:r>
    </w:p>
    <w:p w14:paraId="42F8AD18" w14:textId="77777777" w:rsidR="00E226F9" w:rsidRPr="00B9713F" w:rsidRDefault="00E226F9" w:rsidP="00E226F9">
      <w:pPr>
        <w:jc w:val="both"/>
        <w:rPr>
          <w:rFonts w:ascii="Arial" w:eastAsia="Calibri" w:hAnsi="Arial" w:cs="Arial"/>
          <w:color w:val="000000" w:themeColor="text1"/>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226F9" w:rsidRPr="00B9713F" w14:paraId="7D5623F8" w14:textId="77777777" w:rsidTr="000137EC">
        <w:trPr>
          <w:jc w:val="right"/>
        </w:trPr>
        <w:tc>
          <w:tcPr>
            <w:tcW w:w="1838" w:type="dxa"/>
          </w:tcPr>
          <w:p w14:paraId="59155B71" w14:textId="77777777" w:rsidR="00E226F9" w:rsidRPr="00B9713F" w:rsidRDefault="00E226F9" w:rsidP="000137EC">
            <w:pPr>
              <w:rPr>
                <w:rFonts w:ascii="Arial" w:eastAsia="Calibri" w:hAnsi="Arial" w:cs="Arial"/>
                <w:color w:val="000000" w:themeColor="text1"/>
                <w:lang w:val="es-ES_tradnl"/>
              </w:rPr>
            </w:pPr>
            <w:r w:rsidRPr="00B9713F">
              <w:rPr>
                <w:rFonts w:ascii="Arial" w:eastAsia="Calibri" w:hAnsi="Arial" w:cs="Arial"/>
                <w:b/>
                <w:color w:val="000000" w:themeColor="text1"/>
                <w:lang w:val="es-ES_tradnl"/>
              </w:rPr>
              <w:t>Temas:</w:t>
            </w:r>
          </w:p>
        </w:tc>
        <w:tc>
          <w:tcPr>
            <w:tcW w:w="6237" w:type="dxa"/>
          </w:tcPr>
          <w:p w14:paraId="2361E335" w14:textId="77777777" w:rsidR="00E226F9" w:rsidRPr="00B9713F" w:rsidRDefault="00E226F9" w:rsidP="000137EC">
            <w:pPr>
              <w:jc w:val="both"/>
              <w:rPr>
                <w:rFonts w:ascii="Arial" w:hAnsi="Arial" w:cs="Arial"/>
                <w:color w:val="000000" w:themeColor="text1"/>
                <w:lang w:val="es-ES_tradnl"/>
              </w:rPr>
            </w:pPr>
            <w:r w:rsidRPr="00B9713F">
              <w:rPr>
                <w:rFonts w:ascii="Arial" w:eastAsia="Calibri" w:hAnsi="Arial" w:cs="Arial"/>
                <w:bCs/>
                <w:color w:val="000000" w:themeColor="text1"/>
                <w:lang w:val="es-ES_tradnl"/>
              </w:rPr>
              <w:t xml:space="preserve">LEY DE EMPRENDIMIENTO – Ley 2069 de 2020 – Vigencia / MIPYMES – Artículo 34 de la Ley 2069 de 2020 – </w:t>
            </w:r>
            <w:r>
              <w:rPr>
                <w:rFonts w:ascii="Arial" w:eastAsia="Calibri" w:hAnsi="Arial" w:cs="Arial"/>
                <w:bCs/>
                <w:color w:val="000000" w:themeColor="text1"/>
                <w:lang w:val="es-ES_tradnl"/>
              </w:rPr>
              <w:t>A</w:t>
            </w:r>
            <w:r w:rsidRPr="00B9713F">
              <w:rPr>
                <w:rFonts w:ascii="Arial" w:eastAsia="Calibri" w:hAnsi="Arial" w:cs="Arial"/>
                <w:bCs/>
                <w:color w:val="000000" w:themeColor="text1"/>
                <w:lang w:val="es-ES_tradnl"/>
              </w:rPr>
              <w:t>rtículo 5 del Decreto 1860 de 2021 –</w:t>
            </w:r>
            <w:r>
              <w:rPr>
                <w:rFonts w:ascii="Arial" w:eastAsia="Calibri" w:hAnsi="Arial" w:cs="Arial"/>
                <w:bCs/>
                <w:color w:val="000000" w:themeColor="text1"/>
                <w:lang w:val="es-ES_tradnl"/>
              </w:rPr>
              <w:t xml:space="preserve"> </w:t>
            </w:r>
            <w:r w:rsidRPr="00B9713F">
              <w:rPr>
                <w:rFonts w:ascii="Arial" w:eastAsia="Calibri" w:hAnsi="Arial" w:cs="Arial"/>
                <w:bCs/>
                <w:color w:val="000000" w:themeColor="text1"/>
                <w:lang w:val="es-ES_tradnl"/>
              </w:rPr>
              <w:t>Convocatorias limitadas territorialmente</w:t>
            </w:r>
            <w:r>
              <w:rPr>
                <w:rFonts w:ascii="Arial" w:eastAsia="Calibri" w:hAnsi="Arial" w:cs="Arial"/>
                <w:bCs/>
                <w:color w:val="000000" w:themeColor="text1"/>
                <w:lang w:val="es-ES_tradnl"/>
              </w:rPr>
              <w:t xml:space="preserve"> </w:t>
            </w:r>
            <w:r w:rsidRPr="00B9713F">
              <w:rPr>
                <w:rFonts w:ascii="Arial" w:eastAsia="Calibri" w:hAnsi="Arial" w:cs="Arial"/>
                <w:bCs/>
                <w:color w:val="000000" w:themeColor="text1"/>
                <w:lang w:val="es-ES_tradnl"/>
              </w:rPr>
              <w:t>–</w:t>
            </w:r>
            <w:r>
              <w:rPr>
                <w:rFonts w:ascii="Arial" w:eastAsia="Calibri" w:hAnsi="Arial" w:cs="Arial"/>
                <w:bCs/>
                <w:color w:val="000000" w:themeColor="text1"/>
                <w:lang w:val="es-ES_tradnl"/>
              </w:rPr>
              <w:t xml:space="preserve"> </w:t>
            </w:r>
            <w:r w:rsidRPr="00B9713F">
              <w:rPr>
                <w:rFonts w:ascii="Arial" w:eastAsia="Calibri" w:hAnsi="Arial" w:cs="Arial"/>
                <w:bCs/>
                <w:color w:val="000000" w:themeColor="text1"/>
                <w:lang w:val="es-ES_tradnl"/>
              </w:rPr>
              <w:t>Vigencia / CONVOCATORIAS LIMITADAS A MIPYMES – Limitación territorial – Consorcios y uniones temporales – Requisitos</w:t>
            </w:r>
          </w:p>
        </w:tc>
      </w:tr>
      <w:tr w:rsidR="00E226F9" w:rsidRPr="00B9713F" w14:paraId="187154A2" w14:textId="77777777" w:rsidTr="000137EC">
        <w:trPr>
          <w:jc w:val="right"/>
        </w:trPr>
        <w:tc>
          <w:tcPr>
            <w:tcW w:w="1838" w:type="dxa"/>
          </w:tcPr>
          <w:p w14:paraId="6CAED861" w14:textId="77777777" w:rsidR="00E226F9" w:rsidRPr="00B9713F" w:rsidRDefault="00E226F9" w:rsidP="000137EC">
            <w:pPr>
              <w:spacing w:before="120"/>
              <w:rPr>
                <w:rFonts w:ascii="Arial" w:eastAsia="Calibri" w:hAnsi="Arial" w:cs="Arial"/>
                <w:b/>
                <w:color w:val="000000" w:themeColor="text1"/>
                <w:lang w:val="es-ES"/>
              </w:rPr>
            </w:pPr>
            <w:r w:rsidRPr="00B9713F">
              <w:rPr>
                <w:rFonts w:ascii="Arial" w:eastAsia="Calibri" w:hAnsi="Arial" w:cs="Arial"/>
                <w:b/>
                <w:color w:val="000000" w:themeColor="text1"/>
                <w:lang w:val="es-ES"/>
              </w:rPr>
              <w:t>Radicación:</w:t>
            </w:r>
          </w:p>
        </w:tc>
        <w:tc>
          <w:tcPr>
            <w:tcW w:w="6237" w:type="dxa"/>
          </w:tcPr>
          <w:p w14:paraId="0AAFE1AD" w14:textId="77777777" w:rsidR="00E226F9" w:rsidRPr="00B9713F" w:rsidRDefault="00E226F9" w:rsidP="000137EC">
            <w:pPr>
              <w:spacing w:before="120"/>
              <w:jc w:val="both"/>
              <w:rPr>
                <w:rFonts w:ascii="Arial" w:eastAsia="Calibri" w:hAnsi="Arial" w:cs="Arial"/>
                <w:color w:val="000000" w:themeColor="text1"/>
                <w:lang w:val="es-ES"/>
              </w:rPr>
            </w:pPr>
            <w:r w:rsidRPr="00B9713F">
              <w:rPr>
                <w:rFonts w:ascii="Arial" w:eastAsia="Calibri" w:hAnsi="Arial" w:cs="Arial"/>
                <w:color w:val="000000" w:themeColor="text1"/>
                <w:lang w:val="es-ES"/>
              </w:rPr>
              <w:t>Respuesta a consulta P20230811014140</w:t>
            </w:r>
          </w:p>
        </w:tc>
      </w:tr>
    </w:tbl>
    <w:p w14:paraId="4EC899D3" w14:textId="77777777" w:rsidR="00E226F9" w:rsidRPr="00B9713F" w:rsidRDefault="00E226F9" w:rsidP="00E226F9">
      <w:pPr>
        <w:jc w:val="both"/>
        <w:rPr>
          <w:rFonts w:ascii="Arial" w:eastAsia="Calibri" w:hAnsi="Arial" w:cs="Arial"/>
          <w:color w:val="000000" w:themeColor="text1"/>
          <w:lang w:val="es-ES_tradnl"/>
        </w:rPr>
      </w:pPr>
    </w:p>
    <w:p w14:paraId="00C21EBB" w14:textId="77777777" w:rsidR="00E226F9" w:rsidRPr="00B9713F" w:rsidRDefault="00E226F9" w:rsidP="00E226F9">
      <w:pPr>
        <w:jc w:val="both"/>
        <w:rPr>
          <w:rFonts w:ascii="Arial" w:eastAsia="Calibri" w:hAnsi="Arial" w:cs="Arial"/>
          <w:color w:val="000000" w:themeColor="text1"/>
          <w:lang w:val="es-ES_tradnl"/>
        </w:rPr>
      </w:pPr>
    </w:p>
    <w:p w14:paraId="32218EB4" w14:textId="77777777" w:rsidR="00E226F9" w:rsidRPr="00B9713F" w:rsidRDefault="00E226F9" w:rsidP="00E226F9">
      <w:pPr>
        <w:jc w:val="both"/>
        <w:rPr>
          <w:rFonts w:ascii="Arial" w:eastAsia="Calibri" w:hAnsi="Arial" w:cs="Arial"/>
          <w:bCs/>
          <w:color w:val="000000" w:themeColor="text1"/>
          <w:lang w:val="es-ES_tradnl"/>
        </w:rPr>
      </w:pPr>
      <w:r w:rsidRPr="00B9713F">
        <w:rPr>
          <w:rFonts w:ascii="Arial" w:eastAsia="Calibri" w:hAnsi="Arial" w:cs="Arial"/>
          <w:color w:val="000000" w:themeColor="text1"/>
          <w:lang w:val="es-ES_tradnl"/>
        </w:rPr>
        <w:t xml:space="preserve">Estimado señor </w:t>
      </w:r>
      <w:r w:rsidRPr="00B9713F">
        <w:rPr>
          <w:rFonts w:ascii="Arial" w:eastAsia="Calibri" w:hAnsi="Arial" w:cs="Arial"/>
          <w:bCs/>
          <w:color w:val="000000" w:themeColor="text1"/>
          <w:lang w:val="es-ES_tradnl"/>
        </w:rPr>
        <w:t>Millán López:</w:t>
      </w:r>
    </w:p>
    <w:p w14:paraId="4C6C4DA8" w14:textId="77777777" w:rsidR="00E226F9" w:rsidRPr="00B9713F" w:rsidRDefault="00E226F9" w:rsidP="00E226F9">
      <w:pPr>
        <w:jc w:val="both"/>
        <w:rPr>
          <w:rFonts w:ascii="Arial" w:eastAsia="Calibri" w:hAnsi="Arial" w:cs="Arial"/>
          <w:color w:val="000000" w:themeColor="text1"/>
          <w:lang w:val="es-ES_tradnl"/>
        </w:rPr>
      </w:pPr>
    </w:p>
    <w:p w14:paraId="71EC0932" w14:textId="77777777" w:rsidR="00E226F9" w:rsidRPr="00B9713F" w:rsidRDefault="00E226F9" w:rsidP="00E226F9">
      <w:pPr>
        <w:spacing w:line="276" w:lineRule="auto"/>
        <w:jc w:val="both"/>
        <w:rPr>
          <w:rFonts w:ascii="Arial" w:eastAsia="Calibri" w:hAnsi="Arial" w:cs="Arial"/>
          <w:color w:val="000000" w:themeColor="text1"/>
          <w:lang w:val="es-ES"/>
        </w:rPr>
      </w:pPr>
      <w:r w:rsidRPr="00B9713F">
        <w:rPr>
          <w:rFonts w:ascii="Arial" w:eastAsia="Calibri" w:hAnsi="Arial" w:cs="Arial"/>
          <w:color w:val="000000" w:themeColor="text1"/>
          <w:lang w:val="es-ES"/>
        </w:rPr>
        <w:t>En ejercicio de la competencia otorgada por el numeral 8° del artículo 11 y el numeral 5° del artículo 3 del Decreto Ley 4170 de 2011</w:t>
      </w:r>
      <w:r w:rsidRPr="00B9713F">
        <w:rPr>
          <w:rFonts w:ascii="Arial" w:eastAsia="Calibri" w:hAnsi="Arial" w:cs="Arial"/>
          <w:color w:val="000000" w:themeColor="text1"/>
        </w:rPr>
        <w:t xml:space="preserve">, </w:t>
      </w:r>
      <w:r w:rsidRPr="00B9713F">
        <w:rPr>
          <w:rFonts w:ascii="Arial" w:hAnsi="Arial" w:cs="Arial"/>
          <w:color w:val="000000" w:themeColor="text1"/>
        </w:rPr>
        <w:t>así como lo establecido en la Resolución 1707 de 2018 expedida por esta Entidad</w:t>
      </w:r>
      <w:r w:rsidRPr="00B9713F">
        <w:rPr>
          <w:rFonts w:ascii="Arial" w:eastAsia="Calibri" w:hAnsi="Arial" w:cs="Arial"/>
          <w:color w:val="000000" w:themeColor="text1"/>
          <w:lang w:val="es-ES"/>
        </w:rPr>
        <w:t>, la Agencia Nacional de Contratación Pública ― Colombia Compra Eficiente responde su consulta del 11 de agosto de 2023.</w:t>
      </w:r>
    </w:p>
    <w:p w14:paraId="0729BF8C" w14:textId="77777777" w:rsidR="00E226F9" w:rsidRPr="00B9713F" w:rsidRDefault="00E226F9" w:rsidP="00E226F9">
      <w:pPr>
        <w:spacing w:line="276" w:lineRule="auto"/>
        <w:jc w:val="both"/>
        <w:rPr>
          <w:rFonts w:ascii="Arial" w:eastAsia="Calibri" w:hAnsi="Arial" w:cs="Arial"/>
          <w:b/>
          <w:color w:val="000000" w:themeColor="text1"/>
          <w:lang w:val="es-ES_tradnl"/>
        </w:rPr>
      </w:pPr>
    </w:p>
    <w:p w14:paraId="67A6256A" w14:textId="77777777" w:rsidR="00E226F9" w:rsidRPr="00B9713F" w:rsidRDefault="00E226F9" w:rsidP="00E226F9">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lang w:val="es-ES_tradnl"/>
        </w:rPr>
      </w:pPr>
      <w:r w:rsidRPr="00B9713F">
        <w:rPr>
          <w:rFonts w:ascii="Arial" w:eastAsia="Calibri" w:hAnsi="Arial" w:cs="Arial"/>
          <w:b/>
          <w:color w:val="000000" w:themeColor="text1"/>
          <w:lang w:val="es-ES_tradnl"/>
        </w:rPr>
        <w:t xml:space="preserve">Problema planteado </w:t>
      </w:r>
    </w:p>
    <w:p w14:paraId="6BF63F41" w14:textId="77777777" w:rsidR="00E226F9" w:rsidRPr="00B9713F" w:rsidRDefault="00E226F9" w:rsidP="00E226F9">
      <w:pPr>
        <w:tabs>
          <w:tab w:val="left" w:pos="426"/>
        </w:tabs>
        <w:spacing w:line="276" w:lineRule="auto"/>
        <w:jc w:val="both"/>
        <w:rPr>
          <w:rFonts w:ascii="Arial" w:eastAsia="Calibri" w:hAnsi="Arial" w:cs="Arial"/>
          <w:b/>
          <w:color w:val="000000" w:themeColor="text1"/>
          <w:lang w:val="es-ES_tradnl"/>
        </w:rPr>
      </w:pPr>
    </w:p>
    <w:p w14:paraId="60E58218" w14:textId="77777777" w:rsidR="00E226F9" w:rsidRPr="00AA2221" w:rsidRDefault="00E226F9" w:rsidP="00E226F9">
      <w:pPr>
        <w:spacing w:line="276" w:lineRule="auto"/>
        <w:jc w:val="both"/>
        <w:rPr>
          <w:rFonts w:ascii="Arial" w:hAnsi="Arial" w:cs="Arial"/>
          <w:i/>
          <w:iCs/>
          <w:color w:val="000000" w:themeColor="text1"/>
        </w:rPr>
      </w:pPr>
      <w:r w:rsidRPr="59B8896D">
        <w:rPr>
          <w:rFonts w:ascii="Arial" w:hAnsi="Arial" w:cs="Arial"/>
          <w:color w:val="000000" w:themeColor="text1"/>
          <w:lang w:val="es-ES"/>
        </w:rPr>
        <w:t xml:space="preserve">En relación con el artículo </w:t>
      </w:r>
      <w:r w:rsidRPr="00B9713F">
        <w:rPr>
          <w:rFonts w:ascii="Arial" w:hAnsi="Arial" w:cs="Arial"/>
          <w:color w:val="000000" w:themeColor="text1"/>
        </w:rPr>
        <w:t>2.2.1.2.4.2.2.</w:t>
      </w:r>
      <w:r w:rsidRPr="59B8896D">
        <w:rPr>
          <w:rFonts w:ascii="Arial" w:hAnsi="Arial" w:cs="Arial"/>
          <w:color w:val="000000" w:themeColor="text1"/>
          <w:lang w:val="es-ES"/>
        </w:rPr>
        <w:t xml:space="preserve"> del Decreto 1082 de 2015, modificado por el artículo 5 del Decreto 1860 de 2021, usted realiza la siguiente consulta: </w:t>
      </w:r>
      <w:bookmarkStart w:id="3" w:name="_Hlk95313578"/>
      <w:r w:rsidRPr="59B8896D">
        <w:rPr>
          <w:rFonts w:ascii="Arial" w:hAnsi="Arial" w:cs="Arial"/>
          <w:color w:val="000000" w:themeColor="text1"/>
          <w:lang w:val="es-ES"/>
        </w:rPr>
        <w:t>“</w:t>
      </w:r>
      <w:r w:rsidRPr="00B9713F">
        <w:rPr>
          <w:rFonts w:ascii="Arial" w:hAnsi="Arial" w:cs="Arial"/>
          <w:color w:val="000000" w:themeColor="text1"/>
        </w:rPr>
        <w:t xml:space="preserve">[…] </w:t>
      </w:r>
      <w:r w:rsidRPr="00AA2221">
        <w:rPr>
          <w:rFonts w:ascii="Arial" w:hAnsi="Arial" w:cs="Arial"/>
          <w:i/>
          <w:iCs/>
          <w:color w:val="000000" w:themeColor="text1"/>
        </w:rPr>
        <w:t xml:space="preserve">…si dentro de un proceso limitado a mipyme Departamental radica propuesta un proponente plural (consorcio - unión temporal), pero en el acuerdo consorcial se evidencia que uno de los miembros no es del Departamento y/o Municipio frente al cual se realizo (sic) la limitación de mipyme; ejemplo un proceso de limita a mipyme Departamental Caldas y presenta propuesta un consorcio conformado por una mipyme con domicilio en caldas y el otro consorciado es mipyme del departamento de amazonas. La anterior situación se traduce en una causal de rechazo de la </w:t>
      </w:r>
      <w:r w:rsidRPr="00AA2221">
        <w:rPr>
          <w:rFonts w:ascii="Arial" w:hAnsi="Arial" w:cs="Arial"/>
          <w:i/>
          <w:iCs/>
          <w:color w:val="000000" w:themeColor="text1"/>
        </w:rPr>
        <w:lastRenderedPageBreak/>
        <w:t xml:space="preserve">propuesta en razón que uno de los consorciado no cumple con el requisito de la limitación a mipyme. De otra parte si el acuerdo consorcial esta (sic) firmado y suscrito en el territorio del Departamento de Caldas pero los miembros del consorcio uno es mipyme con domicilio en Caldas, pero el otro es mipyme del Amazonas; el proponente plural aporta acta de constitución del consorcio en documento privado y que se aporta en su propuesta con fechado y suscrito en el territorio caldense, esta situación habilita al consorcio y a su (sic) miembros a participar como proponente mipyme Departamental. Lo anterior en razón que la norma que regula la limitación a mipyme nada dice sobre las condiciones de domicilio que deben acreditar sus miembros y si esta condición de mypime departamental y/o municipal puede ser cumplida solo por uno de lo (sic) miembros del consorcio y/o unión temporal o si por el contrario es una condición que deben acreditar todos los miembros que conforman el consorcio y/o la unión temporal en un proceso limitado a mipyme territorial </w:t>
      </w:r>
    </w:p>
    <w:p w14:paraId="5FBCB8B2" w14:textId="77777777" w:rsidR="00E226F9" w:rsidRDefault="00E226F9" w:rsidP="00E226F9">
      <w:pPr>
        <w:spacing w:line="276" w:lineRule="auto"/>
        <w:jc w:val="both"/>
        <w:rPr>
          <w:rFonts w:ascii="Arial" w:hAnsi="Arial" w:cs="Arial"/>
          <w:color w:val="000000" w:themeColor="text1"/>
          <w:lang w:val="es-ES_tradnl"/>
        </w:rPr>
      </w:pPr>
      <w:r w:rsidRPr="00B9713F">
        <w:rPr>
          <w:rFonts w:ascii="Arial" w:hAnsi="Arial" w:cs="Arial"/>
          <w:color w:val="000000" w:themeColor="text1"/>
        </w:rPr>
        <w:t>[…]</w:t>
      </w:r>
      <w:bookmarkEnd w:id="3"/>
      <w:r w:rsidRPr="00B9713F">
        <w:rPr>
          <w:rFonts w:ascii="Arial" w:hAnsi="Arial" w:cs="Arial"/>
          <w:color w:val="000000" w:themeColor="text1"/>
        </w:rPr>
        <w:t>.</w:t>
      </w:r>
      <w:r>
        <w:rPr>
          <w:rFonts w:ascii="Arial" w:hAnsi="Arial" w:cs="Arial"/>
          <w:color w:val="000000" w:themeColor="text1"/>
        </w:rPr>
        <w:t xml:space="preserve"> (SIC)</w:t>
      </w:r>
      <w:r w:rsidRPr="00B9713F">
        <w:rPr>
          <w:rFonts w:ascii="Arial" w:hAnsi="Arial" w:cs="Arial"/>
          <w:color w:val="000000" w:themeColor="text1"/>
          <w:lang w:val="es-ES_tradnl"/>
        </w:rPr>
        <w:t>”</w:t>
      </w:r>
    </w:p>
    <w:p w14:paraId="660666AB" w14:textId="77777777" w:rsidR="00E226F9" w:rsidRPr="00B9713F" w:rsidRDefault="00E226F9" w:rsidP="00E226F9">
      <w:pPr>
        <w:spacing w:line="276" w:lineRule="auto"/>
        <w:jc w:val="both"/>
        <w:rPr>
          <w:rFonts w:ascii="Arial" w:hAnsi="Arial" w:cs="Arial"/>
          <w:color w:val="000000" w:themeColor="text1"/>
          <w:lang w:val="es-ES_tradnl"/>
        </w:rPr>
      </w:pPr>
    </w:p>
    <w:p w14:paraId="1E9D9E71" w14:textId="77777777" w:rsidR="00E226F9" w:rsidRPr="00B9713F" w:rsidRDefault="00E226F9" w:rsidP="00E226F9">
      <w:pPr>
        <w:pStyle w:val="Prrafodelista"/>
        <w:numPr>
          <w:ilvl w:val="0"/>
          <w:numId w:val="1"/>
        </w:numPr>
        <w:tabs>
          <w:tab w:val="left" w:pos="284"/>
        </w:tabs>
        <w:ind w:left="0" w:firstLine="0"/>
        <w:jc w:val="both"/>
        <w:rPr>
          <w:rFonts w:ascii="Arial" w:eastAsia="Calibri" w:hAnsi="Arial" w:cs="Arial"/>
          <w:b/>
          <w:bCs/>
          <w:color w:val="000000" w:themeColor="text1"/>
        </w:rPr>
      </w:pPr>
      <w:r w:rsidRPr="45E515D6">
        <w:rPr>
          <w:rFonts w:ascii="Arial" w:eastAsia="Calibri" w:hAnsi="Arial" w:cs="Arial"/>
          <w:b/>
          <w:bCs/>
          <w:color w:val="000000" w:themeColor="text1"/>
        </w:rPr>
        <w:t>Consideraciones</w:t>
      </w:r>
    </w:p>
    <w:p w14:paraId="1FD4133E" w14:textId="77777777" w:rsidR="00E226F9" w:rsidRDefault="00E226F9" w:rsidP="00E226F9">
      <w:pPr>
        <w:tabs>
          <w:tab w:val="left" w:pos="284"/>
        </w:tabs>
        <w:jc w:val="both"/>
        <w:rPr>
          <w:rFonts w:ascii="Geomanist Light" w:eastAsia="Calibri" w:hAnsi="Geomanist Light"/>
          <w:b/>
          <w:bCs/>
          <w:color w:val="000000" w:themeColor="text1"/>
          <w:lang w:val="es-ES"/>
        </w:rPr>
      </w:pPr>
    </w:p>
    <w:p w14:paraId="25F30239" w14:textId="77777777" w:rsidR="00E226F9" w:rsidRPr="00B9713F" w:rsidRDefault="00E226F9" w:rsidP="00E226F9">
      <w:pPr>
        <w:spacing w:after="120" w:line="276" w:lineRule="auto"/>
        <w:jc w:val="both"/>
        <w:rPr>
          <w:rFonts w:ascii="Arial" w:hAnsi="Arial" w:cs="Arial"/>
          <w:color w:val="000000" w:themeColor="text1"/>
          <w:lang w:val="es-ES"/>
        </w:rPr>
      </w:pPr>
      <w:bookmarkStart w:id="4" w:name="_Hlk143072095"/>
      <w:r w:rsidRPr="00B9713F">
        <w:rPr>
          <w:rFonts w:ascii="Arial" w:hAnsi="Arial" w:cs="Arial"/>
          <w:color w:val="000000" w:themeColor="text1"/>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5" w:name="_Hlk61701014"/>
      <w:bookmarkStart w:id="6" w:name="_Hlk62136649"/>
      <w:r w:rsidRPr="00B9713F">
        <w:rPr>
          <w:rFonts w:ascii="Arial" w:hAnsi="Arial" w:cs="Arial"/>
          <w:color w:val="000000" w:themeColor="text1"/>
        </w:rPr>
        <w:t xml:space="preserve">. </w:t>
      </w:r>
      <w:r w:rsidRPr="00B9713F">
        <w:rPr>
          <w:rFonts w:ascii="Arial" w:hAnsi="Arial" w:cs="Arial"/>
          <w:color w:val="000000" w:themeColor="text1"/>
          <w:lang w:val="es-ES"/>
        </w:rPr>
        <w:t xml:space="preserve">Es necesario tener en cuenta que </w:t>
      </w:r>
      <w:bookmarkStart w:id="7" w:name="_Hlk61026958"/>
      <w:r w:rsidRPr="00B9713F">
        <w:rPr>
          <w:rFonts w:ascii="Arial" w:hAnsi="Arial" w:cs="Arial"/>
          <w:color w:val="000000" w:themeColor="text1"/>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9713F">
        <w:rPr>
          <w:rFonts w:ascii="Arial" w:hAnsi="Arial" w:cs="Arial"/>
          <w:color w:val="000000" w:themeColor="text1"/>
        </w:rPr>
        <w:t xml:space="preserve"> de todos los partícipes de la contratación estatal.</w:t>
      </w:r>
    </w:p>
    <w:p w14:paraId="76A9103B" w14:textId="77777777" w:rsidR="00E226F9" w:rsidRPr="00B9713F" w:rsidRDefault="00E226F9" w:rsidP="00E226F9">
      <w:pPr>
        <w:spacing w:after="120" w:line="276" w:lineRule="auto"/>
        <w:ind w:firstLine="708"/>
        <w:jc w:val="both"/>
        <w:rPr>
          <w:rFonts w:ascii="Arial" w:hAnsi="Arial" w:cs="Arial"/>
          <w:color w:val="000000" w:themeColor="text1"/>
          <w:lang w:val="es-ES"/>
        </w:rPr>
      </w:pPr>
      <w:r w:rsidRPr="00B9713F">
        <w:rPr>
          <w:rFonts w:ascii="Arial" w:hAnsi="Arial" w:cs="Arial"/>
          <w:color w:val="000000" w:themeColor="text1"/>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9713F">
        <w:rPr>
          <w:rFonts w:ascii="Arial" w:hAnsi="Arial" w:cs="Arial"/>
          <w:color w:val="000000" w:themeColor="text1"/>
          <w:vertAlign w:val="superscript"/>
          <w:lang w:val="es-ES"/>
        </w:rPr>
        <w:footnoteReference w:id="2"/>
      </w:r>
      <w:r w:rsidRPr="00B9713F">
        <w:rPr>
          <w:rFonts w:ascii="Arial" w:hAnsi="Arial" w:cs="Arial"/>
          <w:color w:val="000000" w:themeColor="text1"/>
          <w:lang w:val="es-ES"/>
        </w:rPr>
        <w:t xml:space="preserve">. Esta competencia de interpretación de normas generales, por </w:t>
      </w:r>
      <w:r w:rsidRPr="00B9713F">
        <w:rPr>
          <w:rFonts w:ascii="Arial" w:hAnsi="Arial" w:cs="Arial"/>
          <w:color w:val="000000" w:themeColor="text1"/>
          <w:lang w:val="es-ES"/>
        </w:rPr>
        <w:lastRenderedPageBreak/>
        <w:t>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7"/>
      <w:r w:rsidRPr="00B9713F">
        <w:rPr>
          <w:rFonts w:ascii="Arial" w:hAnsi="Arial" w:cs="Arial"/>
          <w:color w:val="000000" w:themeColor="text1"/>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p>
    <w:bookmarkEnd w:id="6"/>
    <w:p w14:paraId="4EE0AB3B" w14:textId="77777777" w:rsidR="00E226F9" w:rsidRPr="00B9713F" w:rsidRDefault="00E226F9" w:rsidP="00E226F9">
      <w:pPr>
        <w:spacing w:before="120" w:line="276" w:lineRule="auto"/>
        <w:jc w:val="both"/>
        <w:rPr>
          <w:rFonts w:ascii="Arial" w:eastAsia="Calibri" w:hAnsi="Arial" w:cs="Arial"/>
          <w:color w:val="000000" w:themeColor="text1"/>
          <w:lang w:val="es-ES"/>
        </w:rPr>
      </w:pPr>
      <w:r>
        <w:rPr>
          <w:rFonts w:ascii="Arial" w:hAnsi="Arial" w:cs="Arial"/>
          <w:color w:val="000000" w:themeColor="text1"/>
        </w:rPr>
        <w:tab/>
      </w:r>
      <w:r w:rsidRPr="00B9713F">
        <w:rPr>
          <w:rFonts w:ascii="Arial" w:hAnsi="Arial" w:cs="Arial"/>
          <w:color w:val="000000" w:themeColor="text1"/>
        </w:rPr>
        <w:t>Sin perjuicio de lo anterior, la Subdirección –dentro de los límites de sus atribuciones, esto es, haciendo abstracción del caso particular expuesto por el peticionario– resolverá la consulta conforme a las normas generales en materia de contratación estatal.</w:t>
      </w:r>
      <w:bookmarkEnd w:id="4"/>
      <w:r w:rsidRPr="00B9713F">
        <w:rPr>
          <w:rFonts w:ascii="Arial" w:hAnsi="Arial" w:cs="Arial"/>
          <w:color w:val="000000" w:themeColor="text1"/>
        </w:rPr>
        <w:t xml:space="preserve"> Con este objetivo se analizarán </w:t>
      </w:r>
      <w:r w:rsidRPr="00B9713F">
        <w:rPr>
          <w:rFonts w:ascii="Arial" w:eastAsia="Calibri" w:hAnsi="Arial" w:cs="Arial"/>
          <w:color w:val="000000" w:themeColor="text1"/>
          <w:lang w:val="es-ES"/>
        </w:rPr>
        <w:t>los siguientes temas</w:t>
      </w:r>
      <w:r w:rsidRPr="00B9713F">
        <w:rPr>
          <w:rFonts w:ascii="Arial" w:hAnsi="Arial" w:cs="Arial"/>
          <w:color w:val="000000" w:themeColor="text1"/>
          <w:lang w:val="es-ES"/>
        </w:rPr>
        <w:t xml:space="preserve">: </w:t>
      </w:r>
      <w:r w:rsidRPr="59B8896D">
        <w:rPr>
          <w:rFonts w:ascii="Arial" w:eastAsia="Calibri" w:hAnsi="Arial" w:cs="Arial"/>
          <w:color w:val="000000" w:themeColor="text1"/>
          <w:lang w:val="es-ES"/>
        </w:rPr>
        <w:t xml:space="preserve">i) vigencia y ámbito de aplicación de la Ley 2069 de 2020, y ii) </w:t>
      </w:r>
      <w:r>
        <w:rPr>
          <w:rFonts w:ascii="Arial" w:eastAsia="Calibri" w:hAnsi="Arial" w:cs="Arial"/>
          <w:color w:val="000000" w:themeColor="text1"/>
          <w:lang w:val="es-ES"/>
        </w:rPr>
        <w:t>r</w:t>
      </w:r>
      <w:r w:rsidRPr="59B8896D">
        <w:rPr>
          <w:rFonts w:ascii="Arial" w:eastAsia="Calibri" w:hAnsi="Arial" w:cs="Arial"/>
          <w:color w:val="000000" w:themeColor="text1"/>
          <w:lang w:val="es-ES"/>
        </w:rPr>
        <w:t>egulación de las convocatorias limitadas a Mipymes en el ámbito territorial en el artículo 34 de la Ley 2069 de 2020 y el Decreto 1860 de 2021.</w:t>
      </w:r>
    </w:p>
    <w:p w14:paraId="1C15E3C2" w14:textId="77777777" w:rsidR="00E226F9" w:rsidRDefault="00E226F9" w:rsidP="00E226F9">
      <w:pPr>
        <w:spacing w:before="120" w:line="276" w:lineRule="auto"/>
        <w:ind w:firstLine="708"/>
        <w:jc w:val="both"/>
        <w:rPr>
          <w:rFonts w:ascii="Arial" w:eastAsia="Calibri" w:hAnsi="Arial" w:cs="Arial"/>
          <w:color w:val="000000" w:themeColor="text1"/>
          <w:lang w:val="es-ES"/>
        </w:rPr>
      </w:pPr>
      <w:r w:rsidRPr="00B9713F">
        <w:rPr>
          <w:rFonts w:ascii="Arial" w:eastAsia="Calibri" w:hAnsi="Arial" w:cs="Arial"/>
          <w:color w:val="000000" w:themeColor="text1"/>
          <w:lang w:val="es-ES"/>
        </w:rPr>
        <w:t xml:space="preserve">La Agencia Nacional de Contratación Pública – Colombia Compra Eficiente, </w:t>
      </w:r>
      <w:r>
        <w:rPr>
          <w:rFonts w:ascii="Arial" w:eastAsia="Calibri" w:hAnsi="Arial" w:cs="Arial"/>
          <w:color w:val="000000" w:themeColor="text1"/>
          <w:lang w:val="es-ES_tradnl"/>
        </w:rPr>
        <w:t xml:space="preserve">se pronunció sobre la nueva regulación de la promoción del desarrollo en la contratación estatal contenida en el artículo 34 de la Ley 2069 de 2020 </w:t>
      </w:r>
      <w:r w:rsidRPr="00B9713F">
        <w:rPr>
          <w:rFonts w:ascii="Arial" w:eastAsia="Calibri" w:hAnsi="Arial" w:cs="Arial"/>
          <w:color w:val="000000" w:themeColor="text1"/>
          <w:lang w:val="es-ES"/>
        </w:rPr>
        <w:t xml:space="preserve">en los </w:t>
      </w:r>
      <w:r w:rsidRPr="45E515D6">
        <w:rPr>
          <w:rFonts w:ascii="Arial" w:eastAsia="Calibri" w:hAnsi="Arial" w:cs="Arial"/>
          <w:color w:val="000000" w:themeColor="text1"/>
          <w:lang w:val="es-ES"/>
        </w:rPr>
        <w:t>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w:t>
      </w:r>
      <w:r>
        <w:rPr>
          <w:rFonts w:ascii="Arial" w:eastAsia="Calibri" w:hAnsi="Arial" w:cs="Arial"/>
          <w:color w:val="000000" w:themeColor="text1"/>
          <w:lang w:val="es-ES"/>
        </w:rPr>
        <w:t>,</w:t>
      </w:r>
      <w:r w:rsidRPr="45E515D6">
        <w:rPr>
          <w:rFonts w:ascii="Arial" w:eastAsia="Calibri" w:hAnsi="Arial" w:cs="Arial"/>
          <w:color w:val="000000" w:themeColor="text1"/>
          <w:lang w:val="es-ES"/>
        </w:rPr>
        <w:t xml:space="preserve"> C-455 del 31 de agosto de 2021</w:t>
      </w:r>
      <w:r>
        <w:rPr>
          <w:rFonts w:ascii="Arial" w:eastAsia="Calibri" w:hAnsi="Arial" w:cs="Arial"/>
          <w:color w:val="000000" w:themeColor="text1"/>
          <w:lang w:val="es-ES"/>
        </w:rPr>
        <w:t xml:space="preserve"> y C-643 del 10 de octubre de 2022</w:t>
      </w:r>
      <w:r w:rsidRPr="45E515D6">
        <w:rPr>
          <w:rFonts w:ascii="Arial" w:eastAsia="Calibri" w:hAnsi="Arial" w:cs="Arial"/>
          <w:color w:val="000000" w:themeColor="text1"/>
          <w:lang w:val="es-ES"/>
        </w:rPr>
        <w:t>. Sobre las limitaciones territoriales de convocatorias</w:t>
      </w:r>
      <w:r>
        <w:rPr>
          <w:rFonts w:ascii="Arial" w:eastAsia="Calibri" w:hAnsi="Arial" w:cs="Arial"/>
          <w:color w:val="000000" w:themeColor="text1"/>
          <w:lang w:val="es-ES"/>
        </w:rPr>
        <w:t xml:space="preserve"> a</w:t>
      </w:r>
      <w:r w:rsidRPr="45E515D6">
        <w:rPr>
          <w:rFonts w:ascii="Arial" w:eastAsia="Calibri" w:hAnsi="Arial" w:cs="Arial"/>
          <w:color w:val="000000" w:themeColor="text1"/>
          <w:lang w:val="es-ES"/>
        </w:rPr>
        <w:t xml:space="preserve"> MiPymes se pronunció en el </w:t>
      </w:r>
      <w:r>
        <w:rPr>
          <w:rFonts w:ascii="Arial" w:eastAsia="Calibri" w:hAnsi="Arial" w:cs="Arial"/>
          <w:color w:val="000000" w:themeColor="text1"/>
          <w:lang w:val="es-ES"/>
        </w:rPr>
        <w:t>c</w:t>
      </w:r>
      <w:r w:rsidRPr="45E515D6">
        <w:rPr>
          <w:rFonts w:ascii="Arial" w:eastAsia="Calibri" w:hAnsi="Arial" w:cs="Arial"/>
          <w:color w:val="000000" w:themeColor="text1"/>
          <w:lang w:val="es-ES"/>
        </w:rPr>
        <w:t xml:space="preserve">oncepto C-705 de 7 de diciembre de </w:t>
      </w:r>
      <w:r w:rsidRPr="45E515D6">
        <w:rPr>
          <w:rFonts w:ascii="Arial" w:eastAsia="Calibri" w:hAnsi="Arial" w:cs="Arial"/>
          <w:color w:val="000000" w:themeColor="text1"/>
          <w:lang w:val="es-ES"/>
        </w:rPr>
        <w:lastRenderedPageBreak/>
        <w:t xml:space="preserve">2020 y C-438 de 27 de septiembre de 2021, C-041 del 2 de marzo de 2022, C-315 del 18 de mayo de 2022, </w:t>
      </w:r>
      <w:r w:rsidRPr="00B9713F">
        <w:rPr>
          <w:rFonts w:ascii="Arial" w:eastAsia="Calibri" w:hAnsi="Arial" w:cs="Arial"/>
          <w:color w:val="000000" w:themeColor="text1"/>
          <w:lang w:val="es-ES"/>
        </w:rPr>
        <w:t xml:space="preserve">C-627 del 12 de septiembre de 2022, C-643 del 10 de octubre de 2022, C-662 del 13 de octubre de 2022, C-863 del 15 de diciembre de 2022 </w:t>
      </w:r>
      <w:r w:rsidRPr="45E515D6">
        <w:rPr>
          <w:rFonts w:ascii="Arial" w:eastAsia="Calibri" w:hAnsi="Arial" w:cs="Arial"/>
          <w:color w:val="000000" w:themeColor="text1"/>
          <w:lang w:val="es-ES"/>
        </w:rPr>
        <w:t>y en especial el C-485 de fecha 26 de julio de 2022, entre otros</w:t>
      </w:r>
      <w:r w:rsidRPr="00B9713F">
        <w:rPr>
          <w:rStyle w:val="Refdenotaalpie"/>
          <w:rFonts w:ascii="Arial" w:eastAsia="Calibri" w:hAnsi="Arial" w:cs="Arial"/>
          <w:color w:val="000000" w:themeColor="text1"/>
        </w:rPr>
        <w:footnoteReference w:id="3"/>
      </w:r>
      <w:r w:rsidRPr="00B9713F">
        <w:rPr>
          <w:rFonts w:ascii="Arial" w:eastAsia="Calibri" w:hAnsi="Arial" w:cs="Arial"/>
          <w:color w:val="000000" w:themeColor="text1"/>
          <w:lang w:val="es-ES"/>
        </w:rPr>
        <w:t xml:space="preserve">. Las tesis expuestas en estos conceptos se reiteran a continuación y se complementan en lo pertinente, teniendo en cuenta los interrogantes planteados. </w:t>
      </w:r>
    </w:p>
    <w:p w14:paraId="0ECF3D7B" w14:textId="77777777" w:rsidR="00E226F9" w:rsidRPr="00B9713F" w:rsidRDefault="00E226F9" w:rsidP="00E226F9">
      <w:pPr>
        <w:spacing w:before="120" w:after="160" w:line="276" w:lineRule="auto"/>
        <w:ind w:firstLine="708"/>
        <w:jc w:val="both"/>
        <w:rPr>
          <w:rFonts w:ascii="Arial" w:eastAsia="Calibri" w:hAnsi="Arial" w:cs="Arial"/>
          <w:color w:val="000000" w:themeColor="text1"/>
          <w:lang w:val="es-ES"/>
        </w:rPr>
      </w:pPr>
    </w:p>
    <w:p w14:paraId="3F764D68" w14:textId="77777777" w:rsidR="00E226F9" w:rsidRPr="00B9713F" w:rsidRDefault="00E226F9" w:rsidP="00E226F9">
      <w:pPr>
        <w:spacing w:before="120" w:line="276" w:lineRule="auto"/>
        <w:rPr>
          <w:rFonts w:ascii="Arial" w:eastAsia="Calibri" w:hAnsi="Arial" w:cs="Arial"/>
          <w:b/>
          <w:bCs/>
          <w:color w:val="000000" w:themeColor="text1"/>
          <w:lang w:val="es-ES_tradnl"/>
        </w:rPr>
      </w:pPr>
      <w:bookmarkStart w:id="8" w:name="_Hlk117695077"/>
      <w:r w:rsidRPr="00B9713F">
        <w:rPr>
          <w:rFonts w:ascii="Arial" w:eastAsia="Calibri" w:hAnsi="Arial" w:cs="Arial"/>
          <w:b/>
          <w:bCs/>
          <w:color w:val="000000" w:themeColor="text1"/>
          <w:lang w:val="es-ES_tradnl"/>
        </w:rPr>
        <w:t>2.1. Vigencia y ámbito de aplicación de la Ley 2069 de 2020</w:t>
      </w:r>
    </w:p>
    <w:p w14:paraId="388471B0" w14:textId="77777777" w:rsidR="00E226F9" w:rsidRPr="00B9713F" w:rsidRDefault="00E226F9" w:rsidP="00E226F9">
      <w:pPr>
        <w:spacing w:before="120" w:line="276" w:lineRule="auto"/>
        <w:jc w:val="both"/>
        <w:rPr>
          <w:rFonts w:ascii="Arial" w:eastAsia="Calibri" w:hAnsi="Arial" w:cs="Arial"/>
          <w:color w:val="000000" w:themeColor="text1"/>
          <w:lang w:val="es-ES_tradnl"/>
        </w:rPr>
      </w:pPr>
      <w:r w:rsidRPr="00B9713F">
        <w:rPr>
          <w:rFonts w:ascii="Arial" w:eastAsia="Calibri" w:hAnsi="Arial" w:cs="Arial"/>
          <w:color w:val="000000" w:themeColor="text1"/>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 sin perjuicio de su vigencia y mandato en el ordenamiento en sus regulaciones de cumplimiento inmediato al tenor de sus letras.</w:t>
      </w:r>
    </w:p>
    <w:p w14:paraId="4C0A3DC9"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w:t>
      </w:r>
      <w:r w:rsidRPr="45E515D6">
        <w:rPr>
          <w:rFonts w:ascii="Arial" w:eastAsia="Calibri" w:hAnsi="Arial" w:cs="Arial"/>
          <w:color w:val="000000" w:themeColor="text1"/>
          <w:vertAlign w:val="superscript"/>
          <w:lang w:val="es-ES"/>
        </w:rPr>
        <w:footnoteReference w:id="4"/>
      </w:r>
      <w:r w:rsidRPr="45E515D6">
        <w:rPr>
          <w:rFonts w:ascii="Arial" w:eastAsia="Calibri" w:hAnsi="Arial" w:cs="Arial"/>
          <w:color w:val="000000" w:themeColor="text1"/>
          <w:lang w:val="es-ES"/>
        </w:rPr>
        <w:t>, así como incentivos a favor de aquellas dentro del sistema de compras y contratación pública</w:t>
      </w:r>
      <w:r w:rsidRPr="45E515D6">
        <w:rPr>
          <w:rFonts w:ascii="Arial" w:eastAsia="Calibri" w:hAnsi="Arial" w:cs="Arial"/>
          <w:color w:val="000000" w:themeColor="text1"/>
          <w:vertAlign w:val="superscript"/>
          <w:lang w:val="es-ES"/>
        </w:rPr>
        <w:footnoteReference w:id="5"/>
      </w:r>
      <w:r w:rsidRPr="45E515D6">
        <w:rPr>
          <w:rFonts w:ascii="Arial" w:eastAsia="Calibri" w:hAnsi="Arial" w:cs="Arial"/>
          <w:color w:val="000000" w:themeColor="text1"/>
          <w:lang w:val="es-ES"/>
        </w:rPr>
        <w:t xml:space="preserve">. </w:t>
      </w:r>
    </w:p>
    <w:p w14:paraId="3FF1217C"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_tradnl"/>
        </w:rPr>
      </w:pPr>
      <w:r w:rsidRPr="00B9713F">
        <w:rPr>
          <w:rFonts w:ascii="Arial" w:eastAsia="Calibri" w:hAnsi="Arial" w:cs="Arial"/>
          <w:color w:val="000000" w:themeColor="text1"/>
          <w:lang w:val="es-ES_tradnl"/>
        </w:rPr>
        <w:t>También se consagran mecanismos de acceso al financiamiento</w:t>
      </w:r>
      <w:r w:rsidRPr="00B9713F">
        <w:rPr>
          <w:rFonts w:ascii="Arial" w:eastAsia="Calibri" w:hAnsi="Arial" w:cs="Arial"/>
          <w:color w:val="000000" w:themeColor="text1"/>
          <w:vertAlign w:val="superscript"/>
          <w:lang w:val="es-ES_tradnl"/>
        </w:rPr>
        <w:footnoteReference w:id="6"/>
      </w:r>
      <w:r w:rsidRPr="00B9713F">
        <w:rPr>
          <w:rFonts w:ascii="Arial" w:eastAsia="Calibri" w:hAnsi="Arial" w:cs="Arial"/>
          <w:color w:val="000000" w:themeColor="text1"/>
          <w:lang w:val="es-ES_tradnl"/>
        </w:rPr>
        <w:t xml:space="preserve">, se unifican las fuentes de emprendimiento y de desarrollo empresarial, para fortalecer y </w:t>
      </w:r>
      <w:r w:rsidRPr="00B9713F">
        <w:rPr>
          <w:rFonts w:ascii="Arial" w:eastAsia="Calibri" w:hAnsi="Arial" w:cs="Arial"/>
          <w:color w:val="000000" w:themeColor="text1"/>
          <w:lang w:val="es-ES_tradnl"/>
        </w:rPr>
        <w:lastRenderedPageBreak/>
        <w:t>promover los distintos sectores de la economía</w:t>
      </w:r>
      <w:r w:rsidRPr="00B9713F">
        <w:rPr>
          <w:rFonts w:ascii="Arial" w:eastAsia="Calibri" w:hAnsi="Arial" w:cs="Arial"/>
          <w:color w:val="000000" w:themeColor="text1"/>
          <w:vertAlign w:val="superscript"/>
          <w:lang w:val="es-ES_tradnl"/>
        </w:rPr>
        <w:footnoteReference w:id="7"/>
      </w:r>
      <w:r w:rsidRPr="00B9713F">
        <w:rPr>
          <w:rFonts w:ascii="Arial" w:eastAsia="Calibri" w:hAnsi="Arial" w:cs="Arial"/>
          <w:color w:val="000000" w:themeColor="text1"/>
          <w:lang w:val="es-ES_tradnl"/>
        </w:rPr>
        <w:t xml:space="preserve"> y se prevén medidas de educación para el emprendimiento y la innovación</w:t>
      </w:r>
      <w:r w:rsidRPr="00B9713F">
        <w:rPr>
          <w:rFonts w:ascii="Arial" w:eastAsia="Calibri" w:hAnsi="Arial" w:cs="Arial"/>
          <w:color w:val="000000" w:themeColor="text1"/>
          <w:vertAlign w:val="superscript"/>
          <w:lang w:val="es-ES_tradnl"/>
        </w:rPr>
        <w:footnoteReference w:id="8"/>
      </w:r>
      <w:r w:rsidRPr="00B9713F">
        <w:rPr>
          <w:rFonts w:ascii="Arial" w:eastAsia="Calibri" w:hAnsi="Arial" w:cs="Arial"/>
          <w:color w:val="000000" w:themeColor="text1"/>
          <w:lang w:val="es-ES_tradnl"/>
        </w:rPr>
        <w:t>.</w:t>
      </w:r>
    </w:p>
    <w:p w14:paraId="209E673E" w14:textId="77777777" w:rsidR="00E226F9"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de la referida ley, a continuación, se estudiará el contenido y alcance de dichas normas.</w:t>
      </w:r>
    </w:p>
    <w:p w14:paraId="77EB7D27"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  </w:t>
      </w:r>
    </w:p>
    <w:p w14:paraId="202D33E3" w14:textId="77777777" w:rsidR="00E226F9" w:rsidRPr="00B9713F" w:rsidRDefault="00E226F9" w:rsidP="00E226F9">
      <w:pPr>
        <w:spacing w:before="120" w:line="276" w:lineRule="auto"/>
        <w:jc w:val="both"/>
        <w:rPr>
          <w:rFonts w:ascii="Arial" w:eastAsia="Calibri" w:hAnsi="Arial" w:cs="Arial"/>
          <w:b/>
          <w:bCs/>
          <w:color w:val="000000" w:themeColor="text1"/>
          <w:lang w:val="es-ES"/>
        </w:rPr>
      </w:pPr>
      <w:r w:rsidRPr="45E515D6">
        <w:rPr>
          <w:rFonts w:ascii="Arial" w:eastAsia="Calibri" w:hAnsi="Arial" w:cs="Arial"/>
          <w:b/>
          <w:bCs/>
          <w:color w:val="000000" w:themeColor="text1"/>
          <w:lang w:val="es-ES"/>
        </w:rPr>
        <w:t xml:space="preserve">2.2. Regulación de las convocatorias limitadas a MiPymes en el ámbito territorial en el artículo 34 de la Ley 2069 de 2020 y el Decreto 1860 de 2021 </w:t>
      </w:r>
    </w:p>
    <w:p w14:paraId="012C428B" w14:textId="77777777" w:rsidR="00E226F9" w:rsidRDefault="00E226F9" w:rsidP="00E226F9">
      <w:pPr>
        <w:spacing w:before="120" w:line="276" w:lineRule="auto"/>
        <w:ind w:right="49"/>
        <w:jc w:val="both"/>
        <w:rPr>
          <w:rFonts w:ascii="Arial" w:eastAsia="Calibri" w:hAnsi="Arial" w:cs="Arial"/>
          <w:color w:val="000000" w:themeColor="text1"/>
          <w:lang w:val="es-ES_tradnl"/>
        </w:rPr>
      </w:pPr>
      <w:r w:rsidRPr="00B9713F">
        <w:rPr>
          <w:rFonts w:ascii="Arial" w:eastAsia="Calibri" w:hAnsi="Arial" w:cs="Arial"/>
          <w:color w:val="000000" w:themeColor="text1"/>
          <w:lang w:val="es-ES_tradnl"/>
        </w:rPr>
        <w:t xml:space="preserve">El artículo 34 de la Ley 2069 de 2020 establece nuevas reglas sobre la promoción al desarrollo en la contratación estatal. Concretamente, modifica el contenido del artículo 12 de la Ley 1150 de 2007, </w:t>
      </w:r>
      <w:r w:rsidRPr="00C863EC">
        <w:rPr>
          <w:rFonts w:ascii="Arial" w:eastAsia="Calibri" w:hAnsi="Arial" w:cs="Arial"/>
          <w:color w:val="000000" w:themeColor="text1"/>
          <w:lang w:val="es-ES_tradnl"/>
        </w:rPr>
        <w:t xml:space="preserve">el artículo 34 de la Ley 2069 de 2020 </w:t>
      </w:r>
      <w:r>
        <w:rPr>
          <w:rFonts w:ascii="Arial" w:eastAsia="Calibri" w:hAnsi="Arial" w:cs="Arial"/>
          <w:color w:val="000000" w:themeColor="text1"/>
          <w:lang w:val="es-ES_tradnl"/>
        </w:rPr>
        <w:t>a la letra expresa:</w:t>
      </w:r>
    </w:p>
    <w:p w14:paraId="1A016F05" w14:textId="77777777" w:rsidR="00E226F9" w:rsidRPr="00C863EC" w:rsidRDefault="00E226F9" w:rsidP="00E226F9">
      <w:pPr>
        <w:spacing w:before="120" w:line="276" w:lineRule="auto"/>
        <w:ind w:left="567" w:right="616"/>
        <w:jc w:val="both"/>
        <w:rPr>
          <w:rFonts w:ascii="Arial" w:eastAsia="Calibri" w:hAnsi="Arial" w:cs="Arial"/>
          <w:color w:val="000000" w:themeColor="text1"/>
          <w:lang w:val="es-ES_tradnl"/>
        </w:rPr>
      </w:pPr>
      <w:r>
        <w:rPr>
          <w:rFonts w:ascii="Arial" w:eastAsia="Calibri" w:hAnsi="Arial" w:cs="Arial"/>
          <w:color w:val="000000" w:themeColor="text1"/>
          <w:lang w:val="es-ES_tradnl"/>
        </w:rPr>
        <w:t>“</w:t>
      </w:r>
      <w:r w:rsidRPr="00C863EC">
        <w:rPr>
          <w:rFonts w:ascii="Arial" w:eastAsia="Calibri" w:hAnsi="Arial" w:cs="Arial"/>
          <w:color w:val="000000" w:themeColor="text1"/>
          <w:lang w:val="es-ES_tradnl"/>
        </w:rPr>
        <w:t xml:space="preserve">Modifíquese el artículo 12 de la Ley 1150 de 2007, el cual quedará así: </w:t>
      </w:r>
    </w:p>
    <w:p w14:paraId="440CBFD9" w14:textId="77777777" w:rsidR="00E226F9" w:rsidRPr="00C863EC" w:rsidRDefault="00E226F9" w:rsidP="00E226F9">
      <w:pPr>
        <w:spacing w:before="120" w:line="276" w:lineRule="auto"/>
        <w:ind w:left="567" w:right="616"/>
        <w:jc w:val="both"/>
        <w:rPr>
          <w:rFonts w:ascii="Arial" w:eastAsia="Calibri" w:hAnsi="Arial" w:cs="Arial"/>
          <w:color w:val="000000" w:themeColor="text1"/>
          <w:lang w:val="es-ES_tradnl"/>
        </w:rPr>
      </w:pPr>
      <w:r w:rsidRPr="00C863EC">
        <w:rPr>
          <w:rFonts w:ascii="Arial" w:eastAsia="Calibri" w:hAnsi="Arial" w:cs="Arial"/>
          <w:color w:val="000000" w:themeColor="text1"/>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w:t>
      </w:r>
      <w:r w:rsidRPr="00C863EC">
        <w:rPr>
          <w:rFonts w:ascii="Arial" w:eastAsia="Calibri" w:hAnsi="Arial" w:cs="Arial"/>
          <w:color w:val="000000" w:themeColor="text1"/>
          <w:lang w:val="es-ES_tradnl"/>
        </w:rPr>
        <w:lastRenderedPageBreak/>
        <w:t>convocatorias limitadas a estas en las que, previo a la Resolución de apertura del proceso respectivo, se haya manifestado el interés de por lo menos dos (2) Mipyme.</w:t>
      </w:r>
    </w:p>
    <w:p w14:paraId="3828D38B" w14:textId="77777777" w:rsidR="00E226F9" w:rsidRPr="00C863EC" w:rsidRDefault="00E226F9" w:rsidP="00E226F9">
      <w:pPr>
        <w:spacing w:before="120" w:line="276" w:lineRule="auto"/>
        <w:ind w:left="567" w:right="616"/>
        <w:jc w:val="both"/>
        <w:rPr>
          <w:rFonts w:ascii="Arial" w:eastAsia="Calibri" w:hAnsi="Arial" w:cs="Arial"/>
          <w:color w:val="000000" w:themeColor="text1"/>
          <w:lang w:val="es-ES_tradnl"/>
        </w:rPr>
      </w:pPr>
      <w:r w:rsidRPr="00C863EC">
        <w:rPr>
          <w:rFonts w:ascii="Arial" w:eastAsia="Calibri" w:hAnsi="Arial" w:cs="Arial"/>
          <w:color w:val="000000" w:themeColor="text1"/>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11484647" w14:textId="77777777" w:rsidR="00E226F9" w:rsidRPr="00C863EC" w:rsidRDefault="00E226F9" w:rsidP="00E226F9">
      <w:pPr>
        <w:spacing w:before="120" w:line="276" w:lineRule="auto"/>
        <w:ind w:left="567" w:right="616"/>
        <w:jc w:val="both"/>
        <w:rPr>
          <w:rFonts w:ascii="Arial" w:eastAsia="Calibri" w:hAnsi="Arial" w:cs="Arial"/>
          <w:color w:val="000000" w:themeColor="text1"/>
          <w:lang w:val="es-ES_tradnl"/>
        </w:rPr>
      </w:pPr>
      <w:r w:rsidRPr="00C863EC">
        <w:rPr>
          <w:rFonts w:ascii="Arial" w:eastAsia="Calibri" w:hAnsi="Arial" w:cs="Arial"/>
          <w:color w:val="000000" w:themeColor="text1"/>
          <w:lang w:val="es-ES_tradnl"/>
        </w:rPr>
        <w:t>En todo caso, se deberá garantizar la satisfacción de las condiciones técnicas y económicas requeridas en el Proceso de Contratación.</w:t>
      </w:r>
    </w:p>
    <w:p w14:paraId="1CBCCFE9" w14:textId="77777777" w:rsidR="00E226F9" w:rsidRPr="00C863EC" w:rsidRDefault="00E226F9" w:rsidP="00E226F9">
      <w:pPr>
        <w:spacing w:before="120" w:line="276" w:lineRule="auto"/>
        <w:ind w:left="567" w:right="616"/>
        <w:jc w:val="both"/>
        <w:rPr>
          <w:rFonts w:ascii="Arial" w:eastAsia="Calibri" w:hAnsi="Arial" w:cs="Arial"/>
          <w:color w:val="000000" w:themeColor="text1"/>
          <w:lang w:val="es-ES_tradnl"/>
        </w:rPr>
      </w:pPr>
      <w:r w:rsidRPr="00C863EC">
        <w:rPr>
          <w:rFonts w:ascii="Arial" w:eastAsia="Calibri" w:hAnsi="Arial" w:cs="Arial"/>
          <w:color w:val="000000" w:themeColor="text1"/>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1280E761" w14:textId="77777777" w:rsidR="00E226F9" w:rsidRPr="00C863EC" w:rsidRDefault="00E226F9" w:rsidP="00E226F9">
      <w:pPr>
        <w:spacing w:before="120" w:line="276" w:lineRule="auto"/>
        <w:ind w:left="567" w:right="616"/>
        <w:jc w:val="both"/>
        <w:rPr>
          <w:rFonts w:ascii="Arial" w:eastAsia="Calibri" w:hAnsi="Arial" w:cs="Arial"/>
          <w:color w:val="000000" w:themeColor="text1"/>
          <w:lang w:val="es-ES_tradnl"/>
        </w:rPr>
      </w:pPr>
      <w:r w:rsidRPr="00C863EC">
        <w:rPr>
          <w:rFonts w:ascii="Arial" w:eastAsia="Calibri" w:hAnsi="Arial" w:cs="Arial"/>
          <w:color w:val="000000" w:themeColor="text1"/>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76391D85" w14:textId="77777777" w:rsidR="00E226F9" w:rsidRPr="00C863EC" w:rsidRDefault="00E226F9" w:rsidP="00E226F9">
      <w:pPr>
        <w:spacing w:before="120" w:line="276" w:lineRule="auto"/>
        <w:ind w:left="567" w:right="616"/>
        <w:jc w:val="both"/>
        <w:rPr>
          <w:rFonts w:ascii="Arial" w:eastAsia="Calibri" w:hAnsi="Arial" w:cs="Arial"/>
          <w:color w:val="000000" w:themeColor="text1"/>
          <w:lang w:val="es-ES_tradnl"/>
        </w:rPr>
      </w:pPr>
      <w:r w:rsidRPr="00C863EC">
        <w:rPr>
          <w:rFonts w:ascii="Arial" w:eastAsia="Calibri" w:hAnsi="Arial" w:cs="Arial"/>
          <w:color w:val="000000" w:themeColor="text1"/>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082E7ABF" w14:textId="77777777" w:rsidR="00E226F9" w:rsidRDefault="00E226F9" w:rsidP="00E226F9">
      <w:pPr>
        <w:spacing w:before="120" w:line="276" w:lineRule="auto"/>
        <w:ind w:left="567" w:right="616"/>
        <w:jc w:val="both"/>
        <w:rPr>
          <w:rFonts w:ascii="Arial" w:eastAsia="Calibri" w:hAnsi="Arial" w:cs="Arial"/>
          <w:color w:val="000000" w:themeColor="text1"/>
          <w:lang w:val="es-ES_tradnl"/>
        </w:rPr>
      </w:pPr>
      <w:r w:rsidRPr="00C863EC">
        <w:rPr>
          <w:rFonts w:ascii="Arial" w:eastAsia="Calibri" w:hAnsi="Arial" w:cs="Arial"/>
          <w:color w:val="000000" w:themeColor="text1"/>
          <w:lang w:val="es-ES_tradnl"/>
        </w:rPr>
        <w:t>Parágrafo Tercero. En la ejecución de los contratos a que se refiere el presente artículo, las entidades y los contratistas, deberán observar lo dispuesto en los artículos 90 a 95 de la Ley 418 de 1997 y las normas que la modifiquen, adicionen o subroguen.</w:t>
      </w:r>
      <w:r>
        <w:rPr>
          <w:rFonts w:ascii="Arial" w:eastAsia="Calibri" w:hAnsi="Arial" w:cs="Arial"/>
          <w:color w:val="000000" w:themeColor="text1"/>
          <w:lang w:val="es-ES_tradnl"/>
        </w:rPr>
        <w:t>”</w:t>
      </w:r>
    </w:p>
    <w:p w14:paraId="7A279593" w14:textId="77777777" w:rsidR="00E226F9" w:rsidRPr="00B9713F" w:rsidRDefault="00E226F9" w:rsidP="00E226F9">
      <w:pPr>
        <w:spacing w:before="120" w:line="276" w:lineRule="auto"/>
        <w:ind w:firstLine="567"/>
        <w:jc w:val="both"/>
        <w:rPr>
          <w:rFonts w:ascii="Arial" w:eastAsia="Calibri" w:hAnsi="Arial" w:cs="Arial"/>
          <w:color w:val="000000" w:themeColor="text1"/>
          <w:lang w:val="es-ES_tradnl"/>
        </w:rPr>
      </w:pPr>
      <w:r>
        <w:rPr>
          <w:rFonts w:ascii="Arial" w:eastAsia="Calibri" w:hAnsi="Arial" w:cs="Arial"/>
          <w:color w:val="000000" w:themeColor="text1"/>
          <w:lang w:val="es-ES_tradnl"/>
        </w:rPr>
        <w:t>De la transcripción hecha, se sustrae lo siguiente</w:t>
      </w:r>
      <w:r w:rsidRPr="00B9713F">
        <w:rPr>
          <w:rFonts w:ascii="Arial" w:eastAsia="Calibri" w:hAnsi="Arial" w:cs="Arial"/>
          <w:color w:val="000000" w:themeColor="text1"/>
          <w:lang w:val="es-ES_tradnl"/>
        </w:rPr>
        <w:t>:</w:t>
      </w:r>
    </w:p>
    <w:p w14:paraId="5BA21E57"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i) Encomienda, al gobierno nacional el deber de definir las condiciones y los montos para que las entidades estatales –cualquiera sea su régimen contractual–, </w:t>
      </w:r>
      <w:r w:rsidRPr="45E515D6">
        <w:rPr>
          <w:rFonts w:ascii="Arial" w:eastAsia="Calibri" w:hAnsi="Arial" w:cs="Arial"/>
          <w:color w:val="000000" w:themeColor="text1"/>
          <w:lang w:val="es-ES"/>
        </w:rPr>
        <w:lastRenderedPageBreak/>
        <w:t xml:space="preserve">los patrimonios autónomos constituidos por aquellas y los particulares que administren recursos públicos efectúen convocatorias limitadas a Mipymes en los procesos de contratación. Y agrega que estas convocatorias se pueden realizar también en el ámbito municipal o departamental en el que se ejecute el contrato. </w:t>
      </w:r>
    </w:p>
    <w:p w14:paraId="7572C5D8"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ii) Indica que dichas convocatorias se deben efectuar siempre y cuando, antes del acto administrativo de apertura del proceso de selección, por lo menos dos (2) mipymes hayan manifestado su interés. </w:t>
      </w:r>
    </w:p>
    <w:p w14:paraId="4F1CF24B"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 </w:t>
      </w:r>
    </w:p>
    <w:p w14:paraId="248806C8"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iv) Establece que, en el reglamento, el gobierno nacional podría establecer condiciones preferenciales para los bienes y servicios producidos por las mipymes, sin contrariar los compromisos internacionales vigentes. </w:t>
      </w:r>
    </w:p>
    <w:p w14:paraId="1178F0D7"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v)  Aclara que tanto las convocatorias limitadas a mipymes, como las condiciones preferenciales a favor de los bienes y servicios producidos por estas, no es óbice para que deban cumplir las exigencias técnicas y económicas del proceso de selección. </w:t>
      </w:r>
    </w:p>
    <w:p w14:paraId="67BC14D6"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vi) Señala que el reglamento a cargo del gobierno nacional, además de las convocatorias limitadas a Mipymes, deberá contener disposiciones que fomenten en la ejecución de los contratos estatales la provisión de bienes y servicios por parte de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 </w:t>
      </w:r>
    </w:p>
    <w:p w14:paraId="35784071"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vii) Precisa que la posibilidad de participar en convocatorias limitadas a MiPymes se encuentra condicionada a que estas acrediten como mínimo un año de existencia, con el certificado expedido por la cámara de comercio respectiva o por la autoridad que sea competente para ello. </w:t>
      </w:r>
    </w:p>
    <w:p w14:paraId="614CFBB3"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6160FB42"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_tradnl"/>
        </w:rPr>
      </w:pPr>
      <w:r w:rsidRPr="00B9713F">
        <w:rPr>
          <w:rFonts w:ascii="Arial" w:eastAsia="Calibri" w:hAnsi="Arial" w:cs="Arial"/>
          <w:color w:val="000000" w:themeColor="text1"/>
          <w:lang w:val="es-ES_tradnl"/>
        </w:rPr>
        <w:lastRenderedPageBreak/>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60940F22" w14:textId="77777777" w:rsidR="00E226F9" w:rsidRPr="00B9713F" w:rsidRDefault="00E226F9" w:rsidP="00E226F9">
      <w:pPr>
        <w:ind w:left="709" w:right="709"/>
        <w:jc w:val="both"/>
        <w:rPr>
          <w:rFonts w:ascii="Arial" w:eastAsia="Calibri" w:hAnsi="Arial" w:cs="Arial"/>
          <w:color w:val="000000" w:themeColor="text1"/>
          <w:lang w:val="es-ES_tradnl"/>
        </w:rPr>
      </w:pPr>
      <w:r w:rsidRPr="00B9713F">
        <w:rPr>
          <w:rFonts w:ascii="Arial" w:eastAsia="Calibri" w:hAnsi="Arial" w:cs="Arial"/>
          <w:color w:val="000000" w:themeColor="text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B9713F">
        <w:rPr>
          <w:rFonts w:ascii="Arial" w:eastAsia="Calibri" w:hAnsi="Arial" w:cs="Arial"/>
          <w:color w:val="000000" w:themeColor="text1"/>
          <w:vertAlign w:val="superscript"/>
          <w:lang w:val="es-ES_tradnl"/>
        </w:rPr>
        <w:footnoteReference w:id="9"/>
      </w:r>
      <w:r w:rsidRPr="00B9713F">
        <w:rPr>
          <w:rFonts w:ascii="Arial" w:eastAsia="Calibri" w:hAnsi="Arial" w:cs="Arial"/>
          <w:color w:val="000000" w:themeColor="text1"/>
          <w:lang w:val="es-ES_tradnl"/>
        </w:rPr>
        <w:t>.</w:t>
      </w:r>
    </w:p>
    <w:p w14:paraId="2B15645E" w14:textId="77777777" w:rsidR="00E226F9" w:rsidRPr="00B9713F" w:rsidRDefault="00E226F9" w:rsidP="00E226F9">
      <w:pPr>
        <w:spacing w:line="276" w:lineRule="auto"/>
        <w:ind w:firstLine="709"/>
        <w:jc w:val="both"/>
        <w:rPr>
          <w:rFonts w:ascii="Arial" w:eastAsia="Calibri" w:hAnsi="Arial" w:cs="Arial"/>
          <w:color w:val="000000" w:themeColor="text1"/>
          <w:lang w:val="es-ES_tradnl"/>
        </w:rPr>
      </w:pPr>
      <w:r w:rsidRPr="00B9713F">
        <w:rPr>
          <w:rFonts w:ascii="Arial" w:eastAsia="Calibri" w:hAnsi="Arial" w:cs="Arial"/>
          <w:color w:val="000000" w:themeColor="text1"/>
          <w:lang w:val="es-ES_tradnl"/>
        </w:rPr>
        <w:t>La subrogación es, entonces, una forma de derogación de las normas jurídicas,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6EB83BE5"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original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2CDEA08D" w14:textId="77777777" w:rsidR="00E226F9" w:rsidRPr="00B9713F" w:rsidRDefault="00E226F9" w:rsidP="00E226F9">
      <w:pPr>
        <w:spacing w:before="120" w:line="276" w:lineRule="auto"/>
        <w:ind w:firstLine="709"/>
        <w:jc w:val="both"/>
        <w:rPr>
          <w:rFonts w:ascii="Arial" w:eastAsia="Calibri" w:hAnsi="Arial" w:cs="Arial"/>
          <w:color w:val="000000" w:themeColor="text1"/>
          <w:lang w:val="es-ES_tradnl"/>
        </w:rPr>
      </w:pPr>
      <w:r w:rsidRPr="00B9713F">
        <w:rPr>
          <w:rFonts w:ascii="Arial" w:eastAsia="Calibri" w:hAnsi="Arial" w:cs="Arial"/>
          <w:color w:val="000000" w:themeColor="text1"/>
          <w:lang w:val="es-ES_tradnl"/>
        </w:rPr>
        <w:lastRenderedPageBreak/>
        <w:t>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Estas modificaciones, de acuerdo con el artículo 8 del Decreto 1860 de 2021 “aplicarán a los procedimientos de selección cuya invitación, aviso de convocatoria o documento equivalente se publique a los tres (3) meses contados a partir de su expedición”, esto es, a partir del 24 de marzo de 2022.</w:t>
      </w:r>
    </w:p>
    <w:p w14:paraId="73C20B79" w14:textId="77777777" w:rsidR="00E226F9" w:rsidRPr="00B9713F" w:rsidRDefault="00E226F9" w:rsidP="00E226F9">
      <w:pPr>
        <w:spacing w:before="120" w:line="276" w:lineRule="auto"/>
        <w:ind w:firstLine="708"/>
        <w:jc w:val="both"/>
        <w:rPr>
          <w:rFonts w:ascii="Arial" w:eastAsia="Calibri" w:hAnsi="Arial" w:cs="Arial"/>
          <w:color w:val="000000" w:themeColor="text1"/>
          <w:lang w:val="es-ES"/>
        </w:rPr>
      </w:pPr>
      <w:r w:rsidRPr="59B8896D">
        <w:rPr>
          <w:rFonts w:ascii="Arial" w:eastAsia="Calibri" w:hAnsi="Arial" w:cs="Arial"/>
          <w:color w:val="000000" w:themeColor="text1"/>
          <w:lang w:val="es-ES"/>
        </w:rPr>
        <w:t>Por otro lado, en cuanto a lo dispuesto por el antiguo artículo 2.2.1.2.4.2.3 del Decreto 1082 de 2015</w:t>
      </w:r>
      <w:r w:rsidRPr="59B8896D">
        <w:rPr>
          <w:rFonts w:ascii="Arial" w:eastAsia="Calibri" w:hAnsi="Arial" w:cs="Arial"/>
          <w:color w:val="000000" w:themeColor="text1"/>
          <w:vertAlign w:val="superscript"/>
          <w:lang w:val="es-ES"/>
        </w:rPr>
        <w:footnoteReference w:id="10"/>
      </w:r>
      <w:r w:rsidRPr="59B8896D">
        <w:rPr>
          <w:rFonts w:ascii="Arial" w:eastAsia="Calibri" w:hAnsi="Arial" w:cs="Arial"/>
          <w:color w:val="000000" w:themeColor="text1"/>
          <w:lang w:val="es-ES"/>
        </w:rPr>
        <w:t xml:space="preserve">, que regulaba la posibilidad de limitar convocatorias a MiPymes domiciliadas en un determinado ámbito territorial, se estima que este, al igual que el artículo 2.2.1.2.4.2.2, también se afectó por el fenómeno del decaimiento y hoy quedó sustituido por lo dispuesto en el Decreto 1860 de 2021. No obstante, el texto del actual artículo 2.2.1.2.4.2.3, modificado por el artículo 5 del Decreto 1860 de 2021, no cambia la tesis adoptada en conceptos anteriores de Colombia Compra Eficiente emitidos antes de la expedición de este reglamento. Lo anterior en la medida que, respecto del domicilio de las MiPymes en el departamento o municipio donde se ejecuta el contrato, la reglamentación no tuvo cambios. Así se desprende del texto de la nueva norma que es del siguiente tenor: </w:t>
      </w:r>
    </w:p>
    <w:p w14:paraId="763F2162" w14:textId="77777777" w:rsidR="00E226F9" w:rsidRPr="00B9713F" w:rsidRDefault="00E226F9" w:rsidP="00E226F9">
      <w:pPr>
        <w:ind w:left="709" w:right="709"/>
        <w:jc w:val="both"/>
        <w:rPr>
          <w:rFonts w:ascii="Arial" w:hAnsi="Arial" w:cs="Arial"/>
          <w:color w:val="000000" w:themeColor="text1"/>
        </w:rPr>
      </w:pPr>
      <w:r w:rsidRPr="00B9713F">
        <w:rPr>
          <w:rFonts w:ascii="Arial" w:hAnsi="Arial" w:cs="Arial"/>
          <w:color w:val="000000" w:themeColor="text1"/>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 […]</w:t>
      </w:r>
    </w:p>
    <w:p w14:paraId="6EF09353" w14:textId="77777777" w:rsidR="00E226F9" w:rsidRPr="00B9713F" w:rsidRDefault="00E226F9" w:rsidP="00E226F9">
      <w:pPr>
        <w:ind w:left="709" w:right="709"/>
        <w:jc w:val="both"/>
        <w:rPr>
          <w:rFonts w:ascii="Arial" w:hAnsi="Arial" w:cs="Arial"/>
          <w:color w:val="000000" w:themeColor="text1"/>
        </w:rPr>
      </w:pPr>
      <w:r w:rsidRPr="00B9713F">
        <w:rPr>
          <w:rFonts w:ascii="Arial" w:hAnsi="Arial" w:cs="Arial"/>
          <w:color w:val="000000" w:themeColor="text1"/>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w:t>
      </w:r>
      <w:r w:rsidRPr="00B9713F">
        <w:rPr>
          <w:rFonts w:ascii="Arial" w:hAnsi="Arial" w:cs="Arial"/>
          <w:color w:val="000000" w:themeColor="text1"/>
        </w:rPr>
        <w:lastRenderedPageBreak/>
        <w:t>contrato. Cada Mipyme deberá acreditar su domicilio con los documentos a los que se refiere el siguiente artículo.”</w:t>
      </w:r>
    </w:p>
    <w:p w14:paraId="1E50D88E" w14:textId="77777777" w:rsidR="00E226F9" w:rsidRPr="00B9713F" w:rsidRDefault="00E226F9" w:rsidP="00E226F9">
      <w:pPr>
        <w:spacing w:line="276" w:lineRule="auto"/>
        <w:ind w:firstLine="709"/>
        <w:jc w:val="both"/>
        <w:rPr>
          <w:rFonts w:ascii="Arial" w:eastAsia="Calibri" w:hAnsi="Arial" w:cs="Arial"/>
          <w:color w:val="000000" w:themeColor="text1"/>
          <w:lang w:val="es-ES"/>
        </w:rPr>
      </w:pPr>
      <w:r w:rsidRPr="45E515D6">
        <w:rPr>
          <w:rFonts w:ascii="Arial" w:eastAsia="Calibri" w:hAnsi="Arial" w:cs="Arial"/>
          <w:color w:val="000000" w:themeColor="text1"/>
          <w:lang w:val="es-ES"/>
        </w:rPr>
        <w:t xml:space="preserve">La norma reglamentaria coincide con la redacción del parágrafo 1 del artículo 34 de la Ley 2069 de 2020, según el cual, solo es posible limitar convocatorias a la participación de MiPymes “[…] </w:t>
      </w:r>
      <w:r w:rsidRPr="45E515D6">
        <w:rPr>
          <w:rFonts w:ascii="Arial" w:eastAsia="Calibri" w:hAnsi="Arial" w:cs="Arial"/>
          <w:color w:val="000000" w:themeColor="text1"/>
        </w:rPr>
        <w:t>del ámbito municipal o departamental correspondiente al de la ejecución del contrato</w:t>
      </w:r>
      <w:r w:rsidRPr="45E515D6">
        <w:rPr>
          <w:rFonts w:ascii="Arial" w:eastAsia="Calibri" w:hAnsi="Arial" w:cs="Arial"/>
          <w:color w:val="000000" w:themeColor="text1"/>
          <w:lang w:val="es-ES"/>
        </w:rPr>
        <w:t xml:space="preserve">”. En tales términos, la norma citada contempla la posibilidad de limitar convocatorias a mipymes con domicilio en esos dos tipos de ámbitos territoriales. </w:t>
      </w:r>
    </w:p>
    <w:p w14:paraId="1E908DBD" w14:textId="77777777" w:rsidR="00E226F9" w:rsidRPr="00B9713F" w:rsidRDefault="00E226F9" w:rsidP="00E226F9">
      <w:pPr>
        <w:spacing w:before="120" w:line="276" w:lineRule="auto"/>
        <w:ind w:firstLine="709"/>
        <w:jc w:val="both"/>
        <w:rPr>
          <w:rFonts w:ascii="Arial" w:eastAsia="Arial" w:hAnsi="Arial" w:cs="Arial"/>
          <w:color w:val="000000" w:themeColor="text1"/>
        </w:rPr>
      </w:pPr>
      <w:r w:rsidRPr="00B9713F">
        <w:rPr>
          <w:rFonts w:ascii="Arial" w:eastAsia="Arial" w:hAnsi="Arial" w:cs="Arial"/>
          <w:color w:val="000000" w:themeColor="text1"/>
        </w:rPr>
        <w:t>En ese sentido, toda empresa constituida bajo las leyes colombianas o que tenga su domicilio principal en el territorio colombiano y, además, cumpla los criterios previstos por la Ley 590 de 2000 y el Decreto 957 de 2019, será considerada Mipyme nacional. Además, las normas de contratación permiten que las Mipymes nacionales puedan beneficiarse de la ejecución de un contrato dentro del ámbito territorial en la que tienen su “</w:t>
      </w:r>
      <w:r w:rsidRPr="00B9713F">
        <w:rPr>
          <w:rFonts w:ascii="Arial" w:eastAsia="Arial" w:hAnsi="Arial" w:cs="Arial"/>
          <w:i/>
          <w:iCs/>
          <w:color w:val="000000" w:themeColor="text1"/>
        </w:rPr>
        <w:t>domicilio</w:t>
      </w:r>
      <w:r w:rsidRPr="00B9713F">
        <w:rPr>
          <w:rFonts w:ascii="Arial" w:eastAsia="Arial" w:hAnsi="Arial" w:cs="Arial"/>
          <w:color w:val="000000" w:themeColor="text1"/>
        </w:rPr>
        <w:t>”, siempre que el proceso de contratación efectivamente se limite a Mipymes domiciliadas en determinado ámbito territorial, de conformidad con las reglas establecidas en el Decreto 1082 de 2015, modificado por el Decreto 1860 de 2021, ello sin reglas adicionales o excepciones particulares.</w:t>
      </w:r>
    </w:p>
    <w:p w14:paraId="2A9A5072" w14:textId="77777777" w:rsidR="00E226F9" w:rsidRPr="00B9713F" w:rsidRDefault="00E226F9" w:rsidP="00E226F9">
      <w:pPr>
        <w:spacing w:before="120" w:line="276" w:lineRule="auto"/>
        <w:ind w:firstLine="709"/>
        <w:jc w:val="both"/>
        <w:rPr>
          <w:rFonts w:ascii="Arial" w:eastAsia="Arial" w:hAnsi="Arial" w:cs="Arial"/>
          <w:color w:val="000000" w:themeColor="text1"/>
        </w:rPr>
      </w:pPr>
      <w:r w:rsidRPr="45E515D6">
        <w:rPr>
          <w:rFonts w:ascii="Arial" w:eastAsia="Arial" w:hAnsi="Arial" w:cs="Arial"/>
          <w:color w:val="000000" w:themeColor="text1"/>
        </w:rPr>
        <w:t>En armonía con lo anterior,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contrato en el que la MiPymes tiene su “</w:t>
      </w:r>
      <w:r w:rsidRPr="45E515D6">
        <w:rPr>
          <w:rFonts w:ascii="Arial" w:eastAsia="Arial" w:hAnsi="Arial" w:cs="Arial"/>
          <w:i/>
          <w:iCs/>
          <w:color w:val="000000" w:themeColor="text1"/>
        </w:rPr>
        <w:t>domicilio</w:t>
      </w:r>
      <w:r w:rsidRPr="45E515D6">
        <w:rPr>
          <w:rFonts w:ascii="Arial" w:eastAsia="Arial" w:hAnsi="Arial" w:cs="Arial"/>
          <w:color w:val="000000" w:themeColor="text1"/>
        </w:rPr>
        <w:t xml:space="preserve">”, y no en donde tiene sucursales o establecimientos de comercio. </w:t>
      </w:r>
    </w:p>
    <w:p w14:paraId="7D0CF582" w14:textId="77777777" w:rsidR="00E226F9" w:rsidRPr="00B9713F" w:rsidRDefault="00E226F9" w:rsidP="00E226F9">
      <w:pPr>
        <w:spacing w:before="120" w:line="276" w:lineRule="auto"/>
        <w:ind w:firstLine="709"/>
        <w:jc w:val="both"/>
        <w:rPr>
          <w:rFonts w:ascii="Arial" w:hAnsi="Arial" w:cs="Arial"/>
          <w:color w:val="000000" w:themeColor="text1"/>
        </w:rPr>
      </w:pPr>
      <w:r w:rsidRPr="00B9713F">
        <w:rPr>
          <w:rFonts w:ascii="Arial" w:hAnsi="Arial" w:cs="Arial"/>
          <w:bCs/>
          <w:color w:val="000000" w:themeColor="text1"/>
          <w:lang w:eastAsia="es-ES"/>
        </w:rPr>
        <w:t xml:space="preserve">Para explicar las implicaciones del artículo, </w:t>
      </w:r>
      <w:r w:rsidRPr="00B9713F">
        <w:rPr>
          <w:rFonts w:ascii="Arial" w:hAnsi="Arial" w:cs="Arial"/>
          <w:color w:val="000000" w:themeColor="text1"/>
        </w:rPr>
        <w:t>en primera instancia, debe analizarse el alcance del término “</w:t>
      </w:r>
      <w:r w:rsidRPr="00B9713F">
        <w:rPr>
          <w:rFonts w:ascii="Arial" w:hAnsi="Arial" w:cs="Arial"/>
          <w:i/>
          <w:iCs/>
          <w:color w:val="000000" w:themeColor="text1"/>
        </w:rPr>
        <w:t>domicilio”</w:t>
      </w:r>
      <w:r w:rsidRPr="00B9713F">
        <w:rPr>
          <w:rFonts w:ascii="Arial" w:hAnsi="Arial" w:cs="Arial"/>
          <w:color w:val="000000" w:themeColor="text1"/>
        </w:rPr>
        <w:t xml:space="preserve"> que, para el caso de las sociedades, se constituye en uno de los atributos de su personalidad, que, en derecho, son aquellas propiedades o características de identidad, propias de las personas, sean estas naturales o jurídicas, como titulares de derechos</w:t>
      </w:r>
      <w:r w:rsidRPr="00B9713F">
        <w:rPr>
          <w:rStyle w:val="Refdenotaalpie"/>
          <w:rFonts w:ascii="Arial" w:hAnsi="Arial" w:cs="Arial"/>
          <w:color w:val="000000" w:themeColor="text1"/>
        </w:rPr>
        <w:footnoteReference w:id="11"/>
      </w:r>
      <w:r w:rsidRPr="00B9713F">
        <w:rPr>
          <w:rFonts w:ascii="Arial" w:hAnsi="Arial" w:cs="Arial"/>
          <w:color w:val="000000" w:themeColor="text1"/>
        </w:rPr>
        <w:t>. En esta línea, este término es definido por el Código Civil en el artículo 76</w:t>
      </w:r>
      <w:r w:rsidRPr="00B9713F">
        <w:rPr>
          <w:rStyle w:val="Refdenotaalpie"/>
          <w:rFonts w:ascii="Arial" w:hAnsi="Arial" w:cs="Arial"/>
          <w:color w:val="000000" w:themeColor="text1"/>
        </w:rPr>
        <w:footnoteReference w:id="12"/>
      </w:r>
      <w:r w:rsidRPr="00B9713F">
        <w:rPr>
          <w:rFonts w:ascii="Arial" w:hAnsi="Arial" w:cs="Arial"/>
          <w:color w:val="000000" w:themeColor="text1"/>
        </w:rPr>
        <w:t xml:space="preserve">, el cual lo concibe como la residencia acompañada real o presuntivamente del ánimo de permanecer en ella, lo cual, para </w:t>
      </w:r>
      <w:r w:rsidRPr="00B9713F">
        <w:rPr>
          <w:rFonts w:ascii="Arial" w:hAnsi="Arial" w:cs="Arial"/>
          <w:color w:val="000000" w:themeColor="text1"/>
        </w:rPr>
        <w:lastRenderedPageBreak/>
        <w:t xml:space="preserve">el caso de las sociedades se interpreta como el sitio donde éstas tienen el asiento principal de sus negocios. </w:t>
      </w:r>
    </w:p>
    <w:p w14:paraId="75338318" w14:textId="77777777" w:rsidR="00E226F9" w:rsidRPr="00B9713F" w:rsidRDefault="00E226F9" w:rsidP="00E226F9">
      <w:pPr>
        <w:spacing w:before="120" w:line="276" w:lineRule="auto"/>
        <w:ind w:firstLine="709"/>
        <w:jc w:val="both"/>
        <w:rPr>
          <w:rFonts w:ascii="Arial" w:eastAsia="Arial" w:hAnsi="Arial" w:cs="Arial"/>
          <w:color w:val="000000" w:themeColor="text1"/>
        </w:rPr>
      </w:pPr>
      <w:r w:rsidRPr="00B9713F">
        <w:rPr>
          <w:rFonts w:ascii="Arial" w:hAnsi="Arial" w:cs="Arial"/>
          <w:color w:val="000000" w:themeColor="text1"/>
        </w:rPr>
        <w:t xml:space="preserve">El </w:t>
      </w:r>
      <w:r w:rsidRPr="00B9713F">
        <w:rPr>
          <w:rFonts w:ascii="Arial" w:eastAsia="Arial" w:hAnsi="Arial" w:cs="Arial"/>
          <w:color w:val="000000" w:themeColor="text1"/>
        </w:rPr>
        <w:t>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w:t>
      </w:r>
      <w:r w:rsidRPr="00B9713F">
        <w:rPr>
          <w:rFonts w:ascii="Arial" w:eastAsia="Arial" w:hAnsi="Arial" w:cs="Arial"/>
          <w:i/>
          <w:iCs/>
          <w:color w:val="000000" w:themeColor="text1"/>
        </w:rPr>
        <w:t>sucursal</w:t>
      </w:r>
      <w:r w:rsidRPr="00B9713F">
        <w:rPr>
          <w:rFonts w:ascii="Arial" w:eastAsia="Arial" w:hAnsi="Arial" w:cs="Arial"/>
          <w:color w:val="000000" w:themeColor="text1"/>
        </w:rPr>
        <w:t>” y “</w:t>
      </w:r>
      <w:r w:rsidRPr="00B9713F">
        <w:rPr>
          <w:rFonts w:ascii="Arial" w:eastAsia="Arial" w:hAnsi="Arial" w:cs="Arial"/>
          <w:i/>
          <w:iCs/>
          <w:color w:val="000000" w:themeColor="text1"/>
        </w:rPr>
        <w:t>domicilio</w:t>
      </w:r>
      <w:r w:rsidRPr="00B9713F">
        <w:rPr>
          <w:rFonts w:ascii="Arial" w:eastAsia="Arial" w:hAnsi="Arial" w:cs="Arial"/>
          <w:color w:val="000000" w:themeColor="text1"/>
        </w:rPr>
        <w:t xml:space="preserve">” de forma diferente, de lo que se deriva que las sociedades comerciales tienen un domicilio y pueden tener una o varias sucursales que son establecimientos de comercio, esto es, bienes mercantiles pertenecientes a la sociedad. En ese mismo sentido, los artículos 110 y 111 </w:t>
      </w:r>
      <w:r w:rsidRPr="00B9713F">
        <w:rPr>
          <w:rFonts w:ascii="Arial" w:eastAsia="Arial" w:hAnsi="Arial" w:cs="Arial"/>
          <w:i/>
          <w:color w:val="000000" w:themeColor="text1"/>
        </w:rPr>
        <w:t>ibídem</w:t>
      </w:r>
      <w:r w:rsidRPr="00B9713F">
        <w:rPr>
          <w:rFonts w:ascii="Arial" w:eastAsia="Arial" w:hAnsi="Arial" w:cs="Arial"/>
          <w:color w:val="000000" w:themeColor="text1"/>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De esta manera, si el legislador distinguió entre uno y otro, y si el reglamento se refiere al “</w:t>
      </w:r>
      <w:r w:rsidRPr="00B9713F">
        <w:rPr>
          <w:rFonts w:ascii="Arial" w:eastAsia="Arial" w:hAnsi="Arial" w:cs="Arial"/>
          <w:i/>
          <w:iCs/>
          <w:color w:val="000000" w:themeColor="text1"/>
        </w:rPr>
        <w:t>domicilio”</w:t>
      </w:r>
      <w:r w:rsidRPr="00B9713F">
        <w:rPr>
          <w:rFonts w:ascii="Arial" w:eastAsia="Arial" w:hAnsi="Arial" w:cs="Arial"/>
          <w:color w:val="000000" w:themeColor="text1"/>
        </w:rPr>
        <w:t xml:space="preserve">, se entiende que no es procedente extender el beneficio contenido en el artículo 2.2.1.2.4.2.3. </w:t>
      </w:r>
      <w:r w:rsidRPr="00B9713F">
        <w:rPr>
          <w:rFonts w:ascii="Arial" w:eastAsia="Arial" w:hAnsi="Arial" w:cs="Arial"/>
          <w:i/>
          <w:color w:val="000000" w:themeColor="text1"/>
        </w:rPr>
        <w:t xml:space="preserve">ibídem </w:t>
      </w:r>
      <w:r w:rsidRPr="00B9713F">
        <w:rPr>
          <w:rFonts w:ascii="Arial" w:eastAsia="Arial" w:hAnsi="Arial" w:cs="Arial"/>
          <w:color w:val="000000" w:themeColor="text1"/>
        </w:rPr>
        <w:t>a las entidades que tienen “sucursales” en el municipio o departamento en donde se va a ejecutar el contrato estatal, ello tocando conceptos que pudieran representar algún tipo de confusión dentro de esta temática.</w:t>
      </w:r>
    </w:p>
    <w:p w14:paraId="54392E1F" w14:textId="77777777" w:rsidR="00E226F9" w:rsidRPr="00B9713F" w:rsidRDefault="00E226F9" w:rsidP="00E226F9">
      <w:pPr>
        <w:spacing w:before="120" w:line="276" w:lineRule="auto"/>
        <w:ind w:firstLine="709"/>
        <w:jc w:val="both"/>
        <w:rPr>
          <w:rFonts w:ascii="Arial" w:eastAsia="Arial" w:hAnsi="Arial" w:cs="Arial"/>
          <w:color w:val="000000" w:themeColor="text1"/>
        </w:rPr>
      </w:pPr>
      <w:r w:rsidRPr="00B9713F">
        <w:rPr>
          <w:rFonts w:ascii="Arial" w:eastAsia="Arial" w:hAnsi="Arial" w:cs="Arial"/>
          <w:color w:val="000000" w:themeColor="text1"/>
        </w:rPr>
        <w:t>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00B9713F">
        <w:rPr>
          <w:rFonts w:ascii="Arial" w:eastAsia="Arial" w:hAnsi="Arial" w:cs="Arial"/>
          <w:color w:val="000000" w:themeColor="text1"/>
          <w:vertAlign w:val="superscript"/>
        </w:rPr>
        <w:footnoteReference w:id="13"/>
      </w:r>
      <w:r w:rsidRPr="00B9713F">
        <w:rPr>
          <w:rFonts w:ascii="Arial" w:eastAsia="Arial" w:hAnsi="Arial" w:cs="Arial"/>
          <w:color w:val="000000" w:themeColor="text1"/>
        </w:rPr>
        <w:t xml:space="preserve">. En ese sentido, si la entidad no recibió las solicitudes </w:t>
      </w:r>
      <w:r w:rsidRPr="00B9713F">
        <w:rPr>
          <w:rFonts w:ascii="Arial" w:eastAsia="Arial" w:hAnsi="Arial" w:cs="Arial"/>
          <w:color w:val="000000" w:themeColor="text1"/>
        </w:rPr>
        <w:lastRenderedPageBreak/>
        <w:t xml:space="preserve">para limitar la convocatoria a MiPymes, no puede </w:t>
      </w:r>
      <w:r w:rsidRPr="45E515D6">
        <w:rPr>
          <w:rFonts w:ascii="Arial" w:eastAsia="Arial" w:hAnsi="Arial" w:cs="Arial"/>
          <w:i/>
          <w:iCs/>
          <w:color w:val="000000" w:themeColor="text1"/>
        </w:rPr>
        <w:t xml:space="preserve">motu propio </w:t>
      </w:r>
      <w:r w:rsidRPr="00B9713F">
        <w:rPr>
          <w:rFonts w:ascii="Arial" w:eastAsia="Arial" w:hAnsi="Arial"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30AB4596" w14:textId="77777777" w:rsidR="00E226F9" w:rsidRPr="00B9713F" w:rsidRDefault="00E226F9" w:rsidP="00E226F9">
      <w:pPr>
        <w:spacing w:before="120" w:line="276" w:lineRule="auto"/>
        <w:ind w:firstLine="709"/>
        <w:jc w:val="both"/>
        <w:rPr>
          <w:rFonts w:ascii="Arial" w:eastAsia="Arial" w:hAnsi="Arial" w:cs="Arial"/>
          <w:color w:val="000000" w:themeColor="text1"/>
          <w:lang w:val="es-ES"/>
        </w:rPr>
      </w:pPr>
      <w:r w:rsidRPr="45E515D6">
        <w:rPr>
          <w:rFonts w:ascii="Arial" w:hAnsi="Arial" w:cs="Arial"/>
          <w:color w:val="000000" w:themeColor="text1"/>
        </w:rPr>
        <w:t xml:space="preserve">Por tanto, a partir de esta conceptualización, la limitación territorial regulada en </w:t>
      </w:r>
      <w:r w:rsidRPr="45E515D6">
        <w:rPr>
          <w:rFonts w:ascii="Arial" w:eastAsia="Arial" w:hAnsi="Arial" w:cs="Arial"/>
          <w:color w:val="000000" w:themeColor="text1"/>
          <w:lang w:val="es-ES"/>
        </w:rPr>
        <w:t xml:space="preserve">el artículo 2.2.1.2.4.2.3 del Decreto 1082 de 2015 será aplicada para aquellas MiPymes que tengan su domicilio principal en el municipio o departamento respectivo. Por tanto, este artículo no aplicaría frente a la ubicación de las sucursales de las MiPymes. De este modo, la participación de los diferentes procesos de contratación cuando está limitada territorialmente está condicionada al domicilio principal de la MiPymes respectiva. </w:t>
      </w:r>
    </w:p>
    <w:p w14:paraId="35995BAB" w14:textId="77777777" w:rsidR="00E226F9" w:rsidRPr="00B9713F" w:rsidRDefault="00E226F9" w:rsidP="00E226F9">
      <w:pPr>
        <w:spacing w:before="120" w:line="276" w:lineRule="auto"/>
        <w:ind w:firstLine="709"/>
        <w:jc w:val="both"/>
        <w:rPr>
          <w:rFonts w:ascii="Arial" w:eastAsia="Arial" w:hAnsi="Arial" w:cs="Arial"/>
          <w:color w:val="000000" w:themeColor="text1"/>
        </w:rPr>
      </w:pPr>
      <w:r w:rsidRPr="45E515D6">
        <w:rPr>
          <w:rFonts w:ascii="Arial" w:eastAsia="Arial" w:hAnsi="Arial" w:cs="Arial"/>
          <w:color w:val="000000" w:themeColor="text1"/>
        </w:rPr>
        <w:t xml:space="preserve">Así, el domicilio de la MiPymes que quiera participar en una convocatoria limitada territorialmente se acredita con los documentos definidos en el artículo 2.2.1.2.4.2.4. del Decreto 1082 de 2015, modificado por el Decreto 1860 de 2021. En consecuencia, el requisito podrá acreditarse con una copia del registro mercantil –persona natural–, del certificado de existencia y representación legal –persona jurídica– o del Registro Único de Proponentes – RUP, en donde conste el domicilio de la MiPymes interesada en la limitación territorial de la convocatoria pública para celebrar el contrato, que corresponda con el lugar de ejecución del mismo, ya sea departamento o municipio, dependiendo de las reglas establecidas respecto a la limitación territorial.  </w:t>
      </w:r>
    </w:p>
    <w:p w14:paraId="575E703C" w14:textId="77777777" w:rsidR="00E226F9" w:rsidRPr="00B9713F" w:rsidRDefault="00E226F9" w:rsidP="00E226F9">
      <w:pPr>
        <w:spacing w:before="120" w:line="276" w:lineRule="auto"/>
        <w:ind w:firstLine="708"/>
        <w:jc w:val="both"/>
        <w:rPr>
          <w:rFonts w:ascii="Arial" w:eastAsia="Arial" w:hAnsi="Arial" w:cs="Arial"/>
          <w:color w:val="000000" w:themeColor="text1"/>
        </w:rPr>
      </w:pPr>
      <w:r w:rsidRPr="5264C8F4">
        <w:rPr>
          <w:rFonts w:ascii="Arial" w:eastAsia="Arial" w:hAnsi="Arial" w:cs="Arial"/>
          <w:color w:val="000000" w:themeColor="text1"/>
        </w:rPr>
        <w:t xml:space="preserve">Finalmente, resta precisar que, tratándose de consorcios o uniones temporales formados exclusivamente por MiPymes, habilitados para solicitar la limitación del proceso contractual, todas las MiPymes que participarán en la figura asociativa deben tener su domicilio en el departamento o municipio en relación con el cual se limitará el proceso contractual. En este caso, la exigencia de estar domiciliado en el lugar de ejecución del contrato se entiende acreditada cuando todas las MiPymes tienen su domicilio en el lugar de ejecución del contrato, no cuando una o varias de ellas lo tienen, pues con una sola que no acredite dicha exigencia, el consorcio o unión temporal estaría imposibilitado para participar en el proceso de selección. De esta forma, si el consorcio o unión temporal está </w:t>
      </w:r>
      <w:r w:rsidRPr="5264C8F4">
        <w:rPr>
          <w:rFonts w:ascii="Arial" w:eastAsia="Arial" w:hAnsi="Arial" w:cs="Arial"/>
          <w:color w:val="000000" w:themeColor="text1"/>
        </w:rPr>
        <w:lastRenderedPageBreak/>
        <w:t>conformado por tres sociedades, y la entidad decide ejercer la facultad que le otorga el artículo 2.2.1.2.4.2.3. del Decreto 1082 de 2015, modificado por el Decreto 1860 de 2021, las tres sociedades deberán acreditar que tienen su domicilio en el lugar de ejecución del contrato, so pena de que la figura asociativa no pueda participar en el proceso de contratación estatal, aceptar lo contrario, implicaría hacer nugatorios los efectos de la mencionada disposición normativa.</w:t>
      </w:r>
    </w:p>
    <w:p w14:paraId="5D0481B7" w14:textId="77777777" w:rsidR="00E226F9" w:rsidRPr="00B9713F" w:rsidRDefault="00E226F9" w:rsidP="00E226F9">
      <w:pPr>
        <w:spacing w:before="120" w:line="276" w:lineRule="auto"/>
        <w:ind w:firstLine="708"/>
        <w:jc w:val="both"/>
        <w:rPr>
          <w:rFonts w:ascii="Arial" w:eastAsia="Arial" w:hAnsi="Arial" w:cs="Arial"/>
          <w:color w:val="000000" w:themeColor="text1"/>
        </w:rPr>
      </w:pPr>
      <w:r w:rsidRPr="45E515D6">
        <w:rPr>
          <w:rFonts w:ascii="Arial" w:eastAsia="Arial" w:hAnsi="Arial" w:cs="Arial"/>
          <w:color w:val="000000" w:themeColor="text1"/>
        </w:rPr>
        <w:t>Esta última afirmación, toma especial relevancia cuando se habla de la fecha y lugar de constitución de la figura asociativa, consorcio o unión temporal, pues la norma no hace referencia a dicho momento, por lo que no podría dársele un alcance con esa connotación para varías el sentido de lo reglado, es decir, siendo el único requisito dispuesto la determinación del domicilio cada una de las MiPymes, no puede entenderse que la constitución de la figura asociativa, tenga la entidad para modificar los contornos ya fijados por la norma.</w:t>
      </w:r>
    </w:p>
    <w:p w14:paraId="10F1341B" w14:textId="77777777" w:rsidR="00E226F9" w:rsidRDefault="00E226F9" w:rsidP="00E226F9">
      <w:pPr>
        <w:spacing w:before="120" w:line="276" w:lineRule="auto"/>
        <w:jc w:val="both"/>
        <w:rPr>
          <w:rFonts w:ascii="Arial" w:eastAsia="Arial" w:hAnsi="Arial" w:cs="Arial"/>
          <w:color w:val="000000" w:themeColor="text1"/>
        </w:rPr>
      </w:pPr>
    </w:p>
    <w:p w14:paraId="1068B57F" w14:textId="77777777" w:rsidR="00E226F9" w:rsidRPr="00B9713F" w:rsidRDefault="00E226F9" w:rsidP="00E226F9">
      <w:pPr>
        <w:tabs>
          <w:tab w:val="left" w:pos="0"/>
        </w:tabs>
        <w:jc w:val="both"/>
        <w:rPr>
          <w:rFonts w:ascii="Arial" w:eastAsia="Calibri" w:hAnsi="Arial" w:cs="Arial"/>
          <w:b/>
          <w:color w:val="000000" w:themeColor="text1"/>
          <w:lang w:val="es-ES_tradnl"/>
        </w:rPr>
      </w:pPr>
      <w:bookmarkStart w:id="10" w:name="_Hlk143115373"/>
      <w:r w:rsidRPr="5264C8F4">
        <w:rPr>
          <w:rFonts w:ascii="Arial" w:eastAsia="Calibri" w:hAnsi="Arial" w:cs="Arial"/>
          <w:b/>
          <w:bCs/>
          <w:color w:val="000000" w:themeColor="text1"/>
          <w:lang w:val="es-ES"/>
        </w:rPr>
        <w:t>3. Respuesta</w:t>
      </w:r>
    </w:p>
    <w:p w14:paraId="1C0779C5" w14:textId="77777777" w:rsidR="00E226F9" w:rsidRDefault="00E226F9" w:rsidP="00E226F9">
      <w:pPr>
        <w:jc w:val="both"/>
        <w:rPr>
          <w:rFonts w:ascii="Arial" w:eastAsia="Calibri" w:hAnsi="Arial" w:cs="Arial"/>
          <w:b/>
          <w:bCs/>
          <w:color w:val="000000" w:themeColor="text1"/>
          <w:lang w:val="es-ES"/>
        </w:rPr>
      </w:pPr>
    </w:p>
    <w:p w14:paraId="65D7299F" w14:textId="77777777" w:rsidR="00E226F9" w:rsidRPr="00B9713F" w:rsidRDefault="00E226F9" w:rsidP="00E226F9">
      <w:pPr>
        <w:ind w:left="709" w:right="709"/>
        <w:jc w:val="both"/>
        <w:rPr>
          <w:rFonts w:ascii="Arial" w:hAnsi="Arial" w:cs="Arial"/>
          <w:color w:val="000000" w:themeColor="text1"/>
          <w:sz w:val="20"/>
          <w:szCs w:val="20"/>
          <w:lang w:val="es-ES_tradnl"/>
        </w:rPr>
      </w:pPr>
      <w:r w:rsidRPr="00B9713F">
        <w:rPr>
          <w:rFonts w:ascii="Arial" w:hAnsi="Arial" w:cs="Arial"/>
          <w:color w:val="000000" w:themeColor="text1"/>
          <w:sz w:val="20"/>
          <w:szCs w:val="20"/>
          <w:lang w:val="es-ES_tradnl"/>
        </w:rPr>
        <w:t>“</w:t>
      </w:r>
      <w:r w:rsidRPr="00B9713F">
        <w:rPr>
          <w:rFonts w:ascii="Arial" w:hAnsi="Arial" w:cs="Arial"/>
          <w:color w:val="000000" w:themeColor="text1"/>
          <w:sz w:val="20"/>
          <w:szCs w:val="20"/>
        </w:rPr>
        <w:t>[…] …si dentro de un proceso limitado a mipyme Departamental radica propuesta un proponente plural (consorcio - unión temporal), pero en el acuerdo consorcial se evidencia que uno de los miembros no es del Departamento y/o Municipio frente al cual se realizo (sic) la limitación de mipyme; ejemplo un proceso de limita a mipyme Departamental Caldas y presenta propuesta un consorcio conformado por una mipyme con domicilio en caldas y el otro consorciado es mipyme del departamento de amazonas. La anterior situación se traduce en una causal de rechazo de la propuesta en razón que uno de los consorciado no cumple con el requisito de la limitación a mipyme. De otra parte si el acuerdo consorcial esta (sic) firmado y suscrito en el territorio del Departamento de Caldas pero los miembros del consorcio uno es mipyme con domicilio en Caldas, pero el otro es mipyme del Amazonas; el proponente plural aporta acta de constitución del consorcio en documento privado y que se aporta en su propuesta con fechado y suscrito en el territorio caldense, esta situación habilita al consorcio y a su miembros a participar como proponente mipyme Departamental. Lo anterior en razón que la norma que regula la limitación a mipyme nada dice sobre las condiciones de domicilio que deben acreditar sus miembros y si esta condición de mypime departamental y/o municipal puede ser cumplida solo por uno de lo (sic) miembros del consorcio y/o unión temporal o si por el contrario es una condición que deben acreditar todos los miembros que conforman el consorcio y/o la unión temporal en un proceso limitado a mipyme territorial […].</w:t>
      </w:r>
      <w:r w:rsidRPr="00B9713F">
        <w:rPr>
          <w:rFonts w:ascii="Arial" w:hAnsi="Arial" w:cs="Arial"/>
          <w:color w:val="000000" w:themeColor="text1"/>
          <w:sz w:val="20"/>
          <w:szCs w:val="20"/>
          <w:lang w:val="es-ES_tradnl"/>
        </w:rPr>
        <w:t>”</w:t>
      </w:r>
      <w:r>
        <w:rPr>
          <w:rFonts w:ascii="Arial" w:hAnsi="Arial" w:cs="Arial"/>
          <w:color w:val="000000" w:themeColor="text1"/>
          <w:sz w:val="20"/>
          <w:szCs w:val="20"/>
          <w:lang w:val="es-ES_tradnl"/>
        </w:rPr>
        <w:t xml:space="preserve"> (SIC)</w:t>
      </w:r>
    </w:p>
    <w:bookmarkEnd w:id="10"/>
    <w:p w14:paraId="0A64954D" w14:textId="77777777" w:rsidR="00E226F9" w:rsidRPr="00B9713F" w:rsidRDefault="00E226F9" w:rsidP="00E226F9">
      <w:pPr>
        <w:spacing w:before="120" w:line="276" w:lineRule="auto"/>
        <w:ind w:firstLine="567"/>
        <w:jc w:val="both"/>
        <w:rPr>
          <w:rFonts w:ascii="Arial" w:eastAsia="Arial" w:hAnsi="Arial" w:cs="Arial"/>
          <w:color w:val="000000" w:themeColor="text1"/>
          <w:lang w:val="es-ES"/>
        </w:rPr>
      </w:pPr>
      <w:r w:rsidRPr="5264C8F4">
        <w:rPr>
          <w:rFonts w:ascii="Arial" w:hAnsi="Arial" w:cs="Arial"/>
          <w:color w:val="000000" w:themeColor="text1"/>
        </w:rPr>
        <w:t>E</w:t>
      </w:r>
      <w:r w:rsidRPr="5264C8F4">
        <w:rPr>
          <w:rFonts w:ascii="Arial" w:eastAsia="Arial" w:hAnsi="Arial" w:cs="Arial"/>
          <w:color w:val="000000" w:themeColor="text1"/>
        </w:rPr>
        <w:t>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contrato en el que la MiPymes tiene su “</w:t>
      </w:r>
      <w:r w:rsidRPr="5264C8F4">
        <w:rPr>
          <w:rFonts w:ascii="Arial" w:eastAsia="Arial" w:hAnsi="Arial" w:cs="Arial"/>
          <w:i/>
          <w:iCs/>
          <w:color w:val="000000" w:themeColor="text1"/>
        </w:rPr>
        <w:t>domicilio</w:t>
      </w:r>
      <w:r w:rsidRPr="5264C8F4">
        <w:rPr>
          <w:rFonts w:ascii="Arial" w:eastAsia="Arial" w:hAnsi="Arial" w:cs="Arial"/>
          <w:color w:val="000000" w:themeColor="text1"/>
        </w:rPr>
        <w:t xml:space="preserve">”, y no en donde tiene sucursales o establecimientos de comercio. </w:t>
      </w:r>
      <w:r w:rsidRPr="5264C8F4">
        <w:rPr>
          <w:rFonts w:ascii="Arial" w:eastAsia="Arial" w:hAnsi="Arial" w:cs="Arial"/>
          <w:color w:val="000000" w:themeColor="text1"/>
          <w:lang w:val="es-ES"/>
        </w:rPr>
        <w:t xml:space="preserve">De este modo, la </w:t>
      </w:r>
      <w:r w:rsidRPr="5264C8F4">
        <w:rPr>
          <w:rFonts w:ascii="Arial" w:eastAsia="Arial" w:hAnsi="Arial" w:cs="Arial"/>
          <w:color w:val="000000" w:themeColor="text1"/>
          <w:lang w:val="es-ES"/>
        </w:rPr>
        <w:lastRenderedPageBreak/>
        <w:t xml:space="preserve">participación en los procesos de contratación limitados territorialmente está condicionada al domicilio principal de la Mipyme respectiva. </w:t>
      </w:r>
    </w:p>
    <w:p w14:paraId="4FC06AF6" w14:textId="77777777" w:rsidR="00E226F9" w:rsidRPr="00B9713F" w:rsidRDefault="00E226F9" w:rsidP="00E226F9">
      <w:pPr>
        <w:spacing w:before="120" w:line="276" w:lineRule="auto"/>
        <w:ind w:firstLine="708"/>
        <w:jc w:val="both"/>
        <w:rPr>
          <w:rFonts w:ascii="Arial" w:eastAsia="Arial" w:hAnsi="Arial" w:cs="Arial"/>
          <w:color w:val="000000" w:themeColor="text1"/>
        </w:rPr>
      </w:pPr>
      <w:r w:rsidRPr="5264C8F4">
        <w:rPr>
          <w:rFonts w:ascii="Arial" w:eastAsia="Arial" w:hAnsi="Arial" w:cs="Arial"/>
          <w:color w:val="000000" w:themeColor="text1"/>
        </w:rPr>
        <w:t>Tratándose de consorcios o uniones temporales formados exclusivamente por MiPymes, es preciso advertir que, su participación en las convocatorias limitadas exige que todas las integrantes de la figura asociativa tengan su domicilio en el departamento o municipio en relación con el cual se limitará el proceso contractual. Esto significa que, la exigencia de estar domiciliado en el lugar de ejecución del contrato se entiende acreditada cuando todas las MiPymes tienen su domicilio en el lugar de ejecución del contrato, no cuando una o varias de ellas lo tienen, pues con una sola que no acredite dicha exigencia, el consorcio o unión temporal estaría imposibilitado para participar en el proceso de selección, y en este orden de ideas, no será relevante la fecha y lugar de constitución de la figura asociativa transitoria, pues la norma es clara en disponer como elemento determinante el domicilio de las MiPymes en sentido específico, sin distinguir la forma como participan (plural o singular).</w:t>
      </w:r>
    </w:p>
    <w:p w14:paraId="23D43DDB" w14:textId="77777777" w:rsidR="00E226F9" w:rsidRPr="00B9713F" w:rsidRDefault="00E226F9" w:rsidP="00E226F9">
      <w:pPr>
        <w:spacing w:before="120" w:line="276" w:lineRule="auto"/>
        <w:ind w:firstLine="708"/>
        <w:jc w:val="both"/>
        <w:rPr>
          <w:rFonts w:ascii="Arial" w:eastAsia="Arial" w:hAnsi="Arial" w:cs="Arial"/>
          <w:color w:val="000000" w:themeColor="text1"/>
        </w:rPr>
      </w:pPr>
      <w:r w:rsidRPr="00B9713F">
        <w:rPr>
          <w:rFonts w:ascii="Arial" w:eastAsia="Arial" w:hAnsi="Arial" w:cs="Arial"/>
          <w:color w:val="000000" w:themeColor="text1"/>
        </w:rPr>
        <w:t>De esta forma, si, por ejemplo, un consorcio o unión temporal está conformado por tres sociedades, y la entidad decide ejercer la facultad que le otorga el artículo 2.2.1.2.4.2.3. del Decreto 1082 de 2015, modificado por el Decreto 1860 de 2021, cumpliendo los requisitos ahí dispuestos, las tres sociedades deberán acreditar que tienen su domicilio en el lugar de ejecución del contrato, so pena de que la figura asociativa no pueda participar en el proceso de contratación estatal, aceptar lo contrario, implicaría hacer nugatorios los efectos de la mencionada disposición normativa.</w:t>
      </w:r>
    </w:p>
    <w:p w14:paraId="2055AFE9" w14:textId="77777777" w:rsidR="00E226F9" w:rsidRPr="00B9713F" w:rsidRDefault="00E226F9" w:rsidP="00E226F9">
      <w:pPr>
        <w:spacing w:line="276" w:lineRule="auto"/>
        <w:jc w:val="both"/>
        <w:rPr>
          <w:rFonts w:ascii="Arial" w:hAnsi="Arial" w:cs="Arial"/>
          <w:color w:val="000000" w:themeColor="text1"/>
          <w:lang w:val="es-ES_tradnl"/>
        </w:rPr>
      </w:pPr>
    </w:p>
    <w:p w14:paraId="7615EC8C" w14:textId="77777777" w:rsidR="00F14B0B" w:rsidRPr="007B6DFA" w:rsidRDefault="00F14B0B" w:rsidP="00F14B0B">
      <w:pPr>
        <w:spacing w:line="276" w:lineRule="auto"/>
        <w:jc w:val="both"/>
        <w:rPr>
          <w:rFonts w:ascii="Arial" w:hAnsi="Arial" w:cs="Arial"/>
          <w:color w:val="000000" w:themeColor="text1"/>
        </w:rPr>
      </w:pPr>
      <w:r w:rsidRPr="007B6DFA">
        <w:rPr>
          <w:rFonts w:ascii="Arial" w:hAnsi="Arial" w:cs="Arial"/>
          <w:color w:val="000000" w:themeColor="text1"/>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52E2E35" w14:textId="77777777" w:rsidR="00E226F9" w:rsidRPr="00B9713F" w:rsidRDefault="00E226F9" w:rsidP="00E226F9">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7AF7ED9" w14:textId="77777777" w:rsidR="00E226F9" w:rsidRPr="00B9713F" w:rsidRDefault="00E226F9" w:rsidP="00E226F9">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9713F">
        <w:rPr>
          <w:rFonts w:ascii="Arial" w:hAnsi="Arial" w:cs="Arial"/>
          <w:color w:val="000000" w:themeColor="text1"/>
          <w:sz w:val="22"/>
          <w:szCs w:val="22"/>
          <w:lang w:val="es-ES_tradnl"/>
        </w:rPr>
        <w:t>Atentamente,</w:t>
      </w:r>
    </w:p>
    <w:p w14:paraId="42A20B45" w14:textId="772C942B" w:rsidR="00E226F9" w:rsidRPr="00B9713F" w:rsidRDefault="00433003" w:rsidP="00E226F9">
      <w:pPr>
        <w:spacing w:before="240" w:after="120" w:line="276" w:lineRule="auto"/>
        <w:jc w:val="center"/>
        <w:rPr>
          <w:rFonts w:ascii="Arial" w:eastAsia="Calibri" w:hAnsi="Arial" w:cs="Arial"/>
          <w:color w:val="000000" w:themeColor="text1"/>
        </w:rPr>
      </w:pPr>
      <w:r>
        <w:rPr>
          <w:noProof/>
        </w:rPr>
        <w:drawing>
          <wp:inline distT="0" distB="0" distL="0" distR="0" wp14:anchorId="37BE9618" wp14:editId="2590FB6D">
            <wp:extent cx="3161905" cy="1209524"/>
            <wp:effectExtent l="0" t="0" r="635" b="0"/>
            <wp:docPr id="159780909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09096" name="Imagen 1" descr="Texto&#10;&#10;Descripción generada automáticamente"/>
                    <pic:cNvPicPr/>
                  </pic:nvPicPr>
                  <pic:blipFill>
                    <a:blip r:embed="rId12"/>
                    <a:stretch>
                      <a:fillRect/>
                    </a:stretch>
                  </pic:blipFill>
                  <pic:spPr>
                    <a:xfrm>
                      <a:off x="0" y="0"/>
                      <a:ext cx="3161905" cy="1209524"/>
                    </a:xfrm>
                    <a:prstGeom prst="rect">
                      <a:avLst/>
                    </a:prstGeom>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E226F9" w:rsidRPr="00B9713F" w14:paraId="07F84109" w14:textId="77777777" w:rsidTr="000137EC">
        <w:trPr>
          <w:trHeight w:val="286"/>
        </w:trPr>
        <w:tc>
          <w:tcPr>
            <w:tcW w:w="817" w:type="dxa"/>
            <w:vAlign w:val="center"/>
          </w:tcPr>
          <w:p w14:paraId="5D9737FF" w14:textId="77777777" w:rsidR="00E226F9" w:rsidRPr="00B9713F" w:rsidRDefault="00E226F9" w:rsidP="000137EC">
            <w:pPr>
              <w:rPr>
                <w:rFonts w:ascii="Arial" w:hAnsi="Arial" w:cs="Arial"/>
                <w:color w:val="000000" w:themeColor="text1"/>
                <w:sz w:val="16"/>
                <w:szCs w:val="16"/>
              </w:rPr>
            </w:pPr>
            <w:r w:rsidRPr="00B9713F">
              <w:rPr>
                <w:rFonts w:ascii="Arial" w:hAnsi="Arial" w:cs="Arial"/>
                <w:color w:val="000000" w:themeColor="text1"/>
                <w:sz w:val="16"/>
                <w:szCs w:val="16"/>
              </w:rPr>
              <w:lastRenderedPageBreak/>
              <w:t>Elaboró:</w:t>
            </w:r>
          </w:p>
        </w:tc>
        <w:tc>
          <w:tcPr>
            <w:tcW w:w="4445" w:type="dxa"/>
            <w:tcBorders>
              <w:bottom w:val="dotted" w:sz="4" w:space="0" w:color="7F7F7F" w:themeColor="text1" w:themeTint="80"/>
            </w:tcBorders>
            <w:vAlign w:val="center"/>
          </w:tcPr>
          <w:p w14:paraId="0D4C1AFD" w14:textId="77777777" w:rsidR="00E226F9" w:rsidRPr="00B9713F" w:rsidRDefault="00E226F9" w:rsidP="000137EC">
            <w:pPr>
              <w:pStyle w:val="paragraph"/>
              <w:spacing w:before="0" w:beforeAutospacing="0" w:after="0" w:afterAutospacing="0"/>
              <w:textAlignment w:val="baseline"/>
              <w:rPr>
                <w:rFonts w:ascii="Arial" w:hAnsi="Arial" w:cs="Arial"/>
                <w:color w:val="000000" w:themeColor="text1"/>
                <w:sz w:val="16"/>
                <w:szCs w:val="16"/>
              </w:rPr>
            </w:pPr>
            <w:r w:rsidRPr="00B9713F">
              <w:rPr>
                <w:rStyle w:val="normaltextrun"/>
                <w:rFonts w:ascii="Arial" w:hAnsi="Arial" w:cs="Arial"/>
                <w:color w:val="000000" w:themeColor="text1"/>
                <w:sz w:val="16"/>
                <w:szCs w:val="16"/>
              </w:rPr>
              <w:t>Jorge Mario Payares Villa</w:t>
            </w:r>
          </w:p>
          <w:p w14:paraId="3BB41E39" w14:textId="77777777" w:rsidR="00E226F9" w:rsidRPr="00B9713F" w:rsidRDefault="00E226F9" w:rsidP="000137EC">
            <w:pPr>
              <w:pStyle w:val="paragraph"/>
              <w:spacing w:before="0" w:beforeAutospacing="0" w:after="0" w:afterAutospacing="0"/>
              <w:textAlignment w:val="baseline"/>
              <w:rPr>
                <w:rFonts w:ascii="Arial" w:hAnsi="Arial" w:cs="Arial"/>
                <w:color w:val="000000" w:themeColor="text1"/>
                <w:sz w:val="16"/>
                <w:szCs w:val="16"/>
              </w:rPr>
            </w:pPr>
            <w:r w:rsidRPr="00B9713F">
              <w:rPr>
                <w:rStyle w:val="normaltextrun"/>
                <w:rFonts w:ascii="Arial" w:hAnsi="Arial" w:cs="Arial"/>
                <w:color w:val="000000" w:themeColor="text1"/>
                <w:sz w:val="16"/>
                <w:szCs w:val="16"/>
              </w:rPr>
              <w:t>Contratista de la Subdirección de Gestión Contractual</w:t>
            </w:r>
            <w:r w:rsidRPr="00B9713F">
              <w:rPr>
                <w:rStyle w:val="eop"/>
                <w:rFonts w:ascii="Arial" w:hAnsi="Arial" w:cs="Arial"/>
                <w:color w:val="000000" w:themeColor="text1"/>
                <w:sz w:val="16"/>
                <w:szCs w:val="16"/>
              </w:rPr>
              <w:t> </w:t>
            </w:r>
          </w:p>
        </w:tc>
      </w:tr>
      <w:tr w:rsidR="00E226F9" w:rsidRPr="00B9713F" w14:paraId="75BCA721" w14:textId="77777777" w:rsidTr="000137EC">
        <w:trPr>
          <w:trHeight w:val="286"/>
        </w:trPr>
        <w:tc>
          <w:tcPr>
            <w:tcW w:w="817" w:type="dxa"/>
            <w:vAlign w:val="center"/>
          </w:tcPr>
          <w:p w14:paraId="59E39EF4" w14:textId="77777777" w:rsidR="00E226F9" w:rsidRPr="00B9713F" w:rsidRDefault="00E226F9" w:rsidP="000137EC">
            <w:pPr>
              <w:rPr>
                <w:rFonts w:ascii="Arial" w:hAnsi="Arial" w:cs="Arial"/>
                <w:color w:val="000000" w:themeColor="text1"/>
                <w:sz w:val="16"/>
                <w:szCs w:val="16"/>
              </w:rPr>
            </w:pPr>
            <w:r w:rsidRPr="00B9713F">
              <w:rPr>
                <w:rFonts w:ascii="Arial" w:hAnsi="Arial" w:cs="Arial"/>
                <w:color w:val="000000" w:themeColor="text1"/>
                <w:sz w:val="16"/>
                <w:szCs w:val="16"/>
              </w:rPr>
              <w:t>Revisó:</w:t>
            </w:r>
          </w:p>
        </w:tc>
        <w:tc>
          <w:tcPr>
            <w:tcW w:w="4445" w:type="dxa"/>
            <w:tcBorders>
              <w:bottom w:val="dotted" w:sz="4" w:space="0" w:color="7F7F7F" w:themeColor="text1" w:themeTint="80"/>
            </w:tcBorders>
            <w:vAlign w:val="center"/>
          </w:tcPr>
          <w:p w14:paraId="0C55E8AF" w14:textId="77777777" w:rsidR="00E226F9" w:rsidRPr="00B9713F" w:rsidRDefault="00E226F9" w:rsidP="000137EC">
            <w:pPr>
              <w:pStyle w:val="paragraph"/>
              <w:spacing w:before="0" w:beforeAutospacing="0" w:after="0" w:afterAutospacing="0"/>
              <w:textAlignment w:val="baseline"/>
              <w:rPr>
                <w:rFonts w:ascii="Segoe UI" w:hAnsi="Segoe UI" w:cs="Segoe UI"/>
                <w:color w:val="000000" w:themeColor="text1"/>
                <w:sz w:val="16"/>
                <w:szCs w:val="16"/>
              </w:rPr>
            </w:pPr>
            <w:r w:rsidRPr="00B9713F">
              <w:rPr>
                <w:rStyle w:val="normaltextrun"/>
                <w:rFonts w:ascii="Arial" w:hAnsi="Arial" w:cs="Arial"/>
                <w:color w:val="000000" w:themeColor="text1"/>
                <w:sz w:val="16"/>
                <w:szCs w:val="16"/>
              </w:rPr>
              <w:t>Ximena Ríos López</w:t>
            </w:r>
            <w:r w:rsidRPr="00B9713F">
              <w:rPr>
                <w:rStyle w:val="eop"/>
                <w:rFonts w:ascii="Arial" w:hAnsi="Arial" w:cs="Arial"/>
                <w:color w:val="000000" w:themeColor="text1"/>
                <w:sz w:val="16"/>
                <w:szCs w:val="16"/>
              </w:rPr>
              <w:t> </w:t>
            </w:r>
          </w:p>
          <w:p w14:paraId="56CC4695" w14:textId="77777777" w:rsidR="00E226F9" w:rsidRPr="00B9713F" w:rsidRDefault="00E226F9" w:rsidP="000137EC">
            <w:pPr>
              <w:rPr>
                <w:rFonts w:ascii="Arial" w:hAnsi="Arial" w:cs="Arial"/>
                <w:color w:val="000000" w:themeColor="text1"/>
                <w:sz w:val="16"/>
                <w:szCs w:val="16"/>
              </w:rPr>
            </w:pPr>
            <w:r w:rsidRPr="00B9713F">
              <w:rPr>
                <w:rStyle w:val="normaltextrun"/>
                <w:rFonts w:ascii="Arial" w:hAnsi="Arial" w:cs="Arial"/>
                <w:color w:val="000000" w:themeColor="text1"/>
                <w:sz w:val="16"/>
                <w:szCs w:val="16"/>
              </w:rPr>
              <w:t>Gestor T1-11 de la Subdirección de Gestión Contractual</w:t>
            </w:r>
            <w:r w:rsidRPr="00B9713F">
              <w:rPr>
                <w:rStyle w:val="eop"/>
                <w:rFonts w:ascii="Arial" w:hAnsi="Arial" w:cs="Arial"/>
                <w:color w:val="000000" w:themeColor="text1"/>
                <w:sz w:val="16"/>
                <w:szCs w:val="16"/>
              </w:rPr>
              <w:t> </w:t>
            </w:r>
          </w:p>
        </w:tc>
      </w:tr>
      <w:tr w:rsidR="00E226F9" w:rsidRPr="00B9713F" w14:paraId="26F43030" w14:textId="77777777" w:rsidTr="000137EC">
        <w:trPr>
          <w:trHeight w:val="299"/>
        </w:trPr>
        <w:tc>
          <w:tcPr>
            <w:tcW w:w="817" w:type="dxa"/>
            <w:vAlign w:val="center"/>
          </w:tcPr>
          <w:p w14:paraId="6164977F" w14:textId="77777777" w:rsidR="00E226F9" w:rsidRPr="00B9713F" w:rsidRDefault="00E226F9" w:rsidP="000137EC">
            <w:pPr>
              <w:rPr>
                <w:rFonts w:ascii="Arial" w:hAnsi="Arial" w:cs="Arial"/>
                <w:color w:val="000000" w:themeColor="text1"/>
                <w:sz w:val="16"/>
                <w:szCs w:val="16"/>
              </w:rPr>
            </w:pPr>
            <w:r w:rsidRPr="00B9713F">
              <w:rPr>
                <w:rFonts w:ascii="Arial" w:hAnsi="Arial" w:cs="Arial"/>
                <w:color w:val="000000" w:themeColor="text1"/>
                <w:sz w:val="16"/>
                <w:szCs w:val="16"/>
              </w:rPr>
              <w:t>Aprobó:</w:t>
            </w:r>
          </w:p>
        </w:tc>
        <w:tc>
          <w:tcPr>
            <w:tcW w:w="4445" w:type="dxa"/>
            <w:tcBorders>
              <w:top w:val="dotted" w:sz="4" w:space="0" w:color="7F7F7F" w:themeColor="text1" w:themeTint="80"/>
              <w:bottom w:val="dotted" w:sz="4" w:space="0" w:color="7F7F7F" w:themeColor="text1" w:themeTint="80"/>
            </w:tcBorders>
            <w:vAlign w:val="center"/>
          </w:tcPr>
          <w:p w14:paraId="6B14BC60" w14:textId="77777777" w:rsidR="00E226F9" w:rsidRPr="00B9713F" w:rsidRDefault="00E226F9" w:rsidP="000137EC">
            <w:pPr>
              <w:rPr>
                <w:rFonts w:ascii="Arial" w:hAnsi="Arial" w:cs="Arial"/>
                <w:color w:val="000000" w:themeColor="text1"/>
                <w:sz w:val="16"/>
                <w:szCs w:val="16"/>
              </w:rPr>
            </w:pPr>
            <w:r w:rsidRPr="00B9713F">
              <w:rPr>
                <w:rFonts w:ascii="Arial" w:hAnsi="Arial" w:cs="Arial"/>
                <w:color w:val="000000" w:themeColor="text1"/>
                <w:sz w:val="16"/>
                <w:szCs w:val="16"/>
              </w:rPr>
              <w:t>Nohelia Del Carmen Zawady Palacio</w:t>
            </w:r>
          </w:p>
          <w:p w14:paraId="158B9588" w14:textId="77777777" w:rsidR="00E226F9" w:rsidRPr="00B9713F" w:rsidRDefault="00E226F9" w:rsidP="000137EC">
            <w:pPr>
              <w:rPr>
                <w:rFonts w:ascii="Arial" w:hAnsi="Arial" w:cs="Arial"/>
                <w:color w:val="000000" w:themeColor="text1"/>
                <w:sz w:val="16"/>
                <w:szCs w:val="16"/>
              </w:rPr>
            </w:pPr>
            <w:r w:rsidRPr="00B9713F">
              <w:rPr>
                <w:rFonts w:ascii="Arial" w:hAnsi="Arial" w:cs="Arial"/>
                <w:color w:val="000000" w:themeColor="text1"/>
                <w:sz w:val="16"/>
                <w:szCs w:val="16"/>
              </w:rPr>
              <w:t xml:space="preserve">Subdirectora de Gestión Contractual ANCP – CCE </w:t>
            </w:r>
          </w:p>
        </w:tc>
      </w:tr>
      <w:bookmarkEnd w:id="2"/>
      <w:bookmarkEnd w:id="8"/>
    </w:tbl>
    <w:p w14:paraId="605AEBAD" w14:textId="77777777" w:rsidR="00FB347B" w:rsidRPr="00D80977" w:rsidRDefault="00FB347B" w:rsidP="00E226F9">
      <w:pPr>
        <w:jc w:val="both"/>
        <w:rPr>
          <w:rFonts w:ascii="Arial" w:hAnsi="Arial" w:cs="Arial"/>
          <w:color w:val="000000" w:themeColor="text1"/>
          <w:sz w:val="22"/>
          <w:szCs w:val="22"/>
        </w:rPr>
      </w:pPr>
    </w:p>
    <w:sectPr w:rsidR="00FB347B" w:rsidRPr="00D80977" w:rsidSect="00FC0252">
      <w:headerReference w:type="default" r:id="rId13"/>
      <w:footerReference w:type="default" r:id="rId14"/>
      <w:pgSz w:w="12240" w:h="15840" w:code="1"/>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EAF0C" w14:textId="77777777" w:rsidR="00857155" w:rsidRDefault="00857155" w:rsidP="00950DF7">
      <w:r>
        <w:separator/>
      </w:r>
    </w:p>
  </w:endnote>
  <w:endnote w:type="continuationSeparator" w:id="0">
    <w:p w14:paraId="4E1219AB" w14:textId="77777777" w:rsidR="00857155" w:rsidRDefault="00857155" w:rsidP="00950DF7">
      <w:r>
        <w:continuationSeparator/>
      </w:r>
    </w:p>
  </w:endnote>
  <w:endnote w:type="continuationNotice" w:id="1">
    <w:p w14:paraId="7CE92F41" w14:textId="77777777" w:rsidR="00857155" w:rsidRDefault="008571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643FC" w14:textId="77777777" w:rsidR="00FC0252" w:rsidRDefault="00FC0252" w:rsidP="00FC0252">
    <w:pPr>
      <w:pStyle w:val="Piedepgina"/>
    </w:pPr>
    <w:r>
      <w:rPr>
        <w:noProof/>
      </w:rPr>
      <w:drawing>
        <wp:inline distT="0" distB="0" distL="0" distR="0" wp14:anchorId="62A5DDD2" wp14:editId="103BABFD">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rPr>
      <w:drawing>
        <wp:anchor distT="0" distB="0" distL="114300" distR="114300" simplePos="0" relativeHeight="251658240" behindDoc="0" locked="0" layoutInCell="1" allowOverlap="1" wp14:anchorId="5C41D58F" wp14:editId="64AAC82E">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40523" name="Imagen 1567040523"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0252" w:rsidRPr="00080DA3" w14:paraId="6CBE64F4" w14:textId="77777777">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ACB114F" w14:textId="77777777" w:rsidR="00FC0252" w:rsidRPr="003F3941" w:rsidRDefault="00FC0252" w:rsidP="00FC0252">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B63D9B8" w14:textId="77777777" w:rsidR="00FC0252" w:rsidRPr="003F3941" w:rsidRDefault="00FC0252" w:rsidP="00FC0252">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0A42F68" w14:textId="77777777" w:rsidR="00FC0252" w:rsidRPr="003F3941" w:rsidRDefault="00FC0252" w:rsidP="00FC0252">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5BB47CD" w14:textId="77777777" w:rsidR="00FC0252" w:rsidRPr="003F3941" w:rsidRDefault="00FC0252" w:rsidP="00FC0252">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sz w:val="16"/>
              <w:szCs w:val="16"/>
            </w:rPr>
            <w:t>2</w:t>
          </w:r>
          <w:r w:rsidRPr="003F3941">
            <w:rPr>
              <w:rFonts w:ascii="Century Gothic" w:hAnsi="Century Gothic"/>
              <w:b/>
              <w:bCs/>
              <w:sz w:val="16"/>
              <w:szCs w:val="16"/>
            </w:rPr>
            <w:fldChar w:fldCharType="end"/>
          </w:r>
        </w:p>
      </w:tc>
    </w:tr>
  </w:tbl>
  <w:p w14:paraId="4AD1B6F0" w14:textId="77777777" w:rsidR="00950DF7" w:rsidRPr="00FC0252" w:rsidRDefault="00950DF7" w:rsidP="00FC02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5D09E" w14:textId="77777777" w:rsidR="00857155" w:rsidRDefault="00857155" w:rsidP="00950DF7">
      <w:r>
        <w:separator/>
      </w:r>
    </w:p>
  </w:footnote>
  <w:footnote w:type="continuationSeparator" w:id="0">
    <w:p w14:paraId="4E652739" w14:textId="77777777" w:rsidR="00857155" w:rsidRDefault="00857155" w:rsidP="00950DF7">
      <w:r>
        <w:continuationSeparator/>
      </w:r>
    </w:p>
  </w:footnote>
  <w:footnote w:type="continuationNotice" w:id="1">
    <w:p w14:paraId="71801057" w14:textId="77777777" w:rsidR="00857155" w:rsidRDefault="00857155"/>
  </w:footnote>
  <w:footnote w:id="2">
    <w:p w14:paraId="69A9099A" w14:textId="77777777" w:rsidR="00E226F9" w:rsidRDefault="00E226F9" w:rsidP="00E226F9">
      <w:pPr>
        <w:pStyle w:val="Textonotapie"/>
        <w:ind w:firstLine="708"/>
        <w:jc w:val="both"/>
        <w:rPr>
          <w:rFonts w:ascii="Arial" w:eastAsia="Calibri" w:hAnsi="Arial" w:cs="Arial"/>
          <w:sz w:val="18"/>
          <w:szCs w:val="18"/>
          <w:lang w:val="es-ES" w:eastAsia="es-ES_tradnl"/>
        </w:rPr>
      </w:pPr>
      <w:r w:rsidRPr="005D3FDD">
        <w:rPr>
          <w:rFonts w:ascii="Arial" w:eastAsia="Calibri" w:hAnsi="Arial" w:cs="Arial"/>
          <w:sz w:val="18"/>
          <w:szCs w:val="18"/>
          <w:vertAlign w:val="superscript"/>
          <w:lang w:val="es-ES" w:eastAsia="es-ES_tradnl"/>
        </w:rPr>
        <w:footnoteRef/>
      </w:r>
      <w:r w:rsidRPr="005D3FDD">
        <w:rPr>
          <w:rFonts w:ascii="Arial" w:eastAsia="Calibri" w:hAnsi="Arial" w:cs="Arial"/>
          <w:sz w:val="18"/>
          <w:szCs w:val="18"/>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14E255AB" w14:textId="77777777" w:rsidR="00E226F9" w:rsidRPr="005D3FDD" w:rsidRDefault="00E226F9" w:rsidP="00E226F9">
      <w:pPr>
        <w:pStyle w:val="Textonotapie"/>
        <w:ind w:firstLine="708"/>
        <w:jc w:val="both"/>
        <w:rPr>
          <w:rFonts w:ascii="Arial" w:hAnsi="Arial" w:cs="Arial"/>
          <w:sz w:val="18"/>
          <w:szCs w:val="18"/>
          <w:lang w:val="es-ES"/>
        </w:rPr>
      </w:pPr>
    </w:p>
  </w:footnote>
  <w:footnote w:id="3">
    <w:p w14:paraId="49FD2E87" w14:textId="77777777" w:rsidR="00E226F9" w:rsidRDefault="00E226F9" w:rsidP="00E226F9">
      <w:pPr>
        <w:pStyle w:val="Textonotapie"/>
        <w:ind w:firstLine="708"/>
        <w:jc w:val="both"/>
        <w:rPr>
          <w:rFonts w:ascii="Arial" w:hAnsi="Arial" w:cs="Arial"/>
          <w:sz w:val="18"/>
          <w:szCs w:val="18"/>
          <w:shd w:val="clear" w:color="auto" w:fill="E6E6E6"/>
        </w:rPr>
      </w:pPr>
      <w:r w:rsidRPr="005D3FDD">
        <w:rPr>
          <w:rFonts w:ascii="Arial" w:hAnsi="Arial" w:cs="Arial"/>
          <w:sz w:val="18"/>
          <w:szCs w:val="18"/>
          <w:vertAlign w:val="superscript"/>
        </w:rPr>
        <w:footnoteRef/>
      </w:r>
      <w:r w:rsidRPr="005D3FDD">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D3FDD">
          <w:rPr>
            <w:rStyle w:val="Hipervnculo"/>
            <w:rFonts w:ascii="Arial" w:hAnsi="Arial" w:cs="Arial"/>
            <w:sz w:val="18"/>
            <w:szCs w:val="18"/>
          </w:rPr>
          <w:t>https://relatoria.colombiacompra.gov.co/busqueda/conceptos</w:t>
        </w:r>
      </w:hyperlink>
      <w:r w:rsidRPr="005D3FDD">
        <w:rPr>
          <w:rFonts w:ascii="Arial" w:hAnsi="Arial" w:cs="Arial"/>
          <w:sz w:val="18"/>
          <w:szCs w:val="18"/>
          <w:shd w:val="clear" w:color="auto" w:fill="E6E6E6"/>
        </w:rPr>
        <w:t xml:space="preserve"> </w:t>
      </w:r>
    </w:p>
    <w:p w14:paraId="10EECDBC" w14:textId="77777777" w:rsidR="00E226F9" w:rsidRPr="005D3FDD" w:rsidRDefault="00E226F9" w:rsidP="00E226F9">
      <w:pPr>
        <w:pStyle w:val="Textonotapie"/>
        <w:ind w:firstLine="708"/>
        <w:jc w:val="both"/>
        <w:rPr>
          <w:rFonts w:ascii="Arial" w:hAnsi="Arial" w:cs="Arial"/>
          <w:sz w:val="18"/>
          <w:szCs w:val="18"/>
        </w:rPr>
      </w:pPr>
    </w:p>
  </w:footnote>
  <w:footnote w:id="4">
    <w:p w14:paraId="34574CDC" w14:textId="77777777" w:rsidR="00E226F9" w:rsidRDefault="00E226F9" w:rsidP="00E226F9">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2 al 29.</w:t>
      </w:r>
    </w:p>
    <w:p w14:paraId="142C6A2B" w14:textId="77777777" w:rsidR="00E226F9" w:rsidRPr="0014426D" w:rsidRDefault="00E226F9" w:rsidP="00E226F9">
      <w:pPr>
        <w:pStyle w:val="Textonotapie"/>
        <w:ind w:firstLine="709"/>
        <w:rPr>
          <w:rFonts w:ascii="Arial" w:hAnsi="Arial" w:cs="Arial"/>
          <w:sz w:val="19"/>
          <w:szCs w:val="19"/>
          <w:lang w:val="es-ES"/>
        </w:rPr>
      </w:pPr>
    </w:p>
  </w:footnote>
  <w:footnote w:id="5">
    <w:p w14:paraId="06F1A9B9" w14:textId="77777777" w:rsidR="00E226F9" w:rsidRPr="0014426D" w:rsidRDefault="00E226F9" w:rsidP="00E226F9">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30 al 36.</w:t>
      </w:r>
    </w:p>
  </w:footnote>
  <w:footnote w:id="6">
    <w:p w14:paraId="0008D73B" w14:textId="77777777" w:rsidR="00E226F9" w:rsidRDefault="00E226F9" w:rsidP="00E226F9">
      <w:pPr>
        <w:pStyle w:val="Textonotapie"/>
        <w:ind w:firstLine="709"/>
        <w:rPr>
          <w:rFonts w:ascii="Arial" w:hAnsi="Arial" w:cs="Arial"/>
          <w:sz w:val="19"/>
          <w:szCs w:val="19"/>
        </w:rPr>
      </w:pPr>
    </w:p>
    <w:p w14:paraId="6E35AEAC" w14:textId="77777777" w:rsidR="00E226F9" w:rsidRPr="0014426D" w:rsidRDefault="00E226F9" w:rsidP="00E226F9">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37 al 45.</w:t>
      </w:r>
    </w:p>
  </w:footnote>
  <w:footnote w:id="7">
    <w:p w14:paraId="1C7AFE30" w14:textId="77777777" w:rsidR="00E226F9" w:rsidRDefault="00E226F9" w:rsidP="00E226F9">
      <w:pPr>
        <w:pStyle w:val="Textonotapie"/>
        <w:ind w:firstLine="709"/>
        <w:rPr>
          <w:rFonts w:ascii="Arial" w:hAnsi="Arial" w:cs="Arial"/>
          <w:sz w:val="19"/>
          <w:szCs w:val="19"/>
        </w:rPr>
      </w:pPr>
    </w:p>
    <w:p w14:paraId="357648BC" w14:textId="77777777" w:rsidR="00E226F9" w:rsidRPr="0014426D" w:rsidRDefault="00E226F9" w:rsidP="00E226F9">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46 al 73.</w:t>
      </w:r>
    </w:p>
  </w:footnote>
  <w:footnote w:id="8">
    <w:p w14:paraId="15D13136" w14:textId="77777777" w:rsidR="00E226F9" w:rsidRDefault="00E226F9" w:rsidP="00E226F9">
      <w:pPr>
        <w:pStyle w:val="Textonotapie"/>
        <w:ind w:firstLine="709"/>
        <w:rPr>
          <w:rFonts w:ascii="Arial" w:hAnsi="Arial" w:cs="Arial"/>
          <w:sz w:val="19"/>
          <w:szCs w:val="19"/>
        </w:rPr>
      </w:pPr>
    </w:p>
    <w:p w14:paraId="1559A116" w14:textId="77777777" w:rsidR="00E226F9" w:rsidRDefault="00E226F9" w:rsidP="00E226F9">
      <w:pPr>
        <w:pStyle w:val="Textonotapie"/>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74 al 83.</w:t>
      </w:r>
    </w:p>
    <w:p w14:paraId="2A8592E0" w14:textId="77777777" w:rsidR="00E226F9" w:rsidRPr="0014426D" w:rsidRDefault="00E226F9" w:rsidP="00E226F9">
      <w:pPr>
        <w:pStyle w:val="Textonotapie"/>
        <w:ind w:firstLine="709"/>
        <w:rPr>
          <w:rFonts w:ascii="Arial" w:hAnsi="Arial" w:cs="Arial"/>
          <w:sz w:val="19"/>
          <w:szCs w:val="19"/>
          <w:lang w:val="es-ES"/>
        </w:rPr>
      </w:pPr>
    </w:p>
  </w:footnote>
  <w:footnote w:id="9">
    <w:p w14:paraId="61605298" w14:textId="77777777" w:rsidR="00E226F9" w:rsidRPr="0014426D" w:rsidRDefault="00E226F9" w:rsidP="00E226F9">
      <w:pPr>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Corte Constitucional. Sentencia C-502 de 2012. Magistrada Ponente: Adriana María Guillén Arango.</w:t>
      </w:r>
    </w:p>
    <w:p w14:paraId="474D8C67" w14:textId="77777777" w:rsidR="00E226F9" w:rsidRPr="0014426D" w:rsidRDefault="00E226F9" w:rsidP="00E226F9">
      <w:pPr>
        <w:pStyle w:val="Textonotapie"/>
        <w:ind w:firstLine="709"/>
        <w:rPr>
          <w:rFonts w:ascii="Arial" w:hAnsi="Arial" w:cs="Arial"/>
          <w:sz w:val="19"/>
          <w:szCs w:val="19"/>
          <w:lang w:val="es-ES"/>
        </w:rPr>
      </w:pPr>
      <w:r w:rsidRPr="0014426D">
        <w:rPr>
          <w:rFonts w:ascii="Arial" w:hAnsi="Arial" w:cs="Arial"/>
          <w:sz w:val="19"/>
          <w:szCs w:val="19"/>
          <w:lang w:val="es-ES"/>
        </w:rPr>
        <w:t xml:space="preserve"> </w:t>
      </w:r>
    </w:p>
  </w:footnote>
  <w:footnote w:id="10">
    <w:p w14:paraId="05101693" w14:textId="77777777" w:rsidR="00E226F9" w:rsidRDefault="00E226F9" w:rsidP="00E226F9">
      <w:pPr>
        <w:pStyle w:val="Textonotapie"/>
        <w:ind w:firstLine="708"/>
        <w:rPr>
          <w:rFonts w:ascii="Arial" w:hAnsi="Arial" w:cs="Arial"/>
          <w:sz w:val="19"/>
          <w:szCs w:val="19"/>
        </w:rPr>
      </w:pPr>
      <w:r w:rsidRPr="0014426D">
        <w:rPr>
          <w:rStyle w:val="Refdenotaalpie"/>
          <w:rFonts w:ascii="Arial" w:hAnsi="Arial" w:cs="Arial"/>
          <w:sz w:val="19"/>
          <w:szCs w:val="19"/>
        </w:rPr>
        <w:footnoteRef/>
      </w:r>
      <w:r w:rsidRPr="0014426D">
        <w:rPr>
          <w:rFonts w:ascii="Arial" w:hAnsi="Arial" w:cs="Arial"/>
          <w:sz w:val="19"/>
          <w:szCs w:val="19"/>
        </w:rPr>
        <w:t xml:space="preserve"> Dicho artículo indica que </w:t>
      </w:r>
      <w:r>
        <w:rPr>
          <w:rFonts w:ascii="Arial" w:hAnsi="Arial" w:cs="Arial"/>
          <w:sz w:val="19"/>
          <w:szCs w:val="19"/>
        </w:rPr>
        <w:t>“</w:t>
      </w:r>
      <w:r w:rsidRPr="0014426D">
        <w:rPr>
          <w:rFonts w:ascii="Arial" w:hAnsi="Arial" w:cs="Arial"/>
          <w:color w:val="000000"/>
          <w:sz w:val="19"/>
          <w:szCs w:val="19"/>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w:t>
      </w:r>
      <w:r w:rsidRPr="0024769F">
        <w:rPr>
          <w:rFonts w:ascii="Arial" w:hAnsi="Arial" w:cs="Arial"/>
          <w:color w:val="000000"/>
          <w:sz w:val="19"/>
          <w:szCs w:val="19"/>
        </w:rPr>
        <w:t>mpresa</w:t>
      </w:r>
      <w:r>
        <w:rPr>
          <w:rFonts w:ascii="Arial" w:hAnsi="Arial" w:cs="Arial"/>
          <w:color w:val="000000"/>
          <w:sz w:val="19"/>
          <w:szCs w:val="19"/>
        </w:rPr>
        <w:t>”</w:t>
      </w:r>
      <w:r w:rsidRPr="0024769F">
        <w:rPr>
          <w:rFonts w:ascii="Arial" w:hAnsi="Arial" w:cs="Arial"/>
          <w:color w:val="000000"/>
          <w:sz w:val="19"/>
          <w:szCs w:val="19"/>
        </w:rPr>
        <w:t>. </w:t>
      </w:r>
      <w:r w:rsidRPr="0024769F">
        <w:rPr>
          <w:rFonts w:ascii="Arial" w:hAnsi="Arial" w:cs="Arial"/>
          <w:sz w:val="19"/>
          <w:szCs w:val="19"/>
        </w:rPr>
        <w:t xml:space="preserve"> </w:t>
      </w:r>
    </w:p>
    <w:p w14:paraId="553EBFFF" w14:textId="77777777" w:rsidR="00E226F9" w:rsidRPr="0024769F" w:rsidRDefault="00E226F9" w:rsidP="00E226F9">
      <w:pPr>
        <w:pStyle w:val="Textonotapie"/>
        <w:ind w:firstLine="708"/>
        <w:rPr>
          <w:rFonts w:ascii="Arial" w:hAnsi="Arial" w:cs="Arial"/>
          <w:sz w:val="19"/>
          <w:szCs w:val="19"/>
          <w:lang w:val="es-CO"/>
        </w:rPr>
      </w:pPr>
    </w:p>
  </w:footnote>
  <w:footnote w:id="11">
    <w:p w14:paraId="6358751F" w14:textId="77777777" w:rsidR="00E226F9" w:rsidRPr="0024769F" w:rsidRDefault="00E226F9" w:rsidP="00E226F9">
      <w:pPr>
        <w:ind w:firstLine="708"/>
        <w:rPr>
          <w:rFonts w:ascii="Arial" w:hAnsi="Arial" w:cs="Arial"/>
          <w:sz w:val="19"/>
          <w:szCs w:val="19"/>
          <w:lang w:val="es-ES"/>
        </w:rPr>
      </w:pPr>
      <w:r w:rsidRPr="0024769F">
        <w:rPr>
          <w:rStyle w:val="Refdenotaalpie"/>
          <w:rFonts w:ascii="Arial" w:hAnsi="Arial" w:cs="Arial"/>
          <w:sz w:val="19"/>
          <w:szCs w:val="19"/>
        </w:rPr>
        <w:footnoteRef/>
      </w:r>
      <w:r w:rsidRPr="0024769F">
        <w:rPr>
          <w:rFonts w:ascii="Arial" w:hAnsi="Arial" w:cs="Arial"/>
          <w:sz w:val="19"/>
          <w:szCs w:val="19"/>
        </w:rPr>
        <w:t xml:space="preserve"> SUPERINTENDENCIA DE SOCIEDADES. Oficio 220-065565 del 22 de agosto de 2012.</w:t>
      </w:r>
    </w:p>
  </w:footnote>
  <w:footnote w:id="12">
    <w:p w14:paraId="53921E25" w14:textId="77777777" w:rsidR="00E226F9" w:rsidRDefault="00E226F9" w:rsidP="00E226F9">
      <w:pPr>
        <w:pStyle w:val="Textonotapie"/>
        <w:ind w:firstLine="708"/>
        <w:jc w:val="both"/>
        <w:rPr>
          <w:rFonts w:ascii="Arial" w:hAnsi="Arial" w:cs="Arial"/>
          <w:sz w:val="19"/>
          <w:szCs w:val="19"/>
        </w:rPr>
      </w:pPr>
      <w:r w:rsidRPr="0024769F">
        <w:rPr>
          <w:rStyle w:val="Refdenotaalpie"/>
          <w:rFonts w:ascii="Arial" w:hAnsi="Arial" w:cs="Arial"/>
          <w:sz w:val="19"/>
          <w:szCs w:val="19"/>
        </w:rPr>
        <w:footnoteRef/>
      </w:r>
      <w:r w:rsidRPr="0024769F">
        <w:rPr>
          <w:rFonts w:ascii="Arial" w:hAnsi="Arial" w:cs="Arial"/>
          <w:sz w:val="19"/>
          <w:szCs w:val="19"/>
        </w:rPr>
        <w:t xml:space="preserve"> </w:t>
      </w:r>
      <w:bookmarkStart w:id="9" w:name="76"/>
      <w:r w:rsidRPr="0024769F">
        <w:rPr>
          <w:rFonts w:ascii="Arial" w:hAnsi="Arial" w:cs="Arial"/>
          <w:bCs/>
          <w:sz w:val="19"/>
          <w:szCs w:val="19"/>
        </w:rPr>
        <w:t>Artículo 76. Domicilio.</w:t>
      </w:r>
      <w:bookmarkEnd w:id="9"/>
      <w:r w:rsidRPr="0024769F">
        <w:rPr>
          <w:rFonts w:ascii="Arial" w:hAnsi="Arial" w:cs="Arial"/>
          <w:sz w:val="19"/>
          <w:szCs w:val="19"/>
        </w:rPr>
        <w:t> El domicilio consiste en la residencia acompañada, real o presuntivamente del ánimo de permanecer en ella.</w:t>
      </w:r>
    </w:p>
    <w:p w14:paraId="279B6342" w14:textId="77777777" w:rsidR="00E226F9" w:rsidRPr="0024769F" w:rsidRDefault="00E226F9" w:rsidP="00E226F9">
      <w:pPr>
        <w:pStyle w:val="Textonotapie"/>
        <w:ind w:firstLine="708"/>
        <w:rPr>
          <w:rFonts w:ascii="Arial" w:hAnsi="Arial" w:cs="Arial"/>
          <w:sz w:val="19"/>
          <w:szCs w:val="19"/>
          <w:lang w:val="es-ES"/>
        </w:rPr>
      </w:pPr>
    </w:p>
  </w:footnote>
  <w:footnote w:id="13">
    <w:p w14:paraId="0F3BB172" w14:textId="77777777" w:rsidR="00E226F9" w:rsidRPr="0024769F" w:rsidRDefault="00E226F9" w:rsidP="00E226F9">
      <w:pPr>
        <w:pStyle w:val="Textonotapie"/>
        <w:ind w:firstLine="708"/>
        <w:jc w:val="both"/>
        <w:rPr>
          <w:rFonts w:ascii="Arial" w:hAnsi="Arial" w:cs="Arial"/>
          <w:sz w:val="19"/>
          <w:szCs w:val="19"/>
        </w:rPr>
      </w:pPr>
      <w:r w:rsidRPr="0024769F">
        <w:rPr>
          <w:rStyle w:val="Refdenotaalpie"/>
          <w:rFonts w:ascii="Arial" w:hAnsi="Arial" w:cs="Arial"/>
          <w:sz w:val="19"/>
          <w:szCs w:val="19"/>
        </w:rPr>
        <w:footnoteRef/>
      </w:r>
      <w:r w:rsidRPr="0024769F">
        <w:rPr>
          <w:rFonts w:ascii="Arial" w:hAnsi="Arial" w:cs="Arial"/>
          <w:sz w:val="19"/>
          <w:szCs w:val="19"/>
        </w:rPr>
        <w:t xml:space="preserve">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00132D6C" w14:textId="77777777" w:rsidR="00E226F9" w:rsidRPr="0024769F" w:rsidRDefault="00E226F9" w:rsidP="00E226F9">
      <w:pPr>
        <w:pStyle w:val="Textonotapie"/>
        <w:ind w:firstLine="708"/>
        <w:jc w:val="both"/>
        <w:rPr>
          <w:rFonts w:ascii="Arial" w:hAnsi="Arial" w:cs="Arial"/>
          <w:sz w:val="19"/>
          <w:szCs w:val="19"/>
        </w:rPr>
      </w:pPr>
      <w:r w:rsidRPr="0024769F">
        <w:rPr>
          <w:rFonts w:ascii="Arial" w:hAnsi="Arial" w:cs="Arial"/>
          <w:sz w:val="19"/>
          <w:szCs w:val="19"/>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7AC234E3" w14:textId="77777777" w:rsidR="00E226F9" w:rsidRPr="0024769F" w:rsidRDefault="00E226F9" w:rsidP="00E226F9">
      <w:pPr>
        <w:pStyle w:val="Textonotapie"/>
        <w:ind w:firstLine="708"/>
        <w:jc w:val="both"/>
        <w:rPr>
          <w:rFonts w:ascii="Arial" w:hAnsi="Arial" w:cs="Arial"/>
          <w:sz w:val="19"/>
          <w:szCs w:val="19"/>
        </w:rPr>
      </w:pPr>
      <w:r w:rsidRPr="0024769F">
        <w:rPr>
          <w:rFonts w:ascii="Arial" w:hAnsi="Arial" w:cs="Arial"/>
          <w:sz w:val="19"/>
          <w:szCs w:val="19"/>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0773F290" w14:textId="77777777" w:rsidR="00E226F9" w:rsidRPr="0024769F" w:rsidRDefault="00E226F9" w:rsidP="00E226F9">
      <w:pPr>
        <w:pStyle w:val="Textonotapie"/>
        <w:ind w:firstLine="708"/>
        <w:rPr>
          <w:rFonts w:ascii="Arial" w:hAnsi="Arial" w:cs="Arial"/>
          <w:sz w:val="19"/>
          <w:szCs w:val="19"/>
        </w:rPr>
      </w:pPr>
      <w:r w:rsidRPr="0024769F">
        <w:rPr>
          <w:rFonts w:ascii="Arial" w:hAnsi="Arial" w:cs="Arial"/>
          <w:sz w:val="19"/>
          <w:szCs w:val="19"/>
        </w:rPr>
        <w:t xml:space="preserve">Tratándose de personas jurídicas, las solicitudes solo las podrán realizar Mipyme, cuyo objeto social les permita ejecutar el contrato relacionado con el proceso contractual. </w:t>
      </w:r>
    </w:p>
    <w:p w14:paraId="062D3670" w14:textId="77777777" w:rsidR="00E226F9" w:rsidRPr="0024769F" w:rsidRDefault="00E226F9" w:rsidP="00E226F9">
      <w:pPr>
        <w:pStyle w:val="Textonotapie"/>
        <w:ind w:firstLine="708"/>
        <w:rPr>
          <w:rFonts w:ascii="Arial" w:hAnsi="Arial" w:cs="Arial"/>
          <w:sz w:val="19"/>
          <w:szCs w:val="19"/>
        </w:rPr>
      </w:pPr>
      <w:r w:rsidRPr="0024769F">
        <w:rPr>
          <w:rFonts w:ascii="Arial" w:hAnsi="Arial" w:cs="Arial"/>
          <w:sz w:val="19"/>
          <w:szCs w:val="19"/>
        </w:rPr>
        <w:t>PARÁGRAFO. Las cooperativas y demás entidades de economía solidaria, siempre que tengan la calidad de Mípyme, podrán solicitar y participar en las convocatorias limitadas en las mismas condiciones dispuestas en el presente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3F2FF" w14:textId="77777777" w:rsidR="0020617F" w:rsidRDefault="0020617F" w:rsidP="0020617F">
    <w:pPr>
      <w:pStyle w:val="Encabezado"/>
    </w:pPr>
    <w:r>
      <w:rPr>
        <w:noProof/>
      </w:rPr>
      <w:drawing>
        <wp:anchor distT="0" distB="0" distL="114300" distR="114300" simplePos="0" relativeHeight="251658241" behindDoc="1" locked="0" layoutInCell="1" allowOverlap="1" wp14:anchorId="5DD8D809" wp14:editId="62E4B453">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Cs w:val="24"/>
      </w:rPr>
      <w:drawing>
        <wp:anchor distT="0" distB="0" distL="114300" distR="114300" simplePos="0" relativeHeight="251658244" behindDoc="0" locked="0" layoutInCell="1" allowOverlap="1" wp14:anchorId="7AE6B2EF" wp14:editId="7F6B7268">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56580" name="Imagen 1644356580"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Cs w:val="24"/>
      </w:rPr>
      <w:drawing>
        <wp:anchor distT="0" distB="0" distL="114300" distR="114300" simplePos="0" relativeHeight="251658243" behindDoc="0" locked="0" layoutInCell="1" allowOverlap="1" wp14:anchorId="5810FC16" wp14:editId="1EA3BF0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0AE3F34B" wp14:editId="65F93ADE">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691DD875" w14:textId="77777777" w:rsidR="0020617F" w:rsidRDefault="0020617F" w:rsidP="0020617F">
    <w:pPr>
      <w:pStyle w:val="Encabezado"/>
    </w:pPr>
  </w:p>
  <w:p w14:paraId="3905E6B5" w14:textId="77777777" w:rsidR="0020617F" w:rsidRDefault="0020617F" w:rsidP="0020617F">
    <w:pPr>
      <w:pStyle w:val="Encabezado"/>
    </w:pPr>
  </w:p>
  <w:p w14:paraId="32707E4E" w14:textId="77777777" w:rsidR="0020617F" w:rsidRPr="004A305D" w:rsidRDefault="0020617F" w:rsidP="0020617F">
    <w:pPr>
      <w:rPr>
        <w:rFonts w:ascii="Century Gothic" w:hAnsi="Century Gothic"/>
        <w:color w:val="002060"/>
        <w:sz w:val="16"/>
        <w:szCs w:val="16"/>
      </w:rPr>
    </w:pPr>
    <w:r w:rsidRPr="004A305D">
      <w:rPr>
        <w:rFonts w:ascii="Century Gothic" w:hAnsi="Century Gothic"/>
        <w:color w:val="002060"/>
        <w:sz w:val="16"/>
        <w:szCs w:val="16"/>
      </w:rPr>
      <w:t>FORMATO PQRSD</w:t>
    </w:r>
  </w:p>
  <w:p w14:paraId="20AA33EE" w14:textId="77777777" w:rsidR="0020617F" w:rsidRPr="004A305D" w:rsidRDefault="0020617F" w:rsidP="0020617F">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3C96F0C7" w14:textId="77777777" w:rsidR="0020617F" w:rsidRDefault="0020617F" w:rsidP="0020617F">
    <w:pPr>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55E5DA52" w14:textId="45BF26AF" w:rsidR="00C11EE9" w:rsidRPr="0020617F" w:rsidRDefault="00C11EE9" w:rsidP="0020617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16cid:durableId="164550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33CA7"/>
    <w:rsid w:val="00040E76"/>
    <w:rsid w:val="000460CE"/>
    <w:rsid w:val="0004698F"/>
    <w:rsid w:val="0005405C"/>
    <w:rsid w:val="000636D4"/>
    <w:rsid w:val="000868A6"/>
    <w:rsid w:val="00092218"/>
    <w:rsid w:val="00094407"/>
    <w:rsid w:val="000977C9"/>
    <w:rsid w:val="000A0743"/>
    <w:rsid w:val="000A310C"/>
    <w:rsid w:val="000A5435"/>
    <w:rsid w:val="000B46EA"/>
    <w:rsid w:val="000B5520"/>
    <w:rsid w:val="000B7248"/>
    <w:rsid w:val="000C3009"/>
    <w:rsid w:val="000C5926"/>
    <w:rsid w:val="000D68A1"/>
    <w:rsid w:val="000E40F0"/>
    <w:rsid w:val="000F2799"/>
    <w:rsid w:val="000F6D56"/>
    <w:rsid w:val="00101285"/>
    <w:rsid w:val="001155BC"/>
    <w:rsid w:val="00117742"/>
    <w:rsid w:val="001235AB"/>
    <w:rsid w:val="00125FAE"/>
    <w:rsid w:val="00126BEE"/>
    <w:rsid w:val="001310BD"/>
    <w:rsid w:val="00132C92"/>
    <w:rsid w:val="001425C6"/>
    <w:rsid w:val="001431CE"/>
    <w:rsid w:val="00155AA4"/>
    <w:rsid w:val="00172302"/>
    <w:rsid w:val="00175731"/>
    <w:rsid w:val="00181A0F"/>
    <w:rsid w:val="00182812"/>
    <w:rsid w:val="00187C2F"/>
    <w:rsid w:val="001957A4"/>
    <w:rsid w:val="001A0BEF"/>
    <w:rsid w:val="001A5C14"/>
    <w:rsid w:val="001A79FB"/>
    <w:rsid w:val="001B17E5"/>
    <w:rsid w:val="001B561E"/>
    <w:rsid w:val="001B7D44"/>
    <w:rsid w:val="001C7A05"/>
    <w:rsid w:val="001F0E5D"/>
    <w:rsid w:val="0020617F"/>
    <w:rsid w:val="00211FD1"/>
    <w:rsid w:val="00212893"/>
    <w:rsid w:val="00241891"/>
    <w:rsid w:val="0024319D"/>
    <w:rsid w:val="00246C39"/>
    <w:rsid w:val="0025058A"/>
    <w:rsid w:val="00255DF7"/>
    <w:rsid w:val="00256066"/>
    <w:rsid w:val="00264399"/>
    <w:rsid w:val="002669E5"/>
    <w:rsid w:val="00290C3D"/>
    <w:rsid w:val="00293329"/>
    <w:rsid w:val="002954A0"/>
    <w:rsid w:val="002B3621"/>
    <w:rsid w:val="002C0664"/>
    <w:rsid w:val="002C1CE3"/>
    <w:rsid w:val="002D5C6B"/>
    <w:rsid w:val="002E5EF3"/>
    <w:rsid w:val="002F7C3F"/>
    <w:rsid w:val="003168A5"/>
    <w:rsid w:val="0031762F"/>
    <w:rsid w:val="00334AF9"/>
    <w:rsid w:val="0034655E"/>
    <w:rsid w:val="00350F02"/>
    <w:rsid w:val="00351231"/>
    <w:rsid w:val="003532FE"/>
    <w:rsid w:val="0036284A"/>
    <w:rsid w:val="00362D7B"/>
    <w:rsid w:val="00370A7F"/>
    <w:rsid w:val="0037323E"/>
    <w:rsid w:val="00373C31"/>
    <w:rsid w:val="00376C51"/>
    <w:rsid w:val="003776A6"/>
    <w:rsid w:val="00397A6A"/>
    <w:rsid w:val="003A0666"/>
    <w:rsid w:val="003A0BAA"/>
    <w:rsid w:val="003A2031"/>
    <w:rsid w:val="003A5D7C"/>
    <w:rsid w:val="003A625B"/>
    <w:rsid w:val="003B145A"/>
    <w:rsid w:val="003B1E39"/>
    <w:rsid w:val="003C068D"/>
    <w:rsid w:val="003C139B"/>
    <w:rsid w:val="003C2315"/>
    <w:rsid w:val="003D3123"/>
    <w:rsid w:val="003E0825"/>
    <w:rsid w:val="003E6501"/>
    <w:rsid w:val="004054C5"/>
    <w:rsid w:val="00414B63"/>
    <w:rsid w:val="00416A9E"/>
    <w:rsid w:val="00427B2C"/>
    <w:rsid w:val="00433003"/>
    <w:rsid w:val="00437115"/>
    <w:rsid w:val="00442C55"/>
    <w:rsid w:val="00444818"/>
    <w:rsid w:val="00445994"/>
    <w:rsid w:val="00445B9A"/>
    <w:rsid w:val="00445F15"/>
    <w:rsid w:val="00457114"/>
    <w:rsid w:val="00461E1C"/>
    <w:rsid w:val="00471153"/>
    <w:rsid w:val="004730E2"/>
    <w:rsid w:val="004845C5"/>
    <w:rsid w:val="004968D8"/>
    <w:rsid w:val="004B2C2B"/>
    <w:rsid w:val="004E219C"/>
    <w:rsid w:val="004E4FED"/>
    <w:rsid w:val="004F59CA"/>
    <w:rsid w:val="004F5B4B"/>
    <w:rsid w:val="0052460F"/>
    <w:rsid w:val="00526B09"/>
    <w:rsid w:val="00532050"/>
    <w:rsid w:val="00534DAE"/>
    <w:rsid w:val="00535949"/>
    <w:rsid w:val="005505E3"/>
    <w:rsid w:val="0055220E"/>
    <w:rsid w:val="005709F1"/>
    <w:rsid w:val="0058397B"/>
    <w:rsid w:val="00592023"/>
    <w:rsid w:val="005A0728"/>
    <w:rsid w:val="005A3120"/>
    <w:rsid w:val="005A3892"/>
    <w:rsid w:val="005B31EF"/>
    <w:rsid w:val="005C0C3C"/>
    <w:rsid w:val="005C1093"/>
    <w:rsid w:val="005D3FDD"/>
    <w:rsid w:val="005D4FF0"/>
    <w:rsid w:val="005D53D8"/>
    <w:rsid w:val="005E29BF"/>
    <w:rsid w:val="005F0149"/>
    <w:rsid w:val="005F5F4C"/>
    <w:rsid w:val="00603258"/>
    <w:rsid w:val="00613B8F"/>
    <w:rsid w:val="00642FAD"/>
    <w:rsid w:val="006430F1"/>
    <w:rsid w:val="0064684E"/>
    <w:rsid w:val="00657573"/>
    <w:rsid w:val="00671C54"/>
    <w:rsid w:val="00673576"/>
    <w:rsid w:val="006737CF"/>
    <w:rsid w:val="006774A8"/>
    <w:rsid w:val="0069070E"/>
    <w:rsid w:val="00693B1C"/>
    <w:rsid w:val="00695E0C"/>
    <w:rsid w:val="00696EC8"/>
    <w:rsid w:val="006A4C32"/>
    <w:rsid w:val="006A6928"/>
    <w:rsid w:val="006D319F"/>
    <w:rsid w:val="006E7609"/>
    <w:rsid w:val="006E77C5"/>
    <w:rsid w:val="006E7B77"/>
    <w:rsid w:val="00701046"/>
    <w:rsid w:val="00716AB2"/>
    <w:rsid w:val="00727046"/>
    <w:rsid w:val="007307A6"/>
    <w:rsid w:val="00744227"/>
    <w:rsid w:val="00747FBC"/>
    <w:rsid w:val="007503D9"/>
    <w:rsid w:val="00754E16"/>
    <w:rsid w:val="00762584"/>
    <w:rsid w:val="00763E43"/>
    <w:rsid w:val="00773849"/>
    <w:rsid w:val="00781AC2"/>
    <w:rsid w:val="0079188E"/>
    <w:rsid w:val="007969EF"/>
    <w:rsid w:val="00797A18"/>
    <w:rsid w:val="007A2F39"/>
    <w:rsid w:val="007A617C"/>
    <w:rsid w:val="007B0D03"/>
    <w:rsid w:val="007B11CB"/>
    <w:rsid w:val="007B79FF"/>
    <w:rsid w:val="007C753D"/>
    <w:rsid w:val="007D2258"/>
    <w:rsid w:val="007D4B63"/>
    <w:rsid w:val="007D76AC"/>
    <w:rsid w:val="007E3892"/>
    <w:rsid w:val="007F7197"/>
    <w:rsid w:val="00804297"/>
    <w:rsid w:val="00805FE9"/>
    <w:rsid w:val="008074E3"/>
    <w:rsid w:val="00812EC7"/>
    <w:rsid w:val="00815DA5"/>
    <w:rsid w:val="00825DA8"/>
    <w:rsid w:val="0083178C"/>
    <w:rsid w:val="0083520B"/>
    <w:rsid w:val="00837844"/>
    <w:rsid w:val="00837B31"/>
    <w:rsid w:val="00840E20"/>
    <w:rsid w:val="00857155"/>
    <w:rsid w:val="00860608"/>
    <w:rsid w:val="00867946"/>
    <w:rsid w:val="00890DA4"/>
    <w:rsid w:val="008A7F2B"/>
    <w:rsid w:val="0090423F"/>
    <w:rsid w:val="00912B2C"/>
    <w:rsid w:val="00922336"/>
    <w:rsid w:val="00941D0A"/>
    <w:rsid w:val="009444F0"/>
    <w:rsid w:val="00947206"/>
    <w:rsid w:val="00950DF7"/>
    <w:rsid w:val="009545C2"/>
    <w:rsid w:val="009564CC"/>
    <w:rsid w:val="00963831"/>
    <w:rsid w:val="00973329"/>
    <w:rsid w:val="00980630"/>
    <w:rsid w:val="00983F0D"/>
    <w:rsid w:val="00986FCC"/>
    <w:rsid w:val="009919FC"/>
    <w:rsid w:val="009A24F7"/>
    <w:rsid w:val="009A7EE8"/>
    <w:rsid w:val="009B34D3"/>
    <w:rsid w:val="009B6FA0"/>
    <w:rsid w:val="009C4859"/>
    <w:rsid w:val="009D6C30"/>
    <w:rsid w:val="009D7A03"/>
    <w:rsid w:val="009E45F6"/>
    <w:rsid w:val="009E696A"/>
    <w:rsid w:val="009F0C6B"/>
    <w:rsid w:val="00A12113"/>
    <w:rsid w:val="00A1362C"/>
    <w:rsid w:val="00A16495"/>
    <w:rsid w:val="00A23285"/>
    <w:rsid w:val="00A30368"/>
    <w:rsid w:val="00A319D2"/>
    <w:rsid w:val="00A35D77"/>
    <w:rsid w:val="00A40C33"/>
    <w:rsid w:val="00A551D2"/>
    <w:rsid w:val="00A6242E"/>
    <w:rsid w:val="00A62746"/>
    <w:rsid w:val="00A62F8E"/>
    <w:rsid w:val="00A720F6"/>
    <w:rsid w:val="00A76FE8"/>
    <w:rsid w:val="00A83365"/>
    <w:rsid w:val="00A84042"/>
    <w:rsid w:val="00AA1BA1"/>
    <w:rsid w:val="00AA2221"/>
    <w:rsid w:val="00AB126D"/>
    <w:rsid w:val="00AB2EE3"/>
    <w:rsid w:val="00AB3C82"/>
    <w:rsid w:val="00AE1316"/>
    <w:rsid w:val="00AE405B"/>
    <w:rsid w:val="00AE6492"/>
    <w:rsid w:val="00B01E4F"/>
    <w:rsid w:val="00B13910"/>
    <w:rsid w:val="00B17550"/>
    <w:rsid w:val="00B2709C"/>
    <w:rsid w:val="00B43CF0"/>
    <w:rsid w:val="00B43FFA"/>
    <w:rsid w:val="00B5194C"/>
    <w:rsid w:val="00B715F0"/>
    <w:rsid w:val="00B742E2"/>
    <w:rsid w:val="00B8410B"/>
    <w:rsid w:val="00B910BF"/>
    <w:rsid w:val="00BC55DC"/>
    <w:rsid w:val="00BD15AC"/>
    <w:rsid w:val="00BE0F40"/>
    <w:rsid w:val="00BE7FC3"/>
    <w:rsid w:val="00C05B77"/>
    <w:rsid w:val="00C074A7"/>
    <w:rsid w:val="00C11EE9"/>
    <w:rsid w:val="00C25A81"/>
    <w:rsid w:val="00C351DD"/>
    <w:rsid w:val="00C420A8"/>
    <w:rsid w:val="00C439CA"/>
    <w:rsid w:val="00C44D80"/>
    <w:rsid w:val="00C51A31"/>
    <w:rsid w:val="00C54739"/>
    <w:rsid w:val="00C60F43"/>
    <w:rsid w:val="00C85A5E"/>
    <w:rsid w:val="00C87954"/>
    <w:rsid w:val="00CA6A03"/>
    <w:rsid w:val="00CB307A"/>
    <w:rsid w:val="00CB70FF"/>
    <w:rsid w:val="00CC0496"/>
    <w:rsid w:val="00CD3735"/>
    <w:rsid w:val="00CE15DC"/>
    <w:rsid w:val="00CE3A6E"/>
    <w:rsid w:val="00CF537D"/>
    <w:rsid w:val="00D04574"/>
    <w:rsid w:val="00D11C34"/>
    <w:rsid w:val="00D26202"/>
    <w:rsid w:val="00D33F26"/>
    <w:rsid w:val="00D41671"/>
    <w:rsid w:val="00D42ECD"/>
    <w:rsid w:val="00D47C17"/>
    <w:rsid w:val="00D51C98"/>
    <w:rsid w:val="00D51D91"/>
    <w:rsid w:val="00D53C6B"/>
    <w:rsid w:val="00D56015"/>
    <w:rsid w:val="00D706E2"/>
    <w:rsid w:val="00D74DA1"/>
    <w:rsid w:val="00D80977"/>
    <w:rsid w:val="00D905F1"/>
    <w:rsid w:val="00D94E36"/>
    <w:rsid w:val="00DA0FBF"/>
    <w:rsid w:val="00DB3131"/>
    <w:rsid w:val="00DB4A50"/>
    <w:rsid w:val="00DC4C54"/>
    <w:rsid w:val="00DD6108"/>
    <w:rsid w:val="00DE6E19"/>
    <w:rsid w:val="00DE7E5B"/>
    <w:rsid w:val="00DF0BBC"/>
    <w:rsid w:val="00DF15CC"/>
    <w:rsid w:val="00DF41C8"/>
    <w:rsid w:val="00E02EDC"/>
    <w:rsid w:val="00E06284"/>
    <w:rsid w:val="00E213CE"/>
    <w:rsid w:val="00E226F9"/>
    <w:rsid w:val="00E37348"/>
    <w:rsid w:val="00E42D0E"/>
    <w:rsid w:val="00E64259"/>
    <w:rsid w:val="00E73D76"/>
    <w:rsid w:val="00E778CC"/>
    <w:rsid w:val="00E8794F"/>
    <w:rsid w:val="00E92452"/>
    <w:rsid w:val="00E96512"/>
    <w:rsid w:val="00EB2EFA"/>
    <w:rsid w:val="00EC1D3B"/>
    <w:rsid w:val="00EC48F7"/>
    <w:rsid w:val="00ED0108"/>
    <w:rsid w:val="00ED1561"/>
    <w:rsid w:val="00EE0CF7"/>
    <w:rsid w:val="00EE10A1"/>
    <w:rsid w:val="00EE601D"/>
    <w:rsid w:val="00EF7E7B"/>
    <w:rsid w:val="00F0413A"/>
    <w:rsid w:val="00F14B0B"/>
    <w:rsid w:val="00F25A79"/>
    <w:rsid w:val="00F304EA"/>
    <w:rsid w:val="00F308CA"/>
    <w:rsid w:val="00F32DE5"/>
    <w:rsid w:val="00F33DC1"/>
    <w:rsid w:val="00F345BE"/>
    <w:rsid w:val="00F3626D"/>
    <w:rsid w:val="00F43B1B"/>
    <w:rsid w:val="00F51B7C"/>
    <w:rsid w:val="00F51F9C"/>
    <w:rsid w:val="00F564C0"/>
    <w:rsid w:val="00F61653"/>
    <w:rsid w:val="00F72B91"/>
    <w:rsid w:val="00F941DB"/>
    <w:rsid w:val="00F95148"/>
    <w:rsid w:val="00F96587"/>
    <w:rsid w:val="00FB347B"/>
    <w:rsid w:val="00FC0252"/>
    <w:rsid w:val="00FC3BED"/>
    <w:rsid w:val="00FC6857"/>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132CAFD2-296D-4E45-8581-B5C252F67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671"/>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3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1"/>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4845C5"/>
    <w:rPr>
      <w:color w:val="605E5C"/>
      <w:shd w:val="clear" w:color="auto" w:fill="E1DFDD"/>
    </w:rPr>
  </w:style>
  <w:style w:type="character" w:styleId="Mencionar">
    <w:name w:val="Mention"/>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customStyle="1" w:styleId="paragraph">
    <w:name w:val="paragraph"/>
    <w:basedOn w:val="Normal"/>
    <w:rsid w:val="00F51F9C"/>
    <w:pPr>
      <w:spacing w:before="100" w:beforeAutospacing="1" w:after="100" w:afterAutospacing="1"/>
    </w:pPr>
    <w:rPr>
      <w:lang w:eastAsia="es-CO"/>
    </w:rPr>
  </w:style>
  <w:style w:type="character" w:customStyle="1" w:styleId="eop">
    <w:name w:val="eop"/>
    <w:basedOn w:val="Fuentedeprrafopredeter"/>
    <w:rsid w:val="00F51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903315">
      <w:bodyDiv w:val="1"/>
      <w:marLeft w:val="0"/>
      <w:marRight w:val="0"/>
      <w:marTop w:val="0"/>
      <w:marBottom w:val="0"/>
      <w:divBdr>
        <w:top w:val="none" w:sz="0" w:space="0" w:color="auto"/>
        <w:left w:val="none" w:sz="0" w:space="0" w:color="auto"/>
        <w:bottom w:val="none" w:sz="0" w:space="0" w:color="auto"/>
        <w:right w:val="none" w:sz="0" w:space="0" w:color="auto"/>
      </w:divBdr>
      <w:divsChild>
        <w:div w:id="722411169">
          <w:marLeft w:val="0"/>
          <w:marRight w:val="0"/>
          <w:marTop w:val="0"/>
          <w:marBottom w:val="0"/>
          <w:divBdr>
            <w:top w:val="none" w:sz="0" w:space="0" w:color="auto"/>
            <w:left w:val="none" w:sz="0" w:space="0" w:color="auto"/>
            <w:bottom w:val="none" w:sz="0" w:space="0" w:color="auto"/>
            <w:right w:val="none" w:sz="0" w:space="0" w:color="auto"/>
          </w:divBdr>
          <w:divsChild>
            <w:div w:id="1856840831">
              <w:marLeft w:val="0"/>
              <w:marRight w:val="0"/>
              <w:marTop w:val="0"/>
              <w:marBottom w:val="0"/>
              <w:divBdr>
                <w:top w:val="none" w:sz="0" w:space="0" w:color="auto"/>
                <w:left w:val="none" w:sz="0" w:space="0" w:color="auto"/>
                <w:bottom w:val="none" w:sz="0" w:space="0" w:color="auto"/>
                <w:right w:val="none" w:sz="0" w:space="0" w:color="auto"/>
              </w:divBdr>
            </w:div>
          </w:divsChild>
        </w:div>
        <w:div w:id="1754430499">
          <w:marLeft w:val="0"/>
          <w:marRight w:val="0"/>
          <w:marTop w:val="0"/>
          <w:marBottom w:val="0"/>
          <w:divBdr>
            <w:top w:val="none" w:sz="0" w:space="0" w:color="auto"/>
            <w:left w:val="none" w:sz="0" w:space="0" w:color="auto"/>
            <w:bottom w:val="none" w:sz="0" w:space="0" w:color="auto"/>
            <w:right w:val="none" w:sz="0" w:space="0" w:color="auto"/>
          </w:divBdr>
          <w:divsChild>
            <w:div w:id="454956224">
              <w:marLeft w:val="0"/>
              <w:marRight w:val="0"/>
              <w:marTop w:val="0"/>
              <w:marBottom w:val="0"/>
              <w:divBdr>
                <w:top w:val="none" w:sz="0" w:space="0" w:color="auto"/>
                <w:left w:val="none" w:sz="0" w:space="0" w:color="auto"/>
                <w:bottom w:val="none" w:sz="0" w:space="0" w:color="auto"/>
                <w:right w:val="none" w:sz="0" w:space="0" w:color="auto"/>
              </w:divBdr>
            </w:div>
            <w:div w:id="615646031">
              <w:marLeft w:val="0"/>
              <w:marRight w:val="0"/>
              <w:marTop w:val="0"/>
              <w:marBottom w:val="0"/>
              <w:divBdr>
                <w:top w:val="none" w:sz="0" w:space="0" w:color="auto"/>
                <w:left w:val="none" w:sz="0" w:space="0" w:color="auto"/>
                <w:bottom w:val="none" w:sz="0" w:space="0" w:color="auto"/>
                <w:right w:val="none" w:sz="0" w:space="0" w:color="auto"/>
              </w:divBdr>
            </w:div>
            <w:div w:id="85361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6B37A-467F-4161-A992-1E13CCD16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4.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5668</Words>
  <Characters>31176</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36771</CharactersWithSpaces>
  <SharedDoc>false</SharedDoc>
  <HLinks>
    <vt:vector size="1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Santiago Alberto Herrera Morillo</cp:lastModifiedBy>
  <cp:revision>5</cp:revision>
  <dcterms:created xsi:type="dcterms:W3CDTF">2023-09-25T14:17:00Z</dcterms:created>
  <dcterms:modified xsi:type="dcterms:W3CDTF">2024-03-15T19:45:00Z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