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3CAC71" w14:textId="5282EFA7" w:rsidR="002415B8" w:rsidRPr="00742BED" w:rsidRDefault="00B55C69" w:rsidP="008536BB">
      <w:pPr>
        <w:jc w:val="right"/>
        <w:rPr>
          <w:rFonts w:ascii="Arial" w:eastAsia="Calibri" w:hAnsi="Arial" w:cs="Arial"/>
          <w:b/>
          <w:color w:val="000000" w:themeColor="text1"/>
          <w:sz w:val="20"/>
          <w:szCs w:val="20"/>
          <w:lang w:val="es-ES_tradnl"/>
        </w:rPr>
      </w:pPr>
      <w:bookmarkStart w:id="0" w:name="_Hlk28946138"/>
      <w:bookmarkStart w:id="1" w:name="_Hlk29548183"/>
      <w:r w:rsidRPr="00742BED">
        <w:rPr>
          <w:rFonts w:ascii="Arial" w:hAnsi="Arial" w:cs="Arial"/>
          <w:bCs/>
          <w:color w:val="000000" w:themeColor="text1"/>
          <w:sz w:val="16"/>
          <w:szCs w:val="16"/>
          <w:lang w:val="es-ES_tradnl" w:eastAsia="es-ES"/>
        </w:rPr>
        <w:t>CCE-DES-FM-17</w:t>
      </w:r>
      <w:bookmarkEnd w:id="0"/>
      <w:bookmarkEnd w:id="1"/>
    </w:p>
    <w:p w14:paraId="6BD9C389" w14:textId="75D72BBA" w:rsidR="00C0632B" w:rsidRPr="00592353" w:rsidRDefault="00C0632B" w:rsidP="00592353">
      <w:pPr>
        <w:tabs>
          <w:tab w:val="left" w:pos="709"/>
        </w:tabs>
        <w:jc w:val="both"/>
        <w:rPr>
          <w:rFonts w:ascii="Arial" w:eastAsia="Calibri" w:hAnsi="Arial" w:cs="Arial"/>
          <w:color w:val="000000" w:themeColor="text1"/>
          <w:sz w:val="20"/>
          <w:szCs w:val="20"/>
          <w:lang w:val="es-ES"/>
        </w:rPr>
      </w:pPr>
      <w:r w:rsidRPr="004A1778">
        <w:rPr>
          <w:rFonts w:ascii="Arial" w:eastAsia="Calibri" w:hAnsi="Arial" w:cs="Arial"/>
          <w:color w:val="000000" w:themeColor="text1"/>
          <w:sz w:val="20"/>
          <w:szCs w:val="20"/>
          <w:lang w:val="es-ES"/>
        </w:rPr>
        <w:t xml:space="preserve"> </w:t>
      </w:r>
      <w:r>
        <w:rPr>
          <w:rFonts w:ascii="Arial" w:eastAsia="Calibri" w:hAnsi="Arial" w:cs="Arial"/>
          <w:b/>
          <w:bCs/>
          <w:color w:val="000000" w:themeColor="text1"/>
          <w:sz w:val="22"/>
          <w:szCs w:val="22"/>
          <w:lang w:val="es-ES"/>
        </w:rPr>
        <w:t>INCENTIVOS CONTRACTUALES – Empleabilidad de adultos mayores – Política horizontal – Criterio de desempate – Ley 2040 de 2020</w:t>
      </w:r>
      <w:r w:rsidR="00592353">
        <w:rPr>
          <w:rFonts w:ascii="Arial" w:eastAsia="Calibri" w:hAnsi="Arial" w:cs="Arial"/>
          <w:b/>
          <w:bCs/>
          <w:color w:val="000000" w:themeColor="text1"/>
          <w:sz w:val="22"/>
          <w:szCs w:val="22"/>
          <w:lang w:val="es-ES"/>
        </w:rPr>
        <w:t xml:space="preserve"> - Vigencia</w:t>
      </w:r>
    </w:p>
    <w:p w14:paraId="1C2F5190" w14:textId="77777777" w:rsidR="00C0632B" w:rsidRDefault="00C0632B" w:rsidP="00C0632B">
      <w:pPr>
        <w:jc w:val="both"/>
        <w:rPr>
          <w:rFonts w:ascii="Arial" w:eastAsia="Calibri" w:hAnsi="Arial" w:cs="Arial"/>
          <w:bCs/>
          <w:color w:val="000000" w:themeColor="text1"/>
          <w:sz w:val="20"/>
          <w:szCs w:val="20"/>
          <w:lang w:val="es-ES"/>
        </w:rPr>
      </w:pPr>
    </w:p>
    <w:p w14:paraId="27106D09" w14:textId="77777777" w:rsidR="00592353" w:rsidRPr="00592353" w:rsidRDefault="00592353" w:rsidP="00592353">
      <w:pPr>
        <w:jc w:val="both"/>
        <w:rPr>
          <w:rFonts w:ascii="Arial" w:hAnsi="Arial" w:cs="Arial"/>
          <w:color w:val="000000" w:themeColor="text1"/>
          <w:sz w:val="20"/>
          <w:szCs w:val="20"/>
          <w:lang w:val="es-ES"/>
        </w:rPr>
      </w:pPr>
      <w:r w:rsidRPr="00592353">
        <w:rPr>
          <w:rFonts w:ascii="Arial" w:hAnsi="Arial" w:cs="Arial"/>
          <w:color w:val="000000" w:themeColor="text1"/>
          <w:sz w:val="20"/>
          <w:szCs w:val="20"/>
          <w:lang w:val="es-ES"/>
        </w:rPr>
        <w:t xml:space="preserve">La Ley 2040 de 2020, «por medio de la cual se adoptan medidas para impulsar el trabajo para adultos mayores y se dictan otras disposiciones», desarrolla una política horizontal y traía consigo un incentivo contractual, relacionado con un criterio de desempate. En esta ley la política del legislador era clara: establecer medidas que incrementen la empleabilidad de adultos mayores que, cumplida la edad de jubilación, no cuentan con pensión de vejez, familiar o sobrevivencia. </w:t>
      </w:r>
    </w:p>
    <w:p w14:paraId="402DBD4F" w14:textId="77777777" w:rsidR="00592353" w:rsidRDefault="00592353" w:rsidP="00592353">
      <w:pPr>
        <w:jc w:val="both"/>
        <w:rPr>
          <w:rFonts w:ascii="Arial" w:hAnsi="Arial" w:cs="Arial"/>
          <w:color w:val="000000" w:themeColor="text1"/>
          <w:sz w:val="20"/>
          <w:szCs w:val="20"/>
          <w:lang w:val="es-ES"/>
        </w:rPr>
      </w:pPr>
    </w:p>
    <w:p w14:paraId="0DAEE8F4" w14:textId="474764D7" w:rsidR="00C0632B" w:rsidRDefault="00592353" w:rsidP="00592353">
      <w:pPr>
        <w:jc w:val="both"/>
        <w:rPr>
          <w:rFonts w:ascii="Arial" w:hAnsi="Arial" w:cs="Arial"/>
          <w:color w:val="000000" w:themeColor="text1"/>
          <w:sz w:val="20"/>
          <w:szCs w:val="20"/>
          <w:lang w:val="es-ES"/>
        </w:rPr>
      </w:pPr>
      <w:r w:rsidRPr="00592353">
        <w:rPr>
          <w:rFonts w:ascii="Arial" w:hAnsi="Arial" w:cs="Arial"/>
          <w:color w:val="000000" w:themeColor="text1"/>
          <w:sz w:val="20"/>
          <w:szCs w:val="20"/>
          <w:lang w:val="es-ES"/>
        </w:rPr>
        <w:t>La Ley adopta instrumentos diversos, entre los cuales se cuentan una reducción del impuesto sobre la renta por contratación de adultos mayores –artículo 2–, la creación del sello amigable «adulto mayor» para identificar a las empresas que vinculen a adultos mayores que no cuentan con pensión –artículo 7– y la creación de la «Ruta para el emprendimiento del adulto mayor» para que los adultos mayores puedan poner en marcha su propia empresa –artículo 10–. Todos estos son mecanismos dirigidos a cumplir su finalidad: incrementar la empleabilidad de los adultos mayores, lo que a la postre, se espera, se traducirá en mayor empleo para este sector vulnerable de la población.</w:t>
      </w:r>
    </w:p>
    <w:p w14:paraId="18F471C9" w14:textId="74BDF226" w:rsidR="00592353" w:rsidRDefault="00592353" w:rsidP="00592353">
      <w:pPr>
        <w:jc w:val="both"/>
        <w:rPr>
          <w:rFonts w:ascii="Arial" w:hAnsi="Arial" w:cs="Arial"/>
          <w:color w:val="000000" w:themeColor="text1"/>
          <w:sz w:val="20"/>
          <w:szCs w:val="20"/>
          <w:lang w:val="es-ES"/>
        </w:rPr>
      </w:pPr>
    </w:p>
    <w:p w14:paraId="35FF9C9B" w14:textId="3BF03254" w:rsidR="00592353" w:rsidRPr="004A1778" w:rsidRDefault="00592353" w:rsidP="00592353">
      <w:pPr>
        <w:jc w:val="both"/>
        <w:rPr>
          <w:rFonts w:ascii="Arial" w:hAnsi="Arial" w:cs="Arial"/>
          <w:color w:val="000000" w:themeColor="text1"/>
          <w:sz w:val="20"/>
          <w:szCs w:val="20"/>
          <w:lang w:val="es-ES"/>
        </w:rPr>
      </w:pPr>
      <w:r>
        <w:rPr>
          <w:rFonts w:ascii="Arial" w:hAnsi="Arial" w:cs="Arial"/>
          <w:color w:val="000000" w:themeColor="text1"/>
          <w:sz w:val="20"/>
          <w:szCs w:val="20"/>
          <w:lang w:val="es-ES"/>
        </w:rPr>
        <w:t>[…] D</w:t>
      </w:r>
      <w:r w:rsidRPr="00592353">
        <w:rPr>
          <w:rFonts w:ascii="Arial" w:hAnsi="Arial" w:cs="Arial"/>
          <w:color w:val="000000" w:themeColor="text1"/>
          <w:sz w:val="20"/>
          <w:szCs w:val="20"/>
          <w:lang w:val="es-ES"/>
        </w:rPr>
        <w:t>icho criterio de desempate no logró tener aplicación, pues la reglamentación a que se hizo referencia no se expidió. Además, porque posteriormente se sancionó la Ley 2069 de 2020 que, como se advertirá, en su artículo 35 regula los factores de desempate que actualmente aplican en los procedimientos de selección y, además, su artículo 34 modificó el artículo 12 de la Ley 1150 de 2007, de manera que el contenido normativo del parágrafo 4 de dicho artículo, que en su momento lo adicionó el artículo 3 de la Ley 2040 de 2020, desapareció de nuestro ordenamiento jurídico al ser derogado, por lo que dicho parágrafo 4 actualmente no está vigente.</w:t>
      </w:r>
    </w:p>
    <w:p w14:paraId="0EA25C4D" w14:textId="77777777" w:rsidR="00AF6DEC" w:rsidRPr="00C0632B" w:rsidRDefault="00AF6DEC" w:rsidP="0099531F">
      <w:pPr>
        <w:jc w:val="both"/>
        <w:rPr>
          <w:rFonts w:ascii="Arial" w:eastAsia="Calibri" w:hAnsi="Arial" w:cs="Arial"/>
          <w:b/>
          <w:sz w:val="22"/>
          <w:lang w:val="es-ES"/>
        </w:rPr>
      </w:pPr>
    </w:p>
    <w:p w14:paraId="73365DCF" w14:textId="63E2A713" w:rsidR="00272945" w:rsidRPr="00742BED" w:rsidRDefault="00B54215" w:rsidP="00272945">
      <w:pPr>
        <w:jc w:val="both"/>
        <w:rPr>
          <w:rFonts w:ascii="Arial" w:eastAsia="Calibri" w:hAnsi="Arial" w:cs="Arial"/>
          <w:b/>
          <w:sz w:val="22"/>
          <w:lang w:val="es-ES_tradnl"/>
        </w:rPr>
      </w:pPr>
      <w:r w:rsidRPr="00742BED">
        <w:rPr>
          <w:rFonts w:ascii="Arial" w:eastAsia="Calibri" w:hAnsi="Arial" w:cs="Arial"/>
          <w:b/>
          <w:sz w:val="22"/>
          <w:lang w:val="es-ES_tradnl"/>
        </w:rPr>
        <w:t>EMPATE</w:t>
      </w:r>
      <w:r w:rsidR="00272945" w:rsidRPr="00742BED">
        <w:rPr>
          <w:rFonts w:ascii="Arial" w:eastAsia="Calibri" w:hAnsi="Arial" w:cs="Arial"/>
          <w:b/>
          <w:sz w:val="22"/>
          <w:lang w:val="es-ES_tradnl"/>
        </w:rPr>
        <w:t xml:space="preserve"> </w:t>
      </w:r>
      <w:r w:rsidR="00272945" w:rsidRPr="00742BED">
        <w:rPr>
          <w:rFonts w:ascii="Arial" w:eastAsia="Calibri" w:hAnsi="Arial" w:cs="Arial"/>
          <w:b/>
          <w:color w:val="000000" w:themeColor="text1"/>
          <w:sz w:val="22"/>
          <w:lang w:val="es-ES_tradnl"/>
        </w:rPr>
        <w:t>–</w:t>
      </w:r>
      <w:r w:rsidR="00272945" w:rsidRPr="00742BED">
        <w:rPr>
          <w:rFonts w:ascii="Arial" w:eastAsia="Calibri" w:hAnsi="Arial" w:cs="Arial"/>
          <w:b/>
          <w:sz w:val="22"/>
          <w:lang w:val="es-ES_tradnl"/>
        </w:rPr>
        <w:t xml:space="preserve"> </w:t>
      </w:r>
      <w:r w:rsidRPr="00742BED">
        <w:rPr>
          <w:rFonts w:ascii="Arial" w:eastAsia="Calibri" w:hAnsi="Arial" w:cs="Arial"/>
          <w:b/>
          <w:sz w:val="22"/>
          <w:lang w:val="es-ES_tradnl"/>
        </w:rPr>
        <w:t>Procedimiento de selección</w:t>
      </w:r>
      <w:r w:rsidR="00272945" w:rsidRPr="00742BED">
        <w:rPr>
          <w:rFonts w:ascii="Arial" w:eastAsia="Calibri" w:hAnsi="Arial" w:cs="Arial"/>
          <w:b/>
          <w:sz w:val="22"/>
          <w:lang w:val="es-ES_tradnl"/>
        </w:rPr>
        <w:t xml:space="preserve"> </w:t>
      </w:r>
      <w:r w:rsidR="00272945" w:rsidRPr="00742BED">
        <w:rPr>
          <w:rFonts w:ascii="Arial" w:eastAsia="Calibri" w:hAnsi="Arial" w:cs="Arial"/>
          <w:b/>
          <w:color w:val="000000" w:themeColor="text1"/>
          <w:sz w:val="22"/>
          <w:lang w:val="es-ES_tradnl"/>
        </w:rPr>
        <w:t>– Concepto</w:t>
      </w:r>
    </w:p>
    <w:p w14:paraId="182F8CB9" w14:textId="246E5B50" w:rsidR="00272945" w:rsidRPr="00742BED" w:rsidRDefault="00272945" w:rsidP="0099531F">
      <w:pPr>
        <w:jc w:val="both"/>
        <w:rPr>
          <w:rFonts w:ascii="Arial" w:eastAsia="Calibri" w:hAnsi="Arial" w:cs="Arial"/>
          <w:b/>
          <w:sz w:val="22"/>
          <w:lang w:val="es-ES_tradnl"/>
        </w:rPr>
      </w:pPr>
    </w:p>
    <w:p w14:paraId="29DD8E0A" w14:textId="042C4C7A" w:rsidR="006F71F5" w:rsidRPr="00742BED" w:rsidRDefault="005C6D19" w:rsidP="005C6D19">
      <w:pPr>
        <w:jc w:val="both"/>
        <w:rPr>
          <w:rFonts w:ascii="Arial" w:hAnsi="Arial" w:cs="Arial"/>
          <w:noProof/>
          <w:color w:val="000000" w:themeColor="text1"/>
          <w:sz w:val="22"/>
          <w:lang w:val="es-ES_tradnl"/>
        </w:rPr>
      </w:pPr>
      <w:r w:rsidRPr="00742BED">
        <w:rPr>
          <w:rFonts w:ascii="Arial" w:eastAsia="Calibri" w:hAnsi="Arial" w:cs="Arial"/>
          <w:sz w:val="20"/>
          <w:szCs w:val="20"/>
          <w:lang w:val="es-ES_tradnl"/>
        </w:rPr>
        <w:t>En esta perspectiva, los requisitos habilitantes o de participación, así como los criterios de evaluación o de calificación con puntos, son instrumentos por medio de los cuales se pretende la materialización del principio de selección objetiva en la contratación pública. Sin embargo, en algunas ocasiones, así se establezcan requisitos habilitantes y factores de calificación óptimos, se presentan circunstancias de empate una vez aplicados estos criterios. Como lo ha indicado la Agencia Nacional de Contratación Pública – Colombia Compra Eficiente en el «Manual para el manejo de los incentivos en los procesos de contratación», «Dos ofertas resultan empatadas cuando obtienen la misma cantidad de puntos luego de aplicar las reglas establecidas en los pliegos de condiciones; u, ofrecen el mismo precio en los casos de mínima cuantía». Es decir, el empate es un evento en el cual dos o más oferentes alcanzan una puntuación similar, al ponderarse los criterios de calificación que, en principio, aplican al procedimiento de selección.</w:t>
      </w:r>
    </w:p>
    <w:p w14:paraId="2B2F279A" w14:textId="77777777" w:rsidR="005C6D19" w:rsidRPr="00742BED" w:rsidRDefault="005C6D19" w:rsidP="00DF71EA">
      <w:pPr>
        <w:jc w:val="both"/>
        <w:rPr>
          <w:rFonts w:ascii="Arial" w:eastAsia="Calibri" w:hAnsi="Arial" w:cs="Arial"/>
          <w:b/>
          <w:sz w:val="22"/>
          <w:lang w:val="es-ES_tradnl"/>
        </w:rPr>
      </w:pPr>
    </w:p>
    <w:p w14:paraId="04086EC5" w14:textId="5C2FA739" w:rsidR="00DF71EA" w:rsidRPr="00742BED" w:rsidRDefault="00D73881" w:rsidP="00DF71EA">
      <w:pPr>
        <w:jc w:val="both"/>
        <w:rPr>
          <w:rFonts w:ascii="Arial" w:eastAsia="Calibri" w:hAnsi="Arial" w:cs="Arial"/>
          <w:b/>
          <w:sz w:val="22"/>
          <w:lang w:val="es-ES_tradnl"/>
        </w:rPr>
      </w:pPr>
      <w:r w:rsidRPr="00742BED">
        <w:rPr>
          <w:rFonts w:ascii="Arial" w:eastAsia="Calibri" w:hAnsi="Arial" w:cs="Arial"/>
          <w:b/>
          <w:sz w:val="22"/>
          <w:lang w:val="es-ES_tradnl"/>
        </w:rPr>
        <w:t>FACTORES DE DESEMPATE</w:t>
      </w:r>
      <w:r w:rsidR="00DF71EA" w:rsidRPr="00742BED">
        <w:rPr>
          <w:rFonts w:ascii="Arial" w:eastAsia="Calibri" w:hAnsi="Arial" w:cs="Arial"/>
          <w:b/>
          <w:sz w:val="22"/>
          <w:lang w:val="es-ES_tradnl"/>
        </w:rPr>
        <w:t xml:space="preserve"> </w:t>
      </w:r>
      <w:r w:rsidR="00DF71EA" w:rsidRPr="00742BED">
        <w:rPr>
          <w:rFonts w:ascii="Arial" w:eastAsia="Calibri" w:hAnsi="Arial" w:cs="Arial"/>
          <w:b/>
          <w:color w:val="000000" w:themeColor="text1"/>
          <w:sz w:val="22"/>
          <w:lang w:val="es-ES_tradnl"/>
        </w:rPr>
        <w:t>–</w:t>
      </w:r>
      <w:r w:rsidR="00DF71EA" w:rsidRPr="00742BED">
        <w:rPr>
          <w:rFonts w:ascii="Arial" w:eastAsia="Calibri" w:hAnsi="Arial" w:cs="Arial"/>
          <w:b/>
          <w:sz w:val="22"/>
          <w:lang w:val="es-ES_tradnl"/>
        </w:rPr>
        <w:t xml:space="preserve"> </w:t>
      </w:r>
      <w:r w:rsidRPr="00742BED">
        <w:rPr>
          <w:rFonts w:ascii="Arial" w:eastAsia="Calibri" w:hAnsi="Arial" w:cs="Arial"/>
          <w:b/>
          <w:sz w:val="22"/>
          <w:lang w:val="es-ES_tradnl"/>
        </w:rPr>
        <w:t>Características</w:t>
      </w:r>
      <w:r w:rsidR="00DF71EA" w:rsidRPr="00742BED">
        <w:rPr>
          <w:rFonts w:ascii="Arial" w:eastAsia="Calibri" w:hAnsi="Arial" w:cs="Arial"/>
          <w:b/>
          <w:sz w:val="22"/>
          <w:lang w:val="es-ES_tradnl"/>
        </w:rPr>
        <w:t xml:space="preserve"> </w:t>
      </w:r>
      <w:r w:rsidR="00DF71EA" w:rsidRPr="00742BED">
        <w:rPr>
          <w:rFonts w:ascii="Arial" w:eastAsia="Calibri" w:hAnsi="Arial" w:cs="Arial"/>
          <w:b/>
          <w:color w:val="000000" w:themeColor="text1"/>
          <w:sz w:val="22"/>
          <w:lang w:val="es-ES_tradnl"/>
        </w:rPr>
        <w:t xml:space="preserve">– </w:t>
      </w:r>
      <w:r w:rsidRPr="00742BED">
        <w:rPr>
          <w:rFonts w:ascii="Arial" w:eastAsia="Calibri" w:hAnsi="Arial" w:cs="Arial"/>
          <w:b/>
          <w:color w:val="000000" w:themeColor="text1"/>
          <w:sz w:val="22"/>
          <w:lang w:val="es-ES_tradnl"/>
        </w:rPr>
        <w:t>Límites</w:t>
      </w:r>
    </w:p>
    <w:p w14:paraId="583F00A4" w14:textId="390EB1EB" w:rsidR="00DF71EA" w:rsidRPr="00742BED" w:rsidRDefault="00DF71EA" w:rsidP="00B95C30">
      <w:pPr>
        <w:spacing w:line="276" w:lineRule="auto"/>
        <w:jc w:val="both"/>
        <w:rPr>
          <w:rFonts w:ascii="Arial" w:hAnsi="Arial" w:cs="Arial"/>
          <w:noProof/>
          <w:color w:val="000000" w:themeColor="text1"/>
          <w:sz w:val="22"/>
          <w:lang w:val="es-ES_tradnl"/>
        </w:rPr>
      </w:pPr>
    </w:p>
    <w:p w14:paraId="1F649AD9" w14:textId="77777777" w:rsidR="002A263A" w:rsidRDefault="002A263A" w:rsidP="002A263A">
      <w:pPr>
        <w:jc w:val="both"/>
        <w:rPr>
          <w:rFonts w:ascii="Arial" w:eastAsia="Calibri" w:hAnsi="Arial" w:cs="Arial"/>
          <w:sz w:val="20"/>
          <w:szCs w:val="20"/>
          <w:lang w:val="es-ES_tradnl"/>
        </w:rPr>
      </w:pPr>
      <w:r>
        <w:rPr>
          <w:rFonts w:ascii="Arial" w:eastAsia="Calibri" w:hAnsi="Arial" w:cs="Arial"/>
          <w:sz w:val="20"/>
          <w:szCs w:val="20"/>
          <w:lang w:val="es-ES_tradnl"/>
        </w:rPr>
        <w:t>E</w:t>
      </w:r>
      <w:r w:rsidRPr="002A263A">
        <w:rPr>
          <w:rFonts w:ascii="Arial" w:eastAsia="Calibri" w:hAnsi="Arial" w:cs="Arial"/>
          <w:sz w:val="20"/>
          <w:szCs w:val="20"/>
          <w:lang w:val="es-ES_tradnl"/>
        </w:rPr>
        <w:t>l desempate no puede propiciarse acudiendo arbitrariamente a consideraciones subjetivas que no estén amparadas en el ordenamiento jurídico, sino que deben aplicarse los factores permitidos por las disposiciones normativas que regulan esta materia. Precisamente, dentro de dichas disposiciones se encuentra el artículo 35 de la Ley 2069 de 2020. La jurisprudencia comparte la idea de que los criterios de desempate deben estar establecidos de antemano y constituyen un límite a la discrecionalidad administrativa en los procedimientos de selección</w:t>
      </w:r>
      <w:r>
        <w:rPr>
          <w:rFonts w:ascii="Arial" w:eastAsia="Calibri" w:hAnsi="Arial" w:cs="Arial"/>
          <w:sz w:val="20"/>
          <w:szCs w:val="20"/>
          <w:lang w:val="es-ES_tradnl"/>
        </w:rPr>
        <w:t>.</w:t>
      </w:r>
    </w:p>
    <w:p w14:paraId="0298B29F" w14:textId="24B719C7" w:rsidR="002A263A" w:rsidRPr="002A263A" w:rsidRDefault="002A263A" w:rsidP="002A263A">
      <w:pPr>
        <w:jc w:val="both"/>
        <w:rPr>
          <w:rFonts w:ascii="Arial" w:eastAsia="Calibri" w:hAnsi="Arial" w:cs="Arial"/>
          <w:sz w:val="20"/>
          <w:szCs w:val="20"/>
          <w:lang w:val="es-ES_tradnl"/>
        </w:rPr>
      </w:pPr>
      <w:r w:rsidRPr="002A263A">
        <w:rPr>
          <w:rFonts w:ascii="Arial" w:eastAsia="Calibri" w:hAnsi="Arial" w:cs="Arial"/>
          <w:sz w:val="20"/>
          <w:szCs w:val="20"/>
          <w:lang w:val="es-ES_tradnl"/>
        </w:rPr>
        <w:t xml:space="preserve"> </w:t>
      </w:r>
    </w:p>
    <w:p w14:paraId="5204F243" w14:textId="7195401C" w:rsidR="00D73881" w:rsidRPr="00742BED" w:rsidRDefault="002A263A" w:rsidP="002A263A">
      <w:pPr>
        <w:jc w:val="both"/>
        <w:rPr>
          <w:rFonts w:ascii="Arial" w:eastAsia="Calibri" w:hAnsi="Arial" w:cs="Arial"/>
          <w:sz w:val="20"/>
          <w:szCs w:val="20"/>
          <w:lang w:val="es-ES_tradnl"/>
        </w:rPr>
      </w:pPr>
      <w:r w:rsidRPr="002A263A">
        <w:rPr>
          <w:rFonts w:ascii="Arial" w:eastAsia="Calibri" w:hAnsi="Arial" w:cs="Arial"/>
          <w:sz w:val="20"/>
          <w:szCs w:val="20"/>
          <w:lang w:val="es-ES_tradnl"/>
        </w:rPr>
        <w:lastRenderedPageBreak/>
        <w:t>En tal sentido, la Corte Constitucional explica que cuando la ley establece factores de desempate obligatorios, las entidades estatales no pueden inaplicarlos, porque ello podría vulnerar el principio de igualdad, especialmente, cuando algunos de estos criterios surgen como acciones afirmativas para ciertos sectores de la población. Más aún, según el Consejo de Estado, ir en contra de los factores de desempate establecidos expresamente genera la nulidad del contrato, conforme al artículo 44, inciso 1º de la Ley 80 de 1993</w:t>
      </w:r>
      <w:r w:rsidR="003D3F28" w:rsidRPr="00742BED">
        <w:rPr>
          <w:rFonts w:ascii="Arial" w:eastAsia="Calibri" w:hAnsi="Arial" w:cs="Arial"/>
          <w:sz w:val="20"/>
          <w:szCs w:val="20"/>
          <w:lang w:val="es-ES_tradnl"/>
        </w:rPr>
        <w:t>.</w:t>
      </w:r>
      <w:r w:rsidR="00D73881" w:rsidRPr="00742BED">
        <w:rPr>
          <w:rFonts w:ascii="Arial" w:eastAsia="Calibri" w:hAnsi="Arial" w:cs="Arial"/>
          <w:sz w:val="20"/>
          <w:szCs w:val="20"/>
          <w:lang w:val="es-ES_tradnl"/>
        </w:rPr>
        <w:t xml:space="preserve"> </w:t>
      </w:r>
    </w:p>
    <w:p w14:paraId="20087230" w14:textId="77777777" w:rsidR="00617D72" w:rsidRPr="00742BED" w:rsidRDefault="00617D72" w:rsidP="00D73881">
      <w:pPr>
        <w:jc w:val="both"/>
        <w:rPr>
          <w:rFonts w:ascii="Arial" w:eastAsia="Calibri" w:hAnsi="Arial" w:cs="Arial"/>
          <w:b/>
          <w:sz w:val="22"/>
          <w:lang w:val="es-ES_tradnl"/>
        </w:rPr>
      </w:pPr>
    </w:p>
    <w:p w14:paraId="7144E95B" w14:textId="6179FDBF" w:rsidR="00D73881" w:rsidRPr="00742BED" w:rsidRDefault="00D73881" w:rsidP="00D73881">
      <w:pPr>
        <w:jc w:val="both"/>
        <w:rPr>
          <w:rFonts w:ascii="Arial" w:eastAsia="Calibri" w:hAnsi="Arial" w:cs="Arial"/>
          <w:b/>
          <w:sz w:val="22"/>
          <w:lang w:val="es-ES_tradnl"/>
        </w:rPr>
      </w:pPr>
      <w:r w:rsidRPr="00742BED">
        <w:rPr>
          <w:rFonts w:ascii="Arial" w:eastAsia="Calibri" w:hAnsi="Arial" w:cs="Arial"/>
          <w:b/>
          <w:sz w:val="22"/>
          <w:lang w:val="es-ES_tradnl"/>
        </w:rPr>
        <w:t xml:space="preserve">LEY DE EMPRENDIMIENTO </w:t>
      </w:r>
      <w:r w:rsidRPr="00742BED">
        <w:rPr>
          <w:rFonts w:ascii="Arial" w:eastAsia="Calibri" w:hAnsi="Arial" w:cs="Arial"/>
          <w:b/>
          <w:color w:val="000000" w:themeColor="text1"/>
          <w:sz w:val="22"/>
          <w:lang w:val="es-ES_tradnl"/>
        </w:rPr>
        <w:t>–</w:t>
      </w:r>
      <w:r w:rsidRPr="00742BED">
        <w:rPr>
          <w:rFonts w:ascii="Arial" w:eastAsia="Calibri" w:hAnsi="Arial" w:cs="Arial"/>
          <w:b/>
          <w:sz w:val="22"/>
          <w:lang w:val="es-ES_tradnl"/>
        </w:rPr>
        <w:t xml:space="preserve"> Ley </w:t>
      </w:r>
      <w:r w:rsidR="007B209C" w:rsidRPr="00742BED">
        <w:rPr>
          <w:rFonts w:ascii="Arial" w:eastAsia="Calibri" w:hAnsi="Arial" w:cs="Arial"/>
          <w:b/>
          <w:sz w:val="22"/>
          <w:lang w:val="es-ES_tradnl"/>
        </w:rPr>
        <w:t>2069</w:t>
      </w:r>
      <w:r w:rsidRPr="00742BED">
        <w:rPr>
          <w:rFonts w:ascii="Arial" w:eastAsia="Calibri" w:hAnsi="Arial" w:cs="Arial"/>
          <w:b/>
          <w:sz w:val="22"/>
          <w:lang w:val="es-ES_tradnl"/>
        </w:rPr>
        <w:t xml:space="preserve"> de 2020 </w:t>
      </w:r>
      <w:r w:rsidRPr="00742BED">
        <w:rPr>
          <w:rFonts w:ascii="Arial" w:eastAsia="Calibri" w:hAnsi="Arial" w:cs="Arial"/>
          <w:b/>
          <w:color w:val="000000" w:themeColor="text1"/>
          <w:sz w:val="22"/>
          <w:lang w:val="es-ES_tradnl"/>
        </w:rPr>
        <w:t xml:space="preserve">– Vigencia </w:t>
      </w:r>
    </w:p>
    <w:p w14:paraId="0D3B8DEB" w14:textId="33C83BCF" w:rsidR="00D73881" w:rsidRPr="00742BED" w:rsidRDefault="00D73881" w:rsidP="00D73881">
      <w:pPr>
        <w:jc w:val="both"/>
        <w:rPr>
          <w:rFonts w:ascii="Arial" w:eastAsia="Calibri" w:hAnsi="Arial" w:cs="Arial"/>
          <w:b/>
          <w:sz w:val="22"/>
          <w:lang w:val="es-ES_tradnl"/>
        </w:rPr>
      </w:pPr>
    </w:p>
    <w:p w14:paraId="3B612921" w14:textId="77777777" w:rsidR="002A263A" w:rsidRPr="002A263A" w:rsidRDefault="002A263A" w:rsidP="002A263A">
      <w:pPr>
        <w:jc w:val="both"/>
        <w:rPr>
          <w:rFonts w:ascii="Arial" w:eastAsia="Calibri" w:hAnsi="Arial" w:cs="Arial"/>
          <w:sz w:val="20"/>
          <w:szCs w:val="20"/>
          <w:lang w:val="es-ES_tradnl"/>
        </w:rPr>
      </w:pPr>
      <w:r w:rsidRPr="002A263A">
        <w:rPr>
          <w:rFonts w:ascii="Arial" w:eastAsia="Calibri" w:hAnsi="Arial" w:cs="Arial"/>
          <w:sz w:val="20"/>
          <w:szCs w:val="20"/>
          <w:lang w:val="es-ES_tradnl"/>
        </w:rPr>
        <w:t>El 31 de diciembre de 2020 se promulgó la Ley 2069, «Por medio de la cual se impulsa el emprendimiento en Colombia». De acuerdo con el artículo 84 de dicho cuerpo normativo, «La presente Ley rige a partir del momento de su promulgación […]», lo que significa que es obligatoria para sus destinatarios desde esa fecha. Lo anterior, sin perjuicio de la posibilidad de que el gobierno nacional, en ejercicio de la potestad reglamentaria que le confiere el artículo 189, numeral 11, de la Constitución Política, expida el decreto correspondiente que permita la cumplida ejecución de esta Ley.</w:t>
      </w:r>
    </w:p>
    <w:p w14:paraId="71336ADD" w14:textId="77777777" w:rsidR="002A263A" w:rsidRDefault="002A263A" w:rsidP="002A263A">
      <w:pPr>
        <w:jc w:val="both"/>
        <w:rPr>
          <w:rFonts w:ascii="Arial" w:eastAsia="Calibri" w:hAnsi="Arial" w:cs="Arial"/>
          <w:sz w:val="20"/>
          <w:szCs w:val="20"/>
          <w:lang w:val="es-ES_tradnl"/>
        </w:rPr>
      </w:pPr>
    </w:p>
    <w:p w14:paraId="7B24A529" w14:textId="05365602" w:rsidR="008410B1" w:rsidRPr="00742BED" w:rsidRDefault="002A263A" w:rsidP="002A263A">
      <w:pPr>
        <w:jc w:val="both"/>
        <w:rPr>
          <w:rFonts w:ascii="Arial" w:eastAsia="Calibri" w:hAnsi="Arial" w:cs="Arial"/>
          <w:b/>
          <w:sz w:val="22"/>
          <w:lang w:val="es-ES_tradnl"/>
        </w:rPr>
      </w:pPr>
      <w:r w:rsidRPr="002A263A">
        <w:rPr>
          <w:rFonts w:ascii="Arial" w:eastAsia="Calibri" w:hAnsi="Arial" w:cs="Arial"/>
          <w:sz w:val="20"/>
          <w:szCs w:val="20"/>
          <w:lang w:val="es-ES_tradnl"/>
        </w:rPr>
        <w:t>En cuanto a su contenido, es importante señalar que, como dispone el artículo 1, aquella «tiene por objeto establecer un marco regulatorio que propicie el emprendimiento y el crecimiento, consolidación y sostenibilidad de las empresas, con el fin de aumentar el bienestar social y generar equidad». Lo anterior, a partir de «[…] un enfoque regionalizado de acuerdo con las realidades socioeconómicas de cada región». En desarrollo de esta finalidad, se establecen medidas de apoyo para las micro, pequeñas y medianas empresas –</w:t>
      </w:r>
      <w:proofErr w:type="spellStart"/>
      <w:r w:rsidRPr="002A263A">
        <w:rPr>
          <w:rFonts w:ascii="Arial" w:eastAsia="Calibri" w:hAnsi="Arial" w:cs="Arial"/>
          <w:sz w:val="20"/>
          <w:szCs w:val="20"/>
          <w:lang w:val="es-ES_tradnl"/>
        </w:rPr>
        <w:t>mipymes</w:t>
      </w:r>
      <w:proofErr w:type="spellEnd"/>
      <w:r w:rsidRPr="002A263A">
        <w:rPr>
          <w:rFonts w:ascii="Arial" w:eastAsia="Calibri" w:hAnsi="Arial" w:cs="Arial"/>
          <w:sz w:val="20"/>
          <w:szCs w:val="20"/>
          <w:lang w:val="es-ES_tradnl"/>
        </w:rPr>
        <w:t>–, mediante la racionalización y simplificación de los trámites y tarifas, así como incentivos a favor de aquellas dentro del sistema de compras y contratación pública. De igual forma, se consagran mecanismos de acceso al financiamiento, se unifican las fuentes de emprendimiento y de desarrollo empresarial, para fortalecer y promover los distintos sectores de la economía y se prevén medidas de educación para el emprendimiento y la innovación.</w:t>
      </w:r>
    </w:p>
    <w:p w14:paraId="3EA73C29" w14:textId="77777777" w:rsidR="002A263A" w:rsidRDefault="002A263A" w:rsidP="00202F5D">
      <w:pPr>
        <w:jc w:val="both"/>
        <w:rPr>
          <w:rFonts w:ascii="Arial" w:eastAsia="Calibri" w:hAnsi="Arial" w:cs="Arial"/>
          <w:b/>
          <w:sz w:val="22"/>
          <w:szCs w:val="22"/>
          <w:lang w:val="es-ES_tradnl"/>
        </w:rPr>
      </w:pPr>
    </w:p>
    <w:p w14:paraId="4818BE12" w14:textId="5C9797CB" w:rsidR="00202F5D" w:rsidRPr="00DD000A" w:rsidRDefault="00202F5D" w:rsidP="00202F5D">
      <w:pPr>
        <w:jc w:val="both"/>
        <w:rPr>
          <w:rFonts w:ascii="Arial" w:eastAsia="Calibri" w:hAnsi="Arial" w:cs="Arial"/>
          <w:b/>
          <w:sz w:val="22"/>
          <w:szCs w:val="22"/>
          <w:lang w:val="es-ES_tradnl"/>
        </w:rPr>
      </w:pPr>
      <w:r w:rsidRPr="00DD000A">
        <w:rPr>
          <w:rFonts w:ascii="Arial" w:eastAsia="Calibri" w:hAnsi="Arial" w:cs="Arial"/>
          <w:b/>
          <w:sz w:val="22"/>
          <w:szCs w:val="22"/>
          <w:lang w:val="es-ES_tradnl"/>
        </w:rPr>
        <w:t xml:space="preserve">FACTORES DE DESEMPATE </w:t>
      </w:r>
      <w:r w:rsidRPr="00DD000A">
        <w:rPr>
          <w:rFonts w:ascii="Arial" w:eastAsia="Calibri" w:hAnsi="Arial" w:cs="Arial"/>
          <w:b/>
          <w:color w:val="000000" w:themeColor="text1"/>
          <w:sz w:val="22"/>
          <w:szCs w:val="22"/>
          <w:lang w:val="es-ES_tradnl"/>
        </w:rPr>
        <w:t>–</w:t>
      </w:r>
      <w:r w:rsidRPr="00DD000A">
        <w:rPr>
          <w:rFonts w:ascii="Arial" w:eastAsia="Calibri" w:hAnsi="Arial" w:cs="Arial"/>
          <w:b/>
          <w:sz w:val="22"/>
          <w:szCs w:val="22"/>
          <w:lang w:val="es-ES_tradnl"/>
        </w:rPr>
        <w:t xml:space="preserve"> Ley 2069 </w:t>
      </w:r>
      <w:r w:rsidRPr="00DD000A">
        <w:rPr>
          <w:rFonts w:ascii="Arial" w:eastAsia="Calibri" w:hAnsi="Arial" w:cs="Arial"/>
          <w:b/>
          <w:color w:val="000000" w:themeColor="text1"/>
          <w:sz w:val="22"/>
          <w:szCs w:val="22"/>
          <w:lang w:val="es-ES_tradnl"/>
        </w:rPr>
        <w:t>– Artículo 35</w:t>
      </w:r>
      <w:r w:rsidR="00F81792">
        <w:rPr>
          <w:rFonts w:ascii="Arial" w:eastAsia="Calibri" w:hAnsi="Arial" w:cs="Arial"/>
          <w:b/>
          <w:color w:val="000000" w:themeColor="text1"/>
          <w:sz w:val="22"/>
          <w:szCs w:val="22"/>
          <w:lang w:val="es-ES_tradnl"/>
        </w:rPr>
        <w:t>.4</w:t>
      </w:r>
      <w:r w:rsidRPr="00DD000A">
        <w:rPr>
          <w:rFonts w:ascii="Arial" w:eastAsia="Calibri" w:hAnsi="Arial" w:cs="Arial"/>
          <w:b/>
          <w:color w:val="000000" w:themeColor="text1"/>
          <w:sz w:val="22"/>
          <w:szCs w:val="22"/>
          <w:lang w:val="es-ES_tradnl"/>
        </w:rPr>
        <w:t xml:space="preserve"> – </w:t>
      </w:r>
      <w:r w:rsidR="00F81792">
        <w:rPr>
          <w:rFonts w:ascii="Arial" w:eastAsia="Calibri" w:hAnsi="Arial" w:cs="Arial"/>
          <w:b/>
          <w:color w:val="000000" w:themeColor="text1"/>
          <w:sz w:val="22"/>
          <w:szCs w:val="22"/>
          <w:lang w:val="es-ES_tradnl"/>
        </w:rPr>
        <w:t xml:space="preserve">Vinculación de adultos mayores - </w:t>
      </w:r>
      <w:r w:rsidRPr="00DD000A">
        <w:rPr>
          <w:rFonts w:ascii="Arial" w:eastAsia="Calibri" w:hAnsi="Arial" w:cs="Arial"/>
          <w:b/>
          <w:color w:val="000000" w:themeColor="text1"/>
          <w:sz w:val="22"/>
          <w:szCs w:val="22"/>
          <w:lang w:val="es-ES_tradnl"/>
        </w:rPr>
        <w:t>Acreditación</w:t>
      </w:r>
    </w:p>
    <w:p w14:paraId="784080C4" w14:textId="77777777" w:rsidR="00202F5D" w:rsidRPr="00DD000A" w:rsidRDefault="00202F5D" w:rsidP="00202F5D">
      <w:pPr>
        <w:spacing w:line="276" w:lineRule="auto"/>
        <w:jc w:val="both"/>
        <w:rPr>
          <w:rFonts w:ascii="Arial" w:hAnsi="Arial" w:cs="Arial"/>
          <w:noProof/>
          <w:color w:val="000000" w:themeColor="text1"/>
          <w:sz w:val="22"/>
          <w:szCs w:val="22"/>
          <w:lang w:val="es-ES_tradnl"/>
        </w:rPr>
      </w:pPr>
    </w:p>
    <w:p w14:paraId="4B1649E5" w14:textId="77777777" w:rsidR="002A263A" w:rsidRPr="002A263A" w:rsidRDefault="00202F5D" w:rsidP="002A263A">
      <w:pPr>
        <w:spacing w:after="120"/>
        <w:jc w:val="both"/>
        <w:rPr>
          <w:rFonts w:ascii="Arial" w:eastAsia="Calibri" w:hAnsi="Arial" w:cs="Arial"/>
          <w:color w:val="000000"/>
          <w:sz w:val="20"/>
          <w:szCs w:val="20"/>
          <w:lang w:val="es-ES_tradnl"/>
        </w:rPr>
      </w:pPr>
      <w:r w:rsidRPr="00691A08">
        <w:rPr>
          <w:rFonts w:ascii="Arial" w:eastAsia="Calibri" w:hAnsi="Arial" w:cs="Arial"/>
          <w:sz w:val="20"/>
          <w:szCs w:val="20"/>
          <w:lang w:val="es-ES_tradnl"/>
        </w:rPr>
        <w:t xml:space="preserve">[…], </w:t>
      </w:r>
      <w:r w:rsidR="002A263A" w:rsidRPr="002A263A">
        <w:rPr>
          <w:rFonts w:ascii="Arial" w:eastAsia="Calibri" w:hAnsi="Arial" w:cs="Arial"/>
          <w:color w:val="000000"/>
          <w:sz w:val="20"/>
          <w:szCs w:val="20"/>
          <w:lang w:val="es-ES_tradnl"/>
        </w:rPr>
        <w:t>el factor de desempate del artículo 35.4 de la Ley 2069 de 2020 no se refiere a la «vinculación en mayor cantidad» de personas mayores. En este caso, bastaría comparar el número de personas vinculadas entre cada uno de los proponentes empatados, adjudicando el contrato a aquel que más tenga. Sin embargo, esta interpretación no es posible en la medida que la norma se refiere a la «vinculación en mayor proporción», es decir el número de personas vinculadas en relación con la planta de personal de los oferentes.</w:t>
      </w:r>
    </w:p>
    <w:p w14:paraId="311DAC5C" w14:textId="77777777" w:rsidR="002A263A" w:rsidRPr="002A263A" w:rsidRDefault="002A263A" w:rsidP="002A263A">
      <w:pPr>
        <w:spacing w:after="120"/>
        <w:jc w:val="both"/>
        <w:rPr>
          <w:rFonts w:ascii="Arial" w:eastAsia="Calibri" w:hAnsi="Arial" w:cs="Arial"/>
          <w:color w:val="000000"/>
          <w:sz w:val="20"/>
          <w:szCs w:val="20"/>
          <w:lang w:val="es-ES_tradnl"/>
        </w:rPr>
      </w:pPr>
      <w:r w:rsidRPr="002A263A">
        <w:rPr>
          <w:rFonts w:ascii="Arial" w:eastAsia="Calibri" w:hAnsi="Arial" w:cs="Arial"/>
          <w:color w:val="000000"/>
          <w:sz w:val="20"/>
          <w:szCs w:val="20"/>
          <w:lang w:val="es-ES_tradnl"/>
        </w:rPr>
        <w:t xml:space="preserve">Hasta ahora no existe un reglamento que defina el concepto de «vinculación en mayor proporción», por lo que debe entenderse conforme a las pautas hermenéuticas del Código Civil. Por tanto, es necesario precisar el alcance del Concepto C-015 del 4 de febrero de 2021 en el sentido que el artículo 35.4 de la Ley de Emprendimiento se refiere al número de personas vinculadas por el oferente que «no sean beneficiarios de la pensión de vejez, familiar o de sobrevivencia y que hayan cumplido el requisito de edad de pensión establecido en la Ley», precisando que la «vinculación en mayor proporción» debe analizarse respecto al número de trabajadores de la planta de personal. </w:t>
      </w:r>
    </w:p>
    <w:p w14:paraId="7B43909D" w14:textId="3F90B9C6" w:rsidR="004B56B5" w:rsidRPr="004B56B5" w:rsidRDefault="002A263A" w:rsidP="004B56B5">
      <w:pPr>
        <w:spacing w:after="120"/>
        <w:jc w:val="both"/>
        <w:rPr>
          <w:rFonts w:ascii="Arial" w:eastAsia="Calibri" w:hAnsi="Arial" w:cs="Arial"/>
          <w:color w:val="000000"/>
          <w:sz w:val="20"/>
          <w:szCs w:val="20"/>
          <w:lang w:val="es-ES_tradnl"/>
        </w:rPr>
      </w:pPr>
      <w:r w:rsidRPr="002A263A">
        <w:rPr>
          <w:rFonts w:ascii="Arial" w:eastAsia="Calibri" w:hAnsi="Arial" w:cs="Arial"/>
          <w:color w:val="000000"/>
          <w:sz w:val="20"/>
          <w:szCs w:val="20"/>
          <w:lang w:val="es-ES_tradnl"/>
        </w:rPr>
        <w:t>La norma guarda silencio sobre la acreditación de la condición que da lugar al factor de desempate. Por tanto, esta Agencia considera que, sin perjuicio de que el reglamento que expida el gobierno nacional determine un medio de acreditación especial, existe libertad probatoria sobre el tema</w:t>
      </w:r>
      <w:r>
        <w:rPr>
          <w:rFonts w:ascii="Arial" w:eastAsia="Calibri" w:hAnsi="Arial" w:cs="Arial"/>
          <w:color w:val="000000"/>
          <w:sz w:val="20"/>
          <w:szCs w:val="20"/>
          <w:lang w:val="es-ES_tradnl"/>
        </w:rPr>
        <w:t>.</w:t>
      </w:r>
    </w:p>
    <w:p w14:paraId="7DD48F49" w14:textId="00194B71" w:rsidR="00B95C30" w:rsidRPr="00742BED" w:rsidRDefault="00B95C30" w:rsidP="00B95C30">
      <w:pPr>
        <w:spacing w:line="276" w:lineRule="auto"/>
        <w:jc w:val="both"/>
        <w:rPr>
          <w:rFonts w:ascii="Arial" w:hAnsi="Arial" w:cs="Arial"/>
          <w:b/>
          <w:bCs/>
          <w:noProof/>
          <w:color w:val="000000" w:themeColor="text1"/>
          <w:sz w:val="22"/>
          <w:lang w:val="es-ES_tradnl"/>
        </w:rPr>
      </w:pPr>
      <w:r w:rsidRPr="00742BED">
        <w:rPr>
          <w:rFonts w:ascii="Arial" w:hAnsi="Arial" w:cs="Arial"/>
          <w:noProof/>
          <w:color w:val="000000" w:themeColor="text1"/>
          <w:sz w:val="22"/>
          <w:lang w:val="es-ES_tradnl"/>
        </w:rPr>
        <w:lastRenderedPageBreak/>
        <w:t xml:space="preserve">Bogotá D.C., </w:t>
      </w:r>
      <w:r w:rsidR="004B56B5">
        <w:rPr>
          <w:rFonts w:ascii="0ÊXÀ˛" w:eastAsiaTheme="minorHAnsi" w:hAnsi="0ÊXÀ˛" w:cs="0ÊXÀ˛"/>
          <w:color w:val="4E4D4D"/>
          <w:sz w:val="22"/>
          <w:szCs w:val="22"/>
          <w:lang w:val="es-ES_tradnl" w:eastAsia="en-US"/>
        </w:rPr>
        <w:t xml:space="preserve">03 </w:t>
      </w:r>
      <w:proofErr w:type="gramStart"/>
      <w:r w:rsidR="004B56B5">
        <w:rPr>
          <w:rFonts w:ascii="0ÊXÀ˛" w:eastAsiaTheme="minorHAnsi" w:hAnsi="0ÊXÀ˛" w:cs="0ÊXÀ˛"/>
          <w:color w:val="4E4D4D"/>
          <w:sz w:val="22"/>
          <w:szCs w:val="22"/>
          <w:lang w:val="es-ES_tradnl" w:eastAsia="en-US"/>
        </w:rPr>
        <w:t>Agosto</w:t>
      </w:r>
      <w:proofErr w:type="gramEnd"/>
      <w:r w:rsidR="004B56B5">
        <w:rPr>
          <w:rFonts w:ascii="0ÊXÀ˛" w:eastAsiaTheme="minorHAnsi" w:hAnsi="0ÊXÀ˛" w:cs="0ÊXÀ˛"/>
          <w:color w:val="4E4D4D"/>
          <w:sz w:val="22"/>
          <w:szCs w:val="22"/>
          <w:lang w:val="es-ES_tradnl" w:eastAsia="en-US"/>
        </w:rPr>
        <w:t xml:space="preserve"> 2021</w:t>
      </w:r>
      <w:r w:rsidR="004B56B5">
        <w:rPr>
          <w:rFonts w:ascii="0ÊXÀ˛" w:eastAsiaTheme="minorHAnsi" w:hAnsi="0ÊXÀ˛" w:cs="0ÊXÀ˛"/>
          <w:color w:val="4E4D4D"/>
          <w:sz w:val="22"/>
          <w:szCs w:val="22"/>
          <w:lang w:val="es-ES_tradnl" w:eastAsia="en-US"/>
        </w:rPr>
        <w:t xml:space="preserve">               </w:t>
      </w:r>
      <w:r w:rsidR="004B56B5" w:rsidRPr="004B56B5">
        <w:rPr>
          <w:rFonts w:ascii="0ÊXÀ˛" w:eastAsiaTheme="minorHAnsi" w:hAnsi="0ÊXÀ˛" w:cs="0ÊXÀ˛"/>
          <w:color w:val="4E4D4D"/>
          <w:sz w:val="22"/>
          <w:szCs w:val="22"/>
          <w:lang w:val="es-ES_tradnl" w:eastAsia="en-US"/>
        </w:rPr>
        <w:drawing>
          <wp:inline distT="0" distB="0" distL="0" distR="0" wp14:anchorId="656FCBA5" wp14:editId="7D84C8A8">
            <wp:extent cx="2612000" cy="617855"/>
            <wp:effectExtent l="0" t="0" r="4445" b="4445"/>
            <wp:docPr id="4" name="Imagen 4"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Texto&#10;&#10;Descripción generada automáticamente"/>
                    <pic:cNvPicPr/>
                  </pic:nvPicPr>
                  <pic:blipFill>
                    <a:blip r:embed="rId11"/>
                    <a:stretch>
                      <a:fillRect/>
                    </a:stretch>
                  </pic:blipFill>
                  <pic:spPr>
                    <a:xfrm>
                      <a:off x="0" y="0"/>
                      <a:ext cx="2648104" cy="626395"/>
                    </a:xfrm>
                    <a:prstGeom prst="rect">
                      <a:avLst/>
                    </a:prstGeom>
                  </pic:spPr>
                </pic:pic>
              </a:graphicData>
            </a:graphic>
          </wp:inline>
        </w:drawing>
      </w:r>
    </w:p>
    <w:p w14:paraId="1F928DBD" w14:textId="77777777" w:rsidR="00F53F4F" w:rsidRPr="00742BED" w:rsidRDefault="00F53F4F" w:rsidP="00B95C30">
      <w:pPr>
        <w:spacing w:line="276" w:lineRule="auto"/>
        <w:jc w:val="both"/>
        <w:rPr>
          <w:rFonts w:ascii="Arial" w:eastAsia="Calibri" w:hAnsi="Arial" w:cs="Arial"/>
          <w:noProof/>
          <w:color w:val="000000" w:themeColor="text1"/>
          <w:sz w:val="22"/>
          <w:szCs w:val="22"/>
          <w:lang w:val="es-ES_tradnl"/>
        </w:rPr>
      </w:pPr>
    </w:p>
    <w:p w14:paraId="5F5AE9EF" w14:textId="2E01DC56" w:rsidR="00B95C30" w:rsidRPr="00742BED" w:rsidRDefault="00BE4FBF" w:rsidP="00B95C30">
      <w:pPr>
        <w:jc w:val="both"/>
        <w:rPr>
          <w:rFonts w:ascii="Arial" w:eastAsia="Calibri" w:hAnsi="Arial" w:cs="Arial"/>
          <w:color w:val="000000" w:themeColor="text1"/>
          <w:sz w:val="22"/>
          <w:lang w:val="es-ES_tradnl"/>
        </w:rPr>
      </w:pPr>
      <w:r w:rsidRPr="00742BED">
        <w:rPr>
          <w:rFonts w:ascii="Arial" w:eastAsia="Calibri" w:hAnsi="Arial" w:cs="Arial"/>
          <w:color w:val="000000" w:themeColor="text1"/>
          <w:sz w:val="22"/>
          <w:lang w:val="es-ES_tradnl"/>
        </w:rPr>
        <w:t>Señor</w:t>
      </w:r>
    </w:p>
    <w:p w14:paraId="6987FB13" w14:textId="424CE006" w:rsidR="002311F0" w:rsidRPr="00742BED" w:rsidRDefault="008C7141" w:rsidP="002311F0">
      <w:pPr>
        <w:jc w:val="both"/>
        <w:rPr>
          <w:rFonts w:ascii="Arial" w:eastAsia="Calibri" w:hAnsi="Arial" w:cs="Arial"/>
          <w:b/>
          <w:color w:val="000000" w:themeColor="text1"/>
          <w:sz w:val="22"/>
          <w:lang w:val="es-ES_tradnl"/>
        </w:rPr>
      </w:pPr>
      <w:r>
        <w:rPr>
          <w:rFonts w:ascii="Arial" w:eastAsia="Calibri" w:hAnsi="Arial" w:cs="Arial"/>
          <w:b/>
          <w:color w:val="000000" w:themeColor="text1"/>
          <w:sz w:val="22"/>
          <w:lang w:val="es-ES_tradnl"/>
        </w:rPr>
        <w:t xml:space="preserve">Cristian Chacón </w:t>
      </w:r>
    </w:p>
    <w:p w14:paraId="09D4AEA8" w14:textId="4349F421" w:rsidR="00B95C30" w:rsidRPr="00742BED" w:rsidRDefault="008C7141" w:rsidP="00B95C30">
      <w:pPr>
        <w:jc w:val="both"/>
        <w:rPr>
          <w:rFonts w:ascii="Arial" w:eastAsia="Calibri" w:hAnsi="Arial" w:cs="Arial"/>
          <w:color w:val="000000" w:themeColor="text1"/>
          <w:sz w:val="22"/>
          <w:lang w:val="es-ES_tradnl"/>
        </w:rPr>
      </w:pPr>
      <w:r>
        <w:rPr>
          <w:rFonts w:ascii="Arial" w:eastAsia="Calibri" w:hAnsi="Arial" w:cs="Arial"/>
          <w:color w:val="000000" w:themeColor="text1"/>
          <w:sz w:val="22"/>
          <w:lang w:val="es-ES_tradnl"/>
        </w:rPr>
        <w:t>Ciudad</w:t>
      </w:r>
    </w:p>
    <w:p w14:paraId="3B584A57" w14:textId="4528CA3D" w:rsidR="00F53F4F" w:rsidRPr="00742BED" w:rsidRDefault="00F53F4F" w:rsidP="00B95C30">
      <w:pPr>
        <w:jc w:val="both"/>
        <w:rPr>
          <w:rFonts w:ascii="Arial" w:eastAsia="Calibri" w:hAnsi="Arial" w:cs="Arial"/>
          <w:color w:val="000000" w:themeColor="text1"/>
          <w:sz w:val="22"/>
          <w:lang w:val="es-ES_tradnl"/>
        </w:rPr>
      </w:pPr>
    </w:p>
    <w:p w14:paraId="48E36FCF" w14:textId="77777777" w:rsidR="00F53F4F" w:rsidRPr="00742BED" w:rsidRDefault="00F53F4F" w:rsidP="00B95C30">
      <w:pPr>
        <w:jc w:val="both"/>
        <w:rPr>
          <w:rFonts w:ascii="Arial" w:eastAsia="Calibri" w:hAnsi="Arial" w:cs="Arial"/>
          <w:color w:val="000000" w:themeColor="text1"/>
          <w:sz w:val="22"/>
          <w:lang w:val="es-ES_tradnl"/>
        </w:rPr>
      </w:pPr>
    </w:p>
    <w:p w14:paraId="12E66182" w14:textId="21C61277" w:rsidR="00B95C30" w:rsidRPr="00742BED" w:rsidRDefault="00F53F4F" w:rsidP="001D6CD2">
      <w:pPr>
        <w:rPr>
          <w:rFonts w:ascii="Arial" w:eastAsia="Calibri" w:hAnsi="Arial" w:cs="Arial"/>
          <w:b/>
          <w:bCs/>
          <w:color w:val="000000" w:themeColor="text1"/>
          <w:sz w:val="22"/>
          <w:lang w:val="es-ES_tradnl"/>
        </w:rPr>
      </w:pPr>
      <w:r w:rsidRPr="00742BED">
        <w:rPr>
          <w:rFonts w:ascii="Arial" w:eastAsia="Calibri" w:hAnsi="Arial" w:cs="Arial"/>
          <w:b/>
          <w:bCs/>
          <w:color w:val="000000" w:themeColor="text1"/>
          <w:sz w:val="22"/>
          <w:lang w:val="es-ES_tradnl"/>
        </w:rPr>
        <w:t xml:space="preserve">                                            </w:t>
      </w:r>
      <w:r w:rsidR="00B95C30" w:rsidRPr="00742BED">
        <w:rPr>
          <w:rFonts w:ascii="Arial" w:eastAsia="Calibri" w:hAnsi="Arial" w:cs="Arial"/>
          <w:b/>
          <w:bCs/>
          <w:color w:val="000000" w:themeColor="text1"/>
          <w:sz w:val="22"/>
          <w:lang w:val="es-ES_tradnl"/>
        </w:rPr>
        <w:t xml:space="preserve">Concepto C ‒ </w:t>
      </w:r>
      <w:r w:rsidR="00895212">
        <w:rPr>
          <w:rFonts w:ascii="Arial" w:eastAsia="Calibri" w:hAnsi="Arial" w:cs="Arial"/>
          <w:b/>
          <w:bCs/>
          <w:color w:val="000000" w:themeColor="text1"/>
          <w:sz w:val="22"/>
          <w:lang w:val="es-ES_tradnl"/>
        </w:rPr>
        <w:t>390</w:t>
      </w:r>
      <w:r w:rsidR="00B95C30" w:rsidRPr="00742BED">
        <w:rPr>
          <w:rFonts w:ascii="Arial" w:eastAsia="Calibri" w:hAnsi="Arial" w:cs="Arial"/>
          <w:b/>
          <w:bCs/>
          <w:color w:val="000000" w:themeColor="text1"/>
          <w:sz w:val="22"/>
          <w:lang w:val="es-ES_tradnl"/>
        </w:rPr>
        <w:t xml:space="preserve"> de 202</w:t>
      </w:r>
      <w:r w:rsidR="005E781C" w:rsidRPr="00742BED">
        <w:rPr>
          <w:rFonts w:ascii="Arial" w:eastAsia="Calibri" w:hAnsi="Arial" w:cs="Arial"/>
          <w:b/>
          <w:bCs/>
          <w:color w:val="000000" w:themeColor="text1"/>
          <w:sz w:val="22"/>
          <w:lang w:val="es-ES_tradnl"/>
        </w:rPr>
        <w:t>1</w:t>
      </w:r>
    </w:p>
    <w:p w14:paraId="1BD594F9" w14:textId="77777777" w:rsidR="00B95C30" w:rsidRPr="00742BED" w:rsidRDefault="00B95C30" w:rsidP="00B95C30">
      <w:pPr>
        <w:jc w:val="both"/>
        <w:rPr>
          <w:rFonts w:ascii="Arial" w:eastAsia="Calibri" w:hAnsi="Arial" w:cs="Arial"/>
          <w:color w:val="000000" w:themeColor="text1"/>
          <w:sz w:val="22"/>
          <w:lang w:val="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B95C30" w:rsidRPr="00742BED" w14:paraId="19DFC051" w14:textId="77777777" w:rsidTr="008F4163">
        <w:tc>
          <w:tcPr>
            <w:tcW w:w="2689" w:type="dxa"/>
          </w:tcPr>
          <w:p w14:paraId="6BC0D1AC" w14:textId="77777777" w:rsidR="00B95C30" w:rsidRPr="00742BED" w:rsidRDefault="00B95C30" w:rsidP="008F4163">
            <w:pPr>
              <w:jc w:val="both"/>
              <w:rPr>
                <w:rFonts w:ascii="Arial" w:eastAsia="Calibri" w:hAnsi="Arial" w:cs="Arial"/>
                <w:color w:val="000000" w:themeColor="text1"/>
                <w:sz w:val="22"/>
                <w:lang w:val="es-ES_tradnl"/>
              </w:rPr>
            </w:pPr>
            <w:r w:rsidRPr="00742BED">
              <w:rPr>
                <w:rFonts w:ascii="Arial" w:eastAsia="Calibri" w:hAnsi="Arial" w:cs="Arial"/>
                <w:b/>
                <w:color w:val="000000" w:themeColor="text1"/>
                <w:sz w:val="22"/>
                <w:lang w:val="es-ES_tradnl"/>
              </w:rPr>
              <w:t>Temas:</w:t>
            </w:r>
            <w:r w:rsidRPr="00742BED">
              <w:rPr>
                <w:rFonts w:ascii="Arial" w:eastAsia="Calibri" w:hAnsi="Arial" w:cs="Arial"/>
                <w:color w:val="000000" w:themeColor="text1"/>
                <w:sz w:val="22"/>
                <w:lang w:val="es-ES_tradnl"/>
              </w:rPr>
              <w:t xml:space="preserve">                                      </w:t>
            </w:r>
          </w:p>
        </w:tc>
        <w:tc>
          <w:tcPr>
            <w:tcW w:w="6237" w:type="dxa"/>
          </w:tcPr>
          <w:p w14:paraId="5F389CAF" w14:textId="6B910931" w:rsidR="00B95C30" w:rsidRPr="00742BED" w:rsidRDefault="00C0632B" w:rsidP="008F4163">
            <w:pPr>
              <w:jc w:val="both"/>
              <w:rPr>
                <w:rFonts w:ascii="Arial" w:eastAsia="Calibri" w:hAnsi="Arial" w:cs="Arial"/>
                <w:color w:val="000000" w:themeColor="text1"/>
                <w:sz w:val="22"/>
                <w:lang w:val="es-ES_tradnl"/>
              </w:rPr>
            </w:pPr>
            <w:r>
              <w:rPr>
                <w:rFonts w:ascii="Arial" w:eastAsia="Calibri" w:hAnsi="Arial" w:cs="Arial"/>
                <w:color w:val="000000" w:themeColor="text1"/>
                <w:sz w:val="22"/>
                <w:lang w:val="es-ES"/>
              </w:rPr>
              <w:t>INCENTIVOS CONTRACTUALES – Empleabilidad de adultos mayores – Política horizontal – Criterio de desempate – Ley 2040 de 2020</w:t>
            </w:r>
            <w:r w:rsidR="00592353">
              <w:rPr>
                <w:rFonts w:ascii="Arial" w:eastAsia="Calibri" w:hAnsi="Arial" w:cs="Arial"/>
                <w:color w:val="000000" w:themeColor="text1"/>
                <w:sz w:val="22"/>
                <w:lang w:val="es-ES"/>
              </w:rPr>
              <w:t xml:space="preserve"> - Vigencia</w:t>
            </w:r>
            <w:r>
              <w:rPr>
                <w:rFonts w:ascii="Arial" w:eastAsia="Calibri" w:hAnsi="Arial" w:cs="Arial"/>
                <w:color w:val="000000" w:themeColor="text1"/>
                <w:sz w:val="22"/>
                <w:lang w:val="es-ES"/>
              </w:rPr>
              <w:t xml:space="preserve"> </w:t>
            </w:r>
            <w:r w:rsidR="00402B33" w:rsidRPr="00742BED">
              <w:rPr>
                <w:rFonts w:ascii="Arial" w:eastAsia="Calibri" w:hAnsi="Arial" w:cs="Arial"/>
                <w:bCs/>
                <w:sz w:val="22"/>
                <w:lang w:val="es-ES_tradnl"/>
              </w:rPr>
              <w:t xml:space="preserve">/ EMPATE – Procedimiento de selección – Concepto / FACTORES DE DESEMPATE – Características – Límites / LEY DE EMPRENDIMIENTO – Ley 2069 de 2020 – Vigencia / </w:t>
            </w:r>
            <w:r w:rsidR="00F81792" w:rsidRPr="00F81792">
              <w:rPr>
                <w:rFonts w:ascii="Arial" w:eastAsia="Calibri" w:hAnsi="Arial" w:cs="Arial"/>
                <w:bCs/>
                <w:sz w:val="22"/>
                <w:lang w:val="es-ES_tradnl"/>
              </w:rPr>
              <w:t xml:space="preserve">FACTORES DE DESEMPATE – Ley 2069 – Artículo 35.4 – Vinculación de adultos mayores </w:t>
            </w:r>
            <w:r w:rsidR="00CA0858">
              <w:rPr>
                <w:rFonts w:ascii="Arial" w:eastAsia="Calibri" w:hAnsi="Arial" w:cs="Arial"/>
                <w:bCs/>
                <w:sz w:val="22"/>
                <w:lang w:val="es-ES_tradnl"/>
              </w:rPr>
              <w:t>–</w:t>
            </w:r>
            <w:r w:rsidR="00F81792" w:rsidRPr="00F81792">
              <w:rPr>
                <w:rFonts w:ascii="Arial" w:eastAsia="Calibri" w:hAnsi="Arial" w:cs="Arial"/>
                <w:bCs/>
                <w:sz w:val="22"/>
                <w:lang w:val="es-ES_tradnl"/>
              </w:rPr>
              <w:t xml:space="preserve"> Acreditación</w:t>
            </w:r>
          </w:p>
        </w:tc>
      </w:tr>
      <w:tr w:rsidR="00B95C30" w:rsidRPr="00742BED" w14:paraId="27CD52AB" w14:textId="77777777" w:rsidTr="008F4163">
        <w:tc>
          <w:tcPr>
            <w:tcW w:w="2689" w:type="dxa"/>
          </w:tcPr>
          <w:p w14:paraId="37E195A1" w14:textId="1BA218D5" w:rsidR="00B95C30" w:rsidRPr="00742BED" w:rsidRDefault="00B95C30" w:rsidP="008F4163">
            <w:pPr>
              <w:spacing w:before="120"/>
              <w:jc w:val="both"/>
              <w:rPr>
                <w:rFonts w:ascii="Arial" w:eastAsia="Calibri" w:hAnsi="Arial" w:cs="Arial"/>
                <w:b/>
                <w:color w:val="000000" w:themeColor="text1"/>
                <w:sz w:val="22"/>
                <w:lang w:val="es-ES_tradnl"/>
              </w:rPr>
            </w:pPr>
            <w:r w:rsidRPr="00742BED">
              <w:rPr>
                <w:rFonts w:ascii="Arial" w:eastAsia="Calibri" w:hAnsi="Arial" w:cs="Arial"/>
                <w:b/>
                <w:color w:val="000000" w:themeColor="text1"/>
                <w:sz w:val="22"/>
                <w:lang w:val="es-ES_tradnl"/>
              </w:rPr>
              <w:t>Radicación:</w:t>
            </w:r>
            <w:r w:rsidRPr="00742BED">
              <w:rPr>
                <w:rFonts w:ascii="Arial" w:eastAsia="Calibri" w:hAnsi="Arial" w:cs="Arial"/>
                <w:color w:val="000000" w:themeColor="text1"/>
                <w:sz w:val="22"/>
                <w:lang w:val="es-ES_tradnl"/>
              </w:rPr>
              <w:t xml:space="preserve">                              </w:t>
            </w:r>
          </w:p>
        </w:tc>
        <w:tc>
          <w:tcPr>
            <w:tcW w:w="6237" w:type="dxa"/>
          </w:tcPr>
          <w:p w14:paraId="09088B1B" w14:textId="30EA2C06" w:rsidR="00B95C30" w:rsidRPr="00742BED" w:rsidRDefault="00B95C30" w:rsidP="008F4163">
            <w:pPr>
              <w:spacing w:before="120"/>
              <w:jc w:val="both"/>
              <w:rPr>
                <w:rFonts w:ascii="Arial" w:eastAsia="Calibri" w:hAnsi="Arial" w:cs="Arial"/>
                <w:color w:val="000000" w:themeColor="text1"/>
                <w:sz w:val="22"/>
                <w:lang w:val="es-ES_tradnl"/>
              </w:rPr>
            </w:pPr>
            <w:r w:rsidRPr="00742BED">
              <w:rPr>
                <w:rFonts w:ascii="Arial" w:eastAsia="Calibri" w:hAnsi="Arial" w:cs="Arial"/>
                <w:color w:val="000000" w:themeColor="text1"/>
                <w:sz w:val="22"/>
                <w:lang w:val="es-ES_tradnl"/>
              </w:rPr>
              <w:t>Respuesta a consulta</w:t>
            </w:r>
            <w:r w:rsidR="008C7141">
              <w:rPr>
                <w:rFonts w:ascii="Arial" w:eastAsia="Calibri" w:hAnsi="Arial" w:cs="Arial"/>
                <w:color w:val="000000" w:themeColor="text1"/>
                <w:sz w:val="22"/>
                <w:lang w:val="es-ES_tradnl"/>
              </w:rPr>
              <w:t xml:space="preserve"> #</w:t>
            </w:r>
            <w:r w:rsidR="008C7141" w:rsidRPr="008C7141">
              <w:rPr>
                <w:rFonts w:ascii="Arial" w:eastAsia="Calibri" w:hAnsi="Arial" w:cs="Arial"/>
                <w:color w:val="000000" w:themeColor="text1"/>
                <w:sz w:val="22"/>
                <w:lang w:val="es-ES_tradnl"/>
              </w:rPr>
              <w:t>P20210621005393</w:t>
            </w:r>
          </w:p>
        </w:tc>
      </w:tr>
    </w:tbl>
    <w:p w14:paraId="61B55CA4" w14:textId="77777777" w:rsidR="00716BB0" w:rsidRPr="00742BED" w:rsidRDefault="00716BB0" w:rsidP="003C3339">
      <w:pPr>
        <w:jc w:val="both"/>
        <w:rPr>
          <w:rFonts w:ascii="Arial" w:eastAsia="Calibri" w:hAnsi="Arial" w:cs="Arial"/>
          <w:color w:val="000000" w:themeColor="text1"/>
          <w:sz w:val="22"/>
          <w:lang w:val="es-ES_tradnl"/>
        </w:rPr>
      </w:pPr>
    </w:p>
    <w:p w14:paraId="4B9B5156" w14:textId="77777777" w:rsidR="00716BB0" w:rsidRPr="00742BED" w:rsidRDefault="00716BB0" w:rsidP="003C3339">
      <w:pPr>
        <w:jc w:val="both"/>
        <w:rPr>
          <w:rFonts w:ascii="Arial" w:eastAsia="Calibri" w:hAnsi="Arial" w:cs="Arial"/>
          <w:color w:val="000000" w:themeColor="text1"/>
          <w:sz w:val="22"/>
          <w:lang w:val="es-ES_tradnl"/>
        </w:rPr>
      </w:pPr>
    </w:p>
    <w:p w14:paraId="1CF4AEA0" w14:textId="29A527D2" w:rsidR="003C3339" w:rsidRPr="00742BED" w:rsidRDefault="003C3339" w:rsidP="003C3339">
      <w:pPr>
        <w:jc w:val="both"/>
        <w:rPr>
          <w:rFonts w:ascii="Arial" w:eastAsia="Calibri" w:hAnsi="Arial" w:cs="Arial"/>
          <w:color w:val="000000" w:themeColor="text1"/>
          <w:sz w:val="22"/>
          <w:lang w:val="es-ES_tradnl"/>
        </w:rPr>
      </w:pPr>
      <w:r w:rsidRPr="00742BED">
        <w:rPr>
          <w:rFonts w:ascii="Arial" w:eastAsia="Calibri" w:hAnsi="Arial" w:cs="Arial"/>
          <w:color w:val="000000" w:themeColor="text1"/>
          <w:sz w:val="22"/>
          <w:lang w:val="es-ES_tradnl"/>
        </w:rPr>
        <w:t>Estimad</w:t>
      </w:r>
      <w:r w:rsidR="002311F0" w:rsidRPr="00742BED">
        <w:rPr>
          <w:rFonts w:ascii="Arial" w:eastAsia="Calibri" w:hAnsi="Arial" w:cs="Arial"/>
          <w:color w:val="000000" w:themeColor="text1"/>
          <w:sz w:val="22"/>
          <w:lang w:val="es-ES_tradnl"/>
        </w:rPr>
        <w:t>o</w:t>
      </w:r>
      <w:r w:rsidRPr="00742BED">
        <w:rPr>
          <w:rFonts w:ascii="Arial" w:eastAsia="Calibri" w:hAnsi="Arial" w:cs="Arial"/>
          <w:color w:val="000000" w:themeColor="text1"/>
          <w:sz w:val="22"/>
          <w:lang w:val="es-ES_tradnl"/>
        </w:rPr>
        <w:t xml:space="preserve"> </w:t>
      </w:r>
      <w:r w:rsidR="0063732C" w:rsidRPr="00742BED">
        <w:rPr>
          <w:rFonts w:ascii="Arial" w:eastAsia="Calibri" w:hAnsi="Arial" w:cs="Arial"/>
          <w:color w:val="000000" w:themeColor="text1"/>
          <w:sz w:val="22"/>
          <w:lang w:val="es-ES_tradnl"/>
        </w:rPr>
        <w:t>señor</w:t>
      </w:r>
      <w:r w:rsidR="008C7141">
        <w:rPr>
          <w:rFonts w:ascii="Arial" w:eastAsia="Calibri" w:hAnsi="Arial" w:cs="Arial"/>
          <w:color w:val="000000" w:themeColor="text1"/>
          <w:sz w:val="22"/>
          <w:lang w:val="es-ES_tradnl"/>
        </w:rPr>
        <w:t xml:space="preserve"> Chacón</w:t>
      </w:r>
      <w:r w:rsidRPr="00742BED">
        <w:rPr>
          <w:rFonts w:ascii="Arial" w:eastAsia="Calibri" w:hAnsi="Arial" w:cs="Arial"/>
          <w:color w:val="000000" w:themeColor="text1"/>
          <w:sz w:val="22"/>
          <w:lang w:val="es-ES_tradnl"/>
        </w:rPr>
        <w:t>:</w:t>
      </w:r>
    </w:p>
    <w:p w14:paraId="1EAE5543" w14:textId="77777777" w:rsidR="00DD5B04" w:rsidRPr="00742BED" w:rsidRDefault="00DD5B04" w:rsidP="00DF76A2">
      <w:pPr>
        <w:jc w:val="both"/>
        <w:rPr>
          <w:rFonts w:ascii="Arial" w:eastAsia="Calibri" w:hAnsi="Arial" w:cs="Arial"/>
          <w:color w:val="000000" w:themeColor="text1"/>
          <w:sz w:val="22"/>
          <w:lang w:val="es-ES_tradnl"/>
        </w:rPr>
      </w:pPr>
    </w:p>
    <w:p w14:paraId="2109B2D3" w14:textId="518FBB37" w:rsidR="00DD5B04" w:rsidRPr="00742BED" w:rsidRDefault="00DD5B04" w:rsidP="00DF76A2">
      <w:pPr>
        <w:spacing w:line="276" w:lineRule="auto"/>
        <w:jc w:val="both"/>
        <w:rPr>
          <w:rFonts w:ascii="Arial" w:eastAsia="Calibri" w:hAnsi="Arial" w:cs="Arial"/>
          <w:color w:val="000000" w:themeColor="text1"/>
          <w:sz w:val="22"/>
          <w:lang w:val="es-ES_tradnl"/>
        </w:rPr>
      </w:pPr>
      <w:r w:rsidRPr="00742BED">
        <w:rPr>
          <w:rFonts w:ascii="Arial" w:eastAsia="Calibri" w:hAnsi="Arial" w:cs="Arial"/>
          <w:color w:val="000000" w:themeColor="text1"/>
          <w:sz w:val="22"/>
          <w:lang w:val="es-ES_tradnl"/>
        </w:rPr>
        <w:t>En ejercicio de la competencia otorgada por el numeral 8 del artículo 11 y el numeral 5 del artículo 3 del Decreto Ley 4170 de 2011, la Agencia Nacional de Contratación Pública ― Colombia Compra Eficiente</w:t>
      </w:r>
      <w:r w:rsidR="008C3C57" w:rsidRPr="00742BED">
        <w:rPr>
          <w:rFonts w:ascii="Arial" w:eastAsia="Calibri" w:hAnsi="Arial" w:cs="Arial"/>
          <w:color w:val="000000" w:themeColor="text1"/>
          <w:sz w:val="22"/>
          <w:lang w:val="es-ES_tradnl"/>
        </w:rPr>
        <w:t xml:space="preserve"> </w:t>
      </w:r>
      <w:r w:rsidRPr="00742BED">
        <w:rPr>
          <w:rFonts w:ascii="Arial" w:eastAsia="Calibri" w:hAnsi="Arial" w:cs="Arial"/>
          <w:color w:val="000000" w:themeColor="text1"/>
          <w:sz w:val="22"/>
          <w:lang w:val="es-ES_tradnl"/>
        </w:rPr>
        <w:t xml:space="preserve">responde </w:t>
      </w:r>
      <w:r w:rsidR="008C7141">
        <w:rPr>
          <w:rFonts w:ascii="Arial" w:eastAsia="Calibri" w:hAnsi="Arial" w:cs="Arial"/>
          <w:color w:val="000000" w:themeColor="text1"/>
          <w:sz w:val="22"/>
          <w:lang w:val="es-ES_tradnl"/>
        </w:rPr>
        <w:t>su</w:t>
      </w:r>
      <w:r w:rsidRPr="00742BED">
        <w:rPr>
          <w:rFonts w:ascii="Arial" w:eastAsia="Calibri" w:hAnsi="Arial" w:cs="Arial"/>
          <w:color w:val="000000" w:themeColor="text1"/>
          <w:sz w:val="22"/>
          <w:lang w:val="es-ES_tradnl"/>
        </w:rPr>
        <w:t xml:space="preserve"> consulta</w:t>
      </w:r>
      <w:r w:rsidR="008C7141">
        <w:rPr>
          <w:rFonts w:ascii="Arial" w:eastAsia="Calibri" w:hAnsi="Arial" w:cs="Arial"/>
          <w:color w:val="000000" w:themeColor="text1"/>
          <w:sz w:val="22"/>
          <w:lang w:val="es-ES_tradnl"/>
        </w:rPr>
        <w:t>, remitida por competencia por el Ministerio del Trabajo, y recibida el 18 de junio de 2021.</w:t>
      </w:r>
    </w:p>
    <w:p w14:paraId="0C1E0712" w14:textId="77777777" w:rsidR="00DD5B04" w:rsidRPr="00742BED" w:rsidRDefault="00DD5B04" w:rsidP="00DF76A2">
      <w:pPr>
        <w:spacing w:line="276" w:lineRule="auto"/>
        <w:jc w:val="both"/>
        <w:rPr>
          <w:rFonts w:ascii="Arial" w:eastAsia="Calibri" w:hAnsi="Arial" w:cs="Arial"/>
          <w:b/>
          <w:color w:val="000000" w:themeColor="text1"/>
          <w:sz w:val="22"/>
          <w:lang w:val="es-ES_tradnl"/>
        </w:rPr>
      </w:pPr>
    </w:p>
    <w:p w14:paraId="7701FCC7" w14:textId="77777777" w:rsidR="00DD5B04" w:rsidRPr="00742BED" w:rsidRDefault="00DD5B04" w:rsidP="00DF76A2">
      <w:pPr>
        <w:pStyle w:val="Prrafodelista"/>
        <w:numPr>
          <w:ilvl w:val="0"/>
          <w:numId w:val="8"/>
        </w:numPr>
        <w:tabs>
          <w:tab w:val="left" w:pos="0"/>
          <w:tab w:val="left" w:pos="142"/>
          <w:tab w:val="left" w:pos="284"/>
        </w:tabs>
        <w:spacing w:line="276" w:lineRule="auto"/>
        <w:ind w:left="0" w:firstLine="0"/>
        <w:jc w:val="both"/>
        <w:rPr>
          <w:rFonts w:ascii="Arial" w:eastAsia="Calibri" w:hAnsi="Arial" w:cs="Arial"/>
          <w:b/>
          <w:color w:val="000000" w:themeColor="text1"/>
          <w:sz w:val="22"/>
          <w:lang w:val="es-ES_tradnl"/>
        </w:rPr>
      </w:pPr>
      <w:r w:rsidRPr="00742BED">
        <w:rPr>
          <w:rFonts w:ascii="Arial" w:eastAsia="Calibri" w:hAnsi="Arial" w:cs="Arial"/>
          <w:b/>
          <w:color w:val="000000" w:themeColor="text1"/>
          <w:sz w:val="22"/>
          <w:lang w:val="es-ES_tradnl"/>
        </w:rPr>
        <w:t xml:space="preserve">Problema planteado </w:t>
      </w:r>
    </w:p>
    <w:p w14:paraId="224B43D3" w14:textId="77777777" w:rsidR="00DD5B04" w:rsidRPr="00742BED" w:rsidRDefault="00DD5B04" w:rsidP="00DF76A2">
      <w:pPr>
        <w:tabs>
          <w:tab w:val="left" w:pos="426"/>
        </w:tabs>
        <w:spacing w:line="276" w:lineRule="auto"/>
        <w:jc w:val="both"/>
        <w:rPr>
          <w:rFonts w:ascii="Arial" w:eastAsia="Calibri" w:hAnsi="Arial" w:cs="Arial"/>
          <w:b/>
          <w:color w:val="000000" w:themeColor="text1"/>
          <w:sz w:val="22"/>
          <w:lang w:val="es-ES_tradnl"/>
        </w:rPr>
      </w:pPr>
    </w:p>
    <w:p w14:paraId="3C575DE9" w14:textId="5573A1E8" w:rsidR="00443B55" w:rsidRPr="00742BED" w:rsidRDefault="00DD5B04" w:rsidP="0099583D">
      <w:pPr>
        <w:spacing w:line="276" w:lineRule="auto"/>
        <w:jc w:val="both"/>
        <w:rPr>
          <w:rFonts w:ascii="Arial" w:hAnsi="Arial" w:cs="Arial"/>
          <w:color w:val="000000" w:themeColor="text1"/>
          <w:sz w:val="22"/>
          <w:lang w:val="es-ES_tradnl"/>
        </w:rPr>
      </w:pPr>
      <w:r w:rsidRPr="00742BED">
        <w:rPr>
          <w:rFonts w:ascii="Arial" w:hAnsi="Arial" w:cs="Arial"/>
          <w:color w:val="000000" w:themeColor="text1"/>
          <w:sz w:val="22"/>
          <w:lang w:val="es-ES_tradnl"/>
        </w:rPr>
        <w:t xml:space="preserve">Usted </w:t>
      </w:r>
      <w:r w:rsidR="00B422C0" w:rsidRPr="00742BED">
        <w:rPr>
          <w:rFonts w:ascii="Arial" w:hAnsi="Arial" w:cs="Arial"/>
          <w:color w:val="000000" w:themeColor="text1"/>
          <w:sz w:val="22"/>
          <w:lang w:val="es-ES_tradnl"/>
        </w:rPr>
        <w:t>formula</w:t>
      </w:r>
      <w:r w:rsidR="006D46A3" w:rsidRPr="00742BED">
        <w:rPr>
          <w:rFonts w:ascii="Arial" w:hAnsi="Arial" w:cs="Arial"/>
          <w:color w:val="000000" w:themeColor="text1"/>
          <w:sz w:val="22"/>
          <w:lang w:val="es-ES_tradnl"/>
        </w:rPr>
        <w:t xml:space="preserve"> la siguiente</w:t>
      </w:r>
      <w:r w:rsidR="00C028F5" w:rsidRPr="00742BED">
        <w:rPr>
          <w:rFonts w:ascii="Arial" w:hAnsi="Arial" w:cs="Arial"/>
          <w:color w:val="000000" w:themeColor="text1"/>
          <w:sz w:val="22"/>
          <w:lang w:val="es-ES_tradnl"/>
        </w:rPr>
        <w:t xml:space="preserve"> </w:t>
      </w:r>
      <w:r w:rsidR="00637A68" w:rsidRPr="00742BED">
        <w:rPr>
          <w:rFonts w:ascii="Arial" w:hAnsi="Arial" w:cs="Arial"/>
          <w:color w:val="000000" w:themeColor="text1"/>
          <w:sz w:val="22"/>
          <w:lang w:val="es-ES_tradnl"/>
        </w:rPr>
        <w:t>consulta</w:t>
      </w:r>
      <w:r w:rsidR="002074C2" w:rsidRPr="00742BED">
        <w:rPr>
          <w:rFonts w:ascii="Arial" w:hAnsi="Arial" w:cs="Arial"/>
          <w:color w:val="000000" w:themeColor="text1"/>
          <w:sz w:val="22"/>
          <w:lang w:val="es-ES_tradnl"/>
        </w:rPr>
        <w:t>, relacionada con</w:t>
      </w:r>
      <w:r w:rsidR="008C7141">
        <w:rPr>
          <w:rFonts w:ascii="Arial" w:hAnsi="Arial" w:cs="Arial"/>
          <w:color w:val="000000" w:themeColor="text1"/>
          <w:sz w:val="22"/>
          <w:lang w:val="es-ES_tradnl"/>
        </w:rPr>
        <w:t xml:space="preserve"> el criterio de desempate de la contratación estatal dispuesto en el artículo 3 de la Ley 2040 de 2020</w:t>
      </w:r>
      <w:r w:rsidR="00637A68" w:rsidRPr="00742BED">
        <w:rPr>
          <w:rFonts w:ascii="Arial" w:hAnsi="Arial" w:cs="Arial"/>
          <w:color w:val="000000" w:themeColor="text1"/>
          <w:sz w:val="22"/>
          <w:lang w:val="es-ES_tradnl"/>
        </w:rPr>
        <w:t>:</w:t>
      </w:r>
      <w:r w:rsidR="007E18DF" w:rsidRPr="00742BED">
        <w:rPr>
          <w:rFonts w:ascii="Arial" w:hAnsi="Arial" w:cs="Arial"/>
          <w:color w:val="000000" w:themeColor="text1"/>
          <w:sz w:val="22"/>
          <w:lang w:val="es-ES_tradnl"/>
        </w:rPr>
        <w:t xml:space="preserve"> </w:t>
      </w:r>
    </w:p>
    <w:p w14:paraId="559EE20C" w14:textId="77777777" w:rsidR="00443B55" w:rsidRPr="00742BED" w:rsidRDefault="00443B55" w:rsidP="0099583D">
      <w:pPr>
        <w:spacing w:line="276" w:lineRule="auto"/>
        <w:jc w:val="both"/>
        <w:rPr>
          <w:rFonts w:ascii="Arial" w:hAnsi="Arial" w:cs="Arial"/>
          <w:color w:val="000000" w:themeColor="text1"/>
          <w:sz w:val="22"/>
          <w:lang w:val="es-ES_tradnl"/>
        </w:rPr>
      </w:pPr>
    </w:p>
    <w:p w14:paraId="4E2F2926" w14:textId="3CD5B277" w:rsidR="008C7141" w:rsidRDefault="00EE77D4" w:rsidP="00895212">
      <w:pPr>
        <w:ind w:left="709" w:right="709"/>
        <w:jc w:val="both"/>
        <w:rPr>
          <w:rFonts w:ascii="Arial" w:hAnsi="Arial" w:cs="Arial"/>
          <w:color w:val="000000" w:themeColor="text1"/>
          <w:sz w:val="21"/>
          <w:szCs w:val="21"/>
        </w:rPr>
      </w:pPr>
      <w:r w:rsidRPr="00742BED">
        <w:rPr>
          <w:rFonts w:ascii="Arial" w:hAnsi="Arial" w:cs="Arial"/>
          <w:color w:val="000000" w:themeColor="text1"/>
          <w:sz w:val="21"/>
          <w:szCs w:val="21"/>
          <w:lang w:val="es-ES_tradnl"/>
        </w:rPr>
        <w:t>«</w:t>
      </w:r>
      <w:r w:rsidR="008C7141" w:rsidRPr="008C7141">
        <w:rPr>
          <w:rFonts w:ascii="Arial" w:hAnsi="Arial" w:cs="Arial"/>
          <w:color w:val="000000" w:themeColor="text1"/>
          <w:sz w:val="21"/>
          <w:szCs w:val="21"/>
        </w:rPr>
        <w:t>[…]El art</w:t>
      </w:r>
      <w:r w:rsidR="004D7448">
        <w:rPr>
          <w:rFonts w:ascii="Arial" w:hAnsi="Arial" w:cs="Arial"/>
          <w:color w:val="000000" w:themeColor="text1"/>
          <w:sz w:val="21"/>
          <w:szCs w:val="21"/>
        </w:rPr>
        <w:t>í</w:t>
      </w:r>
      <w:r w:rsidR="008C7141" w:rsidRPr="008C7141">
        <w:rPr>
          <w:rFonts w:ascii="Arial" w:hAnsi="Arial" w:cs="Arial"/>
          <w:color w:val="000000" w:themeColor="text1"/>
          <w:sz w:val="21"/>
          <w:szCs w:val="21"/>
        </w:rPr>
        <w:t xml:space="preserve">culo 3 menciona </w:t>
      </w:r>
      <w:proofErr w:type="gramStart"/>
      <w:r w:rsidR="008C7141" w:rsidRPr="008C7141">
        <w:rPr>
          <w:rFonts w:ascii="Arial" w:hAnsi="Arial" w:cs="Arial"/>
          <w:color w:val="000000" w:themeColor="text1"/>
          <w:sz w:val="21"/>
          <w:szCs w:val="21"/>
        </w:rPr>
        <w:t>que</w:t>
      </w:r>
      <w:proofErr w:type="gramEnd"/>
      <w:r w:rsidR="008C7141" w:rsidRPr="008C7141">
        <w:rPr>
          <w:rFonts w:ascii="Arial" w:hAnsi="Arial" w:cs="Arial"/>
          <w:color w:val="000000" w:themeColor="text1"/>
          <w:sz w:val="21"/>
          <w:szCs w:val="21"/>
        </w:rPr>
        <w:t xml:space="preserve"> como criterio de desempate, se pueda aplicar el beneficio certificando bajo la gravedad de juramento la cantidad de personas con las condiciones correspondientes a lo mencionado en la ley.</w:t>
      </w:r>
      <w:r w:rsidR="00895212">
        <w:rPr>
          <w:rFonts w:ascii="Arial" w:hAnsi="Arial" w:cs="Arial"/>
          <w:color w:val="000000" w:themeColor="text1"/>
          <w:sz w:val="21"/>
          <w:szCs w:val="21"/>
        </w:rPr>
        <w:t xml:space="preserve"> </w:t>
      </w:r>
      <w:r w:rsidR="008C7141" w:rsidRPr="008C7141">
        <w:rPr>
          <w:rFonts w:ascii="Arial" w:hAnsi="Arial" w:cs="Arial"/>
          <w:color w:val="000000" w:themeColor="text1"/>
          <w:sz w:val="21"/>
          <w:szCs w:val="21"/>
        </w:rPr>
        <w:t>Se puede entender que con solo la certificación juramentada por el revisor fiscal o el representante legal se accede al beneficio como factor de desempate o es necesario que luego pasados los 6 mese</w:t>
      </w:r>
      <w:r w:rsidR="004D7448">
        <w:rPr>
          <w:rFonts w:ascii="Arial" w:hAnsi="Arial" w:cs="Arial"/>
          <w:color w:val="000000" w:themeColor="text1"/>
          <w:sz w:val="21"/>
          <w:szCs w:val="21"/>
        </w:rPr>
        <w:t>s</w:t>
      </w:r>
      <w:r w:rsidR="008C7141" w:rsidRPr="008C7141">
        <w:rPr>
          <w:rFonts w:ascii="Arial" w:hAnsi="Arial" w:cs="Arial"/>
          <w:color w:val="000000" w:themeColor="text1"/>
          <w:sz w:val="21"/>
          <w:szCs w:val="21"/>
        </w:rPr>
        <w:t xml:space="preserve"> de reglamentada la norma, el sello de adulto mayor es requisito sine qua non para aplicar a este factor de desempate, adicional, el ministerio de trabajo requerir  documentación para sacar un certificado como sucede con el de Discapacitados?</w:t>
      </w:r>
    </w:p>
    <w:p w14:paraId="6D2C4429" w14:textId="77777777" w:rsidR="00052826" w:rsidRPr="008C7141" w:rsidRDefault="00052826" w:rsidP="00895212">
      <w:pPr>
        <w:ind w:left="709" w:right="709"/>
        <w:jc w:val="both"/>
        <w:rPr>
          <w:rFonts w:ascii="Arial" w:hAnsi="Arial" w:cs="Arial"/>
          <w:color w:val="000000" w:themeColor="text1"/>
          <w:sz w:val="21"/>
          <w:szCs w:val="21"/>
        </w:rPr>
      </w:pPr>
    </w:p>
    <w:p w14:paraId="1336B7EB" w14:textId="1E3EDBF8" w:rsidR="00DE3789" w:rsidRPr="00895212" w:rsidRDefault="008C7141" w:rsidP="00895212">
      <w:pPr>
        <w:ind w:left="709" w:right="709"/>
        <w:jc w:val="both"/>
        <w:rPr>
          <w:rFonts w:ascii="Arial" w:hAnsi="Arial" w:cs="Arial"/>
          <w:color w:val="000000" w:themeColor="text1"/>
          <w:sz w:val="21"/>
          <w:szCs w:val="21"/>
        </w:rPr>
      </w:pPr>
      <w:r w:rsidRPr="008C7141">
        <w:rPr>
          <w:rFonts w:ascii="Arial" w:hAnsi="Arial" w:cs="Arial"/>
          <w:color w:val="000000" w:themeColor="text1"/>
          <w:sz w:val="21"/>
          <w:szCs w:val="21"/>
        </w:rPr>
        <w:lastRenderedPageBreak/>
        <w:t>Las preguntas anteriormente solicitadas para aclaración es porque la ley en su artículo 4 parágrafo 1 menciona que es</w:t>
      </w:r>
      <w:r w:rsidR="00895212">
        <w:rPr>
          <w:rFonts w:ascii="Arial" w:hAnsi="Arial" w:cs="Arial"/>
          <w:color w:val="000000" w:themeColor="text1"/>
          <w:sz w:val="21"/>
          <w:szCs w:val="21"/>
        </w:rPr>
        <w:t xml:space="preserve"> </w:t>
      </w:r>
      <w:r w:rsidRPr="008C7141">
        <w:rPr>
          <w:rFonts w:ascii="Arial" w:hAnsi="Arial" w:cs="Arial"/>
          <w:color w:val="000000" w:themeColor="text1"/>
          <w:sz w:val="21"/>
          <w:szCs w:val="21"/>
        </w:rPr>
        <w:t>responsabilidad de certificar ante Ministerio de Trabajo el cumplimiento de los requisitos para acceder a los beneficios</w:t>
      </w:r>
      <w:r w:rsidR="00895212">
        <w:rPr>
          <w:rFonts w:ascii="Arial" w:hAnsi="Arial" w:cs="Arial"/>
          <w:color w:val="000000" w:themeColor="text1"/>
          <w:sz w:val="21"/>
          <w:szCs w:val="21"/>
        </w:rPr>
        <w:t xml:space="preserve"> </w:t>
      </w:r>
      <w:r w:rsidRPr="008C7141">
        <w:rPr>
          <w:rFonts w:ascii="Arial" w:hAnsi="Arial" w:cs="Arial"/>
          <w:color w:val="000000" w:themeColor="text1"/>
          <w:sz w:val="21"/>
          <w:szCs w:val="21"/>
        </w:rPr>
        <w:t>contemplados en la ley) Se podría entender entonces que el articulo 3 es de necesario cumplimiento que se registren a los adultos mayores para la aplicación del beneficio como factor de desempate? y de ser así Que documentos se requieren y el Min Trabajo entregara un certificado como el de Discapacitados?</w:t>
      </w:r>
      <w:r w:rsidR="00EE77D4" w:rsidRPr="00742BED">
        <w:rPr>
          <w:rFonts w:ascii="Arial" w:hAnsi="Arial" w:cs="Arial"/>
          <w:color w:val="000000" w:themeColor="text1"/>
          <w:sz w:val="21"/>
          <w:szCs w:val="21"/>
          <w:lang w:val="es-ES_tradnl"/>
        </w:rPr>
        <w:t>»</w:t>
      </w:r>
      <w:r>
        <w:rPr>
          <w:rFonts w:ascii="Arial" w:hAnsi="Arial" w:cs="Arial"/>
          <w:color w:val="000000" w:themeColor="text1"/>
          <w:sz w:val="21"/>
          <w:szCs w:val="21"/>
          <w:lang w:val="es-ES_tradnl"/>
        </w:rPr>
        <w:t xml:space="preserve"> </w:t>
      </w:r>
    </w:p>
    <w:p w14:paraId="4D07550D" w14:textId="77777777" w:rsidR="002074C2" w:rsidRPr="00742BED" w:rsidRDefault="002074C2" w:rsidP="002074C2">
      <w:pPr>
        <w:ind w:left="709" w:right="709"/>
        <w:jc w:val="both"/>
        <w:rPr>
          <w:rFonts w:ascii="Arial" w:hAnsi="Arial" w:cs="Arial"/>
          <w:color w:val="000000" w:themeColor="text1"/>
          <w:sz w:val="21"/>
          <w:szCs w:val="21"/>
          <w:lang w:val="es-ES_tradnl"/>
        </w:rPr>
      </w:pPr>
    </w:p>
    <w:p w14:paraId="124D2DCA" w14:textId="77777777" w:rsidR="00DD5B04" w:rsidRPr="00742BED" w:rsidRDefault="00DD5B04" w:rsidP="00DF76A2">
      <w:pPr>
        <w:pStyle w:val="Prrafodelista"/>
        <w:numPr>
          <w:ilvl w:val="0"/>
          <w:numId w:val="8"/>
        </w:numPr>
        <w:tabs>
          <w:tab w:val="left" w:pos="0"/>
          <w:tab w:val="left" w:pos="284"/>
        </w:tabs>
        <w:ind w:left="0" w:firstLine="0"/>
        <w:jc w:val="both"/>
        <w:rPr>
          <w:rFonts w:ascii="Arial" w:eastAsia="Calibri" w:hAnsi="Arial" w:cs="Arial"/>
          <w:b/>
          <w:color w:val="000000" w:themeColor="text1"/>
          <w:sz w:val="22"/>
          <w:lang w:val="es-ES_tradnl"/>
        </w:rPr>
      </w:pPr>
      <w:r w:rsidRPr="00742BED">
        <w:rPr>
          <w:rFonts w:ascii="Arial" w:eastAsia="Calibri" w:hAnsi="Arial" w:cs="Arial"/>
          <w:b/>
          <w:color w:val="000000" w:themeColor="text1"/>
          <w:sz w:val="22"/>
          <w:lang w:val="es-ES_tradnl"/>
        </w:rPr>
        <w:t>Consideraciones</w:t>
      </w:r>
    </w:p>
    <w:p w14:paraId="7D050D2E" w14:textId="77777777" w:rsidR="00435703" w:rsidRPr="00742BED" w:rsidRDefault="00435703" w:rsidP="00DF76A2">
      <w:pPr>
        <w:spacing w:line="276" w:lineRule="auto"/>
        <w:jc w:val="both"/>
        <w:rPr>
          <w:rFonts w:ascii="Arial" w:eastAsia="Calibri" w:hAnsi="Arial" w:cs="Arial"/>
          <w:color w:val="000000" w:themeColor="text1"/>
          <w:sz w:val="22"/>
          <w:szCs w:val="22"/>
          <w:lang w:val="es-ES_tradnl"/>
        </w:rPr>
      </w:pPr>
    </w:p>
    <w:p w14:paraId="305BC2F1" w14:textId="119FDAA2" w:rsidR="003C4317" w:rsidRPr="00742BED" w:rsidRDefault="008E30C4" w:rsidP="00271230">
      <w:pPr>
        <w:spacing w:line="276" w:lineRule="auto"/>
        <w:jc w:val="both"/>
        <w:rPr>
          <w:rFonts w:ascii="Arial" w:eastAsia="Calibri" w:hAnsi="Arial" w:cs="Arial"/>
          <w:color w:val="000000" w:themeColor="text1"/>
          <w:sz w:val="22"/>
          <w:szCs w:val="22"/>
          <w:lang w:val="es-ES_tradnl"/>
        </w:rPr>
      </w:pPr>
      <w:r w:rsidRPr="00742BED">
        <w:rPr>
          <w:rFonts w:ascii="Arial" w:eastAsia="Calibri" w:hAnsi="Arial" w:cs="Arial"/>
          <w:color w:val="000000" w:themeColor="text1"/>
          <w:sz w:val="22"/>
          <w:szCs w:val="22"/>
          <w:lang w:val="es-ES_tradnl"/>
        </w:rPr>
        <w:t xml:space="preserve">La Subdirección de Gestión Contractual responderá </w:t>
      </w:r>
      <w:r w:rsidR="00271230" w:rsidRPr="00742BED">
        <w:rPr>
          <w:rFonts w:ascii="Arial" w:eastAsia="Calibri" w:hAnsi="Arial" w:cs="Arial"/>
          <w:color w:val="000000" w:themeColor="text1"/>
          <w:sz w:val="22"/>
          <w:szCs w:val="22"/>
          <w:lang w:val="es-ES_tradnl"/>
        </w:rPr>
        <w:t>la consulta</w:t>
      </w:r>
      <w:r w:rsidRPr="00742BED">
        <w:rPr>
          <w:rFonts w:ascii="Arial" w:eastAsia="Calibri" w:hAnsi="Arial" w:cs="Arial"/>
          <w:color w:val="000000" w:themeColor="text1"/>
          <w:sz w:val="22"/>
          <w:szCs w:val="22"/>
          <w:lang w:val="es-ES_tradnl"/>
        </w:rPr>
        <w:t xml:space="preserve">, </w:t>
      </w:r>
      <w:r w:rsidR="00271230" w:rsidRPr="00742BED">
        <w:rPr>
          <w:rFonts w:ascii="Arial" w:eastAsia="Calibri" w:hAnsi="Arial" w:cs="Arial"/>
          <w:color w:val="000000" w:themeColor="text1"/>
          <w:sz w:val="22"/>
          <w:szCs w:val="22"/>
          <w:lang w:val="es-ES_tradnl"/>
        </w:rPr>
        <w:t>luego de analizar los</w:t>
      </w:r>
      <w:r w:rsidR="00822EC4" w:rsidRPr="00742BED">
        <w:rPr>
          <w:rFonts w:ascii="Arial" w:eastAsia="Calibri" w:hAnsi="Arial" w:cs="Arial"/>
          <w:color w:val="000000" w:themeColor="text1"/>
          <w:sz w:val="22"/>
          <w:szCs w:val="22"/>
          <w:lang w:val="es-ES_tradnl"/>
        </w:rPr>
        <w:t xml:space="preserve"> siguientes temas</w:t>
      </w:r>
      <w:r w:rsidR="00052826">
        <w:rPr>
          <w:rFonts w:ascii="Arial" w:eastAsia="Calibri" w:hAnsi="Arial" w:cs="Arial"/>
          <w:color w:val="000000" w:themeColor="text1"/>
          <w:sz w:val="22"/>
          <w:szCs w:val="22"/>
          <w:lang w:val="es-ES_tradnl"/>
        </w:rPr>
        <w:t>:</w:t>
      </w:r>
      <w:r w:rsidR="00CD690F" w:rsidRPr="00592353">
        <w:rPr>
          <w:rFonts w:ascii="Arial" w:eastAsia="Calibri" w:hAnsi="Arial" w:cs="Arial"/>
          <w:color w:val="000000" w:themeColor="text1"/>
          <w:sz w:val="22"/>
          <w:szCs w:val="22"/>
          <w:lang w:val="es-ES"/>
        </w:rPr>
        <w:t xml:space="preserve"> i)</w:t>
      </w:r>
      <w:r w:rsidR="00CD690F" w:rsidRPr="00592353">
        <w:rPr>
          <w:rFonts w:ascii="Arial" w:hAnsi="Arial" w:cs="Arial"/>
          <w:sz w:val="22"/>
          <w:szCs w:val="22"/>
        </w:rPr>
        <w:t xml:space="preserve"> los </w:t>
      </w:r>
      <w:r w:rsidR="00CD690F" w:rsidRPr="008E5BA6">
        <w:rPr>
          <w:rFonts w:ascii="Arial" w:eastAsia="Calibri" w:hAnsi="Arial" w:cs="Arial"/>
          <w:color w:val="000000" w:themeColor="text1"/>
          <w:sz w:val="22"/>
          <w:szCs w:val="22"/>
          <w:lang w:val="es-ES"/>
        </w:rPr>
        <w:t>f</w:t>
      </w:r>
      <w:r w:rsidR="00CD690F" w:rsidRPr="00A93AC2">
        <w:rPr>
          <w:rFonts w:ascii="Arial" w:eastAsia="Calibri" w:hAnsi="Arial" w:cs="Arial"/>
          <w:color w:val="000000" w:themeColor="text1"/>
          <w:sz w:val="22"/>
          <w:szCs w:val="22"/>
          <w:lang w:val="es-ES"/>
        </w:rPr>
        <w:t>actores</w:t>
      </w:r>
      <w:r w:rsidR="00CD690F" w:rsidRPr="00CD690F">
        <w:rPr>
          <w:rFonts w:ascii="Arial" w:eastAsia="Calibri" w:hAnsi="Arial" w:cs="Arial"/>
          <w:color w:val="000000" w:themeColor="text1"/>
          <w:sz w:val="22"/>
          <w:lang w:val="es-ES"/>
        </w:rPr>
        <w:t xml:space="preserve"> de desempate en la contratación estatal</w:t>
      </w:r>
      <w:r w:rsidR="009371C9">
        <w:rPr>
          <w:rFonts w:ascii="Arial" w:eastAsia="Calibri" w:hAnsi="Arial" w:cs="Arial"/>
          <w:color w:val="000000" w:themeColor="text1"/>
          <w:sz w:val="22"/>
          <w:lang w:val="es-ES"/>
        </w:rPr>
        <w:t xml:space="preserve">, </w:t>
      </w:r>
      <w:r w:rsidR="00CD690F">
        <w:rPr>
          <w:rFonts w:ascii="Arial" w:eastAsia="Calibri" w:hAnsi="Arial" w:cs="Arial"/>
          <w:color w:val="000000" w:themeColor="text1"/>
          <w:sz w:val="22"/>
          <w:lang w:val="es-ES"/>
        </w:rPr>
        <w:t>ii) el c</w:t>
      </w:r>
      <w:r w:rsidR="00CD690F" w:rsidRPr="00CD690F">
        <w:rPr>
          <w:rFonts w:ascii="Arial" w:eastAsia="Calibri" w:hAnsi="Arial" w:cs="Arial"/>
          <w:color w:val="000000" w:themeColor="text1"/>
          <w:sz w:val="22"/>
          <w:lang w:val="es-ES"/>
        </w:rPr>
        <w:t>riterio de desempate creado por el artículo 3º de la Ley 2040 de 2020</w:t>
      </w:r>
      <w:r w:rsidR="00833ADA" w:rsidRPr="00742BED">
        <w:rPr>
          <w:rFonts w:ascii="Arial" w:eastAsia="Calibri" w:hAnsi="Arial" w:cs="Arial"/>
          <w:color w:val="000000" w:themeColor="text1"/>
          <w:sz w:val="22"/>
          <w:szCs w:val="22"/>
          <w:lang w:val="es-ES_tradnl"/>
        </w:rPr>
        <w:t xml:space="preserve">, </w:t>
      </w:r>
      <w:r w:rsidR="00822EC4" w:rsidRPr="00742BED">
        <w:rPr>
          <w:rFonts w:ascii="Arial" w:eastAsia="Calibri" w:hAnsi="Arial" w:cs="Arial"/>
          <w:color w:val="000000" w:themeColor="text1"/>
          <w:sz w:val="22"/>
          <w:szCs w:val="22"/>
          <w:lang w:val="es-ES_tradnl"/>
        </w:rPr>
        <w:t>i</w:t>
      </w:r>
      <w:r w:rsidR="00052826">
        <w:rPr>
          <w:rFonts w:ascii="Arial" w:eastAsia="Calibri" w:hAnsi="Arial" w:cs="Arial"/>
          <w:color w:val="000000" w:themeColor="text1"/>
          <w:sz w:val="22"/>
          <w:szCs w:val="22"/>
          <w:lang w:val="es-ES_tradnl"/>
        </w:rPr>
        <w:t>ii</w:t>
      </w:r>
      <w:r w:rsidR="00822EC4" w:rsidRPr="00742BED">
        <w:rPr>
          <w:rFonts w:ascii="Arial" w:eastAsia="Calibri" w:hAnsi="Arial" w:cs="Arial"/>
          <w:color w:val="000000" w:themeColor="text1"/>
          <w:sz w:val="22"/>
          <w:szCs w:val="22"/>
          <w:lang w:val="es-ES_tradnl"/>
        </w:rPr>
        <w:t>)</w:t>
      </w:r>
      <w:r w:rsidR="00A12574" w:rsidRPr="00742BED">
        <w:rPr>
          <w:rFonts w:ascii="Arial" w:eastAsia="Calibri" w:hAnsi="Arial" w:cs="Arial"/>
          <w:color w:val="000000" w:themeColor="text1"/>
          <w:sz w:val="22"/>
          <w:szCs w:val="22"/>
          <w:lang w:val="es-ES_tradnl"/>
        </w:rPr>
        <w:t xml:space="preserve"> vigencia y ámbito de aplicación de la Ley </w:t>
      </w:r>
      <w:r w:rsidR="007B209C" w:rsidRPr="00742BED">
        <w:rPr>
          <w:rFonts w:ascii="Arial" w:eastAsia="Calibri" w:hAnsi="Arial" w:cs="Arial"/>
          <w:color w:val="000000" w:themeColor="text1"/>
          <w:sz w:val="22"/>
          <w:szCs w:val="22"/>
          <w:lang w:val="es-ES_tradnl"/>
        </w:rPr>
        <w:t>2069</w:t>
      </w:r>
      <w:r w:rsidR="00A12574" w:rsidRPr="00742BED">
        <w:rPr>
          <w:rFonts w:ascii="Arial" w:eastAsia="Calibri" w:hAnsi="Arial" w:cs="Arial"/>
          <w:color w:val="000000" w:themeColor="text1"/>
          <w:sz w:val="22"/>
          <w:szCs w:val="22"/>
          <w:lang w:val="es-ES_tradnl"/>
        </w:rPr>
        <w:t xml:space="preserve"> de 2020</w:t>
      </w:r>
      <w:r w:rsidR="00D32784" w:rsidRPr="00742BED">
        <w:rPr>
          <w:rFonts w:ascii="Arial" w:eastAsia="Calibri" w:hAnsi="Arial" w:cs="Arial"/>
          <w:color w:val="000000" w:themeColor="text1"/>
          <w:sz w:val="22"/>
          <w:szCs w:val="22"/>
          <w:lang w:val="es-ES_tradnl"/>
        </w:rPr>
        <w:t xml:space="preserve">, </w:t>
      </w:r>
      <w:r w:rsidR="002861C8">
        <w:rPr>
          <w:rFonts w:ascii="Arial" w:eastAsia="Calibri" w:hAnsi="Arial" w:cs="Arial"/>
          <w:color w:val="000000" w:themeColor="text1"/>
          <w:sz w:val="22"/>
          <w:szCs w:val="22"/>
          <w:lang w:val="es-ES_tradnl"/>
        </w:rPr>
        <w:t xml:space="preserve">y </w:t>
      </w:r>
      <w:r w:rsidR="00523F41" w:rsidRPr="00742BED">
        <w:rPr>
          <w:rFonts w:ascii="Arial" w:eastAsia="Calibri" w:hAnsi="Arial" w:cs="Arial"/>
          <w:color w:val="000000" w:themeColor="text1"/>
          <w:sz w:val="22"/>
          <w:szCs w:val="22"/>
          <w:lang w:val="es-ES_tradnl"/>
        </w:rPr>
        <w:t>i</w:t>
      </w:r>
      <w:r w:rsidR="00D32784" w:rsidRPr="00742BED">
        <w:rPr>
          <w:rFonts w:ascii="Arial" w:eastAsia="Calibri" w:hAnsi="Arial" w:cs="Arial"/>
          <w:color w:val="000000" w:themeColor="text1"/>
          <w:sz w:val="22"/>
          <w:szCs w:val="22"/>
          <w:lang w:val="es-ES_tradnl"/>
        </w:rPr>
        <w:t>v</w:t>
      </w:r>
      <w:r w:rsidR="00523F41" w:rsidRPr="00742BED">
        <w:rPr>
          <w:rFonts w:ascii="Arial" w:eastAsia="Calibri" w:hAnsi="Arial" w:cs="Arial"/>
          <w:color w:val="000000" w:themeColor="text1"/>
          <w:sz w:val="22"/>
          <w:szCs w:val="22"/>
          <w:lang w:val="es-ES_tradnl"/>
        </w:rPr>
        <w:t xml:space="preserve">) </w:t>
      </w:r>
      <w:r w:rsidR="003C4317" w:rsidRPr="00742BED">
        <w:rPr>
          <w:rFonts w:ascii="Arial" w:eastAsia="Calibri" w:hAnsi="Arial" w:cs="Arial"/>
          <w:color w:val="000000" w:themeColor="text1"/>
          <w:sz w:val="22"/>
          <w:szCs w:val="22"/>
          <w:lang w:val="es-ES_tradnl"/>
        </w:rPr>
        <w:t xml:space="preserve">forma de </w:t>
      </w:r>
      <w:r w:rsidR="009D6909" w:rsidRPr="00742BED">
        <w:rPr>
          <w:rFonts w:ascii="Arial" w:eastAsia="Calibri" w:hAnsi="Arial" w:cs="Arial"/>
          <w:color w:val="000000" w:themeColor="text1"/>
          <w:sz w:val="22"/>
          <w:szCs w:val="22"/>
          <w:lang w:val="es-ES_tradnl"/>
        </w:rPr>
        <w:t>acreditación de los factores de desempate</w:t>
      </w:r>
      <w:r w:rsidR="003C4317" w:rsidRPr="00742BED">
        <w:rPr>
          <w:rFonts w:ascii="Arial" w:eastAsia="Calibri" w:hAnsi="Arial" w:cs="Arial"/>
          <w:color w:val="000000" w:themeColor="text1"/>
          <w:sz w:val="22"/>
          <w:szCs w:val="22"/>
          <w:lang w:val="es-ES_tradnl"/>
        </w:rPr>
        <w:t xml:space="preserve"> consagrados en el artículo 35 de la mencionada Ley</w:t>
      </w:r>
      <w:r w:rsidR="002861C8">
        <w:rPr>
          <w:rFonts w:ascii="Arial" w:eastAsia="Calibri" w:hAnsi="Arial" w:cs="Arial"/>
          <w:color w:val="000000" w:themeColor="text1"/>
          <w:sz w:val="22"/>
          <w:szCs w:val="22"/>
          <w:lang w:val="es-ES_tradnl"/>
        </w:rPr>
        <w:t>.</w:t>
      </w:r>
      <w:r w:rsidR="00285943" w:rsidRPr="00742BED">
        <w:rPr>
          <w:rFonts w:ascii="Arial" w:eastAsia="Calibri" w:hAnsi="Arial" w:cs="Arial"/>
          <w:color w:val="000000" w:themeColor="text1"/>
          <w:sz w:val="22"/>
          <w:szCs w:val="22"/>
          <w:lang w:val="es-ES_tradnl"/>
        </w:rPr>
        <w:t xml:space="preserve"> </w:t>
      </w:r>
    </w:p>
    <w:p w14:paraId="462B7704" w14:textId="0F357A2B" w:rsidR="00350FED" w:rsidRDefault="00C0632B" w:rsidP="00350FED">
      <w:pPr>
        <w:spacing w:before="120" w:line="276" w:lineRule="auto"/>
        <w:ind w:firstLine="709"/>
        <w:jc w:val="both"/>
        <w:rPr>
          <w:rFonts w:ascii="Arial" w:eastAsia="Calibri" w:hAnsi="Arial" w:cs="Arial"/>
          <w:color w:val="000000" w:themeColor="text1"/>
          <w:sz w:val="22"/>
          <w:szCs w:val="22"/>
          <w:lang w:val="es-ES_tradnl"/>
        </w:rPr>
      </w:pPr>
      <w:r>
        <w:rPr>
          <w:rFonts w:ascii="Arial" w:eastAsia="Calibri" w:hAnsi="Arial" w:cs="Arial"/>
          <w:sz w:val="22"/>
          <w:szCs w:val="22"/>
          <w:lang w:val="es-ES" w:eastAsia="en-US"/>
        </w:rPr>
        <w:t>E</w:t>
      </w:r>
      <w:r w:rsidR="00350FED" w:rsidRPr="00350FED">
        <w:rPr>
          <w:rFonts w:ascii="Arial" w:eastAsia="Calibri" w:hAnsi="Arial" w:cs="Arial"/>
          <w:sz w:val="22"/>
          <w:szCs w:val="22"/>
          <w:lang w:val="es-ES" w:eastAsia="en-US"/>
        </w:rPr>
        <w:t xml:space="preserve">n los conceptos con radicados </w:t>
      </w:r>
      <w:r w:rsidR="00350FED" w:rsidRPr="00350FED">
        <w:rPr>
          <w:rFonts w:ascii="Arial" w:eastAsia="Arial" w:hAnsi="Arial" w:cs="Arial"/>
          <w:sz w:val="22"/>
          <w:szCs w:val="22"/>
          <w:lang w:val="es-ES" w:eastAsia="en-US"/>
        </w:rPr>
        <w:t>C</w:t>
      </w:r>
      <w:r w:rsidR="00350FED" w:rsidRPr="00350FED">
        <w:rPr>
          <w:rFonts w:ascii="Arial" w:eastAsia="Calibri" w:hAnsi="Arial" w:cs="Arial"/>
          <w:color w:val="000000"/>
          <w:sz w:val="22"/>
          <w:szCs w:val="22"/>
          <w:lang w:val="es-ES" w:eastAsia="en-US"/>
        </w:rPr>
        <w:t>–</w:t>
      </w:r>
      <w:r w:rsidR="00350FED" w:rsidRPr="00350FED">
        <w:rPr>
          <w:rFonts w:ascii="Arial" w:eastAsia="Arial" w:hAnsi="Arial" w:cs="Arial"/>
          <w:sz w:val="22"/>
          <w:szCs w:val="22"/>
          <w:lang w:val="es-ES" w:eastAsia="en-US"/>
        </w:rPr>
        <w:t>514 del 26 de agosto de 2020, C</w:t>
      </w:r>
      <w:r w:rsidR="00350FED" w:rsidRPr="00350FED">
        <w:rPr>
          <w:rFonts w:ascii="Arial" w:eastAsia="Calibri" w:hAnsi="Arial" w:cs="Arial"/>
          <w:color w:val="000000"/>
          <w:sz w:val="22"/>
          <w:szCs w:val="22"/>
          <w:lang w:val="es-ES" w:eastAsia="en-US"/>
        </w:rPr>
        <w:t>–</w:t>
      </w:r>
      <w:r w:rsidR="00350FED" w:rsidRPr="00350FED">
        <w:rPr>
          <w:rFonts w:ascii="Arial" w:eastAsia="Arial" w:hAnsi="Arial" w:cs="Arial"/>
          <w:sz w:val="22"/>
          <w:szCs w:val="22"/>
          <w:lang w:val="es-ES" w:eastAsia="en-US"/>
        </w:rPr>
        <w:t>516 del 26 de agosto de 2020, C</w:t>
      </w:r>
      <w:r w:rsidR="00350FED" w:rsidRPr="00350FED">
        <w:rPr>
          <w:rFonts w:ascii="Arial" w:eastAsia="Calibri" w:hAnsi="Arial" w:cs="Arial"/>
          <w:color w:val="000000"/>
          <w:sz w:val="22"/>
          <w:szCs w:val="22"/>
          <w:lang w:val="es-ES" w:eastAsia="en-US"/>
        </w:rPr>
        <w:t>–</w:t>
      </w:r>
      <w:r w:rsidR="00350FED" w:rsidRPr="00350FED">
        <w:rPr>
          <w:rFonts w:ascii="Arial" w:eastAsia="Arial" w:hAnsi="Arial" w:cs="Arial"/>
          <w:sz w:val="22"/>
          <w:szCs w:val="22"/>
          <w:lang w:val="es-ES" w:eastAsia="en-US"/>
        </w:rPr>
        <w:t>535 del 26 de agosto de 2020, C</w:t>
      </w:r>
      <w:r w:rsidR="00350FED" w:rsidRPr="00350FED">
        <w:rPr>
          <w:rFonts w:ascii="Arial" w:eastAsia="Calibri" w:hAnsi="Arial" w:cs="Arial"/>
          <w:color w:val="000000"/>
          <w:sz w:val="22"/>
          <w:szCs w:val="22"/>
          <w:lang w:val="es-ES" w:eastAsia="en-US"/>
        </w:rPr>
        <w:t>–</w:t>
      </w:r>
      <w:r w:rsidR="00350FED" w:rsidRPr="00350FED">
        <w:rPr>
          <w:rFonts w:ascii="Arial" w:eastAsia="Arial" w:hAnsi="Arial" w:cs="Arial"/>
          <w:sz w:val="22"/>
          <w:szCs w:val="22"/>
          <w:lang w:val="es-ES" w:eastAsia="en-US"/>
        </w:rPr>
        <w:t>537 del 26 de agosto de 2020, C–538 del 26 de agosto de 2020, C</w:t>
      </w:r>
      <w:r w:rsidR="00350FED" w:rsidRPr="00350FED">
        <w:rPr>
          <w:rFonts w:ascii="Arial" w:eastAsia="Calibri" w:hAnsi="Arial" w:cs="Arial"/>
          <w:color w:val="000000"/>
          <w:sz w:val="22"/>
          <w:szCs w:val="22"/>
          <w:lang w:val="es-ES" w:eastAsia="en-US"/>
        </w:rPr>
        <w:t>–</w:t>
      </w:r>
      <w:r w:rsidR="00350FED" w:rsidRPr="00350FED">
        <w:rPr>
          <w:rFonts w:ascii="Arial" w:eastAsia="Arial" w:hAnsi="Arial" w:cs="Arial"/>
          <w:sz w:val="22"/>
          <w:szCs w:val="22"/>
          <w:lang w:val="es-ES" w:eastAsia="en-US"/>
        </w:rPr>
        <w:t xml:space="preserve">568 del 26 de agosto de 2020, </w:t>
      </w:r>
      <w:r w:rsidR="00350FED" w:rsidRPr="00350FED">
        <w:rPr>
          <w:rFonts w:ascii="Arial" w:eastAsia="Arial" w:hAnsi="Arial" w:cs="Arial"/>
          <w:sz w:val="22"/>
          <w:szCs w:val="22"/>
          <w:lang w:eastAsia="en-US"/>
        </w:rPr>
        <w:t>C</w:t>
      </w:r>
      <w:r w:rsidR="00350FED" w:rsidRPr="00350FED">
        <w:rPr>
          <w:rFonts w:ascii="Arial" w:eastAsia="Calibri" w:hAnsi="Arial" w:cs="Arial"/>
          <w:color w:val="000000"/>
          <w:sz w:val="22"/>
          <w:szCs w:val="22"/>
          <w:lang w:val="es-ES" w:eastAsia="en-US"/>
        </w:rPr>
        <w:t>–</w:t>
      </w:r>
      <w:r w:rsidR="00350FED" w:rsidRPr="00350FED">
        <w:rPr>
          <w:rFonts w:ascii="Arial" w:eastAsia="Arial" w:hAnsi="Arial" w:cs="Arial"/>
          <w:sz w:val="22"/>
          <w:szCs w:val="22"/>
          <w:lang w:eastAsia="en-US"/>
        </w:rPr>
        <w:t xml:space="preserve">572 del 27 de agosto de 2020, </w:t>
      </w:r>
      <w:r w:rsidR="00350FED" w:rsidRPr="00350FED">
        <w:rPr>
          <w:rFonts w:ascii="Arial" w:eastAsia="Arial" w:hAnsi="Arial" w:cs="Arial"/>
          <w:sz w:val="22"/>
          <w:szCs w:val="22"/>
          <w:lang w:val="es-MX" w:eastAsia="en-US"/>
        </w:rPr>
        <w:t>C–582 del 28 de agosto de 2020</w:t>
      </w:r>
      <w:r>
        <w:rPr>
          <w:rFonts w:ascii="Arial" w:eastAsia="Arial" w:hAnsi="Arial" w:cs="Arial"/>
          <w:sz w:val="22"/>
          <w:szCs w:val="22"/>
          <w:lang w:val="es-MX" w:eastAsia="en-US"/>
        </w:rPr>
        <w:t xml:space="preserve">, </w:t>
      </w:r>
      <w:r w:rsidR="00350FED" w:rsidRPr="00350FED">
        <w:rPr>
          <w:rFonts w:ascii="Arial" w:eastAsia="Arial" w:hAnsi="Arial" w:cs="Arial"/>
          <w:sz w:val="22"/>
          <w:szCs w:val="22"/>
          <w:lang w:val="es-MX" w:eastAsia="en-US"/>
        </w:rPr>
        <w:t>C-624 del 21 de septiembre de 2020</w:t>
      </w:r>
      <w:r>
        <w:rPr>
          <w:rFonts w:ascii="Arial" w:eastAsia="Arial" w:hAnsi="Arial" w:cs="Arial"/>
          <w:sz w:val="22"/>
          <w:szCs w:val="22"/>
          <w:lang w:val="es-MX" w:eastAsia="en-US"/>
        </w:rPr>
        <w:t>,</w:t>
      </w:r>
      <w:r w:rsidR="00350FED" w:rsidRPr="00350FED">
        <w:rPr>
          <w:rFonts w:ascii="Arial" w:eastAsia="Arial" w:hAnsi="Arial" w:cs="Arial"/>
          <w:sz w:val="22"/>
          <w:szCs w:val="22"/>
          <w:lang w:val="es-MX" w:eastAsia="en-US"/>
        </w:rPr>
        <w:t xml:space="preserve"> C-664 del 12 de noviembre de 2020</w:t>
      </w:r>
      <w:r>
        <w:rPr>
          <w:rFonts w:ascii="Arial" w:eastAsia="Arial" w:hAnsi="Arial" w:cs="Arial"/>
          <w:sz w:val="22"/>
          <w:szCs w:val="22"/>
          <w:lang w:val="es-MX" w:eastAsia="en-US"/>
        </w:rPr>
        <w:t xml:space="preserve"> y C-690 de 20 de noviembre de 2020</w:t>
      </w:r>
      <w:r w:rsidR="00350FED" w:rsidRPr="00350FED">
        <w:rPr>
          <w:rFonts w:ascii="Arial" w:eastAsia="Arial" w:hAnsi="Arial" w:cs="Arial"/>
          <w:sz w:val="22"/>
          <w:szCs w:val="22"/>
          <w:lang w:val="es-MX" w:eastAsia="en-US"/>
        </w:rPr>
        <w:t xml:space="preserve">, </w:t>
      </w:r>
      <w:r w:rsidRPr="00742BED">
        <w:rPr>
          <w:rFonts w:ascii="Arial" w:eastAsia="Calibri" w:hAnsi="Arial" w:cs="Arial"/>
          <w:color w:val="000000" w:themeColor="text1"/>
          <w:sz w:val="22"/>
          <w:szCs w:val="22"/>
          <w:lang w:val="es-ES_tradnl"/>
        </w:rPr>
        <w:t>la Agencia Nacional de Contratación Pública – Colombia Compra Eficiente</w:t>
      </w:r>
      <w:r w:rsidRPr="00350FED">
        <w:rPr>
          <w:rFonts w:ascii="Arial" w:eastAsia="Arial" w:hAnsi="Arial" w:cs="Arial"/>
          <w:sz w:val="22"/>
          <w:szCs w:val="22"/>
          <w:lang w:val="es-MX" w:eastAsia="en-US"/>
        </w:rPr>
        <w:t xml:space="preserve"> </w:t>
      </w:r>
      <w:r w:rsidR="00350FED" w:rsidRPr="00350FED">
        <w:rPr>
          <w:rFonts w:ascii="Arial" w:eastAsia="Arial" w:hAnsi="Arial" w:cs="Arial"/>
          <w:sz w:val="22"/>
          <w:szCs w:val="22"/>
          <w:lang w:val="es-MX" w:eastAsia="en-US"/>
        </w:rPr>
        <w:t xml:space="preserve">estudió </w:t>
      </w:r>
      <w:r w:rsidR="00350FED" w:rsidRPr="00350FED">
        <w:rPr>
          <w:rFonts w:ascii="Arial" w:eastAsia="Calibri" w:hAnsi="Arial" w:cs="Arial"/>
          <w:color w:val="000000"/>
          <w:sz w:val="22"/>
          <w:lang w:val="es-ES" w:eastAsia="en-US"/>
        </w:rPr>
        <w:t>el artículo 3º de la Ley 2040 de 2020, que adiciona</w:t>
      </w:r>
      <w:r w:rsidR="00052826">
        <w:rPr>
          <w:rFonts w:ascii="Arial" w:eastAsia="Calibri" w:hAnsi="Arial" w:cs="Arial"/>
          <w:color w:val="000000"/>
          <w:sz w:val="22"/>
          <w:lang w:val="es-ES" w:eastAsia="en-US"/>
        </w:rPr>
        <w:t>ba</w:t>
      </w:r>
      <w:r w:rsidR="00350FED" w:rsidRPr="00350FED">
        <w:rPr>
          <w:rFonts w:ascii="Arial" w:eastAsia="Calibri" w:hAnsi="Arial" w:cs="Arial"/>
          <w:color w:val="000000"/>
          <w:sz w:val="22"/>
          <w:lang w:val="es-ES" w:eastAsia="en-US"/>
        </w:rPr>
        <w:t xml:space="preserve"> un parágrafo al artículo 12 de la Ley 1150 de 2007, establec</w:t>
      </w:r>
      <w:r w:rsidR="00052826">
        <w:rPr>
          <w:rFonts w:ascii="Arial" w:eastAsia="Calibri" w:hAnsi="Arial" w:cs="Arial"/>
          <w:color w:val="000000"/>
          <w:sz w:val="22"/>
          <w:lang w:val="es-ES" w:eastAsia="en-US"/>
        </w:rPr>
        <w:t>ía</w:t>
      </w:r>
      <w:r w:rsidR="00350FED" w:rsidRPr="00350FED">
        <w:rPr>
          <w:rFonts w:ascii="Arial" w:eastAsia="Calibri" w:hAnsi="Arial" w:cs="Arial"/>
          <w:color w:val="000000"/>
          <w:sz w:val="22"/>
          <w:lang w:val="es-ES" w:eastAsia="en-US"/>
        </w:rPr>
        <w:t xml:space="preserve"> un criterio de desempate en los procesos de </w:t>
      </w:r>
      <w:r w:rsidR="00350FED" w:rsidRPr="00350FED">
        <w:rPr>
          <w:rFonts w:ascii="Arial" w:eastAsia="Calibri" w:hAnsi="Arial" w:cs="Arial"/>
          <w:color w:val="000000"/>
          <w:sz w:val="22"/>
          <w:szCs w:val="22"/>
          <w:lang w:val="es-ES" w:eastAsia="en-US"/>
        </w:rPr>
        <w:t xml:space="preserve">contratación a favor de los oferentes que </w:t>
      </w:r>
      <w:r w:rsidR="00052826">
        <w:rPr>
          <w:rFonts w:ascii="Arial" w:eastAsia="Calibri" w:hAnsi="Arial" w:cs="Arial"/>
          <w:color w:val="000000"/>
          <w:sz w:val="22"/>
          <w:szCs w:val="22"/>
          <w:lang w:val="es-ES" w:eastAsia="en-US"/>
        </w:rPr>
        <w:t>tuvieran</w:t>
      </w:r>
      <w:r w:rsidR="00052826" w:rsidRPr="00350FED">
        <w:rPr>
          <w:rFonts w:ascii="Arial" w:eastAsia="Calibri" w:hAnsi="Arial" w:cs="Arial"/>
          <w:color w:val="000000"/>
          <w:sz w:val="22"/>
          <w:szCs w:val="22"/>
          <w:lang w:val="es-ES" w:eastAsia="en-US"/>
        </w:rPr>
        <w:t xml:space="preserve"> </w:t>
      </w:r>
      <w:r w:rsidR="00350FED" w:rsidRPr="00350FED">
        <w:rPr>
          <w:rFonts w:ascii="Arial" w:eastAsia="Calibri" w:hAnsi="Arial" w:cs="Arial"/>
          <w:color w:val="000000"/>
          <w:sz w:val="22"/>
          <w:szCs w:val="22"/>
          <w:lang w:val="es-ES" w:eastAsia="en-US"/>
        </w:rPr>
        <w:t xml:space="preserve">vinculado el mayor porcentaje de personas mayores que no </w:t>
      </w:r>
      <w:r w:rsidR="00052826">
        <w:rPr>
          <w:rFonts w:ascii="Arial" w:eastAsia="Calibri" w:hAnsi="Arial" w:cs="Arial"/>
          <w:color w:val="000000"/>
          <w:sz w:val="22"/>
          <w:szCs w:val="22"/>
          <w:lang w:val="es-ES" w:eastAsia="en-US"/>
        </w:rPr>
        <w:t>fueran</w:t>
      </w:r>
      <w:r w:rsidR="00052826" w:rsidRPr="00350FED">
        <w:rPr>
          <w:rFonts w:ascii="Arial" w:eastAsia="Calibri" w:hAnsi="Arial" w:cs="Arial"/>
          <w:color w:val="000000"/>
          <w:sz w:val="22"/>
          <w:szCs w:val="22"/>
          <w:lang w:val="es-ES" w:eastAsia="en-US"/>
        </w:rPr>
        <w:t xml:space="preserve"> </w:t>
      </w:r>
      <w:r w:rsidR="00350FED" w:rsidRPr="00350FED">
        <w:rPr>
          <w:rFonts w:ascii="Arial" w:eastAsia="Calibri" w:hAnsi="Arial" w:cs="Arial"/>
          <w:color w:val="000000"/>
          <w:sz w:val="22"/>
          <w:szCs w:val="22"/>
          <w:lang w:val="es-ES" w:eastAsia="en-US"/>
        </w:rPr>
        <w:t xml:space="preserve">beneficiarias de la pensión de vejez, familiar o de sobrevivencia y que </w:t>
      </w:r>
      <w:r w:rsidR="00052826">
        <w:rPr>
          <w:rFonts w:ascii="Arial" w:eastAsia="Calibri" w:hAnsi="Arial" w:cs="Arial"/>
          <w:color w:val="000000"/>
          <w:sz w:val="22"/>
          <w:szCs w:val="22"/>
          <w:lang w:val="es-ES" w:eastAsia="en-US"/>
        </w:rPr>
        <w:t>hubieran</w:t>
      </w:r>
      <w:r w:rsidR="00052826" w:rsidRPr="00350FED">
        <w:rPr>
          <w:rFonts w:ascii="Arial" w:eastAsia="Calibri" w:hAnsi="Arial" w:cs="Arial"/>
          <w:color w:val="000000"/>
          <w:sz w:val="22"/>
          <w:szCs w:val="22"/>
          <w:lang w:val="es-ES" w:eastAsia="en-US"/>
        </w:rPr>
        <w:t xml:space="preserve"> </w:t>
      </w:r>
      <w:r w:rsidR="00350FED" w:rsidRPr="00350FED">
        <w:rPr>
          <w:rFonts w:ascii="Arial" w:eastAsia="Calibri" w:hAnsi="Arial" w:cs="Arial"/>
          <w:color w:val="000000"/>
          <w:sz w:val="22"/>
          <w:szCs w:val="22"/>
          <w:lang w:val="es-ES" w:eastAsia="en-US"/>
        </w:rPr>
        <w:t>cumplido el requisito de edad de pensión establecido en la ley</w:t>
      </w:r>
      <w:r w:rsidR="00052826">
        <w:rPr>
          <w:rFonts w:ascii="Arial" w:eastAsia="Calibri" w:hAnsi="Arial" w:cs="Arial"/>
          <w:color w:val="000000"/>
          <w:sz w:val="22"/>
          <w:szCs w:val="22"/>
          <w:lang w:val="es-ES" w:eastAsia="en-US"/>
        </w:rPr>
        <w:t>.</w:t>
      </w:r>
    </w:p>
    <w:p w14:paraId="1144E6B3" w14:textId="3A3E6F81" w:rsidR="00C8331F" w:rsidRDefault="00C0632B" w:rsidP="002861C8">
      <w:pPr>
        <w:spacing w:before="120" w:line="276" w:lineRule="auto"/>
        <w:ind w:firstLine="709"/>
        <w:jc w:val="both"/>
        <w:rPr>
          <w:rFonts w:ascii="Arial" w:eastAsia="Calibri" w:hAnsi="Arial" w:cs="Arial"/>
          <w:color w:val="000000" w:themeColor="text1"/>
          <w:sz w:val="22"/>
          <w:szCs w:val="22"/>
          <w:lang w:val="es-ES_tradnl"/>
        </w:rPr>
      </w:pPr>
      <w:r>
        <w:rPr>
          <w:rFonts w:ascii="Arial" w:eastAsia="Calibri" w:hAnsi="Arial" w:cs="Arial"/>
          <w:color w:val="000000" w:themeColor="text1"/>
          <w:sz w:val="22"/>
          <w:szCs w:val="22"/>
          <w:lang w:val="es-ES_tradnl"/>
        </w:rPr>
        <w:t xml:space="preserve">Así mismo esta agencia </w:t>
      </w:r>
      <w:r w:rsidR="00EC1DAE" w:rsidRPr="00742BED">
        <w:rPr>
          <w:rFonts w:ascii="Arial" w:eastAsia="Calibri" w:hAnsi="Arial" w:cs="Arial"/>
          <w:color w:val="000000" w:themeColor="text1"/>
          <w:sz w:val="22"/>
          <w:szCs w:val="22"/>
          <w:lang w:val="es-ES_tradnl"/>
        </w:rPr>
        <w:t>se pronunció, en términos generales, sobre los factores de desempate en los procedimientos de contratación estatal</w:t>
      </w:r>
      <w:r w:rsidR="00442D13" w:rsidRPr="00742BED">
        <w:rPr>
          <w:rFonts w:ascii="Arial" w:eastAsia="Calibri" w:hAnsi="Arial" w:cs="Arial"/>
          <w:color w:val="000000" w:themeColor="text1"/>
          <w:sz w:val="22"/>
          <w:szCs w:val="22"/>
          <w:lang w:val="es-ES_tradnl"/>
        </w:rPr>
        <w:t>,</w:t>
      </w:r>
      <w:r w:rsidR="0091310F" w:rsidRPr="00742BED">
        <w:rPr>
          <w:rFonts w:ascii="Arial" w:eastAsia="Calibri" w:hAnsi="Arial" w:cs="Arial"/>
          <w:color w:val="000000" w:themeColor="text1"/>
          <w:sz w:val="22"/>
          <w:szCs w:val="22"/>
          <w:lang w:val="es-ES_tradnl"/>
        </w:rPr>
        <w:t xml:space="preserve"> en los </w:t>
      </w:r>
      <w:r w:rsidRPr="00322570">
        <w:rPr>
          <w:rFonts w:ascii="Arial" w:eastAsia="Calibri" w:hAnsi="Arial" w:cs="Arial"/>
          <w:color w:val="000000"/>
          <w:sz w:val="22"/>
          <w:szCs w:val="22"/>
          <w:lang w:val="es-ES_tradnl"/>
        </w:rPr>
        <w:t>conceptos C-285 del 4 de mayo de 2020, C-481 del 27 de julio de 2020, C-514 y C-535 del 26 de agosto de 2020 y C-556 del 31 de agosto de 2020. De igual manera, en los conceptos C-009, C-012, C-013, C-015, C-016, C-026 del 04 de febrero de 2021, C-006 del 5 de febrero de 2021, C-043 del 9 de febrero de 2021,</w:t>
      </w:r>
      <w:r w:rsidR="00052826">
        <w:rPr>
          <w:rFonts w:ascii="Arial" w:eastAsia="Calibri" w:hAnsi="Arial" w:cs="Arial"/>
          <w:color w:val="000000"/>
          <w:sz w:val="22"/>
          <w:szCs w:val="22"/>
          <w:lang w:val="es-ES_tradnl"/>
        </w:rPr>
        <w:t xml:space="preserve"> </w:t>
      </w:r>
      <w:r w:rsidRPr="00322570">
        <w:rPr>
          <w:rFonts w:ascii="Arial" w:eastAsia="Calibri" w:hAnsi="Arial" w:cs="Arial"/>
          <w:color w:val="000000"/>
          <w:sz w:val="22"/>
          <w:szCs w:val="22"/>
          <w:lang w:val="es-ES_tradnl"/>
        </w:rPr>
        <w:t>C-008 del 16 de febrero de 2021, C-081, C-087 y C-089 del 23 de febrero de 2021, C-044 del de marzo de 2021, C-056 del 8 de marzo de 2021</w:t>
      </w:r>
      <w:r>
        <w:rPr>
          <w:rFonts w:ascii="Arial" w:eastAsia="Calibri" w:hAnsi="Arial" w:cs="Arial"/>
          <w:color w:val="000000"/>
          <w:sz w:val="22"/>
          <w:szCs w:val="22"/>
          <w:lang w:val="es-ES_tradnl"/>
        </w:rPr>
        <w:t xml:space="preserve">, </w:t>
      </w:r>
      <w:r w:rsidRPr="00322570">
        <w:rPr>
          <w:rFonts w:ascii="Arial" w:eastAsia="Calibri" w:hAnsi="Arial" w:cs="Arial"/>
          <w:color w:val="000000"/>
          <w:sz w:val="22"/>
          <w:szCs w:val="22"/>
          <w:lang w:val="es-ES_tradnl"/>
        </w:rPr>
        <w:t>C‒055 del 10 de marzo de 2021</w:t>
      </w:r>
      <w:r>
        <w:rPr>
          <w:rFonts w:ascii="Arial" w:eastAsia="Calibri" w:hAnsi="Arial" w:cs="Arial"/>
          <w:color w:val="000000"/>
          <w:sz w:val="22"/>
          <w:szCs w:val="22"/>
          <w:lang w:val="es-ES_tradnl"/>
        </w:rPr>
        <w:t>, C-069 del 12 de marzo de 2021, C-176 del 19 de abril de 2021, C-191 del 26 de abril de 2021</w:t>
      </w:r>
      <w:r w:rsidR="00052826">
        <w:rPr>
          <w:rFonts w:ascii="Arial" w:eastAsia="Calibri" w:hAnsi="Arial" w:cs="Arial"/>
          <w:color w:val="000000"/>
          <w:sz w:val="22"/>
          <w:szCs w:val="22"/>
          <w:lang w:val="es-ES_tradnl"/>
        </w:rPr>
        <w:t>,</w:t>
      </w:r>
      <w:r>
        <w:rPr>
          <w:rFonts w:ascii="Arial" w:eastAsia="Calibri" w:hAnsi="Arial" w:cs="Arial"/>
          <w:color w:val="000000"/>
          <w:sz w:val="22"/>
          <w:szCs w:val="22"/>
          <w:lang w:val="es-ES_tradnl"/>
        </w:rPr>
        <w:t xml:space="preserve"> C-206 del 3 de mayo de 2021</w:t>
      </w:r>
      <w:r w:rsidR="00052826">
        <w:rPr>
          <w:rFonts w:ascii="Arial" w:eastAsia="Calibri" w:hAnsi="Arial" w:cs="Arial"/>
          <w:color w:val="000000"/>
          <w:sz w:val="22"/>
          <w:szCs w:val="22"/>
          <w:lang w:val="es-ES_tradnl"/>
        </w:rPr>
        <w:t xml:space="preserve"> </w:t>
      </w:r>
      <w:r>
        <w:rPr>
          <w:rFonts w:ascii="Arial" w:eastAsia="Calibri" w:hAnsi="Arial" w:cs="Arial"/>
          <w:color w:val="000000" w:themeColor="text1"/>
          <w:sz w:val="22"/>
          <w:szCs w:val="22"/>
          <w:lang w:val="es-ES_tradnl"/>
        </w:rPr>
        <w:t>y C-265 de</w:t>
      </w:r>
      <w:r w:rsidR="00052826">
        <w:rPr>
          <w:rFonts w:ascii="Arial" w:eastAsia="Calibri" w:hAnsi="Arial" w:cs="Arial"/>
          <w:color w:val="000000" w:themeColor="text1"/>
          <w:sz w:val="22"/>
          <w:szCs w:val="22"/>
          <w:lang w:val="es-ES_tradnl"/>
        </w:rPr>
        <w:t>l</w:t>
      </w:r>
      <w:r>
        <w:rPr>
          <w:rFonts w:ascii="Arial" w:eastAsia="Calibri" w:hAnsi="Arial" w:cs="Arial"/>
          <w:color w:val="000000" w:themeColor="text1"/>
          <w:sz w:val="22"/>
          <w:szCs w:val="22"/>
          <w:lang w:val="es-ES_tradnl"/>
        </w:rPr>
        <w:t xml:space="preserve"> 1 de junio de 2021</w:t>
      </w:r>
      <w:r w:rsidR="000C3239" w:rsidRPr="00742BED">
        <w:rPr>
          <w:rFonts w:ascii="Arial" w:eastAsia="Calibri" w:hAnsi="Arial" w:cs="Arial"/>
          <w:color w:val="000000" w:themeColor="text1"/>
          <w:sz w:val="22"/>
          <w:lang w:val="es-ES_tradnl"/>
        </w:rPr>
        <w:t xml:space="preserve">. </w:t>
      </w:r>
      <w:r w:rsidR="002D6504" w:rsidRPr="00742BED">
        <w:rPr>
          <w:rFonts w:ascii="Arial" w:eastAsia="Calibri" w:hAnsi="Arial" w:cs="Arial"/>
          <w:color w:val="000000" w:themeColor="text1"/>
          <w:sz w:val="22"/>
          <w:szCs w:val="22"/>
          <w:lang w:val="es-ES_tradnl"/>
        </w:rPr>
        <w:t>Algunas de las consideraciones de estos conceptos se reiteran a continuación.</w:t>
      </w:r>
    </w:p>
    <w:p w14:paraId="761F0738" w14:textId="77777777" w:rsidR="00C0632B" w:rsidRDefault="00C0632B" w:rsidP="00C0632B">
      <w:pPr>
        <w:tabs>
          <w:tab w:val="left" w:pos="426"/>
        </w:tabs>
        <w:spacing w:line="276" w:lineRule="auto"/>
        <w:jc w:val="both"/>
        <w:rPr>
          <w:rFonts w:ascii="Arial" w:eastAsia="Calibri" w:hAnsi="Arial" w:cs="Arial"/>
          <w:b/>
          <w:color w:val="000000"/>
          <w:sz w:val="22"/>
          <w:lang w:val="es-ES" w:eastAsia="en-US"/>
        </w:rPr>
      </w:pPr>
    </w:p>
    <w:p w14:paraId="125575C6" w14:textId="37003561" w:rsidR="00D56C7D" w:rsidRPr="00742BED" w:rsidRDefault="00C0632B" w:rsidP="00D56C7D">
      <w:pPr>
        <w:spacing w:line="276" w:lineRule="auto"/>
        <w:jc w:val="both"/>
        <w:rPr>
          <w:rFonts w:ascii="Arial" w:eastAsia="Calibri" w:hAnsi="Arial" w:cs="Arial"/>
          <w:b/>
          <w:bCs/>
          <w:color w:val="000000" w:themeColor="text1"/>
          <w:sz w:val="22"/>
          <w:szCs w:val="22"/>
          <w:lang w:val="es-ES_tradnl"/>
        </w:rPr>
      </w:pPr>
      <w:r w:rsidRPr="00C0632B">
        <w:rPr>
          <w:rFonts w:ascii="Arial" w:hAnsi="Arial" w:cs="Arial"/>
          <w:b/>
          <w:color w:val="000000"/>
          <w:sz w:val="22"/>
          <w:lang w:val="es-ES" w:eastAsia="en-US"/>
        </w:rPr>
        <w:t>2.</w:t>
      </w:r>
      <w:r w:rsidR="0060586D">
        <w:rPr>
          <w:rFonts w:ascii="Arial" w:hAnsi="Arial" w:cs="Arial"/>
          <w:b/>
          <w:color w:val="000000"/>
          <w:sz w:val="22"/>
          <w:lang w:val="es-ES" w:eastAsia="en-US"/>
        </w:rPr>
        <w:t>1</w:t>
      </w:r>
      <w:r w:rsidRPr="00C0632B">
        <w:rPr>
          <w:rFonts w:ascii="Arial" w:hAnsi="Arial" w:cs="Arial"/>
          <w:b/>
          <w:color w:val="000000"/>
          <w:sz w:val="22"/>
          <w:lang w:val="es-ES" w:eastAsia="en-US"/>
        </w:rPr>
        <w:t>.</w:t>
      </w:r>
      <w:r w:rsidR="00D56C7D">
        <w:rPr>
          <w:rFonts w:ascii="Arial" w:eastAsia="Calibri" w:hAnsi="Arial" w:cs="Arial"/>
          <w:b/>
          <w:bCs/>
          <w:color w:val="000000" w:themeColor="text1"/>
          <w:sz w:val="22"/>
          <w:szCs w:val="22"/>
          <w:lang w:val="es-ES_tradnl"/>
        </w:rPr>
        <w:t xml:space="preserve"> </w:t>
      </w:r>
      <w:r w:rsidR="00D56C7D" w:rsidRPr="00742BED">
        <w:rPr>
          <w:rFonts w:ascii="Arial" w:eastAsia="Calibri" w:hAnsi="Arial" w:cs="Arial"/>
          <w:b/>
          <w:bCs/>
          <w:color w:val="000000" w:themeColor="text1"/>
          <w:sz w:val="22"/>
          <w:szCs w:val="22"/>
          <w:lang w:val="es-ES_tradnl"/>
        </w:rPr>
        <w:t>Factores de desempate en la contratación estatal: concepto y características</w:t>
      </w:r>
    </w:p>
    <w:p w14:paraId="7393E3B3" w14:textId="77777777" w:rsidR="00D56C7D" w:rsidRPr="00742BED" w:rsidRDefault="00D56C7D" w:rsidP="00D56C7D">
      <w:pPr>
        <w:spacing w:line="276" w:lineRule="auto"/>
        <w:jc w:val="both"/>
        <w:rPr>
          <w:rFonts w:ascii="Arial" w:eastAsia="Calibri" w:hAnsi="Arial" w:cs="Arial"/>
          <w:color w:val="000000" w:themeColor="text1"/>
          <w:sz w:val="22"/>
          <w:szCs w:val="22"/>
          <w:lang w:val="es-ES_tradnl"/>
        </w:rPr>
      </w:pPr>
    </w:p>
    <w:p w14:paraId="0B9341C4" w14:textId="77777777" w:rsidR="00D56C7D" w:rsidRPr="00742BED" w:rsidRDefault="00D56C7D" w:rsidP="00D56C7D">
      <w:pPr>
        <w:spacing w:line="276" w:lineRule="auto"/>
        <w:jc w:val="both"/>
        <w:rPr>
          <w:rFonts w:ascii="Arial" w:eastAsia="Calibri" w:hAnsi="Arial" w:cs="Arial"/>
          <w:color w:val="000000" w:themeColor="text1"/>
          <w:sz w:val="22"/>
          <w:szCs w:val="22"/>
          <w:lang w:val="es-ES_tradnl"/>
        </w:rPr>
      </w:pPr>
      <w:r w:rsidRPr="00742BED">
        <w:rPr>
          <w:rFonts w:ascii="Arial" w:eastAsia="Calibri" w:hAnsi="Arial" w:cs="Arial"/>
          <w:color w:val="000000" w:themeColor="text1"/>
          <w:sz w:val="22"/>
          <w:szCs w:val="22"/>
          <w:lang w:val="es-ES_tradnl"/>
        </w:rPr>
        <w:lastRenderedPageBreak/>
        <w:t xml:space="preserve">Dado que la selección objetiva es uno de los principios medulares de la contratación estatal, la selección del futuro contratista no puede motivarse en razones subjetivas que afecten la imparcialidad de la entidad pública. Así lo determina el primer inciso del artículo 5 de la Ley 1150 de 2007, indicando que «Es objetiva la selección en la cual la escogencia se haga al ofrecimiento más favorable a la entidad y a los fines que ella busca, sin tener en consideración factores de afecto o de interés y, en general, cualquier clase de motivación subjetiva». Además, la norma citada agrega que los factores de escogencia y calificación que establezcan las entidades en los pliegos de condiciones o sus </w:t>
      </w:r>
      <w:proofErr w:type="gramStart"/>
      <w:r w:rsidRPr="00742BED">
        <w:rPr>
          <w:rFonts w:ascii="Arial" w:eastAsia="Calibri" w:hAnsi="Arial" w:cs="Arial"/>
          <w:color w:val="000000" w:themeColor="text1"/>
          <w:sz w:val="22"/>
          <w:szCs w:val="22"/>
          <w:lang w:val="es-ES_tradnl"/>
        </w:rPr>
        <w:t>equivalentes,</w:t>
      </w:r>
      <w:proofErr w:type="gramEnd"/>
      <w:r w:rsidRPr="00742BED">
        <w:rPr>
          <w:rFonts w:ascii="Arial" w:eastAsia="Calibri" w:hAnsi="Arial" w:cs="Arial"/>
          <w:color w:val="000000" w:themeColor="text1"/>
          <w:sz w:val="22"/>
          <w:szCs w:val="22"/>
          <w:lang w:val="es-ES_tradnl"/>
        </w:rPr>
        <w:t xml:space="preserve"> tendrán en cuenta criterios como la experiencia y la capacidad jurídica, financiera y de organización, entre otros elementos que garanticen la escogencia de la mejor opción de negocio para la entidad estatal.</w:t>
      </w:r>
    </w:p>
    <w:p w14:paraId="2B4EB9DF" w14:textId="77777777" w:rsidR="00D56C7D" w:rsidRPr="00742BED" w:rsidRDefault="00D56C7D" w:rsidP="00D56C7D">
      <w:pPr>
        <w:spacing w:before="120" w:line="276" w:lineRule="auto"/>
        <w:ind w:firstLine="709"/>
        <w:jc w:val="both"/>
        <w:rPr>
          <w:rFonts w:ascii="Arial" w:eastAsia="Calibri" w:hAnsi="Arial" w:cs="Arial"/>
          <w:color w:val="000000" w:themeColor="text1"/>
          <w:sz w:val="22"/>
          <w:szCs w:val="22"/>
          <w:lang w:val="es-ES_tradnl"/>
        </w:rPr>
      </w:pPr>
      <w:r w:rsidRPr="00742BED">
        <w:rPr>
          <w:rFonts w:ascii="Arial" w:eastAsia="Calibri" w:hAnsi="Arial" w:cs="Arial"/>
          <w:color w:val="000000" w:themeColor="text1"/>
          <w:sz w:val="22"/>
          <w:szCs w:val="22"/>
          <w:lang w:val="es-ES_tradnl"/>
        </w:rPr>
        <w:t xml:space="preserve">En esta perspectiva, los requisitos habilitantes o de participación, así como los criterios de evaluación o de calificación con puntos, son instrumentos por medio de los cuales se pretende materializar el principio de selección objetiva en la contratación pública. Sin embargo, en algunas ocasiones, así se establezcan requisitos habilitantes y factores de calificación adecuados, se presentan circunstancias de empate una vez aplicados estos criterios. Como lo ha indicado la Agencia Nacional de Contratación Pública – Colombia Compra Eficiente en el «Manual para el manejo de los incentivos en los procesos de contratación», «Dos ofertas resultan empatadas cuando obtienen la misma cantidad de puntos luego de aplicar las reglas establecidas en los pliegos de condiciones; u, ofrecen el mismo precio en los casos de mínima cuantía». Es decir, el empate es un evento en el cual dos o más oferentes alcanzan una puntuación equivalente, al ponderarse los criterios de calificación que, en principio, aplican al procedimiento de selección. </w:t>
      </w:r>
    </w:p>
    <w:p w14:paraId="063D664C" w14:textId="77777777" w:rsidR="00D56C7D" w:rsidRPr="00742BED" w:rsidRDefault="00D56C7D" w:rsidP="00D56C7D">
      <w:pPr>
        <w:spacing w:before="120" w:line="276" w:lineRule="auto"/>
        <w:ind w:firstLine="709"/>
        <w:jc w:val="both"/>
        <w:rPr>
          <w:rFonts w:ascii="Arial" w:eastAsia="Calibri" w:hAnsi="Arial" w:cs="Arial"/>
          <w:color w:val="000000" w:themeColor="text1"/>
          <w:sz w:val="22"/>
          <w:szCs w:val="22"/>
          <w:lang w:val="es-ES_tradnl"/>
        </w:rPr>
      </w:pPr>
      <w:r w:rsidRPr="00742BED">
        <w:rPr>
          <w:rFonts w:ascii="Arial" w:eastAsia="Calibri" w:hAnsi="Arial" w:cs="Arial"/>
          <w:color w:val="000000" w:themeColor="text1"/>
          <w:sz w:val="22"/>
          <w:szCs w:val="22"/>
          <w:lang w:val="es-ES_tradnl"/>
        </w:rPr>
        <w:t>Sin embargo, ni siquiera los casos de empate limitan el alcance de la selección objetiva en la contratación estatal. Por el contrario, en estos supuestos también debe mantenerse indemne tal postulado. En consecuencia, el desempate no puede propiciarse acudiendo arbitrariamente a consideraciones subjetivas que no estén amparadas en el ordenamiento jurídico, sino que deben aplicarse los factores permitidos por las disposiciones normativas que regulan esta materia. Precisamente, dentro de dichas disposiciones se encuentra el artículo 35 de la Ley 2069 de 2020. La jurisprudencia comparte la idea de que los criterios de desempate deben estar establecidos de antemano y constituyen un límite a la discrecionalidad administrativa en los procedimientos de selección</w:t>
      </w:r>
      <w:r w:rsidRPr="00742BED">
        <w:rPr>
          <w:rStyle w:val="Refdenotaalpie"/>
          <w:rFonts w:ascii="Arial" w:hAnsi="Arial" w:cs="Arial"/>
          <w:sz w:val="21"/>
          <w:szCs w:val="21"/>
          <w:lang w:val="es-ES_tradnl"/>
        </w:rPr>
        <w:footnoteReference w:id="2"/>
      </w:r>
      <w:r w:rsidRPr="00742BED">
        <w:rPr>
          <w:rFonts w:ascii="Arial" w:eastAsia="Calibri" w:hAnsi="Arial" w:cs="Arial"/>
          <w:color w:val="000000" w:themeColor="text1"/>
          <w:sz w:val="22"/>
          <w:szCs w:val="22"/>
          <w:lang w:val="es-ES_tradnl"/>
        </w:rPr>
        <w:t xml:space="preserve">. </w:t>
      </w:r>
    </w:p>
    <w:p w14:paraId="7C8A339E" w14:textId="77777777" w:rsidR="00D56C7D" w:rsidRPr="00742BED" w:rsidRDefault="00D56C7D" w:rsidP="00592353">
      <w:pPr>
        <w:spacing w:before="120" w:after="120" w:line="276" w:lineRule="auto"/>
        <w:ind w:firstLine="709"/>
        <w:jc w:val="both"/>
        <w:rPr>
          <w:rFonts w:ascii="Arial" w:eastAsia="Calibri" w:hAnsi="Arial" w:cs="Arial"/>
          <w:color w:val="000000" w:themeColor="text1"/>
          <w:sz w:val="22"/>
          <w:szCs w:val="22"/>
          <w:lang w:val="es-ES_tradnl"/>
        </w:rPr>
      </w:pPr>
      <w:r w:rsidRPr="00742BED">
        <w:rPr>
          <w:rFonts w:ascii="Arial" w:eastAsia="Calibri" w:hAnsi="Arial" w:cs="Arial"/>
          <w:color w:val="000000" w:themeColor="text1"/>
          <w:sz w:val="22"/>
          <w:szCs w:val="22"/>
          <w:lang w:val="es-ES_tradnl"/>
        </w:rPr>
        <w:t xml:space="preserve">En tal sentido, la Corte Constitucional explica que cuando la ley establece factores de desempate obligatorios, las entidades estatales no pueden inaplicarlos, porque ello podría vulnerar el principio de igualdad, especialmente, cuando algunos de estos criterios </w:t>
      </w:r>
      <w:r w:rsidRPr="00742BED">
        <w:rPr>
          <w:rFonts w:ascii="Arial" w:eastAsia="Calibri" w:hAnsi="Arial" w:cs="Arial"/>
          <w:color w:val="000000" w:themeColor="text1"/>
          <w:sz w:val="22"/>
          <w:szCs w:val="22"/>
          <w:lang w:val="es-ES_tradnl"/>
        </w:rPr>
        <w:lastRenderedPageBreak/>
        <w:t>surgen como acciones afirmativas para ciertos sectores de la población</w:t>
      </w:r>
      <w:r w:rsidRPr="00742BED">
        <w:rPr>
          <w:rStyle w:val="Refdenotaalpie"/>
          <w:rFonts w:ascii="Arial" w:eastAsia="Calibri" w:hAnsi="Arial" w:cs="Arial"/>
          <w:color w:val="000000" w:themeColor="text1"/>
          <w:sz w:val="22"/>
          <w:szCs w:val="22"/>
          <w:lang w:val="es-ES_tradnl"/>
        </w:rPr>
        <w:footnoteReference w:id="3"/>
      </w:r>
      <w:r w:rsidRPr="00742BED">
        <w:rPr>
          <w:rFonts w:ascii="Arial" w:eastAsia="Calibri" w:hAnsi="Arial" w:cs="Arial"/>
          <w:color w:val="000000" w:themeColor="text1"/>
          <w:sz w:val="22"/>
          <w:szCs w:val="22"/>
          <w:lang w:val="es-ES_tradnl"/>
        </w:rPr>
        <w:t xml:space="preserve">. </w:t>
      </w:r>
      <w:r>
        <w:rPr>
          <w:rFonts w:ascii="Arial" w:eastAsia="Calibri" w:hAnsi="Arial" w:cs="Arial"/>
          <w:color w:val="000000" w:themeColor="text1"/>
          <w:sz w:val="22"/>
          <w:szCs w:val="22"/>
          <w:lang w:val="es-ES_tradnl"/>
        </w:rPr>
        <w:t>Más aún</w:t>
      </w:r>
      <w:r w:rsidRPr="00742BED">
        <w:rPr>
          <w:rFonts w:ascii="Arial" w:eastAsia="Calibri" w:hAnsi="Arial" w:cs="Arial"/>
          <w:color w:val="000000" w:themeColor="text1"/>
          <w:sz w:val="22"/>
          <w:szCs w:val="22"/>
          <w:lang w:val="es-ES_tradnl"/>
        </w:rPr>
        <w:t>, según el Consejo de Estado, ir en contra de los factores de desempate establecidos expresamente genera la nulidad del contrato, conforme al artículo 44, inciso 1º de la Ley 80 de 1993</w:t>
      </w:r>
      <w:r w:rsidRPr="00742BED">
        <w:rPr>
          <w:rStyle w:val="Refdenotaalpie"/>
          <w:rFonts w:ascii="Arial" w:eastAsia="Calibri" w:hAnsi="Arial" w:cs="Arial"/>
          <w:color w:val="000000" w:themeColor="text1"/>
          <w:sz w:val="22"/>
          <w:szCs w:val="22"/>
          <w:lang w:val="es-ES_tradnl"/>
        </w:rPr>
        <w:footnoteReference w:id="4"/>
      </w:r>
      <w:r w:rsidRPr="00742BED">
        <w:rPr>
          <w:rFonts w:ascii="Arial" w:eastAsia="Calibri" w:hAnsi="Arial" w:cs="Arial"/>
          <w:color w:val="000000" w:themeColor="text1"/>
          <w:sz w:val="22"/>
          <w:szCs w:val="22"/>
          <w:lang w:val="es-ES_tradnl"/>
        </w:rPr>
        <w:t>.</w:t>
      </w:r>
    </w:p>
    <w:p w14:paraId="45BF2842" w14:textId="5CEB3593" w:rsidR="00D56C7D" w:rsidRPr="002A263A" w:rsidRDefault="00D56C7D" w:rsidP="00592353">
      <w:pPr>
        <w:spacing w:line="276" w:lineRule="auto"/>
        <w:ind w:firstLine="708"/>
        <w:jc w:val="both"/>
        <w:rPr>
          <w:rFonts w:ascii="Arial" w:hAnsi="Arial" w:cs="Arial"/>
          <w:b/>
          <w:color w:val="000000"/>
          <w:sz w:val="22"/>
          <w:lang w:val="es-ES" w:eastAsia="en-US"/>
        </w:rPr>
      </w:pPr>
      <w:r w:rsidRPr="00742BED">
        <w:rPr>
          <w:rFonts w:ascii="Arial" w:eastAsia="Calibri" w:hAnsi="Arial" w:cs="Arial"/>
          <w:color w:val="000000" w:themeColor="text1"/>
          <w:sz w:val="22"/>
          <w:szCs w:val="22"/>
          <w:lang w:val="es-ES_tradnl"/>
        </w:rPr>
        <w:t xml:space="preserve">Ahora bien, en cumplimiento de los principios de reciprocidad y de </w:t>
      </w:r>
      <w:r w:rsidRPr="00742BED">
        <w:rPr>
          <w:rFonts w:ascii="Arial" w:eastAsia="Calibri" w:hAnsi="Arial" w:cs="Arial"/>
          <w:i/>
          <w:iCs/>
          <w:color w:val="000000" w:themeColor="text1"/>
          <w:sz w:val="22"/>
          <w:szCs w:val="22"/>
          <w:lang w:val="es-ES_tradnl"/>
        </w:rPr>
        <w:t xml:space="preserve">pacta </w:t>
      </w:r>
      <w:proofErr w:type="spellStart"/>
      <w:r w:rsidRPr="00742BED">
        <w:rPr>
          <w:rFonts w:ascii="Arial" w:eastAsia="Calibri" w:hAnsi="Arial" w:cs="Arial"/>
          <w:i/>
          <w:iCs/>
          <w:color w:val="000000" w:themeColor="text1"/>
          <w:sz w:val="22"/>
          <w:szCs w:val="22"/>
          <w:lang w:val="es-ES_tradnl"/>
        </w:rPr>
        <w:t>sunt</w:t>
      </w:r>
      <w:proofErr w:type="spellEnd"/>
      <w:r w:rsidRPr="00742BED">
        <w:rPr>
          <w:rFonts w:ascii="Arial" w:eastAsia="Calibri" w:hAnsi="Arial" w:cs="Arial"/>
          <w:i/>
          <w:iCs/>
          <w:color w:val="000000" w:themeColor="text1"/>
          <w:sz w:val="22"/>
          <w:szCs w:val="22"/>
          <w:lang w:val="es-ES_tradnl"/>
        </w:rPr>
        <w:t xml:space="preserve"> </w:t>
      </w:r>
      <w:proofErr w:type="spellStart"/>
      <w:r w:rsidRPr="00742BED">
        <w:rPr>
          <w:rFonts w:ascii="Arial" w:eastAsia="Calibri" w:hAnsi="Arial" w:cs="Arial"/>
          <w:i/>
          <w:iCs/>
          <w:color w:val="000000" w:themeColor="text1"/>
          <w:sz w:val="22"/>
          <w:szCs w:val="22"/>
          <w:lang w:val="es-ES_tradnl"/>
        </w:rPr>
        <w:t>servanda</w:t>
      </w:r>
      <w:proofErr w:type="spellEnd"/>
      <w:r w:rsidRPr="00742BED">
        <w:rPr>
          <w:rFonts w:ascii="Arial" w:eastAsia="Calibri" w:hAnsi="Arial" w:cs="Arial"/>
          <w:color w:val="000000" w:themeColor="text1"/>
          <w:sz w:val="22"/>
          <w:szCs w:val="22"/>
          <w:lang w:val="es-ES_tradnl"/>
        </w:rPr>
        <w:t>, los factores de desempate que rigen la contratación estatal deben guardar armonía con los tratados comerciales internacionales suscritos por el Estado colombiano. Po</w:t>
      </w:r>
      <w:r w:rsidRPr="002A263A">
        <w:rPr>
          <w:rFonts w:ascii="Arial" w:eastAsia="Calibri" w:hAnsi="Arial" w:cs="Arial"/>
          <w:color w:val="000000" w:themeColor="text1"/>
          <w:sz w:val="22"/>
          <w:szCs w:val="22"/>
          <w:lang w:val="es-ES_tradnl"/>
        </w:rPr>
        <w:t xml:space="preserve">r tanto, las normas internas deben acoplarse a lo establecido en los acuerdos, pues estos prevalecen. Así lo precisó la Agencia Nacional de Contratación Pública – Colombia Compra Eficiente en el numeral IV, literal C, del «Manual para el manejo de los incentivos en los procesos de contratación». </w:t>
      </w:r>
      <w:r w:rsidR="00C0632B" w:rsidRPr="002A263A">
        <w:rPr>
          <w:rFonts w:ascii="Arial" w:hAnsi="Arial" w:cs="Arial"/>
          <w:b/>
          <w:color w:val="000000"/>
          <w:sz w:val="22"/>
          <w:lang w:val="es-ES" w:eastAsia="en-US"/>
        </w:rPr>
        <w:t xml:space="preserve"> </w:t>
      </w:r>
    </w:p>
    <w:p w14:paraId="0F462727" w14:textId="77777777" w:rsidR="00D56C7D" w:rsidRPr="002A263A" w:rsidRDefault="00D56C7D" w:rsidP="00C0632B">
      <w:pPr>
        <w:spacing w:line="276" w:lineRule="auto"/>
        <w:jc w:val="both"/>
        <w:rPr>
          <w:rFonts w:ascii="Arial" w:hAnsi="Arial" w:cs="Arial"/>
          <w:b/>
          <w:color w:val="000000"/>
          <w:sz w:val="22"/>
          <w:lang w:val="es-ES" w:eastAsia="en-US"/>
        </w:rPr>
      </w:pPr>
    </w:p>
    <w:p w14:paraId="6B577B65" w14:textId="6261CE94" w:rsidR="00C0632B" w:rsidRPr="002A263A" w:rsidRDefault="00D56C7D" w:rsidP="00C0632B">
      <w:pPr>
        <w:spacing w:line="276" w:lineRule="auto"/>
        <w:jc w:val="both"/>
        <w:rPr>
          <w:rFonts w:ascii="Arial" w:hAnsi="Arial" w:cs="Arial"/>
          <w:b/>
          <w:color w:val="000000"/>
          <w:sz w:val="22"/>
          <w:lang w:val="es-ES" w:eastAsia="en-US"/>
        </w:rPr>
      </w:pPr>
      <w:r w:rsidRPr="002A263A">
        <w:rPr>
          <w:rFonts w:ascii="Arial" w:hAnsi="Arial" w:cs="Arial"/>
          <w:b/>
          <w:color w:val="000000"/>
          <w:sz w:val="22"/>
          <w:lang w:val="es-ES" w:eastAsia="en-US"/>
        </w:rPr>
        <w:t>2.</w:t>
      </w:r>
      <w:r w:rsidR="0060586D" w:rsidRPr="002A263A">
        <w:rPr>
          <w:rFonts w:ascii="Arial" w:hAnsi="Arial" w:cs="Arial"/>
          <w:b/>
          <w:color w:val="000000"/>
          <w:sz w:val="22"/>
          <w:lang w:val="es-ES" w:eastAsia="en-US"/>
        </w:rPr>
        <w:t>2</w:t>
      </w:r>
      <w:r w:rsidRPr="002A263A">
        <w:rPr>
          <w:rFonts w:ascii="Arial" w:hAnsi="Arial" w:cs="Arial"/>
          <w:b/>
          <w:color w:val="000000"/>
          <w:sz w:val="22"/>
          <w:lang w:val="es-ES" w:eastAsia="en-US"/>
        </w:rPr>
        <w:t xml:space="preserve">. </w:t>
      </w:r>
      <w:r w:rsidR="00C0632B" w:rsidRPr="002A263A">
        <w:rPr>
          <w:rFonts w:ascii="Arial" w:hAnsi="Arial" w:cs="Arial"/>
          <w:b/>
          <w:color w:val="000000"/>
          <w:sz w:val="22"/>
          <w:lang w:val="es-ES" w:eastAsia="en-US"/>
        </w:rPr>
        <w:t>Criterio de desempate creado por el artículo 3º de la Ley 2040 de 2020</w:t>
      </w:r>
      <w:r w:rsidR="009F636A" w:rsidRPr="002A263A">
        <w:rPr>
          <w:rFonts w:ascii="Arial" w:hAnsi="Arial" w:cs="Arial"/>
          <w:b/>
          <w:color w:val="000000"/>
          <w:sz w:val="22"/>
          <w:lang w:val="es-ES" w:eastAsia="en-US"/>
        </w:rPr>
        <w:t>. Pérdida de vigencia y regulación en la «Ley de Emprendimiento»</w:t>
      </w:r>
    </w:p>
    <w:p w14:paraId="1625B1AD" w14:textId="77777777" w:rsidR="00C0632B" w:rsidRPr="002A263A" w:rsidRDefault="00C0632B" w:rsidP="00C0632B">
      <w:pPr>
        <w:spacing w:line="276" w:lineRule="auto"/>
        <w:jc w:val="both"/>
        <w:rPr>
          <w:rFonts w:ascii="Arial" w:hAnsi="Arial" w:cs="Arial"/>
          <w:color w:val="000000"/>
          <w:sz w:val="22"/>
          <w:lang w:val="es-ES" w:eastAsia="en-US"/>
        </w:rPr>
      </w:pPr>
    </w:p>
    <w:p w14:paraId="3F1E078C" w14:textId="531B2EB3" w:rsidR="00C0632B" w:rsidRPr="002A263A" w:rsidRDefault="003171EF" w:rsidP="00C0632B">
      <w:pPr>
        <w:spacing w:after="120" w:line="276" w:lineRule="auto"/>
        <w:jc w:val="both"/>
        <w:rPr>
          <w:rFonts w:ascii="Arial" w:hAnsi="Arial" w:cs="Arial"/>
          <w:color w:val="000000"/>
          <w:sz w:val="22"/>
          <w:lang w:val="es-ES" w:eastAsia="en-US"/>
        </w:rPr>
      </w:pPr>
      <w:r w:rsidRPr="002A263A">
        <w:rPr>
          <w:rFonts w:ascii="Arial" w:hAnsi="Arial" w:cs="Arial"/>
          <w:color w:val="000000"/>
          <w:sz w:val="22"/>
          <w:lang w:val="es-ES" w:eastAsia="en-US"/>
        </w:rPr>
        <w:t>L</w:t>
      </w:r>
      <w:r w:rsidR="00C0632B" w:rsidRPr="002A263A">
        <w:rPr>
          <w:rFonts w:ascii="Arial" w:hAnsi="Arial" w:cs="Arial"/>
          <w:color w:val="000000"/>
          <w:sz w:val="22"/>
          <w:lang w:val="es-ES" w:eastAsia="en-US"/>
        </w:rPr>
        <w:t>a Ley 2040 de 2020, «por medio de la cual se adoptan medidas para impulsar el trabajo para adultos mayores y se dictan otras disposiciones»</w:t>
      </w:r>
      <w:r w:rsidRPr="002A263A">
        <w:rPr>
          <w:rFonts w:ascii="Arial" w:hAnsi="Arial" w:cs="Arial"/>
          <w:color w:val="000000"/>
          <w:sz w:val="22"/>
          <w:lang w:val="es-ES" w:eastAsia="en-US"/>
        </w:rPr>
        <w:t>, desarrolla una política horizontal y tra</w:t>
      </w:r>
      <w:r w:rsidR="00FA6E3F" w:rsidRPr="002A263A">
        <w:rPr>
          <w:rFonts w:ascii="Arial" w:hAnsi="Arial" w:cs="Arial"/>
          <w:color w:val="000000"/>
          <w:sz w:val="22"/>
          <w:lang w:val="es-ES" w:eastAsia="en-US"/>
        </w:rPr>
        <w:t>ía</w:t>
      </w:r>
      <w:r w:rsidRPr="002A263A">
        <w:rPr>
          <w:rFonts w:ascii="Arial" w:hAnsi="Arial" w:cs="Arial"/>
          <w:color w:val="000000"/>
          <w:sz w:val="22"/>
          <w:lang w:val="es-ES" w:eastAsia="en-US"/>
        </w:rPr>
        <w:t xml:space="preserve"> consigo un incentivo contractual</w:t>
      </w:r>
      <w:r w:rsidR="00401203" w:rsidRPr="002A263A">
        <w:rPr>
          <w:rFonts w:ascii="Arial" w:hAnsi="Arial" w:cs="Arial"/>
          <w:color w:val="000000"/>
          <w:sz w:val="22"/>
          <w:lang w:val="es-ES" w:eastAsia="en-US"/>
        </w:rPr>
        <w:t>, relacionado con un criterio de desempate</w:t>
      </w:r>
      <w:r w:rsidR="00C0632B" w:rsidRPr="002A263A">
        <w:rPr>
          <w:rFonts w:ascii="Arial" w:hAnsi="Arial" w:cs="Arial"/>
          <w:color w:val="000000"/>
          <w:sz w:val="22"/>
          <w:lang w:val="es-ES" w:eastAsia="en-US"/>
        </w:rPr>
        <w:t xml:space="preserve">. En esta ley la política del legislador </w:t>
      </w:r>
      <w:r w:rsidR="00305D3C" w:rsidRPr="002A263A">
        <w:rPr>
          <w:rFonts w:ascii="Arial" w:hAnsi="Arial" w:cs="Arial"/>
          <w:color w:val="000000"/>
          <w:sz w:val="22"/>
          <w:lang w:val="es-ES" w:eastAsia="en-US"/>
        </w:rPr>
        <w:t xml:space="preserve">era </w:t>
      </w:r>
      <w:r w:rsidR="00C0632B" w:rsidRPr="002A263A">
        <w:rPr>
          <w:rFonts w:ascii="Arial" w:hAnsi="Arial" w:cs="Arial"/>
          <w:color w:val="000000"/>
          <w:sz w:val="22"/>
          <w:lang w:val="es-ES" w:eastAsia="en-US"/>
        </w:rPr>
        <w:t xml:space="preserve">clara: establecer medidas que incrementen la empleabilidad de adultos mayores que, cumplida la edad de jubilación, no cuentan con pensión de vejez, familiar o sobrevivencia. </w:t>
      </w:r>
    </w:p>
    <w:p w14:paraId="7E146D8F" w14:textId="54DB6A35" w:rsidR="00C0632B" w:rsidRPr="002A263A" w:rsidRDefault="00C0632B" w:rsidP="00C0632B">
      <w:pPr>
        <w:spacing w:after="120" w:line="276" w:lineRule="auto"/>
        <w:jc w:val="both"/>
        <w:rPr>
          <w:rFonts w:ascii="Arial" w:hAnsi="Arial" w:cs="Arial"/>
          <w:color w:val="000000"/>
          <w:sz w:val="22"/>
          <w:lang w:val="es-ES" w:eastAsia="en-US"/>
        </w:rPr>
      </w:pPr>
      <w:r w:rsidRPr="002A263A">
        <w:rPr>
          <w:rFonts w:ascii="Arial" w:hAnsi="Arial" w:cs="Arial"/>
          <w:color w:val="000000"/>
          <w:sz w:val="22"/>
          <w:lang w:val="es-ES" w:eastAsia="en-US"/>
        </w:rPr>
        <w:tab/>
        <w:t xml:space="preserve">La Ley adopta instrumentos diversos, entre los cuales se cuentan una reducción del impuesto sobre la renta por contratación de adultos mayores –artículo 2–, la creación del sello amigable «adulto mayor» para identificar a las empresas que vinculen a adultos mayores que no cuentan con pensión –artículo 7– y la creación de la </w:t>
      </w:r>
      <w:r w:rsidRPr="002A263A">
        <w:rPr>
          <w:rFonts w:ascii="Verdana" w:hAnsi="Verdana" w:cs="Arial"/>
          <w:color w:val="000000"/>
          <w:sz w:val="22"/>
          <w:lang w:val="es-ES" w:eastAsia="en-US"/>
        </w:rPr>
        <w:t>«</w:t>
      </w:r>
      <w:r w:rsidRPr="002A263A">
        <w:rPr>
          <w:rFonts w:ascii="Arial" w:hAnsi="Arial" w:cs="Arial"/>
          <w:color w:val="000000"/>
          <w:sz w:val="22"/>
          <w:lang w:val="es-ES" w:eastAsia="en-US"/>
        </w:rPr>
        <w:t xml:space="preserve">Ruta para el emprendimiento del adulto mayor» para que los adultos mayores puedan poner en marcha su propia empresa –artículo 10–. Todos estos son mecanismos dirigidos a cumplir su finalidad: incrementar la empleabilidad de los adultos mayores, lo que a la postre, se espera, se traducirá en mayor empleo para este sector vulnerable de la población. </w:t>
      </w:r>
    </w:p>
    <w:p w14:paraId="70BBEFC5" w14:textId="008663A7" w:rsidR="00C0632B" w:rsidRPr="002A263A" w:rsidRDefault="00C0632B" w:rsidP="00C0632B">
      <w:pPr>
        <w:spacing w:line="276" w:lineRule="auto"/>
        <w:jc w:val="both"/>
        <w:rPr>
          <w:rFonts w:ascii="Arial" w:hAnsi="Arial" w:cs="Arial"/>
          <w:color w:val="000000"/>
          <w:sz w:val="22"/>
          <w:lang w:val="es-ES" w:eastAsia="en-US"/>
        </w:rPr>
      </w:pPr>
      <w:r w:rsidRPr="002A263A">
        <w:rPr>
          <w:rFonts w:ascii="Arial" w:hAnsi="Arial" w:cs="Arial"/>
          <w:color w:val="000000"/>
          <w:sz w:val="22"/>
          <w:lang w:val="es-ES" w:eastAsia="en-US"/>
        </w:rPr>
        <w:tab/>
      </w:r>
      <w:r w:rsidR="003171EF" w:rsidRPr="002A263A">
        <w:rPr>
          <w:rFonts w:ascii="Arial" w:hAnsi="Arial" w:cs="Arial"/>
          <w:color w:val="000000"/>
          <w:sz w:val="22"/>
          <w:lang w:val="es-ES" w:eastAsia="en-US"/>
        </w:rPr>
        <w:t>Esta ley</w:t>
      </w:r>
      <w:r w:rsidRPr="002A263A">
        <w:rPr>
          <w:rFonts w:ascii="Arial" w:hAnsi="Arial" w:cs="Arial"/>
          <w:color w:val="000000"/>
          <w:sz w:val="22"/>
          <w:lang w:val="es-ES" w:eastAsia="en-US"/>
        </w:rPr>
        <w:t>, además de las estrategias referidas, cont</w:t>
      </w:r>
      <w:r w:rsidR="00FA6E3F" w:rsidRPr="002A263A">
        <w:rPr>
          <w:rFonts w:ascii="Arial" w:hAnsi="Arial" w:cs="Arial"/>
          <w:color w:val="000000"/>
          <w:sz w:val="22"/>
          <w:lang w:val="es-ES" w:eastAsia="en-US"/>
        </w:rPr>
        <w:t>enía</w:t>
      </w:r>
      <w:r w:rsidRPr="002A263A">
        <w:rPr>
          <w:rFonts w:ascii="Arial" w:hAnsi="Arial" w:cs="Arial"/>
          <w:color w:val="000000"/>
          <w:sz w:val="22"/>
          <w:lang w:val="es-ES" w:eastAsia="en-US"/>
        </w:rPr>
        <w:t xml:space="preserve"> un mecanismo que forma</w:t>
      </w:r>
      <w:r w:rsidR="00FA6E3F" w:rsidRPr="002A263A">
        <w:rPr>
          <w:rFonts w:ascii="Arial" w:hAnsi="Arial" w:cs="Arial"/>
          <w:color w:val="000000"/>
          <w:sz w:val="22"/>
          <w:lang w:val="es-ES" w:eastAsia="en-US"/>
        </w:rPr>
        <w:t>ba</w:t>
      </w:r>
      <w:r w:rsidRPr="002A263A">
        <w:rPr>
          <w:rFonts w:ascii="Arial" w:hAnsi="Arial" w:cs="Arial"/>
          <w:color w:val="000000"/>
          <w:sz w:val="22"/>
          <w:lang w:val="es-ES" w:eastAsia="en-US"/>
        </w:rPr>
        <w:t xml:space="preserve"> parte del Estatuto General de Contratación de la Administración Pública, contenido en el </w:t>
      </w:r>
      <w:r w:rsidRPr="002A263A">
        <w:rPr>
          <w:rFonts w:ascii="Arial" w:hAnsi="Arial" w:cs="Arial"/>
          <w:color w:val="000000"/>
          <w:sz w:val="22"/>
          <w:lang w:val="es-ES" w:eastAsia="en-US"/>
        </w:rPr>
        <w:lastRenderedPageBreak/>
        <w:t>artículo 3 de dicha ley, que adicion</w:t>
      </w:r>
      <w:r w:rsidR="003171EF" w:rsidRPr="002A263A">
        <w:rPr>
          <w:rFonts w:ascii="Arial" w:hAnsi="Arial" w:cs="Arial"/>
          <w:color w:val="000000"/>
          <w:sz w:val="22"/>
          <w:lang w:val="es-ES" w:eastAsia="en-US"/>
        </w:rPr>
        <w:t>ó</w:t>
      </w:r>
      <w:r w:rsidRPr="002A263A">
        <w:rPr>
          <w:rFonts w:ascii="Arial" w:hAnsi="Arial" w:cs="Arial"/>
          <w:color w:val="000000"/>
          <w:sz w:val="22"/>
          <w:lang w:val="es-ES" w:eastAsia="en-US"/>
        </w:rPr>
        <w:t xml:space="preserve"> un parágrafo al artículo 12 de la Ley 1150 de 2007</w:t>
      </w:r>
      <w:r w:rsidR="00305D3C" w:rsidRPr="002A263A">
        <w:rPr>
          <w:rFonts w:ascii="Arial" w:hAnsi="Arial" w:cs="Arial"/>
          <w:color w:val="000000"/>
          <w:sz w:val="22"/>
          <w:lang w:val="es-ES" w:eastAsia="en-US"/>
        </w:rPr>
        <w:t>, norma que</w:t>
      </w:r>
      <w:r w:rsidR="0059135A" w:rsidRPr="002A263A">
        <w:rPr>
          <w:rFonts w:ascii="Arial" w:hAnsi="Arial" w:cs="Arial"/>
          <w:color w:val="000000"/>
          <w:sz w:val="22"/>
          <w:lang w:val="es-ES" w:eastAsia="en-US"/>
        </w:rPr>
        <w:t>,</w:t>
      </w:r>
      <w:r w:rsidR="00305D3C" w:rsidRPr="002A263A">
        <w:rPr>
          <w:rFonts w:ascii="Arial" w:hAnsi="Arial" w:cs="Arial"/>
          <w:color w:val="000000"/>
          <w:sz w:val="22"/>
          <w:lang w:val="es-ES" w:eastAsia="en-US"/>
        </w:rPr>
        <w:t xml:space="preserve"> como se explicará más adelante</w:t>
      </w:r>
      <w:r w:rsidR="0059135A" w:rsidRPr="002A263A">
        <w:rPr>
          <w:rFonts w:ascii="Arial" w:hAnsi="Arial" w:cs="Arial"/>
          <w:color w:val="000000"/>
          <w:sz w:val="22"/>
          <w:lang w:val="es-ES" w:eastAsia="en-US"/>
        </w:rPr>
        <w:t>,</w:t>
      </w:r>
      <w:r w:rsidR="00305D3C" w:rsidRPr="002A263A">
        <w:rPr>
          <w:rFonts w:ascii="Arial" w:hAnsi="Arial" w:cs="Arial"/>
          <w:color w:val="000000"/>
          <w:sz w:val="22"/>
          <w:lang w:val="es-ES" w:eastAsia="en-US"/>
        </w:rPr>
        <w:t xml:space="preserve"> fue </w:t>
      </w:r>
      <w:r w:rsidR="0059135A" w:rsidRPr="002A263A">
        <w:rPr>
          <w:rFonts w:ascii="Arial" w:hAnsi="Arial" w:cs="Arial"/>
          <w:color w:val="000000"/>
          <w:sz w:val="22"/>
          <w:lang w:val="es-ES" w:eastAsia="en-US"/>
        </w:rPr>
        <w:t>subrogada</w:t>
      </w:r>
      <w:r w:rsidR="00305D3C" w:rsidRPr="002A263A">
        <w:rPr>
          <w:rFonts w:ascii="Arial" w:hAnsi="Arial" w:cs="Arial"/>
          <w:color w:val="000000"/>
          <w:sz w:val="22"/>
          <w:lang w:val="es-ES" w:eastAsia="en-US"/>
        </w:rPr>
        <w:t xml:space="preserve"> por la Ley 2069 de 2020, en tal sentido, pese a que actualmente no está vigente es importante analizar su contenido y destacar que fue una norma que no produjo efectos, como se explicará</w:t>
      </w:r>
      <w:r w:rsidRPr="002A263A">
        <w:rPr>
          <w:rFonts w:ascii="Arial" w:hAnsi="Arial" w:cs="Arial"/>
          <w:color w:val="000000"/>
          <w:sz w:val="22"/>
          <w:lang w:val="es-ES" w:eastAsia="en-US"/>
        </w:rPr>
        <w:t xml:space="preserve">: </w:t>
      </w:r>
    </w:p>
    <w:p w14:paraId="74EA5D43" w14:textId="77777777" w:rsidR="00C0632B" w:rsidRPr="002A263A" w:rsidRDefault="00C0632B" w:rsidP="00C0632B">
      <w:pPr>
        <w:tabs>
          <w:tab w:val="left" w:pos="709"/>
        </w:tabs>
        <w:spacing w:line="276" w:lineRule="auto"/>
        <w:jc w:val="both"/>
        <w:rPr>
          <w:rFonts w:ascii="Arial" w:hAnsi="Arial" w:cs="Arial"/>
          <w:color w:val="000000"/>
          <w:sz w:val="22"/>
          <w:lang w:val="es-ES" w:eastAsia="en-US"/>
        </w:rPr>
      </w:pPr>
    </w:p>
    <w:p w14:paraId="5E08C78D" w14:textId="77777777" w:rsidR="00C0632B" w:rsidRPr="002A263A" w:rsidRDefault="00C0632B" w:rsidP="00C0632B">
      <w:pPr>
        <w:tabs>
          <w:tab w:val="left" w:pos="709"/>
        </w:tabs>
        <w:ind w:left="709" w:right="758"/>
        <w:jc w:val="both"/>
        <w:rPr>
          <w:rFonts w:ascii="Arial" w:eastAsia="Calibri" w:hAnsi="Arial" w:cs="Arial"/>
          <w:color w:val="000000"/>
          <w:sz w:val="21"/>
          <w:szCs w:val="21"/>
          <w:lang w:val="es-ES" w:eastAsia="en-US"/>
        </w:rPr>
      </w:pPr>
      <w:r w:rsidRPr="002A263A">
        <w:rPr>
          <w:rFonts w:ascii="Arial" w:eastAsia="Calibri" w:hAnsi="Arial" w:cs="Arial"/>
          <w:color w:val="000000"/>
          <w:sz w:val="21"/>
          <w:szCs w:val="21"/>
          <w:lang w:val="es-ES" w:eastAsia="en-US"/>
        </w:rPr>
        <w:t xml:space="preserve">Parágrafo 4°. Criterio de desempate. En los procesos de contratación públicos, en caso de empate en la puntuación de dos o más proponentes, se preferirá a aquel que demuestre la vinculación del mayor porcentaje de personas mayores que no sean beneficiarios de la pensión de vejez, familiar o de sobrevivencia y que hayan cumplido el requisito de edad de pensión establecido en la Ley. </w:t>
      </w:r>
    </w:p>
    <w:p w14:paraId="11DC61F0" w14:textId="77777777" w:rsidR="00C0632B" w:rsidRPr="002A263A" w:rsidRDefault="00C0632B" w:rsidP="00C0632B">
      <w:pPr>
        <w:tabs>
          <w:tab w:val="left" w:pos="709"/>
        </w:tabs>
        <w:ind w:left="709" w:right="758"/>
        <w:jc w:val="both"/>
        <w:rPr>
          <w:rFonts w:ascii="Arial" w:eastAsia="Calibri" w:hAnsi="Arial" w:cs="Arial"/>
          <w:color w:val="000000"/>
          <w:sz w:val="21"/>
          <w:szCs w:val="21"/>
          <w:lang w:val="es-ES" w:eastAsia="en-US"/>
        </w:rPr>
      </w:pPr>
    </w:p>
    <w:p w14:paraId="4EA5F560" w14:textId="77777777" w:rsidR="00C0632B" w:rsidRPr="002A263A" w:rsidRDefault="00C0632B" w:rsidP="00C0632B">
      <w:pPr>
        <w:tabs>
          <w:tab w:val="left" w:pos="709"/>
        </w:tabs>
        <w:ind w:left="709" w:right="758"/>
        <w:jc w:val="both"/>
        <w:rPr>
          <w:rFonts w:ascii="Arial" w:eastAsia="Calibri" w:hAnsi="Arial" w:cs="Arial"/>
          <w:color w:val="000000"/>
          <w:sz w:val="21"/>
          <w:szCs w:val="21"/>
          <w:lang w:val="es-ES" w:eastAsia="en-US"/>
        </w:rPr>
      </w:pPr>
      <w:r w:rsidRPr="002A263A">
        <w:rPr>
          <w:rFonts w:ascii="Arial" w:eastAsia="Calibri" w:hAnsi="Arial" w:cs="Arial"/>
          <w:color w:val="000000"/>
          <w:sz w:val="21"/>
          <w:szCs w:val="21"/>
          <w:lang w:val="es-ES" w:eastAsia="en-US"/>
        </w:rPr>
        <w:t xml:space="preserve">Para los efectos de este parágrafo solo se tendrá en cuenta la vinculación de aquellos adultos mayores objeto de esta Ley que hayan estado vinculados con una anterioridad igual o mayor a un año. Para los casos de constitución inferior a un año se tendrá en cuenta a aquellos trabajadores que hayan estado vinculados desde el momento de constitución de </w:t>
      </w:r>
      <w:proofErr w:type="gramStart"/>
      <w:r w:rsidRPr="002A263A">
        <w:rPr>
          <w:rFonts w:ascii="Arial" w:eastAsia="Calibri" w:hAnsi="Arial" w:cs="Arial"/>
          <w:color w:val="000000"/>
          <w:sz w:val="21"/>
          <w:szCs w:val="21"/>
          <w:lang w:val="es-ES" w:eastAsia="en-US"/>
        </w:rPr>
        <w:t>la misma</w:t>
      </w:r>
      <w:proofErr w:type="gramEnd"/>
      <w:r w:rsidRPr="002A263A">
        <w:rPr>
          <w:rFonts w:ascii="Arial" w:eastAsia="Calibri" w:hAnsi="Arial" w:cs="Arial"/>
          <w:color w:val="000000"/>
          <w:sz w:val="21"/>
          <w:szCs w:val="21"/>
          <w:lang w:val="es-ES" w:eastAsia="en-US"/>
        </w:rPr>
        <w:t xml:space="preserve">. </w:t>
      </w:r>
    </w:p>
    <w:p w14:paraId="4FC33EC3" w14:textId="77777777" w:rsidR="00C0632B" w:rsidRPr="002A263A" w:rsidRDefault="00C0632B" w:rsidP="00C0632B">
      <w:pPr>
        <w:tabs>
          <w:tab w:val="left" w:pos="709"/>
        </w:tabs>
        <w:ind w:left="709" w:right="758"/>
        <w:jc w:val="both"/>
        <w:rPr>
          <w:rFonts w:ascii="Arial" w:eastAsia="Calibri" w:hAnsi="Arial" w:cs="Arial"/>
          <w:color w:val="000000"/>
          <w:sz w:val="21"/>
          <w:szCs w:val="21"/>
          <w:lang w:val="es-ES" w:eastAsia="en-US"/>
        </w:rPr>
      </w:pPr>
    </w:p>
    <w:p w14:paraId="104BA558" w14:textId="77777777" w:rsidR="00C0632B" w:rsidRPr="002A263A" w:rsidRDefault="00C0632B" w:rsidP="00C0632B">
      <w:pPr>
        <w:tabs>
          <w:tab w:val="left" w:pos="709"/>
        </w:tabs>
        <w:ind w:left="709" w:right="758"/>
        <w:jc w:val="both"/>
        <w:rPr>
          <w:rFonts w:ascii="Arial" w:eastAsia="Calibri" w:hAnsi="Arial" w:cs="Arial"/>
          <w:color w:val="000000"/>
          <w:sz w:val="21"/>
          <w:szCs w:val="21"/>
          <w:lang w:val="es-ES" w:eastAsia="en-US"/>
        </w:rPr>
      </w:pPr>
      <w:r w:rsidRPr="002A263A">
        <w:rPr>
          <w:rFonts w:ascii="Arial" w:eastAsia="Calibri" w:hAnsi="Arial" w:cs="Arial"/>
          <w:color w:val="000000"/>
          <w:sz w:val="21"/>
          <w:szCs w:val="21"/>
          <w:lang w:val="es-ES" w:eastAsia="en-US"/>
        </w:rPr>
        <w:t xml:space="preserve">Dado el caso en que el contrato público haya sido obtenido con ocasión a esta forma de desempate, el empleador deberá mantener el mismo porcentaje de adultos mayores trabajadores al interior de la empresa durante la vigencia de ejecución del contrato. En caso contrario no podrá hacer uso de este beneficio en cualquier otro contrato que celebre con el Estado dentro de los 5 años siguientes a la terminación del contrato. </w:t>
      </w:r>
    </w:p>
    <w:p w14:paraId="4112E707" w14:textId="77777777" w:rsidR="00C0632B" w:rsidRPr="002A263A" w:rsidRDefault="00C0632B" w:rsidP="00C0632B">
      <w:pPr>
        <w:tabs>
          <w:tab w:val="left" w:pos="709"/>
        </w:tabs>
        <w:ind w:left="709" w:right="758"/>
        <w:jc w:val="both"/>
        <w:rPr>
          <w:rFonts w:ascii="Arial" w:eastAsia="Calibri" w:hAnsi="Arial" w:cs="Arial"/>
          <w:color w:val="000000"/>
          <w:sz w:val="21"/>
          <w:szCs w:val="21"/>
          <w:lang w:val="es-ES" w:eastAsia="en-US"/>
        </w:rPr>
      </w:pPr>
    </w:p>
    <w:p w14:paraId="0D35CB04" w14:textId="77777777" w:rsidR="00C0632B" w:rsidRPr="002A263A" w:rsidRDefault="00C0632B" w:rsidP="00C0632B">
      <w:pPr>
        <w:tabs>
          <w:tab w:val="left" w:pos="709"/>
        </w:tabs>
        <w:ind w:left="709" w:right="758"/>
        <w:jc w:val="both"/>
        <w:rPr>
          <w:rFonts w:ascii="Arial" w:eastAsia="Calibri" w:hAnsi="Arial" w:cs="Arial"/>
          <w:color w:val="000000"/>
          <w:sz w:val="21"/>
          <w:szCs w:val="21"/>
          <w:lang w:val="es-ES" w:eastAsia="en-US"/>
        </w:rPr>
      </w:pPr>
      <w:r w:rsidRPr="002A263A">
        <w:rPr>
          <w:rFonts w:ascii="Arial" w:eastAsia="Calibri" w:hAnsi="Arial" w:cs="Arial"/>
          <w:color w:val="000000"/>
          <w:sz w:val="21"/>
          <w:szCs w:val="21"/>
          <w:lang w:val="es-ES" w:eastAsia="en-US"/>
        </w:rPr>
        <w:t>Para estos efectos, la persona natural, el representante legal de la persona jurídica o el revisor fiscal, según corresponda, certificará, bajo la gravedad de juramento, el número total de trabajadores vinculados a la planta de personal del proponente o sus integrantes que cumplan con lo aquí señalado a la fecha de cierre del proceso de selección.</w:t>
      </w:r>
    </w:p>
    <w:p w14:paraId="63BA1944" w14:textId="77777777" w:rsidR="00C0632B" w:rsidRPr="002A263A" w:rsidRDefault="00C0632B" w:rsidP="00C0632B">
      <w:pPr>
        <w:tabs>
          <w:tab w:val="left" w:pos="426"/>
        </w:tabs>
        <w:spacing w:line="276" w:lineRule="auto"/>
        <w:jc w:val="both"/>
        <w:rPr>
          <w:rFonts w:ascii="Arial" w:eastAsia="Calibri" w:hAnsi="Arial" w:cs="Arial"/>
          <w:color w:val="000000"/>
          <w:sz w:val="22"/>
          <w:lang w:val="es-ES" w:eastAsia="en-US"/>
        </w:rPr>
      </w:pPr>
    </w:p>
    <w:p w14:paraId="373E4148" w14:textId="10217FCA" w:rsidR="00C0632B" w:rsidRPr="002A263A" w:rsidRDefault="00C0632B" w:rsidP="00C0632B">
      <w:pPr>
        <w:spacing w:after="120" w:line="276" w:lineRule="auto"/>
        <w:ind w:firstLine="709"/>
        <w:jc w:val="both"/>
        <w:rPr>
          <w:rFonts w:ascii="Arial" w:eastAsia="Calibri" w:hAnsi="Arial" w:cs="Arial"/>
          <w:color w:val="000000"/>
          <w:sz w:val="22"/>
          <w:lang w:val="es-ES" w:eastAsia="en-US"/>
        </w:rPr>
      </w:pPr>
      <w:r w:rsidRPr="002A263A">
        <w:rPr>
          <w:rFonts w:ascii="Arial" w:eastAsia="Calibri" w:hAnsi="Arial" w:cs="Arial"/>
          <w:color w:val="000000"/>
          <w:sz w:val="22"/>
          <w:lang w:val="es-ES" w:eastAsia="en-US"/>
        </w:rPr>
        <w:t>La política horizontal perseguida consist</w:t>
      </w:r>
      <w:r w:rsidR="00FA6E3F" w:rsidRPr="002A263A">
        <w:rPr>
          <w:rFonts w:ascii="Arial" w:eastAsia="Calibri" w:hAnsi="Arial" w:cs="Arial"/>
          <w:color w:val="000000"/>
          <w:sz w:val="22"/>
          <w:lang w:val="es-ES" w:eastAsia="en-US"/>
        </w:rPr>
        <w:t>ía</w:t>
      </w:r>
      <w:r w:rsidRPr="002A263A">
        <w:rPr>
          <w:rFonts w:ascii="Arial" w:eastAsia="Calibri" w:hAnsi="Arial" w:cs="Arial"/>
          <w:color w:val="000000"/>
          <w:sz w:val="22"/>
          <w:lang w:val="es-ES" w:eastAsia="en-US"/>
        </w:rPr>
        <w:t xml:space="preserve"> en maximizar el número de personas vinculadas laboralmente a empresas contratistas del Estado que </w:t>
      </w:r>
      <w:r w:rsidR="00FA6E3F" w:rsidRPr="002A263A">
        <w:rPr>
          <w:rFonts w:ascii="Arial" w:eastAsia="Calibri" w:hAnsi="Arial" w:cs="Arial"/>
          <w:color w:val="000000"/>
          <w:sz w:val="22"/>
          <w:lang w:val="es-ES" w:eastAsia="en-US"/>
        </w:rPr>
        <w:t xml:space="preserve">hubieran </w:t>
      </w:r>
      <w:r w:rsidRPr="002A263A">
        <w:rPr>
          <w:rFonts w:ascii="Arial" w:eastAsia="Calibri" w:hAnsi="Arial" w:cs="Arial"/>
          <w:color w:val="000000"/>
          <w:sz w:val="22"/>
          <w:lang w:val="es-ES" w:eastAsia="en-US"/>
        </w:rPr>
        <w:t xml:space="preserve">cumplido con el requisito de edad y no </w:t>
      </w:r>
      <w:r w:rsidR="00FA6E3F" w:rsidRPr="002A263A">
        <w:rPr>
          <w:rFonts w:ascii="Arial" w:eastAsia="Calibri" w:hAnsi="Arial" w:cs="Arial"/>
          <w:color w:val="000000"/>
          <w:sz w:val="22"/>
          <w:lang w:val="es-ES" w:eastAsia="en-US"/>
        </w:rPr>
        <w:t xml:space="preserve">contaran </w:t>
      </w:r>
      <w:r w:rsidRPr="002A263A">
        <w:rPr>
          <w:rFonts w:ascii="Arial" w:eastAsia="Calibri" w:hAnsi="Arial" w:cs="Arial"/>
          <w:color w:val="000000"/>
          <w:sz w:val="22"/>
          <w:lang w:val="es-ES" w:eastAsia="en-US"/>
        </w:rPr>
        <w:t>con una pensión de vejez, familiar o de sobrevivencia. De otra parte, el incentivo, en el esquema de la contratación estatal, consist</w:t>
      </w:r>
      <w:r w:rsidR="00FA6E3F" w:rsidRPr="002A263A">
        <w:rPr>
          <w:rFonts w:ascii="Arial" w:eastAsia="Calibri" w:hAnsi="Arial" w:cs="Arial"/>
          <w:color w:val="000000"/>
          <w:sz w:val="22"/>
          <w:lang w:val="es-ES" w:eastAsia="en-US"/>
        </w:rPr>
        <w:t>ía</w:t>
      </w:r>
      <w:r w:rsidRPr="002A263A">
        <w:rPr>
          <w:rFonts w:ascii="Arial" w:eastAsia="Calibri" w:hAnsi="Arial" w:cs="Arial"/>
          <w:color w:val="000000"/>
          <w:sz w:val="22"/>
          <w:lang w:val="es-ES" w:eastAsia="en-US"/>
        </w:rPr>
        <w:t xml:space="preserve"> en crear un criterio de desempate para favorecer a la empresa que </w:t>
      </w:r>
      <w:r w:rsidR="00FA6E3F" w:rsidRPr="002A263A">
        <w:rPr>
          <w:rFonts w:ascii="Arial" w:eastAsia="Calibri" w:hAnsi="Arial" w:cs="Arial"/>
          <w:color w:val="000000"/>
          <w:sz w:val="22"/>
          <w:lang w:val="es-ES" w:eastAsia="en-US"/>
        </w:rPr>
        <w:t xml:space="preserve">tuvieran </w:t>
      </w:r>
      <w:r w:rsidRPr="002A263A">
        <w:rPr>
          <w:rFonts w:ascii="Arial" w:eastAsia="Calibri" w:hAnsi="Arial" w:cs="Arial"/>
          <w:color w:val="000000"/>
          <w:sz w:val="22"/>
          <w:lang w:val="es-ES" w:eastAsia="en-US"/>
        </w:rPr>
        <w:t xml:space="preserve">un porcentaje mayor –no un número mayor– de adultos mayores contratados que no </w:t>
      </w:r>
      <w:r w:rsidR="00FA6E3F" w:rsidRPr="002A263A">
        <w:rPr>
          <w:rFonts w:ascii="Arial" w:eastAsia="Calibri" w:hAnsi="Arial" w:cs="Arial"/>
          <w:color w:val="000000"/>
          <w:sz w:val="22"/>
          <w:lang w:val="es-ES" w:eastAsia="en-US"/>
        </w:rPr>
        <w:t xml:space="preserve">contaran </w:t>
      </w:r>
      <w:r w:rsidRPr="002A263A">
        <w:rPr>
          <w:rFonts w:ascii="Arial" w:eastAsia="Calibri" w:hAnsi="Arial" w:cs="Arial"/>
          <w:color w:val="000000"/>
          <w:sz w:val="22"/>
          <w:lang w:val="es-ES" w:eastAsia="en-US"/>
        </w:rPr>
        <w:t>con una pensión de vejez, familiar o de sobrevivencia. La norma procura</w:t>
      </w:r>
      <w:r w:rsidR="00FA6E3F" w:rsidRPr="002A263A">
        <w:rPr>
          <w:rFonts w:ascii="Arial" w:eastAsia="Calibri" w:hAnsi="Arial" w:cs="Arial"/>
          <w:color w:val="000000"/>
          <w:sz w:val="22"/>
          <w:lang w:val="es-ES" w:eastAsia="en-US"/>
        </w:rPr>
        <w:t>ba</w:t>
      </w:r>
      <w:r w:rsidRPr="002A263A">
        <w:rPr>
          <w:rFonts w:ascii="Arial" w:eastAsia="Calibri" w:hAnsi="Arial" w:cs="Arial"/>
          <w:color w:val="000000"/>
          <w:sz w:val="22"/>
          <w:lang w:val="es-ES" w:eastAsia="en-US"/>
        </w:rPr>
        <w:t xml:space="preserve"> que los potenciales contratistas del Estado increment</w:t>
      </w:r>
      <w:r w:rsidR="00FA6E3F" w:rsidRPr="002A263A">
        <w:rPr>
          <w:rFonts w:ascii="Arial" w:eastAsia="Calibri" w:hAnsi="Arial" w:cs="Arial"/>
          <w:color w:val="000000"/>
          <w:sz w:val="22"/>
          <w:lang w:val="es-ES" w:eastAsia="en-US"/>
        </w:rPr>
        <w:t>aran</w:t>
      </w:r>
      <w:r w:rsidRPr="002A263A">
        <w:rPr>
          <w:rFonts w:ascii="Arial" w:eastAsia="Calibri" w:hAnsi="Arial" w:cs="Arial"/>
          <w:color w:val="000000"/>
          <w:sz w:val="22"/>
          <w:lang w:val="es-ES" w:eastAsia="en-US"/>
        </w:rPr>
        <w:t xml:space="preserve"> el porcentaje de adultos mayores vinculados a su planta de personal, con el fin de ser beneficiarios de este criterio de desempate en un eventual procedimiento de selección. </w:t>
      </w:r>
    </w:p>
    <w:p w14:paraId="2080B794" w14:textId="7E2C853A" w:rsidR="00C0632B" w:rsidRPr="002A263A" w:rsidRDefault="00305D3C" w:rsidP="00C0632B">
      <w:pPr>
        <w:spacing w:after="120" w:line="276" w:lineRule="auto"/>
        <w:ind w:firstLine="709"/>
        <w:jc w:val="both"/>
        <w:rPr>
          <w:rFonts w:ascii="Arial" w:eastAsia="Calibri" w:hAnsi="Arial" w:cs="Arial"/>
          <w:color w:val="000000"/>
          <w:sz w:val="22"/>
          <w:lang w:val="es-ES" w:eastAsia="en-US"/>
        </w:rPr>
      </w:pPr>
      <w:r w:rsidRPr="002A263A">
        <w:rPr>
          <w:rFonts w:ascii="Arial" w:eastAsia="Calibri" w:hAnsi="Arial" w:cs="Arial"/>
          <w:color w:val="000000"/>
          <w:sz w:val="22"/>
          <w:lang w:val="es-ES" w:eastAsia="en-US"/>
        </w:rPr>
        <w:t>De otro lado</w:t>
      </w:r>
      <w:r w:rsidR="00C0632B" w:rsidRPr="002A263A">
        <w:rPr>
          <w:rFonts w:ascii="Arial" w:eastAsia="Calibri" w:hAnsi="Arial" w:cs="Arial"/>
          <w:color w:val="000000"/>
          <w:sz w:val="22"/>
          <w:lang w:val="es-ES" w:eastAsia="en-US"/>
        </w:rPr>
        <w:t>, desde el punto de vista del mecanismo, el legislador optó por concretar la política horizontal a través de un criterio de desempate. Ello plante</w:t>
      </w:r>
      <w:r w:rsidRPr="002A263A">
        <w:rPr>
          <w:rFonts w:ascii="Arial" w:eastAsia="Calibri" w:hAnsi="Arial" w:cs="Arial"/>
          <w:color w:val="000000"/>
          <w:sz w:val="22"/>
          <w:lang w:val="es-ES" w:eastAsia="en-US"/>
        </w:rPr>
        <w:t>ab</w:t>
      </w:r>
      <w:r w:rsidR="00C0632B" w:rsidRPr="002A263A">
        <w:rPr>
          <w:rFonts w:ascii="Arial" w:eastAsia="Calibri" w:hAnsi="Arial" w:cs="Arial"/>
          <w:color w:val="000000"/>
          <w:sz w:val="22"/>
          <w:lang w:val="es-ES" w:eastAsia="en-US"/>
        </w:rPr>
        <w:t>a algunas dificultades prácticas, pues se trata</w:t>
      </w:r>
      <w:r w:rsidRPr="002A263A">
        <w:rPr>
          <w:rFonts w:ascii="Arial" w:eastAsia="Calibri" w:hAnsi="Arial" w:cs="Arial"/>
          <w:color w:val="000000"/>
          <w:sz w:val="22"/>
          <w:lang w:val="es-ES" w:eastAsia="en-US"/>
        </w:rPr>
        <w:t>ba</w:t>
      </w:r>
      <w:r w:rsidR="00C0632B" w:rsidRPr="002A263A">
        <w:rPr>
          <w:rFonts w:ascii="Arial" w:eastAsia="Calibri" w:hAnsi="Arial" w:cs="Arial"/>
          <w:color w:val="000000"/>
          <w:sz w:val="22"/>
          <w:lang w:val="es-ES" w:eastAsia="en-US"/>
        </w:rPr>
        <w:t xml:space="preserve"> de un criterio adicional a los establecidos en</w:t>
      </w:r>
      <w:r w:rsidRPr="002A263A">
        <w:rPr>
          <w:rFonts w:ascii="Arial" w:eastAsia="Calibri" w:hAnsi="Arial" w:cs="Arial"/>
          <w:color w:val="000000"/>
          <w:sz w:val="22"/>
          <w:lang w:val="es-ES" w:eastAsia="en-US"/>
        </w:rPr>
        <w:t xml:space="preserve"> su </w:t>
      </w:r>
      <w:r w:rsidRPr="002A263A">
        <w:rPr>
          <w:rFonts w:ascii="Arial" w:eastAsia="Calibri" w:hAnsi="Arial" w:cs="Arial"/>
          <w:color w:val="000000"/>
          <w:sz w:val="22"/>
          <w:lang w:val="es-ES" w:eastAsia="en-US"/>
        </w:rPr>
        <w:lastRenderedPageBreak/>
        <w:t>momento en</w:t>
      </w:r>
      <w:r w:rsidR="00C0632B" w:rsidRPr="002A263A">
        <w:rPr>
          <w:rFonts w:ascii="Arial" w:eastAsia="Calibri" w:hAnsi="Arial" w:cs="Arial"/>
          <w:color w:val="000000"/>
          <w:sz w:val="22"/>
          <w:lang w:val="es-ES" w:eastAsia="en-US"/>
        </w:rPr>
        <w:t xml:space="preserve"> el artículo 2.2.1.1.2.2.9. del Decreto 1082 de 2015</w:t>
      </w:r>
      <w:r w:rsidRPr="002A263A">
        <w:rPr>
          <w:rFonts w:ascii="Arial" w:eastAsia="Calibri" w:hAnsi="Arial" w:cs="Arial"/>
          <w:color w:val="000000"/>
          <w:sz w:val="22"/>
          <w:lang w:val="es-ES" w:eastAsia="en-US"/>
        </w:rPr>
        <w:t>, que regulaba los factores de desempate en los procedimientos de selección.</w:t>
      </w:r>
    </w:p>
    <w:p w14:paraId="050F7E30" w14:textId="2319EC43" w:rsidR="00C0632B" w:rsidRPr="002A263A" w:rsidRDefault="00C0632B" w:rsidP="00C0632B">
      <w:pPr>
        <w:spacing w:after="120" w:line="276" w:lineRule="auto"/>
        <w:ind w:firstLine="709"/>
        <w:jc w:val="both"/>
        <w:rPr>
          <w:rFonts w:ascii="Arial" w:eastAsia="Calibri" w:hAnsi="Arial" w:cs="Arial"/>
          <w:color w:val="000000"/>
          <w:sz w:val="22"/>
          <w:lang w:val="es-ES" w:eastAsia="en-US"/>
        </w:rPr>
      </w:pPr>
      <w:r w:rsidRPr="002A263A">
        <w:rPr>
          <w:rFonts w:ascii="Arial" w:eastAsia="Calibri" w:hAnsi="Arial" w:cs="Arial"/>
          <w:color w:val="000000"/>
          <w:sz w:val="22"/>
          <w:lang w:val="es-ES" w:eastAsia="en-US"/>
        </w:rPr>
        <w:t xml:space="preserve">La dificultad práctica </w:t>
      </w:r>
      <w:r w:rsidR="00305D3C" w:rsidRPr="002A263A">
        <w:rPr>
          <w:rFonts w:ascii="Arial" w:eastAsia="Calibri" w:hAnsi="Arial" w:cs="Arial"/>
          <w:color w:val="000000"/>
          <w:sz w:val="22"/>
          <w:lang w:val="es-ES" w:eastAsia="en-US"/>
        </w:rPr>
        <w:t xml:space="preserve">que se presentó y que analizó esta Agencia </w:t>
      </w:r>
      <w:r w:rsidR="00401203" w:rsidRPr="002A263A">
        <w:rPr>
          <w:rFonts w:ascii="Arial" w:eastAsia="Calibri" w:hAnsi="Arial" w:cs="Arial"/>
          <w:color w:val="000000"/>
          <w:sz w:val="22"/>
          <w:lang w:val="es-ES" w:eastAsia="en-US"/>
        </w:rPr>
        <w:t>en varios</w:t>
      </w:r>
      <w:r w:rsidR="00305D3C" w:rsidRPr="002A263A">
        <w:rPr>
          <w:rFonts w:ascii="Arial" w:eastAsia="Calibri" w:hAnsi="Arial" w:cs="Arial"/>
          <w:color w:val="000000"/>
          <w:sz w:val="22"/>
          <w:lang w:val="es-ES" w:eastAsia="en-US"/>
        </w:rPr>
        <w:t xml:space="preserve"> conceptos anteriores, consistía en que</w:t>
      </w:r>
      <w:r w:rsidR="007C5676" w:rsidRPr="002A263A">
        <w:rPr>
          <w:rFonts w:ascii="Arial" w:eastAsia="Calibri" w:hAnsi="Arial" w:cs="Arial"/>
          <w:color w:val="000000"/>
          <w:sz w:val="22"/>
          <w:lang w:val="es-ES" w:eastAsia="en-US"/>
        </w:rPr>
        <w:t xml:space="preserve"> frente a</w:t>
      </w:r>
      <w:r w:rsidR="00305D3C" w:rsidRPr="002A263A">
        <w:rPr>
          <w:rFonts w:ascii="Arial" w:eastAsia="Calibri" w:hAnsi="Arial" w:cs="Arial"/>
          <w:color w:val="000000"/>
          <w:sz w:val="22"/>
          <w:lang w:val="es-ES" w:eastAsia="en-US"/>
        </w:rPr>
        <w:t>l criterio de desempate establecido en el artículo 3 de la Ley 2040</w:t>
      </w:r>
      <w:r w:rsidRPr="002A263A">
        <w:rPr>
          <w:rFonts w:ascii="Arial" w:eastAsia="Calibri" w:hAnsi="Arial" w:cs="Arial"/>
          <w:color w:val="000000"/>
          <w:sz w:val="22"/>
          <w:lang w:val="es-ES" w:eastAsia="en-US"/>
        </w:rPr>
        <w:t>,</w:t>
      </w:r>
      <w:r w:rsidR="00305D3C" w:rsidRPr="002A263A">
        <w:rPr>
          <w:rFonts w:ascii="Arial" w:eastAsia="Calibri" w:hAnsi="Arial" w:cs="Arial"/>
          <w:color w:val="000000"/>
          <w:sz w:val="22"/>
          <w:lang w:val="es-ES" w:eastAsia="en-US"/>
        </w:rPr>
        <w:t xml:space="preserve"> que adicionó un parágrafo cuarto al artículo de la Ley 1150 de 2007,</w:t>
      </w:r>
      <w:r w:rsidRPr="002A263A">
        <w:rPr>
          <w:rFonts w:ascii="Arial" w:eastAsia="Calibri" w:hAnsi="Arial" w:cs="Arial"/>
          <w:color w:val="000000"/>
          <w:sz w:val="22"/>
          <w:lang w:val="es-ES" w:eastAsia="en-US"/>
        </w:rPr>
        <w:t xml:space="preserve"> </w:t>
      </w:r>
      <w:r w:rsidR="00153832" w:rsidRPr="002A263A">
        <w:rPr>
          <w:rFonts w:ascii="Arial" w:eastAsia="Calibri" w:hAnsi="Arial" w:cs="Arial"/>
          <w:color w:val="000000"/>
          <w:sz w:val="22"/>
          <w:lang w:val="es-ES" w:eastAsia="en-US"/>
        </w:rPr>
        <w:t>con base en</w:t>
      </w:r>
      <w:r w:rsidRPr="002A263A">
        <w:rPr>
          <w:rFonts w:ascii="Arial" w:eastAsia="Calibri" w:hAnsi="Arial" w:cs="Arial"/>
          <w:color w:val="000000"/>
          <w:sz w:val="22"/>
          <w:lang w:val="es-ES" w:eastAsia="en-US"/>
        </w:rPr>
        <w:t xml:space="preserve"> el ordenamiento </w:t>
      </w:r>
      <w:r w:rsidR="00153832" w:rsidRPr="002A263A">
        <w:rPr>
          <w:rFonts w:ascii="Arial" w:eastAsia="Calibri" w:hAnsi="Arial" w:cs="Arial"/>
          <w:color w:val="000000"/>
          <w:sz w:val="22"/>
          <w:lang w:val="es-ES" w:eastAsia="en-US"/>
        </w:rPr>
        <w:t xml:space="preserve">jurídico </w:t>
      </w:r>
      <w:r w:rsidRPr="002A263A">
        <w:rPr>
          <w:rFonts w:ascii="Arial" w:eastAsia="Calibri" w:hAnsi="Arial" w:cs="Arial"/>
          <w:color w:val="000000"/>
          <w:sz w:val="22"/>
          <w:lang w:val="es-ES" w:eastAsia="en-US"/>
        </w:rPr>
        <w:t>vigente</w:t>
      </w:r>
      <w:r w:rsidR="00305D3C" w:rsidRPr="002A263A">
        <w:rPr>
          <w:rFonts w:ascii="Arial" w:eastAsia="Calibri" w:hAnsi="Arial" w:cs="Arial"/>
          <w:color w:val="000000"/>
          <w:sz w:val="22"/>
          <w:lang w:val="es-ES" w:eastAsia="en-US"/>
        </w:rPr>
        <w:t xml:space="preserve"> para el momento de la expedición de </w:t>
      </w:r>
      <w:r w:rsidR="00153832" w:rsidRPr="002A263A">
        <w:rPr>
          <w:rFonts w:ascii="Arial" w:eastAsia="Calibri" w:hAnsi="Arial" w:cs="Arial"/>
          <w:color w:val="000000"/>
          <w:sz w:val="22"/>
          <w:lang w:val="es-ES" w:eastAsia="en-US"/>
        </w:rPr>
        <w:t>dicha ley</w:t>
      </w:r>
      <w:r w:rsidRPr="002A263A">
        <w:rPr>
          <w:rFonts w:ascii="Arial" w:eastAsia="Calibri" w:hAnsi="Arial" w:cs="Arial"/>
          <w:color w:val="000000"/>
          <w:sz w:val="22"/>
          <w:lang w:val="es-ES" w:eastAsia="en-US"/>
        </w:rPr>
        <w:t xml:space="preserve"> no </w:t>
      </w:r>
      <w:r w:rsidR="00305D3C" w:rsidRPr="002A263A">
        <w:rPr>
          <w:rFonts w:ascii="Arial" w:eastAsia="Calibri" w:hAnsi="Arial" w:cs="Arial"/>
          <w:color w:val="000000"/>
          <w:sz w:val="22"/>
          <w:lang w:val="es-ES" w:eastAsia="en-US"/>
        </w:rPr>
        <w:t>era</w:t>
      </w:r>
      <w:r w:rsidRPr="002A263A">
        <w:rPr>
          <w:rFonts w:ascii="Arial" w:eastAsia="Calibri" w:hAnsi="Arial" w:cs="Arial"/>
          <w:color w:val="000000"/>
          <w:sz w:val="22"/>
          <w:lang w:val="es-ES" w:eastAsia="en-US"/>
        </w:rPr>
        <w:t xml:space="preserve"> posible determinar con certeza cómo deb</w:t>
      </w:r>
      <w:r w:rsidR="00305D3C" w:rsidRPr="002A263A">
        <w:rPr>
          <w:rFonts w:ascii="Arial" w:eastAsia="Calibri" w:hAnsi="Arial" w:cs="Arial"/>
          <w:color w:val="000000"/>
          <w:sz w:val="22"/>
          <w:lang w:val="es-ES" w:eastAsia="en-US"/>
        </w:rPr>
        <w:t>ía</w:t>
      </w:r>
      <w:r w:rsidRPr="002A263A">
        <w:rPr>
          <w:rFonts w:ascii="Arial" w:eastAsia="Calibri" w:hAnsi="Arial" w:cs="Arial"/>
          <w:color w:val="000000"/>
          <w:sz w:val="22"/>
          <w:lang w:val="es-ES" w:eastAsia="en-US"/>
        </w:rPr>
        <w:t xml:space="preserve"> articularse </w:t>
      </w:r>
      <w:r w:rsidR="00153832" w:rsidRPr="002A263A">
        <w:rPr>
          <w:rFonts w:ascii="Arial" w:eastAsia="Calibri" w:hAnsi="Arial" w:cs="Arial"/>
          <w:color w:val="000000"/>
          <w:sz w:val="22"/>
          <w:lang w:val="es-ES" w:eastAsia="en-US"/>
        </w:rPr>
        <w:t>dicho criterio de desempate</w:t>
      </w:r>
      <w:r w:rsidRPr="002A263A">
        <w:rPr>
          <w:rFonts w:ascii="Arial" w:eastAsia="Calibri" w:hAnsi="Arial" w:cs="Arial"/>
          <w:color w:val="000000"/>
          <w:sz w:val="22"/>
          <w:lang w:val="es-ES" w:eastAsia="en-US"/>
        </w:rPr>
        <w:t xml:space="preserve"> con los </w:t>
      </w:r>
      <w:r w:rsidR="00847BEF" w:rsidRPr="002A263A">
        <w:rPr>
          <w:rFonts w:ascii="Arial" w:eastAsia="Calibri" w:hAnsi="Arial" w:cs="Arial"/>
          <w:color w:val="000000"/>
          <w:sz w:val="22"/>
          <w:lang w:val="es-ES" w:eastAsia="en-US"/>
        </w:rPr>
        <w:t>ya</w:t>
      </w:r>
      <w:r w:rsidRPr="002A263A">
        <w:rPr>
          <w:rFonts w:ascii="Arial" w:eastAsia="Calibri" w:hAnsi="Arial" w:cs="Arial"/>
          <w:color w:val="000000"/>
          <w:sz w:val="22"/>
          <w:lang w:val="es-ES" w:eastAsia="en-US"/>
        </w:rPr>
        <w:t xml:space="preserve"> exist</w:t>
      </w:r>
      <w:r w:rsidR="00847BEF" w:rsidRPr="002A263A">
        <w:rPr>
          <w:rFonts w:ascii="Arial" w:eastAsia="Calibri" w:hAnsi="Arial" w:cs="Arial"/>
          <w:color w:val="000000"/>
          <w:sz w:val="22"/>
          <w:lang w:val="es-ES" w:eastAsia="en-US"/>
        </w:rPr>
        <w:t>entes</w:t>
      </w:r>
      <w:r w:rsidRPr="002A263A">
        <w:rPr>
          <w:rFonts w:ascii="Arial" w:eastAsia="Calibri" w:hAnsi="Arial" w:cs="Arial"/>
          <w:color w:val="000000"/>
          <w:sz w:val="22"/>
          <w:lang w:val="es-ES" w:eastAsia="en-US"/>
        </w:rPr>
        <w:t xml:space="preserve"> en el ordenamiento. </w:t>
      </w:r>
    </w:p>
    <w:p w14:paraId="3E68AD9C" w14:textId="45483C06" w:rsidR="00C0632B" w:rsidRPr="002A263A" w:rsidRDefault="00C0632B" w:rsidP="00C0632B">
      <w:pPr>
        <w:spacing w:after="120" w:line="276" w:lineRule="auto"/>
        <w:ind w:firstLine="709"/>
        <w:jc w:val="both"/>
        <w:rPr>
          <w:rFonts w:ascii="Arial" w:eastAsia="Calibri" w:hAnsi="Arial" w:cs="Arial"/>
          <w:color w:val="000000"/>
          <w:sz w:val="22"/>
          <w:lang w:val="es-ES" w:eastAsia="en-US"/>
        </w:rPr>
      </w:pPr>
      <w:r w:rsidRPr="002A263A">
        <w:rPr>
          <w:rFonts w:ascii="Arial" w:eastAsia="Calibri" w:hAnsi="Arial" w:cs="Arial"/>
          <w:color w:val="000000"/>
          <w:sz w:val="22"/>
          <w:lang w:val="es-ES" w:eastAsia="en-US"/>
        </w:rPr>
        <w:t>En relación con este aspecto, el parágrafo 4 del artículo 12 de la Ley 1150 de 2007 simplemente orden</w:t>
      </w:r>
      <w:r w:rsidR="00305D3C" w:rsidRPr="002A263A">
        <w:rPr>
          <w:rFonts w:ascii="Arial" w:eastAsia="Calibri" w:hAnsi="Arial" w:cs="Arial"/>
          <w:color w:val="000000"/>
          <w:sz w:val="22"/>
          <w:lang w:val="es-ES" w:eastAsia="en-US"/>
        </w:rPr>
        <w:t>aba</w:t>
      </w:r>
      <w:r w:rsidRPr="002A263A">
        <w:rPr>
          <w:rFonts w:ascii="Arial" w:eastAsia="Calibri" w:hAnsi="Arial" w:cs="Arial"/>
          <w:color w:val="000000"/>
          <w:sz w:val="22"/>
          <w:lang w:val="es-ES" w:eastAsia="en-US"/>
        </w:rPr>
        <w:t xml:space="preserve"> que «se preferirá», lo cual, bajo una interpretación literal y aislada del parágrafo podía llevar a pensar que se ubica</w:t>
      </w:r>
      <w:r w:rsidR="00305D3C" w:rsidRPr="002A263A">
        <w:rPr>
          <w:rFonts w:ascii="Arial" w:eastAsia="Calibri" w:hAnsi="Arial" w:cs="Arial"/>
          <w:color w:val="000000"/>
          <w:sz w:val="22"/>
          <w:lang w:val="es-ES" w:eastAsia="en-US"/>
        </w:rPr>
        <w:t>ba</w:t>
      </w:r>
      <w:r w:rsidRPr="002A263A">
        <w:rPr>
          <w:rFonts w:ascii="Arial" w:eastAsia="Calibri" w:hAnsi="Arial" w:cs="Arial"/>
          <w:color w:val="000000"/>
          <w:sz w:val="22"/>
          <w:lang w:val="es-ES" w:eastAsia="en-US"/>
        </w:rPr>
        <w:t xml:space="preserve"> en el primer lugar, por tratarse de una ley posterior. Pero otra interpretación podría ser, </w:t>
      </w:r>
      <w:r w:rsidR="00305D3C" w:rsidRPr="002A263A">
        <w:rPr>
          <w:rFonts w:ascii="Arial" w:eastAsia="Calibri" w:hAnsi="Arial" w:cs="Arial"/>
          <w:color w:val="000000"/>
          <w:sz w:val="22"/>
          <w:lang w:val="es-ES" w:eastAsia="en-US"/>
        </w:rPr>
        <w:t>por ejemplo</w:t>
      </w:r>
      <w:r w:rsidRPr="002A263A">
        <w:rPr>
          <w:rFonts w:ascii="Arial" w:eastAsia="Calibri" w:hAnsi="Arial" w:cs="Arial"/>
          <w:color w:val="000000"/>
          <w:sz w:val="22"/>
          <w:lang w:val="es-ES" w:eastAsia="en-US"/>
        </w:rPr>
        <w:t>, que el criterio deb</w:t>
      </w:r>
      <w:r w:rsidR="00305D3C" w:rsidRPr="002A263A">
        <w:rPr>
          <w:rFonts w:ascii="Arial" w:eastAsia="Calibri" w:hAnsi="Arial" w:cs="Arial"/>
          <w:color w:val="000000"/>
          <w:sz w:val="22"/>
          <w:lang w:val="es-ES" w:eastAsia="en-US"/>
        </w:rPr>
        <w:t>ía</w:t>
      </w:r>
      <w:r w:rsidRPr="002A263A">
        <w:rPr>
          <w:rFonts w:ascii="Arial" w:eastAsia="Calibri" w:hAnsi="Arial" w:cs="Arial"/>
          <w:color w:val="000000"/>
          <w:sz w:val="22"/>
          <w:lang w:val="es-ES" w:eastAsia="en-US"/>
        </w:rPr>
        <w:t xml:space="preserve"> ubicarse en el cuarto lugar de preferencia en el orden que indica</w:t>
      </w:r>
      <w:r w:rsidR="00305D3C" w:rsidRPr="002A263A">
        <w:rPr>
          <w:rFonts w:ascii="Arial" w:eastAsia="Calibri" w:hAnsi="Arial" w:cs="Arial"/>
          <w:color w:val="000000"/>
          <w:sz w:val="22"/>
          <w:lang w:val="es-ES" w:eastAsia="en-US"/>
        </w:rPr>
        <w:t>ba en su momento</w:t>
      </w:r>
      <w:r w:rsidRPr="002A263A">
        <w:rPr>
          <w:rFonts w:ascii="Arial" w:eastAsia="Calibri" w:hAnsi="Arial" w:cs="Arial"/>
          <w:color w:val="000000"/>
          <w:sz w:val="22"/>
          <w:lang w:val="es-ES" w:eastAsia="en-US"/>
        </w:rPr>
        <w:t xml:space="preserve"> el artículo 2.2.1.1.2.2.9. del Decreto 1082 de 2015, quizás bajo la idea de que se trata</w:t>
      </w:r>
      <w:r w:rsidR="00305D3C" w:rsidRPr="002A263A">
        <w:rPr>
          <w:rFonts w:ascii="Arial" w:eastAsia="Calibri" w:hAnsi="Arial" w:cs="Arial"/>
          <w:color w:val="000000"/>
          <w:sz w:val="22"/>
          <w:lang w:val="es-ES" w:eastAsia="en-US"/>
        </w:rPr>
        <w:t>ba</w:t>
      </w:r>
      <w:r w:rsidRPr="002A263A">
        <w:rPr>
          <w:rFonts w:ascii="Arial" w:eastAsia="Calibri" w:hAnsi="Arial" w:cs="Arial"/>
          <w:color w:val="000000"/>
          <w:sz w:val="22"/>
          <w:lang w:val="es-ES" w:eastAsia="en-US"/>
        </w:rPr>
        <w:t xml:space="preserve"> del «nuevo criterio». </w:t>
      </w:r>
    </w:p>
    <w:p w14:paraId="50AAA698" w14:textId="5CE1E3C6" w:rsidR="00C41FDE" w:rsidRPr="002A263A" w:rsidRDefault="008B0C98" w:rsidP="00C0632B">
      <w:pPr>
        <w:spacing w:line="276" w:lineRule="auto"/>
        <w:ind w:firstLine="709"/>
        <w:jc w:val="both"/>
        <w:rPr>
          <w:rFonts w:ascii="Arial" w:eastAsia="Arial" w:hAnsi="Arial" w:cs="Arial"/>
          <w:sz w:val="22"/>
          <w:szCs w:val="22"/>
          <w:lang w:val="es-MX" w:eastAsia="en-US"/>
        </w:rPr>
      </w:pPr>
      <w:r w:rsidRPr="002A263A">
        <w:rPr>
          <w:rFonts w:ascii="Arial" w:eastAsia="Calibri" w:hAnsi="Arial" w:cs="Arial"/>
          <w:color w:val="000000"/>
          <w:sz w:val="22"/>
          <w:lang w:val="es-ES" w:eastAsia="en-US"/>
        </w:rPr>
        <w:t xml:space="preserve">Teniendo en cuenta i) las dificultades prácticas asociadas a la armonización de dicho criterio de desempate con los demás que estaban vigentes para el momento de expedición de </w:t>
      </w:r>
      <w:r w:rsidR="00153832" w:rsidRPr="002A263A">
        <w:rPr>
          <w:rFonts w:ascii="Arial" w:eastAsia="Calibri" w:hAnsi="Arial" w:cs="Arial"/>
          <w:color w:val="000000"/>
          <w:sz w:val="22"/>
          <w:lang w:val="es-ES" w:eastAsia="en-US"/>
        </w:rPr>
        <w:t>la Ley 2040</w:t>
      </w:r>
      <w:r w:rsidRPr="002A263A">
        <w:rPr>
          <w:rFonts w:ascii="Arial" w:eastAsia="Calibri" w:hAnsi="Arial" w:cs="Arial"/>
          <w:color w:val="000000"/>
          <w:sz w:val="22"/>
          <w:lang w:val="es-ES" w:eastAsia="en-US"/>
        </w:rPr>
        <w:t xml:space="preserve"> y</w:t>
      </w:r>
      <w:r w:rsidR="00153832" w:rsidRPr="002A263A">
        <w:rPr>
          <w:rFonts w:ascii="Arial" w:eastAsia="Calibri" w:hAnsi="Arial" w:cs="Arial"/>
          <w:color w:val="000000"/>
          <w:sz w:val="22"/>
          <w:lang w:val="es-ES" w:eastAsia="en-US"/>
        </w:rPr>
        <w:t>, especialmente,</w:t>
      </w:r>
      <w:r w:rsidRPr="002A263A">
        <w:rPr>
          <w:rFonts w:ascii="Arial" w:eastAsia="Calibri" w:hAnsi="Arial" w:cs="Arial"/>
          <w:color w:val="000000"/>
          <w:sz w:val="22"/>
          <w:lang w:val="es-ES" w:eastAsia="en-US"/>
        </w:rPr>
        <w:t xml:space="preserve"> ii) que de </w:t>
      </w:r>
      <w:r w:rsidR="00153832" w:rsidRPr="002A263A">
        <w:rPr>
          <w:rFonts w:ascii="Arial" w:eastAsia="Calibri" w:hAnsi="Arial" w:cs="Arial"/>
          <w:color w:val="000000"/>
          <w:sz w:val="22"/>
          <w:lang w:val="es-ES" w:eastAsia="en-US"/>
        </w:rPr>
        <w:t>diferente</w:t>
      </w:r>
      <w:r w:rsidR="00C41FDE" w:rsidRPr="002A263A">
        <w:rPr>
          <w:rFonts w:ascii="Arial" w:eastAsia="Calibri" w:hAnsi="Arial" w:cs="Arial"/>
          <w:color w:val="000000"/>
          <w:sz w:val="22"/>
          <w:lang w:val="es-ES" w:eastAsia="en-US"/>
        </w:rPr>
        <w:t>s apartes</w:t>
      </w:r>
      <w:r w:rsidRPr="002A263A">
        <w:rPr>
          <w:rFonts w:ascii="Arial" w:eastAsia="Calibri" w:hAnsi="Arial" w:cs="Arial"/>
          <w:color w:val="000000"/>
          <w:sz w:val="22"/>
          <w:lang w:val="es-ES" w:eastAsia="en-US"/>
        </w:rPr>
        <w:t xml:space="preserve"> de </w:t>
      </w:r>
      <w:r w:rsidR="00153832" w:rsidRPr="002A263A">
        <w:rPr>
          <w:rFonts w:ascii="Arial" w:eastAsia="Calibri" w:hAnsi="Arial" w:cs="Arial"/>
          <w:color w:val="000000"/>
          <w:sz w:val="22"/>
          <w:lang w:val="es-ES" w:eastAsia="en-US"/>
        </w:rPr>
        <w:t xml:space="preserve">dicha ley </w:t>
      </w:r>
      <w:r w:rsidRPr="002A263A">
        <w:rPr>
          <w:rFonts w:ascii="Arial" w:eastAsia="Calibri" w:hAnsi="Arial" w:cs="Arial"/>
          <w:color w:val="000000"/>
          <w:sz w:val="22"/>
          <w:lang w:val="es-ES" w:eastAsia="en-US"/>
        </w:rPr>
        <w:t xml:space="preserve">se advertía la necesidad de que el reglamento desarrollara diversos aspectos de </w:t>
      </w:r>
      <w:r w:rsidR="00153832" w:rsidRPr="002A263A">
        <w:rPr>
          <w:rFonts w:ascii="Arial" w:eastAsia="Calibri" w:hAnsi="Arial" w:cs="Arial"/>
          <w:color w:val="000000"/>
          <w:sz w:val="22"/>
          <w:lang w:val="es-ES" w:eastAsia="en-US"/>
        </w:rPr>
        <w:t>la Ley 2040</w:t>
      </w:r>
      <w:r w:rsidRPr="002A263A">
        <w:rPr>
          <w:rFonts w:ascii="Arial" w:eastAsia="Calibri" w:hAnsi="Arial" w:cs="Arial"/>
          <w:color w:val="000000"/>
          <w:sz w:val="22"/>
          <w:lang w:val="es-ES" w:eastAsia="en-US"/>
        </w:rPr>
        <w:t>, incluyendo lo relacionado con la aplicación de dicho criterio de desempate</w:t>
      </w:r>
      <w:r w:rsidR="00153832" w:rsidRPr="002A263A">
        <w:rPr>
          <w:rFonts w:ascii="Arial" w:eastAsia="Calibri" w:hAnsi="Arial" w:cs="Arial"/>
          <w:color w:val="000000"/>
          <w:sz w:val="22"/>
          <w:lang w:val="es-ES" w:eastAsia="en-US"/>
        </w:rPr>
        <w:t>,</w:t>
      </w:r>
      <w:r w:rsidRPr="002A263A">
        <w:rPr>
          <w:rFonts w:ascii="Arial" w:eastAsia="Calibri" w:hAnsi="Arial" w:cs="Arial"/>
          <w:color w:val="000000"/>
          <w:sz w:val="22"/>
          <w:lang w:val="es-ES" w:eastAsia="en-US"/>
        </w:rPr>
        <w:t xml:space="preserve"> esta </w:t>
      </w:r>
      <w:r w:rsidR="0059135A" w:rsidRPr="002A263A">
        <w:rPr>
          <w:rFonts w:ascii="Arial" w:eastAsia="Calibri" w:hAnsi="Arial" w:cs="Arial"/>
          <w:color w:val="000000"/>
          <w:sz w:val="22"/>
          <w:lang w:val="es-ES" w:eastAsia="en-US"/>
        </w:rPr>
        <w:t>S</w:t>
      </w:r>
      <w:r w:rsidRPr="002A263A">
        <w:rPr>
          <w:rFonts w:ascii="Arial" w:eastAsia="Calibri" w:hAnsi="Arial" w:cs="Arial"/>
          <w:color w:val="000000"/>
          <w:sz w:val="22"/>
          <w:lang w:val="es-ES" w:eastAsia="en-US"/>
        </w:rPr>
        <w:t>ubdirección en diversos conceptos, como los citados al inicio de estas consideraciones</w:t>
      </w:r>
      <w:r w:rsidR="0059135A" w:rsidRPr="002A263A">
        <w:rPr>
          <w:rFonts w:ascii="Arial" w:eastAsia="Calibri" w:hAnsi="Arial" w:cs="Arial"/>
          <w:color w:val="000000"/>
          <w:sz w:val="22"/>
          <w:lang w:val="es-ES" w:eastAsia="en-US"/>
        </w:rPr>
        <w:t>,</w:t>
      </w:r>
      <w:r w:rsidRPr="002A263A">
        <w:rPr>
          <w:rFonts w:ascii="Arial" w:eastAsia="Calibri" w:hAnsi="Arial" w:cs="Arial"/>
          <w:color w:val="000000"/>
          <w:sz w:val="22"/>
          <w:lang w:val="es-ES" w:eastAsia="en-US"/>
        </w:rPr>
        <w:t xml:space="preserve"> expresó su postura en el sentido de que dicho criterio de desempate requería del reglamento para su efectiva aplicación</w:t>
      </w:r>
      <w:r w:rsidR="0059135A" w:rsidRPr="002A263A">
        <w:rPr>
          <w:rFonts w:ascii="Arial" w:eastAsia="Calibri" w:hAnsi="Arial" w:cs="Arial"/>
          <w:color w:val="000000"/>
          <w:sz w:val="22"/>
          <w:lang w:val="es-ES" w:eastAsia="en-US"/>
        </w:rPr>
        <w:t>.</w:t>
      </w:r>
      <w:r w:rsidRPr="002A263A">
        <w:rPr>
          <w:rFonts w:ascii="Arial" w:eastAsia="Calibri" w:hAnsi="Arial" w:cs="Arial"/>
          <w:color w:val="000000"/>
          <w:sz w:val="22"/>
          <w:lang w:val="es-ES" w:eastAsia="en-US"/>
        </w:rPr>
        <w:t xml:space="preserve"> </w:t>
      </w:r>
      <w:r w:rsidR="0059135A" w:rsidRPr="002A263A">
        <w:rPr>
          <w:rFonts w:ascii="Arial" w:eastAsia="Calibri" w:hAnsi="Arial" w:cs="Arial"/>
          <w:color w:val="000000"/>
          <w:sz w:val="22"/>
          <w:lang w:val="es-ES" w:eastAsia="en-US"/>
        </w:rPr>
        <w:t xml:space="preserve">En relación con este </w:t>
      </w:r>
      <w:r w:rsidRPr="002A263A">
        <w:rPr>
          <w:rFonts w:ascii="Arial" w:eastAsia="Calibri" w:hAnsi="Arial" w:cs="Arial"/>
          <w:color w:val="000000"/>
          <w:sz w:val="22"/>
          <w:lang w:val="es-ES" w:eastAsia="en-US"/>
        </w:rPr>
        <w:t>aspecto</w:t>
      </w:r>
      <w:r w:rsidR="0059135A" w:rsidRPr="002A263A">
        <w:rPr>
          <w:rFonts w:ascii="Arial" w:eastAsia="Calibri" w:hAnsi="Arial" w:cs="Arial"/>
          <w:color w:val="000000"/>
          <w:sz w:val="22"/>
          <w:lang w:val="es-ES" w:eastAsia="en-US"/>
        </w:rPr>
        <w:t>,</w:t>
      </w:r>
      <w:r w:rsidRPr="002A263A">
        <w:rPr>
          <w:rFonts w:ascii="Arial" w:eastAsia="Calibri" w:hAnsi="Arial" w:cs="Arial"/>
          <w:color w:val="000000"/>
          <w:sz w:val="22"/>
          <w:lang w:val="es-ES" w:eastAsia="en-US"/>
        </w:rPr>
        <w:t xml:space="preserve"> se remite al peticionario, por ejemplo, al concepto </w:t>
      </w:r>
      <w:r w:rsidRPr="002A263A">
        <w:rPr>
          <w:rFonts w:ascii="Arial" w:eastAsia="Arial" w:hAnsi="Arial" w:cs="Arial"/>
          <w:sz w:val="22"/>
          <w:szCs w:val="22"/>
          <w:lang w:val="es-MX" w:eastAsia="en-US"/>
        </w:rPr>
        <w:t>C-690 de 20 de noviembre de 2020</w:t>
      </w:r>
      <w:r w:rsidRPr="002A263A">
        <w:rPr>
          <w:rStyle w:val="Refdenotaalpie"/>
          <w:rFonts w:ascii="Arial" w:eastAsia="Arial" w:hAnsi="Arial" w:cs="Arial"/>
          <w:sz w:val="22"/>
          <w:szCs w:val="22"/>
          <w:lang w:val="es-MX" w:eastAsia="en-US"/>
        </w:rPr>
        <w:footnoteReference w:id="5"/>
      </w:r>
      <w:r w:rsidR="00410956" w:rsidRPr="002A263A">
        <w:rPr>
          <w:rFonts w:ascii="Arial" w:eastAsia="Arial" w:hAnsi="Arial" w:cs="Arial"/>
          <w:sz w:val="22"/>
          <w:szCs w:val="22"/>
          <w:lang w:val="es-MX" w:eastAsia="en-US"/>
        </w:rPr>
        <w:t>.</w:t>
      </w:r>
      <w:r w:rsidR="00153832" w:rsidRPr="002A263A">
        <w:rPr>
          <w:rFonts w:ascii="Arial" w:eastAsia="Arial" w:hAnsi="Arial" w:cs="Arial"/>
          <w:sz w:val="22"/>
          <w:szCs w:val="22"/>
          <w:lang w:val="es-MX" w:eastAsia="en-US"/>
        </w:rPr>
        <w:t xml:space="preserve"> </w:t>
      </w:r>
    </w:p>
    <w:p w14:paraId="6BD2F6BE" w14:textId="77777777" w:rsidR="00C41FDE" w:rsidRPr="002A263A" w:rsidRDefault="00C41FDE" w:rsidP="00C0632B">
      <w:pPr>
        <w:spacing w:line="276" w:lineRule="auto"/>
        <w:ind w:firstLine="709"/>
        <w:jc w:val="both"/>
        <w:rPr>
          <w:rFonts w:ascii="Arial" w:eastAsia="Arial" w:hAnsi="Arial" w:cs="Arial"/>
          <w:sz w:val="22"/>
          <w:szCs w:val="22"/>
          <w:lang w:val="es-MX" w:eastAsia="en-US"/>
        </w:rPr>
      </w:pPr>
    </w:p>
    <w:p w14:paraId="55385EA2" w14:textId="3DC5E445" w:rsidR="00C0632B" w:rsidRPr="002A263A" w:rsidRDefault="00153832" w:rsidP="00C0632B">
      <w:pPr>
        <w:spacing w:line="276" w:lineRule="auto"/>
        <w:ind w:firstLine="709"/>
        <w:jc w:val="both"/>
        <w:rPr>
          <w:rFonts w:ascii="Arial" w:eastAsia="Calibri" w:hAnsi="Arial" w:cs="Arial"/>
          <w:color w:val="000000"/>
          <w:sz w:val="22"/>
          <w:lang w:val="es-ES" w:eastAsia="en-US"/>
        </w:rPr>
      </w:pPr>
      <w:r w:rsidRPr="002A263A">
        <w:rPr>
          <w:rFonts w:ascii="Arial" w:eastAsia="Arial" w:hAnsi="Arial" w:cs="Arial"/>
          <w:sz w:val="22"/>
          <w:szCs w:val="22"/>
          <w:lang w:val="es-MX" w:eastAsia="en-US"/>
        </w:rPr>
        <w:t>En conclusión, como se advertirá, dicho criterio de desempate no logró tener aplicación, pues la reglamentación a que se hizo referencia no se expidió</w:t>
      </w:r>
      <w:r w:rsidR="00F32263" w:rsidRPr="002A263A">
        <w:rPr>
          <w:rFonts w:ascii="Arial" w:eastAsia="Arial" w:hAnsi="Arial" w:cs="Arial"/>
          <w:sz w:val="22"/>
          <w:szCs w:val="22"/>
          <w:lang w:val="es-MX" w:eastAsia="en-US"/>
        </w:rPr>
        <w:t>.</w:t>
      </w:r>
      <w:r w:rsidRPr="002A263A">
        <w:rPr>
          <w:rFonts w:ascii="Arial" w:eastAsia="Arial" w:hAnsi="Arial" w:cs="Arial"/>
          <w:sz w:val="22"/>
          <w:szCs w:val="22"/>
          <w:lang w:val="es-MX" w:eastAsia="en-US"/>
        </w:rPr>
        <w:t xml:space="preserve"> </w:t>
      </w:r>
      <w:r w:rsidR="00F32263" w:rsidRPr="002A263A">
        <w:rPr>
          <w:rFonts w:ascii="Arial" w:eastAsia="Arial" w:hAnsi="Arial" w:cs="Arial"/>
          <w:sz w:val="22"/>
          <w:szCs w:val="22"/>
          <w:lang w:val="es-MX" w:eastAsia="en-US"/>
        </w:rPr>
        <w:t>Además, porque</w:t>
      </w:r>
      <w:r w:rsidRPr="002A263A">
        <w:rPr>
          <w:rFonts w:ascii="Arial" w:eastAsia="Arial" w:hAnsi="Arial" w:cs="Arial"/>
          <w:sz w:val="22"/>
          <w:szCs w:val="22"/>
          <w:lang w:val="es-MX" w:eastAsia="en-US"/>
        </w:rPr>
        <w:t xml:space="preserve"> posteriormente se sancionó la Ley 2069 de 2020 que, como se advertirá, </w:t>
      </w:r>
      <w:r w:rsidR="00162065" w:rsidRPr="002A263A">
        <w:rPr>
          <w:rFonts w:ascii="Arial" w:eastAsia="Arial" w:hAnsi="Arial" w:cs="Arial"/>
          <w:sz w:val="22"/>
          <w:szCs w:val="22"/>
          <w:lang w:val="es-MX" w:eastAsia="en-US"/>
        </w:rPr>
        <w:t xml:space="preserve">en su artículo 35 </w:t>
      </w:r>
      <w:r w:rsidRPr="002A263A">
        <w:rPr>
          <w:rFonts w:ascii="Arial" w:eastAsia="Arial" w:hAnsi="Arial" w:cs="Arial"/>
          <w:sz w:val="22"/>
          <w:szCs w:val="22"/>
          <w:lang w:val="es-MX" w:eastAsia="en-US"/>
        </w:rPr>
        <w:t>regula los factores de desempate que actualmente aplican en los procedimientos de selección y</w:t>
      </w:r>
      <w:r w:rsidR="00162065" w:rsidRPr="002A263A">
        <w:rPr>
          <w:rFonts w:ascii="Arial" w:eastAsia="Arial" w:hAnsi="Arial" w:cs="Arial"/>
          <w:sz w:val="22"/>
          <w:szCs w:val="22"/>
          <w:lang w:val="es-MX" w:eastAsia="en-US"/>
        </w:rPr>
        <w:t>,</w:t>
      </w:r>
      <w:r w:rsidRPr="002A263A">
        <w:rPr>
          <w:rFonts w:ascii="Arial" w:eastAsia="Arial" w:hAnsi="Arial" w:cs="Arial"/>
          <w:sz w:val="22"/>
          <w:szCs w:val="22"/>
          <w:lang w:val="es-MX" w:eastAsia="en-US"/>
        </w:rPr>
        <w:t xml:space="preserve"> además</w:t>
      </w:r>
      <w:r w:rsidR="00162065" w:rsidRPr="002A263A">
        <w:rPr>
          <w:rFonts w:ascii="Arial" w:eastAsia="Arial" w:hAnsi="Arial" w:cs="Arial"/>
          <w:sz w:val="22"/>
          <w:szCs w:val="22"/>
          <w:lang w:val="es-MX" w:eastAsia="en-US"/>
        </w:rPr>
        <w:t>, su artículo 34</w:t>
      </w:r>
      <w:r w:rsidRPr="002A263A">
        <w:rPr>
          <w:rFonts w:ascii="Arial" w:eastAsia="Arial" w:hAnsi="Arial" w:cs="Arial"/>
          <w:sz w:val="22"/>
          <w:szCs w:val="22"/>
          <w:lang w:val="es-MX" w:eastAsia="en-US"/>
        </w:rPr>
        <w:t xml:space="preserve"> modificó el artículo 12 de la Ley 1150 de 2007, de manera que el contenido normativo del parágrafo 4 de dicho artículo, que en su momento lo adicionó el artículo 3 de la Ley 2040 de 2020, desapareció de nuestro ordenamiento jurídico</w:t>
      </w:r>
      <w:r w:rsidR="00710A74" w:rsidRPr="002A263A">
        <w:rPr>
          <w:rFonts w:ascii="Arial" w:eastAsia="Arial" w:hAnsi="Arial" w:cs="Arial"/>
          <w:sz w:val="22"/>
          <w:szCs w:val="22"/>
          <w:lang w:val="es-MX" w:eastAsia="en-US"/>
        </w:rPr>
        <w:t xml:space="preserve"> al ser derogado</w:t>
      </w:r>
      <w:r w:rsidRPr="002A263A">
        <w:rPr>
          <w:rFonts w:ascii="Arial" w:eastAsia="Arial" w:hAnsi="Arial" w:cs="Arial"/>
          <w:sz w:val="22"/>
          <w:szCs w:val="22"/>
          <w:lang w:val="es-MX" w:eastAsia="en-US"/>
        </w:rPr>
        <w:t>, por lo que dicho parágrafo 4 actualmente no está vigente.</w:t>
      </w:r>
    </w:p>
    <w:p w14:paraId="27D423AC" w14:textId="60EC0E60" w:rsidR="005244FC" w:rsidRPr="00934769" w:rsidRDefault="005244FC" w:rsidP="00934769">
      <w:pPr>
        <w:spacing w:before="120" w:line="276" w:lineRule="auto"/>
        <w:jc w:val="both"/>
        <w:rPr>
          <w:rFonts w:ascii="Arial" w:eastAsia="Calibri" w:hAnsi="Arial" w:cs="Arial"/>
          <w:color w:val="000000" w:themeColor="text1"/>
          <w:sz w:val="22"/>
          <w:szCs w:val="22"/>
          <w:lang w:val="es-ES_tradnl"/>
        </w:rPr>
      </w:pPr>
      <w:r w:rsidRPr="002A263A">
        <w:rPr>
          <w:rFonts w:ascii="Arial" w:eastAsia="Calibri" w:hAnsi="Arial" w:cs="Arial"/>
          <w:b/>
          <w:bCs/>
          <w:color w:val="000000" w:themeColor="text1"/>
          <w:sz w:val="22"/>
          <w:szCs w:val="22"/>
          <w:lang w:val="es-ES_tradnl"/>
        </w:rPr>
        <w:t>2.</w:t>
      </w:r>
      <w:r w:rsidR="0060586D" w:rsidRPr="002A263A">
        <w:rPr>
          <w:rFonts w:ascii="Arial" w:eastAsia="Calibri" w:hAnsi="Arial" w:cs="Arial"/>
          <w:b/>
          <w:bCs/>
          <w:color w:val="000000" w:themeColor="text1"/>
          <w:sz w:val="22"/>
          <w:szCs w:val="22"/>
          <w:lang w:val="es-ES_tradnl"/>
        </w:rPr>
        <w:t>3</w:t>
      </w:r>
      <w:r w:rsidRPr="002A263A">
        <w:rPr>
          <w:rFonts w:ascii="Arial" w:eastAsia="Calibri" w:hAnsi="Arial" w:cs="Arial"/>
          <w:b/>
          <w:bCs/>
          <w:color w:val="000000" w:themeColor="text1"/>
          <w:sz w:val="22"/>
          <w:szCs w:val="22"/>
          <w:lang w:val="es-ES_tradnl"/>
        </w:rPr>
        <w:t xml:space="preserve">. Vigencia y ámbito de aplicación de la Ley </w:t>
      </w:r>
      <w:r w:rsidR="007B209C" w:rsidRPr="002A263A">
        <w:rPr>
          <w:rFonts w:ascii="Arial" w:eastAsia="Calibri" w:hAnsi="Arial" w:cs="Arial"/>
          <w:b/>
          <w:bCs/>
          <w:color w:val="000000" w:themeColor="text1"/>
          <w:sz w:val="22"/>
          <w:szCs w:val="22"/>
          <w:lang w:val="es-ES_tradnl"/>
        </w:rPr>
        <w:t>2069</w:t>
      </w:r>
      <w:r w:rsidRPr="002A263A">
        <w:rPr>
          <w:rFonts w:ascii="Arial" w:eastAsia="Calibri" w:hAnsi="Arial" w:cs="Arial"/>
          <w:b/>
          <w:bCs/>
          <w:color w:val="000000" w:themeColor="text1"/>
          <w:sz w:val="22"/>
          <w:szCs w:val="22"/>
          <w:lang w:val="es-ES_tradnl"/>
        </w:rPr>
        <w:t xml:space="preserve"> de 2020</w:t>
      </w:r>
    </w:p>
    <w:p w14:paraId="10695754" w14:textId="77777777" w:rsidR="005244FC" w:rsidRPr="00742BED" w:rsidRDefault="005244FC" w:rsidP="005244FC">
      <w:pPr>
        <w:spacing w:line="276" w:lineRule="auto"/>
        <w:jc w:val="both"/>
        <w:rPr>
          <w:rFonts w:ascii="Arial" w:eastAsia="Calibri" w:hAnsi="Arial" w:cs="Arial"/>
          <w:color w:val="000000" w:themeColor="text1"/>
          <w:sz w:val="22"/>
          <w:szCs w:val="22"/>
          <w:lang w:val="es-ES_tradnl"/>
        </w:rPr>
      </w:pPr>
    </w:p>
    <w:p w14:paraId="37909170" w14:textId="77777777" w:rsidR="00CC1C03" w:rsidRPr="00742BED" w:rsidRDefault="00CC1C03" w:rsidP="00CC1C03">
      <w:pPr>
        <w:spacing w:line="276" w:lineRule="auto"/>
        <w:jc w:val="both"/>
        <w:rPr>
          <w:rFonts w:ascii="Arial" w:eastAsia="Calibri" w:hAnsi="Arial" w:cs="Arial"/>
          <w:color w:val="000000" w:themeColor="text1"/>
          <w:sz w:val="22"/>
          <w:szCs w:val="22"/>
          <w:lang w:val="es-ES_tradnl"/>
        </w:rPr>
      </w:pPr>
      <w:r w:rsidRPr="00742BED">
        <w:rPr>
          <w:rFonts w:ascii="Arial" w:eastAsia="Calibri" w:hAnsi="Arial" w:cs="Arial"/>
          <w:color w:val="000000" w:themeColor="text1"/>
          <w:sz w:val="22"/>
          <w:szCs w:val="22"/>
          <w:lang w:val="es-ES_tradnl"/>
        </w:rPr>
        <w:t xml:space="preserve">El 31 de diciembre de 2020 se promulgó la Ley 2069, «Por medio de la cual se impulsa el emprendimiento en Colombia». De acuerdo con el artículo 84 de dicho cuerpo normativo, </w:t>
      </w:r>
      <w:r w:rsidRPr="00742BED">
        <w:rPr>
          <w:rFonts w:ascii="Arial" w:eastAsia="Calibri" w:hAnsi="Arial" w:cs="Arial"/>
          <w:color w:val="000000" w:themeColor="text1"/>
          <w:sz w:val="22"/>
          <w:szCs w:val="22"/>
          <w:lang w:val="es-ES_tradnl"/>
        </w:rPr>
        <w:lastRenderedPageBreak/>
        <w:t>«La presente Ley rige a partir del momento de su promulgación […]», lo que significa que es obligatoria para sus destinatarios desde esa fecha. Lo anterior, sin perjuicio de la posibilidad de que el gobierno nacional, en ejercicio de la potestad reglamentaria que le confiere el artículo 189, numeral 11, de la Constitución Política, expida el decreto correspondiente que permita la cumplida ejecución de esta Ley.</w:t>
      </w:r>
    </w:p>
    <w:p w14:paraId="40284C15" w14:textId="7AC9C2B3" w:rsidR="00CC1C03" w:rsidRPr="00742BED" w:rsidRDefault="00CC1C03" w:rsidP="00CC1C03">
      <w:pPr>
        <w:spacing w:before="120" w:line="276" w:lineRule="auto"/>
        <w:ind w:firstLine="709"/>
        <w:jc w:val="both"/>
        <w:rPr>
          <w:rFonts w:ascii="Arial" w:eastAsia="Calibri" w:hAnsi="Arial" w:cs="Arial"/>
          <w:color w:val="000000" w:themeColor="text1"/>
          <w:sz w:val="22"/>
          <w:szCs w:val="22"/>
          <w:lang w:val="es-ES_tradnl"/>
        </w:rPr>
      </w:pPr>
      <w:r w:rsidRPr="00742BED">
        <w:rPr>
          <w:rFonts w:ascii="Arial" w:eastAsia="Calibri" w:hAnsi="Arial" w:cs="Arial"/>
          <w:color w:val="000000" w:themeColor="text1"/>
          <w:sz w:val="22"/>
          <w:szCs w:val="22"/>
          <w:lang w:val="es-ES_tradnl"/>
        </w:rPr>
        <w:t xml:space="preserve">En cuanto a su contenido, es importante señalar que, como dispone el artículo 1, aquella «tiene por objeto establecer un marco regulatorio que propicie el emprendimiento y el crecimiento, consolidación y sostenibilidad de las empresas, con el fin de aumentar el bienestar social y generar equidad». </w:t>
      </w:r>
      <w:r w:rsidR="0084008B" w:rsidRPr="00742BED">
        <w:rPr>
          <w:rFonts w:ascii="Arial" w:eastAsia="Calibri" w:hAnsi="Arial" w:cs="Arial"/>
          <w:color w:val="000000" w:themeColor="text1"/>
          <w:sz w:val="22"/>
          <w:szCs w:val="22"/>
          <w:lang w:val="es-ES_tradnl"/>
        </w:rPr>
        <w:t>Lo anterior</w:t>
      </w:r>
      <w:r w:rsidRPr="00742BED">
        <w:rPr>
          <w:rFonts w:ascii="Arial" w:eastAsia="Calibri" w:hAnsi="Arial" w:cs="Arial"/>
          <w:color w:val="000000" w:themeColor="text1"/>
          <w:sz w:val="22"/>
          <w:szCs w:val="22"/>
          <w:lang w:val="es-ES_tradnl"/>
        </w:rPr>
        <w:t xml:space="preserve">, a partir de «[…] un enfoque regionalizado </w:t>
      </w:r>
      <w:proofErr w:type="gramStart"/>
      <w:r w:rsidRPr="00742BED">
        <w:rPr>
          <w:rFonts w:ascii="Arial" w:eastAsia="Calibri" w:hAnsi="Arial" w:cs="Arial"/>
          <w:color w:val="000000" w:themeColor="text1"/>
          <w:sz w:val="22"/>
          <w:szCs w:val="22"/>
          <w:lang w:val="es-ES_tradnl"/>
        </w:rPr>
        <w:t>de acuerdo a</w:t>
      </w:r>
      <w:proofErr w:type="gramEnd"/>
      <w:r w:rsidRPr="00742BED">
        <w:rPr>
          <w:rFonts w:ascii="Arial" w:eastAsia="Calibri" w:hAnsi="Arial" w:cs="Arial"/>
          <w:color w:val="000000" w:themeColor="text1"/>
          <w:sz w:val="22"/>
          <w:szCs w:val="22"/>
          <w:lang w:val="es-ES_tradnl"/>
        </w:rPr>
        <w:t xml:space="preserve"> las realidades socioeconómicas de cada región». En desarrollo de esta finalidad, se establecen medidas de apoyo para las micro, pequeñas y medianas empresas –</w:t>
      </w:r>
      <w:proofErr w:type="spellStart"/>
      <w:r w:rsidRPr="00742BED">
        <w:rPr>
          <w:rFonts w:ascii="Arial" w:eastAsia="Calibri" w:hAnsi="Arial" w:cs="Arial"/>
          <w:color w:val="000000" w:themeColor="text1"/>
          <w:sz w:val="22"/>
          <w:szCs w:val="22"/>
          <w:lang w:val="es-ES_tradnl"/>
        </w:rPr>
        <w:t>mipymes</w:t>
      </w:r>
      <w:proofErr w:type="spellEnd"/>
      <w:r w:rsidRPr="00742BED">
        <w:rPr>
          <w:rFonts w:ascii="Arial" w:eastAsia="Calibri" w:hAnsi="Arial" w:cs="Arial"/>
          <w:color w:val="000000" w:themeColor="text1"/>
          <w:sz w:val="22"/>
          <w:szCs w:val="22"/>
          <w:lang w:val="es-ES_tradnl"/>
        </w:rPr>
        <w:t>–, mediante la racionalización y simplificación de los trámites y tarifas</w:t>
      </w:r>
      <w:r w:rsidRPr="00742BED">
        <w:rPr>
          <w:rStyle w:val="Refdenotaalpie"/>
          <w:rFonts w:ascii="Arial" w:eastAsia="Calibri" w:hAnsi="Arial" w:cs="Arial"/>
          <w:color w:val="000000" w:themeColor="text1"/>
          <w:sz w:val="22"/>
          <w:szCs w:val="22"/>
          <w:lang w:val="es-ES_tradnl"/>
        </w:rPr>
        <w:footnoteReference w:id="6"/>
      </w:r>
      <w:r w:rsidRPr="00742BED">
        <w:rPr>
          <w:rFonts w:ascii="Arial" w:eastAsia="Calibri" w:hAnsi="Arial" w:cs="Arial"/>
          <w:color w:val="000000" w:themeColor="text1"/>
          <w:sz w:val="22"/>
          <w:szCs w:val="22"/>
          <w:lang w:val="es-ES_tradnl"/>
        </w:rPr>
        <w:t>, así como incentivos a favor de aquellas dentro del sistema de compras y contratación pública</w:t>
      </w:r>
      <w:r w:rsidRPr="00742BED">
        <w:rPr>
          <w:rStyle w:val="Refdenotaalpie"/>
          <w:rFonts w:ascii="Arial" w:eastAsia="Calibri" w:hAnsi="Arial" w:cs="Arial"/>
          <w:color w:val="000000" w:themeColor="text1"/>
          <w:sz w:val="22"/>
          <w:szCs w:val="22"/>
          <w:lang w:val="es-ES_tradnl"/>
        </w:rPr>
        <w:footnoteReference w:id="7"/>
      </w:r>
      <w:r w:rsidRPr="00742BED">
        <w:rPr>
          <w:rFonts w:ascii="Arial" w:eastAsia="Calibri" w:hAnsi="Arial" w:cs="Arial"/>
          <w:color w:val="000000" w:themeColor="text1"/>
          <w:sz w:val="22"/>
          <w:szCs w:val="22"/>
          <w:lang w:val="es-ES_tradnl"/>
        </w:rPr>
        <w:t>. De igual forma, se consagran mecanismos de acceso al financiamiento</w:t>
      </w:r>
      <w:r w:rsidRPr="00742BED">
        <w:rPr>
          <w:rStyle w:val="Refdenotaalpie"/>
          <w:rFonts w:ascii="Arial" w:eastAsia="Calibri" w:hAnsi="Arial" w:cs="Arial"/>
          <w:color w:val="000000" w:themeColor="text1"/>
          <w:sz w:val="22"/>
          <w:szCs w:val="22"/>
          <w:lang w:val="es-ES_tradnl"/>
        </w:rPr>
        <w:footnoteReference w:id="8"/>
      </w:r>
      <w:r w:rsidRPr="00742BED">
        <w:rPr>
          <w:rFonts w:ascii="Arial" w:eastAsia="Calibri" w:hAnsi="Arial" w:cs="Arial"/>
          <w:color w:val="000000" w:themeColor="text1"/>
          <w:sz w:val="22"/>
          <w:szCs w:val="22"/>
          <w:lang w:val="es-ES_tradnl"/>
        </w:rPr>
        <w:t>, se unifican las fuentes de emprendimiento y de desarrollo empresarial, para fortalecer y promover los distintos sectores de la economía</w:t>
      </w:r>
      <w:r w:rsidRPr="00742BED">
        <w:rPr>
          <w:rStyle w:val="Refdenotaalpie"/>
          <w:rFonts w:ascii="Arial" w:eastAsia="Calibri" w:hAnsi="Arial" w:cs="Arial"/>
          <w:color w:val="000000" w:themeColor="text1"/>
          <w:sz w:val="22"/>
          <w:szCs w:val="22"/>
          <w:lang w:val="es-ES_tradnl"/>
        </w:rPr>
        <w:footnoteReference w:id="9"/>
      </w:r>
      <w:r w:rsidRPr="00742BED">
        <w:rPr>
          <w:rFonts w:ascii="Arial" w:eastAsia="Calibri" w:hAnsi="Arial" w:cs="Arial"/>
          <w:color w:val="000000" w:themeColor="text1"/>
          <w:sz w:val="22"/>
          <w:szCs w:val="22"/>
          <w:lang w:val="es-ES_tradnl"/>
        </w:rPr>
        <w:t xml:space="preserve"> y se prevén medidas de educación para el emprendimiento y la innovación</w:t>
      </w:r>
      <w:r w:rsidRPr="00742BED">
        <w:rPr>
          <w:rStyle w:val="Refdenotaalpie"/>
          <w:rFonts w:ascii="Arial" w:eastAsia="Calibri" w:hAnsi="Arial" w:cs="Arial"/>
          <w:color w:val="000000" w:themeColor="text1"/>
          <w:sz w:val="22"/>
          <w:szCs w:val="22"/>
          <w:lang w:val="es-ES_tradnl"/>
        </w:rPr>
        <w:footnoteReference w:id="10"/>
      </w:r>
      <w:r w:rsidRPr="00742BED">
        <w:rPr>
          <w:rFonts w:ascii="Arial" w:eastAsia="Calibri" w:hAnsi="Arial" w:cs="Arial"/>
          <w:color w:val="000000" w:themeColor="text1"/>
          <w:sz w:val="22"/>
          <w:szCs w:val="22"/>
          <w:lang w:val="es-ES_tradnl"/>
        </w:rPr>
        <w:t>.</w:t>
      </w:r>
    </w:p>
    <w:p w14:paraId="3BCBDE62" w14:textId="5AF064D8" w:rsidR="00367603" w:rsidRPr="002A263A" w:rsidRDefault="00CC1C03" w:rsidP="00367603">
      <w:pPr>
        <w:spacing w:before="120" w:line="276" w:lineRule="auto"/>
        <w:ind w:firstLine="709"/>
        <w:jc w:val="both"/>
        <w:rPr>
          <w:rFonts w:ascii="Arial" w:eastAsia="Calibri" w:hAnsi="Arial" w:cs="Arial"/>
          <w:color w:val="000000" w:themeColor="text1"/>
          <w:sz w:val="22"/>
          <w:szCs w:val="22"/>
          <w:lang w:val="es-ES_tradnl"/>
        </w:rPr>
      </w:pPr>
      <w:r w:rsidRPr="00742BED">
        <w:rPr>
          <w:rFonts w:ascii="Arial" w:eastAsia="Calibri" w:hAnsi="Arial" w:cs="Arial"/>
          <w:color w:val="000000" w:themeColor="text1"/>
          <w:sz w:val="22"/>
          <w:szCs w:val="22"/>
          <w:lang w:val="es-ES_tradnl"/>
        </w:rPr>
        <w:t xml:space="preserve">Como se indicó, parte de la Ley 2069 contiene normas que modifican algunos aspectos de la contratación estatal para promover el emprendimiento. Concretamente, aquellas se encuentran en el Capítulo III –artículos 30 al 36–. En su orden, tales artículos consagran: i) reglas sobre la participación de las </w:t>
      </w:r>
      <w:proofErr w:type="spellStart"/>
      <w:r w:rsidRPr="00742BED">
        <w:rPr>
          <w:rFonts w:ascii="Arial" w:eastAsia="Calibri" w:hAnsi="Arial" w:cs="Arial"/>
          <w:color w:val="000000" w:themeColor="text1"/>
          <w:sz w:val="22"/>
          <w:szCs w:val="22"/>
          <w:lang w:val="es-ES_tradnl"/>
        </w:rPr>
        <w:t>mipymes</w:t>
      </w:r>
      <w:proofErr w:type="spellEnd"/>
      <w:r w:rsidRPr="00742BED">
        <w:rPr>
          <w:rFonts w:ascii="Arial" w:eastAsia="Calibri" w:hAnsi="Arial" w:cs="Arial"/>
          <w:color w:val="000000" w:themeColor="text1"/>
          <w:sz w:val="22"/>
          <w:szCs w:val="22"/>
          <w:lang w:val="es-ES_tradnl"/>
        </w:rPr>
        <w:t xml:space="preserve"> en el procedimiento de mínima cuantía, ii) criterios diferenciales para </w:t>
      </w:r>
      <w:proofErr w:type="spellStart"/>
      <w:r w:rsidRPr="00742BED">
        <w:rPr>
          <w:rFonts w:ascii="Arial" w:eastAsia="Calibri" w:hAnsi="Arial" w:cs="Arial"/>
          <w:color w:val="000000" w:themeColor="text1"/>
          <w:sz w:val="22"/>
          <w:szCs w:val="22"/>
          <w:lang w:val="es-ES_tradnl"/>
        </w:rPr>
        <w:t>mipymes</w:t>
      </w:r>
      <w:proofErr w:type="spellEnd"/>
      <w:r w:rsidRPr="00742BED">
        <w:rPr>
          <w:rFonts w:ascii="Arial" w:eastAsia="Calibri" w:hAnsi="Arial" w:cs="Arial"/>
          <w:color w:val="000000" w:themeColor="text1"/>
          <w:sz w:val="22"/>
          <w:szCs w:val="22"/>
          <w:lang w:val="es-ES_tradnl"/>
        </w:rPr>
        <w:t xml:space="preserve"> en el sistema de compras públicas, iii) criterios diferenciales para emprendimientos y empresas de mujeres en el sistema de compras públicas, iv) promoción del acceso de las </w:t>
      </w:r>
      <w:proofErr w:type="spellStart"/>
      <w:r w:rsidRPr="00742BED">
        <w:rPr>
          <w:rFonts w:ascii="Arial" w:eastAsia="Calibri" w:hAnsi="Arial" w:cs="Arial"/>
          <w:color w:val="000000" w:themeColor="text1"/>
          <w:sz w:val="22"/>
          <w:szCs w:val="22"/>
          <w:lang w:val="es-ES_tradnl"/>
        </w:rPr>
        <w:t>mipymes</w:t>
      </w:r>
      <w:proofErr w:type="spellEnd"/>
      <w:r w:rsidRPr="00742BED">
        <w:rPr>
          <w:rFonts w:ascii="Arial" w:eastAsia="Calibri" w:hAnsi="Arial" w:cs="Arial"/>
          <w:color w:val="000000" w:themeColor="text1"/>
          <w:sz w:val="22"/>
          <w:szCs w:val="22"/>
          <w:lang w:val="es-ES_tradnl"/>
        </w:rPr>
        <w:t xml:space="preserve"> al mercado de compras públicas, v) promoción del desarrollo en la contratación pública, vi) un nuevo régimen de </w:t>
      </w:r>
      <w:r w:rsidRPr="002A263A">
        <w:rPr>
          <w:rFonts w:ascii="Arial" w:eastAsia="Calibri" w:hAnsi="Arial" w:cs="Arial"/>
          <w:color w:val="000000" w:themeColor="text1"/>
          <w:sz w:val="22"/>
          <w:szCs w:val="22"/>
          <w:lang w:val="es-ES_tradnl"/>
        </w:rPr>
        <w:t xml:space="preserve">factores de desempate y vi) un llamado a las entidades estatales para que promuevan compras públicas en el marco de la tecnología y la innovación. </w:t>
      </w:r>
      <w:r w:rsidR="00367603" w:rsidRPr="002A263A">
        <w:rPr>
          <w:rFonts w:ascii="Arial" w:eastAsia="Calibri" w:hAnsi="Arial" w:cs="Arial"/>
          <w:color w:val="000000" w:themeColor="text1"/>
          <w:sz w:val="22"/>
          <w:szCs w:val="22"/>
          <w:lang w:val="es-ES_tradnl"/>
        </w:rPr>
        <w:t xml:space="preserve">Teniendo en cuenta que la consulta está relacionada con los criterios de desempate y su acreditación, </w:t>
      </w:r>
      <w:r w:rsidR="00A61EF5" w:rsidRPr="002A263A">
        <w:rPr>
          <w:rFonts w:ascii="Arial" w:eastAsia="Calibri" w:hAnsi="Arial" w:cs="Arial"/>
          <w:color w:val="000000" w:themeColor="text1"/>
          <w:sz w:val="22"/>
          <w:szCs w:val="22"/>
          <w:lang w:val="es-ES_tradnl"/>
        </w:rPr>
        <w:t>en el numeral siguiente</w:t>
      </w:r>
      <w:r w:rsidR="00367603" w:rsidRPr="002A263A">
        <w:rPr>
          <w:rFonts w:ascii="Arial" w:eastAsia="Calibri" w:hAnsi="Arial" w:cs="Arial"/>
          <w:color w:val="000000" w:themeColor="text1"/>
          <w:sz w:val="22"/>
          <w:szCs w:val="22"/>
          <w:lang w:val="es-ES_tradnl"/>
        </w:rPr>
        <w:t xml:space="preserve"> se estudiará el contenido y alcance del artículo 35 de dicha norma. </w:t>
      </w:r>
    </w:p>
    <w:p w14:paraId="45884F44" w14:textId="57C5A8F2" w:rsidR="00162065" w:rsidRPr="002A263A" w:rsidRDefault="00710A74" w:rsidP="00367603">
      <w:pPr>
        <w:spacing w:before="120" w:line="276" w:lineRule="auto"/>
        <w:ind w:firstLine="709"/>
        <w:jc w:val="both"/>
        <w:rPr>
          <w:rFonts w:ascii="Arial" w:eastAsia="Calibri" w:hAnsi="Arial" w:cs="Arial"/>
          <w:color w:val="000000" w:themeColor="text1"/>
          <w:sz w:val="22"/>
          <w:szCs w:val="22"/>
          <w:lang w:val="es-ES_tradnl"/>
        </w:rPr>
      </w:pPr>
      <w:r w:rsidRPr="002A263A">
        <w:rPr>
          <w:rFonts w:ascii="Arial" w:eastAsia="Calibri" w:hAnsi="Arial" w:cs="Arial"/>
          <w:color w:val="000000" w:themeColor="text1"/>
          <w:sz w:val="22"/>
          <w:szCs w:val="22"/>
          <w:lang w:val="es-ES_tradnl"/>
        </w:rPr>
        <w:lastRenderedPageBreak/>
        <w:t>Previo a ello</w:t>
      </w:r>
      <w:r w:rsidR="005F140A" w:rsidRPr="002A263A">
        <w:rPr>
          <w:rFonts w:ascii="Arial" w:eastAsia="Calibri" w:hAnsi="Arial" w:cs="Arial"/>
          <w:color w:val="000000" w:themeColor="text1"/>
          <w:sz w:val="22"/>
          <w:szCs w:val="22"/>
          <w:lang w:val="es-ES_tradnl"/>
        </w:rPr>
        <w:t>,</w:t>
      </w:r>
      <w:r w:rsidRPr="002A263A">
        <w:rPr>
          <w:rFonts w:ascii="Arial" w:eastAsia="Calibri" w:hAnsi="Arial" w:cs="Arial"/>
          <w:color w:val="000000" w:themeColor="text1"/>
          <w:sz w:val="22"/>
          <w:szCs w:val="22"/>
          <w:lang w:val="es-ES_tradnl"/>
        </w:rPr>
        <w:t xml:space="preserve"> es importante destacar</w:t>
      </w:r>
      <w:r w:rsidR="005F140A" w:rsidRPr="002A263A">
        <w:rPr>
          <w:rFonts w:ascii="Arial" w:eastAsia="Calibri" w:hAnsi="Arial" w:cs="Arial"/>
          <w:color w:val="000000" w:themeColor="text1"/>
          <w:sz w:val="22"/>
          <w:szCs w:val="22"/>
          <w:lang w:val="es-ES_tradnl"/>
        </w:rPr>
        <w:t>,</w:t>
      </w:r>
      <w:r w:rsidRPr="002A263A">
        <w:rPr>
          <w:rFonts w:ascii="Arial" w:eastAsia="Calibri" w:hAnsi="Arial" w:cs="Arial"/>
          <w:color w:val="000000" w:themeColor="text1"/>
          <w:sz w:val="22"/>
          <w:szCs w:val="22"/>
          <w:lang w:val="es-ES_tradnl"/>
        </w:rPr>
        <w:t xml:space="preserve"> </w:t>
      </w:r>
      <w:r w:rsidR="005F140A" w:rsidRPr="002A263A">
        <w:rPr>
          <w:rFonts w:ascii="Arial" w:eastAsia="Calibri" w:hAnsi="Arial" w:cs="Arial"/>
          <w:color w:val="000000" w:themeColor="text1"/>
          <w:sz w:val="22"/>
          <w:szCs w:val="22"/>
          <w:lang w:val="es-ES_tradnl"/>
        </w:rPr>
        <w:t>como se advirtió con anterioridad, que el artículo 3 de la Ley 2040 de 2020, norma que se analizó en el numeral anterior, introdujo un parágrafo 4 al artículo 12 de la Ley 1150 de 2007; sin embargo, esta última disposición fue modificada por el artículo 34 de la Ley 2069 de 2020, que derogó el contenido normativo establecido en el parágrafo 4, de manera que actualmente el artículo 12 de la Ley 1150 de 2007 tiene el siguiente contenido</w:t>
      </w:r>
      <w:r w:rsidR="00A61EF5" w:rsidRPr="002A263A">
        <w:rPr>
          <w:rFonts w:ascii="Arial" w:eastAsia="Calibri" w:hAnsi="Arial" w:cs="Arial"/>
          <w:color w:val="000000" w:themeColor="text1"/>
          <w:sz w:val="22"/>
          <w:szCs w:val="22"/>
          <w:lang w:val="es-ES_tradnl"/>
        </w:rPr>
        <w:t>, de acuerdo con lo establecido en el artículo 34 de la Ley 2069</w:t>
      </w:r>
      <w:r w:rsidR="005F140A" w:rsidRPr="002A263A">
        <w:rPr>
          <w:rFonts w:ascii="Arial" w:eastAsia="Calibri" w:hAnsi="Arial" w:cs="Arial"/>
          <w:color w:val="000000" w:themeColor="text1"/>
          <w:sz w:val="22"/>
          <w:szCs w:val="22"/>
          <w:lang w:val="es-ES_tradnl"/>
        </w:rPr>
        <w:t>:</w:t>
      </w:r>
    </w:p>
    <w:p w14:paraId="5625478A" w14:textId="413764CF" w:rsidR="00A61EF5" w:rsidRPr="00102106" w:rsidRDefault="00A61EF5" w:rsidP="005F140A">
      <w:pPr>
        <w:spacing w:before="120"/>
        <w:ind w:left="709" w:right="709"/>
        <w:jc w:val="both"/>
        <w:rPr>
          <w:rFonts w:ascii="Arial" w:eastAsia="Calibri" w:hAnsi="Arial" w:cs="Arial"/>
          <w:color w:val="000000" w:themeColor="text1"/>
          <w:sz w:val="21"/>
          <w:szCs w:val="21"/>
          <w:lang w:val="es-ES_tradnl"/>
        </w:rPr>
      </w:pPr>
      <w:r w:rsidRPr="00592353">
        <w:rPr>
          <w:rStyle w:val="Textoennegrita"/>
          <w:rFonts w:ascii="Arial" w:hAnsi="Arial" w:cs="Arial"/>
          <w:b w:val="0"/>
          <w:bCs w:val="0"/>
          <w:color w:val="000000"/>
          <w:sz w:val="21"/>
          <w:szCs w:val="21"/>
        </w:rPr>
        <w:t>ARTÍCULO 34.</w:t>
      </w:r>
      <w:r w:rsidRPr="00592353">
        <w:rPr>
          <w:rStyle w:val="nfasis"/>
          <w:rFonts w:ascii="Arial" w:hAnsi="Arial" w:cs="Arial"/>
          <w:color w:val="000000"/>
          <w:sz w:val="21"/>
          <w:szCs w:val="21"/>
        </w:rPr>
        <w:t> PROMOCIÓN DEL DESARROLLO EN LA CONTRATACIÓN PÚBLICA</w:t>
      </w:r>
      <w:r w:rsidRPr="00592353">
        <w:rPr>
          <w:rFonts w:ascii="Arial" w:hAnsi="Arial" w:cs="Arial"/>
          <w:color w:val="000000"/>
          <w:sz w:val="21"/>
          <w:szCs w:val="21"/>
        </w:rPr>
        <w:t>. Modifíquese el artículo 12 de la Ley 1150 de 2007, el cual quedará así: </w:t>
      </w:r>
    </w:p>
    <w:p w14:paraId="6FCE34D7" w14:textId="69C4EF3B" w:rsidR="005F140A" w:rsidRPr="00592353" w:rsidRDefault="00A61EF5" w:rsidP="00592353">
      <w:pPr>
        <w:spacing w:before="120"/>
        <w:ind w:left="709" w:right="709"/>
        <w:jc w:val="both"/>
        <w:rPr>
          <w:rFonts w:ascii="Arial" w:eastAsia="Calibri" w:hAnsi="Arial" w:cs="Arial"/>
          <w:color w:val="000000" w:themeColor="text1"/>
          <w:sz w:val="21"/>
          <w:szCs w:val="21"/>
          <w:lang w:val="es-ES_tradnl"/>
        </w:rPr>
      </w:pPr>
      <w:r w:rsidRPr="00102106">
        <w:rPr>
          <w:rFonts w:ascii="Arial" w:eastAsia="Calibri" w:hAnsi="Arial" w:cs="Arial"/>
          <w:color w:val="000000" w:themeColor="text1"/>
          <w:sz w:val="21"/>
          <w:szCs w:val="21"/>
          <w:lang w:val="es-ES_tradnl"/>
        </w:rPr>
        <w:t>«</w:t>
      </w:r>
      <w:r w:rsidR="005F140A" w:rsidRPr="00592353">
        <w:rPr>
          <w:rFonts w:ascii="Arial" w:eastAsia="Calibri" w:hAnsi="Arial" w:cs="Arial"/>
          <w:color w:val="000000" w:themeColor="text1"/>
          <w:sz w:val="21"/>
          <w:szCs w:val="21"/>
          <w:lang w:val="es-ES_tradnl"/>
        </w:rPr>
        <w:t xml:space="preserve">ARTÍCULO 12. Promoción del desarrollo en la contratación pública.  </w:t>
      </w:r>
    </w:p>
    <w:p w14:paraId="7D5E0B47" w14:textId="77777777" w:rsidR="005F140A" w:rsidRPr="00592353" w:rsidRDefault="005F140A" w:rsidP="00592353">
      <w:pPr>
        <w:spacing w:before="120"/>
        <w:ind w:left="709" w:right="709"/>
        <w:jc w:val="both"/>
        <w:rPr>
          <w:rFonts w:ascii="Arial" w:eastAsia="Calibri" w:hAnsi="Arial" w:cs="Arial"/>
          <w:color w:val="000000" w:themeColor="text1"/>
          <w:sz w:val="21"/>
          <w:szCs w:val="21"/>
          <w:lang w:val="es-ES_tradnl"/>
        </w:rPr>
      </w:pPr>
      <w:r w:rsidRPr="00592353">
        <w:rPr>
          <w:rFonts w:ascii="Arial" w:eastAsia="Calibri" w:hAnsi="Arial" w:cs="Arial"/>
          <w:color w:val="000000" w:themeColor="text1"/>
          <w:sz w:val="21"/>
          <w:szCs w:val="21"/>
          <w:lang w:val="es-ES_tradnl"/>
        </w:rPr>
        <w:t xml:space="preserve">De conformidad con lo dispuesto en los artículos 13, 333 Y 334 de la Constitución Política, el Gobierno Nacional definirá las condiciones y los montos de acuerdo con los compromisos internacionales vigentes, para que, en desarrollo de los Procesos de Contratación, las Entidades Estatales indistintamente de su régimen de contratación, los patrimonios autónomos constituidos por Entidades Estatales y los particulares que ejecuten recursos públicos, adopten en beneficio de las </w:t>
      </w:r>
      <w:proofErr w:type="spellStart"/>
      <w:r w:rsidRPr="00592353">
        <w:rPr>
          <w:rFonts w:ascii="Arial" w:eastAsia="Calibri" w:hAnsi="Arial" w:cs="Arial"/>
          <w:color w:val="000000" w:themeColor="text1"/>
          <w:sz w:val="21"/>
          <w:szCs w:val="21"/>
          <w:lang w:val="es-ES_tradnl"/>
        </w:rPr>
        <w:t>MiPymes</w:t>
      </w:r>
      <w:proofErr w:type="spellEnd"/>
      <w:r w:rsidRPr="00592353">
        <w:rPr>
          <w:rFonts w:ascii="Arial" w:eastAsia="Calibri" w:hAnsi="Arial" w:cs="Arial"/>
          <w:color w:val="000000" w:themeColor="text1"/>
          <w:sz w:val="21"/>
          <w:szCs w:val="21"/>
          <w:lang w:val="es-ES_tradnl"/>
        </w:rPr>
        <w:t xml:space="preserve">, convocatorias limitadas a estas en las que, previo a la Resolución de apertura del proceso respectivo, se haya manifestado el interés de por lo menos dos (2) </w:t>
      </w:r>
      <w:proofErr w:type="spellStart"/>
      <w:r w:rsidRPr="00592353">
        <w:rPr>
          <w:rFonts w:ascii="Arial" w:eastAsia="Calibri" w:hAnsi="Arial" w:cs="Arial"/>
          <w:color w:val="000000" w:themeColor="text1"/>
          <w:sz w:val="21"/>
          <w:szCs w:val="21"/>
          <w:lang w:val="es-ES_tradnl"/>
        </w:rPr>
        <w:t>MiPymes</w:t>
      </w:r>
      <w:proofErr w:type="spellEnd"/>
      <w:r w:rsidRPr="00592353">
        <w:rPr>
          <w:rFonts w:ascii="Arial" w:eastAsia="Calibri" w:hAnsi="Arial" w:cs="Arial"/>
          <w:color w:val="000000" w:themeColor="text1"/>
          <w:sz w:val="21"/>
          <w:szCs w:val="21"/>
          <w:lang w:val="es-ES_tradnl"/>
        </w:rPr>
        <w:t xml:space="preserve">.  </w:t>
      </w:r>
    </w:p>
    <w:p w14:paraId="05501537" w14:textId="77777777" w:rsidR="005F140A" w:rsidRPr="00592353" w:rsidRDefault="005F140A" w:rsidP="00592353">
      <w:pPr>
        <w:spacing w:before="120"/>
        <w:ind w:left="709" w:right="709"/>
        <w:jc w:val="both"/>
        <w:rPr>
          <w:rFonts w:ascii="Arial" w:eastAsia="Calibri" w:hAnsi="Arial" w:cs="Arial"/>
          <w:color w:val="000000" w:themeColor="text1"/>
          <w:sz w:val="21"/>
          <w:szCs w:val="21"/>
          <w:lang w:val="es-ES_tradnl"/>
        </w:rPr>
      </w:pPr>
      <w:r w:rsidRPr="00592353">
        <w:rPr>
          <w:rFonts w:ascii="Arial" w:eastAsia="Calibri" w:hAnsi="Arial" w:cs="Arial"/>
          <w:color w:val="000000" w:themeColor="text1"/>
          <w:sz w:val="21"/>
          <w:szCs w:val="21"/>
          <w:lang w:val="es-ES_tradnl"/>
        </w:rPr>
        <w:t xml:space="preserve">Asimismo, el reglamento podrá establecer condiciones preferenciales en favor de la oferta de bienes y. servicios producidos por las </w:t>
      </w:r>
      <w:proofErr w:type="spellStart"/>
      <w:r w:rsidRPr="00592353">
        <w:rPr>
          <w:rFonts w:ascii="Arial" w:eastAsia="Calibri" w:hAnsi="Arial" w:cs="Arial"/>
          <w:color w:val="000000" w:themeColor="text1"/>
          <w:sz w:val="21"/>
          <w:szCs w:val="21"/>
          <w:lang w:val="es-ES_tradnl"/>
        </w:rPr>
        <w:t>MiPymes</w:t>
      </w:r>
      <w:proofErr w:type="spellEnd"/>
      <w:r w:rsidRPr="00592353">
        <w:rPr>
          <w:rFonts w:ascii="Arial" w:eastAsia="Calibri" w:hAnsi="Arial" w:cs="Arial"/>
          <w:color w:val="000000" w:themeColor="text1"/>
          <w:sz w:val="21"/>
          <w:szCs w:val="21"/>
          <w:lang w:val="es-ES_tradnl"/>
        </w:rPr>
        <w:t xml:space="preserve"> respetando los montos y las condiciones contenidas en los compromisos internacionales vigentes, cuando sean aplicables.  </w:t>
      </w:r>
    </w:p>
    <w:p w14:paraId="037708F7" w14:textId="77777777" w:rsidR="005F140A" w:rsidRPr="00592353" w:rsidRDefault="005F140A" w:rsidP="00592353">
      <w:pPr>
        <w:spacing w:before="120"/>
        <w:ind w:left="709" w:right="709"/>
        <w:jc w:val="both"/>
        <w:rPr>
          <w:rFonts w:ascii="Arial" w:eastAsia="Calibri" w:hAnsi="Arial" w:cs="Arial"/>
          <w:color w:val="000000" w:themeColor="text1"/>
          <w:sz w:val="21"/>
          <w:szCs w:val="21"/>
          <w:lang w:val="es-ES_tradnl"/>
        </w:rPr>
      </w:pPr>
      <w:r w:rsidRPr="00592353">
        <w:rPr>
          <w:rFonts w:ascii="Arial" w:eastAsia="Calibri" w:hAnsi="Arial" w:cs="Arial"/>
          <w:color w:val="000000" w:themeColor="text1"/>
          <w:sz w:val="21"/>
          <w:szCs w:val="21"/>
          <w:lang w:val="es-ES_tradnl"/>
        </w:rPr>
        <w:t xml:space="preserve">En todo caso, se deberá garantizar la satisfacción de las condiciones técnicas y económicas requeridas en el Proceso de Contratación.  </w:t>
      </w:r>
    </w:p>
    <w:p w14:paraId="6E77C840" w14:textId="77777777" w:rsidR="005F140A" w:rsidRPr="00592353" w:rsidRDefault="005F140A" w:rsidP="00592353">
      <w:pPr>
        <w:spacing w:before="120"/>
        <w:ind w:left="709" w:right="709"/>
        <w:jc w:val="both"/>
        <w:rPr>
          <w:rFonts w:ascii="Arial" w:eastAsia="Calibri" w:hAnsi="Arial" w:cs="Arial"/>
          <w:color w:val="000000" w:themeColor="text1"/>
          <w:sz w:val="21"/>
          <w:szCs w:val="21"/>
          <w:lang w:val="es-ES_tradnl"/>
        </w:rPr>
      </w:pPr>
      <w:r w:rsidRPr="00592353">
        <w:rPr>
          <w:rFonts w:ascii="Arial" w:eastAsia="Calibri" w:hAnsi="Arial" w:cs="Arial"/>
          <w:color w:val="000000" w:themeColor="text1"/>
          <w:sz w:val="21"/>
          <w:szCs w:val="21"/>
          <w:lang w:val="es-ES_tradnl"/>
        </w:rPr>
        <w:t xml:space="preserve">De igual forma, en los pliegos de condiciones dispondrán, de mecanismos que fomenten en la ejecución de los contratos estatales la provisión de bienes y servicios por población en pobreza extrema, desplazados por la violencia, personas en proceso de reintegración o reincorporación y, sujetos de especial protección constitucional en las condiciones que señale el reglamento; siempre que se garanticen las condiciones de calidad y cumplimiento del objeto contractual.  </w:t>
      </w:r>
    </w:p>
    <w:p w14:paraId="2EFE1C10" w14:textId="77777777" w:rsidR="005F140A" w:rsidRPr="00592353" w:rsidRDefault="005F140A" w:rsidP="00592353">
      <w:pPr>
        <w:spacing w:before="120"/>
        <w:ind w:left="709" w:right="709"/>
        <w:jc w:val="both"/>
        <w:rPr>
          <w:rFonts w:ascii="Arial" w:eastAsia="Calibri" w:hAnsi="Arial" w:cs="Arial"/>
          <w:color w:val="000000" w:themeColor="text1"/>
          <w:sz w:val="21"/>
          <w:szCs w:val="21"/>
          <w:lang w:val="es-ES_tradnl"/>
        </w:rPr>
      </w:pPr>
      <w:r w:rsidRPr="00592353">
        <w:rPr>
          <w:rFonts w:ascii="Arial" w:eastAsia="Calibri" w:hAnsi="Arial" w:cs="Arial"/>
          <w:color w:val="000000" w:themeColor="text1"/>
          <w:sz w:val="21"/>
          <w:szCs w:val="21"/>
          <w:lang w:val="es-ES_tradnl"/>
        </w:rPr>
        <w:t xml:space="preserve">PARÁGRAFO PRIMERO. En los Procesos de Contratación que se desarrollen con base en el primer inciso, las entidades podrán realizar las convocatorias limitadas que beneficien a las </w:t>
      </w:r>
      <w:proofErr w:type="spellStart"/>
      <w:r w:rsidRPr="00592353">
        <w:rPr>
          <w:rFonts w:ascii="Arial" w:eastAsia="Calibri" w:hAnsi="Arial" w:cs="Arial"/>
          <w:color w:val="000000" w:themeColor="text1"/>
          <w:sz w:val="21"/>
          <w:szCs w:val="21"/>
          <w:lang w:val="es-ES_tradnl"/>
        </w:rPr>
        <w:t>MiPymes</w:t>
      </w:r>
      <w:proofErr w:type="spellEnd"/>
      <w:r w:rsidRPr="00592353">
        <w:rPr>
          <w:rFonts w:ascii="Arial" w:eastAsia="Calibri" w:hAnsi="Arial" w:cs="Arial"/>
          <w:color w:val="000000" w:themeColor="text1"/>
          <w:sz w:val="21"/>
          <w:szCs w:val="21"/>
          <w:lang w:val="es-ES_tradnl"/>
        </w:rPr>
        <w:t xml:space="preserve"> del ámbito municipal o departamental correspondiente al de la ejecución del contrato.  </w:t>
      </w:r>
    </w:p>
    <w:p w14:paraId="1428FAA6" w14:textId="6EE359F9" w:rsidR="005F140A" w:rsidRPr="002A263A" w:rsidRDefault="005F140A" w:rsidP="00592353">
      <w:pPr>
        <w:spacing w:before="120"/>
        <w:ind w:left="709" w:right="709"/>
        <w:jc w:val="both"/>
        <w:rPr>
          <w:rFonts w:ascii="Arial" w:eastAsia="Calibri" w:hAnsi="Arial" w:cs="Arial"/>
          <w:color w:val="000000" w:themeColor="text1"/>
          <w:sz w:val="21"/>
          <w:szCs w:val="21"/>
          <w:lang w:val="es-ES_tradnl"/>
        </w:rPr>
      </w:pPr>
      <w:r w:rsidRPr="00592353">
        <w:rPr>
          <w:rFonts w:ascii="Arial" w:eastAsia="Calibri" w:hAnsi="Arial" w:cs="Arial"/>
          <w:color w:val="000000" w:themeColor="text1"/>
          <w:sz w:val="21"/>
          <w:szCs w:val="21"/>
          <w:lang w:val="es-ES_tradnl"/>
        </w:rPr>
        <w:t xml:space="preserve">PARÁGRAFO SEGUNDO. Sin perjuicio de lo dispuesto en los artículos 5 y 6 de la Ley 1150 de 2007, para que las </w:t>
      </w:r>
      <w:proofErr w:type="spellStart"/>
      <w:r w:rsidRPr="00592353">
        <w:rPr>
          <w:rFonts w:ascii="Arial" w:eastAsia="Calibri" w:hAnsi="Arial" w:cs="Arial"/>
          <w:color w:val="000000" w:themeColor="text1"/>
          <w:sz w:val="21"/>
          <w:szCs w:val="21"/>
          <w:lang w:val="es-ES_tradnl"/>
        </w:rPr>
        <w:t>Mipymes</w:t>
      </w:r>
      <w:proofErr w:type="spellEnd"/>
      <w:r w:rsidRPr="00592353">
        <w:rPr>
          <w:rFonts w:ascii="Arial" w:eastAsia="Calibri" w:hAnsi="Arial" w:cs="Arial"/>
          <w:color w:val="000000" w:themeColor="text1"/>
          <w:sz w:val="21"/>
          <w:szCs w:val="21"/>
          <w:lang w:val="es-ES_tradnl"/>
        </w:rPr>
        <w:t xml:space="preserve"> puedan participar en las convocatorias a las que se refiere este artículo, deberán acreditar como mínimo un </w:t>
      </w:r>
      <w:r w:rsidRPr="002A263A">
        <w:rPr>
          <w:rFonts w:ascii="Arial" w:eastAsia="Calibri" w:hAnsi="Arial" w:cs="Arial"/>
          <w:color w:val="000000" w:themeColor="text1"/>
          <w:sz w:val="21"/>
          <w:szCs w:val="21"/>
          <w:lang w:val="es-ES_tradnl"/>
        </w:rPr>
        <w:t xml:space="preserve">año de existencia, para lo cual deberán presentar el certificado expedido por la cámara de comercio o por la autoridad que sea competente para dicha · acreditación.  </w:t>
      </w:r>
    </w:p>
    <w:p w14:paraId="2475FAA8" w14:textId="43862186" w:rsidR="005F140A" w:rsidRPr="002A263A" w:rsidRDefault="005F140A" w:rsidP="00592353">
      <w:pPr>
        <w:spacing w:before="120"/>
        <w:ind w:left="709" w:right="709"/>
        <w:jc w:val="both"/>
        <w:rPr>
          <w:rFonts w:ascii="Arial" w:eastAsia="Calibri" w:hAnsi="Arial" w:cs="Arial"/>
          <w:color w:val="000000" w:themeColor="text1"/>
          <w:sz w:val="21"/>
          <w:szCs w:val="21"/>
          <w:lang w:val="es-ES_tradnl"/>
        </w:rPr>
      </w:pPr>
      <w:r w:rsidRPr="002A263A">
        <w:rPr>
          <w:rFonts w:ascii="Arial" w:eastAsia="Calibri" w:hAnsi="Arial" w:cs="Arial"/>
          <w:color w:val="000000" w:themeColor="text1"/>
          <w:sz w:val="21"/>
          <w:szCs w:val="21"/>
          <w:lang w:val="es-ES_tradnl"/>
        </w:rPr>
        <w:lastRenderedPageBreak/>
        <w:t>PARÁGRAFO TERCERO. En la ejecución de los contratos a que se refiere el presente artículo, las entidades y los contratistas, deberán observar lo dispuesto en los artículos 90 a 95 de la Ley 418 de 1997 y las normas que la modifiquen, adicionen o subroguen</w:t>
      </w:r>
      <w:r w:rsidR="00A61EF5" w:rsidRPr="002A263A">
        <w:rPr>
          <w:rFonts w:ascii="Arial" w:eastAsia="Calibri" w:hAnsi="Arial" w:cs="Arial"/>
          <w:color w:val="000000" w:themeColor="text1"/>
          <w:sz w:val="21"/>
          <w:szCs w:val="21"/>
          <w:lang w:val="es-ES_tradnl"/>
        </w:rPr>
        <w:t>»</w:t>
      </w:r>
      <w:r w:rsidRPr="002A263A">
        <w:rPr>
          <w:rFonts w:ascii="Arial" w:eastAsia="Calibri" w:hAnsi="Arial" w:cs="Arial"/>
          <w:color w:val="000000" w:themeColor="text1"/>
          <w:sz w:val="21"/>
          <w:szCs w:val="21"/>
          <w:lang w:val="es-ES_tradnl"/>
        </w:rPr>
        <w:t>.</w:t>
      </w:r>
    </w:p>
    <w:p w14:paraId="5A1C7C83" w14:textId="2C53D467" w:rsidR="00367603" w:rsidRPr="002A263A" w:rsidRDefault="00367603" w:rsidP="00592353">
      <w:pPr>
        <w:spacing w:line="276" w:lineRule="auto"/>
        <w:jc w:val="both"/>
        <w:rPr>
          <w:rFonts w:ascii="Arial" w:eastAsia="Calibri" w:hAnsi="Arial" w:cs="Arial"/>
          <w:color w:val="000000"/>
          <w:sz w:val="22"/>
          <w:szCs w:val="22"/>
          <w:lang w:val="es-ES_tradnl"/>
        </w:rPr>
      </w:pPr>
    </w:p>
    <w:p w14:paraId="27084611" w14:textId="4695EA82" w:rsidR="00A61EF5" w:rsidRPr="002A263A" w:rsidRDefault="00A61EF5" w:rsidP="00592353">
      <w:pPr>
        <w:spacing w:line="276" w:lineRule="auto"/>
        <w:jc w:val="both"/>
        <w:rPr>
          <w:rFonts w:ascii="Arial" w:eastAsia="Calibri" w:hAnsi="Arial" w:cs="Arial"/>
          <w:color w:val="000000"/>
          <w:sz w:val="22"/>
          <w:szCs w:val="22"/>
          <w:lang w:val="es-ES_tradnl"/>
        </w:rPr>
      </w:pPr>
      <w:r w:rsidRPr="002A263A">
        <w:rPr>
          <w:rFonts w:ascii="Arial" w:eastAsia="Calibri" w:hAnsi="Arial" w:cs="Arial"/>
          <w:color w:val="000000"/>
          <w:sz w:val="22"/>
          <w:szCs w:val="22"/>
          <w:lang w:val="es-ES_tradnl"/>
        </w:rPr>
        <w:tab/>
        <w:t>En conclusión, el artículo 34 de la Ley 2069 de 2020 suprimió el contenido del parágrafo 4 del artículo 12 de la Ley 1150 de 2007, que en su momento introdujo el artículo 3 de la Ley 2040 de 2020. De otro lado, como se explicará, el artículo 35 de la Ley 2069 reguló los factores de desempate aplicables en la contratación estatal, estableciendo en su interior un criterio similar al de la ley anterior, por lo que la regulación actual de los criterios de desempate debe realizarse con fundamento en la Ley 2069 de 2020.</w:t>
      </w:r>
    </w:p>
    <w:p w14:paraId="00ED57F4" w14:textId="77777777" w:rsidR="00A61EF5" w:rsidRPr="002A263A" w:rsidRDefault="00A61EF5" w:rsidP="00367603">
      <w:pPr>
        <w:spacing w:before="120" w:line="276" w:lineRule="auto"/>
        <w:jc w:val="both"/>
        <w:rPr>
          <w:rFonts w:ascii="Arial" w:eastAsia="Calibri" w:hAnsi="Arial" w:cs="Arial"/>
          <w:color w:val="000000"/>
          <w:sz w:val="22"/>
          <w:szCs w:val="22"/>
          <w:lang w:val="es-ES_tradnl"/>
        </w:rPr>
      </w:pPr>
    </w:p>
    <w:p w14:paraId="2C2833A6" w14:textId="5359A8DB" w:rsidR="00833ADA" w:rsidRPr="002A263A" w:rsidRDefault="00523F41" w:rsidP="00833ADA">
      <w:pPr>
        <w:spacing w:line="276" w:lineRule="auto"/>
        <w:jc w:val="both"/>
        <w:rPr>
          <w:rFonts w:ascii="Arial" w:eastAsia="Calibri" w:hAnsi="Arial" w:cs="Arial"/>
          <w:b/>
          <w:bCs/>
          <w:color w:val="000000" w:themeColor="text1"/>
          <w:sz w:val="22"/>
          <w:szCs w:val="22"/>
          <w:lang w:val="es-ES_tradnl"/>
        </w:rPr>
      </w:pPr>
      <w:r w:rsidRPr="002A263A">
        <w:rPr>
          <w:rFonts w:ascii="Arial" w:eastAsia="Calibri" w:hAnsi="Arial" w:cs="Arial"/>
          <w:b/>
          <w:bCs/>
          <w:color w:val="000000" w:themeColor="text1"/>
          <w:sz w:val="22"/>
          <w:szCs w:val="22"/>
          <w:lang w:val="es-ES_tradnl"/>
        </w:rPr>
        <w:t>2.</w:t>
      </w:r>
      <w:r w:rsidR="0060586D" w:rsidRPr="002A263A">
        <w:rPr>
          <w:rFonts w:ascii="Arial" w:eastAsia="Calibri" w:hAnsi="Arial" w:cs="Arial"/>
          <w:b/>
          <w:bCs/>
          <w:color w:val="000000" w:themeColor="text1"/>
          <w:sz w:val="22"/>
          <w:szCs w:val="22"/>
          <w:lang w:val="es-ES_tradnl"/>
        </w:rPr>
        <w:t>4</w:t>
      </w:r>
      <w:r w:rsidRPr="002A263A">
        <w:rPr>
          <w:rFonts w:ascii="Arial" w:eastAsia="Calibri" w:hAnsi="Arial" w:cs="Arial"/>
          <w:b/>
          <w:bCs/>
          <w:color w:val="000000" w:themeColor="text1"/>
          <w:sz w:val="22"/>
          <w:szCs w:val="22"/>
          <w:lang w:val="es-ES_tradnl"/>
        </w:rPr>
        <w:t>.</w:t>
      </w:r>
      <w:r w:rsidR="00833ADA" w:rsidRPr="002A263A">
        <w:rPr>
          <w:rFonts w:ascii="Arial" w:eastAsia="Calibri" w:hAnsi="Arial" w:cs="Arial"/>
          <w:b/>
          <w:bCs/>
          <w:color w:val="000000" w:themeColor="text1"/>
          <w:sz w:val="22"/>
          <w:szCs w:val="22"/>
          <w:lang w:val="es-ES_tradnl"/>
        </w:rPr>
        <w:t xml:space="preserve"> Forma de acreditación de</w:t>
      </w:r>
      <w:r w:rsidR="00367603" w:rsidRPr="002A263A">
        <w:rPr>
          <w:rFonts w:ascii="Arial" w:eastAsia="Calibri" w:hAnsi="Arial" w:cs="Arial"/>
          <w:b/>
          <w:bCs/>
          <w:color w:val="000000" w:themeColor="text1"/>
          <w:sz w:val="22"/>
          <w:szCs w:val="22"/>
          <w:lang w:val="es-ES_tradnl"/>
        </w:rPr>
        <w:t xml:space="preserve"> los </w:t>
      </w:r>
      <w:r w:rsidR="00833ADA" w:rsidRPr="002A263A">
        <w:rPr>
          <w:rFonts w:ascii="Arial" w:eastAsia="Calibri" w:hAnsi="Arial" w:cs="Arial"/>
          <w:b/>
          <w:bCs/>
          <w:color w:val="000000" w:themeColor="text1"/>
          <w:sz w:val="22"/>
          <w:szCs w:val="22"/>
          <w:lang w:val="es-ES_tradnl"/>
        </w:rPr>
        <w:t>factor</w:t>
      </w:r>
      <w:r w:rsidR="00367603" w:rsidRPr="002A263A">
        <w:rPr>
          <w:rFonts w:ascii="Arial" w:eastAsia="Calibri" w:hAnsi="Arial" w:cs="Arial"/>
          <w:b/>
          <w:bCs/>
          <w:color w:val="000000" w:themeColor="text1"/>
          <w:sz w:val="22"/>
          <w:szCs w:val="22"/>
          <w:lang w:val="es-ES_tradnl"/>
        </w:rPr>
        <w:t>es</w:t>
      </w:r>
      <w:r w:rsidR="00833ADA" w:rsidRPr="002A263A">
        <w:rPr>
          <w:rFonts w:ascii="Arial" w:eastAsia="Calibri" w:hAnsi="Arial" w:cs="Arial"/>
          <w:b/>
          <w:bCs/>
          <w:color w:val="000000" w:themeColor="text1"/>
          <w:sz w:val="22"/>
          <w:szCs w:val="22"/>
          <w:lang w:val="es-ES_tradnl"/>
        </w:rPr>
        <w:t xml:space="preserve"> de desempate consagrado</w:t>
      </w:r>
      <w:r w:rsidR="00367603" w:rsidRPr="002A263A">
        <w:rPr>
          <w:rFonts w:ascii="Arial" w:eastAsia="Calibri" w:hAnsi="Arial" w:cs="Arial"/>
          <w:b/>
          <w:bCs/>
          <w:color w:val="000000" w:themeColor="text1"/>
          <w:sz w:val="22"/>
          <w:szCs w:val="22"/>
          <w:lang w:val="es-ES_tradnl"/>
        </w:rPr>
        <w:t>s</w:t>
      </w:r>
      <w:r w:rsidR="00833ADA" w:rsidRPr="002A263A">
        <w:rPr>
          <w:rFonts w:ascii="Arial" w:eastAsia="Calibri" w:hAnsi="Arial" w:cs="Arial"/>
          <w:b/>
          <w:bCs/>
          <w:color w:val="000000" w:themeColor="text1"/>
          <w:sz w:val="22"/>
          <w:szCs w:val="22"/>
          <w:lang w:val="es-ES_tradnl"/>
        </w:rPr>
        <w:t xml:space="preserve"> en el artículo 35 de la</w:t>
      </w:r>
      <w:r w:rsidR="00755229" w:rsidRPr="002A263A">
        <w:rPr>
          <w:rFonts w:ascii="Arial" w:eastAsia="Calibri" w:hAnsi="Arial" w:cs="Arial"/>
          <w:b/>
          <w:bCs/>
          <w:color w:val="000000" w:themeColor="text1"/>
          <w:sz w:val="22"/>
          <w:szCs w:val="22"/>
          <w:lang w:val="es-ES_tradnl"/>
        </w:rPr>
        <w:t xml:space="preserve"> Ley </w:t>
      </w:r>
      <w:r w:rsidR="007B209C" w:rsidRPr="002A263A">
        <w:rPr>
          <w:rFonts w:ascii="Arial" w:eastAsia="Calibri" w:hAnsi="Arial" w:cs="Arial"/>
          <w:b/>
          <w:bCs/>
          <w:color w:val="000000" w:themeColor="text1"/>
          <w:sz w:val="22"/>
          <w:szCs w:val="22"/>
          <w:lang w:val="es-ES_tradnl"/>
        </w:rPr>
        <w:t>2069</w:t>
      </w:r>
      <w:r w:rsidR="00755229" w:rsidRPr="002A263A">
        <w:rPr>
          <w:rFonts w:ascii="Arial" w:eastAsia="Calibri" w:hAnsi="Arial" w:cs="Arial"/>
          <w:b/>
          <w:bCs/>
          <w:color w:val="000000" w:themeColor="text1"/>
          <w:sz w:val="22"/>
          <w:szCs w:val="22"/>
          <w:lang w:val="es-ES_tradnl"/>
        </w:rPr>
        <w:t xml:space="preserve"> de 2020</w:t>
      </w:r>
      <w:r w:rsidR="00961595" w:rsidRPr="002A263A">
        <w:rPr>
          <w:rFonts w:ascii="Arial" w:eastAsia="Calibri" w:hAnsi="Arial" w:cs="Arial"/>
          <w:b/>
          <w:bCs/>
          <w:color w:val="000000" w:themeColor="text1"/>
          <w:sz w:val="22"/>
          <w:szCs w:val="22"/>
          <w:lang w:val="es-ES_tradnl"/>
        </w:rPr>
        <w:t>, e</w:t>
      </w:r>
      <w:r w:rsidR="00076817" w:rsidRPr="002A263A">
        <w:rPr>
          <w:rFonts w:ascii="Arial" w:eastAsia="Calibri" w:hAnsi="Arial" w:cs="Arial"/>
          <w:b/>
          <w:bCs/>
          <w:color w:val="000000" w:themeColor="text1"/>
          <w:sz w:val="22"/>
          <w:szCs w:val="22"/>
          <w:lang w:val="es-ES_tradnl"/>
        </w:rPr>
        <w:t xml:space="preserve">n especial, el previsto en </w:t>
      </w:r>
      <w:r w:rsidR="00AE5964" w:rsidRPr="002A263A">
        <w:rPr>
          <w:rFonts w:ascii="Arial" w:eastAsia="Calibri" w:hAnsi="Arial" w:cs="Arial"/>
          <w:b/>
          <w:bCs/>
          <w:color w:val="000000" w:themeColor="text1"/>
          <w:sz w:val="22"/>
          <w:szCs w:val="22"/>
          <w:lang w:val="es-ES_tradnl"/>
        </w:rPr>
        <w:t>los</w:t>
      </w:r>
      <w:r w:rsidR="00076817" w:rsidRPr="002A263A">
        <w:rPr>
          <w:rFonts w:ascii="Arial" w:eastAsia="Calibri" w:hAnsi="Arial" w:cs="Arial"/>
          <w:b/>
          <w:bCs/>
          <w:color w:val="000000" w:themeColor="text1"/>
          <w:sz w:val="22"/>
          <w:szCs w:val="22"/>
          <w:lang w:val="es-ES_tradnl"/>
        </w:rPr>
        <w:t xml:space="preserve"> numeral</w:t>
      </w:r>
      <w:r w:rsidR="00AE5964" w:rsidRPr="002A263A">
        <w:rPr>
          <w:rFonts w:ascii="Arial" w:eastAsia="Calibri" w:hAnsi="Arial" w:cs="Arial"/>
          <w:b/>
          <w:bCs/>
          <w:color w:val="000000" w:themeColor="text1"/>
          <w:sz w:val="22"/>
          <w:szCs w:val="22"/>
          <w:lang w:val="es-ES_tradnl"/>
        </w:rPr>
        <w:t xml:space="preserve"> 4</w:t>
      </w:r>
    </w:p>
    <w:p w14:paraId="39B77F09" w14:textId="77777777" w:rsidR="00FC6DB9" w:rsidRPr="002A263A" w:rsidRDefault="00FC6DB9" w:rsidP="00271230">
      <w:pPr>
        <w:spacing w:line="276" w:lineRule="auto"/>
        <w:jc w:val="both"/>
        <w:rPr>
          <w:rFonts w:ascii="Arial" w:eastAsia="Calibri" w:hAnsi="Arial" w:cs="Arial"/>
          <w:color w:val="000000" w:themeColor="text1"/>
          <w:sz w:val="22"/>
          <w:szCs w:val="22"/>
          <w:lang w:val="es-ES_tradnl"/>
        </w:rPr>
      </w:pPr>
    </w:p>
    <w:p w14:paraId="3844CB8E" w14:textId="77777777" w:rsidR="00C2296B" w:rsidRPr="00742BED" w:rsidRDefault="00C2296B" w:rsidP="00C2296B">
      <w:pPr>
        <w:spacing w:line="276" w:lineRule="auto"/>
        <w:jc w:val="both"/>
        <w:rPr>
          <w:rFonts w:ascii="Arial" w:eastAsia="Calibri" w:hAnsi="Arial" w:cs="Arial"/>
          <w:color w:val="000000" w:themeColor="text1"/>
          <w:sz w:val="22"/>
          <w:szCs w:val="22"/>
          <w:lang w:val="es-ES_tradnl"/>
        </w:rPr>
      </w:pPr>
      <w:r w:rsidRPr="002A263A">
        <w:rPr>
          <w:rFonts w:ascii="Arial" w:eastAsia="Calibri" w:hAnsi="Arial" w:cs="Arial"/>
          <w:color w:val="000000" w:themeColor="text1"/>
          <w:sz w:val="22"/>
          <w:szCs w:val="22"/>
          <w:lang w:val="es-ES_tradnl"/>
        </w:rPr>
        <w:t>El artículo 35 de la Ley 2069 de 2020 modifica la regulación de los factores de desempate en la contratación estatal. En consideración a que en la consulta se solicita que la Agencia Nacional de Contratación Pública – Colombia Compra Eficiente efectúe ciertas precisiones hermenéuticas sobre algunos numerales de dicho</w:t>
      </w:r>
      <w:r w:rsidRPr="00742BED">
        <w:rPr>
          <w:rFonts w:ascii="Arial" w:eastAsia="Calibri" w:hAnsi="Arial" w:cs="Arial"/>
          <w:color w:val="000000" w:themeColor="text1"/>
          <w:sz w:val="22"/>
          <w:szCs w:val="22"/>
          <w:lang w:val="es-ES_tradnl"/>
        </w:rPr>
        <w:t xml:space="preserve"> artículo, la Subdirección de Gestión Contractual se pronunciará sobre el alcance que otorga a tales disposiciones, sin pasar por alto la novedad de la Ley 2069 de 2020 –dada su reciente entrada en vigencia– y la ausencia de pronunciamientos jurisprudenciales o estudios doctrinarios sobre el tema, que seguramente contribuirán a decantar la interpretación de las normas en comento.</w:t>
      </w:r>
    </w:p>
    <w:p w14:paraId="4241EAFD" w14:textId="77777777" w:rsidR="00C2296B" w:rsidRPr="00742BED" w:rsidRDefault="00C2296B" w:rsidP="00C2296B">
      <w:pPr>
        <w:spacing w:before="120" w:line="276" w:lineRule="auto"/>
        <w:ind w:firstLine="709"/>
        <w:jc w:val="both"/>
        <w:rPr>
          <w:rFonts w:ascii="Arial" w:eastAsia="Calibri" w:hAnsi="Arial" w:cs="Arial"/>
          <w:color w:val="000000" w:themeColor="text1"/>
          <w:sz w:val="22"/>
          <w:szCs w:val="22"/>
          <w:lang w:val="es-ES_tradnl"/>
        </w:rPr>
      </w:pPr>
      <w:r w:rsidRPr="00742BED">
        <w:rPr>
          <w:rFonts w:ascii="Arial" w:eastAsia="Calibri" w:hAnsi="Arial" w:cs="Arial"/>
          <w:color w:val="000000" w:themeColor="text1"/>
          <w:sz w:val="22"/>
          <w:szCs w:val="22"/>
          <w:lang w:val="es-ES_tradnl"/>
        </w:rPr>
        <w:t xml:space="preserve">Al respecto, </w:t>
      </w:r>
      <w:r w:rsidRPr="00742BED">
        <w:rPr>
          <w:rFonts w:ascii="Arial" w:eastAsia="Calibri" w:hAnsi="Arial" w:cs="Arial"/>
          <w:sz w:val="22"/>
          <w:szCs w:val="22"/>
          <w:lang w:val="es-ES_tradnl"/>
        </w:rPr>
        <w:t>pese a que el parágrafo 3 dispone que el Gobierno Nacional podrá regular los supuestos en que concurran dos o más factores de desempate,</w:t>
      </w:r>
      <w:r w:rsidRPr="00742BED">
        <w:rPr>
          <w:rFonts w:ascii="Arial" w:eastAsia="Calibri" w:hAnsi="Arial" w:cs="Arial"/>
          <w:color w:val="000000" w:themeColor="text1"/>
          <w:sz w:val="22"/>
          <w:szCs w:val="22"/>
          <w:lang w:val="es-ES_tradnl"/>
        </w:rPr>
        <w:t xml:space="preserve"> se considera que el artículo 35 de la Ley 2069 de 2020 goza de aplicación directa desde la fecha de su promulgación, es decir, no requiere de una reglamentación previa como presupuesto para su eficacia. Esta precisión reviste importancia, porque algunos enunciados normativos de la Ley bajo análisis establecen un mandato de reglamentación, dirigido al gobierno nacional, como condición para aplicar lo dispuesto en dicha Ley. </w:t>
      </w:r>
    </w:p>
    <w:p w14:paraId="4D598E0A" w14:textId="0B2ABB49" w:rsidR="00C2296B" w:rsidRPr="00742BED" w:rsidRDefault="00C2296B">
      <w:pPr>
        <w:spacing w:before="120" w:line="276" w:lineRule="auto"/>
        <w:ind w:firstLine="709"/>
        <w:jc w:val="both"/>
        <w:rPr>
          <w:rFonts w:ascii="Arial" w:eastAsia="Calibri" w:hAnsi="Arial" w:cs="Arial"/>
          <w:color w:val="000000" w:themeColor="text1"/>
          <w:sz w:val="22"/>
          <w:szCs w:val="22"/>
          <w:lang w:val="es-ES_tradnl"/>
        </w:rPr>
      </w:pPr>
      <w:r w:rsidRPr="00742BED">
        <w:rPr>
          <w:rFonts w:ascii="Arial" w:eastAsia="Calibri" w:hAnsi="Arial" w:cs="Arial"/>
          <w:color w:val="000000" w:themeColor="text1"/>
          <w:sz w:val="22"/>
          <w:szCs w:val="22"/>
          <w:lang w:val="es-ES_tradnl"/>
        </w:rPr>
        <w:t>Por ejemplo, el artículo 31, en el segundo inciso, determina que «El Gobierno Nacional reglamentará la definición de los criterios diferenciales, sobre reglas objetivas que podrán implementar las Entidades Estatales». Del mismo modo, el parágrafo primero del artículo 32 establece que «La definición de emprendimientos y empresas de mujeres se reglamentará por el gobierno nacional», en tanto que el inciso cuarto del artículo 12 de la Ley 1150 de 2007, modificado por el artículo 34 de la Ley 2069 de 2020, indica que en los pliegos de condiciones las entidades estatales deben prever mecanismos que garanticen la provisión de bienes y servicios por parte de sujetos de especial protección constitucional «[…] en las condiciones que señale el reglamento».</w:t>
      </w:r>
    </w:p>
    <w:p w14:paraId="7FAAF277" w14:textId="77777777" w:rsidR="00C2296B" w:rsidRPr="00742BED" w:rsidRDefault="00C2296B" w:rsidP="00C2296B">
      <w:pPr>
        <w:spacing w:before="120" w:line="276" w:lineRule="auto"/>
        <w:ind w:firstLine="709"/>
        <w:jc w:val="both"/>
        <w:rPr>
          <w:rFonts w:ascii="Arial" w:eastAsia="Calibri" w:hAnsi="Arial" w:cs="Arial"/>
          <w:color w:val="000000" w:themeColor="text1"/>
          <w:sz w:val="22"/>
          <w:szCs w:val="22"/>
          <w:lang w:val="es-ES_tradnl"/>
        </w:rPr>
      </w:pPr>
      <w:r w:rsidRPr="00742BED">
        <w:rPr>
          <w:rFonts w:ascii="Arial" w:eastAsia="Calibri" w:hAnsi="Arial" w:cs="Arial"/>
          <w:color w:val="000000" w:themeColor="text1"/>
          <w:sz w:val="22"/>
          <w:szCs w:val="22"/>
          <w:lang w:val="es-ES_tradnl"/>
        </w:rPr>
        <w:lastRenderedPageBreak/>
        <w:t>Lo mismo no sucede con el artículo 35</w:t>
      </w:r>
      <w:r w:rsidRPr="00742BED">
        <w:rPr>
          <w:rFonts w:ascii="Arial" w:eastAsia="Calibri" w:hAnsi="Arial" w:cs="Arial"/>
          <w:sz w:val="22"/>
          <w:szCs w:val="22"/>
          <w:lang w:val="es-ES_tradnl"/>
        </w:rPr>
        <w:t xml:space="preserve">. En efecto, </w:t>
      </w:r>
      <w:r w:rsidRPr="00742BED">
        <w:rPr>
          <w:rFonts w:ascii="Arial" w:hAnsi="Arial" w:cs="Arial"/>
          <w:color w:val="000000" w:themeColor="text1"/>
          <w:sz w:val="22"/>
          <w:szCs w:val="22"/>
          <w:lang w:val="es-ES_tradnl"/>
        </w:rPr>
        <w:t>si bien los factores de desempate regulados en el artículo 35 deben aplicarse «</w:t>
      </w:r>
      <w:r w:rsidRPr="00742BED">
        <w:rPr>
          <w:rFonts w:ascii="Arial" w:hAnsi="Arial" w:cs="Arial"/>
          <w:lang w:val="es-ES_tradnl"/>
        </w:rPr>
        <w:t xml:space="preserve">[…] </w:t>
      </w:r>
      <w:r w:rsidRPr="00742BED">
        <w:rPr>
          <w:rFonts w:ascii="Arial" w:hAnsi="Arial" w:cs="Arial"/>
          <w:color w:val="000000" w:themeColor="text1"/>
          <w:sz w:val="22"/>
          <w:szCs w:val="22"/>
          <w:lang w:val="es-ES_tradnl"/>
        </w:rPr>
        <w:t xml:space="preserve">de forma sucesiva y excluyente para seleccionar al oferente favorecido, respetando en todo caso los compromisos internacionales vigentes» –según lo dispone el inciso primero–, el parágrafo tercero del mencionado artículo establece que «El Gobierno Nacional podrá reglamentar la aplicación de factores de desempate en casos en que concurran dos o más de los factores aquí previstos». En otras palabras, dicho parágrafo le asigna potestad reglamentaria al gobierno nacional para definir factores que permitan desempatar las ofertas en aquellos casos en que varios oferentes reúnan al tiempo dos o más de los factores previstos en el artículo 35. </w:t>
      </w:r>
      <w:r w:rsidRPr="00742BED">
        <w:rPr>
          <w:rFonts w:ascii="Arial" w:eastAsia="Calibri" w:hAnsi="Arial" w:cs="Arial"/>
          <w:color w:val="000000" w:themeColor="text1"/>
          <w:sz w:val="22"/>
          <w:szCs w:val="22"/>
          <w:lang w:val="es-ES_tradnl"/>
        </w:rPr>
        <w:t xml:space="preserve">  </w:t>
      </w:r>
    </w:p>
    <w:p w14:paraId="5C24C174" w14:textId="77777777" w:rsidR="00C2296B" w:rsidRPr="00742BED" w:rsidRDefault="00C2296B" w:rsidP="00C2296B">
      <w:pPr>
        <w:spacing w:before="120" w:line="276" w:lineRule="auto"/>
        <w:ind w:firstLine="709"/>
        <w:jc w:val="both"/>
        <w:rPr>
          <w:rFonts w:ascii="Arial" w:eastAsia="Calibri" w:hAnsi="Arial" w:cs="Arial"/>
          <w:color w:val="000000" w:themeColor="text1"/>
          <w:sz w:val="22"/>
          <w:szCs w:val="22"/>
          <w:lang w:val="es-ES_tradnl"/>
        </w:rPr>
      </w:pPr>
      <w:r w:rsidRPr="00742BED">
        <w:rPr>
          <w:rFonts w:ascii="Arial" w:eastAsia="Calibri" w:hAnsi="Arial" w:cs="Arial"/>
          <w:color w:val="000000" w:themeColor="text1"/>
          <w:sz w:val="22"/>
          <w:szCs w:val="22"/>
          <w:lang w:val="es-ES_tradnl"/>
        </w:rPr>
        <w:t xml:space="preserve">A continuación, el artículo en mención establece los factores de desempate que se deben seguir de manera sucesiva, sin indicar tampoco en cada numeral que su eficacia dependa de lo que determine el reglamento. La única alusión que se hace al reglamento se encuentra en el parágrafo tercero del artículo que se viene comentando, no para condicionar la aplicación de todo lo dispuesto en aquel, sino para indicar que «El Gobierno Nacional </w:t>
      </w:r>
      <w:r w:rsidRPr="00742BED">
        <w:rPr>
          <w:rFonts w:ascii="Arial" w:eastAsia="Calibri" w:hAnsi="Arial" w:cs="Arial"/>
          <w:i/>
          <w:iCs/>
          <w:color w:val="000000" w:themeColor="text1"/>
          <w:sz w:val="22"/>
          <w:szCs w:val="22"/>
          <w:lang w:val="es-ES_tradnl"/>
        </w:rPr>
        <w:t>podrá reglamentar</w:t>
      </w:r>
      <w:r w:rsidRPr="00742BED">
        <w:rPr>
          <w:rFonts w:ascii="Arial" w:eastAsia="Calibri" w:hAnsi="Arial" w:cs="Arial"/>
          <w:color w:val="000000" w:themeColor="text1"/>
          <w:sz w:val="22"/>
          <w:szCs w:val="22"/>
          <w:lang w:val="es-ES_tradnl"/>
        </w:rPr>
        <w:t xml:space="preserve"> la aplicación de factores de desempate en casos en que concurran dos o más de los factores aquí previstos» (Énfasis fuera de texto).</w:t>
      </w:r>
    </w:p>
    <w:p w14:paraId="091E73A8" w14:textId="04B5C1A4" w:rsidR="00C2296B" w:rsidRPr="00742BED" w:rsidRDefault="00C2296B" w:rsidP="00C2296B">
      <w:pPr>
        <w:spacing w:before="120" w:line="276" w:lineRule="auto"/>
        <w:ind w:firstLine="709"/>
        <w:jc w:val="both"/>
        <w:rPr>
          <w:rFonts w:ascii="Arial" w:eastAsia="Calibri" w:hAnsi="Arial" w:cs="Arial"/>
          <w:color w:val="000000" w:themeColor="text1"/>
          <w:sz w:val="22"/>
          <w:szCs w:val="22"/>
          <w:lang w:val="es-ES_tradnl"/>
        </w:rPr>
      </w:pPr>
      <w:r w:rsidRPr="00742BED">
        <w:rPr>
          <w:rFonts w:ascii="Arial" w:eastAsia="Calibri" w:hAnsi="Arial" w:cs="Arial"/>
          <w:color w:val="000000" w:themeColor="text1"/>
          <w:sz w:val="22"/>
          <w:szCs w:val="22"/>
          <w:lang w:val="es-ES_tradnl"/>
        </w:rPr>
        <w:t>Como se observa</w:t>
      </w:r>
      <w:r w:rsidR="00961595" w:rsidRPr="00742BED">
        <w:rPr>
          <w:rFonts w:ascii="Arial" w:eastAsia="Calibri" w:hAnsi="Arial" w:cs="Arial"/>
          <w:color w:val="000000" w:themeColor="text1"/>
          <w:sz w:val="22"/>
          <w:szCs w:val="22"/>
          <w:lang w:val="es-ES_tradnl"/>
        </w:rPr>
        <w:t>,</w:t>
      </w:r>
      <w:r w:rsidRPr="00742BED">
        <w:rPr>
          <w:rFonts w:ascii="Arial" w:eastAsia="Calibri" w:hAnsi="Arial" w:cs="Arial"/>
          <w:color w:val="000000" w:themeColor="text1"/>
          <w:sz w:val="22"/>
          <w:szCs w:val="22"/>
          <w:lang w:val="es-ES_tradnl"/>
        </w:rPr>
        <w:t xml:space="preserve"> se trata de una competencia que, en concordancia con el artículo 189.11 superior, el gobierno nacional puede ejercer discrecionalmente para la ejecución de las leyes. Por tanto, sin perjuicio de que el Gobierno Nacional ejerza la potestad reglamentaria para regular los casos en que concurren dos o más de los factores de desempate, no es necesaria la existencia del reglamento como presupuesto necesario para aplicar el artículo 35 de la Ley 2069 de 2020. De este modo, se concluye que los factores de desempate del artículo citado son exigibles desde la fecha de su promulgación, es decir, deben tenerse en cuenta en los procesos de selección que se inicien después del 31 de diciembre de 2020.</w:t>
      </w:r>
    </w:p>
    <w:p w14:paraId="23E38CFB" w14:textId="77777777" w:rsidR="00D2376E" w:rsidRPr="00742BED" w:rsidRDefault="00C43A17" w:rsidP="00B92871">
      <w:pPr>
        <w:spacing w:before="120" w:line="276" w:lineRule="auto"/>
        <w:ind w:firstLine="709"/>
        <w:jc w:val="both"/>
        <w:rPr>
          <w:rFonts w:ascii="Arial" w:eastAsia="Calibri" w:hAnsi="Arial" w:cs="Arial"/>
          <w:color w:val="000000" w:themeColor="text1"/>
          <w:sz w:val="22"/>
          <w:szCs w:val="22"/>
          <w:lang w:val="es-ES_tradnl"/>
        </w:rPr>
      </w:pPr>
      <w:r w:rsidRPr="00742BED">
        <w:rPr>
          <w:rFonts w:ascii="Arial" w:eastAsia="Calibri" w:hAnsi="Arial" w:cs="Arial"/>
          <w:color w:val="000000" w:themeColor="text1"/>
          <w:sz w:val="22"/>
          <w:szCs w:val="22"/>
          <w:lang w:val="es-ES_tradnl"/>
        </w:rPr>
        <w:t xml:space="preserve">Además, conviene destacar </w:t>
      </w:r>
      <w:r w:rsidR="003A3902" w:rsidRPr="00742BED">
        <w:rPr>
          <w:rFonts w:ascii="Arial" w:eastAsia="Calibri" w:hAnsi="Arial" w:cs="Arial"/>
          <w:color w:val="000000" w:themeColor="text1"/>
          <w:sz w:val="22"/>
          <w:szCs w:val="22"/>
          <w:lang w:val="es-ES_tradnl"/>
        </w:rPr>
        <w:t>–según lo señala su inciso primero</w:t>
      </w:r>
      <w:r w:rsidR="003A3902" w:rsidRPr="00742BED">
        <w:rPr>
          <w:rFonts w:ascii="Arial" w:eastAsia="Calibri" w:hAnsi="Arial" w:cs="Arial"/>
          <w:color w:val="000000" w:themeColor="text1"/>
          <w:sz w:val="22"/>
          <w:szCs w:val="22"/>
          <w:lang w:val="es-ES_tradnl"/>
        </w:rPr>
        <w:softHyphen/>
        <w:t xml:space="preserve">– </w:t>
      </w:r>
      <w:r w:rsidRPr="00742BED">
        <w:rPr>
          <w:rFonts w:ascii="Arial" w:eastAsia="Calibri" w:hAnsi="Arial" w:cs="Arial"/>
          <w:color w:val="000000" w:themeColor="text1"/>
          <w:sz w:val="22"/>
          <w:szCs w:val="22"/>
          <w:lang w:val="es-ES_tradnl"/>
        </w:rPr>
        <w:t>que los factores de desempate previstos en el artículo 35 de la Ley 2069 de 2020 son obligatorios</w:t>
      </w:r>
      <w:r w:rsidR="00AD6D07" w:rsidRPr="00742BED">
        <w:rPr>
          <w:rFonts w:ascii="Arial" w:eastAsia="Calibri" w:hAnsi="Arial" w:cs="Arial"/>
          <w:color w:val="000000" w:themeColor="text1"/>
          <w:sz w:val="22"/>
          <w:szCs w:val="22"/>
          <w:lang w:val="es-ES_tradnl"/>
        </w:rPr>
        <w:t xml:space="preserve"> </w:t>
      </w:r>
      <w:r w:rsidRPr="00742BED">
        <w:rPr>
          <w:rFonts w:ascii="Arial" w:eastAsia="Calibri" w:hAnsi="Arial" w:cs="Arial"/>
          <w:color w:val="000000" w:themeColor="text1"/>
          <w:sz w:val="22"/>
          <w:szCs w:val="22"/>
          <w:lang w:val="es-ES_tradnl"/>
        </w:rPr>
        <w:t xml:space="preserve">«[…] en los Procesos de Contratación realizados con cargo a recursos públicos, los Procesos de Contratación realizados por las Entidades Estatales </w:t>
      </w:r>
      <w:r w:rsidRPr="00742BED">
        <w:rPr>
          <w:rFonts w:ascii="Arial" w:eastAsia="Calibri" w:hAnsi="Arial" w:cs="Arial"/>
          <w:i/>
          <w:iCs/>
          <w:color w:val="000000" w:themeColor="text1"/>
          <w:sz w:val="22"/>
          <w:szCs w:val="22"/>
          <w:lang w:val="es-ES_tradnl"/>
        </w:rPr>
        <w:t>indistintamente de su régimen de contratación</w:t>
      </w:r>
      <w:r w:rsidRPr="00742BED">
        <w:rPr>
          <w:rFonts w:ascii="Arial" w:eastAsia="Calibri" w:hAnsi="Arial" w:cs="Arial"/>
          <w:color w:val="000000" w:themeColor="text1"/>
          <w:sz w:val="22"/>
          <w:szCs w:val="22"/>
          <w:lang w:val="es-ES_tradnl"/>
        </w:rPr>
        <w:t>, así como los celebrados por los Procesos de Contratación de los patrimonios autónomos constituidos por Entidades Estatales» (cursiva fuera de texto). En consecuencia, bien sea que la entidad estatal contratante se rija por el Estatuto General de Contratación de la Administración Pública</w:t>
      </w:r>
      <w:r w:rsidR="007B3B3B" w:rsidRPr="00742BED">
        <w:rPr>
          <w:rFonts w:ascii="Arial" w:eastAsia="Calibri" w:hAnsi="Arial" w:cs="Arial"/>
          <w:color w:val="000000" w:themeColor="text1"/>
          <w:sz w:val="22"/>
          <w:szCs w:val="22"/>
          <w:lang w:val="es-ES_tradnl"/>
        </w:rPr>
        <w:t xml:space="preserve"> o por el derecho privado, </w:t>
      </w:r>
      <w:r w:rsidR="007B3B3B" w:rsidRPr="00742BED">
        <w:rPr>
          <w:rFonts w:ascii="Arial" w:eastAsia="Calibri" w:hAnsi="Arial" w:cs="Arial"/>
          <w:i/>
          <w:iCs/>
          <w:color w:val="000000" w:themeColor="text1"/>
          <w:sz w:val="22"/>
          <w:szCs w:val="22"/>
          <w:lang w:val="es-ES_tradnl"/>
        </w:rPr>
        <w:t>debe</w:t>
      </w:r>
      <w:r w:rsidR="007B3B3B" w:rsidRPr="00742BED">
        <w:rPr>
          <w:rFonts w:ascii="Arial" w:eastAsia="Calibri" w:hAnsi="Arial" w:cs="Arial"/>
          <w:color w:val="000000" w:themeColor="text1"/>
          <w:sz w:val="22"/>
          <w:szCs w:val="22"/>
          <w:lang w:val="es-ES_tradnl"/>
        </w:rPr>
        <w:t xml:space="preserve"> aplicar los criterios de desempate establecidos en </w:t>
      </w:r>
      <w:r w:rsidR="00EF7F76" w:rsidRPr="00742BED">
        <w:rPr>
          <w:rFonts w:ascii="Arial" w:eastAsia="Calibri" w:hAnsi="Arial" w:cs="Arial"/>
          <w:color w:val="000000" w:themeColor="text1"/>
          <w:sz w:val="22"/>
          <w:szCs w:val="22"/>
          <w:lang w:val="es-ES_tradnl"/>
        </w:rPr>
        <w:t>el referido artículo 35</w:t>
      </w:r>
      <w:r w:rsidR="004220E2" w:rsidRPr="00742BED">
        <w:rPr>
          <w:rFonts w:ascii="Arial" w:eastAsia="Calibri" w:hAnsi="Arial" w:cs="Arial"/>
          <w:color w:val="000000" w:themeColor="text1"/>
          <w:sz w:val="22"/>
          <w:szCs w:val="22"/>
          <w:lang w:val="es-ES_tradnl"/>
        </w:rPr>
        <w:t xml:space="preserve">. </w:t>
      </w:r>
      <w:r w:rsidR="005E5022" w:rsidRPr="00742BED">
        <w:rPr>
          <w:rFonts w:ascii="Arial" w:eastAsia="Calibri" w:hAnsi="Arial" w:cs="Arial"/>
          <w:color w:val="000000" w:themeColor="text1"/>
          <w:sz w:val="22"/>
          <w:szCs w:val="22"/>
          <w:lang w:val="es-ES_tradnl"/>
        </w:rPr>
        <w:t>Esta norma es imperativa y, por consiguiente, su inobservancia podría</w:t>
      </w:r>
      <w:r w:rsidR="00FA6D46" w:rsidRPr="00742BED">
        <w:rPr>
          <w:rFonts w:ascii="Arial" w:eastAsia="Calibri" w:hAnsi="Arial" w:cs="Arial"/>
          <w:color w:val="000000" w:themeColor="text1"/>
          <w:sz w:val="22"/>
          <w:szCs w:val="22"/>
          <w:lang w:val="es-ES_tradnl"/>
        </w:rPr>
        <w:t xml:space="preserve"> hacer incurrir </w:t>
      </w:r>
      <w:r w:rsidR="00A74B91" w:rsidRPr="00742BED">
        <w:rPr>
          <w:rFonts w:ascii="Arial" w:eastAsia="Calibri" w:hAnsi="Arial" w:cs="Arial"/>
          <w:color w:val="000000" w:themeColor="text1"/>
          <w:sz w:val="22"/>
          <w:szCs w:val="22"/>
          <w:lang w:val="es-ES_tradnl"/>
        </w:rPr>
        <w:t xml:space="preserve">en </w:t>
      </w:r>
      <w:r w:rsidR="00A74B91" w:rsidRPr="00742BED">
        <w:rPr>
          <w:rFonts w:ascii="Arial" w:eastAsia="Calibri" w:hAnsi="Arial" w:cs="Arial"/>
          <w:i/>
          <w:iCs/>
          <w:color w:val="000000" w:themeColor="text1"/>
          <w:sz w:val="22"/>
          <w:szCs w:val="22"/>
          <w:lang w:val="es-ES_tradnl"/>
        </w:rPr>
        <w:t>objeto ilícito</w:t>
      </w:r>
      <w:r w:rsidR="00A74B91" w:rsidRPr="00742BED">
        <w:rPr>
          <w:rFonts w:ascii="Arial" w:eastAsia="Calibri" w:hAnsi="Arial" w:cs="Arial"/>
          <w:color w:val="000000" w:themeColor="text1"/>
          <w:sz w:val="22"/>
          <w:szCs w:val="22"/>
          <w:lang w:val="es-ES_tradnl"/>
        </w:rPr>
        <w:t xml:space="preserve"> </w:t>
      </w:r>
      <w:r w:rsidR="00FA6D46" w:rsidRPr="00742BED">
        <w:rPr>
          <w:rFonts w:ascii="Arial" w:eastAsia="Calibri" w:hAnsi="Arial" w:cs="Arial"/>
          <w:color w:val="000000" w:themeColor="text1"/>
          <w:sz w:val="22"/>
          <w:szCs w:val="22"/>
          <w:lang w:val="es-ES_tradnl"/>
        </w:rPr>
        <w:t xml:space="preserve">el contrato que llegare a celebrarse, pues, según el artículo 1519 del Código Civil, </w:t>
      </w:r>
      <w:r w:rsidR="00C939D1" w:rsidRPr="00742BED">
        <w:rPr>
          <w:rFonts w:ascii="Arial" w:eastAsia="Calibri" w:hAnsi="Arial" w:cs="Arial"/>
          <w:color w:val="000000" w:themeColor="text1"/>
          <w:sz w:val="22"/>
          <w:szCs w:val="22"/>
          <w:lang w:val="es-ES_tradnl"/>
        </w:rPr>
        <w:t>«Hay un objeto ilícito en todo lo que contraviene al derecho público de la nación».</w:t>
      </w:r>
      <w:r w:rsidR="005E5022" w:rsidRPr="00742BED">
        <w:rPr>
          <w:rFonts w:ascii="Arial" w:eastAsia="Calibri" w:hAnsi="Arial" w:cs="Arial"/>
          <w:color w:val="000000" w:themeColor="text1"/>
          <w:sz w:val="22"/>
          <w:szCs w:val="22"/>
          <w:lang w:val="es-ES_tradnl"/>
        </w:rPr>
        <w:t xml:space="preserve"> </w:t>
      </w:r>
    </w:p>
    <w:p w14:paraId="71D02173" w14:textId="25435A15" w:rsidR="00B92871" w:rsidRPr="00742BED" w:rsidRDefault="00652F4D" w:rsidP="00B92871">
      <w:pPr>
        <w:spacing w:before="120" w:line="276" w:lineRule="auto"/>
        <w:ind w:firstLine="709"/>
        <w:jc w:val="both"/>
        <w:rPr>
          <w:rFonts w:ascii="Arial" w:eastAsia="Calibri" w:hAnsi="Arial" w:cs="Arial"/>
          <w:color w:val="000000" w:themeColor="text1"/>
          <w:sz w:val="22"/>
          <w:szCs w:val="22"/>
          <w:lang w:val="es-ES_tradnl"/>
        </w:rPr>
      </w:pPr>
      <w:r w:rsidRPr="00742BED">
        <w:rPr>
          <w:rFonts w:ascii="Arial" w:eastAsia="Calibri" w:hAnsi="Arial" w:cs="Arial"/>
          <w:color w:val="000000" w:themeColor="text1"/>
          <w:sz w:val="22"/>
          <w:szCs w:val="22"/>
          <w:lang w:val="es-ES_tradnl"/>
        </w:rPr>
        <w:lastRenderedPageBreak/>
        <w:t>Esta causal debe ser declarada en un proceso judicial, es decir que no opera de pleno derecho, como se deduce del artículo 1742 del Código Civil</w:t>
      </w:r>
      <w:r w:rsidRPr="00742BED">
        <w:rPr>
          <w:rStyle w:val="Refdenotaalpie"/>
          <w:rFonts w:ascii="Arial" w:eastAsia="Calibri" w:hAnsi="Arial" w:cs="Arial"/>
          <w:color w:val="000000" w:themeColor="text1"/>
          <w:sz w:val="22"/>
          <w:szCs w:val="22"/>
          <w:lang w:val="es-ES_tradnl"/>
        </w:rPr>
        <w:footnoteReference w:id="11"/>
      </w:r>
      <w:r w:rsidRPr="00742BED">
        <w:rPr>
          <w:rFonts w:ascii="Arial" w:eastAsia="Calibri" w:hAnsi="Arial" w:cs="Arial"/>
          <w:color w:val="000000" w:themeColor="text1"/>
          <w:sz w:val="22"/>
          <w:szCs w:val="22"/>
          <w:lang w:val="es-ES_tradnl"/>
        </w:rPr>
        <w:t xml:space="preserve">. </w:t>
      </w:r>
      <w:r w:rsidR="0050309C" w:rsidRPr="00742BED">
        <w:rPr>
          <w:rFonts w:ascii="Arial" w:eastAsia="Calibri" w:hAnsi="Arial" w:cs="Arial"/>
          <w:color w:val="000000" w:themeColor="text1"/>
          <w:sz w:val="22"/>
          <w:szCs w:val="22"/>
          <w:lang w:val="es-ES_tradnl"/>
        </w:rPr>
        <w:t>Dicha</w:t>
      </w:r>
      <w:r w:rsidR="003D370F" w:rsidRPr="00742BED">
        <w:rPr>
          <w:rFonts w:ascii="Arial" w:eastAsia="Calibri" w:hAnsi="Arial" w:cs="Arial"/>
          <w:color w:val="000000" w:themeColor="text1"/>
          <w:sz w:val="22"/>
          <w:szCs w:val="22"/>
          <w:lang w:val="es-ES_tradnl"/>
        </w:rPr>
        <w:t xml:space="preserve"> causal de nulidad absoluta también se reconoce en el artículo 44 de la Ley 80 de 1993 para las entidades estatales que se rigen por </w:t>
      </w:r>
      <w:r w:rsidR="0050309C" w:rsidRPr="00742BED">
        <w:rPr>
          <w:rFonts w:ascii="Arial" w:eastAsia="Calibri" w:hAnsi="Arial" w:cs="Arial"/>
          <w:color w:val="000000" w:themeColor="text1"/>
          <w:sz w:val="22"/>
          <w:szCs w:val="22"/>
          <w:lang w:val="es-ES_tradnl"/>
        </w:rPr>
        <w:t>esta</w:t>
      </w:r>
      <w:r w:rsidR="0050309C" w:rsidRPr="00742BED">
        <w:rPr>
          <w:rStyle w:val="Refdenotaalpie"/>
          <w:rFonts w:ascii="Arial" w:eastAsia="Calibri" w:hAnsi="Arial" w:cs="Arial"/>
          <w:color w:val="000000" w:themeColor="text1"/>
          <w:sz w:val="22"/>
          <w:szCs w:val="22"/>
          <w:lang w:val="es-ES_tradnl"/>
        </w:rPr>
        <w:footnoteReference w:id="12"/>
      </w:r>
      <w:r w:rsidR="001C0C86" w:rsidRPr="00742BED">
        <w:rPr>
          <w:rFonts w:ascii="Arial" w:eastAsia="Calibri" w:hAnsi="Arial" w:cs="Arial"/>
          <w:color w:val="000000" w:themeColor="text1"/>
          <w:sz w:val="22"/>
          <w:szCs w:val="22"/>
          <w:lang w:val="es-ES_tradnl"/>
        </w:rPr>
        <w:t>. La Sección Tercera del Consejo de Estado ha admitido la consecuencia jurídica de la nulidad absoluta del contrato por</w:t>
      </w:r>
      <w:r w:rsidR="0036086B" w:rsidRPr="00742BED">
        <w:rPr>
          <w:rFonts w:ascii="Arial" w:eastAsia="Calibri" w:hAnsi="Arial" w:cs="Arial"/>
          <w:color w:val="000000" w:themeColor="text1"/>
          <w:sz w:val="22"/>
          <w:szCs w:val="22"/>
          <w:lang w:val="es-ES_tradnl"/>
        </w:rPr>
        <w:t xml:space="preserve"> omitir los factores de desempate en el pliego de condiciones o documento equivalente, </w:t>
      </w:r>
      <w:r w:rsidR="004836D7" w:rsidRPr="00742BED">
        <w:rPr>
          <w:rFonts w:ascii="Arial" w:eastAsia="Calibri" w:hAnsi="Arial" w:cs="Arial"/>
          <w:color w:val="000000" w:themeColor="text1"/>
          <w:sz w:val="22"/>
          <w:szCs w:val="22"/>
          <w:lang w:val="es-ES_tradnl"/>
        </w:rPr>
        <w:t xml:space="preserve">afirmando que </w:t>
      </w:r>
      <w:r w:rsidR="00BD6265" w:rsidRPr="00742BED">
        <w:rPr>
          <w:rFonts w:ascii="Arial" w:eastAsia="Calibri" w:hAnsi="Arial" w:cs="Arial"/>
          <w:color w:val="000000" w:themeColor="text1"/>
          <w:sz w:val="22"/>
          <w:szCs w:val="22"/>
          <w:lang w:val="es-ES_tradnl"/>
        </w:rPr>
        <w:t>«</w:t>
      </w:r>
      <w:r w:rsidR="0036086B" w:rsidRPr="00742BED">
        <w:rPr>
          <w:rFonts w:ascii="Arial" w:eastAsia="Calibri" w:hAnsi="Arial" w:cs="Arial"/>
          <w:color w:val="000000" w:themeColor="text1"/>
          <w:sz w:val="22"/>
          <w:szCs w:val="22"/>
          <w:lang w:val="es-ES_tradnl"/>
        </w:rPr>
        <w:t>[…</w:t>
      </w:r>
      <w:r w:rsidR="004836D7" w:rsidRPr="00742BED">
        <w:rPr>
          <w:rFonts w:ascii="Arial" w:eastAsia="Calibri" w:hAnsi="Arial" w:cs="Arial"/>
          <w:color w:val="000000" w:themeColor="text1"/>
          <w:sz w:val="22"/>
          <w:szCs w:val="22"/>
          <w:lang w:val="es-ES_tradnl"/>
        </w:rPr>
        <w:t>]</w:t>
      </w:r>
      <w:r w:rsidR="0036086B" w:rsidRPr="00742BED">
        <w:rPr>
          <w:rFonts w:ascii="Arial" w:eastAsia="Calibri" w:hAnsi="Arial" w:cs="Arial"/>
          <w:color w:val="000000" w:themeColor="text1"/>
          <w:sz w:val="22"/>
          <w:szCs w:val="22"/>
          <w:lang w:val="es-ES_tradnl"/>
        </w:rPr>
        <w:t>, existen criterios de desempate que se incorporan por Ley al contenido mínimo de las reglas del proceso de selección y que son de obligatoria observancia por parte de las entidades públicas</w:t>
      </w:r>
      <w:r w:rsidR="00BD6265" w:rsidRPr="00742BED">
        <w:rPr>
          <w:rFonts w:ascii="Arial" w:eastAsia="Calibri" w:hAnsi="Arial" w:cs="Arial"/>
          <w:color w:val="000000" w:themeColor="text1"/>
          <w:sz w:val="22"/>
          <w:szCs w:val="22"/>
          <w:lang w:val="es-ES_tradnl"/>
        </w:rPr>
        <w:t>»</w:t>
      </w:r>
      <w:r w:rsidR="005B0293" w:rsidRPr="00742BED">
        <w:rPr>
          <w:rStyle w:val="Refdenotaalpie"/>
          <w:rFonts w:ascii="Arial" w:eastAsia="Calibri" w:hAnsi="Arial" w:cs="Arial"/>
          <w:color w:val="000000" w:themeColor="text1"/>
          <w:sz w:val="22"/>
          <w:szCs w:val="22"/>
          <w:lang w:val="es-ES_tradnl"/>
        </w:rPr>
        <w:footnoteReference w:id="13"/>
      </w:r>
      <w:r w:rsidR="008A38DE" w:rsidRPr="00742BED">
        <w:rPr>
          <w:rFonts w:ascii="Arial" w:eastAsia="Calibri" w:hAnsi="Arial" w:cs="Arial"/>
          <w:color w:val="000000" w:themeColor="text1"/>
          <w:sz w:val="22"/>
          <w:szCs w:val="22"/>
          <w:lang w:val="es-ES_tradnl"/>
        </w:rPr>
        <w:t xml:space="preserve">, de manera que cuando se selecciona al futuro contratista sin haber considerado los criterios de desempate obligatorios, </w:t>
      </w:r>
      <w:r w:rsidR="00A169E2" w:rsidRPr="00742BED">
        <w:rPr>
          <w:rFonts w:ascii="Arial" w:eastAsia="Calibri" w:hAnsi="Arial" w:cs="Arial"/>
          <w:color w:val="000000" w:themeColor="text1"/>
          <w:sz w:val="22"/>
          <w:szCs w:val="22"/>
          <w:lang w:val="es-ES_tradnl"/>
        </w:rPr>
        <w:t xml:space="preserve">se atenta contra normas de orden público. Lo anterior, por cuanto: </w:t>
      </w:r>
    </w:p>
    <w:p w14:paraId="2FFD78FA" w14:textId="77777777" w:rsidR="00B92871" w:rsidRPr="00742BED" w:rsidRDefault="00B92871" w:rsidP="00B92871">
      <w:pPr>
        <w:ind w:left="709" w:right="709"/>
        <w:jc w:val="both"/>
        <w:rPr>
          <w:rFonts w:ascii="Arial" w:eastAsia="Calibri" w:hAnsi="Arial" w:cs="Arial"/>
          <w:color w:val="000000" w:themeColor="text1"/>
          <w:sz w:val="22"/>
          <w:szCs w:val="22"/>
          <w:lang w:val="es-ES_tradnl"/>
        </w:rPr>
      </w:pPr>
    </w:p>
    <w:p w14:paraId="148334B2" w14:textId="0962CBF7" w:rsidR="00B92871" w:rsidRPr="00742BED" w:rsidRDefault="00B92871" w:rsidP="00B92871">
      <w:pPr>
        <w:ind w:left="709" w:right="709"/>
        <w:jc w:val="both"/>
        <w:rPr>
          <w:rFonts w:ascii="Arial" w:eastAsia="Calibri" w:hAnsi="Arial" w:cs="Arial"/>
          <w:color w:val="000000" w:themeColor="text1"/>
          <w:sz w:val="22"/>
          <w:szCs w:val="22"/>
          <w:lang w:val="es-ES_tradnl"/>
        </w:rPr>
      </w:pPr>
      <w:r w:rsidRPr="00742BED">
        <w:rPr>
          <w:rFonts w:ascii="Arial" w:eastAsia="Calibri" w:hAnsi="Arial" w:cs="Arial"/>
          <w:color w:val="000000" w:themeColor="text1"/>
          <w:sz w:val="22"/>
          <w:szCs w:val="22"/>
          <w:lang w:val="es-ES_tradnl"/>
        </w:rPr>
        <w:t>[…] es imposible seleccionar a un contratista en esas condiciones, pues esta será ajena al principio de selección objetiva y, por ende, se está en presencia de la causal de nulidad absoluta de la relación contractual así perfeccionada, contenida en el artículo 6 del Código Civil ─incorporada en el Estatuto Contractual del Estado en el inciso primero del artículo 44 de la Ley 80─, consistente en la vulneración de normas de orden público u objeto ilícito , siendo que se inobservó el contenido del literal b) del numeral 5 del artículo 24 y el artículo 29 de la Ley 80 de 1993</w:t>
      </w:r>
      <w:r w:rsidRPr="00742BED">
        <w:rPr>
          <w:rStyle w:val="Refdenotaalpie"/>
          <w:rFonts w:ascii="Arial" w:eastAsia="Calibri" w:hAnsi="Arial" w:cs="Arial"/>
          <w:color w:val="000000" w:themeColor="text1"/>
          <w:sz w:val="22"/>
          <w:szCs w:val="22"/>
          <w:lang w:val="es-ES_tradnl"/>
        </w:rPr>
        <w:footnoteReference w:id="14"/>
      </w:r>
      <w:r w:rsidRPr="00742BED">
        <w:rPr>
          <w:rFonts w:ascii="Arial" w:eastAsia="Calibri" w:hAnsi="Arial" w:cs="Arial"/>
          <w:color w:val="000000" w:themeColor="text1"/>
          <w:sz w:val="22"/>
          <w:szCs w:val="22"/>
          <w:lang w:val="es-ES_tradnl"/>
        </w:rPr>
        <w:t xml:space="preserve">.  </w:t>
      </w:r>
    </w:p>
    <w:p w14:paraId="6EE95B5C" w14:textId="77777777" w:rsidR="00B92871" w:rsidRPr="00742BED" w:rsidRDefault="00B92871" w:rsidP="00B92871">
      <w:pPr>
        <w:spacing w:line="276" w:lineRule="auto"/>
        <w:ind w:firstLine="709"/>
        <w:jc w:val="both"/>
        <w:rPr>
          <w:rFonts w:ascii="Arial" w:eastAsia="Calibri" w:hAnsi="Arial" w:cs="Arial"/>
          <w:color w:val="000000" w:themeColor="text1"/>
          <w:sz w:val="22"/>
          <w:szCs w:val="22"/>
          <w:lang w:val="es-ES_tradnl"/>
        </w:rPr>
      </w:pPr>
    </w:p>
    <w:p w14:paraId="6525352B" w14:textId="48F66883" w:rsidR="00325AD9" w:rsidRPr="00742BED" w:rsidRDefault="009F210A" w:rsidP="00B92871">
      <w:pPr>
        <w:spacing w:line="276" w:lineRule="auto"/>
        <w:ind w:firstLine="709"/>
        <w:jc w:val="both"/>
        <w:rPr>
          <w:rFonts w:ascii="Arial" w:eastAsia="Calibri" w:hAnsi="Arial" w:cs="Arial"/>
          <w:color w:val="000000" w:themeColor="text1"/>
          <w:sz w:val="22"/>
          <w:szCs w:val="22"/>
          <w:lang w:val="es-ES_tradnl"/>
        </w:rPr>
      </w:pPr>
      <w:r w:rsidRPr="00742BED">
        <w:rPr>
          <w:rFonts w:ascii="Arial" w:eastAsia="Calibri" w:hAnsi="Arial" w:cs="Arial"/>
          <w:color w:val="000000" w:themeColor="text1"/>
          <w:sz w:val="22"/>
          <w:szCs w:val="22"/>
          <w:lang w:val="es-ES_tradnl"/>
        </w:rPr>
        <w:t>Luego</w:t>
      </w:r>
      <w:r w:rsidR="00D82A7D" w:rsidRPr="00742BED">
        <w:rPr>
          <w:rFonts w:ascii="Arial" w:eastAsia="Calibri" w:hAnsi="Arial" w:cs="Arial"/>
          <w:color w:val="000000" w:themeColor="text1"/>
          <w:sz w:val="22"/>
          <w:szCs w:val="22"/>
          <w:lang w:val="es-ES_tradnl"/>
        </w:rPr>
        <w:t xml:space="preserve"> de aclarar</w:t>
      </w:r>
      <w:r w:rsidR="00325AD9" w:rsidRPr="00742BED">
        <w:rPr>
          <w:rFonts w:ascii="Arial" w:eastAsia="Calibri" w:hAnsi="Arial" w:cs="Arial"/>
          <w:color w:val="000000" w:themeColor="text1"/>
          <w:sz w:val="22"/>
          <w:szCs w:val="22"/>
          <w:lang w:val="es-ES_tradnl"/>
        </w:rPr>
        <w:t xml:space="preserve"> que el artículo 35 de la Ley </w:t>
      </w:r>
      <w:r w:rsidR="007B209C" w:rsidRPr="00742BED">
        <w:rPr>
          <w:rFonts w:ascii="Arial" w:eastAsia="Calibri" w:hAnsi="Arial" w:cs="Arial"/>
          <w:color w:val="000000" w:themeColor="text1"/>
          <w:sz w:val="22"/>
          <w:szCs w:val="22"/>
          <w:lang w:val="es-ES_tradnl"/>
        </w:rPr>
        <w:t>2069</w:t>
      </w:r>
      <w:r w:rsidR="00325AD9" w:rsidRPr="00742BED">
        <w:rPr>
          <w:rFonts w:ascii="Arial" w:eastAsia="Calibri" w:hAnsi="Arial" w:cs="Arial"/>
          <w:color w:val="000000" w:themeColor="text1"/>
          <w:sz w:val="22"/>
          <w:szCs w:val="22"/>
          <w:lang w:val="es-ES_tradnl"/>
        </w:rPr>
        <w:t xml:space="preserve"> de 2020 se encuentra vigente y que no requiere </w:t>
      </w:r>
      <w:r w:rsidR="00D82A7D" w:rsidRPr="00742BED">
        <w:rPr>
          <w:rFonts w:ascii="Arial" w:eastAsia="Calibri" w:hAnsi="Arial" w:cs="Arial"/>
          <w:color w:val="000000" w:themeColor="text1"/>
          <w:sz w:val="22"/>
          <w:szCs w:val="22"/>
          <w:lang w:val="es-ES_tradnl"/>
        </w:rPr>
        <w:t>reglamentación</w:t>
      </w:r>
      <w:r w:rsidR="00325AD9" w:rsidRPr="00742BED">
        <w:rPr>
          <w:rFonts w:ascii="Arial" w:eastAsia="Calibri" w:hAnsi="Arial" w:cs="Arial"/>
          <w:color w:val="000000" w:themeColor="text1"/>
          <w:sz w:val="22"/>
          <w:szCs w:val="22"/>
          <w:lang w:val="es-ES_tradnl"/>
        </w:rPr>
        <w:t xml:space="preserve"> previa para que </w:t>
      </w:r>
      <w:r w:rsidR="0041674B" w:rsidRPr="00742BED">
        <w:rPr>
          <w:rFonts w:ascii="Arial" w:eastAsia="Calibri" w:hAnsi="Arial" w:cs="Arial"/>
          <w:color w:val="000000" w:themeColor="text1"/>
          <w:sz w:val="22"/>
          <w:szCs w:val="22"/>
          <w:lang w:val="es-ES_tradnl"/>
        </w:rPr>
        <w:t xml:space="preserve">sea exigible en los procedimientos de selección, es </w:t>
      </w:r>
      <w:r w:rsidR="00961595" w:rsidRPr="00742BED">
        <w:rPr>
          <w:rFonts w:ascii="Arial" w:eastAsia="Calibri" w:hAnsi="Arial" w:cs="Arial"/>
          <w:color w:val="000000" w:themeColor="text1"/>
          <w:sz w:val="22"/>
          <w:szCs w:val="22"/>
          <w:lang w:val="es-ES_tradnl"/>
        </w:rPr>
        <w:t xml:space="preserve">necesario </w:t>
      </w:r>
      <w:r w:rsidR="0041674B" w:rsidRPr="00742BED">
        <w:rPr>
          <w:rFonts w:ascii="Arial" w:eastAsia="Calibri" w:hAnsi="Arial" w:cs="Arial"/>
          <w:color w:val="000000" w:themeColor="text1"/>
          <w:sz w:val="22"/>
          <w:szCs w:val="22"/>
          <w:lang w:val="es-ES_tradnl"/>
        </w:rPr>
        <w:t xml:space="preserve">hacer referencia al objeto de </w:t>
      </w:r>
      <w:r w:rsidR="00A00F5E" w:rsidRPr="00742BED">
        <w:rPr>
          <w:rFonts w:ascii="Arial" w:eastAsia="Calibri" w:hAnsi="Arial" w:cs="Arial"/>
          <w:color w:val="000000" w:themeColor="text1"/>
          <w:sz w:val="22"/>
          <w:szCs w:val="22"/>
          <w:lang w:val="es-ES_tradnl"/>
        </w:rPr>
        <w:t>la</w:t>
      </w:r>
      <w:r w:rsidR="0041674B" w:rsidRPr="00742BED">
        <w:rPr>
          <w:rFonts w:ascii="Arial" w:eastAsia="Calibri" w:hAnsi="Arial" w:cs="Arial"/>
          <w:color w:val="000000" w:themeColor="text1"/>
          <w:sz w:val="22"/>
          <w:szCs w:val="22"/>
          <w:lang w:val="es-ES_tradnl"/>
        </w:rPr>
        <w:t xml:space="preserve"> consulta. En ella se </w:t>
      </w:r>
      <w:r w:rsidR="00030DFB" w:rsidRPr="00742BED">
        <w:rPr>
          <w:rFonts w:ascii="Arial" w:eastAsia="Calibri" w:hAnsi="Arial" w:cs="Arial"/>
          <w:color w:val="000000" w:themeColor="text1"/>
          <w:sz w:val="22"/>
          <w:szCs w:val="22"/>
          <w:lang w:val="es-ES_tradnl"/>
        </w:rPr>
        <w:t xml:space="preserve">formula pregunta sobre </w:t>
      </w:r>
      <w:r w:rsidR="0030257B" w:rsidRPr="00742BED">
        <w:rPr>
          <w:rFonts w:ascii="Arial" w:eastAsia="Calibri" w:hAnsi="Arial" w:cs="Arial"/>
          <w:color w:val="000000" w:themeColor="text1"/>
          <w:sz w:val="22"/>
          <w:szCs w:val="22"/>
          <w:lang w:val="es-ES_tradnl"/>
        </w:rPr>
        <w:t xml:space="preserve">el sentido y forma de acreditación </w:t>
      </w:r>
      <w:r w:rsidR="004F2480" w:rsidRPr="00742BED">
        <w:rPr>
          <w:rFonts w:ascii="Arial" w:eastAsia="Calibri" w:hAnsi="Arial" w:cs="Arial"/>
          <w:color w:val="000000" w:themeColor="text1"/>
          <w:sz w:val="22"/>
          <w:szCs w:val="22"/>
          <w:lang w:val="es-ES_tradnl"/>
        </w:rPr>
        <w:t>del</w:t>
      </w:r>
      <w:r w:rsidR="0030257B" w:rsidRPr="00742BED">
        <w:rPr>
          <w:rFonts w:ascii="Arial" w:eastAsia="Calibri" w:hAnsi="Arial" w:cs="Arial"/>
          <w:color w:val="000000" w:themeColor="text1"/>
          <w:sz w:val="22"/>
          <w:szCs w:val="22"/>
          <w:lang w:val="es-ES_tradnl"/>
        </w:rPr>
        <w:t xml:space="preserve"> factor</w:t>
      </w:r>
      <w:r w:rsidR="004F2480" w:rsidRPr="00742BED">
        <w:rPr>
          <w:rFonts w:ascii="Arial" w:eastAsia="Calibri" w:hAnsi="Arial" w:cs="Arial"/>
          <w:color w:val="000000" w:themeColor="text1"/>
          <w:sz w:val="22"/>
          <w:szCs w:val="22"/>
          <w:lang w:val="es-ES_tradnl"/>
        </w:rPr>
        <w:t xml:space="preserve"> </w:t>
      </w:r>
      <w:r w:rsidR="0030257B" w:rsidRPr="00742BED">
        <w:rPr>
          <w:rFonts w:ascii="Arial" w:eastAsia="Calibri" w:hAnsi="Arial" w:cs="Arial"/>
          <w:color w:val="000000" w:themeColor="text1"/>
          <w:sz w:val="22"/>
          <w:szCs w:val="22"/>
          <w:lang w:val="es-ES_tradnl"/>
        </w:rPr>
        <w:t>de desempate previsto</w:t>
      </w:r>
      <w:r w:rsidR="00367603">
        <w:rPr>
          <w:rFonts w:ascii="Arial" w:eastAsia="Calibri" w:hAnsi="Arial" w:cs="Arial"/>
          <w:color w:val="000000" w:themeColor="text1"/>
          <w:sz w:val="22"/>
          <w:szCs w:val="22"/>
          <w:lang w:val="es-ES_tradnl"/>
        </w:rPr>
        <w:t xml:space="preserve"> hoy</w:t>
      </w:r>
      <w:r w:rsidR="0030257B" w:rsidRPr="00742BED">
        <w:rPr>
          <w:rFonts w:ascii="Arial" w:eastAsia="Calibri" w:hAnsi="Arial" w:cs="Arial"/>
          <w:color w:val="000000" w:themeColor="text1"/>
          <w:sz w:val="22"/>
          <w:szCs w:val="22"/>
          <w:lang w:val="es-ES_tradnl"/>
        </w:rPr>
        <w:t xml:space="preserve"> en </w:t>
      </w:r>
      <w:r w:rsidR="004F2480" w:rsidRPr="00742BED">
        <w:rPr>
          <w:rFonts w:ascii="Arial" w:eastAsia="Calibri" w:hAnsi="Arial" w:cs="Arial"/>
          <w:color w:val="000000" w:themeColor="text1"/>
          <w:sz w:val="22"/>
          <w:szCs w:val="22"/>
          <w:lang w:val="es-ES_tradnl"/>
        </w:rPr>
        <w:lastRenderedPageBreak/>
        <w:t>el</w:t>
      </w:r>
      <w:r w:rsidR="0030257B" w:rsidRPr="00742BED">
        <w:rPr>
          <w:rFonts w:ascii="Arial" w:eastAsia="Calibri" w:hAnsi="Arial" w:cs="Arial"/>
          <w:color w:val="000000" w:themeColor="text1"/>
          <w:sz w:val="22"/>
          <w:szCs w:val="22"/>
          <w:lang w:val="es-ES_tradnl"/>
        </w:rPr>
        <w:t xml:space="preserve"> numeral </w:t>
      </w:r>
      <w:r w:rsidR="00367603">
        <w:rPr>
          <w:rFonts w:ascii="Arial" w:eastAsia="Calibri" w:hAnsi="Arial" w:cs="Arial"/>
          <w:color w:val="000000" w:themeColor="text1"/>
          <w:sz w:val="22"/>
          <w:szCs w:val="22"/>
          <w:lang w:val="es-ES_tradnl"/>
        </w:rPr>
        <w:t>4</w:t>
      </w:r>
      <w:r w:rsidR="005F4596" w:rsidRPr="00742BED">
        <w:rPr>
          <w:rFonts w:ascii="Arial" w:eastAsia="Calibri" w:hAnsi="Arial" w:cs="Arial"/>
          <w:color w:val="000000" w:themeColor="text1"/>
          <w:sz w:val="22"/>
          <w:szCs w:val="22"/>
          <w:lang w:val="es-ES_tradnl"/>
        </w:rPr>
        <w:t xml:space="preserve"> </w:t>
      </w:r>
      <w:r w:rsidR="009C2210" w:rsidRPr="00742BED">
        <w:rPr>
          <w:rFonts w:ascii="Arial" w:eastAsia="Calibri" w:hAnsi="Arial" w:cs="Arial"/>
          <w:color w:val="000000" w:themeColor="text1"/>
          <w:sz w:val="22"/>
          <w:szCs w:val="22"/>
          <w:lang w:val="es-ES_tradnl"/>
        </w:rPr>
        <w:t>del artículo 35</w:t>
      </w:r>
      <w:r w:rsidR="00454DF8" w:rsidRPr="00742BED">
        <w:rPr>
          <w:rFonts w:ascii="Arial" w:eastAsia="Calibri" w:hAnsi="Arial" w:cs="Arial"/>
          <w:color w:val="000000" w:themeColor="text1"/>
          <w:sz w:val="22"/>
          <w:szCs w:val="22"/>
          <w:lang w:val="es-ES_tradnl"/>
        </w:rPr>
        <w:t xml:space="preserve">. </w:t>
      </w:r>
      <w:r w:rsidR="00E073FC" w:rsidRPr="00742BED">
        <w:rPr>
          <w:rFonts w:ascii="Arial" w:eastAsia="Calibri" w:hAnsi="Arial" w:cs="Arial"/>
          <w:color w:val="000000" w:themeColor="text1"/>
          <w:sz w:val="22"/>
          <w:szCs w:val="22"/>
          <w:lang w:val="es-ES_tradnl"/>
        </w:rPr>
        <w:t>La</w:t>
      </w:r>
      <w:r w:rsidR="00454DF8" w:rsidRPr="00742BED">
        <w:rPr>
          <w:rFonts w:ascii="Arial" w:eastAsia="Calibri" w:hAnsi="Arial" w:cs="Arial"/>
          <w:color w:val="000000" w:themeColor="text1"/>
          <w:sz w:val="22"/>
          <w:szCs w:val="22"/>
          <w:lang w:val="es-ES_tradnl"/>
        </w:rPr>
        <w:t xml:space="preserve"> disposici</w:t>
      </w:r>
      <w:r w:rsidR="004560FE" w:rsidRPr="00742BED">
        <w:rPr>
          <w:rFonts w:ascii="Arial" w:eastAsia="Calibri" w:hAnsi="Arial" w:cs="Arial"/>
          <w:color w:val="000000" w:themeColor="text1"/>
          <w:sz w:val="22"/>
          <w:szCs w:val="22"/>
          <w:lang w:val="es-ES_tradnl"/>
        </w:rPr>
        <w:t>ón</w:t>
      </w:r>
      <w:r w:rsidR="00454DF8" w:rsidRPr="00742BED">
        <w:rPr>
          <w:rFonts w:ascii="Arial" w:eastAsia="Calibri" w:hAnsi="Arial" w:cs="Arial"/>
          <w:color w:val="000000" w:themeColor="text1"/>
          <w:sz w:val="22"/>
          <w:szCs w:val="22"/>
          <w:lang w:val="es-ES_tradnl"/>
        </w:rPr>
        <w:t xml:space="preserve"> </w:t>
      </w:r>
      <w:r w:rsidR="00E073FC" w:rsidRPr="00742BED">
        <w:rPr>
          <w:rFonts w:ascii="Arial" w:eastAsia="Calibri" w:hAnsi="Arial" w:cs="Arial"/>
          <w:color w:val="000000" w:themeColor="text1"/>
          <w:sz w:val="22"/>
          <w:szCs w:val="22"/>
          <w:lang w:val="es-ES_tradnl"/>
        </w:rPr>
        <w:t>objeto de consulta</w:t>
      </w:r>
      <w:r w:rsidR="004560FE" w:rsidRPr="00742BED">
        <w:rPr>
          <w:rFonts w:ascii="Arial" w:eastAsia="Calibri" w:hAnsi="Arial" w:cs="Arial"/>
          <w:color w:val="000000" w:themeColor="text1"/>
          <w:sz w:val="22"/>
          <w:szCs w:val="22"/>
          <w:lang w:val="es-ES_tradnl"/>
        </w:rPr>
        <w:t xml:space="preserve"> </w:t>
      </w:r>
      <w:r w:rsidR="00694E8B" w:rsidRPr="00742BED">
        <w:rPr>
          <w:rFonts w:ascii="Arial" w:eastAsia="Calibri" w:hAnsi="Arial" w:cs="Arial"/>
          <w:color w:val="000000" w:themeColor="text1"/>
          <w:sz w:val="22"/>
          <w:szCs w:val="22"/>
          <w:lang w:val="es-ES_tradnl"/>
        </w:rPr>
        <w:t>está redactada de la siguiente manera</w:t>
      </w:r>
      <w:r w:rsidR="00BB606C" w:rsidRPr="00742BED">
        <w:rPr>
          <w:rFonts w:ascii="Arial" w:hAnsi="Arial" w:cs="Arial"/>
          <w:color w:val="000000" w:themeColor="text1"/>
          <w:sz w:val="22"/>
          <w:szCs w:val="22"/>
          <w:lang w:val="es-ES_tradnl"/>
        </w:rPr>
        <w:t>:</w:t>
      </w:r>
      <w:r w:rsidR="00E073FC" w:rsidRPr="00742BED">
        <w:rPr>
          <w:rFonts w:ascii="Arial" w:hAnsi="Arial" w:cs="Arial"/>
          <w:color w:val="000000" w:themeColor="text1"/>
          <w:sz w:val="22"/>
          <w:szCs w:val="22"/>
          <w:lang w:val="es-ES_tradnl"/>
        </w:rPr>
        <w:t xml:space="preserve"> </w:t>
      </w:r>
    </w:p>
    <w:p w14:paraId="0F63709A" w14:textId="74E372D9" w:rsidR="00BB606C" w:rsidRPr="00742BED" w:rsidRDefault="00BB606C" w:rsidP="004B205A">
      <w:pPr>
        <w:spacing w:line="276" w:lineRule="auto"/>
        <w:ind w:firstLine="709"/>
        <w:jc w:val="both"/>
        <w:rPr>
          <w:rFonts w:ascii="Arial" w:hAnsi="Arial" w:cs="Arial"/>
          <w:color w:val="000000" w:themeColor="text1"/>
          <w:sz w:val="21"/>
          <w:szCs w:val="21"/>
          <w:lang w:val="es-ES_tradnl"/>
        </w:rPr>
      </w:pPr>
    </w:p>
    <w:p w14:paraId="0BC827BE" w14:textId="77777777" w:rsidR="00530458" w:rsidRPr="00742BED" w:rsidRDefault="00530458" w:rsidP="00C0167E">
      <w:pPr>
        <w:spacing w:after="120"/>
        <w:ind w:left="709" w:right="709"/>
        <w:jc w:val="both"/>
        <w:rPr>
          <w:rFonts w:ascii="Arial" w:eastAsia="Calibri" w:hAnsi="Arial" w:cs="Arial"/>
          <w:color w:val="000000" w:themeColor="text1"/>
          <w:sz w:val="21"/>
          <w:szCs w:val="21"/>
          <w:lang w:val="es-ES_tradnl"/>
        </w:rPr>
      </w:pPr>
      <w:r w:rsidRPr="00742BED">
        <w:rPr>
          <w:rFonts w:ascii="Arial" w:eastAsia="Calibri" w:hAnsi="Arial" w:cs="Arial"/>
          <w:color w:val="000000" w:themeColor="text1"/>
          <w:sz w:val="21"/>
          <w:szCs w:val="21"/>
          <w:lang w:val="es-ES_tradnl"/>
        </w:rPr>
        <w:t>En caso de empate en el puntaje total de dos o más ofertas en los Procesos de Contratación realizados con cargo a recursos públicos, los Procesos de Contratación realizados por las Entidades Estatales indistintamente de su régimen de contratación, así como los celebrados por los Procesos de Contratación de los patrimonios autónomos constituidos por Entidades Estatales, el contratante deberá utilizar las siguientes reglas de forma sucesiva y excluyente para seleccionar al oferente favorecido, respetando en todo caso los compromisos internacionales vigentes</w:t>
      </w:r>
    </w:p>
    <w:p w14:paraId="0CDD4CD6" w14:textId="60DC1C87" w:rsidR="00E643A3" w:rsidRPr="003B70AF" w:rsidRDefault="00530458" w:rsidP="003B70AF">
      <w:pPr>
        <w:spacing w:after="120"/>
        <w:ind w:left="709" w:right="709"/>
        <w:jc w:val="both"/>
        <w:rPr>
          <w:rFonts w:ascii="Arial" w:eastAsia="Calibri" w:hAnsi="Arial" w:cs="Arial"/>
          <w:color w:val="000000" w:themeColor="text1"/>
          <w:sz w:val="21"/>
          <w:szCs w:val="21"/>
          <w:lang w:val="es-ES_tradnl"/>
        </w:rPr>
      </w:pPr>
      <w:r w:rsidRPr="00742BED">
        <w:rPr>
          <w:rFonts w:ascii="Arial" w:eastAsia="Calibri" w:hAnsi="Arial" w:cs="Arial"/>
          <w:color w:val="000000" w:themeColor="text1"/>
          <w:sz w:val="21"/>
          <w:szCs w:val="21"/>
          <w:lang w:val="es-ES_tradnl"/>
        </w:rPr>
        <w:t>[…]</w:t>
      </w:r>
    </w:p>
    <w:p w14:paraId="20D973A7" w14:textId="520CC0A6" w:rsidR="00E643A3" w:rsidRPr="00742BED" w:rsidRDefault="00E643A3" w:rsidP="00E643A3">
      <w:pPr>
        <w:spacing w:after="120"/>
        <w:ind w:left="709" w:right="709"/>
        <w:jc w:val="both"/>
        <w:rPr>
          <w:rFonts w:ascii="Arial" w:eastAsia="Calibri" w:hAnsi="Arial" w:cs="Arial"/>
          <w:sz w:val="21"/>
          <w:szCs w:val="21"/>
          <w:lang w:val="es-ES_tradnl"/>
        </w:rPr>
      </w:pPr>
      <w:r w:rsidRPr="00742BED">
        <w:rPr>
          <w:rFonts w:ascii="Arial" w:eastAsia="Calibri" w:hAnsi="Arial" w:cs="Arial"/>
          <w:sz w:val="21"/>
          <w:szCs w:val="21"/>
          <w:lang w:val="es-ES_tradnl"/>
        </w:rPr>
        <w:t>4. Preferir la propuesta presentada por el oferente que acredite la vinculación en mayor proporción de personas mayores que no sean beneficiarios de la pensión de vejez, familiar o de sobrevivencia y que hayan cumplido el requisito de edad de pensión establecido en la Ley.</w:t>
      </w:r>
    </w:p>
    <w:p w14:paraId="297E7416" w14:textId="77777777" w:rsidR="00FF26FB" w:rsidRPr="00742BED" w:rsidRDefault="00FF26FB" w:rsidP="00FF26FB">
      <w:pPr>
        <w:spacing w:after="120"/>
        <w:ind w:left="709" w:right="709"/>
        <w:jc w:val="both"/>
        <w:rPr>
          <w:rFonts w:ascii="Arial" w:eastAsia="Calibri" w:hAnsi="Arial" w:cs="Arial"/>
          <w:sz w:val="21"/>
          <w:szCs w:val="21"/>
          <w:lang w:val="es-ES_tradnl"/>
        </w:rPr>
      </w:pPr>
      <w:r w:rsidRPr="00742BED">
        <w:rPr>
          <w:rFonts w:ascii="Arial" w:eastAsia="Calibri" w:hAnsi="Arial" w:cs="Arial"/>
          <w:sz w:val="21"/>
          <w:szCs w:val="21"/>
          <w:lang w:val="es-ES_tradnl"/>
        </w:rPr>
        <w:t>[…]</w:t>
      </w:r>
    </w:p>
    <w:p w14:paraId="5E1207E2" w14:textId="74C55D63" w:rsidR="00766D49" w:rsidRPr="00742BED" w:rsidRDefault="00766D49" w:rsidP="00FF26FB">
      <w:pPr>
        <w:ind w:right="709"/>
        <w:jc w:val="both"/>
        <w:rPr>
          <w:rFonts w:ascii="Arial" w:eastAsia="Calibri" w:hAnsi="Arial" w:cs="Arial"/>
          <w:color w:val="000000" w:themeColor="text1"/>
          <w:sz w:val="21"/>
          <w:szCs w:val="21"/>
          <w:lang w:val="es-ES_tradnl"/>
        </w:rPr>
      </w:pPr>
    </w:p>
    <w:p w14:paraId="085ABD8E" w14:textId="5F182324" w:rsidR="00380B96" w:rsidRPr="00742BED" w:rsidRDefault="00CC4EF4" w:rsidP="00277EC1">
      <w:pPr>
        <w:spacing w:line="276" w:lineRule="auto"/>
        <w:ind w:firstLine="709"/>
        <w:jc w:val="both"/>
        <w:rPr>
          <w:rFonts w:ascii="Arial" w:eastAsia="Calibri" w:hAnsi="Arial" w:cs="Arial"/>
          <w:color w:val="000000" w:themeColor="text1"/>
          <w:sz w:val="22"/>
          <w:szCs w:val="22"/>
          <w:lang w:val="es-ES_tradnl"/>
        </w:rPr>
      </w:pPr>
      <w:r w:rsidRPr="00742BED">
        <w:rPr>
          <w:rFonts w:ascii="Arial" w:eastAsia="Calibri" w:hAnsi="Arial" w:cs="Arial"/>
          <w:color w:val="000000" w:themeColor="text1"/>
          <w:sz w:val="22"/>
          <w:szCs w:val="22"/>
          <w:lang w:val="es-ES_tradnl"/>
        </w:rPr>
        <w:t xml:space="preserve">Como se advierte, </w:t>
      </w:r>
      <w:r w:rsidR="004560FE" w:rsidRPr="00742BED">
        <w:rPr>
          <w:rFonts w:ascii="Arial" w:eastAsia="Calibri" w:hAnsi="Arial" w:cs="Arial"/>
          <w:color w:val="000000" w:themeColor="text1"/>
          <w:sz w:val="22"/>
          <w:szCs w:val="22"/>
          <w:lang w:val="es-ES_tradnl"/>
        </w:rPr>
        <w:t>este</w:t>
      </w:r>
      <w:r w:rsidRPr="00742BED">
        <w:rPr>
          <w:rFonts w:ascii="Arial" w:eastAsia="Calibri" w:hAnsi="Arial" w:cs="Arial"/>
          <w:color w:val="000000" w:themeColor="text1"/>
          <w:sz w:val="22"/>
          <w:szCs w:val="22"/>
          <w:lang w:val="es-ES_tradnl"/>
        </w:rPr>
        <w:t xml:space="preserve"> numeral </w:t>
      </w:r>
      <w:bookmarkStart w:id="2" w:name="_Hlk62459524"/>
      <w:r w:rsidRPr="00742BED">
        <w:rPr>
          <w:rFonts w:ascii="Arial" w:eastAsia="Calibri" w:hAnsi="Arial" w:cs="Arial"/>
          <w:color w:val="000000" w:themeColor="text1"/>
          <w:sz w:val="22"/>
          <w:szCs w:val="22"/>
          <w:lang w:val="es-ES_tradnl"/>
        </w:rPr>
        <w:t xml:space="preserve">no establece un medio específico para acreditar las circunstancias a las que se refiere. Por lo tanto, corresponde a la entidad contratante analizar si el ordenamiento jurídico, en otras disposiciones legales o reglamentarias, exige un documento especial o si, por el contrario, hay libertad probatoria. Este análisis debe realizarse de manera independiente frente a cada numeral. En caso de que no exista «tarifa legal», es decir, en el evento en que la ley o el reglamento no definan un medio probatorio para acreditar la circunstancia correspondiente, la entidad estatal contratante tiene discrecionalidad para establecer en el pliego de condiciones o en el documento equivalente de qué manera el proponente podrá probar que se </w:t>
      </w:r>
      <w:r w:rsidR="00345965" w:rsidRPr="00742BED">
        <w:rPr>
          <w:rFonts w:ascii="Arial" w:eastAsia="Calibri" w:hAnsi="Arial" w:cs="Arial"/>
          <w:color w:val="000000" w:themeColor="text1"/>
          <w:sz w:val="22"/>
          <w:szCs w:val="22"/>
          <w:lang w:val="es-ES_tradnl"/>
        </w:rPr>
        <w:t>encuentra</w:t>
      </w:r>
      <w:r w:rsidRPr="00742BED">
        <w:rPr>
          <w:rFonts w:ascii="Arial" w:eastAsia="Calibri" w:hAnsi="Arial" w:cs="Arial"/>
          <w:color w:val="000000" w:themeColor="text1"/>
          <w:sz w:val="22"/>
          <w:szCs w:val="22"/>
          <w:lang w:val="es-ES_tradnl"/>
        </w:rPr>
        <w:t xml:space="preserve"> bajo la condición que permite aplicar la regla de desempate. Por supuesto, el decreto reglamentario que expida el gobierno nacional para garantizar la cumplida ejecución de la Ley </w:t>
      </w:r>
      <w:r w:rsidR="007B209C" w:rsidRPr="00742BED">
        <w:rPr>
          <w:rFonts w:ascii="Arial" w:eastAsia="Calibri" w:hAnsi="Arial" w:cs="Arial"/>
          <w:color w:val="000000" w:themeColor="text1"/>
          <w:sz w:val="22"/>
          <w:szCs w:val="22"/>
          <w:lang w:val="es-ES_tradnl"/>
        </w:rPr>
        <w:t>2069</w:t>
      </w:r>
      <w:r w:rsidRPr="00742BED">
        <w:rPr>
          <w:rFonts w:ascii="Arial" w:eastAsia="Calibri" w:hAnsi="Arial" w:cs="Arial"/>
          <w:color w:val="000000" w:themeColor="text1"/>
          <w:sz w:val="22"/>
          <w:szCs w:val="22"/>
          <w:lang w:val="es-ES_tradnl"/>
        </w:rPr>
        <w:t xml:space="preserve"> de 2020 podría establecer los medios de prueba, así como las autoridades encargadas de certificar las circunstancias del artículo 35. Sin embargo, mientras ello no suceda, deberá aplicarse el criterio indicado con anterioridad.</w:t>
      </w:r>
    </w:p>
    <w:bookmarkEnd w:id="2"/>
    <w:p w14:paraId="244BF9C2" w14:textId="3D02F9B5" w:rsidR="00F20C85" w:rsidRPr="00F20C85" w:rsidRDefault="004567DA" w:rsidP="00F20C85">
      <w:pPr>
        <w:spacing w:before="120" w:line="276" w:lineRule="auto"/>
        <w:ind w:firstLine="709"/>
        <w:jc w:val="both"/>
        <w:rPr>
          <w:rFonts w:ascii="Arial" w:eastAsia="Calibri" w:hAnsi="Arial" w:cs="Arial"/>
          <w:sz w:val="22"/>
          <w:szCs w:val="22"/>
          <w:lang w:val="es-ES_tradnl"/>
        </w:rPr>
      </w:pPr>
      <w:r w:rsidRPr="00742BED">
        <w:rPr>
          <w:rFonts w:ascii="Arial" w:eastAsia="Calibri" w:hAnsi="Arial" w:cs="Arial"/>
          <w:color w:val="000000" w:themeColor="text1"/>
          <w:sz w:val="22"/>
          <w:szCs w:val="22"/>
          <w:lang w:val="es-ES_tradnl"/>
        </w:rPr>
        <w:t>Así,</w:t>
      </w:r>
      <w:r w:rsidR="00F20C85">
        <w:rPr>
          <w:rFonts w:ascii="Arial" w:eastAsia="Calibri" w:hAnsi="Arial" w:cs="Arial"/>
          <w:color w:val="000000" w:themeColor="text1"/>
          <w:sz w:val="22"/>
          <w:szCs w:val="22"/>
          <w:lang w:val="es-ES_tradnl"/>
        </w:rPr>
        <w:t xml:space="preserve"> en relación </w:t>
      </w:r>
      <w:r w:rsidR="00F20C85" w:rsidRPr="00F20C85">
        <w:rPr>
          <w:rFonts w:ascii="Arial" w:eastAsia="Calibri" w:hAnsi="Arial" w:cs="Arial"/>
          <w:sz w:val="22"/>
          <w:szCs w:val="22"/>
          <w:lang w:val="es-ES_tradnl"/>
        </w:rPr>
        <w:t xml:space="preserve">con lo previsto en el numeral 4 del artículo en comento, cuando el legislador alude al concepto de «personas mayores» que no sean beneficiarias de la pensión de vejez, familiar o de sobrevivencia y que hayan cumplido la edad para obtenerla, una posible interpretación es entender que la norma se refiere al «adulto mayor». Este concepto lo define el artículo 3 de la Ley 1251 de 2008 –«Por la cual se dictan normas tendientes a procurar la protección, promoción y defensa de los derechos de los adultos mayores»– como «[…] aquella persona que cuenta con sesenta (60) </w:t>
      </w:r>
      <w:proofErr w:type="gramStart"/>
      <w:r w:rsidR="00F20C85" w:rsidRPr="00F20C85">
        <w:rPr>
          <w:rFonts w:ascii="Arial" w:eastAsia="Calibri" w:hAnsi="Arial" w:cs="Arial"/>
          <w:sz w:val="22"/>
          <w:szCs w:val="22"/>
          <w:lang w:val="es-ES_tradnl"/>
        </w:rPr>
        <w:t>años de edad</w:t>
      </w:r>
      <w:proofErr w:type="gramEnd"/>
      <w:r w:rsidR="00F20C85" w:rsidRPr="00F20C85">
        <w:rPr>
          <w:rFonts w:ascii="Arial" w:eastAsia="Calibri" w:hAnsi="Arial" w:cs="Arial"/>
          <w:sz w:val="22"/>
          <w:szCs w:val="22"/>
          <w:lang w:val="es-ES_tradnl"/>
        </w:rPr>
        <w:t xml:space="preserve"> o más», lo cual se puede acreditar con el documento de identidad correspondiente. En todo caso, conforme a lo explicado en el Concepto 206 del 3 de mayo de 2021, también existe de la </w:t>
      </w:r>
      <w:r w:rsidR="00F20C85" w:rsidRPr="00F20C85">
        <w:rPr>
          <w:rFonts w:ascii="Arial" w:eastAsia="Calibri" w:hAnsi="Arial" w:cs="Arial"/>
          <w:sz w:val="22"/>
          <w:szCs w:val="22"/>
          <w:lang w:val="es-ES_tradnl"/>
        </w:rPr>
        <w:lastRenderedPageBreak/>
        <w:t>posibilidad de entender que esta causal aplica a todas las personas que –en el rango de edad correspondiente a cada género– no han alcanzado la pensión, interpretación que – sin perjuicio de lo que defina el reglamento– está más ajustada al principio de favorabilidad.</w:t>
      </w:r>
    </w:p>
    <w:p w14:paraId="11B959D3" w14:textId="77777777" w:rsidR="00F20C85" w:rsidRPr="00F20C85" w:rsidRDefault="00F20C85" w:rsidP="00F20C85">
      <w:pPr>
        <w:spacing w:before="120" w:line="276" w:lineRule="auto"/>
        <w:ind w:firstLine="709"/>
        <w:jc w:val="both"/>
        <w:rPr>
          <w:rFonts w:ascii="Arial" w:hAnsi="Arial" w:cs="Arial"/>
          <w:sz w:val="22"/>
          <w:szCs w:val="22"/>
          <w:lang w:val="es-ES_tradnl"/>
        </w:rPr>
      </w:pPr>
      <w:r w:rsidRPr="00F20C85">
        <w:rPr>
          <w:rFonts w:ascii="Arial" w:hAnsi="Arial" w:cs="Arial"/>
          <w:sz w:val="22"/>
          <w:szCs w:val="22"/>
          <w:lang w:val="es-ES_tradnl"/>
        </w:rPr>
        <w:t xml:space="preserve">El numeral dispone que en dicho evento la regla de desempate se aplica a favor del «[…] oferente que acredite la vinculación en </w:t>
      </w:r>
      <w:bookmarkStart w:id="3" w:name="_Hlk72755608"/>
      <w:r w:rsidRPr="00F20C85">
        <w:rPr>
          <w:rFonts w:ascii="Arial" w:hAnsi="Arial" w:cs="Arial"/>
          <w:sz w:val="22"/>
          <w:szCs w:val="22"/>
          <w:lang w:val="es-ES_tradnl"/>
        </w:rPr>
        <w:t>mayor proporción de personas mayores que no sean beneficiarios de la pensión de vejez, familiar o de sobrevivencia y que hayan cumplido el requisito de edad de pensión establecido en la Ley»</w:t>
      </w:r>
      <w:bookmarkEnd w:id="3"/>
      <w:r w:rsidRPr="00F20C85">
        <w:rPr>
          <w:rFonts w:ascii="Arial" w:hAnsi="Arial" w:cs="Arial"/>
          <w:sz w:val="22"/>
          <w:szCs w:val="22"/>
          <w:lang w:val="es-ES_tradnl"/>
        </w:rPr>
        <w:t xml:space="preserve">. </w:t>
      </w:r>
      <w:bookmarkStart w:id="4" w:name="_Hlk72753138"/>
      <w:r w:rsidRPr="00F20C85">
        <w:rPr>
          <w:rFonts w:ascii="Arial" w:hAnsi="Arial" w:cs="Arial"/>
          <w:sz w:val="22"/>
          <w:szCs w:val="22"/>
          <w:lang w:val="es-ES_tradnl"/>
        </w:rPr>
        <w:t>De este modo, cuando la norma se refiere a la «mayor proporción» alude al número de personas vinculadas por el oferente y que además reúnan la condición de ser mayores y que «no sean beneficiarios de la pensión de vejez, familiar o de sobrevivencia y que hayan cumplido el requisito de edad de pensión establecido en la Ley»</w:t>
      </w:r>
      <w:bookmarkEnd w:id="4"/>
      <w:r w:rsidRPr="00F20C85">
        <w:rPr>
          <w:rFonts w:ascii="Arial" w:hAnsi="Arial" w:cs="Arial"/>
          <w:sz w:val="22"/>
          <w:szCs w:val="22"/>
          <w:lang w:val="es-ES_tradnl"/>
        </w:rPr>
        <w:t xml:space="preserve">, añadiendo que la «vinculación en mayor proporción» debe analizarse respecto al número de trabajadores de la planta de personal. </w:t>
      </w:r>
    </w:p>
    <w:p w14:paraId="0EB7BF09" w14:textId="77777777" w:rsidR="00F20C85" w:rsidRPr="00F20C85" w:rsidRDefault="00F20C85" w:rsidP="00F20C85">
      <w:pPr>
        <w:spacing w:before="120" w:line="276" w:lineRule="auto"/>
        <w:ind w:firstLine="709"/>
        <w:jc w:val="both"/>
        <w:rPr>
          <w:rFonts w:ascii="Arial" w:hAnsi="Arial" w:cs="Arial"/>
          <w:sz w:val="22"/>
          <w:szCs w:val="22"/>
          <w:lang w:val="es-ES_tradnl"/>
        </w:rPr>
      </w:pPr>
      <w:r w:rsidRPr="00F20C85">
        <w:rPr>
          <w:rFonts w:ascii="Arial" w:hAnsi="Arial" w:cs="Arial"/>
          <w:sz w:val="22"/>
          <w:szCs w:val="22"/>
          <w:lang w:val="es-ES_tradnl"/>
        </w:rPr>
        <w:t>Al respecto, es necesario tener en cuenta que el artículo 28 del Código Civil dispone que «Las palabras de la ley se entenderán en su sentido natural y obvio, según el uso general de las mismas palabras; pero cuando el legislador las haya definido expresamente para ciertas materias, se les dará en éstas su significado legal». Igualmente, en el artículo 29 ibidem, también prescribe que «Las palabras técnicas de toda ciencia o arte se tomarán en el sentido que les den los que profesan la misma ciencia o arte; a menos que aparezca claramente que se han formado en sentido diverso».</w:t>
      </w:r>
    </w:p>
    <w:p w14:paraId="3A286568" w14:textId="77777777" w:rsidR="00F20C85" w:rsidRPr="00F20C85" w:rsidRDefault="00F20C85" w:rsidP="00F20C85">
      <w:pPr>
        <w:spacing w:before="120" w:line="276" w:lineRule="auto"/>
        <w:ind w:firstLine="709"/>
        <w:jc w:val="both"/>
        <w:rPr>
          <w:rFonts w:ascii="Arial" w:hAnsi="Arial" w:cs="Arial"/>
          <w:sz w:val="22"/>
          <w:szCs w:val="22"/>
          <w:lang w:val="es-ES_tradnl"/>
        </w:rPr>
      </w:pPr>
      <w:r w:rsidRPr="00F20C85">
        <w:rPr>
          <w:rFonts w:ascii="Arial" w:hAnsi="Arial" w:cs="Arial"/>
          <w:sz w:val="22"/>
          <w:szCs w:val="22"/>
          <w:lang w:val="es-ES_tradnl"/>
        </w:rPr>
        <w:t>Conforme a la definición del Diccionario de la RAE, la palabra «proporción» es la «Igualdad de dos razones». Esta expresión tiene una definición propia en el campo de las matemáticas, pues alude a una relación o razón constante entre diferentes magnitudes que se vayan a medir. Por esta razón, la «[…] mayor proporción de personas mayores que no sean beneficiarios de la pensión de vejez, familiar o de sobrevivencia y que hayan cumplido el requisito de edad de pensión establecido en la Ley» no corresponde a un valor absoluto, sino relativo.</w:t>
      </w:r>
    </w:p>
    <w:p w14:paraId="3AC715E8" w14:textId="31AFB319" w:rsidR="00F20C85" w:rsidRPr="00F20C85" w:rsidRDefault="00F20C85" w:rsidP="00F20C85">
      <w:pPr>
        <w:spacing w:before="120" w:line="276" w:lineRule="auto"/>
        <w:ind w:firstLine="709"/>
        <w:jc w:val="both"/>
        <w:rPr>
          <w:rFonts w:ascii="Arial" w:hAnsi="Arial" w:cs="Arial"/>
          <w:sz w:val="22"/>
          <w:szCs w:val="22"/>
          <w:lang w:val="es-ES_tradnl"/>
        </w:rPr>
      </w:pPr>
      <w:r w:rsidRPr="00F20C85">
        <w:rPr>
          <w:rFonts w:ascii="Arial" w:hAnsi="Arial" w:cs="Arial"/>
          <w:sz w:val="22"/>
          <w:szCs w:val="22"/>
          <w:lang w:val="es-ES_tradnl"/>
        </w:rPr>
        <w:t>En efecto, el factor de desempate del artículo 35.4 de la Ley 2069 de 2020 no se refiere a la «vinculación en mayor cantidad» de personas mayores. En este caso, bastaría comparar el número de personas vinculadas entre cada uno de los proponentes empatados, adjudicando el contrato a aquel que m</w:t>
      </w:r>
      <w:r w:rsidR="00162065">
        <w:rPr>
          <w:rFonts w:ascii="Arial" w:hAnsi="Arial" w:cs="Arial"/>
          <w:sz w:val="22"/>
          <w:szCs w:val="22"/>
          <w:lang w:val="es-ES_tradnl"/>
        </w:rPr>
        <w:t>á</w:t>
      </w:r>
      <w:r w:rsidRPr="00F20C85">
        <w:rPr>
          <w:rFonts w:ascii="Arial" w:hAnsi="Arial" w:cs="Arial"/>
          <w:sz w:val="22"/>
          <w:szCs w:val="22"/>
          <w:lang w:val="es-ES_tradnl"/>
        </w:rPr>
        <w:t xml:space="preserve">s tenga. Sin embargo, esta interpretación no es posible en la medida que la norma se refiere a la </w:t>
      </w:r>
      <w:bookmarkStart w:id="5" w:name="_Hlk72758821"/>
      <w:r w:rsidRPr="00F20C85">
        <w:rPr>
          <w:rFonts w:ascii="Arial" w:hAnsi="Arial" w:cs="Arial"/>
          <w:sz w:val="22"/>
          <w:szCs w:val="22"/>
          <w:lang w:val="es-ES_tradnl"/>
        </w:rPr>
        <w:t>«vinculación en mayor proporción»</w:t>
      </w:r>
      <w:bookmarkEnd w:id="5"/>
      <w:r w:rsidRPr="00F20C85">
        <w:rPr>
          <w:rFonts w:ascii="Arial" w:hAnsi="Arial" w:cs="Arial"/>
          <w:sz w:val="22"/>
          <w:szCs w:val="22"/>
          <w:lang w:val="es-ES_tradnl"/>
        </w:rPr>
        <w:t>, es decir el número de personas vinculadas en relación con la planta de personal de los oferentes.</w:t>
      </w:r>
    </w:p>
    <w:p w14:paraId="365F89DA" w14:textId="02A037EE" w:rsidR="00F20C85" w:rsidRDefault="00F20C85" w:rsidP="00F20C85">
      <w:pPr>
        <w:spacing w:before="120" w:line="276" w:lineRule="auto"/>
        <w:ind w:firstLine="709"/>
        <w:jc w:val="both"/>
        <w:rPr>
          <w:rFonts w:ascii="Arial" w:eastAsia="Calibri" w:hAnsi="Arial" w:cs="Arial"/>
          <w:color w:val="000000" w:themeColor="text1"/>
          <w:sz w:val="22"/>
          <w:szCs w:val="22"/>
          <w:lang w:val="es-ES_tradnl"/>
        </w:rPr>
      </w:pPr>
      <w:r w:rsidRPr="00F20C85">
        <w:rPr>
          <w:rFonts w:ascii="Arial" w:hAnsi="Arial" w:cs="Arial"/>
          <w:sz w:val="22"/>
          <w:szCs w:val="22"/>
          <w:lang w:val="es-ES_tradnl"/>
        </w:rPr>
        <w:t xml:space="preserve">Hasta ahora no existe un reglamento que defina el concepto de «vinculación en mayor proporción», por lo que debe entenderse conforme a las pautas hermenéuticas del Código Civil. Por tanto, es necesario precisar el alcance del Concepto C-015 del 4 de febrero de 2021 en el sentido que el artículo 35.4 de la Ley de Emprendimiento se refiere al número de personas vinculadas por el oferente que «no sean beneficiarios de la pensión </w:t>
      </w:r>
      <w:r w:rsidRPr="00F20C85">
        <w:rPr>
          <w:rFonts w:ascii="Arial" w:hAnsi="Arial" w:cs="Arial"/>
          <w:sz w:val="22"/>
          <w:szCs w:val="22"/>
          <w:lang w:val="es-ES_tradnl"/>
        </w:rPr>
        <w:lastRenderedPageBreak/>
        <w:t>de vejez, familiar o de sobrevivencia y que hayan cumplido el requisito de edad de pensión establecido en la Ley», precisando que la «vinculación en mayor proporción» debe analizarse respecto al número de trabajadores de la planta de personal.</w:t>
      </w:r>
      <w:r w:rsidR="003B70AF">
        <w:rPr>
          <w:rFonts w:ascii="Arial" w:eastAsia="Calibri" w:hAnsi="Arial" w:cs="Arial"/>
          <w:color w:val="000000" w:themeColor="text1"/>
          <w:sz w:val="22"/>
          <w:szCs w:val="22"/>
          <w:lang w:val="es-ES_tradnl"/>
        </w:rPr>
        <w:t xml:space="preserve"> </w:t>
      </w:r>
    </w:p>
    <w:p w14:paraId="53AED37F" w14:textId="4244F739" w:rsidR="00785815" w:rsidRPr="00742BED" w:rsidRDefault="00785815" w:rsidP="00F20C85">
      <w:pPr>
        <w:spacing w:before="120" w:line="276" w:lineRule="auto"/>
        <w:ind w:firstLine="708"/>
        <w:jc w:val="both"/>
        <w:rPr>
          <w:rFonts w:ascii="Arial" w:hAnsi="Arial" w:cs="Arial"/>
          <w:color w:val="000000" w:themeColor="text1"/>
          <w:sz w:val="22"/>
          <w:szCs w:val="22"/>
          <w:lang w:val="es-ES_tradnl"/>
        </w:rPr>
      </w:pPr>
      <w:r w:rsidRPr="00742BED">
        <w:rPr>
          <w:rFonts w:ascii="Arial" w:hAnsi="Arial" w:cs="Arial"/>
          <w:color w:val="000000" w:themeColor="text1"/>
          <w:sz w:val="22"/>
          <w:szCs w:val="22"/>
          <w:lang w:val="es-ES_tradnl"/>
        </w:rPr>
        <w:t>La norma guarda silencio sobre la acreditación de la condición que da lugar al factor de desempate. Por tanto, esta Agencia considera que, sin perjuicio de que el reglamento que expida el gobierno nacional determine un medio de acreditación especial, existe libertad probatoria sobre el tema. En consecuencia, la entidad contratante puede determinar en el pliego de condiciones o documento equivalente cuál será el medio para evidenciar la vinculación de las personas mayores por parte del oferente.</w:t>
      </w:r>
    </w:p>
    <w:p w14:paraId="74F48886" w14:textId="77777777" w:rsidR="00785815" w:rsidRPr="00742BED" w:rsidRDefault="00785815" w:rsidP="00785815">
      <w:pPr>
        <w:spacing w:before="120" w:line="276" w:lineRule="auto"/>
        <w:ind w:firstLine="709"/>
        <w:jc w:val="both"/>
        <w:rPr>
          <w:rFonts w:ascii="Arial" w:hAnsi="Arial" w:cs="Arial"/>
          <w:color w:val="000000" w:themeColor="text1"/>
          <w:sz w:val="22"/>
          <w:szCs w:val="22"/>
          <w:lang w:val="es-ES_tradnl"/>
        </w:rPr>
      </w:pPr>
      <w:r w:rsidRPr="00742BED">
        <w:rPr>
          <w:rFonts w:ascii="Arial" w:hAnsi="Arial" w:cs="Arial"/>
          <w:color w:val="000000" w:themeColor="text1"/>
          <w:sz w:val="22"/>
          <w:szCs w:val="22"/>
          <w:lang w:val="es-ES_tradnl"/>
        </w:rPr>
        <w:t xml:space="preserve">El numeral 4 del artículo 35 de la Ley 2069 de 2020 exige que la vinculación de personas mayores sea de carácter laboral –es decir, a través de un contrato de trabajo–, por lo cual Colombia Compra Eficiente considera que, en principio y salvo que el decreto reglamentario proferido por el gobierno nacional disponga lo contrario, resultaría inadmisible la vinculación de dichas personas a través de otros tipos contractuales, como, por ejemplo, el contrato de prestación de servicios. Para estos efectos, la palabra «vinculación» debe entenderse en concordancia con el parágrafo 2 de la norma en comento, el cual dispone que «Para los criterios enunciados que involucren la </w:t>
      </w:r>
      <w:r w:rsidRPr="00742BED">
        <w:rPr>
          <w:rFonts w:ascii="Arial" w:hAnsi="Arial" w:cs="Arial"/>
          <w:i/>
          <w:iCs/>
          <w:color w:val="000000" w:themeColor="text1"/>
          <w:sz w:val="22"/>
          <w:szCs w:val="22"/>
          <w:lang w:val="es-ES_tradnl"/>
        </w:rPr>
        <w:t>vinculación de capital humano</w:t>
      </w:r>
      <w:r w:rsidRPr="00742BED">
        <w:rPr>
          <w:rFonts w:ascii="Arial" w:hAnsi="Arial" w:cs="Arial"/>
          <w:color w:val="000000" w:themeColor="text1"/>
          <w:sz w:val="22"/>
          <w:szCs w:val="22"/>
          <w:lang w:val="es-ES_tradnl"/>
        </w:rPr>
        <w:t xml:space="preserve">, el oferente deberá acreditar una antigüedad igual o mayor a un año. Para los casos de constitución inferior a un año </w:t>
      </w:r>
      <w:r w:rsidRPr="00742BED">
        <w:rPr>
          <w:rFonts w:ascii="Arial" w:hAnsi="Arial" w:cs="Arial"/>
          <w:i/>
          <w:iCs/>
          <w:color w:val="000000" w:themeColor="text1"/>
          <w:sz w:val="22"/>
          <w:szCs w:val="22"/>
          <w:lang w:val="es-ES_tradnl"/>
        </w:rPr>
        <w:t>se tendrá en cuenta a aquellos trabajadores</w:t>
      </w:r>
      <w:r w:rsidRPr="00742BED">
        <w:rPr>
          <w:rFonts w:ascii="Arial" w:hAnsi="Arial" w:cs="Arial"/>
          <w:color w:val="000000" w:themeColor="text1"/>
          <w:sz w:val="22"/>
          <w:szCs w:val="22"/>
          <w:lang w:val="es-ES_tradnl"/>
        </w:rPr>
        <w:t xml:space="preserve"> que hayan estado vinculados desde el momento de constitución de </w:t>
      </w:r>
      <w:proofErr w:type="gramStart"/>
      <w:r w:rsidRPr="00742BED">
        <w:rPr>
          <w:rFonts w:ascii="Arial" w:hAnsi="Arial" w:cs="Arial"/>
          <w:color w:val="000000" w:themeColor="text1"/>
          <w:sz w:val="22"/>
          <w:szCs w:val="22"/>
          <w:lang w:val="es-ES_tradnl"/>
        </w:rPr>
        <w:t>la misma</w:t>
      </w:r>
      <w:proofErr w:type="gramEnd"/>
      <w:r w:rsidRPr="00742BED">
        <w:rPr>
          <w:rFonts w:ascii="Arial" w:hAnsi="Arial" w:cs="Arial"/>
          <w:color w:val="000000" w:themeColor="text1"/>
          <w:sz w:val="22"/>
          <w:szCs w:val="22"/>
          <w:lang w:val="es-ES_tradnl"/>
        </w:rPr>
        <w:t xml:space="preserve">» (Énfasis fuera de texto). Como se observa la norma se refiere a la vinculación de trabajadores, lo cual excluye la posibilidad de acreditar el factor de desempate con prestadores de servicios.  </w:t>
      </w:r>
    </w:p>
    <w:p w14:paraId="08005E80" w14:textId="3C76A23F" w:rsidR="005F361A" w:rsidRPr="00742BED" w:rsidRDefault="0060586D" w:rsidP="00FD5443">
      <w:pPr>
        <w:spacing w:before="120" w:line="276" w:lineRule="auto"/>
        <w:ind w:firstLine="709"/>
        <w:jc w:val="both"/>
        <w:rPr>
          <w:rFonts w:ascii="Arial" w:hAnsi="Arial" w:cs="Arial"/>
          <w:color w:val="000000" w:themeColor="text1"/>
          <w:sz w:val="22"/>
          <w:szCs w:val="22"/>
          <w:lang w:val="es-ES_tradnl"/>
        </w:rPr>
      </w:pPr>
      <w:r>
        <w:rPr>
          <w:rFonts w:ascii="Arial" w:hAnsi="Arial" w:cs="Arial"/>
          <w:color w:val="000000" w:themeColor="text1"/>
          <w:sz w:val="22"/>
          <w:szCs w:val="22"/>
          <w:lang w:val="es-ES_tradnl"/>
        </w:rPr>
        <w:t>De otro lado</w:t>
      </w:r>
      <w:r w:rsidR="002A7D84" w:rsidRPr="00742BED">
        <w:rPr>
          <w:rFonts w:ascii="Arial" w:hAnsi="Arial" w:cs="Arial"/>
          <w:color w:val="000000" w:themeColor="text1"/>
          <w:sz w:val="22"/>
          <w:szCs w:val="22"/>
          <w:lang w:val="es-ES_tradnl"/>
        </w:rPr>
        <w:t>, si bien los factores de desempate regulados en el artículo 35 deben aplicarse «</w:t>
      </w:r>
      <w:r w:rsidR="002A7D84" w:rsidRPr="00742BED">
        <w:rPr>
          <w:rFonts w:ascii="Arial" w:hAnsi="Arial" w:cs="Arial"/>
          <w:sz w:val="22"/>
          <w:szCs w:val="22"/>
          <w:lang w:val="es-ES_tradnl"/>
        </w:rPr>
        <w:t xml:space="preserve">[…] </w:t>
      </w:r>
      <w:r w:rsidR="002A7D84" w:rsidRPr="00742BED">
        <w:rPr>
          <w:rFonts w:ascii="Arial" w:hAnsi="Arial" w:cs="Arial"/>
          <w:color w:val="000000" w:themeColor="text1"/>
          <w:sz w:val="22"/>
          <w:szCs w:val="22"/>
          <w:lang w:val="es-ES_tradnl"/>
        </w:rPr>
        <w:t>de forma sucesiva y excluyente para seleccionar al oferente favorecido, respetando en todo caso los compromisos internacionales vigentes» –según lo dispone el inciso primero–, el parágrafo tercero del mencionado artículo establece que «El Gobierno Nacional podrá reglamentar la aplicación de factores de desempate en casos en que concurran dos o más de los factores aquí previstos». En otras palabras, dicho parágrafo le asigna potestad reglamentaria al gobierno nacional para definir factores que permitan desempatar las ofertas en aquellos casos en que varios oferentes reúnan al tiempo dos o más de los factores previstos en el artículo 35.</w:t>
      </w:r>
    </w:p>
    <w:p w14:paraId="1523A9FF" w14:textId="2E3B0E66" w:rsidR="0016204B" w:rsidRPr="00742BED" w:rsidRDefault="0060586D" w:rsidP="00AC4AD2">
      <w:pPr>
        <w:spacing w:before="120" w:line="276" w:lineRule="auto"/>
        <w:ind w:firstLine="709"/>
        <w:jc w:val="both"/>
        <w:rPr>
          <w:rFonts w:ascii="Arial" w:hAnsi="Arial" w:cs="Arial"/>
          <w:color w:val="000000" w:themeColor="text1"/>
          <w:sz w:val="22"/>
          <w:szCs w:val="22"/>
          <w:lang w:val="es-ES_tradnl"/>
        </w:rPr>
      </w:pPr>
      <w:r>
        <w:rPr>
          <w:rFonts w:ascii="Arial" w:hAnsi="Arial" w:cs="Arial"/>
          <w:color w:val="000000" w:themeColor="text1"/>
          <w:sz w:val="22"/>
          <w:szCs w:val="22"/>
          <w:lang w:val="es-ES_tradnl"/>
        </w:rPr>
        <w:t xml:space="preserve">Finalmente, </w:t>
      </w:r>
      <w:r w:rsidR="00FE61ED">
        <w:rPr>
          <w:rFonts w:ascii="Arial" w:hAnsi="Arial" w:cs="Arial"/>
          <w:color w:val="000000" w:themeColor="text1"/>
          <w:sz w:val="22"/>
          <w:szCs w:val="22"/>
          <w:lang w:val="es-ES_tradnl"/>
        </w:rPr>
        <w:t>s</w:t>
      </w:r>
      <w:r w:rsidR="00FD5443" w:rsidRPr="00742BED">
        <w:rPr>
          <w:rFonts w:ascii="Arial" w:hAnsi="Arial" w:cs="Arial"/>
          <w:color w:val="000000" w:themeColor="text1"/>
          <w:sz w:val="22"/>
          <w:szCs w:val="22"/>
          <w:lang w:val="es-ES_tradnl"/>
        </w:rPr>
        <w:t xml:space="preserve">i existe un tratado o acuerdo comercial que establezca disposiciones especiales en materia de compras y contratación pública, prevalece la regulación contenida en aquel. Esta conclusión también se fundamenta en el artículo 2.2.1.2.4.1.1. del Decreto 1082 de 2015, según el cual «Las Entidades Estatales deben adelantar los Procesos de Contratación de acuerdo con lo previsto en los Acuerdos Comerciales, cuando estos les sean aplicables».​ La Ley </w:t>
      </w:r>
      <w:r w:rsidR="007B209C" w:rsidRPr="00742BED">
        <w:rPr>
          <w:rFonts w:ascii="Arial" w:hAnsi="Arial" w:cs="Arial"/>
          <w:color w:val="000000" w:themeColor="text1"/>
          <w:sz w:val="22"/>
          <w:szCs w:val="22"/>
          <w:lang w:val="es-ES_tradnl"/>
        </w:rPr>
        <w:t>2069</w:t>
      </w:r>
      <w:r w:rsidR="00FD5443" w:rsidRPr="00742BED">
        <w:rPr>
          <w:rFonts w:ascii="Arial" w:hAnsi="Arial" w:cs="Arial"/>
          <w:color w:val="000000" w:themeColor="text1"/>
          <w:sz w:val="22"/>
          <w:szCs w:val="22"/>
          <w:lang w:val="es-ES_tradnl"/>
        </w:rPr>
        <w:t xml:space="preserve"> de 2020 no establece que ante la existencia de tratados o acuerdos comerciales que rijan el procedimiento de selección el órgano contratante se debe </w:t>
      </w:r>
      <w:r w:rsidR="00FD5443" w:rsidRPr="00742BED">
        <w:rPr>
          <w:rFonts w:ascii="Arial" w:hAnsi="Arial" w:cs="Arial"/>
          <w:color w:val="000000" w:themeColor="text1"/>
          <w:sz w:val="22"/>
          <w:szCs w:val="22"/>
          <w:lang w:val="es-ES_tradnl"/>
        </w:rPr>
        <w:lastRenderedPageBreak/>
        <w:t>abstener de aplicar algunos numerales del artículo 35, sino que lo que indica es que la entidad estatal debe consultar en cada caso cuáles son las disposiciones del acuerdo comercial y si son o no compatibles con los factores de desempate. En caso negativo, prevalece el tratado.</w:t>
      </w:r>
      <w:r w:rsidR="002A7D84" w:rsidRPr="00742BED">
        <w:rPr>
          <w:rFonts w:ascii="Arial" w:hAnsi="Arial" w:cs="Arial"/>
          <w:color w:val="000000" w:themeColor="text1"/>
          <w:sz w:val="22"/>
          <w:szCs w:val="22"/>
          <w:lang w:val="es-ES_tradnl"/>
        </w:rPr>
        <w:t xml:space="preserve"> </w:t>
      </w:r>
    </w:p>
    <w:p w14:paraId="1F9D5A40" w14:textId="09E060AD" w:rsidR="00CF1EB8" w:rsidRPr="00742BED" w:rsidRDefault="00CF1EB8" w:rsidP="00510DE9">
      <w:pPr>
        <w:tabs>
          <w:tab w:val="left" w:pos="0"/>
        </w:tabs>
        <w:jc w:val="both"/>
        <w:rPr>
          <w:rFonts w:ascii="Arial" w:eastAsia="Calibri" w:hAnsi="Arial" w:cs="Arial"/>
          <w:b/>
          <w:color w:val="000000" w:themeColor="text1"/>
          <w:sz w:val="22"/>
          <w:lang w:val="es-ES_tradnl"/>
        </w:rPr>
      </w:pPr>
    </w:p>
    <w:p w14:paraId="37CA9805" w14:textId="4C51B578" w:rsidR="00DD5B04" w:rsidRPr="00742BED" w:rsidRDefault="004177A6" w:rsidP="00510DE9">
      <w:pPr>
        <w:tabs>
          <w:tab w:val="left" w:pos="0"/>
        </w:tabs>
        <w:jc w:val="both"/>
        <w:rPr>
          <w:rFonts w:ascii="Arial" w:eastAsia="Calibri" w:hAnsi="Arial" w:cs="Arial"/>
          <w:b/>
          <w:color w:val="000000" w:themeColor="text1"/>
          <w:sz w:val="22"/>
          <w:lang w:val="es-ES_tradnl"/>
        </w:rPr>
      </w:pPr>
      <w:r w:rsidRPr="00742BED">
        <w:rPr>
          <w:rFonts w:ascii="Arial" w:eastAsia="Calibri" w:hAnsi="Arial" w:cs="Arial"/>
          <w:b/>
          <w:color w:val="000000" w:themeColor="text1"/>
          <w:sz w:val="22"/>
          <w:lang w:val="es-ES_tradnl"/>
        </w:rPr>
        <w:t>3</w:t>
      </w:r>
      <w:r w:rsidR="00B011A9" w:rsidRPr="00742BED">
        <w:rPr>
          <w:rFonts w:ascii="Arial" w:eastAsia="Calibri" w:hAnsi="Arial" w:cs="Arial"/>
          <w:b/>
          <w:color w:val="000000" w:themeColor="text1"/>
          <w:sz w:val="22"/>
          <w:lang w:val="es-ES_tradnl"/>
        </w:rPr>
        <w:t xml:space="preserve">. </w:t>
      </w:r>
      <w:r w:rsidR="00DD5B04" w:rsidRPr="00742BED">
        <w:rPr>
          <w:rFonts w:ascii="Arial" w:eastAsia="Calibri" w:hAnsi="Arial" w:cs="Arial"/>
          <w:b/>
          <w:color w:val="000000" w:themeColor="text1"/>
          <w:sz w:val="22"/>
          <w:lang w:val="es-ES_tradnl"/>
        </w:rPr>
        <w:t>Respuesta</w:t>
      </w:r>
    </w:p>
    <w:p w14:paraId="0B74D5B8" w14:textId="571E2881" w:rsidR="00C4581D" w:rsidRPr="00742BED" w:rsidRDefault="00C4581D" w:rsidP="00510DE9">
      <w:pPr>
        <w:tabs>
          <w:tab w:val="left" w:pos="0"/>
        </w:tabs>
        <w:jc w:val="both"/>
        <w:rPr>
          <w:rFonts w:ascii="Arial" w:eastAsia="Calibri" w:hAnsi="Arial" w:cs="Arial"/>
          <w:color w:val="000000" w:themeColor="text1"/>
          <w:sz w:val="22"/>
          <w:lang w:val="es-ES_tradnl"/>
        </w:rPr>
      </w:pPr>
    </w:p>
    <w:p w14:paraId="052E271A" w14:textId="1D937C68" w:rsidR="00202F5D" w:rsidRPr="00202F5D" w:rsidRDefault="00697010" w:rsidP="00202F5D">
      <w:pPr>
        <w:ind w:left="709" w:right="709"/>
        <w:jc w:val="both"/>
        <w:rPr>
          <w:rFonts w:ascii="Arial" w:hAnsi="Arial" w:cs="Arial"/>
          <w:color w:val="000000" w:themeColor="text1"/>
          <w:sz w:val="21"/>
          <w:szCs w:val="21"/>
        </w:rPr>
      </w:pPr>
      <w:r w:rsidRPr="00742BED">
        <w:rPr>
          <w:rFonts w:ascii="Arial" w:hAnsi="Arial" w:cs="Arial"/>
          <w:color w:val="000000" w:themeColor="text1"/>
          <w:sz w:val="21"/>
          <w:szCs w:val="21"/>
          <w:lang w:val="es-ES_tradnl"/>
        </w:rPr>
        <w:t>«</w:t>
      </w:r>
      <w:r w:rsidR="00202F5D" w:rsidRPr="00202F5D">
        <w:rPr>
          <w:rFonts w:ascii="Arial" w:hAnsi="Arial" w:cs="Arial"/>
          <w:color w:val="000000" w:themeColor="text1"/>
          <w:sz w:val="21"/>
          <w:szCs w:val="21"/>
        </w:rPr>
        <w:t xml:space="preserve">[…]El artículo 3 menciona </w:t>
      </w:r>
      <w:proofErr w:type="gramStart"/>
      <w:r w:rsidR="00202F5D" w:rsidRPr="00202F5D">
        <w:rPr>
          <w:rFonts w:ascii="Arial" w:hAnsi="Arial" w:cs="Arial"/>
          <w:color w:val="000000" w:themeColor="text1"/>
          <w:sz w:val="21"/>
          <w:szCs w:val="21"/>
        </w:rPr>
        <w:t>que</w:t>
      </w:r>
      <w:proofErr w:type="gramEnd"/>
      <w:r w:rsidR="00202F5D" w:rsidRPr="00202F5D">
        <w:rPr>
          <w:rFonts w:ascii="Arial" w:hAnsi="Arial" w:cs="Arial"/>
          <w:color w:val="000000" w:themeColor="text1"/>
          <w:sz w:val="21"/>
          <w:szCs w:val="21"/>
        </w:rPr>
        <w:t xml:space="preserve"> como criterio de desempate, se pueda aplicar el beneficio certificando bajo la gravedad de juramento la cantidad de personas con las condiciones correspondientes a lo mencionado en la ley. Se puede entender que con solo la certificación juramentada por el revisor fiscal o el representante legal se accede al beneficio como factor de desempate o es necesario que luego pasados los 6 meses de reglamentada la norma, el sello de adulto mayor es requisito sine qua non para aplicar a este factor de desempate, adicional, el ministerio de trabajo requerir  documentación para sacar un certificado como sucede con el de Discapacitados?</w:t>
      </w:r>
    </w:p>
    <w:p w14:paraId="569ED634" w14:textId="77777777" w:rsidR="00202F5D" w:rsidRPr="00202F5D" w:rsidRDefault="00202F5D" w:rsidP="00202F5D">
      <w:pPr>
        <w:ind w:left="709" w:right="709"/>
        <w:jc w:val="both"/>
        <w:rPr>
          <w:rFonts w:ascii="Arial" w:hAnsi="Arial" w:cs="Arial"/>
          <w:color w:val="000000" w:themeColor="text1"/>
          <w:sz w:val="21"/>
          <w:szCs w:val="21"/>
        </w:rPr>
      </w:pPr>
      <w:r w:rsidRPr="00202F5D">
        <w:rPr>
          <w:rFonts w:ascii="Arial" w:hAnsi="Arial" w:cs="Arial"/>
          <w:color w:val="000000" w:themeColor="text1"/>
          <w:sz w:val="21"/>
          <w:szCs w:val="21"/>
        </w:rPr>
        <w:t>Las preguntas anteriormente solicitadas para aclaración es porque la ley en su artículo 4 parágrafo 1 menciona que es responsabilidad de certificar ante Ministerio de Trabajo el cumplimiento de los requisitos para acceder a los beneficios contemplados en la ley) Se podría entender entonces que el articulo 3 es de necesario cumplimiento que se registren a los adultos mayores para la aplicación del beneficio como factor de desempate? y de ser así Que documentos se requieren y el Min Trabajo entregara un certificado como el de Discapacitados?</w:t>
      </w:r>
      <w:r w:rsidRPr="00202F5D">
        <w:rPr>
          <w:rFonts w:ascii="Arial" w:hAnsi="Arial" w:cs="Arial"/>
          <w:color w:val="000000" w:themeColor="text1"/>
          <w:sz w:val="21"/>
          <w:szCs w:val="21"/>
          <w:lang w:val="es-ES_tradnl"/>
        </w:rPr>
        <w:t xml:space="preserve">» </w:t>
      </w:r>
    </w:p>
    <w:p w14:paraId="6E475211" w14:textId="0E7E7D23" w:rsidR="00697010" w:rsidRPr="00742BED" w:rsidRDefault="00697010" w:rsidP="007F172C">
      <w:pPr>
        <w:ind w:right="709"/>
        <w:jc w:val="both"/>
        <w:rPr>
          <w:rFonts w:ascii="Arial" w:hAnsi="Arial" w:cs="Arial"/>
          <w:color w:val="000000" w:themeColor="text1"/>
          <w:sz w:val="21"/>
          <w:szCs w:val="21"/>
          <w:lang w:val="es-ES_tradnl"/>
        </w:rPr>
      </w:pPr>
    </w:p>
    <w:p w14:paraId="5C610331" w14:textId="187EE6D0" w:rsidR="00D11454" w:rsidRPr="002A263A" w:rsidRDefault="00202F5D" w:rsidP="00D11454">
      <w:pPr>
        <w:spacing w:after="120" w:line="276" w:lineRule="auto"/>
        <w:jc w:val="both"/>
        <w:rPr>
          <w:rFonts w:ascii="Arial" w:eastAsia="Calibri" w:hAnsi="Arial" w:cs="Arial"/>
          <w:sz w:val="22"/>
        </w:rPr>
      </w:pPr>
      <w:r w:rsidRPr="00202F5D">
        <w:rPr>
          <w:rFonts w:ascii="Arial" w:eastAsia="Calibri" w:hAnsi="Arial" w:cs="Arial"/>
          <w:sz w:val="22"/>
        </w:rPr>
        <w:t xml:space="preserve">De conformidad con la competencia consultiva otorgada por el numeral 5 del artículo 3 y el numeral 8 del artículo 11 del Decreto Ley 4170 de 2011, la Agencia Nacional de Contratación Pública está facultada para atender solicitudes relacionadas con temas </w:t>
      </w:r>
      <w:r w:rsidRPr="002A263A">
        <w:rPr>
          <w:rFonts w:ascii="Arial" w:eastAsia="Calibri" w:hAnsi="Arial" w:cs="Arial"/>
          <w:sz w:val="22"/>
        </w:rPr>
        <w:t>contractuales, pero solo para «absolver consultas sobre la aplicación de normas de carácter general». En este orden de ideas, la Agencia no tiene atribuciones para resolver casos particulares, ni para validar hipótesis o actuaciones</w:t>
      </w:r>
      <w:r w:rsidR="00D11454" w:rsidRPr="002A263A">
        <w:rPr>
          <w:rFonts w:ascii="Arial" w:eastAsia="Calibri" w:hAnsi="Arial" w:cs="Arial"/>
          <w:sz w:val="22"/>
        </w:rPr>
        <w:t xml:space="preserve"> de las entidades públicas en</w:t>
      </w:r>
      <w:r w:rsidR="00C8271B" w:rsidRPr="002A263A">
        <w:rPr>
          <w:rFonts w:ascii="Arial" w:eastAsia="Calibri" w:hAnsi="Arial" w:cs="Arial"/>
          <w:sz w:val="22"/>
        </w:rPr>
        <w:t xml:space="preserve"> la gestión de sus</w:t>
      </w:r>
      <w:r w:rsidR="00D11454" w:rsidRPr="002A263A">
        <w:rPr>
          <w:rFonts w:ascii="Arial" w:eastAsia="Calibri" w:hAnsi="Arial" w:cs="Arial"/>
          <w:sz w:val="22"/>
        </w:rPr>
        <w:t xml:space="preserve"> procesos de contratación</w:t>
      </w:r>
      <w:r w:rsidRPr="002A263A">
        <w:rPr>
          <w:rFonts w:ascii="Arial" w:eastAsia="Calibri" w:hAnsi="Arial" w:cs="Arial"/>
          <w:sz w:val="22"/>
        </w:rPr>
        <w:t xml:space="preserve">. En </w:t>
      </w:r>
      <w:r w:rsidR="00D11454" w:rsidRPr="002A263A">
        <w:rPr>
          <w:rFonts w:ascii="Arial" w:eastAsia="Calibri" w:hAnsi="Arial" w:cs="Arial"/>
          <w:sz w:val="22"/>
        </w:rPr>
        <w:t>estos</w:t>
      </w:r>
      <w:r w:rsidRPr="002A263A">
        <w:rPr>
          <w:rFonts w:ascii="Arial" w:eastAsia="Calibri" w:hAnsi="Arial" w:cs="Arial"/>
          <w:sz w:val="22"/>
        </w:rPr>
        <w:t xml:space="preserve"> términos, </w:t>
      </w:r>
      <w:r w:rsidR="00D11454" w:rsidRPr="002A263A">
        <w:rPr>
          <w:rFonts w:ascii="Arial" w:eastAsia="Calibri" w:hAnsi="Arial" w:cs="Arial"/>
          <w:sz w:val="22"/>
        </w:rPr>
        <w:t>se considera que el criterio de desempate creado inicialmente en el artículo 3 de la Ley 2040 de 2020, para impulsar el trabajo de adultos mayores, no tuvo aplicación por falta de la reglamentación aludida en el artículo 4 de la misma ley que condicionó su utilización</w:t>
      </w:r>
      <w:r w:rsidR="00C8271B" w:rsidRPr="002A263A">
        <w:rPr>
          <w:rFonts w:ascii="Arial" w:eastAsia="Calibri" w:hAnsi="Arial" w:cs="Arial"/>
          <w:sz w:val="22"/>
        </w:rPr>
        <w:t xml:space="preserve"> y, actualmente, ya no es aplicable en los términos consignados en dicha ley</w:t>
      </w:r>
      <w:r w:rsidR="00162065" w:rsidRPr="002A263A">
        <w:rPr>
          <w:rFonts w:ascii="Arial" w:eastAsia="Calibri" w:hAnsi="Arial" w:cs="Arial"/>
          <w:sz w:val="22"/>
        </w:rPr>
        <w:t>, debido a que el</w:t>
      </w:r>
      <w:r w:rsidR="00162065" w:rsidRPr="002A263A">
        <w:rPr>
          <w:rFonts w:ascii="Arial" w:eastAsia="Arial" w:hAnsi="Arial" w:cs="Arial"/>
          <w:sz w:val="22"/>
          <w:szCs w:val="22"/>
          <w:lang w:val="es-MX" w:eastAsia="en-US"/>
        </w:rPr>
        <w:t xml:space="preserve"> artículo 34 de la Ley 2069 modificó el artículo 12 de la Ley 1150 de 2007, de manera que el contenido normativo del parágrafo 4 de dicho artículo, que en su momento lo adicionó el artículo 3 de la Ley 2040 de 2020, desapareció de nuestro ordenamiento jurídico</w:t>
      </w:r>
      <w:r w:rsidR="006E140B" w:rsidRPr="002A263A">
        <w:rPr>
          <w:rFonts w:ascii="Arial" w:eastAsia="Arial" w:hAnsi="Arial" w:cs="Arial"/>
          <w:sz w:val="22"/>
          <w:szCs w:val="22"/>
          <w:lang w:val="es-MX" w:eastAsia="en-US"/>
        </w:rPr>
        <w:t xml:space="preserve"> al ser derogado</w:t>
      </w:r>
      <w:r w:rsidR="00162065" w:rsidRPr="002A263A">
        <w:rPr>
          <w:rFonts w:ascii="Arial" w:eastAsia="Arial" w:hAnsi="Arial" w:cs="Arial"/>
          <w:sz w:val="22"/>
          <w:szCs w:val="22"/>
          <w:lang w:val="es-MX" w:eastAsia="en-US"/>
        </w:rPr>
        <w:t>, por lo que dicho parágrafo 4 actualmente no está vigente.</w:t>
      </w:r>
    </w:p>
    <w:p w14:paraId="539B02E9" w14:textId="3278EBFD" w:rsidR="00202F5D" w:rsidRPr="002A263A" w:rsidRDefault="00162065" w:rsidP="002A5388">
      <w:pPr>
        <w:spacing w:after="120" w:line="276" w:lineRule="auto"/>
        <w:ind w:firstLine="708"/>
        <w:jc w:val="both"/>
        <w:rPr>
          <w:rFonts w:ascii="Arial" w:eastAsia="Calibri" w:hAnsi="Arial" w:cs="Arial"/>
          <w:sz w:val="22"/>
        </w:rPr>
      </w:pPr>
      <w:r w:rsidRPr="002A263A">
        <w:rPr>
          <w:rFonts w:ascii="Arial" w:eastAsia="Calibri" w:hAnsi="Arial" w:cs="Arial"/>
          <w:sz w:val="22"/>
        </w:rPr>
        <w:t xml:space="preserve">La anterior además se fundamenta en que </w:t>
      </w:r>
      <w:r w:rsidR="00D11454" w:rsidRPr="002A263A">
        <w:rPr>
          <w:rFonts w:ascii="Arial" w:eastAsia="Calibri" w:hAnsi="Arial" w:cs="Arial"/>
          <w:sz w:val="22"/>
        </w:rPr>
        <w:t>después del 31 de diciembre de 2020</w:t>
      </w:r>
      <w:r w:rsidR="00C8271B" w:rsidRPr="002A263A">
        <w:rPr>
          <w:rFonts w:ascii="Arial" w:eastAsia="Calibri" w:hAnsi="Arial" w:cs="Arial"/>
          <w:sz w:val="22"/>
        </w:rPr>
        <w:t>,</w:t>
      </w:r>
      <w:r w:rsidR="00D11454" w:rsidRPr="002A263A">
        <w:rPr>
          <w:rFonts w:ascii="Arial" w:eastAsia="Calibri" w:hAnsi="Arial" w:cs="Arial"/>
          <w:sz w:val="22"/>
        </w:rPr>
        <w:t xml:space="preserve"> están vigentes los factores de desempate previstos en el artículo 35 de la Ley 2069 de 2020, </w:t>
      </w:r>
      <w:r w:rsidR="002A5388" w:rsidRPr="002A263A">
        <w:rPr>
          <w:rFonts w:ascii="Arial" w:eastAsia="Calibri" w:hAnsi="Arial" w:cs="Arial"/>
          <w:sz w:val="22"/>
        </w:rPr>
        <w:t xml:space="preserve">que sí son exigibles desde la fecha </w:t>
      </w:r>
      <w:r w:rsidRPr="002A263A">
        <w:rPr>
          <w:rFonts w:ascii="Arial" w:eastAsia="Calibri" w:hAnsi="Arial" w:cs="Arial"/>
          <w:sz w:val="22"/>
        </w:rPr>
        <w:t xml:space="preserve">de </w:t>
      </w:r>
      <w:r w:rsidR="00C8271B" w:rsidRPr="002A263A">
        <w:rPr>
          <w:rFonts w:ascii="Arial" w:eastAsia="Calibri" w:hAnsi="Arial" w:cs="Arial"/>
          <w:sz w:val="22"/>
        </w:rPr>
        <w:t>su</w:t>
      </w:r>
      <w:r w:rsidR="002A5388" w:rsidRPr="002A263A">
        <w:rPr>
          <w:rFonts w:ascii="Arial" w:eastAsia="Calibri" w:hAnsi="Arial" w:cs="Arial"/>
          <w:sz w:val="22"/>
        </w:rPr>
        <w:t xml:space="preserve"> promulgación. </w:t>
      </w:r>
      <w:r w:rsidRPr="002A263A">
        <w:rPr>
          <w:rFonts w:ascii="Arial" w:eastAsia="Calibri" w:hAnsi="Arial" w:cs="Arial"/>
          <w:sz w:val="22"/>
        </w:rPr>
        <w:t>Además, e</w:t>
      </w:r>
      <w:r w:rsidR="002A5388" w:rsidRPr="002A263A">
        <w:rPr>
          <w:rFonts w:ascii="Arial" w:eastAsia="Calibri" w:hAnsi="Arial" w:cs="Arial"/>
          <w:sz w:val="22"/>
        </w:rPr>
        <w:t xml:space="preserve">n el numeral 4 de dicho </w:t>
      </w:r>
      <w:r w:rsidR="002A5388" w:rsidRPr="002A263A">
        <w:rPr>
          <w:rFonts w:ascii="Arial" w:eastAsia="Calibri" w:hAnsi="Arial" w:cs="Arial"/>
          <w:sz w:val="22"/>
        </w:rPr>
        <w:lastRenderedPageBreak/>
        <w:t xml:space="preserve">artículo se estableció un criterio de desempate similar al inicialmente previsto en el artículo 3 de la anterior ley </w:t>
      </w:r>
      <w:r w:rsidR="007664FC" w:rsidRPr="002A263A">
        <w:rPr>
          <w:rFonts w:ascii="Arial" w:eastAsia="Calibri" w:hAnsi="Arial" w:cs="Arial"/>
          <w:sz w:val="22"/>
        </w:rPr>
        <w:t xml:space="preserve">–2040– </w:t>
      </w:r>
      <w:r w:rsidR="002A5388" w:rsidRPr="002A263A">
        <w:rPr>
          <w:rFonts w:ascii="Arial" w:eastAsia="Calibri" w:hAnsi="Arial" w:cs="Arial"/>
          <w:sz w:val="22"/>
        </w:rPr>
        <w:t>para impulsar el trabajo de adultos mayores.</w:t>
      </w:r>
      <w:r w:rsidR="00D11454" w:rsidRPr="002A263A">
        <w:rPr>
          <w:rFonts w:ascii="Arial" w:eastAsia="Calibri" w:hAnsi="Arial" w:cs="Arial"/>
          <w:sz w:val="22"/>
        </w:rPr>
        <w:t xml:space="preserve"> </w:t>
      </w:r>
      <w:r w:rsidR="002A5388" w:rsidRPr="002A263A">
        <w:rPr>
          <w:rFonts w:ascii="Arial" w:eastAsia="Calibri" w:hAnsi="Arial" w:cs="Arial"/>
          <w:sz w:val="22"/>
        </w:rPr>
        <w:t xml:space="preserve">En consecuencia, </w:t>
      </w:r>
      <w:r w:rsidR="00C8271B" w:rsidRPr="002A263A">
        <w:rPr>
          <w:rFonts w:ascii="Arial" w:eastAsia="Calibri" w:hAnsi="Arial" w:cs="Arial"/>
          <w:sz w:val="22"/>
        </w:rPr>
        <w:t xml:space="preserve">es esta la norma actualmente aplicable y </w:t>
      </w:r>
      <w:r w:rsidR="002A5388" w:rsidRPr="002A263A">
        <w:rPr>
          <w:rFonts w:ascii="Arial" w:eastAsia="Calibri" w:hAnsi="Arial" w:cs="Arial"/>
          <w:sz w:val="22"/>
        </w:rPr>
        <w:t xml:space="preserve">dado que </w:t>
      </w:r>
      <w:r w:rsidR="00202F5D" w:rsidRPr="002A263A">
        <w:rPr>
          <w:rFonts w:ascii="Arial" w:eastAsia="Calibri" w:hAnsi="Arial" w:cs="Arial"/>
          <w:sz w:val="22"/>
        </w:rPr>
        <w:t>la Ley 2069 de 2020 no regul</w:t>
      </w:r>
      <w:r w:rsidR="00C8271B" w:rsidRPr="002A263A">
        <w:rPr>
          <w:rFonts w:ascii="Arial" w:eastAsia="Calibri" w:hAnsi="Arial" w:cs="Arial"/>
          <w:sz w:val="22"/>
        </w:rPr>
        <w:t>ó</w:t>
      </w:r>
      <w:r w:rsidR="00202F5D" w:rsidRPr="002A263A">
        <w:rPr>
          <w:rFonts w:ascii="Arial" w:eastAsia="Calibri" w:hAnsi="Arial" w:cs="Arial"/>
          <w:sz w:val="22"/>
        </w:rPr>
        <w:t xml:space="preserve"> trámites o procedimientos a seguir para acreditar los supuestos de hecho de los factores de desempate establecidos en su artículo 35, ni se ha expedido reglamento que así lo disponga, </w:t>
      </w:r>
      <w:r w:rsidR="002A5388" w:rsidRPr="002A263A">
        <w:rPr>
          <w:rFonts w:ascii="Arial" w:eastAsia="Calibri" w:hAnsi="Arial" w:cs="Arial"/>
          <w:sz w:val="22"/>
        </w:rPr>
        <w:t>dicho asunto puede definirse por las entidades estatales, bajo el principio de libertad probatoria</w:t>
      </w:r>
      <w:r w:rsidR="007664FC" w:rsidRPr="002A263A">
        <w:rPr>
          <w:rFonts w:ascii="Arial" w:eastAsia="Calibri" w:hAnsi="Arial" w:cs="Arial"/>
          <w:sz w:val="22"/>
        </w:rPr>
        <w:t>, estableciendo la forma como se acredita dicha circunstancia en los pliegos de condiciones o documento equivalente.</w:t>
      </w:r>
    </w:p>
    <w:p w14:paraId="7CCB8021" w14:textId="7581AFC8" w:rsidR="00202F5D" w:rsidRPr="002A263A" w:rsidRDefault="002A5388" w:rsidP="00202F5D">
      <w:pPr>
        <w:spacing w:after="160" w:line="276" w:lineRule="auto"/>
        <w:ind w:firstLine="708"/>
        <w:jc w:val="both"/>
        <w:rPr>
          <w:rFonts w:ascii="Arial" w:eastAsia="Calibri" w:hAnsi="Arial" w:cs="Arial"/>
          <w:color w:val="000000"/>
          <w:sz w:val="22"/>
          <w:szCs w:val="22"/>
          <w:lang w:val="es-ES_tradnl" w:eastAsia="en-US"/>
        </w:rPr>
      </w:pPr>
      <w:r w:rsidRPr="002A263A">
        <w:rPr>
          <w:rFonts w:ascii="Arial" w:eastAsia="Calibri" w:hAnsi="Arial" w:cs="Arial"/>
          <w:color w:val="000000"/>
          <w:sz w:val="22"/>
          <w:szCs w:val="22"/>
          <w:lang w:val="es-ES_tradnl" w:eastAsia="en-US"/>
        </w:rPr>
        <w:t>Así</w:t>
      </w:r>
      <w:r w:rsidR="00202F5D" w:rsidRPr="002A263A">
        <w:rPr>
          <w:rFonts w:ascii="Arial" w:eastAsia="Calibri" w:hAnsi="Arial" w:cs="Arial"/>
          <w:color w:val="000000"/>
          <w:sz w:val="22"/>
          <w:szCs w:val="22"/>
          <w:lang w:val="es-ES_tradnl" w:eastAsia="en-US"/>
        </w:rPr>
        <w:t xml:space="preserve">, conforme </w:t>
      </w:r>
      <w:r w:rsidR="007664FC" w:rsidRPr="002A263A">
        <w:rPr>
          <w:rFonts w:ascii="Arial" w:eastAsia="Calibri" w:hAnsi="Arial" w:cs="Arial"/>
          <w:color w:val="000000"/>
          <w:sz w:val="22"/>
          <w:szCs w:val="22"/>
          <w:lang w:val="es-ES_tradnl" w:eastAsia="en-US"/>
        </w:rPr>
        <w:t>con</w:t>
      </w:r>
      <w:r w:rsidR="00202F5D" w:rsidRPr="002A263A">
        <w:rPr>
          <w:rFonts w:ascii="Arial" w:eastAsia="Calibri" w:hAnsi="Arial" w:cs="Arial"/>
          <w:color w:val="000000"/>
          <w:sz w:val="22"/>
          <w:szCs w:val="22"/>
          <w:lang w:val="es-ES_tradnl" w:eastAsia="en-US"/>
        </w:rPr>
        <w:t xml:space="preserve"> las consideraciones expuestas, la Ley 2069 de 2020 </w:t>
      </w:r>
      <w:r w:rsidRPr="002A263A">
        <w:rPr>
          <w:rFonts w:ascii="Arial" w:eastAsia="Calibri" w:hAnsi="Arial" w:cs="Arial"/>
          <w:color w:val="000000"/>
          <w:sz w:val="22"/>
          <w:szCs w:val="22"/>
          <w:lang w:val="es-ES_tradnl" w:eastAsia="en-US"/>
        </w:rPr>
        <w:t xml:space="preserve">no previó </w:t>
      </w:r>
      <w:r w:rsidR="00202F5D" w:rsidRPr="002A263A">
        <w:rPr>
          <w:rFonts w:ascii="Arial" w:eastAsia="Calibri" w:hAnsi="Arial" w:cs="Arial"/>
          <w:color w:val="000000"/>
          <w:sz w:val="22"/>
          <w:szCs w:val="22"/>
          <w:lang w:val="es-ES_tradnl" w:eastAsia="en-US"/>
        </w:rPr>
        <w:t>medios</w:t>
      </w:r>
      <w:r w:rsidRPr="002A263A">
        <w:rPr>
          <w:rFonts w:ascii="Arial" w:eastAsia="Calibri" w:hAnsi="Arial" w:cs="Arial"/>
          <w:color w:val="000000"/>
          <w:sz w:val="22"/>
          <w:szCs w:val="22"/>
          <w:lang w:val="es-ES_tradnl" w:eastAsia="en-US"/>
        </w:rPr>
        <w:t xml:space="preserve"> probatorios</w:t>
      </w:r>
      <w:r w:rsidR="00202F5D" w:rsidRPr="002A263A">
        <w:rPr>
          <w:rFonts w:ascii="Arial" w:eastAsia="Calibri" w:hAnsi="Arial" w:cs="Arial"/>
          <w:color w:val="000000"/>
          <w:sz w:val="22"/>
          <w:szCs w:val="22"/>
          <w:lang w:val="es-ES_tradnl" w:eastAsia="en-US"/>
        </w:rPr>
        <w:t xml:space="preserve"> específicos para acreditar las circunstancias a las que se refieren los numerales de su artículo 35. Por lo tanto, corresponde a la entidad contratante analizar si el ordenamiento jurídico, en otras disposiciones legales o reglamentarias, exige </w:t>
      </w:r>
      <w:r w:rsidRPr="002A263A">
        <w:rPr>
          <w:rFonts w:ascii="Arial" w:eastAsia="Calibri" w:hAnsi="Arial" w:cs="Arial"/>
          <w:color w:val="000000"/>
          <w:sz w:val="22"/>
          <w:szCs w:val="22"/>
          <w:lang w:val="es-ES_tradnl" w:eastAsia="en-US"/>
        </w:rPr>
        <w:t>algún</w:t>
      </w:r>
      <w:r w:rsidR="00202F5D" w:rsidRPr="002A263A">
        <w:rPr>
          <w:rFonts w:ascii="Arial" w:eastAsia="Calibri" w:hAnsi="Arial" w:cs="Arial"/>
          <w:color w:val="000000"/>
          <w:sz w:val="22"/>
          <w:szCs w:val="22"/>
          <w:lang w:val="es-ES_tradnl" w:eastAsia="en-US"/>
        </w:rPr>
        <w:t xml:space="preserve"> documento especial o si, por el contrario, hay libertad probatoria. Este análisis debe realizarse de manera independiente frente a cada numeral</w:t>
      </w:r>
      <w:r w:rsidRPr="002A263A">
        <w:rPr>
          <w:rFonts w:ascii="Arial" w:eastAsia="Calibri" w:hAnsi="Arial" w:cs="Arial"/>
          <w:color w:val="000000"/>
          <w:sz w:val="22"/>
          <w:szCs w:val="22"/>
          <w:lang w:val="es-ES_tradnl" w:eastAsia="en-US"/>
        </w:rPr>
        <w:t>.</w:t>
      </w:r>
    </w:p>
    <w:p w14:paraId="25FF69E0" w14:textId="3847CC9F" w:rsidR="00202F5D" w:rsidRPr="00202F5D" w:rsidRDefault="00202F5D" w:rsidP="00202F5D">
      <w:pPr>
        <w:spacing w:line="276" w:lineRule="auto"/>
        <w:jc w:val="both"/>
        <w:rPr>
          <w:rFonts w:ascii="Arial" w:eastAsia="Calibri" w:hAnsi="Arial" w:cs="Arial"/>
          <w:color w:val="000000"/>
          <w:sz w:val="22"/>
          <w:szCs w:val="22"/>
          <w:lang w:val="es-ES_tradnl" w:eastAsia="en-US"/>
        </w:rPr>
      </w:pPr>
      <w:r w:rsidRPr="002A263A">
        <w:rPr>
          <w:rFonts w:ascii="Arial" w:eastAsia="Calibri" w:hAnsi="Arial" w:cs="Arial"/>
          <w:color w:val="000000"/>
          <w:sz w:val="22"/>
          <w:szCs w:val="22"/>
          <w:lang w:val="es-ES_tradnl" w:eastAsia="en-US"/>
        </w:rPr>
        <w:tab/>
        <w:t>En caso de que no exista «tarifa legal», es decir, en el evento en que la ley o el reglamento no definan un medio probatorio para acreditar la circunstancia correspondiente,</w:t>
      </w:r>
      <w:r w:rsidR="007664FC" w:rsidRPr="002A263A">
        <w:rPr>
          <w:rFonts w:ascii="Arial" w:eastAsia="Calibri" w:hAnsi="Arial" w:cs="Arial"/>
          <w:color w:val="000000"/>
          <w:sz w:val="22"/>
          <w:szCs w:val="22"/>
          <w:lang w:val="es-ES_tradnl" w:eastAsia="en-US"/>
        </w:rPr>
        <w:t xml:space="preserve"> como sucede con el numeral 4 del artículo 35 de la Ley 2069 de 2020,</w:t>
      </w:r>
      <w:r w:rsidRPr="002A263A">
        <w:rPr>
          <w:rFonts w:ascii="Arial" w:eastAsia="Calibri" w:hAnsi="Arial" w:cs="Arial"/>
          <w:color w:val="000000"/>
          <w:sz w:val="22"/>
          <w:szCs w:val="22"/>
          <w:lang w:val="es-ES_tradnl" w:eastAsia="en-US"/>
        </w:rPr>
        <w:t xml:space="preserve"> la entidad estatal contratante tiene discrecionalidad para establecer en el pliego de condiciones o en el documento equivalente de qué manera el proponente podrá probar que se encuentra bajo la condición que permite aplicar la regla de desempate. Por supuesto, el decreto reglamentario que expida el gobierno nacional para garantizar la cumplida ejecución de la Ley 2069 de 2020 podría establecer los medios de prueba, así como las autoridades encargadas de certificar las circunstancias del artículo 35. Sin embargo, mientras ello no suceda, deberá aplicarse el criterio indicado con anterioridad.</w:t>
      </w:r>
    </w:p>
    <w:p w14:paraId="41712AF0" w14:textId="46CA2284" w:rsidR="00967507" w:rsidRPr="00742BED" w:rsidRDefault="00967507" w:rsidP="00967507">
      <w:pPr>
        <w:spacing w:before="120" w:line="276" w:lineRule="auto"/>
        <w:ind w:firstLine="709"/>
        <w:jc w:val="both"/>
        <w:rPr>
          <w:rFonts w:ascii="Arial" w:hAnsi="Arial" w:cs="Arial"/>
          <w:color w:val="000000" w:themeColor="text1"/>
          <w:sz w:val="22"/>
          <w:szCs w:val="22"/>
          <w:lang w:val="es-ES_tradnl"/>
        </w:rPr>
      </w:pPr>
    </w:p>
    <w:p w14:paraId="6855D2DA" w14:textId="77777777" w:rsidR="00C1066C" w:rsidRPr="00742BED" w:rsidRDefault="00C1066C" w:rsidP="00967507">
      <w:pPr>
        <w:ind w:right="709"/>
        <w:jc w:val="both"/>
        <w:rPr>
          <w:rFonts w:ascii="Arial" w:hAnsi="Arial" w:cs="Arial"/>
          <w:color w:val="000000" w:themeColor="text1"/>
          <w:sz w:val="21"/>
          <w:szCs w:val="21"/>
          <w:lang w:val="es-ES_tradnl"/>
        </w:rPr>
      </w:pPr>
    </w:p>
    <w:p w14:paraId="7B2C921D" w14:textId="0F929B38" w:rsidR="00DD5B04" w:rsidRPr="00742BED" w:rsidRDefault="00DD5B04" w:rsidP="00DF76A2">
      <w:pPr>
        <w:spacing w:line="276" w:lineRule="auto"/>
        <w:jc w:val="both"/>
        <w:rPr>
          <w:rFonts w:ascii="Arial" w:hAnsi="Arial" w:cs="Arial"/>
          <w:color w:val="000000" w:themeColor="text1"/>
          <w:sz w:val="22"/>
          <w:lang w:val="es-ES_tradnl"/>
        </w:rPr>
      </w:pPr>
      <w:r w:rsidRPr="00742BED">
        <w:rPr>
          <w:rFonts w:ascii="Arial" w:hAnsi="Arial" w:cs="Arial"/>
          <w:color w:val="000000" w:themeColor="text1"/>
          <w:sz w:val="22"/>
          <w:lang w:val="es-ES_tradnl"/>
        </w:rPr>
        <w:t>Este concepto tiene el alcance previsto en el artículo 28 del Código de Procedimiento Administrativo y de lo Contencioso Administrativo.</w:t>
      </w:r>
    </w:p>
    <w:p w14:paraId="77EE5912" w14:textId="77777777" w:rsidR="00DD5B04" w:rsidRPr="00742BED" w:rsidRDefault="00DD5B04" w:rsidP="00DF76A2">
      <w:pPr>
        <w:pStyle w:val="NormalWeb"/>
        <w:spacing w:before="0" w:beforeAutospacing="0" w:after="0" w:afterAutospacing="0" w:line="276" w:lineRule="auto"/>
        <w:jc w:val="both"/>
        <w:rPr>
          <w:rFonts w:ascii="Arial" w:hAnsi="Arial" w:cs="Arial"/>
          <w:color w:val="000000" w:themeColor="text1"/>
          <w:sz w:val="22"/>
          <w:szCs w:val="22"/>
          <w:lang w:val="es-ES_tradnl"/>
        </w:rPr>
      </w:pPr>
    </w:p>
    <w:p w14:paraId="07BD8027" w14:textId="77777777" w:rsidR="00F81792" w:rsidRPr="00E23980" w:rsidRDefault="00F81792" w:rsidP="00F81792">
      <w:pPr>
        <w:pStyle w:val="NormalWeb"/>
        <w:spacing w:before="0" w:beforeAutospacing="0" w:after="0" w:afterAutospacing="0" w:line="276" w:lineRule="auto"/>
        <w:jc w:val="both"/>
        <w:rPr>
          <w:rFonts w:ascii="Arial" w:hAnsi="Arial" w:cs="Arial"/>
          <w:color w:val="000000" w:themeColor="text1"/>
          <w:sz w:val="22"/>
          <w:szCs w:val="22"/>
          <w:lang w:val="es-ES_tradnl"/>
        </w:rPr>
      </w:pPr>
      <w:r>
        <w:rPr>
          <w:rFonts w:ascii="Arial" w:hAnsi="Arial" w:cs="Arial"/>
          <w:color w:val="000000" w:themeColor="text1"/>
          <w:sz w:val="22"/>
          <w:szCs w:val="22"/>
          <w:lang w:val="es-ES_tradnl"/>
        </w:rPr>
        <w:t>Atentamente,</w:t>
      </w:r>
    </w:p>
    <w:p w14:paraId="0BEA1756" w14:textId="488BC898" w:rsidR="00F81792" w:rsidRDefault="004B56B5" w:rsidP="00F81792">
      <w:pPr>
        <w:pStyle w:val="NormalWeb"/>
        <w:spacing w:before="0" w:beforeAutospacing="0" w:after="0" w:afterAutospacing="0" w:line="276" w:lineRule="auto"/>
        <w:jc w:val="center"/>
        <w:rPr>
          <w:rFonts w:ascii="Arial" w:hAnsi="Arial" w:cs="Arial"/>
          <w:color w:val="000000" w:themeColor="text1"/>
          <w:sz w:val="22"/>
          <w:szCs w:val="22"/>
          <w:lang w:val="es-ES_tradnl"/>
        </w:rPr>
      </w:pPr>
      <w:r>
        <w:rPr>
          <w:noProof/>
        </w:rPr>
        <w:drawing>
          <wp:inline distT="0" distB="0" distL="0" distR="0" wp14:anchorId="359B4FE1" wp14:editId="2254415C">
            <wp:extent cx="2514600" cy="1114425"/>
            <wp:effectExtent l="0" t="0" r="0" b="9525"/>
            <wp:docPr id="1" name="Imagen 1" descr="Texto&#10;&#10;Descripción generada automáticamente"/>
            <wp:cNvGraphicFramePr/>
            <a:graphic xmlns:a="http://schemas.openxmlformats.org/drawingml/2006/main">
              <a:graphicData uri="http://schemas.openxmlformats.org/drawingml/2006/picture">
                <pic:pic xmlns:pic="http://schemas.openxmlformats.org/drawingml/2006/picture">
                  <pic:nvPicPr>
                    <pic:cNvPr id="1" name="Imagen 1" descr="Texto&#10;&#10;Descripción generada automáticamente"/>
                    <pic:cNvPicPr/>
                  </pic:nvPicPr>
                  <pic:blipFill>
                    <a:blip r:embed="rId12"/>
                    <a:stretch>
                      <a:fillRect/>
                    </a:stretch>
                  </pic:blipFill>
                  <pic:spPr>
                    <a:xfrm>
                      <a:off x="0" y="0"/>
                      <a:ext cx="2514600" cy="1114425"/>
                    </a:xfrm>
                    <a:prstGeom prst="rect">
                      <a:avLst/>
                    </a:prstGeom>
                  </pic:spPr>
                </pic:pic>
              </a:graphicData>
            </a:graphic>
          </wp:inline>
        </w:drawing>
      </w:r>
    </w:p>
    <w:p w14:paraId="2E8DF671" w14:textId="77777777" w:rsidR="00F81792" w:rsidRPr="007C0BD7" w:rsidRDefault="00F81792" w:rsidP="00F81792">
      <w:pPr>
        <w:pStyle w:val="NormalWeb"/>
        <w:spacing w:before="0" w:beforeAutospacing="0" w:after="0" w:afterAutospacing="0" w:line="276" w:lineRule="auto"/>
        <w:rPr>
          <w:rFonts w:ascii="Arial" w:hAnsi="Arial" w:cs="Arial"/>
          <w:color w:val="000000" w:themeColor="text1"/>
          <w:sz w:val="14"/>
          <w:szCs w:val="14"/>
          <w:lang w:val="es-ES_tradnl"/>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F81792" w:rsidRPr="007C0BD7" w14:paraId="330CAE2A" w14:textId="77777777" w:rsidTr="001336AE">
        <w:trPr>
          <w:trHeight w:val="160"/>
        </w:trPr>
        <w:tc>
          <w:tcPr>
            <w:tcW w:w="812" w:type="dxa"/>
            <w:vAlign w:val="center"/>
            <w:hideMark/>
          </w:tcPr>
          <w:p w14:paraId="1734095F" w14:textId="77777777" w:rsidR="00F81792" w:rsidRPr="007C0BD7" w:rsidRDefault="00F81792" w:rsidP="001336AE">
            <w:pPr>
              <w:jc w:val="both"/>
              <w:rPr>
                <w:rFonts w:ascii="Arial" w:hAnsi="Arial" w:cs="Arial"/>
                <w:color w:val="000000" w:themeColor="text1"/>
                <w:sz w:val="14"/>
                <w:szCs w:val="14"/>
                <w:lang w:val="es-ES_tradnl" w:eastAsia="es-ES"/>
              </w:rPr>
            </w:pPr>
            <w:r w:rsidRPr="007C0BD7">
              <w:rPr>
                <w:rFonts w:ascii="Arial" w:hAnsi="Arial" w:cs="Arial"/>
                <w:color w:val="000000" w:themeColor="text1"/>
                <w:sz w:val="14"/>
                <w:szCs w:val="14"/>
                <w:lang w:val="es-ES_tradnl" w:eastAsia="es-ES"/>
              </w:rPr>
              <w:t>Elaboró:</w:t>
            </w:r>
          </w:p>
        </w:tc>
        <w:tc>
          <w:tcPr>
            <w:tcW w:w="4413" w:type="dxa"/>
            <w:tcBorders>
              <w:top w:val="nil"/>
              <w:left w:val="nil"/>
              <w:bottom w:val="dotted" w:sz="4" w:space="0" w:color="7F7F7F" w:themeColor="text1" w:themeTint="80"/>
              <w:right w:val="nil"/>
            </w:tcBorders>
            <w:vAlign w:val="center"/>
            <w:hideMark/>
          </w:tcPr>
          <w:p w14:paraId="42583D74" w14:textId="77777777" w:rsidR="00F81792" w:rsidRPr="007C0BD7" w:rsidRDefault="00F81792" w:rsidP="001336AE">
            <w:pPr>
              <w:jc w:val="both"/>
              <w:rPr>
                <w:rFonts w:ascii="Arial" w:hAnsi="Arial" w:cs="Arial"/>
                <w:color w:val="000000" w:themeColor="text1"/>
                <w:sz w:val="14"/>
                <w:szCs w:val="14"/>
                <w:lang w:val="es-ES_tradnl" w:eastAsia="es-ES"/>
              </w:rPr>
            </w:pPr>
            <w:r>
              <w:rPr>
                <w:rFonts w:ascii="Arial" w:hAnsi="Arial" w:cs="Arial"/>
                <w:color w:val="000000" w:themeColor="text1"/>
                <w:sz w:val="14"/>
                <w:szCs w:val="14"/>
                <w:lang w:val="es-ES_tradnl" w:eastAsia="es-ES"/>
              </w:rPr>
              <w:t>Felipe Bastidas Paredes</w:t>
            </w:r>
          </w:p>
          <w:p w14:paraId="4E3A70F8" w14:textId="77777777" w:rsidR="00F81792" w:rsidRPr="007C0BD7" w:rsidRDefault="00F81792" w:rsidP="001336AE">
            <w:pPr>
              <w:jc w:val="both"/>
              <w:rPr>
                <w:rFonts w:ascii="Arial" w:hAnsi="Arial" w:cs="Arial"/>
                <w:color w:val="000000" w:themeColor="text1"/>
                <w:sz w:val="14"/>
                <w:szCs w:val="14"/>
                <w:lang w:val="es-ES_tradnl" w:eastAsia="es-ES"/>
              </w:rPr>
            </w:pPr>
            <w:r w:rsidRPr="007C0BD7">
              <w:rPr>
                <w:rFonts w:ascii="Arial" w:hAnsi="Arial" w:cs="Arial"/>
                <w:color w:val="000000" w:themeColor="text1"/>
                <w:sz w:val="14"/>
                <w:szCs w:val="14"/>
                <w:lang w:val="es-ES_tradnl" w:eastAsia="es-ES"/>
              </w:rPr>
              <w:t>Contratista de la Subdirección de Gestión Contractual</w:t>
            </w:r>
          </w:p>
        </w:tc>
      </w:tr>
      <w:tr w:rsidR="00F81792" w:rsidRPr="007C0BD7" w14:paraId="49179668" w14:textId="77777777" w:rsidTr="001336AE">
        <w:trPr>
          <w:trHeight w:val="330"/>
        </w:trPr>
        <w:tc>
          <w:tcPr>
            <w:tcW w:w="812" w:type="dxa"/>
            <w:vAlign w:val="center"/>
            <w:hideMark/>
          </w:tcPr>
          <w:p w14:paraId="08825375" w14:textId="77777777" w:rsidR="00F81792" w:rsidRPr="007C0BD7" w:rsidRDefault="00F81792" w:rsidP="001336AE">
            <w:pPr>
              <w:jc w:val="both"/>
              <w:rPr>
                <w:rFonts w:ascii="Arial" w:hAnsi="Arial" w:cs="Arial"/>
                <w:color w:val="000000" w:themeColor="text1"/>
                <w:sz w:val="14"/>
                <w:szCs w:val="14"/>
                <w:lang w:val="es-ES_tradnl" w:eastAsia="es-ES"/>
              </w:rPr>
            </w:pPr>
            <w:r w:rsidRPr="007C0BD7">
              <w:rPr>
                <w:rFonts w:ascii="Arial" w:hAnsi="Arial" w:cs="Arial"/>
                <w:color w:val="000000" w:themeColor="text1"/>
                <w:sz w:val="14"/>
                <w:szCs w:val="14"/>
                <w:lang w:val="es-ES_tradnl"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0AC86CF3" w14:textId="77777777" w:rsidR="00F81792" w:rsidRPr="007C0BD7" w:rsidRDefault="00F81792" w:rsidP="001336AE">
            <w:pPr>
              <w:jc w:val="both"/>
              <w:rPr>
                <w:rFonts w:ascii="Arial" w:hAnsi="Arial" w:cs="Arial"/>
                <w:color w:val="000000" w:themeColor="text1"/>
                <w:sz w:val="14"/>
                <w:szCs w:val="14"/>
                <w:lang w:val="es-ES_tradnl" w:eastAsia="es-ES"/>
              </w:rPr>
            </w:pPr>
            <w:r w:rsidRPr="007C0BD7">
              <w:rPr>
                <w:rFonts w:ascii="Arial" w:hAnsi="Arial" w:cs="Arial"/>
                <w:color w:val="000000" w:themeColor="text1"/>
                <w:sz w:val="14"/>
                <w:szCs w:val="14"/>
                <w:lang w:val="es-ES_tradnl" w:eastAsia="es-ES"/>
              </w:rPr>
              <w:t>Sebastián Ramírez Grisales</w:t>
            </w:r>
          </w:p>
          <w:p w14:paraId="460857A8" w14:textId="77777777" w:rsidR="00F81792" w:rsidRPr="0036498C" w:rsidRDefault="00F81792" w:rsidP="001336AE">
            <w:pPr>
              <w:jc w:val="both"/>
              <w:rPr>
                <w:rFonts w:ascii="Arial" w:hAnsi="Arial" w:cs="Arial"/>
                <w:color w:val="000000" w:themeColor="text1"/>
                <w:sz w:val="14"/>
                <w:szCs w:val="14"/>
                <w:lang w:val="es-ES" w:eastAsia="es-ES"/>
              </w:rPr>
            </w:pPr>
            <w:r w:rsidRPr="007C0BD7">
              <w:rPr>
                <w:rFonts w:ascii="Arial" w:hAnsi="Arial" w:cs="Arial"/>
                <w:color w:val="000000"/>
                <w:sz w:val="14"/>
                <w:szCs w:val="14"/>
                <w:shd w:val="clear" w:color="auto" w:fill="FFFFFF"/>
              </w:rPr>
              <w:t>Gestor T1-15 de la </w:t>
            </w:r>
            <w:r w:rsidRPr="007C0BD7">
              <w:rPr>
                <w:rFonts w:ascii="Arial" w:hAnsi="Arial" w:cs="Arial"/>
                <w:color w:val="000000" w:themeColor="text1"/>
                <w:sz w:val="14"/>
                <w:szCs w:val="14"/>
                <w:lang w:val="es-ES" w:eastAsia="es-ES"/>
              </w:rPr>
              <w:t>Subdirección de Gestión Contractual</w:t>
            </w:r>
          </w:p>
        </w:tc>
      </w:tr>
      <w:tr w:rsidR="00F81792" w:rsidRPr="007C0BD7" w14:paraId="6BFF774C" w14:textId="77777777" w:rsidTr="001336AE">
        <w:trPr>
          <w:trHeight w:val="300"/>
        </w:trPr>
        <w:tc>
          <w:tcPr>
            <w:tcW w:w="812" w:type="dxa"/>
            <w:vAlign w:val="center"/>
            <w:hideMark/>
          </w:tcPr>
          <w:p w14:paraId="28F1ED79" w14:textId="77777777" w:rsidR="00F81792" w:rsidRPr="007C0BD7" w:rsidRDefault="00F81792" w:rsidP="001336AE">
            <w:pPr>
              <w:jc w:val="both"/>
              <w:rPr>
                <w:rFonts w:ascii="Arial" w:hAnsi="Arial" w:cs="Arial"/>
                <w:color w:val="000000" w:themeColor="text1"/>
                <w:sz w:val="14"/>
                <w:szCs w:val="14"/>
                <w:lang w:val="es-ES_tradnl" w:eastAsia="es-ES"/>
              </w:rPr>
            </w:pPr>
            <w:r w:rsidRPr="007C0BD7">
              <w:rPr>
                <w:rFonts w:ascii="Arial" w:hAnsi="Arial" w:cs="Arial"/>
                <w:color w:val="000000" w:themeColor="text1"/>
                <w:sz w:val="14"/>
                <w:szCs w:val="14"/>
                <w:lang w:val="es-ES_tradnl" w:eastAsia="es-ES"/>
              </w:rPr>
              <w:lastRenderedPageBreak/>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642FFEB1" w14:textId="77777777" w:rsidR="00F81792" w:rsidRPr="007C0BD7" w:rsidRDefault="00F81792" w:rsidP="001336AE">
            <w:pPr>
              <w:jc w:val="both"/>
              <w:rPr>
                <w:rFonts w:ascii="Arial" w:hAnsi="Arial" w:cs="Arial"/>
                <w:color w:val="000000" w:themeColor="text1"/>
                <w:sz w:val="14"/>
                <w:szCs w:val="14"/>
                <w:lang w:val="es-ES_tradnl" w:eastAsia="es-ES"/>
              </w:rPr>
            </w:pPr>
            <w:r w:rsidRPr="007C0BD7">
              <w:rPr>
                <w:rFonts w:ascii="Arial" w:hAnsi="Arial" w:cs="Arial"/>
                <w:color w:val="000000" w:themeColor="text1"/>
                <w:sz w:val="14"/>
                <w:szCs w:val="14"/>
                <w:lang w:val="es-ES_tradnl" w:eastAsia="es-ES"/>
              </w:rPr>
              <w:t>Jorge Augusto Tirado Navarro</w:t>
            </w:r>
          </w:p>
          <w:p w14:paraId="204AADEF" w14:textId="77777777" w:rsidR="00F81792" w:rsidRPr="007C0BD7" w:rsidRDefault="00F81792" w:rsidP="001336AE">
            <w:pPr>
              <w:jc w:val="both"/>
              <w:rPr>
                <w:rFonts w:ascii="Arial" w:hAnsi="Arial" w:cs="Arial"/>
                <w:color w:val="000000" w:themeColor="text1"/>
                <w:sz w:val="14"/>
                <w:szCs w:val="14"/>
                <w:lang w:val="es-ES_tradnl" w:eastAsia="es-ES"/>
              </w:rPr>
            </w:pPr>
            <w:r w:rsidRPr="007C0BD7">
              <w:rPr>
                <w:rFonts w:ascii="Arial" w:hAnsi="Arial" w:cs="Arial"/>
                <w:color w:val="000000" w:themeColor="text1"/>
                <w:sz w:val="14"/>
                <w:szCs w:val="14"/>
                <w:lang w:val="es-ES_tradnl" w:eastAsia="es-ES"/>
              </w:rPr>
              <w:t xml:space="preserve">Subdirector de Gestión Contractual </w:t>
            </w:r>
            <w:r w:rsidRPr="007C0BD7">
              <w:rPr>
                <w:rFonts w:ascii="Arial" w:hAnsi="Arial" w:cs="Arial"/>
                <w:color w:val="000000" w:themeColor="text1"/>
                <w:sz w:val="14"/>
                <w:szCs w:val="14"/>
                <w:lang w:eastAsia="es-ES"/>
              </w:rPr>
              <w:t>ANCP – CCE</w:t>
            </w:r>
          </w:p>
        </w:tc>
      </w:tr>
    </w:tbl>
    <w:p w14:paraId="271FA271" w14:textId="616D5BC6" w:rsidR="00AB6BBF" w:rsidRPr="00F81792" w:rsidRDefault="00AB6BBF" w:rsidP="00AB6BBF">
      <w:pPr>
        <w:tabs>
          <w:tab w:val="left" w:pos="2232"/>
        </w:tabs>
        <w:rPr>
          <w:rFonts w:ascii="Arial" w:hAnsi="Arial" w:cs="Arial"/>
        </w:rPr>
      </w:pPr>
    </w:p>
    <w:p w14:paraId="3B66ACF9" w14:textId="6D069177" w:rsidR="0063022E" w:rsidRDefault="0063022E" w:rsidP="00AB6BBF">
      <w:pPr>
        <w:tabs>
          <w:tab w:val="left" w:pos="2232"/>
        </w:tabs>
        <w:rPr>
          <w:rFonts w:ascii="Arial" w:hAnsi="Arial" w:cs="Arial"/>
          <w:lang w:val="es-ES_tradnl"/>
        </w:rPr>
      </w:pPr>
    </w:p>
    <w:p w14:paraId="3007673C" w14:textId="27103CF1" w:rsidR="0063022E" w:rsidRDefault="0063022E" w:rsidP="00AB6BBF">
      <w:pPr>
        <w:tabs>
          <w:tab w:val="left" w:pos="2232"/>
        </w:tabs>
        <w:rPr>
          <w:rFonts w:ascii="Arial" w:hAnsi="Arial" w:cs="Arial"/>
          <w:lang w:val="es-ES_tradnl"/>
        </w:rPr>
      </w:pPr>
    </w:p>
    <w:p w14:paraId="34FEC2B7" w14:textId="2C80C62A" w:rsidR="0063022E" w:rsidRDefault="0063022E" w:rsidP="00AB6BBF">
      <w:pPr>
        <w:tabs>
          <w:tab w:val="left" w:pos="2232"/>
        </w:tabs>
        <w:rPr>
          <w:rFonts w:ascii="Arial" w:hAnsi="Arial" w:cs="Arial"/>
          <w:lang w:val="es-ES_tradnl"/>
        </w:rPr>
      </w:pPr>
    </w:p>
    <w:p w14:paraId="633F115F" w14:textId="058A5ABB" w:rsidR="0063022E" w:rsidRDefault="0063022E" w:rsidP="00AB6BBF">
      <w:pPr>
        <w:tabs>
          <w:tab w:val="left" w:pos="2232"/>
        </w:tabs>
        <w:rPr>
          <w:rFonts w:ascii="Arial" w:hAnsi="Arial" w:cs="Arial"/>
          <w:lang w:val="es-ES_tradnl"/>
        </w:rPr>
      </w:pPr>
    </w:p>
    <w:p w14:paraId="27C77D05" w14:textId="20866ADF" w:rsidR="0063022E" w:rsidRPr="0063022E" w:rsidRDefault="0063022E" w:rsidP="00AB6BBF">
      <w:pPr>
        <w:tabs>
          <w:tab w:val="left" w:pos="2232"/>
        </w:tabs>
        <w:rPr>
          <w:rFonts w:ascii="Arial" w:hAnsi="Arial" w:cs="Arial"/>
          <w:color w:val="FF0000"/>
          <w:sz w:val="28"/>
          <w:szCs w:val="28"/>
          <w:lang w:val="es-ES_tradnl"/>
        </w:rPr>
      </w:pPr>
    </w:p>
    <w:sectPr w:rsidR="0063022E" w:rsidRPr="0063022E" w:rsidSect="005D791B">
      <w:headerReference w:type="default" r:id="rId13"/>
      <w:footerReference w:type="default" r:id="rId14"/>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01BCC6" w14:textId="77777777" w:rsidR="00BF496B" w:rsidRDefault="00BF496B">
      <w:r>
        <w:separator/>
      </w:r>
    </w:p>
  </w:endnote>
  <w:endnote w:type="continuationSeparator" w:id="0">
    <w:p w14:paraId="16753BE8" w14:textId="77777777" w:rsidR="00BF496B" w:rsidRDefault="00BF496B">
      <w:r>
        <w:continuationSeparator/>
      </w:r>
    </w:p>
  </w:endnote>
  <w:endnote w:type="continuationNotice" w:id="1">
    <w:p w14:paraId="3E63E758" w14:textId="77777777" w:rsidR="00BF496B" w:rsidRDefault="00BF496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0ÊXÀ˛">
    <w:altName w:val="Calibri"/>
    <w:panose1 w:val="020B0604020202020204"/>
    <w:charset w:val="4D"/>
    <w:family w:val="auto"/>
    <w:notTrueType/>
    <w:pitch w:val="default"/>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F02A34" w14:textId="77777777" w:rsidR="008F4163" w:rsidRDefault="008F4163" w:rsidP="00322937">
    <w:pPr>
      <w:pStyle w:val="Sinespaciado"/>
      <w:jc w:val="right"/>
      <w:rPr>
        <w:rFonts w:ascii="Arial" w:hAnsi="Arial" w:cs="Arial"/>
        <w:sz w:val="18"/>
        <w:szCs w:val="18"/>
      </w:rPr>
    </w:pPr>
  </w:p>
  <w:p w14:paraId="7A3785F3" w14:textId="2EF28465" w:rsidR="008F4163" w:rsidRPr="008217B7" w:rsidRDefault="008F4163"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2</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15</w:t>
    </w:r>
    <w:r w:rsidRPr="00084B97">
      <w:rPr>
        <w:rFonts w:ascii="Arial" w:hAnsi="Arial" w:cs="Arial"/>
        <w:b/>
        <w:bCs/>
        <w:color w:val="7F7F7F" w:themeColor="text1" w:themeTint="80"/>
        <w:sz w:val="16"/>
        <w:szCs w:val="16"/>
      </w:rPr>
      <w:fldChar w:fldCharType="end"/>
    </w:r>
  </w:p>
  <w:p w14:paraId="48FC6A04" w14:textId="5FD1A7C9" w:rsidR="008F4163" w:rsidRDefault="008F4163" w:rsidP="00322937">
    <w:pPr>
      <w:pStyle w:val="Piedepgina"/>
      <w:jc w:val="center"/>
      <w:rPr>
        <w:lang w:val="es-ES"/>
      </w:rPr>
    </w:pPr>
    <w:r>
      <w:rPr>
        <w:noProof/>
        <w:lang w:val="es-ES_tradnl" w:eastAsia="es-ES_tradnl"/>
      </w:rPr>
      <w:drawing>
        <wp:inline distT="0" distB="0" distL="0" distR="0" wp14:anchorId="608B196D" wp14:editId="0DC5B948">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5D0E988C" w14:textId="77777777" w:rsidR="008F4163" w:rsidRDefault="008F4163" w:rsidP="007B0854">
    <w:pPr>
      <w:pStyle w:val="Piedepgina"/>
      <w:jc w:val="center"/>
      <w:rPr>
        <w:lang w:val="es-ES"/>
      </w:rPr>
    </w:pPr>
  </w:p>
  <w:p w14:paraId="6C0EFC49" w14:textId="77777777" w:rsidR="008F4163" w:rsidRPr="007B0854" w:rsidRDefault="008F4163"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8BF446" w14:textId="77777777" w:rsidR="00BF496B" w:rsidRDefault="00BF496B">
      <w:r>
        <w:separator/>
      </w:r>
    </w:p>
  </w:footnote>
  <w:footnote w:type="continuationSeparator" w:id="0">
    <w:p w14:paraId="75A173C8" w14:textId="77777777" w:rsidR="00BF496B" w:rsidRDefault="00BF496B">
      <w:r>
        <w:continuationSeparator/>
      </w:r>
    </w:p>
  </w:footnote>
  <w:footnote w:type="continuationNotice" w:id="1">
    <w:p w14:paraId="35FC32C7" w14:textId="77777777" w:rsidR="00BF496B" w:rsidRDefault="00BF496B"/>
  </w:footnote>
  <w:footnote w:id="2">
    <w:p w14:paraId="467327F0" w14:textId="77777777" w:rsidR="00D56C7D" w:rsidRPr="008B0C98" w:rsidRDefault="00D56C7D" w:rsidP="00D56C7D">
      <w:pPr>
        <w:pStyle w:val="Textonotapie"/>
        <w:ind w:firstLine="709"/>
        <w:jc w:val="both"/>
        <w:rPr>
          <w:rFonts w:ascii="Arial" w:hAnsi="Arial" w:cs="Arial"/>
          <w:sz w:val="19"/>
          <w:szCs w:val="19"/>
          <w:lang w:val="es-ES"/>
        </w:rPr>
      </w:pPr>
      <w:r w:rsidRPr="008E5BA6">
        <w:rPr>
          <w:rStyle w:val="Refdenotaalpie"/>
          <w:rFonts w:ascii="Arial" w:hAnsi="Arial" w:cs="Arial"/>
          <w:sz w:val="19"/>
          <w:szCs w:val="19"/>
        </w:rPr>
        <w:footnoteRef/>
      </w:r>
      <w:r w:rsidRPr="008E5BA6">
        <w:rPr>
          <w:rFonts w:ascii="Arial" w:hAnsi="Arial" w:cs="Arial"/>
          <w:sz w:val="19"/>
          <w:szCs w:val="19"/>
        </w:rPr>
        <w:t xml:space="preserve"> </w:t>
      </w:r>
      <w:r w:rsidRPr="008E5BA6">
        <w:rPr>
          <w:rFonts w:ascii="Arial" w:hAnsi="Arial" w:cs="Arial"/>
          <w:sz w:val="19"/>
          <w:szCs w:val="19"/>
          <w:lang w:val="es-ES"/>
        </w:rPr>
        <w:t>Consejo de Estado. Sección Tercera. Sentencia del 29 de octubre de 2.015. Consejera Ponente: Stella Conto Díaz Del Castillo. Expediente: 31.918.</w:t>
      </w:r>
    </w:p>
    <w:p w14:paraId="4ACFEC5E" w14:textId="77777777" w:rsidR="00D56C7D" w:rsidRPr="008B0C98" w:rsidRDefault="00D56C7D" w:rsidP="00D56C7D">
      <w:pPr>
        <w:pStyle w:val="Textonotapie"/>
        <w:ind w:firstLine="709"/>
        <w:jc w:val="both"/>
        <w:rPr>
          <w:rFonts w:ascii="Arial" w:hAnsi="Arial" w:cs="Arial"/>
          <w:sz w:val="19"/>
          <w:szCs w:val="19"/>
          <w:lang w:val="es-ES"/>
        </w:rPr>
      </w:pPr>
    </w:p>
  </w:footnote>
  <w:footnote w:id="3">
    <w:p w14:paraId="25ABA53F" w14:textId="77777777" w:rsidR="00D56C7D" w:rsidRPr="008B0C98" w:rsidRDefault="00D56C7D" w:rsidP="00D56C7D">
      <w:pPr>
        <w:pStyle w:val="Textonotapie"/>
        <w:ind w:firstLine="709"/>
        <w:jc w:val="both"/>
        <w:rPr>
          <w:rFonts w:ascii="Arial" w:hAnsi="Arial" w:cs="Arial"/>
          <w:sz w:val="19"/>
          <w:szCs w:val="19"/>
          <w:lang w:val="es-ES"/>
        </w:rPr>
      </w:pPr>
      <w:r w:rsidRPr="008E5BA6">
        <w:rPr>
          <w:rStyle w:val="Refdenotaalpie"/>
          <w:rFonts w:ascii="Arial" w:hAnsi="Arial" w:cs="Arial"/>
          <w:sz w:val="19"/>
          <w:szCs w:val="19"/>
        </w:rPr>
        <w:footnoteRef/>
      </w:r>
      <w:r w:rsidRPr="008E5BA6">
        <w:rPr>
          <w:rFonts w:ascii="Arial" w:hAnsi="Arial" w:cs="Arial"/>
          <w:sz w:val="19"/>
          <w:szCs w:val="19"/>
        </w:rPr>
        <w:t xml:space="preserve"> </w:t>
      </w:r>
      <w:r w:rsidRPr="008E5BA6">
        <w:rPr>
          <w:rFonts w:ascii="Arial" w:hAnsi="Arial" w:cs="Arial"/>
          <w:sz w:val="19"/>
          <w:szCs w:val="19"/>
          <w:lang w:val="es-ES"/>
        </w:rPr>
        <w:t>Corte Constitucional. Sentencia T-684A del 14 de septiembre de 2</w:t>
      </w:r>
      <w:r w:rsidRPr="008F3511">
        <w:rPr>
          <w:rFonts w:ascii="Arial" w:hAnsi="Arial" w:cs="Arial"/>
          <w:sz w:val="19"/>
          <w:szCs w:val="19"/>
          <w:lang w:val="es-ES"/>
        </w:rPr>
        <w:t>011. Magistrado Ponente: Mauricio González Cuervo.</w:t>
      </w:r>
    </w:p>
    <w:p w14:paraId="44EF2639" w14:textId="77777777" w:rsidR="00D56C7D" w:rsidRPr="008B0C98" w:rsidRDefault="00D56C7D" w:rsidP="00D56C7D">
      <w:pPr>
        <w:pStyle w:val="Textonotapie"/>
        <w:ind w:firstLine="709"/>
        <w:jc w:val="both"/>
        <w:rPr>
          <w:rFonts w:ascii="Arial" w:hAnsi="Arial" w:cs="Arial"/>
          <w:sz w:val="19"/>
          <w:szCs w:val="19"/>
          <w:lang w:val="es-ES"/>
        </w:rPr>
      </w:pPr>
    </w:p>
  </w:footnote>
  <w:footnote w:id="4">
    <w:p w14:paraId="259A255C" w14:textId="77777777" w:rsidR="00D56C7D" w:rsidRPr="008B0C98" w:rsidRDefault="00D56C7D" w:rsidP="00D56C7D">
      <w:pPr>
        <w:pStyle w:val="Textonotapie"/>
        <w:ind w:firstLine="709"/>
        <w:jc w:val="both"/>
        <w:rPr>
          <w:rFonts w:ascii="Arial" w:hAnsi="Arial" w:cs="Arial"/>
          <w:sz w:val="19"/>
          <w:szCs w:val="19"/>
          <w:lang w:val="es-ES"/>
        </w:rPr>
      </w:pPr>
      <w:r w:rsidRPr="008E5BA6">
        <w:rPr>
          <w:rStyle w:val="Refdenotaalpie"/>
          <w:rFonts w:ascii="Arial" w:hAnsi="Arial" w:cs="Arial"/>
          <w:sz w:val="19"/>
          <w:szCs w:val="19"/>
        </w:rPr>
        <w:footnoteRef/>
      </w:r>
      <w:r w:rsidRPr="008E5BA6">
        <w:rPr>
          <w:rFonts w:ascii="Arial" w:hAnsi="Arial" w:cs="Arial"/>
          <w:sz w:val="19"/>
          <w:szCs w:val="19"/>
        </w:rPr>
        <w:t xml:space="preserve"> </w:t>
      </w:r>
      <w:r w:rsidRPr="008E5BA6">
        <w:rPr>
          <w:rFonts w:ascii="Arial" w:hAnsi="Arial" w:cs="Arial"/>
          <w:sz w:val="19"/>
          <w:szCs w:val="19"/>
          <w:lang w:val="es-ES"/>
        </w:rPr>
        <w:t>Consejo de Estado. Sección Tercera. Sentencia del 6 de diciembre de 2.013. Consejera Ponente: Stella Conto Díaz Del Castillo. Expediente: 27.506. En efecto, el artículo 44, inciso 1º, de la Ley 80 de 19</w:t>
      </w:r>
      <w:r w:rsidRPr="008B0C98">
        <w:rPr>
          <w:rFonts w:ascii="Arial" w:hAnsi="Arial" w:cs="Arial"/>
          <w:sz w:val="19"/>
          <w:szCs w:val="19"/>
          <w:lang w:val="es-ES"/>
        </w:rPr>
        <w:t xml:space="preserve">93 establece que «Los contratos del Estado son absolutamente nulos en los casos previstos en el derecho común […]», y uno de los supuestos consagrados en el derecho común es el llamado «objeto ilícito», que se presenta cuando se contrarían las normas de orden público, de conformidad con el artículo 1.519 del Código Civil. </w:t>
      </w:r>
    </w:p>
    <w:p w14:paraId="25980D4B" w14:textId="77777777" w:rsidR="00D56C7D" w:rsidRPr="008B0C98" w:rsidRDefault="00D56C7D" w:rsidP="00D56C7D">
      <w:pPr>
        <w:pStyle w:val="Textonotapie"/>
        <w:ind w:firstLine="709"/>
        <w:jc w:val="both"/>
        <w:rPr>
          <w:rFonts w:ascii="Arial" w:hAnsi="Arial" w:cs="Arial"/>
          <w:sz w:val="19"/>
          <w:szCs w:val="19"/>
          <w:lang w:val="es-CO"/>
        </w:rPr>
      </w:pPr>
    </w:p>
  </w:footnote>
  <w:footnote w:id="5">
    <w:p w14:paraId="454C3225" w14:textId="36622023" w:rsidR="008B0C98" w:rsidRPr="00592353" w:rsidRDefault="008B0C98" w:rsidP="00592353">
      <w:pPr>
        <w:pStyle w:val="Textonotapie"/>
        <w:ind w:firstLine="709"/>
        <w:rPr>
          <w:rFonts w:ascii="Arial" w:hAnsi="Arial" w:cs="Arial"/>
          <w:sz w:val="19"/>
          <w:szCs w:val="19"/>
          <w:lang w:val="es-CO"/>
        </w:rPr>
      </w:pPr>
      <w:r w:rsidRPr="00592353">
        <w:rPr>
          <w:rStyle w:val="Refdenotaalpie"/>
          <w:rFonts w:ascii="Arial" w:hAnsi="Arial" w:cs="Arial"/>
          <w:sz w:val="19"/>
          <w:szCs w:val="19"/>
        </w:rPr>
        <w:footnoteRef/>
      </w:r>
      <w:r w:rsidRPr="00592353">
        <w:rPr>
          <w:rFonts w:ascii="Arial" w:hAnsi="Arial" w:cs="Arial"/>
          <w:sz w:val="19"/>
          <w:szCs w:val="19"/>
        </w:rPr>
        <w:t xml:space="preserve"> Disponible en: https://relatoria.colombiacompra.gov.co/ficha/C-690%20de%202020.</w:t>
      </w:r>
    </w:p>
  </w:footnote>
  <w:footnote w:id="6">
    <w:p w14:paraId="2043A1E7" w14:textId="77777777" w:rsidR="00CC1C03" w:rsidRPr="008F3511" w:rsidRDefault="00CC1C03" w:rsidP="00CC1C03">
      <w:pPr>
        <w:pStyle w:val="Textonotapie"/>
        <w:ind w:firstLine="709"/>
        <w:jc w:val="both"/>
        <w:rPr>
          <w:rFonts w:ascii="Arial" w:hAnsi="Arial" w:cs="Arial"/>
          <w:sz w:val="19"/>
          <w:szCs w:val="19"/>
          <w:lang w:val="es-ES"/>
        </w:rPr>
      </w:pPr>
      <w:r w:rsidRPr="008E5BA6">
        <w:rPr>
          <w:rStyle w:val="Refdenotaalpie"/>
          <w:rFonts w:ascii="Arial" w:hAnsi="Arial" w:cs="Arial"/>
          <w:sz w:val="19"/>
          <w:szCs w:val="19"/>
        </w:rPr>
        <w:footnoteRef/>
      </w:r>
      <w:r w:rsidRPr="008E5BA6">
        <w:rPr>
          <w:rFonts w:ascii="Arial" w:hAnsi="Arial" w:cs="Arial"/>
          <w:sz w:val="19"/>
          <w:szCs w:val="19"/>
        </w:rPr>
        <w:t xml:space="preserve"> </w:t>
      </w:r>
      <w:r w:rsidRPr="008E5BA6">
        <w:rPr>
          <w:rFonts w:ascii="Arial" w:hAnsi="Arial" w:cs="Arial"/>
          <w:sz w:val="19"/>
          <w:szCs w:val="19"/>
          <w:lang w:val="es-ES"/>
        </w:rPr>
        <w:t>Artículos 2 al 29.</w:t>
      </w:r>
    </w:p>
    <w:p w14:paraId="5DA6D7E8" w14:textId="77777777" w:rsidR="00CC1C03" w:rsidRPr="008B0C98" w:rsidRDefault="00CC1C03" w:rsidP="00CC1C03">
      <w:pPr>
        <w:pStyle w:val="Textonotapie"/>
        <w:ind w:firstLine="709"/>
        <w:jc w:val="both"/>
        <w:rPr>
          <w:rFonts w:ascii="Arial" w:hAnsi="Arial" w:cs="Arial"/>
          <w:sz w:val="19"/>
          <w:szCs w:val="19"/>
          <w:lang w:val="es-ES"/>
        </w:rPr>
      </w:pPr>
    </w:p>
  </w:footnote>
  <w:footnote w:id="7">
    <w:p w14:paraId="64B5D9F0" w14:textId="77777777" w:rsidR="00CC1C03" w:rsidRPr="008F3511" w:rsidRDefault="00CC1C03" w:rsidP="00CC1C03">
      <w:pPr>
        <w:pStyle w:val="Textonotapie"/>
        <w:ind w:firstLine="709"/>
        <w:jc w:val="both"/>
        <w:rPr>
          <w:rFonts w:ascii="Arial" w:hAnsi="Arial" w:cs="Arial"/>
          <w:sz w:val="19"/>
          <w:szCs w:val="19"/>
          <w:lang w:val="es-ES"/>
        </w:rPr>
      </w:pPr>
      <w:r w:rsidRPr="008E5BA6">
        <w:rPr>
          <w:rStyle w:val="Refdenotaalpie"/>
          <w:rFonts w:ascii="Arial" w:hAnsi="Arial" w:cs="Arial"/>
          <w:sz w:val="19"/>
          <w:szCs w:val="19"/>
        </w:rPr>
        <w:footnoteRef/>
      </w:r>
      <w:r w:rsidRPr="008E5BA6">
        <w:rPr>
          <w:rFonts w:ascii="Arial" w:hAnsi="Arial" w:cs="Arial"/>
          <w:sz w:val="19"/>
          <w:szCs w:val="19"/>
        </w:rPr>
        <w:t xml:space="preserve"> </w:t>
      </w:r>
      <w:r w:rsidRPr="008E5BA6">
        <w:rPr>
          <w:rFonts w:ascii="Arial" w:hAnsi="Arial" w:cs="Arial"/>
          <w:sz w:val="19"/>
          <w:szCs w:val="19"/>
          <w:lang w:val="es-ES"/>
        </w:rPr>
        <w:t>Artículos 30 al 36.</w:t>
      </w:r>
    </w:p>
    <w:p w14:paraId="2F76B34A" w14:textId="77777777" w:rsidR="00CC1C03" w:rsidRPr="008B0C98" w:rsidRDefault="00CC1C03" w:rsidP="00CC1C03">
      <w:pPr>
        <w:pStyle w:val="Textonotapie"/>
        <w:ind w:firstLine="709"/>
        <w:jc w:val="both"/>
        <w:rPr>
          <w:rFonts w:ascii="Arial" w:hAnsi="Arial" w:cs="Arial"/>
          <w:sz w:val="19"/>
          <w:szCs w:val="19"/>
          <w:lang w:val="es-ES"/>
        </w:rPr>
      </w:pPr>
    </w:p>
  </w:footnote>
  <w:footnote w:id="8">
    <w:p w14:paraId="77C8F552" w14:textId="77777777" w:rsidR="00CC1C03" w:rsidRPr="008F3511" w:rsidRDefault="00CC1C03" w:rsidP="00CC1C03">
      <w:pPr>
        <w:pStyle w:val="Textonotapie"/>
        <w:ind w:firstLine="709"/>
        <w:jc w:val="both"/>
        <w:rPr>
          <w:rFonts w:ascii="Arial" w:hAnsi="Arial" w:cs="Arial"/>
          <w:sz w:val="19"/>
          <w:szCs w:val="19"/>
          <w:lang w:val="es-ES"/>
        </w:rPr>
      </w:pPr>
      <w:r w:rsidRPr="008E5BA6">
        <w:rPr>
          <w:rStyle w:val="Refdenotaalpie"/>
          <w:rFonts w:ascii="Arial" w:hAnsi="Arial" w:cs="Arial"/>
          <w:sz w:val="19"/>
          <w:szCs w:val="19"/>
        </w:rPr>
        <w:footnoteRef/>
      </w:r>
      <w:r w:rsidRPr="008E5BA6">
        <w:rPr>
          <w:rFonts w:ascii="Arial" w:hAnsi="Arial" w:cs="Arial"/>
          <w:sz w:val="19"/>
          <w:szCs w:val="19"/>
        </w:rPr>
        <w:t xml:space="preserve"> </w:t>
      </w:r>
      <w:r w:rsidRPr="008E5BA6">
        <w:rPr>
          <w:rFonts w:ascii="Arial" w:hAnsi="Arial" w:cs="Arial"/>
          <w:sz w:val="19"/>
          <w:szCs w:val="19"/>
          <w:lang w:val="es-ES"/>
        </w:rPr>
        <w:t>Artículos 37 al 45.</w:t>
      </w:r>
    </w:p>
    <w:p w14:paraId="73784A04" w14:textId="77777777" w:rsidR="00CC1C03" w:rsidRPr="008B0C98" w:rsidRDefault="00CC1C03" w:rsidP="00CC1C03">
      <w:pPr>
        <w:pStyle w:val="Textonotapie"/>
        <w:ind w:firstLine="709"/>
        <w:jc w:val="both"/>
        <w:rPr>
          <w:rFonts w:ascii="Arial" w:hAnsi="Arial" w:cs="Arial"/>
          <w:sz w:val="19"/>
          <w:szCs w:val="19"/>
          <w:lang w:val="es-ES"/>
        </w:rPr>
      </w:pPr>
    </w:p>
  </w:footnote>
  <w:footnote w:id="9">
    <w:p w14:paraId="68BC65C6" w14:textId="77777777" w:rsidR="00CC1C03" w:rsidRPr="008F3511" w:rsidRDefault="00CC1C03" w:rsidP="00CC1C03">
      <w:pPr>
        <w:pStyle w:val="Textonotapie"/>
        <w:ind w:firstLine="709"/>
        <w:jc w:val="both"/>
        <w:rPr>
          <w:rFonts w:ascii="Arial" w:hAnsi="Arial" w:cs="Arial"/>
          <w:sz w:val="19"/>
          <w:szCs w:val="19"/>
          <w:lang w:val="es-ES"/>
        </w:rPr>
      </w:pPr>
      <w:r w:rsidRPr="008E5BA6">
        <w:rPr>
          <w:rStyle w:val="Refdenotaalpie"/>
          <w:rFonts w:ascii="Arial" w:hAnsi="Arial" w:cs="Arial"/>
          <w:sz w:val="19"/>
          <w:szCs w:val="19"/>
        </w:rPr>
        <w:footnoteRef/>
      </w:r>
      <w:r w:rsidRPr="008E5BA6">
        <w:rPr>
          <w:rFonts w:ascii="Arial" w:hAnsi="Arial" w:cs="Arial"/>
          <w:sz w:val="19"/>
          <w:szCs w:val="19"/>
        </w:rPr>
        <w:t xml:space="preserve"> </w:t>
      </w:r>
      <w:r w:rsidRPr="008E5BA6">
        <w:rPr>
          <w:rFonts w:ascii="Arial" w:hAnsi="Arial" w:cs="Arial"/>
          <w:sz w:val="19"/>
          <w:szCs w:val="19"/>
          <w:lang w:val="es-ES"/>
        </w:rPr>
        <w:t>Artículos 46 al 73.</w:t>
      </w:r>
    </w:p>
    <w:p w14:paraId="1E99538B" w14:textId="77777777" w:rsidR="00CC1C03" w:rsidRPr="008B0C98" w:rsidRDefault="00CC1C03" w:rsidP="00CC1C03">
      <w:pPr>
        <w:pStyle w:val="Textonotapie"/>
        <w:ind w:firstLine="709"/>
        <w:jc w:val="both"/>
        <w:rPr>
          <w:rFonts w:ascii="Arial" w:hAnsi="Arial" w:cs="Arial"/>
          <w:sz w:val="19"/>
          <w:szCs w:val="19"/>
          <w:lang w:val="es-ES"/>
        </w:rPr>
      </w:pPr>
    </w:p>
  </w:footnote>
  <w:footnote w:id="10">
    <w:p w14:paraId="7B26C393" w14:textId="77777777" w:rsidR="00CC1C03" w:rsidRPr="008F3511" w:rsidRDefault="00CC1C03" w:rsidP="00CC1C03">
      <w:pPr>
        <w:pStyle w:val="Textonotapie"/>
        <w:ind w:firstLine="709"/>
        <w:jc w:val="both"/>
        <w:rPr>
          <w:rFonts w:ascii="Arial" w:hAnsi="Arial" w:cs="Arial"/>
          <w:sz w:val="19"/>
          <w:szCs w:val="19"/>
          <w:lang w:val="es-ES"/>
        </w:rPr>
      </w:pPr>
      <w:r w:rsidRPr="008E5BA6">
        <w:rPr>
          <w:rStyle w:val="Refdenotaalpie"/>
          <w:rFonts w:ascii="Arial" w:hAnsi="Arial" w:cs="Arial"/>
          <w:sz w:val="19"/>
          <w:szCs w:val="19"/>
        </w:rPr>
        <w:footnoteRef/>
      </w:r>
      <w:r w:rsidRPr="008E5BA6">
        <w:rPr>
          <w:rFonts w:ascii="Arial" w:hAnsi="Arial" w:cs="Arial"/>
          <w:sz w:val="19"/>
          <w:szCs w:val="19"/>
        </w:rPr>
        <w:t xml:space="preserve"> </w:t>
      </w:r>
      <w:r w:rsidRPr="008E5BA6">
        <w:rPr>
          <w:rFonts w:ascii="Arial" w:hAnsi="Arial" w:cs="Arial"/>
          <w:sz w:val="19"/>
          <w:szCs w:val="19"/>
          <w:lang w:val="es-ES"/>
        </w:rPr>
        <w:t>Artículos 74 al 83.</w:t>
      </w:r>
    </w:p>
    <w:p w14:paraId="1929D491" w14:textId="77777777" w:rsidR="00CC1C03" w:rsidRPr="008B0C98" w:rsidRDefault="00CC1C03" w:rsidP="00CC1C03">
      <w:pPr>
        <w:pStyle w:val="Textonotapie"/>
        <w:ind w:firstLine="709"/>
        <w:jc w:val="both"/>
        <w:rPr>
          <w:rFonts w:ascii="Arial" w:hAnsi="Arial" w:cs="Arial"/>
          <w:sz w:val="19"/>
          <w:szCs w:val="19"/>
          <w:lang w:val="es-ES"/>
        </w:rPr>
      </w:pPr>
    </w:p>
  </w:footnote>
  <w:footnote w:id="11">
    <w:p w14:paraId="5C91C0FC" w14:textId="429E3698" w:rsidR="003E1E64" w:rsidRPr="008B0C98" w:rsidRDefault="00652F4D" w:rsidP="00263EC5">
      <w:pPr>
        <w:ind w:firstLine="709"/>
        <w:jc w:val="both"/>
        <w:rPr>
          <w:rFonts w:ascii="Arial" w:eastAsiaTheme="minorHAnsi" w:hAnsi="Arial" w:cs="Arial"/>
          <w:sz w:val="19"/>
          <w:szCs w:val="19"/>
          <w:lang w:val="es-MX" w:eastAsia="en-US"/>
        </w:rPr>
      </w:pPr>
      <w:r w:rsidRPr="008E5BA6">
        <w:rPr>
          <w:rStyle w:val="Refdenotaalpie"/>
          <w:rFonts w:ascii="Arial" w:hAnsi="Arial" w:cs="Arial"/>
          <w:sz w:val="19"/>
          <w:szCs w:val="19"/>
        </w:rPr>
        <w:footnoteRef/>
      </w:r>
      <w:r w:rsidRPr="008E5BA6">
        <w:rPr>
          <w:rFonts w:ascii="Arial" w:hAnsi="Arial" w:cs="Arial"/>
          <w:sz w:val="19"/>
          <w:szCs w:val="19"/>
        </w:rPr>
        <w:t xml:space="preserve"> </w:t>
      </w:r>
      <w:r w:rsidR="00EF0B6B" w:rsidRPr="008F3511">
        <w:rPr>
          <w:rFonts w:ascii="Arial" w:hAnsi="Arial" w:cs="Arial"/>
          <w:sz w:val="19"/>
          <w:szCs w:val="19"/>
        </w:rPr>
        <w:t xml:space="preserve">Esta norma dispone: </w:t>
      </w:r>
      <w:r w:rsidR="003E1E64" w:rsidRPr="008B0C98">
        <w:rPr>
          <w:rFonts w:ascii="Arial" w:hAnsi="Arial" w:cs="Arial"/>
          <w:sz w:val="19"/>
          <w:szCs w:val="19"/>
        </w:rPr>
        <w:t>«</w:t>
      </w:r>
      <w:r w:rsidR="003E1E64" w:rsidRPr="008B0C98">
        <w:rPr>
          <w:rFonts w:ascii="Arial" w:eastAsiaTheme="minorHAnsi" w:hAnsi="Arial" w:cs="Arial"/>
          <w:sz w:val="19"/>
          <w:szCs w:val="19"/>
          <w:lang w:val="es-MX" w:eastAsia="en-US"/>
        </w:rPr>
        <w:t>La nulidad absoluta puede y debe ser declarada por el juez, aún sin petición de parte, cuando aparezca de manifiesto en el acto o contrato; puede alegarse por todo el que tenga interés en ello; puede así mismo pedirse su declaración por el Ministerio Público en el interés de la moral o de la ley. Cuando no es generada por objeto o causa ilícitos, puede sanearse por la ratificación de las partes y en todo caso por prescripción extraordinaria».</w:t>
      </w:r>
    </w:p>
    <w:p w14:paraId="674D3F7F" w14:textId="5EA57E21" w:rsidR="00652F4D" w:rsidRPr="008B0C98" w:rsidRDefault="00652F4D" w:rsidP="00263EC5">
      <w:pPr>
        <w:pStyle w:val="Textonotapie"/>
        <w:ind w:firstLine="709"/>
        <w:jc w:val="both"/>
        <w:rPr>
          <w:rFonts w:ascii="Arial" w:hAnsi="Arial" w:cs="Arial"/>
          <w:sz w:val="19"/>
          <w:szCs w:val="19"/>
          <w:lang w:val="es-CO"/>
        </w:rPr>
      </w:pPr>
    </w:p>
  </w:footnote>
  <w:footnote w:id="12">
    <w:p w14:paraId="58D37C81" w14:textId="585AC675" w:rsidR="0050309C" w:rsidRPr="008B0C98" w:rsidRDefault="0050309C" w:rsidP="00263EC5">
      <w:pPr>
        <w:pStyle w:val="Textonotapie"/>
        <w:ind w:firstLine="709"/>
        <w:jc w:val="both"/>
        <w:rPr>
          <w:rFonts w:ascii="Arial" w:hAnsi="Arial" w:cs="Arial"/>
          <w:sz w:val="19"/>
          <w:szCs w:val="19"/>
          <w:lang w:val="es-ES"/>
        </w:rPr>
      </w:pPr>
      <w:r w:rsidRPr="008E5BA6">
        <w:rPr>
          <w:rStyle w:val="Refdenotaalpie"/>
          <w:rFonts w:ascii="Arial" w:hAnsi="Arial" w:cs="Arial"/>
          <w:sz w:val="19"/>
          <w:szCs w:val="19"/>
        </w:rPr>
        <w:footnoteRef/>
      </w:r>
      <w:r w:rsidRPr="008E5BA6">
        <w:rPr>
          <w:rFonts w:ascii="Arial" w:hAnsi="Arial" w:cs="Arial"/>
          <w:sz w:val="19"/>
          <w:szCs w:val="19"/>
        </w:rPr>
        <w:t xml:space="preserve"> </w:t>
      </w:r>
      <w:r w:rsidRPr="008F3511">
        <w:rPr>
          <w:rFonts w:ascii="Arial" w:hAnsi="Arial" w:cs="Arial"/>
          <w:sz w:val="19"/>
          <w:szCs w:val="19"/>
          <w:lang w:val="es-ES"/>
        </w:rPr>
        <w:t xml:space="preserve">En efecto, tal disposición establece: «Los contratos del Estado son absolutamente nulos en los casos </w:t>
      </w:r>
      <w:r w:rsidRPr="008B0C98">
        <w:rPr>
          <w:rFonts w:ascii="Arial" w:hAnsi="Arial" w:cs="Arial"/>
          <w:sz w:val="19"/>
          <w:szCs w:val="19"/>
          <w:lang w:val="es-ES"/>
        </w:rPr>
        <w:t>previstos en el derecho común y además cuando:</w:t>
      </w:r>
    </w:p>
    <w:p w14:paraId="43EBE663" w14:textId="6B2809AB" w:rsidR="0050309C" w:rsidRPr="008B0C98" w:rsidRDefault="0050309C" w:rsidP="00263EC5">
      <w:pPr>
        <w:pStyle w:val="Textonotapie"/>
        <w:ind w:firstLine="709"/>
        <w:jc w:val="both"/>
        <w:rPr>
          <w:rFonts w:ascii="Arial" w:hAnsi="Arial" w:cs="Arial"/>
          <w:sz w:val="19"/>
          <w:szCs w:val="19"/>
          <w:lang w:val="es-ES"/>
        </w:rPr>
      </w:pPr>
      <w:r w:rsidRPr="008B0C98">
        <w:rPr>
          <w:rFonts w:ascii="Arial" w:hAnsi="Arial" w:cs="Arial"/>
          <w:sz w:val="19"/>
          <w:szCs w:val="19"/>
          <w:lang w:val="es-ES"/>
        </w:rPr>
        <w:t>»1o. Se celebren con personas incursas en causales de inhabilidad o incompatibilidad previstas en la Constitución y la ley;</w:t>
      </w:r>
    </w:p>
    <w:p w14:paraId="24937808" w14:textId="7A07DCC7" w:rsidR="0050309C" w:rsidRPr="008B0C98" w:rsidRDefault="0050309C" w:rsidP="00263EC5">
      <w:pPr>
        <w:pStyle w:val="Textonotapie"/>
        <w:ind w:firstLine="709"/>
        <w:jc w:val="both"/>
        <w:rPr>
          <w:rFonts w:ascii="Arial" w:hAnsi="Arial" w:cs="Arial"/>
          <w:sz w:val="19"/>
          <w:szCs w:val="19"/>
          <w:lang w:val="es-ES"/>
        </w:rPr>
      </w:pPr>
      <w:r w:rsidRPr="008B0C98">
        <w:rPr>
          <w:rFonts w:ascii="Arial" w:hAnsi="Arial" w:cs="Arial"/>
          <w:sz w:val="19"/>
          <w:szCs w:val="19"/>
          <w:lang w:val="es-ES"/>
        </w:rPr>
        <w:t>»2o. Se celebren contra expresa prohibición constitucional o legal;</w:t>
      </w:r>
    </w:p>
    <w:p w14:paraId="20A170C6" w14:textId="1AADC1A5" w:rsidR="0050309C" w:rsidRPr="008B0C98" w:rsidRDefault="0050309C" w:rsidP="00263EC5">
      <w:pPr>
        <w:pStyle w:val="Textonotapie"/>
        <w:ind w:firstLine="709"/>
        <w:jc w:val="both"/>
        <w:rPr>
          <w:rFonts w:ascii="Arial" w:hAnsi="Arial" w:cs="Arial"/>
          <w:sz w:val="19"/>
          <w:szCs w:val="19"/>
          <w:lang w:val="es-ES"/>
        </w:rPr>
      </w:pPr>
      <w:r w:rsidRPr="008B0C98">
        <w:rPr>
          <w:rFonts w:ascii="Arial" w:hAnsi="Arial" w:cs="Arial"/>
          <w:sz w:val="19"/>
          <w:szCs w:val="19"/>
          <w:lang w:val="es-ES"/>
        </w:rPr>
        <w:t>»3o. Se celebren con abuso o desviación de poder;</w:t>
      </w:r>
    </w:p>
    <w:p w14:paraId="23C0C6CC" w14:textId="2C617703" w:rsidR="0050309C" w:rsidRPr="008B0C98" w:rsidRDefault="00816515" w:rsidP="00263EC5">
      <w:pPr>
        <w:pStyle w:val="Textonotapie"/>
        <w:ind w:firstLine="709"/>
        <w:jc w:val="both"/>
        <w:rPr>
          <w:rFonts w:ascii="Arial" w:hAnsi="Arial" w:cs="Arial"/>
          <w:sz w:val="19"/>
          <w:szCs w:val="19"/>
          <w:lang w:val="es-ES"/>
        </w:rPr>
      </w:pPr>
      <w:r w:rsidRPr="008B0C98">
        <w:rPr>
          <w:rFonts w:ascii="Arial" w:hAnsi="Arial" w:cs="Arial"/>
          <w:sz w:val="19"/>
          <w:szCs w:val="19"/>
          <w:lang w:val="es-ES"/>
        </w:rPr>
        <w:t>»</w:t>
      </w:r>
      <w:r w:rsidR="0050309C" w:rsidRPr="008B0C98">
        <w:rPr>
          <w:rFonts w:ascii="Arial" w:hAnsi="Arial" w:cs="Arial"/>
          <w:sz w:val="19"/>
          <w:szCs w:val="19"/>
          <w:lang w:val="es-ES"/>
        </w:rPr>
        <w:t>4o. Se declaren nulos los actos administrativos en que se fundamenten; y</w:t>
      </w:r>
    </w:p>
    <w:p w14:paraId="3FDBE7AB" w14:textId="79CEFF42" w:rsidR="0050309C" w:rsidRPr="008B0C98" w:rsidRDefault="00816515" w:rsidP="00263EC5">
      <w:pPr>
        <w:pStyle w:val="Textonotapie"/>
        <w:ind w:firstLine="709"/>
        <w:jc w:val="both"/>
        <w:rPr>
          <w:rFonts w:ascii="Arial" w:hAnsi="Arial" w:cs="Arial"/>
          <w:sz w:val="19"/>
          <w:szCs w:val="19"/>
          <w:lang w:val="es-ES"/>
        </w:rPr>
      </w:pPr>
      <w:r w:rsidRPr="008B0C98">
        <w:rPr>
          <w:rFonts w:ascii="Arial" w:hAnsi="Arial" w:cs="Arial"/>
          <w:sz w:val="19"/>
          <w:szCs w:val="19"/>
          <w:lang w:val="es-ES"/>
        </w:rPr>
        <w:t>»</w:t>
      </w:r>
      <w:r w:rsidR="0050309C" w:rsidRPr="008B0C98">
        <w:rPr>
          <w:rFonts w:ascii="Arial" w:hAnsi="Arial" w:cs="Arial"/>
          <w:sz w:val="19"/>
          <w:szCs w:val="19"/>
          <w:lang w:val="es-ES"/>
        </w:rPr>
        <w:t>5o. Se hubieren celebrado con desconocimiento de los criterios previstos en el artículo 21 sobre tratamiento de ofertas nacionales y extranjeras o con violación de la reciprocidad de que trata esta ley</w:t>
      </w:r>
      <w:r w:rsidRPr="008B0C98">
        <w:rPr>
          <w:rFonts w:ascii="Arial" w:hAnsi="Arial" w:cs="Arial"/>
          <w:sz w:val="19"/>
          <w:szCs w:val="19"/>
          <w:lang w:val="es-ES"/>
        </w:rPr>
        <w:t>»</w:t>
      </w:r>
      <w:r w:rsidR="0050309C" w:rsidRPr="008B0C98">
        <w:rPr>
          <w:rFonts w:ascii="Arial" w:hAnsi="Arial" w:cs="Arial"/>
          <w:sz w:val="19"/>
          <w:szCs w:val="19"/>
          <w:lang w:val="es-ES"/>
        </w:rPr>
        <w:t>.</w:t>
      </w:r>
    </w:p>
  </w:footnote>
  <w:footnote w:id="13">
    <w:p w14:paraId="0A2EBE07" w14:textId="77777777" w:rsidR="00A201DB" w:rsidRPr="008B0C98" w:rsidRDefault="00A201DB" w:rsidP="00263EC5">
      <w:pPr>
        <w:pStyle w:val="Textonotapie"/>
        <w:ind w:firstLine="709"/>
        <w:jc w:val="both"/>
        <w:rPr>
          <w:rFonts w:ascii="Arial" w:hAnsi="Arial" w:cs="Arial"/>
          <w:sz w:val="19"/>
          <w:szCs w:val="19"/>
        </w:rPr>
      </w:pPr>
    </w:p>
    <w:p w14:paraId="7393E0AA" w14:textId="5730E785" w:rsidR="005B0293" w:rsidRPr="008B0C98" w:rsidRDefault="005B0293" w:rsidP="00263EC5">
      <w:pPr>
        <w:pStyle w:val="Textonotapie"/>
        <w:ind w:firstLine="709"/>
        <w:jc w:val="both"/>
        <w:rPr>
          <w:rFonts w:ascii="Arial" w:hAnsi="Arial" w:cs="Arial"/>
          <w:sz w:val="19"/>
          <w:szCs w:val="19"/>
          <w:lang w:val="es-ES"/>
        </w:rPr>
      </w:pPr>
      <w:r w:rsidRPr="008E5BA6">
        <w:rPr>
          <w:rStyle w:val="Refdenotaalpie"/>
          <w:rFonts w:ascii="Arial" w:hAnsi="Arial" w:cs="Arial"/>
          <w:sz w:val="19"/>
          <w:szCs w:val="19"/>
        </w:rPr>
        <w:footnoteRef/>
      </w:r>
      <w:r w:rsidRPr="008E5BA6">
        <w:rPr>
          <w:rFonts w:ascii="Arial" w:hAnsi="Arial" w:cs="Arial"/>
          <w:sz w:val="19"/>
          <w:szCs w:val="19"/>
        </w:rPr>
        <w:t xml:space="preserve"> </w:t>
      </w:r>
      <w:r w:rsidRPr="008F3511">
        <w:rPr>
          <w:rFonts w:ascii="Arial" w:hAnsi="Arial" w:cs="Arial"/>
          <w:sz w:val="19"/>
          <w:szCs w:val="19"/>
          <w:lang w:val="es-ES"/>
        </w:rPr>
        <w:t>Consejo de Estado. Sección Tercera. Subsección B. Sentencia</w:t>
      </w:r>
      <w:r w:rsidR="00633D6C" w:rsidRPr="008F3511">
        <w:rPr>
          <w:rFonts w:ascii="Arial" w:hAnsi="Arial" w:cs="Arial"/>
          <w:sz w:val="19"/>
          <w:szCs w:val="19"/>
          <w:lang w:val="es-ES"/>
        </w:rPr>
        <w:t xml:space="preserve"> del 27 de marzo de 2014. Consejero Ponente: Ramiro de Jesús Pazos Guerrero. Expediente: </w:t>
      </w:r>
      <w:r w:rsidR="00F663DD" w:rsidRPr="008B0C98">
        <w:rPr>
          <w:rFonts w:ascii="Arial" w:hAnsi="Arial" w:cs="Arial"/>
          <w:sz w:val="19"/>
          <w:szCs w:val="19"/>
          <w:lang w:val="es-ES"/>
        </w:rPr>
        <w:t>27.453.</w:t>
      </w:r>
    </w:p>
    <w:p w14:paraId="49D073F8" w14:textId="77777777" w:rsidR="00F663DD" w:rsidRPr="008B0C98" w:rsidRDefault="00F663DD" w:rsidP="00263EC5">
      <w:pPr>
        <w:pStyle w:val="Textonotapie"/>
        <w:ind w:firstLine="709"/>
        <w:jc w:val="both"/>
        <w:rPr>
          <w:rFonts w:ascii="Arial" w:hAnsi="Arial" w:cs="Arial"/>
          <w:sz w:val="19"/>
          <w:szCs w:val="19"/>
          <w:lang w:val="es-ES"/>
        </w:rPr>
      </w:pPr>
    </w:p>
  </w:footnote>
  <w:footnote w:id="14">
    <w:p w14:paraId="2E3779CE" w14:textId="5BEF3156" w:rsidR="00B92871" w:rsidRPr="008F3511" w:rsidRDefault="00B92871" w:rsidP="00263EC5">
      <w:pPr>
        <w:pStyle w:val="Textonotapie"/>
        <w:ind w:firstLine="709"/>
        <w:jc w:val="both"/>
        <w:rPr>
          <w:rFonts w:ascii="Arial" w:hAnsi="Arial" w:cs="Arial"/>
          <w:sz w:val="19"/>
          <w:szCs w:val="19"/>
          <w:lang w:val="es-ES"/>
        </w:rPr>
      </w:pPr>
      <w:r w:rsidRPr="008E5BA6">
        <w:rPr>
          <w:rStyle w:val="Refdenotaalpie"/>
          <w:rFonts w:ascii="Arial" w:hAnsi="Arial" w:cs="Arial"/>
          <w:sz w:val="19"/>
          <w:szCs w:val="19"/>
        </w:rPr>
        <w:footnoteRef/>
      </w:r>
      <w:r w:rsidRPr="008E5BA6">
        <w:rPr>
          <w:rFonts w:ascii="Arial" w:hAnsi="Arial" w:cs="Arial"/>
          <w:sz w:val="19"/>
          <w:szCs w:val="19"/>
        </w:rPr>
        <w:t xml:space="preserve"> </w:t>
      </w:r>
      <w:r w:rsidR="00F663DD" w:rsidRPr="008F3511">
        <w:rPr>
          <w:rFonts w:ascii="Arial" w:hAnsi="Arial" w:cs="Arial"/>
          <w:sz w:val="19"/>
          <w:szCs w:val="19"/>
        </w:rPr>
        <w:t>Ibíd.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0770B" w14:textId="1A2BB94C" w:rsidR="008F4163" w:rsidRDefault="008F4163">
    <w:pPr>
      <w:pStyle w:val="Encabezado"/>
    </w:pPr>
    <w:r>
      <w:rPr>
        <w:noProof/>
        <w:lang w:val="es-ES_tradnl" w:eastAsia="es-ES_tradnl"/>
      </w:rPr>
      <w:drawing>
        <wp:anchor distT="0" distB="0" distL="114300" distR="114300" simplePos="0" relativeHeight="251658240"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0442D24"/>
    <w:multiLevelType w:val="multilevel"/>
    <w:tmpl w:val="B41AF78C"/>
    <w:lvl w:ilvl="0">
      <w:start w:val="1"/>
      <w:numFmt w:val="decimal"/>
      <w:lvlText w:val="%1."/>
      <w:lvlJc w:val="left"/>
      <w:pPr>
        <w:ind w:left="360" w:hanging="360"/>
      </w:pPr>
      <w:rPr>
        <w:color w:val="auto"/>
        <w:sz w:val="20"/>
        <w:szCs w:val="20"/>
      </w:rPr>
    </w:lvl>
    <w:lvl w:ilvl="1">
      <w:start w:val="1"/>
      <w:numFmt w:val="decimal"/>
      <w:lvlText w:val="3.%2."/>
      <w:lvlJc w:val="left"/>
      <w:pPr>
        <w:ind w:left="1004" w:hanging="720"/>
      </w:pPr>
      <w:rPr>
        <w:b/>
        <w:i w:val="0"/>
        <w:color w:val="000000"/>
      </w:rPr>
    </w:lvl>
    <w:lvl w:ilvl="2">
      <w:start w:val="1"/>
      <w:numFmt w:val="decimal"/>
      <w:lvlText w:val="4.1.%3."/>
      <w:lvlJc w:val="left"/>
      <w:pPr>
        <w:ind w:left="964" w:hanging="624"/>
      </w:pPr>
      <w:rPr>
        <w:b/>
        <w:i w:val="0"/>
      </w:rPr>
    </w:lvl>
    <w:lvl w:ilvl="3">
      <w:start w:val="1"/>
      <w:numFmt w:val="decimal"/>
      <w:lvlText w:val="%1.%2.%3.%4."/>
      <w:lvlJc w:val="left"/>
      <w:pPr>
        <w:ind w:left="1080" w:hanging="1080"/>
      </w:pPr>
      <w:rPr>
        <w:b/>
      </w:r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 w15:restartNumberingAfterBreak="0">
    <w:nsid w:val="17E60FA7"/>
    <w:multiLevelType w:val="hybridMultilevel"/>
    <w:tmpl w:val="DD2C679A"/>
    <w:lvl w:ilvl="0" w:tplc="6010BCE2">
      <w:start w:val="1"/>
      <w:numFmt w:val="lowerRoman"/>
      <w:lvlText w:val="%1)"/>
      <w:lvlJc w:val="left"/>
      <w:pPr>
        <w:ind w:left="1425" w:hanging="720"/>
      </w:pPr>
      <w:rPr>
        <w:rFonts w:hint="default"/>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3" w15:restartNumberingAfterBreak="0">
    <w:nsid w:val="1D712575"/>
    <w:multiLevelType w:val="multilevel"/>
    <w:tmpl w:val="7D6622D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D9E6E3F"/>
    <w:multiLevelType w:val="hybridMultilevel"/>
    <w:tmpl w:val="854EA874"/>
    <w:lvl w:ilvl="0" w:tplc="1AD6EBD2">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22A53DDF"/>
    <w:multiLevelType w:val="multilevel"/>
    <w:tmpl w:val="A99C5180"/>
    <w:lvl w:ilvl="0">
      <w:start w:val="1"/>
      <w:numFmt w:val="decimal"/>
      <w:lvlText w:val="%1."/>
      <w:lvlJc w:val="left"/>
      <w:pPr>
        <w:ind w:left="660" w:hanging="360"/>
      </w:pPr>
      <w:rPr>
        <w:rFonts w:ascii="Arial" w:eastAsia="Arial" w:hAnsi="Arial" w:cs="Arial" w:hint="default"/>
        <w:b/>
        <w:bCs/>
        <w:color w:val="auto"/>
        <w:spacing w:val="-8"/>
        <w:w w:val="100"/>
        <w:sz w:val="22"/>
        <w:szCs w:val="22"/>
        <w:lang w:val="es-ES" w:eastAsia="en-US" w:bidi="ar-SA"/>
      </w:rPr>
    </w:lvl>
    <w:lvl w:ilvl="1">
      <w:start w:val="1"/>
      <w:numFmt w:val="decimal"/>
      <w:lvlText w:val="%1.%2"/>
      <w:lvlJc w:val="left"/>
      <w:pPr>
        <w:ind w:left="665" w:hanging="365"/>
      </w:pPr>
      <w:rPr>
        <w:rFonts w:ascii="Arial" w:eastAsia="Arial" w:hAnsi="Arial" w:cs="Arial" w:hint="default"/>
        <w:b/>
        <w:bCs/>
        <w:color w:val="auto"/>
        <w:spacing w:val="-1"/>
        <w:w w:val="100"/>
        <w:sz w:val="22"/>
        <w:szCs w:val="22"/>
        <w:lang w:val="es-ES" w:eastAsia="en-US" w:bidi="ar-SA"/>
      </w:rPr>
    </w:lvl>
    <w:lvl w:ilvl="2">
      <w:start w:val="1"/>
      <w:numFmt w:val="decimal"/>
      <w:lvlText w:val="%3)"/>
      <w:lvlJc w:val="left"/>
      <w:pPr>
        <w:ind w:left="1008" w:hanging="265"/>
      </w:pPr>
      <w:rPr>
        <w:rFonts w:ascii="Arial" w:eastAsia="Arial" w:hAnsi="Arial" w:cs="Arial" w:hint="default"/>
        <w:color w:val="auto"/>
        <w:w w:val="100"/>
        <w:sz w:val="21"/>
        <w:szCs w:val="21"/>
        <w:lang w:val="es-ES" w:eastAsia="en-US" w:bidi="ar-SA"/>
      </w:rPr>
    </w:lvl>
    <w:lvl w:ilvl="3">
      <w:numFmt w:val="bullet"/>
      <w:lvlText w:val="•"/>
      <w:lvlJc w:val="left"/>
      <w:pPr>
        <w:ind w:left="2853" w:hanging="265"/>
      </w:pPr>
      <w:rPr>
        <w:rFonts w:hint="default"/>
        <w:lang w:val="es-ES" w:eastAsia="en-US" w:bidi="ar-SA"/>
      </w:rPr>
    </w:lvl>
    <w:lvl w:ilvl="4">
      <w:numFmt w:val="bullet"/>
      <w:lvlText w:val="•"/>
      <w:lvlJc w:val="left"/>
      <w:pPr>
        <w:ind w:left="3780" w:hanging="265"/>
      </w:pPr>
      <w:rPr>
        <w:rFonts w:hint="default"/>
        <w:lang w:val="es-ES" w:eastAsia="en-US" w:bidi="ar-SA"/>
      </w:rPr>
    </w:lvl>
    <w:lvl w:ilvl="5">
      <w:numFmt w:val="bullet"/>
      <w:lvlText w:val="•"/>
      <w:lvlJc w:val="left"/>
      <w:pPr>
        <w:ind w:left="4706" w:hanging="265"/>
      </w:pPr>
      <w:rPr>
        <w:rFonts w:hint="default"/>
        <w:lang w:val="es-ES" w:eastAsia="en-US" w:bidi="ar-SA"/>
      </w:rPr>
    </w:lvl>
    <w:lvl w:ilvl="6">
      <w:numFmt w:val="bullet"/>
      <w:lvlText w:val="•"/>
      <w:lvlJc w:val="left"/>
      <w:pPr>
        <w:ind w:left="5633" w:hanging="265"/>
      </w:pPr>
      <w:rPr>
        <w:rFonts w:hint="default"/>
        <w:lang w:val="es-ES" w:eastAsia="en-US" w:bidi="ar-SA"/>
      </w:rPr>
    </w:lvl>
    <w:lvl w:ilvl="7">
      <w:numFmt w:val="bullet"/>
      <w:lvlText w:val="•"/>
      <w:lvlJc w:val="left"/>
      <w:pPr>
        <w:ind w:left="6560" w:hanging="265"/>
      </w:pPr>
      <w:rPr>
        <w:rFonts w:hint="default"/>
        <w:lang w:val="es-ES" w:eastAsia="en-US" w:bidi="ar-SA"/>
      </w:rPr>
    </w:lvl>
    <w:lvl w:ilvl="8">
      <w:numFmt w:val="bullet"/>
      <w:lvlText w:val="•"/>
      <w:lvlJc w:val="left"/>
      <w:pPr>
        <w:ind w:left="7486" w:hanging="265"/>
      </w:pPr>
      <w:rPr>
        <w:rFonts w:hint="default"/>
        <w:lang w:val="es-ES" w:eastAsia="en-US" w:bidi="ar-SA"/>
      </w:rPr>
    </w:lvl>
  </w:abstractNum>
  <w:abstractNum w:abstractNumId="6" w15:restartNumberingAfterBreak="0">
    <w:nsid w:val="2D96052C"/>
    <w:multiLevelType w:val="hybridMultilevel"/>
    <w:tmpl w:val="ACA0114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31931E03"/>
    <w:multiLevelType w:val="multilevel"/>
    <w:tmpl w:val="288C117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3BD52C5D"/>
    <w:multiLevelType w:val="multilevel"/>
    <w:tmpl w:val="8318A86A"/>
    <w:lvl w:ilvl="0">
      <w:start w:val="1"/>
      <w:numFmt w:val="decimal"/>
      <w:lvlText w:val="%1."/>
      <w:lvlJc w:val="left"/>
      <w:pPr>
        <w:ind w:left="360" w:hanging="360"/>
      </w:pPr>
      <w:rPr>
        <w:b/>
        <w:color w:val="4E4D4D"/>
      </w:rPr>
    </w:lvl>
    <w:lvl w:ilvl="1">
      <w:start w:val="1"/>
      <w:numFmt w:val="decimal"/>
      <w:isLgl/>
      <w:lvlText w:val="%1.%2"/>
      <w:lvlJc w:val="left"/>
      <w:pPr>
        <w:ind w:left="360" w:hanging="360"/>
      </w:pPr>
      <w:rPr>
        <w:b/>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1" w15:restartNumberingAfterBreak="0">
    <w:nsid w:val="424D462B"/>
    <w:multiLevelType w:val="multilevel"/>
    <w:tmpl w:val="24320A3A"/>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15:restartNumberingAfterBreak="0">
    <w:nsid w:val="4923772D"/>
    <w:multiLevelType w:val="hybridMultilevel"/>
    <w:tmpl w:val="98544144"/>
    <w:lvl w:ilvl="0" w:tplc="E0583348">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 w15:restartNumberingAfterBreak="0">
    <w:nsid w:val="51F2084E"/>
    <w:multiLevelType w:val="multilevel"/>
    <w:tmpl w:val="6C4AF5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6" w15:restartNumberingAfterBreak="0">
    <w:nsid w:val="597D4B97"/>
    <w:multiLevelType w:val="multilevel"/>
    <w:tmpl w:val="576C4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8" w15:restartNumberingAfterBreak="0">
    <w:nsid w:val="68FA17E7"/>
    <w:multiLevelType w:val="multilevel"/>
    <w:tmpl w:val="5768BC5E"/>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19"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0" w15:restartNumberingAfterBreak="0">
    <w:nsid w:val="70C9241D"/>
    <w:multiLevelType w:val="hybridMultilevel"/>
    <w:tmpl w:val="B0B487B8"/>
    <w:lvl w:ilvl="0" w:tplc="AAC4AE08">
      <w:start w:val="1"/>
      <w:numFmt w:val="lowerRoman"/>
      <w:lvlText w:val="%1."/>
      <w:lvlJc w:val="right"/>
      <w:pPr>
        <w:ind w:left="1429" w:hanging="360"/>
      </w:pPr>
      <w:rPr>
        <w:rFonts w:ascii="Arial" w:eastAsia="Calibri" w:hAnsi="Arial" w:cs="Arial"/>
      </w:rPr>
    </w:lvl>
    <w:lvl w:ilvl="1" w:tplc="040A0019" w:tentative="1">
      <w:start w:val="1"/>
      <w:numFmt w:val="lowerLetter"/>
      <w:lvlText w:val="%2."/>
      <w:lvlJc w:val="left"/>
      <w:pPr>
        <w:ind w:left="2149" w:hanging="360"/>
      </w:pPr>
    </w:lvl>
    <w:lvl w:ilvl="2" w:tplc="040A001B" w:tentative="1">
      <w:start w:val="1"/>
      <w:numFmt w:val="lowerRoman"/>
      <w:lvlText w:val="%3."/>
      <w:lvlJc w:val="right"/>
      <w:pPr>
        <w:ind w:left="2869" w:hanging="180"/>
      </w:pPr>
    </w:lvl>
    <w:lvl w:ilvl="3" w:tplc="040A000F" w:tentative="1">
      <w:start w:val="1"/>
      <w:numFmt w:val="decimal"/>
      <w:lvlText w:val="%4."/>
      <w:lvlJc w:val="left"/>
      <w:pPr>
        <w:ind w:left="3589" w:hanging="360"/>
      </w:pPr>
    </w:lvl>
    <w:lvl w:ilvl="4" w:tplc="040A0019" w:tentative="1">
      <w:start w:val="1"/>
      <w:numFmt w:val="lowerLetter"/>
      <w:lvlText w:val="%5."/>
      <w:lvlJc w:val="left"/>
      <w:pPr>
        <w:ind w:left="4309" w:hanging="360"/>
      </w:pPr>
    </w:lvl>
    <w:lvl w:ilvl="5" w:tplc="040A001B" w:tentative="1">
      <w:start w:val="1"/>
      <w:numFmt w:val="lowerRoman"/>
      <w:lvlText w:val="%6."/>
      <w:lvlJc w:val="right"/>
      <w:pPr>
        <w:ind w:left="5029" w:hanging="180"/>
      </w:pPr>
    </w:lvl>
    <w:lvl w:ilvl="6" w:tplc="040A000F" w:tentative="1">
      <w:start w:val="1"/>
      <w:numFmt w:val="decimal"/>
      <w:lvlText w:val="%7."/>
      <w:lvlJc w:val="left"/>
      <w:pPr>
        <w:ind w:left="5749" w:hanging="360"/>
      </w:pPr>
    </w:lvl>
    <w:lvl w:ilvl="7" w:tplc="040A0019" w:tentative="1">
      <w:start w:val="1"/>
      <w:numFmt w:val="lowerLetter"/>
      <w:lvlText w:val="%8."/>
      <w:lvlJc w:val="left"/>
      <w:pPr>
        <w:ind w:left="6469" w:hanging="360"/>
      </w:pPr>
    </w:lvl>
    <w:lvl w:ilvl="8" w:tplc="040A001B" w:tentative="1">
      <w:start w:val="1"/>
      <w:numFmt w:val="lowerRoman"/>
      <w:lvlText w:val="%9."/>
      <w:lvlJc w:val="right"/>
      <w:pPr>
        <w:ind w:left="7189" w:hanging="180"/>
      </w:pPr>
    </w:lvl>
  </w:abstractNum>
  <w:abstractNum w:abstractNumId="21" w15:restartNumberingAfterBreak="0">
    <w:nsid w:val="72FA202B"/>
    <w:multiLevelType w:val="hybridMultilevel"/>
    <w:tmpl w:val="510EE350"/>
    <w:lvl w:ilvl="0" w:tplc="EBCEC2A2">
      <w:start w:val="232"/>
      <w:numFmt w:val="bullet"/>
      <w:lvlText w:val="-"/>
      <w:lvlJc w:val="left"/>
      <w:pPr>
        <w:ind w:left="720" w:hanging="360"/>
      </w:pPr>
      <w:rPr>
        <w:rFonts w:ascii="Arial" w:eastAsiaTheme="minorHAnsi" w:hAnsi="Arial" w:cs="Aria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22" w15:restartNumberingAfterBreak="0">
    <w:nsid w:val="736A0777"/>
    <w:multiLevelType w:val="multilevel"/>
    <w:tmpl w:val="510EE350"/>
    <w:lvl w:ilvl="0">
      <w:start w:val="232"/>
      <w:numFmt w:val="bullet"/>
      <w:lvlText w:val="-"/>
      <w:lvlJc w:val="left"/>
      <w:pPr>
        <w:ind w:left="720" w:hanging="360"/>
      </w:pPr>
      <w:rPr>
        <w:rFonts w:ascii="Arial" w:eastAsiaTheme="minorHAnsi"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3" w15:restartNumberingAfterBreak="0">
    <w:nsid w:val="7CCD0A55"/>
    <w:multiLevelType w:val="multilevel"/>
    <w:tmpl w:val="25463362"/>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abstractNumId w:val="9"/>
  </w:num>
  <w:num w:numId="2">
    <w:abstractNumId w:val="7"/>
  </w:num>
  <w:num w:numId="3">
    <w:abstractNumId w:val="12"/>
  </w:num>
  <w:num w:numId="4">
    <w:abstractNumId w:val="15"/>
  </w:num>
  <w:num w:numId="5">
    <w:abstractNumId w:val="19"/>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7"/>
  </w:num>
  <w:num w:numId="8">
    <w:abstractNumId w:val="0"/>
  </w:num>
  <w:num w:numId="9">
    <w:abstractNumId w:val="3"/>
  </w:num>
  <w:num w:numId="1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8"/>
  </w:num>
  <w:num w:numId="13">
    <w:abstractNumId w:val="11"/>
  </w:num>
  <w:num w:numId="14">
    <w:abstractNumId w:val="6"/>
  </w:num>
  <w:num w:numId="15">
    <w:abstractNumId w:val="1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1"/>
  </w:num>
  <w:num w:numId="18">
    <w:abstractNumId w:val="13"/>
  </w:num>
  <w:num w:numId="19">
    <w:abstractNumId w:val="2"/>
  </w:num>
  <w:num w:numId="20">
    <w:abstractNumId w:val="22"/>
  </w:num>
  <w:num w:numId="21">
    <w:abstractNumId w:val="14"/>
  </w:num>
  <w:num w:numId="22">
    <w:abstractNumId w:val="5"/>
  </w:num>
  <w:num w:numId="23">
    <w:abstractNumId w:val="4"/>
  </w:num>
  <w:num w:numId="24">
    <w:abstractNumId w:val="20"/>
  </w:num>
  <w:num w:numId="2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3"/>
  <w:proofState w:spelling="clean" w:grammar="clean"/>
  <w:attachedTemplate r:id="rId1"/>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559"/>
    <w:rsid w:val="0000162E"/>
    <w:rsid w:val="00001A1C"/>
    <w:rsid w:val="00001FFD"/>
    <w:rsid w:val="00002027"/>
    <w:rsid w:val="000020FE"/>
    <w:rsid w:val="00002173"/>
    <w:rsid w:val="000031A8"/>
    <w:rsid w:val="00003C5C"/>
    <w:rsid w:val="00003D39"/>
    <w:rsid w:val="000040D7"/>
    <w:rsid w:val="0000433A"/>
    <w:rsid w:val="00004556"/>
    <w:rsid w:val="000051AF"/>
    <w:rsid w:val="000059D3"/>
    <w:rsid w:val="00005B6D"/>
    <w:rsid w:val="0000600A"/>
    <w:rsid w:val="00006081"/>
    <w:rsid w:val="00007750"/>
    <w:rsid w:val="000077FD"/>
    <w:rsid w:val="00007E37"/>
    <w:rsid w:val="00010C40"/>
    <w:rsid w:val="000112B4"/>
    <w:rsid w:val="00011DCC"/>
    <w:rsid w:val="00012532"/>
    <w:rsid w:val="00012B9E"/>
    <w:rsid w:val="00012F37"/>
    <w:rsid w:val="00012FBA"/>
    <w:rsid w:val="00013875"/>
    <w:rsid w:val="00013C6B"/>
    <w:rsid w:val="0001406B"/>
    <w:rsid w:val="000143F8"/>
    <w:rsid w:val="00014624"/>
    <w:rsid w:val="00015B44"/>
    <w:rsid w:val="00016081"/>
    <w:rsid w:val="000165AC"/>
    <w:rsid w:val="00016651"/>
    <w:rsid w:val="000171A2"/>
    <w:rsid w:val="00017B65"/>
    <w:rsid w:val="00020158"/>
    <w:rsid w:val="000207E0"/>
    <w:rsid w:val="000209E2"/>
    <w:rsid w:val="00020B09"/>
    <w:rsid w:val="00020F8F"/>
    <w:rsid w:val="00021A95"/>
    <w:rsid w:val="00021C8A"/>
    <w:rsid w:val="0002256F"/>
    <w:rsid w:val="00022FD5"/>
    <w:rsid w:val="00023DAE"/>
    <w:rsid w:val="00023FC9"/>
    <w:rsid w:val="00024896"/>
    <w:rsid w:val="000255FA"/>
    <w:rsid w:val="00025D0A"/>
    <w:rsid w:val="00025D7D"/>
    <w:rsid w:val="000263F0"/>
    <w:rsid w:val="00026407"/>
    <w:rsid w:val="00026608"/>
    <w:rsid w:val="0002702E"/>
    <w:rsid w:val="00027787"/>
    <w:rsid w:val="000278D2"/>
    <w:rsid w:val="00030DFB"/>
    <w:rsid w:val="00031011"/>
    <w:rsid w:val="00031364"/>
    <w:rsid w:val="000315E1"/>
    <w:rsid w:val="0003236E"/>
    <w:rsid w:val="0003339A"/>
    <w:rsid w:val="000341F2"/>
    <w:rsid w:val="00035046"/>
    <w:rsid w:val="000351F2"/>
    <w:rsid w:val="00035768"/>
    <w:rsid w:val="00035A1B"/>
    <w:rsid w:val="00036E03"/>
    <w:rsid w:val="000406DB"/>
    <w:rsid w:val="0004094D"/>
    <w:rsid w:val="00041029"/>
    <w:rsid w:val="00041357"/>
    <w:rsid w:val="0004149B"/>
    <w:rsid w:val="00041FC6"/>
    <w:rsid w:val="000422EA"/>
    <w:rsid w:val="00042746"/>
    <w:rsid w:val="00042961"/>
    <w:rsid w:val="00042C25"/>
    <w:rsid w:val="00042D03"/>
    <w:rsid w:val="00043086"/>
    <w:rsid w:val="000430A0"/>
    <w:rsid w:val="00043D3B"/>
    <w:rsid w:val="0004418C"/>
    <w:rsid w:val="00044204"/>
    <w:rsid w:val="0004477A"/>
    <w:rsid w:val="000449D4"/>
    <w:rsid w:val="000450D0"/>
    <w:rsid w:val="0004600D"/>
    <w:rsid w:val="000463B5"/>
    <w:rsid w:val="00046717"/>
    <w:rsid w:val="00046A63"/>
    <w:rsid w:val="00046C09"/>
    <w:rsid w:val="00046C0A"/>
    <w:rsid w:val="0004716A"/>
    <w:rsid w:val="00047385"/>
    <w:rsid w:val="000473E8"/>
    <w:rsid w:val="000504DE"/>
    <w:rsid w:val="00050A89"/>
    <w:rsid w:val="00051074"/>
    <w:rsid w:val="000526F0"/>
    <w:rsid w:val="0005273D"/>
    <w:rsid w:val="00052826"/>
    <w:rsid w:val="00052B79"/>
    <w:rsid w:val="00052E4B"/>
    <w:rsid w:val="00052EA0"/>
    <w:rsid w:val="000536A7"/>
    <w:rsid w:val="000536E3"/>
    <w:rsid w:val="00053896"/>
    <w:rsid w:val="00053A00"/>
    <w:rsid w:val="0005474D"/>
    <w:rsid w:val="00055CB9"/>
    <w:rsid w:val="00056F66"/>
    <w:rsid w:val="0005702F"/>
    <w:rsid w:val="00060569"/>
    <w:rsid w:val="0006088D"/>
    <w:rsid w:val="00061010"/>
    <w:rsid w:val="00061D06"/>
    <w:rsid w:val="00062CDD"/>
    <w:rsid w:val="00062DB3"/>
    <w:rsid w:val="00063472"/>
    <w:rsid w:val="000640AF"/>
    <w:rsid w:val="00064940"/>
    <w:rsid w:val="00064CAE"/>
    <w:rsid w:val="00064D4F"/>
    <w:rsid w:val="00064DB7"/>
    <w:rsid w:val="00064FA7"/>
    <w:rsid w:val="00065195"/>
    <w:rsid w:val="0006536C"/>
    <w:rsid w:val="0006626E"/>
    <w:rsid w:val="00066D6D"/>
    <w:rsid w:val="00067AA8"/>
    <w:rsid w:val="00070AF1"/>
    <w:rsid w:val="000714DE"/>
    <w:rsid w:val="0007254F"/>
    <w:rsid w:val="0007357C"/>
    <w:rsid w:val="00073C30"/>
    <w:rsid w:val="00074305"/>
    <w:rsid w:val="000744D0"/>
    <w:rsid w:val="00074B2A"/>
    <w:rsid w:val="00074EEE"/>
    <w:rsid w:val="000753D5"/>
    <w:rsid w:val="00075B3E"/>
    <w:rsid w:val="00076456"/>
    <w:rsid w:val="00076817"/>
    <w:rsid w:val="00076BD9"/>
    <w:rsid w:val="0007779B"/>
    <w:rsid w:val="000777E7"/>
    <w:rsid w:val="0007790A"/>
    <w:rsid w:val="000779F2"/>
    <w:rsid w:val="0008017B"/>
    <w:rsid w:val="00080ACD"/>
    <w:rsid w:val="00080D30"/>
    <w:rsid w:val="000811ED"/>
    <w:rsid w:val="00081D62"/>
    <w:rsid w:val="00082832"/>
    <w:rsid w:val="00082B74"/>
    <w:rsid w:val="00083099"/>
    <w:rsid w:val="00083259"/>
    <w:rsid w:val="00083546"/>
    <w:rsid w:val="00083EDC"/>
    <w:rsid w:val="00084B97"/>
    <w:rsid w:val="0008510E"/>
    <w:rsid w:val="000856DE"/>
    <w:rsid w:val="00085F17"/>
    <w:rsid w:val="00085FB0"/>
    <w:rsid w:val="00085FB3"/>
    <w:rsid w:val="0008686B"/>
    <w:rsid w:val="00086B2A"/>
    <w:rsid w:val="00086ED2"/>
    <w:rsid w:val="00087A64"/>
    <w:rsid w:val="0009082C"/>
    <w:rsid w:val="00090C39"/>
    <w:rsid w:val="000914D6"/>
    <w:rsid w:val="00091569"/>
    <w:rsid w:val="00092CDB"/>
    <w:rsid w:val="00092DCA"/>
    <w:rsid w:val="00093851"/>
    <w:rsid w:val="000942EB"/>
    <w:rsid w:val="00095B70"/>
    <w:rsid w:val="0009617E"/>
    <w:rsid w:val="0009628D"/>
    <w:rsid w:val="0009670F"/>
    <w:rsid w:val="000970E4"/>
    <w:rsid w:val="000975D1"/>
    <w:rsid w:val="000979CF"/>
    <w:rsid w:val="000A03C8"/>
    <w:rsid w:val="000A05F2"/>
    <w:rsid w:val="000A06C4"/>
    <w:rsid w:val="000A0861"/>
    <w:rsid w:val="000A0B6F"/>
    <w:rsid w:val="000A0EC4"/>
    <w:rsid w:val="000A0ED1"/>
    <w:rsid w:val="000A12DB"/>
    <w:rsid w:val="000A137E"/>
    <w:rsid w:val="000A171D"/>
    <w:rsid w:val="000A17C8"/>
    <w:rsid w:val="000A1B74"/>
    <w:rsid w:val="000A20D7"/>
    <w:rsid w:val="000A2128"/>
    <w:rsid w:val="000A362F"/>
    <w:rsid w:val="000A3B49"/>
    <w:rsid w:val="000A46FE"/>
    <w:rsid w:val="000A47E6"/>
    <w:rsid w:val="000A52C0"/>
    <w:rsid w:val="000A5AAF"/>
    <w:rsid w:val="000A5ACE"/>
    <w:rsid w:val="000A5F97"/>
    <w:rsid w:val="000A622F"/>
    <w:rsid w:val="000A648E"/>
    <w:rsid w:val="000A7268"/>
    <w:rsid w:val="000A73BB"/>
    <w:rsid w:val="000A73E8"/>
    <w:rsid w:val="000A7EF4"/>
    <w:rsid w:val="000B0A15"/>
    <w:rsid w:val="000B103F"/>
    <w:rsid w:val="000B1437"/>
    <w:rsid w:val="000B1470"/>
    <w:rsid w:val="000B244D"/>
    <w:rsid w:val="000B2A1A"/>
    <w:rsid w:val="000B2B86"/>
    <w:rsid w:val="000B2CFF"/>
    <w:rsid w:val="000B3051"/>
    <w:rsid w:val="000B419B"/>
    <w:rsid w:val="000B4861"/>
    <w:rsid w:val="000B5781"/>
    <w:rsid w:val="000B5CB1"/>
    <w:rsid w:val="000B5EE5"/>
    <w:rsid w:val="000B75F4"/>
    <w:rsid w:val="000C0185"/>
    <w:rsid w:val="000C0933"/>
    <w:rsid w:val="000C0F81"/>
    <w:rsid w:val="000C128D"/>
    <w:rsid w:val="000C17A3"/>
    <w:rsid w:val="000C1D4B"/>
    <w:rsid w:val="000C2DC4"/>
    <w:rsid w:val="000C3239"/>
    <w:rsid w:val="000C3260"/>
    <w:rsid w:val="000C3B77"/>
    <w:rsid w:val="000C3F6D"/>
    <w:rsid w:val="000C4F49"/>
    <w:rsid w:val="000C5861"/>
    <w:rsid w:val="000C5BDE"/>
    <w:rsid w:val="000C639D"/>
    <w:rsid w:val="000C6C31"/>
    <w:rsid w:val="000C6DBC"/>
    <w:rsid w:val="000C6F79"/>
    <w:rsid w:val="000C7476"/>
    <w:rsid w:val="000C7480"/>
    <w:rsid w:val="000C7711"/>
    <w:rsid w:val="000C7AA2"/>
    <w:rsid w:val="000D0462"/>
    <w:rsid w:val="000D053D"/>
    <w:rsid w:val="000D0ED2"/>
    <w:rsid w:val="000D107D"/>
    <w:rsid w:val="000D1101"/>
    <w:rsid w:val="000D13FD"/>
    <w:rsid w:val="000D1546"/>
    <w:rsid w:val="000D1CEB"/>
    <w:rsid w:val="000D2322"/>
    <w:rsid w:val="000D2563"/>
    <w:rsid w:val="000D25BF"/>
    <w:rsid w:val="000D2FE4"/>
    <w:rsid w:val="000D3FDC"/>
    <w:rsid w:val="000D490B"/>
    <w:rsid w:val="000D4E38"/>
    <w:rsid w:val="000D50DB"/>
    <w:rsid w:val="000D60A1"/>
    <w:rsid w:val="000D6288"/>
    <w:rsid w:val="000D728B"/>
    <w:rsid w:val="000D7541"/>
    <w:rsid w:val="000D75E1"/>
    <w:rsid w:val="000E22CF"/>
    <w:rsid w:val="000E2977"/>
    <w:rsid w:val="000E2CC0"/>
    <w:rsid w:val="000E30AC"/>
    <w:rsid w:val="000E3B46"/>
    <w:rsid w:val="000E3E11"/>
    <w:rsid w:val="000E40E4"/>
    <w:rsid w:val="000E4596"/>
    <w:rsid w:val="000E4927"/>
    <w:rsid w:val="000E4B94"/>
    <w:rsid w:val="000E4D50"/>
    <w:rsid w:val="000E5768"/>
    <w:rsid w:val="000E5843"/>
    <w:rsid w:val="000E6139"/>
    <w:rsid w:val="000E63B7"/>
    <w:rsid w:val="000E653C"/>
    <w:rsid w:val="000E6BE1"/>
    <w:rsid w:val="000E7E0B"/>
    <w:rsid w:val="000F0136"/>
    <w:rsid w:val="000F078A"/>
    <w:rsid w:val="000F0F27"/>
    <w:rsid w:val="000F122D"/>
    <w:rsid w:val="000F1450"/>
    <w:rsid w:val="000F14E8"/>
    <w:rsid w:val="000F1BBD"/>
    <w:rsid w:val="000F290F"/>
    <w:rsid w:val="000F4403"/>
    <w:rsid w:val="000F480B"/>
    <w:rsid w:val="000F4E17"/>
    <w:rsid w:val="000F5615"/>
    <w:rsid w:val="000F5CE5"/>
    <w:rsid w:val="000F6084"/>
    <w:rsid w:val="000F6578"/>
    <w:rsid w:val="000F6693"/>
    <w:rsid w:val="000F6F92"/>
    <w:rsid w:val="000F725D"/>
    <w:rsid w:val="000F7E8F"/>
    <w:rsid w:val="000F7FBB"/>
    <w:rsid w:val="001000FB"/>
    <w:rsid w:val="00100A9E"/>
    <w:rsid w:val="00100F6A"/>
    <w:rsid w:val="00101638"/>
    <w:rsid w:val="00101EE8"/>
    <w:rsid w:val="00102106"/>
    <w:rsid w:val="00102605"/>
    <w:rsid w:val="00102686"/>
    <w:rsid w:val="00102745"/>
    <w:rsid w:val="001036B4"/>
    <w:rsid w:val="00103795"/>
    <w:rsid w:val="00103915"/>
    <w:rsid w:val="001039AA"/>
    <w:rsid w:val="00103EA0"/>
    <w:rsid w:val="00104149"/>
    <w:rsid w:val="00104F1C"/>
    <w:rsid w:val="00105096"/>
    <w:rsid w:val="001051E5"/>
    <w:rsid w:val="00105A74"/>
    <w:rsid w:val="00105ACB"/>
    <w:rsid w:val="00105AEF"/>
    <w:rsid w:val="00106259"/>
    <w:rsid w:val="001068EB"/>
    <w:rsid w:val="001073F0"/>
    <w:rsid w:val="001078CE"/>
    <w:rsid w:val="00110F61"/>
    <w:rsid w:val="001111BD"/>
    <w:rsid w:val="001113DF"/>
    <w:rsid w:val="0011165A"/>
    <w:rsid w:val="00111B2B"/>
    <w:rsid w:val="00112774"/>
    <w:rsid w:val="00112B2E"/>
    <w:rsid w:val="00113003"/>
    <w:rsid w:val="00113062"/>
    <w:rsid w:val="0011359A"/>
    <w:rsid w:val="00113705"/>
    <w:rsid w:val="00113975"/>
    <w:rsid w:val="00113B64"/>
    <w:rsid w:val="00113CFC"/>
    <w:rsid w:val="00113E22"/>
    <w:rsid w:val="00113FEA"/>
    <w:rsid w:val="00114A22"/>
    <w:rsid w:val="00114E9D"/>
    <w:rsid w:val="0011507B"/>
    <w:rsid w:val="001156A7"/>
    <w:rsid w:val="00115C37"/>
    <w:rsid w:val="00115DA5"/>
    <w:rsid w:val="00116328"/>
    <w:rsid w:val="001163CF"/>
    <w:rsid w:val="00116EC5"/>
    <w:rsid w:val="001174C9"/>
    <w:rsid w:val="001177FE"/>
    <w:rsid w:val="00117E69"/>
    <w:rsid w:val="00121103"/>
    <w:rsid w:val="00121B78"/>
    <w:rsid w:val="00121BAB"/>
    <w:rsid w:val="00121E3C"/>
    <w:rsid w:val="00122B23"/>
    <w:rsid w:val="00122B7E"/>
    <w:rsid w:val="00123E27"/>
    <w:rsid w:val="00123FB5"/>
    <w:rsid w:val="0012400F"/>
    <w:rsid w:val="001249DC"/>
    <w:rsid w:val="0012572D"/>
    <w:rsid w:val="00125A2E"/>
    <w:rsid w:val="00125BED"/>
    <w:rsid w:val="00125C59"/>
    <w:rsid w:val="00125D4F"/>
    <w:rsid w:val="00127004"/>
    <w:rsid w:val="0012770B"/>
    <w:rsid w:val="00127AF2"/>
    <w:rsid w:val="00127EDC"/>
    <w:rsid w:val="00127F42"/>
    <w:rsid w:val="00127F6D"/>
    <w:rsid w:val="00130355"/>
    <w:rsid w:val="00130365"/>
    <w:rsid w:val="001304E5"/>
    <w:rsid w:val="00131B5A"/>
    <w:rsid w:val="001329BC"/>
    <w:rsid w:val="00132C30"/>
    <w:rsid w:val="00132EFD"/>
    <w:rsid w:val="00133AED"/>
    <w:rsid w:val="0013490B"/>
    <w:rsid w:val="00134BCD"/>
    <w:rsid w:val="00134E09"/>
    <w:rsid w:val="001350AB"/>
    <w:rsid w:val="00135DB9"/>
    <w:rsid w:val="00135E5D"/>
    <w:rsid w:val="0013695C"/>
    <w:rsid w:val="00136BF7"/>
    <w:rsid w:val="00136C78"/>
    <w:rsid w:val="0013756B"/>
    <w:rsid w:val="001378B9"/>
    <w:rsid w:val="00137FFA"/>
    <w:rsid w:val="00140109"/>
    <w:rsid w:val="0014029B"/>
    <w:rsid w:val="00140464"/>
    <w:rsid w:val="00140A4F"/>
    <w:rsid w:val="001413AB"/>
    <w:rsid w:val="00141DBF"/>
    <w:rsid w:val="00142EFD"/>
    <w:rsid w:val="00144335"/>
    <w:rsid w:val="0014502F"/>
    <w:rsid w:val="00145282"/>
    <w:rsid w:val="001453B0"/>
    <w:rsid w:val="001454D9"/>
    <w:rsid w:val="00145D8E"/>
    <w:rsid w:val="00146083"/>
    <w:rsid w:val="001462F7"/>
    <w:rsid w:val="001471AB"/>
    <w:rsid w:val="00147F35"/>
    <w:rsid w:val="00150005"/>
    <w:rsid w:val="0015117F"/>
    <w:rsid w:val="00151AEB"/>
    <w:rsid w:val="00151B99"/>
    <w:rsid w:val="00151E79"/>
    <w:rsid w:val="001521B2"/>
    <w:rsid w:val="00152EDD"/>
    <w:rsid w:val="00153491"/>
    <w:rsid w:val="0015361C"/>
    <w:rsid w:val="0015372F"/>
    <w:rsid w:val="00153832"/>
    <w:rsid w:val="00153BFB"/>
    <w:rsid w:val="0015407E"/>
    <w:rsid w:val="0015448E"/>
    <w:rsid w:val="00154A6F"/>
    <w:rsid w:val="00154B68"/>
    <w:rsid w:val="00155BED"/>
    <w:rsid w:val="00155D08"/>
    <w:rsid w:val="0015623B"/>
    <w:rsid w:val="00156BE5"/>
    <w:rsid w:val="00157232"/>
    <w:rsid w:val="00157B92"/>
    <w:rsid w:val="00160401"/>
    <w:rsid w:val="00160C01"/>
    <w:rsid w:val="00160D4E"/>
    <w:rsid w:val="00161DDA"/>
    <w:rsid w:val="00161E62"/>
    <w:rsid w:val="00161F1C"/>
    <w:rsid w:val="0016200B"/>
    <w:rsid w:val="0016204B"/>
    <w:rsid w:val="00162065"/>
    <w:rsid w:val="001620B3"/>
    <w:rsid w:val="00163D7A"/>
    <w:rsid w:val="00163E11"/>
    <w:rsid w:val="00164281"/>
    <w:rsid w:val="00165703"/>
    <w:rsid w:val="00165E5C"/>
    <w:rsid w:val="00166204"/>
    <w:rsid w:val="00166797"/>
    <w:rsid w:val="0016685F"/>
    <w:rsid w:val="0016712F"/>
    <w:rsid w:val="00167503"/>
    <w:rsid w:val="001676A9"/>
    <w:rsid w:val="00167A15"/>
    <w:rsid w:val="00167A50"/>
    <w:rsid w:val="00167D1A"/>
    <w:rsid w:val="00167DF5"/>
    <w:rsid w:val="00167FD3"/>
    <w:rsid w:val="00170001"/>
    <w:rsid w:val="00172198"/>
    <w:rsid w:val="00172612"/>
    <w:rsid w:val="00172817"/>
    <w:rsid w:val="001734E3"/>
    <w:rsid w:val="001742BF"/>
    <w:rsid w:val="001742E1"/>
    <w:rsid w:val="00175E49"/>
    <w:rsid w:val="0017649F"/>
    <w:rsid w:val="0017655B"/>
    <w:rsid w:val="00177C21"/>
    <w:rsid w:val="00177EAA"/>
    <w:rsid w:val="001805C1"/>
    <w:rsid w:val="00180823"/>
    <w:rsid w:val="00180A2E"/>
    <w:rsid w:val="001813AF"/>
    <w:rsid w:val="001826C9"/>
    <w:rsid w:val="001829CD"/>
    <w:rsid w:val="00182F01"/>
    <w:rsid w:val="00184219"/>
    <w:rsid w:val="00184F27"/>
    <w:rsid w:val="0018519B"/>
    <w:rsid w:val="00185966"/>
    <w:rsid w:val="00185A2D"/>
    <w:rsid w:val="00185AFE"/>
    <w:rsid w:val="00185E78"/>
    <w:rsid w:val="00187177"/>
    <w:rsid w:val="00187ABD"/>
    <w:rsid w:val="00190089"/>
    <w:rsid w:val="001904E3"/>
    <w:rsid w:val="0019087A"/>
    <w:rsid w:val="00190B04"/>
    <w:rsid w:val="00191C5A"/>
    <w:rsid w:val="00191CEB"/>
    <w:rsid w:val="00191D7D"/>
    <w:rsid w:val="00191E63"/>
    <w:rsid w:val="00192AF3"/>
    <w:rsid w:val="00192D68"/>
    <w:rsid w:val="001935FF"/>
    <w:rsid w:val="0019388B"/>
    <w:rsid w:val="00193ADE"/>
    <w:rsid w:val="00193B9A"/>
    <w:rsid w:val="001940ED"/>
    <w:rsid w:val="001946AE"/>
    <w:rsid w:val="001946D5"/>
    <w:rsid w:val="001949C4"/>
    <w:rsid w:val="00194E8C"/>
    <w:rsid w:val="001962EC"/>
    <w:rsid w:val="001963DD"/>
    <w:rsid w:val="001965DB"/>
    <w:rsid w:val="00196B5A"/>
    <w:rsid w:val="00196D01"/>
    <w:rsid w:val="00196DC9"/>
    <w:rsid w:val="00196E95"/>
    <w:rsid w:val="00196FDB"/>
    <w:rsid w:val="00197758"/>
    <w:rsid w:val="001A0236"/>
    <w:rsid w:val="001A04E2"/>
    <w:rsid w:val="001A0915"/>
    <w:rsid w:val="001A0AF8"/>
    <w:rsid w:val="001A0E1B"/>
    <w:rsid w:val="001A1490"/>
    <w:rsid w:val="001A18D5"/>
    <w:rsid w:val="001A1A38"/>
    <w:rsid w:val="001A1BE0"/>
    <w:rsid w:val="001A1D4A"/>
    <w:rsid w:val="001A3011"/>
    <w:rsid w:val="001A3078"/>
    <w:rsid w:val="001A4A9B"/>
    <w:rsid w:val="001A4B32"/>
    <w:rsid w:val="001A4DAF"/>
    <w:rsid w:val="001A54CD"/>
    <w:rsid w:val="001A66DF"/>
    <w:rsid w:val="001A67D0"/>
    <w:rsid w:val="001A6863"/>
    <w:rsid w:val="001A7591"/>
    <w:rsid w:val="001A75B1"/>
    <w:rsid w:val="001A7B06"/>
    <w:rsid w:val="001B0366"/>
    <w:rsid w:val="001B0444"/>
    <w:rsid w:val="001B096B"/>
    <w:rsid w:val="001B0F9F"/>
    <w:rsid w:val="001B123C"/>
    <w:rsid w:val="001B1A0D"/>
    <w:rsid w:val="001B1BF1"/>
    <w:rsid w:val="001B20A6"/>
    <w:rsid w:val="001B21AC"/>
    <w:rsid w:val="001B2456"/>
    <w:rsid w:val="001B449C"/>
    <w:rsid w:val="001B4AA2"/>
    <w:rsid w:val="001B4ADE"/>
    <w:rsid w:val="001B5530"/>
    <w:rsid w:val="001B5DAE"/>
    <w:rsid w:val="001B5EF8"/>
    <w:rsid w:val="001B6BD0"/>
    <w:rsid w:val="001B71E8"/>
    <w:rsid w:val="001C033E"/>
    <w:rsid w:val="001C07C6"/>
    <w:rsid w:val="001C0C86"/>
    <w:rsid w:val="001C120D"/>
    <w:rsid w:val="001C16DA"/>
    <w:rsid w:val="001C19CD"/>
    <w:rsid w:val="001C1E2B"/>
    <w:rsid w:val="001C22D5"/>
    <w:rsid w:val="001C2515"/>
    <w:rsid w:val="001C26FB"/>
    <w:rsid w:val="001C2BA4"/>
    <w:rsid w:val="001C33C1"/>
    <w:rsid w:val="001C3E30"/>
    <w:rsid w:val="001C3E5C"/>
    <w:rsid w:val="001C5072"/>
    <w:rsid w:val="001C5B2A"/>
    <w:rsid w:val="001C600B"/>
    <w:rsid w:val="001C6898"/>
    <w:rsid w:val="001C6DD8"/>
    <w:rsid w:val="001C76FA"/>
    <w:rsid w:val="001C79A4"/>
    <w:rsid w:val="001C7C7B"/>
    <w:rsid w:val="001D068D"/>
    <w:rsid w:val="001D12D1"/>
    <w:rsid w:val="001D15DF"/>
    <w:rsid w:val="001D2EEE"/>
    <w:rsid w:val="001D30F3"/>
    <w:rsid w:val="001D31A0"/>
    <w:rsid w:val="001D338E"/>
    <w:rsid w:val="001D34C3"/>
    <w:rsid w:val="001D4562"/>
    <w:rsid w:val="001D46A9"/>
    <w:rsid w:val="001D4874"/>
    <w:rsid w:val="001D56E9"/>
    <w:rsid w:val="001D59D9"/>
    <w:rsid w:val="001D6944"/>
    <w:rsid w:val="001D6CD2"/>
    <w:rsid w:val="001D796A"/>
    <w:rsid w:val="001D7A84"/>
    <w:rsid w:val="001D7C79"/>
    <w:rsid w:val="001E003B"/>
    <w:rsid w:val="001E1CC4"/>
    <w:rsid w:val="001E1D38"/>
    <w:rsid w:val="001E28A0"/>
    <w:rsid w:val="001E302E"/>
    <w:rsid w:val="001E3FFE"/>
    <w:rsid w:val="001E4258"/>
    <w:rsid w:val="001E5140"/>
    <w:rsid w:val="001E55E6"/>
    <w:rsid w:val="001E5D6A"/>
    <w:rsid w:val="001E6A94"/>
    <w:rsid w:val="001E70FB"/>
    <w:rsid w:val="001E780A"/>
    <w:rsid w:val="001F021E"/>
    <w:rsid w:val="001F0806"/>
    <w:rsid w:val="001F0D15"/>
    <w:rsid w:val="001F0FA0"/>
    <w:rsid w:val="001F1349"/>
    <w:rsid w:val="001F14C3"/>
    <w:rsid w:val="001F1863"/>
    <w:rsid w:val="001F2356"/>
    <w:rsid w:val="001F2A68"/>
    <w:rsid w:val="001F2C47"/>
    <w:rsid w:val="001F3221"/>
    <w:rsid w:val="001F4773"/>
    <w:rsid w:val="001F4F91"/>
    <w:rsid w:val="001F5008"/>
    <w:rsid w:val="001F56AA"/>
    <w:rsid w:val="001F57EB"/>
    <w:rsid w:val="001F58AA"/>
    <w:rsid w:val="001F5A4E"/>
    <w:rsid w:val="001F5EF6"/>
    <w:rsid w:val="001F657F"/>
    <w:rsid w:val="001F68FA"/>
    <w:rsid w:val="001F6FB6"/>
    <w:rsid w:val="001F72BB"/>
    <w:rsid w:val="001F7512"/>
    <w:rsid w:val="001F7978"/>
    <w:rsid w:val="001F7A0E"/>
    <w:rsid w:val="001F7A4B"/>
    <w:rsid w:val="0020022E"/>
    <w:rsid w:val="0020054E"/>
    <w:rsid w:val="00201508"/>
    <w:rsid w:val="00201AC4"/>
    <w:rsid w:val="00201C45"/>
    <w:rsid w:val="00201F1E"/>
    <w:rsid w:val="0020247D"/>
    <w:rsid w:val="00202761"/>
    <w:rsid w:val="0020299B"/>
    <w:rsid w:val="00202B2A"/>
    <w:rsid w:val="00202E44"/>
    <w:rsid w:val="00202F5D"/>
    <w:rsid w:val="002037AA"/>
    <w:rsid w:val="00203FE3"/>
    <w:rsid w:val="002041DD"/>
    <w:rsid w:val="002042D8"/>
    <w:rsid w:val="00204515"/>
    <w:rsid w:val="00204BF5"/>
    <w:rsid w:val="00204E6B"/>
    <w:rsid w:val="002053EF"/>
    <w:rsid w:val="002058D4"/>
    <w:rsid w:val="002060D6"/>
    <w:rsid w:val="0020632A"/>
    <w:rsid w:val="0020697F"/>
    <w:rsid w:val="0020726E"/>
    <w:rsid w:val="00207389"/>
    <w:rsid w:val="002074C2"/>
    <w:rsid w:val="002110EB"/>
    <w:rsid w:val="00211338"/>
    <w:rsid w:val="00211387"/>
    <w:rsid w:val="00211388"/>
    <w:rsid w:val="0021148C"/>
    <w:rsid w:val="00211694"/>
    <w:rsid w:val="0021201A"/>
    <w:rsid w:val="00212545"/>
    <w:rsid w:val="002138FE"/>
    <w:rsid w:val="00213A1F"/>
    <w:rsid w:val="00213C63"/>
    <w:rsid w:val="00214502"/>
    <w:rsid w:val="00214741"/>
    <w:rsid w:val="00214938"/>
    <w:rsid w:val="0021539A"/>
    <w:rsid w:val="00215852"/>
    <w:rsid w:val="00215B01"/>
    <w:rsid w:val="00215B8E"/>
    <w:rsid w:val="00216264"/>
    <w:rsid w:val="002169A0"/>
    <w:rsid w:val="002176B6"/>
    <w:rsid w:val="0021792D"/>
    <w:rsid w:val="00217DB8"/>
    <w:rsid w:val="002202CE"/>
    <w:rsid w:val="0022032A"/>
    <w:rsid w:val="0022194E"/>
    <w:rsid w:val="002220B1"/>
    <w:rsid w:val="002221CE"/>
    <w:rsid w:val="00222B1D"/>
    <w:rsid w:val="00222BE8"/>
    <w:rsid w:val="00222DF6"/>
    <w:rsid w:val="00223102"/>
    <w:rsid w:val="002232CB"/>
    <w:rsid w:val="00224022"/>
    <w:rsid w:val="00224B1C"/>
    <w:rsid w:val="00226055"/>
    <w:rsid w:val="0022609C"/>
    <w:rsid w:val="0022613F"/>
    <w:rsid w:val="0022614F"/>
    <w:rsid w:val="00226236"/>
    <w:rsid w:val="002266AF"/>
    <w:rsid w:val="002270C9"/>
    <w:rsid w:val="00227A8B"/>
    <w:rsid w:val="002306BF"/>
    <w:rsid w:val="002311F0"/>
    <w:rsid w:val="0023146B"/>
    <w:rsid w:val="002315A0"/>
    <w:rsid w:val="00231748"/>
    <w:rsid w:val="00231CBD"/>
    <w:rsid w:val="00231DCC"/>
    <w:rsid w:val="00231EC7"/>
    <w:rsid w:val="00232AF1"/>
    <w:rsid w:val="00232E15"/>
    <w:rsid w:val="00233079"/>
    <w:rsid w:val="0023382C"/>
    <w:rsid w:val="00233977"/>
    <w:rsid w:val="00233C58"/>
    <w:rsid w:val="00233C71"/>
    <w:rsid w:val="002345B6"/>
    <w:rsid w:val="002347A6"/>
    <w:rsid w:val="00234B84"/>
    <w:rsid w:val="0023548D"/>
    <w:rsid w:val="00236016"/>
    <w:rsid w:val="00237065"/>
    <w:rsid w:val="00237589"/>
    <w:rsid w:val="0023758D"/>
    <w:rsid w:val="002375A7"/>
    <w:rsid w:val="00237D1D"/>
    <w:rsid w:val="0024019A"/>
    <w:rsid w:val="00240A1F"/>
    <w:rsid w:val="00240EC1"/>
    <w:rsid w:val="0024120F"/>
    <w:rsid w:val="0024131D"/>
    <w:rsid w:val="002415B8"/>
    <w:rsid w:val="00241B82"/>
    <w:rsid w:val="0024296E"/>
    <w:rsid w:val="00242D5F"/>
    <w:rsid w:val="00242D62"/>
    <w:rsid w:val="002430D0"/>
    <w:rsid w:val="002431D7"/>
    <w:rsid w:val="00244058"/>
    <w:rsid w:val="0024561A"/>
    <w:rsid w:val="00245718"/>
    <w:rsid w:val="002457E9"/>
    <w:rsid w:val="00245E07"/>
    <w:rsid w:val="0024665E"/>
    <w:rsid w:val="00247712"/>
    <w:rsid w:val="0024794C"/>
    <w:rsid w:val="00250A9E"/>
    <w:rsid w:val="00250EC6"/>
    <w:rsid w:val="002515C7"/>
    <w:rsid w:val="00251866"/>
    <w:rsid w:val="00251A9F"/>
    <w:rsid w:val="00251E66"/>
    <w:rsid w:val="00252492"/>
    <w:rsid w:val="00252B35"/>
    <w:rsid w:val="00253070"/>
    <w:rsid w:val="002530A0"/>
    <w:rsid w:val="0025316D"/>
    <w:rsid w:val="00253A02"/>
    <w:rsid w:val="00253B81"/>
    <w:rsid w:val="00254AE9"/>
    <w:rsid w:val="002554DE"/>
    <w:rsid w:val="00255575"/>
    <w:rsid w:val="00255E11"/>
    <w:rsid w:val="002564B7"/>
    <w:rsid w:val="00256835"/>
    <w:rsid w:val="002569F0"/>
    <w:rsid w:val="00256C01"/>
    <w:rsid w:val="00256E1A"/>
    <w:rsid w:val="00256ECF"/>
    <w:rsid w:val="00257730"/>
    <w:rsid w:val="0025782B"/>
    <w:rsid w:val="00257999"/>
    <w:rsid w:val="002604AA"/>
    <w:rsid w:val="0026129B"/>
    <w:rsid w:val="00261560"/>
    <w:rsid w:val="00261715"/>
    <w:rsid w:val="00261CF9"/>
    <w:rsid w:val="00261EC0"/>
    <w:rsid w:val="0026231B"/>
    <w:rsid w:val="00263101"/>
    <w:rsid w:val="002631D1"/>
    <w:rsid w:val="00263201"/>
    <w:rsid w:val="00263A37"/>
    <w:rsid w:val="00263EC5"/>
    <w:rsid w:val="00264266"/>
    <w:rsid w:val="002646A3"/>
    <w:rsid w:val="0026471F"/>
    <w:rsid w:val="0026480D"/>
    <w:rsid w:val="002653A6"/>
    <w:rsid w:val="002654B1"/>
    <w:rsid w:val="002655EF"/>
    <w:rsid w:val="002661F1"/>
    <w:rsid w:val="00266316"/>
    <w:rsid w:val="00266DB6"/>
    <w:rsid w:val="0027111F"/>
    <w:rsid w:val="002711A4"/>
    <w:rsid w:val="00271230"/>
    <w:rsid w:val="00271F13"/>
    <w:rsid w:val="00272945"/>
    <w:rsid w:val="00272E89"/>
    <w:rsid w:val="00273A94"/>
    <w:rsid w:val="002742D0"/>
    <w:rsid w:val="0027482E"/>
    <w:rsid w:val="002748F1"/>
    <w:rsid w:val="00274DB5"/>
    <w:rsid w:val="00275BB1"/>
    <w:rsid w:val="00275CBF"/>
    <w:rsid w:val="002766F9"/>
    <w:rsid w:val="00276EF7"/>
    <w:rsid w:val="0027770B"/>
    <w:rsid w:val="00277933"/>
    <w:rsid w:val="00277EC1"/>
    <w:rsid w:val="00277F8D"/>
    <w:rsid w:val="00277FA7"/>
    <w:rsid w:val="00280046"/>
    <w:rsid w:val="0028068C"/>
    <w:rsid w:val="00280806"/>
    <w:rsid w:val="00280B4F"/>
    <w:rsid w:val="00280F3D"/>
    <w:rsid w:val="0028106A"/>
    <w:rsid w:val="00281EB4"/>
    <w:rsid w:val="002820DA"/>
    <w:rsid w:val="00282E03"/>
    <w:rsid w:val="0028308E"/>
    <w:rsid w:val="002834E9"/>
    <w:rsid w:val="002837BA"/>
    <w:rsid w:val="00283A52"/>
    <w:rsid w:val="00283C5E"/>
    <w:rsid w:val="00283E26"/>
    <w:rsid w:val="0028428F"/>
    <w:rsid w:val="00284CFC"/>
    <w:rsid w:val="0028552A"/>
    <w:rsid w:val="00285832"/>
    <w:rsid w:val="00285943"/>
    <w:rsid w:val="00285969"/>
    <w:rsid w:val="0028599C"/>
    <w:rsid w:val="00285DE7"/>
    <w:rsid w:val="002861C8"/>
    <w:rsid w:val="0028663B"/>
    <w:rsid w:val="00286CEC"/>
    <w:rsid w:val="002870F9"/>
    <w:rsid w:val="002871A9"/>
    <w:rsid w:val="00287505"/>
    <w:rsid w:val="00287BDB"/>
    <w:rsid w:val="00290781"/>
    <w:rsid w:val="00291784"/>
    <w:rsid w:val="002920DF"/>
    <w:rsid w:val="00292139"/>
    <w:rsid w:val="002928A3"/>
    <w:rsid w:val="002929BB"/>
    <w:rsid w:val="0029371B"/>
    <w:rsid w:val="00294368"/>
    <w:rsid w:val="00294B78"/>
    <w:rsid w:val="0029534C"/>
    <w:rsid w:val="00295416"/>
    <w:rsid w:val="00295949"/>
    <w:rsid w:val="00295D7C"/>
    <w:rsid w:val="0029624A"/>
    <w:rsid w:val="00296922"/>
    <w:rsid w:val="00297098"/>
    <w:rsid w:val="0029745A"/>
    <w:rsid w:val="002A05D4"/>
    <w:rsid w:val="002A06DB"/>
    <w:rsid w:val="002A09FF"/>
    <w:rsid w:val="002A0E60"/>
    <w:rsid w:val="002A12F1"/>
    <w:rsid w:val="002A1A58"/>
    <w:rsid w:val="002A1B02"/>
    <w:rsid w:val="002A1C53"/>
    <w:rsid w:val="002A1F84"/>
    <w:rsid w:val="002A244B"/>
    <w:rsid w:val="002A263A"/>
    <w:rsid w:val="002A28FC"/>
    <w:rsid w:val="002A2B44"/>
    <w:rsid w:val="002A2EA5"/>
    <w:rsid w:val="002A301E"/>
    <w:rsid w:val="002A3555"/>
    <w:rsid w:val="002A38C8"/>
    <w:rsid w:val="002A3D94"/>
    <w:rsid w:val="002A4736"/>
    <w:rsid w:val="002A4B1C"/>
    <w:rsid w:val="002A5388"/>
    <w:rsid w:val="002A55FE"/>
    <w:rsid w:val="002A625C"/>
    <w:rsid w:val="002A632B"/>
    <w:rsid w:val="002A6AFB"/>
    <w:rsid w:val="002A6CB8"/>
    <w:rsid w:val="002A733D"/>
    <w:rsid w:val="002A7559"/>
    <w:rsid w:val="002A774A"/>
    <w:rsid w:val="002A7840"/>
    <w:rsid w:val="002A78F3"/>
    <w:rsid w:val="002A7D84"/>
    <w:rsid w:val="002A7E5C"/>
    <w:rsid w:val="002A7F6D"/>
    <w:rsid w:val="002B0D83"/>
    <w:rsid w:val="002B1342"/>
    <w:rsid w:val="002B1F83"/>
    <w:rsid w:val="002B27C8"/>
    <w:rsid w:val="002B2A7F"/>
    <w:rsid w:val="002B330B"/>
    <w:rsid w:val="002B39BE"/>
    <w:rsid w:val="002B3A3B"/>
    <w:rsid w:val="002B3D38"/>
    <w:rsid w:val="002B438C"/>
    <w:rsid w:val="002B48DB"/>
    <w:rsid w:val="002B4B34"/>
    <w:rsid w:val="002B541A"/>
    <w:rsid w:val="002B5DA7"/>
    <w:rsid w:val="002B5EAB"/>
    <w:rsid w:val="002B5F2E"/>
    <w:rsid w:val="002B6407"/>
    <w:rsid w:val="002B6416"/>
    <w:rsid w:val="002B6459"/>
    <w:rsid w:val="002B6F22"/>
    <w:rsid w:val="002B7014"/>
    <w:rsid w:val="002B73B0"/>
    <w:rsid w:val="002C15BF"/>
    <w:rsid w:val="002C24B4"/>
    <w:rsid w:val="002C2B3A"/>
    <w:rsid w:val="002C2B87"/>
    <w:rsid w:val="002C3CF4"/>
    <w:rsid w:val="002C441A"/>
    <w:rsid w:val="002C4A73"/>
    <w:rsid w:val="002C4B84"/>
    <w:rsid w:val="002C4C0C"/>
    <w:rsid w:val="002C5016"/>
    <w:rsid w:val="002C5C2F"/>
    <w:rsid w:val="002C5D0F"/>
    <w:rsid w:val="002C60B9"/>
    <w:rsid w:val="002C6BAA"/>
    <w:rsid w:val="002C6F77"/>
    <w:rsid w:val="002C704D"/>
    <w:rsid w:val="002D0845"/>
    <w:rsid w:val="002D0933"/>
    <w:rsid w:val="002D1555"/>
    <w:rsid w:val="002D15B6"/>
    <w:rsid w:val="002D19BB"/>
    <w:rsid w:val="002D1A9B"/>
    <w:rsid w:val="002D1F51"/>
    <w:rsid w:val="002D20F8"/>
    <w:rsid w:val="002D22BD"/>
    <w:rsid w:val="002D22C5"/>
    <w:rsid w:val="002D302A"/>
    <w:rsid w:val="002D36C6"/>
    <w:rsid w:val="002D37C1"/>
    <w:rsid w:val="002D444B"/>
    <w:rsid w:val="002D46A6"/>
    <w:rsid w:val="002D46B4"/>
    <w:rsid w:val="002D46CE"/>
    <w:rsid w:val="002D49C2"/>
    <w:rsid w:val="002D4A45"/>
    <w:rsid w:val="002D4B42"/>
    <w:rsid w:val="002D4B43"/>
    <w:rsid w:val="002D5A1B"/>
    <w:rsid w:val="002D6504"/>
    <w:rsid w:val="002D6558"/>
    <w:rsid w:val="002D65BC"/>
    <w:rsid w:val="002E055C"/>
    <w:rsid w:val="002E1050"/>
    <w:rsid w:val="002E107E"/>
    <w:rsid w:val="002E18E5"/>
    <w:rsid w:val="002E1953"/>
    <w:rsid w:val="002E2C3F"/>
    <w:rsid w:val="002E2CB5"/>
    <w:rsid w:val="002E2D7D"/>
    <w:rsid w:val="002E32D0"/>
    <w:rsid w:val="002E3D76"/>
    <w:rsid w:val="002E40A1"/>
    <w:rsid w:val="002E48EC"/>
    <w:rsid w:val="002E4B44"/>
    <w:rsid w:val="002E4ECB"/>
    <w:rsid w:val="002E4F23"/>
    <w:rsid w:val="002E61AE"/>
    <w:rsid w:val="002E635A"/>
    <w:rsid w:val="002E6D68"/>
    <w:rsid w:val="002E6F4A"/>
    <w:rsid w:val="002E7847"/>
    <w:rsid w:val="002F0073"/>
    <w:rsid w:val="002F1B27"/>
    <w:rsid w:val="002F1C67"/>
    <w:rsid w:val="002F240B"/>
    <w:rsid w:val="002F24DA"/>
    <w:rsid w:val="002F2F50"/>
    <w:rsid w:val="002F33EC"/>
    <w:rsid w:val="002F34E3"/>
    <w:rsid w:val="002F3601"/>
    <w:rsid w:val="002F40E2"/>
    <w:rsid w:val="002F45F6"/>
    <w:rsid w:val="002F5A6F"/>
    <w:rsid w:val="002F692F"/>
    <w:rsid w:val="002F7031"/>
    <w:rsid w:val="002F7961"/>
    <w:rsid w:val="002F7B66"/>
    <w:rsid w:val="00300BA5"/>
    <w:rsid w:val="00300CB4"/>
    <w:rsid w:val="00300E24"/>
    <w:rsid w:val="00300F9A"/>
    <w:rsid w:val="0030257B"/>
    <w:rsid w:val="003033BA"/>
    <w:rsid w:val="00303866"/>
    <w:rsid w:val="00303C19"/>
    <w:rsid w:val="003043A3"/>
    <w:rsid w:val="0030462D"/>
    <w:rsid w:val="00304BD4"/>
    <w:rsid w:val="00304F54"/>
    <w:rsid w:val="0030500A"/>
    <w:rsid w:val="003052EB"/>
    <w:rsid w:val="00305D3C"/>
    <w:rsid w:val="00305FCB"/>
    <w:rsid w:val="003063C3"/>
    <w:rsid w:val="003069DC"/>
    <w:rsid w:val="00306A13"/>
    <w:rsid w:val="00306B44"/>
    <w:rsid w:val="00306F2B"/>
    <w:rsid w:val="00307C44"/>
    <w:rsid w:val="0031040A"/>
    <w:rsid w:val="0031088E"/>
    <w:rsid w:val="00310D01"/>
    <w:rsid w:val="00311376"/>
    <w:rsid w:val="00311A1F"/>
    <w:rsid w:val="00311B47"/>
    <w:rsid w:val="00311D52"/>
    <w:rsid w:val="00312190"/>
    <w:rsid w:val="003125E0"/>
    <w:rsid w:val="0031271D"/>
    <w:rsid w:val="00313222"/>
    <w:rsid w:val="003132BB"/>
    <w:rsid w:val="00313337"/>
    <w:rsid w:val="00313447"/>
    <w:rsid w:val="003135CC"/>
    <w:rsid w:val="00313748"/>
    <w:rsid w:val="00313EA3"/>
    <w:rsid w:val="003151FE"/>
    <w:rsid w:val="00315365"/>
    <w:rsid w:val="00315457"/>
    <w:rsid w:val="003161A4"/>
    <w:rsid w:val="00316955"/>
    <w:rsid w:val="0031713F"/>
    <w:rsid w:val="003171EF"/>
    <w:rsid w:val="0031720A"/>
    <w:rsid w:val="0031749B"/>
    <w:rsid w:val="003174E5"/>
    <w:rsid w:val="00317C9D"/>
    <w:rsid w:val="00317CD2"/>
    <w:rsid w:val="00317D99"/>
    <w:rsid w:val="003203BF"/>
    <w:rsid w:val="0032078D"/>
    <w:rsid w:val="00320ADF"/>
    <w:rsid w:val="0032137B"/>
    <w:rsid w:val="00321A70"/>
    <w:rsid w:val="00321BD6"/>
    <w:rsid w:val="00321FA3"/>
    <w:rsid w:val="003227D3"/>
    <w:rsid w:val="00322805"/>
    <w:rsid w:val="00322937"/>
    <w:rsid w:val="00323881"/>
    <w:rsid w:val="00324885"/>
    <w:rsid w:val="003251A8"/>
    <w:rsid w:val="003254B1"/>
    <w:rsid w:val="00325AD9"/>
    <w:rsid w:val="00325D98"/>
    <w:rsid w:val="0032682A"/>
    <w:rsid w:val="00327A5C"/>
    <w:rsid w:val="003305BD"/>
    <w:rsid w:val="0033092C"/>
    <w:rsid w:val="0033122A"/>
    <w:rsid w:val="003315AC"/>
    <w:rsid w:val="00331932"/>
    <w:rsid w:val="00331F74"/>
    <w:rsid w:val="00332382"/>
    <w:rsid w:val="00332386"/>
    <w:rsid w:val="00332453"/>
    <w:rsid w:val="0033251B"/>
    <w:rsid w:val="00333A88"/>
    <w:rsid w:val="00335B15"/>
    <w:rsid w:val="00335B21"/>
    <w:rsid w:val="00335D3F"/>
    <w:rsid w:val="00336104"/>
    <w:rsid w:val="00336729"/>
    <w:rsid w:val="00336CD9"/>
    <w:rsid w:val="0033726D"/>
    <w:rsid w:val="00337CA8"/>
    <w:rsid w:val="00340D3F"/>
    <w:rsid w:val="0034174B"/>
    <w:rsid w:val="0034177C"/>
    <w:rsid w:val="003420E9"/>
    <w:rsid w:val="00342345"/>
    <w:rsid w:val="00342C27"/>
    <w:rsid w:val="003430C8"/>
    <w:rsid w:val="003432C8"/>
    <w:rsid w:val="003434B3"/>
    <w:rsid w:val="00343536"/>
    <w:rsid w:val="00343EFB"/>
    <w:rsid w:val="00344760"/>
    <w:rsid w:val="00344A9D"/>
    <w:rsid w:val="003454E8"/>
    <w:rsid w:val="00345574"/>
    <w:rsid w:val="00345965"/>
    <w:rsid w:val="0034680A"/>
    <w:rsid w:val="00346C62"/>
    <w:rsid w:val="00347202"/>
    <w:rsid w:val="0034778E"/>
    <w:rsid w:val="00347A5A"/>
    <w:rsid w:val="003501E2"/>
    <w:rsid w:val="00350FED"/>
    <w:rsid w:val="00351E10"/>
    <w:rsid w:val="0035252F"/>
    <w:rsid w:val="003533F4"/>
    <w:rsid w:val="003536F6"/>
    <w:rsid w:val="00353DD5"/>
    <w:rsid w:val="00353F36"/>
    <w:rsid w:val="00355131"/>
    <w:rsid w:val="00355F74"/>
    <w:rsid w:val="003560DB"/>
    <w:rsid w:val="003564DB"/>
    <w:rsid w:val="00356F87"/>
    <w:rsid w:val="00357C44"/>
    <w:rsid w:val="00357E83"/>
    <w:rsid w:val="0036086B"/>
    <w:rsid w:val="00360CF3"/>
    <w:rsid w:val="00361A59"/>
    <w:rsid w:val="00363348"/>
    <w:rsid w:val="003634D4"/>
    <w:rsid w:val="00363857"/>
    <w:rsid w:val="00363D59"/>
    <w:rsid w:val="00363F08"/>
    <w:rsid w:val="003640F7"/>
    <w:rsid w:val="00364969"/>
    <w:rsid w:val="003651FD"/>
    <w:rsid w:val="003658F2"/>
    <w:rsid w:val="0036594A"/>
    <w:rsid w:val="00365D3A"/>
    <w:rsid w:val="003664FF"/>
    <w:rsid w:val="00366BD2"/>
    <w:rsid w:val="003670B8"/>
    <w:rsid w:val="00367603"/>
    <w:rsid w:val="003704A3"/>
    <w:rsid w:val="003706F2"/>
    <w:rsid w:val="003709E8"/>
    <w:rsid w:val="00370C2D"/>
    <w:rsid w:val="0037124F"/>
    <w:rsid w:val="00373827"/>
    <w:rsid w:val="0037401C"/>
    <w:rsid w:val="0037507B"/>
    <w:rsid w:val="00375C7C"/>
    <w:rsid w:val="00377027"/>
    <w:rsid w:val="00377135"/>
    <w:rsid w:val="00377EAC"/>
    <w:rsid w:val="00380272"/>
    <w:rsid w:val="003805DB"/>
    <w:rsid w:val="00380B96"/>
    <w:rsid w:val="00380C7F"/>
    <w:rsid w:val="0038152A"/>
    <w:rsid w:val="0038245D"/>
    <w:rsid w:val="00382BAD"/>
    <w:rsid w:val="003835FD"/>
    <w:rsid w:val="00383EDF"/>
    <w:rsid w:val="00384C5E"/>
    <w:rsid w:val="00384DF1"/>
    <w:rsid w:val="00384FF3"/>
    <w:rsid w:val="00386456"/>
    <w:rsid w:val="003865A9"/>
    <w:rsid w:val="003872D3"/>
    <w:rsid w:val="00390432"/>
    <w:rsid w:val="0039092B"/>
    <w:rsid w:val="00390BD9"/>
    <w:rsid w:val="00390C0B"/>
    <w:rsid w:val="00390F32"/>
    <w:rsid w:val="0039135E"/>
    <w:rsid w:val="0039285D"/>
    <w:rsid w:val="0039319C"/>
    <w:rsid w:val="00393577"/>
    <w:rsid w:val="00393CAE"/>
    <w:rsid w:val="003945F4"/>
    <w:rsid w:val="00394EB5"/>
    <w:rsid w:val="003953B4"/>
    <w:rsid w:val="0039615F"/>
    <w:rsid w:val="003966A0"/>
    <w:rsid w:val="00396A29"/>
    <w:rsid w:val="00397FF0"/>
    <w:rsid w:val="003A0878"/>
    <w:rsid w:val="003A1561"/>
    <w:rsid w:val="003A1D25"/>
    <w:rsid w:val="003A22A2"/>
    <w:rsid w:val="003A2447"/>
    <w:rsid w:val="003A2AA1"/>
    <w:rsid w:val="003A31A5"/>
    <w:rsid w:val="003A329A"/>
    <w:rsid w:val="003A3603"/>
    <w:rsid w:val="003A36AC"/>
    <w:rsid w:val="003A3851"/>
    <w:rsid w:val="003A3902"/>
    <w:rsid w:val="003A39DD"/>
    <w:rsid w:val="003A40DB"/>
    <w:rsid w:val="003A4199"/>
    <w:rsid w:val="003A41C5"/>
    <w:rsid w:val="003A4A8E"/>
    <w:rsid w:val="003A563C"/>
    <w:rsid w:val="003A581E"/>
    <w:rsid w:val="003A5E7E"/>
    <w:rsid w:val="003A6160"/>
    <w:rsid w:val="003A6219"/>
    <w:rsid w:val="003A65A5"/>
    <w:rsid w:val="003A65AC"/>
    <w:rsid w:val="003A72F5"/>
    <w:rsid w:val="003A78E5"/>
    <w:rsid w:val="003B0341"/>
    <w:rsid w:val="003B15F3"/>
    <w:rsid w:val="003B1961"/>
    <w:rsid w:val="003B1E57"/>
    <w:rsid w:val="003B1E5C"/>
    <w:rsid w:val="003B242E"/>
    <w:rsid w:val="003B2EF3"/>
    <w:rsid w:val="003B48C4"/>
    <w:rsid w:val="003B4ADC"/>
    <w:rsid w:val="003B534F"/>
    <w:rsid w:val="003B5391"/>
    <w:rsid w:val="003B58CE"/>
    <w:rsid w:val="003B6273"/>
    <w:rsid w:val="003B65D7"/>
    <w:rsid w:val="003B65E0"/>
    <w:rsid w:val="003B6A15"/>
    <w:rsid w:val="003B6BD4"/>
    <w:rsid w:val="003B6F4D"/>
    <w:rsid w:val="003B6FE7"/>
    <w:rsid w:val="003B70AF"/>
    <w:rsid w:val="003B7257"/>
    <w:rsid w:val="003B74E8"/>
    <w:rsid w:val="003C0491"/>
    <w:rsid w:val="003C0C0F"/>
    <w:rsid w:val="003C0D1F"/>
    <w:rsid w:val="003C116A"/>
    <w:rsid w:val="003C1AF4"/>
    <w:rsid w:val="003C1CB8"/>
    <w:rsid w:val="003C22DA"/>
    <w:rsid w:val="003C2550"/>
    <w:rsid w:val="003C287F"/>
    <w:rsid w:val="003C2B2B"/>
    <w:rsid w:val="003C3339"/>
    <w:rsid w:val="003C375A"/>
    <w:rsid w:val="003C4317"/>
    <w:rsid w:val="003C4D9F"/>
    <w:rsid w:val="003C4EA9"/>
    <w:rsid w:val="003C5247"/>
    <w:rsid w:val="003C5B02"/>
    <w:rsid w:val="003C5D7C"/>
    <w:rsid w:val="003C5E8A"/>
    <w:rsid w:val="003C622C"/>
    <w:rsid w:val="003C6505"/>
    <w:rsid w:val="003C73C7"/>
    <w:rsid w:val="003C7CFB"/>
    <w:rsid w:val="003D050B"/>
    <w:rsid w:val="003D0B98"/>
    <w:rsid w:val="003D0C3C"/>
    <w:rsid w:val="003D0DE5"/>
    <w:rsid w:val="003D1351"/>
    <w:rsid w:val="003D15B3"/>
    <w:rsid w:val="003D21C1"/>
    <w:rsid w:val="003D370F"/>
    <w:rsid w:val="003D3B15"/>
    <w:rsid w:val="003D3B2E"/>
    <w:rsid w:val="003D3F28"/>
    <w:rsid w:val="003D4101"/>
    <w:rsid w:val="003D484D"/>
    <w:rsid w:val="003D49CB"/>
    <w:rsid w:val="003D5F10"/>
    <w:rsid w:val="003D6B8F"/>
    <w:rsid w:val="003D7566"/>
    <w:rsid w:val="003E0224"/>
    <w:rsid w:val="003E09BB"/>
    <w:rsid w:val="003E13D2"/>
    <w:rsid w:val="003E159D"/>
    <w:rsid w:val="003E1E64"/>
    <w:rsid w:val="003E20EA"/>
    <w:rsid w:val="003E210C"/>
    <w:rsid w:val="003E2294"/>
    <w:rsid w:val="003E2F55"/>
    <w:rsid w:val="003E324A"/>
    <w:rsid w:val="003E34DB"/>
    <w:rsid w:val="003E3833"/>
    <w:rsid w:val="003E3AF9"/>
    <w:rsid w:val="003E4A70"/>
    <w:rsid w:val="003E4C48"/>
    <w:rsid w:val="003E4CD9"/>
    <w:rsid w:val="003E52C2"/>
    <w:rsid w:val="003E54B3"/>
    <w:rsid w:val="003E56AC"/>
    <w:rsid w:val="003E5780"/>
    <w:rsid w:val="003E5B9F"/>
    <w:rsid w:val="003E6072"/>
    <w:rsid w:val="003E60D6"/>
    <w:rsid w:val="003E6AB6"/>
    <w:rsid w:val="003E6E0B"/>
    <w:rsid w:val="003E71CD"/>
    <w:rsid w:val="003E78DA"/>
    <w:rsid w:val="003E7A8B"/>
    <w:rsid w:val="003F060E"/>
    <w:rsid w:val="003F0F7F"/>
    <w:rsid w:val="003F115C"/>
    <w:rsid w:val="003F153A"/>
    <w:rsid w:val="003F300D"/>
    <w:rsid w:val="003F391F"/>
    <w:rsid w:val="003F4599"/>
    <w:rsid w:val="003F45E1"/>
    <w:rsid w:val="003F4F6C"/>
    <w:rsid w:val="003F559E"/>
    <w:rsid w:val="003F5BA5"/>
    <w:rsid w:val="003F6181"/>
    <w:rsid w:val="003F6BFC"/>
    <w:rsid w:val="003F7343"/>
    <w:rsid w:val="00400002"/>
    <w:rsid w:val="00400054"/>
    <w:rsid w:val="00400DC1"/>
    <w:rsid w:val="00401203"/>
    <w:rsid w:val="004016A3"/>
    <w:rsid w:val="00401B31"/>
    <w:rsid w:val="0040202B"/>
    <w:rsid w:val="0040219D"/>
    <w:rsid w:val="00402B33"/>
    <w:rsid w:val="00402DE1"/>
    <w:rsid w:val="00402EEB"/>
    <w:rsid w:val="004037C2"/>
    <w:rsid w:val="00403FDE"/>
    <w:rsid w:val="00404041"/>
    <w:rsid w:val="004040D4"/>
    <w:rsid w:val="00404B43"/>
    <w:rsid w:val="00404C61"/>
    <w:rsid w:val="00405487"/>
    <w:rsid w:val="00405B8A"/>
    <w:rsid w:val="0040602B"/>
    <w:rsid w:val="0040606C"/>
    <w:rsid w:val="004060DC"/>
    <w:rsid w:val="004068CD"/>
    <w:rsid w:val="00406DF5"/>
    <w:rsid w:val="00406F35"/>
    <w:rsid w:val="004077D0"/>
    <w:rsid w:val="00407A7A"/>
    <w:rsid w:val="00407ABC"/>
    <w:rsid w:val="00407F1E"/>
    <w:rsid w:val="004103B3"/>
    <w:rsid w:val="00410956"/>
    <w:rsid w:val="00410A88"/>
    <w:rsid w:val="00410CC8"/>
    <w:rsid w:val="00411317"/>
    <w:rsid w:val="00411692"/>
    <w:rsid w:val="00411A9E"/>
    <w:rsid w:val="0041259F"/>
    <w:rsid w:val="00412B1B"/>
    <w:rsid w:val="00412B4D"/>
    <w:rsid w:val="00412C51"/>
    <w:rsid w:val="00413262"/>
    <w:rsid w:val="0041329C"/>
    <w:rsid w:val="004139F4"/>
    <w:rsid w:val="00413FFA"/>
    <w:rsid w:val="00414246"/>
    <w:rsid w:val="0041463D"/>
    <w:rsid w:val="00414D9A"/>
    <w:rsid w:val="00415194"/>
    <w:rsid w:val="00415816"/>
    <w:rsid w:val="00415B88"/>
    <w:rsid w:val="00415D32"/>
    <w:rsid w:val="00415E6A"/>
    <w:rsid w:val="004160A2"/>
    <w:rsid w:val="0041674B"/>
    <w:rsid w:val="004170D7"/>
    <w:rsid w:val="004177A6"/>
    <w:rsid w:val="00417C00"/>
    <w:rsid w:val="00417C23"/>
    <w:rsid w:val="00417EFD"/>
    <w:rsid w:val="004200EE"/>
    <w:rsid w:val="00420786"/>
    <w:rsid w:val="004209D2"/>
    <w:rsid w:val="00420BBA"/>
    <w:rsid w:val="00420D6E"/>
    <w:rsid w:val="00420F50"/>
    <w:rsid w:val="0042158C"/>
    <w:rsid w:val="00421617"/>
    <w:rsid w:val="004217A7"/>
    <w:rsid w:val="00421BD2"/>
    <w:rsid w:val="00421E00"/>
    <w:rsid w:val="00421FCB"/>
    <w:rsid w:val="004220E2"/>
    <w:rsid w:val="00422DCA"/>
    <w:rsid w:val="00423D04"/>
    <w:rsid w:val="00423E8D"/>
    <w:rsid w:val="00423F9F"/>
    <w:rsid w:val="00424C5B"/>
    <w:rsid w:val="00425C43"/>
    <w:rsid w:val="004273FA"/>
    <w:rsid w:val="004275A7"/>
    <w:rsid w:val="00427BDA"/>
    <w:rsid w:val="00430186"/>
    <w:rsid w:val="00430F17"/>
    <w:rsid w:val="00431CC7"/>
    <w:rsid w:val="0043218E"/>
    <w:rsid w:val="0043260C"/>
    <w:rsid w:val="0043269A"/>
    <w:rsid w:val="00432E92"/>
    <w:rsid w:val="004333C2"/>
    <w:rsid w:val="00434787"/>
    <w:rsid w:val="00434C13"/>
    <w:rsid w:val="00434D8B"/>
    <w:rsid w:val="00435294"/>
    <w:rsid w:val="00435530"/>
    <w:rsid w:val="00435703"/>
    <w:rsid w:val="00435BD5"/>
    <w:rsid w:val="00435C7F"/>
    <w:rsid w:val="00436323"/>
    <w:rsid w:val="004367DE"/>
    <w:rsid w:val="0043683F"/>
    <w:rsid w:val="00436C94"/>
    <w:rsid w:val="00436F40"/>
    <w:rsid w:val="004370FA"/>
    <w:rsid w:val="00440096"/>
    <w:rsid w:val="004403DD"/>
    <w:rsid w:val="00440CF3"/>
    <w:rsid w:val="00440DB0"/>
    <w:rsid w:val="00440DDC"/>
    <w:rsid w:val="00440FAD"/>
    <w:rsid w:val="00441291"/>
    <w:rsid w:val="00441E04"/>
    <w:rsid w:val="004420AB"/>
    <w:rsid w:val="004422D6"/>
    <w:rsid w:val="004427AC"/>
    <w:rsid w:val="00442C7D"/>
    <w:rsid w:val="00442D13"/>
    <w:rsid w:val="00442D4D"/>
    <w:rsid w:val="0044361F"/>
    <w:rsid w:val="0044374D"/>
    <w:rsid w:val="00443B55"/>
    <w:rsid w:val="00443D27"/>
    <w:rsid w:val="0044500B"/>
    <w:rsid w:val="004451C5"/>
    <w:rsid w:val="00446037"/>
    <w:rsid w:val="00446270"/>
    <w:rsid w:val="0044642F"/>
    <w:rsid w:val="0044772C"/>
    <w:rsid w:val="00450846"/>
    <w:rsid w:val="00451A52"/>
    <w:rsid w:val="0045271D"/>
    <w:rsid w:val="00452755"/>
    <w:rsid w:val="00452803"/>
    <w:rsid w:val="004529C6"/>
    <w:rsid w:val="00452EAD"/>
    <w:rsid w:val="004533D1"/>
    <w:rsid w:val="004534D1"/>
    <w:rsid w:val="004540B8"/>
    <w:rsid w:val="00454548"/>
    <w:rsid w:val="00454717"/>
    <w:rsid w:val="00454C0F"/>
    <w:rsid w:val="00454DF8"/>
    <w:rsid w:val="00455004"/>
    <w:rsid w:val="00455047"/>
    <w:rsid w:val="00455354"/>
    <w:rsid w:val="0045558D"/>
    <w:rsid w:val="00455BD3"/>
    <w:rsid w:val="004560FE"/>
    <w:rsid w:val="004567DA"/>
    <w:rsid w:val="00456970"/>
    <w:rsid w:val="00456BB1"/>
    <w:rsid w:val="00456CD4"/>
    <w:rsid w:val="00456DDB"/>
    <w:rsid w:val="00456E61"/>
    <w:rsid w:val="00457031"/>
    <w:rsid w:val="00460915"/>
    <w:rsid w:val="00460946"/>
    <w:rsid w:val="004614A9"/>
    <w:rsid w:val="00461E97"/>
    <w:rsid w:val="0046268F"/>
    <w:rsid w:val="0046284F"/>
    <w:rsid w:val="00462B10"/>
    <w:rsid w:val="00462C04"/>
    <w:rsid w:val="0046320A"/>
    <w:rsid w:val="00463347"/>
    <w:rsid w:val="004636CC"/>
    <w:rsid w:val="004638E2"/>
    <w:rsid w:val="00464030"/>
    <w:rsid w:val="004647F8"/>
    <w:rsid w:val="004647FB"/>
    <w:rsid w:val="00465347"/>
    <w:rsid w:val="00465677"/>
    <w:rsid w:val="00466616"/>
    <w:rsid w:val="00466A0C"/>
    <w:rsid w:val="00466A53"/>
    <w:rsid w:val="00467EE3"/>
    <w:rsid w:val="00470A6A"/>
    <w:rsid w:val="00470C12"/>
    <w:rsid w:val="00470D73"/>
    <w:rsid w:val="00470D92"/>
    <w:rsid w:val="00471DF7"/>
    <w:rsid w:val="004734CF"/>
    <w:rsid w:val="00473A5B"/>
    <w:rsid w:val="00473F33"/>
    <w:rsid w:val="0047586C"/>
    <w:rsid w:val="00475A31"/>
    <w:rsid w:val="00475C5A"/>
    <w:rsid w:val="00475C9C"/>
    <w:rsid w:val="0047676B"/>
    <w:rsid w:val="0047773C"/>
    <w:rsid w:val="00477C5F"/>
    <w:rsid w:val="00480050"/>
    <w:rsid w:val="0048011C"/>
    <w:rsid w:val="004808DE"/>
    <w:rsid w:val="00480F9A"/>
    <w:rsid w:val="004810C9"/>
    <w:rsid w:val="00481912"/>
    <w:rsid w:val="00481AC4"/>
    <w:rsid w:val="00481DC1"/>
    <w:rsid w:val="00482194"/>
    <w:rsid w:val="00482507"/>
    <w:rsid w:val="0048268A"/>
    <w:rsid w:val="004826AE"/>
    <w:rsid w:val="00482A64"/>
    <w:rsid w:val="004835CA"/>
    <w:rsid w:val="004836D7"/>
    <w:rsid w:val="004836F8"/>
    <w:rsid w:val="004836FE"/>
    <w:rsid w:val="00483DF1"/>
    <w:rsid w:val="00484A39"/>
    <w:rsid w:val="00484F0F"/>
    <w:rsid w:val="00484F40"/>
    <w:rsid w:val="0048540C"/>
    <w:rsid w:val="004861B4"/>
    <w:rsid w:val="00486226"/>
    <w:rsid w:val="0048690F"/>
    <w:rsid w:val="00486BD0"/>
    <w:rsid w:val="00486D00"/>
    <w:rsid w:val="00486FF7"/>
    <w:rsid w:val="00487263"/>
    <w:rsid w:val="0048734F"/>
    <w:rsid w:val="0048757F"/>
    <w:rsid w:val="0049029D"/>
    <w:rsid w:val="0049030C"/>
    <w:rsid w:val="004903C0"/>
    <w:rsid w:val="0049114B"/>
    <w:rsid w:val="004912A8"/>
    <w:rsid w:val="00491577"/>
    <w:rsid w:val="004918E1"/>
    <w:rsid w:val="0049196A"/>
    <w:rsid w:val="0049196E"/>
    <w:rsid w:val="0049241A"/>
    <w:rsid w:val="00492844"/>
    <w:rsid w:val="00492C1F"/>
    <w:rsid w:val="00492E4C"/>
    <w:rsid w:val="00493521"/>
    <w:rsid w:val="00493664"/>
    <w:rsid w:val="004938FD"/>
    <w:rsid w:val="00493E04"/>
    <w:rsid w:val="004940E3"/>
    <w:rsid w:val="0049530F"/>
    <w:rsid w:val="004958F6"/>
    <w:rsid w:val="00496664"/>
    <w:rsid w:val="00496786"/>
    <w:rsid w:val="0049695B"/>
    <w:rsid w:val="00496D8F"/>
    <w:rsid w:val="00497463"/>
    <w:rsid w:val="004A054C"/>
    <w:rsid w:val="004A08D1"/>
    <w:rsid w:val="004A16C1"/>
    <w:rsid w:val="004A1CE2"/>
    <w:rsid w:val="004A34D2"/>
    <w:rsid w:val="004A3EEA"/>
    <w:rsid w:val="004A4301"/>
    <w:rsid w:val="004A4D93"/>
    <w:rsid w:val="004A546E"/>
    <w:rsid w:val="004A58EE"/>
    <w:rsid w:val="004A59B7"/>
    <w:rsid w:val="004A6051"/>
    <w:rsid w:val="004A623B"/>
    <w:rsid w:val="004A6A04"/>
    <w:rsid w:val="004A6A52"/>
    <w:rsid w:val="004B09B0"/>
    <w:rsid w:val="004B0A44"/>
    <w:rsid w:val="004B0F0B"/>
    <w:rsid w:val="004B205A"/>
    <w:rsid w:val="004B2197"/>
    <w:rsid w:val="004B298A"/>
    <w:rsid w:val="004B2BB8"/>
    <w:rsid w:val="004B50CB"/>
    <w:rsid w:val="004B56B5"/>
    <w:rsid w:val="004B578D"/>
    <w:rsid w:val="004B5BE7"/>
    <w:rsid w:val="004B5E2D"/>
    <w:rsid w:val="004B6C07"/>
    <w:rsid w:val="004B74D3"/>
    <w:rsid w:val="004B755E"/>
    <w:rsid w:val="004B788E"/>
    <w:rsid w:val="004B7E5D"/>
    <w:rsid w:val="004C1198"/>
    <w:rsid w:val="004C22F7"/>
    <w:rsid w:val="004C2B27"/>
    <w:rsid w:val="004C3929"/>
    <w:rsid w:val="004C4160"/>
    <w:rsid w:val="004C5160"/>
    <w:rsid w:val="004C5212"/>
    <w:rsid w:val="004C5EF0"/>
    <w:rsid w:val="004C64C9"/>
    <w:rsid w:val="004C7226"/>
    <w:rsid w:val="004C74C9"/>
    <w:rsid w:val="004C7915"/>
    <w:rsid w:val="004C7D70"/>
    <w:rsid w:val="004D02F9"/>
    <w:rsid w:val="004D03FE"/>
    <w:rsid w:val="004D0446"/>
    <w:rsid w:val="004D06A3"/>
    <w:rsid w:val="004D0F95"/>
    <w:rsid w:val="004D106A"/>
    <w:rsid w:val="004D1162"/>
    <w:rsid w:val="004D1C7E"/>
    <w:rsid w:val="004D245A"/>
    <w:rsid w:val="004D31EE"/>
    <w:rsid w:val="004D36AF"/>
    <w:rsid w:val="004D3BD1"/>
    <w:rsid w:val="004D3E6B"/>
    <w:rsid w:val="004D4BA1"/>
    <w:rsid w:val="004D584D"/>
    <w:rsid w:val="004D5A7E"/>
    <w:rsid w:val="004D6120"/>
    <w:rsid w:val="004D6826"/>
    <w:rsid w:val="004D7448"/>
    <w:rsid w:val="004D7497"/>
    <w:rsid w:val="004E023F"/>
    <w:rsid w:val="004E03E8"/>
    <w:rsid w:val="004E0546"/>
    <w:rsid w:val="004E0556"/>
    <w:rsid w:val="004E0742"/>
    <w:rsid w:val="004E0C64"/>
    <w:rsid w:val="004E0F6B"/>
    <w:rsid w:val="004E1545"/>
    <w:rsid w:val="004E1F1C"/>
    <w:rsid w:val="004E2A35"/>
    <w:rsid w:val="004E2C09"/>
    <w:rsid w:val="004E2CCF"/>
    <w:rsid w:val="004E3B71"/>
    <w:rsid w:val="004E40CE"/>
    <w:rsid w:val="004E5736"/>
    <w:rsid w:val="004E5A3C"/>
    <w:rsid w:val="004E5B36"/>
    <w:rsid w:val="004E5D5D"/>
    <w:rsid w:val="004E6045"/>
    <w:rsid w:val="004E67D0"/>
    <w:rsid w:val="004E6F43"/>
    <w:rsid w:val="004E7200"/>
    <w:rsid w:val="004E787E"/>
    <w:rsid w:val="004E7AA1"/>
    <w:rsid w:val="004F0805"/>
    <w:rsid w:val="004F0960"/>
    <w:rsid w:val="004F0A5C"/>
    <w:rsid w:val="004F1596"/>
    <w:rsid w:val="004F163F"/>
    <w:rsid w:val="004F18A0"/>
    <w:rsid w:val="004F1A08"/>
    <w:rsid w:val="004F1A54"/>
    <w:rsid w:val="004F2480"/>
    <w:rsid w:val="004F2B64"/>
    <w:rsid w:val="004F31B8"/>
    <w:rsid w:val="004F33FA"/>
    <w:rsid w:val="004F375E"/>
    <w:rsid w:val="004F3764"/>
    <w:rsid w:val="004F3EEF"/>
    <w:rsid w:val="004F5129"/>
    <w:rsid w:val="004F5180"/>
    <w:rsid w:val="004F57C9"/>
    <w:rsid w:val="004F5930"/>
    <w:rsid w:val="004F5970"/>
    <w:rsid w:val="004F5F0C"/>
    <w:rsid w:val="004F6121"/>
    <w:rsid w:val="004F6161"/>
    <w:rsid w:val="004F66BC"/>
    <w:rsid w:val="004F6C26"/>
    <w:rsid w:val="004F6F6D"/>
    <w:rsid w:val="004F7AC9"/>
    <w:rsid w:val="0050062F"/>
    <w:rsid w:val="00500E74"/>
    <w:rsid w:val="005013EB"/>
    <w:rsid w:val="00501525"/>
    <w:rsid w:val="0050160F"/>
    <w:rsid w:val="0050284E"/>
    <w:rsid w:val="0050306F"/>
    <w:rsid w:val="0050309C"/>
    <w:rsid w:val="00503A17"/>
    <w:rsid w:val="00505892"/>
    <w:rsid w:val="00505DCB"/>
    <w:rsid w:val="0050674C"/>
    <w:rsid w:val="00507066"/>
    <w:rsid w:val="005075CA"/>
    <w:rsid w:val="00507B06"/>
    <w:rsid w:val="00507BF1"/>
    <w:rsid w:val="0051074C"/>
    <w:rsid w:val="00510DE9"/>
    <w:rsid w:val="005111E2"/>
    <w:rsid w:val="00511231"/>
    <w:rsid w:val="00511741"/>
    <w:rsid w:val="0051255B"/>
    <w:rsid w:val="00512C4F"/>
    <w:rsid w:val="00513042"/>
    <w:rsid w:val="0051334F"/>
    <w:rsid w:val="00513399"/>
    <w:rsid w:val="00513AF2"/>
    <w:rsid w:val="00514575"/>
    <w:rsid w:val="00514C03"/>
    <w:rsid w:val="00514D1E"/>
    <w:rsid w:val="00514D67"/>
    <w:rsid w:val="0051522A"/>
    <w:rsid w:val="00515515"/>
    <w:rsid w:val="005155E3"/>
    <w:rsid w:val="00515625"/>
    <w:rsid w:val="0051635C"/>
    <w:rsid w:val="00516C5B"/>
    <w:rsid w:val="00516DB7"/>
    <w:rsid w:val="005172DA"/>
    <w:rsid w:val="00517612"/>
    <w:rsid w:val="00517CFB"/>
    <w:rsid w:val="00517F85"/>
    <w:rsid w:val="0052002F"/>
    <w:rsid w:val="00520235"/>
    <w:rsid w:val="005203F6"/>
    <w:rsid w:val="00520899"/>
    <w:rsid w:val="00520922"/>
    <w:rsid w:val="005209FC"/>
    <w:rsid w:val="00520C09"/>
    <w:rsid w:val="00521A30"/>
    <w:rsid w:val="00521A91"/>
    <w:rsid w:val="00521D7C"/>
    <w:rsid w:val="00521EA7"/>
    <w:rsid w:val="005224E5"/>
    <w:rsid w:val="00522E0D"/>
    <w:rsid w:val="0052311A"/>
    <w:rsid w:val="0052370B"/>
    <w:rsid w:val="00523903"/>
    <w:rsid w:val="005239B6"/>
    <w:rsid w:val="00523C45"/>
    <w:rsid w:val="00523F41"/>
    <w:rsid w:val="00524165"/>
    <w:rsid w:val="005244FC"/>
    <w:rsid w:val="005246E7"/>
    <w:rsid w:val="00524B08"/>
    <w:rsid w:val="00524C38"/>
    <w:rsid w:val="00524FD2"/>
    <w:rsid w:val="00525621"/>
    <w:rsid w:val="00526181"/>
    <w:rsid w:val="00526431"/>
    <w:rsid w:val="00527532"/>
    <w:rsid w:val="00527DEB"/>
    <w:rsid w:val="00527E57"/>
    <w:rsid w:val="00527F2C"/>
    <w:rsid w:val="00530405"/>
    <w:rsid w:val="00530458"/>
    <w:rsid w:val="00530522"/>
    <w:rsid w:val="005305E5"/>
    <w:rsid w:val="0053086F"/>
    <w:rsid w:val="00530CBA"/>
    <w:rsid w:val="00530F38"/>
    <w:rsid w:val="00531F26"/>
    <w:rsid w:val="00532501"/>
    <w:rsid w:val="0053277C"/>
    <w:rsid w:val="005327C0"/>
    <w:rsid w:val="00532AB8"/>
    <w:rsid w:val="00533101"/>
    <w:rsid w:val="00533CA9"/>
    <w:rsid w:val="005346AD"/>
    <w:rsid w:val="00534EFB"/>
    <w:rsid w:val="00534F60"/>
    <w:rsid w:val="005357F1"/>
    <w:rsid w:val="005359BF"/>
    <w:rsid w:val="00535B2F"/>
    <w:rsid w:val="00535C73"/>
    <w:rsid w:val="00535D15"/>
    <w:rsid w:val="00535FC3"/>
    <w:rsid w:val="00536053"/>
    <w:rsid w:val="005363C6"/>
    <w:rsid w:val="005369E6"/>
    <w:rsid w:val="005371AC"/>
    <w:rsid w:val="00537672"/>
    <w:rsid w:val="005376B5"/>
    <w:rsid w:val="0053772F"/>
    <w:rsid w:val="00537A70"/>
    <w:rsid w:val="00537B64"/>
    <w:rsid w:val="00537B77"/>
    <w:rsid w:val="00540617"/>
    <w:rsid w:val="00540C4C"/>
    <w:rsid w:val="00540DC5"/>
    <w:rsid w:val="00541469"/>
    <w:rsid w:val="00541571"/>
    <w:rsid w:val="005419DA"/>
    <w:rsid w:val="00541B1F"/>
    <w:rsid w:val="0054275A"/>
    <w:rsid w:val="005428B8"/>
    <w:rsid w:val="005428BE"/>
    <w:rsid w:val="00542BD7"/>
    <w:rsid w:val="00542D08"/>
    <w:rsid w:val="00543084"/>
    <w:rsid w:val="00543584"/>
    <w:rsid w:val="00543A9E"/>
    <w:rsid w:val="0054413A"/>
    <w:rsid w:val="00544288"/>
    <w:rsid w:val="005446BB"/>
    <w:rsid w:val="00544DA5"/>
    <w:rsid w:val="00544F43"/>
    <w:rsid w:val="00545997"/>
    <w:rsid w:val="00545E30"/>
    <w:rsid w:val="00545EA3"/>
    <w:rsid w:val="00546C9B"/>
    <w:rsid w:val="00546F81"/>
    <w:rsid w:val="00547378"/>
    <w:rsid w:val="00547BF6"/>
    <w:rsid w:val="00547FB3"/>
    <w:rsid w:val="00551098"/>
    <w:rsid w:val="00551598"/>
    <w:rsid w:val="0055162B"/>
    <w:rsid w:val="00551A56"/>
    <w:rsid w:val="00551BFF"/>
    <w:rsid w:val="00551D68"/>
    <w:rsid w:val="00551DFF"/>
    <w:rsid w:val="005525C9"/>
    <w:rsid w:val="00552B3E"/>
    <w:rsid w:val="00553A23"/>
    <w:rsid w:val="00554578"/>
    <w:rsid w:val="00554D57"/>
    <w:rsid w:val="0055518C"/>
    <w:rsid w:val="005551AA"/>
    <w:rsid w:val="00555BCE"/>
    <w:rsid w:val="005564CA"/>
    <w:rsid w:val="005568BD"/>
    <w:rsid w:val="005568EA"/>
    <w:rsid w:val="00557140"/>
    <w:rsid w:val="0055715A"/>
    <w:rsid w:val="0055729E"/>
    <w:rsid w:val="00557436"/>
    <w:rsid w:val="00557984"/>
    <w:rsid w:val="00557A3F"/>
    <w:rsid w:val="00560BC1"/>
    <w:rsid w:val="00560C87"/>
    <w:rsid w:val="00560F51"/>
    <w:rsid w:val="00561249"/>
    <w:rsid w:val="0056182B"/>
    <w:rsid w:val="00561A88"/>
    <w:rsid w:val="00561AF3"/>
    <w:rsid w:val="00561E0B"/>
    <w:rsid w:val="00562141"/>
    <w:rsid w:val="00562D86"/>
    <w:rsid w:val="005640CA"/>
    <w:rsid w:val="00564704"/>
    <w:rsid w:val="00564712"/>
    <w:rsid w:val="005657A8"/>
    <w:rsid w:val="00565952"/>
    <w:rsid w:val="00566866"/>
    <w:rsid w:val="005670A5"/>
    <w:rsid w:val="00567285"/>
    <w:rsid w:val="00567723"/>
    <w:rsid w:val="0056772D"/>
    <w:rsid w:val="005678F5"/>
    <w:rsid w:val="00567AB8"/>
    <w:rsid w:val="00570A26"/>
    <w:rsid w:val="00570CFD"/>
    <w:rsid w:val="00570E4C"/>
    <w:rsid w:val="00571872"/>
    <w:rsid w:val="0057221F"/>
    <w:rsid w:val="00572421"/>
    <w:rsid w:val="00572539"/>
    <w:rsid w:val="00573355"/>
    <w:rsid w:val="0057337D"/>
    <w:rsid w:val="00573504"/>
    <w:rsid w:val="0057355F"/>
    <w:rsid w:val="00573BA3"/>
    <w:rsid w:val="00574708"/>
    <w:rsid w:val="00574D81"/>
    <w:rsid w:val="005756AA"/>
    <w:rsid w:val="00576814"/>
    <w:rsid w:val="0057696F"/>
    <w:rsid w:val="005774FE"/>
    <w:rsid w:val="0058040C"/>
    <w:rsid w:val="00580D6D"/>
    <w:rsid w:val="00580FD8"/>
    <w:rsid w:val="005813DE"/>
    <w:rsid w:val="00581796"/>
    <w:rsid w:val="0058195C"/>
    <w:rsid w:val="00581B45"/>
    <w:rsid w:val="00582480"/>
    <w:rsid w:val="00582805"/>
    <w:rsid w:val="0058290E"/>
    <w:rsid w:val="00582CAB"/>
    <w:rsid w:val="00582FA6"/>
    <w:rsid w:val="005836D5"/>
    <w:rsid w:val="0058375E"/>
    <w:rsid w:val="005838D5"/>
    <w:rsid w:val="00584233"/>
    <w:rsid w:val="0058425C"/>
    <w:rsid w:val="005842D0"/>
    <w:rsid w:val="005845FB"/>
    <w:rsid w:val="005855AE"/>
    <w:rsid w:val="00585829"/>
    <w:rsid w:val="00585CA8"/>
    <w:rsid w:val="00586412"/>
    <w:rsid w:val="005864B9"/>
    <w:rsid w:val="00586564"/>
    <w:rsid w:val="005866C4"/>
    <w:rsid w:val="005872A0"/>
    <w:rsid w:val="00590F1A"/>
    <w:rsid w:val="0059135A"/>
    <w:rsid w:val="00591C03"/>
    <w:rsid w:val="00591E2A"/>
    <w:rsid w:val="00592240"/>
    <w:rsid w:val="00592353"/>
    <w:rsid w:val="005923C4"/>
    <w:rsid w:val="0059397D"/>
    <w:rsid w:val="00593EA2"/>
    <w:rsid w:val="00593F75"/>
    <w:rsid w:val="005940A0"/>
    <w:rsid w:val="0059429A"/>
    <w:rsid w:val="00594CBE"/>
    <w:rsid w:val="00596AF7"/>
    <w:rsid w:val="00596CCE"/>
    <w:rsid w:val="005A0AE0"/>
    <w:rsid w:val="005A1976"/>
    <w:rsid w:val="005A200E"/>
    <w:rsid w:val="005A2120"/>
    <w:rsid w:val="005A2501"/>
    <w:rsid w:val="005A2C80"/>
    <w:rsid w:val="005A3066"/>
    <w:rsid w:val="005A33BF"/>
    <w:rsid w:val="005A3B35"/>
    <w:rsid w:val="005A3C4B"/>
    <w:rsid w:val="005A3E5A"/>
    <w:rsid w:val="005A43F3"/>
    <w:rsid w:val="005A496F"/>
    <w:rsid w:val="005A4A56"/>
    <w:rsid w:val="005A4F3C"/>
    <w:rsid w:val="005A5259"/>
    <w:rsid w:val="005A5608"/>
    <w:rsid w:val="005A5A3D"/>
    <w:rsid w:val="005A6035"/>
    <w:rsid w:val="005A6B75"/>
    <w:rsid w:val="005A6E00"/>
    <w:rsid w:val="005A718A"/>
    <w:rsid w:val="005A72DD"/>
    <w:rsid w:val="005A7885"/>
    <w:rsid w:val="005B0293"/>
    <w:rsid w:val="005B12B2"/>
    <w:rsid w:val="005B143B"/>
    <w:rsid w:val="005B19BD"/>
    <w:rsid w:val="005B1E45"/>
    <w:rsid w:val="005B21C4"/>
    <w:rsid w:val="005B2A28"/>
    <w:rsid w:val="005B35AB"/>
    <w:rsid w:val="005B3621"/>
    <w:rsid w:val="005B3EBE"/>
    <w:rsid w:val="005B43D0"/>
    <w:rsid w:val="005B4948"/>
    <w:rsid w:val="005B501D"/>
    <w:rsid w:val="005B54CC"/>
    <w:rsid w:val="005B6F69"/>
    <w:rsid w:val="005B71BB"/>
    <w:rsid w:val="005B74AD"/>
    <w:rsid w:val="005B7E96"/>
    <w:rsid w:val="005C0429"/>
    <w:rsid w:val="005C06A5"/>
    <w:rsid w:val="005C084F"/>
    <w:rsid w:val="005C0EE9"/>
    <w:rsid w:val="005C169F"/>
    <w:rsid w:val="005C16A8"/>
    <w:rsid w:val="005C1716"/>
    <w:rsid w:val="005C1954"/>
    <w:rsid w:val="005C1C0B"/>
    <w:rsid w:val="005C1D8B"/>
    <w:rsid w:val="005C2011"/>
    <w:rsid w:val="005C3984"/>
    <w:rsid w:val="005C3EA3"/>
    <w:rsid w:val="005C44DE"/>
    <w:rsid w:val="005C5011"/>
    <w:rsid w:val="005C5241"/>
    <w:rsid w:val="005C529E"/>
    <w:rsid w:val="005C57BA"/>
    <w:rsid w:val="005C5C52"/>
    <w:rsid w:val="005C5D3D"/>
    <w:rsid w:val="005C5DB6"/>
    <w:rsid w:val="005C5F05"/>
    <w:rsid w:val="005C6186"/>
    <w:rsid w:val="005C6CF7"/>
    <w:rsid w:val="005C6D19"/>
    <w:rsid w:val="005C7E45"/>
    <w:rsid w:val="005C7F3E"/>
    <w:rsid w:val="005D06D3"/>
    <w:rsid w:val="005D0C3B"/>
    <w:rsid w:val="005D103E"/>
    <w:rsid w:val="005D1051"/>
    <w:rsid w:val="005D1511"/>
    <w:rsid w:val="005D1606"/>
    <w:rsid w:val="005D1D10"/>
    <w:rsid w:val="005D2044"/>
    <w:rsid w:val="005D209E"/>
    <w:rsid w:val="005D2917"/>
    <w:rsid w:val="005D2EB2"/>
    <w:rsid w:val="005D2F48"/>
    <w:rsid w:val="005D3902"/>
    <w:rsid w:val="005D3B32"/>
    <w:rsid w:val="005D464B"/>
    <w:rsid w:val="005D466F"/>
    <w:rsid w:val="005D49F0"/>
    <w:rsid w:val="005D51F7"/>
    <w:rsid w:val="005D51FA"/>
    <w:rsid w:val="005D53E8"/>
    <w:rsid w:val="005D5A9D"/>
    <w:rsid w:val="005D5D15"/>
    <w:rsid w:val="005D6573"/>
    <w:rsid w:val="005D6651"/>
    <w:rsid w:val="005D691D"/>
    <w:rsid w:val="005D6A72"/>
    <w:rsid w:val="005D6F38"/>
    <w:rsid w:val="005D791B"/>
    <w:rsid w:val="005D7CF2"/>
    <w:rsid w:val="005D7F92"/>
    <w:rsid w:val="005E062C"/>
    <w:rsid w:val="005E0D7B"/>
    <w:rsid w:val="005E1595"/>
    <w:rsid w:val="005E1F1D"/>
    <w:rsid w:val="005E273D"/>
    <w:rsid w:val="005E3278"/>
    <w:rsid w:val="005E363B"/>
    <w:rsid w:val="005E3736"/>
    <w:rsid w:val="005E3D4B"/>
    <w:rsid w:val="005E4B72"/>
    <w:rsid w:val="005E5022"/>
    <w:rsid w:val="005E52C9"/>
    <w:rsid w:val="005E781C"/>
    <w:rsid w:val="005F140A"/>
    <w:rsid w:val="005F2856"/>
    <w:rsid w:val="005F2D8B"/>
    <w:rsid w:val="005F305B"/>
    <w:rsid w:val="005F3361"/>
    <w:rsid w:val="005F361A"/>
    <w:rsid w:val="005F3B47"/>
    <w:rsid w:val="005F4481"/>
    <w:rsid w:val="005F4596"/>
    <w:rsid w:val="005F47AC"/>
    <w:rsid w:val="005F49AF"/>
    <w:rsid w:val="005F4A58"/>
    <w:rsid w:val="005F54D1"/>
    <w:rsid w:val="005F54DF"/>
    <w:rsid w:val="005F5888"/>
    <w:rsid w:val="005F5984"/>
    <w:rsid w:val="005F5A9D"/>
    <w:rsid w:val="005F5EAB"/>
    <w:rsid w:val="005F6CE2"/>
    <w:rsid w:val="005F6EC8"/>
    <w:rsid w:val="005F6F24"/>
    <w:rsid w:val="005F72E9"/>
    <w:rsid w:val="005F780B"/>
    <w:rsid w:val="0060009C"/>
    <w:rsid w:val="00600473"/>
    <w:rsid w:val="0060139A"/>
    <w:rsid w:val="006013C9"/>
    <w:rsid w:val="00602931"/>
    <w:rsid w:val="00602B45"/>
    <w:rsid w:val="00603499"/>
    <w:rsid w:val="006035F5"/>
    <w:rsid w:val="00603CC2"/>
    <w:rsid w:val="006047D1"/>
    <w:rsid w:val="006048A4"/>
    <w:rsid w:val="00604A55"/>
    <w:rsid w:val="00604D4E"/>
    <w:rsid w:val="00604E3E"/>
    <w:rsid w:val="0060586D"/>
    <w:rsid w:val="00605AC3"/>
    <w:rsid w:val="00606908"/>
    <w:rsid w:val="00607460"/>
    <w:rsid w:val="0060776B"/>
    <w:rsid w:val="00607996"/>
    <w:rsid w:val="00607A37"/>
    <w:rsid w:val="00607E9F"/>
    <w:rsid w:val="006102D8"/>
    <w:rsid w:val="00610407"/>
    <w:rsid w:val="0061085E"/>
    <w:rsid w:val="006112A7"/>
    <w:rsid w:val="00611398"/>
    <w:rsid w:val="006113B4"/>
    <w:rsid w:val="006115F7"/>
    <w:rsid w:val="0061163C"/>
    <w:rsid w:val="0061186D"/>
    <w:rsid w:val="00612322"/>
    <w:rsid w:val="006123C0"/>
    <w:rsid w:val="006129AB"/>
    <w:rsid w:val="00613191"/>
    <w:rsid w:val="006133F9"/>
    <w:rsid w:val="006134B3"/>
    <w:rsid w:val="00613746"/>
    <w:rsid w:val="00613DE1"/>
    <w:rsid w:val="0061401F"/>
    <w:rsid w:val="00614166"/>
    <w:rsid w:val="00614817"/>
    <w:rsid w:val="006149CC"/>
    <w:rsid w:val="00614E21"/>
    <w:rsid w:val="006157A9"/>
    <w:rsid w:val="0061591D"/>
    <w:rsid w:val="00615ED0"/>
    <w:rsid w:val="0061604C"/>
    <w:rsid w:val="00616C2B"/>
    <w:rsid w:val="00616D7F"/>
    <w:rsid w:val="006178D1"/>
    <w:rsid w:val="00617D72"/>
    <w:rsid w:val="00620719"/>
    <w:rsid w:val="006212C9"/>
    <w:rsid w:val="0062131B"/>
    <w:rsid w:val="00621D0C"/>
    <w:rsid w:val="00622185"/>
    <w:rsid w:val="00622229"/>
    <w:rsid w:val="00622470"/>
    <w:rsid w:val="00622725"/>
    <w:rsid w:val="00622785"/>
    <w:rsid w:val="00622B63"/>
    <w:rsid w:val="006231AA"/>
    <w:rsid w:val="00623482"/>
    <w:rsid w:val="00623AC2"/>
    <w:rsid w:val="00623EBC"/>
    <w:rsid w:val="0062475D"/>
    <w:rsid w:val="00625642"/>
    <w:rsid w:val="00625DF2"/>
    <w:rsid w:val="006266D7"/>
    <w:rsid w:val="00626D42"/>
    <w:rsid w:val="00626EE3"/>
    <w:rsid w:val="006274AD"/>
    <w:rsid w:val="00627519"/>
    <w:rsid w:val="00627532"/>
    <w:rsid w:val="0063022E"/>
    <w:rsid w:val="006302AA"/>
    <w:rsid w:val="006310C3"/>
    <w:rsid w:val="0063161E"/>
    <w:rsid w:val="00631BB5"/>
    <w:rsid w:val="00631DD0"/>
    <w:rsid w:val="00633D6C"/>
    <w:rsid w:val="00633DBF"/>
    <w:rsid w:val="00634122"/>
    <w:rsid w:val="0063444B"/>
    <w:rsid w:val="00634BEF"/>
    <w:rsid w:val="00635E32"/>
    <w:rsid w:val="006360FC"/>
    <w:rsid w:val="006361C9"/>
    <w:rsid w:val="00636405"/>
    <w:rsid w:val="006365DE"/>
    <w:rsid w:val="00636BE4"/>
    <w:rsid w:val="00636F88"/>
    <w:rsid w:val="0063732C"/>
    <w:rsid w:val="00637802"/>
    <w:rsid w:val="00637836"/>
    <w:rsid w:val="00637A68"/>
    <w:rsid w:val="00637C26"/>
    <w:rsid w:val="00637F44"/>
    <w:rsid w:val="00641078"/>
    <w:rsid w:val="00641242"/>
    <w:rsid w:val="00641761"/>
    <w:rsid w:val="00642126"/>
    <w:rsid w:val="00642A32"/>
    <w:rsid w:val="00642B8E"/>
    <w:rsid w:val="00642F7C"/>
    <w:rsid w:val="006433D5"/>
    <w:rsid w:val="00643412"/>
    <w:rsid w:val="00645844"/>
    <w:rsid w:val="00645CEB"/>
    <w:rsid w:val="00645E63"/>
    <w:rsid w:val="00646B20"/>
    <w:rsid w:val="00646D0F"/>
    <w:rsid w:val="00647A36"/>
    <w:rsid w:val="00647DCC"/>
    <w:rsid w:val="00647E8E"/>
    <w:rsid w:val="00647EFA"/>
    <w:rsid w:val="00647F14"/>
    <w:rsid w:val="00650027"/>
    <w:rsid w:val="0065040E"/>
    <w:rsid w:val="00650E89"/>
    <w:rsid w:val="006516E6"/>
    <w:rsid w:val="00651B9C"/>
    <w:rsid w:val="00651C47"/>
    <w:rsid w:val="006525BD"/>
    <w:rsid w:val="00652E70"/>
    <w:rsid w:val="00652F4D"/>
    <w:rsid w:val="0065339A"/>
    <w:rsid w:val="00653469"/>
    <w:rsid w:val="0065443A"/>
    <w:rsid w:val="00654A38"/>
    <w:rsid w:val="00654DCE"/>
    <w:rsid w:val="00655301"/>
    <w:rsid w:val="00655371"/>
    <w:rsid w:val="00655507"/>
    <w:rsid w:val="006564A5"/>
    <w:rsid w:val="00656C4B"/>
    <w:rsid w:val="00656FA2"/>
    <w:rsid w:val="006572A7"/>
    <w:rsid w:val="006572DA"/>
    <w:rsid w:val="006573EA"/>
    <w:rsid w:val="006577C9"/>
    <w:rsid w:val="006606A4"/>
    <w:rsid w:val="00661029"/>
    <w:rsid w:val="006610C3"/>
    <w:rsid w:val="0066135A"/>
    <w:rsid w:val="00661A38"/>
    <w:rsid w:val="0066272D"/>
    <w:rsid w:val="00662E58"/>
    <w:rsid w:val="00662F39"/>
    <w:rsid w:val="0066352A"/>
    <w:rsid w:val="006635A0"/>
    <w:rsid w:val="00663D26"/>
    <w:rsid w:val="00664351"/>
    <w:rsid w:val="00665968"/>
    <w:rsid w:val="00665BF7"/>
    <w:rsid w:val="00665E65"/>
    <w:rsid w:val="006660F0"/>
    <w:rsid w:val="00666178"/>
    <w:rsid w:val="0066639E"/>
    <w:rsid w:val="00666473"/>
    <w:rsid w:val="006665B0"/>
    <w:rsid w:val="00666B49"/>
    <w:rsid w:val="00666C72"/>
    <w:rsid w:val="00666E6C"/>
    <w:rsid w:val="0066707F"/>
    <w:rsid w:val="00667ED8"/>
    <w:rsid w:val="0067064C"/>
    <w:rsid w:val="00670B20"/>
    <w:rsid w:val="00670E12"/>
    <w:rsid w:val="00670F27"/>
    <w:rsid w:val="00672E80"/>
    <w:rsid w:val="0067333F"/>
    <w:rsid w:val="006739E4"/>
    <w:rsid w:val="00673ECF"/>
    <w:rsid w:val="0067426B"/>
    <w:rsid w:val="00674A1B"/>
    <w:rsid w:val="00674D08"/>
    <w:rsid w:val="00674F1C"/>
    <w:rsid w:val="006754F8"/>
    <w:rsid w:val="00676127"/>
    <w:rsid w:val="00676AED"/>
    <w:rsid w:val="00677212"/>
    <w:rsid w:val="006776D3"/>
    <w:rsid w:val="00677F26"/>
    <w:rsid w:val="006800EE"/>
    <w:rsid w:val="006802A7"/>
    <w:rsid w:val="00680A86"/>
    <w:rsid w:val="00680FEA"/>
    <w:rsid w:val="006811C9"/>
    <w:rsid w:val="006812CE"/>
    <w:rsid w:val="006817D5"/>
    <w:rsid w:val="006826C1"/>
    <w:rsid w:val="00682C89"/>
    <w:rsid w:val="006832B8"/>
    <w:rsid w:val="00683329"/>
    <w:rsid w:val="006837B2"/>
    <w:rsid w:val="00683800"/>
    <w:rsid w:val="00684462"/>
    <w:rsid w:val="00684C0D"/>
    <w:rsid w:val="00684C8A"/>
    <w:rsid w:val="00684CF5"/>
    <w:rsid w:val="00685479"/>
    <w:rsid w:val="0068553E"/>
    <w:rsid w:val="00685D37"/>
    <w:rsid w:val="00685E7B"/>
    <w:rsid w:val="00686551"/>
    <w:rsid w:val="00686CAB"/>
    <w:rsid w:val="00686E5A"/>
    <w:rsid w:val="0068717F"/>
    <w:rsid w:val="0068730C"/>
    <w:rsid w:val="00687504"/>
    <w:rsid w:val="00687A14"/>
    <w:rsid w:val="00687A8C"/>
    <w:rsid w:val="00690839"/>
    <w:rsid w:val="006908DB"/>
    <w:rsid w:val="00690DE9"/>
    <w:rsid w:val="00691563"/>
    <w:rsid w:val="00691A1A"/>
    <w:rsid w:val="00691DE9"/>
    <w:rsid w:val="00691EAA"/>
    <w:rsid w:val="00692245"/>
    <w:rsid w:val="00692745"/>
    <w:rsid w:val="00692FFA"/>
    <w:rsid w:val="00693772"/>
    <w:rsid w:val="00693984"/>
    <w:rsid w:val="00693B77"/>
    <w:rsid w:val="00694160"/>
    <w:rsid w:val="00694E8B"/>
    <w:rsid w:val="006959A5"/>
    <w:rsid w:val="00695C0C"/>
    <w:rsid w:val="00696736"/>
    <w:rsid w:val="00696A05"/>
    <w:rsid w:val="00697010"/>
    <w:rsid w:val="00697665"/>
    <w:rsid w:val="00697C9A"/>
    <w:rsid w:val="00697E68"/>
    <w:rsid w:val="00697FC1"/>
    <w:rsid w:val="006A0274"/>
    <w:rsid w:val="006A27BC"/>
    <w:rsid w:val="006A2A43"/>
    <w:rsid w:val="006A2BF1"/>
    <w:rsid w:val="006A2F9A"/>
    <w:rsid w:val="006A34E4"/>
    <w:rsid w:val="006A35AC"/>
    <w:rsid w:val="006A3A5A"/>
    <w:rsid w:val="006A44CF"/>
    <w:rsid w:val="006A457D"/>
    <w:rsid w:val="006A4B5A"/>
    <w:rsid w:val="006A4C06"/>
    <w:rsid w:val="006A55EE"/>
    <w:rsid w:val="006A575B"/>
    <w:rsid w:val="006A59DE"/>
    <w:rsid w:val="006A64C6"/>
    <w:rsid w:val="006A6655"/>
    <w:rsid w:val="006A6BF9"/>
    <w:rsid w:val="006A7AB8"/>
    <w:rsid w:val="006A7B11"/>
    <w:rsid w:val="006A7CB5"/>
    <w:rsid w:val="006A7FD0"/>
    <w:rsid w:val="006B025C"/>
    <w:rsid w:val="006B04DB"/>
    <w:rsid w:val="006B08ED"/>
    <w:rsid w:val="006B2170"/>
    <w:rsid w:val="006B2534"/>
    <w:rsid w:val="006B2CB2"/>
    <w:rsid w:val="006B347D"/>
    <w:rsid w:val="006B3E19"/>
    <w:rsid w:val="006B4488"/>
    <w:rsid w:val="006B4736"/>
    <w:rsid w:val="006B4D5D"/>
    <w:rsid w:val="006B50C4"/>
    <w:rsid w:val="006B53AE"/>
    <w:rsid w:val="006B58B4"/>
    <w:rsid w:val="006B5D71"/>
    <w:rsid w:val="006B67AC"/>
    <w:rsid w:val="006B6A23"/>
    <w:rsid w:val="006B6F2B"/>
    <w:rsid w:val="006B786A"/>
    <w:rsid w:val="006B7E4E"/>
    <w:rsid w:val="006C003A"/>
    <w:rsid w:val="006C0273"/>
    <w:rsid w:val="006C107C"/>
    <w:rsid w:val="006C189C"/>
    <w:rsid w:val="006C2454"/>
    <w:rsid w:val="006C2551"/>
    <w:rsid w:val="006C27B9"/>
    <w:rsid w:val="006C37CA"/>
    <w:rsid w:val="006C39AE"/>
    <w:rsid w:val="006C40D2"/>
    <w:rsid w:val="006C441D"/>
    <w:rsid w:val="006C4B85"/>
    <w:rsid w:val="006C4BBD"/>
    <w:rsid w:val="006C551E"/>
    <w:rsid w:val="006C5B15"/>
    <w:rsid w:val="006C5D32"/>
    <w:rsid w:val="006C5DCB"/>
    <w:rsid w:val="006C6475"/>
    <w:rsid w:val="006C70C4"/>
    <w:rsid w:val="006C741F"/>
    <w:rsid w:val="006D04DA"/>
    <w:rsid w:val="006D10F6"/>
    <w:rsid w:val="006D1544"/>
    <w:rsid w:val="006D1688"/>
    <w:rsid w:val="006D1BE1"/>
    <w:rsid w:val="006D1DD3"/>
    <w:rsid w:val="006D1FF3"/>
    <w:rsid w:val="006D2C65"/>
    <w:rsid w:val="006D3097"/>
    <w:rsid w:val="006D32C6"/>
    <w:rsid w:val="006D360E"/>
    <w:rsid w:val="006D3697"/>
    <w:rsid w:val="006D39D2"/>
    <w:rsid w:val="006D3A94"/>
    <w:rsid w:val="006D3F2A"/>
    <w:rsid w:val="006D4370"/>
    <w:rsid w:val="006D46A3"/>
    <w:rsid w:val="006D4A81"/>
    <w:rsid w:val="006D5DCB"/>
    <w:rsid w:val="006D62E0"/>
    <w:rsid w:val="006D6575"/>
    <w:rsid w:val="006D658F"/>
    <w:rsid w:val="006D66B2"/>
    <w:rsid w:val="006D6A12"/>
    <w:rsid w:val="006D712D"/>
    <w:rsid w:val="006D7687"/>
    <w:rsid w:val="006D7D1F"/>
    <w:rsid w:val="006D7D8A"/>
    <w:rsid w:val="006E046C"/>
    <w:rsid w:val="006E0572"/>
    <w:rsid w:val="006E05D8"/>
    <w:rsid w:val="006E08EE"/>
    <w:rsid w:val="006E0F32"/>
    <w:rsid w:val="006E140B"/>
    <w:rsid w:val="006E155A"/>
    <w:rsid w:val="006E2C34"/>
    <w:rsid w:val="006E359B"/>
    <w:rsid w:val="006E39D1"/>
    <w:rsid w:val="006E3B05"/>
    <w:rsid w:val="006E437F"/>
    <w:rsid w:val="006E4D5B"/>
    <w:rsid w:val="006E602F"/>
    <w:rsid w:val="006E6720"/>
    <w:rsid w:val="006E7275"/>
    <w:rsid w:val="006E77B8"/>
    <w:rsid w:val="006E7AAF"/>
    <w:rsid w:val="006F0838"/>
    <w:rsid w:val="006F0F74"/>
    <w:rsid w:val="006F13BA"/>
    <w:rsid w:val="006F15CC"/>
    <w:rsid w:val="006F15F6"/>
    <w:rsid w:val="006F1716"/>
    <w:rsid w:val="006F36EA"/>
    <w:rsid w:val="006F4147"/>
    <w:rsid w:val="006F4315"/>
    <w:rsid w:val="006F4CB0"/>
    <w:rsid w:val="006F4F78"/>
    <w:rsid w:val="006F547E"/>
    <w:rsid w:val="006F5CCF"/>
    <w:rsid w:val="006F6F04"/>
    <w:rsid w:val="006F71F5"/>
    <w:rsid w:val="006F72A8"/>
    <w:rsid w:val="006F79BB"/>
    <w:rsid w:val="007000A6"/>
    <w:rsid w:val="00700610"/>
    <w:rsid w:val="00700AD7"/>
    <w:rsid w:val="0070138A"/>
    <w:rsid w:val="0070157E"/>
    <w:rsid w:val="007030D4"/>
    <w:rsid w:val="00703279"/>
    <w:rsid w:val="00703B61"/>
    <w:rsid w:val="00703E11"/>
    <w:rsid w:val="00704102"/>
    <w:rsid w:val="0070437C"/>
    <w:rsid w:val="0070461C"/>
    <w:rsid w:val="00704F37"/>
    <w:rsid w:val="00705631"/>
    <w:rsid w:val="00705818"/>
    <w:rsid w:val="00705F62"/>
    <w:rsid w:val="00706321"/>
    <w:rsid w:val="00706813"/>
    <w:rsid w:val="0070773F"/>
    <w:rsid w:val="00707A2E"/>
    <w:rsid w:val="00707ED3"/>
    <w:rsid w:val="007101B7"/>
    <w:rsid w:val="00710668"/>
    <w:rsid w:val="00710A74"/>
    <w:rsid w:val="00711019"/>
    <w:rsid w:val="007110F4"/>
    <w:rsid w:val="007112B1"/>
    <w:rsid w:val="0071130F"/>
    <w:rsid w:val="007118D2"/>
    <w:rsid w:val="00712714"/>
    <w:rsid w:val="007129AB"/>
    <w:rsid w:val="00712B63"/>
    <w:rsid w:val="00712E5F"/>
    <w:rsid w:val="00713526"/>
    <w:rsid w:val="00713FC5"/>
    <w:rsid w:val="00714DCA"/>
    <w:rsid w:val="007150F3"/>
    <w:rsid w:val="00715BBF"/>
    <w:rsid w:val="00715C29"/>
    <w:rsid w:val="00715CBD"/>
    <w:rsid w:val="00715EAA"/>
    <w:rsid w:val="00715EF5"/>
    <w:rsid w:val="00716119"/>
    <w:rsid w:val="00716630"/>
    <w:rsid w:val="00716BB0"/>
    <w:rsid w:val="00716CAD"/>
    <w:rsid w:val="00716CD3"/>
    <w:rsid w:val="00716F18"/>
    <w:rsid w:val="00717363"/>
    <w:rsid w:val="0071765C"/>
    <w:rsid w:val="00717786"/>
    <w:rsid w:val="00717ACB"/>
    <w:rsid w:val="0072138B"/>
    <w:rsid w:val="00721BFF"/>
    <w:rsid w:val="007227B6"/>
    <w:rsid w:val="007232EE"/>
    <w:rsid w:val="00723475"/>
    <w:rsid w:val="0072359F"/>
    <w:rsid w:val="007236C4"/>
    <w:rsid w:val="00724635"/>
    <w:rsid w:val="00724F21"/>
    <w:rsid w:val="00725134"/>
    <w:rsid w:val="0072554B"/>
    <w:rsid w:val="0072571F"/>
    <w:rsid w:val="00725AFD"/>
    <w:rsid w:val="00726603"/>
    <w:rsid w:val="007266AC"/>
    <w:rsid w:val="00727799"/>
    <w:rsid w:val="00727B1D"/>
    <w:rsid w:val="00727DDC"/>
    <w:rsid w:val="00730CD6"/>
    <w:rsid w:val="00730F74"/>
    <w:rsid w:val="0073114B"/>
    <w:rsid w:val="00731CAA"/>
    <w:rsid w:val="00732151"/>
    <w:rsid w:val="00732EBC"/>
    <w:rsid w:val="007340F5"/>
    <w:rsid w:val="00734952"/>
    <w:rsid w:val="00734987"/>
    <w:rsid w:val="00734990"/>
    <w:rsid w:val="00734FF5"/>
    <w:rsid w:val="00735B78"/>
    <w:rsid w:val="00735DA7"/>
    <w:rsid w:val="00736700"/>
    <w:rsid w:val="007368B4"/>
    <w:rsid w:val="007376F0"/>
    <w:rsid w:val="007378E0"/>
    <w:rsid w:val="00737A4D"/>
    <w:rsid w:val="0074040E"/>
    <w:rsid w:val="00740529"/>
    <w:rsid w:val="00740876"/>
    <w:rsid w:val="00741358"/>
    <w:rsid w:val="007414B3"/>
    <w:rsid w:val="00741626"/>
    <w:rsid w:val="00742332"/>
    <w:rsid w:val="00742886"/>
    <w:rsid w:val="00742A3A"/>
    <w:rsid w:val="00742BED"/>
    <w:rsid w:val="00742DD2"/>
    <w:rsid w:val="007437C6"/>
    <w:rsid w:val="007441A2"/>
    <w:rsid w:val="00744E80"/>
    <w:rsid w:val="00745035"/>
    <w:rsid w:val="0074531C"/>
    <w:rsid w:val="00745547"/>
    <w:rsid w:val="007459D0"/>
    <w:rsid w:val="0074623A"/>
    <w:rsid w:val="00746420"/>
    <w:rsid w:val="00746499"/>
    <w:rsid w:val="007465DD"/>
    <w:rsid w:val="00746618"/>
    <w:rsid w:val="00746A60"/>
    <w:rsid w:val="00746E04"/>
    <w:rsid w:val="00746E08"/>
    <w:rsid w:val="00746E3D"/>
    <w:rsid w:val="007473B9"/>
    <w:rsid w:val="00747C96"/>
    <w:rsid w:val="00750075"/>
    <w:rsid w:val="007502EC"/>
    <w:rsid w:val="00750382"/>
    <w:rsid w:val="0075094E"/>
    <w:rsid w:val="00750FA8"/>
    <w:rsid w:val="00750FB5"/>
    <w:rsid w:val="007520F0"/>
    <w:rsid w:val="007522E8"/>
    <w:rsid w:val="007529DB"/>
    <w:rsid w:val="007534AD"/>
    <w:rsid w:val="00753BAC"/>
    <w:rsid w:val="00754A0B"/>
    <w:rsid w:val="00755229"/>
    <w:rsid w:val="007552DB"/>
    <w:rsid w:val="0075543A"/>
    <w:rsid w:val="0075549F"/>
    <w:rsid w:val="00755B08"/>
    <w:rsid w:val="00755DD0"/>
    <w:rsid w:val="0075647A"/>
    <w:rsid w:val="00756A2F"/>
    <w:rsid w:val="007573E1"/>
    <w:rsid w:val="0075749E"/>
    <w:rsid w:val="00757722"/>
    <w:rsid w:val="00757B2D"/>
    <w:rsid w:val="00757BAD"/>
    <w:rsid w:val="00757D62"/>
    <w:rsid w:val="00760021"/>
    <w:rsid w:val="00760561"/>
    <w:rsid w:val="00760867"/>
    <w:rsid w:val="00760EB6"/>
    <w:rsid w:val="007616DB"/>
    <w:rsid w:val="00761AB7"/>
    <w:rsid w:val="00761CE6"/>
    <w:rsid w:val="0076228A"/>
    <w:rsid w:val="00762440"/>
    <w:rsid w:val="00762499"/>
    <w:rsid w:val="0076275B"/>
    <w:rsid w:val="007629B7"/>
    <w:rsid w:val="00762E60"/>
    <w:rsid w:val="00762F54"/>
    <w:rsid w:val="007634AD"/>
    <w:rsid w:val="00763D5A"/>
    <w:rsid w:val="0076445F"/>
    <w:rsid w:val="00764EC5"/>
    <w:rsid w:val="007651EF"/>
    <w:rsid w:val="007664FC"/>
    <w:rsid w:val="00766D49"/>
    <w:rsid w:val="00766ECC"/>
    <w:rsid w:val="007672F3"/>
    <w:rsid w:val="007673F2"/>
    <w:rsid w:val="007677B5"/>
    <w:rsid w:val="007678B1"/>
    <w:rsid w:val="007708A8"/>
    <w:rsid w:val="00772100"/>
    <w:rsid w:val="00772275"/>
    <w:rsid w:val="00772C9A"/>
    <w:rsid w:val="007734E4"/>
    <w:rsid w:val="0077380D"/>
    <w:rsid w:val="00773BC8"/>
    <w:rsid w:val="007742CB"/>
    <w:rsid w:val="00774549"/>
    <w:rsid w:val="0077466F"/>
    <w:rsid w:val="007752B7"/>
    <w:rsid w:val="007759A8"/>
    <w:rsid w:val="00775C27"/>
    <w:rsid w:val="00775D98"/>
    <w:rsid w:val="00776624"/>
    <w:rsid w:val="00776B93"/>
    <w:rsid w:val="00776FE5"/>
    <w:rsid w:val="00777101"/>
    <w:rsid w:val="007774E7"/>
    <w:rsid w:val="0077768C"/>
    <w:rsid w:val="00777696"/>
    <w:rsid w:val="00777EDF"/>
    <w:rsid w:val="00777FF4"/>
    <w:rsid w:val="00780251"/>
    <w:rsid w:val="007804FE"/>
    <w:rsid w:val="00780D19"/>
    <w:rsid w:val="00780F32"/>
    <w:rsid w:val="00781049"/>
    <w:rsid w:val="0078122E"/>
    <w:rsid w:val="00781939"/>
    <w:rsid w:val="00781D29"/>
    <w:rsid w:val="007825EF"/>
    <w:rsid w:val="0078286B"/>
    <w:rsid w:val="00782D2C"/>
    <w:rsid w:val="00782FC2"/>
    <w:rsid w:val="0078347A"/>
    <w:rsid w:val="0078410A"/>
    <w:rsid w:val="00784938"/>
    <w:rsid w:val="00784FC4"/>
    <w:rsid w:val="00785815"/>
    <w:rsid w:val="00785BBB"/>
    <w:rsid w:val="00786937"/>
    <w:rsid w:val="00786FAD"/>
    <w:rsid w:val="00787B1B"/>
    <w:rsid w:val="00787CCC"/>
    <w:rsid w:val="00787D90"/>
    <w:rsid w:val="00787F5E"/>
    <w:rsid w:val="00790164"/>
    <w:rsid w:val="007905C6"/>
    <w:rsid w:val="00790A24"/>
    <w:rsid w:val="00790A37"/>
    <w:rsid w:val="00790A60"/>
    <w:rsid w:val="0079146D"/>
    <w:rsid w:val="00791C32"/>
    <w:rsid w:val="00791FF0"/>
    <w:rsid w:val="007923D0"/>
    <w:rsid w:val="00792765"/>
    <w:rsid w:val="007930D3"/>
    <w:rsid w:val="0079381F"/>
    <w:rsid w:val="00793A57"/>
    <w:rsid w:val="00793B2E"/>
    <w:rsid w:val="007948F5"/>
    <w:rsid w:val="00795647"/>
    <w:rsid w:val="007963F6"/>
    <w:rsid w:val="00796DC8"/>
    <w:rsid w:val="00796E80"/>
    <w:rsid w:val="0079744F"/>
    <w:rsid w:val="0079776F"/>
    <w:rsid w:val="007979AD"/>
    <w:rsid w:val="00797A9C"/>
    <w:rsid w:val="007A0502"/>
    <w:rsid w:val="007A0EAB"/>
    <w:rsid w:val="007A2341"/>
    <w:rsid w:val="007A2754"/>
    <w:rsid w:val="007A293F"/>
    <w:rsid w:val="007A38A1"/>
    <w:rsid w:val="007A3BBE"/>
    <w:rsid w:val="007A4766"/>
    <w:rsid w:val="007A5947"/>
    <w:rsid w:val="007A603C"/>
    <w:rsid w:val="007A717B"/>
    <w:rsid w:val="007A7714"/>
    <w:rsid w:val="007B0302"/>
    <w:rsid w:val="007B0313"/>
    <w:rsid w:val="007B0854"/>
    <w:rsid w:val="007B0E48"/>
    <w:rsid w:val="007B19DE"/>
    <w:rsid w:val="007B1D1B"/>
    <w:rsid w:val="007B1F16"/>
    <w:rsid w:val="007B209C"/>
    <w:rsid w:val="007B21AA"/>
    <w:rsid w:val="007B2504"/>
    <w:rsid w:val="007B2549"/>
    <w:rsid w:val="007B303E"/>
    <w:rsid w:val="007B32C0"/>
    <w:rsid w:val="007B32F7"/>
    <w:rsid w:val="007B3659"/>
    <w:rsid w:val="007B38B5"/>
    <w:rsid w:val="007B3B3B"/>
    <w:rsid w:val="007B3BF3"/>
    <w:rsid w:val="007B431B"/>
    <w:rsid w:val="007B4558"/>
    <w:rsid w:val="007B4632"/>
    <w:rsid w:val="007B46A2"/>
    <w:rsid w:val="007B4828"/>
    <w:rsid w:val="007B4B2D"/>
    <w:rsid w:val="007B4D4A"/>
    <w:rsid w:val="007B5428"/>
    <w:rsid w:val="007B59B7"/>
    <w:rsid w:val="007B6C64"/>
    <w:rsid w:val="007B6EC8"/>
    <w:rsid w:val="007B6F81"/>
    <w:rsid w:val="007B7EA2"/>
    <w:rsid w:val="007C097D"/>
    <w:rsid w:val="007C0AF2"/>
    <w:rsid w:val="007C1672"/>
    <w:rsid w:val="007C17AE"/>
    <w:rsid w:val="007C1CFF"/>
    <w:rsid w:val="007C24EE"/>
    <w:rsid w:val="007C312A"/>
    <w:rsid w:val="007C3538"/>
    <w:rsid w:val="007C3570"/>
    <w:rsid w:val="007C3F3B"/>
    <w:rsid w:val="007C4097"/>
    <w:rsid w:val="007C4241"/>
    <w:rsid w:val="007C425E"/>
    <w:rsid w:val="007C55FF"/>
    <w:rsid w:val="007C5676"/>
    <w:rsid w:val="007C6339"/>
    <w:rsid w:val="007C753F"/>
    <w:rsid w:val="007C796C"/>
    <w:rsid w:val="007C7C43"/>
    <w:rsid w:val="007C7E15"/>
    <w:rsid w:val="007C7F0D"/>
    <w:rsid w:val="007D06E3"/>
    <w:rsid w:val="007D09E4"/>
    <w:rsid w:val="007D1134"/>
    <w:rsid w:val="007D231B"/>
    <w:rsid w:val="007D23F7"/>
    <w:rsid w:val="007D2566"/>
    <w:rsid w:val="007D2A8A"/>
    <w:rsid w:val="007D2C18"/>
    <w:rsid w:val="007D2D74"/>
    <w:rsid w:val="007D3693"/>
    <w:rsid w:val="007D3C6D"/>
    <w:rsid w:val="007D481A"/>
    <w:rsid w:val="007D4B96"/>
    <w:rsid w:val="007D4ED0"/>
    <w:rsid w:val="007D5648"/>
    <w:rsid w:val="007D58C5"/>
    <w:rsid w:val="007D5DE8"/>
    <w:rsid w:val="007D7CFC"/>
    <w:rsid w:val="007E0812"/>
    <w:rsid w:val="007E0825"/>
    <w:rsid w:val="007E18DF"/>
    <w:rsid w:val="007E1AE5"/>
    <w:rsid w:val="007E214A"/>
    <w:rsid w:val="007E238D"/>
    <w:rsid w:val="007E2C36"/>
    <w:rsid w:val="007E2FEB"/>
    <w:rsid w:val="007E350D"/>
    <w:rsid w:val="007E3ACA"/>
    <w:rsid w:val="007E3F27"/>
    <w:rsid w:val="007E3F4A"/>
    <w:rsid w:val="007E4F0D"/>
    <w:rsid w:val="007E564D"/>
    <w:rsid w:val="007E5C4A"/>
    <w:rsid w:val="007E6135"/>
    <w:rsid w:val="007E64D4"/>
    <w:rsid w:val="007E6566"/>
    <w:rsid w:val="007E66E9"/>
    <w:rsid w:val="007E69F2"/>
    <w:rsid w:val="007E7432"/>
    <w:rsid w:val="007E74BF"/>
    <w:rsid w:val="007E7657"/>
    <w:rsid w:val="007E7D2E"/>
    <w:rsid w:val="007F14D3"/>
    <w:rsid w:val="007F172C"/>
    <w:rsid w:val="007F1814"/>
    <w:rsid w:val="007F1D9D"/>
    <w:rsid w:val="007F1E28"/>
    <w:rsid w:val="007F1F63"/>
    <w:rsid w:val="007F22A0"/>
    <w:rsid w:val="007F2902"/>
    <w:rsid w:val="007F2903"/>
    <w:rsid w:val="007F2BEC"/>
    <w:rsid w:val="007F2F90"/>
    <w:rsid w:val="007F3320"/>
    <w:rsid w:val="007F3AC1"/>
    <w:rsid w:val="007F4976"/>
    <w:rsid w:val="007F4B40"/>
    <w:rsid w:val="007F4C94"/>
    <w:rsid w:val="007F5A56"/>
    <w:rsid w:val="007F5D42"/>
    <w:rsid w:val="007F616E"/>
    <w:rsid w:val="007F6B46"/>
    <w:rsid w:val="007F72CB"/>
    <w:rsid w:val="007F736A"/>
    <w:rsid w:val="007F7635"/>
    <w:rsid w:val="007F785F"/>
    <w:rsid w:val="007F7961"/>
    <w:rsid w:val="007F7AF6"/>
    <w:rsid w:val="007F7E36"/>
    <w:rsid w:val="00800E6D"/>
    <w:rsid w:val="008014D9"/>
    <w:rsid w:val="0080150F"/>
    <w:rsid w:val="0080153A"/>
    <w:rsid w:val="00801577"/>
    <w:rsid w:val="00801A2A"/>
    <w:rsid w:val="00802041"/>
    <w:rsid w:val="008022C9"/>
    <w:rsid w:val="00802605"/>
    <w:rsid w:val="00802F9E"/>
    <w:rsid w:val="00803700"/>
    <w:rsid w:val="00803D9D"/>
    <w:rsid w:val="0080548A"/>
    <w:rsid w:val="008059C6"/>
    <w:rsid w:val="00805AD7"/>
    <w:rsid w:val="00805BD6"/>
    <w:rsid w:val="00805C3B"/>
    <w:rsid w:val="00805DE3"/>
    <w:rsid w:val="00807C35"/>
    <w:rsid w:val="00807F35"/>
    <w:rsid w:val="00807F69"/>
    <w:rsid w:val="008100F7"/>
    <w:rsid w:val="00810206"/>
    <w:rsid w:val="0081022B"/>
    <w:rsid w:val="00810A15"/>
    <w:rsid w:val="0081154C"/>
    <w:rsid w:val="00811898"/>
    <w:rsid w:val="00811CDC"/>
    <w:rsid w:val="008124D8"/>
    <w:rsid w:val="0081338F"/>
    <w:rsid w:val="00813A7B"/>
    <w:rsid w:val="00813F04"/>
    <w:rsid w:val="0081513E"/>
    <w:rsid w:val="00815DA5"/>
    <w:rsid w:val="00816221"/>
    <w:rsid w:val="00816515"/>
    <w:rsid w:val="008174F3"/>
    <w:rsid w:val="0081766B"/>
    <w:rsid w:val="008201DE"/>
    <w:rsid w:val="008205AC"/>
    <w:rsid w:val="00820705"/>
    <w:rsid w:val="00820CBF"/>
    <w:rsid w:val="00820FA8"/>
    <w:rsid w:val="008212FD"/>
    <w:rsid w:val="00821489"/>
    <w:rsid w:val="0082168D"/>
    <w:rsid w:val="008217B7"/>
    <w:rsid w:val="0082239B"/>
    <w:rsid w:val="0082292E"/>
    <w:rsid w:val="00822D06"/>
    <w:rsid w:val="00822EC4"/>
    <w:rsid w:val="0082348D"/>
    <w:rsid w:val="008236BE"/>
    <w:rsid w:val="00824183"/>
    <w:rsid w:val="008241CE"/>
    <w:rsid w:val="00825240"/>
    <w:rsid w:val="00825B43"/>
    <w:rsid w:val="00826F71"/>
    <w:rsid w:val="00827CC0"/>
    <w:rsid w:val="008306AB"/>
    <w:rsid w:val="00831026"/>
    <w:rsid w:val="0083119B"/>
    <w:rsid w:val="00831BAE"/>
    <w:rsid w:val="00832216"/>
    <w:rsid w:val="00832513"/>
    <w:rsid w:val="00832CD0"/>
    <w:rsid w:val="00833430"/>
    <w:rsid w:val="00833ADA"/>
    <w:rsid w:val="00834128"/>
    <w:rsid w:val="0083417F"/>
    <w:rsid w:val="00835143"/>
    <w:rsid w:val="0083569B"/>
    <w:rsid w:val="00835741"/>
    <w:rsid w:val="008369E8"/>
    <w:rsid w:val="00836A50"/>
    <w:rsid w:val="00836E74"/>
    <w:rsid w:val="00836EAB"/>
    <w:rsid w:val="008374C8"/>
    <w:rsid w:val="00837673"/>
    <w:rsid w:val="00837937"/>
    <w:rsid w:val="00837D82"/>
    <w:rsid w:val="0084008B"/>
    <w:rsid w:val="00840893"/>
    <w:rsid w:val="00840E88"/>
    <w:rsid w:val="00840ECC"/>
    <w:rsid w:val="008410B1"/>
    <w:rsid w:val="008423EC"/>
    <w:rsid w:val="008429A6"/>
    <w:rsid w:val="00843615"/>
    <w:rsid w:val="00843698"/>
    <w:rsid w:val="00843A4B"/>
    <w:rsid w:val="00843B57"/>
    <w:rsid w:val="00843B60"/>
    <w:rsid w:val="00843D33"/>
    <w:rsid w:val="008444F0"/>
    <w:rsid w:val="00844D4F"/>
    <w:rsid w:val="00844F38"/>
    <w:rsid w:val="00845523"/>
    <w:rsid w:val="00845AE3"/>
    <w:rsid w:val="008466A0"/>
    <w:rsid w:val="00847535"/>
    <w:rsid w:val="00847B6D"/>
    <w:rsid w:val="00847BEF"/>
    <w:rsid w:val="0085092D"/>
    <w:rsid w:val="008509A5"/>
    <w:rsid w:val="00850B75"/>
    <w:rsid w:val="00850C79"/>
    <w:rsid w:val="00850D82"/>
    <w:rsid w:val="00850F79"/>
    <w:rsid w:val="0085100B"/>
    <w:rsid w:val="008510A1"/>
    <w:rsid w:val="00851636"/>
    <w:rsid w:val="0085192D"/>
    <w:rsid w:val="0085304C"/>
    <w:rsid w:val="008536BB"/>
    <w:rsid w:val="00853A3C"/>
    <w:rsid w:val="008548CA"/>
    <w:rsid w:val="008563B0"/>
    <w:rsid w:val="00856C06"/>
    <w:rsid w:val="0085790B"/>
    <w:rsid w:val="008579B9"/>
    <w:rsid w:val="00857C95"/>
    <w:rsid w:val="00857E78"/>
    <w:rsid w:val="00860AEF"/>
    <w:rsid w:val="00860B18"/>
    <w:rsid w:val="00860D5E"/>
    <w:rsid w:val="0086122C"/>
    <w:rsid w:val="00861310"/>
    <w:rsid w:val="00861530"/>
    <w:rsid w:val="00861C4D"/>
    <w:rsid w:val="00861F53"/>
    <w:rsid w:val="008625EC"/>
    <w:rsid w:val="0086289E"/>
    <w:rsid w:val="008629CB"/>
    <w:rsid w:val="0086328E"/>
    <w:rsid w:val="0086394E"/>
    <w:rsid w:val="00863F8A"/>
    <w:rsid w:val="00863FE3"/>
    <w:rsid w:val="008640C4"/>
    <w:rsid w:val="00864241"/>
    <w:rsid w:val="008645AA"/>
    <w:rsid w:val="0086468A"/>
    <w:rsid w:val="00865059"/>
    <w:rsid w:val="008650BE"/>
    <w:rsid w:val="00865AF2"/>
    <w:rsid w:val="00865EAF"/>
    <w:rsid w:val="0086633B"/>
    <w:rsid w:val="00866495"/>
    <w:rsid w:val="00866881"/>
    <w:rsid w:val="00866931"/>
    <w:rsid w:val="00867512"/>
    <w:rsid w:val="008678A3"/>
    <w:rsid w:val="00867C13"/>
    <w:rsid w:val="00867C1D"/>
    <w:rsid w:val="0087033C"/>
    <w:rsid w:val="008715ED"/>
    <w:rsid w:val="008717D8"/>
    <w:rsid w:val="00871E3C"/>
    <w:rsid w:val="00872F97"/>
    <w:rsid w:val="00874607"/>
    <w:rsid w:val="008747E9"/>
    <w:rsid w:val="00874915"/>
    <w:rsid w:val="00874B89"/>
    <w:rsid w:val="00874B90"/>
    <w:rsid w:val="00875403"/>
    <w:rsid w:val="00875434"/>
    <w:rsid w:val="00875C1F"/>
    <w:rsid w:val="00876215"/>
    <w:rsid w:val="0087646C"/>
    <w:rsid w:val="00876815"/>
    <w:rsid w:val="00877932"/>
    <w:rsid w:val="00877D6C"/>
    <w:rsid w:val="008808C7"/>
    <w:rsid w:val="0088106B"/>
    <w:rsid w:val="0088107D"/>
    <w:rsid w:val="0088187A"/>
    <w:rsid w:val="00881E64"/>
    <w:rsid w:val="00882E39"/>
    <w:rsid w:val="00883559"/>
    <w:rsid w:val="008850EB"/>
    <w:rsid w:val="00885228"/>
    <w:rsid w:val="008857E3"/>
    <w:rsid w:val="00886DF2"/>
    <w:rsid w:val="00886FB9"/>
    <w:rsid w:val="00887057"/>
    <w:rsid w:val="00887080"/>
    <w:rsid w:val="00887C79"/>
    <w:rsid w:val="008908DC"/>
    <w:rsid w:val="0089107B"/>
    <w:rsid w:val="008913CC"/>
    <w:rsid w:val="008914AE"/>
    <w:rsid w:val="008919CF"/>
    <w:rsid w:val="00891F84"/>
    <w:rsid w:val="00891FC3"/>
    <w:rsid w:val="008928EC"/>
    <w:rsid w:val="00892A15"/>
    <w:rsid w:val="00892E5D"/>
    <w:rsid w:val="00893265"/>
    <w:rsid w:val="008935CF"/>
    <w:rsid w:val="0089436B"/>
    <w:rsid w:val="00894436"/>
    <w:rsid w:val="00894BB1"/>
    <w:rsid w:val="008951D0"/>
    <w:rsid w:val="00895212"/>
    <w:rsid w:val="00895442"/>
    <w:rsid w:val="0089582D"/>
    <w:rsid w:val="008959C6"/>
    <w:rsid w:val="00895E48"/>
    <w:rsid w:val="0089606D"/>
    <w:rsid w:val="00896129"/>
    <w:rsid w:val="00896316"/>
    <w:rsid w:val="0089713C"/>
    <w:rsid w:val="0089774F"/>
    <w:rsid w:val="00897875"/>
    <w:rsid w:val="00897B8F"/>
    <w:rsid w:val="00897F59"/>
    <w:rsid w:val="008A00D9"/>
    <w:rsid w:val="008A07D5"/>
    <w:rsid w:val="008A1C96"/>
    <w:rsid w:val="008A1FB7"/>
    <w:rsid w:val="008A229A"/>
    <w:rsid w:val="008A2A23"/>
    <w:rsid w:val="008A2AF5"/>
    <w:rsid w:val="008A2B5A"/>
    <w:rsid w:val="008A38DE"/>
    <w:rsid w:val="008A3F9D"/>
    <w:rsid w:val="008A41F8"/>
    <w:rsid w:val="008A5474"/>
    <w:rsid w:val="008A5C9A"/>
    <w:rsid w:val="008A6005"/>
    <w:rsid w:val="008A614F"/>
    <w:rsid w:val="008A6A55"/>
    <w:rsid w:val="008A6DF0"/>
    <w:rsid w:val="008A6F6E"/>
    <w:rsid w:val="008A7888"/>
    <w:rsid w:val="008A796E"/>
    <w:rsid w:val="008B0862"/>
    <w:rsid w:val="008B088C"/>
    <w:rsid w:val="008B0C98"/>
    <w:rsid w:val="008B1BF5"/>
    <w:rsid w:val="008B263F"/>
    <w:rsid w:val="008B3045"/>
    <w:rsid w:val="008B3E9E"/>
    <w:rsid w:val="008B47A6"/>
    <w:rsid w:val="008B5C7C"/>
    <w:rsid w:val="008B63FE"/>
    <w:rsid w:val="008B672C"/>
    <w:rsid w:val="008B7108"/>
    <w:rsid w:val="008B71E6"/>
    <w:rsid w:val="008C065F"/>
    <w:rsid w:val="008C0743"/>
    <w:rsid w:val="008C0B4C"/>
    <w:rsid w:val="008C11D9"/>
    <w:rsid w:val="008C11F0"/>
    <w:rsid w:val="008C1918"/>
    <w:rsid w:val="008C1DBA"/>
    <w:rsid w:val="008C24E7"/>
    <w:rsid w:val="008C2500"/>
    <w:rsid w:val="008C2CAC"/>
    <w:rsid w:val="008C3C57"/>
    <w:rsid w:val="008C3E2A"/>
    <w:rsid w:val="008C45BD"/>
    <w:rsid w:val="008C4B19"/>
    <w:rsid w:val="008C62D4"/>
    <w:rsid w:val="008C67A2"/>
    <w:rsid w:val="008C6B89"/>
    <w:rsid w:val="008C6B97"/>
    <w:rsid w:val="008C7141"/>
    <w:rsid w:val="008C7EF7"/>
    <w:rsid w:val="008D094D"/>
    <w:rsid w:val="008D18AA"/>
    <w:rsid w:val="008D1A2A"/>
    <w:rsid w:val="008D1ADE"/>
    <w:rsid w:val="008D3199"/>
    <w:rsid w:val="008D3330"/>
    <w:rsid w:val="008D35D9"/>
    <w:rsid w:val="008D3B36"/>
    <w:rsid w:val="008D3B85"/>
    <w:rsid w:val="008D3BF8"/>
    <w:rsid w:val="008D462D"/>
    <w:rsid w:val="008D6084"/>
    <w:rsid w:val="008D64AC"/>
    <w:rsid w:val="008D656F"/>
    <w:rsid w:val="008D66CA"/>
    <w:rsid w:val="008D69B1"/>
    <w:rsid w:val="008D7338"/>
    <w:rsid w:val="008D785E"/>
    <w:rsid w:val="008D7B59"/>
    <w:rsid w:val="008D7D66"/>
    <w:rsid w:val="008E0012"/>
    <w:rsid w:val="008E0A71"/>
    <w:rsid w:val="008E0DF7"/>
    <w:rsid w:val="008E0FAD"/>
    <w:rsid w:val="008E11E4"/>
    <w:rsid w:val="008E1252"/>
    <w:rsid w:val="008E1347"/>
    <w:rsid w:val="008E16E0"/>
    <w:rsid w:val="008E1C15"/>
    <w:rsid w:val="008E1C9A"/>
    <w:rsid w:val="008E28BD"/>
    <w:rsid w:val="008E2BE6"/>
    <w:rsid w:val="008E30C4"/>
    <w:rsid w:val="008E38B4"/>
    <w:rsid w:val="008E3BA4"/>
    <w:rsid w:val="008E3F17"/>
    <w:rsid w:val="008E44AB"/>
    <w:rsid w:val="008E4CAE"/>
    <w:rsid w:val="008E5179"/>
    <w:rsid w:val="008E51C2"/>
    <w:rsid w:val="008E57FE"/>
    <w:rsid w:val="008E5BA6"/>
    <w:rsid w:val="008E6598"/>
    <w:rsid w:val="008E710F"/>
    <w:rsid w:val="008E7214"/>
    <w:rsid w:val="008E7471"/>
    <w:rsid w:val="008E7497"/>
    <w:rsid w:val="008E7884"/>
    <w:rsid w:val="008E7D6E"/>
    <w:rsid w:val="008F1056"/>
    <w:rsid w:val="008F2E8D"/>
    <w:rsid w:val="008F3511"/>
    <w:rsid w:val="008F361D"/>
    <w:rsid w:val="008F387B"/>
    <w:rsid w:val="008F3DD9"/>
    <w:rsid w:val="008F4163"/>
    <w:rsid w:val="008F462B"/>
    <w:rsid w:val="008F4814"/>
    <w:rsid w:val="008F4B18"/>
    <w:rsid w:val="008F4DA6"/>
    <w:rsid w:val="008F4DFD"/>
    <w:rsid w:val="008F538E"/>
    <w:rsid w:val="008F5A20"/>
    <w:rsid w:val="008F5ABA"/>
    <w:rsid w:val="008F6157"/>
    <w:rsid w:val="008F698E"/>
    <w:rsid w:val="008F71AB"/>
    <w:rsid w:val="008F7905"/>
    <w:rsid w:val="008F7989"/>
    <w:rsid w:val="00900912"/>
    <w:rsid w:val="00900FC5"/>
    <w:rsid w:val="00901F1D"/>
    <w:rsid w:val="00902142"/>
    <w:rsid w:val="009028E8"/>
    <w:rsid w:val="00902E5C"/>
    <w:rsid w:val="0090363E"/>
    <w:rsid w:val="00903788"/>
    <w:rsid w:val="009046E5"/>
    <w:rsid w:val="009047C5"/>
    <w:rsid w:val="00907E97"/>
    <w:rsid w:val="00910683"/>
    <w:rsid w:val="00910E00"/>
    <w:rsid w:val="00910E04"/>
    <w:rsid w:val="009116CE"/>
    <w:rsid w:val="00911714"/>
    <w:rsid w:val="00911D04"/>
    <w:rsid w:val="00911EFF"/>
    <w:rsid w:val="0091310F"/>
    <w:rsid w:val="009136D4"/>
    <w:rsid w:val="00914B9A"/>
    <w:rsid w:val="00914C3F"/>
    <w:rsid w:val="00914F33"/>
    <w:rsid w:val="00915EFE"/>
    <w:rsid w:val="00915FCE"/>
    <w:rsid w:val="00916AFE"/>
    <w:rsid w:val="00916FC8"/>
    <w:rsid w:val="009170D3"/>
    <w:rsid w:val="0091759C"/>
    <w:rsid w:val="00920026"/>
    <w:rsid w:val="009203E2"/>
    <w:rsid w:val="00920BF5"/>
    <w:rsid w:val="00920F61"/>
    <w:rsid w:val="00921304"/>
    <w:rsid w:val="00921395"/>
    <w:rsid w:val="00921805"/>
    <w:rsid w:val="00921E63"/>
    <w:rsid w:val="00923396"/>
    <w:rsid w:val="0092374B"/>
    <w:rsid w:val="00923F56"/>
    <w:rsid w:val="009242A6"/>
    <w:rsid w:val="00924770"/>
    <w:rsid w:val="00924D7D"/>
    <w:rsid w:val="00925346"/>
    <w:rsid w:val="00925743"/>
    <w:rsid w:val="0092579F"/>
    <w:rsid w:val="00927128"/>
    <w:rsid w:val="00927E8D"/>
    <w:rsid w:val="00927F23"/>
    <w:rsid w:val="009307CD"/>
    <w:rsid w:val="00930823"/>
    <w:rsid w:val="00931165"/>
    <w:rsid w:val="00931364"/>
    <w:rsid w:val="00931365"/>
    <w:rsid w:val="00931451"/>
    <w:rsid w:val="00931491"/>
    <w:rsid w:val="009314FA"/>
    <w:rsid w:val="0093194F"/>
    <w:rsid w:val="00931BF3"/>
    <w:rsid w:val="00931C55"/>
    <w:rsid w:val="0093228F"/>
    <w:rsid w:val="00933333"/>
    <w:rsid w:val="0093349A"/>
    <w:rsid w:val="0093360C"/>
    <w:rsid w:val="009338BA"/>
    <w:rsid w:val="00933FCB"/>
    <w:rsid w:val="009346C8"/>
    <w:rsid w:val="00934769"/>
    <w:rsid w:val="00934CEC"/>
    <w:rsid w:val="00934E69"/>
    <w:rsid w:val="00935745"/>
    <w:rsid w:val="00935E70"/>
    <w:rsid w:val="0093609A"/>
    <w:rsid w:val="00936517"/>
    <w:rsid w:val="009371C9"/>
    <w:rsid w:val="00937401"/>
    <w:rsid w:val="009376FB"/>
    <w:rsid w:val="00937D6B"/>
    <w:rsid w:val="00940477"/>
    <w:rsid w:val="00940876"/>
    <w:rsid w:val="00940A53"/>
    <w:rsid w:val="00940F3C"/>
    <w:rsid w:val="009410E0"/>
    <w:rsid w:val="00941FA9"/>
    <w:rsid w:val="00942641"/>
    <w:rsid w:val="00942ED3"/>
    <w:rsid w:val="009439B6"/>
    <w:rsid w:val="009444B4"/>
    <w:rsid w:val="00944644"/>
    <w:rsid w:val="00946A24"/>
    <w:rsid w:val="009470D4"/>
    <w:rsid w:val="00947337"/>
    <w:rsid w:val="00947E6E"/>
    <w:rsid w:val="009512FA"/>
    <w:rsid w:val="009516A9"/>
    <w:rsid w:val="00951E57"/>
    <w:rsid w:val="00952350"/>
    <w:rsid w:val="00952505"/>
    <w:rsid w:val="00953018"/>
    <w:rsid w:val="009533E2"/>
    <w:rsid w:val="00953554"/>
    <w:rsid w:val="0095385A"/>
    <w:rsid w:val="00954F3A"/>
    <w:rsid w:val="0095562A"/>
    <w:rsid w:val="00955DFD"/>
    <w:rsid w:val="0095674F"/>
    <w:rsid w:val="0095780A"/>
    <w:rsid w:val="009578C3"/>
    <w:rsid w:val="009579E4"/>
    <w:rsid w:val="00957AA4"/>
    <w:rsid w:val="00957ACB"/>
    <w:rsid w:val="00957F27"/>
    <w:rsid w:val="00960BDB"/>
    <w:rsid w:val="0096105C"/>
    <w:rsid w:val="0096147D"/>
    <w:rsid w:val="00961595"/>
    <w:rsid w:val="00961C14"/>
    <w:rsid w:val="00961D53"/>
    <w:rsid w:val="00961E5F"/>
    <w:rsid w:val="009625C6"/>
    <w:rsid w:val="009629B5"/>
    <w:rsid w:val="00962A50"/>
    <w:rsid w:val="00963550"/>
    <w:rsid w:val="00964138"/>
    <w:rsid w:val="009648D6"/>
    <w:rsid w:val="00964B3F"/>
    <w:rsid w:val="00964C98"/>
    <w:rsid w:val="00967507"/>
    <w:rsid w:val="00971441"/>
    <w:rsid w:val="00971555"/>
    <w:rsid w:val="009715D4"/>
    <w:rsid w:val="0097179A"/>
    <w:rsid w:val="00971B0A"/>
    <w:rsid w:val="009731F4"/>
    <w:rsid w:val="009732A4"/>
    <w:rsid w:val="00973AB3"/>
    <w:rsid w:val="00973C05"/>
    <w:rsid w:val="0097494E"/>
    <w:rsid w:val="00974999"/>
    <w:rsid w:val="009749BB"/>
    <w:rsid w:val="00974B58"/>
    <w:rsid w:val="00974CBD"/>
    <w:rsid w:val="00975445"/>
    <w:rsid w:val="009761ED"/>
    <w:rsid w:val="00976256"/>
    <w:rsid w:val="0097737D"/>
    <w:rsid w:val="00980209"/>
    <w:rsid w:val="0098022F"/>
    <w:rsid w:val="009810DE"/>
    <w:rsid w:val="00981B91"/>
    <w:rsid w:val="009822D7"/>
    <w:rsid w:val="009827E6"/>
    <w:rsid w:val="00982F84"/>
    <w:rsid w:val="009831C3"/>
    <w:rsid w:val="0098427D"/>
    <w:rsid w:val="00984567"/>
    <w:rsid w:val="00985102"/>
    <w:rsid w:val="009854BC"/>
    <w:rsid w:val="00985A66"/>
    <w:rsid w:val="0098606C"/>
    <w:rsid w:val="009865D5"/>
    <w:rsid w:val="009876F2"/>
    <w:rsid w:val="00987C77"/>
    <w:rsid w:val="00987FED"/>
    <w:rsid w:val="00990345"/>
    <w:rsid w:val="00990701"/>
    <w:rsid w:val="0099119C"/>
    <w:rsid w:val="00991361"/>
    <w:rsid w:val="0099137A"/>
    <w:rsid w:val="0099211C"/>
    <w:rsid w:val="00993013"/>
    <w:rsid w:val="009930AB"/>
    <w:rsid w:val="00993B78"/>
    <w:rsid w:val="00994F3F"/>
    <w:rsid w:val="00995119"/>
    <w:rsid w:val="0099531F"/>
    <w:rsid w:val="009953AD"/>
    <w:rsid w:val="009957D7"/>
    <w:rsid w:val="0099583D"/>
    <w:rsid w:val="00996020"/>
    <w:rsid w:val="0099629E"/>
    <w:rsid w:val="009968CF"/>
    <w:rsid w:val="00996992"/>
    <w:rsid w:val="00996E1E"/>
    <w:rsid w:val="00997148"/>
    <w:rsid w:val="00997392"/>
    <w:rsid w:val="0099747C"/>
    <w:rsid w:val="0099771C"/>
    <w:rsid w:val="00997A88"/>
    <w:rsid w:val="009A01E4"/>
    <w:rsid w:val="009A0369"/>
    <w:rsid w:val="009A0917"/>
    <w:rsid w:val="009A0A33"/>
    <w:rsid w:val="009A0CC0"/>
    <w:rsid w:val="009A10B2"/>
    <w:rsid w:val="009A1351"/>
    <w:rsid w:val="009A1AAB"/>
    <w:rsid w:val="009A2041"/>
    <w:rsid w:val="009A2435"/>
    <w:rsid w:val="009A35DC"/>
    <w:rsid w:val="009A38AB"/>
    <w:rsid w:val="009A39EE"/>
    <w:rsid w:val="009A3A33"/>
    <w:rsid w:val="009A3D47"/>
    <w:rsid w:val="009A4A65"/>
    <w:rsid w:val="009A4D63"/>
    <w:rsid w:val="009A5356"/>
    <w:rsid w:val="009A5468"/>
    <w:rsid w:val="009A55D8"/>
    <w:rsid w:val="009A5D99"/>
    <w:rsid w:val="009A608C"/>
    <w:rsid w:val="009A66D6"/>
    <w:rsid w:val="009A6FDF"/>
    <w:rsid w:val="009A715F"/>
    <w:rsid w:val="009A76D6"/>
    <w:rsid w:val="009A7970"/>
    <w:rsid w:val="009B03F1"/>
    <w:rsid w:val="009B0675"/>
    <w:rsid w:val="009B15C4"/>
    <w:rsid w:val="009B2374"/>
    <w:rsid w:val="009B28D6"/>
    <w:rsid w:val="009B2E29"/>
    <w:rsid w:val="009B3163"/>
    <w:rsid w:val="009B422F"/>
    <w:rsid w:val="009B432C"/>
    <w:rsid w:val="009B46BC"/>
    <w:rsid w:val="009B4D1A"/>
    <w:rsid w:val="009B519D"/>
    <w:rsid w:val="009B558B"/>
    <w:rsid w:val="009B60FE"/>
    <w:rsid w:val="009B663F"/>
    <w:rsid w:val="009B6863"/>
    <w:rsid w:val="009B6D21"/>
    <w:rsid w:val="009B7460"/>
    <w:rsid w:val="009B78ED"/>
    <w:rsid w:val="009B7FFD"/>
    <w:rsid w:val="009C181C"/>
    <w:rsid w:val="009C1A44"/>
    <w:rsid w:val="009C1C7F"/>
    <w:rsid w:val="009C1EC7"/>
    <w:rsid w:val="009C2210"/>
    <w:rsid w:val="009C28A2"/>
    <w:rsid w:val="009C3239"/>
    <w:rsid w:val="009C3828"/>
    <w:rsid w:val="009C3AD3"/>
    <w:rsid w:val="009C3AF4"/>
    <w:rsid w:val="009C3D2C"/>
    <w:rsid w:val="009C4987"/>
    <w:rsid w:val="009C4FDE"/>
    <w:rsid w:val="009C523F"/>
    <w:rsid w:val="009C59BF"/>
    <w:rsid w:val="009C5E4F"/>
    <w:rsid w:val="009C5F64"/>
    <w:rsid w:val="009C5F82"/>
    <w:rsid w:val="009C60EA"/>
    <w:rsid w:val="009C65EB"/>
    <w:rsid w:val="009C6BFC"/>
    <w:rsid w:val="009C70F8"/>
    <w:rsid w:val="009C78A3"/>
    <w:rsid w:val="009C7E68"/>
    <w:rsid w:val="009D00D7"/>
    <w:rsid w:val="009D0156"/>
    <w:rsid w:val="009D03B4"/>
    <w:rsid w:val="009D05DA"/>
    <w:rsid w:val="009D0815"/>
    <w:rsid w:val="009D11F6"/>
    <w:rsid w:val="009D163B"/>
    <w:rsid w:val="009D1A14"/>
    <w:rsid w:val="009D1CF8"/>
    <w:rsid w:val="009D1E2A"/>
    <w:rsid w:val="009D1FA0"/>
    <w:rsid w:val="009D2BDF"/>
    <w:rsid w:val="009D3736"/>
    <w:rsid w:val="009D4529"/>
    <w:rsid w:val="009D460F"/>
    <w:rsid w:val="009D4E02"/>
    <w:rsid w:val="009D604F"/>
    <w:rsid w:val="009D61BB"/>
    <w:rsid w:val="009D6410"/>
    <w:rsid w:val="009D68BB"/>
    <w:rsid w:val="009D6909"/>
    <w:rsid w:val="009D6B46"/>
    <w:rsid w:val="009D700F"/>
    <w:rsid w:val="009D70C2"/>
    <w:rsid w:val="009D7244"/>
    <w:rsid w:val="009D77B9"/>
    <w:rsid w:val="009D7ADB"/>
    <w:rsid w:val="009D7B33"/>
    <w:rsid w:val="009E03C7"/>
    <w:rsid w:val="009E0490"/>
    <w:rsid w:val="009E06C3"/>
    <w:rsid w:val="009E0703"/>
    <w:rsid w:val="009E1035"/>
    <w:rsid w:val="009E16DA"/>
    <w:rsid w:val="009E1CD4"/>
    <w:rsid w:val="009E2391"/>
    <w:rsid w:val="009E28B6"/>
    <w:rsid w:val="009E2A11"/>
    <w:rsid w:val="009E476A"/>
    <w:rsid w:val="009E4A16"/>
    <w:rsid w:val="009E4E05"/>
    <w:rsid w:val="009E56FF"/>
    <w:rsid w:val="009E5CB1"/>
    <w:rsid w:val="009E5E56"/>
    <w:rsid w:val="009E61EA"/>
    <w:rsid w:val="009E6990"/>
    <w:rsid w:val="009E6FEE"/>
    <w:rsid w:val="009F00B9"/>
    <w:rsid w:val="009F060F"/>
    <w:rsid w:val="009F0781"/>
    <w:rsid w:val="009F0850"/>
    <w:rsid w:val="009F15A8"/>
    <w:rsid w:val="009F1950"/>
    <w:rsid w:val="009F1BDF"/>
    <w:rsid w:val="009F1EAE"/>
    <w:rsid w:val="009F210A"/>
    <w:rsid w:val="009F2732"/>
    <w:rsid w:val="009F2848"/>
    <w:rsid w:val="009F369D"/>
    <w:rsid w:val="009F36FE"/>
    <w:rsid w:val="009F3971"/>
    <w:rsid w:val="009F3A42"/>
    <w:rsid w:val="009F4990"/>
    <w:rsid w:val="009F4F25"/>
    <w:rsid w:val="009F59C2"/>
    <w:rsid w:val="009F60AF"/>
    <w:rsid w:val="009F636A"/>
    <w:rsid w:val="009F7263"/>
    <w:rsid w:val="009F73B6"/>
    <w:rsid w:val="009F76EA"/>
    <w:rsid w:val="009F78EB"/>
    <w:rsid w:val="009F7A81"/>
    <w:rsid w:val="009F7DB2"/>
    <w:rsid w:val="009F7EB8"/>
    <w:rsid w:val="009F7ED3"/>
    <w:rsid w:val="009F7F32"/>
    <w:rsid w:val="009F7FEB"/>
    <w:rsid w:val="00A003D5"/>
    <w:rsid w:val="00A0056C"/>
    <w:rsid w:val="00A00F5E"/>
    <w:rsid w:val="00A0120D"/>
    <w:rsid w:val="00A01852"/>
    <w:rsid w:val="00A0188B"/>
    <w:rsid w:val="00A01C35"/>
    <w:rsid w:val="00A01E73"/>
    <w:rsid w:val="00A023E7"/>
    <w:rsid w:val="00A02B88"/>
    <w:rsid w:val="00A03160"/>
    <w:rsid w:val="00A036AC"/>
    <w:rsid w:val="00A03C54"/>
    <w:rsid w:val="00A03DE5"/>
    <w:rsid w:val="00A041BC"/>
    <w:rsid w:val="00A0447F"/>
    <w:rsid w:val="00A046D2"/>
    <w:rsid w:val="00A04712"/>
    <w:rsid w:val="00A04A54"/>
    <w:rsid w:val="00A058B8"/>
    <w:rsid w:val="00A05B4B"/>
    <w:rsid w:val="00A066C3"/>
    <w:rsid w:val="00A06754"/>
    <w:rsid w:val="00A069E0"/>
    <w:rsid w:val="00A06E4A"/>
    <w:rsid w:val="00A070E9"/>
    <w:rsid w:val="00A078FB"/>
    <w:rsid w:val="00A10209"/>
    <w:rsid w:val="00A1036D"/>
    <w:rsid w:val="00A1069F"/>
    <w:rsid w:val="00A10ACA"/>
    <w:rsid w:val="00A10D08"/>
    <w:rsid w:val="00A1181E"/>
    <w:rsid w:val="00A11E78"/>
    <w:rsid w:val="00A12355"/>
    <w:rsid w:val="00A12574"/>
    <w:rsid w:val="00A127D2"/>
    <w:rsid w:val="00A1284E"/>
    <w:rsid w:val="00A13CF5"/>
    <w:rsid w:val="00A143EC"/>
    <w:rsid w:val="00A149E8"/>
    <w:rsid w:val="00A1500F"/>
    <w:rsid w:val="00A154D5"/>
    <w:rsid w:val="00A15621"/>
    <w:rsid w:val="00A15670"/>
    <w:rsid w:val="00A157A0"/>
    <w:rsid w:val="00A1585B"/>
    <w:rsid w:val="00A15C19"/>
    <w:rsid w:val="00A15FE9"/>
    <w:rsid w:val="00A16809"/>
    <w:rsid w:val="00A16864"/>
    <w:rsid w:val="00A169E2"/>
    <w:rsid w:val="00A16F53"/>
    <w:rsid w:val="00A17584"/>
    <w:rsid w:val="00A17769"/>
    <w:rsid w:val="00A17AF6"/>
    <w:rsid w:val="00A17EA2"/>
    <w:rsid w:val="00A201DB"/>
    <w:rsid w:val="00A20264"/>
    <w:rsid w:val="00A20997"/>
    <w:rsid w:val="00A210D4"/>
    <w:rsid w:val="00A213DD"/>
    <w:rsid w:val="00A21454"/>
    <w:rsid w:val="00A216CE"/>
    <w:rsid w:val="00A216F9"/>
    <w:rsid w:val="00A22025"/>
    <w:rsid w:val="00A22498"/>
    <w:rsid w:val="00A22571"/>
    <w:rsid w:val="00A2298D"/>
    <w:rsid w:val="00A235E1"/>
    <w:rsid w:val="00A23C69"/>
    <w:rsid w:val="00A24560"/>
    <w:rsid w:val="00A24B95"/>
    <w:rsid w:val="00A25B0F"/>
    <w:rsid w:val="00A25BBB"/>
    <w:rsid w:val="00A27FB6"/>
    <w:rsid w:val="00A30121"/>
    <w:rsid w:val="00A30368"/>
    <w:rsid w:val="00A3043A"/>
    <w:rsid w:val="00A30E02"/>
    <w:rsid w:val="00A30F6A"/>
    <w:rsid w:val="00A31060"/>
    <w:rsid w:val="00A314EE"/>
    <w:rsid w:val="00A31C3E"/>
    <w:rsid w:val="00A32B2D"/>
    <w:rsid w:val="00A34538"/>
    <w:rsid w:val="00A34677"/>
    <w:rsid w:val="00A3540F"/>
    <w:rsid w:val="00A35630"/>
    <w:rsid w:val="00A35914"/>
    <w:rsid w:val="00A36189"/>
    <w:rsid w:val="00A3677A"/>
    <w:rsid w:val="00A37094"/>
    <w:rsid w:val="00A37E73"/>
    <w:rsid w:val="00A37FB6"/>
    <w:rsid w:val="00A409E2"/>
    <w:rsid w:val="00A4104A"/>
    <w:rsid w:val="00A41081"/>
    <w:rsid w:val="00A411CA"/>
    <w:rsid w:val="00A42080"/>
    <w:rsid w:val="00A42096"/>
    <w:rsid w:val="00A426F3"/>
    <w:rsid w:val="00A42FDF"/>
    <w:rsid w:val="00A430A9"/>
    <w:rsid w:val="00A431FE"/>
    <w:rsid w:val="00A4384F"/>
    <w:rsid w:val="00A439E5"/>
    <w:rsid w:val="00A4414E"/>
    <w:rsid w:val="00A4497A"/>
    <w:rsid w:val="00A44AB5"/>
    <w:rsid w:val="00A44BE8"/>
    <w:rsid w:val="00A44C96"/>
    <w:rsid w:val="00A44CDD"/>
    <w:rsid w:val="00A44F54"/>
    <w:rsid w:val="00A44FE3"/>
    <w:rsid w:val="00A45F9B"/>
    <w:rsid w:val="00A46574"/>
    <w:rsid w:val="00A475B4"/>
    <w:rsid w:val="00A47701"/>
    <w:rsid w:val="00A47849"/>
    <w:rsid w:val="00A500B1"/>
    <w:rsid w:val="00A5140D"/>
    <w:rsid w:val="00A51906"/>
    <w:rsid w:val="00A52A53"/>
    <w:rsid w:val="00A52EE5"/>
    <w:rsid w:val="00A53037"/>
    <w:rsid w:val="00A532B9"/>
    <w:rsid w:val="00A5351D"/>
    <w:rsid w:val="00A53E79"/>
    <w:rsid w:val="00A53EAB"/>
    <w:rsid w:val="00A54031"/>
    <w:rsid w:val="00A5426D"/>
    <w:rsid w:val="00A54FC2"/>
    <w:rsid w:val="00A55122"/>
    <w:rsid w:val="00A55806"/>
    <w:rsid w:val="00A55CEA"/>
    <w:rsid w:val="00A55DBA"/>
    <w:rsid w:val="00A56DE7"/>
    <w:rsid w:val="00A57EB2"/>
    <w:rsid w:val="00A6009E"/>
    <w:rsid w:val="00A60265"/>
    <w:rsid w:val="00A60540"/>
    <w:rsid w:val="00A60B1F"/>
    <w:rsid w:val="00A6144B"/>
    <w:rsid w:val="00A61C60"/>
    <w:rsid w:val="00A61EF5"/>
    <w:rsid w:val="00A62589"/>
    <w:rsid w:val="00A62AD0"/>
    <w:rsid w:val="00A62C3A"/>
    <w:rsid w:val="00A6319C"/>
    <w:rsid w:val="00A63812"/>
    <w:rsid w:val="00A63DF7"/>
    <w:rsid w:val="00A6454D"/>
    <w:rsid w:val="00A64767"/>
    <w:rsid w:val="00A64F2F"/>
    <w:rsid w:val="00A6611E"/>
    <w:rsid w:val="00A668BA"/>
    <w:rsid w:val="00A66FA7"/>
    <w:rsid w:val="00A66FA8"/>
    <w:rsid w:val="00A67170"/>
    <w:rsid w:val="00A67E16"/>
    <w:rsid w:val="00A67EB1"/>
    <w:rsid w:val="00A67F1C"/>
    <w:rsid w:val="00A703CC"/>
    <w:rsid w:val="00A70C5C"/>
    <w:rsid w:val="00A710A2"/>
    <w:rsid w:val="00A71EA7"/>
    <w:rsid w:val="00A730AD"/>
    <w:rsid w:val="00A73855"/>
    <w:rsid w:val="00A73D64"/>
    <w:rsid w:val="00A74216"/>
    <w:rsid w:val="00A74360"/>
    <w:rsid w:val="00A744B4"/>
    <w:rsid w:val="00A74B91"/>
    <w:rsid w:val="00A751E3"/>
    <w:rsid w:val="00A7536B"/>
    <w:rsid w:val="00A753B9"/>
    <w:rsid w:val="00A7549A"/>
    <w:rsid w:val="00A75504"/>
    <w:rsid w:val="00A75FD7"/>
    <w:rsid w:val="00A77168"/>
    <w:rsid w:val="00A7723B"/>
    <w:rsid w:val="00A773C3"/>
    <w:rsid w:val="00A778FA"/>
    <w:rsid w:val="00A7793C"/>
    <w:rsid w:val="00A77D21"/>
    <w:rsid w:val="00A80085"/>
    <w:rsid w:val="00A80276"/>
    <w:rsid w:val="00A8043B"/>
    <w:rsid w:val="00A807DA"/>
    <w:rsid w:val="00A80DA0"/>
    <w:rsid w:val="00A81323"/>
    <w:rsid w:val="00A820CB"/>
    <w:rsid w:val="00A82342"/>
    <w:rsid w:val="00A8236F"/>
    <w:rsid w:val="00A82D06"/>
    <w:rsid w:val="00A83BEF"/>
    <w:rsid w:val="00A84443"/>
    <w:rsid w:val="00A8487F"/>
    <w:rsid w:val="00A849A3"/>
    <w:rsid w:val="00A84A0E"/>
    <w:rsid w:val="00A8575D"/>
    <w:rsid w:val="00A861F4"/>
    <w:rsid w:val="00A86E0B"/>
    <w:rsid w:val="00A87199"/>
    <w:rsid w:val="00A90F12"/>
    <w:rsid w:val="00A91DAA"/>
    <w:rsid w:val="00A93101"/>
    <w:rsid w:val="00A93239"/>
    <w:rsid w:val="00A93AC2"/>
    <w:rsid w:val="00A9413E"/>
    <w:rsid w:val="00A94293"/>
    <w:rsid w:val="00A9496E"/>
    <w:rsid w:val="00A949F0"/>
    <w:rsid w:val="00A94BDE"/>
    <w:rsid w:val="00A94FCA"/>
    <w:rsid w:val="00A95BDE"/>
    <w:rsid w:val="00A95E4C"/>
    <w:rsid w:val="00A96C60"/>
    <w:rsid w:val="00A9740B"/>
    <w:rsid w:val="00A9766C"/>
    <w:rsid w:val="00A977F8"/>
    <w:rsid w:val="00A979DB"/>
    <w:rsid w:val="00A97C93"/>
    <w:rsid w:val="00AA06C6"/>
    <w:rsid w:val="00AA08E7"/>
    <w:rsid w:val="00AA0A06"/>
    <w:rsid w:val="00AA0A87"/>
    <w:rsid w:val="00AA1351"/>
    <w:rsid w:val="00AA184C"/>
    <w:rsid w:val="00AA1AF4"/>
    <w:rsid w:val="00AA1C84"/>
    <w:rsid w:val="00AA1E3E"/>
    <w:rsid w:val="00AA3D7B"/>
    <w:rsid w:val="00AA42A0"/>
    <w:rsid w:val="00AA442B"/>
    <w:rsid w:val="00AA46A4"/>
    <w:rsid w:val="00AA515A"/>
    <w:rsid w:val="00AA5779"/>
    <w:rsid w:val="00AA58A1"/>
    <w:rsid w:val="00AA61C7"/>
    <w:rsid w:val="00AA669D"/>
    <w:rsid w:val="00AA66ED"/>
    <w:rsid w:val="00AA6B59"/>
    <w:rsid w:val="00AA6BE1"/>
    <w:rsid w:val="00AA7416"/>
    <w:rsid w:val="00AA758D"/>
    <w:rsid w:val="00AA7A60"/>
    <w:rsid w:val="00AA7B42"/>
    <w:rsid w:val="00AB041C"/>
    <w:rsid w:val="00AB14E8"/>
    <w:rsid w:val="00AB1B1D"/>
    <w:rsid w:val="00AB1CD8"/>
    <w:rsid w:val="00AB2216"/>
    <w:rsid w:val="00AB358D"/>
    <w:rsid w:val="00AB37A1"/>
    <w:rsid w:val="00AB3BAD"/>
    <w:rsid w:val="00AB3CFD"/>
    <w:rsid w:val="00AB49BC"/>
    <w:rsid w:val="00AB4DEE"/>
    <w:rsid w:val="00AB4E32"/>
    <w:rsid w:val="00AB5C19"/>
    <w:rsid w:val="00AB6BBF"/>
    <w:rsid w:val="00AB724B"/>
    <w:rsid w:val="00AB726C"/>
    <w:rsid w:val="00AB72B4"/>
    <w:rsid w:val="00AB7549"/>
    <w:rsid w:val="00AB7A7A"/>
    <w:rsid w:val="00AC02AA"/>
    <w:rsid w:val="00AC0537"/>
    <w:rsid w:val="00AC0A84"/>
    <w:rsid w:val="00AC0F74"/>
    <w:rsid w:val="00AC1508"/>
    <w:rsid w:val="00AC2A0B"/>
    <w:rsid w:val="00AC2BEE"/>
    <w:rsid w:val="00AC2E53"/>
    <w:rsid w:val="00AC3208"/>
    <w:rsid w:val="00AC484F"/>
    <w:rsid w:val="00AC4AD2"/>
    <w:rsid w:val="00AC4B20"/>
    <w:rsid w:val="00AC5395"/>
    <w:rsid w:val="00AC55C7"/>
    <w:rsid w:val="00AC56F2"/>
    <w:rsid w:val="00AC5D9D"/>
    <w:rsid w:val="00AC71C3"/>
    <w:rsid w:val="00AC7F29"/>
    <w:rsid w:val="00AD09F7"/>
    <w:rsid w:val="00AD1EFA"/>
    <w:rsid w:val="00AD2072"/>
    <w:rsid w:val="00AD21B5"/>
    <w:rsid w:val="00AD2DBD"/>
    <w:rsid w:val="00AD2FBF"/>
    <w:rsid w:val="00AD33A1"/>
    <w:rsid w:val="00AD340E"/>
    <w:rsid w:val="00AD455D"/>
    <w:rsid w:val="00AD463C"/>
    <w:rsid w:val="00AD47C9"/>
    <w:rsid w:val="00AD4F60"/>
    <w:rsid w:val="00AD5044"/>
    <w:rsid w:val="00AD5114"/>
    <w:rsid w:val="00AD6236"/>
    <w:rsid w:val="00AD69D5"/>
    <w:rsid w:val="00AD6D07"/>
    <w:rsid w:val="00AD7619"/>
    <w:rsid w:val="00AD7770"/>
    <w:rsid w:val="00AD7773"/>
    <w:rsid w:val="00AE1772"/>
    <w:rsid w:val="00AE1990"/>
    <w:rsid w:val="00AE25E8"/>
    <w:rsid w:val="00AE2AD4"/>
    <w:rsid w:val="00AE2CA7"/>
    <w:rsid w:val="00AE2F1D"/>
    <w:rsid w:val="00AE4A7D"/>
    <w:rsid w:val="00AE4C81"/>
    <w:rsid w:val="00AE4E63"/>
    <w:rsid w:val="00AE586F"/>
    <w:rsid w:val="00AE5964"/>
    <w:rsid w:val="00AE62FE"/>
    <w:rsid w:val="00AE6582"/>
    <w:rsid w:val="00AE6DC5"/>
    <w:rsid w:val="00AE7686"/>
    <w:rsid w:val="00AE799A"/>
    <w:rsid w:val="00AF0340"/>
    <w:rsid w:val="00AF0E81"/>
    <w:rsid w:val="00AF117A"/>
    <w:rsid w:val="00AF134E"/>
    <w:rsid w:val="00AF16CA"/>
    <w:rsid w:val="00AF186E"/>
    <w:rsid w:val="00AF19DF"/>
    <w:rsid w:val="00AF1C77"/>
    <w:rsid w:val="00AF1D41"/>
    <w:rsid w:val="00AF26CF"/>
    <w:rsid w:val="00AF3124"/>
    <w:rsid w:val="00AF344D"/>
    <w:rsid w:val="00AF39B3"/>
    <w:rsid w:val="00AF3C1F"/>
    <w:rsid w:val="00AF3FED"/>
    <w:rsid w:val="00AF4402"/>
    <w:rsid w:val="00AF44CE"/>
    <w:rsid w:val="00AF4639"/>
    <w:rsid w:val="00AF49CE"/>
    <w:rsid w:val="00AF4E92"/>
    <w:rsid w:val="00AF554B"/>
    <w:rsid w:val="00AF5C9B"/>
    <w:rsid w:val="00AF5D53"/>
    <w:rsid w:val="00AF5E2D"/>
    <w:rsid w:val="00AF644B"/>
    <w:rsid w:val="00AF69EB"/>
    <w:rsid w:val="00AF6CA6"/>
    <w:rsid w:val="00AF6DEC"/>
    <w:rsid w:val="00AF6EB6"/>
    <w:rsid w:val="00AF776A"/>
    <w:rsid w:val="00AF7796"/>
    <w:rsid w:val="00B003DB"/>
    <w:rsid w:val="00B011A9"/>
    <w:rsid w:val="00B01BAF"/>
    <w:rsid w:val="00B0224B"/>
    <w:rsid w:val="00B024ED"/>
    <w:rsid w:val="00B026B8"/>
    <w:rsid w:val="00B02EB3"/>
    <w:rsid w:val="00B02F7C"/>
    <w:rsid w:val="00B02FCB"/>
    <w:rsid w:val="00B033AF"/>
    <w:rsid w:val="00B033F8"/>
    <w:rsid w:val="00B03C1E"/>
    <w:rsid w:val="00B03FE4"/>
    <w:rsid w:val="00B04400"/>
    <w:rsid w:val="00B04493"/>
    <w:rsid w:val="00B04835"/>
    <w:rsid w:val="00B04DFA"/>
    <w:rsid w:val="00B05A55"/>
    <w:rsid w:val="00B05DE1"/>
    <w:rsid w:val="00B06595"/>
    <w:rsid w:val="00B06645"/>
    <w:rsid w:val="00B06862"/>
    <w:rsid w:val="00B10109"/>
    <w:rsid w:val="00B10351"/>
    <w:rsid w:val="00B1085E"/>
    <w:rsid w:val="00B10FD1"/>
    <w:rsid w:val="00B112D5"/>
    <w:rsid w:val="00B11378"/>
    <w:rsid w:val="00B1219D"/>
    <w:rsid w:val="00B12735"/>
    <w:rsid w:val="00B12F44"/>
    <w:rsid w:val="00B13C48"/>
    <w:rsid w:val="00B13E35"/>
    <w:rsid w:val="00B13EC0"/>
    <w:rsid w:val="00B14102"/>
    <w:rsid w:val="00B14778"/>
    <w:rsid w:val="00B14D32"/>
    <w:rsid w:val="00B1507C"/>
    <w:rsid w:val="00B1557C"/>
    <w:rsid w:val="00B155DC"/>
    <w:rsid w:val="00B15766"/>
    <w:rsid w:val="00B15E4A"/>
    <w:rsid w:val="00B1666A"/>
    <w:rsid w:val="00B167C8"/>
    <w:rsid w:val="00B1686D"/>
    <w:rsid w:val="00B16BF7"/>
    <w:rsid w:val="00B17129"/>
    <w:rsid w:val="00B1741D"/>
    <w:rsid w:val="00B17447"/>
    <w:rsid w:val="00B17719"/>
    <w:rsid w:val="00B1771D"/>
    <w:rsid w:val="00B17B91"/>
    <w:rsid w:val="00B20209"/>
    <w:rsid w:val="00B203C9"/>
    <w:rsid w:val="00B2088D"/>
    <w:rsid w:val="00B208FF"/>
    <w:rsid w:val="00B211C6"/>
    <w:rsid w:val="00B21271"/>
    <w:rsid w:val="00B22E22"/>
    <w:rsid w:val="00B22F5F"/>
    <w:rsid w:val="00B23353"/>
    <w:rsid w:val="00B237E6"/>
    <w:rsid w:val="00B23813"/>
    <w:rsid w:val="00B23DA0"/>
    <w:rsid w:val="00B23FD9"/>
    <w:rsid w:val="00B24591"/>
    <w:rsid w:val="00B245D5"/>
    <w:rsid w:val="00B245EF"/>
    <w:rsid w:val="00B24C36"/>
    <w:rsid w:val="00B24D9F"/>
    <w:rsid w:val="00B24F94"/>
    <w:rsid w:val="00B25126"/>
    <w:rsid w:val="00B25703"/>
    <w:rsid w:val="00B25A52"/>
    <w:rsid w:val="00B25EAF"/>
    <w:rsid w:val="00B25FC3"/>
    <w:rsid w:val="00B2692F"/>
    <w:rsid w:val="00B27875"/>
    <w:rsid w:val="00B3008D"/>
    <w:rsid w:val="00B303CF"/>
    <w:rsid w:val="00B30884"/>
    <w:rsid w:val="00B30E11"/>
    <w:rsid w:val="00B30EAE"/>
    <w:rsid w:val="00B30EEB"/>
    <w:rsid w:val="00B31423"/>
    <w:rsid w:val="00B317AE"/>
    <w:rsid w:val="00B323E0"/>
    <w:rsid w:val="00B32DC0"/>
    <w:rsid w:val="00B32E31"/>
    <w:rsid w:val="00B3346C"/>
    <w:rsid w:val="00B335E4"/>
    <w:rsid w:val="00B33C23"/>
    <w:rsid w:val="00B345B4"/>
    <w:rsid w:val="00B348B1"/>
    <w:rsid w:val="00B34A28"/>
    <w:rsid w:val="00B35046"/>
    <w:rsid w:val="00B357F4"/>
    <w:rsid w:val="00B35B6A"/>
    <w:rsid w:val="00B36D2B"/>
    <w:rsid w:val="00B37657"/>
    <w:rsid w:val="00B37AFD"/>
    <w:rsid w:val="00B37B07"/>
    <w:rsid w:val="00B4046F"/>
    <w:rsid w:val="00B406B3"/>
    <w:rsid w:val="00B40A36"/>
    <w:rsid w:val="00B41BCA"/>
    <w:rsid w:val="00B41D39"/>
    <w:rsid w:val="00B422C0"/>
    <w:rsid w:val="00B426CA"/>
    <w:rsid w:val="00B426E1"/>
    <w:rsid w:val="00B4387A"/>
    <w:rsid w:val="00B44746"/>
    <w:rsid w:val="00B44854"/>
    <w:rsid w:val="00B44BA5"/>
    <w:rsid w:val="00B458D0"/>
    <w:rsid w:val="00B4792C"/>
    <w:rsid w:val="00B50CAE"/>
    <w:rsid w:val="00B512AD"/>
    <w:rsid w:val="00B5196C"/>
    <w:rsid w:val="00B525CB"/>
    <w:rsid w:val="00B52697"/>
    <w:rsid w:val="00B53D1A"/>
    <w:rsid w:val="00B54215"/>
    <w:rsid w:val="00B54D8F"/>
    <w:rsid w:val="00B55857"/>
    <w:rsid w:val="00B55C69"/>
    <w:rsid w:val="00B5644C"/>
    <w:rsid w:val="00B56851"/>
    <w:rsid w:val="00B56D6E"/>
    <w:rsid w:val="00B572F7"/>
    <w:rsid w:val="00B57B9D"/>
    <w:rsid w:val="00B57DAF"/>
    <w:rsid w:val="00B60094"/>
    <w:rsid w:val="00B6022C"/>
    <w:rsid w:val="00B6040C"/>
    <w:rsid w:val="00B614F8"/>
    <w:rsid w:val="00B61994"/>
    <w:rsid w:val="00B61B18"/>
    <w:rsid w:val="00B61FD4"/>
    <w:rsid w:val="00B6235B"/>
    <w:rsid w:val="00B62880"/>
    <w:rsid w:val="00B63872"/>
    <w:rsid w:val="00B63CB2"/>
    <w:rsid w:val="00B64246"/>
    <w:rsid w:val="00B64EDB"/>
    <w:rsid w:val="00B65938"/>
    <w:rsid w:val="00B65C8A"/>
    <w:rsid w:val="00B65CE2"/>
    <w:rsid w:val="00B660AD"/>
    <w:rsid w:val="00B66109"/>
    <w:rsid w:val="00B66349"/>
    <w:rsid w:val="00B669B3"/>
    <w:rsid w:val="00B67FBF"/>
    <w:rsid w:val="00B70832"/>
    <w:rsid w:val="00B71376"/>
    <w:rsid w:val="00B716D7"/>
    <w:rsid w:val="00B72110"/>
    <w:rsid w:val="00B72B91"/>
    <w:rsid w:val="00B73019"/>
    <w:rsid w:val="00B7315F"/>
    <w:rsid w:val="00B7323A"/>
    <w:rsid w:val="00B7353B"/>
    <w:rsid w:val="00B737FB"/>
    <w:rsid w:val="00B73E5D"/>
    <w:rsid w:val="00B73EF3"/>
    <w:rsid w:val="00B7423D"/>
    <w:rsid w:val="00B74D05"/>
    <w:rsid w:val="00B74EF8"/>
    <w:rsid w:val="00B75893"/>
    <w:rsid w:val="00B771F4"/>
    <w:rsid w:val="00B7762A"/>
    <w:rsid w:val="00B777FA"/>
    <w:rsid w:val="00B77850"/>
    <w:rsid w:val="00B7796B"/>
    <w:rsid w:val="00B80C72"/>
    <w:rsid w:val="00B8101E"/>
    <w:rsid w:val="00B817DF"/>
    <w:rsid w:val="00B81964"/>
    <w:rsid w:val="00B81E6F"/>
    <w:rsid w:val="00B82123"/>
    <w:rsid w:val="00B8225B"/>
    <w:rsid w:val="00B82BB5"/>
    <w:rsid w:val="00B83182"/>
    <w:rsid w:val="00B839F0"/>
    <w:rsid w:val="00B851E4"/>
    <w:rsid w:val="00B854CE"/>
    <w:rsid w:val="00B85681"/>
    <w:rsid w:val="00B857EB"/>
    <w:rsid w:val="00B858AD"/>
    <w:rsid w:val="00B86162"/>
    <w:rsid w:val="00B86877"/>
    <w:rsid w:val="00B86930"/>
    <w:rsid w:val="00B8695D"/>
    <w:rsid w:val="00B86E66"/>
    <w:rsid w:val="00B873BA"/>
    <w:rsid w:val="00B8746F"/>
    <w:rsid w:val="00B8760D"/>
    <w:rsid w:val="00B87706"/>
    <w:rsid w:val="00B90A49"/>
    <w:rsid w:val="00B90A73"/>
    <w:rsid w:val="00B91B8E"/>
    <w:rsid w:val="00B92531"/>
    <w:rsid w:val="00B92618"/>
    <w:rsid w:val="00B92751"/>
    <w:rsid w:val="00B92871"/>
    <w:rsid w:val="00B92B69"/>
    <w:rsid w:val="00B92CC6"/>
    <w:rsid w:val="00B935C9"/>
    <w:rsid w:val="00B93E3D"/>
    <w:rsid w:val="00B94C95"/>
    <w:rsid w:val="00B95464"/>
    <w:rsid w:val="00B95C30"/>
    <w:rsid w:val="00B95E3D"/>
    <w:rsid w:val="00B9691F"/>
    <w:rsid w:val="00B96EEC"/>
    <w:rsid w:val="00B97392"/>
    <w:rsid w:val="00B976C7"/>
    <w:rsid w:val="00B97A73"/>
    <w:rsid w:val="00BA0C54"/>
    <w:rsid w:val="00BA1382"/>
    <w:rsid w:val="00BA15E3"/>
    <w:rsid w:val="00BA1A8C"/>
    <w:rsid w:val="00BA20B6"/>
    <w:rsid w:val="00BA20D8"/>
    <w:rsid w:val="00BA22FC"/>
    <w:rsid w:val="00BA27B6"/>
    <w:rsid w:val="00BA2C2A"/>
    <w:rsid w:val="00BA2F30"/>
    <w:rsid w:val="00BA35D9"/>
    <w:rsid w:val="00BA3982"/>
    <w:rsid w:val="00BA405F"/>
    <w:rsid w:val="00BA4771"/>
    <w:rsid w:val="00BA482B"/>
    <w:rsid w:val="00BA5027"/>
    <w:rsid w:val="00BA5D92"/>
    <w:rsid w:val="00BA665B"/>
    <w:rsid w:val="00BA6FE8"/>
    <w:rsid w:val="00BA732D"/>
    <w:rsid w:val="00BA7370"/>
    <w:rsid w:val="00BA778B"/>
    <w:rsid w:val="00BB0888"/>
    <w:rsid w:val="00BB0DF1"/>
    <w:rsid w:val="00BB0E49"/>
    <w:rsid w:val="00BB0E9B"/>
    <w:rsid w:val="00BB15EE"/>
    <w:rsid w:val="00BB26A6"/>
    <w:rsid w:val="00BB2841"/>
    <w:rsid w:val="00BB300F"/>
    <w:rsid w:val="00BB32C9"/>
    <w:rsid w:val="00BB35C5"/>
    <w:rsid w:val="00BB4048"/>
    <w:rsid w:val="00BB4C8E"/>
    <w:rsid w:val="00BB5324"/>
    <w:rsid w:val="00BB57ED"/>
    <w:rsid w:val="00BB5A2D"/>
    <w:rsid w:val="00BB606C"/>
    <w:rsid w:val="00BB65C3"/>
    <w:rsid w:val="00BB662E"/>
    <w:rsid w:val="00BB67A9"/>
    <w:rsid w:val="00BB6C01"/>
    <w:rsid w:val="00BB7942"/>
    <w:rsid w:val="00BB7CD1"/>
    <w:rsid w:val="00BC0F33"/>
    <w:rsid w:val="00BC14A7"/>
    <w:rsid w:val="00BC17CC"/>
    <w:rsid w:val="00BC209F"/>
    <w:rsid w:val="00BC20A1"/>
    <w:rsid w:val="00BC24AD"/>
    <w:rsid w:val="00BC2898"/>
    <w:rsid w:val="00BC2928"/>
    <w:rsid w:val="00BC29BD"/>
    <w:rsid w:val="00BC2BB1"/>
    <w:rsid w:val="00BC34A3"/>
    <w:rsid w:val="00BC3FF9"/>
    <w:rsid w:val="00BC4834"/>
    <w:rsid w:val="00BC4A97"/>
    <w:rsid w:val="00BC566B"/>
    <w:rsid w:val="00BC5A25"/>
    <w:rsid w:val="00BC5FDD"/>
    <w:rsid w:val="00BC68B4"/>
    <w:rsid w:val="00BC7277"/>
    <w:rsid w:val="00BD0140"/>
    <w:rsid w:val="00BD02CC"/>
    <w:rsid w:val="00BD088E"/>
    <w:rsid w:val="00BD0F18"/>
    <w:rsid w:val="00BD182E"/>
    <w:rsid w:val="00BD2063"/>
    <w:rsid w:val="00BD28C4"/>
    <w:rsid w:val="00BD2950"/>
    <w:rsid w:val="00BD337A"/>
    <w:rsid w:val="00BD33D9"/>
    <w:rsid w:val="00BD38C5"/>
    <w:rsid w:val="00BD3A6D"/>
    <w:rsid w:val="00BD3AF1"/>
    <w:rsid w:val="00BD3DEA"/>
    <w:rsid w:val="00BD3E97"/>
    <w:rsid w:val="00BD40E4"/>
    <w:rsid w:val="00BD52FE"/>
    <w:rsid w:val="00BD6265"/>
    <w:rsid w:val="00BD62CF"/>
    <w:rsid w:val="00BD67B2"/>
    <w:rsid w:val="00BD68E2"/>
    <w:rsid w:val="00BD6D41"/>
    <w:rsid w:val="00BD7522"/>
    <w:rsid w:val="00BD76E5"/>
    <w:rsid w:val="00BD78FE"/>
    <w:rsid w:val="00BD7FA3"/>
    <w:rsid w:val="00BE0149"/>
    <w:rsid w:val="00BE0767"/>
    <w:rsid w:val="00BE07A6"/>
    <w:rsid w:val="00BE0CDF"/>
    <w:rsid w:val="00BE0F24"/>
    <w:rsid w:val="00BE12D7"/>
    <w:rsid w:val="00BE1372"/>
    <w:rsid w:val="00BE1775"/>
    <w:rsid w:val="00BE18DA"/>
    <w:rsid w:val="00BE1A14"/>
    <w:rsid w:val="00BE26C0"/>
    <w:rsid w:val="00BE3442"/>
    <w:rsid w:val="00BE37CD"/>
    <w:rsid w:val="00BE47B2"/>
    <w:rsid w:val="00BE4881"/>
    <w:rsid w:val="00BE48C7"/>
    <w:rsid w:val="00BE4F66"/>
    <w:rsid w:val="00BE4FBF"/>
    <w:rsid w:val="00BE5238"/>
    <w:rsid w:val="00BE5742"/>
    <w:rsid w:val="00BE6074"/>
    <w:rsid w:val="00BE6D73"/>
    <w:rsid w:val="00BE7257"/>
    <w:rsid w:val="00BE792A"/>
    <w:rsid w:val="00BF020D"/>
    <w:rsid w:val="00BF0532"/>
    <w:rsid w:val="00BF0609"/>
    <w:rsid w:val="00BF0EE8"/>
    <w:rsid w:val="00BF0F20"/>
    <w:rsid w:val="00BF10ED"/>
    <w:rsid w:val="00BF15F2"/>
    <w:rsid w:val="00BF1D48"/>
    <w:rsid w:val="00BF1DD2"/>
    <w:rsid w:val="00BF23A3"/>
    <w:rsid w:val="00BF2A7E"/>
    <w:rsid w:val="00BF2CD0"/>
    <w:rsid w:val="00BF3331"/>
    <w:rsid w:val="00BF3A45"/>
    <w:rsid w:val="00BF436F"/>
    <w:rsid w:val="00BF496B"/>
    <w:rsid w:val="00BF5C05"/>
    <w:rsid w:val="00BF6A12"/>
    <w:rsid w:val="00BF6FC6"/>
    <w:rsid w:val="00BF7B1E"/>
    <w:rsid w:val="00BF7C52"/>
    <w:rsid w:val="00BF7F99"/>
    <w:rsid w:val="00C00713"/>
    <w:rsid w:val="00C009A0"/>
    <w:rsid w:val="00C0167E"/>
    <w:rsid w:val="00C01F74"/>
    <w:rsid w:val="00C020C1"/>
    <w:rsid w:val="00C02558"/>
    <w:rsid w:val="00C025FE"/>
    <w:rsid w:val="00C0285F"/>
    <w:rsid w:val="00C028F5"/>
    <w:rsid w:val="00C02F35"/>
    <w:rsid w:val="00C03305"/>
    <w:rsid w:val="00C033EC"/>
    <w:rsid w:val="00C03515"/>
    <w:rsid w:val="00C03738"/>
    <w:rsid w:val="00C037A6"/>
    <w:rsid w:val="00C04221"/>
    <w:rsid w:val="00C043F5"/>
    <w:rsid w:val="00C044E3"/>
    <w:rsid w:val="00C04607"/>
    <w:rsid w:val="00C04BDB"/>
    <w:rsid w:val="00C052C6"/>
    <w:rsid w:val="00C056DF"/>
    <w:rsid w:val="00C05A61"/>
    <w:rsid w:val="00C05FBA"/>
    <w:rsid w:val="00C05FEE"/>
    <w:rsid w:val="00C0632B"/>
    <w:rsid w:val="00C066B4"/>
    <w:rsid w:val="00C06CCF"/>
    <w:rsid w:val="00C0794D"/>
    <w:rsid w:val="00C1066C"/>
    <w:rsid w:val="00C10E78"/>
    <w:rsid w:val="00C1159D"/>
    <w:rsid w:val="00C1233E"/>
    <w:rsid w:val="00C1276C"/>
    <w:rsid w:val="00C12FB3"/>
    <w:rsid w:val="00C138BC"/>
    <w:rsid w:val="00C13D85"/>
    <w:rsid w:val="00C14575"/>
    <w:rsid w:val="00C14639"/>
    <w:rsid w:val="00C14E82"/>
    <w:rsid w:val="00C14FF6"/>
    <w:rsid w:val="00C157F1"/>
    <w:rsid w:val="00C15A85"/>
    <w:rsid w:val="00C1637C"/>
    <w:rsid w:val="00C1641B"/>
    <w:rsid w:val="00C1641F"/>
    <w:rsid w:val="00C165FC"/>
    <w:rsid w:val="00C16DCE"/>
    <w:rsid w:val="00C176D5"/>
    <w:rsid w:val="00C17918"/>
    <w:rsid w:val="00C17D24"/>
    <w:rsid w:val="00C2082C"/>
    <w:rsid w:val="00C20EB0"/>
    <w:rsid w:val="00C21004"/>
    <w:rsid w:val="00C21005"/>
    <w:rsid w:val="00C218DF"/>
    <w:rsid w:val="00C220B6"/>
    <w:rsid w:val="00C2296B"/>
    <w:rsid w:val="00C22D7C"/>
    <w:rsid w:val="00C22DDE"/>
    <w:rsid w:val="00C2338B"/>
    <w:rsid w:val="00C233CE"/>
    <w:rsid w:val="00C237DD"/>
    <w:rsid w:val="00C238F4"/>
    <w:rsid w:val="00C2393A"/>
    <w:rsid w:val="00C23A99"/>
    <w:rsid w:val="00C23AB5"/>
    <w:rsid w:val="00C245EE"/>
    <w:rsid w:val="00C24AE1"/>
    <w:rsid w:val="00C24B8D"/>
    <w:rsid w:val="00C24BD7"/>
    <w:rsid w:val="00C24F7A"/>
    <w:rsid w:val="00C25813"/>
    <w:rsid w:val="00C26C71"/>
    <w:rsid w:val="00C27143"/>
    <w:rsid w:val="00C2725D"/>
    <w:rsid w:val="00C27490"/>
    <w:rsid w:val="00C27556"/>
    <w:rsid w:val="00C27D37"/>
    <w:rsid w:val="00C309E8"/>
    <w:rsid w:val="00C31583"/>
    <w:rsid w:val="00C32017"/>
    <w:rsid w:val="00C32571"/>
    <w:rsid w:val="00C325CD"/>
    <w:rsid w:val="00C3322E"/>
    <w:rsid w:val="00C337F5"/>
    <w:rsid w:val="00C3383E"/>
    <w:rsid w:val="00C33B90"/>
    <w:rsid w:val="00C34161"/>
    <w:rsid w:val="00C34B5F"/>
    <w:rsid w:val="00C358D4"/>
    <w:rsid w:val="00C365C6"/>
    <w:rsid w:val="00C366F4"/>
    <w:rsid w:val="00C36785"/>
    <w:rsid w:val="00C36FEA"/>
    <w:rsid w:val="00C3711C"/>
    <w:rsid w:val="00C37256"/>
    <w:rsid w:val="00C37A7B"/>
    <w:rsid w:val="00C37DC1"/>
    <w:rsid w:val="00C37FA6"/>
    <w:rsid w:val="00C37FFE"/>
    <w:rsid w:val="00C40B50"/>
    <w:rsid w:val="00C40E37"/>
    <w:rsid w:val="00C419E3"/>
    <w:rsid w:val="00C419F4"/>
    <w:rsid w:val="00C41E6A"/>
    <w:rsid w:val="00C41FDE"/>
    <w:rsid w:val="00C42150"/>
    <w:rsid w:val="00C42247"/>
    <w:rsid w:val="00C428E7"/>
    <w:rsid w:val="00C438A2"/>
    <w:rsid w:val="00C439BE"/>
    <w:rsid w:val="00C43A17"/>
    <w:rsid w:val="00C451B2"/>
    <w:rsid w:val="00C4539B"/>
    <w:rsid w:val="00C45466"/>
    <w:rsid w:val="00C455C1"/>
    <w:rsid w:val="00C4581D"/>
    <w:rsid w:val="00C46CA4"/>
    <w:rsid w:val="00C4709B"/>
    <w:rsid w:val="00C47472"/>
    <w:rsid w:val="00C500F0"/>
    <w:rsid w:val="00C504A7"/>
    <w:rsid w:val="00C506C9"/>
    <w:rsid w:val="00C50A16"/>
    <w:rsid w:val="00C518CF"/>
    <w:rsid w:val="00C51C9A"/>
    <w:rsid w:val="00C52C68"/>
    <w:rsid w:val="00C52D98"/>
    <w:rsid w:val="00C52DA1"/>
    <w:rsid w:val="00C53D24"/>
    <w:rsid w:val="00C54640"/>
    <w:rsid w:val="00C547A6"/>
    <w:rsid w:val="00C54A3A"/>
    <w:rsid w:val="00C55C32"/>
    <w:rsid w:val="00C5602D"/>
    <w:rsid w:val="00C56A67"/>
    <w:rsid w:val="00C56CC2"/>
    <w:rsid w:val="00C56D8D"/>
    <w:rsid w:val="00C57498"/>
    <w:rsid w:val="00C5763C"/>
    <w:rsid w:val="00C5780C"/>
    <w:rsid w:val="00C5796B"/>
    <w:rsid w:val="00C57C64"/>
    <w:rsid w:val="00C612C4"/>
    <w:rsid w:val="00C619A1"/>
    <w:rsid w:val="00C62370"/>
    <w:rsid w:val="00C62BBB"/>
    <w:rsid w:val="00C6305F"/>
    <w:rsid w:val="00C6325B"/>
    <w:rsid w:val="00C63888"/>
    <w:rsid w:val="00C63DDD"/>
    <w:rsid w:val="00C63E99"/>
    <w:rsid w:val="00C649B8"/>
    <w:rsid w:val="00C64A64"/>
    <w:rsid w:val="00C65151"/>
    <w:rsid w:val="00C657F4"/>
    <w:rsid w:val="00C6598D"/>
    <w:rsid w:val="00C660FE"/>
    <w:rsid w:val="00C66119"/>
    <w:rsid w:val="00C66292"/>
    <w:rsid w:val="00C672A3"/>
    <w:rsid w:val="00C672F1"/>
    <w:rsid w:val="00C673D0"/>
    <w:rsid w:val="00C6742E"/>
    <w:rsid w:val="00C67B0B"/>
    <w:rsid w:val="00C67C0E"/>
    <w:rsid w:val="00C70012"/>
    <w:rsid w:val="00C70539"/>
    <w:rsid w:val="00C707DD"/>
    <w:rsid w:val="00C71767"/>
    <w:rsid w:val="00C71E2A"/>
    <w:rsid w:val="00C733BA"/>
    <w:rsid w:val="00C742F6"/>
    <w:rsid w:val="00C760DC"/>
    <w:rsid w:val="00C77777"/>
    <w:rsid w:val="00C8082B"/>
    <w:rsid w:val="00C80C6B"/>
    <w:rsid w:val="00C81A88"/>
    <w:rsid w:val="00C81D46"/>
    <w:rsid w:val="00C82298"/>
    <w:rsid w:val="00C8271B"/>
    <w:rsid w:val="00C82DC7"/>
    <w:rsid w:val="00C8331F"/>
    <w:rsid w:val="00C833B4"/>
    <w:rsid w:val="00C84284"/>
    <w:rsid w:val="00C84E33"/>
    <w:rsid w:val="00C85FFC"/>
    <w:rsid w:val="00C861FC"/>
    <w:rsid w:val="00C86C87"/>
    <w:rsid w:val="00C9005E"/>
    <w:rsid w:val="00C90111"/>
    <w:rsid w:val="00C9038E"/>
    <w:rsid w:val="00C9077B"/>
    <w:rsid w:val="00C90B39"/>
    <w:rsid w:val="00C90CA9"/>
    <w:rsid w:val="00C90F88"/>
    <w:rsid w:val="00C915F2"/>
    <w:rsid w:val="00C917B1"/>
    <w:rsid w:val="00C9193C"/>
    <w:rsid w:val="00C91B77"/>
    <w:rsid w:val="00C920E2"/>
    <w:rsid w:val="00C925F1"/>
    <w:rsid w:val="00C9370F"/>
    <w:rsid w:val="00C93765"/>
    <w:rsid w:val="00C93877"/>
    <w:rsid w:val="00C939D1"/>
    <w:rsid w:val="00C93D8C"/>
    <w:rsid w:val="00C93E07"/>
    <w:rsid w:val="00C93F2A"/>
    <w:rsid w:val="00C940D9"/>
    <w:rsid w:val="00C946CC"/>
    <w:rsid w:val="00C959BD"/>
    <w:rsid w:val="00C95DFE"/>
    <w:rsid w:val="00C95F44"/>
    <w:rsid w:val="00C96331"/>
    <w:rsid w:val="00C96D1B"/>
    <w:rsid w:val="00C97106"/>
    <w:rsid w:val="00C978D4"/>
    <w:rsid w:val="00CA0031"/>
    <w:rsid w:val="00CA0413"/>
    <w:rsid w:val="00CA043A"/>
    <w:rsid w:val="00CA0858"/>
    <w:rsid w:val="00CA0E51"/>
    <w:rsid w:val="00CA1691"/>
    <w:rsid w:val="00CA2697"/>
    <w:rsid w:val="00CA41E7"/>
    <w:rsid w:val="00CA4A99"/>
    <w:rsid w:val="00CA4CCC"/>
    <w:rsid w:val="00CA5173"/>
    <w:rsid w:val="00CA5520"/>
    <w:rsid w:val="00CA5812"/>
    <w:rsid w:val="00CA5984"/>
    <w:rsid w:val="00CA5BD4"/>
    <w:rsid w:val="00CA5C14"/>
    <w:rsid w:val="00CA6B2F"/>
    <w:rsid w:val="00CA7019"/>
    <w:rsid w:val="00CA76FC"/>
    <w:rsid w:val="00CA7E7B"/>
    <w:rsid w:val="00CB0236"/>
    <w:rsid w:val="00CB0C97"/>
    <w:rsid w:val="00CB0CB1"/>
    <w:rsid w:val="00CB137C"/>
    <w:rsid w:val="00CB1881"/>
    <w:rsid w:val="00CB1969"/>
    <w:rsid w:val="00CB19E3"/>
    <w:rsid w:val="00CB2C3A"/>
    <w:rsid w:val="00CB2D38"/>
    <w:rsid w:val="00CB2F5E"/>
    <w:rsid w:val="00CB4137"/>
    <w:rsid w:val="00CB50D0"/>
    <w:rsid w:val="00CB52D0"/>
    <w:rsid w:val="00CB5578"/>
    <w:rsid w:val="00CB5671"/>
    <w:rsid w:val="00CB591C"/>
    <w:rsid w:val="00CB5943"/>
    <w:rsid w:val="00CB61B3"/>
    <w:rsid w:val="00CB61F2"/>
    <w:rsid w:val="00CB6801"/>
    <w:rsid w:val="00CB6F83"/>
    <w:rsid w:val="00CB72AE"/>
    <w:rsid w:val="00CC00CD"/>
    <w:rsid w:val="00CC0579"/>
    <w:rsid w:val="00CC090E"/>
    <w:rsid w:val="00CC0AF3"/>
    <w:rsid w:val="00CC0BC6"/>
    <w:rsid w:val="00CC0E68"/>
    <w:rsid w:val="00CC1780"/>
    <w:rsid w:val="00CC194E"/>
    <w:rsid w:val="00CC1C03"/>
    <w:rsid w:val="00CC21AC"/>
    <w:rsid w:val="00CC232E"/>
    <w:rsid w:val="00CC2514"/>
    <w:rsid w:val="00CC2D34"/>
    <w:rsid w:val="00CC2F69"/>
    <w:rsid w:val="00CC315F"/>
    <w:rsid w:val="00CC3D38"/>
    <w:rsid w:val="00CC3F2F"/>
    <w:rsid w:val="00CC40C3"/>
    <w:rsid w:val="00CC4CB4"/>
    <w:rsid w:val="00CC4E5D"/>
    <w:rsid w:val="00CC4EF4"/>
    <w:rsid w:val="00CC4F87"/>
    <w:rsid w:val="00CC50AE"/>
    <w:rsid w:val="00CC5FFE"/>
    <w:rsid w:val="00CC61B7"/>
    <w:rsid w:val="00CC61CA"/>
    <w:rsid w:val="00CC69EC"/>
    <w:rsid w:val="00CC71D3"/>
    <w:rsid w:val="00CC743D"/>
    <w:rsid w:val="00CD02ED"/>
    <w:rsid w:val="00CD050A"/>
    <w:rsid w:val="00CD1017"/>
    <w:rsid w:val="00CD109C"/>
    <w:rsid w:val="00CD205D"/>
    <w:rsid w:val="00CD2A22"/>
    <w:rsid w:val="00CD2B50"/>
    <w:rsid w:val="00CD3172"/>
    <w:rsid w:val="00CD405A"/>
    <w:rsid w:val="00CD4506"/>
    <w:rsid w:val="00CD520B"/>
    <w:rsid w:val="00CD592E"/>
    <w:rsid w:val="00CD5982"/>
    <w:rsid w:val="00CD5A1A"/>
    <w:rsid w:val="00CD5C26"/>
    <w:rsid w:val="00CD6126"/>
    <w:rsid w:val="00CD690F"/>
    <w:rsid w:val="00CD6CAB"/>
    <w:rsid w:val="00CD7EFA"/>
    <w:rsid w:val="00CE020E"/>
    <w:rsid w:val="00CE026B"/>
    <w:rsid w:val="00CE0566"/>
    <w:rsid w:val="00CE1CD4"/>
    <w:rsid w:val="00CE24D3"/>
    <w:rsid w:val="00CE2761"/>
    <w:rsid w:val="00CE28FC"/>
    <w:rsid w:val="00CE314E"/>
    <w:rsid w:val="00CE3A85"/>
    <w:rsid w:val="00CE3D5C"/>
    <w:rsid w:val="00CE3E09"/>
    <w:rsid w:val="00CE3E14"/>
    <w:rsid w:val="00CE44C7"/>
    <w:rsid w:val="00CE53CC"/>
    <w:rsid w:val="00CE5F60"/>
    <w:rsid w:val="00CE65A7"/>
    <w:rsid w:val="00CE68EF"/>
    <w:rsid w:val="00CE68FE"/>
    <w:rsid w:val="00CE69CC"/>
    <w:rsid w:val="00CE6EC4"/>
    <w:rsid w:val="00CE7F26"/>
    <w:rsid w:val="00CF021C"/>
    <w:rsid w:val="00CF1226"/>
    <w:rsid w:val="00CF1ABB"/>
    <w:rsid w:val="00CF1E1D"/>
    <w:rsid w:val="00CF1EB8"/>
    <w:rsid w:val="00CF24FE"/>
    <w:rsid w:val="00CF287F"/>
    <w:rsid w:val="00CF305E"/>
    <w:rsid w:val="00CF35D0"/>
    <w:rsid w:val="00CF3B57"/>
    <w:rsid w:val="00CF3D61"/>
    <w:rsid w:val="00CF3DD5"/>
    <w:rsid w:val="00CF43E7"/>
    <w:rsid w:val="00CF4AF7"/>
    <w:rsid w:val="00CF4D20"/>
    <w:rsid w:val="00CF5EC0"/>
    <w:rsid w:val="00CF73F8"/>
    <w:rsid w:val="00CF7675"/>
    <w:rsid w:val="00CF7928"/>
    <w:rsid w:val="00CF7CA2"/>
    <w:rsid w:val="00D00911"/>
    <w:rsid w:val="00D00A8E"/>
    <w:rsid w:val="00D00DE0"/>
    <w:rsid w:val="00D00F79"/>
    <w:rsid w:val="00D012BF"/>
    <w:rsid w:val="00D01760"/>
    <w:rsid w:val="00D01838"/>
    <w:rsid w:val="00D028B5"/>
    <w:rsid w:val="00D0368E"/>
    <w:rsid w:val="00D03AC3"/>
    <w:rsid w:val="00D03D2D"/>
    <w:rsid w:val="00D03E7B"/>
    <w:rsid w:val="00D0401A"/>
    <w:rsid w:val="00D047E0"/>
    <w:rsid w:val="00D04B9F"/>
    <w:rsid w:val="00D04D43"/>
    <w:rsid w:val="00D04F94"/>
    <w:rsid w:val="00D04FFB"/>
    <w:rsid w:val="00D055FE"/>
    <w:rsid w:val="00D058E9"/>
    <w:rsid w:val="00D0612A"/>
    <w:rsid w:val="00D06693"/>
    <w:rsid w:val="00D1060D"/>
    <w:rsid w:val="00D10D14"/>
    <w:rsid w:val="00D10E7C"/>
    <w:rsid w:val="00D11182"/>
    <w:rsid w:val="00D1137B"/>
    <w:rsid w:val="00D11454"/>
    <w:rsid w:val="00D11508"/>
    <w:rsid w:val="00D11807"/>
    <w:rsid w:val="00D11881"/>
    <w:rsid w:val="00D11DB3"/>
    <w:rsid w:val="00D12D82"/>
    <w:rsid w:val="00D12F77"/>
    <w:rsid w:val="00D1306E"/>
    <w:rsid w:val="00D130B7"/>
    <w:rsid w:val="00D134CD"/>
    <w:rsid w:val="00D13FE4"/>
    <w:rsid w:val="00D1401E"/>
    <w:rsid w:val="00D14B5F"/>
    <w:rsid w:val="00D14E13"/>
    <w:rsid w:val="00D14F23"/>
    <w:rsid w:val="00D160F6"/>
    <w:rsid w:val="00D16740"/>
    <w:rsid w:val="00D16A8B"/>
    <w:rsid w:val="00D16E39"/>
    <w:rsid w:val="00D171DE"/>
    <w:rsid w:val="00D172A4"/>
    <w:rsid w:val="00D17951"/>
    <w:rsid w:val="00D17AD8"/>
    <w:rsid w:val="00D205C7"/>
    <w:rsid w:val="00D2104A"/>
    <w:rsid w:val="00D21A58"/>
    <w:rsid w:val="00D21BB5"/>
    <w:rsid w:val="00D21FFC"/>
    <w:rsid w:val="00D223B6"/>
    <w:rsid w:val="00D223E8"/>
    <w:rsid w:val="00D224E1"/>
    <w:rsid w:val="00D22DC8"/>
    <w:rsid w:val="00D23094"/>
    <w:rsid w:val="00D23732"/>
    <w:rsid w:val="00D2374F"/>
    <w:rsid w:val="00D2376E"/>
    <w:rsid w:val="00D2477B"/>
    <w:rsid w:val="00D24F93"/>
    <w:rsid w:val="00D25027"/>
    <w:rsid w:val="00D2522A"/>
    <w:rsid w:val="00D2531C"/>
    <w:rsid w:val="00D25428"/>
    <w:rsid w:val="00D2553E"/>
    <w:rsid w:val="00D2587F"/>
    <w:rsid w:val="00D2742F"/>
    <w:rsid w:val="00D2754F"/>
    <w:rsid w:val="00D277C5"/>
    <w:rsid w:val="00D279D9"/>
    <w:rsid w:val="00D309A0"/>
    <w:rsid w:val="00D312DC"/>
    <w:rsid w:val="00D31B84"/>
    <w:rsid w:val="00D31C6A"/>
    <w:rsid w:val="00D31EDF"/>
    <w:rsid w:val="00D31FF9"/>
    <w:rsid w:val="00D32149"/>
    <w:rsid w:val="00D32256"/>
    <w:rsid w:val="00D32784"/>
    <w:rsid w:val="00D32A27"/>
    <w:rsid w:val="00D32ABC"/>
    <w:rsid w:val="00D33D9B"/>
    <w:rsid w:val="00D33EE9"/>
    <w:rsid w:val="00D33FA4"/>
    <w:rsid w:val="00D34B25"/>
    <w:rsid w:val="00D34C7F"/>
    <w:rsid w:val="00D34F4E"/>
    <w:rsid w:val="00D357F3"/>
    <w:rsid w:val="00D35C0E"/>
    <w:rsid w:val="00D36FBF"/>
    <w:rsid w:val="00D373A8"/>
    <w:rsid w:val="00D379A5"/>
    <w:rsid w:val="00D37BB3"/>
    <w:rsid w:val="00D37C5D"/>
    <w:rsid w:val="00D401BE"/>
    <w:rsid w:val="00D4043A"/>
    <w:rsid w:val="00D40DB0"/>
    <w:rsid w:val="00D41093"/>
    <w:rsid w:val="00D41858"/>
    <w:rsid w:val="00D41EEB"/>
    <w:rsid w:val="00D422DB"/>
    <w:rsid w:val="00D4289B"/>
    <w:rsid w:val="00D42AC2"/>
    <w:rsid w:val="00D4498E"/>
    <w:rsid w:val="00D4515F"/>
    <w:rsid w:val="00D451E8"/>
    <w:rsid w:val="00D45EE8"/>
    <w:rsid w:val="00D466C9"/>
    <w:rsid w:val="00D46B43"/>
    <w:rsid w:val="00D47275"/>
    <w:rsid w:val="00D517F6"/>
    <w:rsid w:val="00D51AB7"/>
    <w:rsid w:val="00D51E15"/>
    <w:rsid w:val="00D51FBC"/>
    <w:rsid w:val="00D52B7E"/>
    <w:rsid w:val="00D52E2F"/>
    <w:rsid w:val="00D52F59"/>
    <w:rsid w:val="00D53445"/>
    <w:rsid w:val="00D536E0"/>
    <w:rsid w:val="00D53C61"/>
    <w:rsid w:val="00D53E3E"/>
    <w:rsid w:val="00D54620"/>
    <w:rsid w:val="00D55904"/>
    <w:rsid w:val="00D55DFF"/>
    <w:rsid w:val="00D5614E"/>
    <w:rsid w:val="00D5616F"/>
    <w:rsid w:val="00D56C7D"/>
    <w:rsid w:val="00D57940"/>
    <w:rsid w:val="00D60327"/>
    <w:rsid w:val="00D605BB"/>
    <w:rsid w:val="00D61384"/>
    <w:rsid w:val="00D61526"/>
    <w:rsid w:val="00D61C39"/>
    <w:rsid w:val="00D61F81"/>
    <w:rsid w:val="00D62088"/>
    <w:rsid w:val="00D620A6"/>
    <w:rsid w:val="00D623C0"/>
    <w:rsid w:val="00D62631"/>
    <w:rsid w:val="00D62BE6"/>
    <w:rsid w:val="00D62F00"/>
    <w:rsid w:val="00D63359"/>
    <w:rsid w:val="00D63706"/>
    <w:rsid w:val="00D63766"/>
    <w:rsid w:val="00D63912"/>
    <w:rsid w:val="00D63923"/>
    <w:rsid w:val="00D6451B"/>
    <w:rsid w:val="00D64B57"/>
    <w:rsid w:val="00D650F4"/>
    <w:rsid w:val="00D651A1"/>
    <w:rsid w:val="00D6535E"/>
    <w:rsid w:val="00D65B2B"/>
    <w:rsid w:val="00D65C15"/>
    <w:rsid w:val="00D65DEA"/>
    <w:rsid w:val="00D6650F"/>
    <w:rsid w:val="00D66579"/>
    <w:rsid w:val="00D66CF2"/>
    <w:rsid w:val="00D676D3"/>
    <w:rsid w:val="00D67B06"/>
    <w:rsid w:val="00D67BC7"/>
    <w:rsid w:val="00D67C3B"/>
    <w:rsid w:val="00D701F1"/>
    <w:rsid w:val="00D705D3"/>
    <w:rsid w:val="00D70E00"/>
    <w:rsid w:val="00D70F7C"/>
    <w:rsid w:val="00D715AC"/>
    <w:rsid w:val="00D71851"/>
    <w:rsid w:val="00D718CF"/>
    <w:rsid w:val="00D728F5"/>
    <w:rsid w:val="00D72BC3"/>
    <w:rsid w:val="00D72E9D"/>
    <w:rsid w:val="00D73249"/>
    <w:rsid w:val="00D732AC"/>
    <w:rsid w:val="00D73419"/>
    <w:rsid w:val="00D73437"/>
    <w:rsid w:val="00D73881"/>
    <w:rsid w:val="00D73CA9"/>
    <w:rsid w:val="00D751B7"/>
    <w:rsid w:val="00D75232"/>
    <w:rsid w:val="00D7524B"/>
    <w:rsid w:val="00D75396"/>
    <w:rsid w:val="00D753E7"/>
    <w:rsid w:val="00D759C0"/>
    <w:rsid w:val="00D75E99"/>
    <w:rsid w:val="00D765CE"/>
    <w:rsid w:val="00D766C7"/>
    <w:rsid w:val="00D7692B"/>
    <w:rsid w:val="00D7734F"/>
    <w:rsid w:val="00D7762A"/>
    <w:rsid w:val="00D7791D"/>
    <w:rsid w:val="00D77CF4"/>
    <w:rsid w:val="00D77D89"/>
    <w:rsid w:val="00D8039E"/>
    <w:rsid w:val="00D8044C"/>
    <w:rsid w:val="00D805D6"/>
    <w:rsid w:val="00D8075E"/>
    <w:rsid w:val="00D80860"/>
    <w:rsid w:val="00D80D4C"/>
    <w:rsid w:val="00D8184D"/>
    <w:rsid w:val="00D81A7B"/>
    <w:rsid w:val="00D8223C"/>
    <w:rsid w:val="00D82A7D"/>
    <w:rsid w:val="00D82B57"/>
    <w:rsid w:val="00D82CE5"/>
    <w:rsid w:val="00D82DFA"/>
    <w:rsid w:val="00D831E3"/>
    <w:rsid w:val="00D8342C"/>
    <w:rsid w:val="00D84983"/>
    <w:rsid w:val="00D84C00"/>
    <w:rsid w:val="00D85494"/>
    <w:rsid w:val="00D8582C"/>
    <w:rsid w:val="00D85D61"/>
    <w:rsid w:val="00D8616D"/>
    <w:rsid w:val="00D8711B"/>
    <w:rsid w:val="00D87384"/>
    <w:rsid w:val="00D87882"/>
    <w:rsid w:val="00D9015D"/>
    <w:rsid w:val="00D90683"/>
    <w:rsid w:val="00D90B2A"/>
    <w:rsid w:val="00D91483"/>
    <w:rsid w:val="00D915C8"/>
    <w:rsid w:val="00D93049"/>
    <w:rsid w:val="00D9310B"/>
    <w:rsid w:val="00D931F3"/>
    <w:rsid w:val="00D93726"/>
    <w:rsid w:val="00D93F3E"/>
    <w:rsid w:val="00D9405B"/>
    <w:rsid w:val="00D94942"/>
    <w:rsid w:val="00D9502A"/>
    <w:rsid w:val="00D95145"/>
    <w:rsid w:val="00D96594"/>
    <w:rsid w:val="00D96678"/>
    <w:rsid w:val="00D967CB"/>
    <w:rsid w:val="00D968D4"/>
    <w:rsid w:val="00D96EE0"/>
    <w:rsid w:val="00D96F14"/>
    <w:rsid w:val="00D97BD1"/>
    <w:rsid w:val="00D97EF0"/>
    <w:rsid w:val="00DA00C3"/>
    <w:rsid w:val="00DA01E9"/>
    <w:rsid w:val="00DA06B8"/>
    <w:rsid w:val="00DA14A9"/>
    <w:rsid w:val="00DA1863"/>
    <w:rsid w:val="00DA1CE7"/>
    <w:rsid w:val="00DA286D"/>
    <w:rsid w:val="00DA2969"/>
    <w:rsid w:val="00DA29B7"/>
    <w:rsid w:val="00DA2E5F"/>
    <w:rsid w:val="00DA337C"/>
    <w:rsid w:val="00DA422F"/>
    <w:rsid w:val="00DA4842"/>
    <w:rsid w:val="00DA4C97"/>
    <w:rsid w:val="00DA5989"/>
    <w:rsid w:val="00DA5AB1"/>
    <w:rsid w:val="00DA5F9D"/>
    <w:rsid w:val="00DA6719"/>
    <w:rsid w:val="00DA69B2"/>
    <w:rsid w:val="00DA7462"/>
    <w:rsid w:val="00DA7AD0"/>
    <w:rsid w:val="00DB02D7"/>
    <w:rsid w:val="00DB03CC"/>
    <w:rsid w:val="00DB12D4"/>
    <w:rsid w:val="00DB14F0"/>
    <w:rsid w:val="00DB1745"/>
    <w:rsid w:val="00DB177C"/>
    <w:rsid w:val="00DB19BB"/>
    <w:rsid w:val="00DB1A00"/>
    <w:rsid w:val="00DB1AFF"/>
    <w:rsid w:val="00DB219A"/>
    <w:rsid w:val="00DB244B"/>
    <w:rsid w:val="00DB3165"/>
    <w:rsid w:val="00DB4292"/>
    <w:rsid w:val="00DB5023"/>
    <w:rsid w:val="00DB52D2"/>
    <w:rsid w:val="00DB6E46"/>
    <w:rsid w:val="00DB7117"/>
    <w:rsid w:val="00DB7760"/>
    <w:rsid w:val="00DB7DD4"/>
    <w:rsid w:val="00DC00B4"/>
    <w:rsid w:val="00DC0954"/>
    <w:rsid w:val="00DC0DF8"/>
    <w:rsid w:val="00DC15BA"/>
    <w:rsid w:val="00DC18CD"/>
    <w:rsid w:val="00DC1A68"/>
    <w:rsid w:val="00DC2072"/>
    <w:rsid w:val="00DC30B8"/>
    <w:rsid w:val="00DC478F"/>
    <w:rsid w:val="00DC61AC"/>
    <w:rsid w:val="00DC62E5"/>
    <w:rsid w:val="00DC6D70"/>
    <w:rsid w:val="00DC6DAA"/>
    <w:rsid w:val="00DC6F33"/>
    <w:rsid w:val="00DC7349"/>
    <w:rsid w:val="00DC7389"/>
    <w:rsid w:val="00DD0EA9"/>
    <w:rsid w:val="00DD14D8"/>
    <w:rsid w:val="00DD1599"/>
    <w:rsid w:val="00DD16F1"/>
    <w:rsid w:val="00DD1B03"/>
    <w:rsid w:val="00DD1E43"/>
    <w:rsid w:val="00DD1EDF"/>
    <w:rsid w:val="00DD1FF6"/>
    <w:rsid w:val="00DD2A62"/>
    <w:rsid w:val="00DD2F2F"/>
    <w:rsid w:val="00DD2F7A"/>
    <w:rsid w:val="00DD36D2"/>
    <w:rsid w:val="00DD37C4"/>
    <w:rsid w:val="00DD3885"/>
    <w:rsid w:val="00DD47D3"/>
    <w:rsid w:val="00DD5808"/>
    <w:rsid w:val="00DD5946"/>
    <w:rsid w:val="00DD5B04"/>
    <w:rsid w:val="00DD5DAE"/>
    <w:rsid w:val="00DD5EC6"/>
    <w:rsid w:val="00DD605F"/>
    <w:rsid w:val="00DD6A79"/>
    <w:rsid w:val="00DD72A0"/>
    <w:rsid w:val="00DD735D"/>
    <w:rsid w:val="00DD7F7D"/>
    <w:rsid w:val="00DE0159"/>
    <w:rsid w:val="00DE064A"/>
    <w:rsid w:val="00DE082D"/>
    <w:rsid w:val="00DE1410"/>
    <w:rsid w:val="00DE1B18"/>
    <w:rsid w:val="00DE20C6"/>
    <w:rsid w:val="00DE2C0C"/>
    <w:rsid w:val="00DE2E9B"/>
    <w:rsid w:val="00DE3119"/>
    <w:rsid w:val="00DE3789"/>
    <w:rsid w:val="00DE3C24"/>
    <w:rsid w:val="00DE3FF0"/>
    <w:rsid w:val="00DE4105"/>
    <w:rsid w:val="00DE4BEA"/>
    <w:rsid w:val="00DE5189"/>
    <w:rsid w:val="00DE67D2"/>
    <w:rsid w:val="00DE7108"/>
    <w:rsid w:val="00DE78D1"/>
    <w:rsid w:val="00DE78FF"/>
    <w:rsid w:val="00DE7B11"/>
    <w:rsid w:val="00DF0263"/>
    <w:rsid w:val="00DF0EB4"/>
    <w:rsid w:val="00DF158B"/>
    <w:rsid w:val="00DF170E"/>
    <w:rsid w:val="00DF193C"/>
    <w:rsid w:val="00DF1E36"/>
    <w:rsid w:val="00DF236B"/>
    <w:rsid w:val="00DF258A"/>
    <w:rsid w:val="00DF2A91"/>
    <w:rsid w:val="00DF3889"/>
    <w:rsid w:val="00DF3CC9"/>
    <w:rsid w:val="00DF4451"/>
    <w:rsid w:val="00DF49FF"/>
    <w:rsid w:val="00DF4FFB"/>
    <w:rsid w:val="00DF5236"/>
    <w:rsid w:val="00DF651F"/>
    <w:rsid w:val="00DF6F43"/>
    <w:rsid w:val="00DF71EA"/>
    <w:rsid w:val="00DF752F"/>
    <w:rsid w:val="00DF76A2"/>
    <w:rsid w:val="00E007AA"/>
    <w:rsid w:val="00E00B25"/>
    <w:rsid w:val="00E00B7A"/>
    <w:rsid w:val="00E01677"/>
    <w:rsid w:val="00E02144"/>
    <w:rsid w:val="00E02186"/>
    <w:rsid w:val="00E025C0"/>
    <w:rsid w:val="00E025C2"/>
    <w:rsid w:val="00E026BB"/>
    <w:rsid w:val="00E027C5"/>
    <w:rsid w:val="00E03124"/>
    <w:rsid w:val="00E031C3"/>
    <w:rsid w:val="00E03951"/>
    <w:rsid w:val="00E03DB8"/>
    <w:rsid w:val="00E03F17"/>
    <w:rsid w:val="00E0420C"/>
    <w:rsid w:val="00E04EDD"/>
    <w:rsid w:val="00E057B6"/>
    <w:rsid w:val="00E05E70"/>
    <w:rsid w:val="00E064BC"/>
    <w:rsid w:val="00E068BB"/>
    <w:rsid w:val="00E070C1"/>
    <w:rsid w:val="00E07225"/>
    <w:rsid w:val="00E073FC"/>
    <w:rsid w:val="00E076B4"/>
    <w:rsid w:val="00E07B55"/>
    <w:rsid w:val="00E10579"/>
    <w:rsid w:val="00E109DD"/>
    <w:rsid w:val="00E1119F"/>
    <w:rsid w:val="00E11229"/>
    <w:rsid w:val="00E114CA"/>
    <w:rsid w:val="00E127D1"/>
    <w:rsid w:val="00E13234"/>
    <w:rsid w:val="00E13867"/>
    <w:rsid w:val="00E1397F"/>
    <w:rsid w:val="00E13AB8"/>
    <w:rsid w:val="00E1482E"/>
    <w:rsid w:val="00E16382"/>
    <w:rsid w:val="00E1699C"/>
    <w:rsid w:val="00E16E75"/>
    <w:rsid w:val="00E1746D"/>
    <w:rsid w:val="00E2012A"/>
    <w:rsid w:val="00E205A2"/>
    <w:rsid w:val="00E20BA4"/>
    <w:rsid w:val="00E210D0"/>
    <w:rsid w:val="00E21887"/>
    <w:rsid w:val="00E21CC0"/>
    <w:rsid w:val="00E226EF"/>
    <w:rsid w:val="00E23137"/>
    <w:rsid w:val="00E23980"/>
    <w:rsid w:val="00E23AB0"/>
    <w:rsid w:val="00E241E9"/>
    <w:rsid w:val="00E243D8"/>
    <w:rsid w:val="00E24670"/>
    <w:rsid w:val="00E2490F"/>
    <w:rsid w:val="00E257C3"/>
    <w:rsid w:val="00E25CB3"/>
    <w:rsid w:val="00E25DA4"/>
    <w:rsid w:val="00E26237"/>
    <w:rsid w:val="00E26CB8"/>
    <w:rsid w:val="00E26D16"/>
    <w:rsid w:val="00E26FCF"/>
    <w:rsid w:val="00E27165"/>
    <w:rsid w:val="00E275D9"/>
    <w:rsid w:val="00E3044A"/>
    <w:rsid w:val="00E30E49"/>
    <w:rsid w:val="00E312B1"/>
    <w:rsid w:val="00E31A4A"/>
    <w:rsid w:val="00E3344A"/>
    <w:rsid w:val="00E337CC"/>
    <w:rsid w:val="00E33B29"/>
    <w:rsid w:val="00E33B62"/>
    <w:rsid w:val="00E3403D"/>
    <w:rsid w:val="00E340E4"/>
    <w:rsid w:val="00E34376"/>
    <w:rsid w:val="00E344BD"/>
    <w:rsid w:val="00E34548"/>
    <w:rsid w:val="00E34E6C"/>
    <w:rsid w:val="00E353E2"/>
    <w:rsid w:val="00E36345"/>
    <w:rsid w:val="00E36C86"/>
    <w:rsid w:val="00E36CEB"/>
    <w:rsid w:val="00E37A28"/>
    <w:rsid w:val="00E400C7"/>
    <w:rsid w:val="00E40430"/>
    <w:rsid w:val="00E40690"/>
    <w:rsid w:val="00E40AEB"/>
    <w:rsid w:val="00E40E82"/>
    <w:rsid w:val="00E41141"/>
    <w:rsid w:val="00E4143A"/>
    <w:rsid w:val="00E41E97"/>
    <w:rsid w:val="00E41FFC"/>
    <w:rsid w:val="00E424C8"/>
    <w:rsid w:val="00E4251D"/>
    <w:rsid w:val="00E427EF"/>
    <w:rsid w:val="00E43D00"/>
    <w:rsid w:val="00E43FCB"/>
    <w:rsid w:val="00E443B4"/>
    <w:rsid w:val="00E445E4"/>
    <w:rsid w:val="00E457CB"/>
    <w:rsid w:val="00E45D47"/>
    <w:rsid w:val="00E45DE4"/>
    <w:rsid w:val="00E45E63"/>
    <w:rsid w:val="00E45F35"/>
    <w:rsid w:val="00E47027"/>
    <w:rsid w:val="00E4759C"/>
    <w:rsid w:val="00E50A7B"/>
    <w:rsid w:val="00E50B0B"/>
    <w:rsid w:val="00E50C57"/>
    <w:rsid w:val="00E510FE"/>
    <w:rsid w:val="00E514BA"/>
    <w:rsid w:val="00E51E25"/>
    <w:rsid w:val="00E5205B"/>
    <w:rsid w:val="00E521AE"/>
    <w:rsid w:val="00E529A3"/>
    <w:rsid w:val="00E533EE"/>
    <w:rsid w:val="00E53A21"/>
    <w:rsid w:val="00E53BCA"/>
    <w:rsid w:val="00E53DE2"/>
    <w:rsid w:val="00E53F02"/>
    <w:rsid w:val="00E5428D"/>
    <w:rsid w:val="00E54534"/>
    <w:rsid w:val="00E548C3"/>
    <w:rsid w:val="00E54C6E"/>
    <w:rsid w:val="00E54F27"/>
    <w:rsid w:val="00E5501E"/>
    <w:rsid w:val="00E55FF1"/>
    <w:rsid w:val="00E56090"/>
    <w:rsid w:val="00E56408"/>
    <w:rsid w:val="00E565B9"/>
    <w:rsid w:val="00E56E7B"/>
    <w:rsid w:val="00E5733B"/>
    <w:rsid w:val="00E5756C"/>
    <w:rsid w:val="00E5768D"/>
    <w:rsid w:val="00E57811"/>
    <w:rsid w:val="00E57CC5"/>
    <w:rsid w:val="00E57D8F"/>
    <w:rsid w:val="00E57FB0"/>
    <w:rsid w:val="00E601BE"/>
    <w:rsid w:val="00E60A44"/>
    <w:rsid w:val="00E60B5F"/>
    <w:rsid w:val="00E613AE"/>
    <w:rsid w:val="00E61429"/>
    <w:rsid w:val="00E61ABB"/>
    <w:rsid w:val="00E61FD7"/>
    <w:rsid w:val="00E623E6"/>
    <w:rsid w:val="00E62BBF"/>
    <w:rsid w:val="00E62C76"/>
    <w:rsid w:val="00E630A2"/>
    <w:rsid w:val="00E630C0"/>
    <w:rsid w:val="00E63107"/>
    <w:rsid w:val="00E6312C"/>
    <w:rsid w:val="00E634E6"/>
    <w:rsid w:val="00E63DCE"/>
    <w:rsid w:val="00E642EF"/>
    <w:rsid w:val="00E643A3"/>
    <w:rsid w:val="00E64700"/>
    <w:rsid w:val="00E65074"/>
    <w:rsid w:val="00E65857"/>
    <w:rsid w:val="00E65E70"/>
    <w:rsid w:val="00E66087"/>
    <w:rsid w:val="00E66D79"/>
    <w:rsid w:val="00E66FF9"/>
    <w:rsid w:val="00E6706F"/>
    <w:rsid w:val="00E673A2"/>
    <w:rsid w:val="00E67856"/>
    <w:rsid w:val="00E679C8"/>
    <w:rsid w:val="00E70314"/>
    <w:rsid w:val="00E70412"/>
    <w:rsid w:val="00E724E7"/>
    <w:rsid w:val="00E72791"/>
    <w:rsid w:val="00E72B41"/>
    <w:rsid w:val="00E7347B"/>
    <w:rsid w:val="00E73792"/>
    <w:rsid w:val="00E73D03"/>
    <w:rsid w:val="00E7471C"/>
    <w:rsid w:val="00E7498A"/>
    <w:rsid w:val="00E7514E"/>
    <w:rsid w:val="00E76537"/>
    <w:rsid w:val="00E77784"/>
    <w:rsid w:val="00E77A46"/>
    <w:rsid w:val="00E77AF5"/>
    <w:rsid w:val="00E8035B"/>
    <w:rsid w:val="00E806D9"/>
    <w:rsid w:val="00E80ADE"/>
    <w:rsid w:val="00E820F4"/>
    <w:rsid w:val="00E82263"/>
    <w:rsid w:val="00E823F9"/>
    <w:rsid w:val="00E82C1F"/>
    <w:rsid w:val="00E83671"/>
    <w:rsid w:val="00E83D1E"/>
    <w:rsid w:val="00E840EE"/>
    <w:rsid w:val="00E84314"/>
    <w:rsid w:val="00E849CA"/>
    <w:rsid w:val="00E84A71"/>
    <w:rsid w:val="00E8556F"/>
    <w:rsid w:val="00E86556"/>
    <w:rsid w:val="00E86D35"/>
    <w:rsid w:val="00E86DC2"/>
    <w:rsid w:val="00E86E32"/>
    <w:rsid w:val="00E86F2E"/>
    <w:rsid w:val="00E8732E"/>
    <w:rsid w:val="00E9011F"/>
    <w:rsid w:val="00E906EB"/>
    <w:rsid w:val="00E9170E"/>
    <w:rsid w:val="00E919FB"/>
    <w:rsid w:val="00E9241E"/>
    <w:rsid w:val="00E92460"/>
    <w:rsid w:val="00E92E62"/>
    <w:rsid w:val="00E93804"/>
    <w:rsid w:val="00E9429D"/>
    <w:rsid w:val="00E95434"/>
    <w:rsid w:val="00E96467"/>
    <w:rsid w:val="00E966DA"/>
    <w:rsid w:val="00E96948"/>
    <w:rsid w:val="00E9737B"/>
    <w:rsid w:val="00E97A3F"/>
    <w:rsid w:val="00E97F0A"/>
    <w:rsid w:val="00EA0100"/>
    <w:rsid w:val="00EA0455"/>
    <w:rsid w:val="00EA0BCE"/>
    <w:rsid w:val="00EA10E4"/>
    <w:rsid w:val="00EA17BC"/>
    <w:rsid w:val="00EA2744"/>
    <w:rsid w:val="00EA37B9"/>
    <w:rsid w:val="00EA39F7"/>
    <w:rsid w:val="00EA3DC2"/>
    <w:rsid w:val="00EA434E"/>
    <w:rsid w:val="00EA4757"/>
    <w:rsid w:val="00EA560B"/>
    <w:rsid w:val="00EA5669"/>
    <w:rsid w:val="00EA5A56"/>
    <w:rsid w:val="00EA5CC6"/>
    <w:rsid w:val="00EA63EF"/>
    <w:rsid w:val="00EA7026"/>
    <w:rsid w:val="00EA7CBF"/>
    <w:rsid w:val="00EB0A89"/>
    <w:rsid w:val="00EB0BD8"/>
    <w:rsid w:val="00EB1573"/>
    <w:rsid w:val="00EB1910"/>
    <w:rsid w:val="00EB2564"/>
    <w:rsid w:val="00EB2D83"/>
    <w:rsid w:val="00EB2E97"/>
    <w:rsid w:val="00EB3416"/>
    <w:rsid w:val="00EB497D"/>
    <w:rsid w:val="00EB4AE1"/>
    <w:rsid w:val="00EB52F4"/>
    <w:rsid w:val="00EB5694"/>
    <w:rsid w:val="00EB5779"/>
    <w:rsid w:val="00EB5D2F"/>
    <w:rsid w:val="00EB67F1"/>
    <w:rsid w:val="00EB6ADA"/>
    <w:rsid w:val="00EB7132"/>
    <w:rsid w:val="00EB72CD"/>
    <w:rsid w:val="00EB749A"/>
    <w:rsid w:val="00EB76B6"/>
    <w:rsid w:val="00EB7D8A"/>
    <w:rsid w:val="00EC04F7"/>
    <w:rsid w:val="00EC05E2"/>
    <w:rsid w:val="00EC0E84"/>
    <w:rsid w:val="00EC16E2"/>
    <w:rsid w:val="00EC1CE7"/>
    <w:rsid w:val="00EC1DAE"/>
    <w:rsid w:val="00EC22AD"/>
    <w:rsid w:val="00EC26F1"/>
    <w:rsid w:val="00EC2E9D"/>
    <w:rsid w:val="00EC3BA2"/>
    <w:rsid w:val="00EC3C94"/>
    <w:rsid w:val="00EC44DF"/>
    <w:rsid w:val="00EC4FB9"/>
    <w:rsid w:val="00EC5393"/>
    <w:rsid w:val="00EC5741"/>
    <w:rsid w:val="00EC5DA3"/>
    <w:rsid w:val="00EC6014"/>
    <w:rsid w:val="00EC6170"/>
    <w:rsid w:val="00EC6565"/>
    <w:rsid w:val="00EC6B3E"/>
    <w:rsid w:val="00EC73DE"/>
    <w:rsid w:val="00EC7637"/>
    <w:rsid w:val="00EC7C07"/>
    <w:rsid w:val="00EC7CF2"/>
    <w:rsid w:val="00ED046C"/>
    <w:rsid w:val="00ED053A"/>
    <w:rsid w:val="00ED163A"/>
    <w:rsid w:val="00ED1F03"/>
    <w:rsid w:val="00ED249D"/>
    <w:rsid w:val="00ED2D27"/>
    <w:rsid w:val="00ED2E91"/>
    <w:rsid w:val="00ED3347"/>
    <w:rsid w:val="00ED3441"/>
    <w:rsid w:val="00ED3860"/>
    <w:rsid w:val="00ED3954"/>
    <w:rsid w:val="00ED39AC"/>
    <w:rsid w:val="00ED43A2"/>
    <w:rsid w:val="00ED4967"/>
    <w:rsid w:val="00ED5140"/>
    <w:rsid w:val="00ED538C"/>
    <w:rsid w:val="00ED5771"/>
    <w:rsid w:val="00ED587F"/>
    <w:rsid w:val="00ED5964"/>
    <w:rsid w:val="00ED623F"/>
    <w:rsid w:val="00ED63A5"/>
    <w:rsid w:val="00ED69BA"/>
    <w:rsid w:val="00ED6D1A"/>
    <w:rsid w:val="00ED72E9"/>
    <w:rsid w:val="00ED732E"/>
    <w:rsid w:val="00ED74B3"/>
    <w:rsid w:val="00ED7609"/>
    <w:rsid w:val="00ED77F0"/>
    <w:rsid w:val="00ED7825"/>
    <w:rsid w:val="00ED7FBC"/>
    <w:rsid w:val="00EE0253"/>
    <w:rsid w:val="00EE0297"/>
    <w:rsid w:val="00EE1258"/>
    <w:rsid w:val="00EE13DA"/>
    <w:rsid w:val="00EE1668"/>
    <w:rsid w:val="00EE1EDB"/>
    <w:rsid w:val="00EE24E2"/>
    <w:rsid w:val="00EE2A20"/>
    <w:rsid w:val="00EE365D"/>
    <w:rsid w:val="00EE366D"/>
    <w:rsid w:val="00EE40A4"/>
    <w:rsid w:val="00EE5454"/>
    <w:rsid w:val="00EE59B5"/>
    <w:rsid w:val="00EE5FB7"/>
    <w:rsid w:val="00EE6783"/>
    <w:rsid w:val="00EE678B"/>
    <w:rsid w:val="00EE77D4"/>
    <w:rsid w:val="00EE7B54"/>
    <w:rsid w:val="00EE7C47"/>
    <w:rsid w:val="00EE7C88"/>
    <w:rsid w:val="00EE7C8B"/>
    <w:rsid w:val="00EF0209"/>
    <w:rsid w:val="00EF0B6B"/>
    <w:rsid w:val="00EF0EA4"/>
    <w:rsid w:val="00EF13A6"/>
    <w:rsid w:val="00EF1E97"/>
    <w:rsid w:val="00EF2436"/>
    <w:rsid w:val="00EF2547"/>
    <w:rsid w:val="00EF28D8"/>
    <w:rsid w:val="00EF2B2B"/>
    <w:rsid w:val="00EF2E1C"/>
    <w:rsid w:val="00EF2FD6"/>
    <w:rsid w:val="00EF326A"/>
    <w:rsid w:val="00EF397D"/>
    <w:rsid w:val="00EF41E8"/>
    <w:rsid w:val="00EF427A"/>
    <w:rsid w:val="00EF45DF"/>
    <w:rsid w:val="00EF4944"/>
    <w:rsid w:val="00EF4952"/>
    <w:rsid w:val="00EF498F"/>
    <w:rsid w:val="00EF4A42"/>
    <w:rsid w:val="00EF510C"/>
    <w:rsid w:val="00EF55C4"/>
    <w:rsid w:val="00EF57BC"/>
    <w:rsid w:val="00EF5CA8"/>
    <w:rsid w:val="00EF6784"/>
    <w:rsid w:val="00EF688A"/>
    <w:rsid w:val="00EF6A03"/>
    <w:rsid w:val="00EF6DC2"/>
    <w:rsid w:val="00EF7506"/>
    <w:rsid w:val="00EF760B"/>
    <w:rsid w:val="00EF7BF4"/>
    <w:rsid w:val="00EF7F76"/>
    <w:rsid w:val="00F0030F"/>
    <w:rsid w:val="00F00674"/>
    <w:rsid w:val="00F00EDC"/>
    <w:rsid w:val="00F01657"/>
    <w:rsid w:val="00F01E67"/>
    <w:rsid w:val="00F02744"/>
    <w:rsid w:val="00F02BFD"/>
    <w:rsid w:val="00F02D25"/>
    <w:rsid w:val="00F02FF4"/>
    <w:rsid w:val="00F03A9C"/>
    <w:rsid w:val="00F03C3D"/>
    <w:rsid w:val="00F0435D"/>
    <w:rsid w:val="00F04580"/>
    <w:rsid w:val="00F04ECA"/>
    <w:rsid w:val="00F04F8B"/>
    <w:rsid w:val="00F06E19"/>
    <w:rsid w:val="00F06F84"/>
    <w:rsid w:val="00F076E7"/>
    <w:rsid w:val="00F07A86"/>
    <w:rsid w:val="00F07AA1"/>
    <w:rsid w:val="00F102E0"/>
    <w:rsid w:val="00F105AE"/>
    <w:rsid w:val="00F10618"/>
    <w:rsid w:val="00F1085C"/>
    <w:rsid w:val="00F10E7D"/>
    <w:rsid w:val="00F1108B"/>
    <w:rsid w:val="00F114FA"/>
    <w:rsid w:val="00F11768"/>
    <w:rsid w:val="00F11951"/>
    <w:rsid w:val="00F12262"/>
    <w:rsid w:val="00F12564"/>
    <w:rsid w:val="00F12AF8"/>
    <w:rsid w:val="00F12C52"/>
    <w:rsid w:val="00F13381"/>
    <w:rsid w:val="00F13828"/>
    <w:rsid w:val="00F13E62"/>
    <w:rsid w:val="00F13F51"/>
    <w:rsid w:val="00F148B7"/>
    <w:rsid w:val="00F14EA9"/>
    <w:rsid w:val="00F15505"/>
    <w:rsid w:val="00F15BFF"/>
    <w:rsid w:val="00F1634B"/>
    <w:rsid w:val="00F16E4F"/>
    <w:rsid w:val="00F171B2"/>
    <w:rsid w:val="00F17244"/>
    <w:rsid w:val="00F20931"/>
    <w:rsid w:val="00F20C85"/>
    <w:rsid w:val="00F20ECE"/>
    <w:rsid w:val="00F213A0"/>
    <w:rsid w:val="00F21D54"/>
    <w:rsid w:val="00F21EF4"/>
    <w:rsid w:val="00F221A2"/>
    <w:rsid w:val="00F22697"/>
    <w:rsid w:val="00F23069"/>
    <w:rsid w:val="00F23113"/>
    <w:rsid w:val="00F23145"/>
    <w:rsid w:val="00F23255"/>
    <w:rsid w:val="00F23393"/>
    <w:rsid w:val="00F23759"/>
    <w:rsid w:val="00F24644"/>
    <w:rsid w:val="00F24BB1"/>
    <w:rsid w:val="00F25947"/>
    <w:rsid w:val="00F262D6"/>
    <w:rsid w:val="00F26F33"/>
    <w:rsid w:val="00F273D5"/>
    <w:rsid w:val="00F2748A"/>
    <w:rsid w:val="00F2786C"/>
    <w:rsid w:val="00F300A8"/>
    <w:rsid w:val="00F302C6"/>
    <w:rsid w:val="00F30400"/>
    <w:rsid w:val="00F3079E"/>
    <w:rsid w:val="00F310FF"/>
    <w:rsid w:val="00F31289"/>
    <w:rsid w:val="00F32263"/>
    <w:rsid w:val="00F3232D"/>
    <w:rsid w:val="00F32D60"/>
    <w:rsid w:val="00F3399B"/>
    <w:rsid w:val="00F33F4B"/>
    <w:rsid w:val="00F346ED"/>
    <w:rsid w:val="00F34945"/>
    <w:rsid w:val="00F34E1E"/>
    <w:rsid w:val="00F354D0"/>
    <w:rsid w:val="00F3570C"/>
    <w:rsid w:val="00F363A4"/>
    <w:rsid w:val="00F36765"/>
    <w:rsid w:val="00F368FF"/>
    <w:rsid w:val="00F37068"/>
    <w:rsid w:val="00F37E5F"/>
    <w:rsid w:val="00F37F3F"/>
    <w:rsid w:val="00F40992"/>
    <w:rsid w:val="00F40F72"/>
    <w:rsid w:val="00F41596"/>
    <w:rsid w:val="00F41D8B"/>
    <w:rsid w:val="00F42121"/>
    <w:rsid w:val="00F421F2"/>
    <w:rsid w:val="00F424B3"/>
    <w:rsid w:val="00F428B1"/>
    <w:rsid w:val="00F428B4"/>
    <w:rsid w:val="00F4345D"/>
    <w:rsid w:val="00F4387B"/>
    <w:rsid w:val="00F45756"/>
    <w:rsid w:val="00F45921"/>
    <w:rsid w:val="00F45B91"/>
    <w:rsid w:val="00F46639"/>
    <w:rsid w:val="00F476FD"/>
    <w:rsid w:val="00F50183"/>
    <w:rsid w:val="00F50D92"/>
    <w:rsid w:val="00F51765"/>
    <w:rsid w:val="00F51991"/>
    <w:rsid w:val="00F51A51"/>
    <w:rsid w:val="00F51BC6"/>
    <w:rsid w:val="00F51CB4"/>
    <w:rsid w:val="00F51DE0"/>
    <w:rsid w:val="00F52200"/>
    <w:rsid w:val="00F52324"/>
    <w:rsid w:val="00F52950"/>
    <w:rsid w:val="00F52C9D"/>
    <w:rsid w:val="00F533F1"/>
    <w:rsid w:val="00F53F4F"/>
    <w:rsid w:val="00F55185"/>
    <w:rsid w:val="00F55679"/>
    <w:rsid w:val="00F561E3"/>
    <w:rsid w:val="00F565E6"/>
    <w:rsid w:val="00F56AFA"/>
    <w:rsid w:val="00F575E2"/>
    <w:rsid w:val="00F579FF"/>
    <w:rsid w:val="00F57FB7"/>
    <w:rsid w:val="00F600E0"/>
    <w:rsid w:val="00F605EC"/>
    <w:rsid w:val="00F60F60"/>
    <w:rsid w:val="00F612CE"/>
    <w:rsid w:val="00F6133C"/>
    <w:rsid w:val="00F61405"/>
    <w:rsid w:val="00F62227"/>
    <w:rsid w:val="00F624A7"/>
    <w:rsid w:val="00F62AB6"/>
    <w:rsid w:val="00F630AC"/>
    <w:rsid w:val="00F65559"/>
    <w:rsid w:val="00F659BB"/>
    <w:rsid w:val="00F65A3C"/>
    <w:rsid w:val="00F66009"/>
    <w:rsid w:val="00F66282"/>
    <w:rsid w:val="00F6639E"/>
    <w:rsid w:val="00F663DD"/>
    <w:rsid w:val="00F670E9"/>
    <w:rsid w:val="00F6749F"/>
    <w:rsid w:val="00F67AF1"/>
    <w:rsid w:val="00F67D8B"/>
    <w:rsid w:val="00F700CD"/>
    <w:rsid w:val="00F701C5"/>
    <w:rsid w:val="00F705A2"/>
    <w:rsid w:val="00F70961"/>
    <w:rsid w:val="00F70A8F"/>
    <w:rsid w:val="00F70F72"/>
    <w:rsid w:val="00F71397"/>
    <w:rsid w:val="00F72389"/>
    <w:rsid w:val="00F72516"/>
    <w:rsid w:val="00F72DD9"/>
    <w:rsid w:val="00F72FB4"/>
    <w:rsid w:val="00F732CF"/>
    <w:rsid w:val="00F735E5"/>
    <w:rsid w:val="00F73B82"/>
    <w:rsid w:val="00F73E80"/>
    <w:rsid w:val="00F7469C"/>
    <w:rsid w:val="00F7492E"/>
    <w:rsid w:val="00F74945"/>
    <w:rsid w:val="00F749A3"/>
    <w:rsid w:val="00F74AE8"/>
    <w:rsid w:val="00F76C11"/>
    <w:rsid w:val="00F77021"/>
    <w:rsid w:val="00F770AB"/>
    <w:rsid w:val="00F77E61"/>
    <w:rsid w:val="00F80221"/>
    <w:rsid w:val="00F80A0A"/>
    <w:rsid w:val="00F80C81"/>
    <w:rsid w:val="00F81100"/>
    <w:rsid w:val="00F815AC"/>
    <w:rsid w:val="00F81792"/>
    <w:rsid w:val="00F83B33"/>
    <w:rsid w:val="00F83CAE"/>
    <w:rsid w:val="00F840BF"/>
    <w:rsid w:val="00F8427A"/>
    <w:rsid w:val="00F843DF"/>
    <w:rsid w:val="00F84646"/>
    <w:rsid w:val="00F8476E"/>
    <w:rsid w:val="00F84899"/>
    <w:rsid w:val="00F85585"/>
    <w:rsid w:val="00F859F0"/>
    <w:rsid w:val="00F85CC1"/>
    <w:rsid w:val="00F86B5D"/>
    <w:rsid w:val="00F87634"/>
    <w:rsid w:val="00F87C13"/>
    <w:rsid w:val="00F87C5A"/>
    <w:rsid w:val="00F87E29"/>
    <w:rsid w:val="00F87F18"/>
    <w:rsid w:val="00F87F68"/>
    <w:rsid w:val="00F905BE"/>
    <w:rsid w:val="00F9075B"/>
    <w:rsid w:val="00F90C4D"/>
    <w:rsid w:val="00F91098"/>
    <w:rsid w:val="00F9167D"/>
    <w:rsid w:val="00F91CB2"/>
    <w:rsid w:val="00F927E8"/>
    <w:rsid w:val="00F9289C"/>
    <w:rsid w:val="00F92FC1"/>
    <w:rsid w:val="00F932D1"/>
    <w:rsid w:val="00F93DBC"/>
    <w:rsid w:val="00F93E41"/>
    <w:rsid w:val="00F94644"/>
    <w:rsid w:val="00F952E4"/>
    <w:rsid w:val="00F9537B"/>
    <w:rsid w:val="00F96079"/>
    <w:rsid w:val="00F963FC"/>
    <w:rsid w:val="00F97459"/>
    <w:rsid w:val="00F97CF1"/>
    <w:rsid w:val="00FA015F"/>
    <w:rsid w:val="00FA0FAC"/>
    <w:rsid w:val="00FA10F7"/>
    <w:rsid w:val="00FA1C4A"/>
    <w:rsid w:val="00FA1DA2"/>
    <w:rsid w:val="00FA313F"/>
    <w:rsid w:val="00FA3414"/>
    <w:rsid w:val="00FA347A"/>
    <w:rsid w:val="00FA3CDE"/>
    <w:rsid w:val="00FA4034"/>
    <w:rsid w:val="00FA49B7"/>
    <w:rsid w:val="00FA5043"/>
    <w:rsid w:val="00FA60C1"/>
    <w:rsid w:val="00FA65A3"/>
    <w:rsid w:val="00FA6BCA"/>
    <w:rsid w:val="00FA6D46"/>
    <w:rsid w:val="00FA6E3F"/>
    <w:rsid w:val="00FA6F8B"/>
    <w:rsid w:val="00FA727C"/>
    <w:rsid w:val="00FA7A30"/>
    <w:rsid w:val="00FB033F"/>
    <w:rsid w:val="00FB0880"/>
    <w:rsid w:val="00FB12E3"/>
    <w:rsid w:val="00FB1570"/>
    <w:rsid w:val="00FB193B"/>
    <w:rsid w:val="00FB1FBC"/>
    <w:rsid w:val="00FB27B7"/>
    <w:rsid w:val="00FB2E0B"/>
    <w:rsid w:val="00FB35E3"/>
    <w:rsid w:val="00FB40BA"/>
    <w:rsid w:val="00FB4C98"/>
    <w:rsid w:val="00FB4CE3"/>
    <w:rsid w:val="00FB583C"/>
    <w:rsid w:val="00FB630E"/>
    <w:rsid w:val="00FB6738"/>
    <w:rsid w:val="00FB691B"/>
    <w:rsid w:val="00FB6BE6"/>
    <w:rsid w:val="00FB731C"/>
    <w:rsid w:val="00FB7628"/>
    <w:rsid w:val="00FC0363"/>
    <w:rsid w:val="00FC05A0"/>
    <w:rsid w:val="00FC0811"/>
    <w:rsid w:val="00FC09B3"/>
    <w:rsid w:val="00FC1196"/>
    <w:rsid w:val="00FC15EB"/>
    <w:rsid w:val="00FC162C"/>
    <w:rsid w:val="00FC18DC"/>
    <w:rsid w:val="00FC2477"/>
    <w:rsid w:val="00FC2AC4"/>
    <w:rsid w:val="00FC2F73"/>
    <w:rsid w:val="00FC3A9B"/>
    <w:rsid w:val="00FC3AE1"/>
    <w:rsid w:val="00FC3DFC"/>
    <w:rsid w:val="00FC3EF4"/>
    <w:rsid w:val="00FC431B"/>
    <w:rsid w:val="00FC434C"/>
    <w:rsid w:val="00FC472C"/>
    <w:rsid w:val="00FC4FDF"/>
    <w:rsid w:val="00FC5CF4"/>
    <w:rsid w:val="00FC5D64"/>
    <w:rsid w:val="00FC61D6"/>
    <w:rsid w:val="00FC6A39"/>
    <w:rsid w:val="00FC6DB9"/>
    <w:rsid w:val="00FC7221"/>
    <w:rsid w:val="00FC76A9"/>
    <w:rsid w:val="00FC79AB"/>
    <w:rsid w:val="00FC7BE7"/>
    <w:rsid w:val="00FC7DAC"/>
    <w:rsid w:val="00FD005D"/>
    <w:rsid w:val="00FD0216"/>
    <w:rsid w:val="00FD04AE"/>
    <w:rsid w:val="00FD0DFA"/>
    <w:rsid w:val="00FD16ED"/>
    <w:rsid w:val="00FD1890"/>
    <w:rsid w:val="00FD1994"/>
    <w:rsid w:val="00FD3508"/>
    <w:rsid w:val="00FD393C"/>
    <w:rsid w:val="00FD3AFF"/>
    <w:rsid w:val="00FD43BB"/>
    <w:rsid w:val="00FD4AF3"/>
    <w:rsid w:val="00FD5443"/>
    <w:rsid w:val="00FD6675"/>
    <w:rsid w:val="00FD6DC5"/>
    <w:rsid w:val="00FD72B1"/>
    <w:rsid w:val="00FD798D"/>
    <w:rsid w:val="00FE141E"/>
    <w:rsid w:val="00FE144E"/>
    <w:rsid w:val="00FE1768"/>
    <w:rsid w:val="00FE1DD5"/>
    <w:rsid w:val="00FE1FCD"/>
    <w:rsid w:val="00FE24ED"/>
    <w:rsid w:val="00FE24F4"/>
    <w:rsid w:val="00FE2560"/>
    <w:rsid w:val="00FE35D0"/>
    <w:rsid w:val="00FE42ED"/>
    <w:rsid w:val="00FE4E06"/>
    <w:rsid w:val="00FE55A7"/>
    <w:rsid w:val="00FE5C5A"/>
    <w:rsid w:val="00FE601E"/>
    <w:rsid w:val="00FE61ED"/>
    <w:rsid w:val="00FE6432"/>
    <w:rsid w:val="00FE72A0"/>
    <w:rsid w:val="00FF0050"/>
    <w:rsid w:val="00FF045F"/>
    <w:rsid w:val="00FF05D7"/>
    <w:rsid w:val="00FF0816"/>
    <w:rsid w:val="00FF0EC4"/>
    <w:rsid w:val="00FF13D4"/>
    <w:rsid w:val="00FF1CF7"/>
    <w:rsid w:val="00FF2053"/>
    <w:rsid w:val="00FF22E8"/>
    <w:rsid w:val="00FF25D7"/>
    <w:rsid w:val="00FF26FB"/>
    <w:rsid w:val="00FF3B37"/>
    <w:rsid w:val="00FF3CC7"/>
    <w:rsid w:val="00FF3D6F"/>
    <w:rsid w:val="00FF441A"/>
    <w:rsid w:val="00FF48C9"/>
    <w:rsid w:val="00FF4BD8"/>
    <w:rsid w:val="00FF4D11"/>
    <w:rsid w:val="00FF5214"/>
    <w:rsid w:val="00FF54D2"/>
    <w:rsid w:val="00FF596E"/>
    <w:rsid w:val="00FF5B59"/>
    <w:rsid w:val="00FF5BFD"/>
    <w:rsid w:val="00FF6095"/>
    <w:rsid w:val="00FF62FE"/>
    <w:rsid w:val="00FF6553"/>
    <w:rsid w:val="00FF70BD"/>
    <w:rsid w:val="00FF7124"/>
    <w:rsid w:val="00FF77F3"/>
    <w:rsid w:val="00FF7A39"/>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54FC2"/>
    <w:pPr>
      <w:spacing w:after="0" w:line="240" w:lineRule="auto"/>
    </w:pPr>
    <w:rPr>
      <w:rFonts w:ascii="Times New Roman" w:eastAsia="Times New Roman" w:hAnsi="Times New Roman" w:cs="Times New Roman"/>
      <w:sz w:val="24"/>
      <w:szCs w:val="24"/>
      <w:lang w:eastAsia="es-ES_tradnl"/>
    </w:rPr>
  </w:style>
  <w:style w:type="paragraph" w:styleId="Ttulo1">
    <w:name w:val="heading 1"/>
    <w:basedOn w:val="Normal"/>
    <w:link w:val="Ttulo1Car"/>
    <w:uiPriority w:val="1"/>
    <w:qFormat/>
    <w:rsid w:val="006D712D"/>
    <w:pPr>
      <w:widowControl w:val="0"/>
      <w:autoSpaceDE w:val="0"/>
      <w:autoSpaceDN w:val="0"/>
      <w:ind w:left="660" w:hanging="366"/>
      <w:outlineLvl w:val="0"/>
    </w:pPr>
    <w:rPr>
      <w:rFonts w:ascii="Arial" w:eastAsia="Arial" w:hAnsi="Arial" w:cs="Arial"/>
      <w:b/>
      <w:bCs/>
      <w:sz w:val="22"/>
      <w:szCs w:val="22"/>
      <w:lang w:val="es-ES" w:eastAsia="en-US"/>
    </w:rPr>
  </w:style>
  <w:style w:type="paragraph" w:styleId="Ttulo2">
    <w:name w:val="heading 2"/>
    <w:basedOn w:val="Normal"/>
    <w:next w:val="Normal"/>
    <w:link w:val="Ttulo2Car"/>
    <w:uiPriority w:val="9"/>
    <w:semiHidden/>
    <w:unhideWhenUsed/>
    <w:qFormat/>
    <w:rsid w:val="00E84314"/>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eastAsiaTheme="minorHAnsi" w:hAnsi="Tahoma" w:cs="Tahoma"/>
      <w:sz w:val="16"/>
      <w:szCs w:val="16"/>
      <w:lang w:val="es-MX" w:eastAsia="en-US"/>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rPr>
      <w:rFonts w:asciiTheme="minorHAnsi" w:eastAsiaTheme="minorHAnsi" w:hAnsiTheme="minorHAnsi" w:cstheme="minorBidi"/>
      <w:szCs w:val="22"/>
      <w:lang w:val="es-MX" w:eastAsia="en-US"/>
    </w:r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rPr>
      <w:rFonts w:asciiTheme="minorHAnsi" w:eastAsiaTheme="minorHAnsi" w:hAnsiTheme="minorHAnsi" w:cstheme="minorBidi"/>
      <w:sz w:val="20"/>
      <w:szCs w:val="20"/>
      <w:lang w:val="es-MX" w:eastAsia="en-US"/>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lang w:eastAsia="es-CO"/>
    </w:rPr>
  </w:style>
  <w:style w:type="paragraph" w:styleId="Sinespaciado">
    <w:name w:val="No Spacing"/>
    <w:aliases w:val="No Indent"/>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hAnsi="Arial"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F1108B"/>
    <w:pPr>
      <w:spacing w:after="120" w:line="276" w:lineRule="auto"/>
    </w:pPr>
    <w:rPr>
      <w:rFonts w:asciiTheme="minorHAnsi" w:eastAsiaTheme="minorEastAsia" w:hAnsiTheme="minorHAnsi" w:cstheme="minorBidi"/>
      <w:sz w:val="22"/>
      <w:szCs w:val="22"/>
      <w:lang w:eastAsia="es-CO"/>
    </w:rPr>
  </w:style>
  <w:style w:type="character" w:customStyle="1" w:styleId="TextoindependienteCar">
    <w:name w:val="Texto independiente Car"/>
    <w:basedOn w:val="Fuentedeprrafopredeter"/>
    <w:link w:val="Textoindependiente"/>
    <w:uiPriority w:val="99"/>
    <w:rsid w:val="00F1108B"/>
    <w:rPr>
      <w:rFonts w:eastAsiaTheme="minorEastAsia"/>
      <w:lang w:eastAsia="es-CO"/>
    </w:rPr>
  </w:style>
  <w:style w:type="character" w:customStyle="1" w:styleId="Mencinsinresolver1">
    <w:name w:val="Mención sin resolver1"/>
    <w:basedOn w:val="Fuentedeprrafopredeter"/>
    <w:uiPriority w:val="99"/>
    <w:semiHidden/>
    <w:unhideWhenUsed/>
    <w:rsid w:val="00247712"/>
    <w:rPr>
      <w:color w:val="605E5C"/>
      <w:shd w:val="clear" w:color="auto" w:fill="E1DFDD"/>
    </w:rPr>
  </w:style>
  <w:style w:type="character" w:customStyle="1" w:styleId="Mencinsinresolver2">
    <w:name w:val="Mención sin resolver2"/>
    <w:basedOn w:val="Fuentedeprrafopredeter"/>
    <w:uiPriority w:val="99"/>
    <w:semiHidden/>
    <w:unhideWhenUsed/>
    <w:rsid w:val="00717ACB"/>
    <w:rPr>
      <w:color w:val="605E5C"/>
      <w:shd w:val="clear" w:color="auto" w:fill="E1DFDD"/>
    </w:rPr>
  </w:style>
  <w:style w:type="character" w:styleId="Mencinsinresolver">
    <w:name w:val="Unresolved Mention"/>
    <w:basedOn w:val="Fuentedeprrafopredeter"/>
    <w:uiPriority w:val="99"/>
    <w:rsid w:val="00517CFB"/>
    <w:rPr>
      <w:color w:val="605E5C"/>
      <w:shd w:val="clear" w:color="auto" w:fill="E1DFDD"/>
    </w:rPr>
  </w:style>
  <w:style w:type="paragraph" w:customStyle="1" w:styleId="Default">
    <w:name w:val="Default"/>
    <w:rsid w:val="008919CF"/>
    <w:pPr>
      <w:autoSpaceDE w:val="0"/>
      <w:autoSpaceDN w:val="0"/>
      <w:adjustRightInd w:val="0"/>
      <w:spacing w:after="0" w:line="240" w:lineRule="auto"/>
    </w:pPr>
    <w:rPr>
      <w:rFonts w:ascii="Arial" w:hAnsi="Arial" w:cs="Arial"/>
      <w:color w:val="000000"/>
      <w:sz w:val="24"/>
      <w:szCs w:val="24"/>
    </w:rPr>
  </w:style>
  <w:style w:type="paragraph" w:customStyle="1" w:styleId="paragraph">
    <w:name w:val="paragraph"/>
    <w:basedOn w:val="Normal"/>
    <w:rsid w:val="00DD5B04"/>
    <w:pPr>
      <w:spacing w:before="100" w:beforeAutospacing="1" w:after="100" w:afterAutospacing="1"/>
    </w:pPr>
    <w:rPr>
      <w:lang w:eastAsia="es-CO"/>
    </w:rPr>
  </w:style>
  <w:style w:type="character" w:customStyle="1" w:styleId="textrun">
    <w:name w:val="textrun"/>
    <w:basedOn w:val="Fuentedeprrafopredeter"/>
    <w:rsid w:val="00DD5B04"/>
  </w:style>
  <w:style w:type="character" w:customStyle="1" w:styleId="normaltextrun">
    <w:name w:val="normaltextrun"/>
    <w:basedOn w:val="Fuentedeprrafopredeter"/>
    <w:rsid w:val="00DD5B04"/>
  </w:style>
  <w:style w:type="character" w:customStyle="1" w:styleId="eop">
    <w:name w:val="eop"/>
    <w:basedOn w:val="Fuentedeprrafopredeter"/>
    <w:rsid w:val="00DD5B04"/>
  </w:style>
  <w:style w:type="character" w:customStyle="1" w:styleId="spellingerror">
    <w:name w:val="spellingerror"/>
    <w:basedOn w:val="Fuentedeprrafopredeter"/>
    <w:rsid w:val="00DD5B04"/>
  </w:style>
  <w:style w:type="character" w:styleId="Nmerodepgina">
    <w:name w:val="page number"/>
    <w:basedOn w:val="Fuentedeprrafopredeter"/>
    <w:uiPriority w:val="99"/>
    <w:semiHidden/>
    <w:unhideWhenUsed/>
    <w:rsid w:val="00DD5B04"/>
  </w:style>
  <w:style w:type="character" w:customStyle="1" w:styleId="Ttulo1Car">
    <w:name w:val="Título 1 Car"/>
    <w:basedOn w:val="Fuentedeprrafopredeter"/>
    <w:link w:val="Ttulo1"/>
    <w:uiPriority w:val="1"/>
    <w:rsid w:val="006D712D"/>
    <w:rPr>
      <w:rFonts w:ascii="Arial" w:eastAsia="Arial" w:hAnsi="Arial" w:cs="Arial"/>
      <w:b/>
      <w:bCs/>
      <w:lang w:val="es-ES"/>
    </w:rPr>
  </w:style>
  <w:style w:type="paragraph" w:customStyle="1" w:styleId="Appelnotedebasde">
    <w:name w:val="Appel note de bas de..."/>
    <w:basedOn w:val="Normal"/>
    <w:link w:val="Refdenotaalpie"/>
    <w:uiPriority w:val="99"/>
    <w:rsid w:val="00477C5F"/>
    <w:pPr>
      <w:spacing w:after="160" w:line="240" w:lineRule="exact"/>
    </w:pPr>
    <w:rPr>
      <w:rFonts w:asciiTheme="minorHAnsi" w:eastAsiaTheme="minorHAnsi" w:hAnsiTheme="minorHAnsi" w:cstheme="minorBidi"/>
      <w:sz w:val="22"/>
      <w:szCs w:val="22"/>
      <w:vertAlign w:val="superscript"/>
      <w:lang w:eastAsia="en-US"/>
    </w:rPr>
  </w:style>
  <w:style w:type="paragraph" w:styleId="Sangradetextonormal">
    <w:name w:val="Body Text Indent"/>
    <w:basedOn w:val="Normal"/>
    <w:link w:val="SangradetextonormalCar"/>
    <w:uiPriority w:val="99"/>
    <w:semiHidden/>
    <w:unhideWhenUsed/>
    <w:rsid w:val="006B7E4E"/>
    <w:pPr>
      <w:spacing w:after="120"/>
      <w:ind w:left="283"/>
    </w:pPr>
    <w:rPr>
      <w:rFonts w:asciiTheme="minorHAnsi" w:eastAsiaTheme="minorHAnsi" w:hAnsiTheme="minorHAnsi" w:cstheme="minorBidi"/>
      <w:szCs w:val="22"/>
      <w:lang w:val="es-MX" w:eastAsia="en-US"/>
    </w:rPr>
  </w:style>
  <w:style w:type="character" w:customStyle="1" w:styleId="SangradetextonormalCar">
    <w:name w:val="Sangría de texto normal Car"/>
    <w:basedOn w:val="Fuentedeprrafopredeter"/>
    <w:link w:val="Sangradetextonormal"/>
    <w:uiPriority w:val="99"/>
    <w:semiHidden/>
    <w:rsid w:val="006B7E4E"/>
    <w:rPr>
      <w:sz w:val="24"/>
      <w:lang w:val="es-MX"/>
    </w:rPr>
  </w:style>
  <w:style w:type="character" w:styleId="Textoennegrita">
    <w:name w:val="Strong"/>
    <w:basedOn w:val="Fuentedeprrafopredeter"/>
    <w:uiPriority w:val="22"/>
    <w:qFormat/>
    <w:rsid w:val="00F3570C"/>
    <w:rPr>
      <w:b/>
      <w:bCs/>
    </w:rPr>
  </w:style>
  <w:style w:type="character" w:styleId="nfasis">
    <w:name w:val="Emphasis"/>
    <w:basedOn w:val="Fuentedeprrafopredeter"/>
    <w:uiPriority w:val="20"/>
    <w:qFormat/>
    <w:rsid w:val="00F3570C"/>
    <w:rPr>
      <w:i/>
      <w:iCs/>
    </w:rPr>
  </w:style>
  <w:style w:type="character" w:customStyle="1" w:styleId="NormalWebCar">
    <w:name w:val="Normal (Web) Car"/>
    <w:link w:val="NormalWeb"/>
    <w:uiPriority w:val="99"/>
    <w:rsid w:val="00F3570C"/>
    <w:rPr>
      <w:rFonts w:ascii="Times New Roman" w:eastAsia="Times New Roman" w:hAnsi="Times New Roman" w:cs="Times New Roman"/>
      <w:sz w:val="24"/>
      <w:szCs w:val="24"/>
      <w:lang w:eastAsia="es-CO"/>
    </w:rPr>
  </w:style>
  <w:style w:type="character" w:customStyle="1" w:styleId="baj">
    <w:name w:val="b_aj"/>
    <w:basedOn w:val="Fuentedeprrafopredeter"/>
    <w:rsid w:val="00470D73"/>
  </w:style>
  <w:style w:type="character" w:customStyle="1" w:styleId="Ttulo2Car">
    <w:name w:val="Título 2 Car"/>
    <w:basedOn w:val="Fuentedeprrafopredeter"/>
    <w:link w:val="Ttulo2"/>
    <w:uiPriority w:val="9"/>
    <w:semiHidden/>
    <w:rsid w:val="00E84314"/>
    <w:rPr>
      <w:rFonts w:asciiTheme="majorHAnsi" w:eastAsiaTheme="majorEastAsia" w:hAnsiTheme="majorHAnsi" w:cstheme="majorBidi"/>
      <w:color w:val="365F91" w:themeColor="accent1" w:themeShade="BF"/>
      <w:sz w:val="26"/>
      <w:szCs w:val="26"/>
      <w:lang w:eastAsia="es-ES_tradnl"/>
    </w:rPr>
  </w:style>
  <w:style w:type="character" w:customStyle="1" w:styleId="tabchar">
    <w:name w:val="tabchar"/>
    <w:basedOn w:val="Fuentedeprrafopredeter"/>
    <w:rsid w:val="00C2725D"/>
  </w:style>
  <w:style w:type="character" w:customStyle="1" w:styleId="xxgmailattr">
    <w:name w:val="x_x_gmail_attr"/>
    <w:basedOn w:val="Fuentedeprrafopredeter"/>
    <w:rsid w:val="0063022E"/>
  </w:style>
  <w:style w:type="paragraph" w:customStyle="1" w:styleId="xxmsonormal">
    <w:name w:val="x_x_msonormal"/>
    <w:basedOn w:val="Normal"/>
    <w:rsid w:val="0063022E"/>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51722">
      <w:bodyDiv w:val="1"/>
      <w:marLeft w:val="0"/>
      <w:marRight w:val="0"/>
      <w:marTop w:val="0"/>
      <w:marBottom w:val="0"/>
      <w:divBdr>
        <w:top w:val="none" w:sz="0" w:space="0" w:color="auto"/>
        <w:left w:val="none" w:sz="0" w:space="0" w:color="auto"/>
        <w:bottom w:val="none" w:sz="0" w:space="0" w:color="auto"/>
        <w:right w:val="none" w:sz="0" w:space="0" w:color="auto"/>
      </w:divBdr>
      <w:divsChild>
        <w:div w:id="2023972410">
          <w:marLeft w:val="0"/>
          <w:marRight w:val="0"/>
          <w:marTop w:val="0"/>
          <w:marBottom w:val="0"/>
          <w:divBdr>
            <w:top w:val="none" w:sz="0" w:space="0" w:color="auto"/>
            <w:left w:val="none" w:sz="0" w:space="0" w:color="auto"/>
            <w:bottom w:val="none" w:sz="0" w:space="0" w:color="auto"/>
            <w:right w:val="none" w:sz="0" w:space="0" w:color="auto"/>
          </w:divBdr>
          <w:divsChild>
            <w:div w:id="1518273839">
              <w:marLeft w:val="0"/>
              <w:marRight w:val="0"/>
              <w:marTop w:val="0"/>
              <w:marBottom w:val="0"/>
              <w:divBdr>
                <w:top w:val="none" w:sz="0" w:space="0" w:color="auto"/>
                <w:left w:val="none" w:sz="0" w:space="0" w:color="auto"/>
                <w:bottom w:val="none" w:sz="0" w:space="0" w:color="auto"/>
                <w:right w:val="none" w:sz="0" w:space="0" w:color="auto"/>
              </w:divBdr>
              <w:divsChild>
                <w:div w:id="1364289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12666">
      <w:bodyDiv w:val="1"/>
      <w:marLeft w:val="0"/>
      <w:marRight w:val="0"/>
      <w:marTop w:val="0"/>
      <w:marBottom w:val="0"/>
      <w:divBdr>
        <w:top w:val="none" w:sz="0" w:space="0" w:color="auto"/>
        <w:left w:val="none" w:sz="0" w:space="0" w:color="auto"/>
        <w:bottom w:val="none" w:sz="0" w:space="0" w:color="auto"/>
        <w:right w:val="none" w:sz="0" w:space="0" w:color="auto"/>
      </w:divBdr>
    </w:div>
    <w:div w:id="16934018">
      <w:bodyDiv w:val="1"/>
      <w:marLeft w:val="0"/>
      <w:marRight w:val="0"/>
      <w:marTop w:val="0"/>
      <w:marBottom w:val="0"/>
      <w:divBdr>
        <w:top w:val="none" w:sz="0" w:space="0" w:color="auto"/>
        <w:left w:val="none" w:sz="0" w:space="0" w:color="auto"/>
        <w:bottom w:val="none" w:sz="0" w:space="0" w:color="auto"/>
        <w:right w:val="none" w:sz="0" w:space="0" w:color="auto"/>
      </w:divBdr>
    </w:div>
    <w:div w:id="25715773">
      <w:bodyDiv w:val="1"/>
      <w:marLeft w:val="0"/>
      <w:marRight w:val="0"/>
      <w:marTop w:val="0"/>
      <w:marBottom w:val="0"/>
      <w:divBdr>
        <w:top w:val="none" w:sz="0" w:space="0" w:color="auto"/>
        <w:left w:val="none" w:sz="0" w:space="0" w:color="auto"/>
        <w:bottom w:val="none" w:sz="0" w:space="0" w:color="auto"/>
        <w:right w:val="none" w:sz="0" w:space="0" w:color="auto"/>
      </w:divBdr>
      <w:divsChild>
        <w:div w:id="180780418">
          <w:marLeft w:val="0"/>
          <w:marRight w:val="0"/>
          <w:marTop w:val="0"/>
          <w:marBottom w:val="0"/>
          <w:divBdr>
            <w:top w:val="none" w:sz="0" w:space="0" w:color="auto"/>
            <w:left w:val="none" w:sz="0" w:space="0" w:color="auto"/>
            <w:bottom w:val="none" w:sz="0" w:space="0" w:color="auto"/>
            <w:right w:val="none" w:sz="0" w:space="0" w:color="auto"/>
          </w:divBdr>
          <w:divsChild>
            <w:div w:id="135420010">
              <w:marLeft w:val="0"/>
              <w:marRight w:val="0"/>
              <w:marTop w:val="0"/>
              <w:marBottom w:val="0"/>
              <w:divBdr>
                <w:top w:val="none" w:sz="0" w:space="0" w:color="auto"/>
                <w:left w:val="none" w:sz="0" w:space="0" w:color="auto"/>
                <w:bottom w:val="none" w:sz="0" w:space="0" w:color="auto"/>
                <w:right w:val="none" w:sz="0" w:space="0" w:color="auto"/>
              </w:divBdr>
              <w:divsChild>
                <w:div w:id="1855802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144344">
      <w:bodyDiv w:val="1"/>
      <w:marLeft w:val="0"/>
      <w:marRight w:val="0"/>
      <w:marTop w:val="0"/>
      <w:marBottom w:val="0"/>
      <w:divBdr>
        <w:top w:val="none" w:sz="0" w:space="0" w:color="auto"/>
        <w:left w:val="none" w:sz="0" w:space="0" w:color="auto"/>
        <w:bottom w:val="none" w:sz="0" w:space="0" w:color="auto"/>
        <w:right w:val="none" w:sz="0" w:space="0" w:color="auto"/>
      </w:divBdr>
      <w:divsChild>
        <w:div w:id="1610551597">
          <w:marLeft w:val="0"/>
          <w:marRight w:val="0"/>
          <w:marTop w:val="0"/>
          <w:marBottom w:val="0"/>
          <w:divBdr>
            <w:top w:val="none" w:sz="0" w:space="0" w:color="auto"/>
            <w:left w:val="none" w:sz="0" w:space="0" w:color="auto"/>
            <w:bottom w:val="none" w:sz="0" w:space="0" w:color="auto"/>
            <w:right w:val="none" w:sz="0" w:space="0" w:color="auto"/>
          </w:divBdr>
          <w:divsChild>
            <w:div w:id="2038459412">
              <w:marLeft w:val="0"/>
              <w:marRight w:val="0"/>
              <w:marTop w:val="0"/>
              <w:marBottom w:val="0"/>
              <w:divBdr>
                <w:top w:val="none" w:sz="0" w:space="0" w:color="auto"/>
                <w:left w:val="none" w:sz="0" w:space="0" w:color="auto"/>
                <w:bottom w:val="none" w:sz="0" w:space="0" w:color="auto"/>
                <w:right w:val="none" w:sz="0" w:space="0" w:color="auto"/>
              </w:divBdr>
              <w:divsChild>
                <w:div w:id="206068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223948">
      <w:bodyDiv w:val="1"/>
      <w:marLeft w:val="0"/>
      <w:marRight w:val="0"/>
      <w:marTop w:val="0"/>
      <w:marBottom w:val="0"/>
      <w:divBdr>
        <w:top w:val="none" w:sz="0" w:space="0" w:color="auto"/>
        <w:left w:val="none" w:sz="0" w:space="0" w:color="auto"/>
        <w:bottom w:val="none" w:sz="0" w:space="0" w:color="auto"/>
        <w:right w:val="none" w:sz="0" w:space="0" w:color="auto"/>
      </w:divBdr>
    </w:div>
    <w:div w:id="35281481">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2021781">
      <w:bodyDiv w:val="1"/>
      <w:marLeft w:val="0"/>
      <w:marRight w:val="0"/>
      <w:marTop w:val="0"/>
      <w:marBottom w:val="0"/>
      <w:divBdr>
        <w:top w:val="none" w:sz="0" w:space="0" w:color="auto"/>
        <w:left w:val="none" w:sz="0" w:space="0" w:color="auto"/>
        <w:bottom w:val="none" w:sz="0" w:space="0" w:color="auto"/>
        <w:right w:val="none" w:sz="0" w:space="0" w:color="auto"/>
      </w:divBdr>
    </w:div>
    <w:div w:id="47606611">
      <w:bodyDiv w:val="1"/>
      <w:marLeft w:val="0"/>
      <w:marRight w:val="0"/>
      <w:marTop w:val="0"/>
      <w:marBottom w:val="0"/>
      <w:divBdr>
        <w:top w:val="none" w:sz="0" w:space="0" w:color="auto"/>
        <w:left w:val="none" w:sz="0" w:space="0" w:color="auto"/>
        <w:bottom w:val="none" w:sz="0" w:space="0" w:color="auto"/>
        <w:right w:val="none" w:sz="0" w:space="0" w:color="auto"/>
      </w:divBdr>
    </w:div>
    <w:div w:id="48305046">
      <w:bodyDiv w:val="1"/>
      <w:marLeft w:val="0"/>
      <w:marRight w:val="0"/>
      <w:marTop w:val="0"/>
      <w:marBottom w:val="0"/>
      <w:divBdr>
        <w:top w:val="none" w:sz="0" w:space="0" w:color="auto"/>
        <w:left w:val="none" w:sz="0" w:space="0" w:color="auto"/>
        <w:bottom w:val="none" w:sz="0" w:space="0" w:color="auto"/>
        <w:right w:val="none" w:sz="0" w:space="0" w:color="auto"/>
      </w:divBdr>
      <w:divsChild>
        <w:div w:id="262299518">
          <w:marLeft w:val="0"/>
          <w:marRight w:val="0"/>
          <w:marTop w:val="0"/>
          <w:marBottom w:val="0"/>
          <w:divBdr>
            <w:top w:val="none" w:sz="0" w:space="0" w:color="auto"/>
            <w:left w:val="none" w:sz="0" w:space="0" w:color="auto"/>
            <w:bottom w:val="none" w:sz="0" w:space="0" w:color="auto"/>
            <w:right w:val="none" w:sz="0" w:space="0" w:color="auto"/>
          </w:divBdr>
          <w:divsChild>
            <w:div w:id="1744986443">
              <w:marLeft w:val="0"/>
              <w:marRight w:val="0"/>
              <w:marTop w:val="0"/>
              <w:marBottom w:val="0"/>
              <w:divBdr>
                <w:top w:val="none" w:sz="0" w:space="0" w:color="auto"/>
                <w:left w:val="none" w:sz="0" w:space="0" w:color="auto"/>
                <w:bottom w:val="none" w:sz="0" w:space="0" w:color="auto"/>
                <w:right w:val="none" w:sz="0" w:space="0" w:color="auto"/>
              </w:divBdr>
              <w:divsChild>
                <w:div w:id="1957247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780109">
      <w:bodyDiv w:val="1"/>
      <w:marLeft w:val="0"/>
      <w:marRight w:val="0"/>
      <w:marTop w:val="0"/>
      <w:marBottom w:val="0"/>
      <w:divBdr>
        <w:top w:val="none" w:sz="0" w:space="0" w:color="auto"/>
        <w:left w:val="none" w:sz="0" w:space="0" w:color="auto"/>
        <w:bottom w:val="none" w:sz="0" w:space="0" w:color="auto"/>
        <w:right w:val="none" w:sz="0" w:space="0" w:color="auto"/>
      </w:divBdr>
      <w:divsChild>
        <w:div w:id="952639156">
          <w:marLeft w:val="0"/>
          <w:marRight w:val="0"/>
          <w:marTop w:val="0"/>
          <w:marBottom w:val="0"/>
          <w:divBdr>
            <w:top w:val="none" w:sz="0" w:space="0" w:color="auto"/>
            <w:left w:val="none" w:sz="0" w:space="0" w:color="auto"/>
            <w:bottom w:val="none" w:sz="0" w:space="0" w:color="auto"/>
            <w:right w:val="none" w:sz="0" w:space="0" w:color="auto"/>
          </w:divBdr>
          <w:divsChild>
            <w:div w:id="1324165564">
              <w:marLeft w:val="0"/>
              <w:marRight w:val="0"/>
              <w:marTop w:val="0"/>
              <w:marBottom w:val="0"/>
              <w:divBdr>
                <w:top w:val="none" w:sz="0" w:space="0" w:color="auto"/>
                <w:left w:val="none" w:sz="0" w:space="0" w:color="auto"/>
                <w:bottom w:val="none" w:sz="0" w:space="0" w:color="auto"/>
                <w:right w:val="none" w:sz="0" w:space="0" w:color="auto"/>
              </w:divBdr>
              <w:divsChild>
                <w:div w:id="159463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705607">
      <w:bodyDiv w:val="1"/>
      <w:marLeft w:val="0"/>
      <w:marRight w:val="0"/>
      <w:marTop w:val="0"/>
      <w:marBottom w:val="0"/>
      <w:divBdr>
        <w:top w:val="none" w:sz="0" w:space="0" w:color="auto"/>
        <w:left w:val="none" w:sz="0" w:space="0" w:color="auto"/>
        <w:bottom w:val="none" w:sz="0" w:space="0" w:color="auto"/>
        <w:right w:val="none" w:sz="0" w:space="0" w:color="auto"/>
      </w:divBdr>
    </w:div>
    <w:div w:id="58938803">
      <w:bodyDiv w:val="1"/>
      <w:marLeft w:val="0"/>
      <w:marRight w:val="0"/>
      <w:marTop w:val="0"/>
      <w:marBottom w:val="0"/>
      <w:divBdr>
        <w:top w:val="none" w:sz="0" w:space="0" w:color="auto"/>
        <w:left w:val="none" w:sz="0" w:space="0" w:color="auto"/>
        <w:bottom w:val="none" w:sz="0" w:space="0" w:color="auto"/>
        <w:right w:val="none" w:sz="0" w:space="0" w:color="auto"/>
      </w:divBdr>
    </w:div>
    <w:div w:id="75637734">
      <w:bodyDiv w:val="1"/>
      <w:marLeft w:val="0"/>
      <w:marRight w:val="0"/>
      <w:marTop w:val="0"/>
      <w:marBottom w:val="0"/>
      <w:divBdr>
        <w:top w:val="none" w:sz="0" w:space="0" w:color="auto"/>
        <w:left w:val="none" w:sz="0" w:space="0" w:color="auto"/>
        <w:bottom w:val="none" w:sz="0" w:space="0" w:color="auto"/>
        <w:right w:val="none" w:sz="0" w:space="0" w:color="auto"/>
      </w:divBdr>
      <w:divsChild>
        <w:div w:id="2103181439">
          <w:marLeft w:val="0"/>
          <w:marRight w:val="0"/>
          <w:marTop w:val="0"/>
          <w:marBottom w:val="0"/>
          <w:divBdr>
            <w:top w:val="none" w:sz="0" w:space="0" w:color="auto"/>
            <w:left w:val="none" w:sz="0" w:space="0" w:color="auto"/>
            <w:bottom w:val="none" w:sz="0" w:space="0" w:color="auto"/>
            <w:right w:val="none" w:sz="0" w:space="0" w:color="auto"/>
          </w:divBdr>
          <w:divsChild>
            <w:div w:id="2070616539">
              <w:marLeft w:val="0"/>
              <w:marRight w:val="0"/>
              <w:marTop w:val="0"/>
              <w:marBottom w:val="0"/>
              <w:divBdr>
                <w:top w:val="none" w:sz="0" w:space="0" w:color="auto"/>
                <w:left w:val="none" w:sz="0" w:space="0" w:color="auto"/>
                <w:bottom w:val="none" w:sz="0" w:space="0" w:color="auto"/>
                <w:right w:val="none" w:sz="0" w:space="0" w:color="auto"/>
              </w:divBdr>
              <w:divsChild>
                <w:div w:id="758605140">
                  <w:marLeft w:val="0"/>
                  <w:marRight w:val="0"/>
                  <w:marTop w:val="0"/>
                  <w:marBottom w:val="0"/>
                  <w:divBdr>
                    <w:top w:val="none" w:sz="0" w:space="0" w:color="auto"/>
                    <w:left w:val="none" w:sz="0" w:space="0" w:color="auto"/>
                    <w:bottom w:val="none" w:sz="0" w:space="0" w:color="auto"/>
                    <w:right w:val="none" w:sz="0" w:space="0" w:color="auto"/>
                  </w:divBdr>
                  <w:divsChild>
                    <w:div w:id="1845318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330360">
      <w:bodyDiv w:val="1"/>
      <w:marLeft w:val="0"/>
      <w:marRight w:val="0"/>
      <w:marTop w:val="0"/>
      <w:marBottom w:val="0"/>
      <w:divBdr>
        <w:top w:val="none" w:sz="0" w:space="0" w:color="auto"/>
        <w:left w:val="none" w:sz="0" w:space="0" w:color="auto"/>
        <w:bottom w:val="none" w:sz="0" w:space="0" w:color="auto"/>
        <w:right w:val="none" w:sz="0" w:space="0" w:color="auto"/>
      </w:divBdr>
    </w:div>
    <w:div w:id="79496941">
      <w:bodyDiv w:val="1"/>
      <w:marLeft w:val="0"/>
      <w:marRight w:val="0"/>
      <w:marTop w:val="0"/>
      <w:marBottom w:val="0"/>
      <w:divBdr>
        <w:top w:val="none" w:sz="0" w:space="0" w:color="auto"/>
        <w:left w:val="none" w:sz="0" w:space="0" w:color="auto"/>
        <w:bottom w:val="none" w:sz="0" w:space="0" w:color="auto"/>
        <w:right w:val="none" w:sz="0" w:space="0" w:color="auto"/>
      </w:divBdr>
      <w:divsChild>
        <w:div w:id="689528428">
          <w:marLeft w:val="0"/>
          <w:marRight w:val="0"/>
          <w:marTop w:val="0"/>
          <w:marBottom w:val="0"/>
          <w:divBdr>
            <w:top w:val="none" w:sz="0" w:space="0" w:color="auto"/>
            <w:left w:val="none" w:sz="0" w:space="0" w:color="auto"/>
            <w:bottom w:val="none" w:sz="0" w:space="0" w:color="auto"/>
            <w:right w:val="none" w:sz="0" w:space="0" w:color="auto"/>
          </w:divBdr>
          <w:divsChild>
            <w:div w:id="237062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037725">
      <w:bodyDiv w:val="1"/>
      <w:marLeft w:val="0"/>
      <w:marRight w:val="0"/>
      <w:marTop w:val="0"/>
      <w:marBottom w:val="0"/>
      <w:divBdr>
        <w:top w:val="none" w:sz="0" w:space="0" w:color="auto"/>
        <w:left w:val="none" w:sz="0" w:space="0" w:color="auto"/>
        <w:bottom w:val="none" w:sz="0" w:space="0" w:color="auto"/>
        <w:right w:val="none" w:sz="0" w:space="0" w:color="auto"/>
      </w:divBdr>
    </w:div>
    <w:div w:id="85270241">
      <w:bodyDiv w:val="1"/>
      <w:marLeft w:val="0"/>
      <w:marRight w:val="0"/>
      <w:marTop w:val="0"/>
      <w:marBottom w:val="0"/>
      <w:divBdr>
        <w:top w:val="none" w:sz="0" w:space="0" w:color="auto"/>
        <w:left w:val="none" w:sz="0" w:space="0" w:color="auto"/>
        <w:bottom w:val="none" w:sz="0" w:space="0" w:color="auto"/>
        <w:right w:val="none" w:sz="0" w:space="0" w:color="auto"/>
      </w:divBdr>
    </w:div>
    <w:div w:id="94449001">
      <w:bodyDiv w:val="1"/>
      <w:marLeft w:val="0"/>
      <w:marRight w:val="0"/>
      <w:marTop w:val="0"/>
      <w:marBottom w:val="0"/>
      <w:divBdr>
        <w:top w:val="none" w:sz="0" w:space="0" w:color="auto"/>
        <w:left w:val="none" w:sz="0" w:space="0" w:color="auto"/>
        <w:bottom w:val="none" w:sz="0" w:space="0" w:color="auto"/>
        <w:right w:val="none" w:sz="0" w:space="0" w:color="auto"/>
      </w:divBdr>
    </w:div>
    <w:div w:id="94985693">
      <w:bodyDiv w:val="1"/>
      <w:marLeft w:val="0"/>
      <w:marRight w:val="0"/>
      <w:marTop w:val="0"/>
      <w:marBottom w:val="0"/>
      <w:divBdr>
        <w:top w:val="none" w:sz="0" w:space="0" w:color="auto"/>
        <w:left w:val="none" w:sz="0" w:space="0" w:color="auto"/>
        <w:bottom w:val="none" w:sz="0" w:space="0" w:color="auto"/>
        <w:right w:val="none" w:sz="0" w:space="0" w:color="auto"/>
      </w:divBdr>
    </w:div>
    <w:div w:id="116534613">
      <w:bodyDiv w:val="1"/>
      <w:marLeft w:val="0"/>
      <w:marRight w:val="0"/>
      <w:marTop w:val="0"/>
      <w:marBottom w:val="0"/>
      <w:divBdr>
        <w:top w:val="none" w:sz="0" w:space="0" w:color="auto"/>
        <w:left w:val="none" w:sz="0" w:space="0" w:color="auto"/>
        <w:bottom w:val="none" w:sz="0" w:space="0" w:color="auto"/>
        <w:right w:val="none" w:sz="0" w:space="0" w:color="auto"/>
      </w:divBdr>
    </w:div>
    <w:div w:id="122775619">
      <w:bodyDiv w:val="1"/>
      <w:marLeft w:val="0"/>
      <w:marRight w:val="0"/>
      <w:marTop w:val="0"/>
      <w:marBottom w:val="0"/>
      <w:divBdr>
        <w:top w:val="none" w:sz="0" w:space="0" w:color="auto"/>
        <w:left w:val="none" w:sz="0" w:space="0" w:color="auto"/>
        <w:bottom w:val="none" w:sz="0" w:space="0" w:color="auto"/>
        <w:right w:val="none" w:sz="0" w:space="0" w:color="auto"/>
      </w:divBdr>
      <w:divsChild>
        <w:div w:id="2062821963">
          <w:marLeft w:val="0"/>
          <w:marRight w:val="0"/>
          <w:marTop w:val="0"/>
          <w:marBottom w:val="0"/>
          <w:divBdr>
            <w:top w:val="none" w:sz="0" w:space="0" w:color="auto"/>
            <w:left w:val="none" w:sz="0" w:space="0" w:color="auto"/>
            <w:bottom w:val="none" w:sz="0" w:space="0" w:color="auto"/>
            <w:right w:val="none" w:sz="0" w:space="0" w:color="auto"/>
          </w:divBdr>
        </w:div>
      </w:divsChild>
    </w:div>
    <w:div w:id="129980973">
      <w:bodyDiv w:val="1"/>
      <w:marLeft w:val="0"/>
      <w:marRight w:val="0"/>
      <w:marTop w:val="0"/>
      <w:marBottom w:val="0"/>
      <w:divBdr>
        <w:top w:val="none" w:sz="0" w:space="0" w:color="auto"/>
        <w:left w:val="none" w:sz="0" w:space="0" w:color="auto"/>
        <w:bottom w:val="none" w:sz="0" w:space="0" w:color="auto"/>
        <w:right w:val="none" w:sz="0" w:space="0" w:color="auto"/>
      </w:divBdr>
      <w:divsChild>
        <w:div w:id="522939710">
          <w:marLeft w:val="0"/>
          <w:marRight w:val="0"/>
          <w:marTop w:val="0"/>
          <w:marBottom w:val="0"/>
          <w:divBdr>
            <w:top w:val="none" w:sz="0" w:space="0" w:color="auto"/>
            <w:left w:val="none" w:sz="0" w:space="0" w:color="auto"/>
            <w:bottom w:val="none" w:sz="0" w:space="0" w:color="auto"/>
            <w:right w:val="none" w:sz="0" w:space="0" w:color="auto"/>
          </w:divBdr>
          <w:divsChild>
            <w:div w:id="1560894338">
              <w:marLeft w:val="0"/>
              <w:marRight w:val="0"/>
              <w:marTop w:val="0"/>
              <w:marBottom w:val="0"/>
              <w:divBdr>
                <w:top w:val="none" w:sz="0" w:space="0" w:color="auto"/>
                <w:left w:val="none" w:sz="0" w:space="0" w:color="auto"/>
                <w:bottom w:val="none" w:sz="0" w:space="0" w:color="auto"/>
                <w:right w:val="none" w:sz="0" w:space="0" w:color="auto"/>
              </w:divBdr>
              <w:divsChild>
                <w:div w:id="110832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290619">
      <w:bodyDiv w:val="1"/>
      <w:marLeft w:val="0"/>
      <w:marRight w:val="0"/>
      <w:marTop w:val="0"/>
      <w:marBottom w:val="0"/>
      <w:divBdr>
        <w:top w:val="none" w:sz="0" w:space="0" w:color="auto"/>
        <w:left w:val="none" w:sz="0" w:space="0" w:color="auto"/>
        <w:bottom w:val="none" w:sz="0" w:space="0" w:color="auto"/>
        <w:right w:val="none" w:sz="0" w:space="0" w:color="auto"/>
      </w:divBdr>
    </w:div>
    <w:div w:id="138035677">
      <w:bodyDiv w:val="1"/>
      <w:marLeft w:val="0"/>
      <w:marRight w:val="0"/>
      <w:marTop w:val="0"/>
      <w:marBottom w:val="0"/>
      <w:divBdr>
        <w:top w:val="none" w:sz="0" w:space="0" w:color="auto"/>
        <w:left w:val="none" w:sz="0" w:space="0" w:color="auto"/>
        <w:bottom w:val="none" w:sz="0" w:space="0" w:color="auto"/>
        <w:right w:val="none" w:sz="0" w:space="0" w:color="auto"/>
      </w:divBdr>
    </w:div>
    <w:div w:id="154615700">
      <w:bodyDiv w:val="1"/>
      <w:marLeft w:val="0"/>
      <w:marRight w:val="0"/>
      <w:marTop w:val="0"/>
      <w:marBottom w:val="0"/>
      <w:divBdr>
        <w:top w:val="none" w:sz="0" w:space="0" w:color="auto"/>
        <w:left w:val="none" w:sz="0" w:space="0" w:color="auto"/>
        <w:bottom w:val="none" w:sz="0" w:space="0" w:color="auto"/>
        <w:right w:val="none" w:sz="0" w:space="0" w:color="auto"/>
      </w:divBdr>
    </w:div>
    <w:div w:id="160048198">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69032022">
      <w:bodyDiv w:val="1"/>
      <w:marLeft w:val="0"/>
      <w:marRight w:val="0"/>
      <w:marTop w:val="0"/>
      <w:marBottom w:val="0"/>
      <w:divBdr>
        <w:top w:val="none" w:sz="0" w:space="0" w:color="auto"/>
        <w:left w:val="none" w:sz="0" w:space="0" w:color="auto"/>
        <w:bottom w:val="none" w:sz="0" w:space="0" w:color="auto"/>
        <w:right w:val="none" w:sz="0" w:space="0" w:color="auto"/>
      </w:divBdr>
    </w:div>
    <w:div w:id="176891374">
      <w:bodyDiv w:val="1"/>
      <w:marLeft w:val="0"/>
      <w:marRight w:val="0"/>
      <w:marTop w:val="0"/>
      <w:marBottom w:val="0"/>
      <w:divBdr>
        <w:top w:val="none" w:sz="0" w:space="0" w:color="auto"/>
        <w:left w:val="none" w:sz="0" w:space="0" w:color="auto"/>
        <w:bottom w:val="none" w:sz="0" w:space="0" w:color="auto"/>
        <w:right w:val="none" w:sz="0" w:space="0" w:color="auto"/>
      </w:divBdr>
    </w:div>
    <w:div w:id="199707491">
      <w:bodyDiv w:val="1"/>
      <w:marLeft w:val="0"/>
      <w:marRight w:val="0"/>
      <w:marTop w:val="0"/>
      <w:marBottom w:val="0"/>
      <w:divBdr>
        <w:top w:val="none" w:sz="0" w:space="0" w:color="auto"/>
        <w:left w:val="none" w:sz="0" w:space="0" w:color="auto"/>
        <w:bottom w:val="none" w:sz="0" w:space="0" w:color="auto"/>
        <w:right w:val="none" w:sz="0" w:space="0" w:color="auto"/>
      </w:divBdr>
    </w:div>
    <w:div w:id="208033545">
      <w:bodyDiv w:val="1"/>
      <w:marLeft w:val="0"/>
      <w:marRight w:val="0"/>
      <w:marTop w:val="0"/>
      <w:marBottom w:val="0"/>
      <w:divBdr>
        <w:top w:val="none" w:sz="0" w:space="0" w:color="auto"/>
        <w:left w:val="none" w:sz="0" w:space="0" w:color="auto"/>
        <w:bottom w:val="none" w:sz="0" w:space="0" w:color="auto"/>
        <w:right w:val="none" w:sz="0" w:space="0" w:color="auto"/>
      </w:divBdr>
    </w:div>
    <w:div w:id="208080400">
      <w:bodyDiv w:val="1"/>
      <w:marLeft w:val="0"/>
      <w:marRight w:val="0"/>
      <w:marTop w:val="0"/>
      <w:marBottom w:val="0"/>
      <w:divBdr>
        <w:top w:val="none" w:sz="0" w:space="0" w:color="auto"/>
        <w:left w:val="none" w:sz="0" w:space="0" w:color="auto"/>
        <w:bottom w:val="none" w:sz="0" w:space="0" w:color="auto"/>
        <w:right w:val="none" w:sz="0" w:space="0" w:color="auto"/>
      </w:divBdr>
    </w:div>
    <w:div w:id="233010207">
      <w:bodyDiv w:val="1"/>
      <w:marLeft w:val="0"/>
      <w:marRight w:val="0"/>
      <w:marTop w:val="0"/>
      <w:marBottom w:val="0"/>
      <w:divBdr>
        <w:top w:val="none" w:sz="0" w:space="0" w:color="auto"/>
        <w:left w:val="none" w:sz="0" w:space="0" w:color="auto"/>
        <w:bottom w:val="none" w:sz="0" w:space="0" w:color="auto"/>
        <w:right w:val="none" w:sz="0" w:space="0" w:color="auto"/>
      </w:divBdr>
      <w:divsChild>
        <w:div w:id="2048749202">
          <w:marLeft w:val="0"/>
          <w:marRight w:val="0"/>
          <w:marTop w:val="0"/>
          <w:marBottom w:val="0"/>
          <w:divBdr>
            <w:top w:val="none" w:sz="0" w:space="0" w:color="auto"/>
            <w:left w:val="none" w:sz="0" w:space="0" w:color="auto"/>
            <w:bottom w:val="none" w:sz="0" w:space="0" w:color="auto"/>
            <w:right w:val="none" w:sz="0" w:space="0" w:color="auto"/>
          </w:divBdr>
          <w:divsChild>
            <w:div w:id="394548460">
              <w:marLeft w:val="0"/>
              <w:marRight w:val="0"/>
              <w:marTop w:val="0"/>
              <w:marBottom w:val="0"/>
              <w:divBdr>
                <w:top w:val="none" w:sz="0" w:space="0" w:color="auto"/>
                <w:left w:val="none" w:sz="0" w:space="0" w:color="auto"/>
                <w:bottom w:val="none" w:sz="0" w:space="0" w:color="auto"/>
                <w:right w:val="none" w:sz="0" w:space="0" w:color="auto"/>
              </w:divBdr>
              <w:divsChild>
                <w:div w:id="704797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5555305">
      <w:bodyDiv w:val="1"/>
      <w:marLeft w:val="0"/>
      <w:marRight w:val="0"/>
      <w:marTop w:val="0"/>
      <w:marBottom w:val="0"/>
      <w:divBdr>
        <w:top w:val="none" w:sz="0" w:space="0" w:color="auto"/>
        <w:left w:val="none" w:sz="0" w:space="0" w:color="auto"/>
        <w:bottom w:val="none" w:sz="0" w:space="0" w:color="auto"/>
        <w:right w:val="none" w:sz="0" w:space="0" w:color="auto"/>
      </w:divBdr>
      <w:divsChild>
        <w:div w:id="1294293439">
          <w:marLeft w:val="0"/>
          <w:marRight w:val="0"/>
          <w:marTop w:val="0"/>
          <w:marBottom w:val="0"/>
          <w:divBdr>
            <w:top w:val="none" w:sz="0" w:space="0" w:color="auto"/>
            <w:left w:val="none" w:sz="0" w:space="0" w:color="auto"/>
            <w:bottom w:val="none" w:sz="0" w:space="0" w:color="auto"/>
            <w:right w:val="none" w:sz="0" w:space="0" w:color="auto"/>
          </w:divBdr>
          <w:divsChild>
            <w:div w:id="150484144">
              <w:marLeft w:val="0"/>
              <w:marRight w:val="0"/>
              <w:marTop w:val="0"/>
              <w:marBottom w:val="0"/>
              <w:divBdr>
                <w:top w:val="none" w:sz="0" w:space="0" w:color="auto"/>
                <w:left w:val="none" w:sz="0" w:space="0" w:color="auto"/>
                <w:bottom w:val="none" w:sz="0" w:space="0" w:color="auto"/>
                <w:right w:val="none" w:sz="0" w:space="0" w:color="auto"/>
              </w:divBdr>
              <w:divsChild>
                <w:div w:id="74175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8056181">
      <w:bodyDiv w:val="1"/>
      <w:marLeft w:val="0"/>
      <w:marRight w:val="0"/>
      <w:marTop w:val="0"/>
      <w:marBottom w:val="0"/>
      <w:divBdr>
        <w:top w:val="none" w:sz="0" w:space="0" w:color="auto"/>
        <w:left w:val="none" w:sz="0" w:space="0" w:color="auto"/>
        <w:bottom w:val="none" w:sz="0" w:space="0" w:color="auto"/>
        <w:right w:val="none" w:sz="0" w:space="0" w:color="auto"/>
      </w:divBdr>
    </w:div>
    <w:div w:id="245386739">
      <w:bodyDiv w:val="1"/>
      <w:marLeft w:val="0"/>
      <w:marRight w:val="0"/>
      <w:marTop w:val="0"/>
      <w:marBottom w:val="0"/>
      <w:divBdr>
        <w:top w:val="none" w:sz="0" w:space="0" w:color="auto"/>
        <w:left w:val="none" w:sz="0" w:space="0" w:color="auto"/>
        <w:bottom w:val="none" w:sz="0" w:space="0" w:color="auto"/>
        <w:right w:val="none" w:sz="0" w:space="0" w:color="auto"/>
      </w:divBdr>
    </w:div>
    <w:div w:id="258679361">
      <w:bodyDiv w:val="1"/>
      <w:marLeft w:val="0"/>
      <w:marRight w:val="0"/>
      <w:marTop w:val="0"/>
      <w:marBottom w:val="0"/>
      <w:divBdr>
        <w:top w:val="none" w:sz="0" w:space="0" w:color="auto"/>
        <w:left w:val="none" w:sz="0" w:space="0" w:color="auto"/>
        <w:bottom w:val="none" w:sz="0" w:space="0" w:color="auto"/>
        <w:right w:val="none" w:sz="0" w:space="0" w:color="auto"/>
      </w:divBdr>
    </w:div>
    <w:div w:id="264926424">
      <w:bodyDiv w:val="1"/>
      <w:marLeft w:val="0"/>
      <w:marRight w:val="0"/>
      <w:marTop w:val="0"/>
      <w:marBottom w:val="0"/>
      <w:divBdr>
        <w:top w:val="none" w:sz="0" w:space="0" w:color="auto"/>
        <w:left w:val="none" w:sz="0" w:space="0" w:color="auto"/>
        <w:bottom w:val="none" w:sz="0" w:space="0" w:color="auto"/>
        <w:right w:val="none" w:sz="0" w:space="0" w:color="auto"/>
      </w:divBdr>
    </w:div>
    <w:div w:id="268900729">
      <w:bodyDiv w:val="1"/>
      <w:marLeft w:val="0"/>
      <w:marRight w:val="0"/>
      <w:marTop w:val="0"/>
      <w:marBottom w:val="0"/>
      <w:divBdr>
        <w:top w:val="none" w:sz="0" w:space="0" w:color="auto"/>
        <w:left w:val="none" w:sz="0" w:space="0" w:color="auto"/>
        <w:bottom w:val="none" w:sz="0" w:space="0" w:color="auto"/>
        <w:right w:val="none" w:sz="0" w:space="0" w:color="auto"/>
      </w:divBdr>
    </w:div>
    <w:div w:id="271212234">
      <w:bodyDiv w:val="1"/>
      <w:marLeft w:val="0"/>
      <w:marRight w:val="0"/>
      <w:marTop w:val="0"/>
      <w:marBottom w:val="0"/>
      <w:divBdr>
        <w:top w:val="none" w:sz="0" w:space="0" w:color="auto"/>
        <w:left w:val="none" w:sz="0" w:space="0" w:color="auto"/>
        <w:bottom w:val="none" w:sz="0" w:space="0" w:color="auto"/>
        <w:right w:val="none" w:sz="0" w:space="0" w:color="auto"/>
      </w:divBdr>
    </w:div>
    <w:div w:id="282688623">
      <w:bodyDiv w:val="1"/>
      <w:marLeft w:val="0"/>
      <w:marRight w:val="0"/>
      <w:marTop w:val="0"/>
      <w:marBottom w:val="0"/>
      <w:divBdr>
        <w:top w:val="none" w:sz="0" w:space="0" w:color="auto"/>
        <w:left w:val="none" w:sz="0" w:space="0" w:color="auto"/>
        <w:bottom w:val="none" w:sz="0" w:space="0" w:color="auto"/>
        <w:right w:val="none" w:sz="0" w:space="0" w:color="auto"/>
      </w:divBdr>
    </w:div>
    <w:div w:id="284427149">
      <w:bodyDiv w:val="1"/>
      <w:marLeft w:val="0"/>
      <w:marRight w:val="0"/>
      <w:marTop w:val="0"/>
      <w:marBottom w:val="0"/>
      <w:divBdr>
        <w:top w:val="none" w:sz="0" w:space="0" w:color="auto"/>
        <w:left w:val="none" w:sz="0" w:space="0" w:color="auto"/>
        <w:bottom w:val="none" w:sz="0" w:space="0" w:color="auto"/>
        <w:right w:val="none" w:sz="0" w:space="0" w:color="auto"/>
      </w:divBdr>
    </w:div>
    <w:div w:id="287053986">
      <w:bodyDiv w:val="1"/>
      <w:marLeft w:val="0"/>
      <w:marRight w:val="0"/>
      <w:marTop w:val="0"/>
      <w:marBottom w:val="0"/>
      <w:divBdr>
        <w:top w:val="none" w:sz="0" w:space="0" w:color="auto"/>
        <w:left w:val="none" w:sz="0" w:space="0" w:color="auto"/>
        <w:bottom w:val="none" w:sz="0" w:space="0" w:color="auto"/>
        <w:right w:val="none" w:sz="0" w:space="0" w:color="auto"/>
      </w:divBdr>
    </w:div>
    <w:div w:id="288053694">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292759390">
      <w:bodyDiv w:val="1"/>
      <w:marLeft w:val="0"/>
      <w:marRight w:val="0"/>
      <w:marTop w:val="0"/>
      <w:marBottom w:val="0"/>
      <w:divBdr>
        <w:top w:val="none" w:sz="0" w:space="0" w:color="auto"/>
        <w:left w:val="none" w:sz="0" w:space="0" w:color="auto"/>
        <w:bottom w:val="none" w:sz="0" w:space="0" w:color="auto"/>
        <w:right w:val="none" w:sz="0" w:space="0" w:color="auto"/>
      </w:divBdr>
    </w:div>
    <w:div w:id="305210826">
      <w:bodyDiv w:val="1"/>
      <w:marLeft w:val="0"/>
      <w:marRight w:val="0"/>
      <w:marTop w:val="0"/>
      <w:marBottom w:val="0"/>
      <w:divBdr>
        <w:top w:val="none" w:sz="0" w:space="0" w:color="auto"/>
        <w:left w:val="none" w:sz="0" w:space="0" w:color="auto"/>
        <w:bottom w:val="none" w:sz="0" w:space="0" w:color="auto"/>
        <w:right w:val="none" w:sz="0" w:space="0" w:color="auto"/>
      </w:divBdr>
    </w:div>
    <w:div w:id="310133555">
      <w:bodyDiv w:val="1"/>
      <w:marLeft w:val="0"/>
      <w:marRight w:val="0"/>
      <w:marTop w:val="0"/>
      <w:marBottom w:val="0"/>
      <w:divBdr>
        <w:top w:val="none" w:sz="0" w:space="0" w:color="auto"/>
        <w:left w:val="none" w:sz="0" w:space="0" w:color="auto"/>
        <w:bottom w:val="none" w:sz="0" w:space="0" w:color="auto"/>
        <w:right w:val="none" w:sz="0" w:space="0" w:color="auto"/>
      </w:divBdr>
    </w:div>
    <w:div w:id="310521259">
      <w:bodyDiv w:val="1"/>
      <w:marLeft w:val="0"/>
      <w:marRight w:val="0"/>
      <w:marTop w:val="0"/>
      <w:marBottom w:val="0"/>
      <w:divBdr>
        <w:top w:val="none" w:sz="0" w:space="0" w:color="auto"/>
        <w:left w:val="none" w:sz="0" w:space="0" w:color="auto"/>
        <w:bottom w:val="none" w:sz="0" w:space="0" w:color="auto"/>
        <w:right w:val="none" w:sz="0" w:space="0" w:color="auto"/>
      </w:divBdr>
    </w:div>
    <w:div w:id="312223570">
      <w:bodyDiv w:val="1"/>
      <w:marLeft w:val="0"/>
      <w:marRight w:val="0"/>
      <w:marTop w:val="0"/>
      <w:marBottom w:val="0"/>
      <w:divBdr>
        <w:top w:val="none" w:sz="0" w:space="0" w:color="auto"/>
        <w:left w:val="none" w:sz="0" w:space="0" w:color="auto"/>
        <w:bottom w:val="none" w:sz="0" w:space="0" w:color="auto"/>
        <w:right w:val="none" w:sz="0" w:space="0" w:color="auto"/>
      </w:divBdr>
    </w:div>
    <w:div w:id="314844853">
      <w:bodyDiv w:val="1"/>
      <w:marLeft w:val="0"/>
      <w:marRight w:val="0"/>
      <w:marTop w:val="0"/>
      <w:marBottom w:val="0"/>
      <w:divBdr>
        <w:top w:val="none" w:sz="0" w:space="0" w:color="auto"/>
        <w:left w:val="none" w:sz="0" w:space="0" w:color="auto"/>
        <w:bottom w:val="none" w:sz="0" w:space="0" w:color="auto"/>
        <w:right w:val="none" w:sz="0" w:space="0" w:color="auto"/>
      </w:divBdr>
    </w:div>
    <w:div w:id="322202786">
      <w:bodyDiv w:val="1"/>
      <w:marLeft w:val="0"/>
      <w:marRight w:val="0"/>
      <w:marTop w:val="0"/>
      <w:marBottom w:val="0"/>
      <w:divBdr>
        <w:top w:val="none" w:sz="0" w:space="0" w:color="auto"/>
        <w:left w:val="none" w:sz="0" w:space="0" w:color="auto"/>
        <w:bottom w:val="none" w:sz="0" w:space="0" w:color="auto"/>
        <w:right w:val="none" w:sz="0" w:space="0" w:color="auto"/>
      </w:divBdr>
    </w:div>
    <w:div w:id="331881237">
      <w:bodyDiv w:val="1"/>
      <w:marLeft w:val="0"/>
      <w:marRight w:val="0"/>
      <w:marTop w:val="0"/>
      <w:marBottom w:val="0"/>
      <w:divBdr>
        <w:top w:val="none" w:sz="0" w:space="0" w:color="auto"/>
        <w:left w:val="none" w:sz="0" w:space="0" w:color="auto"/>
        <w:bottom w:val="none" w:sz="0" w:space="0" w:color="auto"/>
        <w:right w:val="none" w:sz="0" w:space="0" w:color="auto"/>
      </w:divBdr>
    </w:div>
    <w:div w:id="334965764">
      <w:bodyDiv w:val="1"/>
      <w:marLeft w:val="0"/>
      <w:marRight w:val="0"/>
      <w:marTop w:val="0"/>
      <w:marBottom w:val="0"/>
      <w:divBdr>
        <w:top w:val="none" w:sz="0" w:space="0" w:color="auto"/>
        <w:left w:val="none" w:sz="0" w:space="0" w:color="auto"/>
        <w:bottom w:val="none" w:sz="0" w:space="0" w:color="auto"/>
        <w:right w:val="none" w:sz="0" w:space="0" w:color="auto"/>
      </w:divBdr>
    </w:div>
    <w:div w:id="337391810">
      <w:bodyDiv w:val="1"/>
      <w:marLeft w:val="0"/>
      <w:marRight w:val="0"/>
      <w:marTop w:val="0"/>
      <w:marBottom w:val="0"/>
      <w:divBdr>
        <w:top w:val="none" w:sz="0" w:space="0" w:color="auto"/>
        <w:left w:val="none" w:sz="0" w:space="0" w:color="auto"/>
        <w:bottom w:val="none" w:sz="0" w:space="0" w:color="auto"/>
        <w:right w:val="none" w:sz="0" w:space="0" w:color="auto"/>
      </w:divBdr>
    </w:div>
    <w:div w:id="339620751">
      <w:bodyDiv w:val="1"/>
      <w:marLeft w:val="0"/>
      <w:marRight w:val="0"/>
      <w:marTop w:val="0"/>
      <w:marBottom w:val="0"/>
      <w:divBdr>
        <w:top w:val="none" w:sz="0" w:space="0" w:color="auto"/>
        <w:left w:val="none" w:sz="0" w:space="0" w:color="auto"/>
        <w:bottom w:val="none" w:sz="0" w:space="0" w:color="auto"/>
        <w:right w:val="none" w:sz="0" w:space="0" w:color="auto"/>
      </w:divBdr>
    </w:div>
    <w:div w:id="344946704">
      <w:bodyDiv w:val="1"/>
      <w:marLeft w:val="0"/>
      <w:marRight w:val="0"/>
      <w:marTop w:val="0"/>
      <w:marBottom w:val="0"/>
      <w:divBdr>
        <w:top w:val="none" w:sz="0" w:space="0" w:color="auto"/>
        <w:left w:val="none" w:sz="0" w:space="0" w:color="auto"/>
        <w:bottom w:val="none" w:sz="0" w:space="0" w:color="auto"/>
        <w:right w:val="none" w:sz="0" w:space="0" w:color="auto"/>
      </w:divBdr>
      <w:divsChild>
        <w:div w:id="1496412692">
          <w:marLeft w:val="0"/>
          <w:marRight w:val="0"/>
          <w:marTop w:val="0"/>
          <w:marBottom w:val="0"/>
          <w:divBdr>
            <w:top w:val="none" w:sz="0" w:space="0" w:color="auto"/>
            <w:left w:val="none" w:sz="0" w:space="0" w:color="auto"/>
            <w:bottom w:val="none" w:sz="0" w:space="0" w:color="auto"/>
            <w:right w:val="none" w:sz="0" w:space="0" w:color="auto"/>
          </w:divBdr>
          <w:divsChild>
            <w:div w:id="1121000746">
              <w:marLeft w:val="0"/>
              <w:marRight w:val="0"/>
              <w:marTop w:val="0"/>
              <w:marBottom w:val="0"/>
              <w:divBdr>
                <w:top w:val="none" w:sz="0" w:space="0" w:color="auto"/>
                <w:left w:val="none" w:sz="0" w:space="0" w:color="auto"/>
                <w:bottom w:val="none" w:sz="0" w:space="0" w:color="auto"/>
                <w:right w:val="none" w:sz="0" w:space="0" w:color="auto"/>
              </w:divBdr>
              <w:divsChild>
                <w:div w:id="1364474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5522120">
      <w:bodyDiv w:val="1"/>
      <w:marLeft w:val="0"/>
      <w:marRight w:val="0"/>
      <w:marTop w:val="0"/>
      <w:marBottom w:val="0"/>
      <w:divBdr>
        <w:top w:val="none" w:sz="0" w:space="0" w:color="auto"/>
        <w:left w:val="none" w:sz="0" w:space="0" w:color="auto"/>
        <w:bottom w:val="none" w:sz="0" w:space="0" w:color="auto"/>
        <w:right w:val="none" w:sz="0" w:space="0" w:color="auto"/>
      </w:divBdr>
    </w:div>
    <w:div w:id="348802467">
      <w:bodyDiv w:val="1"/>
      <w:marLeft w:val="0"/>
      <w:marRight w:val="0"/>
      <w:marTop w:val="0"/>
      <w:marBottom w:val="0"/>
      <w:divBdr>
        <w:top w:val="none" w:sz="0" w:space="0" w:color="auto"/>
        <w:left w:val="none" w:sz="0" w:space="0" w:color="auto"/>
        <w:bottom w:val="none" w:sz="0" w:space="0" w:color="auto"/>
        <w:right w:val="none" w:sz="0" w:space="0" w:color="auto"/>
      </w:divBdr>
    </w:div>
    <w:div w:id="351734920">
      <w:bodyDiv w:val="1"/>
      <w:marLeft w:val="0"/>
      <w:marRight w:val="0"/>
      <w:marTop w:val="0"/>
      <w:marBottom w:val="0"/>
      <w:divBdr>
        <w:top w:val="none" w:sz="0" w:space="0" w:color="auto"/>
        <w:left w:val="none" w:sz="0" w:space="0" w:color="auto"/>
        <w:bottom w:val="none" w:sz="0" w:space="0" w:color="auto"/>
        <w:right w:val="none" w:sz="0" w:space="0" w:color="auto"/>
      </w:divBdr>
    </w:div>
    <w:div w:id="387266119">
      <w:bodyDiv w:val="1"/>
      <w:marLeft w:val="0"/>
      <w:marRight w:val="0"/>
      <w:marTop w:val="0"/>
      <w:marBottom w:val="0"/>
      <w:divBdr>
        <w:top w:val="none" w:sz="0" w:space="0" w:color="auto"/>
        <w:left w:val="none" w:sz="0" w:space="0" w:color="auto"/>
        <w:bottom w:val="none" w:sz="0" w:space="0" w:color="auto"/>
        <w:right w:val="none" w:sz="0" w:space="0" w:color="auto"/>
      </w:divBdr>
      <w:divsChild>
        <w:div w:id="2039088259">
          <w:marLeft w:val="0"/>
          <w:marRight w:val="0"/>
          <w:marTop w:val="0"/>
          <w:marBottom w:val="0"/>
          <w:divBdr>
            <w:top w:val="none" w:sz="0" w:space="0" w:color="auto"/>
            <w:left w:val="none" w:sz="0" w:space="0" w:color="auto"/>
            <w:bottom w:val="none" w:sz="0" w:space="0" w:color="auto"/>
            <w:right w:val="none" w:sz="0" w:space="0" w:color="auto"/>
          </w:divBdr>
          <w:divsChild>
            <w:div w:id="551431865">
              <w:marLeft w:val="0"/>
              <w:marRight w:val="0"/>
              <w:marTop w:val="0"/>
              <w:marBottom w:val="0"/>
              <w:divBdr>
                <w:top w:val="none" w:sz="0" w:space="0" w:color="auto"/>
                <w:left w:val="none" w:sz="0" w:space="0" w:color="auto"/>
                <w:bottom w:val="none" w:sz="0" w:space="0" w:color="auto"/>
                <w:right w:val="none" w:sz="0" w:space="0" w:color="auto"/>
              </w:divBdr>
              <w:divsChild>
                <w:div w:id="1777408383">
                  <w:marLeft w:val="0"/>
                  <w:marRight w:val="0"/>
                  <w:marTop w:val="0"/>
                  <w:marBottom w:val="0"/>
                  <w:divBdr>
                    <w:top w:val="none" w:sz="0" w:space="0" w:color="auto"/>
                    <w:left w:val="none" w:sz="0" w:space="0" w:color="auto"/>
                    <w:bottom w:val="none" w:sz="0" w:space="0" w:color="auto"/>
                    <w:right w:val="none" w:sz="0" w:space="0" w:color="auto"/>
                  </w:divBdr>
                  <w:divsChild>
                    <w:div w:id="709962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5511658">
      <w:bodyDiv w:val="1"/>
      <w:marLeft w:val="0"/>
      <w:marRight w:val="0"/>
      <w:marTop w:val="0"/>
      <w:marBottom w:val="0"/>
      <w:divBdr>
        <w:top w:val="none" w:sz="0" w:space="0" w:color="auto"/>
        <w:left w:val="none" w:sz="0" w:space="0" w:color="auto"/>
        <w:bottom w:val="none" w:sz="0" w:space="0" w:color="auto"/>
        <w:right w:val="none" w:sz="0" w:space="0" w:color="auto"/>
      </w:divBdr>
    </w:div>
    <w:div w:id="398670483">
      <w:bodyDiv w:val="1"/>
      <w:marLeft w:val="0"/>
      <w:marRight w:val="0"/>
      <w:marTop w:val="0"/>
      <w:marBottom w:val="0"/>
      <w:divBdr>
        <w:top w:val="none" w:sz="0" w:space="0" w:color="auto"/>
        <w:left w:val="none" w:sz="0" w:space="0" w:color="auto"/>
        <w:bottom w:val="none" w:sz="0" w:space="0" w:color="auto"/>
        <w:right w:val="none" w:sz="0" w:space="0" w:color="auto"/>
      </w:divBdr>
    </w:div>
    <w:div w:id="402992273">
      <w:bodyDiv w:val="1"/>
      <w:marLeft w:val="0"/>
      <w:marRight w:val="0"/>
      <w:marTop w:val="0"/>
      <w:marBottom w:val="0"/>
      <w:divBdr>
        <w:top w:val="none" w:sz="0" w:space="0" w:color="auto"/>
        <w:left w:val="none" w:sz="0" w:space="0" w:color="auto"/>
        <w:bottom w:val="none" w:sz="0" w:space="0" w:color="auto"/>
        <w:right w:val="none" w:sz="0" w:space="0" w:color="auto"/>
      </w:divBdr>
    </w:div>
    <w:div w:id="410320993">
      <w:bodyDiv w:val="1"/>
      <w:marLeft w:val="0"/>
      <w:marRight w:val="0"/>
      <w:marTop w:val="0"/>
      <w:marBottom w:val="0"/>
      <w:divBdr>
        <w:top w:val="none" w:sz="0" w:space="0" w:color="auto"/>
        <w:left w:val="none" w:sz="0" w:space="0" w:color="auto"/>
        <w:bottom w:val="none" w:sz="0" w:space="0" w:color="auto"/>
        <w:right w:val="none" w:sz="0" w:space="0" w:color="auto"/>
      </w:divBdr>
    </w:div>
    <w:div w:id="415446229">
      <w:bodyDiv w:val="1"/>
      <w:marLeft w:val="0"/>
      <w:marRight w:val="0"/>
      <w:marTop w:val="0"/>
      <w:marBottom w:val="0"/>
      <w:divBdr>
        <w:top w:val="none" w:sz="0" w:space="0" w:color="auto"/>
        <w:left w:val="none" w:sz="0" w:space="0" w:color="auto"/>
        <w:bottom w:val="none" w:sz="0" w:space="0" w:color="auto"/>
        <w:right w:val="none" w:sz="0" w:space="0" w:color="auto"/>
      </w:divBdr>
      <w:divsChild>
        <w:div w:id="1042360156">
          <w:marLeft w:val="0"/>
          <w:marRight w:val="0"/>
          <w:marTop w:val="0"/>
          <w:marBottom w:val="0"/>
          <w:divBdr>
            <w:top w:val="none" w:sz="0" w:space="0" w:color="auto"/>
            <w:left w:val="none" w:sz="0" w:space="0" w:color="auto"/>
            <w:bottom w:val="none" w:sz="0" w:space="0" w:color="auto"/>
            <w:right w:val="none" w:sz="0" w:space="0" w:color="auto"/>
          </w:divBdr>
          <w:divsChild>
            <w:div w:id="469910124">
              <w:marLeft w:val="0"/>
              <w:marRight w:val="0"/>
              <w:marTop w:val="0"/>
              <w:marBottom w:val="0"/>
              <w:divBdr>
                <w:top w:val="none" w:sz="0" w:space="0" w:color="auto"/>
                <w:left w:val="none" w:sz="0" w:space="0" w:color="auto"/>
                <w:bottom w:val="none" w:sz="0" w:space="0" w:color="auto"/>
                <w:right w:val="none" w:sz="0" w:space="0" w:color="auto"/>
              </w:divBdr>
              <w:divsChild>
                <w:div w:id="1034884912">
                  <w:marLeft w:val="0"/>
                  <w:marRight w:val="0"/>
                  <w:marTop w:val="0"/>
                  <w:marBottom w:val="0"/>
                  <w:divBdr>
                    <w:top w:val="none" w:sz="0" w:space="0" w:color="auto"/>
                    <w:left w:val="none" w:sz="0" w:space="0" w:color="auto"/>
                    <w:bottom w:val="none" w:sz="0" w:space="0" w:color="auto"/>
                    <w:right w:val="none" w:sz="0" w:space="0" w:color="auto"/>
                  </w:divBdr>
                  <w:divsChild>
                    <w:div w:id="1721662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26266046">
      <w:bodyDiv w:val="1"/>
      <w:marLeft w:val="0"/>
      <w:marRight w:val="0"/>
      <w:marTop w:val="0"/>
      <w:marBottom w:val="0"/>
      <w:divBdr>
        <w:top w:val="none" w:sz="0" w:space="0" w:color="auto"/>
        <w:left w:val="none" w:sz="0" w:space="0" w:color="auto"/>
        <w:bottom w:val="none" w:sz="0" w:space="0" w:color="auto"/>
        <w:right w:val="none" w:sz="0" w:space="0" w:color="auto"/>
      </w:divBdr>
    </w:div>
    <w:div w:id="436829350">
      <w:bodyDiv w:val="1"/>
      <w:marLeft w:val="0"/>
      <w:marRight w:val="0"/>
      <w:marTop w:val="0"/>
      <w:marBottom w:val="0"/>
      <w:divBdr>
        <w:top w:val="none" w:sz="0" w:space="0" w:color="auto"/>
        <w:left w:val="none" w:sz="0" w:space="0" w:color="auto"/>
        <w:bottom w:val="none" w:sz="0" w:space="0" w:color="auto"/>
        <w:right w:val="none" w:sz="0" w:space="0" w:color="auto"/>
      </w:divBdr>
    </w:div>
    <w:div w:id="445349329">
      <w:bodyDiv w:val="1"/>
      <w:marLeft w:val="0"/>
      <w:marRight w:val="0"/>
      <w:marTop w:val="0"/>
      <w:marBottom w:val="0"/>
      <w:divBdr>
        <w:top w:val="none" w:sz="0" w:space="0" w:color="auto"/>
        <w:left w:val="none" w:sz="0" w:space="0" w:color="auto"/>
        <w:bottom w:val="none" w:sz="0" w:space="0" w:color="auto"/>
        <w:right w:val="none" w:sz="0" w:space="0" w:color="auto"/>
      </w:divBdr>
    </w:div>
    <w:div w:id="455149140">
      <w:bodyDiv w:val="1"/>
      <w:marLeft w:val="0"/>
      <w:marRight w:val="0"/>
      <w:marTop w:val="0"/>
      <w:marBottom w:val="0"/>
      <w:divBdr>
        <w:top w:val="none" w:sz="0" w:space="0" w:color="auto"/>
        <w:left w:val="none" w:sz="0" w:space="0" w:color="auto"/>
        <w:bottom w:val="none" w:sz="0" w:space="0" w:color="auto"/>
        <w:right w:val="none" w:sz="0" w:space="0" w:color="auto"/>
      </w:divBdr>
    </w:div>
    <w:div w:id="461339907">
      <w:bodyDiv w:val="1"/>
      <w:marLeft w:val="0"/>
      <w:marRight w:val="0"/>
      <w:marTop w:val="0"/>
      <w:marBottom w:val="0"/>
      <w:divBdr>
        <w:top w:val="none" w:sz="0" w:space="0" w:color="auto"/>
        <w:left w:val="none" w:sz="0" w:space="0" w:color="auto"/>
        <w:bottom w:val="none" w:sz="0" w:space="0" w:color="auto"/>
        <w:right w:val="none" w:sz="0" w:space="0" w:color="auto"/>
      </w:divBdr>
      <w:divsChild>
        <w:div w:id="1982536059">
          <w:marLeft w:val="0"/>
          <w:marRight w:val="0"/>
          <w:marTop w:val="0"/>
          <w:marBottom w:val="0"/>
          <w:divBdr>
            <w:top w:val="none" w:sz="0" w:space="0" w:color="auto"/>
            <w:left w:val="none" w:sz="0" w:space="0" w:color="auto"/>
            <w:bottom w:val="none" w:sz="0" w:space="0" w:color="auto"/>
            <w:right w:val="none" w:sz="0" w:space="0" w:color="auto"/>
          </w:divBdr>
          <w:divsChild>
            <w:div w:id="2022706307">
              <w:marLeft w:val="0"/>
              <w:marRight w:val="0"/>
              <w:marTop w:val="0"/>
              <w:marBottom w:val="0"/>
              <w:divBdr>
                <w:top w:val="none" w:sz="0" w:space="0" w:color="auto"/>
                <w:left w:val="none" w:sz="0" w:space="0" w:color="auto"/>
                <w:bottom w:val="none" w:sz="0" w:space="0" w:color="auto"/>
                <w:right w:val="none" w:sz="0" w:space="0" w:color="auto"/>
              </w:divBdr>
              <w:divsChild>
                <w:div w:id="894196165">
                  <w:marLeft w:val="0"/>
                  <w:marRight w:val="0"/>
                  <w:marTop w:val="0"/>
                  <w:marBottom w:val="0"/>
                  <w:divBdr>
                    <w:top w:val="none" w:sz="0" w:space="0" w:color="auto"/>
                    <w:left w:val="none" w:sz="0" w:space="0" w:color="auto"/>
                    <w:bottom w:val="none" w:sz="0" w:space="0" w:color="auto"/>
                    <w:right w:val="none" w:sz="0" w:space="0" w:color="auto"/>
                  </w:divBdr>
                  <w:divsChild>
                    <w:div w:id="38015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0680369">
      <w:bodyDiv w:val="1"/>
      <w:marLeft w:val="0"/>
      <w:marRight w:val="0"/>
      <w:marTop w:val="0"/>
      <w:marBottom w:val="0"/>
      <w:divBdr>
        <w:top w:val="none" w:sz="0" w:space="0" w:color="auto"/>
        <w:left w:val="none" w:sz="0" w:space="0" w:color="auto"/>
        <w:bottom w:val="none" w:sz="0" w:space="0" w:color="auto"/>
        <w:right w:val="none" w:sz="0" w:space="0" w:color="auto"/>
      </w:divBdr>
    </w:div>
    <w:div w:id="474681217">
      <w:bodyDiv w:val="1"/>
      <w:marLeft w:val="0"/>
      <w:marRight w:val="0"/>
      <w:marTop w:val="0"/>
      <w:marBottom w:val="0"/>
      <w:divBdr>
        <w:top w:val="none" w:sz="0" w:space="0" w:color="auto"/>
        <w:left w:val="none" w:sz="0" w:space="0" w:color="auto"/>
        <w:bottom w:val="none" w:sz="0" w:space="0" w:color="auto"/>
        <w:right w:val="none" w:sz="0" w:space="0" w:color="auto"/>
      </w:divBdr>
    </w:div>
    <w:div w:id="478150842">
      <w:bodyDiv w:val="1"/>
      <w:marLeft w:val="0"/>
      <w:marRight w:val="0"/>
      <w:marTop w:val="0"/>
      <w:marBottom w:val="0"/>
      <w:divBdr>
        <w:top w:val="none" w:sz="0" w:space="0" w:color="auto"/>
        <w:left w:val="none" w:sz="0" w:space="0" w:color="auto"/>
        <w:bottom w:val="none" w:sz="0" w:space="0" w:color="auto"/>
        <w:right w:val="none" w:sz="0" w:space="0" w:color="auto"/>
      </w:divBdr>
    </w:div>
    <w:div w:id="480733979">
      <w:bodyDiv w:val="1"/>
      <w:marLeft w:val="0"/>
      <w:marRight w:val="0"/>
      <w:marTop w:val="0"/>
      <w:marBottom w:val="0"/>
      <w:divBdr>
        <w:top w:val="none" w:sz="0" w:space="0" w:color="auto"/>
        <w:left w:val="none" w:sz="0" w:space="0" w:color="auto"/>
        <w:bottom w:val="none" w:sz="0" w:space="0" w:color="auto"/>
        <w:right w:val="none" w:sz="0" w:space="0" w:color="auto"/>
      </w:divBdr>
    </w:div>
    <w:div w:id="488137663">
      <w:bodyDiv w:val="1"/>
      <w:marLeft w:val="0"/>
      <w:marRight w:val="0"/>
      <w:marTop w:val="0"/>
      <w:marBottom w:val="0"/>
      <w:divBdr>
        <w:top w:val="none" w:sz="0" w:space="0" w:color="auto"/>
        <w:left w:val="none" w:sz="0" w:space="0" w:color="auto"/>
        <w:bottom w:val="none" w:sz="0" w:space="0" w:color="auto"/>
        <w:right w:val="none" w:sz="0" w:space="0" w:color="auto"/>
      </w:divBdr>
      <w:divsChild>
        <w:div w:id="173151323">
          <w:marLeft w:val="0"/>
          <w:marRight w:val="0"/>
          <w:marTop w:val="0"/>
          <w:marBottom w:val="0"/>
          <w:divBdr>
            <w:top w:val="none" w:sz="0" w:space="0" w:color="auto"/>
            <w:left w:val="none" w:sz="0" w:space="0" w:color="auto"/>
            <w:bottom w:val="none" w:sz="0" w:space="0" w:color="auto"/>
            <w:right w:val="none" w:sz="0" w:space="0" w:color="auto"/>
          </w:divBdr>
          <w:divsChild>
            <w:div w:id="1997612402">
              <w:marLeft w:val="0"/>
              <w:marRight w:val="0"/>
              <w:marTop w:val="0"/>
              <w:marBottom w:val="0"/>
              <w:divBdr>
                <w:top w:val="none" w:sz="0" w:space="0" w:color="auto"/>
                <w:left w:val="none" w:sz="0" w:space="0" w:color="auto"/>
                <w:bottom w:val="none" w:sz="0" w:space="0" w:color="auto"/>
                <w:right w:val="none" w:sz="0" w:space="0" w:color="auto"/>
              </w:divBdr>
              <w:divsChild>
                <w:div w:id="1496068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325819">
          <w:marLeft w:val="0"/>
          <w:marRight w:val="0"/>
          <w:marTop w:val="0"/>
          <w:marBottom w:val="0"/>
          <w:divBdr>
            <w:top w:val="none" w:sz="0" w:space="0" w:color="auto"/>
            <w:left w:val="none" w:sz="0" w:space="0" w:color="auto"/>
            <w:bottom w:val="none" w:sz="0" w:space="0" w:color="auto"/>
            <w:right w:val="none" w:sz="0" w:space="0" w:color="auto"/>
          </w:divBdr>
          <w:divsChild>
            <w:div w:id="526329996">
              <w:marLeft w:val="0"/>
              <w:marRight w:val="0"/>
              <w:marTop w:val="0"/>
              <w:marBottom w:val="0"/>
              <w:divBdr>
                <w:top w:val="none" w:sz="0" w:space="0" w:color="auto"/>
                <w:left w:val="none" w:sz="0" w:space="0" w:color="auto"/>
                <w:bottom w:val="none" w:sz="0" w:space="0" w:color="auto"/>
                <w:right w:val="none" w:sz="0" w:space="0" w:color="auto"/>
              </w:divBdr>
              <w:divsChild>
                <w:div w:id="52779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04751">
          <w:marLeft w:val="0"/>
          <w:marRight w:val="0"/>
          <w:marTop w:val="0"/>
          <w:marBottom w:val="0"/>
          <w:divBdr>
            <w:top w:val="none" w:sz="0" w:space="0" w:color="auto"/>
            <w:left w:val="none" w:sz="0" w:space="0" w:color="auto"/>
            <w:bottom w:val="none" w:sz="0" w:space="0" w:color="auto"/>
            <w:right w:val="none" w:sz="0" w:space="0" w:color="auto"/>
          </w:divBdr>
          <w:divsChild>
            <w:div w:id="1757092539">
              <w:marLeft w:val="0"/>
              <w:marRight w:val="0"/>
              <w:marTop w:val="0"/>
              <w:marBottom w:val="0"/>
              <w:divBdr>
                <w:top w:val="none" w:sz="0" w:space="0" w:color="auto"/>
                <w:left w:val="none" w:sz="0" w:space="0" w:color="auto"/>
                <w:bottom w:val="none" w:sz="0" w:space="0" w:color="auto"/>
                <w:right w:val="none" w:sz="0" w:space="0" w:color="auto"/>
              </w:divBdr>
              <w:divsChild>
                <w:div w:id="905916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3641010">
      <w:bodyDiv w:val="1"/>
      <w:marLeft w:val="0"/>
      <w:marRight w:val="0"/>
      <w:marTop w:val="0"/>
      <w:marBottom w:val="0"/>
      <w:divBdr>
        <w:top w:val="none" w:sz="0" w:space="0" w:color="auto"/>
        <w:left w:val="none" w:sz="0" w:space="0" w:color="auto"/>
        <w:bottom w:val="none" w:sz="0" w:space="0" w:color="auto"/>
        <w:right w:val="none" w:sz="0" w:space="0" w:color="auto"/>
      </w:divBdr>
      <w:divsChild>
        <w:div w:id="2075425971">
          <w:marLeft w:val="0"/>
          <w:marRight w:val="0"/>
          <w:marTop w:val="0"/>
          <w:marBottom w:val="0"/>
          <w:divBdr>
            <w:top w:val="none" w:sz="0" w:space="0" w:color="auto"/>
            <w:left w:val="none" w:sz="0" w:space="0" w:color="auto"/>
            <w:bottom w:val="none" w:sz="0" w:space="0" w:color="auto"/>
            <w:right w:val="none" w:sz="0" w:space="0" w:color="auto"/>
          </w:divBdr>
          <w:divsChild>
            <w:div w:id="205337403">
              <w:marLeft w:val="0"/>
              <w:marRight w:val="0"/>
              <w:marTop w:val="0"/>
              <w:marBottom w:val="0"/>
              <w:divBdr>
                <w:top w:val="none" w:sz="0" w:space="0" w:color="auto"/>
                <w:left w:val="none" w:sz="0" w:space="0" w:color="auto"/>
                <w:bottom w:val="none" w:sz="0" w:space="0" w:color="auto"/>
                <w:right w:val="none" w:sz="0" w:space="0" w:color="auto"/>
              </w:divBdr>
              <w:divsChild>
                <w:div w:id="1457597653">
                  <w:marLeft w:val="0"/>
                  <w:marRight w:val="0"/>
                  <w:marTop w:val="0"/>
                  <w:marBottom w:val="0"/>
                  <w:divBdr>
                    <w:top w:val="none" w:sz="0" w:space="0" w:color="auto"/>
                    <w:left w:val="none" w:sz="0" w:space="0" w:color="auto"/>
                    <w:bottom w:val="none" w:sz="0" w:space="0" w:color="auto"/>
                    <w:right w:val="none" w:sz="0" w:space="0" w:color="auto"/>
                  </w:divBdr>
                  <w:divsChild>
                    <w:div w:id="1452169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9274498">
      <w:bodyDiv w:val="1"/>
      <w:marLeft w:val="0"/>
      <w:marRight w:val="0"/>
      <w:marTop w:val="0"/>
      <w:marBottom w:val="0"/>
      <w:divBdr>
        <w:top w:val="none" w:sz="0" w:space="0" w:color="auto"/>
        <w:left w:val="none" w:sz="0" w:space="0" w:color="auto"/>
        <w:bottom w:val="none" w:sz="0" w:space="0" w:color="auto"/>
        <w:right w:val="none" w:sz="0" w:space="0" w:color="auto"/>
      </w:divBdr>
    </w:div>
    <w:div w:id="503477703">
      <w:bodyDiv w:val="1"/>
      <w:marLeft w:val="0"/>
      <w:marRight w:val="0"/>
      <w:marTop w:val="0"/>
      <w:marBottom w:val="0"/>
      <w:divBdr>
        <w:top w:val="none" w:sz="0" w:space="0" w:color="auto"/>
        <w:left w:val="none" w:sz="0" w:space="0" w:color="auto"/>
        <w:bottom w:val="none" w:sz="0" w:space="0" w:color="auto"/>
        <w:right w:val="none" w:sz="0" w:space="0" w:color="auto"/>
      </w:divBdr>
      <w:divsChild>
        <w:div w:id="1621301682">
          <w:marLeft w:val="0"/>
          <w:marRight w:val="0"/>
          <w:marTop w:val="0"/>
          <w:marBottom w:val="0"/>
          <w:divBdr>
            <w:top w:val="none" w:sz="0" w:space="0" w:color="auto"/>
            <w:left w:val="none" w:sz="0" w:space="0" w:color="auto"/>
            <w:bottom w:val="none" w:sz="0" w:space="0" w:color="auto"/>
            <w:right w:val="none" w:sz="0" w:space="0" w:color="auto"/>
          </w:divBdr>
        </w:div>
        <w:div w:id="1260329733">
          <w:marLeft w:val="0"/>
          <w:marRight w:val="0"/>
          <w:marTop w:val="0"/>
          <w:marBottom w:val="0"/>
          <w:divBdr>
            <w:top w:val="none" w:sz="0" w:space="0" w:color="auto"/>
            <w:left w:val="none" w:sz="0" w:space="0" w:color="auto"/>
            <w:bottom w:val="none" w:sz="0" w:space="0" w:color="auto"/>
            <w:right w:val="none" w:sz="0" w:space="0" w:color="auto"/>
          </w:divBdr>
        </w:div>
        <w:div w:id="782308504">
          <w:marLeft w:val="0"/>
          <w:marRight w:val="0"/>
          <w:marTop w:val="0"/>
          <w:marBottom w:val="0"/>
          <w:divBdr>
            <w:top w:val="none" w:sz="0" w:space="0" w:color="auto"/>
            <w:left w:val="none" w:sz="0" w:space="0" w:color="auto"/>
            <w:bottom w:val="none" w:sz="0" w:space="0" w:color="auto"/>
            <w:right w:val="none" w:sz="0" w:space="0" w:color="auto"/>
          </w:divBdr>
        </w:div>
        <w:div w:id="431245799">
          <w:marLeft w:val="0"/>
          <w:marRight w:val="0"/>
          <w:marTop w:val="0"/>
          <w:marBottom w:val="0"/>
          <w:divBdr>
            <w:top w:val="none" w:sz="0" w:space="0" w:color="auto"/>
            <w:left w:val="none" w:sz="0" w:space="0" w:color="auto"/>
            <w:bottom w:val="none" w:sz="0" w:space="0" w:color="auto"/>
            <w:right w:val="none" w:sz="0" w:space="0" w:color="auto"/>
          </w:divBdr>
        </w:div>
        <w:div w:id="1074623503">
          <w:marLeft w:val="0"/>
          <w:marRight w:val="0"/>
          <w:marTop w:val="0"/>
          <w:marBottom w:val="0"/>
          <w:divBdr>
            <w:top w:val="none" w:sz="0" w:space="0" w:color="auto"/>
            <w:left w:val="none" w:sz="0" w:space="0" w:color="auto"/>
            <w:bottom w:val="none" w:sz="0" w:space="0" w:color="auto"/>
            <w:right w:val="none" w:sz="0" w:space="0" w:color="auto"/>
          </w:divBdr>
        </w:div>
        <w:div w:id="13383649">
          <w:marLeft w:val="0"/>
          <w:marRight w:val="0"/>
          <w:marTop w:val="0"/>
          <w:marBottom w:val="0"/>
          <w:divBdr>
            <w:top w:val="none" w:sz="0" w:space="0" w:color="auto"/>
            <w:left w:val="none" w:sz="0" w:space="0" w:color="auto"/>
            <w:bottom w:val="none" w:sz="0" w:space="0" w:color="auto"/>
            <w:right w:val="none" w:sz="0" w:space="0" w:color="auto"/>
          </w:divBdr>
        </w:div>
        <w:div w:id="1382483288">
          <w:marLeft w:val="0"/>
          <w:marRight w:val="0"/>
          <w:marTop w:val="0"/>
          <w:marBottom w:val="0"/>
          <w:divBdr>
            <w:top w:val="none" w:sz="0" w:space="0" w:color="auto"/>
            <w:left w:val="none" w:sz="0" w:space="0" w:color="auto"/>
            <w:bottom w:val="none" w:sz="0" w:space="0" w:color="auto"/>
            <w:right w:val="none" w:sz="0" w:space="0" w:color="auto"/>
          </w:divBdr>
        </w:div>
        <w:div w:id="266305046">
          <w:marLeft w:val="0"/>
          <w:marRight w:val="0"/>
          <w:marTop w:val="0"/>
          <w:marBottom w:val="0"/>
          <w:divBdr>
            <w:top w:val="none" w:sz="0" w:space="0" w:color="auto"/>
            <w:left w:val="none" w:sz="0" w:space="0" w:color="auto"/>
            <w:bottom w:val="none" w:sz="0" w:space="0" w:color="auto"/>
            <w:right w:val="none" w:sz="0" w:space="0" w:color="auto"/>
          </w:divBdr>
        </w:div>
        <w:div w:id="1387794770">
          <w:marLeft w:val="0"/>
          <w:marRight w:val="0"/>
          <w:marTop w:val="0"/>
          <w:marBottom w:val="0"/>
          <w:divBdr>
            <w:top w:val="none" w:sz="0" w:space="0" w:color="auto"/>
            <w:left w:val="none" w:sz="0" w:space="0" w:color="auto"/>
            <w:bottom w:val="none" w:sz="0" w:space="0" w:color="auto"/>
            <w:right w:val="none" w:sz="0" w:space="0" w:color="auto"/>
          </w:divBdr>
        </w:div>
        <w:div w:id="134836591">
          <w:marLeft w:val="0"/>
          <w:marRight w:val="0"/>
          <w:marTop w:val="0"/>
          <w:marBottom w:val="0"/>
          <w:divBdr>
            <w:top w:val="none" w:sz="0" w:space="0" w:color="auto"/>
            <w:left w:val="none" w:sz="0" w:space="0" w:color="auto"/>
            <w:bottom w:val="none" w:sz="0" w:space="0" w:color="auto"/>
            <w:right w:val="none" w:sz="0" w:space="0" w:color="auto"/>
          </w:divBdr>
        </w:div>
        <w:div w:id="1592815413">
          <w:marLeft w:val="0"/>
          <w:marRight w:val="0"/>
          <w:marTop w:val="0"/>
          <w:marBottom w:val="0"/>
          <w:divBdr>
            <w:top w:val="none" w:sz="0" w:space="0" w:color="auto"/>
            <w:left w:val="none" w:sz="0" w:space="0" w:color="auto"/>
            <w:bottom w:val="none" w:sz="0" w:space="0" w:color="auto"/>
            <w:right w:val="none" w:sz="0" w:space="0" w:color="auto"/>
          </w:divBdr>
        </w:div>
        <w:div w:id="1658653047">
          <w:marLeft w:val="0"/>
          <w:marRight w:val="0"/>
          <w:marTop w:val="0"/>
          <w:marBottom w:val="0"/>
          <w:divBdr>
            <w:top w:val="none" w:sz="0" w:space="0" w:color="auto"/>
            <w:left w:val="none" w:sz="0" w:space="0" w:color="auto"/>
            <w:bottom w:val="none" w:sz="0" w:space="0" w:color="auto"/>
            <w:right w:val="none" w:sz="0" w:space="0" w:color="auto"/>
          </w:divBdr>
          <w:divsChild>
            <w:div w:id="1518734532">
              <w:marLeft w:val="0"/>
              <w:marRight w:val="0"/>
              <w:marTop w:val="0"/>
              <w:marBottom w:val="0"/>
              <w:divBdr>
                <w:top w:val="none" w:sz="0" w:space="0" w:color="auto"/>
                <w:left w:val="none" w:sz="0" w:space="0" w:color="auto"/>
                <w:bottom w:val="none" w:sz="0" w:space="0" w:color="auto"/>
                <w:right w:val="none" w:sz="0" w:space="0" w:color="auto"/>
              </w:divBdr>
            </w:div>
            <w:div w:id="1074164726">
              <w:marLeft w:val="0"/>
              <w:marRight w:val="0"/>
              <w:marTop w:val="0"/>
              <w:marBottom w:val="0"/>
              <w:divBdr>
                <w:top w:val="none" w:sz="0" w:space="0" w:color="auto"/>
                <w:left w:val="none" w:sz="0" w:space="0" w:color="auto"/>
                <w:bottom w:val="none" w:sz="0" w:space="0" w:color="auto"/>
                <w:right w:val="none" w:sz="0" w:space="0" w:color="auto"/>
              </w:divBdr>
            </w:div>
            <w:div w:id="1446727815">
              <w:marLeft w:val="0"/>
              <w:marRight w:val="0"/>
              <w:marTop w:val="0"/>
              <w:marBottom w:val="0"/>
              <w:divBdr>
                <w:top w:val="none" w:sz="0" w:space="0" w:color="auto"/>
                <w:left w:val="none" w:sz="0" w:space="0" w:color="auto"/>
                <w:bottom w:val="none" w:sz="0" w:space="0" w:color="auto"/>
                <w:right w:val="none" w:sz="0" w:space="0" w:color="auto"/>
              </w:divBdr>
            </w:div>
            <w:div w:id="1541358686">
              <w:marLeft w:val="0"/>
              <w:marRight w:val="0"/>
              <w:marTop w:val="0"/>
              <w:marBottom w:val="0"/>
              <w:divBdr>
                <w:top w:val="none" w:sz="0" w:space="0" w:color="auto"/>
                <w:left w:val="none" w:sz="0" w:space="0" w:color="auto"/>
                <w:bottom w:val="none" w:sz="0" w:space="0" w:color="auto"/>
                <w:right w:val="none" w:sz="0" w:space="0" w:color="auto"/>
              </w:divBdr>
            </w:div>
            <w:div w:id="1401363937">
              <w:marLeft w:val="0"/>
              <w:marRight w:val="0"/>
              <w:marTop w:val="0"/>
              <w:marBottom w:val="0"/>
              <w:divBdr>
                <w:top w:val="none" w:sz="0" w:space="0" w:color="auto"/>
                <w:left w:val="none" w:sz="0" w:space="0" w:color="auto"/>
                <w:bottom w:val="none" w:sz="0" w:space="0" w:color="auto"/>
                <w:right w:val="none" w:sz="0" w:space="0" w:color="auto"/>
              </w:divBdr>
            </w:div>
            <w:div w:id="1163861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948642">
      <w:bodyDiv w:val="1"/>
      <w:marLeft w:val="0"/>
      <w:marRight w:val="0"/>
      <w:marTop w:val="0"/>
      <w:marBottom w:val="0"/>
      <w:divBdr>
        <w:top w:val="none" w:sz="0" w:space="0" w:color="auto"/>
        <w:left w:val="none" w:sz="0" w:space="0" w:color="auto"/>
        <w:bottom w:val="none" w:sz="0" w:space="0" w:color="auto"/>
        <w:right w:val="none" w:sz="0" w:space="0" w:color="auto"/>
      </w:divBdr>
      <w:divsChild>
        <w:div w:id="819537707">
          <w:marLeft w:val="0"/>
          <w:marRight w:val="0"/>
          <w:marTop w:val="0"/>
          <w:marBottom w:val="0"/>
          <w:divBdr>
            <w:top w:val="none" w:sz="0" w:space="0" w:color="auto"/>
            <w:left w:val="none" w:sz="0" w:space="0" w:color="auto"/>
            <w:bottom w:val="none" w:sz="0" w:space="0" w:color="auto"/>
            <w:right w:val="none" w:sz="0" w:space="0" w:color="auto"/>
          </w:divBdr>
          <w:divsChild>
            <w:div w:id="1409890136">
              <w:marLeft w:val="0"/>
              <w:marRight w:val="0"/>
              <w:marTop w:val="0"/>
              <w:marBottom w:val="0"/>
              <w:divBdr>
                <w:top w:val="none" w:sz="0" w:space="0" w:color="auto"/>
                <w:left w:val="none" w:sz="0" w:space="0" w:color="auto"/>
                <w:bottom w:val="none" w:sz="0" w:space="0" w:color="auto"/>
                <w:right w:val="none" w:sz="0" w:space="0" w:color="auto"/>
              </w:divBdr>
              <w:divsChild>
                <w:div w:id="69195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8563369">
      <w:bodyDiv w:val="1"/>
      <w:marLeft w:val="0"/>
      <w:marRight w:val="0"/>
      <w:marTop w:val="0"/>
      <w:marBottom w:val="0"/>
      <w:divBdr>
        <w:top w:val="none" w:sz="0" w:space="0" w:color="auto"/>
        <w:left w:val="none" w:sz="0" w:space="0" w:color="auto"/>
        <w:bottom w:val="none" w:sz="0" w:space="0" w:color="auto"/>
        <w:right w:val="none" w:sz="0" w:space="0" w:color="auto"/>
      </w:divBdr>
    </w:div>
    <w:div w:id="512232293">
      <w:bodyDiv w:val="1"/>
      <w:marLeft w:val="0"/>
      <w:marRight w:val="0"/>
      <w:marTop w:val="0"/>
      <w:marBottom w:val="0"/>
      <w:divBdr>
        <w:top w:val="none" w:sz="0" w:space="0" w:color="auto"/>
        <w:left w:val="none" w:sz="0" w:space="0" w:color="auto"/>
        <w:bottom w:val="none" w:sz="0" w:space="0" w:color="auto"/>
        <w:right w:val="none" w:sz="0" w:space="0" w:color="auto"/>
      </w:divBdr>
    </w:div>
    <w:div w:id="512846565">
      <w:bodyDiv w:val="1"/>
      <w:marLeft w:val="0"/>
      <w:marRight w:val="0"/>
      <w:marTop w:val="0"/>
      <w:marBottom w:val="0"/>
      <w:divBdr>
        <w:top w:val="none" w:sz="0" w:space="0" w:color="auto"/>
        <w:left w:val="none" w:sz="0" w:space="0" w:color="auto"/>
        <w:bottom w:val="none" w:sz="0" w:space="0" w:color="auto"/>
        <w:right w:val="none" w:sz="0" w:space="0" w:color="auto"/>
      </w:divBdr>
    </w:div>
    <w:div w:id="512959422">
      <w:bodyDiv w:val="1"/>
      <w:marLeft w:val="0"/>
      <w:marRight w:val="0"/>
      <w:marTop w:val="0"/>
      <w:marBottom w:val="0"/>
      <w:divBdr>
        <w:top w:val="none" w:sz="0" w:space="0" w:color="auto"/>
        <w:left w:val="none" w:sz="0" w:space="0" w:color="auto"/>
        <w:bottom w:val="none" w:sz="0" w:space="0" w:color="auto"/>
        <w:right w:val="none" w:sz="0" w:space="0" w:color="auto"/>
      </w:divBdr>
    </w:div>
    <w:div w:id="519860012">
      <w:bodyDiv w:val="1"/>
      <w:marLeft w:val="0"/>
      <w:marRight w:val="0"/>
      <w:marTop w:val="0"/>
      <w:marBottom w:val="0"/>
      <w:divBdr>
        <w:top w:val="none" w:sz="0" w:space="0" w:color="auto"/>
        <w:left w:val="none" w:sz="0" w:space="0" w:color="auto"/>
        <w:bottom w:val="none" w:sz="0" w:space="0" w:color="auto"/>
        <w:right w:val="none" w:sz="0" w:space="0" w:color="auto"/>
      </w:divBdr>
      <w:divsChild>
        <w:div w:id="935869752">
          <w:marLeft w:val="0"/>
          <w:marRight w:val="0"/>
          <w:marTop w:val="0"/>
          <w:marBottom w:val="0"/>
          <w:divBdr>
            <w:top w:val="none" w:sz="0" w:space="0" w:color="auto"/>
            <w:left w:val="none" w:sz="0" w:space="0" w:color="auto"/>
            <w:bottom w:val="none" w:sz="0" w:space="0" w:color="auto"/>
            <w:right w:val="none" w:sz="0" w:space="0" w:color="auto"/>
          </w:divBdr>
          <w:divsChild>
            <w:div w:id="1469087117">
              <w:marLeft w:val="0"/>
              <w:marRight w:val="0"/>
              <w:marTop w:val="0"/>
              <w:marBottom w:val="0"/>
              <w:divBdr>
                <w:top w:val="none" w:sz="0" w:space="0" w:color="auto"/>
                <w:left w:val="none" w:sz="0" w:space="0" w:color="auto"/>
                <w:bottom w:val="none" w:sz="0" w:space="0" w:color="auto"/>
                <w:right w:val="none" w:sz="0" w:space="0" w:color="auto"/>
              </w:divBdr>
              <w:divsChild>
                <w:div w:id="1080370908">
                  <w:marLeft w:val="0"/>
                  <w:marRight w:val="0"/>
                  <w:marTop w:val="0"/>
                  <w:marBottom w:val="0"/>
                  <w:divBdr>
                    <w:top w:val="none" w:sz="0" w:space="0" w:color="auto"/>
                    <w:left w:val="none" w:sz="0" w:space="0" w:color="auto"/>
                    <w:bottom w:val="none" w:sz="0" w:space="0" w:color="auto"/>
                    <w:right w:val="none" w:sz="0" w:space="0" w:color="auto"/>
                  </w:divBdr>
                  <w:divsChild>
                    <w:div w:id="1690063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3522132">
      <w:bodyDiv w:val="1"/>
      <w:marLeft w:val="0"/>
      <w:marRight w:val="0"/>
      <w:marTop w:val="0"/>
      <w:marBottom w:val="0"/>
      <w:divBdr>
        <w:top w:val="none" w:sz="0" w:space="0" w:color="auto"/>
        <w:left w:val="none" w:sz="0" w:space="0" w:color="auto"/>
        <w:bottom w:val="none" w:sz="0" w:space="0" w:color="auto"/>
        <w:right w:val="none" w:sz="0" w:space="0" w:color="auto"/>
      </w:divBdr>
      <w:divsChild>
        <w:div w:id="2082553411">
          <w:marLeft w:val="0"/>
          <w:marRight w:val="0"/>
          <w:marTop w:val="0"/>
          <w:marBottom w:val="0"/>
          <w:divBdr>
            <w:top w:val="none" w:sz="0" w:space="0" w:color="auto"/>
            <w:left w:val="none" w:sz="0" w:space="0" w:color="auto"/>
            <w:bottom w:val="none" w:sz="0" w:space="0" w:color="auto"/>
            <w:right w:val="none" w:sz="0" w:space="0" w:color="auto"/>
          </w:divBdr>
          <w:divsChild>
            <w:div w:id="1893226138">
              <w:marLeft w:val="0"/>
              <w:marRight w:val="0"/>
              <w:marTop w:val="0"/>
              <w:marBottom w:val="0"/>
              <w:divBdr>
                <w:top w:val="none" w:sz="0" w:space="0" w:color="auto"/>
                <w:left w:val="none" w:sz="0" w:space="0" w:color="auto"/>
                <w:bottom w:val="none" w:sz="0" w:space="0" w:color="auto"/>
                <w:right w:val="none" w:sz="0" w:space="0" w:color="auto"/>
              </w:divBdr>
              <w:divsChild>
                <w:div w:id="108862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5212153">
      <w:bodyDiv w:val="1"/>
      <w:marLeft w:val="0"/>
      <w:marRight w:val="0"/>
      <w:marTop w:val="0"/>
      <w:marBottom w:val="0"/>
      <w:divBdr>
        <w:top w:val="none" w:sz="0" w:space="0" w:color="auto"/>
        <w:left w:val="none" w:sz="0" w:space="0" w:color="auto"/>
        <w:bottom w:val="none" w:sz="0" w:space="0" w:color="auto"/>
        <w:right w:val="none" w:sz="0" w:space="0" w:color="auto"/>
      </w:divBdr>
      <w:divsChild>
        <w:div w:id="1701324343">
          <w:marLeft w:val="0"/>
          <w:marRight w:val="0"/>
          <w:marTop w:val="0"/>
          <w:marBottom w:val="0"/>
          <w:divBdr>
            <w:top w:val="none" w:sz="0" w:space="0" w:color="auto"/>
            <w:left w:val="none" w:sz="0" w:space="0" w:color="auto"/>
            <w:bottom w:val="none" w:sz="0" w:space="0" w:color="auto"/>
            <w:right w:val="none" w:sz="0" w:space="0" w:color="auto"/>
          </w:divBdr>
        </w:div>
        <w:div w:id="939409035">
          <w:marLeft w:val="0"/>
          <w:marRight w:val="0"/>
          <w:marTop w:val="0"/>
          <w:marBottom w:val="0"/>
          <w:divBdr>
            <w:top w:val="none" w:sz="0" w:space="0" w:color="auto"/>
            <w:left w:val="none" w:sz="0" w:space="0" w:color="auto"/>
            <w:bottom w:val="none" w:sz="0" w:space="0" w:color="auto"/>
            <w:right w:val="none" w:sz="0" w:space="0" w:color="auto"/>
          </w:divBdr>
          <w:divsChild>
            <w:div w:id="705133314">
              <w:marLeft w:val="0"/>
              <w:marRight w:val="0"/>
              <w:marTop w:val="0"/>
              <w:marBottom w:val="0"/>
              <w:divBdr>
                <w:top w:val="none" w:sz="0" w:space="0" w:color="auto"/>
                <w:left w:val="none" w:sz="0" w:space="0" w:color="auto"/>
                <w:bottom w:val="none" w:sz="0" w:space="0" w:color="auto"/>
                <w:right w:val="none" w:sz="0" w:space="0" w:color="auto"/>
              </w:divBdr>
            </w:div>
          </w:divsChild>
        </w:div>
        <w:div w:id="1115977753">
          <w:marLeft w:val="0"/>
          <w:marRight w:val="0"/>
          <w:marTop w:val="0"/>
          <w:marBottom w:val="0"/>
          <w:divBdr>
            <w:top w:val="none" w:sz="0" w:space="0" w:color="auto"/>
            <w:left w:val="none" w:sz="0" w:space="0" w:color="auto"/>
            <w:bottom w:val="none" w:sz="0" w:space="0" w:color="auto"/>
            <w:right w:val="none" w:sz="0" w:space="0" w:color="auto"/>
          </w:divBdr>
          <w:divsChild>
            <w:div w:id="1978945567">
              <w:marLeft w:val="0"/>
              <w:marRight w:val="0"/>
              <w:marTop w:val="0"/>
              <w:marBottom w:val="0"/>
              <w:divBdr>
                <w:top w:val="none" w:sz="0" w:space="0" w:color="auto"/>
                <w:left w:val="none" w:sz="0" w:space="0" w:color="auto"/>
                <w:bottom w:val="none" w:sz="0" w:space="0" w:color="auto"/>
                <w:right w:val="none" w:sz="0" w:space="0" w:color="auto"/>
              </w:divBdr>
            </w:div>
          </w:divsChild>
        </w:div>
        <w:div w:id="1854880431">
          <w:marLeft w:val="0"/>
          <w:marRight w:val="0"/>
          <w:marTop w:val="0"/>
          <w:marBottom w:val="0"/>
          <w:divBdr>
            <w:top w:val="none" w:sz="0" w:space="0" w:color="auto"/>
            <w:left w:val="none" w:sz="0" w:space="0" w:color="auto"/>
            <w:bottom w:val="none" w:sz="0" w:space="0" w:color="auto"/>
            <w:right w:val="none" w:sz="0" w:space="0" w:color="auto"/>
          </w:divBdr>
          <w:divsChild>
            <w:div w:id="2146005046">
              <w:marLeft w:val="0"/>
              <w:marRight w:val="0"/>
              <w:marTop w:val="0"/>
              <w:marBottom w:val="0"/>
              <w:divBdr>
                <w:top w:val="none" w:sz="0" w:space="0" w:color="auto"/>
                <w:left w:val="none" w:sz="0" w:space="0" w:color="auto"/>
                <w:bottom w:val="none" w:sz="0" w:space="0" w:color="auto"/>
                <w:right w:val="none" w:sz="0" w:space="0" w:color="auto"/>
              </w:divBdr>
            </w:div>
          </w:divsChild>
        </w:div>
        <w:div w:id="45107511">
          <w:marLeft w:val="0"/>
          <w:marRight w:val="0"/>
          <w:marTop w:val="0"/>
          <w:marBottom w:val="0"/>
          <w:divBdr>
            <w:top w:val="none" w:sz="0" w:space="0" w:color="auto"/>
            <w:left w:val="none" w:sz="0" w:space="0" w:color="auto"/>
            <w:bottom w:val="none" w:sz="0" w:space="0" w:color="auto"/>
            <w:right w:val="none" w:sz="0" w:space="0" w:color="auto"/>
          </w:divBdr>
          <w:divsChild>
            <w:div w:id="1398819625">
              <w:marLeft w:val="0"/>
              <w:marRight w:val="0"/>
              <w:marTop w:val="0"/>
              <w:marBottom w:val="0"/>
              <w:divBdr>
                <w:top w:val="none" w:sz="0" w:space="0" w:color="auto"/>
                <w:left w:val="none" w:sz="0" w:space="0" w:color="auto"/>
                <w:bottom w:val="none" w:sz="0" w:space="0" w:color="auto"/>
                <w:right w:val="none" w:sz="0" w:space="0" w:color="auto"/>
              </w:divBdr>
            </w:div>
          </w:divsChild>
        </w:div>
        <w:div w:id="300186750">
          <w:marLeft w:val="0"/>
          <w:marRight w:val="0"/>
          <w:marTop w:val="0"/>
          <w:marBottom w:val="0"/>
          <w:divBdr>
            <w:top w:val="none" w:sz="0" w:space="0" w:color="auto"/>
            <w:left w:val="none" w:sz="0" w:space="0" w:color="auto"/>
            <w:bottom w:val="none" w:sz="0" w:space="0" w:color="auto"/>
            <w:right w:val="none" w:sz="0" w:space="0" w:color="auto"/>
          </w:divBdr>
          <w:divsChild>
            <w:div w:id="1866674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2619698">
      <w:bodyDiv w:val="1"/>
      <w:marLeft w:val="0"/>
      <w:marRight w:val="0"/>
      <w:marTop w:val="0"/>
      <w:marBottom w:val="0"/>
      <w:divBdr>
        <w:top w:val="none" w:sz="0" w:space="0" w:color="auto"/>
        <w:left w:val="none" w:sz="0" w:space="0" w:color="auto"/>
        <w:bottom w:val="none" w:sz="0" w:space="0" w:color="auto"/>
        <w:right w:val="none" w:sz="0" w:space="0" w:color="auto"/>
      </w:divBdr>
    </w:div>
    <w:div w:id="536508678">
      <w:bodyDiv w:val="1"/>
      <w:marLeft w:val="0"/>
      <w:marRight w:val="0"/>
      <w:marTop w:val="0"/>
      <w:marBottom w:val="0"/>
      <w:divBdr>
        <w:top w:val="none" w:sz="0" w:space="0" w:color="auto"/>
        <w:left w:val="none" w:sz="0" w:space="0" w:color="auto"/>
        <w:bottom w:val="none" w:sz="0" w:space="0" w:color="auto"/>
        <w:right w:val="none" w:sz="0" w:space="0" w:color="auto"/>
      </w:divBdr>
    </w:div>
    <w:div w:id="542449049">
      <w:bodyDiv w:val="1"/>
      <w:marLeft w:val="0"/>
      <w:marRight w:val="0"/>
      <w:marTop w:val="0"/>
      <w:marBottom w:val="0"/>
      <w:divBdr>
        <w:top w:val="none" w:sz="0" w:space="0" w:color="auto"/>
        <w:left w:val="none" w:sz="0" w:space="0" w:color="auto"/>
        <w:bottom w:val="none" w:sz="0" w:space="0" w:color="auto"/>
        <w:right w:val="none" w:sz="0" w:space="0" w:color="auto"/>
      </w:divBdr>
    </w:div>
    <w:div w:id="548765488">
      <w:bodyDiv w:val="1"/>
      <w:marLeft w:val="0"/>
      <w:marRight w:val="0"/>
      <w:marTop w:val="0"/>
      <w:marBottom w:val="0"/>
      <w:divBdr>
        <w:top w:val="none" w:sz="0" w:space="0" w:color="auto"/>
        <w:left w:val="none" w:sz="0" w:space="0" w:color="auto"/>
        <w:bottom w:val="none" w:sz="0" w:space="0" w:color="auto"/>
        <w:right w:val="none" w:sz="0" w:space="0" w:color="auto"/>
      </w:divBdr>
    </w:div>
    <w:div w:id="550195590">
      <w:bodyDiv w:val="1"/>
      <w:marLeft w:val="0"/>
      <w:marRight w:val="0"/>
      <w:marTop w:val="0"/>
      <w:marBottom w:val="0"/>
      <w:divBdr>
        <w:top w:val="none" w:sz="0" w:space="0" w:color="auto"/>
        <w:left w:val="none" w:sz="0" w:space="0" w:color="auto"/>
        <w:bottom w:val="none" w:sz="0" w:space="0" w:color="auto"/>
        <w:right w:val="none" w:sz="0" w:space="0" w:color="auto"/>
      </w:divBdr>
    </w:div>
    <w:div w:id="555747437">
      <w:bodyDiv w:val="1"/>
      <w:marLeft w:val="0"/>
      <w:marRight w:val="0"/>
      <w:marTop w:val="0"/>
      <w:marBottom w:val="0"/>
      <w:divBdr>
        <w:top w:val="none" w:sz="0" w:space="0" w:color="auto"/>
        <w:left w:val="none" w:sz="0" w:space="0" w:color="auto"/>
        <w:bottom w:val="none" w:sz="0" w:space="0" w:color="auto"/>
        <w:right w:val="none" w:sz="0" w:space="0" w:color="auto"/>
      </w:divBdr>
    </w:div>
    <w:div w:id="559361122">
      <w:bodyDiv w:val="1"/>
      <w:marLeft w:val="0"/>
      <w:marRight w:val="0"/>
      <w:marTop w:val="0"/>
      <w:marBottom w:val="0"/>
      <w:divBdr>
        <w:top w:val="none" w:sz="0" w:space="0" w:color="auto"/>
        <w:left w:val="none" w:sz="0" w:space="0" w:color="auto"/>
        <w:bottom w:val="none" w:sz="0" w:space="0" w:color="auto"/>
        <w:right w:val="none" w:sz="0" w:space="0" w:color="auto"/>
      </w:divBdr>
    </w:div>
    <w:div w:id="564877999">
      <w:bodyDiv w:val="1"/>
      <w:marLeft w:val="0"/>
      <w:marRight w:val="0"/>
      <w:marTop w:val="0"/>
      <w:marBottom w:val="0"/>
      <w:divBdr>
        <w:top w:val="none" w:sz="0" w:space="0" w:color="auto"/>
        <w:left w:val="none" w:sz="0" w:space="0" w:color="auto"/>
        <w:bottom w:val="none" w:sz="0" w:space="0" w:color="auto"/>
        <w:right w:val="none" w:sz="0" w:space="0" w:color="auto"/>
      </w:divBdr>
    </w:div>
    <w:div w:id="565189982">
      <w:bodyDiv w:val="1"/>
      <w:marLeft w:val="0"/>
      <w:marRight w:val="0"/>
      <w:marTop w:val="0"/>
      <w:marBottom w:val="0"/>
      <w:divBdr>
        <w:top w:val="none" w:sz="0" w:space="0" w:color="auto"/>
        <w:left w:val="none" w:sz="0" w:space="0" w:color="auto"/>
        <w:bottom w:val="none" w:sz="0" w:space="0" w:color="auto"/>
        <w:right w:val="none" w:sz="0" w:space="0" w:color="auto"/>
      </w:divBdr>
    </w:div>
    <w:div w:id="569076510">
      <w:bodyDiv w:val="1"/>
      <w:marLeft w:val="0"/>
      <w:marRight w:val="0"/>
      <w:marTop w:val="0"/>
      <w:marBottom w:val="0"/>
      <w:divBdr>
        <w:top w:val="none" w:sz="0" w:space="0" w:color="auto"/>
        <w:left w:val="none" w:sz="0" w:space="0" w:color="auto"/>
        <w:bottom w:val="none" w:sz="0" w:space="0" w:color="auto"/>
        <w:right w:val="none" w:sz="0" w:space="0" w:color="auto"/>
      </w:divBdr>
    </w:div>
    <w:div w:id="581140375">
      <w:bodyDiv w:val="1"/>
      <w:marLeft w:val="0"/>
      <w:marRight w:val="0"/>
      <w:marTop w:val="0"/>
      <w:marBottom w:val="0"/>
      <w:divBdr>
        <w:top w:val="none" w:sz="0" w:space="0" w:color="auto"/>
        <w:left w:val="none" w:sz="0" w:space="0" w:color="auto"/>
        <w:bottom w:val="none" w:sz="0" w:space="0" w:color="auto"/>
        <w:right w:val="none" w:sz="0" w:space="0" w:color="auto"/>
      </w:divBdr>
    </w:div>
    <w:div w:id="581647154">
      <w:bodyDiv w:val="1"/>
      <w:marLeft w:val="0"/>
      <w:marRight w:val="0"/>
      <w:marTop w:val="0"/>
      <w:marBottom w:val="0"/>
      <w:divBdr>
        <w:top w:val="none" w:sz="0" w:space="0" w:color="auto"/>
        <w:left w:val="none" w:sz="0" w:space="0" w:color="auto"/>
        <w:bottom w:val="none" w:sz="0" w:space="0" w:color="auto"/>
        <w:right w:val="none" w:sz="0" w:space="0" w:color="auto"/>
      </w:divBdr>
      <w:divsChild>
        <w:div w:id="931744464">
          <w:marLeft w:val="0"/>
          <w:marRight w:val="0"/>
          <w:marTop w:val="0"/>
          <w:marBottom w:val="0"/>
          <w:divBdr>
            <w:top w:val="none" w:sz="0" w:space="0" w:color="auto"/>
            <w:left w:val="none" w:sz="0" w:space="0" w:color="auto"/>
            <w:bottom w:val="none" w:sz="0" w:space="0" w:color="auto"/>
            <w:right w:val="none" w:sz="0" w:space="0" w:color="auto"/>
          </w:divBdr>
          <w:divsChild>
            <w:div w:id="1924414980">
              <w:marLeft w:val="0"/>
              <w:marRight w:val="0"/>
              <w:marTop w:val="0"/>
              <w:marBottom w:val="0"/>
              <w:divBdr>
                <w:top w:val="none" w:sz="0" w:space="0" w:color="auto"/>
                <w:left w:val="none" w:sz="0" w:space="0" w:color="auto"/>
                <w:bottom w:val="none" w:sz="0" w:space="0" w:color="auto"/>
                <w:right w:val="none" w:sz="0" w:space="0" w:color="auto"/>
              </w:divBdr>
              <w:divsChild>
                <w:div w:id="101615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5214150">
      <w:bodyDiv w:val="1"/>
      <w:marLeft w:val="0"/>
      <w:marRight w:val="0"/>
      <w:marTop w:val="0"/>
      <w:marBottom w:val="0"/>
      <w:divBdr>
        <w:top w:val="none" w:sz="0" w:space="0" w:color="auto"/>
        <w:left w:val="none" w:sz="0" w:space="0" w:color="auto"/>
        <w:bottom w:val="none" w:sz="0" w:space="0" w:color="auto"/>
        <w:right w:val="none" w:sz="0" w:space="0" w:color="auto"/>
      </w:divBdr>
      <w:divsChild>
        <w:div w:id="1768114359">
          <w:marLeft w:val="0"/>
          <w:marRight w:val="0"/>
          <w:marTop w:val="0"/>
          <w:marBottom w:val="0"/>
          <w:divBdr>
            <w:top w:val="none" w:sz="0" w:space="0" w:color="auto"/>
            <w:left w:val="none" w:sz="0" w:space="0" w:color="auto"/>
            <w:bottom w:val="none" w:sz="0" w:space="0" w:color="auto"/>
            <w:right w:val="none" w:sz="0" w:space="0" w:color="auto"/>
          </w:divBdr>
          <w:divsChild>
            <w:div w:id="1456832263">
              <w:marLeft w:val="0"/>
              <w:marRight w:val="0"/>
              <w:marTop w:val="0"/>
              <w:marBottom w:val="0"/>
              <w:divBdr>
                <w:top w:val="none" w:sz="0" w:space="0" w:color="auto"/>
                <w:left w:val="none" w:sz="0" w:space="0" w:color="auto"/>
                <w:bottom w:val="none" w:sz="0" w:space="0" w:color="auto"/>
                <w:right w:val="none" w:sz="0" w:space="0" w:color="auto"/>
              </w:divBdr>
              <w:divsChild>
                <w:div w:id="401178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407505">
      <w:bodyDiv w:val="1"/>
      <w:marLeft w:val="0"/>
      <w:marRight w:val="0"/>
      <w:marTop w:val="0"/>
      <w:marBottom w:val="0"/>
      <w:divBdr>
        <w:top w:val="none" w:sz="0" w:space="0" w:color="auto"/>
        <w:left w:val="none" w:sz="0" w:space="0" w:color="auto"/>
        <w:bottom w:val="none" w:sz="0" w:space="0" w:color="auto"/>
        <w:right w:val="none" w:sz="0" w:space="0" w:color="auto"/>
      </w:divBdr>
    </w:div>
    <w:div w:id="601642539">
      <w:bodyDiv w:val="1"/>
      <w:marLeft w:val="0"/>
      <w:marRight w:val="0"/>
      <w:marTop w:val="0"/>
      <w:marBottom w:val="0"/>
      <w:divBdr>
        <w:top w:val="none" w:sz="0" w:space="0" w:color="auto"/>
        <w:left w:val="none" w:sz="0" w:space="0" w:color="auto"/>
        <w:bottom w:val="none" w:sz="0" w:space="0" w:color="auto"/>
        <w:right w:val="none" w:sz="0" w:space="0" w:color="auto"/>
      </w:divBdr>
      <w:divsChild>
        <w:div w:id="951015221">
          <w:marLeft w:val="0"/>
          <w:marRight w:val="0"/>
          <w:marTop w:val="0"/>
          <w:marBottom w:val="0"/>
          <w:divBdr>
            <w:top w:val="none" w:sz="0" w:space="0" w:color="auto"/>
            <w:left w:val="none" w:sz="0" w:space="0" w:color="auto"/>
            <w:bottom w:val="none" w:sz="0" w:space="0" w:color="auto"/>
            <w:right w:val="none" w:sz="0" w:space="0" w:color="auto"/>
          </w:divBdr>
          <w:divsChild>
            <w:div w:id="629288895">
              <w:marLeft w:val="0"/>
              <w:marRight w:val="0"/>
              <w:marTop w:val="0"/>
              <w:marBottom w:val="0"/>
              <w:divBdr>
                <w:top w:val="none" w:sz="0" w:space="0" w:color="auto"/>
                <w:left w:val="none" w:sz="0" w:space="0" w:color="auto"/>
                <w:bottom w:val="none" w:sz="0" w:space="0" w:color="auto"/>
                <w:right w:val="none" w:sz="0" w:space="0" w:color="auto"/>
              </w:divBdr>
              <w:divsChild>
                <w:div w:id="121785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689616">
      <w:bodyDiv w:val="1"/>
      <w:marLeft w:val="0"/>
      <w:marRight w:val="0"/>
      <w:marTop w:val="0"/>
      <w:marBottom w:val="0"/>
      <w:divBdr>
        <w:top w:val="none" w:sz="0" w:space="0" w:color="auto"/>
        <w:left w:val="none" w:sz="0" w:space="0" w:color="auto"/>
        <w:bottom w:val="none" w:sz="0" w:space="0" w:color="auto"/>
        <w:right w:val="none" w:sz="0" w:space="0" w:color="auto"/>
      </w:divBdr>
      <w:divsChild>
        <w:div w:id="460417649">
          <w:marLeft w:val="0"/>
          <w:marRight w:val="0"/>
          <w:marTop w:val="0"/>
          <w:marBottom w:val="0"/>
          <w:divBdr>
            <w:top w:val="none" w:sz="0" w:space="0" w:color="auto"/>
            <w:left w:val="none" w:sz="0" w:space="0" w:color="auto"/>
            <w:bottom w:val="none" w:sz="0" w:space="0" w:color="auto"/>
            <w:right w:val="none" w:sz="0" w:space="0" w:color="auto"/>
          </w:divBdr>
          <w:divsChild>
            <w:div w:id="386799191">
              <w:marLeft w:val="0"/>
              <w:marRight w:val="0"/>
              <w:marTop w:val="0"/>
              <w:marBottom w:val="0"/>
              <w:divBdr>
                <w:top w:val="none" w:sz="0" w:space="0" w:color="auto"/>
                <w:left w:val="none" w:sz="0" w:space="0" w:color="auto"/>
                <w:bottom w:val="none" w:sz="0" w:space="0" w:color="auto"/>
                <w:right w:val="none" w:sz="0" w:space="0" w:color="auto"/>
              </w:divBdr>
              <w:divsChild>
                <w:div w:id="353116446">
                  <w:marLeft w:val="0"/>
                  <w:marRight w:val="0"/>
                  <w:marTop w:val="0"/>
                  <w:marBottom w:val="0"/>
                  <w:divBdr>
                    <w:top w:val="none" w:sz="0" w:space="0" w:color="auto"/>
                    <w:left w:val="none" w:sz="0" w:space="0" w:color="auto"/>
                    <w:bottom w:val="none" w:sz="0" w:space="0" w:color="auto"/>
                    <w:right w:val="none" w:sz="0" w:space="0" w:color="auto"/>
                  </w:divBdr>
                  <w:divsChild>
                    <w:div w:id="86718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5119038">
      <w:bodyDiv w:val="1"/>
      <w:marLeft w:val="0"/>
      <w:marRight w:val="0"/>
      <w:marTop w:val="0"/>
      <w:marBottom w:val="0"/>
      <w:divBdr>
        <w:top w:val="none" w:sz="0" w:space="0" w:color="auto"/>
        <w:left w:val="none" w:sz="0" w:space="0" w:color="auto"/>
        <w:bottom w:val="none" w:sz="0" w:space="0" w:color="auto"/>
        <w:right w:val="none" w:sz="0" w:space="0" w:color="auto"/>
      </w:divBdr>
    </w:div>
    <w:div w:id="608127359">
      <w:bodyDiv w:val="1"/>
      <w:marLeft w:val="0"/>
      <w:marRight w:val="0"/>
      <w:marTop w:val="0"/>
      <w:marBottom w:val="0"/>
      <w:divBdr>
        <w:top w:val="none" w:sz="0" w:space="0" w:color="auto"/>
        <w:left w:val="none" w:sz="0" w:space="0" w:color="auto"/>
        <w:bottom w:val="none" w:sz="0" w:space="0" w:color="auto"/>
        <w:right w:val="none" w:sz="0" w:space="0" w:color="auto"/>
      </w:divBdr>
      <w:divsChild>
        <w:div w:id="1523393933">
          <w:marLeft w:val="0"/>
          <w:marRight w:val="0"/>
          <w:marTop w:val="0"/>
          <w:marBottom w:val="0"/>
          <w:divBdr>
            <w:top w:val="none" w:sz="0" w:space="0" w:color="auto"/>
            <w:left w:val="none" w:sz="0" w:space="0" w:color="auto"/>
            <w:bottom w:val="none" w:sz="0" w:space="0" w:color="auto"/>
            <w:right w:val="none" w:sz="0" w:space="0" w:color="auto"/>
          </w:divBdr>
          <w:divsChild>
            <w:div w:id="668682271">
              <w:marLeft w:val="0"/>
              <w:marRight w:val="0"/>
              <w:marTop w:val="0"/>
              <w:marBottom w:val="0"/>
              <w:divBdr>
                <w:top w:val="none" w:sz="0" w:space="0" w:color="auto"/>
                <w:left w:val="none" w:sz="0" w:space="0" w:color="auto"/>
                <w:bottom w:val="none" w:sz="0" w:space="0" w:color="auto"/>
                <w:right w:val="none" w:sz="0" w:space="0" w:color="auto"/>
              </w:divBdr>
              <w:divsChild>
                <w:div w:id="899948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1151310">
      <w:bodyDiv w:val="1"/>
      <w:marLeft w:val="0"/>
      <w:marRight w:val="0"/>
      <w:marTop w:val="0"/>
      <w:marBottom w:val="0"/>
      <w:divBdr>
        <w:top w:val="none" w:sz="0" w:space="0" w:color="auto"/>
        <w:left w:val="none" w:sz="0" w:space="0" w:color="auto"/>
        <w:bottom w:val="none" w:sz="0" w:space="0" w:color="auto"/>
        <w:right w:val="none" w:sz="0" w:space="0" w:color="auto"/>
      </w:divBdr>
      <w:divsChild>
        <w:div w:id="546725902">
          <w:marLeft w:val="0"/>
          <w:marRight w:val="0"/>
          <w:marTop w:val="0"/>
          <w:marBottom w:val="0"/>
          <w:divBdr>
            <w:top w:val="none" w:sz="0" w:space="0" w:color="auto"/>
            <w:left w:val="none" w:sz="0" w:space="0" w:color="auto"/>
            <w:bottom w:val="none" w:sz="0" w:space="0" w:color="auto"/>
            <w:right w:val="none" w:sz="0" w:space="0" w:color="auto"/>
          </w:divBdr>
        </w:div>
      </w:divsChild>
    </w:div>
    <w:div w:id="635645677">
      <w:bodyDiv w:val="1"/>
      <w:marLeft w:val="0"/>
      <w:marRight w:val="0"/>
      <w:marTop w:val="0"/>
      <w:marBottom w:val="0"/>
      <w:divBdr>
        <w:top w:val="none" w:sz="0" w:space="0" w:color="auto"/>
        <w:left w:val="none" w:sz="0" w:space="0" w:color="auto"/>
        <w:bottom w:val="none" w:sz="0" w:space="0" w:color="auto"/>
        <w:right w:val="none" w:sz="0" w:space="0" w:color="auto"/>
      </w:divBdr>
    </w:div>
    <w:div w:id="639269798">
      <w:bodyDiv w:val="1"/>
      <w:marLeft w:val="0"/>
      <w:marRight w:val="0"/>
      <w:marTop w:val="0"/>
      <w:marBottom w:val="0"/>
      <w:divBdr>
        <w:top w:val="none" w:sz="0" w:space="0" w:color="auto"/>
        <w:left w:val="none" w:sz="0" w:space="0" w:color="auto"/>
        <w:bottom w:val="none" w:sz="0" w:space="0" w:color="auto"/>
        <w:right w:val="none" w:sz="0" w:space="0" w:color="auto"/>
      </w:divBdr>
    </w:div>
    <w:div w:id="640422574">
      <w:bodyDiv w:val="1"/>
      <w:marLeft w:val="0"/>
      <w:marRight w:val="0"/>
      <w:marTop w:val="0"/>
      <w:marBottom w:val="0"/>
      <w:divBdr>
        <w:top w:val="none" w:sz="0" w:space="0" w:color="auto"/>
        <w:left w:val="none" w:sz="0" w:space="0" w:color="auto"/>
        <w:bottom w:val="none" w:sz="0" w:space="0" w:color="auto"/>
        <w:right w:val="none" w:sz="0" w:space="0" w:color="auto"/>
      </w:divBdr>
    </w:div>
    <w:div w:id="651719913">
      <w:bodyDiv w:val="1"/>
      <w:marLeft w:val="0"/>
      <w:marRight w:val="0"/>
      <w:marTop w:val="0"/>
      <w:marBottom w:val="0"/>
      <w:divBdr>
        <w:top w:val="none" w:sz="0" w:space="0" w:color="auto"/>
        <w:left w:val="none" w:sz="0" w:space="0" w:color="auto"/>
        <w:bottom w:val="none" w:sz="0" w:space="0" w:color="auto"/>
        <w:right w:val="none" w:sz="0" w:space="0" w:color="auto"/>
      </w:divBdr>
      <w:divsChild>
        <w:div w:id="1786146688">
          <w:marLeft w:val="0"/>
          <w:marRight w:val="0"/>
          <w:marTop w:val="0"/>
          <w:marBottom w:val="0"/>
          <w:divBdr>
            <w:top w:val="none" w:sz="0" w:space="0" w:color="auto"/>
            <w:left w:val="none" w:sz="0" w:space="0" w:color="auto"/>
            <w:bottom w:val="none" w:sz="0" w:space="0" w:color="auto"/>
            <w:right w:val="none" w:sz="0" w:space="0" w:color="auto"/>
          </w:divBdr>
          <w:divsChild>
            <w:div w:id="1689477566">
              <w:marLeft w:val="0"/>
              <w:marRight w:val="0"/>
              <w:marTop w:val="0"/>
              <w:marBottom w:val="0"/>
              <w:divBdr>
                <w:top w:val="none" w:sz="0" w:space="0" w:color="auto"/>
                <w:left w:val="none" w:sz="0" w:space="0" w:color="auto"/>
                <w:bottom w:val="none" w:sz="0" w:space="0" w:color="auto"/>
                <w:right w:val="none" w:sz="0" w:space="0" w:color="auto"/>
              </w:divBdr>
              <w:divsChild>
                <w:div w:id="839739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2374189">
      <w:bodyDiv w:val="1"/>
      <w:marLeft w:val="0"/>
      <w:marRight w:val="0"/>
      <w:marTop w:val="0"/>
      <w:marBottom w:val="0"/>
      <w:divBdr>
        <w:top w:val="none" w:sz="0" w:space="0" w:color="auto"/>
        <w:left w:val="none" w:sz="0" w:space="0" w:color="auto"/>
        <w:bottom w:val="none" w:sz="0" w:space="0" w:color="auto"/>
        <w:right w:val="none" w:sz="0" w:space="0" w:color="auto"/>
      </w:divBdr>
    </w:div>
    <w:div w:id="656878456">
      <w:bodyDiv w:val="1"/>
      <w:marLeft w:val="0"/>
      <w:marRight w:val="0"/>
      <w:marTop w:val="0"/>
      <w:marBottom w:val="0"/>
      <w:divBdr>
        <w:top w:val="none" w:sz="0" w:space="0" w:color="auto"/>
        <w:left w:val="none" w:sz="0" w:space="0" w:color="auto"/>
        <w:bottom w:val="none" w:sz="0" w:space="0" w:color="auto"/>
        <w:right w:val="none" w:sz="0" w:space="0" w:color="auto"/>
      </w:divBdr>
      <w:divsChild>
        <w:div w:id="776287984">
          <w:marLeft w:val="0"/>
          <w:marRight w:val="0"/>
          <w:marTop w:val="0"/>
          <w:marBottom w:val="0"/>
          <w:divBdr>
            <w:top w:val="none" w:sz="0" w:space="0" w:color="auto"/>
            <w:left w:val="none" w:sz="0" w:space="0" w:color="auto"/>
            <w:bottom w:val="none" w:sz="0" w:space="0" w:color="auto"/>
            <w:right w:val="none" w:sz="0" w:space="0" w:color="auto"/>
          </w:divBdr>
          <w:divsChild>
            <w:div w:id="500966907">
              <w:marLeft w:val="0"/>
              <w:marRight w:val="0"/>
              <w:marTop w:val="0"/>
              <w:marBottom w:val="0"/>
              <w:divBdr>
                <w:top w:val="none" w:sz="0" w:space="0" w:color="auto"/>
                <w:left w:val="none" w:sz="0" w:space="0" w:color="auto"/>
                <w:bottom w:val="none" w:sz="0" w:space="0" w:color="auto"/>
                <w:right w:val="none" w:sz="0" w:space="0" w:color="auto"/>
              </w:divBdr>
              <w:divsChild>
                <w:div w:id="170047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3321897">
      <w:bodyDiv w:val="1"/>
      <w:marLeft w:val="0"/>
      <w:marRight w:val="0"/>
      <w:marTop w:val="0"/>
      <w:marBottom w:val="0"/>
      <w:divBdr>
        <w:top w:val="none" w:sz="0" w:space="0" w:color="auto"/>
        <w:left w:val="none" w:sz="0" w:space="0" w:color="auto"/>
        <w:bottom w:val="none" w:sz="0" w:space="0" w:color="auto"/>
        <w:right w:val="none" w:sz="0" w:space="0" w:color="auto"/>
      </w:divBdr>
    </w:div>
    <w:div w:id="665477078">
      <w:bodyDiv w:val="1"/>
      <w:marLeft w:val="0"/>
      <w:marRight w:val="0"/>
      <w:marTop w:val="0"/>
      <w:marBottom w:val="0"/>
      <w:divBdr>
        <w:top w:val="none" w:sz="0" w:space="0" w:color="auto"/>
        <w:left w:val="none" w:sz="0" w:space="0" w:color="auto"/>
        <w:bottom w:val="none" w:sz="0" w:space="0" w:color="auto"/>
        <w:right w:val="none" w:sz="0" w:space="0" w:color="auto"/>
      </w:divBdr>
    </w:div>
    <w:div w:id="670984687">
      <w:bodyDiv w:val="1"/>
      <w:marLeft w:val="0"/>
      <w:marRight w:val="0"/>
      <w:marTop w:val="0"/>
      <w:marBottom w:val="0"/>
      <w:divBdr>
        <w:top w:val="none" w:sz="0" w:space="0" w:color="auto"/>
        <w:left w:val="none" w:sz="0" w:space="0" w:color="auto"/>
        <w:bottom w:val="none" w:sz="0" w:space="0" w:color="auto"/>
        <w:right w:val="none" w:sz="0" w:space="0" w:color="auto"/>
      </w:divBdr>
    </w:div>
    <w:div w:id="673848130">
      <w:bodyDiv w:val="1"/>
      <w:marLeft w:val="0"/>
      <w:marRight w:val="0"/>
      <w:marTop w:val="0"/>
      <w:marBottom w:val="0"/>
      <w:divBdr>
        <w:top w:val="none" w:sz="0" w:space="0" w:color="auto"/>
        <w:left w:val="none" w:sz="0" w:space="0" w:color="auto"/>
        <w:bottom w:val="none" w:sz="0" w:space="0" w:color="auto"/>
        <w:right w:val="none" w:sz="0" w:space="0" w:color="auto"/>
      </w:divBdr>
    </w:div>
    <w:div w:id="682512875">
      <w:bodyDiv w:val="1"/>
      <w:marLeft w:val="0"/>
      <w:marRight w:val="0"/>
      <w:marTop w:val="0"/>
      <w:marBottom w:val="0"/>
      <w:divBdr>
        <w:top w:val="none" w:sz="0" w:space="0" w:color="auto"/>
        <w:left w:val="none" w:sz="0" w:space="0" w:color="auto"/>
        <w:bottom w:val="none" w:sz="0" w:space="0" w:color="auto"/>
        <w:right w:val="none" w:sz="0" w:space="0" w:color="auto"/>
      </w:divBdr>
    </w:div>
    <w:div w:id="685861657">
      <w:bodyDiv w:val="1"/>
      <w:marLeft w:val="0"/>
      <w:marRight w:val="0"/>
      <w:marTop w:val="0"/>
      <w:marBottom w:val="0"/>
      <w:divBdr>
        <w:top w:val="none" w:sz="0" w:space="0" w:color="auto"/>
        <w:left w:val="none" w:sz="0" w:space="0" w:color="auto"/>
        <w:bottom w:val="none" w:sz="0" w:space="0" w:color="auto"/>
        <w:right w:val="none" w:sz="0" w:space="0" w:color="auto"/>
      </w:divBdr>
    </w:div>
    <w:div w:id="688533712">
      <w:bodyDiv w:val="1"/>
      <w:marLeft w:val="0"/>
      <w:marRight w:val="0"/>
      <w:marTop w:val="0"/>
      <w:marBottom w:val="0"/>
      <w:divBdr>
        <w:top w:val="none" w:sz="0" w:space="0" w:color="auto"/>
        <w:left w:val="none" w:sz="0" w:space="0" w:color="auto"/>
        <w:bottom w:val="none" w:sz="0" w:space="0" w:color="auto"/>
        <w:right w:val="none" w:sz="0" w:space="0" w:color="auto"/>
      </w:divBdr>
    </w:div>
    <w:div w:id="702438844">
      <w:bodyDiv w:val="1"/>
      <w:marLeft w:val="0"/>
      <w:marRight w:val="0"/>
      <w:marTop w:val="0"/>
      <w:marBottom w:val="0"/>
      <w:divBdr>
        <w:top w:val="none" w:sz="0" w:space="0" w:color="auto"/>
        <w:left w:val="none" w:sz="0" w:space="0" w:color="auto"/>
        <w:bottom w:val="none" w:sz="0" w:space="0" w:color="auto"/>
        <w:right w:val="none" w:sz="0" w:space="0" w:color="auto"/>
      </w:divBdr>
    </w:div>
    <w:div w:id="717239180">
      <w:bodyDiv w:val="1"/>
      <w:marLeft w:val="0"/>
      <w:marRight w:val="0"/>
      <w:marTop w:val="0"/>
      <w:marBottom w:val="0"/>
      <w:divBdr>
        <w:top w:val="none" w:sz="0" w:space="0" w:color="auto"/>
        <w:left w:val="none" w:sz="0" w:space="0" w:color="auto"/>
        <w:bottom w:val="none" w:sz="0" w:space="0" w:color="auto"/>
        <w:right w:val="none" w:sz="0" w:space="0" w:color="auto"/>
      </w:divBdr>
      <w:divsChild>
        <w:div w:id="1031154432">
          <w:marLeft w:val="0"/>
          <w:marRight w:val="0"/>
          <w:marTop w:val="0"/>
          <w:marBottom w:val="0"/>
          <w:divBdr>
            <w:top w:val="none" w:sz="0" w:space="0" w:color="auto"/>
            <w:left w:val="none" w:sz="0" w:space="0" w:color="auto"/>
            <w:bottom w:val="none" w:sz="0" w:space="0" w:color="auto"/>
            <w:right w:val="none" w:sz="0" w:space="0" w:color="auto"/>
          </w:divBdr>
        </w:div>
      </w:divsChild>
    </w:div>
    <w:div w:id="718632788">
      <w:bodyDiv w:val="1"/>
      <w:marLeft w:val="0"/>
      <w:marRight w:val="0"/>
      <w:marTop w:val="0"/>
      <w:marBottom w:val="0"/>
      <w:divBdr>
        <w:top w:val="none" w:sz="0" w:space="0" w:color="auto"/>
        <w:left w:val="none" w:sz="0" w:space="0" w:color="auto"/>
        <w:bottom w:val="none" w:sz="0" w:space="0" w:color="auto"/>
        <w:right w:val="none" w:sz="0" w:space="0" w:color="auto"/>
      </w:divBdr>
    </w:div>
    <w:div w:id="719519927">
      <w:bodyDiv w:val="1"/>
      <w:marLeft w:val="0"/>
      <w:marRight w:val="0"/>
      <w:marTop w:val="0"/>
      <w:marBottom w:val="0"/>
      <w:divBdr>
        <w:top w:val="none" w:sz="0" w:space="0" w:color="auto"/>
        <w:left w:val="none" w:sz="0" w:space="0" w:color="auto"/>
        <w:bottom w:val="none" w:sz="0" w:space="0" w:color="auto"/>
        <w:right w:val="none" w:sz="0" w:space="0" w:color="auto"/>
      </w:divBdr>
    </w:div>
    <w:div w:id="720329030">
      <w:bodyDiv w:val="1"/>
      <w:marLeft w:val="0"/>
      <w:marRight w:val="0"/>
      <w:marTop w:val="0"/>
      <w:marBottom w:val="0"/>
      <w:divBdr>
        <w:top w:val="none" w:sz="0" w:space="0" w:color="auto"/>
        <w:left w:val="none" w:sz="0" w:space="0" w:color="auto"/>
        <w:bottom w:val="none" w:sz="0" w:space="0" w:color="auto"/>
        <w:right w:val="none" w:sz="0" w:space="0" w:color="auto"/>
      </w:divBdr>
    </w:div>
    <w:div w:id="721296423">
      <w:bodyDiv w:val="1"/>
      <w:marLeft w:val="0"/>
      <w:marRight w:val="0"/>
      <w:marTop w:val="0"/>
      <w:marBottom w:val="0"/>
      <w:divBdr>
        <w:top w:val="none" w:sz="0" w:space="0" w:color="auto"/>
        <w:left w:val="none" w:sz="0" w:space="0" w:color="auto"/>
        <w:bottom w:val="none" w:sz="0" w:space="0" w:color="auto"/>
        <w:right w:val="none" w:sz="0" w:space="0" w:color="auto"/>
      </w:divBdr>
    </w:div>
    <w:div w:id="725954339">
      <w:bodyDiv w:val="1"/>
      <w:marLeft w:val="0"/>
      <w:marRight w:val="0"/>
      <w:marTop w:val="0"/>
      <w:marBottom w:val="0"/>
      <w:divBdr>
        <w:top w:val="none" w:sz="0" w:space="0" w:color="auto"/>
        <w:left w:val="none" w:sz="0" w:space="0" w:color="auto"/>
        <w:bottom w:val="none" w:sz="0" w:space="0" w:color="auto"/>
        <w:right w:val="none" w:sz="0" w:space="0" w:color="auto"/>
      </w:divBdr>
    </w:div>
    <w:div w:id="727996429">
      <w:bodyDiv w:val="1"/>
      <w:marLeft w:val="0"/>
      <w:marRight w:val="0"/>
      <w:marTop w:val="0"/>
      <w:marBottom w:val="0"/>
      <w:divBdr>
        <w:top w:val="none" w:sz="0" w:space="0" w:color="auto"/>
        <w:left w:val="none" w:sz="0" w:space="0" w:color="auto"/>
        <w:bottom w:val="none" w:sz="0" w:space="0" w:color="auto"/>
        <w:right w:val="none" w:sz="0" w:space="0" w:color="auto"/>
      </w:divBdr>
      <w:divsChild>
        <w:div w:id="1994790054">
          <w:marLeft w:val="0"/>
          <w:marRight w:val="0"/>
          <w:marTop w:val="0"/>
          <w:marBottom w:val="0"/>
          <w:divBdr>
            <w:top w:val="none" w:sz="0" w:space="0" w:color="auto"/>
            <w:left w:val="none" w:sz="0" w:space="0" w:color="auto"/>
            <w:bottom w:val="none" w:sz="0" w:space="0" w:color="auto"/>
            <w:right w:val="none" w:sz="0" w:space="0" w:color="auto"/>
          </w:divBdr>
          <w:divsChild>
            <w:div w:id="1492988414">
              <w:marLeft w:val="0"/>
              <w:marRight w:val="0"/>
              <w:marTop w:val="0"/>
              <w:marBottom w:val="0"/>
              <w:divBdr>
                <w:top w:val="none" w:sz="0" w:space="0" w:color="auto"/>
                <w:left w:val="none" w:sz="0" w:space="0" w:color="auto"/>
                <w:bottom w:val="none" w:sz="0" w:space="0" w:color="auto"/>
                <w:right w:val="none" w:sz="0" w:space="0" w:color="auto"/>
              </w:divBdr>
              <w:divsChild>
                <w:div w:id="63457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4670572">
      <w:bodyDiv w:val="1"/>
      <w:marLeft w:val="0"/>
      <w:marRight w:val="0"/>
      <w:marTop w:val="0"/>
      <w:marBottom w:val="0"/>
      <w:divBdr>
        <w:top w:val="none" w:sz="0" w:space="0" w:color="auto"/>
        <w:left w:val="none" w:sz="0" w:space="0" w:color="auto"/>
        <w:bottom w:val="none" w:sz="0" w:space="0" w:color="auto"/>
        <w:right w:val="none" w:sz="0" w:space="0" w:color="auto"/>
      </w:divBdr>
    </w:div>
    <w:div w:id="745422922">
      <w:bodyDiv w:val="1"/>
      <w:marLeft w:val="0"/>
      <w:marRight w:val="0"/>
      <w:marTop w:val="0"/>
      <w:marBottom w:val="0"/>
      <w:divBdr>
        <w:top w:val="none" w:sz="0" w:space="0" w:color="auto"/>
        <w:left w:val="none" w:sz="0" w:space="0" w:color="auto"/>
        <w:bottom w:val="none" w:sz="0" w:space="0" w:color="auto"/>
        <w:right w:val="none" w:sz="0" w:space="0" w:color="auto"/>
      </w:divBdr>
    </w:div>
    <w:div w:id="747657133">
      <w:bodyDiv w:val="1"/>
      <w:marLeft w:val="0"/>
      <w:marRight w:val="0"/>
      <w:marTop w:val="0"/>
      <w:marBottom w:val="0"/>
      <w:divBdr>
        <w:top w:val="none" w:sz="0" w:space="0" w:color="auto"/>
        <w:left w:val="none" w:sz="0" w:space="0" w:color="auto"/>
        <w:bottom w:val="none" w:sz="0" w:space="0" w:color="auto"/>
        <w:right w:val="none" w:sz="0" w:space="0" w:color="auto"/>
      </w:divBdr>
    </w:div>
    <w:div w:id="749233610">
      <w:bodyDiv w:val="1"/>
      <w:marLeft w:val="0"/>
      <w:marRight w:val="0"/>
      <w:marTop w:val="0"/>
      <w:marBottom w:val="0"/>
      <w:divBdr>
        <w:top w:val="none" w:sz="0" w:space="0" w:color="auto"/>
        <w:left w:val="none" w:sz="0" w:space="0" w:color="auto"/>
        <w:bottom w:val="none" w:sz="0" w:space="0" w:color="auto"/>
        <w:right w:val="none" w:sz="0" w:space="0" w:color="auto"/>
      </w:divBdr>
    </w:div>
    <w:div w:id="750279955">
      <w:bodyDiv w:val="1"/>
      <w:marLeft w:val="0"/>
      <w:marRight w:val="0"/>
      <w:marTop w:val="0"/>
      <w:marBottom w:val="0"/>
      <w:divBdr>
        <w:top w:val="none" w:sz="0" w:space="0" w:color="auto"/>
        <w:left w:val="none" w:sz="0" w:space="0" w:color="auto"/>
        <w:bottom w:val="none" w:sz="0" w:space="0" w:color="auto"/>
        <w:right w:val="none" w:sz="0" w:space="0" w:color="auto"/>
      </w:divBdr>
    </w:div>
    <w:div w:id="752238690">
      <w:bodyDiv w:val="1"/>
      <w:marLeft w:val="0"/>
      <w:marRight w:val="0"/>
      <w:marTop w:val="0"/>
      <w:marBottom w:val="0"/>
      <w:divBdr>
        <w:top w:val="none" w:sz="0" w:space="0" w:color="auto"/>
        <w:left w:val="none" w:sz="0" w:space="0" w:color="auto"/>
        <w:bottom w:val="none" w:sz="0" w:space="0" w:color="auto"/>
        <w:right w:val="none" w:sz="0" w:space="0" w:color="auto"/>
      </w:divBdr>
      <w:divsChild>
        <w:div w:id="1005858410">
          <w:marLeft w:val="0"/>
          <w:marRight w:val="0"/>
          <w:marTop w:val="0"/>
          <w:marBottom w:val="0"/>
          <w:divBdr>
            <w:top w:val="none" w:sz="0" w:space="0" w:color="auto"/>
            <w:left w:val="none" w:sz="0" w:space="0" w:color="auto"/>
            <w:bottom w:val="none" w:sz="0" w:space="0" w:color="auto"/>
            <w:right w:val="none" w:sz="0" w:space="0" w:color="auto"/>
          </w:divBdr>
          <w:divsChild>
            <w:div w:id="874081206">
              <w:marLeft w:val="0"/>
              <w:marRight w:val="0"/>
              <w:marTop w:val="0"/>
              <w:marBottom w:val="0"/>
              <w:divBdr>
                <w:top w:val="none" w:sz="0" w:space="0" w:color="auto"/>
                <w:left w:val="none" w:sz="0" w:space="0" w:color="auto"/>
                <w:bottom w:val="none" w:sz="0" w:space="0" w:color="auto"/>
                <w:right w:val="none" w:sz="0" w:space="0" w:color="auto"/>
              </w:divBdr>
              <w:divsChild>
                <w:div w:id="1299800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6950394">
      <w:bodyDiv w:val="1"/>
      <w:marLeft w:val="0"/>
      <w:marRight w:val="0"/>
      <w:marTop w:val="0"/>
      <w:marBottom w:val="0"/>
      <w:divBdr>
        <w:top w:val="none" w:sz="0" w:space="0" w:color="auto"/>
        <w:left w:val="none" w:sz="0" w:space="0" w:color="auto"/>
        <w:bottom w:val="none" w:sz="0" w:space="0" w:color="auto"/>
        <w:right w:val="none" w:sz="0" w:space="0" w:color="auto"/>
      </w:divBdr>
    </w:div>
    <w:div w:id="776798332">
      <w:bodyDiv w:val="1"/>
      <w:marLeft w:val="0"/>
      <w:marRight w:val="0"/>
      <w:marTop w:val="0"/>
      <w:marBottom w:val="0"/>
      <w:divBdr>
        <w:top w:val="none" w:sz="0" w:space="0" w:color="auto"/>
        <w:left w:val="none" w:sz="0" w:space="0" w:color="auto"/>
        <w:bottom w:val="none" w:sz="0" w:space="0" w:color="auto"/>
        <w:right w:val="none" w:sz="0" w:space="0" w:color="auto"/>
      </w:divBdr>
      <w:divsChild>
        <w:div w:id="642001577">
          <w:marLeft w:val="0"/>
          <w:marRight w:val="0"/>
          <w:marTop w:val="0"/>
          <w:marBottom w:val="0"/>
          <w:divBdr>
            <w:top w:val="none" w:sz="0" w:space="0" w:color="auto"/>
            <w:left w:val="none" w:sz="0" w:space="0" w:color="auto"/>
            <w:bottom w:val="none" w:sz="0" w:space="0" w:color="auto"/>
            <w:right w:val="none" w:sz="0" w:space="0" w:color="auto"/>
          </w:divBdr>
          <w:divsChild>
            <w:div w:id="1454715168">
              <w:marLeft w:val="0"/>
              <w:marRight w:val="0"/>
              <w:marTop w:val="0"/>
              <w:marBottom w:val="0"/>
              <w:divBdr>
                <w:top w:val="none" w:sz="0" w:space="0" w:color="auto"/>
                <w:left w:val="none" w:sz="0" w:space="0" w:color="auto"/>
                <w:bottom w:val="none" w:sz="0" w:space="0" w:color="auto"/>
                <w:right w:val="none" w:sz="0" w:space="0" w:color="auto"/>
              </w:divBdr>
              <w:divsChild>
                <w:div w:id="973949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0364717">
      <w:bodyDiv w:val="1"/>
      <w:marLeft w:val="0"/>
      <w:marRight w:val="0"/>
      <w:marTop w:val="0"/>
      <w:marBottom w:val="0"/>
      <w:divBdr>
        <w:top w:val="none" w:sz="0" w:space="0" w:color="auto"/>
        <w:left w:val="none" w:sz="0" w:space="0" w:color="auto"/>
        <w:bottom w:val="none" w:sz="0" w:space="0" w:color="auto"/>
        <w:right w:val="none" w:sz="0" w:space="0" w:color="auto"/>
      </w:divBdr>
      <w:divsChild>
        <w:div w:id="183327756">
          <w:marLeft w:val="0"/>
          <w:marRight w:val="0"/>
          <w:marTop w:val="0"/>
          <w:marBottom w:val="0"/>
          <w:divBdr>
            <w:top w:val="none" w:sz="0" w:space="0" w:color="auto"/>
            <w:left w:val="none" w:sz="0" w:space="0" w:color="auto"/>
            <w:bottom w:val="none" w:sz="0" w:space="0" w:color="auto"/>
            <w:right w:val="none" w:sz="0" w:space="0" w:color="auto"/>
          </w:divBdr>
        </w:div>
        <w:div w:id="1425998901">
          <w:marLeft w:val="0"/>
          <w:marRight w:val="0"/>
          <w:marTop w:val="0"/>
          <w:marBottom w:val="0"/>
          <w:divBdr>
            <w:top w:val="none" w:sz="0" w:space="0" w:color="auto"/>
            <w:left w:val="none" w:sz="0" w:space="0" w:color="auto"/>
            <w:bottom w:val="none" w:sz="0" w:space="0" w:color="auto"/>
            <w:right w:val="none" w:sz="0" w:space="0" w:color="auto"/>
          </w:divBdr>
        </w:div>
        <w:div w:id="2001812772">
          <w:marLeft w:val="0"/>
          <w:marRight w:val="0"/>
          <w:marTop w:val="0"/>
          <w:marBottom w:val="0"/>
          <w:divBdr>
            <w:top w:val="none" w:sz="0" w:space="0" w:color="auto"/>
            <w:left w:val="none" w:sz="0" w:space="0" w:color="auto"/>
            <w:bottom w:val="none" w:sz="0" w:space="0" w:color="auto"/>
            <w:right w:val="none" w:sz="0" w:space="0" w:color="auto"/>
          </w:divBdr>
        </w:div>
        <w:div w:id="583104398">
          <w:marLeft w:val="0"/>
          <w:marRight w:val="0"/>
          <w:marTop w:val="0"/>
          <w:marBottom w:val="0"/>
          <w:divBdr>
            <w:top w:val="none" w:sz="0" w:space="0" w:color="auto"/>
            <w:left w:val="none" w:sz="0" w:space="0" w:color="auto"/>
            <w:bottom w:val="none" w:sz="0" w:space="0" w:color="auto"/>
            <w:right w:val="none" w:sz="0" w:space="0" w:color="auto"/>
          </w:divBdr>
        </w:div>
        <w:div w:id="1095589364">
          <w:marLeft w:val="0"/>
          <w:marRight w:val="0"/>
          <w:marTop w:val="0"/>
          <w:marBottom w:val="0"/>
          <w:divBdr>
            <w:top w:val="none" w:sz="0" w:space="0" w:color="auto"/>
            <w:left w:val="none" w:sz="0" w:space="0" w:color="auto"/>
            <w:bottom w:val="none" w:sz="0" w:space="0" w:color="auto"/>
            <w:right w:val="none" w:sz="0" w:space="0" w:color="auto"/>
          </w:divBdr>
        </w:div>
        <w:div w:id="2131043697">
          <w:marLeft w:val="0"/>
          <w:marRight w:val="0"/>
          <w:marTop w:val="0"/>
          <w:marBottom w:val="0"/>
          <w:divBdr>
            <w:top w:val="none" w:sz="0" w:space="0" w:color="auto"/>
            <w:left w:val="none" w:sz="0" w:space="0" w:color="auto"/>
            <w:bottom w:val="none" w:sz="0" w:space="0" w:color="auto"/>
            <w:right w:val="none" w:sz="0" w:space="0" w:color="auto"/>
          </w:divBdr>
        </w:div>
        <w:div w:id="1856578142">
          <w:marLeft w:val="0"/>
          <w:marRight w:val="0"/>
          <w:marTop w:val="0"/>
          <w:marBottom w:val="0"/>
          <w:divBdr>
            <w:top w:val="none" w:sz="0" w:space="0" w:color="auto"/>
            <w:left w:val="none" w:sz="0" w:space="0" w:color="auto"/>
            <w:bottom w:val="none" w:sz="0" w:space="0" w:color="auto"/>
            <w:right w:val="none" w:sz="0" w:space="0" w:color="auto"/>
          </w:divBdr>
        </w:div>
        <w:div w:id="266427108">
          <w:marLeft w:val="0"/>
          <w:marRight w:val="0"/>
          <w:marTop w:val="0"/>
          <w:marBottom w:val="0"/>
          <w:divBdr>
            <w:top w:val="none" w:sz="0" w:space="0" w:color="auto"/>
            <w:left w:val="none" w:sz="0" w:space="0" w:color="auto"/>
            <w:bottom w:val="none" w:sz="0" w:space="0" w:color="auto"/>
            <w:right w:val="none" w:sz="0" w:space="0" w:color="auto"/>
          </w:divBdr>
        </w:div>
        <w:div w:id="134757641">
          <w:marLeft w:val="0"/>
          <w:marRight w:val="0"/>
          <w:marTop w:val="0"/>
          <w:marBottom w:val="0"/>
          <w:divBdr>
            <w:top w:val="none" w:sz="0" w:space="0" w:color="auto"/>
            <w:left w:val="none" w:sz="0" w:space="0" w:color="auto"/>
            <w:bottom w:val="none" w:sz="0" w:space="0" w:color="auto"/>
            <w:right w:val="none" w:sz="0" w:space="0" w:color="auto"/>
          </w:divBdr>
        </w:div>
        <w:div w:id="204758753">
          <w:marLeft w:val="0"/>
          <w:marRight w:val="0"/>
          <w:marTop w:val="0"/>
          <w:marBottom w:val="0"/>
          <w:divBdr>
            <w:top w:val="none" w:sz="0" w:space="0" w:color="auto"/>
            <w:left w:val="none" w:sz="0" w:space="0" w:color="auto"/>
            <w:bottom w:val="none" w:sz="0" w:space="0" w:color="auto"/>
            <w:right w:val="none" w:sz="0" w:space="0" w:color="auto"/>
          </w:divBdr>
        </w:div>
        <w:div w:id="279536753">
          <w:marLeft w:val="0"/>
          <w:marRight w:val="0"/>
          <w:marTop w:val="0"/>
          <w:marBottom w:val="0"/>
          <w:divBdr>
            <w:top w:val="none" w:sz="0" w:space="0" w:color="auto"/>
            <w:left w:val="none" w:sz="0" w:space="0" w:color="auto"/>
            <w:bottom w:val="none" w:sz="0" w:space="0" w:color="auto"/>
            <w:right w:val="none" w:sz="0" w:space="0" w:color="auto"/>
          </w:divBdr>
        </w:div>
        <w:div w:id="1802655067">
          <w:marLeft w:val="0"/>
          <w:marRight w:val="0"/>
          <w:marTop w:val="0"/>
          <w:marBottom w:val="0"/>
          <w:divBdr>
            <w:top w:val="none" w:sz="0" w:space="0" w:color="auto"/>
            <w:left w:val="none" w:sz="0" w:space="0" w:color="auto"/>
            <w:bottom w:val="none" w:sz="0" w:space="0" w:color="auto"/>
            <w:right w:val="none" w:sz="0" w:space="0" w:color="auto"/>
          </w:divBdr>
          <w:divsChild>
            <w:div w:id="1640528279">
              <w:marLeft w:val="0"/>
              <w:marRight w:val="0"/>
              <w:marTop w:val="0"/>
              <w:marBottom w:val="0"/>
              <w:divBdr>
                <w:top w:val="none" w:sz="0" w:space="0" w:color="auto"/>
                <w:left w:val="none" w:sz="0" w:space="0" w:color="auto"/>
                <w:bottom w:val="none" w:sz="0" w:space="0" w:color="auto"/>
                <w:right w:val="none" w:sz="0" w:space="0" w:color="auto"/>
              </w:divBdr>
            </w:div>
            <w:div w:id="1068842159">
              <w:marLeft w:val="0"/>
              <w:marRight w:val="0"/>
              <w:marTop w:val="0"/>
              <w:marBottom w:val="0"/>
              <w:divBdr>
                <w:top w:val="none" w:sz="0" w:space="0" w:color="auto"/>
                <w:left w:val="none" w:sz="0" w:space="0" w:color="auto"/>
                <w:bottom w:val="none" w:sz="0" w:space="0" w:color="auto"/>
                <w:right w:val="none" w:sz="0" w:space="0" w:color="auto"/>
              </w:divBdr>
            </w:div>
            <w:div w:id="339895951">
              <w:marLeft w:val="0"/>
              <w:marRight w:val="0"/>
              <w:marTop w:val="0"/>
              <w:marBottom w:val="0"/>
              <w:divBdr>
                <w:top w:val="none" w:sz="0" w:space="0" w:color="auto"/>
                <w:left w:val="none" w:sz="0" w:space="0" w:color="auto"/>
                <w:bottom w:val="none" w:sz="0" w:space="0" w:color="auto"/>
                <w:right w:val="none" w:sz="0" w:space="0" w:color="auto"/>
              </w:divBdr>
            </w:div>
            <w:div w:id="315379722">
              <w:marLeft w:val="0"/>
              <w:marRight w:val="0"/>
              <w:marTop w:val="0"/>
              <w:marBottom w:val="0"/>
              <w:divBdr>
                <w:top w:val="none" w:sz="0" w:space="0" w:color="auto"/>
                <w:left w:val="none" w:sz="0" w:space="0" w:color="auto"/>
                <w:bottom w:val="none" w:sz="0" w:space="0" w:color="auto"/>
                <w:right w:val="none" w:sz="0" w:space="0" w:color="auto"/>
              </w:divBdr>
            </w:div>
            <w:div w:id="580674459">
              <w:marLeft w:val="0"/>
              <w:marRight w:val="0"/>
              <w:marTop w:val="0"/>
              <w:marBottom w:val="0"/>
              <w:divBdr>
                <w:top w:val="none" w:sz="0" w:space="0" w:color="auto"/>
                <w:left w:val="none" w:sz="0" w:space="0" w:color="auto"/>
                <w:bottom w:val="none" w:sz="0" w:space="0" w:color="auto"/>
                <w:right w:val="none" w:sz="0" w:space="0" w:color="auto"/>
              </w:divBdr>
            </w:div>
            <w:div w:id="1599949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224000">
      <w:bodyDiv w:val="1"/>
      <w:marLeft w:val="0"/>
      <w:marRight w:val="0"/>
      <w:marTop w:val="0"/>
      <w:marBottom w:val="0"/>
      <w:divBdr>
        <w:top w:val="none" w:sz="0" w:space="0" w:color="auto"/>
        <w:left w:val="none" w:sz="0" w:space="0" w:color="auto"/>
        <w:bottom w:val="none" w:sz="0" w:space="0" w:color="auto"/>
        <w:right w:val="none" w:sz="0" w:space="0" w:color="auto"/>
      </w:divBdr>
      <w:divsChild>
        <w:div w:id="1455633750">
          <w:marLeft w:val="0"/>
          <w:marRight w:val="0"/>
          <w:marTop w:val="0"/>
          <w:marBottom w:val="0"/>
          <w:divBdr>
            <w:top w:val="none" w:sz="0" w:space="0" w:color="auto"/>
            <w:left w:val="none" w:sz="0" w:space="0" w:color="auto"/>
            <w:bottom w:val="none" w:sz="0" w:space="0" w:color="auto"/>
            <w:right w:val="none" w:sz="0" w:space="0" w:color="auto"/>
          </w:divBdr>
          <w:divsChild>
            <w:div w:id="1362852875">
              <w:marLeft w:val="0"/>
              <w:marRight w:val="0"/>
              <w:marTop w:val="0"/>
              <w:marBottom w:val="0"/>
              <w:divBdr>
                <w:top w:val="none" w:sz="0" w:space="0" w:color="auto"/>
                <w:left w:val="none" w:sz="0" w:space="0" w:color="auto"/>
                <w:bottom w:val="none" w:sz="0" w:space="0" w:color="auto"/>
                <w:right w:val="none" w:sz="0" w:space="0" w:color="auto"/>
              </w:divBdr>
              <w:divsChild>
                <w:div w:id="113668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4010957">
      <w:bodyDiv w:val="1"/>
      <w:marLeft w:val="0"/>
      <w:marRight w:val="0"/>
      <w:marTop w:val="0"/>
      <w:marBottom w:val="0"/>
      <w:divBdr>
        <w:top w:val="none" w:sz="0" w:space="0" w:color="auto"/>
        <w:left w:val="none" w:sz="0" w:space="0" w:color="auto"/>
        <w:bottom w:val="none" w:sz="0" w:space="0" w:color="auto"/>
        <w:right w:val="none" w:sz="0" w:space="0" w:color="auto"/>
      </w:divBdr>
    </w:div>
    <w:div w:id="808321035">
      <w:bodyDiv w:val="1"/>
      <w:marLeft w:val="0"/>
      <w:marRight w:val="0"/>
      <w:marTop w:val="0"/>
      <w:marBottom w:val="0"/>
      <w:divBdr>
        <w:top w:val="none" w:sz="0" w:space="0" w:color="auto"/>
        <w:left w:val="none" w:sz="0" w:space="0" w:color="auto"/>
        <w:bottom w:val="none" w:sz="0" w:space="0" w:color="auto"/>
        <w:right w:val="none" w:sz="0" w:space="0" w:color="auto"/>
      </w:divBdr>
    </w:div>
    <w:div w:id="810562591">
      <w:bodyDiv w:val="1"/>
      <w:marLeft w:val="0"/>
      <w:marRight w:val="0"/>
      <w:marTop w:val="0"/>
      <w:marBottom w:val="0"/>
      <w:divBdr>
        <w:top w:val="none" w:sz="0" w:space="0" w:color="auto"/>
        <w:left w:val="none" w:sz="0" w:space="0" w:color="auto"/>
        <w:bottom w:val="none" w:sz="0" w:space="0" w:color="auto"/>
        <w:right w:val="none" w:sz="0" w:space="0" w:color="auto"/>
      </w:divBdr>
    </w:div>
    <w:div w:id="815535933">
      <w:bodyDiv w:val="1"/>
      <w:marLeft w:val="0"/>
      <w:marRight w:val="0"/>
      <w:marTop w:val="0"/>
      <w:marBottom w:val="0"/>
      <w:divBdr>
        <w:top w:val="none" w:sz="0" w:space="0" w:color="auto"/>
        <w:left w:val="none" w:sz="0" w:space="0" w:color="auto"/>
        <w:bottom w:val="none" w:sz="0" w:space="0" w:color="auto"/>
        <w:right w:val="none" w:sz="0" w:space="0" w:color="auto"/>
      </w:divBdr>
    </w:div>
    <w:div w:id="831875811">
      <w:bodyDiv w:val="1"/>
      <w:marLeft w:val="0"/>
      <w:marRight w:val="0"/>
      <w:marTop w:val="0"/>
      <w:marBottom w:val="0"/>
      <w:divBdr>
        <w:top w:val="none" w:sz="0" w:space="0" w:color="auto"/>
        <w:left w:val="none" w:sz="0" w:space="0" w:color="auto"/>
        <w:bottom w:val="none" w:sz="0" w:space="0" w:color="auto"/>
        <w:right w:val="none" w:sz="0" w:space="0" w:color="auto"/>
      </w:divBdr>
    </w:div>
    <w:div w:id="834998343">
      <w:bodyDiv w:val="1"/>
      <w:marLeft w:val="0"/>
      <w:marRight w:val="0"/>
      <w:marTop w:val="0"/>
      <w:marBottom w:val="0"/>
      <w:divBdr>
        <w:top w:val="none" w:sz="0" w:space="0" w:color="auto"/>
        <w:left w:val="none" w:sz="0" w:space="0" w:color="auto"/>
        <w:bottom w:val="none" w:sz="0" w:space="0" w:color="auto"/>
        <w:right w:val="none" w:sz="0" w:space="0" w:color="auto"/>
      </w:divBdr>
    </w:div>
    <w:div w:id="838158970">
      <w:bodyDiv w:val="1"/>
      <w:marLeft w:val="0"/>
      <w:marRight w:val="0"/>
      <w:marTop w:val="0"/>
      <w:marBottom w:val="0"/>
      <w:divBdr>
        <w:top w:val="none" w:sz="0" w:space="0" w:color="auto"/>
        <w:left w:val="none" w:sz="0" w:space="0" w:color="auto"/>
        <w:bottom w:val="none" w:sz="0" w:space="0" w:color="auto"/>
        <w:right w:val="none" w:sz="0" w:space="0" w:color="auto"/>
      </w:divBdr>
    </w:div>
    <w:div w:id="841503518">
      <w:bodyDiv w:val="1"/>
      <w:marLeft w:val="0"/>
      <w:marRight w:val="0"/>
      <w:marTop w:val="0"/>
      <w:marBottom w:val="0"/>
      <w:divBdr>
        <w:top w:val="none" w:sz="0" w:space="0" w:color="auto"/>
        <w:left w:val="none" w:sz="0" w:space="0" w:color="auto"/>
        <w:bottom w:val="none" w:sz="0" w:space="0" w:color="auto"/>
        <w:right w:val="none" w:sz="0" w:space="0" w:color="auto"/>
      </w:divBdr>
      <w:divsChild>
        <w:div w:id="1472594732">
          <w:marLeft w:val="0"/>
          <w:marRight w:val="0"/>
          <w:marTop w:val="0"/>
          <w:marBottom w:val="0"/>
          <w:divBdr>
            <w:top w:val="none" w:sz="0" w:space="0" w:color="auto"/>
            <w:left w:val="none" w:sz="0" w:space="0" w:color="auto"/>
            <w:bottom w:val="none" w:sz="0" w:space="0" w:color="auto"/>
            <w:right w:val="none" w:sz="0" w:space="0" w:color="auto"/>
          </w:divBdr>
          <w:divsChild>
            <w:div w:id="558857304">
              <w:marLeft w:val="0"/>
              <w:marRight w:val="0"/>
              <w:marTop w:val="0"/>
              <w:marBottom w:val="0"/>
              <w:divBdr>
                <w:top w:val="none" w:sz="0" w:space="0" w:color="auto"/>
                <w:left w:val="none" w:sz="0" w:space="0" w:color="auto"/>
                <w:bottom w:val="none" w:sz="0" w:space="0" w:color="auto"/>
                <w:right w:val="none" w:sz="0" w:space="0" w:color="auto"/>
              </w:divBdr>
              <w:divsChild>
                <w:div w:id="1644502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5830520">
      <w:bodyDiv w:val="1"/>
      <w:marLeft w:val="0"/>
      <w:marRight w:val="0"/>
      <w:marTop w:val="0"/>
      <w:marBottom w:val="0"/>
      <w:divBdr>
        <w:top w:val="none" w:sz="0" w:space="0" w:color="auto"/>
        <w:left w:val="none" w:sz="0" w:space="0" w:color="auto"/>
        <w:bottom w:val="none" w:sz="0" w:space="0" w:color="auto"/>
        <w:right w:val="none" w:sz="0" w:space="0" w:color="auto"/>
      </w:divBdr>
    </w:div>
    <w:div w:id="850291622">
      <w:bodyDiv w:val="1"/>
      <w:marLeft w:val="0"/>
      <w:marRight w:val="0"/>
      <w:marTop w:val="0"/>
      <w:marBottom w:val="0"/>
      <w:divBdr>
        <w:top w:val="none" w:sz="0" w:space="0" w:color="auto"/>
        <w:left w:val="none" w:sz="0" w:space="0" w:color="auto"/>
        <w:bottom w:val="none" w:sz="0" w:space="0" w:color="auto"/>
        <w:right w:val="none" w:sz="0" w:space="0" w:color="auto"/>
      </w:divBdr>
      <w:divsChild>
        <w:div w:id="790710805">
          <w:marLeft w:val="0"/>
          <w:marRight w:val="0"/>
          <w:marTop w:val="0"/>
          <w:marBottom w:val="0"/>
          <w:divBdr>
            <w:top w:val="none" w:sz="0" w:space="0" w:color="auto"/>
            <w:left w:val="none" w:sz="0" w:space="0" w:color="auto"/>
            <w:bottom w:val="none" w:sz="0" w:space="0" w:color="auto"/>
            <w:right w:val="none" w:sz="0" w:space="0" w:color="auto"/>
          </w:divBdr>
          <w:divsChild>
            <w:div w:id="986281473">
              <w:marLeft w:val="0"/>
              <w:marRight w:val="0"/>
              <w:marTop w:val="0"/>
              <w:marBottom w:val="0"/>
              <w:divBdr>
                <w:top w:val="none" w:sz="0" w:space="0" w:color="auto"/>
                <w:left w:val="none" w:sz="0" w:space="0" w:color="auto"/>
                <w:bottom w:val="none" w:sz="0" w:space="0" w:color="auto"/>
                <w:right w:val="none" w:sz="0" w:space="0" w:color="auto"/>
              </w:divBdr>
              <w:divsChild>
                <w:div w:id="1367755429">
                  <w:marLeft w:val="0"/>
                  <w:marRight w:val="0"/>
                  <w:marTop w:val="0"/>
                  <w:marBottom w:val="0"/>
                  <w:divBdr>
                    <w:top w:val="none" w:sz="0" w:space="0" w:color="auto"/>
                    <w:left w:val="none" w:sz="0" w:space="0" w:color="auto"/>
                    <w:bottom w:val="none" w:sz="0" w:space="0" w:color="auto"/>
                    <w:right w:val="none" w:sz="0" w:space="0" w:color="auto"/>
                  </w:divBdr>
                  <w:divsChild>
                    <w:div w:id="1516072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0337716">
      <w:bodyDiv w:val="1"/>
      <w:marLeft w:val="0"/>
      <w:marRight w:val="0"/>
      <w:marTop w:val="0"/>
      <w:marBottom w:val="0"/>
      <w:divBdr>
        <w:top w:val="none" w:sz="0" w:space="0" w:color="auto"/>
        <w:left w:val="none" w:sz="0" w:space="0" w:color="auto"/>
        <w:bottom w:val="none" w:sz="0" w:space="0" w:color="auto"/>
        <w:right w:val="none" w:sz="0" w:space="0" w:color="auto"/>
      </w:divBdr>
      <w:divsChild>
        <w:div w:id="1303539871">
          <w:marLeft w:val="0"/>
          <w:marRight w:val="0"/>
          <w:marTop w:val="0"/>
          <w:marBottom w:val="0"/>
          <w:divBdr>
            <w:top w:val="none" w:sz="0" w:space="0" w:color="auto"/>
            <w:left w:val="none" w:sz="0" w:space="0" w:color="auto"/>
            <w:bottom w:val="none" w:sz="0" w:space="0" w:color="auto"/>
            <w:right w:val="none" w:sz="0" w:space="0" w:color="auto"/>
          </w:divBdr>
          <w:divsChild>
            <w:div w:id="494688211">
              <w:marLeft w:val="0"/>
              <w:marRight w:val="0"/>
              <w:marTop w:val="0"/>
              <w:marBottom w:val="0"/>
              <w:divBdr>
                <w:top w:val="none" w:sz="0" w:space="0" w:color="auto"/>
                <w:left w:val="none" w:sz="0" w:space="0" w:color="auto"/>
                <w:bottom w:val="none" w:sz="0" w:space="0" w:color="auto"/>
                <w:right w:val="none" w:sz="0" w:space="0" w:color="auto"/>
              </w:divBdr>
              <w:divsChild>
                <w:div w:id="1644038439">
                  <w:marLeft w:val="0"/>
                  <w:marRight w:val="0"/>
                  <w:marTop w:val="0"/>
                  <w:marBottom w:val="0"/>
                  <w:divBdr>
                    <w:top w:val="none" w:sz="0" w:space="0" w:color="auto"/>
                    <w:left w:val="none" w:sz="0" w:space="0" w:color="auto"/>
                    <w:bottom w:val="none" w:sz="0" w:space="0" w:color="auto"/>
                    <w:right w:val="none" w:sz="0" w:space="0" w:color="auto"/>
                  </w:divBdr>
                  <w:divsChild>
                    <w:div w:id="932401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4560965">
      <w:bodyDiv w:val="1"/>
      <w:marLeft w:val="0"/>
      <w:marRight w:val="0"/>
      <w:marTop w:val="0"/>
      <w:marBottom w:val="0"/>
      <w:divBdr>
        <w:top w:val="none" w:sz="0" w:space="0" w:color="auto"/>
        <w:left w:val="none" w:sz="0" w:space="0" w:color="auto"/>
        <w:bottom w:val="none" w:sz="0" w:space="0" w:color="auto"/>
        <w:right w:val="none" w:sz="0" w:space="0" w:color="auto"/>
      </w:divBdr>
    </w:div>
    <w:div w:id="868177788">
      <w:bodyDiv w:val="1"/>
      <w:marLeft w:val="0"/>
      <w:marRight w:val="0"/>
      <w:marTop w:val="0"/>
      <w:marBottom w:val="0"/>
      <w:divBdr>
        <w:top w:val="none" w:sz="0" w:space="0" w:color="auto"/>
        <w:left w:val="none" w:sz="0" w:space="0" w:color="auto"/>
        <w:bottom w:val="none" w:sz="0" w:space="0" w:color="auto"/>
        <w:right w:val="none" w:sz="0" w:space="0" w:color="auto"/>
      </w:divBdr>
    </w:div>
    <w:div w:id="874853581">
      <w:bodyDiv w:val="1"/>
      <w:marLeft w:val="0"/>
      <w:marRight w:val="0"/>
      <w:marTop w:val="0"/>
      <w:marBottom w:val="0"/>
      <w:divBdr>
        <w:top w:val="none" w:sz="0" w:space="0" w:color="auto"/>
        <w:left w:val="none" w:sz="0" w:space="0" w:color="auto"/>
        <w:bottom w:val="none" w:sz="0" w:space="0" w:color="auto"/>
        <w:right w:val="none" w:sz="0" w:space="0" w:color="auto"/>
      </w:divBdr>
      <w:divsChild>
        <w:div w:id="362367890">
          <w:marLeft w:val="0"/>
          <w:marRight w:val="0"/>
          <w:marTop w:val="0"/>
          <w:marBottom w:val="0"/>
          <w:divBdr>
            <w:top w:val="none" w:sz="0" w:space="0" w:color="auto"/>
            <w:left w:val="none" w:sz="0" w:space="0" w:color="auto"/>
            <w:bottom w:val="none" w:sz="0" w:space="0" w:color="auto"/>
            <w:right w:val="none" w:sz="0" w:space="0" w:color="auto"/>
          </w:divBdr>
          <w:divsChild>
            <w:div w:id="1518420670">
              <w:marLeft w:val="0"/>
              <w:marRight w:val="0"/>
              <w:marTop w:val="0"/>
              <w:marBottom w:val="0"/>
              <w:divBdr>
                <w:top w:val="none" w:sz="0" w:space="0" w:color="auto"/>
                <w:left w:val="none" w:sz="0" w:space="0" w:color="auto"/>
                <w:bottom w:val="none" w:sz="0" w:space="0" w:color="auto"/>
                <w:right w:val="none" w:sz="0" w:space="0" w:color="auto"/>
              </w:divBdr>
              <w:divsChild>
                <w:div w:id="46912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5048670">
      <w:bodyDiv w:val="1"/>
      <w:marLeft w:val="0"/>
      <w:marRight w:val="0"/>
      <w:marTop w:val="0"/>
      <w:marBottom w:val="0"/>
      <w:divBdr>
        <w:top w:val="none" w:sz="0" w:space="0" w:color="auto"/>
        <w:left w:val="none" w:sz="0" w:space="0" w:color="auto"/>
        <w:bottom w:val="none" w:sz="0" w:space="0" w:color="auto"/>
        <w:right w:val="none" w:sz="0" w:space="0" w:color="auto"/>
      </w:divBdr>
    </w:div>
    <w:div w:id="880828216">
      <w:bodyDiv w:val="1"/>
      <w:marLeft w:val="0"/>
      <w:marRight w:val="0"/>
      <w:marTop w:val="0"/>
      <w:marBottom w:val="0"/>
      <w:divBdr>
        <w:top w:val="none" w:sz="0" w:space="0" w:color="auto"/>
        <w:left w:val="none" w:sz="0" w:space="0" w:color="auto"/>
        <w:bottom w:val="none" w:sz="0" w:space="0" w:color="auto"/>
        <w:right w:val="none" w:sz="0" w:space="0" w:color="auto"/>
      </w:divBdr>
    </w:div>
    <w:div w:id="894200762">
      <w:bodyDiv w:val="1"/>
      <w:marLeft w:val="0"/>
      <w:marRight w:val="0"/>
      <w:marTop w:val="0"/>
      <w:marBottom w:val="0"/>
      <w:divBdr>
        <w:top w:val="none" w:sz="0" w:space="0" w:color="auto"/>
        <w:left w:val="none" w:sz="0" w:space="0" w:color="auto"/>
        <w:bottom w:val="none" w:sz="0" w:space="0" w:color="auto"/>
        <w:right w:val="none" w:sz="0" w:space="0" w:color="auto"/>
      </w:divBdr>
    </w:div>
    <w:div w:id="894463004">
      <w:bodyDiv w:val="1"/>
      <w:marLeft w:val="0"/>
      <w:marRight w:val="0"/>
      <w:marTop w:val="0"/>
      <w:marBottom w:val="0"/>
      <w:divBdr>
        <w:top w:val="none" w:sz="0" w:space="0" w:color="auto"/>
        <w:left w:val="none" w:sz="0" w:space="0" w:color="auto"/>
        <w:bottom w:val="none" w:sz="0" w:space="0" w:color="auto"/>
        <w:right w:val="none" w:sz="0" w:space="0" w:color="auto"/>
      </w:divBdr>
      <w:divsChild>
        <w:div w:id="68617061">
          <w:marLeft w:val="0"/>
          <w:marRight w:val="0"/>
          <w:marTop w:val="0"/>
          <w:marBottom w:val="0"/>
          <w:divBdr>
            <w:top w:val="none" w:sz="0" w:space="0" w:color="auto"/>
            <w:left w:val="none" w:sz="0" w:space="0" w:color="auto"/>
            <w:bottom w:val="none" w:sz="0" w:space="0" w:color="auto"/>
            <w:right w:val="none" w:sz="0" w:space="0" w:color="auto"/>
          </w:divBdr>
          <w:divsChild>
            <w:div w:id="1053651746">
              <w:marLeft w:val="0"/>
              <w:marRight w:val="0"/>
              <w:marTop w:val="0"/>
              <w:marBottom w:val="0"/>
              <w:divBdr>
                <w:top w:val="none" w:sz="0" w:space="0" w:color="auto"/>
                <w:left w:val="none" w:sz="0" w:space="0" w:color="auto"/>
                <w:bottom w:val="none" w:sz="0" w:space="0" w:color="auto"/>
                <w:right w:val="none" w:sz="0" w:space="0" w:color="auto"/>
              </w:divBdr>
              <w:divsChild>
                <w:div w:id="443117741">
                  <w:marLeft w:val="0"/>
                  <w:marRight w:val="0"/>
                  <w:marTop w:val="0"/>
                  <w:marBottom w:val="0"/>
                  <w:divBdr>
                    <w:top w:val="none" w:sz="0" w:space="0" w:color="auto"/>
                    <w:left w:val="none" w:sz="0" w:space="0" w:color="auto"/>
                    <w:bottom w:val="none" w:sz="0" w:space="0" w:color="auto"/>
                    <w:right w:val="none" w:sz="0" w:space="0" w:color="auto"/>
                  </w:divBdr>
                  <w:divsChild>
                    <w:div w:id="302927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3639335">
      <w:bodyDiv w:val="1"/>
      <w:marLeft w:val="0"/>
      <w:marRight w:val="0"/>
      <w:marTop w:val="0"/>
      <w:marBottom w:val="0"/>
      <w:divBdr>
        <w:top w:val="none" w:sz="0" w:space="0" w:color="auto"/>
        <w:left w:val="none" w:sz="0" w:space="0" w:color="auto"/>
        <w:bottom w:val="none" w:sz="0" w:space="0" w:color="auto"/>
        <w:right w:val="none" w:sz="0" w:space="0" w:color="auto"/>
      </w:divBdr>
    </w:div>
    <w:div w:id="908031242">
      <w:bodyDiv w:val="1"/>
      <w:marLeft w:val="0"/>
      <w:marRight w:val="0"/>
      <w:marTop w:val="0"/>
      <w:marBottom w:val="0"/>
      <w:divBdr>
        <w:top w:val="none" w:sz="0" w:space="0" w:color="auto"/>
        <w:left w:val="none" w:sz="0" w:space="0" w:color="auto"/>
        <w:bottom w:val="none" w:sz="0" w:space="0" w:color="auto"/>
        <w:right w:val="none" w:sz="0" w:space="0" w:color="auto"/>
      </w:divBdr>
    </w:div>
    <w:div w:id="908077233">
      <w:bodyDiv w:val="1"/>
      <w:marLeft w:val="0"/>
      <w:marRight w:val="0"/>
      <w:marTop w:val="0"/>
      <w:marBottom w:val="0"/>
      <w:divBdr>
        <w:top w:val="none" w:sz="0" w:space="0" w:color="auto"/>
        <w:left w:val="none" w:sz="0" w:space="0" w:color="auto"/>
        <w:bottom w:val="none" w:sz="0" w:space="0" w:color="auto"/>
        <w:right w:val="none" w:sz="0" w:space="0" w:color="auto"/>
      </w:divBdr>
      <w:divsChild>
        <w:div w:id="107049868">
          <w:marLeft w:val="0"/>
          <w:marRight w:val="0"/>
          <w:marTop w:val="0"/>
          <w:marBottom w:val="0"/>
          <w:divBdr>
            <w:top w:val="none" w:sz="0" w:space="0" w:color="auto"/>
            <w:left w:val="none" w:sz="0" w:space="0" w:color="auto"/>
            <w:bottom w:val="none" w:sz="0" w:space="0" w:color="auto"/>
            <w:right w:val="none" w:sz="0" w:space="0" w:color="auto"/>
          </w:divBdr>
        </w:div>
        <w:div w:id="1616597316">
          <w:marLeft w:val="0"/>
          <w:marRight w:val="0"/>
          <w:marTop w:val="0"/>
          <w:marBottom w:val="0"/>
          <w:divBdr>
            <w:top w:val="none" w:sz="0" w:space="0" w:color="auto"/>
            <w:left w:val="none" w:sz="0" w:space="0" w:color="auto"/>
            <w:bottom w:val="none" w:sz="0" w:space="0" w:color="auto"/>
            <w:right w:val="none" w:sz="0" w:space="0" w:color="auto"/>
          </w:divBdr>
        </w:div>
        <w:div w:id="1344017402">
          <w:marLeft w:val="0"/>
          <w:marRight w:val="0"/>
          <w:marTop w:val="0"/>
          <w:marBottom w:val="0"/>
          <w:divBdr>
            <w:top w:val="none" w:sz="0" w:space="0" w:color="auto"/>
            <w:left w:val="none" w:sz="0" w:space="0" w:color="auto"/>
            <w:bottom w:val="none" w:sz="0" w:space="0" w:color="auto"/>
            <w:right w:val="none" w:sz="0" w:space="0" w:color="auto"/>
          </w:divBdr>
        </w:div>
        <w:div w:id="1737241934">
          <w:marLeft w:val="0"/>
          <w:marRight w:val="0"/>
          <w:marTop w:val="0"/>
          <w:marBottom w:val="0"/>
          <w:divBdr>
            <w:top w:val="none" w:sz="0" w:space="0" w:color="auto"/>
            <w:left w:val="none" w:sz="0" w:space="0" w:color="auto"/>
            <w:bottom w:val="none" w:sz="0" w:space="0" w:color="auto"/>
            <w:right w:val="none" w:sz="0" w:space="0" w:color="auto"/>
          </w:divBdr>
        </w:div>
        <w:div w:id="156195889">
          <w:marLeft w:val="0"/>
          <w:marRight w:val="0"/>
          <w:marTop w:val="0"/>
          <w:marBottom w:val="0"/>
          <w:divBdr>
            <w:top w:val="none" w:sz="0" w:space="0" w:color="auto"/>
            <w:left w:val="none" w:sz="0" w:space="0" w:color="auto"/>
            <w:bottom w:val="none" w:sz="0" w:space="0" w:color="auto"/>
            <w:right w:val="none" w:sz="0" w:space="0" w:color="auto"/>
          </w:divBdr>
        </w:div>
        <w:div w:id="2001617834">
          <w:marLeft w:val="0"/>
          <w:marRight w:val="0"/>
          <w:marTop w:val="0"/>
          <w:marBottom w:val="0"/>
          <w:divBdr>
            <w:top w:val="none" w:sz="0" w:space="0" w:color="auto"/>
            <w:left w:val="none" w:sz="0" w:space="0" w:color="auto"/>
            <w:bottom w:val="none" w:sz="0" w:space="0" w:color="auto"/>
            <w:right w:val="none" w:sz="0" w:space="0" w:color="auto"/>
          </w:divBdr>
        </w:div>
        <w:div w:id="1879929432">
          <w:blockQuote w:val="1"/>
          <w:marLeft w:val="600"/>
          <w:marRight w:val="0"/>
          <w:marTop w:val="0"/>
          <w:marBottom w:val="0"/>
          <w:divBdr>
            <w:top w:val="none" w:sz="0" w:space="0" w:color="auto"/>
            <w:left w:val="none" w:sz="0" w:space="0" w:color="auto"/>
            <w:bottom w:val="none" w:sz="0" w:space="0" w:color="auto"/>
            <w:right w:val="none" w:sz="0" w:space="0" w:color="auto"/>
          </w:divBdr>
          <w:divsChild>
            <w:div w:id="1840196297">
              <w:blockQuote w:val="1"/>
              <w:marLeft w:val="600"/>
              <w:marRight w:val="0"/>
              <w:marTop w:val="0"/>
              <w:marBottom w:val="0"/>
              <w:divBdr>
                <w:top w:val="none" w:sz="0" w:space="0" w:color="auto"/>
                <w:left w:val="none" w:sz="0" w:space="0" w:color="auto"/>
                <w:bottom w:val="none" w:sz="0" w:space="0" w:color="auto"/>
                <w:right w:val="none" w:sz="0" w:space="0" w:color="auto"/>
              </w:divBdr>
              <w:divsChild>
                <w:div w:id="2130586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198083">
          <w:marLeft w:val="0"/>
          <w:marRight w:val="0"/>
          <w:marTop w:val="0"/>
          <w:marBottom w:val="0"/>
          <w:divBdr>
            <w:top w:val="none" w:sz="0" w:space="0" w:color="auto"/>
            <w:left w:val="none" w:sz="0" w:space="0" w:color="auto"/>
            <w:bottom w:val="none" w:sz="0" w:space="0" w:color="auto"/>
            <w:right w:val="none" w:sz="0" w:space="0" w:color="auto"/>
          </w:divBdr>
          <w:divsChild>
            <w:div w:id="976565194">
              <w:marLeft w:val="0"/>
              <w:marRight w:val="0"/>
              <w:marTop w:val="0"/>
              <w:marBottom w:val="0"/>
              <w:divBdr>
                <w:top w:val="none" w:sz="0" w:space="0" w:color="auto"/>
                <w:left w:val="none" w:sz="0" w:space="0" w:color="auto"/>
                <w:bottom w:val="none" w:sz="0" w:space="0" w:color="auto"/>
                <w:right w:val="none" w:sz="0" w:space="0" w:color="auto"/>
              </w:divBdr>
            </w:div>
          </w:divsChild>
        </w:div>
        <w:div w:id="430862631">
          <w:marLeft w:val="0"/>
          <w:marRight w:val="0"/>
          <w:marTop w:val="0"/>
          <w:marBottom w:val="0"/>
          <w:divBdr>
            <w:top w:val="none" w:sz="0" w:space="0" w:color="auto"/>
            <w:left w:val="none" w:sz="0" w:space="0" w:color="auto"/>
            <w:bottom w:val="none" w:sz="0" w:space="0" w:color="auto"/>
            <w:right w:val="none" w:sz="0" w:space="0" w:color="auto"/>
          </w:divBdr>
        </w:div>
        <w:div w:id="326515371">
          <w:marLeft w:val="0"/>
          <w:marRight w:val="0"/>
          <w:marTop w:val="0"/>
          <w:marBottom w:val="0"/>
          <w:divBdr>
            <w:top w:val="none" w:sz="0" w:space="0" w:color="auto"/>
            <w:left w:val="none" w:sz="0" w:space="0" w:color="auto"/>
            <w:bottom w:val="none" w:sz="0" w:space="0" w:color="auto"/>
            <w:right w:val="none" w:sz="0" w:space="0" w:color="auto"/>
          </w:divBdr>
        </w:div>
        <w:div w:id="1324821586">
          <w:marLeft w:val="0"/>
          <w:marRight w:val="0"/>
          <w:marTop w:val="0"/>
          <w:marBottom w:val="0"/>
          <w:divBdr>
            <w:top w:val="none" w:sz="0" w:space="0" w:color="auto"/>
            <w:left w:val="none" w:sz="0" w:space="0" w:color="auto"/>
            <w:bottom w:val="none" w:sz="0" w:space="0" w:color="auto"/>
            <w:right w:val="none" w:sz="0" w:space="0" w:color="auto"/>
          </w:divBdr>
        </w:div>
        <w:div w:id="1307587085">
          <w:marLeft w:val="0"/>
          <w:marRight w:val="0"/>
          <w:marTop w:val="0"/>
          <w:marBottom w:val="0"/>
          <w:divBdr>
            <w:top w:val="none" w:sz="0" w:space="0" w:color="auto"/>
            <w:left w:val="none" w:sz="0" w:space="0" w:color="auto"/>
            <w:bottom w:val="none" w:sz="0" w:space="0" w:color="auto"/>
            <w:right w:val="none" w:sz="0" w:space="0" w:color="auto"/>
          </w:divBdr>
        </w:div>
        <w:div w:id="1286736096">
          <w:blockQuote w:val="1"/>
          <w:marLeft w:val="600"/>
          <w:marRight w:val="0"/>
          <w:marTop w:val="0"/>
          <w:marBottom w:val="0"/>
          <w:divBdr>
            <w:top w:val="none" w:sz="0" w:space="0" w:color="auto"/>
            <w:left w:val="none" w:sz="0" w:space="0" w:color="auto"/>
            <w:bottom w:val="none" w:sz="0" w:space="0" w:color="auto"/>
            <w:right w:val="none" w:sz="0" w:space="0" w:color="auto"/>
          </w:divBdr>
          <w:divsChild>
            <w:div w:id="1149979592">
              <w:marLeft w:val="0"/>
              <w:marRight w:val="0"/>
              <w:marTop w:val="0"/>
              <w:marBottom w:val="0"/>
              <w:divBdr>
                <w:top w:val="none" w:sz="0" w:space="0" w:color="auto"/>
                <w:left w:val="none" w:sz="0" w:space="0" w:color="auto"/>
                <w:bottom w:val="none" w:sz="0" w:space="0" w:color="auto"/>
                <w:right w:val="none" w:sz="0" w:space="0" w:color="auto"/>
              </w:divBdr>
            </w:div>
            <w:div w:id="1956398870">
              <w:marLeft w:val="0"/>
              <w:marRight w:val="0"/>
              <w:marTop w:val="0"/>
              <w:marBottom w:val="0"/>
              <w:divBdr>
                <w:top w:val="none" w:sz="0" w:space="0" w:color="auto"/>
                <w:left w:val="none" w:sz="0" w:space="0" w:color="auto"/>
                <w:bottom w:val="none" w:sz="0" w:space="0" w:color="auto"/>
                <w:right w:val="none" w:sz="0" w:space="0" w:color="auto"/>
              </w:divBdr>
              <w:divsChild>
                <w:div w:id="1161695763">
                  <w:marLeft w:val="0"/>
                  <w:marRight w:val="0"/>
                  <w:marTop w:val="0"/>
                  <w:marBottom w:val="0"/>
                  <w:divBdr>
                    <w:top w:val="none" w:sz="0" w:space="0" w:color="auto"/>
                    <w:left w:val="none" w:sz="0" w:space="0" w:color="auto"/>
                    <w:bottom w:val="none" w:sz="0" w:space="0" w:color="auto"/>
                    <w:right w:val="none" w:sz="0" w:space="0" w:color="auto"/>
                  </w:divBdr>
                </w:div>
              </w:divsChild>
            </w:div>
            <w:div w:id="1202983241">
              <w:marLeft w:val="0"/>
              <w:marRight w:val="0"/>
              <w:marTop w:val="0"/>
              <w:marBottom w:val="0"/>
              <w:divBdr>
                <w:top w:val="none" w:sz="0" w:space="0" w:color="auto"/>
                <w:left w:val="none" w:sz="0" w:space="0" w:color="auto"/>
                <w:bottom w:val="none" w:sz="0" w:space="0" w:color="auto"/>
                <w:right w:val="none" w:sz="0" w:space="0" w:color="auto"/>
              </w:divBdr>
              <w:divsChild>
                <w:div w:id="870260073">
                  <w:marLeft w:val="0"/>
                  <w:marRight w:val="0"/>
                  <w:marTop w:val="0"/>
                  <w:marBottom w:val="0"/>
                  <w:divBdr>
                    <w:top w:val="none" w:sz="0" w:space="0" w:color="auto"/>
                    <w:left w:val="none" w:sz="0" w:space="0" w:color="auto"/>
                    <w:bottom w:val="none" w:sz="0" w:space="0" w:color="auto"/>
                    <w:right w:val="none" w:sz="0" w:space="0" w:color="auto"/>
                  </w:divBdr>
                </w:div>
              </w:divsChild>
            </w:div>
            <w:div w:id="160315264">
              <w:marLeft w:val="0"/>
              <w:marRight w:val="0"/>
              <w:marTop w:val="0"/>
              <w:marBottom w:val="0"/>
              <w:divBdr>
                <w:top w:val="none" w:sz="0" w:space="0" w:color="auto"/>
                <w:left w:val="none" w:sz="0" w:space="0" w:color="auto"/>
                <w:bottom w:val="none" w:sz="0" w:space="0" w:color="auto"/>
                <w:right w:val="none" w:sz="0" w:space="0" w:color="auto"/>
              </w:divBdr>
              <w:divsChild>
                <w:div w:id="537858833">
                  <w:marLeft w:val="0"/>
                  <w:marRight w:val="0"/>
                  <w:marTop w:val="0"/>
                  <w:marBottom w:val="0"/>
                  <w:divBdr>
                    <w:top w:val="none" w:sz="0" w:space="0" w:color="auto"/>
                    <w:left w:val="none" w:sz="0" w:space="0" w:color="auto"/>
                    <w:bottom w:val="none" w:sz="0" w:space="0" w:color="auto"/>
                    <w:right w:val="none" w:sz="0" w:space="0" w:color="auto"/>
                  </w:divBdr>
                </w:div>
              </w:divsChild>
            </w:div>
            <w:div w:id="1490824001">
              <w:marLeft w:val="0"/>
              <w:marRight w:val="0"/>
              <w:marTop w:val="0"/>
              <w:marBottom w:val="0"/>
              <w:divBdr>
                <w:top w:val="none" w:sz="0" w:space="0" w:color="auto"/>
                <w:left w:val="none" w:sz="0" w:space="0" w:color="auto"/>
                <w:bottom w:val="none" w:sz="0" w:space="0" w:color="auto"/>
                <w:right w:val="none" w:sz="0" w:space="0" w:color="auto"/>
              </w:divBdr>
              <w:divsChild>
                <w:div w:id="950283583">
                  <w:marLeft w:val="0"/>
                  <w:marRight w:val="0"/>
                  <w:marTop w:val="0"/>
                  <w:marBottom w:val="0"/>
                  <w:divBdr>
                    <w:top w:val="none" w:sz="0" w:space="0" w:color="auto"/>
                    <w:left w:val="none" w:sz="0" w:space="0" w:color="auto"/>
                    <w:bottom w:val="none" w:sz="0" w:space="0" w:color="auto"/>
                    <w:right w:val="none" w:sz="0" w:space="0" w:color="auto"/>
                  </w:divBdr>
                </w:div>
              </w:divsChild>
            </w:div>
            <w:div w:id="1152714880">
              <w:marLeft w:val="0"/>
              <w:marRight w:val="0"/>
              <w:marTop w:val="0"/>
              <w:marBottom w:val="0"/>
              <w:divBdr>
                <w:top w:val="none" w:sz="0" w:space="0" w:color="auto"/>
                <w:left w:val="none" w:sz="0" w:space="0" w:color="auto"/>
                <w:bottom w:val="none" w:sz="0" w:space="0" w:color="auto"/>
                <w:right w:val="none" w:sz="0" w:space="0" w:color="auto"/>
              </w:divBdr>
              <w:divsChild>
                <w:div w:id="1967663148">
                  <w:marLeft w:val="0"/>
                  <w:marRight w:val="0"/>
                  <w:marTop w:val="0"/>
                  <w:marBottom w:val="0"/>
                  <w:divBdr>
                    <w:top w:val="none" w:sz="0" w:space="0" w:color="auto"/>
                    <w:left w:val="none" w:sz="0" w:space="0" w:color="auto"/>
                    <w:bottom w:val="none" w:sz="0" w:space="0" w:color="auto"/>
                    <w:right w:val="none" w:sz="0" w:space="0" w:color="auto"/>
                  </w:divBdr>
                </w:div>
              </w:divsChild>
            </w:div>
            <w:div w:id="1668971667">
              <w:marLeft w:val="0"/>
              <w:marRight w:val="0"/>
              <w:marTop w:val="0"/>
              <w:marBottom w:val="0"/>
              <w:divBdr>
                <w:top w:val="none" w:sz="0" w:space="0" w:color="auto"/>
                <w:left w:val="none" w:sz="0" w:space="0" w:color="auto"/>
                <w:bottom w:val="none" w:sz="0" w:space="0" w:color="auto"/>
                <w:right w:val="none" w:sz="0" w:space="0" w:color="auto"/>
              </w:divBdr>
              <w:divsChild>
                <w:div w:id="440272178">
                  <w:marLeft w:val="0"/>
                  <w:marRight w:val="0"/>
                  <w:marTop w:val="0"/>
                  <w:marBottom w:val="0"/>
                  <w:divBdr>
                    <w:top w:val="none" w:sz="0" w:space="0" w:color="auto"/>
                    <w:left w:val="none" w:sz="0" w:space="0" w:color="auto"/>
                    <w:bottom w:val="none" w:sz="0" w:space="0" w:color="auto"/>
                    <w:right w:val="none" w:sz="0" w:space="0" w:color="auto"/>
                  </w:divBdr>
                </w:div>
              </w:divsChild>
            </w:div>
            <w:div w:id="1186940294">
              <w:marLeft w:val="0"/>
              <w:marRight w:val="0"/>
              <w:marTop w:val="0"/>
              <w:marBottom w:val="0"/>
              <w:divBdr>
                <w:top w:val="none" w:sz="0" w:space="0" w:color="auto"/>
                <w:left w:val="none" w:sz="0" w:space="0" w:color="auto"/>
                <w:bottom w:val="none" w:sz="0" w:space="0" w:color="auto"/>
                <w:right w:val="none" w:sz="0" w:space="0" w:color="auto"/>
              </w:divBdr>
              <w:divsChild>
                <w:div w:id="1047024097">
                  <w:marLeft w:val="0"/>
                  <w:marRight w:val="0"/>
                  <w:marTop w:val="0"/>
                  <w:marBottom w:val="0"/>
                  <w:divBdr>
                    <w:top w:val="none" w:sz="0" w:space="0" w:color="auto"/>
                    <w:left w:val="none" w:sz="0" w:space="0" w:color="auto"/>
                    <w:bottom w:val="none" w:sz="0" w:space="0" w:color="auto"/>
                    <w:right w:val="none" w:sz="0" w:space="0" w:color="auto"/>
                  </w:divBdr>
                </w:div>
              </w:divsChild>
            </w:div>
            <w:div w:id="1456099100">
              <w:marLeft w:val="0"/>
              <w:marRight w:val="0"/>
              <w:marTop w:val="0"/>
              <w:marBottom w:val="0"/>
              <w:divBdr>
                <w:top w:val="none" w:sz="0" w:space="0" w:color="auto"/>
                <w:left w:val="none" w:sz="0" w:space="0" w:color="auto"/>
                <w:bottom w:val="none" w:sz="0" w:space="0" w:color="auto"/>
                <w:right w:val="none" w:sz="0" w:space="0" w:color="auto"/>
              </w:divBdr>
              <w:divsChild>
                <w:div w:id="1202792286">
                  <w:marLeft w:val="0"/>
                  <w:marRight w:val="0"/>
                  <w:marTop w:val="0"/>
                  <w:marBottom w:val="0"/>
                  <w:divBdr>
                    <w:top w:val="none" w:sz="0" w:space="0" w:color="auto"/>
                    <w:left w:val="none" w:sz="0" w:space="0" w:color="auto"/>
                    <w:bottom w:val="none" w:sz="0" w:space="0" w:color="auto"/>
                    <w:right w:val="none" w:sz="0" w:space="0" w:color="auto"/>
                  </w:divBdr>
                </w:div>
              </w:divsChild>
            </w:div>
            <w:div w:id="374240490">
              <w:marLeft w:val="0"/>
              <w:marRight w:val="0"/>
              <w:marTop w:val="0"/>
              <w:marBottom w:val="0"/>
              <w:divBdr>
                <w:top w:val="none" w:sz="0" w:space="0" w:color="auto"/>
                <w:left w:val="none" w:sz="0" w:space="0" w:color="auto"/>
                <w:bottom w:val="none" w:sz="0" w:space="0" w:color="auto"/>
                <w:right w:val="none" w:sz="0" w:space="0" w:color="auto"/>
              </w:divBdr>
              <w:divsChild>
                <w:div w:id="197670843">
                  <w:marLeft w:val="0"/>
                  <w:marRight w:val="0"/>
                  <w:marTop w:val="0"/>
                  <w:marBottom w:val="0"/>
                  <w:divBdr>
                    <w:top w:val="none" w:sz="0" w:space="0" w:color="auto"/>
                    <w:left w:val="none" w:sz="0" w:space="0" w:color="auto"/>
                    <w:bottom w:val="none" w:sz="0" w:space="0" w:color="auto"/>
                    <w:right w:val="none" w:sz="0" w:space="0" w:color="auto"/>
                  </w:divBdr>
                </w:div>
              </w:divsChild>
            </w:div>
            <w:div w:id="1424649863">
              <w:marLeft w:val="0"/>
              <w:marRight w:val="0"/>
              <w:marTop w:val="0"/>
              <w:marBottom w:val="0"/>
              <w:divBdr>
                <w:top w:val="none" w:sz="0" w:space="0" w:color="auto"/>
                <w:left w:val="none" w:sz="0" w:space="0" w:color="auto"/>
                <w:bottom w:val="none" w:sz="0" w:space="0" w:color="auto"/>
                <w:right w:val="none" w:sz="0" w:space="0" w:color="auto"/>
              </w:divBdr>
            </w:div>
          </w:divsChild>
        </w:div>
        <w:div w:id="2016032639">
          <w:marLeft w:val="0"/>
          <w:marRight w:val="0"/>
          <w:marTop w:val="0"/>
          <w:marBottom w:val="0"/>
          <w:divBdr>
            <w:top w:val="none" w:sz="0" w:space="0" w:color="auto"/>
            <w:left w:val="none" w:sz="0" w:space="0" w:color="auto"/>
            <w:bottom w:val="none" w:sz="0" w:space="0" w:color="auto"/>
            <w:right w:val="none" w:sz="0" w:space="0" w:color="auto"/>
          </w:divBdr>
        </w:div>
        <w:div w:id="661616329">
          <w:marLeft w:val="0"/>
          <w:marRight w:val="0"/>
          <w:marTop w:val="0"/>
          <w:marBottom w:val="0"/>
          <w:divBdr>
            <w:top w:val="none" w:sz="0" w:space="0" w:color="auto"/>
            <w:left w:val="none" w:sz="0" w:space="0" w:color="auto"/>
            <w:bottom w:val="none" w:sz="0" w:space="0" w:color="auto"/>
            <w:right w:val="none" w:sz="0" w:space="0" w:color="auto"/>
          </w:divBdr>
        </w:div>
      </w:divsChild>
    </w:div>
    <w:div w:id="912814326">
      <w:bodyDiv w:val="1"/>
      <w:marLeft w:val="0"/>
      <w:marRight w:val="0"/>
      <w:marTop w:val="0"/>
      <w:marBottom w:val="0"/>
      <w:divBdr>
        <w:top w:val="none" w:sz="0" w:space="0" w:color="auto"/>
        <w:left w:val="none" w:sz="0" w:space="0" w:color="auto"/>
        <w:bottom w:val="none" w:sz="0" w:space="0" w:color="auto"/>
        <w:right w:val="none" w:sz="0" w:space="0" w:color="auto"/>
      </w:divBdr>
    </w:div>
    <w:div w:id="914507731">
      <w:bodyDiv w:val="1"/>
      <w:marLeft w:val="0"/>
      <w:marRight w:val="0"/>
      <w:marTop w:val="0"/>
      <w:marBottom w:val="0"/>
      <w:divBdr>
        <w:top w:val="none" w:sz="0" w:space="0" w:color="auto"/>
        <w:left w:val="none" w:sz="0" w:space="0" w:color="auto"/>
        <w:bottom w:val="none" w:sz="0" w:space="0" w:color="auto"/>
        <w:right w:val="none" w:sz="0" w:space="0" w:color="auto"/>
      </w:divBdr>
    </w:div>
    <w:div w:id="923296817">
      <w:bodyDiv w:val="1"/>
      <w:marLeft w:val="0"/>
      <w:marRight w:val="0"/>
      <w:marTop w:val="0"/>
      <w:marBottom w:val="0"/>
      <w:divBdr>
        <w:top w:val="none" w:sz="0" w:space="0" w:color="auto"/>
        <w:left w:val="none" w:sz="0" w:space="0" w:color="auto"/>
        <w:bottom w:val="none" w:sz="0" w:space="0" w:color="auto"/>
        <w:right w:val="none" w:sz="0" w:space="0" w:color="auto"/>
      </w:divBdr>
    </w:div>
    <w:div w:id="925843760">
      <w:bodyDiv w:val="1"/>
      <w:marLeft w:val="0"/>
      <w:marRight w:val="0"/>
      <w:marTop w:val="0"/>
      <w:marBottom w:val="0"/>
      <w:divBdr>
        <w:top w:val="none" w:sz="0" w:space="0" w:color="auto"/>
        <w:left w:val="none" w:sz="0" w:space="0" w:color="auto"/>
        <w:bottom w:val="none" w:sz="0" w:space="0" w:color="auto"/>
        <w:right w:val="none" w:sz="0" w:space="0" w:color="auto"/>
      </w:divBdr>
    </w:div>
    <w:div w:id="926963219">
      <w:bodyDiv w:val="1"/>
      <w:marLeft w:val="0"/>
      <w:marRight w:val="0"/>
      <w:marTop w:val="0"/>
      <w:marBottom w:val="0"/>
      <w:divBdr>
        <w:top w:val="none" w:sz="0" w:space="0" w:color="auto"/>
        <w:left w:val="none" w:sz="0" w:space="0" w:color="auto"/>
        <w:bottom w:val="none" w:sz="0" w:space="0" w:color="auto"/>
        <w:right w:val="none" w:sz="0" w:space="0" w:color="auto"/>
      </w:divBdr>
    </w:div>
    <w:div w:id="929391487">
      <w:bodyDiv w:val="1"/>
      <w:marLeft w:val="0"/>
      <w:marRight w:val="0"/>
      <w:marTop w:val="0"/>
      <w:marBottom w:val="0"/>
      <w:divBdr>
        <w:top w:val="none" w:sz="0" w:space="0" w:color="auto"/>
        <w:left w:val="none" w:sz="0" w:space="0" w:color="auto"/>
        <w:bottom w:val="none" w:sz="0" w:space="0" w:color="auto"/>
        <w:right w:val="none" w:sz="0" w:space="0" w:color="auto"/>
      </w:divBdr>
    </w:div>
    <w:div w:id="936907508">
      <w:bodyDiv w:val="1"/>
      <w:marLeft w:val="0"/>
      <w:marRight w:val="0"/>
      <w:marTop w:val="0"/>
      <w:marBottom w:val="0"/>
      <w:divBdr>
        <w:top w:val="none" w:sz="0" w:space="0" w:color="auto"/>
        <w:left w:val="none" w:sz="0" w:space="0" w:color="auto"/>
        <w:bottom w:val="none" w:sz="0" w:space="0" w:color="auto"/>
        <w:right w:val="none" w:sz="0" w:space="0" w:color="auto"/>
      </w:divBdr>
    </w:div>
    <w:div w:id="937761289">
      <w:bodyDiv w:val="1"/>
      <w:marLeft w:val="0"/>
      <w:marRight w:val="0"/>
      <w:marTop w:val="0"/>
      <w:marBottom w:val="0"/>
      <w:divBdr>
        <w:top w:val="none" w:sz="0" w:space="0" w:color="auto"/>
        <w:left w:val="none" w:sz="0" w:space="0" w:color="auto"/>
        <w:bottom w:val="none" w:sz="0" w:space="0" w:color="auto"/>
        <w:right w:val="none" w:sz="0" w:space="0" w:color="auto"/>
      </w:divBdr>
    </w:div>
    <w:div w:id="950555619">
      <w:bodyDiv w:val="1"/>
      <w:marLeft w:val="0"/>
      <w:marRight w:val="0"/>
      <w:marTop w:val="0"/>
      <w:marBottom w:val="0"/>
      <w:divBdr>
        <w:top w:val="none" w:sz="0" w:space="0" w:color="auto"/>
        <w:left w:val="none" w:sz="0" w:space="0" w:color="auto"/>
        <w:bottom w:val="none" w:sz="0" w:space="0" w:color="auto"/>
        <w:right w:val="none" w:sz="0" w:space="0" w:color="auto"/>
      </w:divBdr>
      <w:divsChild>
        <w:div w:id="1951550144">
          <w:marLeft w:val="0"/>
          <w:marRight w:val="0"/>
          <w:marTop w:val="0"/>
          <w:marBottom w:val="0"/>
          <w:divBdr>
            <w:top w:val="none" w:sz="0" w:space="0" w:color="auto"/>
            <w:left w:val="none" w:sz="0" w:space="0" w:color="auto"/>
            <w:bottom w:val="none" w:sz="0" w:space="0" w:color="auto"/>
            <w:right w:val="none" w:sz="0" w:space="0" w:color="auto"/>
          </w:divBdr>
        </w:div>
      </w:divsChild>
    </w:div>
    <w:div w:id="951285824">
      <w:bodyDiv w:val="1"/>
      <w:marLeft w:val="0"/>
      <w:marRight w:val="0"/>
      <w:marTop w:val="0"/>
      <w:marBottom w:val="0"/>
      <w:divBdr>
        <w:top w:val="none" w:sz="0" w:space="0" w:color="auto"/>
        <w:left w:val="none" w:sz="0" w:space="0" w:color="auto"/>
        <w:bottom w:val="none" w:sz="0" w:space="0" w:color="auto"/>
        <w:right w:val="none" w:sz="0" w:space="0" w:color="auto"/>
      </w:divBdr>
    </w:div>
    <w:div w:id="961688723">
      <w:bodyDiv w:val="1"/>
      <w:marLeft w:val="0"/>
      <w:marRight w:val="0"/>
      <w:marTop w:val="0"/>
      <w:marBottom w:val="0"/>
      <w:divBdr>
        <w:top w:val="none" w:sz="0" w:space="0" w:color="auto"/>
        <w:left w:val="none" w:sz="0" w:space="0" w:color="auto"/>
        <w:bottom w:val="none" w:sz="0" w:space="0" w:color="auto"/>
        <w:right w:val="none" w:sz="0" w:space="0" w:color="auto"/>
      </w:divBdr>
    </w:div>
    <w:div w:id="970675878">
      <w:bodyDiv w:val="1"/>
      <w:marLeft w:val="0"/>
      <w:marRight w:val="0"/>
      <w:marTop w:val="0"/>
      <w:marBottom w:val="0"/>
      <w:divBdr>
        <w:top w:val="none" w:sz="0" w:space="0" w:color="auto"/>
        <w:left w:val="none" w:sz="0" w:space="0" w:color="auto"/>
        <w:bottom w:val="none" w:sz="0" w:space="0" w:color="auto"/>
        <w:right w:val="none" w:sz="0" w:space="0" w:color="auto"/>
      </w:divBdr>
    </w:div>
    <w:div w:id="971322482">
      <w:bodyDiv w:val="1"/>
      <w:marLeft w:val="0"/>
      <w:marRight w:val="0"/>
      <w:marTop w:val="0"/>
      <w:marBottom w:val="0"/>
      <w:divBdr>
        <w:top w:val="none" w:sz="0" w:space="0" w:color="auto"/>
        <w:left w:val="none" w:sz="0" w:space="0" w:color="auto"/>
        <w:bottom w:val="none" w:sz="0" w:space="0" w:color="auto"/>
        <w:right w:val="none" w:sz="0" w:space="0" w:color="auto"/>
      </w:divBdr>
    </w:div>
    <w:div w:id="976226310">
      <w:bodyDiv w:val="1"/>
      <w:marLeft w:val="0"/>
      <w:marRight w:val="0"/>
      <w:marTop w:val="0"/>
      <w:marBottom w:val="0"/>
      <w:divBdr>
        <w:top w:val="none" w:sz="0" w:space="0" w:color="auto"/>
        <w:left w:val="none" w:sz="0" w:space="0" w:color="auto"/>
        <w:bottom w:val="none" w:sz="0" w:space="0" w:color="auto"/>
        <w:right w:val="none" w:sz="0" w:space="0" w:color="auto"/>
      </w:divBdr>
    </w:div>
    <w:div w:id="976565552">
      <w:bodyDiv w:val="1"/>
      <w:marLeft w:val="0"/>
      <w:marRight w:val="0"/>
      <w:marTop w:val="0"/>
      <w:marBottom w:val="0"/>
      <w:divBdr>
        <w:top w:val="none" w:sz="0" w:space="0" w:color="auto"/>
        <w:left w:val="none" w:sz="0" w:space="0" w:color="auto"/>
        <w:bottom w:val="none" w:sz="0" w:space="0" w:color="auto"/>
        <w:right w:val="none" w:sz="0" w:space="0" w:color="auto"/>
      </w:divBdr>
    </w:div>
    <w:div w:id="978649649">
      <w:bodyDiv w:val="1"/>
      <w:marLeft w:val="0"/>
      <w:marRight w:val="0"/>
      <w:marTop w:val="0"/>
      <w:marBottom w:val="0"/>
      <w:divBdr>
        <w:top w:val="none" w:sz="0" w:space="0" w:color="auto"/>
        <w:left w:val="none" w:sz="0" w:space="0" w:color="auto"/>
        <w:bottom w:val="none" w:sz="0" w:space="0" w:color="auto"/>
        <w:right w:val="none" w:sz="0" w:space="0" w:color="auto"/>
      </w:divBdr>
      <w:divsChild>
        <w:div w:id="533228353">
          <w:marLeft w:val="0"/>
          <w:marRight w:val="0"/>
          <w:marTop w:val="0"/>
          <w:marBottom w:val="0"/>
          <w:divBdr>
            <w:top w:val="none" w:sz="0" w:space="0" w:color="auto"/>
            <w:left w:val="none" w:sz="0" w:space="0" w:color="auto"/>
            <w:bottom w:val="none" w:sz="0" w:space="0" w:color="auto"/>
            <w:right w:val="none" w:sz="0" w:space="0" w:color="auto"/>
          </w:divBdr>
          <w:divsChild>
            <w:div w:id="1335378469">
              <w:marLeft w:val="0"/>
              <w:marRight w:val="0"/>
              <w:marTop w:val="0"/>
              <w:marBottom w:val="0"/>
              <w:divBdr>
                <w:top w:val="none" w:sz="0" w:space="0" w:color="auto"/>
                <w:left w:val="none" w:sz="0" w:space="0" w:color="auto"/>
                <w:bottom w:val="none" w:sz="0" w:space="0" w:color="auto"/>
                <w:right w:val="none" w:sz="0" w:space="0" w:color="auto"/>
              </w:divBdr>
              <w:divsChild>
                <w:div w:id="125883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9262557">
      <w:bodyDiv w:val="1"/>
      <w:marLeft w:val="0"/>
      <w:marRight w:val="0"/>
      <w:marTop w:val="0"/>
      <w:marBottom w:val="0"/>
      <w:divBdr>
        <w:top w:val="none" w:sz="0" w:space="0" w:color="auto"/>
        <w:left w:val="none" w:sz="0" w:space="0" w:color="auto"/>
        <w:bottom w:val="none" w:sz="0" w:space="0" w:color="auto"/>
        <w:right w:val="none" w:sz="0" w:space="0" w:color="auto"/>
      </w:divBdr>
    </w:div>
    <w:div w:id="988940388">
      <w:bodyDiv w:val="1"/>
      <w:marLeft w:val="0"/>
      <w:marRight w:val="0"/>
      <w:marTop w:val="0"/>
      <w:marBottom w:val="0"/>
      <w:divBdr>
        <w:top w:val="none" w:sz="0" w:space="0" w:color="auto"/>
        <w:left w:val="none" w:sz="0" w:space="0" w:color="auto"/>
        <w:bottom w:val="none" w:sz="0" w:space="0" w:color="auto"/>
        <w:right w:val="none" w:sz="0" w:space="0" w:color="auto"/>
      </w:divBdr>
    </w:div>
    <w:div w:id="991757469">
      <w:bodyDiv w:val="1"/>
      <w:marLeft w:val="0"/>
      <w:marRight w:val="0"/>
      <w:marTop w:val="0"/>
      <w:marBottom w:val="0"/>
      <w:divBdr>
        <w:top w:val="none" w:sz="0" w:space="0" w:color="auto"/>
        <w:left w:val="none" w:sz="0" w:space="0" w:color="auto"/>
        <w:bottom w:val="none" w:sz="0" w:space="0" w:color="auto"/>
        <w:right w:val="none" w:sz="0" w:space="0" w:color="auto"/>
      </w:divBdr>
    </w:div>
    <w:div w:id="1006009464">
      <w:bodyDiv w:val="1"/>
      <w:marLeft w:val="0"/>
      <w:marRight w:val="0"/>
      <w:marTop w:val="0"/>
      <w:marBottom w:val="0"/>
      <w:divBdr>
        <w:top w:val="none" w:sz="0" w:space="0" w:color="auto"/>
        <w:left w:val="none" w:sz="0" w:space="0" w:color="auto"/>
        <w:bottom w:val="none" w:sz="0" w:space="0" w:color="auto"/>
        <w:right w:val="none" w:sz="0" w:space="0" w:color="auto"/>
      </w:divBdr>
      <w:divsChild>
        <w:div w:id="1228147876">
          <w:marLeft w:val="0"/>
          <w:marRight w:val="0"/>
          <w:marTop w:val="0"/>
          <w:marBottom w:val="0"/>
          <w:divBdr>
            <w:top w:val="none" w:sz="0" w:space="0" w:color="auto"/>
            <w:left w:val="none" w:sz="0" w:space="0" w:color="auto"/>
            <w:bottom w:val="none" w:sz="0" w:space="0" w:color="auto"/>
            <w:right w:val="none" w:sz="0" w:space="0" w:color="auto"/>
          </w:divBdr>
          <w:divsChild>
            <w:div w:id="1104544632">
              <w:marLeft w:val="0"/>
              <w:marRight w:val="0"/>
              <w:marTop w:val="0"/>
              <w:marBottom w:val="0"/>
              <w:divBdr>
                <w:top w:val="none" w:sz="0" w:space="0" w:color="auto"/>
                <w:left w:val="none" w:sz="0" w:space="0" w:color="auto"/>
                <w:bottom w:val="none" w:sz="0" w:space="0" w:color="auto"/>
                <w:right w:val="none" w:sz="0" w:space="0" w:color="auto"/>
              </w:divBdr>
              <w:divsChild>
                <w:div w:id="1115947508">
                  <w:marLeft w:val="0"/>
                  <w:marRight w:val="0"/>
                  <w:marTop w:val="0"/>
                  <w:marBottom w:val="0"/>
                  <w:divBdr>
                    <w:top w:val="none" w:sz="0" w:space="0" w:color="auto"/>
                    <w:left w:val="none" w:sz="0" w:space="0" w:color="auto"/>
                    <w:bottom w:val="none" w:sz="0" w:space="0" w:color="auto"/>
                    <w:right w:val="none" w:sz="0" w:space="0" w:color="auto"/>
                  </w:divBdr>
                </w:div>
                <w:div w:id="1944338690">
                  <w:marLeft w:val="0"/>
                  <w:marRight w:val="0"/>
                  <w:marTop w:val="0"/>
                  <w:marBottom w:val="0"/>
                  <w:divBdr>
                    <w:top w:val="none" w:sz="0" w:space="0" w:color="auto"/>
                    <w:left w:val="none" w:sz="0" w:space="0" w:color="auto"/>
                    <w:bottom w:val="none" w:sz="0" w:space="0" w:color="auto"/>
                    <w:right w:val="none" w:sz="0" w:space="0" w:color="auto"/>
                  </w:divBdr>
                </w:div>
                <w:div w:id="2110196357">
                  <w:marLeft w:val="0"/>
                  <w:marRight w:val="0"/>
                  <w:marTop w:val="0"/>
                  <w:marBottom w:val="0"/>
                  <w:divBdr>
                    <w:top w:val="none" w:sz="0" w:space="0" w:color="auto"/>
                    <w:left w:val="none" w:sz="0" w:space="0" w:color="auto"/>
                    <w:bottom w:val="none" w:sz="0" w:space="0" w:color="auto"/>
                    <w:right w:val="none" w:sz="0" w:space="0" w:color="auto"/>
                  </w:divBdr>
                </w:div>
                <w:div w:id="244340040">
                  <w:marLeft w:val="0"/>
                  <w:marRight w:val="0"/>
                  <w:marTop w:val="0"/>
                  <w:marBottom w:val="0"/>
                  <w:divBdr>
                    <w:top w:val="none" w:sz="0" w:space="0" w:color="auto"/>
                    <w:left w:val="none" w:sz="0" w:space="0" w:color="auto"/>
                    <w:bottom w:val="none" w:sz="0" w:space="0" w:color="auto"/>
                    <w:right w:val="none" w:sz="0" w:space="0" w:color="auto"/>
                  </w:divBdr>
                </w:div>
              </w:divsChild>
            </w:div>
            <w:div w:id="1845853470">
              <w:marLeft w:val="0"/>
              <w:marRight w:val="0"/>
              <w:marTop w:val="0"/>
              <w:marBottom w:val="0"/>
              <w:divBdr>
                <w:top w:val="none" w:sz="0" w:space="0" w:color="auto"/>
                <w:left w:val="none" w:sz="0" w:space="0" w:color="auto"/>
                <w:bottom w:val="none" w:sz="0" w:space="0" w:color="auto"/>
                <w:right w:val="none" w:sz="0" w:space="0" w:color="auto"/>
              </w:divBdr>
              <w:divsChild>
                <w:div w:id="544874625">
                  <w:marLeft w:val="0"/>
                  <w:marRight w:val="0"/>
                  <w:marTop w:val="0"/>
                  <w:marBottom w:val="0"/>
                  <w:divBdr>
                    <w:top w:val="none" w:sz="0" w:space="0" w:color="auto"/>
                    <w:left w:val="none" w:sz="0" w:space="0" w:color="auto"/>
                    <w:bottom w:val="none" w:sz="0" w:space="0" w:color="auto"/>
                    <w:right w:val="none" w:sz="0" w:space="0" w:color="auto"/>
                  </w:divBdr>
                </w:div>
                <w:div w:id="30421742">
                  <w:marLeft w:val="0"/>
                  <w:marRight w:val="0"/>
                  <w:marTop w:val="0"/>
                  <w:marBottom w:val="0"/>
                  <w:divBdr>
                    <w:top w:val="none" w:sz="0" w:space="0" w:color="auto"/>
                    <w:left w:val="none" w:sz="0" w:space="0" w:color="auto"/>
                    <w:bottom w:val="none" w:sz="0" w:space="0" w:color="auto"/>
                    <w:right w:val="none" w:sz="0" w:space="0" w:color="auto"/>
                  </w:divBdr>
                </w:div>
                <w:div w:id="1559899053">
                  <w:marLeft w:val="0"/>
                  <w:marRight w:val="0"/>
                  <w:marTop w:val="0"/>
                  <w:marBottom w:val="0"/>
                  <w:divBdr>
                    <w:top w:val="none" w:sz="0" w:space="0" w:color="auto"/>
                    <w:left w:val="none" w:sz="0" w:space="0" w:color="auto"/>
                    <w:bottom w:val="none" w:sz="0" w:space="0" w:color="auto"/>
                    <w:right w:val="none" w:sz="0" w:space="0" w:color="auto"/>
                  </w:divBdr>
                </w:div>
                <w:div w:id="646007733">
                  <w:marLeft w:val="0"/>
                  <w:marRight w:val="0"/>
                  <w:marTop w:val="0"/>
                  <w:marBottom w:val="0"/>
                  <w:divBdr>
                    <w:top w:val="none" w:sz="0" w:space="0" w:color="auto"/>
                    <w:left w:val="none" w:sz="0" w:space="0" w:color="auto"/>
                    <w:bottom w:val="none" w:sz="0" w:space="0" w:color="auto"/>
                    <w:right w:val="none" w:sz="0" w:space="0" w:color="auto"/>
                  </w:divBdr>
                </w:div>
              </w:divsChild>
            </w:div>
            <w:div w:id="97680798">
              <w:marLeft w:val="0"/>
              <w:marRight w:val="0"/>
              <w:marTop w:val="0"/>
              <w:marBottom w:val="0"/>
              <w:divBdr>
                <w:top w:val="none" w:sz="0" w:space="0" w:color="auto"/>
                <w:left w:val="none" w:sz="0" w:space="0" w:color="auto"/>
                <w:bottom w:val="none" w:sz="0" w:space="0" w:color="auto"/>
                <w:right w:val="none" w:sz="0" w:space="0" w:color="auto"/>
              </w:divBdr>
            </w:div>
          </w:divsChild>
        </w:div>
        <w:div w:id="1807232305">
          <w:marLeft w:val="0"/>
          <w:marRight w:val="0"/>
          <w:marTop w:val="0"/>
          <w:marBottom w:val="0"/>
          <w:divBdr>
            <w:top w:val="none" w:sz="0" w:space="0" w:color="auto"/>
            <w:left w:val="none" w:sz="0" w:space="0" w:color="auto"/>
            <w:bottom w:val="none" w:sz="0" w:space="0" w:color="auto"/>
            <w:right w:val="none" w:sz="0" w:space="0" w:color="auto"/>
          </w:divBdr>
        </w:div>
      </w:divsChild>
    </w:div>
    <w:div w:id="1012952161">
      <w:bodyDiv w:val="1"/>
      <w:marLeft w:val="0"/>
      <w:marRight w:val="0"/>
      <w:marTop w:val="0"/>
      <w:marBottom w:val="0"/>
      <w:divBdr>
        <w:top w:val="none" w:sz="0" w:space="0" w:color="auto"/>
        <w:left w:val="none" w:sz="0" w:space="0" w:color="auto"/>
        <w:bottom w:val="none" w:sz="0" w:space="0" w:color="auto"/>
        <w:right w:val="none" w:sz="0" w:space="0" w:color="auto"/>
      </w:divBdr>
    </w:div>
    <w:div w:id="1017316827">
      <w:bodyDiv w:val="1"/>
      <w:marLeft w:val="0"/>
      <w:marRight w:val="0"/>
      <w:marTop w:val="0"/>
      <w:marBottom w:val="0"/>
      <w:divBdr>
        <w:top w:val="none" w:sz="0" w:space="0" w:color="auto"/>
        <w:left w:val="none" w:sz="0" w:space="0" w:color="auto"/>
        <w:bottom w:val="none" w:sz="0" w:space="0" w:color="auto"/>
        <w:right w:val="none" w:sz="0" w:space="0" w:color="auto"/>
      </w:divBdr>
      <w:divsChild>
        <w:div w:id="2098666566">
          <w:marLeft w:val="0"/>
          <w:marRight w:val="0"/>
          <w:marTop w:val="0"/>
          <w:marBottom w:val="0"/>
          <w:divBdr>
            <w:top w:val="none" w:sz="0" w:space="0" w:color="auto"/>
            <w:left w:val="none" w:sz="0" w:space="0" w:color="auto"/>
            <w:bottom w:val="none" w:sz="0" w:space="0" w:color="auto"/>
            <w:right w:val="none" w:sz="0" w:space="0" w:color="auto"/>
          </w:divBdr>
          <w:divsChild>
            <w:div w:id="269631556">
              <w:marLeft w:val="0"/>
              <w:marRight w:val="0"/>
              <w:marTop w:val="0"/>
              <w:marBottom w:val="0"/>
              <w:divBdr>
                <w:top w:val="none" w:sz="0" w:space="0" w:color="auto"/>
                <w:left w:val="none" w:sz="0" w:space="0" w:color="auto"/>
                <w:bottom w:val="none" w:sz="0" w:space="0" w:color="auto"/>
                <w:right w:val="none" w:sz="0" w:space="0" w:color="auto"/>
              </w:divBdr>
              <w:divsChild>
                <w:div w:id="1943219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0156536">
      <w:bodyDiv w:val="1"/>
      <w:marLeft w:val="0"/>
      <w:marRight w:val="0"/>
      <w:marTop w:val="0"/>
      <w:marBottom w:val="0"/>
      <w:divBdr>
        <w:top w:val="none" w:sz="0" w:space="0" w:color="auto"/>
        <w:left w:val="none" w:sz="0" w:space="0" w:color="auto"/>
        <w:bottom w:val="none" w:sz="0" w:space="0" w:color="auto"/>
        <w:right w:val="none" w:sz="0" w:space="0" w:color="auto"/>
      </w:divBdr>
    </w:div>
    <w:div w:id="1021518321">
      <w:bodyDiv w:val="1"/>
      <w:marLeft w:val="0"/>
      <w:marRight w:val="0"/>
      <w:marTop w:val="0"/>
      <w:marBottom w:val="0"/>
      <w:divBdr>
        <w:top w:val="none" w:sz="0" w:space="0" w:color="auto"/>
        <w:left w:val="none" w:sz="0" w:space="0" w:color="auto"/>
        <w:bottom w:val="none" w:sz="0" w:space="0" w:color="auto"/>
        <w:right w:val="none" w:sz="0" w:space="0" w:color="auto"/>
      </w:divBdr>
      <w:divsChild>
        <w:div w:id="586426412">
          <w:marLeft w:val="0"/>
          <w:marRight w:val="0"/>
          <w:marTop w:val="0"/>
          <w:marBottom w:val="0"/>
          <w:divBdr>
            <w:top w:val="none" w:sz="0" w:space="0" w:color="auto"/>
            <w:left w:val="none" w:sz="0" w:space="0" w:color="auto"/>
            <w:bottom w:val="none" w:sz="0" w:space="0" w:color="auto"/>
            <w:right w:val="none" w:sz="0" w:space="0" w:color="auto"/>
          </w:divBdr>
          <w:divsChild>
            <w:div w:id="804350087">
              <w:marLeft w:val="0"/>
              <w:marRight w:val="0"/>
              <w:marTop w:val="0"/>
              <w:marBottom w:val="0"/>
              <w:divBdr>
                <w:top w:val="none" w:sz="0" w:space="0" w:color="auto"/>
                <w:left w:val="none" w:sz="0" w:space="0" w:color="auto"/>
                <w:bottom w:val="none" w:sz="0" w:space="0" w:color="auto"/>
                <w:right w:val="none" w:sz="0" w:space="0" w:color="auto"/>
              </w:divBdr>
              <w:divsChild>
                <w:div w:id="210190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323131">
      <w:bodyDiv w:val="1"/>
      <w:marLeft w:val="0"/>
      <w:marRight w:val="0"/>
      <w:marTop w:val="0"/>
      <w:marBottom w:val="0"/>
      <w:divBdr>
        <w:top w:val="none" w:sz="0" w:space="0" w:color="auto"/>
        <w:left w:val="none" w:sz="0" w:space="0" w:color="auto"/>
        <w:bottom w:val="none" w:sz="0" w:space="0" w:color="auto"/>
        <w:right w:val="none" w:sz="0" w:space="0" w:color="auto"/>
      </w:divBdr>
      <w:divsChild>
        <w:div w:id="187260892">
          <w:marLeft w:val="0"/>
          <w:marRight w:val="0"/>
          <w:marTop w:val="0"/>
          <w:marBottom w:val="0"/>
          <w:divBdr>
            <w:top w:val="none" w:sz="0" w:space="0" w:color="auto"/>
            <w:left w:val="none" w:sz="0" w:space="0" w:color="auto"/>
            <w:bottom w:val="none" w:sz="0" w:space="0" w:color="auto"/>
            <w:right w:val="none" w:sz="0" w:space="0" w:color="auto"/>
          </w:divBdr>
        </w:div>
        <w:div w:id="760293576">
          <w:marLeft w:val="0"/>
          <w:marRight w:val="0"/>
          <w:marTop w:val="0"/>
          <w:marBottom w:val="0"/>
          <w:divBdr>
            <w:top w:val="none" w:sz="0" w:space="0" w:color="auto"/>
            <w:left w:val="none" w:sz="0" w:space="0" w:color="auto"/>
            <w:bottom w:val="none" w:sz="0" w:space="0" w:color="auto"/>
            <w:right w:val="none" w:sz="0" w:space="0" w:color="auto"/>
          </w:divBdr>
        </w:div>
        <w:div w:id="166478522">
          <w:marLeft w:val="0"/>
          <w:marRight w:val="0"/>
          <w:marTop w:val="0"/>
          <w:marBottom w:val="0"/>
          <w:divBdr>
            <w:top w:val="none" w:sz="0" w:space="0" w:color="auto"/>
            <w:left w:val="none" w:sz="0" w:space="0" w:color="auto"/>
            <w:bottom w:val="none" w:sz="0" w:space="0" w:color="auto"/>
            <w:right w:val="none" w:sz="0" w:space="0" w:color="auto"/>
          </w:divBdr>
        </w:div>
        <w:div w:id="1858227813">
          <w:marLeft w:val="0"/>
          <w:marRight w:val="0"/>
          <w:marTop w:val="0"/>
          <w:marBottom w:val="0"/>
          <w:divBdr>
            <w:top w:val="none" w:sz="0" w:space="0" w:color="auto"/>
            <w:left w:val="none" w:sz="0" w:space="0" w:color="auto"/>
            <w:bottom w:val="none" w:sz="0" w:space="0" w:color="auto"/>
            <w:right w:val="none" w:sz="0" w:space="0" w:color="auto"/>
          </w:divBdr>
        </w:div>
        <w:div w:id="429815403">
          <w:marLeft w:val="0"/>
          <w:marRight w:val="0"/>
          <w:marTop w:val="0"/>
          <w:marBottom w:val="0"/>
          <w:divBdr>
            <w:top w:val="none" w:sz="0" w:space="0" w:color="auto"/>
            <w:left w:val="none" w:sz="0" w:space="0" w:color="auto"/>
            <w:bottom w:val="none" w:sz="0" w:space="0" w:color="auto"/>
            <w:right w:val="none" w:sz="0" w:space="0" w:color="auto"/>
          </w:divBdr>
        </w:div>
        <w:div w:id="91754144">
          <w:marLeft w:val="0"/>
          <w:marRight w:val="0"/>
          <w:marTop w:val="0"/>
          <w:marBottom w:val="0"/>
          <w:divBdr>
            <w:top w:val="none" w:sz="0" w:space="0" w:color="auto"/>
            <w:left w:val="none" w:sz="0" w:space="0" w:color="auto"/>
            <w:bottom w:val="none" w:sz="0" w:space="0" w:color="auto"/>
            <w:right w:val="none" w:sz="0" w:space="0" w:color="auto"/>
          </w:divBdr>
        </w:div>
        <w:div w:id="663629065">
          <w:marLeft w:val="0"/>
          <w:marRight w:val="0"/>
          <w:marTop w:val="0"/>
          <w:marBottom w:val="0"/>
          <w:divBdr>
            <w:top w:val="none" w:sz="0" w:space="0" w:color="auto"/>
            <w:left w:val="none" w:sz="0" w:space="0" w:color="auto"/>
            <w:bottom w:val="none" w:sz="0" w:space="0" w:color="auto"/>
            <w:right w:val="none" w:sz="0" w:space="0" w:color="auto"/>
          </w:divBdr>
        </w:div>
      </w:divsChild>
    </w:div>
    <w:div w:id="1025904290">
      <w:bodyDiv w:val="1"/>
      <w:marLeft w:val="0"/>
      <w:marRight w:val="0"/>
      <w:marTop w:val="0"/>
      <w:marBottom w:val="0"/>
      <w:divBdr>
        <w:top w:val="none" w:sz="0" w:space="0" w:color="auto"/>
        <w:left w:val="none" w:sz="0" w:space="0" w:color="auto"/>
        <w:bottom w:val="none" w:sz="0" w:space="0" w:color="auto"/>
        <w:right w:val="none" w:sz="0" w:space="0" w:color="auto"/>
      </w:divBdr>
    </w:div>
    <w:div w:id="1038163578">
      <w:bodyDiv w:val="1"/>
      <w:marLeft w:val="0"/>
      <w:marRight w:val="0"/>
      <w:marTop w:val="0"/>
      <w:marBottom w:val="0"/>
      <w:divBdr>
        <w:top w:val="none" w:sz="0" w:space="0" w:color="auto"/>
        <w:left w:val="none" w:sz="0" w:space="0" w:color="auto"/>
        <w:bottom w:val="none" w:sz="0" w:space="0" w:color="auto"/>
        <w:right w:val="none" w:sz="0" w:space="0" w:color="auto"/>
      </w:divBdr>
    </w:div>
    <w:div w:id="1041858281">
      <w:bodyDiv w:val="1"/>
      <w:marLeft w:val="0"/>
      <w:marRight w:val="0"/>
      <w:marTop w:val="0"/>
      <w:marBottom w:val="0"/>
      <w:divBdr>
        <w:top w:val="none" w:sz="0" w:space="0" w:color="auto"/>
        <w:left w:val="none" w:sz="0" w:space="0" w:color="auto"/>
        <w:bottom w:val="none" w:sz="0" w:space="0" w:color="auto"/>
        <w:right w:val="none" w:sz="0" w:space="0" w:color="auto"/>
      </w:divBdr>
    </w:div>
    <w:div w:id="1046682328">
      <w:bodyDiv w:val="1"/>
      <w:marLeft w:val="0"/>
      <w:marRight w:val="0"/>
      <w:marTop w:val="0"/>
      <w:marBottom w:val="0"/>
      <w:divBdr>
        <w:top w:val="none" w:sz="0" w:space="0" w:color="auto"/>
        <w:left w:val="none" w:sz="0" w:space="0" w:color="auto"/>
        <w:bottom w:val="none" w:sz="0" w:space="0" w:color="auto"/>
        <w:right w:val="none" w:sz="0" w:space="0" w:color="auto"/>
      </w:divBdr>
    </w:div>
    <w:div w:id="1048455914">
      <w:bodyDiv w:val="1"/>
      <w:marLeft w:val="0"/>
      <w:marRight w:val="0"/>
      <w:marTop w:val="0"/>
      <w:marBottom w:val="0"/>
      <w:divBdr>
        <w:top w:val="none" w:sz="0" w:space="0" w:color="auto"/>
        <w:left w:val="none" w:sz="0" w:space="0" w:color="auto"/>
        <w:bottom w:val="none" w:sz="0" w:space="0" w:color="auto"/>
        <w:right w:val="none" w:sz="0" w:space="0" w:color="auto"/>
      </w:divBdr>
      <w:divsChild>
        <w:div w:id="1593466034">
          <w:marLeft w:val="0"/>
          <w:marRight w:val="0"/>
          <w:marTop w:val="0"/>
          <w:marBottom w:val="0"/>
          <w:divBdr>
            <w:top w:val="none" w:sz="0" w:space="0" w:color="auto"/>
            <w:left w:val="none" w:sz="0" w:space="0" w:color="auto"/>
            <w:bottom w:val="none" w:sz="0" w:space="0" w:color="auto"/>
            <w:right w:val="none" w:sz="0" w:space="0" w:color="auto"/>
          </w:divBdr>
        </w:div>
      </w:divsChild>
    </w:div>
    <w:div w:id="1048801666">
      <w:bodyDiv w:val="1"/>
      <w:marLeft w:val="0"/>
      <w:marRight w:val="0"/>
      <w:marTop w:val="0"/>
      <w:marBottom w:val="0"/>
      <w:divBdr>
        <w:top w:val="none" w:sz="0" w:space="0" w:color="auto"/>
        <w:left w:val="none" w:sz="0" w:space="0" w:color="auto"/>
        <w:bottom w:val="none" w:sz="0" w:space="0" w:color="auto"/>
        <w:right w:val="none" w:sz="0" w:space="0" w:color="auto"/>
      </w:divBdr>
    </w:div>
    <w:div w:id="1074934493">
      <w:bodyDiv w:val="1"/>
      <w:marLeft w:val="0"/>
      <w:marRight w:val="0"/>
      <w:marTop w:val="0"/>
      <w:marBottom w:val="0"/>
      <w:divBdr>
        <w:top w:val="none" w:sz="0" w:space="0" w:color="auto"/>
        <w:left w:val="none" w:sz="0" w:space="0" w:color="auto"/>
        <w:bottom w:val="none" w:sz="0" w:space="0" w:color="auto"/>
        <w:right w:val="none" w:sz="0" w:space="0" w:color="auto"/>
      </w:divBdr>
      <w:divsChild>
        <w:div w:id="1916239075">
          <w:marLeft w:val="0"/>
          <w:marRight w:val="0"/>
          <w:marTop w:val="0"/>
          <w:marBottom w:val="0"/>
          <w:divBdr>
            <w:top w:val="none" w:sz="0" w:space="0" w:color="auto"/>
            <w:left w:val="none" w:sz="0" w:space="0" w:color="auto"/>
            <w:bottom w:val="none" w:sz="0" w:space="0" w:color="auto"/>
            <w:right w:val="none" w:sz="0" w:space="0" w:color="auto"/>
          </w:divBdr>
          <w:divsChild>
            <w:div w:id="485584476">
              <w:marLeft w:val="0"/>
              <w:marRight w:val="0"/>
              <w:marTop w:val="0"/>
              <w:marBottom w:val="0"/>
              <w:divBdr>
                <w:top w:val="none" w:sz="0" w:space="0" w:color="auto"/>
                <w:left w:val="none" w:sz="0" w:space="0" w:color="auto"/>
                <w:bottom w:val="none" w:sz="0" w:space="0" w:color="auto"/>
                <w:right w:val="none" w:sz="0" w:space="0" w:color="auto"/>
              </w:divBdr>
              <w:divsChild>
                <w:div w:id="166173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282045">
      <w:bodyDiv w:val="1"/>
      <w:marLeft w:val="0"/>
      <w:marRight w:val="0"/>
      <w:marTop w:val="0"/>
      <w:marBottom w:val="0"/>
      <w:divBdr>
        <w:top w:val="none" w:sz="0" w:space="0" w:color="auto"/>
        <w:left w:val="none" w:sz="0" w:space="0" w:color="auto"/>
        <w:bottom w:val="none" w:sz="0" w:space="0" w:color="auto"/>
        <w:right w:val="none" w:sz="0" w:space="0" w:color="auto"/>
      </w:divBdr>
    </w:div>
    <w:div w:id="1086338786">
      <w:bodyDiv w:val="1"/>
      <w:marLeft w:val="0"/>
      <w:marRight w:val="0"/>
      <w:marTop w:val="0"/>
      <w:marBottom w:val="0"/>
      <w:divBdr>
        <w:top w:val="none" w:sz="0" w:space="0" w:color="auto"/>
        <w:left w:val="none" w:sz="0" w:space="0" w:color="auto"/>
        <w:bottom w:val="none" w:sz="0" w:space="0" w:color="auto"/>
        <w:right w:val="none" w:sz="0" w:space="0" w:color="auto"/>
      </w:divBdr>
    </w:div>
    <w:div w:id="1086416888">
      <w:bodyDiv w:val="1"/>
      <w:marLeft w:val="0"/>
      <w:marRight w:val="0"/>
      <w:marTop w:val="0"/>
      <w:marBottom w:val="0"/>
      <w:divBdr>
        <w:top w:val="none" w:sz="0" w:space="0" w:color="auto"/>
        <w:left w:val="none" w:sz="0" w:space="0" w:color="auto"/>
        <w:bottom w:val="none" w:sz="0" w:space="0" w:color="auto"/>
        <w:right w:val="none" w:sz="0" w:space="0" w:color="auto"/>
      </w:divBdr>
    </w:div>
    <w:div w:id="1102533683">
      <w:bodyDiv w:val="1"/>
      <w:marLeft w:val="0"/>
      <w:marRight w:val="0"/>
      <w:marTop w:val="0"/>
      <w:marBottom w:val="0"/>
      <w:divBdr>
        <w:top w:val="none" w:sz="0" w:space="0" w:color="auto"/>
        <w:left w:val="none" w:sz="0" w:space="0" w:color="auto"/>
        <w:bottom w:val="none" w:sz="0" w:space="0" w:color="auto"/>
        <w:right w:val="none" w:sz="0" w:space="0" w:color="auto"/>
      </w:divBdr>
      <w:divsChild>
        <w:div w:id="937952928">
          <w:marLeft w:val="0"/>
          <w:marRight w:val="0"/>
          <w:marTop w:val="0"/>
          <w:marBottom w:val="0"/>
          <w:divBdr>
            <w:top w:val="none" w:sz="0" w:space="0" w:color="auto"/>
            <w:left w:val="none" w:sz="0" w:space="0" w:color="auto"/>
            <w:bottom w:val="none" w:sz="0" w:space="0" w:color="auto"/>
            <w:right w:val="none" w:sz="0" w:space="0" w:color="auto"/>
          </w:divBdr>
          <w:divsChild>
            <w:div w:id="266161672">
              <w:marLeft w:val="0"/>
              <w:marRight w:val="0"/>
              <w:marTop w:val="0"/>
              <w:marBottom w:val="0"/>
              <w:divBdr>
                <w:top w:val="none" w:sz="0" w:space="0" w:color="auto"/>
                <w:left w:val="none" w:sz="0" w:space="0" w:color="auto"/>
                <w:bottom w:val="none" w:sz="0" w:space="0" w:color="auto"/>
                <w:right w:val="none" w:sz="0" w:space="0" w:color="auto"/>
              </w:divBdr>
              <w:divsChild>
                <w:div w:id="1082483636">
                  <w:marLeft w:val="0"/>
                  <w:marRight w:val="0"/>
                  <w:marTop w:val="0"/>
                  <w:marBottom w:val="0"/>
                  <w:divBdr>
                    <w:top w:val="none" w:sz="0" w:space="0" w:color="auto"/>
                    <w:left w:val="none" w:sz="0" w:space="0" w:color="auto"/>
                    <w:bottom w:val="none" w:sz="0" w:space="0" w:color="auto"/>
                    <w:right w:val="none" w:sz="0" w:space="0" w:color="auto"/>
                  </w:divBdr>
                  <w:divsChild>
                    <w:div w:id="1671371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4495200">
      <w:bodyDiv w:val="1"/>
      <w:marLeft w:val="0"/>
      <w:marRight w:val="0"/>
      <w:marTop w:val="0"/>
      <w:marBottom w:val="0"/>
      <w:divBdr>
        <w:top w:val="none" w:sz="0" w:space="0" w:color="auto"/>
        <w:left w:val="none" w:sz="0" w:space="0" w:color="auto"/>
        <w:bottom w:val="none" w:sz="0" w:space="0" w:color="auto"/>
        <w:right w:val="none" w:sz="0" w:space="0" w:color="auto"/>
      </w:divBdr>
    </w:div>
    <w:div w:id="1108046331">
      <w:bodyDiv w:val="1"/>
      <w:marLeft w:val="0"/>
      <w:marRight w:val="0"/>
      <w:marTop w:val="0"/>
      <w:marBottom w:val="0"/>
      <w:divBdr>
        <w:top w:val="none" w:sz="0" w:space="0" w:color="auto"/>
        <w:left w:val="none" w:sz="0" w:space="0" w:color="auto"/>
        <w:bottom w:val="none" w:sz="0" w:space="0" w:color="auto"/>
        <w:right w:val="none" w:sz="0" w:space="0" w:color="auto"/>
      </w:divBdr>
      <w:divsChild>
        <w:div w:id="1363172650">
          <w:marLeft w:val="0"/>
          <w:marRight w:val="0"/>
          <w:marTop w:val="0"/>
          <w:marBottom w:val="0"/>
          <w:divBdr>
            <w:top w:val="none" w:sz="0" w:space="0" w:color="auto"/>
            <w:left w:val="none" w:sz="0" w:space="0" w:color="auto"/>
            <w:bottom w:val="none" w:sz="0" w:space="0" w:color="auto"/>
            <w:right w:val="none" w:sz="0" w:space="0" w:color="auto"/>
          </w:divBdr>
          <w:divsChild>
            <w:div w:id="1155224784">
              <w:marLeft w:val="0"/>
              <w:marRight w:val="0"/>
              <w:marTop w:val="0"/>
              <w:marBottom w:val="0"/>
              <w:divBdr>
                <w:top w:val="none" w:sz="0" w:space="0" w:color="auto"/>
                <w:left w:val="none" w:sz="0" w:space="0" w:color="auto"/>
                <w:bottom w:val="none" w:sz="0" w:space="0" w:color="auto"/>
                <w:right w:val="none" w:sz="0" w:space="0" w:color="auto"/>
              </w:divBdr>
              <w:divsChild>
                <w:div w:id="1605845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5715178">
      <w:bodyDiv w:val="1"/>
      <w:marLeft w:val="0"/>
      <w:marRight w:val="0"/>
      <w:marTop w:val="0"/>
      <w:marBottom w:val="0"/>
      <w:divBdr>
        <w:top w:val="none" w:sz="0" w:space="0" w:color="auto"/>
        <w:left w:val="none" w:sz="0" w:space="0" w:color="auto"/>
        <w:bottom w:val="none" w:sz="0" w:space="0" w:color="auto"/>
        <w:right w:val="none" w:sz="0" w:space="0" w:color="auto"/>
      </w:divBdr>
    </w:div>
    <w:div w:id="1135179992">
      <w:bodyDiv w:val="1"/>
      <w:marLeft w:val="0"/>
      <w:marRight w:val="0"/>
      <w:marTop w:val="0"/>
      <w:marBottom w:val="0"/>
      <w:divBdr>
        <w:top w:val="none" w:sz="0" w:space="0" w:color="auto"/>
        <w:left w:val="none" w:sz="0" w:space="0" w:color="auto"/>
        <w:bottom w:val="none" w:sz="0" w:space="0" w:color="auto"/>
        <w:right w:val="none" w:sz="0" w:space="0" w:color="auto"/>
      </w:divBdr>
    </w:div>
    <w:div w:id="1150174265">
      <w:bodyDiv w:val="1"/>
      <w:marLeft w:val="0"/>
      <w:marRight w:val="0"/>
      <w:marTop w:val="0"/>
      <w:marBottom w:val="0"/>
      <w:divBdr>
        <w:top w:val="none" w:sz="0" w:space="0" w:color="auto"/>
        <w:left w:val="none" w:sz="0" w:space="0" w:color="auto"/>
        <w:bottom w:val="none" w:sz="0" w:space="0" w:color="auto"/>
        <w:right w:val="none" w:sz="0" w:space="0" w:color="auto"/>
      </w:divBdr>
    </w:div>
    <w:div w:id="1155221749">
      <w:bodyDiv w:val="1"/>
      <w:marLeft w:val="0"/>
      <w:marRight w:val="0"/>
      <w:marTop w:val="0"/>
      <w:marBottom w:val="0"/>
      <w:divBdr>
        <w:top w:val="none" w:sz="0" w:space="0" w:color="auto"/>
        <w:left w:val="none" w:sz="0" w:space="0" w:color="auto"/>
        <w:bottom w:val="none" w:sz="0" w:space="0" w:color="auto"/>
        <w:right w:val="none" w:sz="0" w:space="0" w:color="auto"/>
      </w:divBdr>
    </w:div>
    <w:div w:id="1169297104">
      <w:bodyDiv w:val="1"/>
      <w:marLeft w:val="0"/>
      <w:marRight w:val="0"/>
      <w:marTop w:val="0"/>
      <w:marBottom w:val="0"/>
      <w:divBdr>
        <w:top w:val="none" w:sz="0" w:space="0" w:color="auto"/>
        <w:left w:val="none" w:sz="0" w:space="0" w:color="auto"/>
        <w:bottom w:val="none" w:sz="0" w:space="0" w:color="auto"/>
        <w:right w:val="none" w:sz="0" w:space="0" w:color="auto"/>
      </w:divBdr>
      <w:divsChild>
        <w:div w:id="929966418">
          <w:marLeft w:val="0"/>
          <w:marRight w:val="0"/>
          <w:marTop w:val="0"/>
          <w:marBottom w:val="0"/>
          <w:divBdr>
            <w:top w:val="none" w:sz="0" w:space="0" w:color="auto"/>
            <w:left w:val="none" w:sz="0" w:space="0" w:color="auto"/>
            <w:bottom w:val="none" w:sz="0" w:space="0" w:color="auto"/>
            <w:right w:val="none" w:sz="0" w:space="0" w:color="auto"/>
          </w:divBdr>
          <w:divsChild>
            <w:div w:id="477848648">
              <w:marLeft w:val="0"/>
              <w:marRight w:val="0"/>
              <w:marTop w:val="0"/>
              <w:marBottom w:val="0"/>
              <w:divBdr>
                <w:top w:val="none" w:sz="0" w:space="0" w:color="auto"/>
                <w:left w:val="none" w:sz="0" w:space="0" w:color="auto"/>
                <w:bottom w:val="none" w:sz="0" w:space="0" w:color="auto"/>
                <w:right w:val="none" w:sz="0" w:space="0" w:color="auto"/>
              </w:divBdr>
              <w:divsChild>
                <w:div w:id="111706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902100">
      <w:bodyDiv w:val="1"/>
      <w:marLeft w:val="0"/>
      <w:marRight w:val="0"/>
      <w:marTop w:val="0"/>
      <w:marBottom w:val="0"/>
      <w:divBdr>
        <w:top w:val="none" w:sz="0" w:space="0" w:color="auto"/>
        <w:left w:val="none" w:sz="0" w:space="0" w:color="auto"/>
        <w:bottom w:val="none" w:sz="0" w:space="0" w:color="auto"/>
        <w:right w:val="none" w:sz="0" w:space="0" w:color="auto"/>
      </w:divBdr>
    </w:div>
    <w:div w:id="1172912102">
      <w:bodyDiv w:val="1"/>
      <w:marLeft w:val="0"/>
      <w:marRight w:val="0"/>
      <w:marTop w:val="0"/>
      <w:marBottom w:val="0"/>
      <w:divBdr>
        <w:top w:val="none" w:sz="0" w:space="0" w:color="auto"/>
        <w:left w:val="none" w:sz="0" w:space="0" w:color="auto"/>
        <w:bottom w:val="none" w:sz="0" w:space="0" w:color="auto"/>
        <w:right w:val="none" w:sz="0" w:space="0" w:color="auto"/>
      </w:divBdr>
    </w:div>
    <w:div w:id="1180585647">
      <w:bodyDiv w:val="1"/>
      <w:marLeft w:val="0"/>
      <w:marRight w:val="0"/>
      <w:marTop w:val="0"/>
      <w:marBottom w:val="0"/>
      <w:divBdr>
        <w:top w:val="none" w:sz="0" w:space="0" w:color="auto"/>
        <w:left w:val="none" w:sz="0" w:space="0" w:color="auto"/>
        <w:bottom w:val="none" w:sz="0" w:space="0" w:color="auto"/>
        <w:right w:val="none" w:sz="0" w:space="0" w:color="auto"/>
      </w:divBdr>
    </w:div>
    <w:div w:id="1191649574">
      <w:bodyDiv w:val="1"/>
      <w:marLeft w:val="0"/>
      <w:marRight w:val="0"/>
      <w:marTop w:val="0"/>
      <w:marBottom w:val="0"/>
      <w:divBdr>
        <w:top w:val="none" w:sz="0" w:space="0" w:color="auto"/>
        <w:left w:val="none" w:sz="0" w:space="0" w:color="auto"/>
        <w:bottom w:val="none" w:sz="0" w:space="0" w:color="auto"/>
        <w:right w:val="none" w:sz="0" w:space="0" w:color="auto"/>
      </w:divBdr>
    </w:div>
    <w:div w:id="1197700471">
      <w:bodyDiv w:val="1"/>
      <w:marLeft w:val="0"/>
      <w:marRight w:val="0"/>
      <w:marTop w:val="0"/>
      <w:marBottom w:val="0"/>
      <w:divBdr>
        <w:top w:val="none" w:sz="0" w:space="0" w:color="auto"/>
        <w:left w:val="none" w:sz="0" w:space="0" w:color="auto"/>
        <w:bottom w:val="none" w:sz="0" w:space="0" w:color="auto"/>
        <w:right w:val="none" w:sz="0" w:space="0" w:color="auto"/>
      </w:divBdr>
    </w:div>
    <w:div w:id="1202355599">
      <w:bodyDiv w:val="1"/>
      <w:marLeft w:val="0"/>
      <w:marRight w:val="0"/>
      <w:marTop w:val="0"/>
      <w:marBottom w:val="0"/>
      <w:divBdr>
        <w:top w:val="none" w:sz="0" w:space="0" w:color="auto"/>
        <w:left w:val="none" w:sz="0" w:space="0" w:color="auto"/>
        <w:bottom w:val="none" w:sz="0" w:space="0" w:color="auto"/>
        <w:right w:val="none" w:sz="0" w:space="0" w:color="auto"/>
      </w:divBdr>
      <w:divsChild>
        <w:div w:id="994988833">
          <w:marLeft w:val="0"/>
          <w:marRight w:val="0"/>
          <w:marTop w:val="0"/>
          <w:marBottom w:val="0"/>
          <w:divBdr>
            <w:top w:val="none" w:sz="0" w:space="0" w:color="auto"/>
            <w:left w:val="none" w:sz="0" w:space="0" w:color="auto"/>
            <w:bottom w:val="none" w:sz="0" w:space="0" w:color="auto"/>
            <w:right w:val="none" w:sz="0" w:space="0" w:color="auto"/>
          </w:divBdr>
          <w:divsChild>
            <w:div w:id="167017869">
              <w:marLeft w:val="0"/>
              <w:marRight w:val="0"/>
              <w:marTop w:val="0"/>
              <w:marBottom w:val="0"/>
              <w:divBdr>
                <w:top w:val="none" w:sz="0" w:space="0" w:color="auto"/>
                <w:left w:val="none" w:sz="0" w:space="0" w:color="auto"/>
                <w:bottom w:val="none" w:sz="0" w:space="0" w:color="auto"/>
                <w:right w:val="none" w:sz="0" w:space="0" w:color="auto"/>
              </w:divBdr>
              <w:divsChild>
                <w:div w:id="1901361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2572790">
      <w:bodyDiv w:val="1"/>
      <w:marLeft w:val="0"/>
      <w:marRight w:val="0"/>
      <w:marTop w:val="0"/>
      <w:marBottom w:val="0"/>
      <w:divBdr>
        <w:top w:val="none" w:sz="0" w:space="0" w:color="auto"/>
        <w:left w:val="none" w:sz="0" w:space="0" w:color="auto"/>
        <w:bottom w:val="none" w:sz="0" w:space="0" w:color="auto"/>
        <w:right w:val="none" w:sz="0" w:space="0" w:color="auto"/>
      </w:divBdr>
    </w:div>
    <w:div w:id="1213425965">
      <w:bodyDiv w:val="1"/>
      <w:marLeft w:val="0"/>
      <w:marRight w:val="0"/>
      <w:marTop w:val="0"/>
      <w:marBottom w:val="0"/>
      <w:divBdr>
        <w:top w:val="none" w:sz="0" w:space="0" w:color="auto"/>
        <w:left w:val="none" w:sz="0" w:space="0" w:color="auto"/>
        <w:bottom w:val="none" w:sz="0" w:space="0" w:color="auto"/>
        <w:right w:val="none" w:sz="0" w:space="0" w:color="auto"/>
      </w:divBdr>
      <w:divsChild>
        <w:div w:id="1898123514">
          <w:marLeft w:val="0"/>
          <w:marRight w:val="0"/>
          <w:marTop w:val="0"/>
          <w:marBottom w:val="0"/>
          <w:divBdr>
            <w:top w:val="none" w:sz="0" w:space="0" w:color="auto"/>
            <w:left w:val="none" w:sz="0" w:space="0" w:color="auto"/>
            <w:bottom w:val="none" w:sz="0" w:space="0" w:color="auto"/>
            <w:right w:val="none" w:sz="0" w:space="0" w:color="auto"/>
          </w:divBdr>
          <w:divsChild>
            <w:div w:id="577178891">
              <w:marLeft w:val="0"/>
              <w:marRight w:val="0"/>
              <w:marTop w:val="0"/>
              <w:marBottom w:val="0"/>
              <w:divBdr>
                <w:top w:val="none" w:sz="0" w:space="0" w:color="auto"/>
                <w:left w:val="none" w:sz="0" w:space="0" w:color="auto"/>
                <w:bottom w:val="none" w:sz="0" w:space="0" w:color="auto"/>
                <w:right w:val="none" w:sz="0" w:space="0" w:color="auto"/>
              </w:divBdr>
              <w:divsChild>
                <w:div w:id="1346323552">
                  <w:marLeft w:val="0"/>
                  <w:marRight w:val="0"/>
                  <w:marTop w:val="0"/>
                  <w:marBottom w:val="0"/>
                  <w:divBdr>
                    <w:top w:val="none" w:sz="0" w:space="0" w:color="auto"/>
                    <w:left w:val="none" w:sz="0" w:space="0" w:color="auto"/>
                    <w:bottom w:val="none" w:sz="0" w:space="0" w:color="auto"/>
                    <w:right w:val="none" w:sz="0" w:space="0" w:color="auto"/>
                  </w:divBdr>
                  <w:divsChild>
                    <w:div w:id="536163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7623671">
      <w:bodyDiv w:val="1"/>
      <w:marLeft w:val="0"/>
      <w:marRight w:val="0"/>
      <w:marTop w:val="0"/>
      <w:marBottom w:val="0"/>
      <w:divBdr>
        <w:top w:val="none" w:sz="0" w:space="0" w:color="auto"/>
        <w:left w:val="none" w:sz="0" w:space="0" w:color="auto"/>
        <w:bottom w:val="none" w:sz="0" w:space="0" w:color="auto"/>
        <w:right w:val="none" w:sz="0" w:space="0" w:color="auto"/>
      </w:divBdr>
    </w:div>
    <w:div w:id="1227375474">
      <w:bodyDiv w:val="1"/>
      <w:marLeft w:val="0"/>
      <w:marRight w:val="0"/>
      <w:marTop w:val="0"/>
      <w:marBottom w:val="0"/>
      <w:divBdr>
        <w:top w:val="none" w:sz="0" w:space="0" w:color="auto"/>
        <w:left w:val="none" w:sz="0" w:space="0" w:color="auto"/>
        <w:bottom w:val="none" w:sz="0" w:space="0" w:color="auto"/>
        <w:right w:val="none" w:sz="0" w:space="0" w:color="auto"/>
      </w:divBdr>
    </w:div>
    <w:div w:id="1229728175">
      <w:bodyDiv w:val="1"/>
      <w:marLeft w:val="0"/>
      <w:marRight w:val="0"/>
      <w:marTop w:val="0"/>
      <w:marBottom w:val="0"/>
      <w:divBdr>
        <w:top w:val="none" w:sz="0" w:space="0" w:color="auto"/>
        <w:left w:val="none" w:sz="0" w:space="0" w:color="auto"/>
        <w:bottom w:val="none" w:sz="0" w:space="0" w:color="auto"/>
        <w:right w:val="none" w:sz="0" w:space="0" w:color="auto"/>
      </w:divBdr>
    </w:div>
    <w:div w:id="1242636953">
      <w:bodyDiv w:val="1"/>
      <w:marLeft w:val="0"/>
      <w:marRight w:val="0"/>
      <w:marTop w:val="0"/>
      <w:marBottom w:val="0"/>
      <w:divBdr>
        <w:top w:val="none" w:sz="0" w:space="0" w:color="auto"/>
        <w:left w:val="none" w:sz="0" w:space="0" w:color="auto"/>
        <w:bottom w:val="none" w:sz="0" w:space="0" w:color="auto"/>
        <w:right w:val="none" w:sz="0" w:space="0" w:color="auto"/>
      </w:divBdr>
      <w:divsChild>
        <w:div w:id="234901692">
          <w:marLeft w:val="0"/>
          <w:marRight w:val="0"/>
          <w:marTop w:val="0"/>
          <w:marBottom w:val="0"/>
          <w:divBdr>
            <w:top w:val="none" w:sz="0" w:space="0" w:color="auto"/>
            <w:left w:val="none" w:sz="0" w:space="0" w:color="auto"/>
            <w:bottom w:val="none" w:sz="0" w:space="0" w:color="auto"/>
            <w:right w:val="none" w:sz="0" w:space="0" w:color="auto"/>
          </w:divBdr>
        </w:div>
        <w:div w:id="1917812396">
          <w:marLeft w:val="0"/>
          <w:marRight w:val="0"/>
          <w:marTop w:val="0"/>
          <w:marBottom w:val="0"/>
          <w:divBdr>
            <w:top w:val="none" w:sz="0" w:space="0" w:color="auto"/>
            <w:left w:val="none" w:sz="0" w:space="0" w:color="auto"/>
            <w:bottom w:val="none" w:sz="0" w:space="0" w:color="auto"/>
            <w:right w:val="none" w:sz="0" w:space="0" w:color="auto"/>
          </w:divBdr>
          <w:divsChild>
            <w:div w:id="1774520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6646857">
      <w:bodyDiv w:val="1"/>
      <w:marLeft w:val="0"/>
      <w:marRight w:val="0"/>
      <w:marTop w:val="0"/>
      <w:marBottom w:val="0"/>
      <w:divBdr>
        <w:top w:val="none" w:sz="0" w:space="0" w:color="auto"/>
        <w:left w:val="none" w:sz="0" w:space="0" w:color="auto"/>
        <w:bottom w:val="none" w:sz="0" w:space="0" w:color="auto"/>
        <w:right w:val="none" w:sz="0" w:space="0" w:color="auto"/>
      </w:divBdr>
    </w:div>
    <w:div w:id="1267736845">
      <w:bodyDiv w:val="1"/>
      <w:marLeft w:val="0"/>
      <w:marRight w:val="0"/>
      <w:marTop w:val="0"/>
      <w:marBottom w:val="0"/>
      <w:divBdr>
        <w:top w:val="none" w:sz="0" w:space="0" w:color="auto"/>
        <w:left w:val="none" w:sz="0" w:space="0" w:color="auto"/>
        <w:bottom w:val="none" w:sz="0" w:space="0" w:color="auto"/>
        <w:right w:val="none" w:sz="0" w:space="0" w:color="auto"/>
      </w:divBdr>
      <w:divsChild>
        <w:div w:id="1452167976">
          <w:marLeft w:val="0"/>
          <w:marRight w:val="0"/>
          <w:marTop w:val="0"/>
          <w:marBottom w:val="0"/>
          <w:divBdr>
            <w:top w:val="none" w:sz="0" w:space="0" w:color="auto"/>
            <w:left w:val="none" w:sz="0" w:space="0" w:color="auto"/>
            <w:bottom w:val="none" w:sz="0" w:space="0" w:color="auto"/>
            <w:right w:val="none" w:sz="0" w:space="0" w:color="auto"/>
          </w:divBdr>
          <w:divsChild>
            <w:div w:id="2031253661">
              <w:marLeft w:val="0"/>
              <w:marRight w:val="0"/>
              <w:marTop w:val="0"/>
              <w:marBottom w:val="0"/>
              <w:divBdr>
                <w:top w:val="none" w:sz="0" w:space="0" w:color="auto"/>
                <w:left w:val="none" w:sz="0" w:space="0" w:color="auto"/>
                <w:bottom w:val="none" w:sz="0" w:space="0" w:color="auto"/>
                <w:right w:val="none" w:sz="0" w:space="0" w:color="auto"/>
              </w:divBdr>
              <w:divsChild>
                <w:div w:id="1322352162">
                  <w:marLeft w:val="0"/>
                  <w:marRight w:val="0"/>
                  <w:marTop w:val="0"/>
                  <w:marBottom w:val="0"/>
                  <w:divBdr>
                    <w:top w:val="none" w:sz="0" w:space="0" w:color="auto"/>
                    <w:left w:val="none" w:sz="0" w:space="0" w:color="auto"/>
                    <w:bottom w:val="none" w:sz="0" w:space="0" w:color="auto"/>
                    <w:right w:val="none" w:sz="0" w:space="0" w:color="auto"/>
                  </w:divBdr>
                  <w:divsChild>
                    <w:div w:id="1548450850">
                      <w:marLeft w:val="0"/>
                      <w:marRight w:val="0"/>
                      <w:marTop w:val="0"/>
                      <w:marBottom w:val="0"/>
                      <w:divBdr>
                        <w:top w:val="none" w:sz="0" w:space="0" w:color="auto"/>
                        <w:left w:val="none" w:sz="0" w:space="0" w:color="auto"/>
                        <w:bottom w:val="none" w:sz="0" w:space="0" w:color="auto"/>
                        <w:right w:val="none" w:sz="0" w:space="0" w:color="auto"/>
                      </w:divBdr>
                    </w:div>
                  </w:divsChild>
                </w:div>
                <w:div w:id="972716266">
                  <w:marLeft w:val="0"/>
                  <w:marRight w:val="0"/>
                  <w:marTop w:val="0"/>
                  <w:marBottom w:val="0"/>
                  <w:divBdr>
                    <w:top w:val="none" w:sz="0" w:space="0" w:color="auto"/>
                    <w:left w:val="none" w:sz="0" w:space="0" w:color="auto"/>
                    <w:bottom w:val="none" w:sz="0" w:space="0" w:color="auto"/>
                    <w:right w:val="none" w:sz="0" w:space="0" w:color="auto"/>
                  </w:divBdr>
                  <w:divsChild>
                    <w:div w:id="403794229">
                      <w:marLeft w:val="0"/>
                      <w:marRight w:val="0"/>
                      <w:marTop w:val="0"/>
                      <w:marBottom w:val="0"/>
                      <w:divBdr>
                        <w:top w:val="none" w:sz="0" w:space="0" w:color="auto"/>
                        <w:left w:val="none" w:sz="0" w:space="0" w:color="auto"/>
                        <w:bottom w:val="none" w:sz="0" w:space="0" w:color="auto"/>
                        <w:right w:val="none" w:sz="0" w:space="0" w:color="auto"/>
                      </w:divBdr>
                    </w:div>
                  </w:divsChild>
                </w:div>
                <w:div w:id="653948564">
                  <w:marLeft w:val="0"/>
                  <w:marRight w:val="0"/>
                  <w:marTop w:val="0"/>
                  <w:marBottom w:val="0"/>
                  <w:divBdr>
                    <w:top w:val="none" w:sz="0" w:space="0" w:color="auto"/>
                    <w:left w:val="none" w:sz="0" w:space="0" w:color="auto"/>
                    <w:bottom w:val="none" w:sz="0" w:space="0" w:color="auto"/>
                    <w:right w:val="none" w:sz="0" w:space="0" w:color="auto"/>
                  </w:divBdr>
                  <w:divsChild>
                    <w:div w:id="1319920641">
                      <w:marLeft w:val="0"/>
                      <w:marRight w:val="0"/>
                      <w:marTop w:val="0"/>
                      <w:marBottom w:val="0"/>
                      <w:divBdr>
                        <w:top w:val="none" w:sz="0" w:space="0" w:color="auto"/>
                        <w:left w:val="none" w:sz="0" w:space="0" w:color="auto"/>
                        <w:bottom w:val="none" w:sz="0" w:space="0" w:color="auto"/>
                        <w:right w:val="none" w:sz="0" w:space="0" w:color="auto"/>
                      </w:divBdr>
                    </w:div>
                  </w:divsChild>
                </w:div>
                <w:div w:id="150560135">
                  <w:marLeft w:val="0"/>
                  <w:marRight w:val="0"/>
                  <w:marTop w:val="0"/>
                  <w:marBottom w:val="0"/>
                  <w:divBdr>
                    <w:top w:val="none" w:sz="0" w:space="0" w:color="auto"/>
                    <w:left w:val="none" w:sz="0" w:space="0" w:color="auto"/>
                    <w:bottom w:val="none" w:sz="0" w:space="0" w:color="auto"/>
                    <w:right w:val="none" w:sz="0" w:space="0" w:color="auto"/>
                  </w:divBdr>
                  <w:divsChild>
                    <w:div w:id="1063941499">
                      <w:marLeft w:val="0"/>
                      <w:marRight w:val="0"/>
                      <w:marTop w:val="0"/>
                      <w:marBottom w:val="0"/>
                      <w:divBdr>
                        <w:top w:val="none" w:sz="0" w:space="0" w:color="auto"/>
                        <w:left w:val="none" w:sz="0" w:space="0" w:color="auto"/>
                        <w:bottom w:val="none" w:sz="0" w:space="0" w:color="auto"/>
                        <w:right w:val="none" w:sz="0" w:space="0" w:color="auto"/>
                      </w:divBdr>
                    </w:div>
                  </w:divsChild>
                </w:div>
                <w:div w:id="1060667264">
                  <w:marLeft w:val="0"/>
                  <w:marRight w:val="0"/>
                  <w:marTop w:val="0"/>
                  <w:marBottom w:val="0"/>
                  <w:divBdr>
                    <w:top w:val="none" w:sz="0" w:space="0" w:color="auto"/>
                    <w:left w:val="none" w:sz="0" w:space="0" w:color="auto"/>
                    <w:bottom w:val="none" w:sz="0" w:space="0" w:color="auto"/>
                    <w:right w:val="none" w:sz="0" w:space="0" w:color="auto"/>
                  </w:divBdr>
                  <w:divsChild>
                    <w:div w:id="1510219111">
                      <w:marLeft w:val="0"/>
                      <w:marRight w:val="0"/>
                      <w:marTop w:val="0"/>
                      <w:marBottom w:val="0"/>
                      <w:divBdr>
                        <w:top w:val="none" w:sz="0" w:space="0" w:color="auto"/>
                        <w:left w:val="none" w:sz="0" w:space="0" w:color="auto"/>
                        <w:bottom w:val="none" w:sz="0" w:space="0" w:color="auto"/>
                        <w:right w:val="none" w:sz="0" w:space="0" w:color="auto"/>
                      </w:divBdr>
                      <w:divsChild>
                        <w:div w:id="657804586">
                          <w:marLeft w:val="0"/>
                          <w:marRight w:val="0"/>
                          <w:marTop w:val="0"/>
                          <w:marBottom w:val="0"/>
                          <w:divBdr>
                            <w:top w:val="none" w:sz="0" w:space="0" w:color="auto"/>
                            <w:left w:val="none" w:sz="0" w:space="0" w:color="auto"/>
                            <w:bottom w:val="none" w:sz="0" w:space="0" w:color="auto"/>
                            <w:right w:val="none" w:sz="0" w:space="0" w:color="auto"/>
                          </w:divBdr>
                        </w:div>
                      </w:divsChild>
                    </w:div>
                    <w:div w:id="374543059">
                      <w:marLeft w:val="0"/>
                      <w:marRight w:val="0"/>
                      <w:marTop w:val="0"/>
                      <w:marBottom w:val="0"/>
                      <w:divBdr>
                        <w:top w:val="none" w:sz="0" w:space="0" w:color="auto"/>
                        <w:left w:val="none" w:sz="0" w:space="0" w:color="auto"/>
                        <w:bottom w:val="none" w:sz="0" w:space="0" w:color="auto"/>
                        <w:right w:val="none" w:sz="0" w:space="0" w:color="auto"/>
                      </w:divBdr>
                      <w:divsChild>
                        <w:div w:id="160320244">
                          <w:marLeft w:val="0"/>
                          <w:marRight w:val="0"/>
                          <w:marTop w:val="0"/>
                          <w:marBottom w:val="0"/>
                          <w:divBdr>
                            <w:top w:val="none" w:sz="0" w:space="0" w:color="auto"/>
                            <w:left w:val="none" w:sz="0" w:space="0" w:color="auto"/>
                            <w:bottom w:val="none" w:sz="0" w:space="0" w:color="auto"/>
                            <w:right w:val="none" w:sz="0" w:space="0" w:color="auto"/>
                          </w:divBdr>
                        </w:div>
                      </w:divsChild>
                    </w:div>
                    <w:div w:id="351343690">
                      <w:marLeft w:val="0"/>
                      <w:marRight w:val="0"/>
                      <w:marTop w:val="0"/>
                      <w:marBottom w:val="0"/>
                      <w:divBdr>
                        <w:top w:val="none" w:sz="0" w:space="0" w:color="auto"/>
                        <w:left w:val="none" w:sz="0" w:space="0" w:color="auto"/>
                        <w:bottom w:val="none" w:sz="0" w:space="0" w:color="auto"/>
                        <w:right w:val="none" w:sz="0" w:space="0" w:color="auto"/>
                      </w:divBdr>
                      <w:divsChild>
                        <w:div w:id="1203666416">
                          <w:marLeft w:val="0"/>
                          <w:marRight w:val="0"/>
                          <w:marTop w:val="0"/>
                          <w:marBottom w:val="0"/>
                          <w:divBdr>
                            <w:top w:val="none" w:sz="0" w:space="0" w:color="auto"/>
                            <w:left w:val="none" w:sz="0" w:space="0" w:color="auto"/>
                            <w:bottom w:val="none" w:sz="0" w:space="0" w:color="auto"/>
                            <w:right w:val="none" w:sz="0" w:space="0" w:color="auto"/>
                          </w:divBdr>
                        </w:div>
                      </w:divsChild>
                    </w:div>
                    <w:div w:id="312952423">
                      <w:marLeft w:val="0"/>
                      <w:marRight w:val="0"/>
                      <w:marTop w:val="0"/>
                      <w:marBottom w:val="0"/>
                      <w:divBdr>
                        <w:top w:val="none" w:sz="0" w:space="0" w:color="auto"/>
                        <w:left w:val="none" w:sz="0" w:space="0" w:color="auto"/>
                        <w:bottom w:val="none" w:sz="0" w:space="0" w:color="auto"/>
                        <w:right w:val="none" w:sz="0" w:space="0" w:color="auto"/>
                      </w:divBdr>
                      <w:divsChild>
                        <w:div w:id="1575046170">
                          <w:marLeft w:val="0"/>
                          <w:marRight w:val="0"/>
                          <w:marTop w:val="0"/>
                          <w:marBottom w:val="0"/>
                          <w:divBdr>
                            <w:top w:val="none" w:sz="0" w:space="0" w:color="auto"/>
                            <w:left w:val="none" w:sz="0" w:space="0" w:color="auto"/>
                            <w:bottom w:val="none" w:sz="0" w:space="0" w:color="auto"/>
                            <w:right w:val="none" w:sz="0" w:space="0" w:color="auto"/>
                          </w:divBdr>
                        </w:div>
                      </w:divsChild>
                    </w:div>
                    <w:div w:id="1598558344">
                      <w:marLeft w:val="0"/>
                      <w:marRight w:val="0"/>
                      <w:marTop w:val="0"/>
                      <w:marBottom w:val="0"/>
                      <w:divBdr>
                        <w:top w:val="none" w:sz="0" w:space="0" w:color="auto"/>
                        <w:left w:val="none" w:sz="0" w:space="0" w:color="auto"/>
                        <w:bottom w:val="none" w:sz="0" w:space="0" w:color="auto"/>
                        <w:right w:val="none" w:sz="0" w:space="0" w:color="auto"/>
                      </w:divBdr>
                      <w:divsChild>
                        <w:div w:id="63839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4241602">
      <w:bodyDiv w:val="1"/>
      <w:marLeft w:val="0"/>
      <w:marRight w:val="0"/>
      <w:marTop w:val="0"/>
      <w:marBottom w:val="0"/>
      <w:divBdr>
        <w:top w:val="none" w:sz="0" w:space="0" w:color="auto"/>
        <w:left w:val="none" w:sz="0" w:space="0" w:color="auto"/>
        <w:bottom w:val="none" w:sz="0" w:space="0" w:color="auto"/>
        <w:right w:val="none" w:sz="0" w:space="0" w:color="auto"/>
      </w:divBdr>
      <w:divsChild>
        <w:div w:id="1004476359">
          <w:marLeft w:val="0"/>
          <w:marRight w:val="0"/>
          <w:marTop w:val="0"/>
          <w:marBottom w:val="0"/>
          <w:divBdr>
            <w:top w:val="none" w:sz="0" w:space="0" w:color="auto"/>
            <w:left w:val="none" w:sz="0" w:space="0" w:color="auto"/>
            <w:bottom w:val="none" w:sz="0" w:space="0" w:color="auto"/>
            <w:right w:val="none" w:sz="0" w:space="0" w:color="auto"/>
          </w:divBdr>
          <w:divsChild>
            <w:div w:id="1039665925">
              <w:marLeft w:val="0"/>
              <w:marRight w:val="0"/>
              <w:marTop w:val="0"/>
              <w:marBottom w:val="0"/>
              <w:divBdr>
                <w:top w:val="none" w:sz="0" w:space="0" w:color="auto"/>
                <w:left w:val="none" w:sz="0" w:space="0" w:color="auto"/>
                <w:bottom w:val="none" w:sz="0" w:space="0" w:color="auto"/>
                <w:right w:val="none" w:sz="0" w:space="0" w:color="auto"/>
              </w:divBdr>
              <w:divsChild>
                <w:div w:id="1104957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2954539">
      <w:bodyDiv w:val="1"/>
      <w:marLeft w:val="0"/>
      <w:marRight w:val="0"/>
      <w:marTop w:val="0"/>
      <w:marBottom w:val="0"/>
      <w:divBdr>
        <w:top w:val="none" w:sz="0" w:space="0" w:color="auto"/>
        <w:left w:val="none" w:sz="0" w:space="0" w:color="auto"/>
        <w:bottom w:val="none" w:sz="0" w:space="0" w:color="auto"/>
        <w:right w:val="none" w:sz="0" w:space="0" w:color="auto"/>
      </w:divBdr>
    </w:div>
    <w:div w:id="1284074161">
      <w:bodyDiv w:val="1"/>
      <w:marLeft w:val="0"/>
      <w:marRight w:val="0"/>
      <w:marTop w:val="0"/>
      <w:marBottom w:val="0"/>
      <w:divBdr>
        <w:top w:val="none" w:sz="0" w:space="0" w:color="auto"/>
        <w:left w:val="none" w:sz="0" w:space="0" w:color="auto"/>
        <w:bottom w:val="none" w:sz="0" w:space="0" w:color="auto"/>
        <w:right w:val="none" w:sz="0" w:space="0" w:color="auto"/>
      </w:divBdr>
    </w:div>
    <w:div w:id="1287808495">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294484622">
      <w:bodyDiv w:val="1"/>
      <w:marLeft w:val="0"/>
      <w:marRight w:val="0"/>
      <w:marTop w:val="0"/>
      <w:marBottom w:val="0"/>
      <w:divBdr>
        <w:top w:val="none" w:sz="0" w:space="0" w:color="auto"/>
        <w:left w:val="none" w:sz="0" w:space="0" w:color="auto"/>
        <w:bottom w:val="none" w:sz="0" w:space="0" w:color="auto"/>
        <w:right w:val="none" w:sz="0" w:space="0" w:color="auto"/>
      </w:divBdr>
    </w:div>
    <w:div w:id="1298490824">
      <w:bodyDiv w:val="1"/>
      <w:marLeft w:val="0"/>
      <w:marRight w:val="0"/>
      <w:marTop w:val="0"/>
      <w:marBottom w:val="0"/>
      <w:divBdr>
        <w:top w:val="none" w:sz="0" w:space="0" w:color="auto"/>
        <w:left w:val="none" w:sz="0" w:space="0" w:color="auto"/>
        <w:bottom w:val="none" w:sz="0" w:space="0" w:color="auto"/>
        <w:right w:val="none" w:sz="0" w:space="0" w:color="auto"/>
      </w:divBdr>
    </w:div>
    <w:div w:id="1303191416">
      <w:bodyDiv w:val="1"/>
      <w:marLeft w:val="0"/>
      <w:marRight w:val="0"/>
      <w:marTop w:val="0"/>
      <w:marBottom w:val="0"/>
      <w:divBdr>
        <w:top w:val="none" w:sz="0" w:space="0" w:color="auto"/>
        <w:left w:val="none" w:sz="0" w:space="0" w:color="auto"/>
        <w:bottom w:val="none" w:sz="0" w:space="0" w:color="auto"/>
        <w:right w:val="none" w:sz="0" w:space="0" w:color="auto"/>
      </w:divBdr>
      <w:divsChild>
        <w:div w:id="1287545821">
          <w:marLeft w:val="0"/>
          <w:marRight w:val="0"/>
          <w:marTop w:val="0"/>
          <w:marBottom w:val="0"/>
          <w:divBdr>
            <w:top w:val="none" w:sz="0" w:space="0" w:color="auto"/>
            <w:left w:val="none" w:sz="0" w:space="0" w:color="auto"/>
            <w:bottom w:val="none" w:sz="0" w:space="0" w:color="auto"/>
            <w:right w:val="none" w:sz="0" w:space="0" w:color="auto"/>
          </w:divBdr>
          <w:divsChild>
            <w:div w:id="669679267">
              <w:marLeft w:val="0"/>
              <w:marRight w:val="0"/>
              <w:marTop w:val="0"/>
              <w:marBottom w:val="0"/>
              <w:divBdr>
                <w:top w:val="none" w:sz="0" w:space="0" w:color="auto"/>
                <w:left w:val="none" w:sz="0" w:space="0" w:color="auto"/>
                <w:bottom w:val="none" w:sz="0" w:space="0" w:color="auto"/>
                <w:right w:val="none" w:sz="0" w:space="0" w:color="auto"/>
              </w:divBdr>
            </w:div>
            <w:div w:id="1552231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197030">
      <w:bodyDiv w:val="1"/>
      <w:marLeft w:val="0"/>
      <w:marRight w:val="0"/>
      <w:marTop w:val="0"/>
      <w:marBottom w:val="0"/>
      <w:divBdr>
        <w:top w:val="none" w:sz="0" w:space="0" w:color="auto"/>
        <w:left w:val="none" w:sz="0" w:space="0" w:color="auto"/>
        <w:bottom w:val="none" w:sz="0" w:space="0" w:color="auto"/>
        <w:right w:val="none" w:sz="0" w:space="0" w:color="auto"/>
      </w:divBdr>
    </w:div>
    <w:div w:id="1309088797">
      <w:bodyDiv w:val="1"/>
      <w:marLeft w:val="0"/>
      <w:marRight w:val="0"/>
      <w:marTop w:val="0"/>
      <w:marBottom w:val="0"/>
      <w:divBdr>
        <w:top w:val="none" w:sz="0" w:space="0" w:color="auto"/>
        <w:left w:val="none" w:sz="0" w:space="0" w:color="auto"/>
        <w:bottom w:val="none" w:sz="0" w:space="0" w:color="auto"/>
        <w:right w:val="none" w:sz="0" w:space="0" w:color="auto"/>
      </w:divBdr>
    </w:div>
    <w:div w:id="1312295347">
      <w:bodyDiv w:val="1"/>
      <w:marLeft w:val="0"/>
      <w:marRight w:val="0"/>
      <w:marTop w:val="0"/>
      <w:marBottom w:val="0"/>
      <w:divBdr>
        <w:top w:val="none" w:sz="0" w:space="0" w:color="auto"/>
        <w:left w:val="none" w:sz="0" w:space="0" w:color="auto"/>
        <w:bottom w:val="none" w:sz="0" w:space="0" w:color="auto"/>
        <w:right w:val="none" w:sz="0" w:space="0" w:color="auto"/>
      </w:divBdr>
    </w:div>
    <w:div w:id="1314288308">
      <w:bodyDiv w:val="1"/>
      <w:marLeft w:val="0"/>
      <w:marRight w:val="0"/>
      <w:marTop w:val="0"/>
      <w:marBottom w:val="0"/>
      <w:divBdr>
        <w:top w:val="none" w:sz="0" w:space="0" w:color="auto"/>
        <w:left w:val="none" w:sz="0" w:space="0" w:color="auto"/>
        <w:bottom w:val="none" w:sz="0" w:space="0" w:color="auto"/>
        <w:right w:val="none" w:sz="0" w:space="0" w:color="auto"/>
      </w:divBdr>
    </w:div>
    <w:div w:id="1318338374">
      <w:bodyDiv w:val="1"/>
      <w:marLeft w:val="0"/>
      <w:marRight w:val="0"/>
      <w:marTop w:val="0"/>
      <w:marBottom w:val="0"/>
      <w:divBdr>
        <w:top w:val="none" w:sz="0" w:space="0" w:color="auto"/>
        <w:left w:val="none" w:sz="0" w:space="0" w:color="auto"/>
        <w:bottom w:val="none" w:sz="0" w:space="0" w:color="auto"/>
        <w:right w:val="none" w:sz="0" w:space="0" w:color="auto"/>
      </w:divBdr>
    </w:div>
    <w:div w:id="1320426134">
      <w:bodyDiv w:val="1"/>
      <w:marLeft w:val="0"/>
      <w:marRight w:val="0"/>
      <w:marTop w:val="0"/>
      <w:marBottom w:val="0"/>
      <w:divBdr>
        <w:top w:val="none" w:sz="0" w:space="0" w:color="auto"/>
        <w:left w:val="none" w:sz="0" w:space="0" w:color="auto"/>
        <w:bottom w:val="none" w:sz="0" w:space="0" w:color="auto"/>
        <w:right w:val="none" w:sz="0" w:space="0" w:color="auto"/>
      </w:divBdr>
    </w:div>
    <w:div w:id="1327973237">
      <w:bodyDiv w:val="1"/>
      <w:marLeft w:val="0"/>
      <w:marRight w:val="0"/>
      <w:marTop w:val="0"/>
      <w:marBottom w:val="0"/>
      <w:divBdr>
        <w:top w:val="none" w:sz="0" w:space="0" w:color="auto"/>
        <w:left w:val="none" w:sz="0" w:space="0" w:color="auto"/>
        <w:bottom w:val="none" w:sz="0" w:space="0" w:color="auto"/>
        <w:right w:val="none" w:sz="0" w:space="0" w:color="auto"/>
      </w:divBdr>
    </w:div>
    <w:div w:id="1329864676">
      <w:bodyDiv w:val="1"/>
      <w:marLeft w:val="0"/>
      <w:marRight w:val="0"/>
      <w:marTop w:val="0"/>
      <w:marBottom w:val="0"/>
      <w:divBdr>
        <w:top w:val="none" w:sz="0" w:space="0" w:color="auto"/>
        <w:left w:val="none" w:sz="0" w:space="0" w:color="auto"/>
        <w:bottom w:val="none" w:sz="0" w:space="0" w:color="auto"/>
        <w:right w:val="none" w:sz="0" w:space="0" w:color="auto"/>
      </w:divBdr>
      <w:divsChild>
        <w:div w:id="385421705">
          <w:marLeft w:val="0"/>
          <w:marRight w:val="0"/>
          <w:marTop w:val="0"/>
          <w:marBottom w:val="0"/>
          <w:divBdr>
            <w:top w:val="none" w:sz="0" w:space="0" w:color="auto"/>
            <w:left w:val="none" w:sz="0" w:space="0" w:color="auto"/>
            <w:bottom w:val="none" w:sz="0" w:space="0" w:color="auto"/>
            <w:right w:val="none" w:sz="0" w:space="0" w:color="auto"/>
          </w:divBdr>
          <w:divsChild>
            <w:div w:id="179666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1251202">
      <w:bodyDiv w:val="1"/>
      <w:marLeft w:val="0"/>
      <w:marRight w:val="0"/>
      <w:marTop w:val="0"/>
      <w:marBottom w:val="0"/>
      <w:divBdr>
        <w:top w:val="none" w:sz="0" w:space="0" w:color="auto"/>
        <w:left w:val="none" w:sz="0" w:space="0" w:color="auto"/>
        <w:bottom w:val="none" w:sz="0" w:space="0" w:color="auto"/>
        <w:right w:val="none" w:sz="0" w:space="0" w:color="auto"/>
      </w:divBdr>
    </w:div>
    <w:div w:id="1336880476">
      <w:bodyDiv w:val="1"/>
      <w:marLeft w:val="0"/>
      <w:marRight w:val="0"/>
      <w:marTop w:val="0"/>
      <w:marBottom w:val="0"/>
      <w:divBdr>
        <w:top w:val="none" w:sz="0" w:space="0" w:color="auto"/>
        <w:left w:val="none" w:sz="0" w:space="0" w:color="auto"/>
        <w:bottom w:val="none" w:sz="0" w:space="0" w:color="auto"/>
        <w:right w:val="none" w:sz="0" w:space="0" w:color="auto"/>
      </w:divBdr>
    </w:div>
    <w:div w:id="1341352103">
      <w:bodyDiv w:val="1"/>
      <w:marLeft w:val="0"/>
      <w:marRight w:val="0"/>
      <w:marTop w:val="0"/>
      <w:marBottom w:val="0"/>
      <w:divBdr>
        <w:top w:val="none" w:sz="0" w:space="0" w:color="auto"/>
        <w:left w:val="none" w:sz="0" w:space="0" w:color="auto"/>
        <w:bottom w:val="none" w:sz="0" w:space="0" w:color="auto"/>
        <w:right w:val="none" w:sz="0" w:space="0" w:color="auto"/>
      </w:divBdr>
    </w:div>
    <w:div w:id="1344014264">
      <w:bodyDiv w:val="1"/>
      <w:marLeft w:val="0"/>
      <w:marRight w:val="0"/>
      <w:marTop w:val="0"/>
      <w:marBottom w:val="0"/>
      <w:divBdr>
        <w:top w:val="none" w:sz="0" w:space="0" w:color="auto"/>
        <w:left w:val="none" w:sz="0" w:space="0" w:color="auto"/>
        <w:bottom w:val="none" w:sz="0" w:space="0" w:color="auto"/>
        <w:right w:val="none" w:sz="0" w:space="0" w:color="auto"/>
      </w:divBdr>
    </w:div>
    <w:div w:id="1348172573">
      <w:bodyDiv w:val="1"/>
      <w:marLeft w:val="0"/>
      <w:marRight w:val="0"/>
      <w:marTop w:val="0"/>
      <w:marBottom w:val="0"/>
      <w:divBdr>
        <w:top w:val="none" w:sz="0" w:space="0" w:color="auto"/>
        <w:left w:val="none" w:sz="0" w:space="0" w:color="auto"/>
        <w:bottom w:val="none" w:sz="0" w:space="0" w:color="auto"/>
        <w:right w:val="none" w:sz="0" w:space="0" w:color="auto"/>
      </w:divBdr>
    </w:div>
    <w:div w:id="1352102807">
      <w:bodyDiv w:val="1"/>
      <w:marLeft w:val="0"/>
      <w:marRight w:val="0"/>
      <w:marTop w:val="0"/>
      <w:marBottom w:val="0"/>
      <w:divBdr>
        <w:top w:val="none" w:sz="0" w:space="0" w:color="auto"/>
        <w:left w:val="none" w:sz="0" w:space="0" w:color="auto"/>
        <w:bottom w:val="none" w:sz="0" w:space="0" w:color="auto"/>
        <w:right w:val="none" w:sz="0" w:space="0" w:color="auto"/>
      </w:divBdr>
    </w:div>
    <w:div w:id="1359504855">
      <w:bodyDiv w:val="1"/>
      <w:marLeft w:val="0"/>
      <w:marRight w:val="0"/>
      <w:marTop w:val="0"/>
      <w:marBottom w:val="0"/>
      <w:divBdr>
        <w:top w:val="none" w:sz="0" w:space="0" w:color="auto"/>
        <w:left w:val="none" w:sz="0" w:space="0" w:color="auto"/>
        <w:bottom w:val="none" w:sz="0" w:space="0" w:color="auto"/>
        <w:right w:val="none" w:sz="0" w:space="0" w:color="auto"/>
      </w:divBdr>
    </w:div>
    <w:div w:id="1361666678">
      <w:bodyDiv w:val="1"/>
      <w:marLeft w:val="0"/>
      <w:marRight w:val="0"/>
      <w:marTop w:val="0"/>
      <w:marBottom w:val="0"/>
      <w:divBdr>
        <w:top w:val="none" w:sz="0" w:space="0" w:color="auto"/>
        <w:left w:val="none" w:sz="0" w:space="0" w:color="auto"/>
        <w:bottom w:val="none" w:sz="0" w:space="0" w:color="auto"/>
        <w:right w:val="none" w:sz="0" w:space="0" w:color="auto"/>
      </w:divBdr>
      <w:divsChild>
        <w:div w:id="1027023326">
          <w:marLeft w:val="0"/>
          <w:marRight w:val="0"/>
          <w:marTop w:val="0"/>
          <w:marBottom w:val="0"/>
          <w:divBdr>
            <w:top w:val="none" w:sz="0" w:space="0" w:color="auto"/>
            <w:left w:val="none" w:sz="0" w:space="0" w:color="auto"/>
            <w:bottom w:val="none" w:sz="0" w:space="0" w:color="auto"/>
            <w:right w:val="none" w:sz="0" w:space="0" w:color="auto"/>
          </w:divBdr>
          <w:divsChild>
            <w:div w:id="2137526825">
              <w:marLeft w:val="0"/>
              <w:marRight w:val="0"/>
              <w:marTop w:val="0"/>
              <w:marBottom w:val="0"/>
              <w:divBdr>
                <w:top w:val="none" w:sz="0" w:space="0" w:color="auto"/>
                <w:left w:val="none" w:sz="0" w:space="0" w:color="auto"/>
                <w:bottom w:val="none" w:sz="0" w:space="0" w:color="auto"/>
                <w:right w:val="none" w:sz="0" w:space="0" w:color="auto"/>
              </w:divBdr>
              <w:divsChild>
                <w:div w:id="1553811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4213872">
      <w:bodyDiv w:val="1"/>
      <w:marLeft w:val="0"/>
      <w:marRight w:val="0"/>
      <w:marTop w:val="0"/>
      <w:marBottom w:val="0"/>
      <w:divBdr>
        <w:top w:val="none" w:sz="0" w:space="0" w:color="auto"/>
        <w:left w:val="none" w:sz="0" w:space="0" w:color="auto"/>
        <w:bottom w:val="none" w:sz="0" w:space="0" w:color="auto"/>
        <w:right w:val="none" w:sz="0" w:space="0" w:color="auto"/>
      </w:divBdr>
      <w:divsChild>
        <w:div w:id="694817135">
          <w:marLeft w:val="0"/>
          <w:marRight w:val="0"/>
          <w:marTop w:val="0"/>
          <w:marBottom w:val="0"/>
          <w:divBdr>
            <w:top w:val="none" w:sz="0" w:space="0" w:color="auto"/>
            <w:left w:val="none" w:sz="0" w:space="0" w:color="auto"/>
            <w:bottom w:val="none" w:sz="0" w:space="0" w:color="auto"/>
            <w:right w:val="none" w:sz="0" w:space="0" w:color="auto"/>
          </w:divBdr>
          <w:divsChild>
            <w:div w:id="1524246835">
              <w:marLeft w:val="0"/>
              <w:marRight w:val="0"/>
              <w:marTop w:val="0"/>
              <w:marBottom w:val="0"/>
              <w:divBdr>
                <w:top w:val="none" w:sz="0" w:space="0" w:color="auto"/>
                <w:left w:val="none" w:sz="0" w:space="0" w:color="auto"/>
                <w:bottom w:val="none" w:sz="0" w:space="0" w:color="auto"/>
                <w:right w:val="none" w:sz="0" w:space="0" w:color="auto"/>
              </w:divBdr>
              <w:divsChild>
                <w:div w:id="667445988">
                  <w:marLeft w:val="0"/>
                  <w:marRight w:val="0"/>
                  <w:marTop w:val="0"/>
                  <w:marBottom w:val="0"/>
                  <w:divBdr>
                    <w:top w:val="none" w:sz="0" w:space="0" w:color="auto"/>
                    <w:left w:val="none" w:sz="0" w:space="0" w:color="auto"/>
                    <w:bottom w:val="none" w:sz="0" w:space="0" w:color="auto"/>
                    <w:right w:val="none" w:sz="0" w:space="0" w:color="auto"/>
                  </w:divBdr>
                  <w:divsChild>
                    <w:div w:id="1787580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7435975">
      <w:bodyDiv w:val="1"/>
      <w:marLeft w:val="0"/>
      <w:marRight w:val="0"/>
      <w:marTop w:val="0"/>
      <w:marBottom w:val="0"/>
      <w:divBdr>
        <w:top w:val="none" w:sz="0" w:space="0" w:color="auto"/>
        <w:left w:val="none" w:sz="0" w:space="0" w:color="auto"/>
        <w:bottom w:val="none" w:sz="0" w:space="0" w:color="auto"/>
        <w:right w:val="none" w:sz="0" w:space="0" w:color="auto"/>
      </w:divBdr>
    </w:div>
    <w:div w:id="1381711996">
      <w:bodyDiv w:val="1"/>
      <w:marLeft w:val="0"/>
      <w:marRight w:val="0"/>
      <w:marTop w:val="0"/>
      <w:marBottom w:val="0"/>
      <w:divBdr>
        <w:top w:val="none" w:sz="0" w:space="0" w:color="auto"/>
        <w:left w:val="none" w:sz="0" w:space="0" w:color="auto"/>
        <w:bottom w:val="none" w:sz="0" w:space="0" w:color="auto"/>
        <w:right w:val="none" w:sz="0" w:space="0" w:color="auto"/>
      </w:divBdr>
    </w:div>
    <w:div w:id="1392583059">
      <w:bodyDiv w:val="1"/>
      <w:marLeft w:val="0"/>
      <w:marRight w:val="0"/>
      <w:marTop w:val="0"/>
      <w:marBottom w:val="0"/>
      <w:divBdr>
        <w:top w:val="none" w:sz="0" w:space="0" w:color="auto"/>
        <w:left w:val="none" w:sz="0" w:space="0" w:color="auto"/>
        <w:bottom w:val="none" w:sz="0" w:space="0" w:color="auto"/>
        <w:right w:val="none" w:sz="0" w:space="0" w:color="auto"/>
      </w:divBdr>
      <w:divsChild>
        <w:div w:id="631448889">
          <w:marLeft w:val="0"/>
          <w:marRight w:val="0"/>
          <w:marTop w:val="0"/>
          <w:marBottom w:val="0"/>
          <w:divBdr>
            <w:top w:val="none" w:sz="0" w:space="0" w:color="auto"/>
            <w:left w:val="none" w:sz="0" w:space="0" w:color="auto"/>
            <w:bottom w:val="none" w:sz="0" w:space="0" w:color="auto"/>
            <w:right w:val="none" w:sz="0" w:space="0" w:color="auto"/>
          </w:divBdr>
        </w:div>
        <w:div w:id="2094813180">
          <w:marLeft w:val="0"/>
          <w:marRight w:val="0"/>
          <w:marTop w:val="0"/>
          <w:marBottom w:val="0"/>
          <w:divBdr>
            <w:top w:val="none" w:sz="0" w:space="0" w:color="auto"/>
            <w:left w:val="none" w:sz="0" w:space="0" w:color="auto"/>
            <w:bottom w:val="none" w:sz="0" w:space="0" w:color="auto"/>
            <w:right w:val="none" w:sz="0" w:space="0" w:color="auto"/>
          </w:divBdr>
        </w:div>
        <w:div w:id="299575668">
          <w:marLeft w:val="0"/>
          <w:marRight w:val="0"/>
          <w:marTop w:val="0"/>
          <w:marBottom w:val="0"/>
          <w:divBdr>
            <w:top w:val="none" w:sz="0" w:space="0" w:color="auto"/>
            <w:left w:val="none" w:sz="0" w:space="0" w:color="auto"/>
            <w:bottom w:val="none" w:sz="0" w:space="0" w:color="auto"/>
            <w:right w:val="none" w:sz="0" w:space="0" w:color="auto"/>
          </w:divBdr>
        </w:div>
        <w:div w:id="1637224702">
          <w:marLeft w:val="0"/>
          <w:marRight w:val="0"/>
          <w:marTop w:val="0"/>
          <w:marBottom w:val="0"/>
          <w:divBdr>
            <w:top w:val="none" w:sz="0" w:space="0" w:color="auto"/>
            <w:left w:val="none" w:sz="0" w:space="0" w:color="auto"/>
            <w:bottom w:val="none" w:sz="0" w:space="0" w:color="auto"/>
            <w:right w:val="none" w:sz="0" w:space="0" w:color="auto"/>
          </w:divBdr>
        </w:div>
        <w:div w:id="2122066486">
          <w:marLeft w:val="0"/>
          <w:marRight w:val="0"/>
          <w:marTop w:val="0"/>
          <w:marBottom w:val="0"/>
          <w:divBdr>
            <w:top w:val="none" w:sz="0" w:space="0" w:color="auto"/>
            <w:left w:val="none" w:sz="0" w:space="0" w:color="auto"/>
            <w:bottom w:val="none" w:sz="0" w:space="0" w:color="auto"/>
            <w:right w:val="none" w:sz="0" w:space="0" w:color="auto"/>
          </w:divBdr>
        </w:div>
        <w:div w:id="1595702896">
          <w:marLeft w:val="0"/>
          <w:marRight w:val="0"/>
          <w:marTop w:val="0"/>
          <w:marBottom w:val="0"/>
          <w:divBdr>
            <w:top w:val="none" w:sz="0" w:space="0" w:color="auto"/>
            <w:left w:val="none" w:sz="0" w:space="0" w:color="auto"/>
            <w:bottom w:val="none" w:sz="0" w:space="0" w:color="auto"/>
            <w:right w:val="none" w:sz="0" w:space="0" w:color="auto"/>
          </w:divBdr>
        </w:div>
        <w:div w:id="388765461">
          <w:blockQuote w:val="1"/>
          <w:marLeft w:val="600"/>
          <w:marRight w:val="0"/>
          <w:marTop w:val="0"/>
          <w:marBottom w:val="0"/>
          <w:divBdr>
            <w:top w:val="none" w:sz="0" w:space="0" w:color="auto"/>
            <w:left w:val="none" w:sz="0" w:space="0" w:color="auto"/>
            <w:bottom w:val="none" w:sz="0" w:space="0" w:color="auto"/>
            <w:right w:val="none" w:sz="0" w:space="0" w:color="auto"/>
          </w:divBdr>
          <w:divsChild>
            <w:div w:id="1466659308">
              <w:blockQuote w:val="1"/>
              <w:marLeft w:val="600"/>
              <w:marRight w:val="0"/>
              <w:marTop w:val="0"/>
              <w:marBottom w:val="0"/>
              <w:divBdr>
                <w:top w:val="none" w:sz="0" w:space="0" w:color="auto"/>
                <w:left w:val="none" w:sz="0" w:space="0" w:color="auto"/>
                <w:bottom w:val="none" w:sz="0" w:space="0" w:color="auto"/>
                <w:right w:val="none" w:sz="0" w:space="0" w:color="auto"/>
              </w:divBdr>
              <w:divsChild>
                <w:div w:id="894462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877583">
          <w:marLeft w:val="0"/>
          <w:marRight w:val="0"/>
          <w:marTop w:val="0"/>
          <w:marBottom w:val="0"/>
          <w:divBdr>
            <w:top w:val="none" w:sz="0" w:space="0" w:color="auto"/>
            <w:left w:val="none" w:sz="0" w:space="0" w:color="auto"/>
            <w:bottom w:val="none" w:sz="0" w:space="0" w:color="auto"/>
            <w:right w:val="none" w:sz="0" w:space="0" w:color="auto"/>
          </w:divBdr>
          <w:divsChild>
            <w:div w:id="95178062">
              <w:marLeft w:val="0"/>
              <w:marRight w:val="0"/>
              <w:marTop w:val="0"/>
              <w:marBottom w:val="0"/>
              <w:divBdr>
                <w:top w:val="none" w:sz="0" w:space="0" w:color="auto"/>
                <w:left w:val="none" w:sz="0" w:space="0" w:color="auto"/>
                <w:bottom w:val="none" w:sz="0" w:space="0" w:color="auto"/>
                <w:right w:val="none" w:sz="0" w:space="0" w:color="auto"/>
              </w:divBdr>
            </w:div>
          </w:divsChild>
        </w:div>
        <w:div w:id="1951744706">
          <w:marLeft w:val="0"/>
          <w:marRight w:val="0"/>
          <w:marTop w:val="0"/>
          <w:marBottom w:val="0"/>
          <w:divBdr>
            <w:top w:val="none" w:sz="0" w:space="0" w:color="auto"/>
            <w:left w:val="none" w:sz="0" w:space="0" w:color="auto"/>
            <w:bottom w:val="none" w:sz="0" w:space="0" w:color="auto"/>
            <w:right w:val="none" w:sz="0" w:space="0" w:color="auto"/>
          </w:divBdr>
        </w:div>
        <w:div w:id="867913962">
          <w:marLeft w:val="0"/>
          <w:marRight w:val="0"/>
          <w:marTop w:val="0"/>
          <w:marBottom w:val="0"/>
          <w:divBdr>
            <w:top w:val="none" w:sz="0" w:space="0" w:color="auto"/>
            <w:left w:val="none" w:sz="0" w:space="0" w:color="auto"/>
            <w:bottom w:val="none" w:sz="0" w:space="0" w:color="auto"/>
            <w:right w:val="none" w:sz="0" w:space="0" w:color="auto"/>
          </w:divBdr>
        </w:div>
        <w:div w:id="1015375896">
          <w:marLeft w:val="0"/>
          <w:marRight w:val="0"/>
          <w:marTop w:val="0"/>
          <w:marBottom w:val="0"/>
          <w:divBdr>
            <w:top w:val="none" w:sz="0" w:space="0" w:color="auto"/>
            <w:left w:val="none" w:sz="0" w:space="0" w:color="auto"/>
            <w:bottom w:val="none" w:sz="0" w:space="0" w:color="auto"/>
            <w:right w:val="none" w:sz="0" w:space="0" w:color="auto"/>
          </w:divBdr>
        </w:div>
        <w:div w:id="2142651145">
          <w:marLeft w:val="0"/>
          <w:marRight w:val="0"/>
          <w:marTop w:val="0"/>
          <w:marBottom w:val="0"/>
          <w:divBdr>
            <w:top w:val="none" w:sz="0" w:space="0" w:color="auto"/>
            <w:left w:val="none" w:sz="0" w:space="0" w:color="auto"/>
            <w:bottom w:val="none" w:sz="0" w:space="0" w:color="auto"/>
            <w:right w:val="none" w:sz="0" w:space="0" w:color="auto"/>
          </w:divBdr>
        </w:div>
        <w:div w:id="1800806113">
          <w:blockQuote w:val="1"/>
          <w:marLeft w:val="600"/>
          <w:marRight w:val="0"/>
          <w:marTop w:val="0"/>
          <w:marBottom w:val="0"/>
          <w:divBdr>
            <w:top w:val="none" w:sz="0" w:space="0" w:color="auto"/>
            <w:left w:val="none" w:sz="0" w:space="0" w:color="auto"/>
            <w:bottom w:val="none" w:sz="0" w:space="0" w:color="auto"/>
            <w:right w:val="none" w:sz="0" w:space="0" w:color="auto"/>
          </w:divBdr>
          <w:divsChild>
            <w:div w:id="1266958615">
              <w:marLeft w:val="0"/>
              <w:marRight w:val="0"/>
              <w:marTop w:val="0"/>
              <w:marBottom w:val="0"/>
              <w:divBdr>
                <w:top w:val="none" w:sz="0" w:space="0" w:color="auto"/>
                <w:left w:val="none" w:sz="0" w:space="0" w:color="auto"/>
                <w:bottom w:val="none" w:sz="0" w:space="0" w:color="auto"/>
                <w:right w:val="none" w:sz="0" w:space="0" w:color="auto"/>
              </w:divBdr>
            </w:div>
            <w:div w:id="1356228646">
              <w:marLeft w:val="0"/>
              <w:marRight w:val="0"/>
              <w:marTop w:val="0"/>
              <w:marBottom w:val="0"/>
              <w:divBdr>
                <w:top w:val="none" w:sz="0" w:space="0" w:color="auto"/>
                <w:left w:val="none" w:sz="0" w:space="0" w:color="auto"/>
                <w:bottom w:val="none" w:sz="0" w:space="0" w:color="auto"/>
                <w:right w:val="none" w:sz="0" w:space="0" w:color="auto"/>
              </w:divBdr>
              <w:divsChild>
                <w:div w:id="978219662">
                  <w:marLeft w:val="0"/>
                  <w:marRight w:val="0"/>
                  <w:marTop w:val="0"/>
                  <w:marBottom w:val="0"/>
                  <w:divBdr>
                    <w:top w:val="none" w:sz="0" w:space="0" w:color="auto"/>
                    <w:left w:val="none" w:sz="0" w:space="0" w:color="auto"/>
                    <w:bottom w:val="none" w:sz="0" w:space="0" w:color="auto"/>
                    <w:right w:val="none" w:sz="0" w:space="0" w:color="auto"/>
                  </w:divBdr>
                </w:div>
              </w:divsChild>
            </w:div>
            <w:div w:id="283997368">
              <w:marLeft w:val="0"/>
              <w:marRight w:val="0"/>
              <w:marTop w:val="0"/>
              <w:marBottom w:val="0"/>
              <w:divBdr>
                <w:top w:val="none" w:sz="0" w:space="0" w:color="auto"/>
                <w:left w:val="none" w:sz="0" w:space="0" w:color="auto"/>
                <w:bottom w:val="none" w:sz="0" w:space="0" w:color="auto"/>
                <w:right w:val="none" w:sz="0" w:space="0" w:color="auto"/>
              </w:divBdr>
              <w:divsChild>
                <w:div w:id="489909169">
                  <w:marLeft w:val="0"/>
                  <w:marRight w:val="0"/>
                  <w:marTop w:val="0"/>
                  <w:marBottom w:val="0"/>
                  <w:divBdr>
                    <w:top w:val="none" w:sz="0" w:space="0" w:color="auto"/>
                    <w:left w:val="none" w:sz="0" w:space="0" w:color="auto"/>
                    <w:bottom w:val="none" w:sz="0" w:space="0" w:color="auto"/>
                    <w:right w:val="none" w:sz="0" w:space="0" w:color="auto"/>
                  </w:divBdr>
                </w:div>
              </w:divsChild>
            </w:div>
            <w:div w:id="293870811">
              <w:marLeft w:val="0"/>
              <w:marRight w:val="0"/>
              <w:marTop w:val="0"/>
              <w:marBottom w:val="0"/>
              <w:divBdr>
                <w:top w:val="none" w:sz="0" w:space="0" w:color="auto"/>
                <w:left w:val="none" w:sz="0" w:space="0" w:color="auto"/>
                <w:bottom w:val="none" w:sz="0" w:space="0" w:color="auto"/>
                <w:right w:val="none" w:sz="0" w:space="0" w:color="auto"/>
              </w:divBdr>
              <w:divsChild>
                <w:div w:id="1913923243">
                  <w:marLeft w:val="0"/>
                  <w:marRight w:val="0"/>
                  <w:marTop w:val="0"/>
                  <w:marBottom w:val="0"/>
                  <w:divBdr>
                    <w:top w:val="none" w:sz="0" w:space="0" w:color="auto"/>
                    <w:left w:val="none" w:sz="0" w:space="0" w:color="auto"/>
                    <w:bottom w:val="none" w:sz="0" w:space="0" w:color="auto"/>
                    <w:right w:val="none" w:sz="0" w:space="0" w:color="auto"/>
                  </w:divBdr>
                </w:div>
              </w:divsChild>
            </w:div>
            <w:div w:id="659620232">
              <w:marLeft w:val="0"/>
              <w:marRight w:val="0"/>
              <w:marTop w:val="0"/>
              <w:marBottom w:val="0"/>
              <w:divBdr>
                <w:top w:val="none" w:sz="0" w:space="0" w:color="auto"/>
                <w:left w:val="none" w:sz="0" w:space="0" w:color="auto"/>
                <w:bottom w:val="none" w:sz="0" w:space="0" w:color="auto"/>
                <w:right w:val="none" w:sz="0" w:space="0" w:color="auto"/>
              </w:divBdr>
              <w:divsChild>
                <w:div w:id="2115401260">
                  <w:marLeft w:val="0"/>
                  <w:marRight w:val="0"/>
                  <w:marTop w:val="0"/>
                  <w:marBottom w:val="0"/>
                  <w:divBdr>
                    <w:top w:val="none" w:sz="0" w:space="0" w:color="auto"/>
                    <w:left w:val="none" w:sz="0" w:space="0" w:color="auto"/>
                    <w:bottom w:val="none" w:sz="0" w:space="0" w:color="auto"/>
                    <w:right w:val="none" w:sz="0" w:space="0" w:color="auto"/>
                  </w:divBdr>
                </w:div>
              </w:divsChild>
            </w:div>
            <w:div w:id="1406995952">
              <w:marLeft w:val="0"/>
              <w:marRight w:val="0"/>
              <w:marTop w:val="0"/>
              <w:marBottom w:val="0"/>
              <w:divBdr>
                <w:top w:val="none" w:sz="0" w:space="0" w:color="auto"/>
                <w:left w:val="none" w:sz="0" w:space="0" w:color="auto"/>
                <w:bottom w:val="none" w:sz="0" w:space="0" w:color="auto"/>
                <w:right w:val="none" w:sz="0" w:space="0" w:color="auto"/>
              </w:divBdr>
              <w:divsChild>
                <w:div w:id="1470974409">
                  <w:marLeft w:val="0"/>
                  <w:marRight w:val="0"/>
                  <w:marTop w:val="0"/>
                  <w:marBottom w:val="0"/>
                  <w:divBdr>
                    <w:top w:val="none" w:sz="0" w:space="0" w:color="auto"/>
                    <w:left w:val="none" w:sz="0" w:space="0" w:color="auto"/>
                    <w:bottom w:val="none" w:sz="0" w:space="0" w:color="auto"/>
                    <w:right w:val="none" w:sz="0" w:space="0" w:color="auto"/>
                  </w:divBdr>
                </w:div>
              </w:divsChild>
            </w:div>
            <w:div w:id="1185291643">
              <w:marLeft w:val="0"/>
              <w:marRight w:val="0"/>
              <w:marTop w:val="0"/>
              <w:marBottom w:val="0"/>
              <w:divBdr>
                <w:top w:val="none" w:sz="0" w:space="0" w:color="auto"/>
                <w:left w:val="none" w:sz="0" w:space="0" w:color="auto"/>
                <w:bottom w:val="none" w:sz="0" w:space="0" w:color="auto"/>
                <w:right w:val="none" w:sz="0" w:space="0" w:color="auto"/>
              </w:divBdr>
              <w:divsChild>
                <w:div w:id="836313365">
                  <w:marLeft w:val="0"/>
                  <w:marRight w:val="0"/>
                  <w:marTop w:val="0"/>
                  <w:marBottom w:val="0"/>
                  <w:divBdr>
                    <w:top w:val="none" w:sz="0" w:space="0" w:color="auto"/>
                    <w:left w:val="none" w:sz="0" w:space="0" w:color="auto"/>
                    <w:bottom w:val="none" w:sz="0" w:space="0" w:color="auto"/>
                    <w:right w:val="none" w:sz="0" w:space="0" w:color="auto"/>
                  </w:divBdr>
                </w:div>
              </w:divsChild>
            </w:div>
            <w:div w:id="1168595334">
              <w:marLeft w:val="0"/>
              <w:marRight w:val="0"/>
              <w:marTop w:val="0"/>
              <w:marBottom w:val="0"/>
              <w:divBdr>
                <w:top w:val="none" w:sz="0" w:space="0" w:color="auto"/>
                <w:left w:val="none" w:sz="0" w:space="0" w:color="auto"/>
                <w:bottom w:val="none" w:sz="0" w:space="0" w:color="auto"/>
                <w:right w:val="none" w:sz="0" w:space="0" w:color="auto"/>
              </w:divBdr>
              <w:divsChild>
                <w:div w:id="399526645">
                  <w:marLeft w:val="0"/>
                  <w:marRight w:val="0"/>
                  <w:marTop w:val="0"/>
                  <w:marBottom w:val="0"/>
                  <w:divBdr>
                    <w:top w:val="none" w:sz="0" w:space="0" w:color="auto"/>
                    <w:left w:val="none" w:sz="0" w:space="0" w:color="auto"/>
                    <w:bottom w:val="none" w:sz="0" w:space="0" w:color="auto"/>
                    <w:right w:val="none" w:sz="0" w:space="0" w:color="auto"/>
                  </w:divBdr>
                </w:div>
              </w:divsChild>
            </w:div>
            <w:div w:id="1325357856">
              <w:marLeft w:val="0"/>
              <w:marRight w:val="0"/>
              <w:marTop w:val="0"/>
              <w:marBottom w:val="0"/>
              <w:divBdr>
                <w:top w:val="none" w:sz="0" w:space="0" w:color="auto"/>
                <w:left w:val="none" w:sz="0" w:space="0" w:color="auto"/>
                <w:bottom w:val="none" w:sz="0" w:space="0" w:color="auto"/>
                <w:right w:val="none" w:sz="0" w:space="0" w:color="auto"/>
              </w:divBdr>
              <w:divsChild>
                <w:div w:id="406343014">
                  <w:marLeft w:val="0"/>
                  <w:marRight w:val="0"/>
                  <w:marTop w:val="0"/>
                  <w:marBottom w:val="0"/>
                  <w:divBdr>
                    <w:top w:val="none" w:sz="0" w:space="0" w:color="auto"/>
                    <w:left w:val="none" w:sz="0" w:space="0" w:color="auto"/>
                    <w:bottom w:val="none" w:sz="0" w:space="0" w:color="auto"/>
                    <w:right w:val="none" w:sz="0" w:space="0" w:color="auto"/>
                  </w:divBdr>
                </w:div>
              </w:divsChild>
            </w:div>
            <w:div w:id="1059937072">
              <w:marLeft w:val="0"/>
              <w:marRight w:val="0"/>
              <w:marTop w:val="0"/>
              <w:marBottom w:val="0"/>
              <w:divBdr>
                <w:top w:val="none" w:sz="0" w:space="0" w:color="auto"/>
                <w:left w:val="none" w:sz="0" w:space="0" w:color="auto"/>
                <w:bottom w:val="none" w:sz="0" w:space="0" w:color="auto"/>
                <w:right w:val="none" w:sz="0" w:space="0" w:color="auto"/>
              </w:divBdr>
              <w:divsChild>
                <w:div w:id="47996853">
                  <w:marLeft w:val="0"/>
                  <w:marRight w:val="0"/>
                  <w:marTop w:val="0"/>
                  <w:marBottom w:val="0"/>
                  <w:divBdr>
                    <w:top w:val="none" w:sz="0" w:space="0" w:color="auto"/>
                    <w:left w:val="none" w:sz="0" w:space="0" w:color="auto"/>
                    <w:bottom w:val="none" w:sz="0" w:space="0" w:color="auto"/>
                    <w:right w:val="none" w:sz="0" w:space="0" w:color="auto"/>
                  </w:divBdr>
                </w:div>
              </w:divsChild>
            </w:div>
            <w:div w:id="1369603911">
              <w:marLeft w:val="0"/>
              <w:marRight w:val="0"/>
              <w:marTop w:val="0"/>
              <w:marBottom w:val="0"/>
              <w:divBdr>
                <w:top w:val="none" w:sz="0" w:space="0" w:color="auto"/>
                <w:left w:val="none" w:sz="0" w:space="0" w:color="auto"/>
                <w:bottom w:val="none" w:sz="0" w:space="0" w:color="auto"/>
                <w:right w:val="none" w:sz="0" w:space="0" w:color="auto"/>
              </w:divBdr>
            </w:div>
          </w:divsChild>
        </w:div>
        <w:div w:id="546340606">
          <w:marLeft w:val="0"/>
          <w:marRight w:val="0"/>
          <w:marTop w:val="0"/>
          <w:marBottom w:val="0"/>
          <w:divBdr>
            <w:top w:val="none" w:sz="0" w:space="0" w:color="auto"/>
            <w:left w:val="none" w:sz="0" w:space="0" w:color="auto"/>
            <w:bottom w:val="none" w:sz="0" w:space="0" w:color="auto"/>
            <w:right w:val="none" w:sz="0" w:space="0" w:color="auto"/>
          </w:divBdr>
        </w:div>
        <w:div w:id="135342158">
          <w:marLeft w:val="0"/>
          <w:marRight w:val="0"/>
          <w:marTop w:val="0"/>
          <w:marBottom w:val="0"/>
          <w:divBdr>
            <w:top w:val="none" w:sz="0" w:space="0" w:color="auto"/>
            <w:left w:val="none" w:sz="0" w:space="0" w:color="auto"/>
            <w:bottom w:val="none" w:sz="0" w:space="0" w:color="auto"/>
            <w:right w:val="none" w:sz="0" w:space="0" w:color="auto"/>
          </w:divBdr>
        </w:div>
      </w:divsChild>
    </w:div>
    <w:div w:id="1396245835">
      <w:bodyDiv w:val="1"/>
      <w:marLeft w:val="0"/>
      <w:marRight w:val="0"/>
      <w:marTop w:val="0"/>
      <w:marBottom w:val="0"/>
      <w:divBdr>
        <w:top w:val="none" w:sz="0" w:space="0" w:color="auto"/>
        <w:left w:val="none" w:sz="0" w:space="0" w:color="auto"/>
        <w:bottom w:val="none" w:sz="0" w:space="0" w:color="auto"/>
        <w:right w:val="none" w:sz="0" w:space="0" w:color="auto"/>
      </w:divBdr>
    </w:div>
    <w:div w:id="1401757857">
      <w:bodyDiv w:val="1"/>
      <w:marLeft w:val="0"/>
      <w:marRight w:val="0"/>
      <w:marTop w:val="0"/>
      <w:marBottom w:val="0"/>
      <w:divBdr>
        <w:top w:val="none" w:sz="0" w:space="0" w:color="auto"/>
        <w:left w:val="none" w:sz="0" w:space="0" w:color="auto"/>
        <w:bottom w:val="none" w:sz="0" w:space="0" w:color="auto"/>
        <w:right w:val="none" w:sz="0" w:space="0" w:color="auto"/>
      </w:divBdr>
    </w:div>
    <w:div w:id="1402215439">
      <w:bodyDiv w:val="1"/>
      <w:marLeft w:val="0"/>
      <w:marRight w:val="0"/>
      <w:marTop w:val="0"/>
      <w:marBottom w:val="0"/>
      <w:divBdr>
        <w:top w:val="none" w:sz="0" w:space="0" w:color="auto"/>
        <w:left w:val="none" w:sz="0" w:space="0" w:color="auto"/>
        <w:bottom w:val="none" w:sz="0" w:space="0" w:color="auto"/>
        <w:right w:val="none" w:sz="0" w:space="0" w:color="auto"/>
      </w:divBdr>
    </w:div>
    <w:div w:id="1409226291">
      <w:bodyDiv w:val="1"/>
      <w:marLeft w:val="0"/>
      <w:marRight w:val="0"/>
      <w:marTop w:val="0"/>
      <w:marBottom w:val="0"/>
      <w:divBdr>
        <w:top w:val="none" w:sz="0" w:space="0" w:color="auto"/>
        <w:left w:val="none" w:sz="0" w:space="0" w:color="auto"/>
        <w:bottom w:val="none" w:sz="0" w:space="0" w:color="auto"/>
        <w:right w:val="none" w:sz="0" w:space="0" w:color="auto"/>
      </w:divBdr>
      <w:divsChild>
        <w:div w:id="1531456924">
          <w:marLeft w:val="0"/>
          <w:marRight w:val="0"/>
          <w:marTop w:val="0"/>
          <w:marBottom w:val="0"/>
          <w:divBdr>
            <w:top w:val="none" w:sz="0" w:space="0" w:color="auto"/>
            <w:left w:val="none" w:sz="0" w:space="0" w:color="auto"/>
            <w:bottom w:val="none" w:sz="0" w:space="0" w:color="auto"/>
            <w:right w:val="none" w:sz="0" w:space="0" w:color="auto"/>
          </w:divBdr>
          <w:divsChild>
            <w:div w:id="2141605472">
              <w:marLeft w:val="0"/>
              <w:marRight w:val="0"/>
              <w:marTop w:val="0"/>
              <w:marBottom w:val="0"/>
              <w:divBdr>
                <w:top w:val="none" w:sz="0" w:space="0" w:color="auto"/>
                <w:left w:val="none" w:sz="0" w:space="0" w:color="auto"/>
                <w:bottom w:val="none" w:sz="0" w:space="0" w:color="auto"/>
                <w:right w:val="none" w:sz="0" w:space="0" w:color="auto"/>
              </w:divBdr>
              <w:divsChild>
                <w:div w:id="1660184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5684569">
      <w:bodyDiv w:val="1"/>
      <w:marLeft w:val="0"/>
      <w:marRight w:val="0"/>
      <w:marTop w:val="0"/>
      <w:marBottom w:val="0"/>
      <w:divBdr>
        <w:top w:val="none" w:sz="0" w:space="0" w:color="auto"/>
        <w:left w:val="none" w:sz="0" w:space="0" w:color="auto"/>
        <w:bottom w:val="none" w:sz="0" w:space="0" w:color="auto"/>
        <w:right w:val="none" w:sz="0" w:space="0" w:color="auto"/>
      </w:divBdr>
    </w:div>
    <w:div w:id="1448960988">
      <w:bodyDiv w:val="1"/>
      <w:marLeft w:val="0"/>
      <w:marRight w:val="0"/>
      <w:marTop w:val="0"/>
      <w:marBottom w:val="0"/>
      <w:divBdr>
        <w:top w:val="none" w:sz="0" w:space="0" w:color="auto"/>
        <w:left w:val="none" w:sz="0" w:space="0" w:color="auto"/>
        <w:bottom w:val="none" w:sz="0" w:space="0" w:color="auto"/>
        <w:right w:val="none" w:sz="0" w:space="0" w:color="auto"/>
      </w:divBdr>
    </w:div>
    <w:div w:id="1450199100">
      <w:bodyDiv w:val="1"/>
      <w:marLeft w:val="0"/>
      <w:marRight w:val="0"/>
      <w:marTop w:val="0"/>
      <w:marBottom w:val="0"/>
      <w:divBdr>
        <w:top w:val="none" w:sz="0" w:space="0" w:color="auto"/>
        <w:left w:val="none" w:sz="0" w:space="0" w:color="auto"/>
        <w:bottom w:val="none" w:sz="0" w:space="0" w:color="auto"/>
        <w:right w:val="none" w:sz="0" w:space="0" w:color="auto"/>
      </w:divBdr>
      <w:divsChild>
        <w:div w:id="1101296270">
          <w:marLeft w:val="0"/>
          <w:marRight w:val="0"/>
          <w:marTop w:val="0"/>
          <w:marBottom w:val="0"/>
          <w:divBdr>
            <w:top w:val="none" w:sz="0" w:space="0" w:color="auto"/>
            <w:left w:val="none" w:sz="0" w:space="0" w:color="auto"/>
            <w:bottom w:val="none" w:sz="0" w:space="0" w:color="auto"/>
            <w:right w:val="none" w:sz="0" w:space="0" w:color="auto"/>
          </w:divBdr>
          <w:divsChild>
            <w:div w:id="2140220424">
              <w:marLeft w:val="0"/>
              <w:marRight w:val="0"/>
              <w:marTop w:val="0"/>
              <w:marBottom w:val="0"/>
              <w:divBdr>
                <w:top w:val="none" w:sz="0" w:space="0" w:color="auto"/>
                <w:left w:val="none" w:sz="0" w:space="0" w:color="auto"/>
                <w:bottom w:val="none" w:sz="0" w:space="0" w:color="auto"/>
                <w:right w:val="none" w:sz="0" w:space="0" w:color="auto"/>
              </w:divBdr>
              <w:divsChild>
                <w:div w:id="1593582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8235361">
      <w:bodyDiv w:val="1"/>
      <w:marLeft w:val="0"/>
      <w:marRight w:val="0"/>
      <w:marTop w:val="0"/>
      <w:marBottom w:val="0"/>
      <w:divBdr>
        <w:top w:val="none" w:sz="0" w:space="0" w:color="auto"/>
        <w:left w:val="none" w:sz="0" w:space="0" w:color="auto"/>
        <w:bottom w:val="none" w:sz="0" w:space="0" w:color="auto"/>
        <w:right w:val="none" w:sz="0" w:space="0" w:color="auto"/>
      </w:divBdr>
      <w:divsChild>
        <w:div w:id="1906338342">
          <w:marLeft w:val="0"/>
          <w:marRight w:val="0"/>
          <w:marTop w:val="0"/>
          <w:marBottom w:val="0"/>
          <w:divBdr>
            <w:top w:val="none" w:sz="0" w:space="0" w:color="auto"/>
            <w:left w:val="none" w:sz="0" w:space="0" w:color="auto"/>
            <w:bottom w:val="none" w:sz="0" w:space="0" w:color="auto"/>
            <w:right w:val="none" w:sz="0" w:space="0" w:color="auto"/>
          </w:divBdr>
          <w:divsChild>
            <w:div w:id="1761372157">
              <w:marLeft w:val="0"/>
              <w:marRight w:val="0"/>
              <w:marTop w:val="0"/>
              <w:marBottom w:val="0"/>
              <w:divBdr>
                <w:top w:val="none" w:sz="0" w:space="0" w:color="auto"/>
                <w:left w:val="none" w:sz="0" w:space="0" w:color="auto"/>
                <w:bottom w:val="none" w:sz="0" w:space="0" w:color="auto"/>
                <w:right w:val="none" w:sz="0" w:space="0" w:color="auto"/>
              </w:divBdr>
              <w:divsChild>
                <w:div w:id="50235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096601">
      <w:bodyDiv w:val="1"/>
      <w:marLeft w:val="0"/>
      <w:marRight w:val="0"/>
      <w:marTop w:val="0"/>
      <w:marBottom w:val="0"/>
      <w:divBdr>
        <w:top w:val="none" w:sz="0" w:space="0" w:color="auto"/>
        <w:left w:val="none" w:sz="0" w:space="0" w:color="auto"/>
        <w:bottom w:val="none" w:sz="0" w:space="0" w:color="auto"/>
        <w:right w:val="none" w:sz="0" w:space="0" w:color="auto"/>
      </w:divBdr>
    </w:div>
    <w:div w:id="1471750840">
      <w:bodyDiv w:val="1"/>
      <w:marLeft w:val="0"/>
      <w:marRight w:val="0"/>
      <w:marTop w:val="0"/>
      <w:marBottom w:val="0"/>
      <w:divBdr>
        <w:top w:val="none" w:sz="0" w:space="0" w:color="auto"/>
        <w:left w:val="none" w:sz="0" w:space="0" w:color="auto"/>
        <w:bottom w:val="none" w:sz="0" w:space="0" w:color="auto"/>
        <w:right w:val="none" w:sz="0" w:space="0" w:color="auto"/>
      </w:divBdr>
    </w:div>
    <w:div w:id="1473327929">
      <w:bodyDiv w:val="1"/>
      <w:marLeft w:val="0"/>
      <w:marRight w:val="0"/>
      <w:marTop w:val="0"/>
      <w:marBottom w:val="0"/>
      <w:divBdr>
        <w:top w:val="none" w:sz="0" w:space="0" w:color="auto"/>
        <w:left w:val="none" w:sz="0" w:space="0" w:color="auto"/>
        <w:bottom w:val="none" w:sz="0" w:space="0" w:color="auto"/>
        <w:right w:val="none" w:sz="0" w:space="0" w:color="auto"/>
      </w:divBdr>
    </w:div>
    <w:div w:id="1476143989">
      <w:bodyDiv w:val="1"/>
      <w:marLeft w:val="0"/>
      <w:marRight w:val="0"/>
      <w:marTop w:val="0"/>
      <w:marBottom w:val="0"/>
      <w:divBdr>
        <w:top w:val="none" w:sz="0" w:space="0" w:color="auto"/>
        <w:left w:val="none" w:sz="0" w:space="0" w:color="auto"/>
        <w:bottom w:val="none" w:sz="0" w:space="0" w:color="auto"/>
        <w:right w:val="none" w:sz="0" w:space="0" w:color="auto"/>
      </w:divBdr>
    </w:div>
    <w:div w:id="1476794065">
      <w:bodyDiv w:val="1"/>
      <w:marLeft w:val="0"/>
      <w:marRight w:val="0"/>
      <w:marTop w:val="0"/>
      <w:marBottom w:val="0"/>
      <w:divBdr>
        <w:top w:val="none" w:sz="0" w:space="0" w:color="auto"/>
        <w:left w:val="none" w:sz="0" w:space="0" w:color="auto"/>
        <w:bottom w:val="none" w:sz="0" w:space="0" w:color="auto"/>
        <w:right w:val="none" w:sz="0" w:space="0" w:color="auto"/>
      </w:divBdr>
    </w:div>
    <w:div w:id="1482842812">
      <w:bodyDiv w:val="1"/>
      <w:marLeft w:val="0"/>
      <w:marRight w:val="0"/>
      <w:marTop w:val="0"/>
      <w:marBottom w:val="0"/>
      <w:divBdr>
        <w:top w:val="none" w:sz="0" w:space="0" w:color="auto"/>
        <w:left w:val="none" w:sz="0" w:space="0" w:color="auto"/>
        <w:bottom w:val="none" w:sz="0" w:space="0" w:color="auto"/>
        <w:right w:val="none" w:sz="0" w:space="0" w:color="auto"/>
      </w:divBdr>
    </w:div>
    <w:div w:id="1489908005">
      <w:bodyDiv w:val="1"/>
      <w:marLeft w:val="0"/>
      <w:marRight w:val="0"/>
      <w:marTop w:val="0"/>
      <w:marBottom w:val="0"/>
      <w:divBdr>
        <w:top w:val="none" w:sz="0" w:space="0" w:color="auto"/>
        <w:left w:val="none" w:sz="0" w:space="0" w:color="auto"/>
        <w:bottom w:val="none" w:sz="0" w:space="0" w:color="auto"/>
        <w:right w:val="none" w:sz="0" w:space="0" w:color="auto"/>
      </w:divBdr>
    </w:div>
    <w:div w:id="1495340837">
      <w:bodyDiv w:val="1"/>
      <w:marLeft w:val="0"/>
      <w:marRight w:val="0"/>
      <w:marTop w:val="0"/>
      <w:marBottom w:val="0"/>
      <w:divBdr>
        <w:top w:val="none" w:sz="0" w:space="0" w:color="auto"/>
        <w:left w:val="none" w:sz="0" w:space="0" w:color="auto"/>
        <w:bottom w:val="none" w:sz="0" w:space="0" w:color="auto"/>
        <w:right w:val="none" w:sz="0" w:space="0" w:color="auto"/>
      </w:divBdr>
    </w:div>
    <w:div w:id="1507138254">
      <w:bodyDiv w:val="1"/>
      <w:marLeft w:val="0"/>
      <w:marRight w:val="0"/>
      <w:marTop w:val="0"/>
      <w:marBottom w:val="0"/>
      <w:divBdr>
        <w:top w:val="none" w:sz="0" w:space="0" w:color="auto"/>
        <w:left w:val="none" w:sz="0" w:space="0" w:color="auto"/>
        <w:bottom w:val="none" w:sz="0" w:space="0" w:color="auto"/>
        <w:right w:val="none" w:sz="0" w:space="0" w:color="auto"/>
      </w:divBdr>
    </w:div>
    <w:div w:id="1508133523">
      <w:bodyDiv w:val="1"/>
      <w:marLeft w:val="0"/>
      <w:marRight w:val="0"/>
      <w:marTop w:val="0"/>
      <w:marBottom w:val="0"/>
      <w:divBdr>
        <w:top w:val="none" w:sz="0" w:space="0" w:color="auto"/>
        <w:left w:val="none" w:sz="0" w:space="0" w:color="auto"/>
        <w:bottom w:val="none" w:sz="0" w:space="0" w:color="auto"/>
        <w:right w:val="none" w:sz="0" w:space="0" w:color="auto"/>
      </w:divBdr>
    </w:div>
    <w:div w:id="1509248136">
      <w:bodyDiv w:val="1"/>
      <w:marLeft w:val="0"/>
      <w:marRight w:val="0"/>
      <w:marTop w:val="0"/>
      <w:marBottom w:val="0"/>
      <w:divBdr>
        <w:top w:val="none" w:sz="0" w:space="0" w:color="auto"/>
        <w:left w:val="none" w:sz="0" w:space="0" w:color="auto"/>
        <w:bottom w:val="none" w:sz="0" w:space="0" w:color="auto"/>
        <w:right w:val="none" w:sz="0" w:space="0" w:color="auto"/>
      </w:divBdr>
      <w:divsChild>
        <w:div w:id="1142426412">
          <w:marLeft w:val="0"/>
          <w:marRight w:val="0"/>
          <w:marTop w:val="0"/>
          <w:marBottom w:val="0"/>
          <w:divBdr>
            <w:top w:val="none" w:sz="0" w:space="0" w:color="auto"/>
            <w:left w:val="none" w:sz="0" w:space="0" w:color="auto"/>
            <w:bottom w:val="none" w:sz="0" w:space="0" w:color="auto"/>
            <w:right w:val="none" w:sz="0" w:space="0" w:color="auto"/>
          </w:divBdr>
        </w:div>
        <w:div w:id="2051688926">
          <w:marLeft w:val="0"/>
          <w:marRight w:val="0"/>
          <w:marTop w:val="0"/>
          <w:marBottom w:val="0"/>
          <w:divBdr>
            <w:top w:val="none" w:sz="0" w:space="0" w:color="auto"/>
            <w:left w:val="none" w:sz="0" w:space="0" w:color="auto"/>
            <w:bottom w:val="none" w:sz="0" w:space="0" w:color="auto"/>
            <w:right w:val="none" w:sz="0" w:space="0" w:color="auto"/>
          </w:divBdr>
          <w:divsChild>
            <w:div w:id="341057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9515959">
      <w:bodyDiv w:val="1"/>
      <w:marLeft w:val="0"/>
      <w:marRight w:val="0"/>
      <w:marTop w:val="0"/>
      <w:marBottom w:val="0"/>
      <w:divBdr>
        <w:top w:val="none" w:sz="0" w:space="0" w:color="auto"/>
        <w:left w:val="none" w:sz="0" w:space="0" w:color="auto"/>
        <w:bottom w:val="none" w:sz="0" w:space="0" w:color="auto"/>
        <w:right w:val="none" w:sz="0" w:space="0" w:color="auto"/>
      </w:divBdr>
    </w:div>
    <w:div w:id="1517885818">
      <w:bodyDiv w:val="1"/>
      <w:marLeft w:val="0"/>
      <w:marRight w:val="0"/>
      <w:marTop w:val="0"/>
      <w:marBottom w:val="0"/>
      <w:divBdr>
        <w:top w:val="none" w:sz="0" w:space="0" w:color="auto"/>
        <w:left w:val="none" w:sz="0" w:space="0" w:color="auto"/>
        <w:bottom w:val="none" w:sz="0" w:space="0" w:color="auto"/>
        <w:right w:val="none" w:sz="0" w:space="0" w:color="auto"/>
      </w:divBdr>
    </w:div>
    <w:div w:id="1533960343">
      <w:bodyDiv w:val="1"/>
      <w:marLeft w:val="0"/>
      <w:marRight w:val="0"/>
      <w:marTop w:val="0"/>
      <w:marBottom w:val="0"/>
      <w:divBdr>
        <w:top w:val="none" w:sz="0" w:space="0" w:color="auto"/>
        <w:left w:val="none" w:sz="0" w:space="0" w:color="auto"/>
        <w:bottom w:val="none" w:sz="0" w:space="0" w:color="auto"/>
        <w:right w:val="none" w:sz="0" w:space="0" w:color="auto"/>
      </w:divBdr>
    </w:div>
    <w:div w:id="1539202002">
      <w:bodyDiv w:val="1"/>
      <w:marLeft w:val="0"/>
      <w:marRight w:val="0"/>
      <w:marTop w:val="0"/>
      <w:marBottom w:val="0"/>
      <w:divBdr>
        <w:top w:val="none" w:sz="0" w:space="0" w:color="auto"/>
        <w:left w:val="none" w:sz="0" w:space="0" w:color="auto"/>
        <w:bottom w:val="none" w:sz="0" w:space="0" w:color="auto"/>
        <w:right w:val="none" w:sz="0" w:space="0" w:color="auto"/>
      </w:divBdr>
      <w:divsChild>
        <w:div w:id="289094325">
          <w:marLeft w:val="0"/>
          <w:marRight w:val="0"/>
          <w:marTop w:val="0"/>
          <w:marBottom w:val="0"/>
          <w:divBdr>
            <w:top w:val="none" w:sz="0" w:space="0" w:color="auto"/>
            <w:left w:val="none" w:sz="0" w:space="0" w:color="auto"/>
            <w:bottom w:val="none" w:sz="0" w:space="0" w:color="auto"/>
            <w:right w:val="none" w:sz="0" w:space="0" w:color="auto"/>
          </w:divBdr>
          <w:divsChild>
            <w:div w:id="101149594">
              <w:marLeft w:val="0"/>
              <w:marRight w:val="0"/>
              <w:marTop w:val="0"/>
              <w:marBottom w:val="0"/>
              <w:divBdr>
                <w:top w:val="none" w:sz="0" w:space="0" w:color="auto"/>
                <w:left w:val="none" w:sz="0" w:space="0" w:color="auto"/>
                <w:bottom w:val="none" w:sz="0" w:space="0" w:color="auto"/>
                <w:right w:val="none" w:sz="0" w:space="0" w:color="auto"/>
              </w:divBdr>
              <w:divsChild>
                <w:div w:id="565646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4555537">
      <w:bodyDiv w:val="1"/>
      <w:marLeft w:val="0"/>
      <w:marRight w:val="0"/>
      <w:marTop w:val="0"/>
      <w:marBottom w:val="0"/>
      <w:divBdr>
        <w:top w:val="none" w:sz="0" w:space="0" w:color="auto"/>
        <w:left w:val="none" w:sz="0" w:space="0" w:color="auto"/>
        <w:bottom w:val="none" w:sz="0" w:space="0" w:color="auto"/>
        <w:right w:val="none" w:sz="0" w:space="0" w:color="auto"/>
      </w:divBdr>
    </w:div>
    <w:div w:id="1558973653">
      <w:bodyDiv w:val="1"/>
      <w:marLeft w:val="0"/>
      <w:marRight w:val="0"/>
      <w:marTop w:val="0"/>
      <w:marBottom w:val="0"/>
      <w:divBdr>
        <w:top w:val="none" w:sz="0" w:space="0" w:color="auto"/>
        <w:left w:val="none" w:sz="0" w:space="0" w:color="auto"/>
        <w:bottom w:val="none" w:sz="0" w:space="0" w:color="auto"/>
        <w:right w:val="none" w:sz="0" w:space="0" w:color="auto"/>
      </w:divBdr>
    </w:div>
    <w:div w:id="1566140219">
      <w:bodyDiv w:val="1"/>
      <w:marLeft w:val="0"/>
      <w:marRight w:val="0"/>
      <w:marTop w:val="0"/>
      <w:marBottom w:val="0"/>
      <w:divBdr>
        <w:top w:val="none" w:sz="0" w:space="0" w:color="auto"/>
        <w:left w:val="none" w:sz="0" w:space="0" w:color="auto"/>
        <w:bottom w:val="none" w:sz="0" w:space="0" w:color="auto"/>
        <w:right w:val="none" w:sz="0" w:space="0" w:color="auto"/>
      </w:divBdr>
    </w:div>
    <w:div w:id="1573925530">
      <w:bodyDiv w:val="1"/>
      <w:marLeft w:val="0"/>
      <w:marRight w:val="0"/>
      <w:marTop w:val="0"/>
      <w:marBottom w:val="0"/>
      <w:divBdr>
        <w:top w:val="none" w:sz="0" w:space="0" w:color="auto"/>
        <w:left w:val="none" w:sz="0" w:space="0" w:color="auto"/>
        <w:bottom w:val="none" w:sz="0" w:space="0" w:color="auto"/>
        <w:right w:val="none" w:sz="0" w:space="0" w:color="auto"/>
      </w:divBdr>
    </w:div>
    <w:div w:id="1574581939">
      <w:bodyDiv w:val="1"/>
      <w:marLeft w:val="0"/>
      <w:marRight w:val="0"/>
      <w:marTop w:val="0"/>
      <w:marBottom w:val="0"/>
      <w:divBdr>
        <w:top w:val="none" w:sz="0" w:space="0" w:color="auto"/>
        <w:left w:val="none" w:sz="0" w:space="0" w:color="auto"/>
        <w:bottom w:val="none" w:sz="0" w:space="0" w:color="auto"/>
        <w:right w:val="none" w:sz="0" w:space="0" w:color="auto"/>
      </w:divBdr>
    </w:div>
    <w:div w:id="1582181728">
      <w:bodyDiv w:val="1"/>
      <w:marLeft w:val="0"/>
      <w:marRight w:val="0"/>
      <w:marTop w:val="0"/>
      <w:marBottom w:val="0"/>
      <w:divBdr>
        <w:top w:val="none" w:sz="0" w:space="0" w:color="auto"/>
        <w:left w:val="none" w:sz="0" w:space="0" w:color="auto"/>
        <w:bottom w:val="none" w:sz="0" w:space="0" w:color="auto"/>
        <w:right w:val="none" w:sz="0" w:space="0" w:color="auto"/>
      </w:divBdr>
    </w:div>
    <w:div w:id="1583367298">
      <w:bodyDiv w:val="1"/>
      <w:marLeft w:val="0"/>
      <w:marRight w:val="0"/>
      <w:marTop w:val="0"/>
      <w:marBottom w:val="0"/>
      <w:divBdr>
        <w:top w:val="none" w:sz="0" w:space="0" w:color="auto"/>
        <w:left w:val="none" w:sz="0" w:space="0" w:color="auto"/>
        <w:bottom w:val="none" w:sz="0" w:space="0" w:color="auto"/>
        <w:right w:val="none" w:sz="0" w:space="0" w:color="auto"/>
      </w:divBdr>
    </w:div>
    <w:div w:id="1584801515">
      <w:bodyDiv w:val="1"/>
      <w:marLeft w:val="0"/>
      <w:marRight w:val="0"/>
      <w:marTop w:val="0"/>
      <w:marBottom w:val="0"/>
      <w:divBdr>
        <w:top w:val="none" w:sz="0" w:space="0" w:color="auto"/>
        <w:left w:val="none" w:sz="0" w:space="0" w:color="auto"/>
        <w:bottom w:val="none" w:sz="0" w:space="0" w:color="auto"/>
        <w:right w:val="none" w:sz="0" w:space="0" w:color="auto"/>
      </w:divBdr>
      <w:divsChild>
        <w:div w:id="2100515590">
          <w:marLeft w:val="0"/>
          <w:marRight w:val="0"/>
          <w:marTop w:val="0"/>
          <w:marBottom w:val="0"/>
          <w:divBdr>
            <w:top w:val="none" w:sz="0" w:space="0" w:color="auto"/>
            <w:left w:val="none" w:sz="0" w:space="0" w:color="auto"/>
            <w:bottom w:val="none" w:sz="0" w:space="0" w:color="auto"/>
            <w:right w:val="none" w:sz="0" w:space="0" w:color="auto"/>
          </w:divBdr>
          <w:divsChild>
            <w:div w:id="578245821">
              <w:marLeft w:val="0"/>
              <w:marRight w:val="0"/>
              <w:marTop w:val="0"/>
              <w:marBottom w:val="0"/>
              <w:divBdr>
                <w:top w:val="none" w:sz="0" w:space="0" w:color="auto"/>
                <w:left w:val="none" w:sz="0" w:space="0" w:color="auto"/>
                <w:bottom w:val="none" w:sz="0" w:space="0" w:color="auto"/>
                <w:right w:val="none" w:sz="0" w:space="0" w:color="auto"/>
              </w:divBdr>
            </w:div>
          </w:divsChild>
        </w:div>
        <w:div w:id="656375238">
          <w:blockQuote w:val="1"/>
          <w:marLeft w:val="600"/>
          <w:marRight w:val="0"/>
          <w:marTop w:val="0"/>
          <w:marBottom w:val="0"/>
          <w:divBdr>
            <w:top w:val="none" w:sz="0" w:space="0" w:color="auto"/>
            <w:left w:val="none" w:sz="0" w:space="0" w:color="auto"/>
            <w:bottom w:val="none" w:sz="0" w:space="0" w:color="auto"/>
            <w:right w:val="none" w:sz="0" w:space="0" w:color="auto"/>
          </w:divBdr>
          <w:divsChild>
            <w:div w:id="111873826">
              <w:blockQuote w:val="1"/>
              <w:marLeft w:val="600"/>
              <w:marRight w:val="0"/>
              <w:marTop w:val="0"/>
              <w:marBottom w:val="0"/>
              <w:divBdr>
                <w:top w:val="none" w:sz="0" w:space="0" w:color="auto"/>
                <w:left w:val="none" w:sz="0" w:space="0" w:color="auto"/>
                <w:bottom w:val="none" w:sz="0" w:space="0" w:color="auto"/>
                <w:right w:val="none" w:sz="0" w:space="0" w:color="auto"/>
              </w:divBdr>
              <w:divsChild>
                <w:div w:id="1589343954">
                  <w:marLeft w:val="0"/>
                  <w:marRight w:val="0"/>
                  <w:marTop w:val="0"/>
                  <w:marBottom w:val="0"/>
                  <w:divBdr>
                    <w:top w:val="none" w:sz="0" w:space="0" w:color="auto"/>
                    <w:left w:val="none" w:sz="0" w:space="0" w:color="auto"/>
                    <w:bottom w:val="none" w:sz="0" w:space="0" w:color="auto"/>
                    <w:right w:val="none" w:sz="0" w:space="0" w:color="auto"/>
                  </w:divBdr>
                  <w:divsChild>
                    <w:div w:id="1706711345">
                      <w:marLeft w:val="0"/>
                      <w:marRight w:val="0"/>
                      <w:marTop w:val="0"/>
                      <w:marBottom w:val="0"/>
                      <w:divBdr>
                        <w:top w:val="none" w:sz="0" w:space="0" w:color="auto"/>
                        <w:left w:val="none" w:sz="0" w:space="0" w:color="auto"/>
                        <w:bottom w:val="none" w:sz="0" w:space="0" w:color="auto"/>
                        <w:right w:val="none" w:sz="0" w:space="0" w:color="auto"/>
                      </w:divBdr>
                      <w:divsChild>
                        <w:div w:id="466435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95029">
              <w:blockQuote w:val="1"/>
              <w:marLeft w:val="600"/>
              <w:marRight w:val="0"/>
              <w:marTop w:val="0"/>
              <w:marBottom w:val="0"/>
              <w:divBdr>
                <w:top w:val="none" w:sz="0" w:space="0" w:color="auto"/>
                <w:left w:val="none" w:sz="0" w:space="0" w:color="auto"/>
                <w:bottom w:val="none" w:sz="0" w:space="0" w:color="auto"/>
                <w:right w:val="none" w:sz="0" w:space="0" w:color="auto"/>
              </w:divBdr>
              <w:divsChild>
                <w:div w:id="1015233140">
                  <w:marLeft w:val="0"/>
                  <w:marRight w:val="0"/>
                  <w:marTop w:val="0"/>
                  <w:marBottom w:val="0"/>
                  <w:divBdr>
                    <w:top w:val="none" w:sz="0" w:space="0" w:color="auto"/>
                    <w:left w:val="none" w:sz="0" w:space="0" w:color="auto"/>
                    <w:bottom w:val="none" w:sz="0" w:space="0" w:color="auto"/>
                    <w:right w:val="none" w:sz="0" w:space="0" w:color="auto"/>
                  </w:divBdr>
                  <w:divsChild>
                    <w:div w:id="62550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275740">
              <w:blockQuote w:val="1"/>
              <w:marLeft w:val="600"/>
              <w:marRight w:val="0"/>
              <w:marTop w:val="0"/>
              <w:marBottom w:val="0"/>
              <w:divBdr>
                <w:top w:val="none" w:sz="0" w:space="0" w:color="auto"/>
                <w:left w:val="none" w:sz="0" w:space="0" w:color="auto"/>
                <w:bottom w:val="none" w:sz="0" w:space="0" w:color="auto"/>
                <w:right w:val="none" w:sz="0" w:space="0" w:color="auto"/>
              </w:divBdr>
              <w:divsChild>
                <w:div w:id="466514030">
                  <w:marLeft w:val="0"/>
                  <w:marRight w:val="0"/>
                  <w:marTop w:val="0"/>
                  <w:marBottom w:val="0"/>
                  <w:divBdr>
                    <w:top w:val="none" w:sz="0" w:space="0" w:color="auto"/>
                    <w:left w:val="none" w:sz="0" w:space="0" w:color="auto"/>
                    <w:bottom w:val="none" w:sz="0" w:space="0" w:color="auto"/>
                    <w:right w:val="none" w:sz="0" w:space="0" w:color="auto"/>
                  </w:divBdr>
                  <w:divsChild>
                    <w:div w:id="515313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967127">
              <w:blockQuote w:val="1"/>
              <w:marLeft w:val="600"/>
              <w:marRight w:val="0"/>
              <w:marTop w:val="0"/>
              <w:marBottom w:val="0"/>
              <w:divBdr>
                <w:top w:val="none" w:sz="0" w:space="0" w:color="auto"/>
                <w:left w:val="none" w:sz="0" w:space="0" w:color="auto"/>
                <w:bottom w:val="none" w:sz="0" w:space="0" w:color="auto"/>
                <w:right w:val="none" w:sz="0" w:space="0" w:color="auto"/>
              </w:divBdr>
              <w:divsChild>
                <w:div w:id="162167416">
                  <w:marLeft w:val="0"/>
                  <w:marRight w:val="0"/>
                  <w:marTop w:val="0"/>
                  <w:marBottom w:val="0"/>
                  <w:divBdr>
                    <w:top w:val="none" w:sz="0" w:space="0" w:color="auto"/>
                    <w:left w:val="none" w:sz="0" w:space="0" w:color="auto"/>
                    <w:bottom w:val="none" w:sz="0" w:space="0" w:color="auto"/>
                    <w:right w:val="none" w:sz="0" w:space="0" w:color="auto"/>
                  </w:divBdr>
                  <w:divsChild>
                    <w:div w:id="142927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0653390">
          <w:marLeft w:val="0"/>
          <w:marRight w:val="0"/>
          <w:marTop w:val="0"/>
          <w:marBottom w:val="0"/>
          <w:divBdr>
            <w:top w:val="none" w:sz="0" w:space="0" w:color="auto"/>
            <w:left w:val="none" w:sz="0" w:space="0" w:color="auto"/>
            <w:bottom w:val="none" w:sz="0" w:space="0" w:color="auto"/>
            <w:right w:val="none" w:sz="0" w:space="0" w:color="auto"/>
          </w:divBdr>
          <w:divsChild>
            <w:div w:id="1351490709">
              <w:marLeft w:val="0"/>
              <w:marRight w:val="0"/>
              <w:marTop w:val="0"/>
              <w:marBottom w:val="0"/>
              <w:divBdr>
                <w:top w:val="none" w:sz="0" w:space="0" w:color="auto"/>
                <w:left w:val="none" w:sz="0" w:space="0" w:color="auto"/>
                <w:bottom w:val="none" w:sz="0" w:space="0" w:color="auto"/>
                <w:right w:val="none" w:sz="0" w:space="0" w:color="auto"/>
              </w:divBdr>
            </w:div>
            <w:div w:id="1651326834">
              <w:marLeft w:val="0"/>
              <w:marRight w:val="0"/>
              <w:marTop w:val="0"/>
              <w:marBottom w:val="0"/>
              <w:divBdr>
                <w:top w:val="none" w:sz="0" w:space="0" w:color="auto"/>
                <w:left w:val="none" w:sz="0" w:space="0" w:color="auto"/>
                <w:bottom w:val="none" w:sz="0" w:space="0" w:color="auto"/>
                <w:right w:val="none" w:sz="0" w:space="0" w:color="auto"/>
              </w:divBdr>
              <w:divsChild>
                <w:div w:id="1138450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726234">
          <w:blockQuote w:val="1"/>
          <w:marLeft w:val="600"/>
          <w:marRight w:val="0"/>
          <w:marTop w:val="0"/>
          <w:marBottom w:val="0"/>
          <w:divBdr>
            <w:top w:val="none" w:sz="0" w:space="0" w:color="auto"/>
            <w:left w:val="none" w:sz="0" w:space="0" w:color="auto"/>
            <w:bottom w:val="none" w:sz="0" w:space="0" w:color="auto"/>
            <w:right w:val="none" w:sz="0" w:space="0" w:color="auto"/>
          </w:divBdr>
          <w:divsChild>
            <w:div w:id="1259144194">
              <w:blockQuote w:val="1"/>
              <w:marLeft w:val="600"/>
              <w:marRight w:val="0"/>
              <w:marTop w:val="0"/>
              <w:marBottom w:val="0"/>
              <w:divBdr>
                <w:top w:val="none" w:sz="0" w:space="0" w:color="auto"/>
                <w:left w:val="none" w:sz="0" w:space="0" w:color="auto"/>
                <w:bottom w:val="none" w:sz="0" w:space="0" w:color="auto"/>
                <w:right w:val="none" w:sz="0" w:space="0" w:color="auto"/>
              </w:divBdr>
              <w:divsChild>
                <w:div w:id="2044284275">
                  <w:marLeft w:val="0"/>
                  <w:marRight w:val="0"/>
                  <w:marTop w:val="0"/>
                  <w:marBottom w:val="0"/>
                  <w:divBdr>
                    <w:top w:val="none" w:sz="0" w:space="0" w:color="auto"/>
                    <w:left w:val="none" w:sz="0" w:space="0" w:color="auto"/>
                    <w:bottom w:val="none" w:sz="0" w:space="0" w:color="auto"/>
                    <w:right w:val="none" w:sz="0" w:space="0" w:color="auto"/>
                  </w:divBdr>
                  <w:divsChild>
                    <w:div w:id="291834744">
                      <w:marLeft w:val="0"/>
                      <w:marRight w:val="0"/>
                      <w:marTop w:val="0"/>
                      <w:marBottom w:val="0"/>
                      <w:divBdr>
                        <w:top w:val="none" w:sz="0" w:space="0" w:color="auto"/>
                        <w:left w:val="none" w:sz="0" w:space="0" w:color="auto"/>
                        <w:bottom w:val="none" w:sz="0" w:space="0" w:color="auto"/>
                        <w:right w:val="none" w:sz="0" w:space="0" w:color="auto"/>
                      </w:divBdr>
                      <w:divsChild>
                        <w:div w:id="771052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0631407">
              <w:blockQuote w:val="1"/>
              <w:marLeft w:val="600"/>
              <w:marRight w:val="0"/>
              <w:marTop w:val="0"/>
              <w:marBottom w:val="0"/>
              <w:divBdr>
                <w:top w:val="none" w:sz="0" w:space="0" w:color="auto"/>
                <w:left w:val="none" w:sz="0" w:space="0" w:color="auto"/>
                <w:bottom w:val="none" w:sz="0" w:space="0" w:color="auto"/>
                <w:right w:val="none" w:sz="0" w:space="0" w:color="auto"/>
              </w:divBdr>
              <w:divsChild>
                <w:div w:id="573317683">
                  <w:marLeft w:val="0"/>
                  <w:marRight w:val="0"/>
                  <w:marTop w:val="0"/>
                  <w:marBottom w:val="0"/>
                  <w:divBdr>
                    <w:top w:val="none" w:sz="0" w:space="0" w:color="auto"/>
                    <w:left w:val="none" w:sz="0" w:space="0" w:color="auto"/>
                    <w:bottom w:val="none" w:sz="0" w:space="0" w:color="auto"/>
                    <w:right w:val="none" w:sz="0" w:space="0" w:color="auto"/>
                  </w:divBdr>
                  <w:divsChild>
                    <w:div w:id="775247382">
                      <w:marLeft w:val="0"/>
                      <w:marRight w:val="0"/>
                      <w:marTop w:val="0"/>
                      <w:marBottom w:val="0"/>
                      <w:divBdr>
                        <w:top w:val="none" w:sz="0" w:space="0" w:color="auto"/>
                        <w:left w:val="none" w:sz="0" w:space="0" w:color="auto"/>
                        <w:bottom w:val="none" w:sz="0" w:space="0" w:color="auto"/>
                        <w:right w:val="none" w:sz="0" w:space="0" w:color="auto"/>
                      </w:divBdr>
                      <w:divsChild>
                        <w:div w:id="1070038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2099228">
              <w:blockQuote w:val="1"/>
              <w:marLeft w:val="600"/>
              <w:marRight w:val="0"/>
              <w:marTop w:val="0"/>
              <w:marBottom w:val="0"/>
              <w:divBdr>
                <w:top w:val="none" w:sz="0" w:space="0" w:color="auto"/>
                <w:left w:val="none" w:sz="0" w:space="0" w:color="auto"/>
                <w:bottom w:val="none" w:sz="0" w:space="0" w:color="auto"/>
                <w:right w:val="none" w:sz="0" w:space="0" w:color="auto"/>
              </w:divBdr>
              <w:divsChild>
                <w:div w:id="1055665066">
                  <w:marLeft w:val="0"/>
                  <w:marRight w:val="0"/>
                  <w:marTop w:val="0"/>
                  <w:marBottom w:val="0"/>
                  <w:divBdr>
                    <w:top w:val="none" w:sz="0" w:space="0" w:color="auto"/>
                    <w:left w:val="none" w:sz="0" w:space="0" w:color="auto"/>
                    <w:bottom w:val="none" w:sz="0" w:space="0" w:color="auto"/>
                    <w:right w:val="none" w:sz="0" w:space="0" w:color="auto"/>
                  </w:divBdr>
                  <w:divsChild>
                    <w:div w:id="1645770345">
                      <w:marLeft w:val="0"/>
                      <w:marRight w:val="0"/>
                      <w:marTop w:val="0"/>
                      <w:marBottom w:val="0"/>
                      <w:divBdr>
                        <w:top w:val="none" w:sz="0" w:space="0" w:color="auto"/>
                        <w:left w:val="none" w:sz="0" w:space="0" w:color="auto"/>
                        <w:bottom w:val="none" w:sz="0" w:space="0" w:color="auto"/>
                        <w:right w:val="none" w:sz="0" w:space="0" w:color="auto"/>
                      </w:divBdr>
                      <w:divsChild>
                        <w:div w:id="65792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2751451">
          <w:marLeft w:val="0"/>
          <w:marRight w:val="0"/>
          <w:marTop w:val="0"/>
          <w:marBottom w:val="0"/>
          <w:divBdr>
            <w:top w:val="none" w:sz="0" w:space="0" w:color="auto"/>
            <w:left w:val="none" w:sz="0" w:space="0" w:color="auto"/>
            <w:bottom w:val="none" w:sz="0" w:space="0" w:color="auto"/>
            <w:right w:val="none" w:sz="0" w:space="0" w:color="auto"/>
          </w:divBdr>
          <w:divsChild>
            <w:div w:id="340665066">
              <w:marLeft w:val="0"/>
              <w:marRight w:val="0"/>
              <w:marTop w:val="0"/>
              <w:marBottom w:val="0"/>
              <w:divBdr>
                <w:top w:val="none" w:sz="0" w:space="0" w:color="auto"/>
                <w:left w:val="none" w:sz="0" w:space="0" w:color="auto"/>
                <w:bottom w:val="none" w:sz="0" w:space="0" w:color="auto"/>
                <w:right w:val="none" w:sz="0" w:space="0" w:color="auto"/>
              </w:divBdr>
              <w:divsChild>
                <w:div w:id="319770305">
                  <w:marLeft w:val="0"/>
                  <w:marRight w:val="0"/>
                  <w:marTop w:val="0"/>
                  <w:marBottom w:val="0"/>
                  <w:divBdr>
                    <w:top w:val="none" w:sz="0" w:space="0" w:color="auto"/>
                    <w:left w:val="none" w:sz="0" w:space="0" w:color="auto"/>
                    <w:bottom w:val="none" w:sz="0" w:space="0" w:color="auto"/>
                    <w:right w:val="none" w:sz="0" w:space="0" w:color="auto"/>
                  </w:divBdr>
                </w:div>
                <w:div w:id="121466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356945">
          <w:blockQuote w:val="1"/>
          <w:marLeft w:val="600"/>
          <w:marRight w:val="0"/>
          <w:marTop w:val="0"/>
          <w:marBottom w:val="0"/>
          <w:divBdr>
            <w:top w:val="none" w:sz="0" w:space="0" w:color="auto"/>
            <w:left w:val="none" w:sz="0" w:space="0" w:color="auto"/>
            <w:bottom w:val="none" w:sz="0" w:space="0" w:color="auto"/>
            <w:right w:val="none" w:sz="0" w:space="0" w:color="auto"/>
          </w:divBdr>
          <w:divsChild>
            <w:div w:id="922497293">
              <w:blockQuote w:val="1"/>
              <w:marLeft w:val="600"/>
              <w:marRight w:val="0"/>
              <w:marTop w:val="0"/>
              <w:marBottom w:val="0"/>
              <w:divBdr>
                <w:top w:val="none" w:sz="0" w:space="0" w:color="auto"/>
                <w:left w:val="none" w:sz="0" w:space="0" w:color="auto"/>
                <w:bottom w:val="none" w:sz="0" w:space="0" w:color="auto"/>
                <w:right w:val="none" w:sz="0" w:space="0" w:color="auto"/>
              </w:divBdr>
              <w:divsChild>
                <w:div w:id="2027629095">
                  <w:marLeft w:val="0"/>
                  <w:marRight w:val="0"/>
                  <w:marTop w:val="0"/>
                  <w:marBottom w:val="0"/>
                  <w:divBdr>
                    <w:top w:val="none" w:sz="0" w:space="0" w:color="auto"/>
                    <w:left w:val="none" w:sz="0" w:space="0" w:color="auto"/>
                    <w:bottom w:val="none" w:sz="0" w:space="0" w:color="auto"/>
                    <w:right w:val="none" w:sz="0" w:space="0" w:color="auto"/>
                  </w:divBdr>
                  <w:divsChild>
                    <w:div w:id="395055555">
                      <w:marLeft w:val="0"/>
                      <w:marRight w:val="0"/>
                      <w:marTop w:val="0"/>
                      <w:marBottom w:val="0"/>
                      <w:divBdr>
                        <w:top w:val="none" w:sz="0" w:space="0" w:color="auto"/>
                        <w:left w:val="none" w:sz="0" w:space="0" w:color="auto"/>
                        <w:bottom w:val="none" w:sz="0" w:space="0" w:color="auto"/>
                        <w:right w:val="none" w:sz="0" w:space="0" w:color="auto"/>
                      </w:divBdr>
                      <w:divsChild>
                        <w:div w:id="32146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6266369">
              <w:blockQuote w:val="1"/>
              <w:marLeft w:val="600"/>
              <w:marRight w:val="0"/>
              <w:marTop w:val="0"/>
              <w:marBottom w:val="0"/>
              <w:divBdr>
                <w:top w:val="none" w:sz="0" w:space="0" w:color="auto"/>
                <w:left w:val="none" w:sz="0" w:space="0" w:color="auto"/>
                <w:bottom w:val="none" w:sz="0" w:space="0" w:color="auto"/>
                <w:right w:val="none" w:sz="0" w:space="0" w:color="auto"/>
              </w:divBdr>
              <w:divsChild>
                <w:div w:id="9649936">
                  <w:marLeft w:val="0"/>
                  <w:marRight w:val="0"/>
                  <w:marTop w:val="0"/>
                  <w:marBottom w:val="0"/>
                  <w:divBdr>
                    <w:top w:val="none" w:sz="0" w:space="0" w:color="auto"/>
                    <w:left w:val="none" w:sz="0" w:space="0" w:color="auto"/>
                    <w:bottom w:val="none" w:sz="0" w:space="0" w:color="auto"/>
                    <w:right w:val="none" w:sz="0" w:space="0" w:color="auto"/>
                  </w:divBdr>
                  <w:divsChild>
                    <w:div w:id="829978519">
                      <w:marLeft w:val="0"/>
                      <w:marRight w:val="0"/>
                      <w:marTop w:val="0"/>
                      <w:marBottom w:val="0"/>
                      <w:divBdr>
                        <w:top w:val="none" w:sz="0" w:space="0" w:color="auto"/>
                        <w:left w:val="none" w:sz="0" w:space="0" w:color="auto"/>
                        <w:bottom w:val="none" w:sz="0" w:space="0" w:color="auto"/>
                        <w:right w:val="none" w:sz="0" w:space="0" w:color="auto"/>
                      </w:divBdr>
                      <w:divsChild>
                        <w:div w:id="1267495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0201762">
              <w:blockQuote w:val="1"/>
              <w:marLeft w:val="600"/>
              <w:marRight w:val="0"/>
              <w:marTop w:val="0"/>
              <w:marBottom w:val="0"/>
              <w:divBdr>
                <w:top w:val="none" w:sz="0" w:space="0" w:color="auto"/>
                <w:left w:val="none" w:sz="0" w:space="0" w:color="auto"/>
                <w:bottom w:val="none" w:sz="0" w:space="0" w:color="auto"/>
                <w:right w:val="none" w:sz="0" w:space="0" w:color="auto"/>
              </w:divBdr>
              <w:divsChild>
                <w:div w:id="2140800441">
                  <w:marLeft w:val="0"/>
                  <w:marRight w:val="0"/>
                  <w:marTop w:val="0"/>
                  <w:marBottom w:val="0"/>
                  <w:divBdr>
                    <w:top w:val="none" w:sz="0" w:space="0" w:color="auto"/>
                    <w:left w:val="none" w:sz="0" w:space="0" w:color="auto"/>
                    <w:bottom w:val="none" w:sz="0" w:space="0" w:color="auto"/>
                    <w:right w:val="none" w:sz="0" w:space="0" w:color="auto"/>
                  </w:divBdr>
                  <w:divsChild>
                    <w:div w:id="2041663527">
                      <w:marLeft w:val="0"/>
                      <w:marRight w:val="0"/>
                      <w:marTop w:val="0"/>
                      <w:marBottom w:val="0"/>
                      <w:divBdr>
                        <w:top w:val="none" w:sz="0" w:space="0" w:color="auto"/>
                        <w:left w:val="none" w:sz="0" w:space="0" w:color="auto"/>
                        <w:bottom w:val="none" w:sz="0" w:space="0" w:color="auto"/>
                        <w:right w:val="none" w:sz="0" w:space="0" w:color="auto"/>
                      </w:divBdr>
                      <w:divsChild>
                        <w:div w:id="121381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110700">
              <w:blockQuote w:val="1"/>
              <w:marLeft w:val="600"/>
              <w:marRight w:val="0"/>
              <w:marTop w:val="0"/>
              <w:marBottom w:val="0"/>
              <w:divBdr>
                <w:top w:val="none" w:sz="0" w:space="0" w:color="auto"/>
                <w:left w:val="none" w:sz="0" w:space="0" w:color="auto"/>
                <w:bottom w:val="none" w:sz="0" w:space="0" w:color="auto"/>
                <w:right w:val="none" w:sz="0" w:space="0" w:color="auto"/>
              </w:divBdr>
              <w:divsChild>
                <w:div w:id="1698654640">
                  <w:marLeft w:val="0"/>
                  <w:marRight w:val="0"/>
                  <w:marTop w:val="0"/>
                  <w:marBottom w:val="0"/>
                  <w:divBdr>
                    <w:top w:val="none" w:sz="0" w:space="0" w:color="auto"/>
                    <w:left w:val="none" w:sz="0" w:space="0" w:color="auto"/>
                    <w:bottom w:val="none" w:sz="0" w:space="0" w:color="auto"/>
                    <w:right w:val="none" w:sz="0" w:space="0" w:color="auto"/>
                  </w:divBdr>
                  <w:divsChild>
                    <w:div w:id="1273512223">
                      <w:marLeft w:val="0"/>
                      <w:marRight w:val="0"/>
                      <w:marTop w:val="0"/>
                      <w:marBottom w:val="0"/>
                      <w:divBdr>
                        <w:top w:val="none" w:sz="0" w:space="0" w:color="auto"/>
                        <w:left w:val="none" w:sz="0" w:space="0" w:color="auto"/>
                        <w:bottom w:val="none" w:sz="0" w:space="0" w:color="auto"/>
                        <w:right w:val="none" w:sz="0" w:space="0" w:color="auto"/>
                      </w:divBdr>
                      <w:divsChild>
                        <w:div w:id="121296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448796">
              <w:blockQuote w:val="1"/>
              <w:marLeft w:val="600"/>
              <w:marRight w:val="0"/>
              <w:marTop w:val="0"/>
              <w:marBottom w:val="0"/>
              <w:divBdr>
                <w:top w:val="none" w:sz="0" w:space="0" w:color="auto"/>
                <w:left w:val="none" w:sz="0" w:space="0" w:color="auto"/>
                <w:bottom w:val="none" w:sz="0" w:space="0" w:color="auto"/>
                <w:right w:val="none" w:sz="0" w:space="0" w:color="auto"/>
              </w:divBdr>
              <w:divsChild>
                <w:div w:id="1538352236">
                  <w:marLeft w:val="0"/>
                  <w:marRight w:val="0"/>
                  <w:marTop w:val="0"/>
                  <w:marBottom w:val="0"/>
                  <w:divBdr>
                    <w:top w:val="none" w:sz="0" w:space="0" w:color="auto"/>
                    <w:left w:val="none" w:sz="0" w:space="0" w:color="auto"/>
                    <w:bottom w:val="none" w:sz="0" w:space="0" w:color="auto"/>
                    <w:right w:val="none" w:sz="0" w:space="0" w:color="auto"/>
                  </w:divBdr>
                  <w:divsChild>
                    <w:div w:id="331304187">
                      <w:marLeft w:val="0"/>
                      <w:marRight w:val="0"/>
                      <w:marTop w:val="0"/>
                      <w:marBottom w:val="0"/>
                      <w:divBdr>
                        <w:top w:val="none" w:sz="0" w:space="0" w:color="auto"/>
                        <w:left w:val="none" w:sz="0" w:space="0" w:color="auto"/>
                        <w:bottom w:val="none" w:sz="0" w:space="0" w:color="auto"/>
                        <w:right w:val="none" w:sz="0" w:space="0" w:color="auto"/>
                      </w:divBdr>
                      <w:divsChild>
                        <w:div w:id="24846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296555">
              <w:blockQuote w:val="1"/>
              <w:marLeft w:val="600"/>
              <w:marRight w:val="0"/>
              <w:marTop w:val="0"/>
              <w:marBottom w:val="0"/>
              <w:divBdr>
                <w:top w:val="none" w:sz="0" w:space="0" w:color="auto"/>
                <w:left w:val="none" w:sz="0" w:space="0" w:color="auto"/>
                <w:bottom w:val="none" w:sz="0" w:space="0" w:color="auto"/>
                <w:right w:val="none" w:sz="0" w:space="0" w:color="auto"/>
              </w:divBdr>
              <w:divsChild>
                <w:div w:id="330068688">
                  <w:marLeft w:val="0"/>
                  <w:marRight w:val="0"/>
                  <w:marTop w:val="0"/>
                  <w:marBottom w:val="0"/>
                  <w:divBdr>
                    <w:top w:val="none" w:sz="0" w:space="0" w:color="auto"/>
                    <w:left w:val="none" w:sz="0" w:space="0" w:color="auto"/>
                    <w:bottom w:val="none" w:sz="0" w:space="0" w:color="auto"/>
                    <w:right w:val="none" w:sz="0" w:space="0" w:color="auto"/>
                  </w:divBdr>
                  <w:divsChild>
                    <w:div w:id="1293709020">
                      <w:marLeft w:val="0"/>
                      <w:marRight w:val="0"/>
                      <w:marTop w:val="0"/>
                      <w:marBottom w:val="0"/>
                      <w:divBdr>
                        <w:top w:val="none" w:sz="0" w:space="0" w:color="auto"/>
                        <w:left w:val="none" w:sz="0" w:space="0" w:color="auto"/>
                        <w:bottom w:val="none" w:sz="0" w:space="0" w:color="auto"/>
                        <w:right w:val="none" w:sz="0" w:space="0" w:color="auto"/>
                      </w:divBdr>
                      <w:divsChild>
                        <w:div w:id="2113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5350270">
          <w:marLeft w:val="0"/>
          <w:marRight w:val="0"/>
          <w:marTop w:val="0"/>
          <w:marBottom w:val="0"/>
          <w:divBdr>
            <w:top w:val="none" w:sz="0" w:space="0" w:color="auto"/>
            <w:left w:val="none" w:sz="0" w:space="0" w:color="auto"/>
            <w:bottom w:val="none" w:sz="0" w:space="0" w:color="auto"/>
            <w:right w:val="none" w:sz="0" w:space="0" w:color="auto"/>
          </w:divBdr>
          <w:divsChild>
            <w:div w:id="1696081931">
              <w:marLeft w:val="0"/>
              <w:marRight w:val="0"/>
              <w:marTop w:val="0"/>
              <w:marBottom w:val="0"/>
              <w:divBdr>
                <w:top w:val="none" w:sz="0" w:space="0" w:color="auto"/>
                <w:left w:val="none" w:sz="0" w:space="0" w:color="auto"/>
                <w:bottom w:val="none" w:sz="0" w:space="0" w:color="auto"/>
                <w:right w:val="none" w:sz="0" w:space="0" w:color="auto"/>
              </w:divBdr>
              <w:divsChild>
                <w:div w:id="1980762812">
                  <w:marLeft w:val="0"/>
                  <w:marRight w:val="0"/>
                  <w:marTop w:val="0"/>
                  <w:marBottom w:val="0"/>
                  <w:divBdr>
                    <w:top w:val="none" w:sz="0" w:space="0" w:color="auto"/>
                    <w:left w:val="none" w:sz="0" w:space="0" w:color="auto"/>
                    <w:bottom w:val="none" w:sz="0" w:space="0" w:color="auto"/>
                    <w:right w:val="none" w:sz="0" w:space="0" w:color="auto"/>
                  </w:divBdr>
                </w:div>
                <w:div w:id="1627735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0238503">
      <w:bodyDiv w:val="1"/>
      <w:marLeft w:val="0"/>
      <w:marRight w:val="0"/>
      <w:marTop w:val="0"/>
      <w:marBottom w:val="0"/>
      <w:divBdr>
        <w:top w:val="none" w:sz="0" w:space="0" w:color="auto"/>
        <w:left w:val="none" w:sz="0" w:space="0" w:color="auto"/>
        <w:bottom w:val="none" w:sz="0" w:space="0" w:color="auto"/>
        <w:right w:val="none" w:sz="0" w:space="0" w:color="auto"/>
      </w:divBdr>
    </w:div>
    <w:div w:id="1596207592">
      <w:bodyDiv w:val="1"/>
      <w:marLeft w:val="0"/>
      <w:marRight w:val="0"/>
      <w:marTop w:val="0"/>
      <w:marBottom w:val="0"/>
      <w:divBdr>
        <w:top w:val="none" w:sz="0" w:space="0" w:color="auto"/>
        <w:left w:val="none" w:sz="0" w:space="0" w:color="auto"/>
        <w:bottom w:val="none" w:sz="0" w:space="0" w:color="auto"/>
        <w:right w:val="none" w:sz="0" w:space="0" w:color="auto"/>
      </w:divBdr>
    </w:div>
    <w:div w:id="1601329495">
      <w:bodyDiv w:val="1"/>
      <w:marLeft w:val="0"/>
      <w:marRight w:val="0"/>
      <w:marTop w:val="0"/>
      <w:marBottom w:val="0"/>
      <w:divBdr>
        <w:top w:val="none" w:sz="0" w:space="0" w:color="auto"/>
        <w:left w:val="none" w:sz="0" w:space="0" w:color="auto"/>
        <w:bottom w:val="none" w:sz="0" w:space="0" w:color="auto"/>
        <w:right w:val="none" w:sz="0" w:space="0" w:color="auto"/>
      </w:divBdr>
    </w:div>
    <w:div w:id="1614094287">
      <w:bodyDiv w:val="1"/>
      <w:marLeft w:val="0"/>
      <w:marRight w:val="0"/>
      <w:marTop w:val="0"/>
      <w:marBottom w:val="0"/>
      <w:divBdr>
        <w:top w:val="none" w:sz="0" w:space="0" w:color="auto"/>
        <w:left w:val="none" w:sz="0" w:space="0" w:color="auto"/>
        <w:bottom w:val="none" w:sz="0" w:space="0" w:color="auto"/>
        <w:right w:val="none" w:sz="0" w:space="0" w:color="auto"/>
      </w:divBdr>
    </w:div>
    <w:div w:id="1614901134">
      <w:bodyDiv w:val="1"/>
      <w:marLeft w:val="0"/>
      <w:marRight w:val="0"/>
      <w:marTop w:val="0"/>
      <w:marBottom w:val="0"/>
      <w:divBdr>
        <w:top w:val="none" w:sz="0" w:space="0" w:color="auto"/>
        <w:left w:val="none" w:sz="0" w:space="0" w:color="auto"/>
        <w:bottom w:val="none" w:sz="0" w:space="0" w:color="auto"/>
        <w:right w:val="none" w:sz="0" w:space="0" w:color="auto"/>
      </w:divBdr>
    </w:div>
    <w:div w:id="1619067109">
      <w:bodyDiv w:val="1"/>
      <w:marLeft w:val="0"/>
      <w:marRight w:val="0"/>
      <w:marTop w:val="0"/>
      <w:marBottom w:val="0"/>
      <w:divBdr>
        <w:top w:val="none" w:sz="0" w:space="0" w:color="auto"/>
        <w:left w:val="none" w:sz="0" w:space="0" w:color="auto"/>
        <w:bottom w:val="none" w:sz="0" w:space="0" w:color="auto"/>
        <w:right w:val="none" w:sz="0" w:space="0" w:color="auto"/>
      </w:divBdr>
    </w:div>
    <w:div w:id="1622418497">
      <w:bodyDiv w:val="1"/>
      <w:marLeft w:val="0"/>
      <w:marRight w:val="0"/>
      <w:marTop w:val="0"/>
      <w:marBottom w:val="0"/>
      <w:divBdr>
        <w:top w:val="none" w:sz="0" w:space="0" w:color="auto"/>
        <w:left w:val="none" w:sz="0" w:space="0" w:color="auto"/>
        <w:bottom w:val="none" w:sz="0" w:space="0" w:color="auto"/>
        <w:right w:val="none" w:sz="0" w:space="0" w:color="auto"/>
      </w:divBdr>
      <w:divsChild>
        <w:div w:id="1985574549">
          <w:marLeft w:val="0"/>
          <w:marRight w:val="0"/>
          <w:marTop w:val="0"/>
          <w:marBottom w:val="0"/>
          <w:divBdr>
            <w:top w:val="none" w:sz="0" w:space="0" w:color="auto"/>
            <w:left w:val="none" w:sz="0" w:space="0" w:color="auto"/>
            <w:bottom w:val="none" w:sz="0" w:space="0" w:color="auto"/>
            <w:right w:val="none" w:sz="0" w:space="0" w:color="auto"/>
          </w:divBdr>
          <w:divsChild>
            <w:div w:id="632835754">
              <w:marLeft w:val="0"/>
              <w:marRight w:val="0"/>
              <w:marTop w:val="0"/>
              <w:marBottom w:val="0"/>
              <w:divBdr>
                <w:top w:val="none" w:sz="0" w:space="0" w:color="auto"/>
                <w:left w:val="none" w:sz="0" w:space="0" w:color="auto"/>
                <w:bottom w:val="none" w:sz="0" w:space="0" w:color="auto"/>
                <w:right w:val="none" w:sz="0" w:space="0" w:color="auto"/>
              </w:divBdr>
              <w:divsChild>
                <w:div w:id="841696715">
                  <w:marLeft w:val="0"/>
                  <w:marRight w:val="0"/>
                  <w:marTop w:val="0"/>
                  <w:marBottom w:val="0"/>
                  <w:divBdr>
                    <w:top w:val="none" w:sz="0" w:space="0" w:color="auto"/>
                    <w:left w:val="none" w:sz="0" w:space="0" w:color="auto"/>
                    <w:bottom w:val="none" w:sz="0" w:space="0" w:color="auto"/>
                    <w:right w:val="none" w:sz="0" w:space="0" w:color="auto"/>
                  </w:divBdr>
                  <w:divsChild>
                    <w:div w:id="1419786072">
                      <w:marLeft w:val="0"/>
                      <w:marRight w:val="0"/>
                      <w:marTop w:val="0"/>
                      <w:marBottom w:val="0"/>
                      <w:divBdr>
                        <w:top w:val="none" w:sz="0" w:space="0" w:color="auto"/>
                        <w:left w:val="none" w:sz="0" w:space="0" w:color="auto"/>
                        <w:bottom w:val="none" w:sz="0" w:space="0" w:color="auto"/>
                        <w:right w:val="none" w:sz="0" w:space="0" w:color="auto"/>
                      </w:divBdr>
                    </w:div>
                  </w:divsChild>
                </w:div>
                <w:div w:id="192773848">
                  <w:marLeft w:val="0"/>
                  <w:marRight w:val="0"/>
                  <w:marTop w:val="0"/>
                  <w:marBottom w:val="0"/>
                  <w:divBdr>
                    <w:top w:val="none" w:sz="0" w:space="0" w:color="auto"/>
                    <w:left w:val="none" w:sz="0" w:space="0" w:color="auto"/>
                    <w:bottom w:val="none" w:sz="0" w:space="0" w:color="auto"/>
                    <w:right w:val="none" w:sz="0" w:space="0" w:color="auto"/>
                  </w:divBdr>
                  <w:divsChild>
                    <w:div w:id="280655086">
                      <w:marLeft w:val="0"/>
                      <w:marRight w:val="0"/>
                      <w:marTop w:val="0"/>
                      <w:marBottom w:val="0"/>
                      <w:divBdr>
                        <w:top w:val="none" w:sz="0" w:space="0" w:color="auto"/>
                        <w:left w:val="none" w:sz="0" w:space="0" w:color="auto"/>
                        <w:bottom w:val="none" w:sz="0" w:space="0" w:color="auto"/>
                        <w:right w:val="none" w:sz="0" w:space="0" w:color="auto"/>
                      </w:divBdr>
                    </w:div>
                  </w:divsChild>
                </w:div>
                <w:div w:id="195237933">
                  <w:marLeft w:val="0"/>
                  <w:marRight w:val="0"/>
                  <w:marTop w:val="0"/>
                  <w:marBottom w:val="0"/>
                  <w:divBdr>
                    <w:top w:val="none" w:sz="0" w:space="0" w:color="auto"/>
                    <w:left w:val="none" w:sz="0" w:space="0" w:color="auto"/>
                    <w:bottom w:val="none" w:sz="0" w:space="0" w:color="auto"/>
                    <w:right w:val="none" w:sz="0" w:space="0" w:color="auto"/>
                  </w:divBdr>
                  <w:divsChild>
                    <w:div w:id="1656907643">
                      <w:marLeft w:val="0"/>
                      <w:marRight w:val="0"/>
                      <w:marTop w:val="0"/>
                      <w:marBottom w:val="0"/>
                      <w:divBdr>
                        <w:top w:val="none" w:sz="0" w:space="0" w:color="auto"/>
                        <w:left w:val="none" w:sz="0" w:space="0" w:color="auto"/>
                        <w:bottom w:val="none" w:sz="0" w:space="0" w:color="auto"/>
                        <w:right w:val="none" w:sz="0" w:space="0" w:color="auto"/>
                      </w:divBdr>
                    </w:div>
                  </w:divsChild>
                </w:div>
                <w:div w:id="716704166">
                  <w:marLeft w:val="0"/>
                  <w:marRight w:val="0"/>
                  <w:marTop w:val="0"/>
                  <w:marBottom w:val="0"/>
                  <w:divBdr>
                    <w:top w:val="none" w:sz="0" w:space="0" w:color="auto"/>
                    <w:left w:val="none" w:sz="0" w:space="0" w:color="auto"/>
                    <w:bottom w:val="none" w:sz="0" w:space="0" w:color="auto"/>
                    <w:right w:val="none" w:sz="0" w:space="0" w:color="auto"/>
                  </w:divBdr>
                  <w:divsChild>
                    <w:div w:id="2095979600">
                      <w:marLeft w:val="0"/>
                      <w:marRight w:val="0"/>
                      <w:marTop w:val="0"/>
                      <w:marBottom w:val="0"/>
                      <w:divBdr>
                        <w:top w:val="none" w:sz="0" w:space="0" w:color="auto"/>
                        <w:left w:val="none" w:sz="0" w:space="0" w:color="auto"/>
                        <w:bottom w:val="none" w:sz="0" w:space="0" w:color="auto"/>
                        <w:right w:val="none" w:sz="0" w:space="0" w:color="auto"/>
                      </w:divBdr>
                    </w:div>
                  </w:divsChild>
                </w:div>
                <w:div w:id="1268347137">
                  <w:marLeft w:val="0"/>
                  <w:marRight w:val="0"/>
                  <w:marTop w:val="0"/>
                  <w:marBottom w:val="0"/>
                  <w:divBdr>
                    <w:top w:val="none" w:sz="0" w:space="0" w:color="auto"/>
                    <w:left w:val="none" w:sz="0" w:space="0" w:color="auto"/>
                    <w:bottom w:val="none" w:sz="0" w:space="0" w:color="auto"/>
                    <w:right w:val="none" w:sz="0" w:space="0" w:color="auto"/>
                  </w:divBdr>
                  <w:divsChild>
                    <w:div w:id="1949847721">
                      <w:marLeft w:val="0"/>
                      <w:marRight w:val="0"/>
                      <w:marTop w:val="0"/>
                      <w:marBottom w:val="0"/>
                      <w:divBdr>
                        <w:top w:val="none" w:sz="0" w:space="0" w:color="auto"/>
                        <w:left w:val="none" w:sz="0" w:space="0" w:color="auto"/>
                        <w:bottom w:val="none" w:sz="0" w:space="0" w:color="auto"/>
                        <w:right w:val="none" w:sz="0" w:space="0" w:color="auto"/>
                      </w:divBdr>
                      <w:divsChild>
                        <w:div w:id="854269243">
                          <w:marLeft w:val="0"/>
                          <w:marRight w:val="0"/>
                          <w:marTop w:val="0"/>
                          <w:marBottom w:val="0"/>
                          <w:divBdr>
                            <w:top w:val="none" w:sz="0" w:space="0" w:color="auto"/>
                            <w:left w:val="none" w:sz="0" w:space="0" w:color="auto"/>
                            <w:bottom w:val="none" w:sz="0" w:space="0" w:color="auto"/>
                            <w:right w:val="none" w:sz="0" w:space="0" w:color="auto"/>
                          </w:divBdr>
                        </w:div>
                      </w:divsChild>
                    </w:div>
                    <w:div w:id="722950558">
                      <w:marLeft w:val="0"/>
                      <w:marRight w:val="0"/>
                      <w:marTop w:val="0"/>
                      <w:marBottom w:val="0"/>
                      <w:divBdr>
                        <w:top w:val="none" w:sz="0" w:space="0" w:color="auto"/>
                        <w:left w:val="none" w:sz="0" w:space="0" w:color="auto"/>
                        <w:bottom w:val="none" w:sz="0" w:space="0" w:color="auto"/>
                        <w:right w:val="none" w:sz="0" w:space="0" w:color="auto"/>
                      </w:divBdr>
                      <w:divsChild>
                        <w:div w:id="2074771069">
                          <w:marLeft w:val="0"/>
                          <w:marRight w:val="0"/>
                          <w:marTop w:val="0"/>
                          <w:marBottom w:val="0"/>
                          <w:divBdr>
                            <w:top w:val="none" w:sz="0" w:space="0" w:color="auto"/>
                            <w:left w:val="none" w:sz="0" w:space="0" w:color="auto"/>
                            <w:bottom w:val="none" w:sz="0" w:space="0" w:color="auto"/>
                            <w:right w:val="none" w:sz="0" w:space="0" w:color="auto"/>
                          </w:divBdr>
                        </w:div>
                      </w:divsChild>
                    </w:div>
                    <w:div w:id="1059399072">
                      <w:marLeft w:val="0"/>
                      <w:marRight w:val="0"/>
                      <w:marTop w:val="0"/>
                      <w:marBottom w:val="0"/>
                      <w:divBdr>
                        <w:top w:val="none" w:sz="0" w:space="0" w:color="auto"/>
                        <w:left w:val="none" w:sz="0" w:space="0" w:color="auto"/>
                        <w:bottom w:val="none" w:sz="0" w:space="0" w:color="auto"/>
                        <w:right w:val="none" w:sz="0" w:space="0" w:color="auto"/>
                      </w:divBdr>
                      <w:divsChild>
                        <w:div w:id="318121348">
                          <w:marLeft w:val="0"/>
                          <w:marRight w:val="0"/>
                          <w:marTop w:val="0"/>
                          <w:marBottom w:val="0"/>
                          <w:divBdr>
                            <w:top w:val="none" w:sz="0" w:space="0" w:color="auto"/>
                            <w:left w:val="none" w:sz="0" w:space="0" w:color="auto"/>
                            <w:bottom w:val="none" w:sz="0" w:space="0" w:color="auto"/>
                            <w:right w:val="none" w:sz="0" w:space="0" w:color="auto"/>
                          </w:divBdr>
                        </w:div>
                      </w:divsChild>
                    </w:div>
                    <w:div w:id="985545809">
                      <w:marLeft w:val="0"/>
                      <w:marRight w:val="0"/>
                      <w:marTop w:val="0"/>
                      <w:marBottom w:val="0"/>
                      <w:divBdr>
                        <w:top w:val="none" w:sz="0" w:space="0" w:color="auto"/>
                        <w:left w:val="none" w:sz="0" w:space="0" w:color="auto"/>
                        <w:bottom w:val="none" w:sz="0" w:space="0" w:color="auto"/>
                        <w:right w:val="none" w:sz="0" w:space="0" w:color="auto"/>
                      </w:divBdr>
                      <w:divsChild>
                        <w:div w:id="127481684">
                          <w:marLeft w:val="0"/>
                          <w:marRight w:val="0"/>
                          <w:marTop w:val="0"/>
                          <w:marBottom w:val="0"/>
                          <w:divBdr>
                            <w:top w:val="none" w:sz="0" w:space="0" w:color="auto"/>
                            <w:left w:val="none" w:sz="0" w:space="0" w:color="auto"/>
                            <w:bottom w:val="none" w:sz="0" w:space="0" w:color="auto"/>
                            <w:right w:val="none" w:sz="0" w:space="0" w:color="auto"/>
                          </w:divBdr>
                        </w:div>
                      </w:divsChild>
                    </w:div>
                    <w:div w:id="970745688">
                      <w:marLeft w:val="0"/>
                      <w:marRight w:val="0"/>
                      <w:marTop w:val="0"/>
                      <w:marBottom w:val="0"/>
                      <w:divBdr>
                        <w:top w:val="none" w:sz="0" w:space="0" w:color="auto"/>
                        <w:left w:val="none" w:sz="0" w:space="0" w:color="auto"/>
                        <w:bottom w:val="none" w:sz="0" w:space="0" w:color="auto"/>
                        <w:right w:val="none" w:sz="0" w:space="0" w:color="auto"/>
                      </w:divBdr>
                      <w:divsChild>
                        <w:div w:id="401102041">
                          <w:marLeft w:val="0"/>
                          <w:marRight w:val="0"/>
                          <w:marTop w:val="0"/>
                          <w:marBottom w:val="0"/>
                          <w:divBdr>
                            <w:top w:val="none" w:sz="0" w:space="0" w:color="auto"/>
                            <w:left w:val="none" w:sz="0" w:space="0" w:color="auto"/>
                            <w:bottom w:val="none" w:sz="0" w:space="0" w:color="auto"/>
                            <w:right w:val="none" w:sz="0" w:space="0" w:color="auto"/>
                          </w:divBdr>
                        </w:div>
                      </w:divsChild>
                    </w:div>
                    <w:div w:id="1597516611">
                      <w:marLeft w:val="0"/>
                      <w:marRight w:val="0"/>
                      <w:marTop w:val="0"/>
                      <w:marBottom w:val="0"/>
                      <w:divBdr>
                        <w:top w:val="none" w:sz="0" w:space="0" w:color="auto"/>
                        <w:left w:val="none" w:sz="0" w:space="0" w:color="auto"/>
                        <w:bottom w:val="none" w:sz="0" w:space="0" w:color="auto"/>
                        <w:right w:val="none" w:sz="0" w:space="0" w:color="auto"/>
                      </w:divBdr>
                      <w:divsChild>
                        <w:div w:id="1309628741">
                          <w:marLeft w:val="0"/>
                          <w:marRight w:val="0"/>
                          <w:marTop w:val="0"/>
                          <w:marBottom w:val="0"/>
                          <w:divBdr>
                            <w:top w:val="none" w:sz="0" w:space="0" w:color="auto"/>
                            <w:left w:val="none" w:sz="0" w:space="0" w:color="auto"/>
                            <w:bottom w:val="none" w:sz="0" w:space="0" w:color="auto"/>
                            <w:right w:val="none" w:sz="0" w:space="0" w:color="auto"/>
                          </w:divBdr>
                        </w:div>
                      </w:divsChild>
                    </w:div>
                    <w:div w:id="1517386018">
                      <w:marLeft w:val="0"/>
                      <w:marRight w:val="0"/>
                      <w:marTop w:val="0"/>
                      <w:marBottom w:val="0"/>
                      <w:divBdr>
                        <w:top w:val="none" w:sz="0" w:space="0" w:color="auto"/>
                        <w:left w:val="none" w:sz="0" w:space="0" w:color="auto"/>
                        <w:bottom w:val="none" w:sz="0" w:space="0" w:color="auto"/>
                        <w:right w:val="none" w:sz="0" w:space="0" w:color="auto"/>
                      </w:divBdr>
                      <w:divsChild>
                        <w:div w:id="991717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6997603">
                  <w:marLeft w:val="0"/>
                  <w:marRight w:val="0"/>
                  <w:marTop w:val="0"/>
                  <w:marBottom w:val="0"/>
                  <w:divBdr>
                    <w:top w:val="none" w:sz="0" w:space="0" w:color="auto"/>
                    <w:left w:val="none" w:sz="0" w:space="0" w:color="auto"/>
                    <w:bottom w:val="none" w:sz="0" w:space="0" w:color="auto"/>
                    <w:right w:val="none" w:sz="0" w:space="0" w:color="auto"/>
                  </w:divBdr>
                  <w:divsChild>
                    <w:div w:id="1418089279">
                      <w:marLeft w:val="0"/>
                      <w:marRight w:val="0"/>
                      <w:marTop w:val="0"/>
                      <w:marBottom w:val="0"/>
                      <w:divBdr>
                        <w:top w:val="none" w:sz="0" w:space="0" w:color="auto"/>
                        <w:left w:val="none" w:sz="0" w:space="0" w:color="auto"/>
                        <w:bottom w:val="none" w:sz="0" w:space="0" w:color="auto"/>
                        <w:right w:val="none" w:sz="0" w:space="0" w:color="auto"/>
                      </w:divBdr>
                    </w:div>
                  </w:divsChild>
                </w:div>
                <w:div w:id="82410784">
                  <w:marLeft w:val="0"/>
                  <w:marRight w:val="0"/>
                  <w:marTop w:val="0"/>
                  <w:marBottom w:val="0"/>
                  <w:divBdr>
                    <w:top w:val="none" w:sz="0" w:space="0" w:color="auto"/>
                    <w:left w:val="none" w:sz="0" w:space="0" w:color="auto"/>
                    <w:bottom w:val="none" w:sz="0" w:space="0" w:color="auto"/>
                    <w:right w:val="none" w:sz="0" w:space="0" w:color="auto"/>
                  </w:divBdr>
                  <w:divsChild>
                    <w:div w:id="635183734">
                      <w:marLeft w:val="0"/>
                      <w:marRight w:val="0"/>
                      <w:marTop w:val="0"/>
                      <w:marBottom w:val="0"/>
                      <w:divBdr>
                        <w:top w:val="none" w:sz="0" w:space="0" w:color="auto"/>
                        <w:left w:val="none" w:sz="0" w:space="0" w:color="auto"/>
                        <w:bottom w:val="none" w:sz="0" w:space="0" w:color="auto"/>
                        <w:right w:val="none" w:sz="0" w:space="0" w:color="auto"/>
                      </w:divBdr>
                      <w:divsChild>
                        <w:div w:id="352734594">
                          <w:marLeft w:val="0"/>
                          <w:marRight w:val="0"/>
                          <w:marTop w:val="0"/>
                          <w:marBottom w:val="0"/>
                          <w:divBdr>
                            <w:top w:val="none" w:sz="0" w:space="0" w:color="auto"/>
                            <w:left w:val="none" w:sz="0" w:space="0" w:color="auto"/>
                            <w:bottom w:val="none" w:sz="0" w:space="0" w:color="auto"/>
                            <w:right w:val="none" w:sz="0" w:space="0" w:color="auto"/>
                          </w:divBdr>
                        </w:div>
                      </w:divsChild>
                    </w:div>
                    <w:div w:id="897395353">
                      <w:marLeft w:val="0"/>
                      <w:marRight w:val="0"/>
                      <w:marTop w:val="0"/>
                      <w:marBottom w:val="0"/>
                      <w:divBdr>
                        <w:top w:val="none" w:sz="0" w:space="0" w:color="auto"/>
                        <w:left w:val="none" w:sz="0" w:space="0" w:color="auto"/>
                        <w:bottom w:val="none" w:sz="0" w:space="0" w:color="auto"/>
                        <w:right w:val="none" w:sz="0" w:space="0" w:color="auto"/>
                      </w:divBdr>
                      <w:divsChild>
                        <w:div w:id="208301509">
                          <w:marLeft w:val="0"/>
                          <w:marRight w:val="0"/>
                          <w:marTop w:val="0"/>
                          <w:marBottom w:val="0"/>
                          <w:divBdr>
                            <w:top w:val="none" w:sz="0" w:space="0" w:color="auto"/>
                            <w:left w:val="none" w:sz="0" w:space="0" w:color="auto"/>
                            <w:bottom w:val="none" w:sz="0" w:space="0" w:color="auto"/>
                            <w:right w:val="none" w:sz="0" w:space="0" w:color="auto"/>
                          </w:divBdr>
                        </w:div>
                      </w:divsChild>
                    </w:div>
                    <w:div w:id="1125780052">
                      <w:marLeft w:val="0"/>
                      <w:marRight w:val="0"/>
                      <w:marTop w:val="0"/>
                      <w:marBottom w:val="0"/>
                      <w:divBdr>
                        <w:top w:val="none" w:sz="0" w:space="0" w:color="auto"/>
                        <w:left w:val="none" w:sz="0" w:space="0" w:color="auto"/>
                        <w:bottom w:val="none" w:sz="0" w:space="0" w:color="auto"/>
                        <w:right w:val="none" w:sz="0" w:space="0" w:color="auto"/>
                      </w:divBdr>
                      <w:divsChild>
                        <w:div w:id="1094129664">
                          <w:marLeft w:val="0"/>
                          <w:marRight w:val="0"/>
                          <w:marTop w:val="0"/>
                          <w:marBottom w:val="0"/>
                          <w:divBdr>
                            <w:top w:val="none" w:sz="0" w:space="0" w:color="auto"/>
                            <w:left w:val="none" w:sz="0" w:space="0" w:color="auto"/>
                            <w:bottom w:val="none" w:sz="0" w:space="0" w:color="auto"/>
                            <w:right w:val="none" w:sz="0" w:space="0" w:color="auto"/>
                          </w:divBdr>
                        </w:div>
                      </w:divsChild>
                    </w:div>
                    <w:div w:id="94250647">
                      <w:marLeft w:val="0"/>
                      <w:marRight w:val="0"/>
                      <w:marTop w:val="0"/>
                      <w:marBottom w:val="0"/>
                      <w:divBdr>
                        <w:top w:val="none" w:sz="0" w:space="0" w:color="auto"/>
                        <w:left w:val="none" w:sz="0" w:space="0" w:color="auto"/>
                        <w:bottom w:val="none" w:sz="0" w:space="0" w:color="auto"/>
                        <w:right w:val="none" w:sz="0" w:space="0" w:color="auto"/>
                      </w:divBdr>
                      <w:divsChild>
                        <w:div w:id="1041442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6777734">
                  <w:marLeft w:val="0"/>
                  <w:marRight w:val="0"/>
                  <w:marTop w:val="0"/>
                  <w:marBottom w:val="0"/>
                  <w:divBdr>
                    <w:top w:val="none" w:sz="0" w:space="0" w:color="auto"/>
                    <w:left w:val="none" w:sz="0" w:space="0" w:color="auto"/>
                    <w:bottom w:val="none" w:sz="0" w:space="0" w:color="auto"/>
                    <w:right w:val="none" w:sz="0" w:space="0" w:color="auto"/>
                  </w:divBdr>
                  <w:divsChild>
                    <w:div w:id="1421369443">
                      <w:marLeft w:val="0"/>
                      <w:marRight w:val="0"/>
                      <w:marTop w:val="0"/>
                      <w:marBottom w:val="0"/>
                      <w:divBdr>
                        <w:top w:val="none" w:sz="0" w:space="0" w:color="auto"/>
                        <w:left w:val="none" w:sz="0" w:space="0" w:color="auto"/>
                        <w:bottom w:val="none" w:sz="0" w:space="0" w:color="auto"/>
                        <w:right w:val="none" w:sz="0" w:space="0" w:color="auto"/>
                      </w:divBdr>
                    </w:div>
                  </w:divsChild>
                </w:div>
                <w:div w:id="440150556">
                  <w:marLeft w:val="0"/>
                  <w:marRight w:val="0"/>
                  <w:marTop w:val="0"/>
                  <w:marBottom w:val="0"/>
                  <w:divBdr>
                    <w:top w:val="none" w:sz="0" w:space="0" w:color="auto"/>
                    <w:left w:val="none" w:sz="0" w:space="0" w:color="auto"/>
                    <w:bottom w:val="none" w:sz="0" w:space="0" w:color="auto"/>
                    <w:right w:val="none" w:sz="0" w:space="0" w:color="auto"/>
                  </w:divBdr>
                  <w:divsChild>
                    <w:div w:id="109975684">
                      <w:marLeft w:val="0"/>
                      <w:marRight w:val="0"/>
                      <w:marTop w:val="0"/>
                      <w:marBottom w:val="0"/>
                      <w:divBdr>
                        <w:top w:val="none" w:sz="0" w:space="0" w:color="auto"/>
                        <w:left w:val="none" w:sz="0" w:space="0" w:color="auto"/>
                        <w:bottom w:val="none" w:sz="0" w:space="0" w:color="auto"/>
                        <w:right w:val="none" w:sz="0" w:space="0" w:color="auto"/>
                      </w:divBdr>
                    </w:div>
                  </w:divsChild>
                </w:div>
                <w:div w:id="542720054">
                  <w:marLeft w:val="0"/>
                  <w:marRight w:val="0"/>
                  <w:marTop w:val="0"/>
                  <w:marBottom w:val="0"/>
                  <w:divBdr>
                    <w:top w:val="none" w:sz="0" w:space="0" w:color="auto"/>
                    <w:left w:val="none" w:sz="0" w:space="0" w:color="auto"/>
                    <w:bottom w:val="none" w:sz="0" w:space="0" w:color="auto"/>
                    <w:right w:val="none" w:sz="0" w:space="0" w:color="auto"/>
                  </w:divBdr>
                  <w:divsChild>
                    <w:div w:id="1986087135">
                      <w:marLeft w:val="0"/>
                      <w:marRight w:val="0"/>
                      <w:marTop w:val="0"/>
                      <w:marBottom w:val="0"/>
                      <w:divBdr>
                        <w:top w:val="none" w:sz="0" w:space="0" w:color="auto"/>
                        <w:left w:val="none" w:sz="0" w:space="0" w:color="auto"/>
                        <w:bottom w:val="none" w:sz="0" w:space="0" w:color="auto"/>
                        <w:right w:val="none" w:sz="0" w:space="0" w:color="auto"/>
                      </w:divBdr>
                    </w:div>
                  </w:divsChild>
                </w:div>
                <w:div w:id="1797020092">
                  <w:marLeft w:val="0"/>
                  <w:marRight w:val="0"/>
                  <w:marTop w:val="0"/>
                  <w:marBottom w:val="0"/>
                  <w:divBdr>
                    <w:top w:val="none" w:sz="0" w:space="0" w:color="auto"/>
                    <w:left w:val="none" w:sz="0" w:space="0" w:color="auto"/>
                    <w:bottom w:val="none" w:sz="0" w:space="0" w:color="auto"/>
                    <w:right w:val="none" w:sz="0" w:space="0" w:color="auto"/>
                  </w:divBdr>
                  <w:divsChild>
                    <w:div w:id="1908032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7735456">
      <w:bodyDiv w:val="1"/>
      <w:marLeft w:val="0"/>
      <w:marRight w:val="0"/>
      <w:marTop w:val="0"/>
      <w:marBottom w:val="0"/>
      <w:divBdr>
        <w:top w:val="none" w:sz="0" w:space="0" w:color="auto"/>
        <w:left w:val="none" w:sz="0" w:space="0" w:color="auto"/>
        <w:bottom w:val="none" w:sz="0" w:space="0" w:color="auto"/>
        <w:right w:val="none" w:sz="0" w:space="0" w:color="auto"/>
      </w:divBdr>
    </w:div>
    <w:div w:id="1640381770">
      <w:bodyDiv w:val="1"/>
      <w:marLeft w:val="0"/>
      <w:marRight w:val="0"/>
      <w:marTop w:val="0"/>
      <w:marBottom w:val="0"/>
      <w:divBdr>
        <w:top w:val="none" w:sz="0" w:space="0" w:color="auto"/>
        <w:left w:val="none" w:sz="0" w:space="0" w:color="auto"/>
        <w:bottom w:val="none" w:sz="0" w:space="0" w:color="auto"/>
        <w:right w:val="none" w:sz="0" w:space="0" w:color="auto"/>
      </w:divBdr>
      <w:divsChild>
        <w:div w:id="1062412720">
          <w:marLeft w:val="0"/>
          <w:marRight w:val="0"/>
          <w:marTop w:val="0"/>
          <w:marBottom w:val="0"/>
          <w:divBdr>
            <w:top w:val="none" w:sz="0" w:space="0" w:color="auto"/>
            <w:left w:val="none" w:sz="0" w:space="0" w:color="auto"/>
            <w:bottom w:val="none" w:sz="0" w:space="0" w:color="auto"/>
            <w:right w:val="none" w:sz="0" w:space="0" w:color="auto"/>
          </w:divBdr>
          <w:divsChild>
            <w:div w:id="1170370396">
              <w:marLeft w:val="0"/>
              <w:marRight w:val="0"/>
              <w:marTop w:val="0"/>
              <w:marBottom w:val="0"/>
              <w:divBdr>
                <w:top w:val="none" w:sz="0" w:space="0" w:color="auto"/>
                <w:left w:val="none" w:sz="0" w:space="0" w:color="auto"/>
                <w:bottom w:val="none" w:sz="0" w:space="0" w:color="auto"/>
                <w:right w:val="none" w:sz="0" w:space="0" w:color="auto"/>
              </w:divBdr>
              <w:divsChild>
                <w:div w:id="1142693034">
                  <w:marLeft w:val="0"/>
                  <w:marRight w:val="0"/>
                  <w:marTop w:val="0"/>
                  <w:marBottom w:val="0"/>
                  <w:divBdr>
                    <w:top w:val="none" w:sz="0" w:space="0" w:color="auto"/>
                    <w:left w:val="none" w:sz="0" w:space="0" w:color="auto"/>
                    <w:bottom w:val="none" w:sz="0" w:space="0" w:color="auto"/>
                    <w:right w:val="none" w:sz="0" w:space="0" w:color="auto"/>
                  </w:divBdr>
                  <w:divsChild>
                    <w:div w:id="95533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6395981">
      <w:bodyDiv w:val="1"/>
      <w:marLeft w:val="0"/>
      <w:marRight w:val="0"/>
      <w:marTop w:val="0"/>
      <w:marBottom w:val="0"/>
      <w:divBdr>
        <w:top w:val="none" w:sz="0" w:space="0" w:color="auto"/>
        <w:left w:val="none" w:sz="0" w:space="0" w:color="auto"/>
        <w:bottom w:val="none" w:sz="0" w:space="0" w:color="auto"/>
        <w:right w:val="none" w:sz="0" w:space="0" w:color="auto"/>
      </w:divBdr>
    </w:div>
    <w:div w:id="1650284887">
      <w:bodyDiv w:val="1"/>
      <w:marLeft w:val="0"/>
      <w:marRight w:val="0"/>
      <w:marTop w:val="0"/>
      <w:marBottom w:val="0"/>
      <w:divBdr>
        <w:top w:val="none" w:sz="0" w:space="0" w:color="auto"/>
        <w:left w:val="none" w:sz="0" w:space="0" w:color="auto"/>
        <w:bottom w:val="none" w:sz="0" w:space="0" w:color="auto"/>
        <w:right w:val="none" w:sz="0" w:space="0" w:color="auto"/>
      </w:divBdr>
      <w:divsChild>
        <w:div w:id="927079769">
          <w:marLeft w:val="0"/>
          <w:marRight w:val="0"/>
          <w:marTop w:val="0"/>
          <w:marBottom w:val="0"/>
          <w:divBdr>
            <w:top w:val="none" w:sz="0" w:space="0" w:color="auto"/>
            <w:left w:val="none" w:sz="0" w:space="0" w:color="auto"/>
            <w:bottom w:val="none" w:sz="0" w:space="0" w:color="auto"/>
            <w:right w:val="none" w:sz="0" w:space="0" w:color="auto"/>
          </w:divBdr>
          <w:divsChild>
            <w:div w:id="1644701967">
              <w:marLeft w:val="0"/>
              <w:marRight w:val="0"/>
              <w:marTop w:val="0"/>
              <w:marBottom w:val="0"/>
              <w:divBdr>
                <w:top w:val="none" w:sz="0" w:space="0" w:color="auto"/>
                <w:left w:val="none" w:sz="0" w:space="0" w:color="auto"/>
                <w:bottom w:val="none" w:sz="0" w:space="0" w:color="auto"/>
                <w:right w:val="none" w:sz="0" w:space="0" w:color="auto"/>
              </w:divBdr>
              <w:divsChild>
                <w:div w:id="371923142">
                  <w:marLeft w:val="0"/>
                  <w:marRight w:val="0"/>
                  <w:marTop w:val="0"/>
                  <w:marBottom w:val="0"/>
                  <w:divBdr>
                    <w:top w:val="none" w:sz="0" w:space="0" w:color="auto"/>
                    <w:left w:val="none" w:sz="0" w:space="0" w:color="auto"/>
                    <w:bottom w:val="none" w:sz="0" w:space="0" w:color="auto"/>
                    <w:right w:val="none" w:sz="0" w:space="0" w:color="auto"/>
                  </w:divBdr>
                  <w:divsChild>
                    <w:div w:id="1952516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3413945">
      <w:bodyDiv w:val="1"/>
      <w:marLeft w:val="0"/>
      <w:marRight w:val="0"/>
      <w:marTop w:val="0"/>
      <w:marBottom w:val="0"/>
      <w:divBdr>
        <w:top w:val="none" w:sz="0" w:space="0" w:color="auto"/>
        <w:left w:val="none" w:sz="0" w:space="0" w:color="auto"/>
        <w:bottom w:val="none" w:sz="0" w:space="0" w:color="auto"/>
        <w:right w:val="none" w:sz="0" w:space="0" w:color="auto"/>
      </w:divBdr>
    </w:div>
    <w:div w:id="1659769040">
      <w:bodyDiv w:val="1"/>
      <w:marLeft w:val="0"/>
      <w:marRight w:val="0"/>
      <w:marTop w:val="0"/>
      <w:marBottom w:val="0"/>
      <w:divBdr>
        <w:top w:val="none" w:sz="0" w:space="0" w:color="auto"/>
        <w:left w:val="none" w:sz="0" w:space="0" w:color="auto"/>
        <w:bottom w:val="none" w:sz="0" w:space="0" w:color="auto"/>
        <w:right w:val="none" w:sz="0" w:space="0" w:color="auto"/>
      </w:divBdr>
      <w:divsChild>
        <w:div w:id="1846508715">
          <w:marLeft w:val="0"/>
          <w:marRight w:val="0"/>
          <w:marTop w:val="0"/>
          <w:marBottom w:val="0"/>
          <w:divBdr>
            <w:top w:val="none" w:sz="0" w:space="0" w:color="auto"/>
            <w:left w:val="none" w:sz="0" w:space="0" w:color="auto"/>
            <w:bottom w:val="none" w:sz="0" w:space="0" w:color="auto"/>
            <w:right w:val="none" w:sz="0" w:space="0" w:color="auto"/>
          </w:divBdr>
          <w:divsChild>
            <w:div w:id="600843179">
              <w:marLeft w:val="0"/>
              <w:marRight w:val="0"/>
              <w:marTop w:val="0"/>
              <w:marBottom w:val="0"/>
              <w:divBdr>
                <w:top w:val="none" w:sz="0" w:space="0" w:color="auto"/>
                <w:left w:val="none" w:sz="0" w:space="0" w:color="auto"/>
                <w:bottom w:val="none" w:sz="0" w:space="0" w:color="auto"/>
                <w:right w:val="none" w:sz="0" w:space="0" w:color="auto"/>
              </w:divBdr>
              <w:divsChild>
                <w:div w:id="1632831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1037553">
      <w:bodyDiv w:val="1"/>
      <w:marLeft w:val="0"/>
      <w:marRight w:val="0"/>
      <w:marTop w:val="0"/>
      <w:marBottom w:val="0"/>
      <w:divBdr>
        <w:top w:val="none" w:sz="0" w:space="0" w:color="auto"/>
        <w:left w:val="none" w:sz="0" w:space="0" w:color="auto"/>
        <w:bottom w:val="none" w:sz="0" w:space="0" w:color="auto"/>
        <w:right w:val="none" w:sz="0" w:space="0" w:color="auto"/>
      </w:divBdr>
    </w:div>
    <w:div w:id="1663193784">
      <w:bodyDiv w:val="1"/>
      <w:marLeft w:val="0"/>
      <w:marRight w:val="0"/>
      <w:marTop w:val="0"/>
      <w:marBottom w:val="0"/>
      <w:divBdr>
        <w:top w:val="none" w:sz="0" w:space="0" w:color="auto"/>
        <w:left w:val="none" w:sz="0" w:space="0" w:color="auto"/>
        <w:bottom w:val="none" w:sz="0" w:space="0" w:color="auto"/>
        <w:right w:val="none" w:sz="0" w:space="0" w:color="auto"/>
      </w:divBdr>
      <w:divsChild>
        <w:div w:id="1417903108">
          <w:marLeft w:val="0"/>
          <w:marRight w:val="0"/>
          <w:marTop w:val="0"/>
          <w:marBottom w:val="0"/>
          <w:divBdr>
            <w:top w:val="none" w:sz="0" w:space="0" w:color="auto"/>
            <w:left w:val="none" w:sz="0" w:space="0" w:color="auto"/>
            <w:bottom w:val="none" w:sz="0" w:space="0" w:color="auto"/>
            <w:right w:val="none" w:sz="0" w:space="0" w:color="auto"/>
          </w:divBdr>
          <w:divsChild>
            <w:div w:id="1264530621">
              <w:marLeft w:val="0"/>
              <w:marRight w:val="0"/>
              <w:marTop w:val="0"/>
              <w:marBottom w:val="0"/>
              <w:divBdr>
                <w:top w:val="none" w:sz="0" w:space="0" w:color="auto"/>
                <w:left w:val="none" w:sz="0" w:space="0" w:color="auto"/>
                <w:bottom w:val="none" w:sz="0" w:space="0" w:color="auto"/>
                <w:right w:val="none" w:sz="0" w:space="0" w:color="auto"/>
              </w:divBdr>
              <w:divsChild>
                <w:div w:id="1960649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6104541">
      <w:bodyDiv w:val="1"/>
      <w:marLeft w:val="0"/>
      <w:marRight w:val="0"/>
      <w:marTop w:val="0"/>
      <w:marBottom w:val="0"/>
      <w:divBdr>
        <w:top w:val="none" w:sz="0" w:space="0" w:color="auto"/>
        <w:left w:val="none" w:sz="0" w:space="0" w:color="auto"/>
        <w:bottom w:val="none" w:sz="0" w:space="0" w:color="auto"/>
        <w:right w:val="none" w:sz="0" w:space="0" w:color="auto"/>
      </w:divBdr>
    </w:div>
    <w:div w:id="1677803638">
      <w:bodyDiv w:val="1"/>
      <w:marLeft w:val="0"/>
      <w:marRight w:val="0"/>
      <w:marTop w:val="0"/>
      <w:marBottom w:val="0"/>
      <w:divBdr>
        <w:top w:val="none" w:sz="0" w:space="0" w:color="auto"/>
        <w:left w:val="none" w:sz="0" w:space="0" w:color="auto"/>
        <w:bottom w:val="none" w:sz="0" w:space="0" w:color="auto"/>
        <w:right w:val="none" w:sz="0" w:space="0" w:color="auto"/>
      </w:divBdr>
    </w:div>
    <w:div w:id="1678800704">
      <w:bodyDiv w:val="1"/>
      <w:marLeft w:val="0"/>
      <w:marRight w:val="0"/>
      <w:marTop w:val="0"/>
      <w:marBottom w:val="0"/>
      <w:divBdr>
        <w:top w:val="none" w:sz="0" w:space="0" w:color="auto"/>
        <w:left w:val="none" w:sz="0" w:space="0" w:color="auto"/>
        <w:bottom w:val="none" w:sz="0" w:space="0" w:color="auto"/>
        <w:right w:val="none" w:sz="0" w:space="0" w:color="auto"/>
      </w:divBdr>
      <w:divsChild>
        <w:div w:id="572349956">
          <w:marLeft w:val="0"/>
          <w:marRight w:val="0"/>
          <w:marTop w:val="0"/>
          <w:marBottom w:val="0"/>
          <w:divBdr>
            <w:top w:val="none" w:sz="0" w:space="0" w:color="auto"/>
            <w:left w:val="none" w:sz="0" w:space="0" w:color="auto"/>
            <w:bottom w:val="none" w:sz="0" w:space="0" w:color="auto"/>
            <w:right w:val="none" w:sz="0" w:space="0" w:color="auto"/>
          </w:divBdr>
        </w:div>
      </w:divsChild>
    </w:div>
    <w:div w:id="1686708605">
      <w:bodyDiv w:val="1"/>
      <w:marLeft w:val="0"/>
      <w:marRight w:val="0"/>
      <w:marTop w:val="0"/>
      <w:marBottom w:val="0"/>
      <w:divBdr>
        <w:top w:val="none" w:sz="0" w:space="0" w:color="auto"/>
        <w:left w:val="none" w:sz="0" w:space="0" w:color="auto"/>
        <w:bottom w:val="none" w:sz="0" w:space="0" w:color="auto"/>
        <w:right w:val="none" w:sz="0" w:space="0" w:color="auto"/>
      </w:divBdr>
    </w:div>
    <w:div w:id="1692419156">
      <w:bodyDiv w:val="1"/>
      <w:marLeft w:val="0"/>
      <w:marRight w:val="0"/>
      <w:marTop w:val="0"/>
      <w:marBottom w:val="0"/>
      <w:divBdr>
        <w:top w:val="none" w:sz="0" w:space="0" w:color="auto"/>
        <w:left w:val="none" w:sz="0" w:space="0" w:color="auto"/>
        <w:bottom w:val="none" w:sz="0" w:space="0" w:color="auto"/>
        <w:right w:val="none" w:sz="0" w:space="0" w:color="auto"/>
      </w:divBdr>
    </w:div>
    <w:div w:id="1695114957">
      <w:bodyDiv w:val="1"/>
      <w:marLeft w:val="0"/>
      <w:marRight w:val="0"/>
      <w:marTop w:val="0"/>
      <w:marBottom w:val="0"/>
      <w:divBdr>
        <w:top w:val="none" w:sz="0" w:space="0" w:color="auto"/>
        <w:left w:val="none" w:sz="0" w:space="0" w:color="auto"/>
        <w:bottom w:val="none" w:sz="0" w:space="0" w:color="auto"/>
        <w:right w:val="none" w:sz="0" w:space="0" w:color="auto"/>
      </w:divBdr>
    </w:div>
    <w:div w:id="1695423701">
      <w:bodyDiv w:val="1"/>
      <w:marLeft w:val="0"/>
      <w:marRight w:val="0"/>
      <w:marTop w:val="0"/>
      <w:marBottom w:val="0"/>
      <w:divBdr>
        <w:top w:val="none" w:sz="0" w:space="0" w:color="auto"/>
        <w:left w:val="none" w:sz="0" w:space="0" w:color="auto"/>
        <w:bottom w:val="none" w:sz="0" w:space="0" w:color="auto"/>
        <w:right w:val="none" w:sz="0" w:space="0" w:color="auto"/>
      </w:divBdr>
    </w:div>
    <w:div w:id="1696418799">
      <w:bodyDiv w:val="1"/>
      <w:marLeft w:val="0"/>
      <w:marRight w:val="0"/>
      <w:marTop w:val="0"/>
      <w:marBottom w:val="0"/>
      <w:divBdr>
        <w:top w:val="none" w:sz="0" w:space="0" w:color="auto"/>
        <w:left w:val="none" w:sz="0" w:space="0" w:color="auto"/>
        <w:bottom w:val="none" w:sz="0" w:space="0" w:color="auto"/>
        <w:right w:val="none" w:sz="0" w:space="0" w:color="auto"/>
      </w:divBdr>
    </w:div>
    <w:div w:id="1699309261">
      <w:bodyDiv w:val="1"/>
      <w:marLeft w:val="0"/>
      <w:marRight w:val="0"/>
      <w:marTop w:val="0"/>
      <w:marBottom w:val="0"/>
      <w:divBdr>
        <w:top w:val="none" w:sz="0" w:space="0" w:color="auto"/>
        <w:left w:val="none" w:sz="0" w:space="0" w:color="auto"/>
        <w:bottom w:val="none" w:sz="0" w:space="0" w:color="auto"/>
        <w:right w:val="none" w:sz="0" w:space="0" w:color="auto"/>
      </w:divBdr>
      <w:divsChild>
        <w:div w:id="49155790">
          <w:marLeft w:val="0"/>
          <w:marRight w:val="0"/>
          <w:marTop w:val="0"/>
          <w:marBottom w:val="0"/>
          <w:divBdr>
            <w:top w:val="none" w:sz="0" w:space="0" w:color="auto"/>
            <w:left w:val="none" w:sz="0" w:space="0" w:color="auto"/>
            <w:bottom w:val="none" w:sz="0" w:space="0" w:color="auto"/>
            <w:right w:val="none" w:sz="0" w:space="0" w:color="auto"/>
          </w:divBdr>
        </w:div>
        <w:div w:id="61605767">
          <w:marLeft w:val="0"/>
          <w:marRight w:val="0"/>
          <w:marTop w:val="0"/>
          <w:marBottom w:val="0"/>
          <w:divBdr>
            <w:top w:val="none" w:sz="0" w:space="0" w:color="auto"/>
            <w:left w:val="none" w:sz="0" w:space="0" w:color="auto"/>
            <w:bottom w:val="none" w:sz="0" w:space="0" w:color="auto"/>
            <w:right w:val="none" w:sz="0" w:space="0" w:color="auto"/>
          </w:divBdr>
        </w:div>
        <w:div w:id="1204562006">
          <w:marLeft w:val="0"/>
          <w:marRight w:val="0"/>
          <w:marTop w:val="0"/>
          <w:marBottom w:val="0"/>
          <w:divBdr>
            <w:top w:val="none" w:sz="0" w:space="0" w:color="auto"/>
            <w:left w:val="none" w:sz="0" w:space="0" w:color="auto"/>
            <w:bottom w:val="none" w:sz="0" w:space="0" w:color="auto"/>
            <w:right w:val="none" w:sz="0" w:space="0" w:color="auto"/>
          </w:divBdr>
        </w:div>
        <w:div w:id="99838859">
          <w:marLeft w:val="0"/>
          <w:marRight w:val="0"/>
          <w:marTop w:val="0"/>
          <w:marBottom w:val="0"/>
          <w:divBdr>
            <w:top w:val="none" w:sz="0" w:space="0" w:color="auto"/>
            <w:left w:val="none" w:sz="0" w:space="0" w:color="auto"/>
            <w:bottom w:val="none" w:sz="0" w:space="0" w:color="auto"/>
            <w:right w:val="none" w:sz="0" w:space="0" w:color="auto"/>
          </w:divBdr>
        </w:div>
        <w:div w:id="1508212349">
          <w:marLeft w:val="0"/>
          <w:marRight w:val="0"/>
          <w:marTop w:val="0"/>
          <w:marBottom w:val="0"/>
          <w:divBdr>
            <w:top w:val="none" w:sz="0" w:space="0" w:color="auto"/>
            <w:left w:val="none" w:sz="0" w:space="0" w:color="auto"/>
            <w:bottom w:val="none" w:sz="0" w:space="0" w:color="auto"/>
            <w:right w:val="none" w:sz="0" w:space="0" w:color="auto"/>
          </w:divBdr>
        </w:div>
        <w:div w:id="697050822">
          <w:marLeft w:val="0"/>
          <w:marRight w:val="0"/>
          <w:marTop w:val="0"/>
          <w:marBottom w:val="0"/>
          <w:divBdr>
            <w:top w:val="none" w:sz="0" w:space="0" w:color="auto"/>
            <w:left w:val="none" w:sz="0" w:space="0" w:color="auto"/>
            <w:bottom w:val="none" w:sz="0" w:space="0" w:color="auto"/>
            <w:right w:val="none" w:sz="0" w:space="0" w:color="auto"/>
          </w:divBdr>
        </w:div>
        <w:div w:id="468282290">
          <w:marLeft w:val="0"/>
          <w:marRight w:val="0"/>
          <w:marTop w:val="0"/>
          <w:marBottom w:val="0"/>
          <w:divBdr>
            <w:top w:val="none" w:sz="0" w:space="0" w:color="auto"/>
            <w:left w:val="none" w:sz="0" w:space="0" w:color="auto"/>
            <w:bottom w:val="none" w:sz="0" w:space="0" w:color="auto"/>
            <w:right w:val="none" w:sz="0" w:space="0" w:color="auto"/>
          </w:divBdr>
        </w:div>
        <w:div w:id="1156186221">
          <w:marLeft w:val="0"/>
          <w:marRight w:val="0"/>
          <w:marTop w:val="0"/>
          <w:marBottom w:val="0"/>
          <w:divBdr>
            <w:top w:val="none" w:sz="0" w:space="0" w:color="auto"/>
            <w:left w:val="none" w:sz="0" w:space="0" w:color="auto"/>
            <w:bottom w:val="none" w:sz="0" w:space="0" w:color="auto"/>
            <w:right w:val="none" w:sz="0" w:space="0" w:color="auto"/>
          </w:divBdr>
        </w:div>
        <w:div w:id="1479225221">
          <w:marLeft w:val="0"/>
          <w:marRight w:val="0"/>
          <w:marTop w:val="0"/>
          <w:marBottom w:val="0"/>
          <w:divBdr>
            <w:top w:val="none" w:sz="0" w:space="0" w:color="auto"/>
            <w:left w:val="none" w:sz="0" w:space="0" w:color="auto"/>
            <w:bottom w:val="none" w:sz="0" w:space="0" w:color="auto"/>
            <w:right w:val="none" w:sz="0" w:space="0" w:color="auto"/>
          </w:divBdr>
        </w:div>
        <w:div w:id="554896857">
          <w:marLeft w:val="0"/>
          <w:marRight w:val="0"/>
          <w:marTop w:val="0"/>
          <w:marBottom w:val="0"/>
          <w:divBdr>
            <w:top w:val="none" w:sz="0" w:space="0" w:color="auto"/>
            <w:left w:val="none" w:sz="0" w:space="0" w:color="auto"/>
            <w:bottom w:val="none" w:sz="0" w:space="0" w:color="auto"/>
            <w:right w:val="none" w:sz="0" w:space="0" w:color="auto"/>
          </w:divBdr>
        </w:div>
        <w:div w:id="1322924310">
          <w:marLeft w:val="0"/>
          <w:marRight w:val="0"/>
          <w:marTop w:val="0"/>
          <w:marBottom w:val="0"/>
          <w:divBdr>
            <w:top w:val="none" w:sz="0" w:space="0" w:color="auto"/>
            <w:left w:val="none" w:sz="0" w:space="0" w:color="auto"/>
            <w:bottom w:val="none" w:sz="0" w:space="0" w:color="auto"/>
            <w:right w:val="none" w:sz="0" w:space="0" w:color="auto"/>
          </w:divBdr>
        </w:div>
        <w:div w:id="1379668816">
          <w:marLeft w:val="0"/>
          <w:marRight w:val="0"/>
          <w:marTop w:val="0"/>
          <w:marBottom w:val="0"/>
          <w:divBdr>
            <w:top w:val="none" w:sz="0" w:space="0" w:color="auto"/>
            <w:left w:val="none" w:sz="0" w:space="0" w:color="auto"/>
            <w:bottom w:val="none" w:sz="0" w:space="0" w:color="auto"/>
            <w:right w:val="none" w:sz="0" w:space="0" w:color="auto"/>
          </w:divBdr>
          <w:divsChild>
            <w:div w:id="258952796">
              <w:marLeft w:val="0"/>
              <w:marRight w:val="0"/>
              <w:marTop w:val="0"/>
              <w:marBottom w:val="0"/>
              <w:divBdr>
                <w:top w:val="none" w:sz="0" w:space="0" w:color="auto"/>
                <w:left w:val="none" w:sz="0" w:space="0" w:color="auto"/>
                <w:bottom w:val="none" w:sz="0" w:space="0" w:color="auto"/>
                <w:right w:val="none" w:sz="0" w:space="0" w:color="auto"/>
              </w:divBdr>
            </w:div>
            <w:div w:id="1319922405">
              <w:marLeft w:val="0"/>
              <w:marRight w:val="0"/>
              <w:marTop w:val="0"/>
              <w:marBottom w:val="0"/>
              <w:divBdr>
                <w:top w:val="none" w:sz="0" w:space="0" w:color="auto"/>
                <w:left w:val="none" w:sz="0" w:space="0" w:color="auto"/>
                <w:bottom w:val="none" w:sz="0" w:space="0" w:color="auto"/>
                <w:right w:val="none" w:sz="0" w:space="0" w:color="auto"/>
              </w:divBdr>
            </w:div>
            <w:div w:id="139924342">
              <w:marLeft w:val="0"/>
              <w:marRight w:val="0"/>
              <w:marTop w:val="0"/>
              <w:marBottom w:val="0"/>
              <w:divBdr>
                <w:top w:val="none" w:sz="0" w:space="0" w:color="auto"/>
                <w:left w:val="none" w:sz="0" w:space="0" w:color="auto"/>
                <w:bottom w:val="none" w:sz="0" w:space="0" w:color="auto"/>
                <w:right w:val="none" w:sz="0" w:space="0" w:color="auto"/>
              </w:divBdr>
            </w:div>
            <w:div w:id="294458136">
              <w:marLeft w:val="0"/>
              <w:marRight w:val="0"/>
              <w:marTop w:val="0"/>
              <w:marBottom w:val="0"/>
              <w:divBdr>
                <w:top w:val="none" w:sz="0" w:space="0" w:color="auto"/>
                <w:left w:val="none" w:sz="0" w:space="0" w:color="auto"/>
                <w:bottom w:val="none" w:sz="0" w:space="0" w:color="auto"/>
                <w:right w:val="none" w:sz="0" w:space="0" w:color="auto"/>
              </w:divBdr>
            </w:div>
            <w:div w:id="351732758">
              <w:marLeft w:val="0"/>
              <w:marRight w:val="0"/>
              <w:marTop w:val="0"/>
              <w:marBottom w:val="0"/>
              <w:divBdr>
                <w:top w:val="none" w:sz="0" w:space="0" w:color="auto"/>
                <w:left w:val="none" w:sz="0" w:space="0" w:color="auto"/>
                <w:bottom w:val="none" w:sz="0" w:space="0" w:color="auto"/>
                <w:right w:val="none" w:sz="0" w:space="0" w:color="auto"/>
              </w:divBdr>
            </w:div>
            <w:div w:id="928000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8410328">
      <w:bodyDiv w:val="1"/>
      <w:marLeft w:val="0"/>
      <w:marRight w:val="0"/>
      <w:marTop w:val="0"/>
      <w:marBottom w:val="0"/>
      <w:divBdr>
        <w:top w:val="none" w:sz="0" w:space="0" w:color="auto"/>
        <w:left w:val="none" w:sz="0" w:space="0" w:color="auto"/>
        <w:bottom w:val="none" w:sz="0" w:space="0" w:color="auto"/>
        <w:right w:val="none" w:sz="0" w:space="0" w:color="auto"/>
      </w:divBdr>
      <w:divsChild>
        <w:div w:id="932855324">
          <w:marLeft w:val="0"/>
          <w:marRight w:val="0"/>
          <w:marTop w:val="0"/>
          <w:marBottom w:val="0"/>
          <w:divBdr>
            <w:top w:val="none" w:sz="0" w:space="0" w:color="auto"/>
            <w:left w:val="none" w:sz="0" w:space="0" w:color="auto"/>
            <w:bottom w:val="none" w:sz="0" w:space="0" w:color="auto"/>
            <w:right w:val="none" w:sz="0" w:space="0" w:color="auto"/>
          </w:divBdr>
          <w:divsChild>
            <w:div w:id="984509499">
              <w:marLeft w:val="0"/>
              <w:marRight w:val="0"/>
              <w:marTop w:val="0"/>
              <w:marBottom w:val="0"/>
              <w:divBdr>
                <w:top w:val="none" w:sz="0" w:space="0" w:color="auto"/>
                <w:left w:val="none" w:sz="0" w:space="0" w:color="auto"/>
                <w:bottom w:val="none" w:sz="0" w:space="0" w:color="auto"/>
                <w:right w:val="none" w:sz="0" w:space="0" w:color="auto"/>
              </w:divBdr>
              <w:divsChild>
                <w:div w:id="1891262088">
                  <w:marLeft w:val="0"/>
                  <w:marRight w:val="0"/>
                  <w:marTop w:val="0"/>
                  <w:marBottom w:val="0"/>
                  <w:divBdr>
                    <w:top w:val="none" w:sz="0" w:space="0" w:color="auto"/>
                    <w:left w:val="none" w:sz="0" w:space="0" w:color="auto"/>
                    <w:bottom w:val="none" w:sz="0" w:space="0" w:color="auto"/>
                    <w:right w:val="none" w:sz="0" w:space="0" w:color="auto"/>
                  </w:divBdr>
                  <w:divsChild>
                    <w:div w:id="691953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2072321">
      <w:bodyDiv w:val="1"/>
      <w:marLeft w:val="0"/>
      <w:marRight w:val="0"/>
      <w:marTop w:val="0"/>
      <w:marBottom w:val="0"/>
      <w:divBdr>
        <w:top w:val="none" w:sz="0" w:space="0" w:color="auto"/>
        <w:left w:val="none" w:sz="0" w:space="0" w:color="auto"/>
        <w:bottom w:val="none" w:sz="0" w:space="0" w:color="auto"/>
        <w:right w:val="none" w:sz="0" w:space="0" w:color="auto"/>
      </w:divBdr>
    </w:div>
    <w:div w:id="1716732616">
      <w:bodyDiv w:val="1"/>
      <w:marLeft w:val="0"/>
      <w:marRight w:val="0"/>
      <w:marTop w:val="0"/>
      <w:marBottom w:val="0"/>
      <w:divBdr>
        <w:top w:val="none" w:sz="0" w:space="0" w:color="auto"/>
        <w:left w:val="none" w:sz="0" w:space="0" w:color="auto"/>
        <w:bottom w:val="none" w:sz="0" w:space="0" w:color="auto"/>
        <w:right w:val="none" w:sz="0" w:space="0" w:color="auto"/>
      </w:divBdr>
      <w:divsChild>
        <w:div w:id="590891673">
          <w:marLeft w:val="0"/>
          <w:marRight w:val="0"/>
          <w:marTop w:val="0"/>
          <w:marBottom w:val="0"/>
          <w:divBdr>
            <w:top w:val="none" w:sz="0" w:space="0" w:color="auto"/>
            <w:left w:val="none" w:sz="0" w:space="0" w:color="auto"/>
            <w:bottom w:val="none" w:sz="0" w:space="0" w:color="auto"/>
            <w:right w:val="none" w:sz="0" w:space="0" w:color="auto"/>
          </w:divBdr>
          <w:divsChild>
            <w:div w:id="1439565445">
              <w:marLeft w:val="0"/>
              <w:marRight w:val="0"/>
              <w:marTop w:val="0"/>
              <w:marBottom w:val="0"/>
              <w:divBdr>
                <w:top w:val="none" w:sz="0" w:space="0" w:color="auto"/>
                <w:left w:val="none" w:sz="0" w:space="0" w:color="auto"/>
                <w:bottom w:val="none" w:sz="0" w:space="0" w:color="auto"/>
                <w:right w:val="none" w:sz="0" w:space="0" w:color="auto"/>
              </w:divBdr>
              <w:divsChild>
                <w:div w:id="1181165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3167071">
      <w:bodyDiv w:val="1"/>
      <w:marLeft w:val="0"/>
      <w:marRight w:val="0"/>
      <w:marTop w:val="0"/>
      <w:marBottom w:val="0"/>
      <w:divBdr>
        <w:top w:val="none" w:sz="0" w:space="0" w:color="auto"/>
        <w:left w:val="none" w:sz="0" w:space="0" w:color="auto"/>
        <w:bottom w:val="none" w:sz="0" w:space="0" w:color="auto"/>
        <w:right w:val="none" w:sz="0" w:space="0" w:color="auto"/>
      </w:divBdr>
    </w:div>
    <w:div w:id="1725911871">
      <w:bodyDiv w:val="1"/>
      <w:marLeft w:val="0"/>
      <w:marRight w:val="0"/>
      <w:marTop w:val="0"/>
      <w:marBottom w:val="0"/>
      <w:divBdr>
        <w:top w:val="none" w:sz="0" w:space="0" w:color="auto"/>
        <w:left w:val="none" w:sz="0" w:space="0" w:color="auto"/>
        <w:bottom w:val="none" w:sz="0" w:space="0" w:color="auto"/>
        <w:right w:val="none" w:sz="0" w:space="0" w:color="auto"/>
      </w:divBdr>
    </w:div>
    <w:div w:id="1730305638">
      <w:bodyDiv w:val="1"/>
      <w:marLeft w:val="0"/>
      <w:marRight w:val="0"/>
      <w:marTop w:val="0"/>
      <w:marBottom w:val="0"/>
      <w:divBdr>
        <w:top w:val="none" w:sz="0" w:space="0" w:color="auto"/>
        <w:left w:val="none" w:sz="0" w:space="0" w:color="auto"/>
        <w:bottom w:val="none" w:sz="0" w:space="0" w:color="auto"/>
        <w:right w:val="none" w:sz="0" w:space="0" w:color="auto"/>
      </w:divBdr>
    </w:div>
    <w:div w:id="1740060056">
      <w:bodyDiv w:val="1"/>
      <w:marLeft w:val="0"/>
      <w:marRight w:val="0"/>
      <w:marTop w:val="0"/>
      <w:marBottom w:val="0"/>
      <w:divBdr>
        <w:top w:val="none" w:sz="0" w:space="0" w:color="auto"/>
        <w:left w:val="none" w:sz="0" w:space="0" w:color="auto"/>
        <w:bottom w:val="none" w:sz="0" w:space="0" w:color="auto"/>
        <w:right w:val="none" w:sz="0" w:space="0" w:color="auto"/>
      </w:divBdr>
    </w:div>
    <w:div w:id="1748769308">
      <w:bodyDiv w:val="1"/>
      <w:marLeft w:val="0"/>
      <w:marRight w:val="0"/>
      <w:marTop w:val="0"/>
      <w:marBottom w:val="0"/>
      <w:divBdr>
        <w:top w:val="none" w:sz="0" w:space="0" w:color="auto"/>
        <w:left w:val="none" w:sz="0" w:space="0" w:color="auto"/>
        <w:bottom w:val="none" w:sz="0" w:space="0" w:color="auto"/>
        <w:right w:val="none" w:sz="0" w:space="0" w:color="auto"/>
      </w:divBdr>
      <w:divsChild>
        <w:div w:id="849875501">
          <w:marLeft w:val="0"/>
          <w:marRight w:val="0"/>
          <w:marTop w:val="0"/>
          <w:marBottom w:val="0"/>
          <w:divBdr>
            <w:top w:val="none" w:sz="0" w:space="0" w:color="auto"/>
            <w:left w:val="none" w:sz="0" w:space="0" w:color="auto"/>
            <w:bottom w:val="none" w:sz="0" w:space="0" w:color="auto"/>
            <w:right w:val="none" w:sz="0" w:space="0" w:color="auto"/>
          </w:divBdr>
          <w:divsChild>
            <w:div w:id="627515589">
              <w:marLeft w:val="0"/>
              <w:marRight w:val="0"/>
              <w:marTop w:val="0"/>
              <w:marBottom w:val="0"/>
              <w:divBdr>
                <w:top w:val="none" w:sz="0" w:space="0" w:color="auto"/>
                <w:left w:val="none" w:sz="0" w:space="0" w:color="auto"/>
                <w:bottom w:val="none" w:sz="0" w:space="0" w:color="auto"/>
                <w:right w:val="none" w:sz="0" w:space="0" w:color="auto"/>
              </w:divBdr>
              <w:divsChild>
                <w:div w:id="2104102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9400849">
      <w:bodyDiv w:val="1"/>
      <w:marLeft w:val="0"/>
      <w:marRight w:val="0"/>
      <w:marTop w:val="0"/>
      <w:marBottom w:val="0"/>
      <w:divBdr>
        <w:top w:val="none" w:sz="0" w:space="0" w:color="auto"/>
        <w:left w:val="none" w:sz="0" w:space="0" w:color="auto"/>
        <w:bottom w:val="none" w:sz="0" w:space="0" w:color="auto"/>
        <w:right w:val="none" w:sz="0" w:space="0" w:color="auto"/>
      </w:divBdr>
      <w:divsChild>
        <w:div w:id="2108649876">
          <w:marLeft w:val="0"/>
          <w:marRight w:val="0"/>
          <w:marTop w:val="0"/>
          <w:marBottom w:val="0"/>
          <w:divBdr>
            <w:top w:val="none" w:sz="0" w:space="0" w:color="auto"/>
            <w:left w:val="none" w:sz="0" w:space="0" w:color="auto"/>
            <w:bottom w:val="none" w:sz="0" w:space="0" w:color="auto"/>
            <w:right w:val="none" w:sz="0" w:space="0" w:color="auto"/>
          </w:divBdr>
          <w:divsChild>
            <w:div w:id="955403916">
              <w:marLeft w:val="0"/>
              <w:marRight w:val="0"/>
              <w:marTop w:val="0"/>
              <w:marBottom w:val="0"/>
              <w:divBdr>
                <w:top w:val="none" w:sz="0" w:space="0" w:color="auto"/>
                <w:left w:val="none" w:sz="0" w:space="0" w:color="auto"/>
                <w:bottom w:val="none" w:sz="0" w:space="0" w:color="auto"/>
                <w:right w:val="none" w:sz="0" w:space="0" w:color="auto"/>
              </w:divBdr>
              <w:divsChild>
                <w:div w:id="933324785">
                  <w:marLeft w:val="0"/>
                  <w:marRight w:val="0"/>
                  <w:marTop w:val="0"/>
                  <w:marBottom w:val="0"/>
                  <w:divBdr>
                    <w:top w:val="none" w:sz="0" w:space="0" w:color="auto"/>
                    <w:left w:val="none" w:sz="0" w:space="0" w:color="auto"/>
                    <w:bottom w:val="none" w:sz="0" w:space="0" w:color="auto"/>
                    <w:right w:val="none" w:sz="0" w:space="0" w:color="auto"/>
                  </w:divBdr>
                  <w:divsChild>
                    <w:div w:id="316761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3064628">
      <w:bodyDiv w:val="1"/>
      <w:marLeft w:val="0"/>
      <w:marRight w:val="0"/>
      <w:marTop w:val="0"/>
      <w:marBottom w:val="0"/>
      <w:divBdr>
        <w:top w:val="none" w:sz="0" w:space="0" w:color="auto"/>
        <w:left w:val="none" w:sz="0" w:space="0" w:color="auto"/>
        <w:bottom w:val="none" w:sz="0" w:space="0" w:color="auto"/>
        <w:right w:val="none" w:sz="0" w:space="0" w:color="auto"/>
      </w:divBdr>
    </w:div>
    <w:div w:id="1763262592">
      <w:bodyDiv w:val="1"/>
      <w:marLeft w:val="0"/>
      <w:marRight w:val="0"/>
      <w:marTop w:val="0"/>
      <w:marBottom w:val="0"/>
      <w:divBdr>
        <w:top w:val="none" w:sz="0" w:space="0" w:color="auto"/>
        <w:left w:val="none" w:sz="0" w:space="0" w:color="auto"/>
        <w:bottom w:val="none" w:sz="0" w:space="0" w:color="auto"/>
        <w:right w:val="none" w:sz="0" w:space="0" w:color="auto"/>
      </w:divBdr>
    </w:div>
    <w:div w:id="1768117168">
      <w:bodyDiv w:val="1"/>
      <w:marLeft w:val="0"/>
      <w:marRight w:val="0"/>
      <w:marTop w:val="0"/>
      <w:marBottom w:val="0"/>
      <w:divBdr>
        <w:top w:val="none" w:sz="0" w:space="0" w:color="auto"/>
        <w:left w:val="none" w:sz="0" w:space="0" w:color="auto"/>
        <w:bottom w:val="none" w:sz="0" w:space="0" w:color="auto"/>
        <w:right w:val="none" w:sz="0" w:space="0" w:color="auto"/>
      </w:divBdr>
      <w:divsChild>
        <w:div w:id="390735324">
          <w:marLeft w:val="0"/>
          <w:marRight w:val="0"/>
          <w:marTop w:val="0"/>
          <w:marBottom w:val="0"/>
          <w:divBdr>
            <w:top w:val="none" w:sz="0" w:space="0" w:color="auto"/>
            <w:left w:val="none" w:sz="0" w:space="0" w:color="auto"/>
            <w:bottom w:val="none" w:sz="0" w:space="0" w:color="auto"/>
            <w:right w:val="none" w:sz="0" w:space="0" w:color="auto"/>
          </w:divBdr>
          <w:divsChild>
            <w:div w:id="1250307359">
              <w:marLeft w:val="0"/>
              <w:marRight w:val="0"/>
              <w:marTop w:val="0"/>
              <w:marBottom w:val="0"/>
              <w:divBdr>
                <w:top w:val="none" w:sz="0" w:space="0" w:color="auto"/>
                <w:left w:val="none" w:sz="0" w:space="0" w:color="auto"/>
                <w:bottom w:val="none" w:sz="0" w:space="0" w:color="auto"/>
                <w:right w:val="none" w:sz="0" w:space="0" w:color="auto"/>
              </w:divBdr>
              <w:divsChild>
                <w:div w:id="1462576246">
                  <w:marLeft w:val="0"/>
                  <w:marRight w:val="0"/>
                  <w:marTop w:val="0"/>
                  <w:marBottom w:val="0"/>
                  <w:divBdr>
                    <w:top w:val="none" w:sz="0" w:space="0" w:color="auto"/>
                    <w:left w:val="none" w:sz="0" w:space="0" w:color="auto"/>
                    <w:bottom w:val="none" w:sz="0" w:space="0" w:color="auto"/>
                    <w:right w:val="none" w:sz="0" w:space="0" w:color="auto"/>
                  </w:divBdr>
                  <w:divsChild>
                    <w:div w:id="77583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4474261">
      <w:bodyDiv w:val="1"/>
      <w:marLeft w:val="0"/>
      <w:marRight w:val="0"/>
      <w:marTop w:val="0"/>
      <w:marBottom w:val="0"/>
      <w:divBdr>
        <w:top w:val="none" w:sz="0" w:space="0" w:color="auto"/>
        <w:left w:val="none" w:sz="0" w:space="0" w:color="auto"/>
        <w:bottom w:val="none" w:sz="0" w:space="0" w:color="auto"/>
        <w:right w:val="none" w:sz="0" w:space="0" w:color="auto"/>
      </w:divBdr>
    </w:div>
    <w:div w:id="1776827981">
      <w:bodyDiv w:val="1"/>
      <w:marLeft w:val="0"/>
      <w:marRight w:val="0"/>
      <w:marTop w:val="0"/>
      <w:marBottom w:val="0"/>
      <w:divBdr>
        <w:top w:val="none" w:sz="0" w:space="0" w:color="auto"/>
        <w:left w:val="none" w:sz="0" w:space="0" w:color="auto"/>
        <w:bottom w:val="none" w:sz="0" w:space="0" w:color="auto"/>
        <w:right w:val="none" w:sz="0" w:space="0" w:color="auto"/>
      </w:divBdr>
    </w:div>
    <w:div w:id="1777670519">
      <w:bodyDiv w:val="1"/>
      <w:marLeft w:val="0"/>
      <w:marRight w:val="0"/>
      <w:marTop w:val="0"/>
      <w:marBottom w:val="0"/>
      <w:divBdr>
        <w:top w:val="none" w:sz="0" w:space="0" w:color="auto"/>
        <w:left w:val="none" w:sz="0" w:space="0" w:color="auto"/>
        <w:bottom w:val="none" w:sz="0" w:space="0" w:color="auto"/>
        <w:right w:val="none" w:sz="0" w:space="0" w:color="auto"/>
      </w:divBdr>
      <w:divsChild>
        <w:div w:id="1409115302">
          <w:marLeft w:val="0"/>
          <w:marRight w:val="0"/>
          <w:marTop w:val="0"/>
          <w:marBottom w:val="0"/>
          <w:divBdr>
            <w:top w:val="none" w:sz="0" w:space="0" w:color="auto"/>
            <w:left w:val="none" w:sz="0" w:space="0" w:color="auto"/>
            <w:bottom w:val="none" w:sz="0" w:space="0" w:color="auto"/>
            <w:right w:val="none" w:sz="0" w:space="0" w:color="auto"/>
          </w:divBdr>
          <w:divsChild>
            <w:div w:id="409740510">
              <w:marLeft w:val="0"/>
              <w:marRight w:val="0"/>
              <w:marTop w:val="0"/>
              <w:marBottom w:val="0"/>
              <w:divBdr>
                <w:top w:val="none" w:sz="0" w:space="0" w:color="auto"/>
                <w:left w:val="none" w:sz="0" w:space="0" w:color="auto"/>
                <w:bottom w:val="none" w:sz="0" w:space="0" w:color="auto"/>
                <w:right w:val="none" w:sz="0" w:space="0" w:color="auto"/>
              </w:divBdr>
            </w:div>
            <w:div w:id="1994261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0946305">
      <w:bodyDiv w:val="1"/>
      <w:marLeft w:val="0"/>
      <w:marRight w:val="0"/>
      <w:marTop w:val="0"/>
      <w:marBottom w:val="0"/>
      <w:divBdr>
        <w:top w:val="none" w:sz="0" w:space="0" w:color="auto"/>
        <w:left w:val="none" w:sz="0" w:space="0" w:color="auto"/>
        <w:bottom w:val="none" w:sz="0" w:space="0" w:color="auto"/>
        <w:right w:val="none" w:sz="0" w:space="0" w:color="auto"/>
      </w:divBdr>
    </w:div>
    <w:div w:id="1789466845">
      <w:bodyDiv w:val="1"/>
      <w:marLeft w:val="0"/>
      <w:marRight w:val="0"/>
      <w:marTop w:val="0"/>
      <w:marBottom w:val="0"/>
      <w:divBdr>
        <w:top w:val="none" w:sz="0" w:space="0" w:color="auto"/>
        <w:left w:val="none" w:sz="0" w:space="0" w:color="auto"/>
        <w:bottom w:val="none" w:sz="0" w:space="0" w:color="auto"/>
        <w:right w:val="none" w:sz="0" w:space="0" w:color="auto"/>
      </w:divBdr>
    </w:div>
    <w:div w:id="1792086599">
      <w:bodyDiv w:val="1"/>
      <w:marLeft w:val="0"/>
      <w:marRight w:val="0"/>
      <w:marTop w:val="0"/>
      <w:marBottom w:val="0"/>
      <w:divBdr>
        <w:top w:val="none" w:sz="0" w:space="0" w:color="auto"/>
        <w:left w:val="none" w:sz="0" w:space="0" w:color="auto"/>
        <w:bottom w:val="none" w:sz="0" w:space="0" w:color="auto"/>
        <w:right w:val="none" w:sz="0" w:space="0" w:color="auto"/>
      </w:divBdr>
    </w:div>
    <w:div w:id="1794473260">
      <w:bodyDiv w:val="1"/>
      <w:marLeft w:val="0"/>
      <w:marRight w:val="0"/>
      <w:marTop w:val="0"/>
      <w:marBottom w:val="0"/>
      <w:divBdr>
        <w:top w:val="none" w:sz="0" w:space="0" w:color="auto"/>
        <w:left w:val="none" w:sz="0" w:space="0" w:color="auto"/>
        <w:bottom w:val="none" w:sz="0" w:space="0" w:color="auto"/>
        <w:right w:val="none" w:sz="0" w:space="0" w:color="auto"/>
      </w:divBdr>
    </w:div>
    <w:div w:id="1798525125">
      <w:bodyDiv w:val="1"/>
      <w:marLeft w:val="0"/>
      <w:marRight w:val="0"/>
      <w:marTop w:val="0"/>
      <w:marBottom w:val="0"/>
      <w:divBdr>
        <w:top w:val="none" w:sz="0" w:space="0" w:color="auto"/>
        <w:left w:val="none" w:sz="0" w:space="0" w:color="auto"/>
        <w:bottom w:val="none" w:sz="0" w:space="0" w:color="auto"/>
        <w:right w:val="none" w:sz="0" w:space="0" w:color="auto"/>
      </w:divBdr>
    </w:div>
    <w:div w:id="1801071208">
      <w:bodyDiv w:val="1"/>
      <w:marLeft w:val="0"/>
      <w:marRight w:val="0"/>
      <w:marTop w:val="0"/>
      <w:marBottom w:val="0"/>
      <w:divBdr>
        <w:top w:val="none" w:sz="0" w:space="0" w:color="auto"/>
        <w:left w:val="none" w:sz="0" w:space="0" w:color="auto"/>
        <w:bottom w:val="none" w:sz="0" w:space="0" w:color="auto"/>
        <w:right w:val="none" w:sz="0" w:space="0" w:color="auto"/>
      </w:divBdr>
    </w:div>
    <w:div w:id="1803115059">
      <w:bodyDiv w:val="1"/>
      <w:marLeft w:val="0"/>
      <w:marRight w:val="0"/>
      <w:marTop w:val="0"/>
      <w:marBottom w:val="0"/>
      <w:divBdr>
        <w:top w:val="none" w:sz="0" w:space="0" w:color="auto"/>
        <w:left w:val="none" w:sz="0" w:space="0" w:color="auto"/>
        <w:bottom w:val="none" w:sz="0" w:space="0" w:color="auto"/>
        <w:right w:val="none" w:sz="0" w:space="0" w:color="auto"/>
      </w:divBdr>
      <w:divsChild>
        <w:div w:id="798455519">
          <w:marLeft w:val="0"/>
          <w:marRight w:val="0"/>
          <w:marTop w:val="0"/>
          <w:marBottom w:val="0"/>
          <w:divBdr>
            <w:top w:val="none" w:sz="0" w:space="0" w:color="auto"/>
            <w:left w:val="none" w:sz="0" w:space="0" w:color="auto"/>
            <w:bottom w:val="none" w:sz="0" w:space="0" w:color="auto"/>
            <w:right w:val="none" w:sz="0" w:space="0" w:color="auto"/>
          </w:divBdr>
          <w:divsChild>
            <w:div w:id="752972302">
              <w:marLeft w:val="0"/>
              <w:marRight w:val="0"/>
              <w:marTop w:val="0"/>
              <w:marBottom w:val="0"/>
              <w:divBdr>
                <w:top w:val="none" w:sz="0" w:space="0" w:color="auto"/>
                <w:left w:val="none" w:sz="0" w:space="0" w:color="auto"/>
                <w:bottom w:val="none" w:sz="0" w:space="0" w:color="auto"/>
                <w:right w:val="none" w:sz="0" w:space="0" w:color="auto"/>
              </w:divBdr>
              <w:divsChild>
                <w:div w:id="1629780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6503978">
      <w:bodyDiv w:val="1"/>
      <w:marLeft w:val="0"/>
      <w:marRight w:val="0"/>
      <w:marTop w:val="0"/>
      <w:marBottom w:val="0"/>
      <w:divBdr>
        <w:top w:val="none" w:sz="0" w:space="0" w:color="auto"/>
        <w:left w:val="none" w:sz="0" w:space="0" w:color="auto"/>
        <w:bottom w:val="none" w:sz="0" w:space="0" w:color="auto"/>
        <w:right w:val="none" w:sz="0" w:space="0" w:color="auto"/>
      </w:divBdr>
    </w:div>
    <w:div w:id="1806777416">
      <w:bodyDiv w:val="1"/>
      <w:marLeft w:val="0"/>
      <w:marRight w:val="0"/>
      <w:marTop w:val="0"/>
      <w:marBottom w:val="0"/>
      <w:divBdr>
        <w:top w:val="none" w:sz="0" w:space="0" w:color="auto"/>
        <w:left w:val="none" w:sz="0" w:space="0" w:color="auto"/>
        <w:bottom w:val="none" w:sz="0" w:space="0" w:color="auto"/>
        <w:right w:val="none" w:sz="0" w:space="0" w:color="auto"/>
      </w:divBdr>
      <w:divsChild>
        <w:div w:id="878473400">
          <w:marLeft w:val="0"/>
          <w:marRight w:val="0"/>
          <w:marTop w:val="0"/>
          <w:marBottom w:val="0"/>
          <w:divBdr>
            <w:top w:val="none" w:sz="0" w:space="0" w:color="auto"/>
            <w:left w:val="none" w:sz="0" w:space="0" w:color="auto"/>
            <w:bottom w:val="none" w:sz="0" w:space="0" w:color="auto"/>
            <w:right w:val="none" w:sz="0" w:space="0" w:color="auto"/>
          </w:divBdr>
          <w:divsChild>
            <w:div w:id="636031269">
              <w:marLeft w:val="0"/>
              <w:marRight w:val="0"/>
              <w:marTop w:val="0"/>
              <w:marBottom w:val="0"/>
              <w:divBdr>
                <w:top w:val="none" w:sz="0" w:space="0" w:color="auto"/>
                <w:left w:val="none" w:sz="0" w:space="0" w:color="auto"/>
                <w:bottom w:val="none" w:sz="0" w:space="0" w:color="auto"/>
                <w:right w:val="none" w:sz="0" w:space="0" w:color="auto"/>
              </w:divBdr>
              <w:divsChild>
                <w:div w:id="990787999">
                  <w:marLeft w:val="0"/>
                  <w:marRight w:val="0"/>
                  <w:marTop w:val="0"/>
                  <w:marBottom w:val="0"/>
                  <w:divBdr>
                    <w:top w:val="none" w:sz="0" w:space="0" w:color="auto"/>
                    <w:left w:val="none" w:sz="0" w:space="0" w:color="auto"/>
                    <w:bottom w:val="none" w:sz="0" w:space="0" w:color="auto"/>
                    <w:right w:val="none" w:sz="0" w:space="0" w:color="auto"/>
                  </w:divBdr>
                  <w:divsChild>
                    <w:div w:id="210045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8664058">
      <w:bodyDiv w:val="1"/>
      <w:marLeft w:val="0"/>
      <w:marRight w:val="0"/>
      <w:marTop w:val="0"/>
      <w:marBottom w:val="0"/>
      <w:divBdr>
        <w:top w:val="none" w:sz="0" w:space="0" w:color="auto"/>
        <w:left w:val="none" w:sz="0" w:space="0" w:color="auto"/>
        <w:bottom w:val="none" w:sz="0" w:space="0" w:color="auto"/>
        <w:right w:val="none" w:sz="0" w:space="0" w:color="auto"/>
      </w:divBdr>
    </w:div>
    <w:div w:id="1813790686">
      <w:bodyDiv w:val="1"/>
      <w:marLeft w:val="0"/>
      <w:marRight w:val="0"/>
      <w:marTop w:val="0"/>
      <w:marBottom w:val="0"/>
      <w:divBdr>
        <w:top w:val="none" w:sz="0" w:space="0" w:color="auto"/>
        <w:left w:val="none" w:sz="0" w:space="0" w:color="auto"/>
        <w:bottom w:val="none" w:sz="0" w:space="0" w:color="auto"/>
        <w:right w:val="none" w:sz="0" w:space="0" w:color="auto"/>
      </w:divBdr>
    </w:div>
    <w:div w:id="1821539483">
      <w:bodyDiv w:val="1"/>
      <w:marLeft w:val="0"/>
      <w:marRight w:val="0"/>
      <w:marTop w:val="0"/>
      <w:marBottom w:val="0"/>
      <w:divBdr>
        <w:top w:val="none" w:sz="0" w:space="0" w:color="auto"/>
        <w:left w:val="none" w:sz="0" w:space="0" w:color="auto"/>
        <w:bottom w:val="none" w:sz="0" w:space="0" w:color="auto"/>
        <w:right w:val="none" w:sz="0" w:space="0" w:color="auto"/>
      </w:divBdr>
    </w:div>
    <w:div w:id="1823085538">
      <w:bodyDiv w:val="1"/>
      <w:marLeft w:val="0"/>
      <w:marRight w:val="0"/>
      <w:marTop w:val="0"/>
      <w:marBottom w:val="0"/>
      <w:divBdr>
        <w:top w:val="none" w:sz="0" w:space="0" w:color="auto"/>
        <w:left w:val="none" w:sz="0" w:space="0" w:color="auto"/>
        <w:bottom w:val="none" w:sz="0" w:space="0" w:color="auto"/>
        <w:right w:val="none" w:sz="0" w:space="0" w:color="auto"/>
      </w:divBdr>
    </w:div>
    <w:div w:id="1823693036">
      <w:bodyDiv w:val="1"/>
      <w:marLeft w:val="0"/>
      <w:marRight w:val="0"/>
      <w:marTop w:val="0"/>
      <w:marBottom w:val="0"/>
      <w:divBdr>
        <w:top w:val="none" w:sz="0" w:space="0" w:color="auto"/>
        <w:left w:val="none" w:sz="0" w:space="0" w:color="auto"/>
        <w:bottom w:val="none" w:sz="0" w:space="0" w:color="auto"/>
        <w:right w:val="none" w:sz="0" w:space="0" w:color="auto"/>
      </w:divBdr>
    </w:div>
    <w:div w:id="1824808483">
      <w:bodyDiv w:val="1"/>
      <w:marLeft w:val="0"/>
      <w:marRight w:val="0"/>
      <w:marTop w:val="0"/>
      <w:marBottom w:val="0"/>
      <w:divBdr>
        <w:top w:val="none" w:sz="0" w:space="0" w:color="auto"/>
        <w:left w:val="none" w:sz="0" w:space="0" w:color="auto"/>
        <w:bottom w:val="none" w:sz="0" w:space="0" w:color="auto"/>
        <w:right w:val="none" w:sz="0" w:space="0" w:color="auto"/>
      </w:divBdr>
    </w:div>
    <w:div w:id="1831403781">
      <w:bodyDiv w:val="1"/>
      <w:marLeft w:val="0"/>
      <w:marRight w:val="0"/>
      <w:marTop w:val="0"/>
      <w:marBottom w:val="0"/>
      <w:divBdr>
        <w:top w:val="none" w:sz="0" w:space="0" w:color="auto"/>
        <w:left w:val="none" w:sz="0" w:space="0" w:color="auto"/>
        <w:bottom w:val="none" w:sz="0" w:space="0" w:color="auto"/>
        <w:right w:val="none" w:sz="0" w:space="0" w:color="auto"/>
      </w:divBdr>
      <w:divsChild>
        <w:div w:id="191847310">
          <w:marLeft w:val="0"/>
          <w:marRight w:val="0"/>
          <w:marTop w:val="0"/>
          <w:marBottom w:val="0"/>
          <w:divBdr>
            <w:top w:val="none" w:sz="0" w:space="0" w:color="auto"/>
            <w:left w:val="none" w:sz="0" w:space="0" w:color="auto"/>
            <w:bottom w:val="none" w:sz="0" w:space="0" w:color="auto"/>
            <w:right w:val="none" w:sz="0" w:space="0" w:color="auto"/>
          </w:divBdr>
          <w:divsChild>
            <w:div w:id="1736853169">
              <w:marLeft w:val="0"/>
              <w:marRight w:val="0"/>
              <w:marTop w:val="0"/>
              <w:marBottom w:val="0"/>
              <w:divBdr>
                <w:top w:val="none" w:sz="0" w:space="0" w:color="auto"/>
                <w:left w:val="none" w:sz="0" w:space="0" w:color="auto"/>
                <w:bottom w:val="none" w:sz="0" w:space="0" w:color="auto"/>
                <w:right w:val="none" w:sz="0" w:space="0" w:color="auto"/>
              </w:divBdr>
              <w:divsChild>
                <w:div w:id="774059411">
                  <w:marLeft w:val="0"/>
                  <w:marRight w:val="0"/>
                  <w:marTop w:val="0"/>
                  <w:marBottom w:val="0"/>
                  <w:divBdr>
                    <w:top w:val="none" w:sz="0" w:space="0" w:color="auto"/>
                    <w:left w:val="none" w:sz="0" w:space="0" w:color="auto"/>
                    <w:bottom w:val="none" w:sz="0" w:space="0" w:color="auto"/>
                    <w:right w:val="none" w:sz="0" w:space="0" w:color="auto"/>
                  </w:divBdr>
                  <w:divsChild>
                    <w:div w:id="1908689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4027268">
      <w:bodyDiv w:val="1"/>
      <w:marLeft w:val="0"/>
      <w:marRight w:val="0"/>
      <w:marTop w:val="0"/>
      <w:marBottom w:val="0"/>
      <w:divBdr>
        <w:top w:val="none" w:sz="0" w:space="0" w:color="auto"/>
        <w:left w:val="none" w:sz="0" w:space="0" w:color="auto"/>
        <w:bottom w:val="none" w:sz="0" w:space="0" w:color="auto"/>
        <w:right w:val="none" w:sz="0" w:space="0" w:color="auto"/>
      </w:divBdr>
      <w:divsChild>
        <w:div w:id="1686783447">
          <w:marLeft w:val="0"/>
          <w:marRight w:val="0"/>
          <w:marTop w:val="0"/>
          <w:marBottom w:val="0"/>
          <w:divBdr>
            <w:top w:val="none" w:sz="0" w:space="0" w:color="auto"/>
            <w:left w:val="none" w:sz="0" w:space="0" w:color="auto"/>
            <w:bottom w:val="none" w:sz="0" w:space="0" w:color="auto"/>
            <w:right w:val="none" w:sz="0" w:space="0" w:color="auto"/>
          </w:divBdr>
          <w:divsChild>
            <w:div w:id="369959757">
              <w:marLeft w:val="0"/>
              <w:marRight w:val="0"/>
              <w:marTop w:val="0"/>
              <w:marBottom w:val="0"/>
              <w:divBdr>
                <w:top w:val="none" w:sz="0" w:space="0" w:color="auto"/>
                <w:left w:val="none" w:sz="0" w:space="0" w:color="auto"/>
                <w:bottom w:val="none" w:sz="0" w:space="0" w:color="auto"/>
                <w:right w:val="none" w:sz="0" w:space="0" w:color="auto"/>
              </w:divBdr>
              <w:divsChild>
                <w:div w:id="46624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2810420">
      <w:bodyDiv w:val="1"/>
      <w:marLeft w:val="0"/>
      <w:marRight w:val="0"/>
      <w:marTop w:val="0"/>
      <w:marBottom w:val="0"/>
      <w:divBdr>
        <w:top w:val="none" w:sz="0" w:space="0" w:color="auto"/>
        <w:left w:val="none" w:sz="0" w:space="0" w:color="auto"/>
        <w:bottom w:val="none" w:sz="0" w:space="0" w:color="auto"/>
        <w:right w:val="none" w:sz="0" w:space="0" w:color="auto"/>
      </w:divBdr>
    </w:div>
    <w:div w:id="1845901462">
      <w:bodyDiv w:val="1"/>
      <w:marLeft w:val="0"/>
      <w:marRight w:val="0"/>
      <w:marTop w:val="0"/>
      <w:marBottom w:val="0"/>
      <w:divBdr>
        <w:top w:val="none" w:sz="0" w:space="0" w:color="auto"/>
        <w:left w:val="none" w:sz="0" w:space="0" w:color="auto"/>
        <w:bottom w:val="none" w:sz="0" w:space="0" w:color="auto"/>
        <w:right w:val="none" w:sz="0" w:space="0" w:color="auto"/>
      </w:divBdr>
    </w:div>
    <w:div w:id="1857767044">
      <w:bodyDiv w:val="1"/>
      <w:marLeft w:val="0"/>
      <w:marRight w:val="0"/>
      <w:marTop w:val="0"/>
      <w:marBottom w:val="0"/>
      <w:divBdr>
        <w:top w:val="none" w:sz="0" w:space="0" w:color="auto"/>
        <w:left w:val="none" w:sz="0" w:space="0" w:color="auto"/>
        <w:bottom w:val="none" w:sz="0" w:space="0" w:color="auto"/>
        <w:right w:val="none" w:sz="0" w:space="0" w:color="auto"/>
      </w:divBdr>
    </w:div>
    <w:div w:id="1864857320">
      <w:bodyDiv w:val="1"/>
      <w:marLeft w:val="0"/>
      <w:marRight w:val="0"/>
      <w:marTop w:val="0"/>
      <w:marBottom w:val="0"/>
      <w:divBdr>
        <w:top w:val="none" w:sz="0" w:space="0" w:color="auto"/>
        <w:left w:val="none" w:sz="0" w:space="0" w:color="auto"/>
        <w:bottom w:val="none" w:sz="0" w:space="0" w:color="auto"/>
        <w:right w:val="none" w:sz="0" w:space="0" w:color="auto"/>
      </w:divBdr>
    </w:div>
    <w:div w:id="1866940184">
      <w:bodyDiv w:val="1"/>
      <w:marLeft w:val="0"/>
      <w:marRight w:val="0"/>
      <w:marTop w:val="0"/>
      <w:marBottom w:val="0"/>
      <w:divBdr>
        <w:top w:val="none" w:sz="0" w:space="0" w:color="auto"/>
        <w:left w:val="none" w:sz="0" w:space="0" w:color="auto"/>
        <w:bottom w:val="none" w:sz="0" w:space="0" w:color="auto"/>
        <w:right w:val="none" w:sz="0" w:space="0" w:color="auto"/>
      </w:divBdr>
    </w:div>
    <w:div w:id="1867523954">
      <w:bodyDiv w:val="1"/>
      <w:marLeft w:val="0"/>
      <w:marRight w:val="0"/>
      <w:marTop w:val="0"/>
      <w:marBottom w:val="0"/>
      <w:divBdr>
        <w:top w:val="none" w:sz="0" w:space="0" w:color="auto"/>
        <w:left w:val="none" w:sz="0" w:space="0" w:color="auto"/>
        <w:bottom w:val="none" w:sz="0" w:space="0" w:color="auto"/>
        <w:right w:val="none" w:sz="0" w:space="0" w:color="auto"/>
      </w:divBdr>
      <w:divsChild>
        <w:div w:id="1252204489">
          <w:marLeft w:val="0"/>
          <w:marRight w:val="0"/>
          <w:marTop w:val="0"/>
          <w:marBottom w:val="0"/>
          <w:divBdr>
            <w:top w:val="none" w:sz="0" w:space="0" w:color="auto"/>
            <w:left w:val="none" w:sz="0" w:space="0" w:color="auto"/>
            <w:bottom w:val="none" w:sz="0" w:space="0" w:color="auto"/>
            <w:right w:val="none" w:sz="0" w:space="0" w:color="auto"/>
          </w:divBdr>
        </w:div>
        <w:div w:id="494733641">
          <w:marLeft w:val="0"/>
          <w:marRight w:val="0"/>
          <w:marTop w:val="0"/>
          <w:marBottom w:val="0"/>
          <w:divBdr>
            <w:top w:val="none" w:sz="0" w:space="0" w:color="auto"/>
            <w:left w:val="none" w:sz="0" w:space="0" w:color="auto"/>
            <w:bottom w:val="none" w:sz="0" w:space="0" w:color="auto"/>
            <w:right w:val="none" w:sz="0" w:space="0" w:color="auto"/>
          </w:divBdr>
          <w:divsChild>
            <w:div w:id="1764109376">
              <w:marLeft w:val="0"/>
              <w:marRight w:val="0"/>
              <w:marTop w:val="0"/>
              <w:marBottom w:val="0"/>
              <w:divBdr>
                <w:top w:val="none" w:sz="0" w:space="0" w:color="auto"/>
                <w:left w:val="none" w:sz="0" w:space="0" w:color="auto"/>
                <w:bottom w:val="none" w:sz="0" w:space="0" w:color="auto"/>
                <w:right w:val="none" w:sz="0" w:space="0" w:color="auto"/>
              </w:divBdr>
            </w:div>
          </w:divsChild>
        </w:div>
        <w:div w:id="1937667535">
          <w:marLeft w:val="0"/>
          <w:marRight w:val="0"/>
          <w:marTop w:val="0"/>
          <w:marBottom w:val="0"/>
          <w:divBdr>
            <w:top w:val="none" w:sz="0" w:space="0" w:color="auto"/>
            <w:left w:val="none" w:sz="0" w:space="0" w:color="auto"/>
            <w:bottom w:val="none" w:sz="0" w:space="0" w:color="auto"/>
            <w:right w:val="none" w:sz="0" w:space="0" w:color="auto"/>
          </w:divBdr>
          <w:divsChild>
            <w:div w:id="814376730">
              <w:marLeft w:val="0"/>
              <w:marRight w:val="0"/>
              <w:marTop w:val="0"/>
              <w:marBottom w:val="0"/>
              <w:divBdr>
                <w:top w:val="none" w:sz="0" w:space="0" w:color="auto"/>
                <w:left w:val="none" w:sz="0" w:space="0" w:color="auto"/>
                <w:bottom w:val="none" w:sz="0" w:space="0" w:color="auto"/>
                <w:right w:val="none" w:sz="0" w:space="0" w:color="auto"/>
              </w:divBdr>
            </w:div>
          </w:divsChild>
        </w:div>
        <w:div w:id="1550649739">
          <w:marLeft w:val="0"/>
          <w:marRight w:val="0"/>
          <w:marTop w:val="0"/>
          <w:marBottom w:val="0"/>
          <w:divBdr>
            <w:top w:val="none" w:sz="0" w:space="0" w:color="auto"/>
            <w:left w:val="none" w:sz="0" w:space="0" w:color="auto"/>
            <w:bottom w:val="none" w:sz="0" w:space="0" w:color="auto"/>
            <w:right w:val="none" w:sz="0" w:space="0" w:color="auto"/>
          </w:divBdr>
          <w:divsChild>
            <w:div w:id="880629919">
              <w:marLeft w:val="0"/>
              <w:marRight w:val="0"/>
              <w:marTop w:val="0"/>
              <w:marBottom w:val="0"/>
              <w:divBdr>
                <w:top w:val="none" w:sz="0" w:space="0" w:color="auto"/>
                <w:left w:val="none" w:sz="0" w:space="0" w:color="auto"/>
                <w:bottom w:val="none" w:sz="0" w:space="0" w:color="auto"/>
                <w:right w:val="none" w:sz="0" w:space="0" w:color="auto"/>
              </w:divBdr>
            </w:div>
          </w:divsChild>
        </w:div>
        <w:div w:id="327903512">
          <w:marLeft w:val="0"/>
          <w:marRight w:val="0"/>
          <w:marTop w:val="0"/>
          <w:marBottom w:val="0"/>
          <w:divBdr>
            <w:top w:val="none" w:sz="0" w:space="0" w:color="auto"/>
            <w:left w:val="none" w:sz="0" w:space="0" w:color="auto"/>
            <w:bottom w:val="none" w:sz="0" w:space="0" w:color="auto"/>
            <w:right w:val="none" w:sz="0" w:space="0" w:color="auto"/>
          </w:divBdr>
        </w:div>
      </w:divsChild>
    </w:div>
    <w:div w:id="1867600373">
      <w:bodyDiv w:val="1"/>
      <w:marLeft w:val="0"/>
      <w:marRight w:val="0"/>
      <w:marTop w:val="0"/>
      <w:marBottom w:val="0"/>
      <w:divBdr>
        <w:top w:val="none" w:sz="0" w:space="0" w:color="auto"/>
        <w:left w:val="none" w:sz="0" w:space="0" w:color="auto"/>
        <w:bottom w:val="none" w:sz="0" w:space="0" w:color="auto"/>
        <w:right w:val="none" w:sz="0" w:space="0" w:color="auto"/>
      </w:divBdr>
    </w:div>
    <w:div w:id="1867719164">
      <w:bodyDiv w:val="1"/>
      <w:marLeft w:val="0"/>
      <w:marRight w:val="0"/>
      <w:marTop w:val="0"/>
      <w:marBottom w:val="0"/>
      <w:divBdr>
        <w:top w:val="none" w:sz="0" w:space="0" w:color="auto"/>
        <w:left w:val="none" w:sz="0" w:space="0" w:color="auto"/>
        <w:bottom w:val="none" w:sz="0" w:space="0" w:color="auto"/>
        <w:right w:val="none" w:sz="0" w:space="0" w:color="auto"/>
      </w:divBdr>
    </w:div>
    <w:div w:id="1873223146">
      <w:bodyDiv w:val="1"/>
      <w:marLeft w:val="0"/>
      <w:marRight w:val="0"/>
      <w:marTop w:val="0"/>
      <w:marBottom w:val="0"/>
      <w:divBdr>
        <w:top w:val="none" w:sz="0" w:space="0" w:color="auto"/>
        <w:left w:val="none" w:sz="0" w:space="0" w:color="auto"/>
        <w:bottom w:val="none" w:sz="0" w:space="0" w:color="auto"/>
        <w:right w:val="none" w:sz="0" w:space="0" w:color="auto"/>
      </w:divBdr>
    </w:div>
    <w:div w:id="1903786389">
      <w:bodyDiv w:val="1"/>
      <w:marLeft w:val="0"/>
      <w:marRight w:val="0"/>
      <w:marTop w:val="0"/>
      <w:marBottom w:val="0"/>
      <w:divBdr>
        <w:top w:val="none" w:sz="0" w:space="0" w:color="auto"/>
        <w:left w:val="none" w:sz="0" w:space="0" w:color="auto"/>
        <w:bottom w:val="none" w:sz="0" w:space="0" w:color="auto"/>
        <w:right w:val="none" w:sz="0" w:space="0" w:color="auto"/>
      </w:divBdr>
    </w:div>
    <w:div w:id="1906792117">
      <w:bodyDiv w:val="1"/>
      <w:marLeft w:val="0"/>
      <w:marRight w:val="0"/>
      <w:marTop w:val="0"/>
      <w:marBottom w:val="0"/>
      <w:divBdr>
        <w:top w:val="none" w:sz="0" w:space="0" w:color="auto"/>
        <w:left w:val="none" w:sz="0" w:space="0" w:color="auto"/>
        <w:bottom w:val="none" w:sz="0" w:space="0" w:color="auto"/>
        <w:right w:val="none" w:sz="0" w:space="0" w:color="auto"/>
      </w:divBdr>
      <w:divsChild>
        <w:div w:id="643392868">
          <w:marLeft w:val="0"/>
          <w:marRight w:val="0"/>
          <w:marTop w:val="0"/>
          <w:marBottom w:val="0"/>
          <w:divBdr>
            <w:top w:val="none" w:sz="0" w:space="0" w:color="auto"/>
            <w:left w:val="none" w:sz="0" w:space="0" w:color="auto"/>
            <w:bottom w:val="none" w:sz="0" w:space="0" w:color="auto"/>
            <w:right w:val="none" w:sz="0" w:space="0" w:color="auto"/>
          </w:divBdr>
        </w:div>
        <w:div w:id="1612132357">
          <w:marLeft w:val="0"/>
          <w:marRight w:val="0"/>
          <w:marTop w:val="0"/>
          <w:marBottom w:val="0"/>
          <w:divBdr>
            <w:top w:val="none" w:sz="0" w:space="0" w:color="auto"/>
            <w:left w:val="none" w:sz="0" w:space="0" w:color="auto"/>
            <w:bottom w:val="none" w:sz="0" w:space="0" w:color="auto"/>
            <w:right w:val="none" w:sz="0" w:space="0" w:color="auto"/>
          </w:divBdr>
        </w:div>
        <w:div w:id="1303848299">
          <w:marLeft w:val="0"/>
          <w:marRight w:val="0"/>
          <w:marTop w:val="0"/>
          <w:marBottom w:val="0"/>
          <w:divBdr>
            <w:top w:val="none" w:sz="0" w:space="0" w:color="auto"/>
            <w:left w:val="none" w:sz="0" w:space="0" w:color="auto"/>
            <w:bottom w:val="none" w:sz="0" w:space="0" w:color="auto"/>
            <w:right w:val="none" w:sz="0" w:space="0" w:color="auto"/>
          </w:divBdr>
        </w:div>
        <w:div w:id="159733033">
          <w:marLeft w:val="0"/>
          <w:marRight w:val="0"/>
          <w:marTop w:val="0"/>
          <w:marBottom w:val="0"/>
          <w:divBdr>
            <w:top w:val="none" w:sz="0" w:space="0" w:color="auto"/>
            <w:left w:val="none" w:sz="0" w:space="0" w:color="auto"/>
            <w:bottom w:val="none" w:sz="0" w:space="0" w:color="auto"/>
            <w:right w:val="none" w:sz="0" w:space="0" w:color="auto"/>
          </w:divBdr>
        </w:div>
        <w:div w:id="705568579">
          <w:marLeft w:val="0"/>
          <w:marRight w:val="0"/>
          <w:marTop w:val="0"/>
          <w:marBottom w:val="0"/>
          <w:divBdr>
            <w:top w:val="none" w:sz="0" w:space="0" w:color="auto"/>
            <w:left w:val="none" w:sz="0" w:space="0" w:color="auto"/>
            <w:bottom w:val="none" w:sz="0" w:space="0" w:color="auto"/>
            <w:right w:val="none" w:sz="0" w:space="0" w:color="auto"/>
          </w:divBdr>
        </w:div>
      </w:divsChild>
    </w:div>
    <w:div w:id="1908612517">
      <w:bodyDiv w:val="1"/>
      <w:marLeft w:val="0"/>
      <w:marRight w:val="0"/>
      <w:marTop w:val="0"/>
      <w:marBottom w:val="0"/>
      <w:divBdr>
        <w:top w:val="none" w:sz="0" w:space="0" w:color="auto"/>
        <w:left w:val="none" w:sz="0" w:space="0" w:color="auto"/>
        <w:bottom w:val="none" w:sz="0" w:space="0" w:color="auto"/>
        <w:right w:val="none" w:sz="0" w:space="0" w:color="auto"/>
      </w:divBdr>
    </w:div>
    <w:div w:id="1911116059">
      <w:bodyDiv w:val="1"/>
      <w:marLeft w:val="0"/>
      <w:marRight w:val="0"/>
      <w:marTop w:val="0"/>
      <w:marBottom w:val="0"/>
      <w:divBdr>
        <w:top w:val="none" w:sz="0" w:space="0" w:color="auto"/>
        <w:left w:val="none" w:sz="0" w:space="0" w:color="auto"/>
        <w:bottom w:val="none" w:sz="0" w:space="0" w:color="auto"/>
        <w:right w:val="none" w:sz="0" w:space="0" w:color="auto"/>
      </w:divBdr>
    </w:div>
    <w:div w:id="1913540016">
      <w:bodyDiv w:val="1"/>
      <w:marLeft w:val="0"/>
      <w:marRight w:val="0"/>
      <w:marTop w:val="0"/>
      <w:marBottom w:val="0"/>
      <w:divBdr>
        <w:top w:val="none" w:sz="0" w:space="0" w:color="auto"/>
        <w:left w:val="none" w:sz="0" w:space="0" w:color="auto"/>
        <w:bottom w:val="none" w:sz="0" w:space="0" w:color="auto"/>
        <w:right w:val="none" w:sz="0" w:space="0" w:color="auto"/>
      </w:divBdr>
    </w:div>
    <w:div w:id="1921058229">
      <w:bodyDiv w:val="1"/>
      <w:marLeft w:val="0"/>
      <w:marRight w:val="0"/>
      <w:marTop w:val="0"/>
      <w:marBottom w:val="0"/>
      <w:divBdr>
        <w:top w:val="none" w:sz="0" w:space="0" w:color="auto"/>
        <w:left w:val="none" w:sz="0" w:space="0" w:color="auto"/>
        <w:bottom w:val="none" w:sz="0" w:space="0" w:color="auto"/>
        <w:right w:val="none" w:sz="0" w:space="0" w:color="auto"/>
      </w:divBdr>
    </w:div>
    <w:div w:id="1929579584">
      <w:bodyDiv w:val="1"/>
      <w:marLeft w:val="0"/>
      <w:marRight w:val="0"/>
      <w:marTop w:val="0"/>
      <w:marBottom w:val="0"/>
      <w:divBdr>
        <w:top w:val="none" w:sz="0" w:space="0" w:color="auto"/>
        <w:left w:val="none" w:sz="0" w:space="0" w:color="auto"/>
        <w:bottom w:val="none" w:sz="0" w:space="0" w:color="auto"/>
        <w:right w:val="none" w:sz="0" w:space="0" w:color="auto"/>
      </w:divBdr>
    </w:div>
    <w:div w:id="1932736748">
      <w:bodyDiv w:val="1"/>
      <w:marLeft w:val="0"/>
      <w:marRight w:val="0"/>
      <w:marTop w:val="0"/>
      <w:marBottom w:val="0"/>
      <w:divBdr>
        <w:top w:val="none" w:sz="0" w:space="0" w:color="auto"/>
        <w:left w:val="none" w:sz="0" w:space="0" w:color="auto"/>
        <w:bottom w:val="none" w:sz="0" w:space="0" w:color="auto"/>
        <w:right w:val="none" w:sz="0" w:space="0" w:color="auto"/>
      </w:divBdr>
    </w:div>
    <w:div w:id="1934704738">
      <w:bodyDiv w:val="1"/>
      <w:marLeft w:val="0"/>
      <w:marRight w:val="0"/>
      <w:marTop w:val="0"/>
      <w:marBottom w:val="0"/>
      <w:divBdr>
        <w:top w:val="none" w:sz="0" w:space="0" w:color="auto"/>
        <w:left w:val="none" w:sz="0" w:space="0" w:color="auto"/>
        <w:bottom w:val="none" w:sz="0" w:space="0" w:color="auto"/>
        <w:right w:val="none" w:sz="0" w:space="0" w:color="auto"/>
      </w:divBdr>
    </w:div>
    <w:div w:id="1935505187">
      <w:bodyDiv w:val="1"/>
      <w:marLeft w:val="0"/>
      <w:marRight w:val="0"/>
      <w:marTop w:val="0"/>
      <w:marBottom w:val="0"/>
      <w:divBdr>
        <w:top w:val="none" w:sz="0" w:space="0" w:color="auto"/>
        <w:left w:val="none" w:sz="0" w:space="0" w:color="auto"/>
        <w:bottom w:val="none" w:sz="0" w:space="0" w:color="auto"/>
        <w:right w:val="none" w:sz="0" w:space="0" w:color="auto"/>
      </w:divBdr>
    </w:div>
    <w:div w:id="1941404354">
      <w:bodyDiv w:val="1"/>
      <w:marLeft w:val="0"/>
      <w:marRight w:val="0"/>
      <w:marTop w:val="0"/>
      <w:marBottom w:val="0"/>
      <w:divBdr>
        <w:top w:val="none" w:sz="0" w:space="0" w:color="auto"/>
        <w:left w:val="none" w:sz="0" w:space="0" w:color="auto"/>
        <w:bottom w:val="none" w:sz="0" w:space="0" w:color="auto"/>
        <w:right w:val="none" w:sz="0" w:space="0" w:color="auto"/>
      </w:divBdr>
      <w:divsChild>
        <w:div w:id="872156104">
          <w:marLeft w:val="0"/>
          <w:marRight w:val="0"/>
          <w:marTop w:val="0"/>
          <w:marBottom w:val="0"/>
          <w:divBdr>
            <w:top w:val="none" w:sz="0" w:space="0" w:color="auto"/>
            <w:left w:val="none" w:sz="0" w:space="0" w:color="auto"/>
            <w:bottom w:val="none" w:sz="0" w:space="0" w:color="auto"/>
            <w:right w:val="none" w:sz="0" w:space="0" w:color="auto"/>
          </w:divBdr>
          <w:divsChild>
            <w:div w:id="1985967145">
              <w:marLeft w:val="0"/>
              <w:marRight w:val="0"/>
              <w:marTop w:val="0"/>
              <w:marBottom w:val="0"/>
              <w:divBdr>
                <w:top w:val="none" w:sz="0" w:space="0" w:color="auto"/>
                <w:left w:val="none" w:sz="0" w:space="0" w:color="auto"/>
                <w:bottom w:val="none" w:sz="0" w:space="0" w:color="auto"/>
                <w:right w:val="none" w:sz="0" w:space="0" w:color="auto"/>
              </w:divBdr>
            </w:div>
            <w:div w:id="1749620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5333555">
      <w:bodyDiv w:val="1"/>
      <w:marLeft w:val="0"/>
      <w:marRight w:val="0"/>
      <w:marTop w:val="0"/>
      <w:marBottom w:val="0"/>
      <w:divBdr>
        <w:top w:val="none" w:sz="0" w:space="0" w:color="auto"/>
        <w:left w:val="none" w:sz="0" w:space="0" w:color="auto"/>
        <w:bottom w:val="none" w:sz="0" w:space="0" w:color="auto"/>
        <w:right w:val="none" w:sz="0" w:space="0" w:color="auto"/>
      </w:divBdr>
      <w:divsChild>
        <w:div w:id="1618832351">
          <w:marLeft w:val="0"/>
          <w:marRight w:val="0"/>
          <w:marTop w:val="0"/>
          <w:marBottom w:val="0"/>
          <w:divBdr>
            <w:top w:val="none" w:sz="0" w:space="0" w:color="auto"/>
            <w:left w:val="none" w:sz="0" w:space="0" w:color="auto"/>
            <w:bottom w:val="none" w:sz="0" w:space="0" w:color="auto"/>
            <w:right w:val="none" w:sz="0" w:space="0" w:color="auto"/>
          </w:divBdr>
          <w:divsChild>
            <w:div w:id="438573280">
              <w:marLeft w:val="0"/>
              <w:marRight w:val="0"/>
              <w:marTop w:val="0"/>
              <w:marBottom w:val="0"/>
              <w:divBdr>
                <w:top w:val="none" w:sz="0" w:space="0" w:color="auto"/>
                <w:left w:val="none" w:sz="0" w:space="0" w:color="auto"/>
                <w:bottom w:val="none" w:sz="0" w:space="0" w:color="auto"/>
                <w:right w:val="none" w:sz="0" w:space="0" w:color="auto"/>
              </w:divBdr>
              <w:divsChild>
                <w:div w:id="371198100">
                  <w:marLeft w:val="0"/>
                  <w:marRight w:val="0"/>
                  <w:marTop w:val="0"/>
                  <w:marBottom w:val="0"/>
                  <w:divBdr>
                    <w:top w:val="none" w:sz="0" w:space="0" w:color="auto"/>
                    <w:left w:val="none" w:sz="0" w:space="0" w:color="auto"/>
                    <w:bottom w:val="none" w:sz="0" w:space="0" w:color="auto"/>
                    <w:right w:val="none" w:sz="0" w:space="0" w:color="auto"/>
                  </w:divBdr>
                  <w:divsChild>
                    <w:div w:id="915288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7619228">
      <w:bodyDiv w:val="1"/>
      <w:marLeft w:val="0"/>
      <w:marRight w:val="0"/>
      <w:marTop w:val="0"/>
      <w:marBottom w:val="0"/>
      <w:divBdr>
        <w:top w:val="none" w:sz="0" w:space="0" w:color="auto"/>
        <w:left w:val="none" w:sz="0" w:space="0" w:color="auto"/>
        <w:bottom w:val="none" w:sz="0" w:space="0" w:color="auto"/>
        <w:right w:val="none" w:sz="0" w:space="0" w:color="auto"/>
      </w:divBdr>
      <w:divsChild>
        <w:div w:id="1073091653">
          <w:marLeft w:val="0"/>
          <w:marRight w:val="0"/>
          <w:marTop w:val="0"/>
          <w:marBottom w:val="0"/>
          <w:divBdr>
            <w:top w:val="none" w:sz="0" w:space="0" w:color="auto"/>
            <w:left w:val="none" w:sz="0" w:space="0" w:color="auto"/>
            <w:bottom w:val="none" w:sz="0" w:space="0" w:color="auto"/>
            <w:right w:val="none" w:sz="0" w:space="0" w:color="auto"/>
          </w:divBdr>
        </w:div>
        <w:div w:id="989165463">
          <w:marLeft w:val="0"/>
          <w:marRight w:val="0"/>
          <w:marTop w:val="0"/>
          <w:marBottom w:val="0"/>
          <w:divBdr>
            <w:top w:val="none" w:sz="0" w:space="0" w:color="auto"/>
            <w:left w:val="none" w:sz="0" w:space="0" w:color="auto"/>
            <w:bottom w:val="none" w:sz="0" w:space="0" w:color="auto"/>
            <w:right w:val="none" w:sz="0" w:space="0" w:color="auto"/>
          </w:divBdr>
        </w:div>
        <w:div w:id="2059669214">
          <w:marLeft w:val="0"/>
          <w:marRight w:val="0"/>
          <w:marTop w:val="0"/>
          <w:marBottom w:val="0"/>
          <w:divBdr>
            <w:top w:val="none" w:sz="0" w:space="0" w:color="auto"/>
            <w:left w:val="none" w:sz="0" w:space="0" w:color="auto"/>
            <w:bottom w:val="none" w:sz="0" w:space="0" w:color="auto"/>
            <w:right w:val="none" w:sz="0" w:space="0" w:color="auto"/>
          </w:divBdr>
        </w:div>
      </w:divsChild>
    </w:div>
    <w:div w:id="1952276439">
      <w:bodyDiv w:val="1"/>
      <w:marLeft w:val="0"/>
      <w:marRight w:val="0"/>
      <w:marTop w:val="0"/>
      <w:marBottom w:val="0"/>
      <w:divBdr>
        <w:top w:val="none" w:sz="0" w:space="0" w:color="auto"/>
        <w:left w:val="none" w:sz="0" w:space="0" w:color="auto"/>
        <w:bottom w:val="none" w:sz="0" w:space="0" w:color="auto"/>
        <w:right w:val="none" w:sz="0" w:space="0" w:color="auto"/>
      </w:divBdr>
    </w:div>
    <w:div w:id="1954163343">
      <w:bodyDiv w:val="1"/>
      <w:marLeft w:val="0"/>
      <w:marRight w:val="0"/>
      <w:marTop w:val="0"/>
      <w:marBottom w:val="0"/>
      <w:divBdr>
        <w:top w:val="none" w:sz="0" w:space="0" w:color="auto"/>
        <w:left w:val="none" w:sz="0" w:space="0" w:color="auto"/>
        <w:bottom w:val="none" w:sz="0" w:space="0" w:color="auto"/>
        <w:right w:val="none" w:sz="0" w:space="0" w:color="auto"/>
      </w:divBdr>
    </w:div>
    <w:div w:id="1967008671">
      <w:bodyDiv w:val="1"/>
      <w:marLeft w:val="0"/>
      <w:marRight w:val="0"/>
      <w:marTop w:val="0"/>
      <w:marBottom w:val="0"/>
      <w:divBdr>
        <w:top w:val="none" w:sz="0" w:space="0" w:color="auto"/>
        <w:left w:val="none" w:sz="0" w:space="0" w:color="auto"/>
        <w:bottom w:val="none" w:sz="0" w:space="0" w:color="auto"/>
        <w:right w:val="none" w:sz="0" w:space="0" w:color="auto"/>
      </w:divBdr>
    </w:div>
    <w:div w:id="1986928666">
      <w:bodyDiv w:val="1"/>
      <w:marLeft w:val="0"/>
      <w:marRight w:val="0"/>
      <w:marTop w:val="0"/>
      <w:marBottom w:val="0"/>
      <w:divBdr>
        <w:top w:val="none" w:sz="0" w:space="0" w:color="auto"/>
        <w:left w:val="none" w:sz="0" w:space="0" w:color="auto"/>
        <w:bottom w:val="none" w:sz="0" w:space="0" w:color="auto"/>
        <w:right w:val="none" w:sz="0" w:space="0" w:color="auto"/>
      </w:divBdr>
    </w:div>
    <w:div w:id="2000964369">
      <w:bodyDiv w:val="1"/>
      <w:marLeft w:val="0"/>
      <w:marRight w:val="0"/>
      <w:marTop w:val="0"/>
      <w:marBottom w:val="0"/>
      <w:divBdr>
        <w:top w:val="none" w:sz="0" w:space="0" w:color="auto"/>
        <w:left w:val="none" w:sz="0" w:space="0" w:color="auto"/>
        <w:bottom w:val="none" w:sz="0" w:space="0" w:color="auto"/>
        <w:right w:val="none" w:sz="0" w:space="0" w:color="auto"/>
      </w:divBdr>
    </w:div>
    <w:div w:id="2007396015">
      <w:bodyDiv w:val="1"/>
      <w:marLeft w:val="0"/>
      <w:marRight w:val="0"/>
      <w:marTop w:val="0"/>
      <w:marBottom w:val="0"/>
      <w:divBdr>
        <w:top w:val="none" w:sz="0" w:space="0" w:color="auto"/>
        <w:left w:val="none" w:sz="0" w:space="0" w:color="auto"/>
        <w:bottom w:val="none" w:sz="0" w:space="0" w:color="auto"/>
        <w:right w:val="none" w:sz="0" w:space="0" w:color="auto"/>
      </w:divBdr>
    </w:div>
    <w:div w:id="2008048514">
      <w:bodyDiv w:val="1"/>
      <w:marLeft w:val="0"/>
      <w:marRight w:val="0"/>
      <w:marTop w:val="0"/>
      <w:marBottom w:val="0"/>
      <w:divBdr>
        <w:top w:val="none" w:sz="0" w:space="0" w:color="auto"/>
        <w:left w:val="none" w:sz="0" w:space="0" w:color="auto"/>
        <w:bottom w:val="none" w:sz="0" w:space="0" w:color="auto"/>
        <w:right w:val="none" w:sz="0" w:space="0" w:color="auto"/>
      </w:divBdr>
    </w:div>
    <w:div w:id="2009597345">
      <w:bodyDiv w:val="1"/>
      <w:marLeft w:val="0"/>
      <w:marRight w:val="0"/>
      <w:marTop w:val="0"/>
      <w:marBottom w:val="0"/>
      <w:divBdr>
        <w:top w:val="none" w:sz="0" w:space="0" w:color="auto"/>
        <w:left w:val="none" w:sz="0" w:space="0" w:color="auto"/>
        <w:bottom w:val="none" w:sz="0" w:space="0" w:color="auto"/>
        <w:right w:val="none" w:sz="0" w:space="0" w:color="auto"/>
      </w:divBdr>
    </w:div>
    <w:div w:id="2012828402">
      <w:bodyDiv w:val="1"/>
      <w:marLeft w:val="0"/>
      <w:marRight w:val="0"/>
      <w:marTop w:val="0"/>
      <w:marBottom w:val="0"/>
      <w:divBdr>
        <w:top w:val="none" w:sz="0" w:space="0" w:color="auto"/>
        <w:left w:val="none" w:sz="0" w:space="0" w:color="auto"/>
        <w:bottom w:val="none" w:sz="0" w:space="0" w:color="auto"/>
        <w:right w:val="none" w:sz="0" w:space="0" w:color="auto"/>
      </w:divBdr>
    </w:div>
    <w:div w:id="2017071947">
      <w:bodyDiv w:val="1"/>
      <w:marLeft w:val="0"/>
      <w:marRight w:val="0"/>
      <w:marTop w:val="0"/>
      <w:marBottom w:val="0"/>
      <w:divBdr>
        <w:top w:val="none" w:sz="0" w:space="0" w:color="auto"/>
        <w:left w:val="none" w:sz="0" w:space="0" w:color="auto"/>
        <w:bottom w:val="none" w:sz="0" w:space="0" w:color="auto"/>
        <w:right w:val="none" w:sz="0" w:space="0" w:color="auto"/>
      </w:divBdr>
    </w:div>
    <w:div w:id="2022047850">
      <w:bodyDiv w:val="1"/>
      <w:marLeft w:val="0"/>
      <w:marRight w:val="0"/>
      <w:marTop w:val="0"/>
      <w:marBottom w:val="0"/>
      <w:divBdr>
        <w:top w:val="none" w:sz="0" w:space="0" w:color="auto"/>
        <w:left w:val="none" w:sz="0" w:space="0" w:color="auto"/>
        <w:bottom w:val="none" w:sz="0" w:space="0" w:color="auto"/>
        <w:right w:val="none" w:sz="0" w:space="0" w:color="auto"/>
      </w:divBdr>
    </w:div>
    <w:div w:id="2031298367">
      <w:bodyDiv w:val="1"/>
      <w:marLeft w:val="0"/>
      <w:marRight w:val="0"/>
      <w:marTop w:val="0"/>
      <w:marBottom w:val="0"/>
      <w:divBdr>
        <w:top w:val="none" w:sz="0" w:space="0" w:color="auto"/>
        <w:left w:val="none" w:sz="0" w:space="0" w:color="auto"/>
        <w:bottom w:val="none" w:sz="0" w:space="0" w:color="auto"/>
        <w:right w:val="none" w:sz="0" w:space="0" w:color="auto"/>
      </w:divBdr>
      <w:divsChild>
        <w:div w:id="541938974">
          <w:marLeft w:val="0"/>
          <w:marRight w:val="0"/>
          <w:marTop w:val="0"/>
          <w:marBottom w:val="0"/>
          <w:divBdr>
            <w:top w:val="none" w:sz="0" w:space="0" w:color="auto"/>
            <w:left w:val="none" w:sz="0" w:space="0" w:color="auto"/>
            <w:bottom w:val="none" w:sz="0" w:space="0" w:color="auto"/>
            <w:right w:val="none" w:sz="0" w:space="0" w:color="auto"/>
          </w:divBdr>
        </w:div>
        <w:div w:id="285818572">
          <w:marLeft w:val="0"/>
          <w:marRight w:val="0"/>
          <w:marTop w:val="0"/>
          <w:marBottom w:val="0"/>
          <w:divBdr>
            <w:top w:val="none" w:sz="0" w:space="0" w:color="auto"/>
            <w:left w:val="none" w:sz="0" w:space="0" w:color="auto"/>
            <w:bottom w:val="none" w:sz="0" w:space="0" w:color="auto"/>
            <w:right w:val="none" w:sz="0" w:space="0" w:color="auto"/>
          </w:divBdr>
        </w:div>
        <w:div w:id="1105534937">
          <w:marLeft w:val="0"/>
          <w:marRight w:val="0"/>
          <w:marTop w:val="0"/>
          <w:marBottom w:val="0"/>
          <w:divBdr>
            <w:top w:val="none" w:sz="0" w:space="0" w:color="auto"/>
            <w:left w:val="none" w:sz="0" w:space="0" w:color="auto"/>
            <w:bottom w:val="none" w:sz="0" w:space="0" w:color="auto"/>
            <w:right w:val="none" w:sz="0" w:space="0" w:color="auto"/>
          </w:divBdr>
        </w:div>
        <w:div w:id="1508639918">
          <w:marLeft w:val="0"/>
          <w:marRight w:val="0"/>
          <w:marTop w:val="0"/>
          <w:marBottom w:val="0"/>
          <w:divBdr>
            <w:top w:val="none" w:sz="0" w:space="0" w:color="auto"/>
            <w:left w:val="none" w:sz="0" w:space="0" w:color="auto"/>
            <w:bottom w:val="none" w:sz="0" w:space="0" w:color="auto"/>
            <w:right w:val="none" w:sz="0" w:space="0" w:color="auto"/>
          </w:divBdr>
        </w:div>
        <w:div w:id="543521751">
          <w:marLeft w:val="0"/>
          <w:marRight w:val="0"/>
          <w:marTop w:val="0"/>
          <w:marBottom w:val="0"/>
          <w:divBdr>
            <w:top w:val="none" w:sz="0" w:space="0" w:color="auto"/>
            <w:left w:val="none" w:sz="0" w:space="0" w:color="auto"/>
            <w:bottom w:val="none" w:sz="0" w:space="0" w:color="auto"/>
            <w:right w:val="none" w:sz="0" w:space="0" w:color="auto"/>
          </w:divBdr>
        </w:div>
        <w:div w:id="299725883">
          <w:marLeft w:val="0"/>
          <w:marRight w:val="0"/>
          <w:marTop w:val="0"/>
          <w:marBottom w:val="0"/>
          <w:divBdr>
            <w:top w:val="none" w:sz="0" w:space="0" w:color="auto"/>
            <w:left w:val="none" w:sz="0" w:space="0" w:color="auto"/>
            <w:bottom w:val="none" w:sz="0" w:space="0" w:color="auto"/>
            <w:right w:val="none" w:sz="0" w:space="0" w:color="auto"/>
          </w:divBdr>
        </w:div>
        <w:div w:id="786199838">
          <w:marLeft w:val="0"/>
          <w:marRight w:val="0"/>
          <w:marTop w:val="0"/>
          <w:marBottom w:val="0"/>
          <w:divBdr>
            <w:top w:val="none" w:sz="0" w:space="0" w:color="auto"/>
            <w:left w:val="none" w:sz="0" w:space="0" w:color="auto"/>
            <w:bottom w:val="none" w:sz="0" w:space="0" w:color="auto"/>
            <w:right w:val="none" w:sz="0" w:space="0" w:color="auto"/>
          </w:divBdr>
        </w:div>
        <w:div w:id="478884183">
          <w:marLeft w:val="0"/>
          <w:marRight w:val="0"/>
          <w:marTop w:val="0"/>
          <w:marBottom w:val="0"/>
          <w:divBdr>
            <w:top w:val="none" w:sz="0" w:space="0" w:color="auto"/>
            <w:left w:val="none" w:sz="0" w:space="0" w:color="auto"/>
            <w:bottom w:val="none" w:sz="0" w:space="0" w:color="auto"/>
            <w:right w:val="none" w:sz="0" w:space="0" w:color="auto"/>
          </w:divBdr>
        </w:div>
        <w:div w:id="1618442465">
          <w:marLeft w:val="0"/>
          <w:marRight w:val="0"/>
          <w:marTop w:val="0"/>
          <w:marBottom w:val="0"/>
          <w:divBdr>
            <w:top w:val="none" w:sz="0" w:space="0" w:color="auto"/>
            <w:left w:val="none" w:sz="0" w:space="0" w:color="auto"/>
            <w:bottom w:val="none" w:sz="0" w:space="0" w:color="auto"/>
            <w:right w:val="none" w:sz="0" w:space="0" w:color="auto"/>
          </w:divBdr>
        </w:div>
        <w:div w:id="2124106103">
          <w:marLeft w:val="0"/>
          <w:marRight w:val="0"/>
          <w:marTop w:val="0"/>
          <w:marBottom w:val="0"/>
          <w:divBdr>
            <w:top w:val="none" w:sz="0" w:space="0" w:color="auto"/>
            <w:left w:val="none" w:sz="0" w:space="0" w:color="auto"/>
            <w:bottom w:val="none" w:sz="0" w:space="0" w:color="auto"/>
            <w:right w:val="none" w:sz="0" w:space="0" w:color="auto"/>
          </w:divBdr>
        </w:div>
        <w:div w:id="1928536324">
          <w:marLeft w:val="0"/>
          <w:marRight w:val="0"/>
          <w:marTop w:val="0"/>
          <w:marBottom w:val="0"/>
          <w:divBdr>
            <w:top w:val="none" w:sz="0" w:space="0" w:color="auto"/>
            <w:left w:val="none" w:sz="0" w:space="0" w:color="auto"/>
            <w:bottom w:val="none" w:sz="0" w:space="0" w:color="auto"/>
            <w:right w:val="none" w:sz="0" w:space="0" w:color="auto"/>
          </w:divBdr>
        </w:div>
        <w:div w:id="1986160463">
          <w:marLeft w:val="0"/>
          <w:marRight w:val="0"/>
          <w:marTop w:val="0"/>
          <w:marBottom w:val="0"/>
          <w:divBdr>
            <w:top w:val="none" w:sz="0" w:space="0" w:color="auto"/>
            <w:left w:val="none" w:sz="0" w:space="0" w:color="auto"/>
            <w:bottom w:val="none" w:sz="0" w:space="0" w:color="auto"/>
            <w:right w:val="none" w:sz="0" w:space="0" w:color="auto"/>
          </w:divBdr>
          <w:divsChild>
            <w:div w:id="699627192">
              <w:marLeft w:val="0"/>
              <w:marRight w:val="0"/>
              <w:marTop w:val="0"/>
              <w:marBottom w:val="0"/>
              <w:divBdr>
                <w:top w:val="none" w:sz="0" w:space="0" w:color="auto"/>
                <w:left w:val="none" w:sz="0" w:space="0" w:color="auto"/>
                <w:bottom w:val="none" w:sz="0" w:space="0" w:color="auto"/>
                <w:right w:val="none" w:sz="0" w:space="0" w:color="auto"/>
              </w:divBdr>
            </w:div>
            <w:div w:id="230431282">
              <w:marLeft w:val="0"/>
              <w:marRight w:val="0"/>
              <w:marTop w:val="0"/>
              <w:marBottom w:val="0"/>
              <w:divBdr>
                <w:top w:val="none" w:sz="0" w:space="0" w:color="auto"/>
                <w:left w:val="none" w:sz="0" w:space="0" w:color="auto"/>
                <w:bottom w:val="none" w:sz="0" w:space="0" w:color="auto"/>
                <w:right w:val="none" w:sz="0" w:space="0" w:color="auto"/>
              </w:divBdr>
            </w:div>
            <w:div w:id="31392902">
              <w:marLeft w:val="0"/>
              <w:marRight w:val="0"/>
              <w:marTop w:val="0"/>
              <w:marBottom w:val="0"/>
              <w:divBdr>
                <w:top w:val="none" w:sz="0" w:space="0" w:color="auto"/>
                <w:left w:val="none" w:sz="0" w:space="0" w:color="auto"/>
                <w:bottom w:val="none" w:sz="0" w:space="0" w:color="auto"/>
                <w:right w:val="none" w:sz="0" w:space="0" w:color="auto"/>
              </w:divBdr>
            </w:div>
            <w:div w:id="2144039143">
              <w:marLeft w:val="0"/>
              <w:marRight w:val="0"/>
              <w:marTop w:val="0"/>
              <w:marBottom w:val="0"/>
              <w:divBdr>
                <w:top w:val="none" w:sz="0" w:space="0" w:color="auto"/>
                <w:left w:val="none" w:sz="0" w:space="0" w:color="auto"/>
                <w:bottom w:val="none" w:sz="0" w:space="0" w:color="auto"/>
                <w:right w:val="none" w:sz="0" w:space="0" w:color="auto"/>
              </w:divBdr>
            </w:div>
            <w:div w:id="119109522">
              <w:marLeft w:val="0"/>
              <w:marRight w:val="0"/>
              <w:marTop w:val="0"/>
              <w:marBottom w:val="0"/>
              <w:divBdr>
                <w:top w:val="none" w:sz="0" w:space="0" w:color="auto"/>
                <w:left w:val="none" w:sz="0" w:space="0" w:color="auto"/>
                <w:bottom w:val="none" w:sz="0" w:space="0" w:color="auto"/>
                <w:right w:val="none" w:sz="0" w:space="0" w:color="auto"/>
              </w:divBdr>
            </w:div>
            <w:div w:id="120208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1952717">
      <w:bodyDiv w:val="1"/>
      <w:marLeft w:val="0"/>
      <w:marRight w:val="0"/>
      <w:marTop w:val="0"/>
      <w:marBottom w:val="0"/>
      <w:divBdr>
        <w:top w:val="none" w:sz="0" w:space="0" w:color="auto"/>
        <w:left w:val="none" w:sz="0" w:space="0" w:color="auto"/>
        <w:bottom w:val="none" w:sz="0" w:space="0" w:color="auto"/>
        <w:right w:val="none" w:sz="0" w:space="0" w:color="auto"/>
      </w:divBdr>
    </w:div>
    <w:div w:id="2032605535">
      <w:bodyDiv w:val="1"/>
      <w:marLeft w:val="0"/>
      <w:marRight w:val="0"/>
      <w:marTop w:val="0"/>
      <w:marBottom w:val="0"/>
      <w:divBdr>
        <w:top w:val="none" w:sz="0" w:space="0" w:color="auto"/>
        <w:left w:val="none" w:sz="0" w:space="0" w:color="auto"/>
        <w:bottom w:val="none" w:sz="0" w:space="0" w:color="auto"/>
        <w:right w:val="none" w:sz="0" w:space="0" w:color="auto"/>
      </w:divBdr>
    </w:div>
    <w:div w:id="2037349399">
      <w:bodyDiv w:val="1"/>
      <w:marLeft w:val="0"/>
      <w:marRight w:val="0"/>
      <w:marTop w:val="0"/>
      <w:marBottom w:val="0"/>
      <w:divBdr>
        <w:top w:val="none" w:sz="0" w:space="0" w:color="auto"/>
        <w:left w:val="none" w:sz="0" w:space="0" w:color="auto"/>
        <w:bottom w:val="none" w:sz="0" w:space="0" w:color="auto"/>
        <w:right w:val="none" w:sz="0" w:space="0" w:color="auto"/>
      </w:divBdr>
      <w:divsChild>
        <w:div w:id="1359241146">
          <w:marLeft w:val="0"/>
          <w:marRight w:val="0"/>
          <w:marTop w:val="0"/>
          <w:marBottom w:val="0"/>
          <w:divBdr>
            <w:top w:val="none" w:sz="0" w:space="0" w:color="auto"/>
            <w:left w:val="none" w:sz="0" w:space="0" w:color="auto"/>
            <w:bottom w:val="none" w:sz="0" w:space="0" w:color="auto"/>
            <w:right w:val="none" w:sz="0" w:space="0" w:color="auto"/>
          </w:divBdr>
          <w:divsChild>
            <w:div w:id="158204934">
              <w:marLeft w:val="0"/>
              <w:marRight w:val="0"/>
              <w:marTop w:val="0"/>
              <w:marBottom w:val="0"/>
              <w:divBdr>
                <w:top w:val="none" w:sz="0" w:space="0" w:color="auto"/>
                <w:left w:val="none" w:sz="0" w:space="0" w:color="auto"/>
                <w:bottom w:val="none" w:sz="0" w:space="0" w:color="auto"/>
                <w:right w:val="none" w:sz="0" w:space="0" w:color="auto"/>
              </w:divBdr>
              <w:divsChild>
                <w:div w:id="1494301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4135181">
      <w:bodyDiv w:val="1"/>
      <w:marLeft w:val="0"/>
      <w:marRight w:val="0"/>
      <w:marTop w:val="0"/>
      <w:marBottom w:val="0"/>
      <w:divBdr>
        <w:top w:val="none" w:sz="0" w:space="0" w:color="auto"/>
        <w:left w:val="none" w:sz="0" w:space="0" w:color="auto"/>
        <w:bottom w:val="none" w:sz="0" w:space="0" w:color="auto"/>
        <w:right w:val="none" w:sz="0" w:space="0" w:color="auto"/>
      </w:divBdr>
    </w:div>
    <w:div w:id="2045056635">
      <w:bodyDiv w:val="1"/>
      <w:marLeft w:val="0"/>
      <w:marRight w:val="0"/>
      <w:marTop w:val="0"/>
      <w:marBottom w:val="0"/>
      <w:divBdr>
        <w:top w:val="none" w:sz="0" w:space="0" w:color="auto"/>
        <w:left w:val="none" w:sz="0" w:space="0" w:color="auto"/>
        <w:bottom w:val="none" w:sz="0" w:space="0" w:color="auto"/>
        <w:right w:val="none" w:sz="0" w:space="0" w:color="auto"/>
      </w:divBdr>
    </w:div>
    <w:div w:id="2065136020">
      <w:bodyDiv w:val="1"/>
      <w:marLeft w:val="0"/>
      <w:marRight w:val="0"/>
      <w:marTop w:val="0"/>
      <w:marBottom w:val="0"/>
      <w:divBdr>
        <w:top w:val="none" w:sz="0" w:space="0" w:color="auto"/>
        <w:left w:val="none" w:sz="0" w:space="0" w:color="auto"/>
        <w:bottom w:val="none" w:sz="0" w:space="0" w:color="auto"/>
        <w:right w:val="none" w:sz="0" w:space="0" w:color="auto"/>
      </w:divBdr>
    </w:div>
    <w:div w:id="2074280334">
      <w:bodyDiv w:val="1"/>
      <w:marLeft w:val="0"/>
      <w:marRight w:val="0"/>
      <w:marTop w:val="0"/>
      <w:marBottom w:val="0"/>
      <w:divBdr>
        <w:top w:val="none" w:sz="0" w:space="0" w:color="auto"/>
        <w:left w:val="none" w:sz="0" w:space="0" w:color="auto"/>
        <w:bottom w:val="none" w:sz="0" w:space="0" w:color="auto"/>
        <w:right w:val="none" w:sz="0" w:space="0" w:color="auto"/>
      </w:divBdr>
      <w:divsChild>
        <w:div w:id="1647590097">
          <w:marLeft w:val="0"/>
          <w:marRight w:val="0"/>
          <w:marTop w:val="0"/>
          <w:marBottom w:val="0"/>
          <w:divBdr>
            <w:top w:val="none" w:sz="0" w:space="0" w:color="auto"/>
            <w:left w:val="none" w:sz="0" w:space="0" w:color="auto"/>
            <w:bottom w:val="none" w:sz="0" w:space="0" w:color="auto"/>
            <w:right w:val="none" w:sz="0" w:space="0" w:color="auto"/>
          </w:divBdr>
          <w:divsChild>
            <w:div w:id="1266306079">
              <w:marLeft w:val="0"/>
              <w:marRight w:val="0"/>
              <w:marTop w:val="0"/>
              <w:marBottom w:val="0"/>
              <w:divBdr>
                <w:top w:val="none" w:sz="0" w:space="0" w:color="auto"/>
                <w:left w:val="none" w:sz="0" w:space="0" w:color="auto"/>
                <w:bottom w:val="none" w:sz="0" w:space="0" w:color="auto"/>
                <w:right w:val="none" w:sz="0" w:space="0" w:color="auto"/>
              </w:divBdr>
              <w:divsChild>
                <w:div w:id="922833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2555456">
      <w:bodyDiv w:val="1"/>
      <w:marLeft w:val="0"/>
      <w:marRight w:val="0"/>
      <w:marTop w:val="0"/>
      <w:marBottom w:val="0"/>
      <w:divBdr>
        <w:top w:val="none" w:sz="0" w:space="0" w:color="auto"/>
        <w:left w:val="none" w:sz="0" w:space="0" w:color="auto"/>
        <w:bottom w:val="none" w:sz="0" w:space="0" w:color="auto"/>
        <w:right w:val="none" w:sz="0" w:space="0" w:color="auto"/>
      </w:divBdr>
    </w:div>
    <w:div w:id="2086803058">
      <w:bodyDiv w:val="1"/>
      <w:marLeft w:val="0"/>
      <w:marRight w:val="0"/>
      <w:marTop w:val="0"/>
      <w:marBottom w:val="0"/>
      <w:divBdr>
        <w:top w:val="none" w:sz="0" w:space="0" w:color="auto"/>
        <w:left w:val="none" w:sz="0" w:space="0" w:color="auto"/>
        <w:bottom w:val="none" w:sz="0" w:space="0" w:color="auto"/>
        <w:right w:val="none" w:sz="0" w:space="0" w:color="auto"/>
      </w:divBdr>
      <w:divsChild>
        <w:div w:id="177240049">
          <w:marLeft w:val="0"/>
          <w:marRight w:val="0"/>
          <w:marTop w:val="0"/>
          <w:marBottom w:val="0"/>
          <w:divBdr>
            <w:top w:val="none" w:sz="0" w:space="0" w:color="auto"/>
            <w:left w:val="none" w:sz="0" w:space="0" w:color="auto"/>
            <w:bottom w:val="none" w:sz="0" w:space="0" w:color="auto"/>
            <w:right w:val="none" w:sz="0" w:space="0" w:color="auto"/>
          </w:divBdr>
          <w:divsChild>
            <w:div w:id="1581257025">
              <w:marLeft w:val="0"/>
              <w:marRight w:val="0"/>
              <w:marTop w:val="0"/>
              <w:marBottom w:val="0"/>
              <w:divBdr>
                <w:top w:val="none" w:sz="0" w:space="0" w:color="auto"/>
                <w:left w:val="none" w:sz="0" w:space="0" w:color="auto"/>
                <w:bottom w:val="none" w:sz="0" w:space="0" w:color="auto"/>
                <w:right w:val="none" w:sz="0" w:space="0" w:color="auto"/>
              </w:divBdr>
              <w:divsChild>
                <w:div w:id="810488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2308994">
      <w:bodyDiv w:val="1"/>
      <w:marLeft w:val="0"/>
      <w:marRight w:val="0"/>
      <w:marTop w:val="0"/>
      <w:marBottom w:val="0"/>
      <w:divBdr>
        <w:top w:val="none" w:sz="0" w:space="0" w:color="auto"/>
        <w:left w:val="none" w:sz="0" w:space="0" w:color="auto"/>
        <w:bottom w:val="none" w:sz="0" w:space="0" w:color="auto"/>
        <w:right w:val="none" w:sz="0" w:space="0" w:color="auto"/>
      </w:divBdr>
    </w:div>
    <w:div w:id="2092702304">
      <w:bodyDiv w:val="1"/>
      <w:marLeft w:val="0"/>
      <w:marRight w:val="0"/>
      <w:marTop w:val="0"/>
      <w:marBottom w:val="0"/>
      <w:divBdr>
        <w:top w:val="none" w:sz="0" w:space="0" w:color="auto"/>
        <w:left w:val="none" w:sz="0" w:space="0" w:color="auto"/>
        <w:bottom w:val="none" w:sz="0" w:space="0" w:color="auto"/>
        <w:right w:val="none" w:sz="0" w:space="0" w:color="auto"/>
      </w:divBdr>
    </w:div>
    <w:div w:id="2095398012">
      <w:bodyDiv w:val="1"/>
      <w:marLeft w:val="0"/>
      <w:marRight w:val="0"/>
      <w:marTop w:val="0"/>
      <w:marBottom w:val="0"/>
      <w:divBdr>
        <w:top w:val="none" w:sz="0" w:space="0" w:color="auto"/>
        <w:left w:val="none" w:sz="0" w:space="0" w:color="auto"/>
        <w:bottom w:val="none" w:sz="0" w:space="0" w:color="auto"/>
        <w:right w:val="none" w:sz="0" w:space="0" w:color="auto"/>
      </w:divBdr>
    </w:div>
    <w:div w:id="2098744137">
      <w:bodyDiv w:val="1"/>
      <w:marLeft w:val="0"/>
      <w:marRight w:val="0"/>
      <w:marTop w:val="0"/>
      <w:marBottom w:val="0"/>
      <w:divBdr>
        <w:top w:val="none" w:sz="0" w:space="0" w:color="auto"/>
        <w:left w:val="none" w:sz="0" w:space="0" w:color="auto"/>
        <w:bottom w:val="none" w:sz="0" w:space="0" w:color="auto"/>
        <w:right w:val="none" w:sz="0" w:space="0" w:color="auto"/>
      </w:divBdr>
    </w:div>
    <w:div w:id="2102950099">
      <w:bodyDiv w:val="1"/>
      <w:marLeft w:val="0"/>
      <w:marRight w:val="0"/>
      <w:marTop w:val="0"/>
      <w:marBottom w:val="0"/>
      <w:divBdr>
        <w:top w:val="none" w:sz="0" w:space="0" w:color="auto"/>
        <w:left w:val="none" w:sz="0" w:space="0" w:color="auto"/>
        <w:bottom w:val="none" w:sz="0" w:space="0" w:color="auto"/>
        <w:right w:val="none" w:sz="0" w:space="0" w:color="auto"/>
      </w:divBdr>
      <w:divsChild>
        <w:div w:id="610279058">
          <w:marLeft w:val="0"/>
          <w:marRight w:val="0"/>
          <w:marTop w:val="0"/>
          <w:marBottom w:val="0"/>
          <w:divBdr>
            <w:top w:val="none" w:sz="0" w:space="0" w:color="auto"/>
            <w:left w:val="none" w:sz="0" w:space="0" w:color="auto"/>
            <w:bottom w:val="none" w:sz="0" w:space="0" w:color="auto"/>
            <w:right w:val="none" w:sz="0" w:space="0" w:color="auto"/>
          </w:divBdr>
        </w:div>
        <w:div w:id="1544902233">
          <w:marLeft w:val="0"/>
          <w:marRight w:val="0"/>
          <w:marTop w:val="0"/>
          <w:marBottom w:val="0"/>
          <w:divBdr>
            <w:top w:val="none" w:sz="0" w:space="0" w:color="auto"/>
            <w:left w:val="none" w:sz="0" w:space="0" w:color="auto"/>
            <w:bottom w:val="none" w:sz="0" w:space="0" w:color="auto"/>
            <w:right w:val="none" w:sz="0" w:space="0" w:color="auto"/>
          </w:divBdr>
        </w:div>
        <w:div w:id="919755521">
          <w:marLeft w:val="0"/>
          <w:marRight w:val="0"/>
          <w:marTop w:val="0"/>
          <w:marBottom w:val="0"/>
          <w:divBdr>
            <w:top w:val="none" w:sz="0" w:space="0" w:color="auto"/>
            <w:left w:val="none" w:sz="0" w:space="0" w:color="auto"/>
            <w:bottom w:val="none" w:sz="0" w:space="0" w:color="auto"/>
            <w:right w:val="none" w:sz="0" w:space="0" w:color="auto"/>
          </w:divBdr>
        </w:div>
        <w:div w:id="1393038040">
          <w:marLeft w:val="0"/>
          <w:marRight w:val="0"/>
          <w:marTop w:val="0"/>
          <w:marBottom w:val="0"/>
          <w:divBdr>
            <w:top w:val="none" w:sz="0" w:space="0" w:color="auto"/>
            <w:left w:val="none" w:sz="0" w:space="0" w:color="auto"/>
            <w:bottom w:val="none" w:sz="0" w:space="0" w:color="auto"/>
            <w:right w:val="none" w:sz="0" w:space="0" w:color="auto"/>
          </w:divBdr>
        </w:div>
        <w:div w:id="1708673901">
          <w:marLeft w:val="0"/>
          <w:marRight w:val="0"/>
          <w:marTop w:val="0"/>
          <w:marBottom w:val="0"/>
          <w:divBdr>
            <w:top w:val="none" w:sz="0" w:space="0" w:color="auto"/>
            <w:left w:val="none" w:sz="0" w:space="0" w:color="auto"/>
            <w:bottom w:val="none" w:sz="0" w:space="0" w:color="auto"/>
            <w:right w:val="none" w:sz="0" w:space="0" w:color="auto"/>
          </w:divBdr>
        </w:div>
        <w:div w:id="570193454">
          <w:marLeft w:val="0"/>
          <w:marRight w:val="0"/>
          <w:marTop w:val="0"/>
          <w:marBottom w:val="0"/>
          <w:divBdr>
            <w:top w:val="none" w:sz="0" w:space="0" w:color="auto"/>
            <w:left w:val="none" w:sz="0" w:space="0" w:color="auto"/>
            <w:bottom w:val="none" w:sz="0" w:space="0" w:color="auto"/>
            <w:right w:val="none" w:sz="0" w:space="0" w:color="auto"/>
          </w:divBdr>
        </w:div>
      </w:divsChild>
    </w:div>
    <w:div w:id="2114550049">
      <w:bodyDiv w:val="1"/>
      <w:marLeft w:val="0"/>
      <w:marRight w:val="0"/>
      <w:marTop w:val="0"/>
      <w:marBottom w:val="0"/>
      <w:divBdr>
        <w:top w:val="none" w:sz="0" w:space="0" w:color="auto"/>
        <w:left w:val="none" w:sz="0" w:space="0" w:color="auto"/>
        <w:bottom w:val="none" w:sz="0" w:space="0" w:color="auto"/>
        <w:right w:val="none" w:sz="0" w:space="0" w:color="auto"/>
      </w:divBdr>
    </w:div>
    <w:div w:id="2123109624">
      <w:bodyDiv w:val="1"/>
      <w:marLeft w:val="0"/>
      <w:marRight w:val="0"/>
      <w:marTop w:val="0"/>
      <w:marBottom w:val="0"/>
      <w:divBdr>
        <w:top w:val="none" w:sz="0" w:space="0" w:color="auto"/>
        <w:left w:val="none" w:sz="0" w:space="0" w:color="auto"/>
        <w:bottom w:val="none" w:sz="0" w:space="0" w:color="auto"/>
        <w:right w:val="none" w:sz="0" w:space="0" w:color="auto"/>
      </w:divBdr>
      <w:divsChild>
        <w:div w:id="2065980699">
          <w:marLeft w:val="0"/>
          <w:marRight w:val="0"/>
          <w:marTop w:val="0"/>
          <w:marBottom w:val="0"/>
          <w:divBdr>
            <w:top w:val="none" w:sz="0" w:space="0" w:color="auto"/>
            <w:left w:val="none" w:sz="0" w:space="0" w:color="auto"/>
            <w:bottom w:val="none" w:sz="0" w:space="0" w:color="auto"/>
            <w:right w:val="none" w:sz="0" w:space="0" w:color="auto"/>
          </w:divBdr>
          <w:divsChild>
            <w:div w:id="349992134">
              <w:marLeft w:val="0"/>
              <w:marRight w:val="0"/>
              <w:marTop w:val="0"/>
              <w:marBottom w:val="0"/>
              <w:divBdr>
                <w:top w:val="none" w:sz="0" w:space="0" w:color="auto"/>
                <w:left w:val="none" w:sz="0" w:space="0" w:color="auto"/>
                <w:bottom w:val="none" w:sz="0" w:space="0" w:color="auto"/>
                <w:right w:val="none" w:sz="0" w:space="0" w:color="auto"/>
              </w:divBdr>
              <w:divsChild>
                <w:div w:id="1098252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7650556">
      <w:bodyDiv w:val="1"/>
      <w:marLeft w:val="0"/>
      <w:marRight w:val="0"/>
      <w:marTop w:val="0"/>
      <w:marBottom w:val="0"/>
      <w:divBdr>
        <w:top w:val="none" w:sz="0" w:space="0" w:color="auto"/>
        <w:left w:val="none" w:sz="0" w:space="0" w:color="auto"/>
        <w:bottom w:val="none" w:sz="0" w:space="0" w:color="auto"/>
        <w:right w:val="none" w:sz="0" w:space="0" w:color="auto"/>
      </w:divBdr>
    </w:div>
    <w:div w:id="2133672778">
      <w:bodyDiv w:val="1"/>
      <w:marLeft w:val="0"/>
      <w:marRight w:val="0"/>
      <w:marTop w:val="0"/>
      <w:marBottom w:val="0"/>
      <w:divBdr>
        <w:top w:val="none" w:sz="0" w:space="0" w:color="auto"/>
        <w:left w:val="none" w:sz="0" w:space="0" w:color="auto"/>
        <w:bottom w:val="none" w:sz="0" w:space="0" w:color="auto"/>
        <w:right w:val="none" w:sz="0" w:space="0" w:color="auto"/>
      </w:divBdr>
    </w:div>
    <w:div w:id="2134514882">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 w:id="2138184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tiff"/><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4414C5-DEED-4B13-A7CA-6B19E7E10D7B}">
  <ds:schemaRefs>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3.xml><?xml version="1.0" encoding="utf-8"?>
<ds:datastoreItem xmlns:ds="http://schemas.openxmlformats.org/officeDocument/2006/customXml" ds:itemID="{4B821723-319E-4517-B6A2-BC96C2B62B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8521671-D56A-F342-8BC5-FA15744391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C:\Users\ximena.cabezas\AppData\Local\Microsoft\Windows\INetCache\Content.Outlook\N37DCYCK\Respuesta a consultas.dotm</Template>
  <TotalTime>5</TotalTime>
  <Pages>19</Pages>
  <Words>7866</Words>
  <Characters>43266</Characters>
  <Application>Microsoft Office Word</Application>
  <DocSecurity>0</DocSecurity>
  <Lines>360</Lines>
  <Paragraphs>102</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51030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Felipe Bastidas Paredes</cp:lastModifiedBy>
  <cp:revision>3</cp:revision>
  <cp:lastPrinted>2020-01-30T15:05:00Z</cp:lastPrinted>
  <dcterms:created xsi:type="dcterms:W3CDTF">2021-08-04T00:17:00Z</dcterms:created>
  <dcterms:modified xsi:type="dcterms:W3CDTF">2021-08-04T02:18:00Z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