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46C80" w14:textId="7393E3F1" w:rsidR="003A6BA5" w:rsidRPr="00631B40" w:rsidRDefault="002411DE" w:rsidP="00643F91">
      <w:pPr>
        <w:jc w:val="right"/>
        <w:rPr>
          <w:rFonts w:ascii="Arial" w:eastAsia="Calibri" w:hAnsi="Arial" w:cs="Arial"/>
          <w:b/>
          <w:color w:val="000000" w:themeColor="text1"/>
          <w:sz w:val="20"/>
          <w:szCs w:val="20"/>
          <w:lang w:val="es-ES_tradnl"/>
        </w:rPr>
      </w:pPr>
      <w:bookmarkStart w:id="0" w:name="_Hlk28946138"/>
      <w:bookmarkStart w:id="1" w:name="_Hlk29548183"/>
      <w:r w:rsidRPr="008E7053">
        <w:rPr>
          <w:rFonts w:ascii="Arial" w:hAnsi="Arial" w:cs="Arial"/>
          <w:b/>
          <w:color w:val="000000" w:themeColor="text1"/>
          <w:sz w:val="16"/>
          <w:szCs w:val="16"/>
          <w:lang w:val="es-ES_tradnl" w:eastAsia="es-ES"/>
        </w:rPr>
        <w:t xml:space="preserve"> </w:t>
      </w:r>
      <w:r w:rsidR="00B55C69" w:rsidRPr="00631B40">
        <w:rPr>
          <w:rFonts w:ascii="Arial" w:hAnsi="Arial" w:cs="Arial"/>
          <w:b/>
          <w:color w:val="000000" w:themeColor="text1"/>
          <w:sz w:val="16"/>
          <w:szCs w:val="16"/>
          <w:lang w:val="es-ES_tradnl" w:eastAsia="es-ES"/>
        </w:rPr>
        <w:t>CCE-DES-FM-17</w:t>
      </w:r>
      <w:bookmarkEnd w:id="0"/>
      <w:bookmarkEnd w:id="1"/>
    </w:p>
    <w:p w14:paraId="0B9C84CC" w14:textId="77777777" w:rsidR="00643F91" w:rsidRPr="00631B40" w:rsidRDefault="00643F91" w:rsidP="00643F91">
      <w:pPr>
        <w:jc w:val="right"/>
        <w:rPr>
          <w:rFonts w:ascii="Arial" w:eastAsia="Calibri" w:hAnsi="Arial" w:cs="Arial"/>
          <w:b/>
          <w:color w:val="000000" w:themeColor="text1"/>
          <w:sz w:val="20"/>
          <w:szCs w:val="20"/>
          <w:lang w:val="es-ES_tradnl"/>
        </w:rPr>
      </w:pPr>
    </w:p>
    <w:p w14:paraId="208B97B7" w14:textId="55CDB8AF" w:rsidR="00B95C30" w:rsidRPr="00631B40" w:rsidRDefault="00C97106" w:rsidP="00146AC2">
      <w:pPr>
        <w:jc w:val="both"/>
        <w:rPr>
          <w:rFonts w:ascii="Arial" w:eastAsia="Calibri" w:hAnsi="Arial" w:cs="Arial"/>
          <w:b/>
          <w:sz w:val="22"/>
          <w:lang w:val="es-ES_tradnl"/>
        </w:rPr>
      </w:pPr>
      <w:r w:rsidRPr="00631B40">
        <w:rPr>
          <w:rFonts w:ascii="Arial" w:eastAsia="Calibri" w:hAnsi="Arial" w:cs="Arial"/>
          <w:b/>
          <w:sz w:val="22"/>
          <w:lang w:val="es-ES_tradnl"/>
        </w:rPr>
        <w:t>OBRAS CIVILES INCONCLUSAS</w:t>
      </w:r>
      <w:r w:rsidR="00B95C30" w:rsidRPr="00631B40">
        <w:rPr>
          <w:rFonts w:ascii="Arial" w:eastAsia="Calibri" w:hAnsi="Arial" w:cs="Arial"/>
          <w:b/>
          <w:sz w:val="22"/>
          <w:lang w:val="es-ES_tradnl"/>
        </w:rPr>
        <w:t xml:space="preserve"> </w:t>
      </w:r>
      <w:bookmarkStart w:id="2" w:name="_Hlk39666823"/>
      <w:r w:rsidR="00B95C30" w:rsidRPr="00631B40">
        <w:rPr>
          <w:rFonts w:ascii="Arial" w:eastAsia="Calibri" w:hAnsi="Arial" w:cs="Arial"/>
          <w:b/>
          <w:color w:val="000000" w:themeColor="text1"/>
          <w:sz w:val="22"/>
          <w:lang w:val="es-ES_tradnl"/>
        </w:rPr>
        <w:t>–</w:t>
      </w:r>
      <w:bookmarkEnd w:id="2"/>
      <w:r w:rsidR="00B95C30" w:rsidRPr="00631B40">
        <w:rPr>
          <w:rFonts w:ascii="Arial" w:eastAsia="Calibri" w:hAnsi="Arial" w:cs="Arial"/>
          <w:b/>
          <w:sz w:val="22"/>
          <w:lang w:val="es-ES_tradnl"/>
        </w:rPr>
        <w:t xml:space="preserve"> </w:t>
      </w:r>
      <w:r w:rsidR="009B3163" w:rsidRPr="00631B40">
        <w:rPr>
          <w:rFonts w:ascii="Arial" w:eastAsia="Calibri" w:hAnsi="Arial" w:cs="Arial"/>
          <w:b/>
          <w:sz w:val="22"/>
          <w:lang w:val="es-ES_tradnl"/>
        </w:rPr>
        <w:t>Concepto</w:t>
      </w:r>
      <w:r w:rsidR="00A97C93" w:rsidRPr="00631B40">
        <w:rPr>
          <w:rFonts w:ascii="Arial" w:eastAsia="Calibri" w:hAnsi="Arial" w:cs="Arial"/>
          <w:b/>
          <w:sz w:val="22"/>
          <w:lang w:val="es-ES_tradnl"/>
        </w:rPr>
        <w:t xml:space="preserve"> </w:t>
      </w:r>
      <w:r w:rsidR="00A97C93" w:rsidRPr="00631B40">
        <w:rPr>
          <w:rFonts w:ascii="Arial" w:eastAsia="Calibri" w:hAnsi="Arial" w:cs="Arial"/>
          <w:b/>
          <w:color w:val="000000" w:themeColor="text1"/>
          <w:sz w:val="22"/>
          <w:lang w:val="es-ES_tradnl"/>
        </w:rPr>
        <w:t xml:space="preserve">– </w:t>
      </w:r>
      <w:r w:rsidR="009B3163" w:rsidRPr="00631B40">
        <w:rPr>
          <w:rFonts w:ascii="Arial" w:eastAsia="Calibri" w:hAnsi="Arial" w:cs="Arial"/>
          <w:b/>
          <w:color w:val="000000" w:themeColor="text1"/>
          <w:sz w:val="22"/>
          <w:lang w:val="es-ES_tradnl"/>
        </w:rPr>
        <w:t>Ley 2020 de 2020</w:t>
      </w:r>
    </w:p>
    <w:p w14:paraId="26480898" w14:textId="77777777" w:rsidR="00B95C30" w:rsidRPr="00631B40" w:rsidRDefault="00B95C30" w:rsidP="00146AC2">
      <w:pPr>
        <w:jc w:val="both"/>
        <w:rPr>
          <w:rFonts w:ascii="Arial" w:eastAsia="Calibri" w:hAnsi="Arial" w:cs="Arial"/>
          <w:sz w:val="20"/>
          <w:szCs w:val="20"/>
          <w:lang w:val="es-ES_tradnl"/>
        </w:rPr>
      </w:pPr>
    </w:p>
    <w:p w14:paraId="197914E0" w14:textId="5346926C" w:rsidR="00D618F6" w:rsidRPr="00631B40" w:rsidRDefault="008326B3" w:rsidP="00146AC2">
      <w:pPr>
        <w:jc w:val="both"/>
        <w:rPr>
          <w:rFonts w:ascii="Arial" w:eastAsia="Calibri" w:hAnsi="Arial" w:cs="Arial"/>
          <w:bCs/>
          <w:sz w:val="20"/>
          <w:szCs w:val="20"/>
          <w:lang w:val="es-ES_tradnl"/>
        </w:rPr>
      </w:pPr>
      <w:r w:rsidRPr="00631B40">
        <w:rPr>
          <w:rFonts w:ascii="Arial" w:eastAsia="Calibri" w:hAnsi="Arial" w:cs="Arial"/>
          <w:bCs/>
          <w:color w:val="000000" w:themeColor="text1"/>
          <w:sz w:val="20"/>
          <w:szCs w:val="20"/>
          <w:lang w:val="es-ES_tradnl"/>
        </w:rPr>
        <w:t xml:space="preserve">La Ley 2020 de 2020 creó el </w:t>
      </w:r>
      <w:r w:rsidRPr="00631B40">
        <w:rPr>
          <w:rFonts w:ascii="Arial" w:eastAsia="Calibri" w:hAnsi="Arial" w:cs="Arial"/>
          <w:color w:val="000000"/>
          <w:sz w:val="20"/>
          <w:szCs w:val="20"/>
          <w:lang w:val="es-ES_tradnl" w:eastAsia="en-GB"/>
        </w:rPr>
        <w:t xml:space="preserve">Registro Nacional de Obras Civiles Inconclusas. Se trata de un sistema que permite identificar el estado de ejecución o terminación de las obras financiadas total o parcialmente con recursos públicos, para concretar su destinación definitiva. Según el inciso primero del literal a) del artículo 2 de esta ley, se entiende por </w:t>
      </w:r>
      <w:r w:rsidRPr="00631B40">
        <w:rPr>
          <w:rFonts w:ascii="Arial" w:eastAsia="Calibri" w:hAnsi="Arial" w:cs="Arial"/>
          <w:i/>
          <w:iCs/>
          <w:color w:val="000000"/>
          <w:sz w:val="20"/>
          <w:szCs w:val="20"/>
          <w:lang w:val="es-ES_tradnl" w:eastAsia="en-GB"/>
        </w:rPr>
        <w:t>obra civil inconclusa</w:t>
      </w:r>
      <w:r w:rsidRPr="00631B40">
        <w:rPr>
          <w:rFonts w:ascii="Arial" w:eastAsia="Calibri" w:hAnsi="Arial" w:cs="Arial"/>
          <w:color w:val="000000"/>
          <w:sz w:val="20"/>
          <w:szCs w:val="20"/>
          <w:lang w:val="es-ES_tradnl" w:eastAsia="en-GB"/>
        </w:rPr>
        <w:t xml:space="preserve"> la «Construcción, mantenimiento, instalación o realización de cualquier otro trabajo material sobre bienes inmuebles, cualquiera que sea la modalidad de ejecución y pago, que un (1) año después de vencido el término de liquidación contractual, no haya concluido de manera satisfactoria para el interés general o el definido por la entidad estatal contratante, o no esté prestando el servicio para el cual fue contratada»</w:t>
      </w:r>
      <w:r w:rsidR="00D618F6" w:rsidRPr="00631B40">
        <w:rPr>
          <w:rFonts w:ascii="Arial" w:eastAsia="Calibri" w:hAnsi="Arial" w:cs="Arial"/>
          <w:bCs/>
          <w:sz w:val="20"/>
          <w:szCs w:val="20"/>
          <w:lang w:val="es-ES_tradnl"/>
        </w:rPr>
        <w:t xml:space="preserve">. </w:t>
      </w:r>
    </w:p>
    <w:p w14:paraId="1255AE59" w14:textId="77777777" w:rsidR="00013AA0" w:rsidRPr="00631B40" w:rsidRDefault="00013AA0" w:rsidP="00146AC2">
      <w:pPr>
        <w:jc w:val="right"/>
        <w:rPr>
          <w:rFonts w:ascii="Arial" w:eastAsia="Calibri" w:hAnsi="Arial" w:cs="Arial"/>
          <w:b/>
          <w:color w:val="000000" w:themeColor="text1"/>
          <w:sz w:val="20"/>
          <w:szCs w:val="20"/>
          <w:lang w:val="es-ES_tradnl"/>
        </w:rPr>
      </w:pPr>
    </w:p>
    <w:p w14:paraId="1E633DDD" w14:textId="01AE95D2" w:rsidR="00A15FE5" w:rsidRPr="00631B40" w:rsidRDefault="00013AA0" w:rsidP="00146AC2">
      <w:pPr>
        <w:jc w:val="both"/>
        <w:rPr>
          <w:rFonts w:ascii="Arial" w:eastAsia="Calibri" w:hAnsi="Arial" w:cs="Arial"/>
          <w:sz w:val="20"/>
          <w:szCs w:val="20"/>
          <w:lang w:val="es-ES_tradnl"/>
        </w:rPr>
      </w:pPr>
      <w:r w:rsidRPr="00631B40">
        <w:rPr>
          <w:rFonts w:ascii="Arial" w:eastAsia="Calibri" w:hAnsi="Arial" w:cs="Arial"/>
          <w:b/>
          <w:sz w:val="22"/>
          <w:lang w:val="es-ES_tradnl"/>
        </w:rPr>
        <w:t xml:space="preserve">REGISTRO NACIONAL DE OBRAS CIVILES INCONCLUSAS </w:t>
      </w:r>
      <w:r w:rsidR="00FE24F4" w:rsidRPr="00631B40">
        <w:rPr>
          <w:rFonts w:ascii="Arial" w:eastAsia="Calibri" w:hAnsi="Arial" w:cs="Arial"/>
          <w:b/>
          <w:color w:val="000000" w:themeColor="text1"/>
          <w:sz w:val="22"/>
          <w:lang w:val="es-ES_tradnl"/>
        </w:rPr>
        <w:t>–</w:t>
      </w:r>
      <w:r w:rsidRPr="00631B40">
        <w:rPr>
          <w:rFonts w:ascii="Arial" w:eastAsia="Calibri" w:hAnsi="Arial" w:cs="Arial"/>
          <w:b/>
          <w:sz w:val="22"/>
          <w:lang w:val="es-ES_tradnl"/>
        </w:rPr>
        <w:t xml:space="preserve"> Dirección y coordinación </w:t>
      </w:r>
    </w:p>
    <w:p w14:paraId="58AB0598" w14:textId="77777777" w:rsidR="00A15FE5" w:rsidRPr="00631B40" w:rsidRDefault="00A15FE5" w:rsidP="00146AC2">
      <w:pPr>
        <w:jc w:val="both"/>
        <w:rPr>
          <w:rFonts w:ascii="Arial" w:eastAsia="Calibri" w:hAnsi="Arial" w:cs="Arial"/>
          <w:sz w:val="20"/>
          <w:szCs w:val="20"/>
          <w:lang w:val="es-ES_tradnl"/>
        </w:rPr>
      </w:pPr>
    </w:p>
    <w:p w14:paraId="621B7697" w14:textId="0E6F5A14" w:rsidR="00146AC2" w:rsidRPr="00146AC2" w:rsidRDefault="00146AC2" w:rsidP="00146AC2">
      <w:pPr>
        <w:tabs>
          <w:tab w:val="left" w:pos="0"/>
        </w:tabs>
        <w:jc w:val="both"/>
        <w:rPr>
          <w:rFonts w:ascii="Arial" w:eastAsia="Calibri" w:hAnsi="Arial" w:cs="Arial"/>
          <w:color w:val="000000"/>
          <w:sz w:val="20"/>
          <w:szCs w:val="20"/>
          <w:lang w:val="es-ES_tradnl" w:eastAsia="en-GB"/>
        </w:rPr>
      </w:pPr>
      <w:r w:rsidRPr="00146AC2">
        <w:rPr>
          <w:rFonts w:ascii="Arial" w:eastAsia="Calibri" w:hAnsi="Arial" w:cs="Arial"/>
          <w:color w:val="000000"/>
          <w:sz w:val="20"/>
          <w:szCs w:val="20"/>
          <w:lang w:val="es-ES_tradnl" w:eastAsia="en-GB"/>
        </w:rPr>
        <w:t xml:space="preserve">De conformidad con el artículo 3 de la Ley 2020 de 2020, el Registro Nacional de Obras Civiles Inconclusas es un sistema administrado por la Contraloría General de la República, construido a partir de la información remitida por las entidades estatales en los distintos niveles o los datos obtenidos por dicho órgano de control fiscal, sobre las obras inconclusas del país. El artículo 2, literal b) de la Ley 2020 de 2020 complementa esta noción, indicando que el Registro Nacional de Obras Civiles Inconclusas «Es un sistema que contiene los datos sobre obras inconclusas en todo el territorio nacional. El inventario de obras civiles inconclusas reportado por las entidades estatales hará parte integral del banco de proyectos de la respectiva entidad». </w:t>
      </w:r>
    </w:p>
    <w:p w14:paraId="60DF7932" w14:textId="77777777" w:rsidR="00146AC2" w:rsidRPr="00146AC2" w:rsidRDefault="00146AC2" w:rsidP="00146AC2">
      <w:pPr>
        <w:tabs>
          <w:tab w:val="left" w:pos="0"/>
        </w:tabs>
        <w:jc w:val="both"/>
        <w:rPr>
          <w:rFonts w:ascii="Arial" w:eastAsia="Calibri" w:hAnsi="Arial" w:cs="Arial"/>
          <w:color w:val="000000"/>
          <w:sz w:val="20"/>
          <w:szCs w:val="20"/>
          <w:lang w:val="es-ES_tradnl" w:eastAsia="en-GB"/>
        </w:rPr>
      </w:pPr>
    </w:p>
    <w:p w14:paraId="419C6D8E" w14:textId="2AD14298" w:rsidR="00D618F6" w:rsidRPr="00146AC2" w:rsidRDefault="00146AC2" w:rsidP="00146AC2">
      <w:pPr>
        <w:jc w:val="both"/>
        <w:rPr>
          <w:rFonts w:ascii="Arial" w:eastAsia="Calibri" w:hAnsi="Arial" w:cs="Arial"/>
          <w:sz w:val="20"/>
          <w:szCs w:val="20"/>
          <w:lang w:val="es-ES_tradnl"/>
        </w:rPr>
      </w:pPr>
      <w:r w:rsidRPr="00146AC2">
        <w:rPr>
          <w:rFonts w:ascii="Arial" w:eastAsia="Calibri" w:hAnsi="Arial" w:cs="Arial"/>
          <w:color w:val="000000"/>
          <w:sz w:val="20"/>
          <w:szCs w:val="20"/>
          <w:lang w:val="es-ES_tradnl" w:eastAsia="en-GB"/>
        </w:rPr>
        <w:t>Asimismo, la información de este</w:t>
      </w:r>
      <w:r w:rsidRPr="00146AC2">
        <w:rPr>
          <w:rFonts w:ascii="Arial" w:hAnsi="Arial" w:cs="Arial"/>
          <w:color w:val="000000" w:themeColor="text1"/>
          <w:sz w:val="20"/>
          <w:szCs w:val="20"/>
          <w:lang w:val="es-ES_tradnl"/>
        </w:rPr>
        <w:t xml:space="preserve"> registro debe actualizarse permanentemente. La Contraloría General de la República y las entidades estatales deberán realizar el seguimiento y actualización del Registro Nacional de Obras Civiles Inconclusas con el fin de establecer la realidad respecto de la condición técnica, física y financiera de aquellas. Además, las entidades estatales deberán garantizar la actualización permanente del Registro Nacional de Obras Civiles Inconclusas en los términos y condiciones que disponga la Contraloría General de la República.</w:t>
      </w:r>
    </w:p>
    <w:p w14:paraId="0156F429" w14:textId="77777777" w:rsidR="00E05FD6" w:rsidRPr="00146AC2" w:rsidRDefault="00E05FD6" w:rsidP="00146AC2">
      <w:pPr>
        <w:jc w:val="both"/>
        <w:rPr>
          <w:rFonts w:ascii="Arial" w:eastAsia="Calibri" w:hAnsi="Arial" w:cs="Arial"/>
          <w:sz w:val="20"/>
          <w:szCs w:val="20"/>
          <w:lang w:val="es-ES_tradnl"/>
        </w:rPr>
      </w:pPr>
    </w:p>
    <w:p w14:paraId="39589435" w14:textId="66408A7E" w:rsidR="002C11FA" w:rsidRPr="00146AC2" w:rsidRDefault="00A77D21" w:rsidP="00146AC2">
      <w:pPr>
        <w:jc w:val="both"/>
        <w:rPr>
          <w:rFonts w:ascii="Arial" w:eastAsia="Calibri" w:hAnsi="Arial" w:cs="Arial"/>
          <w:b/>
          <w:sz w:val="22"/>
          <w:szCs w:val="22"/>
          <w:lang w:val="es-ES_tradnl"/>
        </w:rPr>
      </w:pPr>
      <w:r w:rsidRPr="00146AC2">
        <w:rPr>
          <w:rFonts w:ascii="Arial" w:eastAsia="Calibri" w:hAnsi="Arial" w:cs="Arial"/>
          <w:b/>
          <w:sz w:val="22"/>
          <w:szCs w:val="22"/>
          <w:lang w:val="es-ES_tradnl"/>
        </w:rPr>
        <w:t xml:space="preserve">REGISTRO NACIONAL DE OBRAS CIVILES INCONCLUSAS </w:t>
      </w:r>
      <w:r w:rsidRPr="00146AC2">
        <w:rPr>
          <w:rFonts w:ascii="Arial" w:eastAsia="Calibri" w:hAnsi="Arial" w:cs="Arial"/>
          <w:b/>
          <w:color w:val="000000" w:themeColor="text1"/>
          <w:sz w:val="22"/>
          <w:szCs w:val="22"/>
          <w:lang w:val="es-ES_tradnl"/>
        </w:rPr>
        <w:t>–</w:t>
      </w:r>
      <w:r w:rsidRPr="00146AC2">
        <w:rPr>
          <w:rFonts w:ascii="Arial" w:eastAsia="Calibri" w:hAnsi="Arial" w:cs="Arial"/>
          <w:b/>
          <w:sz w:val="22"/>
          <w:szCs w:val="22"/>
          <w:lang w:val="es-ES_tradnl"/>
        </w:rPr>
        <w:t xml:space="preserve"> </w:t>
      </w:r>
      <w:r w:rsidR="00EC36B1" w:rsidRPr="00146AC2">
        <w:rPr>
          <w:rFonts w:ascii="Arial" w:eastAsia="Calibri" w:hAnsi="Arial" w:cs="Arial"/>
          <w:b/>
          <w:sz w:val="22"/>
          <w:szCs w:val="22"/>
          <w:lang w:val="es-ES_tradnl"/>
        </w:rPr>
        <w:t xml:space="preserve">Reporte de información </w:t>
      </w:r>
      <w:r w:rsidR="00477A7D" w:rsidRPr="00146AC2">
        <w:rPr>
          <w:rFonts w:ascii="Arial" w:eastAsia="Calibri" w:hAnsi="Arial" w:cs="Arial"/>
          <w:b/>
          <w:color w:val="000000" w:themeColor="text1"/>
          <w:sz w:val="22"/>
          <w:szCs w:val="22"/>
          <w:lang w:val="es-ES_tradnl"/>
        </w:rPr>
        <w:t>– Registro especial</w:t>
      </w:r>
    </w:p>
    <w:p w14:paraId="5AB3437B" w14:textId="77777777" w:rsidR="00EC36B1" w:rsidRPr="00146AC2" w:rsidRDefault="00EC36B1" w:rsidP="00146AC2">
      <w:pPr>
        <w:jc w:val="both"/>
        <w:rPr>
          <w:rFonts w:ascii="Arial" w:eastAsia="Calibri" w:hAnsi="Arial" w:cs="Arial"/>
          <w:b/>
          <w:sz w:val="20"/>
          <w:szCs w:val="20"/>
          <w:lang w:val="es-ES_tradnl"/>
        </w:rPr>
      </w:pPr>
    </w:p>
    <w:p w14:paraId="3C51BEEC" w14:textId="77777777" w:rsidR="00146AC2" w:rsidRPr="00146AC2" w:rsidRDefault="00146AC2" w:rsidP="00146AC2">
      <w:pPr>
        <w:tabs>
          <w:tab w:val="left" w:pos="0"/>
        </w:tabs>
        <w:jc w:val="both"/>
        <w:rPr>
          <w:rFonts w:ascii="Arial" w:eastAsia="Calibri" w:hAnsi="Arial" w:cs="Arial"/>
          <w:color w:val="000000"/>
          <w:sz w:val="20"/>
          <w:szCs w:val="20"/>
          <w:lang w:val="es-ES_tradnl" w:eastAsia="en-GB"/>
        </w:rPr>
      </w:pPr>
      <w:r w:rsidRPr="00146AC2">
        <w:rPr>
          <w:rFonts w:ascii="Arial" w:eastAsia="Calibri" w:hAnsi="Arial" w:cs="Arial"/>
          <w:color w:val="000000"/>
          <w:sz w:val="20"/>
          <w:szCs w:val="20"/>
          <w:lang w:val="es-ES_tradnl" w:eastAsia="en-GB"/>
        </w:rPr>
        <w:t xml:space="preserve">Respecto al contenido del Registro Nacional de Obras Civiles Inconclusas, el artículo 4 de la Ley 2020 de 2020 determina la información mínima que debe reportarse por las entidades públicas. Entre otros elementos, deberá contener datos sobre la identificación del contratista, consultores, interventores y demás personas naturales y/o jurídicas que intervinieron en la planeación y ejecución del proyecto; las razones técnicas y/o jurídicas por las cuales la obra civil quedó inconclusa; los pagos efectuados; los procesos en curso y/o fallos que hayan declarado responsabilidades penales, fiscales, civiles y disciplinarias derivadas de la obra inconclusa; los actos administrativos que declaren el incumplimiento de los contratistas o caducidad de los contratos, así como el </w:t>
      </w:r>
      <w:r w:rsidRPr="00146AC2">
        <w:rPr>
          <w:rFonts w:ascii="Arial" w:eastAsiaTheme="minorHAnsi" w:hAnsi="Arial" w:cs="Arial"/>
          <w:sz w:val="20"/>
          <w:szCs w:val="20"/>
          <w:lang w:val="es-ES_tradnl" w:eastAsia="en-US"/>
        </w:rPr>
        <w:t>informe final presentado por el interventor del proyecto y la demás información que establezca la Contraloría General de la República.</w:t>
      </w:r>
      <w:r w:rsidRPr="00146AC2">
        <w:rPr>
          <w:rFonts w:ascii="Arial" w:eastAsia="Calibri" w:hAnsi="Arial" w:cs="Arial"/>
          <w:color w:val="000000"/>
          <w:sz w:val="20"/>
          <w:szCs w:val="20"/>
          <w:lang w:val="es-ES_tradnl" w:eastAsia="en-GB"/>
        </w:rPr>
        <w:t xml:space="preserve"> </w:t>
      </w:r>
    </w:p>
    <w:p w14:paraId="1463919E" w14:textId="59C91533" w:rsidR="00D618F6" w:rsidRDefault="00146AC2" w:rsidP="00146AC2">
      <w:pPr>
        <w:jc w:val="both"/>
        <w:rPr>
          <w:rFonts w:ascii="Arial" w:eastAsia="Calibri" w:hAnsi="Arial" w:cs="Arial"/>
          <w:sz w:val="20"/>
          <w:szCs w:val="20"/>
          <w:lang w:val="es-ES_tradnl"/>
        </w:rPr>
      </w:pPr>
      <w:r w:rsidRPr="00146AC2">
        <w:rPr>
          <w:rFonts w:ascii="Arial" w:eastAsia="Calibri" w:hAnsi="Arial" w:cs="Arial"/>
          <w:sz w:val="20"/>
          <w:szCs w:val="20"/>
          <w:lang w:val="es-ES_tradnl"/>
        </w:rPr>
        <w:t>[…]</w:t>
      </w:r>
    </w:p>
    <w:p w14:paraId="123F29DC" w14:textId="77777777" w:rsidR="009F76B5" w:rsidRPr="00146AC2" w:rsidRDefault="009F76B5" w:rsidP="00146AC2">
      <w:pPr>
        <w:jc w:val="both"/>
        <w:rPr>
          <w:rFonts w:ascii="Arial" w:eastAsia="Calibri" w:hAnsi="Arial" w:cs="Arial"/>
          <w:sz w:val="20"/>
          <w:szCs w:val="20"/>
          <w:lang w:val="es-ES_tradnl"/>
        </w:rPr>
      </w:pPr>
    </w:p>
    <w:p w14:paraId="76E7BC71" w14:textId="1D033127" w:rsidR="00D618F6" w:rsidRPr="00146AC2" w:rsidRDefault="00146AC2" w:rsidP="00146AC2">
      <w:pPr>
        <w:tabs>
          <w:tab w:val="left" w:pos="1073"/>
        </w:tabs>
        <w:jc w:val="both"/>
        <w:rPr>
          <w:rFonts w:ascii="Arial" w:eastAsia="Calibri" w:hAnsi="Arial" w:cs="Arial"/>
          <w:color w:val="000000"/>
          <w:sz w:val="20"/>
          <w:szCs w:val="20"/>
          <w:lang w:val="es-ES_tradnl" w:eastAsia="en-GB"/>
        </w:rPr>
      </w:pPr>
      <w:r w:rsidRPr="00146AC2">
        <w:rPr>
          <w:rFonts w:ascii="Arial" w:eastAsia="Calibri" w:hAnsi="Arial" w:cs="Arial"/>
          <w:color w:val="000000"/>
          <w:sz w:val="20"/>
          <w:szCs w:val="20"/>
          <w:lang w:val="es-ES_tradnl" w:eastAsia="en-GB"/>
        </w:rPr>
        <w:t xml:space="preserve">Igualmente, conforme al artículo 15 </w:t>
      </w:r>
      <w:r w:rsidRPr="00146AC2">
        <w:rPr>
          <w:rFonts w:ascii="Arial" w:eastAsia="Calibri" w:hAnsi="Arial" w:cs="Arial"/>
          <w:i/>
          <w:iCs/>
          <w:color w:val="000000"/>
          <w:sz w:val="20"/>
          <w:szCs w:val="20"/>
          <w:lang w:val="es-ES_tradnl" w:eastAsia="en-GB"/>
        </w:rPr>
        <w:t>ibídem</w:t>
      </w:r>
      <w:r w:rsidRPr="00146AC2">
        <w:rPr>
          <w:rFonts w:ascii="Arial" w:eastAsia="Calibri" w:hAnsi="Arial" w:cs="Arial"/>
          <w:color w:val="000000"/>
          <w:sz w:val="20"/>
          <w:szCs w:val="20"/>
          <w:lang w:val="es-ES_tradnl" w:eastAsia="en-GB"/>
        </w:rPr>
        <w:t xml:space="preserve"> se incluirán en el Registro Nacional de Obras Civiles Inconclusas, las obras civiles ya terminadas que no se encuentren en funcionamiento. Para tales </w:t>
      </w:r>
      <w:r w:rsidRPr="00146AC2">
        <w:rPr>
          <w:rFonts w:ascii="Arial" w:eastAsia="Calibri" w:hAnsi="Arial" w:cs="Arial"/>
          <w:color w:val="000000"/>
          <w:sz w:val="20"/>
          <w:szCs w:val="20"/>
          <w:lang w:val="es-ES_tradnl" w:eastAsia="en-GB"/>
        </w:rPr>
        <w:lastRenderedPageBreak/>
        <w:t>efectos, la Contraloría General de la República establecerá los criterios y el término para su incorporación.</w:t>
      </w:r>
    </w:p>
    <w:p w14:paraId="1E8172CC" w14:textId="77777777" w:rsidR="00146AC2" w:rsidRPr="00146AC2" w:rsidRDefault="00146AC2" w:rsidP="00146AC2">
      <w:pPr>
        <w:tabs>
          <w:tab w:val="left" w:pos="1073"/>
        </w:tabs>
        <w:jc w:val="both"/>
        <w:rPr>
          <w:rFonts w:ascii="Arial" w:eastAsia="Calibri" w:hAnsi="Arial" w:cs="Arial"/>
          <w:sz w:val="20"/>
          <w:szCs w:val="20"/>
          <w:lang w:val="es-ES_tradnl"/>
        </w:rPr>
      </w:pPr>
    </w:p>
    <w:p w14:paraId="3523B64B" w14:textId="7F02DDCA" w:rsidR="0076339C" w:rsidRPr="00146AC2" w:rsidRDefault="0076339C" w:rsidP="00146AC2">
      <w:pPr>
        <w:jc w:val="both"/>
        <w:rPr>
          <w:rFonts w:ascii="Arial" w:eastAsia="Calibri" w:hAnsi="Arial" w:cs="Arial"/>
          <w:b/>
          <w:sz w:val="22"/>
          <w:szCs w:val="22"/>
          <w:lang w:val="es-ES_tradnl"/>
        </w:rPr>
      </w:pPr>
      <w:r w:rsidRPr="00146AC2">
        <w:rPr>
          <w:rFonts w:ascii="Arial" w:eastAsia="Calibri" w:hAnsi="Arial" w:cs="Arial"/>
          <w:b/>
          <w:sz w:val="22"/>
          <w:szCs w:val="22"/>
          <w:lang w:val="es-ES_tradnl"/>
        </w:rPr>
        <w:t xml:space="preserve">REGISTRO NACIONAL DE OBRAS CIVILES INCONCLUSAS </w:t>
      </w:r>
      <w:r w:rsidRPr="00146AC2">
        <w:rPr>
          <w:rFonts w:ascii="Arial" w:eastAsia="Calibri" w:hAnsi="Arial" w:cs="Arial"/>
          <w:b/>
          <w:color w:val="000000" w:themeColor="text1"/>
          <w:sz w:val="22"/>
          <w:szCs w:val="22"/>
          <w:lang w:val="es-ES_tradnl"/>
        </w:rPr>
        <w:t>–</w:t>
      </w:r>
      <w:r w:rsidRPr="00146AC2">
        <w:rPr>
          <w:rFonts w:ascii="Arial" w:eastAsia="Calibri" w:hAnsi="Arial" w:cs="Arial"/>
          <w:b/>
          <w:sz w:val="22"/>
          <w:szCs w:val="22"/>
          <w:lang w:val="es-ES_tradnl"/>
        </w:rPr>
        <w:t xml:space="preserve"> deber de verificación </w:t>
      </w:r>
      <w:r w:rsidR="006B744B" w:rsidRPr="00146AC2">
        <w:rPr>
          <w:rFonts w:ascii="Arial" w:eastAsia="Calibri" w:hAnsi="Arial" w:cs="Arial"/>
          <w:b/>
          <w:color w:val="000000" w:themeColor="text1"/>
          <w:sz w:val="22"/>
          <w:szCs w:val="22"/>
          <w:lang w:val="es-ES_tradnl"/>
        </w:rPr>
        <w:t xml:space="preserve">– Discrecionalidad </w:t>
      </w:r>
    </w:p>
    <w:p w14:paraId="0598726B" w14:textId="77777777" w:rsidR="00F63107" w:rsidRPr="00146AC2" w:rsidRDefault="00F63107" w:rsidP="00146AC2">
      <w:pPr>
        <w:jc w:val="both"/>
        <w:rPr>
          <w:rFonts w:ascii="Arial" w:eastAsia="Calibri" w:hAnsi="Arial" w:cs="Arial"/>
          <w:sz w:val="20"/>
          <w:szCs w:val="20"/>
          <w:lang w:val="es-ES_tradnl"/>
        </w:rPr>
      </w:pPr>
    </w:p>
    <w:p w14:paraId="1F8CFC58" w14:textId="01C42029" w:rsidR="00E05FD6" w:rsidRPr="00146AC2" w:rsidRDefault="00146AC2" w:rsidP="00146AC2">
      <w:pPr>
        <w:jc w:val="both"/>
        <w:rPr>
          <w:rFonts w:ascii="Arial" w:eastAsia="Calibri" w:hAnsi="Arial" w:cs="Arial"/>
          <w:sz w:val="20"/>
          <w:szCs w:val="20"/>
          <w:lang w:val="es-ES_tradnl"/>
        </w:rPr>
      </w:pPr>
      <w:r w:rsidRPr="00146AC2">
        <w:rPr>
          <w:rFonts w:ascii="Arial" w:eastAsia="Calibri" w:hAnsi="Arial" w:cs="Arial"/>
          <w:color w:val="000000"/>
          <w:sz w:val="20"/>
          <w:szCs w:val="20"/>
          <w:lang w:val="es-ES_tradnl" w:eastAsia="en-GB"/>
        </w:rPr>
        <w:t xml:space="preserve">El artículo 6 de la Ley 2020 de 2020 establece un deber a cargo de las entidades estatales dentro de los procedimientos que adelanten para la contratación de obras públicas. Consiste en la obligación de </w:t>
      </w:r>
      <w:r w:rsidRPr="00146AC2">
        <w:rPr>
          <w:rFonts w:ascii="Arial" w:eastAsia="Calibri" w:hAnsi="Arial" w:cs="Arial"/>
          <w:i/>
          <w:iCs/>
          <w:color w:val="000000"/>
          <w:sz w:val="20"/>
          <w:szCs w:val="20"/>
          <w:lang w:val="es-ES_tradnl" w:eastAsia="en-GB"/>
        </w:rPr>
        <w:t>consultar</w:t>
      </w:r>
      <w:r w:rsidRPr="00146AC2">
        <w:rPr>
          <w:rFonts w:ascii="Arial" w:eastAsia="Calibri" w:hAnsi="Arial" w:cs="Arial"/>
          <w:color w:val="000000"/>
          <w:sz w:val="20"/>
          <w:szCs w:val="20"/>
          <w:lang w:val="es-ES_tradnl" w:eastAsia="en-GB"/>
        </w:rPr>
        <w:t xml:space="preserve"> y </w:t>
      </w:r>
      <w:r w:rsidRPr="00146AC2">
        <w:rPr>
          <w:rFonts w:ascii="Arial" w:eastAsia="Calibri" w:hAnsi="Arial" w:cs="Arial"/>
          <w:i/>
          <w:iCs/>
          <w:color w:val="000000"/>
          <w:sz w:val="20"/>
          <w:szCs w:val="20"/>
          <w:lang w:val="es-ES_tradnl" w:eastAsia="en-GB"/>
        </w:rPr>
        <w:t>analizar</w:t>
      </w:r>
      <w:r w:rsidRPr="00146AC2">
        <w:rPr>
          <w:rFonts w:ascii="Arial" w:eastAsia="Calibri" w:hAnsi="Arial" w:cs="Arial"/>
          <w:color w:val="000000"/>
          <w:sz w:val="20"/>
          <w:szCs w:val="20"/>
          <w:lang w:val="es-ES_tradnl" w:eastAsia="en-GB"/>
        </w:rPr>
        <w:t xml:space="preserve"> la información contenida en el Registro Nacional de Obras Civiles Inconclusas. Además, dispone que en los procesos de selección de contratistas de obra e interventores han de considerarse las anotaciones del registro en la evaluación de las ofertas.</w:t>
      </w:r>
      <w:r w:rsidR="006B744B" w:rsidRPr="00146AC2">
        <w:rPr>
          <w:rFonts w:ascii="Arial" w:eastAsia="Calibri" w:hAnsi="Arial" w:cs="Arial"/>
          <w:sz w:val="20"/>
          <w:szCs w:val="20"/>
          <w:lang w:val="es-ES_tradnl"/>
        </w:rPr>
        <w:t xml:space="preserve"> </w:t>
      </w:r>
    </w:p>
    <w:p w14:paraId="6C80196E" w14:textId="095C7884" w:rsidR="006B744B" w:rsidRPr="00146AC2" w:rsidRDefault="006B744B" w:rsidP="00146AC2">
      <w:pPr>
        <w:jc w:val="both"/>
        <w:rPr>
          <w:rFonts w:ascii="Arial" w:eastAsia="Calibri" w:hAnsi="Arial" w:cs="Arial"/>
          <w:sz w:val="20"/>
          <w:szCs w:val="20"/>
          <w:lang w:val="es-ES_tradnl"/>
        </w:rPr>
      </w:pPr>
    </w:p>
    <w:p w14:paraId="326E09FF" w14:textId="4F0791AC" w:rsidR="00D618F6" w:rsidRPr="00146AC2" w:rsidRDefault="006B744B" w:rsidP="00146AC2">
      <w:pPr>
        <w:jc w:val="both"/>
        <w:rPr>
          <w:rFonts w:ascii="Arial" w:eastAsia="Calibri" w:hAnsi="Arial" w:cs="Arial"/>
          <w:sz w:val="20"/>
          <w:szCs w:val="20"/>
          <w:lang w:val="es-ES_tradnl"/>
        </w:rPr>
      </w:pPr>
      <w:r w:rsidRPr="00146AC2">
        <w:rPr>
          <w:rFonts w:ascii="Arial" w:eastAsia="Calibri" w:hAnsi="Arial" w:cs="Arial"/>
          <w:sz w:val="20"/>
          <w:szCs w:val="20"/>
          <w:lang w:val="es-ES_tradnl"/>
        </w:rPr>
        <w:t xml:space="preserve">[…] </w:t>
      </w:r>
      <w:r w:rsidR="00146AC2" w:rsidRPr="00146AC2">
        <w:rPr>
          <w:rFonts w:ascii="Arial" w:hAnsi="Arial" w:cs="Arial"/>
          <w:color w:val="000000" w:themeColor="text1"/>
          <w:sz w:val="20"/>
          <w:szCs w:val="20"/>
          <w:lang w:val="es-ES_tradnl"/>
        </w:rPr>
        <w:t>como las entidades estatales cuentan con discrecionalidad para determinar los criterios de calificación, corresponde a estas definir, en los pliegos de condiciones o documentos equivalentes, los factores de asignación de puntaje y la forma en que se realizará la valoración de las anotaciones vigentes en el Registro Nacional de Obras Civiles Inconclusas al momento de evaluar las ofertas, conforme a los parámetros del artículo 6 de la Ley 2020 de 2020. Lo anterior, teniendo en cuenta que la norma no restringió a una metodología específica el análisis y la valoración de estas anotaciones.</w:t>
      </w:r>
      <w:r w:rsidR="00D618F6" w:rsidRPr="00146AC2">
        <w:rPr>
          <w:rFonts w:ascii="Arial" w:eastAsia="Calibri" w:hAnsi="Arial" w:cs="Arial"/>
          <w:sz w:val="20"/>
          <w:szCs w:val="20"/>
          <w:lang w:val="es-ES_tradnl"/>
        </w:rPr>
        <w:t xml:space="preserve"> </w:t>
      </w:r>
    </w:p>
    <w:p w14:paraId="02814AEA" w14:textId="77777777" w:rsidR="0076339C" w:rsidRPr="00146AC2" w:rsidRDefault="0076339C" w:rsidP="00146AC2">
      <w:pPr>
        <w:tabs>
          <w:tab w:val="left" w:pos="1073"/>
        </w:tabs>
        <w:jc w:val="both"/>
        <w:rPr>
          <w:rFonts w:ascii="Arial" w:eastAsia="Calibri" w:hAnsi="Arial" w:cs="Arial"/>
          <w:b/>
          <w:sz w:val="20"/>
          <w:szCs w:val="20"/>
          <w:lang w:val="es-ES_tradnl"/>
        </w:rPr>
      </w:pPr>
    </w:p>
    <w:p w14:paraId="120D5747" w14:textId="7E4C555C" w:rsidR="00AF3247" w:rsidRPr="00146AC2" w:rsidRDefault="005F1910" w:rsidP="00146AC2">
      <w:pPr>
        <w:jc w:val="both"/>
        <w:rPr>
          <w:rFonts w:ascii="Arial" w:eastAsia="Calibri" w:hAnsi="Arial" w:cs="Arial"/>
          <w:b/>
          <w:sz w:val="22"/>
          <w:szCs w:val="22"/>
          <w:lang w:val="es-ES_tradnl"/>
        </w:rPr>
      </w:pPr>
      <w:r w:rsidRPr="00146AC2">
        <w:rPr>
          <w:rFonts w:ascii="Arial" w:eastAsia="Calibri" w:hAnsi="Arial" w:cs="Arial"/>
          <w:b/>
          <w:sz w:val="22"/>
          <w:szCs w:val="22"/>
          <w:lang w:val="es-ES_tradnl"/>
        </w:rPr>
        <w:t xml:space="preserve">LEY 2020 DE 2020 – Artículo 6 – Entidades exceptuadas – </w:t>
      </w:r>
      <w:r w:rsidR="00A84541" w:rsidRPr="00146AC2">
        <w:rPr>
          <w:rFonts w:ascii="Arial" w:eastAsia="Calibri" w:hAnsi="Arial" w:cs="Arial"/>
          <w:b/>
          <w:sz w:val="22"/>
          <w:szCs w:val="22"/>
          <w:lang w:val="es-ES_tradnl"/>
        </w:rPr>
        <w:t>Inaplicable – Artículo 5 de la Ley 1150 de 2007</w:t>
      </w:r>
    </w:p>
    <w:p w14:paraId="5173ADC5" w14:textId="2A54D0D7" w:rsidR="00A84541" w:rsidRPr="00146AC2" w:rsidRDefault="00A84541" w:rsidP="00146AC2">
      <w:pPr>
        <w:jc w:val="both"/>
        <w:rPr>
          <w:rFonts w:ascii="Arial" w:eastAsia="Calibri" w:hAnsi="Arial" w:cs="Arial"/>
          <w:b/>
          <w:sz w:val="20"/>
          <w:szCs w:val="20"/>
          <w:lang w:val="es-ES_tradnl"/>
        </w:rPr>
      </w:pPr>
    </w:p>
    <w:p w14:paraId="3D51C413" w14:textId="272FB99C" w:rsidR="00A84541" w:rsidRPr="00146AC2" w:rsidRDefault="00A84541" w:rsidP="00146AC2">
      <w:pPr>
        <w:jc w:val="both"/>
        <w:rPr>
          <w:rFonts w:ascii="Arial" w:eastAsia="Calibri" w:hAnsi="Arial" w:cs="Arial"/>
          <w:sz w:val="20"/>
          <w:szCs w:val="20"/>
          <w:lang w:val="es-ES_tradnl"/>
        </w:rPr>
      </w:pPr>
      <w:r w:rsidRPr="00146AC2">
        <w:rPr>
          <w:rFonts w:ascii="Arial" w:eastAsia="Calibri" w:hAnsi="Arial" w:cs="Arial"/>
          <w:sz w:val="20"/>
          <w:szCs w:val="20"/>
          <w:lang w:val="es-ES_tradnl"/>
        </w:rPr>
        <w:t xml:space="preserve">[…] </w:t>
      </w:r>
      <w:r w:rsidR="00146AC2" w:rsidRPr="00146AC2">
        <w:rPr>
          <w:rFonts w:ascii="Arial" w:hAnsi="Arial" w:cs="Arial"/>
          <w:bCs/>
          <w:color w:val="000000" w:themeColor="text1"/>
          <w:sz w:val="20"/>
          <w:szCs w:val="20"/>
          <w:lang w:val="es-ES_tradnl"/>
        </w:rPr>
        <w:t>A juicio de esta Subdirección el artículo 6 de la Ley 2020 de 2020 solo aplica obligatoriamente en aquellos procedimientos de selección donde rija el artículo 5 de la Ley 1150 de 2007, esto es, frente a los sometidos al EGCAP, por lo que no aplicará de forma obligatoria en aquellos de las entidades exceptuadas de dicho estatuto</w:t>
      </w:r>
      <w:r w:rsidRPr="00146AC2">
        <w:rPr>
          <w:rFonts w:ascii="Arial" w:eastAsia="Calibri" w:hAnsi="Arial" w:cs="Arial"/>
          <w:sz w:val="20"/>
          <w:szCs w:val="20"/>
          <w:lang w:val="es-ES_tradnl"/>
        </w:rPr>
        <w:t xml:space="preserve"> […]</w:t>
      </w:r>
    </w:p>
    <w:p w14:paraId="2B05E95A" w14:textId="1C3598B8" w:rsidR="00A84541" w:rsidRDefault="00A84541" w:rsidP="00146AC2">
      <w:pPr>
        <w:jc w:val="both"/>
        <w:rPr>
          <w:rFonts w:ascii="Arial" w:eastAsia="Calibri" w:hAnsi="Arial" w:cs="Arial"/>
          <w:sz w:val="20"/>
          <w:szCs w:val="20"/>
          <w:lang w:val="es-ES_tradnl"/>
        </w:rPr>
      </w:pPr>
      <w:r w:rsidRPr="00146AC2">
        <w:rPr>
          <w:rFonts w:ascii="Arial" w:eastAsia="Calibri" w:hAnsi="Arial" w:cs="Arial"/>
          <w:sz w:val="20"/>
          <w:szCs w:val="20"/>
          <w:lang w:val="es-ES_tradnl"/>
        </w:rPr>
        <w:t>[…]</w:t>
      </w:r>
    </w:p>
    <w:p w14:paraId="4F307C5F" w14:textId="77777777" w:rsidR="009F76B5" w:rsidRPr="00146AC2" w:rsidRDefault="009F76B5" w:rsidP="00146AC2">
      <w:pPr>
        <w:jc w:val="both"/>
        <w:rPr>
          <w:rFonts w:ascii="Arial" w:eastAsia="Calibri" w:hAnsi="Arial" w:cs="Arial"/>
          <w:sz w:val="20"/>
          <w:szCs w:val="20"/>
          <w:lang w:val="es-ES_tradnl"/>
        </w:rPr>
      </w:pPr>
    </w:p>
    <w:p w14:paraId="12DC882C" w14:textId="40DD0EE8" w:rsidR="00A84541" w:rsidRPr="00146AC2" w:rsidRDefault="00A84541" w:rsidP="00146AC2">
      <w:pPr>
        <w:jc w:val="both"/>
        <w:rPr>
          <w:rFonts w:ascii="Arial" w:eastAsia="Calibri" w:hAnsi="Arial" w:cs="Arial"/>
          <w:sz w:val="20"/>
          <w:szCs w:val="20"/>
          <w:lang w:val="es-ES_tradnl"/>
        </w:rPr>
      </w:pPr>
      <w:r w:rsidRPr="00146AC2">
        <w:rPr>
          <w:rFonts w:ascii="Arial" w:eastAsia="Calibri" w:hAnsi="Arial" w:cs="Arial"/>
          <w:i/>
          <w:iCs/>
          <w:sz w:val="20"/>
          <w:szCs w:val="20"/>
          <w:lang w:val="es-ES_tradnl"/>
        </w:rPr>
        <w:t>i)</w:t>
      </w:r>
      <w:r w:rsidRPr="00146AC2">
        <w:rPr>
          <w:rFonts w:ascii="Arial" w:eastAsia="Calibri" w:hAnsi="Arial" w:cs="Arial"/>
          <w:sz w:val="20"/>
          <w:szCs w:val="20"/>
          <w:lang w:val="es-ES_tradnl"/>
        </w:rPr>
        <w:t xml:space="preserve"> </w:t>
      </w:r>
      <w:r w:rsidR="00146AC2" w:rsidRPr="00146AC2">
        <w:rPr>
          <w:rFonts w:ascii="Arial" w:hAnsi="Arial" w:cs="Arial"/>
          <w:bCs/>
          <w:color w:val="000000" w:themeColor="text1"/>
          <w:sz w:val="20"/>
          <w:szCs w:val="20"/>
          <w:lang w:val="es-ES_tradnl"/>
        </w:rPr>
        <w:t>El primero y principal argumento que fundamenta la conclusión indicada radica en la remisión expresa que realiza el artículo 6 de la Ley 2020 al artículo 5 de la Ley 1150 de 2007, para concretar su contenido regulativo. En este sentido, cuando la disposición señala que en los procesos de selección objetiva de contratistas de obra e interventores se tendrán en cuenta las anotaciones vigentes en el registro para evaluar los factores de ponderación de calidad, establecidos en el literal a) del artículo 5° de la Ley 1150 de 2007, está remitiendo a una disposición, cuyos destinatarios son las entidades regidas por el Estatuto General de Contratación de la Administración Pública. Teniendo en cuenta lo anterior, la consecuencia jurídica de la disposición únicamente regiría en los procedimientos de selección donde aplique el artículo 5 de la Ley 1150 de 2007. Por ello, las entidades exceptuadas, al no ser destinatarias de las reglas establecidas en el artículo 5 de la Ley 1150 de 2007, tampoco lo serían del artículo 6 de la Ley 2020.</w:t>
      </w:r>
    </w:p>
    <w:p w14:paraId="7408BD2D" w14:textId="122024D4" w:rsidR="00AF3247" w:rsidRDefault="0043688C" w:rsidP="00146AC2">
      <w:pPr>
        <w:jc w:val="both"/>
        <w:rPr>
          <w:rFonts w:ascii="Arial" w:eastAsia="Calibri" w:hAnsi="Arial" w:cs="Arial"/>
          <w:bCs/>
          <w:color w:val="000000" w:themeColor="text1"/>
          <w:sz w:val="20"/>
          <w:szCs w:val="20"/>
          <w:lang w:val="es-ES_tradnl"/>
        </w:rPr>
      </w:pPr>
      <w:r w:rsidRPr="00146AC2">
        <w:rPr>
          <w:rFonts w:ascii="Arial" w:eastAsia="Calibri" w:hAnsi="Arial" w:cs="Arial"/>
          <w:bCs/>
          <w:color w:val="000000" w:themeColor="text1"/>
          <w:sz w:val="20"/>
          <w:szCs w:val="20"/>
          <w:lang w:val="es-ES_tradnl"/>
        </w:rPr>
        <w:t>[…]</w:t>
      </w:r>
    </w:p>
    <w:p w14:paraId="76318419" w14:textId="77777777" w:rsidR="009F76B5" w:rsidRPr="00146AC2" w:rsidRDefault="009F76B5" w:rsidP="00146AC2">
      <w:pPr>
        <w:jc w:val="both"/>
        <w:rPr>
          <w:rFonts w:ascii="Arial" w:eastAsia="Calibri" w:hAnsi="Arial" w:cs="Arial"/>
          <w:bCs/>
          <w:color w:val="000000" w:themeColor="text1"/>
          <w:sz w:val="20"/>
          <w:szCs w:val="20"/>
          <w:lang w:val="es-ES_tradnl"/>
        </w:rPr>
      </w:pPr>
    </w:p>
    <w:p w14:paraId="12D107BD" w14:textId="64A59DEE" w:rsidR="00146AC2" w:rsidRDefault="00A84541" w:rsidP="00146AC2">
      <w:pPr>
        <w:jc w:val="both"/>
        <w:rPr>
          <w:rFonts w:ascii="Arial" w:hAnsi="Arial" w:cs="Arial"/>
          <w:bCs/>
          <w:color w:val="000000" w:themeColor="text1"/>
          <w:sz w:val="20"/>
          <w:szCs w:val="20"/>
          <w:lang w:val="es-ES_tradnl"/>
        </w:rPr>
      </w:pPr>
      <w:r w:rsidRPr="00146AC2">
        <w:rPr>
          <w:rFonts w:ascii="Arial" w:hAnsi="Arial" w:cs="Arial"/>
          <w:bCs/>
          <w:i/>
          <w:iCs/>
          <w:color w:val="000000" w:themeColor="text1"/>
          <w:sz w:val="20"/>
          <w:szCs w:val="20"/>
          <w:lang w:val="es-ES_tradnl"/>
        </w:rPr>
        <w:t>iii)</w:t>
      </w:r>
      <w:r w:rsidRPr="00146AC2">
        <w:rPr>
          <w:rFonts w:ascii="Arial" w:hAnsi="Arial" w:cs="Arial"/>
          <w:bCs/>
          <w:color w:val="000000" w:themeColor="text1"/>
          <w:sz w:val="20"/>
          <w:szCs w:val="20"/>
          <w:lang w:val="es-ES_tradnl"/>
        </w:rPr>
        <w:t xml:space="preserve"> </w:t>
      </w:r>
      <w:r w:rsidR="00146AC2" w:rsidRPr="00146AC2">
        <w:rPr>
          <w:rFonts w:ascii="Arial" w:hAnsi="Arial" w:cs="Arial"/>
          <w:bCs/>
          <w:color w:val="000000" w:themeColor="text1"/>
          <w:sz w:val="20"/>
          <w:szCs w:val="20"/>
          <w:lang w:val="es-ES_tradnl"/>
        </w:rPr>
        <w:t xml:space="preserve">Pese a que del inciso primero del artículo 6 de la Ley 2020 de 2020 parece deducirse un ámbito de aplicación más amplio, que no distingue entre el régimen contractual aplicable a los «procesos de contratación de obras públicas», el inciso segundo, que concreta la </w:t>
      </w:r>
      <w:r w:rsidR="00146AC2" w:rsidRPr="00146AC2">
        <w:rPr>
          <w:rFonts w:ascii="Arial" w:hAnsi="Arial" w:cs="Arial"/>
          <w:bCs/>
          <w:i/>
          <w:iCs/>
          <w:color w:val="000000" w:themeColor="text1"/>
          <w:sz w:val="20"/>
          <w:szCs w:val="20"/>
          <w:lang w:val="es-ES_tradnl"/>
        </w:rPr>
        <w:t>consecuencia</w:t>
      </w:r>
      <w:r w:rsidR="00146AC2" w:rsidRPr="00146AC2">
        <w:rPr>
          <w:rFonts w:ascii="Arial" w:hAnsi="Arial" w:cs="Arial"/>
          <w:bCs/>
          <w:color w:val="000000" w:themeColor="text1"/>
          <w:sz w:val="20"/>
          <w:szCs w:val="20"/>
          <w:lang w:val="es-ES_tradnl"/>
        </w:rPr>
        <w:t xml:space="preserve"> del deber de consultar y analizar las anotaciones en el registro, circunscribe su aplicación a los procesos en que aplique el artículo 5 de la Ley 1150 de 2007, siendo clara la intención del legislador de que sus destinatarios sean las entidades sometidas al EGCAP, que son frente a quienes rige esta última disposición.</w:t>
      </w:r>
    </w:p>
    <w:p w14:paraId="40A88E33" w14:textId="77777777" w:rsidR="009F76B5" w:rsidRPr="00146AC2" w:rsidRDefault="009F76B5" w:rsidP="00146AC2">
      <w:pPr>
        <w:jc w:val="both"/>
        <w:rPr>
          <w:rFonts w:ascii="Arial" w:hAnsi="Arial" w:cs="Arial"/>
          <w:bCs/>
          <w:color w:val="000000" w:themeColor="text1"/>
          <w:sz w:val="20"/>
          <w:szCs w:val="20"/>
          <w:lang w:val="es-ES_tradnl"/>
        </w:rPr>
      </w:pPr>
    </w:p>
    <w:p w14:paraId="6C63ACD6" w14:textId="1D641318" w:rsidR="00A84541" w:rsidRDefault="00146AC2" w:rsidP="00146AC2">
      <w:pPr>
        <w:jc w:val="both"/>
        <w:rPr>
          <w:rFonts w:ascii="Arial" w:hAnsi="Arial" w:cs="Arial"/>
          <w:bCs/>
          <w:color w:val="000000" w:themeColor="text1"/>
          <w:sz w:val="20"/>
          <w:szCs w:val="20"/>
          <w:lang w:val="es-ES_tradnl"/>
        </w:rPr>
      </w:pPr>
      <w:r w:rsidRPr="00146AC2">
        <w:rPr>
          <w:rFonts w:ascii="Arial" w:hAnsi="Arial" w:cs="Arial"/>
          <w:bCs/>
          <w:color w:val="000000" w:themeColor="text1"/>
          <w:sz w:val="20"/>
          <w:szCs w:val="20"/>
          <w:lang w:val="es-ES_tradnl"/>
        </w:rPr>
        <w:lastRenderedPageBreak/>
        <w:t>En efecto, esta Subdirección considera que no es posible escindir el inciso primero del artículo 6 de la Ley 2020 de su inciso segundo, pues este concreta la consecuencia que se sigue de consultar y analizar las anotaciones del registro. En este sentido, solo apreciados en su conjunto el inciso primero y el segundo es posible llegar a una proposición jurídica completa, estableciendo un supuesto de hecho y una consecuencia jurídica. En efecto, si solo se parte del inciso primero de la disposición, se colegiría el deber de consultar y analizar las anotaciones vigentes en el registro; pero la finalidad de realizar dicha actuación consiste en aplicar la consecuencia establecida en el inciso segundo, que incidiría en la evaluación de las ofertas, en los términos del artículo 5 de la Ley 1150 de 2007.</w:t>
      </w:r>
    </w:p>
    <w:p w14:paraId="233D4E05" w14:textId="77777777" w:rsidR="009F76B5" w:rsidRPr="00146AC2" w:rsidRDefault="009F76B5" w:rsidP="00146AC2">
      <w:pPr>
        <w:jc w:val="both"/>
        <w:rPr>
          <w:rFonts w:ascii="Arial" w:hAnsi="Arial" w:cs="Arial"/>
          <w:bCs/>
          <w:color w:val="000000" w:themeColor="text1"/>
          <w:sz w:val="20"/>
          <w:szCs w:val="20"/>
          <w:lang w:val="es-ES_tradnl"/>
        </w:rPr>
      </w:pPr>
    </w:p>
    <w:p w14:paraId="46EA80AF" w14:textId="6F4F5CBF" w:rsidR="00A84541" w:rsidRPr="00146AC2" w:rsidRDefault="00146AC2" w:rsidP="00146AC2">
      <w:pPr>
        <w:jc w:val="both"/>
        <w:rPr>
          <w:rFonts w:ascii="Arial" w:hAnsi="Arial" w:cs="Arial"/>
          <w:bCs/>
          <w:color w:val="000000" w:themeColor="text1"/>
          <w:sz w:val="20"/>
          <w:szCs w:val="20"/>
          <w:lang w:val="es-ES_tradnl"/>
        </w:rPr>
      </w:pPr>
      <w:r w:rsidRPr="00146AC2">
        <w:rPr>
          <w:rFonts w:ascii="Arial" w:hAnsi="Arial" w:cs="Arial"/>
          <w:bCs/>
          <w:i/>
          <w:iCs/>
          <w:color w:val="000000" w:themeColor="text1"/>
          <w:sz w:val="20"/>
          <w:szCs w:val="20"/>
          <w:lang w:val="es-ES_tradnl"/>
        </w:rPr>
        <w:t xml:space="preserve">iv) </w:t>
      </w:r>
      <w:r w:rsidRPr="00146AC2">
        <w:rPr>
          <w:rFonts w:ascii="Arial" w:hAnsi="Arial" w:cs="Arial"/>
          <w:bCs/>
          <w:color w:val="000000" w:themeColor="text1"/>
          <w:sz w:val="20"/>
          <w:szCs w:val="20"/>
          <w:lang w:val="es-ES_tradnl"/>
        </w:rPr>
        <w:t>Si el legislador hubiese querido otorgarle un alcance más amplio al artículo 6 de la Ley 2020 de 2020, para hacerlo aplicable a las entidades exceptuadas, no habría remitido al artículo 5 de la Ley 1150 de 2007. Sin embargo, el legislador claramente decidió atar el contenido regulativo del artículo 6 de la Ley 2020 al artículo 5 de la Ley 1150 de 2007, limitando su alcance a los procedimientos de selección en que aplique esta última disposición.</w:t>
      </w:r>
    </w:p>
    <w:p w14:paraId="33253B16" w14:textId="77777777" w:rsidR="0043688C" w:rsidRPr="00146AC2" w:rsidRDefault="0043688C" w:rsidP="00146AC2">
      <w:pPr>
        <w:jc w:val="both"/>
        <w:rPr>
          <w:rFonts w:ascii="Arial" w:hAnsi="Arial" w:cs="Arial"/>
          <w:bCs/>
          <w:color w:val="000000" w:themeColor="text1"/>
          <w:sz w:val="20"/>
          <w:szCs w:val="20"/>
          <w:lang w:val="es-ES_tradnl"/>
        </w:rPr>
      </w:pPr>
    </w:p>
    <w:p w14:paraId="11AE32FB" w14:textId="0664A1B7" w:rsidR="00A84541" w:rsidRPr="00146AC2" w:rsidRDefault="0043688C" w:rsidP="00146AC2">
      <w:pPr>
        <w:jc w:val="both"/>
        <w:rPr>
          <w:rFonts w:ascii="Arial" w:hAnsi="Arial" w:cs="Arial"/>
          <w:bCs/>
          <w:color w:val="000000" w:themeColor="text1"/>
          <w:sz w:val="22"/>
          <w:szCs w:val="22"/>
          <w:lang w:val="es-ES_tradnl"/>
        </w:rPr>
      </w:pPr>
      <w:r w:rsidRPr="00146AC2">
        <w:rPr>
          <w:rFonts w:ascii="Arial" w:eastAsia="Calibri" w:hAnsi="Arial" w:cs="Arial"/>
          <w:b/>
          <w:sz w:val="22"/>
          <w:szCs w:val="22"/>
          <w:lang w:val="es-ES_tradnl"/>
        </w:rPr>
        <w:t>OBRAS CIVILES INCONCLUSAS – Anotaciones – Entidades exceptuadas – Discrecionalidad</w:t>
      </w:r>
    </w:p>
    <w:p w14:paraId="2DA89CB9" w14:textId="23603193" w:rsidR="00A84541" w:rsidRPr="00146AC2" w:rsidRDefault="00A84541" w:rsidP="00146AC2">
      <w:pPr>
        <w:jc w:val="both"/>
        <w:rPr>
          <w:rFonts w:ascii="Arial" w:eastAsia="Calibri" w:hAnsi="Arial" w:cs="Arial"/>
          <w:b/>
          <w:color w:val="000000" w:themeColor="text1"/>
          <w:sz w:val="20"/>
          <w:szCs w:val="20"/>
          <w:lang w:val="es-ES_tradnl"/>
        </w:rPr>
      </w:pPr>
    </w:p>
    <w:p w14:paraId="3C5A8DB9" w14:textId="3E64750C" w:rsidR="0043688C" w:rsidRPr="00146AC2" w:rsidRDefault="00146AC2" w:rsidP="00146AC2">
      <w:pPr>
        <w:jc w:val="both"/>
        <w:rPr>
          <w:rFonts w:ascii="Arial" w:eastAsia="Calibri" w:hAnsi="Arial" w:cs="Arial"/>
          <w:b/>
          <w:color w:val="000000" w:themeColor="text1"/>
          <w:sz w:val="20"/>
          <w:szCs w:val="20"/>
          <w:lang w:val="es-ES_tradnl"/>
        </w:rPr>
      </w:pPr>
      <w:r w:rsidRPr="00146AC2">
        <w:rPr>
          <w:rFonts w:ascii="Arial" w:hAnsi="Arial" w:cs="Arial"/>
          <w:bCs/>
          <w:color w:val="000000" w:themeColor="text1"/>
          <w:sz w:val="20"/>
          <w:szCs w:val="20"/>
          <w:lang w:val="es-ES_tradnl"/>
        </w:rPr>
        <w:t>Finalmente, sin perjuicio de la postura adoptada por esta Subdirección, se considera importante destacar el hecho de que si bien el artículo 6 de la Ley 2020 de 2020 no rige de manera obligatoria en los procedimientos de selección de las entidades exceptuadas del EGCAP, ello no impide que en desarrollo de su discrecionalidad en la configuración de sus procedimientos de selección incorporen reglas tendientes a tener en consideración, en la evaluación de las ofertas, las anotaciones en el Registro Nacional de Obras Civiles Inconclusas. Lo anterior, en virtud del margen de configuración con que cuentan para estructurar sus procedimientos de selección, y para regular, entre otros aspectos, los criterios y reglas de evaluación de las ofertas.</w:t>
      </w:r>
    </w:p>
    <w:p w14:paraId="0F708C05" w14:textId="6BB853B6" w:rsidR="0076339C" w:rsidRPr="00631B40" w:rsidRDefault="0076339C" w:rsidP="00146AC2">
      <w:pPr>
        <w:jc w:val="both"/>
        <w:rPr>
          <w:rFonts w:ascii="Arial" w:eastAsia="Calibri" w:hAnsi="Arial" w:cs="Arial"/>
          <w:b/>
          <w:sz w:val="22"/>
          <w:lang w:val="es-ES_tradnl"/>
        </w:rPr>
      </w:pPr>
    </w:p>
    <w:p w14:paraId="481FEBC2" w14:textId="2F0D1B19" w:rsidR="004B7910" w:rsidRDefault="004B7910">
      <w:pPr>
        <w:spacing w:after="200" w:line="276" w:lineRule="auto"/>
        <w:rPr>
          <w:rFonts w:ascii="Arial" w:eastAsia="Calibri" w:hAnsi="Arial" w:cs="Arial"/>
          <w:b/>
          <w:sz w:val="22"/>
          <w:lang w:val="es-ES_tradnl"/>
        </w:rPr>
      </w:pPr>
      <w:bookmarkStart w:id="3" w:name="_Hlk87375817"/>
      <w:r>
        <w:rPr>
          <w:rFonts w:ascii="Arial" w:eastAsia="Calibri" w:hAnsi="Arial" w:cs="Arial"/>
          <w:b/>
          <w:sz w:val="22"/>
          <w:lang w:val="es-ES_tradnl"/>
        </w:rPr>
        <w:br w:type="page"/>
      </w:r>
    </w:p>
    <w:p w14:paraId="24D55BEF" w14:textId="198D488D" w:rsidR="001023A6" w:rsidRPr="00631B40" w:rsidRDefault="003B1794" w:rsidP="003B1794">
      <w:pPr>
        <w:spacing w:line="276" w:lineRule="auto"/>
        <w:jc w:val="right"/>
        <w:rPr>
          <w:rFonts w:ascii="Arial" w:hAnsi="Arial" w:cs="Arial"/>
          <w:noProof/>
          <w:color w:val="000000" w:themeColor="text1"/>
          <w:sz w:val="22"/>
          <w:lang w:val="es-ES_tradnl"/>
        </w:rPr>
      </w:pPr>
      <w:r>
        <w:rPr>
          <w:noProof/>
        </w:rPr>
        <w:lastRenderedPageBreak/>
        <w:drawing>
          <wp:inline distT="0" distB="0" distL="0" distR="0" wp14:anchorId="5C250204" wp14:editId="12CB4785">
            <wp:extent cx="2507197" cy="655377"/>
            <wp:effectExtent l="0" t="0" r="762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507197" cy="655377"/>
                    </a:xfrm>
                    <a:prstGeom prst="rect">
                      <a:avLst/>
                    </a:prstGeom>
                  </pic:spPr>
                </pic:pic>
              </a:graphicData>
            </a:graphic>
          </wp:inline>
        </w:drawing>
      </w:r>
    </w:p>
    <w:p w14:paraId="19C64A98" w14:textId="77777777" w:rsidR="003B1794" w:rsidRDefault="003B1794" w:rsidP="00B95C30">
      <w:pPr>
        <w:jc w:val="both"/>
        <w:rPr>
          <w:rFonts w:ascii="Arial" w:eastAsia="Calibri" w:hAnsi="Arial" w:cs="Arial"/>
          <w:color w:val="000000" w:themeColor="text1"/>
          <w:sz w:val="22"/>
          <w:lang w:val="es-ES_tradnl"/>
        </w:rPr>
      </w:pPr>
    </w:p>
    <w:p w14:paraId="5F5AE9EF" w14:textId="674694C5" w:rsidR="00B95C30" w:rsidRPr="00631B40" w:rsidRDefault="00C06C92" w:rsidP="00B95C30">
      <w:pPr>
        <w:jc w:val="both"/>
        <w:rPr>
          <w:rFonts w:ascii="Arial" w:eastAsia="Calibri" w:hAnsi="Arial" w:cs="Arial"/>
          <w:color w:val="000000" w:themeColor="text1"/>
          <w:sz w:val="22"/>
          <w:lang w:val="es-ES_tradnl"/>
        </w:rPr>
      </w:pPr>
      <w:r w:rsidRPr="00631B40">
        <w:rPr>
          <w:rFonts w:ascii="Arial" w:eastAsia="Calibri" w:hAnsi="Arial" w:cs="Arial"/>
          <w:color w:val="000000" w:themeColor="text1"/>
          <w:sz w:val="22"/>
          <w:lang w:val="es-ES_tradnl"/>
        </w:rPr>
        <w:t>Doctora</w:t>
      </w:r>
    </w:p>
    <w:p w14:paraId="3F9ED760" w14:textId="7A020764" w:rsidR="00E027D8" w:rsidRPr="00631B40" w:rsidRDefault="00C06C92" w:rsidP="00B95C30">
      <w:pPr>
        <w:jc w:val="both"/>
        <w:rPr>
          <w:rFonts w:ascii="Arial" w:eastAsia="Calibri" w:hAnsi="Arial" w:cs="Arial"/>
          <w:b/>
          <w:color w:val="000000" w:themeColor="text1"/>
          <w:sz w:val="22"/>
          <w:lang w:val="es-ES_tradnl"/>
        </w:rPr>
      </w:pPr>
      <w:r w:rsidRPr="00631B40">
        <w:rPr>
          <w:rFonts w:ascii="Arial" w:eastAsia="Calibri" w:hAnsi="Arial" w:cs="Arial"/>
          <w:b/>
          <w:color w:val="000000" w:themeColor="text1"/>
          <w:sz w:val="22"/>
          <w:lang w:val="es-ES_tradnl"/>
        </w:rPr>
        <w:t>Martha Consuelo Andrade M.</w:t>
      </w:r>
    </w:p>
    <w:p w14:paraId="3AE28F2C" w14:textId="11BF1CE7" w:rsidR="00C06C92" w:rsidRPr="00631B40" w:rsidRDefault="00C06C92" w:rsidP="00B95C30">
      <w:pPr>
        <w:jc w:val="both"/>
        <w:rPr>
          <w:rFonts w:ascii="Arial" w:eastAsia="Calibri" w:hAnsi="Arial" w:cs="Arial"/>
          <w:bCs/>
          <w:color w:val="000000" w:themeColor="text1"/>
          <w:sz w:val="22"/>
          <w:lang w:val="es-ES_tradnl"/>
        </w:rPr>
      </w:pPr>
      <w:r w:rsidRPr="00631B40">
        <w:rPr>
          <w:rFonts w:ascii="Arial" w:eastAsia="Calibri" w:hAnsi="Arial" w:cs="Arial"/>
          <w:bCs/>
          <w:color w:val="000000" w:themeColor="text1"/>
          <w:sz w:val="22"/>
          <w:lang w:val="es-ES_tradnl"/>
        </w:rPr>
        <w:t>Directora de Gestión Contractual</w:t>
      </w:r>
    </w:p>
    <w:p w14:paraId="6BC4747A" w14:textId="5DD3CBB3" w:rsidR="003E6A08" w:rsidRPr="00631B40" w:rsidRDefault="003E6A08" w:rsidP="00B95C30">
      <w:pPr>
        <w:jc w:val="both"/>
        <w:rPr>
          <w:rFonts w:ascii="Arial" w:eastAsia="Calibri" w:hAnsi="Arial" w:cs="Arial"/>
          <w:bCs/>
          <w:color w:val="000000" w:themeColor="text1"/>
          <w:sz w:val="22"/>
          <w:lang w:val="es-ES_tradnl"/>
        </w:rPr>
      </w:pPr>
      <w:r w:rsidRPr="00631B40">
        <w:rPr>
          <w:rFonts w:ascii="Arial" w:eastAsia="Calibri" w:hAnsi="Arial" w:cs="Arial"/>
          <w:bCs/>
          <w:color w:val="000000" w:themeColor="text1"/>
          <w:sz w:val="22"/>
          <w:lang w:val="es-ES_tradnl"/>
        </w:rPr>
        <w:t>Empresa de Renovación y Desarrollo Urbano</w:t>
      </w:r>
    </w:p>
    <w:p w14:paraId="6AEE3B40" w14:textId="2FB91A86" w:rsidR="00784181" w:rsidRPr="00631B40" w:rsidRDefault="00655D4C" w:rsidP="00B95C30">
      <w:pPr>
        <w:jc w:val="both"/>
        <w:rPr>
          <w:rFonts w:ascii="Arial" w:eastAsia="Calibri" w:hAnsi="Arial" w:cs="Arial"/>
          <w:color w:val="000000" w:themeColor="text1"/>
          <w:sz w:val="22"/>
          <w:lang w:val="es-ES_tradnl"/>
        </w:rPr>
      </w:pPr>
      <w:r w:rsidRPr="00631B40">
        <w:rPr>
          <w:rFonts w:ascii="Arial" w:eastAsia="Calibri" w:hAnsi="Arial" w:cs="Arial"/>
          <w:color w:val="000000" w:themeColor="text1"/>
          <w:sz w:val="22"/>
          <w:lang w:val="es-ES_tradnl"/>
        </w:rPr>
        <w:t xml:space="preserve">Bogotá D.C. </w:t>
      </w:r>
    </w:p>
    <w:p w14:paraId="22C2B5F3" w14:textId="5C9E94C6" w:rsidR="00044498" w:rsidRPr="00631B40" w:rsidRDefault="00044498" w:rsidP="00B95C30">
      <w:pPr>
        <w:jc w:val="both"/>
        <w:rPr>
          <w:rFonts w:ascii="Arial" w:eastAsia="Calibri" w:hAnsi="Arial" w:cs="Arial"/>
          <w:color w:val="000000" w:themeColor="text1"/>
          <w:sz w:val="22"/>
          <w:lang w:val="es-ES_tradnl"/>
        </w:rPr>
      </w:pPr>
    </w:p>
    <w:p w14:paraId="4ABE668A" w14:textId="77777777" w:rsidR="007C538B" w:rsidRPr="00631B40" w:rsidRDefault="007C538B" w:rsidP="00B95C30">
      <w:pPr>
        <w:jc w:val="both"/>
        <w:rPr>
          <w:rFonts w:ascii="Arial" w:eastAsia="Calibri" w:hAnsi="Arial" w:cs="Arial"/>
          <w:color w:val="000000" w:themeColor="text1"/>
          <w:sz w:val="22"/>
          <w:lang w:val="es-ES_tradnl"/>
        </w:rPr>
      </w:pPr>
    </w:p>
    <w:p w14:paraId="12E66182" w14:textId="6D673E9B" w:rsidR="00B95C30" w:rsidRPr="00631B40" w:rsidRDefault="00784181" w:rsidP="003F63EE">
      <w:pPr>
        <w:rPr>
          <w:rFonts w:ascii="Arial" w:eastAsia="Calibri" w:hAnsi="Arial" w:cs="Arial"/>
          <w:b/>
          <w:bCs/>
          <w:color w:val="000000" w:themeColor="text1"/>
          <w:sz w:val="22"/>
          <w:lang w:val="es-ES_tradnl"/>
        </w:rPr>
      </w:pPr>
      <w:r w:rsidRPr="00631B40">
        <w:rPr>
          <w:rFonts w:ascii="Arial" w:eastAsia="Calibri" w:hAnsi="Arial" w:cs="Arial"/>
          <w:b/>
          <w:bCs/>
          <w:color w:val="000000" w:themeColor="text1"/>
          <w:sz w:val="22"/>
          <w:lang w:val="es-ES_tradnl"/>
        </w:rPr>
        <w:t xml:space="preserve">                                            </w:t>
      </w:r>
      <w:r w:rsidR="00864CD5" w:rsidRPr="00631B40">
        <w:rPr>
          <w:rFonts w:ascii="Arial" w:eastAsia="Calibri" w:hAnsi="Arial" w:cs="Arial"/>
          <w:b/>
          <w:bCs/>
          <w:color w:val="000000" w:themeColor="text1"/>
          <w:sz w:val="22"/>
          <w:lang w:val="es-ES_tradnl"/>
        </w:rPr>
        <w:t xml:space="preserve">Concepto C ‒ </w:t>
      </w:r>
      <w:r w:rsidR="00631BEF" w:rsidRPr="00631B40">
        <w:rPr>
          <w:rFonts w:ascii="Arial" w:eastAsia="Calibri" w:hAnsi="Arial" w:cs="Arial"/>
          <w:b/>
          <w:bCs/>
          <w:color w:val="000000" w:themeColor="text1"/>
          <w:sz w:val="22"/>
          <w:lang w:val="es-ES_tradnl"/>
        </w:rPr>
        <w:t>391</w:t>
      </w:r>
      <w:r w:rsidR="00AD5CED" w:rsidRPr="00631B40">
        <w:rPr>
          <w:rFonts w:ascii="Arial" w:eastAsia="Calibri" w:hAnsi="Arial" w:cs="Arial"/>
          <w:b/>
          <w:bCs/>
          <w:color w:val="000000" w:themeColor="text1"/>
          <w:sz w:val="22"/>
          <w:lang w:val="es-ES_tradnl"/>
        </w:rPr>
        <w:t xml:space="preserve"> </w:t>
      </w:r>
      <w:r w:rsidR="00275FBF" w:rsidRPr="00631B40">
        <w:rPr>
          <w:rFonts w:ascii="Arial" w:eastAsia="Calibri" w:hAnsi="Arial" w:cs="Arial"/>
          <w:b/>
          <w:bCs/>
          <w:color w:val="000000" w:themeColor="text1"/>
          <w:sz w:val="22"/>
          <w:lang w:val="es-ES_tradnl"/>
        </w:rPr>
        <w:t>de 202</w:t>
      </w:r>
      <w:r w:rsidR="00E44CCC" w:rsidRPr="00631B40">
        <w:rPr>
          <w:rFonts w:ascii="Arial" w:eastAsia="Calibri" w:hAnsi="Arial" w:cs="Arial"/>
          <w:b/>
          <w:bCs/>
          <w:color w:val="000000" w:themeColor="text1"/>
          <w:sz w:val="22"/>
          <w:lang w:val="es-ES_tradnl"/>
        </w:rPr>
        <w:t>2</w:t>
      </w:r>
    </w:p>
    <w:p w14:paraId="1BD594F9" w14:textId="77777777" w:rsidR="00B95C30" w:rsidRPr="00631B40"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631B40" w14:paraId="19DFC051" w14:textId="77777777" w:rsidTr="00643F91">
        <w:tc>
          <w:tcPr>
            <w:tcW w:w="2689" w:type="dxa"/>
          </w:tcPr>
          <w:p w14:paraId="6BC0D1AC" w14:textId="77777777" w:rsidR="00B95C30" w:rsidRPr="00631B40" w:rsidRDefault="00B95C30" w:rsidP="00D15356">
            <w:pPr>
              <w:jc w:val="both"/>
              <w:rPr>
                <w:rFonts w:ascii="Arial" w:eastAsia="Calibri" w:hAnsi="Arial" w:cs="Arial"/>
                <w:color w:val="000000" w:themeColor="text1"/>
                <w:sz w:val="22"/>
                <w:lang w:val="es-ES_tradnl"/>
              </w:rPr>
            </w:pPr>
            <w:r w:rsidRPr="00631B40">
              <w:rPr>
                <w:rFonts w:ascii="Arial" w:eastAsia="Calibri" w:hAnsi="Arial" w:cs="Arial"/>
                <w:b/>
                <w:color w:val="000000" w:themeColor="text1"/>
                <w:sz w:val="22"/>
                <w:lang w:val="es-ES_tradnl"/>
              </w:rPr>
              <w:t>Temas:</w:t>
            </w:r>
            <w:r w:rsidRPr="00631B40">
              <w:rPr>
                <w:rFonts w:ascii="Arial" w:eastAsia="Calibri" w:hAnsi="Arial" w:cs="Arial"/>
                <w:color w:val="000000" w:themeColor="text1"/>
                <w:sz w:val="22"/>
                <w:lang w:val="es-ES_tradnl"/>
              </w:rPr>
              <w:t xml:space="preserve">                                      </w:t>
            </w:r>
          </w:p>
        </w:tc>
        <w:tc>
          <w:tcPr>
            <w:tcW w:w="6237" w:type="dxa"/>
          </w:tcPr>
          <w:p w14:paraId="5F389CAF" w14:textId="6032A500" w:rsidR="00B95C30" w:rsidRPr="004B7910" w:rsidRDefault="004B7910" w:rsidP="00864CD5">
            <w:pPr>
              <w:jc w:val="both"/>
              <w:rPr>
                <w:rFonts w:ascii="Arial" w:eastAsia="Calibri" w:hAnsi="Arial" w:cs="Arial"/>
                <w:bCs/>
                <w:sz w:val="22"/>
                <w:lang w:val="es-ES_tradnl"/>
              </w:rPr>
            </w:pPr>
            <w:r w:rsidRPr="004B7910">
              <w:rPr>
                <w:rFonts w:ascii="Arial" w:eastAsia="Calibri" w:hAnsi="Arial" w:cs="Arial"/>
                <w:bCs/>
                <w:sz w:val="22"/>
                <w:lang w:val="es-ES_tradnl"/>
              </w:rPr>
              <w:t xml:space="preserve">OBRAS CIVILES INCONCLUSAS </w:t>
            </w:r>
            <w:r w:rsidRPr="004B7910">
              <w:rPr>
                <w:rFonts w:ascii="Arial" w:eastAsia="Calibri" w:hAnsi="Arial" w:cs="Arial"/>
                <w:bCs/>
                <w:color w:val="000000" w:themeColor="text1"/>
                <w:sz w:val="22"/>
                <w:lang w:val="es-ES_tradnl"/>
              </w:rPr>
              <w:t>–</w:t>
            </w:r>
            <w:r w:rsidRPr="004B7910">
              <w:rPr>
                <w:rFonts w:ascii="Arial" w:eastAsia="Calibri" w:hAnsi="Arial" w:cs="Arial"/>
                <w:bCs/>
                <w:sz w:val="22"/>
                <w:lang w:val="es-ES_tradnl"/>
              </w:rPr>
              <w:t xml:space="preserve"> Concepto </w:t>
            </w:r>
            <w:r w:rsidRPr="004B7910">
              <w:rPr>
                <w:rFonts w:ascii="Arial" w:eastAsia="Calibri" w:hAnsi="Arial" w:cs="Arial"/>
                <w:bCs/>
                <w:color w:val="000000" w:themeColor="text1"/>
                <w:sz w:val="22"/>
                <w:lang w:val="es-ES_tradnl"/>
              </w:rPr>
              <w:t xml:space="preserve">– Ley 2020 de 2020 / </w:t>
            </w:r>
            <w:r w:rsidRPr="004B7910">
              <w:rPr>
                <w:rFonts w:ascii="Arial" w:eastAsia="Calibri" w:hAnsi="Arial" w:cs="Arial"/>
                <w:bCs/>
                <w:sz w:val="22"/>
                <w:lang w:val="es-ES_tradnl"/>
              </w:rPr>
              <w:t xml:space="preserve">REGISTRO NACIONAL DE OBRAS CIVILES INCONCLUSAS </w:t>
            </w:r>
            <w:r w:rsidRPr="004B7910">
              <w:rPr>
                <w:rFonts w:ascii="Arial" w:eastAsia="Calibri" w:hAnsi="Arial" w:cs="Arial"/>
                <w:bCs/>
                <w:color w:val="000000" w:themeColor="text1"/>
                <w:sz w:val="22"/>
                <w:lang w:val="es-ES_tradnl"/>
              </w:rPr>
              <w:t>–</w:t>
            </w:r>
            <w:r w:rsidRPr="004B7910">
              <w:rPr>
                <w:rFonts w:ascii="Arial" w:eastAsia="Calibri" w:hAnsi="Arial" w:cs="Arial"/>
                <w:bCs/>
                <w:sz w:val="22"/>
                <w:lang w:val="es-ES_tradnl"/>
              </w:rPr>
              <w:t xml:space="preserve"> Dirección y coordinación / </w:t>
            </w:r>
            <w:r w:rsidRPr="004B7910">
              <w:rPr>
                <w:rFonts w:ascii="Arial" w:eastAsia="Calibri" w:hAnsi="Arial" w:cs="Arial"/>
                <w:bCs/>
                <w:sz w:val="22"/>
                <w:szCs w:val="22"/>
                <w:lang w:val="es-ES_tradnl"/>
              </w:rPr>
              <w:t xml:space="preserve">REGISTRO NACIONAL DE OBRAS CIVILES INCONCLUSAS </w:t>
            </w:r>
            <w:r w:rsidRPr="004B7910">
              <w:rPr>
                <w:rFonts w:ascii="Arial" w:eastAsia="Calibri" w:hAnsi="Arial" w:cs="Arial"/>
                <w:bCs/>
                <w:color w:val="000000" w:themeColor="text1"/>
                <w:sz w:val="22"/>
                <w:szCs w:val="22"/>
                <w:lang w:val="es-ES_tradnl"/>
              </w:rPr>
              <w:t>–</w:t>
            </w:r>
            <w:r w:rsidRPr="004B7910">
              <w:rPr>
                <w:rFonts w:ascii="Arial" w:eastAsia="Calibri" w:hAnsi="Arial" w:cs="Arial"/>
                <w:bCs/>
                <w:sz w:val="22"/>
                <w:szCs w:val="22"/>
                <w:lang w:val="es-ES_tradnl"/>
              </w:rPr>
              <w:t xml:space="preserve"> Reporte de información </w:t>
            </w:r>
            <w:r w:rsidRPr="004B7910">
              <w:rPr>
                <w:rFonts w:ascii="Arial" w:eastAsia="Calibri" w:hAnsi="Arial" w:cs="Arial"/>
                <w:bCs/>
                <w:color w:val="000000" w:themeColor="text1"/>
                <w:sz w:val="22"/>
                <w:szCs w:val="22"/>
                <w:lang w:val="es-ES_tradnl"/>
              </w:rPr>
              <w:t xml:space="preserve">– Registro especial / </w:t>
            </w:r>
            <w:r w:rsidRPr="004B7910">
              <w:rPr>
                <w:rFonts w:ascii="Arial" w:eastAsia="Calibri" w:hAnsi="Arial" w:cs="Arial"/>
                <w:bCs/>
                <w:sz w:val="22"/>
                <w:szCs w:val="22"/>
                <w:lang w:val="es-ES_tradnl"/>
              </w:rPr>
              <w:t xml:space="preserve">REGISTRO NACIONAL DE OBRAS CIVILES INCONCLUSAS </w:t>
            </w:r>
            <w:r w:rsidRPr="004B7910">
              <w:rPr>
                <w:rFonts w:ascii="Arial" w:eastAsia="Calibri" w:hAnsi="Arial" w:cs="Arial"/>
                <w:bCs/>
                <w:color w:val="000000" w:themeColor="text1"/>
                <w:sz w:val="22"/>
                <w:szCs w:val="22"/>
                <w:lang w:val="es-ES_tradnl"/>
              </w:rPr>
              <w:t>–</w:t>
            </w:r>
            <w:r w:rsidRPr="004B7910">
              <w:rPr>
                <w:rFonts w:ascii="Arial" w:eastAsia="Calibri" w:hAnsi="Arial" w:cs="Arial"/>
                <w:bCs/>
                <w:sz w:val="22"/>
                <w:szCs w:val="22"/>
                <w:lang w:val="es-ES_tradnl"/>
              </w:rPr>
              <w:t xml:space="preserve"> deber de verificación </w:t>
            </w:r>
            <w:r w:rsidRPr="004B7910">
              <w:rPr>
                <w:rFonts w:ascii="Arial" w:eastAsia="Calibri" w:hAnsi="Arial" w:cs="Arial"/>
                <w:bCs/>
                <w:color w:val="000000" w:themeColor="text1"/>
                <w:sz w:val="22"/>
                <w:szCs w:val="22"/>
                <w:lang w:val="es-ES_tradnl"/>
              </w:rPr>
              <w:t xml:space="preserve">– Discrecionalidad / </w:t>
            </w:r>
            <w:r w:rsidRPr="004B7910">
              <w:rPr>
                <w:rFonts w:ascii="Arial" w:eastAsia="Calibri" w:hAnsi="Arial" w:cs="Arial"/>
                <w:bCs/>
                <w:sz w:val="22"/>
                <w:szCs w:val="22"/>
                <w:lang w:val="es-ES_tradnl"/>
              </w:rPr>
              <w:t>LEY 2020 DE 2020 – Artículo 6 – Entidades exceptuadas – Inaplicable – Artículo 5 de la Ley 1150 de 2007 / OBRAS CIVILES INCONCLUSAS – Anotaciones – Entidades exceptuadas – Discrecionalidad</w:t>
            </w:r>
          </w:p>
        </w:tc>
      </w:tr>
      <w:tr w:rsidR="00B95C30" w:rsidRPr="00631B40" w14:paraId="27CD52AB" w14:textId="77777777" w:rsidTr="00643F91">
        <w:tc>
          <w:tcPr>
            <w:tcW w:w="2689" w:type="dxa"/>
          </w:tcPr>
          <w:p w14:paraId="37E195A1" w14:textId="3D4EB451" w:rsidR="00B95C30" w:rsidRPr="00631B40" w:rsidRDefault="00B95C30" w:rsidP="00D15356">
            <w:pPr>
              <w:spacing w:before="120"/>
              <w:jc w:val="both"/>
              <w:rPr>
                <w:rFonts w:ascii="Arial" w:eastAsia="Calibri" w:hAnsi="Arial" w:cs="Arial"/>
                <w:b/>
                <w:color w:val="000000" w:themeColor="text1"/>
                <w:sz w:val="22"/>
                <w:lang w:val="es-ES_tradnl"/>
              </w:rPr>
            </w:pPr>
            <w:r w:rsidRPr="00631B40">
              <w:rPr>
                <w:rFonts w:ascii="Arial" w:eastAsia="Calibri" w:hAnsi="Arial" w:cs="Arial"/>
                <w:b/>
                <w:color w:val="000000" w:themeColor="text1"/>
                <w:sz w:val="22"/>
                <w:lang w:val="es-ES_tradnl"/>
              </w:rPr>
              <w:t>Radicación:</w:t>
            </w:r>
            <w:r w:rsidRPr="00631B40">
              <w:rPr>
                <w:rFonts w:ascii="Arial" w:eastAsia="Calibri" w:hAnsi="Arial" w:cs="Arial"/>
                <w:color w:val="000000" w:themeColor="text1"/>
                <w:sz w:val="22"/>
                <w:lang w:val="es-ES_tradnl"/>
              </w:rPr>
              <w:t xml:space="preserve">                              </w:t>
            </w:r>
          </w:p>
        </w:tc>
        <w:tc>
          <w:tcPr>
            <w:tcW w:w="6237" w:type="dxa"/>
          </w:tcPr>
          <w:p w14:paraId="09088B1B" w14:textId="2F2F1BD2" w:rsidR="00B95C30" w:rsidRPr="00631B40" w:rsidRDefault="00B95C30" w:rsidP="00D15356">
            <w:pPr>
              <w:spacing w:before="120"/>
              <w:jc w:val="both"/>
              <w:rPr>
                <w:rFonts w:ascii="Arial" w:eastAsia="Calibri" w:hAnsi="Arial" w:cs="Arial"/>
                <w:color w:val="000000" w:themeColor="text1"/>
                <w:sz w:val="22"/>
                <w:lang w:val="es-ES_tradnl"/>
              </w:rPr>
            </w:pPr>
            <w:r w:rsidRPr="00631B40">
              <w:rPr>
                <w:rFonts w:ascii="Arial" w:eastAsia="Calibri" w:hAnsi="Arial" w:cs="Arial"/>
                <w:color w:val="000000" w:themeColor="text1"/>
                <w:sz w:val="22"/>
                <w:lang w:val="es-ES_tradnl"/>
              </w:rPr>
              <w:t xml:space="preserve">Respuesta a consulta </w:t>
            </w:r>
            <w:r w:rsidR="006A6571" w:rsidRPr="00631B40">
              <w:rPr>
                <w:rFonts w:ascii="Arial" w:eastAsia="Calibri" w:hAnsi="Arial" w:cs="Arial"/>
                <w:color w:val="000000" w:themeColor="text1"/>
                <w:sz w:val="22"/>
                <w:lang w:val="es-ES_tradnl"/>
              </w:rPr>
              <w:t>P20220609005743</w:t>
            </w:r>
          </w:p>
        </w:tc>
      </w:tr>
    </w:tbl>
    <w:p w14:paraId="635FAA34" w14:textId="37DE2A66" w:rsidR="006D69FA" w:rsidRPr="00631B40" w:rsidRDefault="006D69FA" w:rsidP="003C3339">
      <w:pPr>
        <w:jc w:val="both"/>
        <w:rPr>
          <w:rFonts w:ascii="Arial" w:eastAsia="Calibri" w:hAnsi="Arial" w:cs="Arial"/>
          <w:color w:val="000000" w:themeColor="text1"/>
          <w:sz w:val="22"/>
          <w:lang w:val="es-ES_tradnl"/>
        </w:rPr>
      </w:pPr>
    </w:p>
    <w:p w14:paraId="610D5130" w14:textId="77777777" w:rsidR="00784181" w:rsidRPr="00631B40" w:rsidRDefault="00784181" w:rsidP="003C3339">
      <w:pPr>
        <w:jc w:val="both"/>
        <w:rPr>
          <w:rFonts w:ascii="Arial" w:eastAsia="Calibri" w:hAnsi="Arial" w:cs="Arial"/>
          <w:color w:val="000000" w:themeColor="text1"/>
          <w:sz w:val="22"/>
          <w:lang w:val="es-ES_tradnl"/>
        </w:rPr>
      </w:pPr>
    </w:p>
    <w:p w14:paraId="1CF4AEA0" w14:textId="53DB9CE1" w:rsidR="003C3339" w:rsidRPr="00631B40" w:rsidRDefault="003C3339" w:rsidP="003C3339">
      <w:pPr>
        <w:jc w:val="both"/>
        <w:rPr>
          <w:rFonts w:ascii="Arial" w:eastAsia="Calibri" w:hAnsi="Arial" w:cs="Arial"/>
          <w:color w:val="000000" w:themeColor="text1"/>
          <w:sz w:val="22"/>
          <w:lang w:val="es-ES_tradnl"/>
        </w:rPr>
      </w:pPr>
      <w:r w:rsidRPr="00631B40">
        <w:rPr>
          <w:rFonts w:ascii="Arial" w:eastAsia="Calibri" w:hAnsi="Arial" w:cs="Arial"/>
          <w:color w:val="000000" w:themeColor="text1"/>
          <w:sz w:val="22"/>
          <w:lang w:val="es-ES_tradnl"/>
        </w:rPr>
        <w:t>Estimad</w:t>
      </w:r>
      <w:r w:rsidR="00785DD8" w:rsidRPr="00631B40">
        <w:rPr>
          <w:rFonts w:ascii="Arial" w:eastAsia="Calibri" w:hAnsi="Arial" w:cs="Arial"/>
          <w:color w:val="000000" w:themeColor="text1"/>
          <w:sz w:val="22"/>
          <w:lang w:val="es-ES_tradnl"/>
        </w:rPr>
        <w:t>a</w:t>
      </w:r>
      <w:r w:rsidRPr="00631B40">
        <w:rPr>
          <w:rFonts w:ascii="Arial" w:eastAsia="Calibri" w:hAnsi="Arial" w:cs="Arial"/>
          <w:color w:val="000000" w:themeColor="text1"/>
          <w:sz w:val="22"/>
          <w:lang w:val="es-ES_tradnl"/>
        </w:rPr>
        <w:t xml:space="preserve"> </w:t>
      </w:r>
      <w:r w:rsidR="00785DD8" w:rsidRPr="00631B40">
        <w:rPr>
          <w:rFonts w:ascii="Arial" w:eastAsia="Calibri" w:hAnsi="Arial" w:cs="Arial"/>
          <w:color w:val="000000" w:themeColor="text1"/>
          <w:sz w:val="22"/>
          <w:lang w:val="es-ES_tradnl"/>
        </w:rPr>
        <w:t>Doctora</w:t>
      </w:r>
      <w:r w:rsidRPr="00631B40">
        <w:rPr>
          <w:rFonts w:ascii="Arial" w:eastAsia="Calibri" w:hAnsi="Arial" w:cs="Arial"/>
          <w:color w:val="000000" w:themeColor="text1"/>
          <w:sz w:val="22"/>
          <w:lang w:val="es-ES_tradnl"/>
        </w:rPr>
        <w:t xml:space="preserve"> </w:t>
      </w:r>
      <w:r w:rsidR="00785DD8" w:rsidRPr="00631B40">
        <w:rPr>
          <w:rFonts w:ascii="Arial" w:eastAsia="Calibri" w:hAnsi="Arial" w:cs="Arial"/>
          <w:color w:val="000000" w:themeColor="text1"/>
          <w:sz w:val="22"/>
          <w:lang w:val="es-ES_tradnl"/>
        </w:rPr>
        <w:t>Andrade</w:t>
      </w:r>
      <w:r w:rsidRPr="00631B40">
        <w:rPr>
          <w:rFonts w:ascii="Arial" w:eastAsia="Calibri" w:hAnsi="Arial" w:cs="Arial"/>
          <w:color w:val="000000" w:themeColor="text1"/>
          <w:sz w:val="22"/>
          <w:lang w:val="es-ES_tradnl"/>
        </w:rPr>
        <w:t>:</w:t>
      </w:r>
    </w:p>
    <w:p w14:paraId="1EAE5543" w14:textId="77777777" w:rsidR="00DD5B04" w:rsidRPr="00631B40" w:rsidRDefault="00DD5B04" w:rsidP="00DF76A2">
      <w:pPr>
        <w:jc w:val="both"/>
        <w:rPr>
          <w:rFonts w:ascii="Arial" w:eastAsia="Calibri" w:hAnsi="Arial" w:cs="Arial"/>
          <w:color w:val="000000" w:themeColor="text1"/>
          <w:sz w:val="22"/>
          <w:lang w:val="es-ES_tradnl"/>
        </w:rPr>
      </w:pPr>
    </w:p>
    <w:p w14:paraId="2109B2D3" w14:textId="377C0987" w:rsidR="00DD5B04" w:rsidRPr="00631B40" w:rsidRDefault="00DD5B04" w:rsidP="00DF76A2">
      <w:pPr>
        <w:spacing w:line="276" w:lineRule="auto"/>
        <w:jc w:val="both"/>
        <w:rPr>
          <w:rFonts w:ascii="Arial" w:eastAsia="Calibri" w:hAnsi="Arial" w:cs="Arial"/>
          <w:color w:val="000000" w:themeColor="text1"/>
          <w:sz w:val="22"/>
          <w:lang w:val="es-ES_tradnl"/>
        </w:rPr>
      </w:pPr>
      <w:r w:rsidRPr="00631B40">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784181" w:rsidRPr="00631B40">
        <w:rPr>
          <w:rFonts w:ascii="Arial" w:eastAsia="Calibri" w:hAnsi="Arial" w:cs="Arial"/>
          <w:color w:val="000000" w:themeColor="text1"/>
          <w:sz w:val="22"/>
          <w:lang w:val="es-ES_tradnl"/>
        </w:rPr>
        <w:t>–</w:t>
      </w:r>
      <w:r w:rsidRPr="00631B40">
        <w:rPr>
          <w:rFonts w:ascii="Arial" w:eastAsia="Calibri" w:hAnsi="Arial" w:cs="Arial"/>
          <w:color w:val="000000" w:themeColor="text1"/>
          <w:sz w:val="22"/>
          <w:lang w:val="es-ES_tradnl"/>
        </w:rPr>
        <w:t xml:space="preserve"> Colombia Compra Eficiente responde su consulta del </w:t>
      </w:r>
      <w:r w:rsidR="00DB402B" w:rsidRPr="00631B40">
        <w:rPr>
          <w:rFonts w:ascii="Arial" w:eastAsia="Calibri" w:hAnsi="Arial" w:cs="Arial"/>
          <w:color w:val="000000" w:themeColor="text1"/>
          <w:sz w:val="22"/>
          <w:lang w:val="es-ES_tradnl"/>
        </w:rPr>
        <w:t>9</w:t>
      </w:r>
      <w:r w:rsidR="00AD5CED" w:rsidRPr="00631B40">
        <w:rPr>
          <w:rFonts w:ascii="Arial" w:eastAsia="Calibri" w:hAnsi="Arial" w:cs="Arial"/>
          <w:color w:val="000000" w:themeColor="text1"/>
          <w:sz w:val="22"/>
          <w:lang w:val="es-ES_tradnl"/>
        </w:rPr>
        <w:t xml:space="preserve"> </w:t>
      </w:r>
      <w:r w:rsidR="00FD4AF3" w:rsidRPr="00631B40">
        <w:rPr>
          <w:rFonts w:ascii="Arial" w:eastAsia="Calibri" w:hAnsi="Arial" w:cs="Arial"/>
          <w:color w:val="000000" w:themeColor="text1"/>
          <w:sz w:val="22"/>
          <w:lang w:val="es-ES_tradnl"/>
        </w:rPr>
        <w:t xml:space="preserve">de </w:t>
      </w:r>
      <w:r w:rsidR="00DB402B" w:rsidRPr="00631B40">
        <w:rPr>
          <w:rFonts w:ascii="Arial" w:eastAsia="Calibri" w:hAnsi="Arial" w:cs="Arial"/>
          <w:color w:val="000000" w:themeColor="text1"/>
          <w:sz w:val="22"/>
          <w:lang w:val="es-ES_tradnl"/>
        </w:rPr>
        <w:t>junio</w:t>
      </w:r>
      <w:r w:rsidRPr="00631B40">
        <w:rPr>
          <w:rFonts w:ascii="Arial" w:eastAsia="Calibri" w:hAnsi="Arial" w:cs="Arial"/>
          <w:color w:val="000000" w:themeColor="text1"/>
          <w:sz w:val="22"/>
          <w:lang w:val="es-ES_tradnl"/>
        </w:rPr>
        <w:t xml:space="preserve"> del</w:t>
      </w:r>
      <w:r w:rsidR="007E74BF" w:rsidRPr="00631B40">
        <w:rPr>
          <w:rFonts w:ascii="Arial" w:eastAsia="Calibri" w:hAnsi="Arial" w:cs="Arial"/>
          <w:color w:val="000000" w:themeColor="text1"/>
          <w:sz w:val="22"/>
          <w:lang w:val="es-ES_tradnl"/>
        </w:rPr>
        <w:t xml:space="preserve"> </w:t>
      </w:r>
      <w:r w:rsidR="006D69FA" w:rsidRPr="00631B40">
        <w:rPr>
          <w:rFonts w:ascii="Arial" w:eastAsia="Calibri" w:hAnsi="Arial" w:cs="Arial"/>
          <w:color w:val="000000" w:themeColor="text1"/>
          <w:sz w:val="22"/>
          <w:lang w:val="es-ES_tradnl"/>
        </w:rPr>
        <w:t>202</w:t>
      </w:r>
      <w:r w:rsidR="00DB402B" w:rsidRPr="00631B40">
        <w:rPr>
          <w:rFonts w:ascii="Arial" w:eastAsia="Calibri" w:hAnsi="Arial" w:cs="Arial"/>
          <w:color w:val="000000" w:themeColor="text1"/>
          <w:sz w:val="22"/>
          <w:lang w:val="es-ES_tradnl"/>
        </w:rPr>
        <w:t>2</w:t>
      </w:r>
      <w:r w:rsidR="009872C5" w:rsidRPr="00631B40">
        <w:rPr>
          <w:rStyle w:val="Refdenotaalpie"/>
          <w:rFonts w:ascii="Arial" w:eastAsia="Calibri" w:hAnsi="Arial" w:cs="Arial"/>
          <w:color w:val="000000" w:themeColor="text1"/>
          <w:sz w:val="22"/>
          <w:lang w:val="es-ES_tradnl"/>
        </w:rPr>
        <w:footnoteReference w:id="2"/>
      </w:r>
      <w:r w:rsidR="006D69FA" w:rsidRPr="00631B40">
        <w:rPr>
          <w:rFonts w:ascii="Arial" w:eastAsia="Calibri" w:hAnsi="Arial" w:cs="Arial"/>
          <w:color w:val="000000" w:themeColor="text1"/>
          <w:sz w:val="22"/>
          <w:lang w:val="es-ES_tradnl"/>
        </w:rPr>
        <w:t xml:space="preserve">. </w:t>
      </w:r>
    </w:p>
    <w:p w14:paraId="0C1E0712" w14:textId="77777777" w:rsidR="00DD5B04" w:rsidRPr="00631B40" w:rsidRDefault="00DD5B04" w:rsidP="00DF76A2">
      <w:pPr>
        <w:spacing w:line="276" w:lineRule="auto"/>
        <w:jc w:val="both"/>
        <w:rPr>
          <w:rFonts w:ascii="Arial" w:eastAsia="Calibri" w:hAnsi="Arial" w:cs="Arial"/>
          <w:b/>
          <w:color w:val="000000" w:themeColor="text1"/>
          <w:sz w:val="22"/>
          <w:lang w:val="es-ES_tradnl"/>
        </w:rPr>
      </w:pPr>
    </w:p>
    <w:p w14:paraId="7701FCC7" w14:textId="14941EBB" w:rsidR="00DD5B04" w:rsidRPr="00631B4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631B40">
        <w:rPr>
          <w:rFonts w:ascii="Arial" w:eastAsia="Calibri" w:hAnsi="Arial" w:cs="Arial"/>
          <w:b/>
          <w:color w:val="000000" w:themeColor="text1"/>
          <w:sz w:val="22"/>
          <w:lang w:val="es-ES_tradnl"/>
        </w:rPr>
        <w:t>Problema</w:t>
      </w:r>
      <w:r w:rsidR="00C02DBF" w:rsidRPr="00631B40">
        <w:rPr>
          <w:rFonts w:ascii="Arial" w:eastAsia="Calibri" w:hAnsi="Arial" w:cs="Arial"/>
          <w:b/>
          <w:color w:val="000000" w:themeColor="text1"/>
          <w:sz w:val="22"/>
          <w:lang w:val="es-ES_tradnl"/>
        </w:rPr>
        <w:t>s</w:t>
      </w:r>
      <w:r w:rsidRPr="00631B40">
        <w:rPr>
          <w:rFonts w:ascii="Arial" w:eastAsia="Calibri" w:hAnsi="Arial" w:cs="Arial"/>
          <w:b/>
          <w:color w:val="000000" w:themeColor="text1"/>
          <w:sz w:val="22"/>
          <w:lang w:val="es-ES_tradnl"/>
        </w:rPr>
        <w:t xml:space="preserve"> planteado</w:t>
      </w:r>
      <w:r w:rsidR="00C02DBF" w:rsidRPr="00631B40">
        <w:rPr>
          <w:rFonts w:ascii="Arial" w:eastAsia="Calibri" w:hAnsi="Arial" w:cs="Arial"/>
          <w:b/>
          <w:color w:val="000000" w:themeColor="text1"/>
          <w:sz w:val="22"/>
          <w:lang w:val="es-ES_tradnl"/>
        </w:rPr>
        <w:t>s</w:t>
      </w:r>
      <w:r w:rsidRPr="00631B40">
        <w:rPr>
          <w:rFonts w:ascii="Arial" w:eastAsia="Calibri" w:hAnsi="Arial" w:cs="Arial"/>
          <w:b/>
          <w:color w:val="000000" w:themeColor="text1"/>
          <w:sz w:val="22"/>
          <w:lang w:val="es-ES_tradnl"/>
        </w:rPr>
        <w:t xml:space="preserve"> </w:t>
      </w:r>
    </w:p>
    <w:p w14:paraId="224B43D3" w14:textId="77777777" w:rsidR="00DD5B04" w:rsidRPr="00631B4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5CF2A714" w14:textId="77777777" w:rsidR="00B15E0C" w:rsidRPr="00631B40" w:rsidRDefault="00655D4C" w:rsidP="00703285">
      <w:pPr>
        <w:spacing w:line="276" w:lineRule="auto"/>
        <w:jc w:val="both"/>
        <w:rPr>
          <w:rFonts w:ascii="Arial" w:eastAsia="Calibri" w:hAnsi="Arial" w:cs="Arial"/>
          <w:bCs/>
          <w:sz w:val="20"/>
          <w:szCs w:val="20"/>
          <w:lang w:val="es-ES_tradnl" w:eastAsia="en-US"/>
        </w:rPr>
      </w:pPr>
      <w:bookmarkStart w:id="4" w:name="_Hlk70876531"/>
      <w:r w:rsidRPr="00631B40">
        <w:rPr>
          <w:rFonts w:ascii="Arial" w:hAnsi="Arial" w:cs="Arial"/>
          <w:color w:val="000000" w:themeColor="text1"/>
          <w:sz w:val="22"/>
          <w:lang w:val="es-ES_tradnl"/>
        </w:rPr>
        <w:t>R</w:t>
      </w:r>
      <w:r w:rsidR="003D3109" w:rsidRPr="00631B40">
        <w:rPr>
          <w:rFonts w:ascii="Arial" w:hAnsi="Arial" w:cs="Arial"/>
          <w:color w:val="000000" w:themeColor="text1"/>
          <w:sz w:val="22"/>
          <w:lang w:val="es-ES_tradnl"/>
        </w:rPr>
        <w:t xml:space="preserve">especto </w:t>
      </w:r>
      <w:r w:rsidR="00E44CCC" w:rsidRPr="00631B40">
        <w:rPr>
          <w:rFonts w:ascii="Arial" w:hAnsi="Arial" w:cs="Arial"/>
          <w:color w:val="000000" w:themeColor="text1"/>
          <w:sz w:val="22"/>
          <w:lang w:val="es-ES_tradnl"/>
        </w:rPr>
        <w:t xml:space="preserve">del </w:t>
      </w:r>
      <w:r w:rsidR="003D3109" w:rsidRPr="00631B40">
        <w:rPr>
          <w:rFonts w:ascii="Arial" w:hAnsi="Arial" w:cs="Arial"/>
          <w:color w:val="000000" w:themeColor="text1"/>
          <w:sz w:val="22"/>
          <w:lang w:val="es-ES_tradnl"/>
        </w:rPr>
        <w:t>Registro Nacional de Obras Civiles Inconclusas, usted realiza las siguientes preguntas:</w:t>
      </w:r>
      <w:r w:rsidR="00E44CCC" w:rsidRPr="00631B40">
        <w:rPr>
          <w:rFonts w:ascii="Arial" w:eastAsia="Calibri" w:hAnsi="Arial" w:cs="Arial"/>
          <w:bCs/>
          <w:sz w:val="20"/>
          <w:szCs w:val="20"/>
          <w:lang w:val="es-ES_tradnl" w:eastAsia="en-US"/>
        </w:rPr>
        <w:t xml:space="preserve"> </w:t>
      </w:r>
    </w:p>
    <w:bookmarkEnd w:id="4"/>
    <w:p w14:paraId="3C39D590" w14:textId="77777777" w:rsidR="00C973B8" w:rsidRPr="00631B40" w:rsidRDefault="00C973B8" w:rsidP="00C973B8">
      <w:pPr>
        <w:spacing w:line="276" w:lineRule="auto"/>
        <w:jc w:val="both"/>
        <w:rPr>
          <w:rFonts w:ascii="Arial" w:hAnsi="Arial" w:cs="Arial"/>
          <w:bCs/>
          <w:color w:val="000000" w:themeColor="text1"/>
          <w:sz w:val="22"/>
          <w:lang w:val="es-ES_tradnl"/>
        </w:rPr>
      </w:pPr>
    </w:p>
    <w:p w14:paraId="4B02E428" w14:textId="2144E1AE" w:rsidR="00703285" w:rsidRPr="00631B40" w:rsidRDefault="00730218" w:rsidP="00730218">
      <w:pPr>
        <w:ind w:left="709" w:right="709"/>
        <w:jc w:val="both"/>
        <w:rPr>
          <w:rFonts w:ascii="Arial" w:hAnsi="Arial" w:cs="Arial"/>
          <w:bCs/>
          <w:color w:val="000000" w:themeColor="text1"/>
          <w:sz w:val="21"/>
          <w:szCs w:val="21"/>
          <w:lang w:val="es-ES_tradnl"/>
        </w:rPr>
      </w:pPr>
      <w:r w:rsidRPr="00631B40">
        <w:rPr>
          <w:rFonts w:ascii="Arial" w:hAnsi="Arial" w:cs="Arial"/>
          <w:bCs/>
          <w:color w:val="000000" w:themeColor="text1"/>
          <w:sz w:val="21"/>
          <w:szCs w:val="21"/>
          <w:lang w:val="es-ES_tradnl"/>
        </w:rPr>
        <w:t>«</w:t>
      </w:r>
      <w:r w:rsidR="00C973B8" w:rsidRPr="00631B40">
        <w:rPr>
          <w:rFonts w:ascii="Arial" w:hAnsi="Arial" w:cs="Arial"/>
          <w:bCs/>
          <w:color w:val="000000" w:themeColor="text1"/>
          <w:sz w:val="21"/>
          <w:szCs w:val="21"/>
          <w:lang w:val="es-ES_tradnl"/>
        </w:rPr>
        <w:t>1.</w:t>
      </w:r>
      <w:r w:rsidRPr="00631B40">
        <w:rPr>
          <w:rFonts w:ascii="Arial" w:hAnsi="Arial" w:cs="Arial"/>
          <w:bCs/>
          <w:color w:val="000000" w:themeColor="text1"/>
          <w:sz w:val="21"/>
          <w:szCs w:val="21"/>
          <w:lang w:val="es-ES_tradnl"/>
        </w:rPr>
        <w:t xml:space="preserve"> </w:t>
      </w:r>
      <w:r w:rsidR="00C973B8" w:rsidRPr="00631B40">
        <w:rPr>
          <w:rFonts w:ascii="Arial" w:hAnsi="Arial" w:cs="Arial"/>
          <w:bCs/>
          <w:color w:val="000000" w:themeColor="text1"/>
          <w:sz w:val="21"/>
          <w:szCs w:val="21"/>
          <w:lang w:val="es-ES_tradnl"/>
        </w:rPr>
        <w:t>¿Teniendo en cuenta la naturaleza jurídica de las EICE, en aquello</w:t>
      </w:r>
      <w:r w:rsidR="00382466" w:rsidRPr="00631B40">
        <w:rPr>
          <w:rFonts w:ascii="Arial" w:hAnsi="Arial" w:cs="Arial"/>
          <w:bCs/>
          <w:color w:val="000000" w:themeColor="text1"/>
          <w:sz w:val="21"/>
          <w:szCs w:val="21"/>
          <w:lang w:val="es-ES_tradnl"/>
        </w:rPr>
        <w:t xml:space="preserve">s </w:t>
      </w:r>
      <w:r w:rsidR="00C973B8" w:rsidRPr="00631B40">
        <w:rPr>
          <w:rFonts w:ascii="Arial" w:hAnsi="Arial" w:cs="Arial"/>
          <w:bCs/>
          <w:color w:val="000000" w:themeColor="text1"/>
          <w:sz w:val="21"/>
          <w:szCs w:val="21"/>
          <w:lang w:val="es-ES_tradnl"/>
        </w:rPr>
        <w:t xml:space="preserve">procesos contractuales que se rigen por el régimen privado y/o especial deben dar cumplimiento al </w:t>
      </w:r>
      <w:r w:rsidR="00382466" w:rsidRPr="00631B40">
        <w:rPr>
          <w:rFonts w:ascii="Arial" w:hAnsi="Arial" w:cs="Arial"/>
          <w:bCs/>
          <w:color w:val="000000" w:themeColor="text1"/>
          <w:sz w:val="21"/>
          <w:szCs w:val="21"/>
          <w:lang w:val="es-ES_tradnl"/>
        </w:rPr>
        <w:t>artículo</w:t>
      </w:r>
      <w:r w:rsidR="00C973B8" w:rsidRPr="00631B40">
        <w:rPr>
          <w:rFonts w:ascii="Arial" w:hAnsi="Arial" w:cs="Arial"/>
          <w:bCs/>
          <w:color w:val="000000" w:themeColor="text1"/>
          <w:sz w:val="21"/>
          <w:szCs w:val="21"/>
          <w:lang w:val="es-ES_tradnl"/>
        </w:rPr>
        <w:t xml:space="preserve"> 6 de la Ley 2020 de 2020 teniendo en cuenta lo señalado en el </w:t>
      </w:r>
      <w:r w:rsidR="00382466" w:rsidRPr="00631B40">
        <w:rPr>
          <w:rFonts w:ascii="Arial" w:hAnsi="Arial" w:cs="Arial"/>
          <w:bCs/>
          <w:color w:val="000000" w:themeColor="text1"/>
          <w:sz w:val="21"/>
          <w:szCs w:val="21"/>
          <w:lang w:val="es-ES_tradnl"/>
        </w:rPr>
        <w:t xml:space="preserve">inciso </w:t>
      </w:r>
      <w:r w:rsidR="00C973B8" w:rsidRPr="00631B40">
        <w:rPr>
          <w:rFonts w:ascii="Arial" w:hAnsi="Arial" w:cs="Arial"/>
          <w:bCs/>
          <w:color w:val="000000" w:themeColor="text1"/>
          <w:sz w:val="21"/>
          <w:szCs w:val="21"/>
          <w:lang w:val="es-ES_tradnl"/>
        </w:rPr>
        <w:t>primero del mismo?</w:t>
      </w:r>
    </w:p>
    <w:p w14:paraId="03E4868B" w14:textId="710A3DC3" w:rsidR="00382466" w:rsidRPr="00631B40" w:rsidRDefault="00382466" w:rsidP="00730218">
      <w:pPr>
        <w:ind w:left="709" w:right="709"/>
        <w:jc w:val="both"/>
        <w:rPr>
          <w:rFonts w:ascii="Arial" w:hAnsi="Arial" w:cs="Arial"/>
          <w:bCs/>
          <w:color w:val="000000" w:themeColor="text1"/>
          <w:sz w:val="21"/>
          <w:szCs w:val="21"/>
          <w:lang w:val="es-ES_tradnl"/>
        </w:rPr>
      </w:pPr>
    </w:p>
    <w:p w14:paraId="4E94F486" w14:textId="6A9299CA" w:rsidR="00B26DE0" w:rsidRPr="00631B40" w:rsidRDefault="00730218" w:rsidP="00730218">
      <w:pPr>
        <w:ind w:left="709" w:right="709"/>
        <w:jc w:val="both"/>
        <w:rPr>
          <w:rFonts w:ascii="Arial" w:hAnsi="Arial" w:cs="Arial"/>
          <w:bCs/>
          <w:color w:val="000000" w:themeColor="text1"/>
          <w:sz w:val="21"/>
          <w:szCs w:val="21"/>
          <w:lang w:val="es-ES_tradnl"/>
        </w:rPr>
      </w:pPr>
      <w:r w:rsidRPr="00631B40">
        <w:rPr>
          <w:rFonts w:ascii="Arial" w:hAnsi="Arial" w:cs="Arial"/>
          <w:bCs/>
          <w:color w:val="000000" w:themeColor="text1"/>
          <w:sz w:val="21"/>
          <w:szCs w:val="21"/>
          <w:lang w:val="es-ES_tradnl"/>
        </w:rPr>
        <w:t>»</w:t>
      </w:r>
      <w:r w:rsidR="00B26DE0" w:rsidRPr="00631B40">
        <w:rPr>
          <w:rFonts w:ascii="Arial" w:hAnsi="Arial" w:cs="Arial"/>
          <w:bCs/>
          <w:color w:val="000000" w:themeColor="text1"/>
          <w:sz w:val="21"/>
          <w:szCs w:val="21"/>
          <w:lang w:val="es-ES_tradnl"/>
        </w:rPr>
        <w:t>2. ¿Teniendo en cuenta la naturaleza jurídica de las EICE, en aquellos procesos contractuales que se rigen por el régimen privado y/o especial deben dar cumplimiento al artículo</w:t>
      </w:r>
      <w:r w:rsidR="008E7053" w:rsidRPr="00631B40">
        <w:rPr>
          <w:rFonts w:ascii="Arial" w:hAnsi="Arial" w:cs="Arial"/>
          <w:bCs/>
          <w:color w:val="000000" w:themeColor="text1"/>
          <w:sz w:val="21"/>
          <w:szCs w:val="21"/>
          <w:lang w:val="es-ES_tradnl"/>
        </w:rPr>
        <w:t xml:space="preserve"> </w:t>
      </w:r>
      <w:r w:rsidR="00B26DE0" w:rsidRPr="00631B40">
        <w:rPr>
          <w:rFonts w:ascii="Arial" w:hAnsi="Arial" w:cs="Arial"/>
          <w:bCs/>
          <w:color w:val="000000" w:themeColor="text1"/>
          <w:sz w:val="21"/>
          <w:szCs w:val="21"/>
          <w:lang w:val="es-ES_tradnl"/>
        </w:rPr>
        <w:t>6 de la Ley 2020 de 2020 teniendo en cuenta que el inciso segundo hace referencia al artículo 5 de la Ley 1150 de 2007?</w:t>
      </w:r>
    </w:p>
    <w:p w14:paraId="3A53BCB6" w14:textId="77777777" w:rsidR="008E7053" w:rsidRPr="00631B40" w:rsidRDefault="008E7053" w:rsidP="00730218">
      <w:pPr>
        <w:ind w:left="709" w:right="709"/>
        <w:jc w:val="both"/>
        <w:rPr>
          <w:rFonts w:ascii="Arial" w:hAnsi="Arial" w:cs="Arial"/>
          <w:bCs/>
          <w:color w:val="000000" w:themeColor="text1"/>
          <w:sz w:val="21"/>
          <w:szCs w:val="21"/>
          <w:lang w:val="es-ES_tradnl"/>
        </w:rPr>
      </w:pPr>
    </w:p>
    <w:p w14:paraId="2C0AF6DD" w14:textId="2C466E40" w:rsidR="00B26DE0" w:rsidRPr="00631B40" w:rsidRDefault="00730218" w:rsidP="00730218">
      <w:pPr>
        <w:ind w:left="709" w:right="709"/>
        <w:jc w:val="both"/>
        <w:rPr>
          <w:rFonts w:ascii="Arial" w:hAnsi="Arial" w:cs="Arial"/>
          <w:bCs/>
          <w:color w:val="000000" w:themeColor="text1"/>
          <w:sz w:val="21"/>
          <w:szCs w:val="21"/>
          <w:lang w:val="es-ES_tradnl"/>
        </w:rPr>
      </w:pPr>
      <w:r w:rsidRPr="00631B40">
        <w:rPr>
          <w:rFonts w:ascii="Arial" w:hAnsi="Arial" w:cs="Arial"/>
          <w:bCs/>
          <w:color w:val="000000" w:themeColor="text1"/>
          <w:sz w:val="21"/>
          <w:szCs w:val="21"/>
          <w:lang w:val="es-ES_tradnl"/>
        </w:rPr>
        <w:t>»</w:t>
      </w:r>
      <w:r w:rsidR="00B26DE0" w:rsidRPr="00631B40">
        <w:rPr>
          <w:rFonts w:ascii="Arial" w:hAnsi="Arial" w:cs="Arial"/>
          <w:bCs/>
          <w:color w:val="000000" w:themeColor="text1"/>
          <w:sz w:val="21"/>
          <w:szCs w:val="21"/>
          <w:lang w:val="es-ES_tradnl"/>
        </w:rPr>
        <w:t>3.</w:t>
      </w:r>
      <w:r w:rsidR="008E7053" w:rsidRPr="00631B40">
        <w:rPr>
          <w:rFonts w:ascii="Arial" w:hAnsi="Arial" w:cs="Arial"/>
          <w:bCs/>
          <w:color w:val="000000" w:themeColor="text1"/>
          <w:sz w:val="21"/>
          <w:szCs w:val="21"/>
          <w:lang w:val="es-ES_tradnl"/>
        </w:rPr>
        <w:t xml:space="preserve"> </w:t>
      </w:r>
      <w:r w:rsidR="00B26DE0" w:rsidRPr="00631B40">
        <w:rPr>
          <w:rFonts w:ascii="Arial" w:hAnsi="Arial" w:cs="Arial"/>
          <w:bCs/>
          <w:color w:val="000000" w:themeColor="text1"/>
          <w:sz w:val="21"/>
          <w:szCs w:val="21"/>
          <w:lang w:val="es-ES_tradnl"/>
        </w:rPr>
        <w:t>¿En los procesos</w:t>
      </w:r>
      <w:r w:rsidR="005915CE" w:rsidRPr="00631B40">
        <w:rPr>
          <w:rFonts w:ascii="Arial" w:hAnsi="Arial" w:cs="Arial"/>
          <w:bCs/>
          <w:color w:val="000000" w:themeColor="text1"/>
          <w:sz w:val="21"/>
          <w:szCs w:val="21"/>
          <w:lang w:val="es-ES_tradnl"/>
        </w:rPr>
        <w:t xml:space="preserve"> </w:t>
      </w:r>
      <w:r w:rsidR="00B26DE0" w:rsidRPr="00631B40">
        <w:rPr>
          <w:rFonts w:ascii="Arial" w:hAnsi="Arial" w:cs="Arial"/>
          <w:bCs/>
          <w:color w:val="000000" w:themeColor="text1"/>
          <w:sz w:val="21"/>
          <w:szCs w:val="21"/>
          <w:lang w:val="es-ES_tradnl"/>
        </w:rPr>
        <w:t>contractuales derivados de un patrimonio au</w:t>
      </w:r>
      <w:r w:rsidR="005915CE" w:rsidRPr="00631B40">
        <w:rPr>
          <w:rFonts w:ascii="Arial" w:hAnsi="Arial" w:cs="Arial"/>
          <w:bCs/>
          <w:color w:val="000000" w:themeColor="text1"/>
          <w:sz w:val="21"/>
          <w:szCs w:val="21"/>
          <w:lang w:val="es-ES_tradnl"/>
        </w:rPr>
        <w:t>t</w:t>
      </w:r>
      <w:r w:rsidR="00B26DE0" w:rsidRPr="00631B40">
        <w:rPr>
          <w:rFonts w:ascii="Arial" w:hAnsi="Arial" w:cs="Arial"/>
          <w:bCs/>
          <w:color w:val="000000" w:themeColor="text1"/>
          <w:sz w:val="21"/>
          <w:szCs w:val="21"/>
          <w:lang w:val="es-ES_tradnl"/>
        </w:rPr>
        <w:t>ónomo constituido</w:t>
      </w:r>
      <w:r w:rsidR="005915CE" w:rsidRPr="00631B40">
        <w:rPr>
          <w:rFonts w:ascii="Arial" w:hAnsi="Arial" w:cs="Arial"/>
          <w:bCs/>
          <w:color w:val="000000" w:themeColor="text1"/>
          <w:sz w:val="21"/>
          <w:szCs w:val="21"/>
          <w:lang w:val="es-ES_tradnl"/>
        </w:rPr>
        <w:t xml:space="preserve"> </w:t>
      </w:r>
      <w:r w:rsidR="00B26DE0" w:rsidRPr="00631B40">
        <w:rPr>
          <w:rFonts w:ascii="Arial" w:hAnsi="Arial" w:cs="Arial"/>
          <w:bCs/>
          <w:color w:val="000000" w:themeColor="text1"/>
          <w:sz w:val="21"/>
          <w:szCs w:val="21"/>
          <w:lang w:val="es-ES_tradnl"/>
        </w:rPr>
        <w:t>por una EICE, p</w:t>
      </w:r>
      <w:r w:rsidR="005915CE" w:rsidRPr="00631B40">
        <w:rPr>
          <w:rFonts w:ascii="Arial" w:hAnsi="Arial" w:cs="Arial"/>
          <w:bCs/>
          <w:color w:val="000000" w:themeColor="text1"/>
          <w:sz w:val="21"/>
          <w:szCs w:val="21"/>
          <w:lang w:val="es-ES_tradnl"/>
        </w:rPr>
        <w:t>e</w:t>
      </w:r>
      <w:r w:rsidR="00B26DE0" w:rsidRPr="00631B40">
        <w:rPr>
          <w:rFonts w:ascii="Arial" w:hAnsi="Arial" w:cs="Arial"/>
          <w:bCs/>
          <w:color w:val="000000" w:themeColor="text1"/>
          <w:sz w:val="21"/>
          <w:szCs w:val="21"/>
          <w:lang w:val="es-ES_tradnl"/>
        </w:rPr>
        <w:t xml:space="preserve">ro que por instrucción de su </w:t>
      </w:r>
      <w:r w:rsidR="005915CE" w:rsidRPr="00631B40">
        <w:rPr>
          <w:rFonts w:ascii="Arial" w:hAnsi="Arial" w:cs="Arial"/>
          <w:bCs/>
          <w:color w:val="000000" w:themeColor="text1"/>
          <w:sz w:val="21"/>
          <w:szCs w:val="21"/>
          <w:lang w:val="es-ES_tradnl"/>
        </w:rPr>
        <w:t>órgano</w:t>
      </w:r>
      <w:r w:rsidR="00B26DE0" w:rsidRPr="00631B40">
        <w:rPr>
          <w:rFonts w:ascii="Arial" w:hAnsi="Arial" w:cs="Arial"/>
          <w:bCs/>
          <w:color w:val="000000" w:themeColor="text1"/>
          <w:sz w:val="21"/>
          <w:szCs w:val="21"/>
          <w:lang w:val="es-ES_tradnl"/>
        </w:rPr>
        <w:t xml:space="preserve"> de administración los tramita esta </w:t>
      </w:r>
      <w:r w:rsidR="00666BBC" w:rsidRPr="00631B40">
        <w:rPr>
          <w:rFonts w:ascii="Arial" w:hAnsi="Arial" w:cs="Arial"/>
          <w:bCs/>
          <w:color w:val="000000" w:themeColor="text1"/>
          <w:sz w:val="21"/>
          <w:szCs w:val="21"/>
          <w:lang w:val="es-ES_tradnl"/>
        </w:rPr>
        <w:t>ú</w:t>
      </w:r>
      <w:r w:rsidR="00B26DE0" w:rsidRPr="00631B40">
        <w:rPr>
          <w:rFonts w:ascii="Arial" w:hAnsi="Arial" w:cs="Arial"/>
          <w:bCs/>
          <w:color w:val="000000" w:themeColor="text1"/>
          <w:sz w:val="21"/>
          <w:szCs w:val="21"/>
          <w:lang w:val="es-ES_tradnl"/>
        </w:rPr>
        <w:t xml:space="preserve">ltima, deben dar cumplimiento al artículo 6 </w:t>
      </w:r>
      <w:r w:rsidR="00DB5B8E" w:rsidRPr="00631B40">
        <w:rPr>
          <w:rFonts w:ascii="Arial" w:hAnsi="Arial" w:cs="Arial"/>
          <w:bCs/>
          <w:color w:val="000000" w:themeColor="text1"/>
          <w:sz w:val="21"/>
          <w:szCs w:val="21"/>
          <w:lang w:val="es-ES_tradnl"/>
        </w:rPr>
        <w:t>de</w:t>
      </w:r>
      <w:r w:rsidR="00B26DE0" w:rsidRPr="00631B40">
        <w:rPr>
          <w:rFonts w:ascii="Arial" w:hAnsi="Arial" w:cs="Arial"/>
          <w:bCs/>
          <w:color w:val="000000" w:themeColor="text1"/>
          <w:sz w:val="21"/>
          <w:szCs w:val="21"/>
          <w:lang w:val="es-ES_tradnl"/>
        </w:rPr>
        <w:t xml:space="preserve"> la Ley 2020 de 2020 teniendo en cuenta</w:t>
      </w:r>
      <w:r w:rsidR="00DB5B8E" w:rsidRPr="00631B40">
        <w:rPr>
          <w:rFonts w:ascii="Arial" w:hAnsi="Arial" w:cs="Arial"/>
          <w:bCs/>
          <w:color w:val="000000" w:themeColor="text1"/>
          <w:sz w:val="21"/>
          <w:szCs w:val="21"/>
          <w:lang w:val="es-ES_tradnl"/>
        </w:rPr>
        <w:t xml:space="preserve"> </w:t>
      </w:r>
      <w:r w:rsidR="00B26DE0" w:rsidRPr="00631B40">
        <w:rPr>
          <w:rFonts w:ascii="Arial" w:hAnsi="Arial" w:cs="Arial"/>
          <w:bCs/>
          <w:color w:val="000000" w:themeColor="text1"/>
          <w:sz w:val="21"/>
          <w:szCs w:val="21"/>
          <w:lang w:val="es-ES_tradnl"/>
        </w:rPr>
        <w:t>lo señalado en el inciso primero del mismo?</w:t>
      </w:r>
    </w:p>
    <w:p w14:paraId="31C45B8C" w14:textId="77777777" w:rsidR="008E7053" w:rsidRPr="00631B40" w:rsidRDefault="008E7053" w:rsidP="00730218">
      <w:pPr>
        <w:ind w:left="709" w:right="709"/>
        <w:jc w:val="both"/>
        <w:rPr>
          <w:rFonts w:ascii="Arial" w:hAnsi="Arial" w:cs="Arial"/>
          <w:bCs/>
          <w:color w:val="000000" w:themeColor="text1"/>
          <w:sz w:val="21"/>
          <w:szCs w:val="21"/>
          <w:lang w:val="es-ES_tradnl"/>
        </w:rPr>
      </w:pPr>
    </w:p>
    <w:p w14:paraId="40A019FB" w14:textId="08D142FA" w:rsidR="00B26DE0" w:rsidRPr="00631B40" w:rsidRDefault="00730218" w:rsidP="00730218">
      <w:pPr>
        <w:ind w:left="709" w:right="709"/>
        <w:jc w:val="both"/>
        <w:rPr>
          <w:rFonts w:ascii="Arial" w:hAnsi="Arial" w:cs="Arial"/>
          <w:bCs/>
          <w:color w:val="000000" w:themeColor="text1"/>
          <w:sz w:val="21"/>
          <w:szCs w:val="21"/>
          <w:lang w:val="es-ES_tradnl"/>
        </w:rPr>
      </w:pPr>
      <w:r w:rsidRPr="00631B40">
        <w:rPr>
          <w:rFonts w:ascii="Arial" w:hAnsi="Arial" w:cs="Arial"/>
          <w:bCs/>
          <w:color w:val="000000" w:themeColor="text1"/>
          <w:sz w:val="21"/>
          <w:szCs w:val="21"/>
          <w:lang w:val="es-ES_tradnl"/>
        </w:rPr>
        <w:t>»</w:t>
      </w:r>
      <w:r w:rsidR="00B26DE0" w:rsidRPr="00631B40">
        <w:rPr>
          <w:rFonts w:ascii="Arial" w:hAnsi="Arial" w:cs="Arial"/>
          <w:bCs/>
          <w:color w:val="000000" w:themeColor="text1"/>
          <w:sz w:val="21"/>
          <w:szCs w:val="21"/>
          <w:lang w:val="es-ES_tradnl"/>
        </w:rPr>
        <w:t>4. ¿En los p</w:t>
      </w:r>
      <w:r w:rsidR="00DB5B8E" w:rsidRPr="00631B40">
        <w:rPr>
          <w:rFonts w:ascii="Arial" w:hAnsi="Arial" w:cs="Arial"/>
          <w:bCs/>
          <w:color w:val="000000" w:themeColor="text1"/>
          <w:sz w:val="21"/>
          <w:szCs w:val="21"/>
          <w:lang w:val="es-ES_tradnl"/>
        </w:rPr>
        <w:t>r</w:t>
      </w:r>
      <w:r w:rsidR="00B26DE0" w:rsidRPr="00631B40">
        <w:rPr>
          <w:rFonts w:ascii="Arial" w:hAnsi="Arial" w:cs="Arial"/>
          <w:bCs/>
          <w:color w:val="000000" w:themeColor="text1"/>
          <w:sz w:val="21"/>
          <w:szCs w:val="21"/>
          <w:lang w:val="es-ES_tradnl"/>
        </w:rPr>
        <w:t>ocesos contractuales derivados de un patrimonio autónomo constituido</w:t>
      </w:r>
      <w:r w:rsidR="00E61547" w:rsidRPr="00631B40">
        <w:rPr>
          <w:rFonts w:ascii="Arial" w:hAnsi="Arial" w:cs="Arial"/>
          <w:bCs/>
          <w:color w:val="000000" w:themeColor="text1"/>
          <w:sz w:val="21"/>
          <w:szCs w:val="21"/>
          <w:lang w:val="es-ES_tradnl"/>
        </w:rPr>
        <w:t xml:space="preserve"> </w:t>
      </w:r>
      <w:r w:rsidR="00B26DE0" w:rsidRPr="00631B40">
        <w:rPr>
          <w:rFonts w:ascii="Arial" w:hAnsi="Arial" w:cs="Arial"/>
          <w:bCs/>
          <w:color w:val="000000" w:themeColor="text1"/>
          <w:sz w:val="21"/>
          <w:szCs w:val="21"/>
          <w:lang w:val="es-ES_tradnl"/>
        </w:rPr>
        <w:t>por una EICE, pero que po</w:t>
      </w:r>
      <w:r w:rsidR="00E61547" w:rsidRPr="00631B40">
        <w:rPr>
          <w:rFonts w:ascii="Arial" w:hAnsi="Arial" w:cs="Arial"/>
          <w:bCs/>
          <w:color w:val="000000" w:themeColor="text1"/>
          <w:sz w:val="21"/>
          <w:szCs w:val="21"/>
          <w:lang w:val="es-ES_tradnl"/>
        </w:rPr>
        <w:t>r</w:t>
      </w:r>
      <w:r w:rsidR="00B26DE0" w:rsidRPr="00631B40">
        <w:rPr>
          <w:rFonts w:ascii="Arial" w:hAnsi="Arial" w:cs="Arial"/>
          <w:bCs/>
          <w:color w:val="000000" w:themeColor="text1"/>
          <w:sz w:val="21"/>
          <w:szCs w:val="21"/>
          <w:lang w:val="es-ES_tradnl"/>
        </w:rPr>
        <w:t xml:space="preserve"> instru</w:t>
      </w:r>
      <w:r w:rsidR="00E61547" w:rsidRPr="00631B40">
        <w:rPr>
          <w:rFonts w:ascii="Arial" w:hAnsi="Arial" w:cs="Arial"/>
          <w:bCs/>
          <w:color w:val="000000" w:themeColor="text1"/>
          <w:sz w:val="21"/>
          <w:szCs w:val="21"/>
          <w:lang w:val="es-ES_tradnl"/>
        </w:rPr>
        <w:t>c</w:t>
      </w:r>
      <w:r w:rsidR="00B26DE0" w:rsidRPr="00631B40">
        <w:rPr>
          <w:rFonts w:ascii="Arial" w:hAnsi="Arial" w:cs="Arial"/>
          <w:bCs/>
          <w:color w:val="000000" w:themeColor="text1"/>
          <w:sz w:val="21"/>
          <w:szCs w:val="21"/>
          <w:lang w:val="es-ES_tradnl"/>
        </w:rPr>
        <w:t xml:space="preserve">ción de su </w:t>
      </w:r>
      <w:r w:rsidR="007554A3" w:rsidRPr="00631B40">
        <w:rPr>
          <w:rFonts w:ascii="Arial" w:hAnsi="Arial" w:cs="Arial"/>
          <w:bCs/>
          <w:color w:val="000000" w:themeColor="text1"/>
          <w:sz w:val="21"/>
          <w:szCs w:val="21"/>
          <w:lang w:val="es-ES_tradnl"/>
        </w:rPr>
        <w:t>ó</w:t>
      </w:r>
      <w:r w:rsidR="00B26DE0" w:rsidRPr="00631B40">
        <w:rPr>
          <w:rFonts w:ascii="Arial" w:hAnsi="Arial" w:cs="Arial"/>
          <w:bCs/>
          <w:color w:val="000000" w:themeColor="text1"/>
          <w:sz w:val="21"/>
          <w:szCs w:val="21"/>
          <w:lang w:val="es-ES_tradnl"/>
        </w:rPr>
        <w:t>rgano de administración los tramita esta última,</w:t>
      </w:r>
      <w:r w:rsidR="00E61547" w:rsidRPr="00631B40">
        <w:rPr>
          <w:rFonts w:ascii="Arial" w:hAnsi="Arial" w:cs="Arial"/>
          <w:bCs/>
          <w:color w:val="000000" w:themeColor="text1"/>
          <w:sz w:val="21"/>
          <w:szCs w:val="21"/>
          <w:lang w:val="es-ES_tradnl"/>
        </w:rPr>
        <w:t xml:space="preserve"> </w:t>
      </w:r>
      <w:r w:rsidR="00B26DE0" w:rsidRPr="00631B40">
        <w:rPr>
          <w:rFonts w:ascii="Arial" w:hAnsi="Arial" w:cs="Arial"/>
          <w:bCs/>
          <w:color w:val="000000" w:themeColor="text1"/>
          <w:sz w:val="21"/>
          <w:szCs w:val="21"/>
          <w:lang w:val="es-ES_tradnl"/>
        </w:rPr>
        <w:t xml:space="preserve">deben dar cumplimiento al </w:t>
      </w:r>
      <w:r w:rsidR="00E61547" w:rsidRPr="00631B40">
        <w:rPr>
          <w:rFonts w:ascii="Arial" w:hAnsi="Arial" w:cs="Arial"/>
          <w:bCs/>
          <w:color w:val="000000" w:themeColor="text1"/>
          <w:sz w:val="21"/>
          <w:szCs w:val="21"/>
          <w:lang w:val="es-ES_tradnl"/>
        </w:rPr>
        <w:t>artículo</w:t>
      </w:r>
      <w:r w:rsidR="00B26DE0" w:rsidRPr="00631B40">
        <w:rPr>
          <w:rFonts w:ascii="Arial" w:hAnsi="Arial" w:cs="Arial"/>
          <w:bCs/>
          <w:color w:val="000000" w:themeColor="text1"/>
          <w:sz w:val="21"/>
          <w:szCs w:val="21"/>
          <w:lang w:val="es-ES_tradnl"/>
        </w:rPr>
        <w:t xml:space="preserve"> 6 de la Ley 2020 de</w:t>
      </w:r>
      <w:r w:rsidR="00E61547" w:rsidRPr="00631B40">
        <w:rPr>
          <w:rFonts w:ascii="Arial" w:hAnsi="Arial" w:cs="Arial"/>
          <w:bCs/>
          <w:color w:val="000000" w:themeColor="text1"/>
          <w:sz w:val="21"/>
          <w:szCs w:val="21"/>
          <w:lang w:val="es-ES_tradnl"/>
        </w:rPr>
        <w:t xml:space="preserve"> </w:t>
      </w:r>
      <w:r w:rsidR="00B26DE0" w:rsidRPr="00631B40">
        <w:rPr>
          <w:rFonts w:ascii="Arial" w:hAnsi="Arial" w:cs="Arial"/>
          <w:bCs/>
          <w:color w:val="000000" w:themeColor="text1"/>
          <w:sz w:val="21"/>
          <w:szCs w:val="21"/>
          <w:lang w:val="es-ES_tradnl"/>
        </w:rPr>
        <w:t>2020 teniendo</w:t>
      </w:r>
      <w:r w:rsidR="00E61547" w:rsidRPr="00631B40">
        <w:rPr>
          <w:rFonts w:ascii="Arial" w:hAnsi="Arial" w:cs="Arial"/>
          <w:bCs/>
          <w:color w:val="000000" w:themeColor="text1"/>
          <w:sz w:val="21"/>
          <w:szCs w:val="21"/>
          <w:lang w:val="es-ES_tradnl"/>
        </w:rPr>
        <w:t xml:space="preserve"> </w:t>
      </w:r>
      <w:r w:rsidR="00B26DE0" w:rsidRPr="00631B40">
        <w:rPr>
          <w:rFonts w:ascii="Arial" w:hAnsi="Arial" w:cs="Arial"/>
          <w:bCs/>
          <w:color w:val="000000" w:themeColor="text1"/>
          <w:sz w:val="21"/>
          <w:szCs w:val="21"/>
          <w:lang w:val="es-ES_tradnl"/>
        </w:rPr>
        <w:t>en cuenta que el inciso segundo h</w:t>
      </w:r>
      <w:r w:rsidR="00271B00" w:rsidRPr="00631B40">
        <w:rPr>
          <w:rFonts w:ascii="Arial" w:hAnsi="Arial" w:cs="Arial"/>
          <w:bCs/>
          <w:color w:val="000000" w:themeColor="text1"/>
          <w:sz w:val="21"/>
          <w:szCs w:val="21"/>
          <w:lang w:val="es-ES_tradnl"/>
        </w:rPr>
        <w:t>a</w:t>
      </w:r>
      <w:r w:rsidR="00B26DE0" w:rsidRPr="00631B40">
        <w:rPr>
          <w:rFonts w:ascii="Arial" w:hAnsi="Arial" w:cs="Arial"/>
          <w:bCs/>
          <w:color w:val="000000" w:themeColor="text1"/>
          <w:sz w:val="21"/>
          <w:szCs w:val="21"/>
          <w:lang w:val="es-ES_tradnl"/>
        </w:rPr>
        <w:t xml:space="preserve">ce referencia al </w:t>
      </w:r>
      <w:r w:rsidR="00271B00" w:rsidRPr="00631B40">
        <w:rPr>
          <w:rFonts w:ascii="Arial" w:hAnsi="Arial" w:cs="Arial"/>
          <w:bCs/>
          <w:color w:val="000000" w:themeColor="text1"/>
          <w:sz w:val="21"/>
          <w:szCs w:val="21"/>
          <w:lang w:val="es-ES_tradnl"/>
        </w:rPr>
        <w:t>artículo</w:t>
      </w:r>
      <w:r w:rsidR="00B26DE0" w:rsidRPr="00631B40">
        <w:rPr>
          <w:rFonts w:ascii="Arial" w:hAnsi="Arial" w:cs="Arial"/>
          <w:bCs/>
          <w:color w:val="000000" w:themeColor="text1"/>
          <w:sz w:val="21"/>
          <w:szCs w:val="21"/>
          <w:lang w:val="es-ES_tradnl"/>
        </w:rPr>
        <w:t xml:space="preserve"> 5 de la Ley 1150</w:t>
      </w:r>
      <w:r w:rsidR="00271B00" w:rsidRPr="00631B40">
        <w:rPr>
          <w:rFonts w:ascii="Arial" w:hAnsi="Arial" w:cs="Arial"/>
          <w:bCs/>
          <w:color w:val="000000" w:themeColor="text1"/>
          <w:sz w:val="21"/>
          <w:szCs w:val="21"/>
          <w:lang w:val="es-ES_tradnl"/>
        </w:rPr>
        <w:t xml:space="preserve"> </w:t>
      </w:r>
      <w:r w:rsidR="00B26DE0" w:rsidRPr="00631B40">
        <w:rPr>
          <w:rFonts w:ascii="Arial" w:hAnsi="Arial" w:cs="Arial"/>
          <w:bCs/>
          <w:color w:val="000000" w:themeColor="text1"/>
          <w:sz w:val="21"/>
          <w:szCs w:val="21"/>
          <w:lang w:val="es-ES_tradnl"/>
        </w:rPr>
        <w:t>de 2007?</w:t>
      </w:r>
    </w:p>
    <w:p w14:paraId="053BF4CD" w14:textId="682B0CF3" w:rsidR="00F1325D" w:rsidRPr="00631B40" w:rsidRDefault="00F1325D" w:rsidP="00730218">
      <w:pPr>
        <w:ind w:left="709" w:right="709"/>
        <w:jc w:val="both"/>
        <w:rPr>
          <w:rFonts w:ascii="Arial" w:hAnsi="Arial" w:cs="Arial"/>
          <w:bCs/>
          <w:color w:val="000000" w:themeColor="text1"/>
          <w:sz w:val="21"/>
          <w:szCs w:val="21"/>
          <w:lang w:val="es-ES_tradnl"/>
        </w:rPr>
      </w:pPr>
    </w:p>
    <w:p w14:paraId="59118B7F" w14:textId="78EBB9DA" w:rsidR="00B26DE0" w:rsidRPr="00631B40" w:rsidRDefault="00730218" w:rsidP="00730218">
      <w:pPr>
        <w:ind w:left="709" w:right="709"/>
        <w:jc w:val="both"/>
        <w:rPr>
          <w:rFonts w:ascii="Arial" w:hAnsi="Arial" w:cs="Arial"/>
          <w:bCs/>
          <w:color w:val="000000" w:themeColor="text1"/>
          <w:sz w:val="21"/>
          <w:szCs w:val="21"/>
          <w:lang w:val="es-ES_tradnl"/>
        </w:rPr>
      </w:pPr>
      <w:r w:rsidRPr="00631B40">
        <w:rPr>
          <w:rFonts w:ascii="Arial" w:hAnsi="Arial" w:cs="Arial"/>
          <w:bCs/>
          <w:color w:val="000000" w:themeColor="text1"/>
          <w:sz w:val="21"/>
          <w:szCs w:val="21"/>
          <w:lang w:val="es-ES_tradnl"/>
        </w:rPr>
        <w:t>»</w:t>
      </w:r>
      <w:r w:rsidR="00F1325D" w:rsidRPr="00631B40">
        <w:rPr>
          <w:rFonts w:ascii="Arial" w:hAnsi="Arial" w:cs="Arial"/>
          <w:bCs/>
          <w:color w:val="000000" w:themeColor="text1"/>
          <w:sz w:val="21"/>
          <w:szCs w:val="21"/>
          <w:lang w:val="es-ES_tradnl"/>
        </w:rPr>
        <w:t xml:space="preserve">5. </w:t>
      </w:r>
      <w:r w:rsidR="00B26DE0" w:rsidRPr="00631B40">
        <w:rPr>
          <w:rFonts w:ascii="Arial" w:hAnsi="Arial" w:cs="Arial"/>
          <w:bCs/>
          <w:color w:val="000000" w:themeColor="text1"/>
          <w:sz w:val="21"/>
          <w:szCs w:val="21"/>
          <w:lang w:val="es-ES_tradnl"/>
        </w:rPr>
        <w:t>¿P</w:t>
      </w:r>
      <w:r w:rsidR="00F1325D" w:rsidRPr="00631B40">
        <w:rPr>
          <w:rFonts w:ascii="Arial" w:hAnsi="Arial" w:cs="Arial"/>
          <w:bCs/>
          <w:color w:val="000000" w:themeColor="text1"/>
          <w:sz w:val="21"/>
          <w:szCs w:val="21"/>
          <w:lang w:val="es-ES_tradnl"/>
        </w:rPr>
        <w:t>ara</w:t>
      </w:r>
      <w:r w:rsidR="00B26DE0" w:rsidRPr="00631B40">
        <w:rPr>
          <w:rFonts w:ascii="Arial" w:hAnsi="Arial" w:cs="Arial"/>
          <w:bCs/>
          <w:color w:val="000000" w:themeColor="text1"/>
          <w:sz w:val="21"/>
          <w:szCs w:val="21"/>
          <w:lang w:val="es-ES_tradnl"/>
        </w:rPr>
        <w:t xml:space="preserve"> realizar el análisis de </w:t>
      </w:r>
      <w:r w:rsidR="00F1325D" w:rsidRPr="00631B40">
        <w:rPr>
          <w:rFonts w:ascii="Arial" w:hAnsi="Arial" w:cs="Arial"/>
          <w:bCs/>
          <w:color w:val="000000" w:themeColor="text1"/>
          <w:sz w:val="21"/>
          <w:szCs w:val="21"/>
          <w:lang w:val="es-ES_tradnl"/>
        </w:rPr>
        <w:t>l</w:t>
      </w:r>
      <w:r w:rsidR="00B26DE0" w:rsidRPr="00631B40">
        <w:rPr>
          <w:rFonts w:ascii="Arial" w:hAnsi="Arial" w:cs="Arial"/>
          <w:bCs/>
          <w:color w:val="000000" w:themeColor="text1"/>
          <w:sz w:val="21"/>
          <w:szCs w:val="21"/>
          <w:lang w:val="es-ES_tradnl"/>
        </w:rPr>
        <w:t xml:space="preserve">as anotaciones, sólo se debe consultar el Registro Nacional de Obras Civiles </w:t>
      </w:r>
      <w:r w:rsidR="00CF0659" w:rsidRPr="00631B40">
        <w:rPr>
          <w:rFonts w:ascii="Arial" w:hAnsi="Arial" w:cs="Arial"/>
          <w:bCs/>
          <w:color w:val="000000" w:themeColor="text1"/>
          <w:sz w:val="21"/>
          <w:szCs w:val="21"/>
          <w:lang w:val="es-ES_tradnl"/>
        </w:rPr>
        <w:t>Inconclusas</w:t>
      </w:r>
      <w:r w:rsidR="00B26DE0" w:rsidRPr="00631B40">
        <w:rPr>
          <w:rFonts w:ascii="Arial" w:hAnsi="Arial" w:cs="Arial"/>
          <w:bCs/>
          <w:color w:val="000000" w:themeColor="text1"/>
          <w:sz w:val="21"/>
          <w:szCs w:val="21"/>
          <w:lang w:val="es-ES_tradnl"/>
        </w:rPr>
        <w:t>, o por el contrario, el proponente podrá remitir documentación adicional que demuestre, si fue o no, por hechos imputables a é</w:t>
      </w:r>
      <w:r w:rsidR="00CF0659" w:rsidRPr="00631B40">
        <w:rPr>
          <w:rFonts w:ascii="Arial" w:hAnsi="Arial" w:cs="Arial"/>
          <w:bCs/>
          <w:color w:val="000000" w:themeColor="text1"/>
          <w:sz w:val="21"/>
          <w:szCs w:val="21"/>
          <w:lang w:val="es-ES_tradnl"/>
        </w:rPr>
        <w:t>l</w:t>
      </w:r>
      <w:r w:rsidR="00B26DE0" w:rsidRPr="00631B40">
        <w:rPr>
          <w:rFonts w:ascii="Arial" w:hAnsi="Arial" w:cs="Arial"/>
          <w:bCs/>
          <w:color w:val="000000" w:themeColor="text1"/>
          <w:sz w:val="21"/>
          <w:szCs w:val="21"/>
          <w:lang w:val="es-ES_tradnl"/>
        </w:rPr>
        <w:t xml:space="preserve"> que la </w:t>
      </w:r>
      <w:r w:rsidR="00CF0659" w:rsidRPr="00631B40">
        <w:rPr>
          <w:rFonts w:ascii="Arial" w:hAnsi="Arial" w:cs="Arial"/>
          <w:bCs/>
          <w:color w:val="000000" w:themeColor="text1"/>
          <w:sz w:val="21"/>
          <w:szCs w:val="21"/>
          <w:lang w:val="es-ES_tradnl"/>
        </w:rPr>
        <w:t>obra</w:t>
      </w:r>
      <w:r w:rsidR="00B26DE0" w:rsidRPr="00631B40">
        <w:rPr>
          <w:rFonts w:ascii="Arial" w:hAnsi="Arial" w:cs="Arial"/>
          <w:bCs/>
          <w:color w:val="000000" w:themeColor="text1"/>
          <w:sz w:val="21"/>
          <w:szCs w:val="21"/>
          <w:lang w:val="es-ES_tradnl"/>
        </w:rPr>
        <w:t xml:space="preserve"> inconclusa quedó en este estado?</w:t>
      </w:r>
    </w:p>
    <w:p w14:paraId="07BC5819" w14:textId="5F8C7B7D" w:rsidR="00803DBF" w:rsidRPr="00631B40" w:rsidRDefault="00803DBF" w:rsidP="00730218">
      <w:pPr>
        <w:ind w:left="709" w:right="709"/>
        <w:jc w:val="both"/>
        <w:rPr>
          <w:rFonts w:ascii="Arial" w:hAnsi="Arial" w:cs="Arial"/>
          <w:bCs/>
          <w:color w:val="000000" w:themeColor="text1"/>
          <w:sz w:val="21"/>
          <w:szCs w:val="21"/>
          <w:lang w:val="es-ES_tradnl"/>
        </w:rPr>
      </w:pPr>
    </w:p>
    <w:p w14:paraId="4B89065A" w14:textId="0645CF51" w:rsidR="00B26DE0" w:rsidRPr="00631B40" w:rsidRDefault="00730218" w:rsidP="00730218">
      <w:pPr>
        <w:ind w:left="709" w:right="709"/>
        <w:jc w:val="both"/>
        <w:rPr>
          <w:rFonts w:ascii="Arial" w:hAnsi="Arial" w:cs="Arial"/>
          <w:bCs/>
          <w:color w:val="000000" w:themeColor="text1"/>
          <w:sz w:val="21"/>
          <w:szCs w:val="21"/>
          <w:lang w:val="es-ES_tradnl"/>
        </w:rPr>
      </w:pPr>
      <w:r w:rsidRPr="00631B40">
        <w:rPr>
          <w:rFonts w:ascii="Arial" w:hAnsi="Arial" w:cs="Arial"/>
          <w:bCs/>
          <w:color w:val="000000" w:themeColor="text1"/>
          <w:sz w:val="21"/>
          <w:szCs w:val="21"/>
          <w:lang w:val="es-ES_tradnl"/>
        </w:rPr>
        <w:t>»</w:t>
      </w:r>
      <w:r w:rsidR="00803DBF" w:rsidRPr="00631B40">
        <w:rPr>
          <w:rFonts w:ascii="Arial" w:hAnsi="Arial" w:cs="Arial"/>
          <w:bCs/>
          <w:color w:val="000000" w:themeColor="text1"/>
          <w:sz w:val="21"/>
          <w:szCs w:val="21"/>
          <w:lang w:val="es-ES_tradnl"/>
        </w:rPr>
        <w:t xml:space="preserve">6. </w:t>
      </w:r>
      <w:r w:rsidR="00B26DE0" w:rsidRPr="00631B40">
        <w:rPr>
          <w:rFonts w:ascii="Arial" w:hAnsi="Arial" w:cs="Arial"/>
          <w:bCs/>
          <w:color w:val="000000" w:themeColor="text1"/>
          <w:sz w:val="21"/>
          <w:szCs w:val="21"/>
          <w:lang w:val="es-ES_tradnl"/>
        </w:rPr>
        <w:t>¿Para descontar</w:t>
      </w:r>
      <w:r w:rsidR="00803DBF" w:rsidRPr="00631B40">
        <w:rPr>
          <w:rFonts w:ascii="Arial" w:hAnsi="Arial" w:cs="Arial"/>
          <w:bCs/>
          <w:color w:val="000000" w:themeColor="text1"/>
          <w:sz w:val="21"/>
          <w:szCs w:val="21"/>
          <w:lang w:val="es-ES_tradnl"/>
        </w:rPr>
        <w:t xml:space="preserve"> los puntos</w:t>
      </w:r>
      <w:r w:rsidR="00B26DE0" w:rsidRPr="00631B40">
        <w:rPr>
          <w:rFonts w:ascii="Arial" w:hAnsi="Arial" w:cs="Arial"/>
          <w:bCs/>
          <w:color w:val="000000" w:themeColor="text1"/>
          <w:sz w:val="21"/>
          <w:szCs w:val="21"/>
          <w:lang w:val="es-ES_tradnl"/>
        </w:rPr>
        <w:t xml:space="preserve"> deberá existir una sanción en </w:t>
      </w:r>
      <w:r w:rsidR="00C44C0F" w:rsidRPr="00631B40">
        <w:rPr>
          <w:rFonts w:ascii="Arial" w:hAnsi="Arial" w:cs="Arial"/>
          <w:bCs/>
          <w:color w:val="000000" w:themeColor="text1"/>
          <w:sz w:val="21"/>
          <w:szCs w:val="21"/>
          <w:lang w:val="es-ES_tradnl"/>
        </w:rPr>
        <w:t>firme</w:t>
      </w:r>
      <w:r w:rsidR="00B26DE0" w:rsidRPr="00631B40">
        <w:rPr>
          <w:rFonts w:ascii="Arial" w:hAnsi="Arial" w:cs="Arial"/>
          <w:bCs/>
          <w:color w:val="000000" w:themeColor="text1"/>
          <w:sz w:val="21"/>
          <w:szCs w:val="21"/>
          <w:lang w:val="es-ES_tradnl"/>
        </w:rPr>
        <w:t xml:space="preserve"> contra el</w:t>
      </w:r>
      <w:r w:rsidR="00C44C0F" w:rsidRPr="00631B40">
        <w:rPr>
          <w:rFonts w:ascii="Arial" w:hAnsi="Arial" w:cs="Arial"/>
          <w:bCs/>
          <w:color w:val="000000" w:themeColor="text1"/>
          <w:sz w:val="21"/>
          <w:szCs w:val="21"/>
          <w:lang w:val="es-ES_tradnl"/>
        </w:rPr>
        <w:t xml:space="preserve"> proponente</w:t>
      </w:r>
      <w:r w:rsidR="00B26DE0" w:rsidRPr="00631B40">
        <w:rPr>
          <w:rFonts w:ascii="Arial" w:hAnsi="Arial" w:cs="Arial"/>
          <w:bCs/>
          <w:color w:val="000000" w:themeColor="text1"/>
          <w:sz w:val="21"/>
          <w:szCs w:val="21"/>
          <w:lang w:val="es-ES_tradnl"/>
        </w:rPr>
        <w:t>?</w:t>
      </w:r>
    </w:p>
    <w:p w14:paraId="6119E352" w14:textId="77777777" w:rsidR="00C44C0F" w:rsidRPr="00631B40" w:rsidRDefault="00C44C0F" w:rsidP="00730218">
      <w:pPr>
        <w:ind w:left="709" w:right="709"/>
        <w:jc w:val="both"/>
        <w:rPr>
          <w:rFonts w:ascii="Arial" w:hAnsi="Arial" w:cs="Arial"/>
          <w:bCs/>
          <w:color w:val="000000" w:themeColor="text1"/>
          <w:sz w:val="21"/>
          <w:szCs w:val="21"/>
          <w:lang w:val="es-ES_tradnl"/>
        </w:rPr>
      </w:pPr>
    </w:p>
    <w:p w14:paraId="4C582603" w14:textId="3F2F184A" w:rsidR="00B26DE0" w:rsidRPr="00631B40" w:rsidRDefault="00730218" w:rsidP="00730218">
      <w:pPr>
        <w:ind w:left="709" w:right="709"/>
        <w:jc w:val="both"/>
        <w:rPr>
          <w:rFonts w:ascii="Arial" w:hAnsi="Arial" w:cs="Arial"/>
          <w:bCs/>
          <w:color w:val="000000" w:themeColor="text1"/>
          <w:sz w:val="21"/>
          <w:szCs w:val="21"/>
          <w:lang w:val="es-ES_tradnl"/>
        </w:rPr>
      </w:pPr>
      <w:r w:rsidRPr="00631B40">
        <w:rPr>
          <w:rFonts w:ascii="Arial" w:hAnsi="Arial" w:cs="Arial"/>
          <w:bCs/>
          <w:color w:val="000000" w:themeColor="text1"/>
          <w:sz w:val="21"/>
          <w:szCs w:val="21"/>
          <w:lang w:val="es-ES_tradnl"/>
        </w:rPr>
        <w:t>»</w:t>
      </w:r>
      <w:r w:rsidR="00C44C0F" w:rsidRPr="00631B40">
        <w:rPr>
          <w:rFonts w:ascii="Arial" w:hAnsi="Arial" w:cs="Arial"/>
          <w:bCs/>
          <w:color w:val="000000" w:themeColor="text1"/>
          <w:sz w:val="21"/>
          <w:szCs w:val="21"/>
          <w:lang w:val="es-ES_tradnl"/>
        </w:rPr>
        <w:t xml:space="preserve">7. </w:t>
      </w:r>
      <w:r w:rsidR="00B26DE0" w:rsidRPr="00631B40">
        <w:rPr>
          <w:rFonts w:ascii="Arial" w:hAnsi="Arial" w:cs="Arial"/>
          <w:bCs/>
          <w:color w:val="000000" w:themeColor="text1"/>
          <w:sz w:val="21"/>
          <w:szCs w:val="21"/>
          <w:lang w:val="es-ES_tradnl"/>
        </w:rPr>
        <w:t xml:space="preserve">¿Qué </w:t>
      </w:r>
      <w:r w:rsidR="00C44C0F" w:rsidRPr="00631B40">
        <w:rPr>
          <w:rFonts w:ascii="Arial" w:hAnsi="Arial" w:cs="Arial"/>
          <w:bCs/>
          <w:color w:val="000000" w:themeColor="text1"/>
          <w:sz w:val="21"/>
          <w:szCs w:val="21"/>
          <w:lang w:val="es-ES_tradnl"/>
        </w:rPr>
        <w:t>análisis</w:t>
      </w:r>
      <w:r w:rsidR="00B26DE0" w:rsidRPr="00631B40">
        <w:rPr>
          <w:rFonts w:ascii="Arial" w:hAnsi="Arial" w:cs="Arial"/>
          <w:bCs/>
          <w:color w:val="000000" w:themeColor="text1"/>
          <w:sz w:val="21"/>
          <w:szCs w:val="21"/>
          <w:lang w:val="es-ES_tradnl"/>
        </w:rPr>
        <w:t xml:space="preserve"> se puede realizar a las anotaciones </w:t>
      </w:r>
      <w:r w:rsidR="00FA20BF" w:rsidRPr="00631B40">
        <w:rPr>
          <w:rFonts w:ascii="Arial" w:hAnsi="Arial" w:cs="Arial"/>
          <w:bCs/>
          <w:color w:val="000000" w:themeColor="text1"/>
          <w:sz w:val="21"/>
          <w:szCs w:val="21"/>
          <w:lang w:val="es-ES_tradnl"/>
        </w:rPr>
        <w:t>que</w:t>
      </w:r>
      <w:r w:rsidR="00B26DE0" w:rsidRPr="00631B40">
        <w:rPr>
          <w:rFonts w:ascii="Arial" w:hAnsi="Arial" w:cs="Arial"/>
          <w:bCs/>
          <w:color w:val="000000" w:themeColor="text1"/>
          <w:sz w:val="21"/>
          <w:szCs w:val="21"/>
          <w:lang w:val="es-ES_tradnl"/>
        </w:rPr>
        <w:t xml:space="preserve"> arroja </w:t>
      </w:r>
      <w:r w:rsidR="00FA20BF" w:rsidRPr="00631B40">
        <w:rPr>
          <w:rFonts w:ascii="Arial" w:hAnsi="Arial" w:cs="Arial"/>
          <w:bCs/>
          <w:color w:val="000000" w:themeColor="text1"/>
          <w:sz w:val="21"/>
          <w:szCs w:val="21"/>
          <w:lang w:val="es-ES_tradnl"/>
        </w:rPr>
        <w:t>el</w:t>
      </w:r>
      <w:r w:rsidR="00B26DE0" w:rsidRPr="00631B40">
        <w:rPr>
          <w:rFonts w:ascii="Arial" w:hAnsi="Arial" w:cs="Arial"/>
          <w:bCs/>
          <w:color w:val="000000" w:themeColor="text1"/>
          <w:sz w:val="21"/>
          <w:szCs w:val="21"/>
          <w:lang w:val="es-ES_tradnl"/>
        </w:rPr>
        <w:t xml:space="preserve"> citado Registro,</w:t>
      </w:r>
      <w:r w:rsidR="00FA20BF" w:rsidRPr="00631B40">
        <w:rPr>
          <w:rFonts w:ascii="Arial" w:hAnsi="Arial" w:cs="Arial"/>
          <w:bCs/>
          <w:color w:val="000000" w:themeColor="text1"/>
          <w:sz w:val="21"/>
          <w:szCs w:val="21"/>
          <w:lang w:val="es-ES_tradnl"/>
        </w:rPr>
        <w:t xml:space="preserve"> </w:t>
      </w:r>
      <w:r w:rsidR="00B26DE0" w:rsidRPr="00631B40">
        <w:rPr>
          <w:rFonts w:ascii="Arial" w:hAnsi="Arial" w:cs="Arial"/>
          <w:bCs/>
          <w:color w:val="000000" w:themeColor="text1"/>
          <w:sz w:val="21"/>
          <w:szCs w:val="21"/>
          <w:lang w:val="es-ES_tradnl"/>
        </w:rPr>
        <w:t xml:space="preserve">teniendo en cuenta que el mismo es un documento que tiene casillas y que no establece hechos claros de </w:t>
      </w:r>
      <w:r w:rsidR="00FA20BF" w:rsidRPr="00631B40">
        <w:rPr>
          <w:rFonts w:ascii="Arial" w:hAnsi="Arial" w:cs="Arial"/>
          <w:bCs/>
          <w:color w:val="000000" w:themeColor="text1"/>
          <w:sz w:val="21"/>
          <w:szCs w:val="21"/>
          <w:lang w:val="es-ES_tradnl"/>
        </w:rPr>
        <w:t>responsabilidad</w:t>
      </w:r>
      <w:r w:rsidR="00B26DE0" w:rsidRPr="00631B40">
        <w:rPr>
          <w:rFonts w:ascii="Arial" w:hAnsi="Arial" w:cs="Arial"/>
          <w:bCs/>
          <w:color w:val="000000" w:themeColor="text1"/>
          <w:sz w:val="21"/>
          <w:szCs w:val="21"/>
          <w:lang w:val="es-ES_tradnl"/>
        </w:rPr>
        <w:t xml:space="preserve"> relacionada con los </w:t>
      </w:r>
      <w:r w:rsidR="00FA20BF" w:rsidRPr="00631B40">
        <w:rPr>
          <w:rFonts w:ascii="Arial" w:hAnsi="Arial" w:cs="Arial"/>
          <w:bCs/>
          <w:color w:val="000000" w:themeColor="text1"/>
          <w:sz w:val="21"/>
          <w:szCs w:val="21"/>
          <w:lang w:val="es-ES_tradnl"/>
        </w:rPr>
        <w:t>sujetos</w:t>
      </w:r>
      <w:r w:rsidR="00B26DE0" w:rsidRPr="00631B40">
        <w:rPr>
          <w:rFonts w:ascii="Arial" w:hAnsi="Arial" w:cs="Arial"/>
          <w:bCs/>
          <w:color w:val="000000" w:themeColor="text1"/>
          <w:sz w:val="21"/>
          <w:szCs w:val="21"/>
          <w:lang w:val="es-ES_tradnl"/>
        </w:rPr>
        <w:t xml:space="preserve"> que aparecen en él?</w:t>
      </w:r>
    </w:p>
    <w:p w14:paraId="43DA3BF2" w14:textId="77777777" w:rsidR="00C44C0F" w:rsidRPr="00631B40" w:rsidRDefault="00C44C0F" w:rsidP="00730218">
      <w:pPr>
        <w:ind w:left="709" w:right="709"/>
        <w:jc w:val="both"/>
        <w:rPr>
          <w:rFonts w:ascii="Arial" w:hAnsi="Arial" w:cs="Arial"/>
          <w:bCs/>
          <w:color w:val="000000" w:themeColor="text1"/>
          <w:sz w:val="21"/>
          <w:szCs w:val="21"/>
          <w:lang w:val="es-ES_tradnl"/>
        </w:rPr>
      </w:pPr>
    </w:p>
    <w:p w14:paraId="6CB72A36" w14:textId="1942C63D" w:rsidR="00B26DE0" w:rsidRPr="00631B40" w:rsidRDefault="00730218" w:rsidP="00730218">
      <w:pPr>
        <w:ind w:left="709" w:right="709"/>
        <w:jc w:val="both"/>
        <w:rPr>
          <w:rFonts w:ascii="Arial" w:hAnsi="Arial" w:cs="Arial"/>
          <w:bCs/>
          <w:color w:val="000000" w:themeColor="text1"/>
          <w:sz w:val="21"/>
          <w:szCs w:val="21"/>
          <w:lang w:val="es-ES_tradnl"/>
        </w:rPr>
      </w:pPr>
      <w:r w:rsidRPr="00631B40">
        <w:rPr>
          <w:rFonts w:ascii="Arial" w:hAnsi="Arial" w:cs="Arial"/>
          <w:bCs/>
          <w:color w:val="000000" w:themeColor="text1"/>
          <w:sz w:val="21"/>
          <w:szCs w:val="21"/>
          <w:lang w:val="es-ES_tradnl"/>
        </w:rPr>
        <w:t>»</w:t>
      </w:r>
      <w:r w:rsidR="00943F69" w:rsidRPr="00631B40">
        <w:rPr>
          <w:rFonts w:ascii="Arial" w:hAnsi="Arial" w:cs="Arial"/>
          <w:bCs/>
          <w:color w:val="000000" w:themeColor="text1"/>
          <w:sz w:val="21"/>
          <w:szCs w:val="21"/>
          <w:lang w:val="es-ES_tradnl"/>
        </w:rPr>
        <w:t xml:space="preserve">8. </w:t>
      </w:r>
      <w:r w:rsidR="00B26DE0" w:rsidRPr="00631B40">
        <w:rPr>
          <w:rFonts w:ascii="Arial" w:hAnsi="Arial" w:cs="Arial"/>
          <w:bCs/>
          <w:color w:val="000000" w:themeColor="text1"/>
          <w:sz w:val="21"/>
          <w:szCs w:val="21"/>
          <w:lang w:val="es-ES_tradnl"/>
        </w:rPr>
        <w:t xml:space="preserve">¿Habida cuenta que el </w:t>
      </w:r>
      <w:r w:rsidR="00943F69" w:rsidRPr="00631B40">
        <w:rPr>
          <w:rFonts w:ascii="Arial" w:hAnsi="Arial" w:cs="Arial"/>
          <w:bCs/>
          <w:color w:val="000000" w:themeColor="text1"/>
          <w:sz w:val="21"/>
          <w:szCs w:val="21"/>
          <w:lang w:val="es-ES_tradnl"/>
        </w:rPr>
        <w:t>análisis</w:t>
      </w:r>
      <w:r w:rsidR="00B26DE0" w:rsidRPr="00631B40">
        <w:rPr>
          <w:rFonts w:ascii="Arial" w:hAnsi="Arial" w:cs="Arial"/>
          <w:bCs/>
          <w:color w:val="000000" w:themeColor="text1"/>
          <w:sz w:val="21"/>
          <w:szCs w:val="21"/>
          <w:lang w:val="es-ES_tradnl"/>
        </w:rPr>
        <w:t xml:space="preserve"> implica una labor que podría llevar a la </w:t>
      </w:r>
      <w:r w:rsidR="00943F69" w:rsidRPr="00631B40">
        <w:rPr>
          <w:rFonts w:ascii="Arial" w:hAnsi="Arial" w:cs="Arial"/>
          <w:bCs/>
          <w:color w:val="000000" w:themeColor="text1"/>
          <w:sz w:val="21"/>
          <w:szCs w:val="21"/>
          <w:lang w:val="es-ES_tradnl"/>
        </w:rPr>
        <w:t>ó</w:t>
      </w:r>
      <w:r w:rsidR="00B26DE0" w:rsidRPr="00631B40">
        <w:rPr>
          <w:rFonts w:ascii="Arial" w:hAnsi="Arial" w:cs="Arial"/>
          <w:bCs/>
          <w:color w:val="000000" w:themeColor="text1"/>
          <w:sz w:val="21"/>
          <w:szCs w:val="21"/>
          <w:lang w:val="es-ES_tradnl"/>
        </w:rPr>
        <w:t xml:space="preserve">rbita de la subjetividad, como se puede evitar que </w:t>
      </w:r>
      <w:r w:rsidR="00943F69" w:rsidRPr="00631B40">
        <w:rPr>
          <w:rFonts w:ascii="Arial" w:hAnsi="Arial" w:cs="Arial"/>
          <w:bCs/>
          <w:color w:val="000000" w:themeColor="text1"/>
          <w:sz w:val="21"/>
          <w:szCs w:val="21"/>
          <w:lang w:val="es-ES_tradnl"/>
        </w:rPr>
        <w:t>s</w:t>
      </w:r>
      <w:r w:rsidR="00B26DE0" w:rsidRPr="00631B40">
        <w:rPr>
          <w:rFonts w:ascii="Arial" w:hAnsi="Arial" w:cs="Arial"/>
          <w:bCs/>
          <w:color w:val="000000" w:themeColor="text1"/>
          <w:sz w:val="21"/>
          <w:szCs w:val="21"/>
          <w:lang w:val="es-ES_tradnl"/>
        </w:rPr>
        <w:t>e pierda objetividad en dicha labor?</w:t>
      </w:r>
      <w:r w:rsidR="00F23F23" w:rsidRPr="00631B40">
        <w:rPr>
          <w:rFonts w:ascii="Arial" w:hAnsi="Arial" w:cs="Arial"/>
          <w:bCs/>
          <w:color w:val="000000" w:themeColor="text1"/>
          <w:sz w:val="21"/>
          <w:szCs w:val="21"/>
          <w:lang w:val="es-ES_tradnl"/>
        </w:rPr>
        <w:t xml:space="preserve"> (sic)</w:t>
      </w:r>
    </w:p>
    <w:p w14:paraId="7B8D1260" w14:textId="77777777" w:rsidR="00943F69" w:rsidRPr="00631B40" w:rsidRDefault="00943F69" w:rsidP="00730218">
      <w:pPr>
        <w:ind w:left="709" w:right="709"/>
        <w:jc w:val="both"/>
        <w:rPr>
          <w:rFonts w:ascii="Arial" w:hAnsi="Arial" w:cs="Arial"/>
          <w:bCs/>
          <w:color w:val="000000" w:themeColor="text1"/>
          <w:sz w:val="21"/>
          <w:szCs w:val="21"/>
          <w:lang w:val="es-ES_tradnl"/>
        </w:rPr>
      </w:pPr>
    </w:p>
    <w:p w14:paraId="49DB53C0" w14:textId="473B4941" w:rsidR="00B26DE0" w:rsidRPr="00631B40" w:rsidRDefault="00730218" w:rsidP="00730218">
      <w:pPr>
        <w:ind w:left="709" w:right="709"/>
        <w:jc w:val="both"/>
        <w:rPr>
          <w:rFonts w:ascii="Arial" w:hAnsi="Arial" w:cs="Arial"/>
          <w:bCs/>
          <w:color w:val="000000" w:themeColor="text1"/>
          <w:sz w:val="21"/>
          <w:szCs w:val="21"/>
          <w:lang w:val="es-ES_tradnl"/>
        </w:rPr>
      </w:pPr>
      <w:r w:rsidRPr="00631B40">
        <w:rPr>
          <w:rFonts w:ascii="Arial" w:hAnsi="Arial" w:cs="Arial"/>
          <w:bCs/>
          <w:color w:val="000000" w:themeColor="text1"/>
          <w:sz w:val="21"/>
          <w:szCs w:val="21"/>
          <w:lang w:val="es-ES_tradnl"/>
        </w:rPr>
        <w:t>»</w:t>
      </w:r>
      <w:r w:rsidR="00885183" w:rsidRPr="00631B40">
        <w:rPr>
          <w:rFonts w:ascii="Arial" w:hAnsi="Arial" w:cs="Arial"/>
          <w:bCs/>
          <w:color w:val="000000" w:themeColor="text1"/>
          <w:sz w:val="21"/>
          <w:szCs w:val="21"/>
          <w:lang w:val="es-ES_tradnl"/>
        </w:rPr>
        <w:t xml:space="preserve">9. </w:t>
      </w:r>
      <w:r w:rsidR="00B26DE0" w:rsidRPr="00631B40">
        <w:rPr>
          <w:rFonts w:ascii="Arial" w:hAnsi="Arial" w:cs="Arial"/>
          <w:bCs/>
          <w:color w:val="000000" w:themeColor="text1"/>
          <w:sz w:val="21"/>
          <w:szCs w:val="21"/>
          <w:lang w:val="es-ES_tradnl"/>
        </w:rPr>
        <w:t xml:space="preserve">¿Dado que las anotaciones que se </w:t>
      </w:r>
      <w:r w:rsidR="00E307FB" w:rsidRPr="00631B40">
        <w:rPr>
          <w:rFonts w:ascii="Arial" w:hAnsi="Arial" w:cs="Arial"/>
          <w:bCs/>
          <w:color w:val="000000" w:themeColor="text1"/>
          <w:sz w:val="21"/>
          <w:szCs w:val="21"/>
          <w:lang w:val="es-ES_tradnl"/>
        </w:rPr>
        <w:t xml:space="preserve">encuentran </w:t>
      </w:r>
      <w:r w:rsidR="00B26DE0" w:rsidRPr="00631B40">
        <w:rPr>
          <w:rFonts w:ascii="Arial" w:hAnsi="Arial" w:cs="Arial"/>
          <w:bCs/>
          <w:color w:val="000000" w:themeColor="text1"/>
          <w:sz w:val="21"/>
          <w:szCs w:val="21"/>
          <w:lang w:val="es-ES_tradnl"/>
        </w:rPr>
        <w:t xml:space="preserve">en el Registro enunciado no contienen </w:t>
      </w:r>
      <w:r w:rsidR="00E307FB" w:rsidRPr="00631B40">
        <w:rPr>
          <w:rFonts w:ascii="Arial" w:hAnsi="Arial" w:cs="Arial"/>
          <w:bCs/>
          <w:color w:val="000000" w:themeColor="text1"/>
          <w:sz w:val="21"/>
          <w:szCs w:val="21"/>
          <w:lang w:val="es-ES_tradnl"/>
        </w:rPr>
        <w:t>material</w:t>
      </w:r>
      <w:r w:rsidR="00B26DE0" w:rsidRPr="00631B40">
        <w:rPr>
          <w:rFonts w:ascii="Arial" w:hAnsi="Arial" w:cs="Arial"/>
          <w:bCs/>
          <w:color w:val="000000" w:themeColor="text1"/>
          <w:sz w:val="21"/>
          <w:szCs w:val="21"/>
          <w:lang w:val="es-ES_tradnl"/>
        </w:rPr>
        <w:t xml:space="preserve"> para realizar un análisis, que anotaciones deberían ser suficientes </w:t>
      </w:r>
      <w:r w:rsidR="000B09B2" w:rsidRPr="00631B40">
        <w:rPr>
          <w:rFonts w:ascii="Arial" w:hAnsi="Arial" w:cs="Arial"/>
          <w:bCs/>
          <w:color w:val="000000" w:themeColor="text1"/>
          <w:sz w:val="21"/>
          <w:szCs w:val="21"/>
          <w:lang w:val="es-ES_tradnl"/>
        </w:rPr>
        <w:t>para</w:t>
      </w:r>
      <w:r w:rsidR="00B26DE0" w:rsidRPr="00631B40">
        <w:rPr>
          <w:rFonts w:ascii="Arial" w:hAnsi="Arial" w:cs="Arial"/>
          <w:bCs/>
          <w:color w:val="000000" w:themeColor="text1"/>
          <w:sz w:val="21"/>
          <w:szCs w:val="21"/>
          <w:lang w:val="es-ES_tradnl"/>
        </w:rPr>
        <w:t xml:space="preserve"> descontar los puntos? (</w:t>
      </w:r>
      <w:r w:rsidR="000B09B2" w:rsidRPr="00631B40">
        <w:rPr>
          <w:rFonts w:ascii="Arial" w:hAnsi="Arial" w:cs="Arial"/>
          <w:bCs/>
          <w:color w:val="000000" w:themeColor="text1"/>
          <w:sz w:val="21"/>
          <w:szCs w:val="21"/>
          <w:lang w:val="es-ES_tradnl"/>
        </w:rPr>
        <w:t>sanciones</w:t>
      </w:r>
      <w:r w:rsidR="00B26DE0" w:rsidRPr="00631B40">
        <w:rPr>
          <w:rFonts w:ascii="Arial" w:hAnsi="Arial" w:cs="Arial"/>
          <w:bCs/>
          <w:color w:val="000000" w:themeColor="text1"/>
          <w:sz w:val="21"/>
          <w:szCs w:val="21"/>
          <w:lang w:val="es-ES_tradnl"/>
        </w:rPr>
        <w:t xml:space="preserve">, fallos, procesos disciplinarios, </w:t>
      </w:r>
      <w:r w:rsidR="000B09B2" w:rsidRPr="00631B40">
        <w:rPr>
          <w:rFonts w:ascii="Arial" w:hAnsi="Arial" w:cs="Arial"/>
          <w:bCs/>
          <w:color w:val="000000" w:themeColor="text1"/>
          <w:sz w:val="21"/>
          <w:szCs w:val="21"/>
          <w:lang w:val="es-ES_tradnl"/>
        </w:rPr>
        <w:t>etc</w:t>
      </w:r>
      <w:r w:rsidR="00B26DE0" w:rsidRPr="00631B40">
        <w:rPr>
          <w:rFonts w:ascii="Arial" w:hAnsi="Arial" w:cs="Arial"/>
          <w:bCs/>
          <w:color w:val="000000" w:themeColor="text1"/>
          <w:sz w:val="21"/>
          <w:szCs w:val="21"/>
          <w:lang w:val="es-ES_tradnl"/>
        </w:rPr>
        <w:t>)</w:t>
      </w:r>
      <w:r w:rsidR="000B09B2" w:rsidRPr="00631B40">
        <w:rPr>
          <w:rFonts w:ascii="Arial" w:hAnsi="Arial" w:cs="Arial"/>
          <w:bCs/>
          <w:color w:val="000000" w:themeColor="text1"/>
          <w:sz w:val="21"/>
          <w:szCs w:val="21"/>
          <w:lang w:val="es-ES_tradnl"/>
        </w:rPr>
        <w:t xml:space="preserve"> (sic).</w:t>
      </w:r>
    </w:p>
    <w:p w14:paraId="1ACDA2A8" w14:textId="77777777" w:rsidR="00E307FB" w:rsidRPr="00631B40" w:rsidRDefault="00E307FB" w:rsidP="00730218">
      <w:pPr>
        <w:ind w:left="709" w:right="709"/>
        <w:jc w:val="both"/>
        <w:rPr>
          <w:rFonts w:ascii="Arial" w:hAnsi="Arial" w:cs="Arial"/>
          <w:bCs/>
          <w:color w:val="000000" w:themeColor="text1"/>
          <w:sz w:val="21"/>
          <w:szCs w:val="21"/>
          <w:lang w:val="es-ES_tradnl"/>
        </w:rPr>
      </w:pPr>
    </w:p>
    <w:p w14:paraId="7E28C995" w14:textId="48760C0B" w:rsidR="00B26DE0" w:rsidRPr="00631B40" w:rsidRDefault="00730218" w:rsidP="00730218">
      <w:pPr>
        <w:ind w:left="709" w:right="709"/>
        <w:jc w:val="both"/>
        <w:rPr>
          <w:rFonts w:ascii="Arial" w:hAnsi="Arial" w:cs="Arial"/>
          <w:bCs/>
          <w:color w:val="000000" w:themeColor="text1"/>
          <w:sz w:val="21"/>
          <w:szCs w:val="21"/>
          <w:lang w:val="es-ES_tradnl"/>
        </w:rPr>
      </w:pPr>
      <w:r w:rsidRPr="00631B40">
        <w:rPr>
          <w:rFonts w:ascii="Arial" w:hAnsi="Arial" w:cs="Arial"/>
          <w:bCs/>
          <w:color w:val="000000" w:themeColor="text1"/>
          <w:sz w:val="21"/>
          <w:szCs w:val="21"/>
          <w:lang w:val="es-ES_tradnl"/>
        </w:rPr>
        <w:t>»</w:t>
      </w:r>
      <w:r w:rsidR="00B26DE0" w:rsidRPr="00631B40">
        <w:rPr>
          <w:rFonts w:ascii="Arial" w:hAnsi="Arial" w:cs="Arial"/>
          <w:bCs/>
          <w:color w:val="000000" w:themeColor="text1"/>
          <w:sz w:val="21"/>
          <w:szCs w:val="21"/>
          <w:lang w:val="es-ES_tradnl"/>
        </w:rPr>
        <w:t xml:space="preserve">10. ¿Para dar </w:t>
      </w:r>
      <w:r w:rsidR="00E4577B" w:rsidRPr="00631B40">
        <w:rPr>
          <w:rFonts w:ascii="Arial" w:hAnsi="Arial" w:cs="Arial"/>
          <w:bCs/>
          <w:color w:val="000000" w:themeColor="text1"/>
          <w:sz w:val="21"/>
          <w:szCs w:val="21"/>
          <w:lang w:val="es-ES_tradnl"/>
        </w:rPr>
        <w:t>cumplimiento</w:t>
      </w:r>
      <w:r w:rsidR="00B26DE0" w:rsidRPr="00631B40">
        <w:rPr>
          <w:rFonts w:ascii="Arial" w:hAnsi="Arial" w:cs="Arial"/>
          <w:bCs/>
          <w:color w:val="000000" w:themeColor="text1"/>
          <w:sz w:val="21"/>
          <w:szCs w:val="21"/>
          <w:lang w:val="es-ES_tradnl"/>
        </w:rPr>
        <w:t xml:space="preserve"> a la normatividad, que tipo de documentos deberán revisarse para dar estricto cumplimiento a la misma?</w:t>
      </w:r>
      <w:r w:rsidR="00A762DC" w:rsidRPr="00631B40">
        <w:rPr>
          <w:rFonts w:ascii="Arial" w:hAnsi="Arial" w:cs="Arial"/>
          <w:bCs/>
          <w:color w:val="000000" w:themeColor="text1"/>
          <w:sz w:val="21"/>
          <w:szCs w:val="21"/>
          <w:lang w:val="es-ES_tradnl"/>
        </w:rPr>
        <w:t xml:space="preserve"> (sic)</w:t>
      </w:r>
    </w:p>
    <w:p w14:paraId="0C9F59F5" w14:textId="77777777" w:rsidR="00E4577B" w:rsidRPr="00631B40" w:rsidRDefault="00E4577B" w:rsidP="00730218">
      <w:pPr>
        <w:ind w:left="709" w:right="709"/>
        <w:jc w:val="both"/>
        <w:rPr>
          <w:rFonts w:ascii="Arial" w:hAnsi="Arial" w:cs="Arial"/>
          <w:bCs/>
          <w:color w:val="000000" w:themeColor="text1"/>
          <w:sz w:val="21"/>
          <w:szCs w:val="21"/>
          <w:lang w:val="es-ES_tradnl"/>
        </w:rPr>
      </w:pPr>
    </w:p>
    <w:p w14:paraId="7DCA5B5A" w14:textId="73B8DC22" w:rsidR="00B26DE0" w:rsidRPr="00631B40" w:rsidRDefault="00730218" w:rsidP="00730218">
      <w:pPr>
        <w:ind w:left="709" w:right="709"/>
        <w:jc w:val="both"/>
        <w:rPr>
          <w:rFonts w:ascii="Arial" w:hAnsi="Arial" w:cs="Arial"/>
          <w:bCs/>
          <w:color w:val="000000" w:themeColor="text1"/>
          <w:sz w:val="21"/>
          <w:szCs w:val="21"/>
          <w:lang w:val="es-ES_tradnl"/>
        </w:rPr>
      </w:pPr>
      <w:r w:rsidRPr="00631B40">
        <w:rPr>
          <w:rFonts w:ascii="Arial" w:hAnsi="Arial" w:cs="Arial"/>
          <w:bCs/>
          <w:color w:val="000000" w:themeColor="text1"/>
          <w:sz w:val="21"/>
          <w:szCs w:val="21"/>
          <w:lang w:val="es-ES_tradnl"/>
        </w:rPr>
        <w:t>»</w:t>
      </w:r>
      <w:r w:rsidR="00B26DE0" w:rsidRPr="00631B40">
        <w:rPr>
          <w:rFonts w:ascii="Arial" w:hAnsi="Arial" w:cs="Arial"/>
          <w:bCs/>
          <w:color w:val="000000" w:themeColor="text1"/>
          <w:sz w:val="21"/>
          <w:szCs w:val="21"/>
          <w:lang w:val="es-ES_tradnl"/>
        </w:rPr>
        <w:t>11. ¿Es jurídicamente viable,</w:t>
      </w:r>
      <w:r w:rsidR="00C0528A" w:rsidRPr="00631B40">
        <w:rPr>
          <w:rFonts w:ascii="Arial" w:hAnsi="Arial" w:cs="Arial"/>
          <w:bCs/>
          <w:color w:val="000000" w:themeColor="text1"/>
          <w:sz w:val="21"/>
          <w:szCs w:val="21"/>
          <w:lang w:val="es-ES_tradnl"/>
        </w:rPr>
        <w:t xml:space="preserve"> </w:t>
      </w:r>
      <w:r w:rsidR="00B26DE0" w:rsidRPr="00631B40">
        <w:rPr>
          <w:rFonts w:ascii="Arial" w:hAnsi="Arial" w:cs="Arial"/>
          <w:bCs/>
          <w:color w:val="000000" w:themeColor="text1"/>
          <w:sz w:val="21"/>
          <w:szCs w:val="21"/>
          <w:lang w:val="es-ES_tradnl"/>
        </w:rPr>
        <w:t xml:space="preserve">desconocer la anotación registrada </w:t>
      </w:r>
      <w:r w:rsidR="00C0528A" w:rsidRPr="00631B40">
        <w:rPr>
          <w:rFonts w:ascii="Arial" w:hAnsi="Arial" w:cs="Arial"/>
          <w:bCs/>
          <w:color w:val="000000" w:themeColor="text1"/>
          <w:sz w:val="21"/>
          <w:szCs w:val="21"/>
          <w:lang w:val="es-ES_tradnl"/>
        </w:rPr>
        <w:t>p</w:t>
      </w:r>
      <w:r w:rsidR="00B26DE0" w:rsidRPr="00631B40">
        <w:rPr>
          <w:rFonts w:ascii="Arial" w:hAnsi="Arial" w:cs="Arial"/>
          <w:bCs/>
          <w:color w:val="000000" w:themeColor="text1"/>
          <w:sz w:val="21"/>
          <w:szCs w:val="21"/>
          <w:lang w:val="es-ES_tradnl"/>
        </w:rPr>
        <w:t xml:space="preserve">or la entidad afectada por una obra civil </w:t>
      </w:r>
      <w:r w:rsidR="00C0528A" w:rsidRPr="00631B40">
        <w:rPr>
          <w:rFonts w:ascii="Arial" w:hAnsi="Arial" w:cs="Arial"/>
          <w:bCs/>
          <w:color w:val="000000" w:themeColor="text1"/>
          <w:sz w:val="21"/>
          <w:szCs w:val="21"/>
          <w:lang w:val="es-ES_tradnl"/>
        </w:rPr>
        <w:t>inconclusa</w:t>
      </w:r>
      <w:r w:rsidR="00B26DE0" w:rsidRPr="00631B40">
        <w:rPr>
          <w:rFonts w:ascii="Arial" w:hAnsi="Arial" w:cs="Arial"/>
          <w:bCs/>
          <w:color w:val="000000" w:themeColor="text1"/>
          <w:sz w:val="21"/>
          <w:szCs w:val="21"/>
          <w:lang w:val="es-ES_tradnl"/>
        </w:rPr>
        <w:t xml:space="preserve">, en el </w:t>
      </w:r>
      <w:r w:rsidR="00C0528A" w:rsidRPr="00631B40">
        <w:rPr>
          <w:rFonts w:ascii="Arial" w:hAnsi="Arial" w:cs="Arial"/>
          <w:bCs/>
          <w:color w:val="000000" w:themeColor="text1"/>
          <w:sz w:val="21"/>
          <w:szCs w:val="21"/>
          <w:lang w:val="es-ES_tradnl"/>
        </w:rPr>
        <w:t>Registro</w:t>
      </w:r>
      <w:r w:rsidR="00B26DE0" w:rsidRPr="00631B40">
        <w:rPr>
          <w:rFonts w:ascii="Arial" w:hAnsi="Arial" w:cs="Arial"/>
          <w:bCs/>
          <w:color w:val="000000" w:themeColor="text1"/>
          <w:sz w:val="21"/>
          <w:szCs w:val="21"/>
          <w:lang w:val="es-ES_tradnl"/>
        </w:rPr>
        <w:t xml:space="preserve"> </w:t>
      </w:r>
      <w:r w:rsidR="00C0528A" w:rsidRPr="00631B40">
        <w:rPr>
          <w:rFonts w:ascii="Arial" w:hAnsi="Arial" w:cs="Arial"/>
          <w:bCs/>
          <w:color w:val="000000" w:themeColor="text1"/>
          <w:sz w:val="21"/>
          <w:szCs w:val="21"/>
          <w:lang w:val="es-ES_tradnl"/>
        </w:rPr>
        <w:t>Nacional</w:t>
      </w:r>
      <w:r w:rsidR="00B26DE0" w:rsidRPr="00631B40">
        <w:rPr>
          <w:rFonts w:ascii="Arial" w:hAnsi="Arial" w:cs="Arial"/>
          <w:bCs/>
          <w:color w:val="000000" w:themeColor="text1"/>
          <w:sz w:val="21"/>
          <w:szCs w:val="21"/>
          <w:lang w:val="es-ES_tradnl"/>
        </w:rPr>
        <w:t xml:space="preserve"> de Obras Civiles </w:t>
      </w:r>
      <w:r w:rsidR="00C0528A" w:rsidRPr="00631B40">
        <w:rPr>
          <w:rFonts w:ascii="Arial" w:hAnsi="Arial" w:cs="Arial"/>
          <w:bCs/>
          <w:color w:val="000000" w:themeColor="text1"/>
          <w:sz w:val="21"/>
          <w:szCs w:val="21"/>
          <w:lang w:val="es-ES_tradnl"/>
        </w:rPr>
        <w:t>Inconclusas</w:t>
      </w:r>
      <w:r w:rsidR="00B26DE0" w:rsidRPr="00631B40">
        <w:rPr>
          <w:rFonts w:ascii="Arial" w:hAnsi="Arial" w:cs="Arial"/>
          <w:bCs/>
          <w:color w:val="000000" w:themeColor="text1"/>
          <w:sz w:val="21"/>
          <w:szCs w:val="21"/>
          <w:lang w:val="es-ES_tradnl"/>
        </w:rPr>
        <w:t>, aduciendo que obedece al análisis de la Entidad? ¿acaso el análisis no lo</w:t>
      </w:r>
      <w:r w:rsidR="00506762" w:rsidRPr="00631B40">
        <w:rPr>
          <w:rFonts w:ascii="Arial" w:hAnsi="Arial" w:cs="Arial"/>
          <w:bCs/>
          <w:color w:val="000000" w:themeColor="text1"/>
          <w:sz w:val="21"/>
          <w:szCs w:val="21"/>
          <w:lang w:val="es-ES_tradnl"/>
        </w:rPr>
        <w:t xml:space="preserve"> </w:t>
      </w:r>
      <w:r w:rsidR="00B26DE0" w:rsidRPr="00631B40">
        <w:rPr>
          <w:rFonts w:ascii="Arial" w:hAnsi="Arial" w:cs="Arial"/>
          <w:bCs/>
          <w:color w:val="000000" w:themeColor="text1"/>
          <w:sz w:val="21"/>
          <w:szCs w:val="21"/>
          <w:lang w:val="es-ES_tradnl"/>
        </w:rPr>
        <w:t xml:space="preserve">realiza conforme al </w:t>
      </w:r>
      <w:r w:rsidR="00506762" w:rsidRPr="00631B40">
        <w:rPr>
          <w:rFonts w:ascii="Arial" w:hAnsi="Arial" w:cs="Arial"/>
          <w:bCs/>
          <w:color w:val="000000" w:themeColor="text1"/>
          <w:sz w:val="21"/>
          <w:szCs w:val="21"/>
          <w:lang w:val="es-ES_tradnl"/>
        </w:rPr>
        <w:t>artículo</w:t>
      </w:r>
      <w:r w:rsidR="00B26DE0" w:rsidRPr="00631B40">
        <w:rPr>
          <w:rFonts w:ascii="Arial" w:hAnsi="Arial" w:cs="Arial"/>
          <w:bCs/>
          <w:color w:val="000000" w:themeColor="text1"/>
          <w:sz w:val="21"/>
          <w:szCs w:val="21"/>
          <w:lang w:val="es-ES_tradnl"/>
        </w:rPr>
        <w:t xml:space="preserve"> 2 de la Ley 2020 de 2020, la entidad </w:t>
      </w:r>
      <w:r w:rsidR="00A85A07" w:rsidRPr="00631B40">
        <w:rPr>
          <w:rFonts w:ascii="Arial" w:hAnsi="Arial" w:cs="Arial"/>
          <w:bCs/>
          <w:color w:val="000000" w:themeColor="text1"/>
          <w:sz w:val="21"/>
          <w:szCs w:val="21"/>
          <w:lang w:val="es-ES_tradnl"/>
        </w:rPr>
        <w:t xml:space="preserve">afectada </w:t>
      </w:r>
      <w:r w:rsidR="00B26DE0" w:rsidRPr="00631B40">
        <w:rPr>
          <w:rFonts w:ascii="Arial" w:hAnsi="Arial" w:cs="Arial"/>
          <w:bCs/>
          <w:color w:val="000000" w:themeColor="text1"/>
          <w:sz w:val="21"/>
          <w:szCs w:val="21"/>
          <w:lang w:val="es-ES_tradnl"/>
        </w:rPr>
        <w:t xml:space="preserve">con la obra civil </w:t>
      </w:r>
      <w:r w:rsidR="00A85A07" w:rsidRPr="00631B40">
        <w:rPr>
          <w:rFonts w:ascii="Arial" w:hAnsi="Arial" w:cs="Arial"/>
          <w:bCs/>
          <w:color w:val="000000" w:themeColor="text1"/>
          <w:sz w:val="21"/>
          <w:szCs w:val="21"/>
          <w:lang w:val="es-ES_tradnl"/>
        </w:rPr>
        <w:t>inconclusa</w:t>
      </w:r>
      <w:r w:rsidR="00B26DE0" w:rsidRPr="00631B40">
        <w:rPr>
          <w:rFonts w:ascii="Arial" w:hAnsi="Arial" w:cs="Arial"/>
          <w:bCs/>
          <w:color w:val="000000" w:themeColor="text1"/>
          <w:sz w:val="21"/>
          <w:szCs w:val="21"/>
          <w:lang w:val="es-ES_tradnl"/>
        </w:rPr>
        <w:t xml:space="preserve">, de manera previa a la </w:t>
      </w:r>
      <w:r w:rsidR="00A85A07" w:rsidRPr="00631B40">
        <w:rPr>
          <w:rFonts w:ascii="Arial" w:hAnsi="Arial" w:cs="Arial"/>
          <w:bCs/>
          <w:color w:val="000000" w:themeColor="text1"/>
          <w:sz w:val="21"/>
          <w:szCs w:val="21"/>
          <w:lang w:val="es-ES_tradnl"/>
        </w:rPr>
        <w:t>anotación</w:t>
      </w:r>
      <w:r w:rsidR="00B26DE0" w:rsidRPr="00631B40">
        <w:rPr>
          <w:rFonts w:ascii="Arial" w:hAnsi="Arial" w:cs="Arial"/>
          <w:bCs/>
          <w:color w:val="000000" w:themeColor="text1"/>
          <w:sz w:val="21"/>
          <w:szCs w:val="21"/>
          <w:lang w:val="es-ES_tradnl"/>
        </w:rPr>
        <w:t xml:space="preserve"> en el </w:t>
      </w:r>
      <w:r w:rsidR="00E65327" w:rsidRPr="00631B40">
        <w:rPr>
          <w:rFonts w:ascii="Arial" w:hAnsi="Arial" w:cs="Arial"/>
          <w:bCs/>
          <w:color w:val="000000" w:themeColor="text1"/>
          <w:sz w:val="21"/>
          <w:szCs w:val="21"/>
          <w:lang w:val="es-ES_tradnl"/>
        </w:rPr>
        <w:t>Registro</w:t>
      </w:r>
      <w:r w:rsidR="00B26DE0" w:rsidRPr="00631B40">
        <w:rPr>
          <w:rFonts w:ascii="Arial" w:hAnsi="Arial" w:cs="Arial"/>
          <w:bCs/>
          <w:color w:val="000000" w:themeColor="text1"/>
          <w:sz w:val="21"/>
          <w:szCs w:val="21"/>
          <w:lang w:val="es-ES_tradnl"/>
        </w:rPr>
        <w:t xml:space="preserve"> Nacional de Obras </w:t>
      </w:r>
      <w:r w:rsidR="00E65327" w:rsidRPr="00631B40">
        <w:rPr>
          <w:rFonts w:ascii="Arial" w:hAnsi="Arial" w:cs="Arial"/>
          <w:bCs/>
          <w:color w:val="000000" w:themeColor="text1"/>
          <w:sz w:val="21"/>
          <w:szCs w:val="21"/>
          <w:lang w:val="es-ES_tradnl"/>
        </w:rPr>
        <w:t>Civiles</w:t>
      </w:r>
      <w:r w:rsidR="00B26DE0" w:rsidRPr="00631B40">
        <w:rPr>
          <w:rFonts w:ascii="Arial" w:hAnsi="Arial" w:cs="Arial"/>
          <w:bCs/>
          <w:color w:val="000000" w:themeColor="text1"/>
          <w:sz w:val="21"/>
          <w:szCs w:val="21"/>
          <w:lang w:val="es-ES_tradnl"/>
        </w:rPr>
        <w:t xml:space="preserve"> </w:t>
      </w:r>
      <w:r w:rsidR="00E65327" w:rsidRPr="00631B40">
        <w:rPr>
          <w:rFonts w:ascii="Arial" w:hAnsi="Arial" w:cs="Arial"/>
          <w:bCs/>
          <w:color w:val="000000" w:themeColor="text1"/>
          <w:sz w:val="21"/>
          <w:szCs w:val="21"/>
          <w:lang w:val="es-ES_tradnl"/>
        </w:rPr>
        <w:t>inconclusas</w:t>
      </w:r>
      <w:r w:rsidR="00B26DE0" w:rsidRPr="00631B40">
        <w:rPr>
          <w:rFonts w:ascii="Arial" w:hAnsi="Arial" w:cs="Arial"/>
          <w:bCs/>
          <w:color w:val="000000" w:themeColor="text1"/>
          <w:sz w:val="21"/>
          <w:szCs w:val="21"/>
          <w:lang w:val="es-ES_tradnl"/>
        </w:rPr>
        <w:t>?</w:t>
      </w:r>
    </w:p>
    <w:p w14:paraId="3DE2545B" w14:textId="77777777" w:rsidR="00A762DC" w:rsidRPr="00631B40" w:rsidRDefault="00A762DC" w:rsidP="00730218">
      <w:pPr>
        <w:ind w:left="709" w:right="709"/>
        <w:jc w:val="both"/>
        <w:rPr>
          <w:rFonts w:ascii="Arial" w:hAnsi="Arial" w:cs="Arial"/>
          <w:bCs/>
          <w:color w:val="000000" w:themeColor="text1"/>
          <w:sz w:val="21"/>
          <w:szCs w:val="21"/>
          <w:lang w:val="es-ES_tradnl"/>
        </w:rPr>
      </w:pPr>
    </w:p>
    <w:p w14:paraId="571F8035" w14:textId="15E1F1E6" w:rsidR="00B26DE0" w:rsidRPr="00631B40" w:rsidRDefault="00730218" w:rsidP="00730218">
      <w:pPr>
        <w:ind w:left="709" w:right="709"/>
        <w:jc w:val="both"/>
        <w:rPr>
          <w:rFonts w:ascii="Arial" w:hAnsi="Arial" w:cs="Arial"/>
          <w:bCs/>
          <w:color w:val="000000" w:themeColor="text1"/>
          <w:sz w:val="21"/>
          <w:szCs w:val="21"/>
          <w:lang w:val="es-ES_tradnl"/>
        </w:rPr>
      </w:pPr>
      <w:r w:rsidRPr="00631B40">
        <w:rPr>
          <w:rFonts w:ascii="Arial" w:hAnsi="Arial" w:cs="Arial"/>
          <w:bCs/>
          <w:color w:val="000000" w:themeColor="text1"/>
          <w:sz w:val="21"/>
          <w:szCs w:val="21"/>
          <w:lang w:val="es-ES_tradnl"/>
        </w:rPr>
        <w:t>»</w:t>
      </w:r>
      <w:r w:rsidR="00B26DE0" w:rsidRPr="00631B40">
        <w:rPr>
          <w:rFonts w:ascii="Arial" w:hAnsi="Arial" w:cs="Arial"/>
          <w:bCs/>
          <w:color w:val="000000" w:themeColor="text1"/>
          <w:sz w:val="21"/>
          <w:szCs w:val="21"/>
          <w:lang w:val="es-ES_tradnl"/>
        </w:rPr>
        <w:t>12.</w:t>
      </w:r>
      <w:r w:rsidR="00A3551F" w:rsidRPr="00631B40">
        <w:rPr>
          <w:rFonts w:ascii="Arial" w:hAnsi="Arial" w:cs="Arial"/>
          <w:bCs/>
          <w:color w:val="000000" w:themeColor="text1"/>
          <w:sz w:val="21"/>
          <w:szCs w:val="21"/>
          <w:lang w:val="es-ES_tradnl"/>
        </w:rPr>
        <w:t xml:space="preserve"> </w:t>
      </w:r>
      <w:r w:rsidR="00B26DE0" w:rsidRPr="00631B40">
        <w:rPr>
          <w:rFonts w:ascii="Arial" w:hAnsi="Arial" w:cs="Arial"/>
          <w:bCs/>
          <w:color w:val="000000" w:themeColor="text1"/>
          <w:sz w:val="21"/>
          <w:szCs w:val="21"/>
          <w:lang w:val="es-ES_tradnl"/>
        </w:rPr>
        <w:t xml:space="preserve">¿Es </w:t>
      </w:r>
      <w:r w:rsidR="00A3551F" w:rsidRPr="00631B40">
        <w:rPr>
          <w:rFonts w:ascii="Arial" w:hAnsi="Arial" w:cs="Arial"/>
          <w:bCs/>
          <w:color w:val="000000" w:themeColor="text1"/>
          <w:sz w:val="21"/>
          <w:szCs w:val="21"/>
          <w:lang w:val="es-ES_tradnl"/>
        </w:rPr>
        <w:t>jurídicamente</w:t>
      </w:r>
      <w:r w:rsidR="00B26DE0" w:rsidRPr="00631B40">
        <w:rPr>
          <w:rFonts w:ascii="Arial" w:hAnsi="Arial" w:cs="Arial"/>
          <w:bCs/>
          <w:color w:val="000000" w:themeColor="text1"/>
          <w:sz w:val="21"/>
          <w:szCs w:val="21"/>
          <w:lang w:val="es-ES_tradnl"/>
        </w:rPr>
        <w:t xml:space="preserve"> viable realizar un análisis a la</w:t>
      </w:r>
      <w:r w:rsidR="00E10325" w:rsidRPr="00631B40">
        <w:rPr>
          <w:rFonts w:ascii="Arial" w:hAnsi="Arial" w:cs="Arial"/>
          <w:bCs/>
          <w:color w:val="000000" w:themeColor="text1"/>
          <w:sz w:val="21"/>
          <w:szCs w:val="21"/>
          <w:lang w:val="es-ES_tradnl"/>
        </w:rPr>
        <w:t xml:space="preserve"> </w:t>
      </w:r>
      <w:r w:rsidR="00B26DE0" w:rsidRPr="00631B40">
        <w:rPr>
          <w:rFonts w:ascii="Arial" w:hAnsi="Arial" w:cs="Arial"/>
          <w:bCs/>
          <w:color w:val="000000" w:themeColor="text1"/>
          <w:sz w:val="21"/>
          <w:szCs w:val="21"/>
          <w:lang w:val="es-ES_tradnl"/>
        </w:rPr>
        <w:t xml:space="preserve">anotación </w:t>
      </w:r>
      <w:r w:rsidR="00E10325" w:rsidRPr="00631B40">
        <w:rPr>
          <w:rFonts w:ascii="Arial" w:hAnsi="Arial" w:cs="Arial"/>
          <w:bCs/>
          <w:color w:val="000000" w:themeColor="text1"/>
          <w:sz w:val="21"/>
          <w:szCs w:val="21"/>
          <w:lang w:val="es-ES_tradnl"/>
        </w:rPr>
        <w:t>registrada</w:t>
      </w:r>
      <w:r w:rsidR="00B26DE0" w:rsidRPr="00631B40">
        <w:rPr>
          <w:rFonts w:ascii="Arial" w:hAnsi="Arial" w:cs="Arial"/>
          <w:bCs/>
          <w:color w:val="000000" w:themeColor="text1"/>
          <w:sz w:val="21"/>
          <w:szCs w:val="21"/>
          <w:lang w:val="es-ES_tradnl"/>
        </w:rPr>
        <w:t xml:space="preserve"> por la entidad afectada por</w:t>
      </w:r>
      <w:r w:rsidR="00E10325" w:rsidRPr="00631B40">
        <w:rPr>
          <w:rFonts w:ascii="Arial" w:hAnsi="Arial" w:cs="Arial"/>
          <w:bCs/>
          <w:color w:val="000000" w:themeColor="text1"/>
          <w:sz w:val="21"/>
          <w:szCs w:val="21"/>
          <w:lang w:val="es-ES_tradnl"/>
        </w:rPr>
        <w:t xml:space="preserve"> </w:t>
      </w:r>
      <w:r w:rsidR="00B26DE0" w:rsidRPr="00631B40">
        <w:rPr>
          <w:rFonts w:ascii="Arial" w:hAnsi="Arial" w:cs="Arial"/>
          <w:bCs/>
          <w:color w:val="000000" w:themeColor="text1"/>
          <w:sz w:val="21"/>
          <w:szCs w:val="21"/>
          <w:lang w:val="es-ES_tradnl"/>
        </w:rPr>
        <w:t xml:space="preserve">una obra civil inconclusa, en el </w:t>
      </w:r>
      <w:r w:rsidR="00E10325" w:rsidRPr="00631B40">
        <w:rPr>
          <w:rFonts w:ascii="Arial" w:hAnsi="Arial" w:cs="Arial"/>
          <w:bCs/>
          <w:color w:val="000000" w:themeColor="text1"/>
          <w:sz w:val="21"/>
          <w:szCs w:val="21"/>
          <w:lang w:val="es-ES_tradnl"/>
        </w:rPr>
        <w:t>Registro</w:t>
      </w:r>
      <w:r w:rsidR="00B26DE0" w:rsidRPr="00631B40">
        <w:rPr>
          <w:rFonts w:ascii="Arial" w:hAnsi="Arial" w:cs="Arial"/>
          <w:bCs/>
          <w:color w:val="000000" w:themeColor="text1"/>
          <w:sz w:val="21"/>
          <w:szCs w:val="21"/>
          <w:lang w:val="es-ES_tradnl"/>
        </w:rPr>
        <w:t xml:space="preserve"> Nacional de Obras</w:t>
      </w:r>
      <w:r w:rsidR="00E10325" w:rsidRPr="00631B40">
        <w:rPr>
          <w:rFonts w:ascii="Arial" w:hAnsi="Arial" w:cs="Arial"/>
          <w:bCs/>
          <w:color w:val="000000" w:themeColor="text1"/>
          <w:sz w:val="21"/>
          <w:szCs w:val="21"/>
          <w:lang w:val="es-ES_tradnl"/>
        </w:rPr>
        <w:t xml:space="preserve"> </w:t>
      </w:r>
      <w:r w:rsidR="00B26DE0" w:rsidRPr="00631B40">
        <w:rPr>
          <w:rFonts w:ascii="Arial" w:hAnsi="Arial" w:cs="Arial"/>
          <w:bCs/>
          <w:color w:val="000000" w:themeColor="text1"/>
          <w:sz w:val="21"/>
          <w:szCs w:val="21"/>
          <w:lang w:val="es-ES_tradnl"/>
        </w:rPr>
        <w:t xml:space="preserve">Civiles </w:t>
      </w:r>
      <w:r w:rsidR="00E10325" w:rsidRPr="00631B40">
        <w:rPr>
          <w:rFonts w:ascii="Arial" w:hAnsi="Arial" w:cs="Arial"/>
          <w:bCs/>
          <w:color w:val="000000" w:themeColor="text1"/>
          <w:sz w:val="21"/>
          <w:szCs w:val="21"/>
          <w:lang w:val="es-ES_tradnl"/>
        </w:rPr>
        <w:t>Inconclusas</w:t>
      </w:r>
      <w:r w:rsidR="00B26DE0" w:rsidRPr="00631B40">
        <w:rPr>
          <w:rFonts w:ascii="Arial" w:hAnsi="Arial" w:cs="Arial"/>
          <w:bCs/>
          <w:color w:val="000000" w:themeColor="text1"/>
          <w:sz w:val="21"/>
          <w:szCs w:val="21"/>
          <w:lang w:val="es-ES_tradnl"/>
        </w:rPr>
        <w:t xml:space="preserve">, cuando la misma no incluyó la información detallada </w:t>
      </w:r>
      <w:r w:rsidR="00117EA9" w:rsidRPr="00631B40">
        <w:rPr>
          <w:rFonts w:ascii="Arial" w:hAnsi="Arial" w:cs="Arial"/>
          <w:bCs/>
          <w:color w:val="000000" w:themeColor="text1"/>
          <w:sz w:val="21"/>
          <w:szCs w:val="21"/>
          <w:lang w:val="es-ES_tradnl"/>
        </w:rPr>
        <w:t>o</w:t>
      </w:r>
      <w:r w:rsidR="00B26DE0" w:rsidRPr="00631B40">
        <w:rPr>
          <w:rFonts w:ascii="Arial" w:hAnsi="Arial" w:cs="Arial"/>
          <w:bCs/>
          <w:color w:val="000000" w:themeColor="text1"/>
          <w:sz w:val="21"/>
          <w:szCs w:val="21"/>
          <w:lang w:val="es-ES_tradnl"/>
        </w:rPr>
        <w:t xml:space="preserve"> anexa al registro pero si esta la anotación?</w:t>
      </w:r>
      <w:r w:rsidR="00117EA9" w:rsidRPr="00631B40">
        <w:rPr>
          <w:rFonts w:ascii="Arial" w:hAnsi="Arial" w:cs="Arial"/>
          <w:bCs/>
          <w:color w:val="000000" w:themeColor="text1"/>
          <w:sz w:val="21"/>
          <w:szCs w:val="21"/>
          <w:lang w:val="es-ES_tradnl"/>
        </w:rPr>
        <w:t xml:space="preserve"> (sic)</w:t>
      </w:r>
    </w:p>
    <w:p w14:paraId="56A07847" w14:textId="77777777" w:rsidR="00117EA9" w:rsidRPr="00631B40" w:rsidRDefault="00117EA9" w:rsidP="00730218">
      <w:pPr>
        <w:ind w:left="709" w:right="709"/>
        <w:jc w:val="both"/>
        <w:rPr>
          <w:rFonts w:ascii="Arial" w:hAnsi="Arial" w:cs="Arial"/>
          <w:bCs/>
          <w:color w:val="000000" w:themeColor="text1"/>
          <w:sz w:val="21"/>
          <w:szCs w:val="21"/>
          <w:lang w:val="es-ES_tradnl"/>
        </w:rPr>
      </w:pPr>
    </w:p>
    <w:p w14:paraId="2495B854" w14:textId="1809CD9D" w:rsidR="004F7052" w:rsidRPr="00631B40" w:rsidRDefault="00730218" w:rsidP="00730218">
      <w:pPr>
        <w:ind w:left="709" w:right="709"/>
        <w:jc w:val="both"/>
        <w:rPr>
          <w:rFonts w:ascii="Arial" w:hAnsi="Arial" w:cs="Arial"/>
          <w:bCs/>
          <w:color w:val="000000" w:themeColor="text1"/>
          <w:sz w:val="21"/>
          <w:szCs w:val="21"/>
          <w:lang w:val="es-ES_tradnl"/>
        </w:rPr>
      </w:pPr>
      <w:r w:rsidRPr="00631B40">
        <w:rPr>
          <w:rFonts w:ascii="Arial" w:hAnsi="Arial" w:cs="Arial"/>
          <w:bCs/>
          <w:color w:val="000000" w:themeColor="text1"/>
          <w:sz w:val="21"/>
          <w:szCs w:val="21"/>
          <w:lang w:val="es-ES_tradnl"/>
        </w:rPr>
        <w:t>»</w:t>
      </w:r>
      <w:r w:rsidR="00B26DE0" w:rsidRPr="00631B40">
        <w:rPr>
          <w:rFonts w:ascii="Arial" w:hAnsi="Arial" w:cs="Arial"/>
          <w:bCs/>
          <w:color w:val="000000" w:themeColor="text1"/>
          <w:sz w:val="21"/>
          <w:szCs w:val="21"/>
          <w:lang w:val="es-ES_tradnl"/>
        </w:rPr>
        <w:t>13. ¿El proponente</w:t>
      </w:r>
      <w:r w:rsidR="001E3BDF" w:rsidRPr="00631B40">
        <w:rPr>
          <w:rFonts w:ascii="Arial" w:hAnsi="Arial" w:cs="Arial"/>
          <w:bCs/>
          <w:color w:val="000000" w:themeColor="text1"/>
          <w:sz w:val="21"/>
          <w:szCs w:val="21"/>
          <w:lang w:val="es-ES_tradnl"/>
        </w:rPr>
        <w:t xml:space="preserve"> </w:t>
      </w:r>
      <w:r w:rsidR="00B26DE0" w:rsidRPr="00631B40">
        <w:rPr>
          <w:rFonts w:ascii="Arial" w:hAnsi="Arial" w:cs="Arial"/>
          <w:bCs/>
          <w:color w:val="000000" w:themeColor="text1"/>
          <w:sz w:val="21"/>
          <w:szCs w:val="21"/>
          <w:lang w:val="es-ES_tradnl"/>
        </w:rPr>
        <w:t>que se considere afectado con la anotación registrada por la</w:t>
      </w:r>
      <w:r w:rsidR="001E3BDF" w:rsidRPr="00631B40">
        <w:rPr>
          <w:rFonts w:ascii="Arial" w:hAnsi="Arial" w:cs="Arial"/>
          <w:bCs/>
          <w:color w:val="000000" w:themeColor="text1"/>
          <w:sz w:val="21"/>
          <w:szCs w:val="21"/>
          <w:lang w:val="es-ES_tradnl"/>
        </w:rPr>
        <w:t xml:space="preserve"> </w:t>
      </w:r>
      <w:r w:rsidR="00B26DE0" w:rsidRPr="00631B40">
        <w:rPr>
          <w:rFonts w:ascii="Arial" w:hAnsi="Arial" w:cs="Arial"/>
          <w:bCs/>
          <w:color w:val="000000" w:themeColor="text1"/>
          <w:sz w:val="21"/>
          <w:szCs w:val="21"/>
          <w:lang w:val="es-ES_tradnl"/>
        </w:rPr>
        <w:t xml:space="preserve">entidad afectada por una </w:t>
      </w:r>
      <w:r w:rsidR="002D21F8" w:rsidRPr="00631B40">
        <w:rPr>
          <w:rFonts w:ascii="Arial" w:hAnsi="Arial" w:cs="Arial"/>
          <w:bCs/>
          <w:color w:val="000000" w:themeColor="text1"/>
          <w:sz w:val="21"/>
          <w:szCs w:val="21"/>
          <w:lang w:val="es-ES_tradnl"/>
        </w:rPr>
        <w:t xml:space="preserve">obra </w:t>
      </w:r>
      <w:r w:rsidR="00B26DE0" w:rsidRPr="00631B40">
        <w:rPr>
          <w:rFonts w:ascii="Arial" w:hAnsi="Arial" w:cs="Arial"/>
          <w:bCs/>
          <w:color w:val="000000" w:themeColor="text1"/>
          <w:sz w:val="21"/>
          <w:szCs w:val="21"/>
          <w:lang w:val="es-ES_tradnl"/>
        </w:rPr>
        <w:t xml:space="preserve">civil inconclusa, en el </w:t>
      </w:r>
      <w:r w:rsidR="002D21F8" w:rsidRPr="00631B40">
        <w:rPr>
          <w:rFonts w:ascii="Arial" w:hAnsi="Arial" w:cs="Arial"/>
          <w:bCs/>
          <w:color w:val="000000" w:themeColor="text1"/>
          <w:sz w:val="21"/>
          <w:szCs w:val="21"/>
          <w:lang w:val="es-ES_tradnl"/>
        </w:rPr>
        <w:t>Registro Nacional de Obras Civiles Inconclusas</w:t>
      </w:r>
      <w:r w:rsidR="00B26DE0" w:rsidRPr="00631B40">
        <w:rPr>
          <w:rFonts w:ascii="Arial" w:hAnsi="Arial" w:cs="Arial"/>
          <w:bCs/>
          <w:color w:val="000000" w:themeColor="text1"/>
          <w:sz w:val="21"/>
          <w:szCs w:val="21"/>
          <w:lang w:val="es-ES_tradnl"/>
        </w:rPr>
        <w:t>, puede hacer uso de los mecanismos que la Ley le otorga, a fin</w:t>
      </w:r>
      <w:r w:rsidR="004F7052" w:rsidRPr="00631B40">
        <w:rPr>
          <w:rFonts w:ascii="Arial" w:hAnsi="Arial" w:cs="Arial"/>
          <w:bCs/>
          <w:color w:val="000000" w:themeColor="text1"/>
          <w:sz w:val="21"/>
          <w:szCs w:val="21"/>
          <w:lang w:val="es-ES_tradnl"/>
        </w:rPr>
        <w:t xml:space="preserve"> de requerir la modificación, aclaración o eliminación del registro, de manera directa ante la entidad que realizo dicho registro?</w:t>
      </w:r>
      <w:r w:rsidR="00900C9D" w:rsidRPr="00631B40">
        <w:rPr>
          <w:rFonts w:ascii="Arial" w:hAnsi="Arial" w:cs="Arial"/>
          <w:bCs/>
          <w:color w:val="000000" w:themeColor="text1"/>
          <w:sz w:val="21"/>
          <w:szCs w:val="21"/>
          <w:lang w:val="es-ES_tradnl"/>
        </w:rPr>
        <w:t xml:space="preserve"> (sic)</w:t>
      </w:r>
    </w:p>
    <w:p w14:paraId="5DD097D1" w14:textId="77777777" w:rsidR="00900C9D" w:rsidRPr="00631B40" w:rsidRDefault="00900C9D" w:rsidP="00730218">
      <w:pPr>
        <w:ind w:left="709" w:right="709"/>
        <w:jc w:val="both"/>
        <w:rPr>
          <w:rFonts w:ascii="Arial" w:hAnsi="Arial" w:cs="Arial"/>
          <w:bCs/>
          <w:color w:val="000000" w:themeColor="text1"/>
          <w:sz w:val="21"/>
          <w:szCs w:val="21"/>
          <w:lang w:val="es-ES_tradnl"/>
        </w:rPr>
      </w:pPr>
    </w:p>
    <w:p w14:paraId="5DF8BE30" w14:textId="678313AA" w:rsidR="004F7052" w:rsidRPr="00631B40" w:rsidRDefault="00730218" w:rsidP="00730218">
      <w:pPr>
        <w:ind w:left="709" w:right="709"/>
        <w:jc w:val="both"/>
        <w:rPr>
          <w:rFonts w:ascii="Arial" w:hAnsi="Arial" w:cs="Arial"/>
          <w:bCs/>
          <w:color w:val="000000" w:themeColor="text1"/>
          <w:sz w:val="21"/>
          <w:szCs w:val="21"/>
          <w:lang w:val="es-ES_tradnl"/>
        </w:rPr>
      </w:pPr>
      <w:r w:rsidRPr="00631B40">
        <w:rPr>
          <w:rFonts w:ascii="Arial" w:hAnsi="Arial" w:cs="Arial"/>
          <w:bCs/>
          <w:color w:val="000000" w:themeColor="text1"/>
          <w:sz w:val="21"/>
          <w:szCs w:val="21"/>
          <w:lang w:val="es-ES_tradnl"/>
        </w:rPr>
        <w:t>»</w:t>
      </w:r>
      <w:r w:rsidR="004F7052" w:rsidRPr="00631B40">
        <w:rPr>
          <w:rFonts w:ascii="Arial" w:hAnsi="Arial" w:cs="Arial"/>
          <w:bCs/>
          <w:color w:val="000000" w:themeColor="text1"/>
          <w:sz w:val="21"/>
          <w:szCs w:val="21"/>
          <w:lang w:val="es-ES_tradnl"/>
        </w:rPr>
        <w:t>14.</w:t>
      </w:r>
      <w:r w:rsidR="00900C9D" w:rsidRPr="00631B40">
        <w:rPr>
          <w:rFonts w:ascii="Arial" w:hAnsi="Arial" w:cs="Arial"/>
          <w:bCs/>
          <w:color w:val="000000" w:themeColor="text1"/>
          <w:sz w:val="21"/>
          <w:szCs w:val="21"/>
          <w:lang w:val="es-ES_tradnl"/>
        </w:rPr>
        <w:t xml:space="preserve"> Teniendo </w:t>
      </w:r>
      <w:r w:rsidR="004F7052" w:rsidRPr="00631B40">
        <w:rPr>
          <w:rFonts w:ascii="Arial" w:hAnsi="Arial" w:cs="Arial"/>
          <w:bCs/>
          <w:color w:val="000000" w:themeColor="text1"/>
          <w:sz w:val="21"/>
          <w:szCs w:val="21"/>
          <w:lang w:val="es-ES_tradnl"/>
        </w:rPr>
        <w:t>en cuenta lo indicado en el último inciso</w:t>
      </w:r>
      <w:r w:rsidR="00900C9D" w:rsidRPr="00631B40">
        <w:rPr>
          <w:rFonts w:ascii="Arial" w:hAnsi="Arial" w:cs="Arial"/>
          <w:bCs/>
          <w:color w:val="000000" w:themeColor="text1"/>
          <w:sz w:val="21"/>
          <w:szCs w:val="21"/>
          <w:lang w:val="es-ES_tradnl"/>
        </w:rPr>
        <w:t xml:space="preserve"> del artículo </w:t>
      </w:r>
      <w:r w:rsidR="004F7052" w:rsidRPr="00631B40">
        <w:rPr>
          <w:rFonts w:ascii="Arial" w:hAnsi="Arial" w:cs="Arial"/>
          <w:bCs/>
          <w:color w:val="000000" w:themeColor="text1"/>
          <w:sz w:val="21"/>
          <w:szCs w:val="21"/>
          <w:lang w:val="es-ES_tradnl"/>
        </w:rPr>
        <w:t>6 de la ley 2020 de</w:t>
      </w:r>
      <w:r w:rsidR="00900C9D" w:rsidRPr="00631B40">
        <w:rPr>
          <w:rFonts w:ascii="Arial" w:hAnsi="Arial" w:cs="Arial"/>
          <w:bCs/>
          <w:color w:val="000000" w:themeColor="text1"/>
          <w:sz w:val="21"/>
          <w:szCs w:val="21"/>
          <w:lang w:val="es-ES_tradnl"/>
        </w:rPr>
        <w:t xml:space="preserve"> </w:t>
      </w:r>
      <w:r w:rsidR="004F7052" w:rsidRPr="00631B40">
        <w:rPr>
          <w:rFonts w:ascii="Arial" w:hAnsi="Arial" w:cs="Arial"/>
          <w:bCs/>
          <w:color w:val="000000" w:themeColor="text1"/>
          <w:sz w:val="21"/>
          <w:szCs w:val="21"/>
          <w:lang w:val="es-ES_tradnl"/>
        </w:rPr>
        <w:t xml:space="preserve">2020, ¿si </w:t>
      </w:r>
      <w:r w:rsidR="00900C9D" w:rsidRPr="00631B40">
        <w:rPr>
          <w:rFonts w:ascii="Arial" w:hAnsi="Arial" w:cs="Arial"/>
          <w:bCs/>
          <w:color w:val="000000" w:themeColor="text1"/>
          <w:sz w:val="21"/>
          <w:szCs w:val="21"/>
          <w:lang w:val="es-ES_tradnl"/>
        </w:rPr>
        <w:t>dentro</w:t>
      </w:r>
      <w:r w:rsidR="004F7052" w:rsidRPr="00631B40">
        <w:rPr>
          <w:rFonts w:ascii="Arial" w:hAnsi="Arial" w:cs="Arial"/>
          <w:bCs/>
          <w:color w:val="000000" w:themeColor="text1"/>
          <w:sz w:val="21"/>
          <w:szCs w:val="21"/>
          <w:lang w:val="es-ES_tradnl"/>
        </w:rPr>
        <w:t xml:space="preserve"> del proceso de contratación surgen </w:t>
      </w:r>
      <w:r w:rsidR="00D73BD9" w:rsidRPr="00631B40">
        <w:rPr>
          <w:rFonts w:ascii="Arial" w:hAnsi="Arial" w:cs="Arial"/>
          <w:bCs/>
          <w:color w:val="000000" w:themeColor="text1"/>
          <w:sz w:val="21"/>
          <w:szCs w:val="21"/>
          <w:lang w:val="es-ES_tradnl"/>
        </w:rPr>
        <w:t>controversias</w:t>
      </w:r>
      <w:r w:rsidR="004F7052" w:rsidRPr="00631B40">
        <w:rPr>
          <w:rFonts w:ascii="Arial" w:hAnsi="Arial" w:cs="Arial"/>
          <w:bCs/>
          <w:color w:val="000000" w:themeColor="text1"/>
          <w:sz w:val="21"/>
          <w:szCs w:val="21"/>
          <w:lang w:val="es-ES_tradnl"/>
        </w:rPr>
        <w:t xml:space="preserve"> frente a las </w:t>
      </w:r>
      <w:r w:rsidR="00D73BD9" w:rsidRPr="00631B40">
        <w:rPr>
          <w:rFonts w:ascii="Arial" w:hAnsi="Arial" w:cs="Arial"/>
          <w:bCs/>
          <w:color w:val="000000" w:themeColor="text1"/>
          <w:sz w:val="21"/>
          <w:szCs w:val="21"/>
          <w:lang w:val="es-ES_tradnl"/>
        </w:rPr>
        <w:t xml:space="preserve">anotaciones </w:t>
      </w:r>
      <w:r w:rsidR="004F7052" w:rsidRPr="00631B40">
        <w:rPr>
          <w:rFonts w:ascii="Arial" w:hAnsi="Arial" w:cs="Arial"/>
          <w:bCs/>
          <w:color w:val="000000" w:themeColor="text1"/>
          <w:sz w:val="21"/>
          <w:szCs w:val="21"/>
          <w:lang w:val="es-ES_tradnl"/>
        </w:rPr>
        <w:t xml:space="preserve">de los </w:t>
      </w:r>
      <w:r w:rsidR="00D73BD9" w:rsidRPr="00631B40">
        <w:rPr>
          <w:rFonts w:ascii="Arial" w:hAnsi="Arial" w:cs="Arial"/>
          <w:bCs/>
          <w:color w:val="000000" w:themeColor="text1"/>
          <w:sz w:val="21"/>
          <w:szCs w:val="21"/>
          <w:lang w:val="es-ES_tradnl"/>
        </w:rPr>
        <w:t>proponentes</w:t>
      </w:r>
      <w:r w:rsidR="004F7052" w:rsidRPr="00631B40">
        <w:rPr>
          <w:rFonts w:ascii="Arial" w:hAnsi="Arial" w:cs="Arial"/>
          <w:bCs/>
          <w:color w:val="000000" w:themeColor="text1"/>
          <w:sz w:val="21"/>
          <w:szCs w:val="21"/>
          <w:lang w:val="es-ES_tradnl"/>
        </w:rPr>
        <w:t xml:space="preserve"> en el Registro Nacional de Obras Civiles </w:t>
      </w:r>
      <w:r w:rsidR="00D73BD9" w:rsidRPr="00631B40">
        <w:rPr>
          <w:rFonts w:ascii="Arial" w:hAnsi="Arial" w:cs="Arial"/>
          <w:bCs/>
          <w:color w:val="000000" w:themeColor="text1"/>
          <w:sz w:val="21"/>
          <w:szCs w:val="21"/>
          <w:lang w:val="es-ES_tradnl"/>
        </w:rPr>
        <w:t>Inconclusas</w:t>
      </w:r>
      <w:r w:rsidR="004F7052" w:rsidRPr="00631B40">
        <w:rPr>
          <w:rFonts w:ascii="Arial" w:hAnsi="Arial" w:cs="Arial"/>
          <w:bCs/>
          <w:color w:val="000000" w:themeColor="text1"/>
          <w:sz w:val="21"/>
          <w:szCs w:val="21"/>
          <w:lang w:val="es-ES_tradnl"/>
        </w:rPr>
        <w:t xml:space="preserve">, ¿las mismas deberán ser resueltas por la entidad que realizó el reporte? Y en caso afirmativo ¿cómo </w:t>
      </w:r>
      <w:r w:rsidR="00C94AFF" w:rsidRPr="00631B40">
        <w:rPr>
          <w:rFonts w:ascii="Arial" w:hAnsi="Arial" w:cs="Arial"/>
          <w:bCs/>
          <w:color w:val="000000" w:themeColor="text1"/>
          <w:sz w:val="21"/>
          <w:szCs w:val="21"/>
          <w:lang w:val="es-ES_tradnl"/>
        </w:rPr>
        <w:t>garantizar</w:t>
      </w:r>
      <w:r w:rsidR="004F7052" w:rsidRPr="00631B40">
        <w:rPr>
          <w:rFonts w:ascii="Arial" w:hAnsi="Arial" w:cs="Arial"/>
          <w:bCs/>
          <w:color w:val="000000" w:themeColor="text1"/>
          <w:sz w:val="21"/>
          <w:szCs w:val="21"/>
          <w:lang w:val="es-ES_tradnl"/>
        </w:rPr>
        <w:t xml:space="preserve"> el </w:t>
      </w:r>
      <w:r w:rsidR="00C94AFF" w:rsidRPr="00631B40">
        <w:rPr>
          <w:rFonts w:ascii="Arial" w:hAnsi="Arial" w:cs="Arial"/>
          <w:bCs/>
          <w:color w:val="000000" w:themeColor="text1"/>
          <w:sz w:val="21"/>
          <w:szCs w:val="21"/>
          <w:lang w:val="es-ES_tradnl"/>
        </w:rPr>
        <w:t xml:space="preserve">cumplimiento </w:t>
      </w:r>
      <w:r w:rsidR="004F7052" w:rsidRPr="00631B40">
        <w:rPr>
          <w:rFonts w:ascii="Arial" w:hAnsi="Arial" w:cs="Arial"/>
          <w:bCs/>
          <w:color w:val="000000" w:themeColor="text1"/>
          <w:sz w:val="21"/>
          <w:szCs w:val="21"/>
          <w:lang w:val="es-ES_tradnl"/>
        </w:rPr>
        <w:t>de los principios,</w:t>
      </w:r>
      <w:r w:rsidR="00C94AFF" w:rsidRPr="00631B40">
        <w:rPr>
          <w:rFonts w:ascii="Arial" w:hAnsi="Arial" w:cs="Arial"/>
          <w:bCs/>
          <w:color w:val="000000" w:themeColor="text1"/>
          <w:sz w:val="21"/>
          <w:szCs w:val="21"/>
          <w:lang w:val="es-ES_tradnl"/>
        </w:rPr>
        <w:t xml:space="preserve"> </w:t>
      </w:r>
      <w:r w:rsidR="004F7052" w:rsidRPr="00631B40">
        <w:rPr>
          <w:rFonts w:ascii="Arial" w:hAnsi="Arial" w:cs="Arial"/>
          <w:bCs/>
          <w:color w:val="000000" w:themeColor="text1"/>
          <w:sz w:val="21"/>
          <w:szCs w:val="21"/>
          <w:lang w:val="es-ES_tradnl"/>
        </w:rPr>
        <w:t xml:space="preserve">si la entidad que convoca deberá estar a la espera de la </w:t>
      </w:r>
      <w:r w:rsidRPr="00631B40">
        <w:rPr>
          <w:rFonts w:ascii="Arial" w:hAnsi="Arial" w:cs="Arial"/>
          <w:bCs/>
          <w:color w:val="000000" w:themeColor="text1"/>
          <w:sz w:val="21"/>
          <w:szCs w:val="21"/>
          <w:lang w:val="es-ES_tradnl"/>
        </w:rPr>
        <w:t>respuesta</w:t>
      </w:r>
      <w:r w:rsidR="004F7052" w:rsidRPr="00631B40">
        <w:rPr>
          <w:rFonts w:ascii="Arial" w:hAnsi="Arial" w:cs="Arial"/>
          <w:bCs/>
          <w:color w:val="000000" w:themeColor="text1"/>
          <w:sz w:val="21"/>
          <w:szCs w:val="21"/>
          <w:lang w:val="es-ES_tradnl"/>
        </w:rPr>
        <w:t xml:space="preserve"> de un tercero para culminar con el proceso de contratación?</w:t>
      </w:r>
      <w:r w:rsidRPr="00631B40">
        <w:rPr>
          <w:rFonts w:ascii="Arial" w:hAnsi="Arial" w:cs="Arial"/>
          <w:bCs/>
          <w:color w:val="000000" w:themeColor="text1"/>
          <w:sz w:val="21"/>
          <w:szCs w:val="21"/>
          <w:lang w:val="es-ES_tradnl"/>
        </w:rPr>
        <w:t>»</w:t>
      </w:r>
    </w:p>
    <w:p w14:paraId="2CA6526C" w14:textId="77777777" w:rsidR="00C973B8" w:rsidRPr="00631B40" w:rsidRDefault="00C973B8" w:rsidP="00C973B8">
      <w:pPr>
        <w:spacing w:line="276" w:lineRule="auto"/>
        <w:jc w:val="both"/>
        <w:rPr>
          <w:rFonts w:ascii="Arial" w:hAnsi="Arial" w:cs="Arial"/>
          <w:bCs/>
          <w:color w:val="000000" w:themeColor="text1"/>
          <w:sz w:val="22"/>
          <w:lang w:val="es-ES_tradnl"/>
        </w:rPr>
      </w:pPr>
    </w:p>
    <w:p w14:paraId="505D2AC2" w14:textId="36A001B5" w:rsidR="00904C33" w:rsidRPr="00631B40" w:rsidRDefault="00DD5B04" w:rsidP="00904C33">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631B40">
        <w:rPr>
          <w:rFonts w:ascii="Arial" w:eastAsia="Calibri" w:hAnsi="Arial" w:cs="Arial"/>
          <w:b/>
          <w:color w:val="000000" w:themeColor="text1"/>
          <w:sz w:val="22"/>
          <w:lang w:val="es-ES_tradnl"/>
        </w:rPr>
        <w:t>Consideraciones</w:t>
      </w:r>
    </w:p>
    <w:p w14:paraId="336E5625" w14:textId="77777777" w:rsidR="00904C33" w:rsidRPr="00631B40" w:rsidRDefault="00904C33" w:rsidP="00904C33">
      <w:pPr>
        <w:pStyle w:val="Prrafodelista"/>
        <w:tabs>
          <w:tab w:val="left" w:pos="0"/>
          <w:tab w:val="left" w:pos="284"/>
        </w:tabs>
        <w:ind w:left="0"/>
        <w:jc w:val="both"/>
        <w:rPr>
          <w:rFonts w:ascii="Arial" w:eastAsia="Calibri" w:hAnsi="Arial" w:cs="Arial"/>
          <w:b/>
          <w:color w:val="000000" w:themeColor="text1"/>
          <w:sz w:val="22"/>
          <w:lang w:val="es-ES_tradnl"/>
        </w:rPr>
      </w:pPr>
    </w:p>
    <w:p w14:paraId="603D3970" w14:textId="2E28CDED" w:rsidR="00904C33" w:rsidRPr="00631B40" w:rsidRDefault="00904C33" w:rsidP="00904C33">
      <w:pPr>
        <w:spacing w:line="276" w:lineRule="auto"/>
        <w:jc w:val="both"/>
        <w:rPr>
          <w:rFonts w:ascii="Arial" w:hAnsi="Arial" w:cs="Arial"/>
          <w:color w:val="000000" w:themeColor="text1"/>
          <w:sz w:val="22"/>
          <w:lang w:val="es-ES_tradnl"/>
        </w:rPr>
      </w:pPr>
      <w:r w:rsidRPr="00631B40">
        <w:rPr>
          <w:rFonts w:ascii="Arial" w:hAnsi="Arial" w:cs="Arial"/>
          <w:color w:val="000000" w:themeColor="text1"/>
          <w:sz w:val="22"/>
          <w:lang w:val="es-ES_tradnl"/>
        </w:rPr>
        <w:t>Para resolver su consulta, se analizarán los siguientes temas: i) el Registro Nacional de Obras Civiles Inconclusas</w:t>
      </w:r>
      <w:r w:rsidR="009629A1" w:rsidRPr="00631B40">
        <w:rPr>
          <w:rFonts w:ascii="Arial" w:hAnsi="Arial" w:cs="Arial"/>
          <w:color w:val="000000" w:themeColor="text1"/>
          <w:sz w:val="22"/>
          <w:lang w:val="es-ES_tradnl"/>
        </w:rPr>
        <w:t>,</w:t>
      </w:r>
      <w:r w:rsidR="00936AF5" w:rsidRPr="00631B40">
        <w:rPr>
          <w:rFonts w:ascii="Arial" w:hAnsi="Arial" w:cs="Arial"/>
          <w:color w:val="000000" w:themeColor="text1"/>
          <w:sz w:val="22"/>
          <w:lang w:val="es-ES_tradnl"/>
        </w:rPr>
        <w:t xml:space="preserve"> </w:t>
      </w:r>
      <w:r w:rsidRPr="00631B40">
        <w:rPr>
          <w:rFonts w:ascii="Arial" w:hAnsi="Arial" w:cs="Arial"/>
          <w:color w:val="000000" w:themeColor="text1"/>
          <w:sz w:val="22"/>
          <w:lang w:val="es-ES_tradnl"/>
        </w:rPr>
        <w:t xml:space="preserve">ii) </w:t>
      </w:r>
      <w:r w:rsidR="002A2225" w:rsidRPr="00631B40">
        <w:rPr>
          <w:rFonts w:ascii="Arial" w:hAnsi="Arial" w:cs="Arial"/>
          <w:color w:val="000000" w:themeColor="text1"/>
          <w:sz w:val="22"/>
          <w:lang w:val="es-ES_tradnl"/>
        </w:rPr>
        <w:t xml:space="preserve">el </w:t>
      </w:r>
      <w:r w:rsidR="002A2225" w:rsidRPr="00631B40">
        <w:rPr>
          <w:rFonts w:ascii="Arial" w:eastAsia="Calibri" w:hAnsi="Arial" w:cs="Arial"/>
          <w:color w:val="000000"/>
          <w:sz w:val="22"/>
          <w:lang w:val="es-ES_tradnl" w:eastAsia="en-GB"/>
        </w:rPr>
        <w:t>deber de verificación del Registro Nacional de Obras Civiles Inconclusas en la evaluación de factores de calidad para la selección de contratistas de obra o interventores</w:t>
      </w:r>
      <w:r w:rsidR="009629A1" w:rsidRPr="00631B40">
        <w:rPr>
          <w:rFonts w:ascii="Arial" w:hAnsi="Arial" w:cs="Arial"/>
          <w:color w:val="000000" w:themeColor="text1"/>
          <w:sz w:val="22"/>
          <w:lang w:val="es-ES_tradnl"/>
        </w:rPr>
        <w:t xml:space="preserve">, y iii) </w:t>
      </w:r>
      <w:r w:rsidR="00D1119D" w:rsidRPr="00631B40">
        <w:rPr>
          <w:rFonts w:ascii="Arial" w:hAnsi="Arial" w:cs="Arial"/>
          <w:color w:val="000000" w:themeColor="text1"/>
          <w:sz w:val="22"/>
          <w:lang w:val="es-ES_tradnl"/>
        </w:rPr>
        <w:t>el ámbito de aplicación del artículo 6 de la Ley 2020 de 2020, donde se analizará su aplicación frente a las entidades exceptuadas del Estatuto General de Contratación de la Administración Pública</w:t>
      </w:r>
    </w:p>
    <w:p w14:paraId="66E96B5E" w14:textId="20CEA048" w:rsidR="00E07AAA" w:rsidRPr="00631B40" w:rsidRDefault="00E07AAA" w:rsidP="002B17AD">
      <w:pPr>
        <w:spacing w:before="120" w:line="276" w:lineRule="auto"/>
        <w:ind w:firstLine="709"/>
        <w:jc w:val="both"/>
        <w:rPr>
          <w:rFonts w:ascii="Arial" w:hAnsi="Arial" w:cs="Arial"/>
          <w:color w:val="000000" w:themeColor="text1"/>
          <w:sz w:val="22"/>
          <w:lang w:val="es-ES_tradnl"/>
        </w:rPr>
      </w:pPr>
      <w:r w:rsidRPr="00631B40">
        <w:rPr>
          <w:rFonts w:ascii="Arial" w:hAnsi="Arial" w:cs="Arial"/>
          <w:color w:val="000000" w:themeColor="text1"/>
          <w:sz w:val="22"/>
          <w:lang w:val="es-ES_tradnl"/>
        </w:rPr>
        <w:t xml:space="preserve">La Agencia Nacional de Contratación Pública </w:t>
      </w:r>
      <w:r w:rsidR="001369F5" w:rsidRPr="00631B40">
        <w:rPr>
          <w:rFonts w:ascii="Arial" w:hAnsi="Arial" w:cs="Arial"/>
          <w:color w:val="000000" w:themeColor="text1"/>
          <w:sz w:val="22"/>
          <w:lang w:val="es-ES_tradnl"/>
        </w:rPr>
        <w:t xml:space="preserve">– </w:t>
      </w:r>
      <w:r w:rsidRPr="00631B40">
        <w:rPr>
          <w:rFonts w:ascii="Arial" w:hAnsi="Arial" w:cs="Arial"/>
          <w:color w:val="000000" w:themeColor="text1"/>
          <w:sz w:val="22"/>
          <w:lang w:val="es-ES_tradnl"/>
        </w:rPr>
        <w:t xml:space="preserve">Colombia Compra Eficiente se pronunció sobre el Registro Nacional de Obras Civiles Inconclusas en </w:t>
      </w:r>
      <w:r w:rsidR="003B28F8" w:rsidRPr="00631B40">
        <w:rPr>
          <w:rFonts w:ascii="Arial" w:hAnsi="Arial" w:cs="Arial"/>
          <w:color w:val="000000" w:themeColor="text1"/>
          <w:sz w:val="22"/>
          <w:lang w:val="es-ES_tradnl"/>
        </w:rPr>
        <w:t>los</w:t>
      </w:r>
      <w:r w:rsidRPr="00631B40">
        <w:rPr>
          <w:rFonts w:ascii="Arial" w:hAnsi="Arial" w:cs="Arial"/>
          <w:color w:val="000000" w:themeColor="text1"/>
          <w:sz w:val="22"/>
          <w:lang w:val="es-ES_tradnl"/>
        </w:rPr>
        <w:t xml:space="preserve"> concepto</w:t>
      </w:r>
      <w:r w:rsidR="003B28F8" w:rsidRPr="00631B40">
        <w:rPr>
          <w:rFonts w:ascii="Arial" w:hAnsi="Arial" w:cs="Arial"/>
          <w:color w:val="000000" w:themeColor="text1"/>
          <w:sz w:val="22"/>
          <w:lang w:val="es-ES_tradnl"/>
        </w:rPr>
        <w:t>s</w:t>
      </w:r>
      <w:r w:rsidRPr="00631B40">
        <w:rPr>
          <w:rFonts w:ascii="Arial" w:hAnsi="Arial" w:cs="Arial"/>
          <w:color w:val="000000" w:themeColor="text1"/>
          <w:sz w:val="22"/>
          <w:lang w:val="es-ES_tradnl"/>
        </w:rPr>
        <w:t xml:space="preserve"> C</w:t>
      </w:r>
      <w:r w:rsidR="00054252" w:rsidRPr="00631B40">
        <w:rPr>
          <w:rFonts w:ascii="Arial" w:hAnsi="Arial" w:cs="Arial"/>
          <w:color w:val="000000" w:themeColor="text1"/>
          <w:sz w:val="22"/>
          <w:lang w:val="es-ES_tradnl"/>
        </w:rPr>
        <w:t>-712</w:t>
      </w:r>
      <w:r w:rsidR="003F63EE" w:rsidRPr="00631B40">
        <w:rPr>
          <w:rFonts w:ascii="Arial" w:hAnsi="Arial" w:cs="Arial"/>
          <w:color w:val="000000" w:themeColor="text1"/>
          <w:sz w:val="22"/>
          <w:lang w:val="es-ES_tradnl"/>
        </w:rPr>
        <w:t xml:space="preserve"> del 28 de diciembre </w:t>
      </w:r>
      <w:r w:rsidR="00054252" w:rsidRPr="00631B40">
        <w:rPr>
          <w:rFonts w:ascii="Arial" w:hAnsi="Arial" w:cs="Arial"/>
          <w:color w:val="000000" w:themeColor="text1"/>
          <w:sz w:val="22"/>
          <w:lang w:val="es-ES_tradnl"/>
        </w:rPr>
        <w:t>de 2020</w:t>
      </w:r>
      <w:r w:rsidR="00A83A06" w:rsidRPr="00631B40">
        <w:rPr>
          <w:rFonts w:ascii="Arial" w:hAnsi="Arial" w:cs="Arial"/>
          <w:color w:val="000000" w:themeColor="text1"/>
          <w:sz w:val="22"/>
          <w:lang w:val="es-ES_tradnl"/>
        </w:rPr>
        <w:t>,</w:t>
      </w:r>
      <w:r w:rsidR="003F63EE" w:rsidRPr="00631B40">
        <w:rPr>
          <w:rFonts w:ascii="Arial" w:hAnsi="Arial" w:cs="Arial"/>
          <w:color w:val="000000" w:themeColor="text1"/>
          <w:sz w:val="22"/>
          <w:lang w:val="es-ES_tradnl"/>
        </w:rPr>
        <w:t xml:space="preserve"> C-088 del 17 de marzo de 2021</w:t>
      </w:r>
      <w:r w:rsidR="002B17AD" w:rsidRPr="00631B40">
        <w:rPr>
          <w:rFonts w:ascii="Arial" w:hAnsi="Arial" w:cs="Arial"/>
          <w:color w:val="000000" w:themeColor="text1"/>
          <w:sz w:val="22"/>
          <w:lang w:val="es-ES_tradnl"/>
        </w:rPr>
        <w:t>,</w:t>
      </w:r>
      <w:r w:rsidR="00A83A06" w:rsidRPr="00631B40">
        <w:rPr>
          <w:rFonts w:ascii="Arial" w:hAnsi="Arial" w:cs="Arial"/>
          <w:color w:val="000000" w:themeColor="text1"/>
          <w:sz w:val="22"/>
          <w:lang w:val="es-ES_tradnl"/>
        </w:rPr>
        <w:t xml:space="preserve"> C-110 del 29 de marzo de 2021</w:t>
      </w:r>
      <w:r w:rsidR="002B17AD" w:rsidRPr="00631B40">
        <w:rPr>
          <w:rFonts w:ascii="Arial" w:hAnsi="Arial" w:cs="Arial"/>
          <w:color w:val="000000" w:themeColor="text1"/>
          <w:sz w:val="22"/>
          <w:lang w:val="es-ES_tradnl"/>
        </w:rPr>
        <w:t>, C-203 del 3 de mayo de 2021</w:t>
      </w:r>
      <w:r w:rsidR="002A2225" w:rsidRPr="00631B40">
        <w:rPr>
          <w:rFonts w:ascii="Arial" w:hAnsi="Arial" w:cs="Arial"/>
          <w:color w:val="000000" w:themeColor="text1"/>
          <w:sz w:val="22"/>
          <w:lang w:val="es-ES_tradnl"/>
        </w:rPr>
        <w:t>,</w:t>
      </w:r>
      <w:r w:rsidR="002B17AD" w:rsidRPr="00631B40">
        <w:rPr>
          <w:rFonts w:ascii="Arial" w:hAnsi="Arial" w:cs="Arial"/>
          <w:color w:val="000000" w:themeColor="text1"/>
          <w:sz w:val="22"/>
          <w:lang w:val="es-ES_tradnl"/>
        </w:rPr>
        <w:t xml:space="preserve"> C-333 del 9 de julio de 2021</w:t>
      </w:r>
      <w:r w:rsidR="005930ED" w:rsidRPr="00631B40">
        <w:rPr>
          <w:rFonts w:ascii="Arial" w:hAnsi="Arial" w:cs="Arial"/>
          <w:color w:val="000000" w:themeColor="text1"/>
          <w:sz w:val="22"/>
          <w:lang w:val="es-ES_tradnl"/>
        </w:rPr>
        <w:t xml:space="preserve">, </w:t>
      </w:r>
      <w:r w:rsidR="002A2225" w:rsidRPr="00631B40">
        <w:rPr>
          <w:rFonts w:ascii="Arial" w:hAnsi="Arial" w:cs="Arial"/>
          <w:color w:val="000000" w:themeColor="text1"/>
          <w:sz w:val="22"/>
          <w:lang w:val="es-ES_tradnl"/>
        </w:rPr>
        <w:t>C-551 del 30 de septiembre de 2021</w:t>
      </w:r>
      <w:r w:rsidR="005930ED" w:rsidRPr="00631B40">
        <w:rPr>
          <w:rFonts w:ascii="Arial" w:hAnsi="Arial" w:cs="Arial"/>
          <w:color w:val="000000" w:themeColor="text1"/>
          <w:sz w:val="22"/>
          <w:lang w:val="es-ES_tradnl"/>
        </w:rPr>
        <w:t>, C-571 del 13 de octubre de 2021,</w:t>
      </w:r>
      <w:r w:rsidR="00BA30E0" w:rsidRPr="00631B40">
        <w:rPr>
          <w:rFonts w:ascii="Arial" w:hAnsi="Arial" w:cs="Arial"/>
          <w:color w:val="000000" w:themeColor="text1"/>
          <w:sz w:val="22"/>
          <w:lang w:val="es-ES_tradnl"/>
        </w:rPr>
        <w:t xml:space="preserve"> C-577 del 13 de octubre de 2021,</w:t>
      </w:r>
      <w:r w:rsidR="005930ED" w:rsidRPr="00631B40">
        <w:rPr>
          <w:rFonts w:ascii="Arial" w:hAnsi="Arial" w:cs="Arial"/>
          <w:color w:val="000000" w:themeColor="text1"/>
          <w:sz w:val="22"/>
          <w:lang w:val="es-ES_tradnl"/>
        </w:rPr>
        <w:t xml:space="preserve"> C-591 del 21 de octubre de 2021</w:t>
      </w:r>
      <w:r w:rsidR="00827D86" w:rsidRPr="00631B40">
        <w:rPr>
          <w:rFonts w:ascii="Arial" w:hAnsi="Arial" w:cs="Arial"/>
          <w:color w:val="000000" w:themeColor="text1"/>
          <w:sz w:val="22"/>
          <w:lang w:val="es-ES_tradnl"/>
        </w:rPr>
        <w:t>,</w:t>
      </w:r>
      <w:r w:rsidR="005930ED" w:rsidRPr="00631B40">
        <w:rPr>
          <w:rFonts w:ascii="Arial" w:hAnsi="Arial" w:cs="Arial"/>
          <w:color w:val="000000" w:themeColor="text1"/>
          <w:sz w:val="22"/>
          <w:lang w:val="es-ES_tradnl"/>
        </w:rPr>
        <w:t xml:space="preserve"> C-600 del 26 de octubre de 2021</w:t>
      </w:r>
      <w:r w:rsidR="00E477E1" w:rsidRPr="00631B40">
        <w:rPr>
          <w:rFonts w:ascii="Arial" w:hAnsi="Arial" w:cs="Arial"/>
          <w:color w:val="000000" w:themeColor="text1"/>
          <w:sz w:val="22"/>
          <w:lang w:val="es-ES_tradnl"/>
        </w:rPr>
        <w:t xml:space="preserve">, </w:t>
      </w:r>
      <w:r w:rsidR="00827D86" w:rsidRPr="00631B40">
        <w:rPr>
          <w:rFonts w:ascii="Arial" w:hAnsi="Arial" w:cs="Arial"/>
          <w:color w:val="000000" w:themeColor="text1"/>
          <w:sz w:val="22"/>
          <w:lang w:val="es-ES_tradnl"/>
        </w:rPr>
        <w:t>C-626 del 9 de noviembre de 2021</w:t>
      </w:r>
      <w:r w:rsidR="00FD5285" w:rsidRPr="00631B40">
        <w:rPr>
          <w:rFonts w:ascii="Arial" w:hAnsi="Arial" w:cs="Arial"/>
          <w:color w:val="000000" w:themeColor="text1"/>
          <w:sz w:val="22"/>
          <w:lang w:val="es-ES_tradnl"/>
        </w:rPr>
        <w:t xml:space="preserve">, </w:t>
      </w:r>
      <w:r w:rsidR="00740D47" w:rsidRPr="00631B40">
        <w:rPr>
          <w:rFonts w:ascii="Arial" w:hAnsi="Arial" w:cs="Arial"/>
          <w:color w:val="000000" w:themeColor="text1"/>
          <w:sz w:val="22"/>
          <w:lang w:val="es-ES_tradnl"/>
        </w:rPr>
        <w:t>C-744</w:t>
      </w:r>
      <w:r w:rsidR="003E3087" w:rsidRPr="00631B40">
        <w:rPr>
          <w:rFonts w:ascii="Arial" w:hAnsi="Arial" w:cs="Arial"/>
          <w:color w:val="000000" w:themeColor="text1"/>
          <w:sz w:val="22"/>
          <w:lang w:val="es-ES_tradnl"/>
        </w:rPr>
        <w:t xml:space="preserve"> del 4 de febrero de 2022, </w:t>
      </w:r>
      <w:r w:rsidR="002667D9" w:rsidRPr="00631B40">
        <w:rPr>
          <w:rFonts w:ascii="Arial" w:hAnsi="Arial" w:cs="Arial"/>
          <w:color w:val="000000" w:themeColor="text1"/>
          <w:sz w:val="22"/>
          <w:lang w:val="es-ES_tradnl"/>
        </w:rPr>
        <w:t xml:space="preserve">C-747 del </w:t>
      </w:r>
      <w:r w:rsidR="002353B5" w:rsidRPr="00631B40">
        <w:rPr>
          <w:rFonts w:ascii="Arial" w:hAnsi="Arial" w:cs="Arial"/>
          <w:color w:val="000000" w:themeColor="text1"/>
          <w:sz w:val="22"/>
          <w:lang w:val="es-ES_tradnl"/>
        </w:rPr>
        <w:t xml:space="preserve">4 de febrero de 2022 y </w:t>
      </w:r>
      <w:r w:rsidR="00FD5285" w:rsidRPr="00631B40">
        <w:rPr>
          <w:rFonts w:ascii="Arial" w:hAnsi="Arial" w:cs="Arial"/>
          <w:color w:val="000000" w:themeColor="text1"/>
          <w:sz w:val="22"/>
          <w:lang w:val="es-ES_tradnl"/>
        </w:rPr>
        <w:t xml:space="preserve">C-194 del </w:t>
      </w:r>
      <w:r w:rsidR="00260F90" w:rsidRPr="00631B40">
        <w:rPr>
          <w:rFonts w:ascii="Arial" w:hAnsi="Arial" w:cs="Arial"/>
          <w:color w:val="000000" w:themeColor="text1"/>
          <w:sz w:val="22"/>
          <w:lang w:val="es-ES_tradnl"/>
        </w:rPr>
        <w:t>12 de abril de 2022</w:t>
      </w:r>
      <w:r w:rsidR="002B17AD" w:rsidRPr="00631B40">
        <w:rPr>
          <w:rFonts w:ascii="Arial" w:hAnsi="Arial" w:cs="Arial"/>
          <w:color w:val="000000" w:themeColor="text1"/>
          <w:sz w:val="22"/>
          <w:lang w:val="es-ES_tradnl"/>
        </w:rPr>
        <w:t xml:space="preserve">. </w:t>
      </w:r>
      <w:r w:rsidR="00054252" w:rsidRPr="00631B40">
        <w:rPr>
          <w:rFonts w:ascii="Arial" w:eastAsiaTheme="minorHAnsi" w:hAnsi="Arial" w:cs="Arial"/>
          <w:color w:val="000000" w:themeColor="text1"/>
          <w:sz w:val="22"/>
          <w:szCs w:val="22"/>
          <w:lang w:val="es-ES_tradnl" w:eastAsia="en-US"/>
        </w:rPr>
        <w:t>La tesis expuesta se reitera a continuación y se complementa en lo pertinente</w:t>
      </w:r>
      <w:r w:rsidR="00154933" w:rsidRPr="00631B40">
        <w:rPr>
          <w:rFonts w:ascii="Arial" w:eastAsiaTheme="minorHAnsi" w:hAnsi="Arial" w:cs="Arial"/>
          <w:color w:val="000000" w:themeColor="text1"/>
          <w:sz w:val="22"/>
          <w:szCs w:val="22"/>
          <w:lang w:val="es-ES_tradnl" w:eastAsia="en-US"/>
        </w:rPr>
        <w:t>:</w:t>
      </w:r>
      <w:r w:rsidR="00054252" w:rsidRPr="00631B40">
        <w:rPr>
          <w:rFonts w:ascii="Arial" w:eastAsiaTheme="minorHAnsi" w:hAnsi="Arial" w:cs="Arial"/>
          <w:color w:val="000000" w:themeColor="text1"/>
          <w:sz w:val="22"/>
          <w:szCs w:val="22"/>
          <w:lang w:val="es-ES_tradnl" w:eastAsia="en-US"/>
        </w:rPr>
        <w:t xml:space="preserve"> </w:t>
      </w:r>
    </w:p>
    <w:p w14:paraId="2427DFC4" w14:textId="338F37A8" w:rsidR="004427AC" w:rsidRPr="00631B40" w:rsidRDefault="004427AC" w:rsidP="00510DE9">
      <w:pPr>
        <w:tabs>
          <w:tab w:val="left" w:pos="0"/>
        </w:tabs>
        <w:jc w:val="both"/>
        <w:rPr>
          <w:rFonts w:ascii="Arial" w:eastAsia="Calibri" w:hAnsi="Arial" w:cs="Arial"/>
          <w:b/>
          <w:color w:val="000000" w:themeColor="text1"/>
          <w:sz w:val="22"/>
          <w:lang w:val="es-ES_tradnl"/>
        </w:rPr>
      </w:pPr>
    </w:p>
    <w:p w14:paraId="18570445" w14:textId="3D019A03" w:rsidR="00505DCB" w:rsidRPr="00631B40" w:rsidRDefault="00505DCB" w:rsidP="00510DE9">
      <w:pPr>
        <w:tabs>
          <w:tab w:val="left" w:pos="0"/>
        </w:tabs>
        <w:jc w:val="both"/>
        <w:rPr>
          <w:rFonts w:ascii="Arial" w:eastAsia="Calibri" w:hAnsi="Arial" w:cs="Arial"/>
          <w:b/>
          <w:bCs/>
          <w:color w:val="000000" w:themeColor="text1"/>
          <w:sz w:val="22"/>
          <w:lang w:val="es-ES_tradnl"/>
        </w:rPr>
      </w:pPr>
      <w:r w:rsidRPr="00631B40">
        <w:rPr>
          <w:rFonts w:ascii="Arial" w:eastAsia="Calibri" w:hAnsi="Arial" w:cs="Arial"/>
          <w:b/>
          <w:bCs/>
          <w:color w:val="000000"/>
          <w:sz w:val="22"/>
          <w:lang w:val="es-ES_tradnl" w:eastAsia="en-GB"/>
        </w:rPr>
        <w:t>2.1. Registro Nacional de Obras Civiles Inconclusas</w:t>
      </w:r>
    </w:p>
    <w:p w14:paraId="5716FC05" w14:textId="3B1CC33D" w:rsidR="00004556" w:rsidRPr="00631B40" w:rsidRDefault="00004556" w:rsidP="00D40F8B">
      <w:pPr>
        <w:tabs>
          <w:tab w:val="left" w:pos="0"/>
        </w:tabs>
        <w:spacing w:line="276" w:lineRule="auto"/>
        <w:jc w:val="both"/>
        <w:rPr>
          <w:rFonts w:ascii="Arial" w:eastAsia="Calibri" w:hAnsi="Arial" w:cs="Arial"/>
          <w:b/>
          <w:color w:val="000000" w:themeColor="text1"/>
          <w:sz w:val="22"/>
          <w:lang w:val="es-ES_tradnl"/>
        </w:rPr>
      </w:pPr>
    </w:p>
    <w:p w14:paraId="66414AA5" w14:textId="6E70D0CA" w:rsidR="003F63EE" w:rsidRPr="00631B40" w:rsidRDefault="003F63EE" w:rsidP="009A5FB6">
      <w:pPr>
        <w:tabs>
          <w:tab w:val="left" w:pos="0"/>
        </w:tabs>
        <w:spacing w:line="276" w:lineRule="auto"/>
        <w:jc w:val="both"/>
        <w:rPr>
          <w:rFonts w:ascii="Arial" w:eastAsia="Calibri" w:hAnsi="Arial" w:cs="Arial"/>
          <w:color w:val="000000"/>
          <w:sz w:val="22"/>
          <w:lang w:val="es-ES_tradnl" w:eastAsia="en-GB"/>
        </w:rPr>
      </w:pPr>
      <w:r w:rsidRPr="00631B40">
        <w:rPr>
          <w:rFonts w:ascii="Arial" w:eastAsia="Calibri" w:hAnsi="Arial" w:cs="Arial"/>
          <w:bCs/>
          <w:color w:val="000000" w:themeColor="text1"/>
          <w:sz w:val="22"/>
          <w:lang w:val="es-ES_tradnl"/>
        </w:rPr>
        <w:t xml:space="preserve">La Ley 2020 de 2020 creó el </w:t>
      </w:r>
      <w:r w:rsidRPr="00631B40">
        <w:rPr>
          <w:rFonts w:ascii="Arial" w:eastAsia="Calibri" w:hAnsi="Arial" w:cs="Arial"/>
          <w:color w:val="000000"/>
          <w:sz w:val="22"/>
          <w:lang w:val="es-ES_tradnl" w:eastAsia="en-GB"/>
        </w:rPr>
        <w:t xml:space="preserve">Registro Nacional de Obras Civiles Inconclusas. Se trata de un sistema que permite identificar el estado de ejecución o terminación de las obras financiadas total o parcialmente con recursos públicos, para concretar su destinación definitiva. </w:t>
      </w:r>
      <w:bookmarkStart w:id="5" w:name="_Hlk71184857"/>
      <w:r w:rsidRPr="00631B40">
        <w:rPr>
          <w:rFonts w:ascii="Arial" w:eastAsia="Calibri" w:hAnsi="Arial" w:cs="Arial"/>
          <w:color w:val="000000"/>
          <w:sz w:val="22"/>
          <w:lang w:val="es-ES_tradnl" w:eastAsia="en-GB"/>
        </w:rPr>
        <w:t xml:space="preserve">Según el inciso primero del literal a) del artículo 2 de </w:t>
      </w:r>
      <w:r w:rsidR="004F4248" w:rsidRPr="00631B40">
        <w:rPr>
          <w:rFonts w:ascii="Arial" w:eastAsia="Calibri" w:hAnsi="Arial" w:cs="Arial"/>
          <w:color w:val="000000"/>
          <w:sz w:val="22"/>
          <w:lang w:val="es-ES_tradnl" w:eastAsia="en-GB"/>
        </w:rPr>
        <w:t>esta l</w:t>
      </w:r>
      <w:r w:rsidRPr="00631B40">
        <w:rPr>
          <w:rFonts w:ascii="Arial" w:eastAsia="Calibri" w:hAnsi="Arial" w:cs="Arial"/>
          <w:color w:val="000000"/>
          <w:sz w:val="22"/>
          <w:lang w:val="es-ES_tradnl" w:eastAsia="en-GB"/>
        </w:rPr>
        <w:t xml:space="preserve">ey, se entiende por </w:t>
      </w:r>
      <w:r w:rsidRPr="00631B40">
        <w:rPr>
          <w:rFonts w:ascii="Arial" w:eastAsia="Calibri" w:hAnsi="Arial" w:cs="Arial"/>
          <w:i/>
          <w:iCs/>
          <w:color w:val="000000"/>
          <w:sz w:val="22"/>
          <w:lang w:val="es-ES_tradnl" w:eastAsia="en-GB"/>
        </w:rPr>
        <w:lastRenderedPageBreak/>
        <w:t>obra civil inconclusa</w:t>
      </w:r>
      <w:r w:rsidRPr="00631B40">
        <w:rPr>
          <w:rFonts w:ascii="Arial" w:eastAsia="Calibri" w:hAnsi="Arial" w:cs="Arial"/>
          <w:color w:val="000000"/>
          <w:sz w:val="22"/>
          <w:lang w:val="es-ES_tradnl" w:eastAsia="en-GB"/>
        </w:rPr>
        <w:t xml:space="preserve"> la «Construcción, mantenimiento, instalación o realización de cualquier otro trabajo material sobre bienes inmuebles, cualquiera que sea la modalidad de ejecución y pago, que un (1) año después de vencido el término de liquidación contractual, no haya concluido de manera satisfactoria para el interés general o el definido por la entidad estatal contratante, o no esté prestando el servicio para el cual fue contratada».</w:t>
      </w:r>
      <w:bookmarkEnd w:id="5"/>
      <w:r w:rsidR="009A5FB6" w:rsidRPr="00631B40">
        <w:rPr>
          <w:rFonts w:ascii="Arial" w:eastAsia="Calibri" w:hAnsi="Arial" w:cs="Arial"/>
          <w:color w:val="000000"/>
          <w:sz w:val="22"/>
          <w:lang w:val="es-ES_tradnl" w:eastAsia="en-GB"/>
        </w:rPr>
        <w:t xml:space="preserve"> </w:t>
      </w:r>
      <w:r w:rsidRPr="00631B40">
        <w:rPr>
          <w:rFonts w:ascii="Arial" w:eastAsia="Calibri" w:hAnsi="Arial" w:cs="Arial"/>
          <w:color w:val="000000"/>
          <w:sz w:val="22"/>
          <w:lang w:val="es-ES_tradnl" w:eastAsia="en-GB"/>
        </w:rPr>
        <w:t>Por tanto, cuando el trabajo material sobre el bien inmueble no ha finalizado satisfactoriamente o no se adec</w:t>
      </w:r>
      <w:r w:rsidR="009629A1" w:rsidRPr="00631B40">
        <w:rPr>
          <w:rFonts w:ascii="Arial" w:eastAsia="Calibri" w:hAnsi="Arial" w:cs="Arial"/>
          <w:color w:val="000000"/>
          <w:sz w:val="22"/>
          <w:lang w:val="es-ES_tradnl" w:eastAsia="en-GB"/>
        </w:rPr>
        <w:t>ú</w:t>
      </w:r>
      <w:r w:rsidRPr="00631B40">
        <w:rPr>
          <w:rFonts w:ascii="Arial" w:eastAsia="Calibri" w:hAnsi="Arial" w:cs="Arial"/>
          <w:color w:val="000000"/>
          <w:sz w:val="22"/>
          <w:lang w:val="es-ES_tradnl" w:eastAsia="en-GB"/>
        </w:rPr>
        <w:t>a a la función para la cual fue contratada la obra, esto se puede constatar en el registro creado por el artículo 3 de la Ley 2020 de 2020.</w:t>
      </w:r>
    </w:p>
    <w:p w14:paraId="71D97E78" w14:textId="5A26833C" w:rsidR="003F63EE" w:rsidRPr="00631B40" w:rsidRDefault="003F63EE" w:rsidP="003F63EE">
      <w:pPr>
        <w:tabs>
          <w:tab w:val="left" w:pos="0"/>
        </w:tabs>
        <w:spacing w:before="120" w:line="276" w:lineRule="auto"/>
        <w:ind w:firstLine="709"/>
        <w:jc w:val="both"/>
        <w:rPr>
          <w:rFonts w:ascii="Arial" w:eastAsia="Calibri" w:hAnsi="Arial" w:cs="Arial"/>
          <w:color w:val="000000"/>
          <w:sz w:val="22"/>
          <w:lang w:val="es-ES_tradnl" w:eastAsia="en-GB"/>
        </w:rPr>
      </w:pPr>
      <w:r w:rsidRPr="00631B40">
        <w:rPr>
          <w:rFonts w:ascii="Arial" w:eastAsia="Calibri" w:hAnsi="Arial" w:cs="Arial"/>
          <w:color w:val="000000"/>
          <w:sz w:val="22"/>
          <w:lang w:val="es-ES_tradnl" w:eastAsia="en-GB"/>
        </w:rPr>
        <w:t>Por su parte, el inciso segundo del literal a) del artículo 2 de dicha Ley</w:t>
      </w:r>
      <w:r w:rsidR="00B55AEC" w:rsidRPr="00631B40">
        <w:rPr>
          <w:rFonts w:ascii="Arial" w:eastAsia="Calibri" w:hAnsi="Arial" w:cs="Arial"/>
          <w:color w:val="000000"/>
          <w:sz w:val="22"/>
          <w:lang w:val="es-ES_tradnl" w:eastAsia="en-GB"/>
        </w:rPr>
        <w:t xml:space="preserve"> </w:t>
      </w:r>
      <w:r w:rsidRPr="00631B40">
        <w:rPr>
          <w:rFonts w:ascii="Arial" w:eastAsia="Calibri" w:hAnsi="Arial" w:cs="Arial"/>
          <w:color w:val="000000"/>
          <w:sz w:val="22"/>
          <w:lang w:val="es-ES_tradnl" w:eastAsia="en-GB"/>
        </w:rPr>
        <w:t>establece la hipótesis en la que no se haya concluido satisfactoriamente la obra civil por causas no imputables al contratista. A este respecto, señala que «Cuando la obra civil no haya concluido de manera satisfactoria por causas que no sean imputables al contratista, un comité técnico, designado por el representante legal de la entidad contratante, definirá si efectivamente corresponde a una obra civil inconclusa».</w:t>
      </w:r>
    </w:p>
    <w:p w14:paraId="3FD5BC54" w14:textId="6AC25664" w:rsidR="003F63EE" w:rsidRPr="00631B40" w:rsidRDefault="003F63EE" w:rsidP="003F63EE">
      <w:pPr>
        <w:tabs>
          <w:tab w:val="left" w:pos="0"/>
        </w:tabs>
        <w:spacing w:before="120" w:line="276" w:lineRule="auto"/>
        <w:ind w:firstLine="709"/>
        <w:jc w:val="both"/>
        <w:rPr>
          <w:rFonts w:ascii="Arial" w:eastAsia="Calibri" w:hAnsi="Arial" w:cs="Arial"/>
          <w:color w:val="000000"/>
          <w:sz w:val="22"/>
          <w:lang w:val="es-ES_tradnl" w:eastAsia="en-GB"/>
        </w:rPr>
      </w:pPr>
      <w:r w:rsidRPr="00631B40">
        <w:rPr>
          <w:rFonts w:ascii="Arial" w:eastAsia="Calibri" w:hAnsi="Arial" w:cs="Arial"/>
          <w:color w:val="000000"/>
          <w:sz w:val="22"/>
          <w:lang w:val="es-ES_tradnl" w:eastAsia="en-GB"/>
        </w:rPr>
        <w:t>De la definición del artículo 2 de la Ley 2020 de 2020 se resalta lo siguiente</w:t>
      </w:r>
      <w:r w:rsidR="001D644C" w:rsidRPr="00631B40">
        <w:rPr>
          <w:rFonts w:ascii="Arial" w:eastAsia="Calibri" w:hAnsi="Arial" w:cs="Arial"/>
          <w:color w:val="000000"/>
          <w:sz w:val="22"/>
          <w:lang w:val="es-ES_tradnl" w:eastAsia="en-GB"/>
        </w:rPr>
        <w:t>:</w:t>
      </w:r>
      <w:r w:rsidRPr="00631B40">
        <w:rPr>
          <w:rFonts w:ascii="Arial" w:eastAsia="Calibri" w:hAnsi="Arial" w:cs="Arial"/>
          <w:color w:val="000000"/>
          <w:sz w:val="22"/>
          <w:lang w:val="es-ES_tradnl" w:eastAsia="en-GB"/>
        </w:rPr>
        <w:t xml:space="preserve"> </w:t>
      </w:r>
      <w:r w:rsidR="001D644C" w:rsidRPr="00631B40">
        <w:rPr>
          <w:rFonts w:ascii="Arial" w:eastAsia="Calibri" w:hAnsi="Arial" w:cs="Arial"/>
          <w:color w:val="000000"/>
          <w:sz w:val="22"/>
          <w:lang w:val="es-ES_tradnl" w:eastAsia="en-GB"/>
        </w:rPr>
        <w:t>p</w:t>
      </w:r>
      <w:r w:rsidRPr="00631B40">
        <w:rPr>
          <w:rFonts w:ascii="Arial" w:eastAsia="Calibri" w:hAnsi="Arial" w:cs="Arial"/>
          <w:color w:val="000000"/>
          <w:sz w:val="22"/>
          <w:lang w:val="es-ES_tradnl" w:eastAsia="en-GB"/>
        </w:rPr>
        <w:t>or un lado, cuando la obra civil cumpla con los elementos establecidos en el inciso primero literal a) del artículo 2, deberá cataloga</w:t>
      </w:r>
      <w:r w:rsidR="0004080C" w:rsidRPr="00631B40">
        <w:rPr>
          <w:rFonts w:ascii="Arial" w:eastAsia="Calibri" w:hAnsi="Arial" w:cs="Arial"/>
          <w:color w:val="000000"/>
          <w:sz w:val="22"/>
          <w:lang w:val="es-ES_tradnl" w:eastAsia="en-GB"/>
        </w:rPr>
        <w:t>rse</w:t>
      </w:r>
      <w:r w:rsidRPr="00631B40">
        <w:rPr>
          <w:rFonts w:ascii="Arial" w:eastAsia="Calibri" w:hAnsi="Arial" w:cs="Arial"/>
          <w:color w:val="000000"/>
          <w:sz w:val="22"/>
          <w:lang w:val="es-ES_tradnl" w:eastAsia="en-GB"/>
        </w:rPr>
        <w:t xml:space="preserve"> como obra civil inconclusa. Es decir, si el trabajo material sobre el bien inmueble no ha concluido</w:t>
      </w:r>
      <w:r w:rsidR="00520937" w:rsidRPr="00631B40">
        <w:rPr>
          <w:rFonts w:ascii="Arial" w:eastAsia="Calibri" w:hAnsi="Arial" w:cs="Arial"/>
          <w:color w:val="000000"/>
          <w:sz w:val="22"/>
          <w:lang w:val="es-ES_tradnl" w:eastAsia="en-GB"/>
        </w:rPr>
        <w:t xml:space="preserve"> de manera satisfactoria</w:t>
      </w:r>
      <w:r w:rsidRPr="00631B40">
        <w:rPr>
          <w:rFonts w:ascii="Arial" w:eastAsia="Calibri" w:hAnsi="Arial" w:cs="Arial"/>
          <w:color w:val="000000"/>
          <w:sz w:val="22"/>
          <w:lang w:val="es-ES_tradnl" w:eastAsia="en-GB"/>
        </w:rPr>
        <w:t xml:space="preserve"> o no está prestando el servicio para el que se contrató y ha transcurrido un año o más desde que se venció el término de liquidación contractual, se considera obra civil inconclusa. Por otra parte, cuando la obra civil cumple los presupuestos anteriores, pero no concluyó por causas no imputables al contratista, la entidad contratante será la encargada de determinar si la misma se define como obra civil inconclusa, previa valoración de un comité técnico designado por el representante legal de la entidad contratante. </w:t>
      </w:r>
    </w:p>
    <w:p w14:paraId="05A6AA60" w14:textId="27E7B2A8" w:rsidR="003F63EE" w:rsidRPr="00631B40" w:rsidRDefault="003F63EE" w:rsidP="003F63EE">
      <w:pPr>
        <w:tabs>
          <w:tab w:val="left" w:pos="0"/>
        </w:tabs>
        <w:spacing w:before="120" w:line="276" w:lineRule="auto"/>
        <w:ind w:firstLine="709"/>
        <w:jc w:val="both"/>
        <w:rPr>
          <w:rFonts w:ascii="Arial" w:eastAsia="Calibri" w:hAnsi="Arial" w:cs="Arial"/>
          <w:color w:val="000000"/>
          <w:sz w:val="22"/>
          <w:lang w:val="es-ES_tradnl" w:eastAsia="en-GB"/>
        </w:rPr>
      </w:pPr>
      <w:r w:rsidRPr="00631B40">
        <w:rPr>
          <w:rFonts w:ascii="Arial" w:eastAsia="Calibri" w:hAnsi="Arial" w:cs="Arial"/>
          <w:color w:val="000000"/>
          <w:sz w:val="22"/>
          <w:lang w:val="es-ES_tradnl" w:eastAsia="en-GB"/>
        </w:rPr>
        <w:t xml:space="preserve">Esta última precisión es importante, debido a que el propósito del literal a) del artículo </w:t>
      </w:r>
      <w:r w:rsidR="009C6460" w:rsidRPr="00631B40">
        <w:rPr>
          <w:rFonts w:ascii="Arial" w:eastAsia="Calibri" w:hAnsi="Arial" w:cs="Arial"/>
          <w:color w:val="000000"/>
          <w:sz w:val="22"/>
          <w:lang w:val="es-ES_tradnl" w:eastAsia="en-GB"/>
        </w:rPr>
        <w:t xml:space="preserve">2 </w:t>
      </w:r>
      <w:r w:rsidRPr="00631B40">
        <w:rPr>
          <w:rFonts w:ascii="Arial" w:eastAsia="Calibri" w:hAnsi="Arial" w:cs="Arial"/>
          <w:color w:val="000000"/>
          <w:sz w:val="22"/>
          <w:lang w:val="es-ES_tradnl" w:eastAsia="en-GB"/>
        </w:rPr>
        <w:t>de la Ley 2020 de 2020 es definir el concepto de obra civil inconclusa, sin desconocer que durante la ejecución de un contrato pueden presentarse situaciones ajenas y exógenas al contratista que impiden la culminación de la obra. En esta hipótesis lo que pretende el legislador es que sea un órgano o una autoridad determinada</w:t>
      </w:r>
      <w:r w:rsidR="00B37CD8" w:rsidRPr="00631B40">
        <w:rPr>
          <w:rFonts w:ascii="Arial" w:eastAsia="Calibri" w:hAnsi="Arial" w:cs="Arial"/>
          <w:color w:val="000000"/>
          <w:sz w:val="22"/>
          <w:lang w:val="es-ES_tradnl" w:eastAsia="en-GB"/>
        </w:rPr>
        <w:t xml:space="preserve"> quien </w:t>
      </w:r>
      <w:r w:rsidRPr="00631B40">
        <w:rPr>
          <w:rFonts w:ascii="Arial" w:eastAsia="Calibri" w:hAnsi="Arial" w:cs="Arial"/>
          <w:color w:val="000000"/>
          <w:sz w:val="22"/>
          <w:lang w:val="es-ES_tradnl" w:eastAsia="en-GB"/>
        </w:rPr>
        <w:t>analice las circunstancias particulares del caso y las razones técnicas por las cuales la obra civil quedó en estado incompleto</w:t>
      </w:r>
      <w:r w:rsidRPr="00631B40">
        <w:rPr>
          <w:rStyle w:val="Refdenotaalpie"/>
          <w:rFonts w:ascii="Arial" w:eastAsia="Calibri" w:hAnsi="Arial" w:cs="Arial"/>
          <w:color w:val="000000"/>
          <w:sz w:val="22"/>
          <w:lang w:val="es-ES_tradnl" w:eastAsia="en-GB"/>
        </w:rPr>
        <w:footnoteReference w:id="3"/>
      </w:r>
      <w:r w:rsidRPr="00631B40">
        <w:rPr>
          <w:rFonts w:ascii="Arial" w:eastAsia="Calibri" w:hAnsi="Arial" w:cs="Arial"/>
          <w:color w:val="000000"/>
          <w:sz w:val="22"/>
          <w:lang w:val="es-ES_tradnl" w:eastAsia="en-GB"/>
        </w:rPr>
        <w:t xml:space="preserve">. De esta manera, en el evento en que se defina por parte de este comité técnico que la obra civil es catalogada como inconclusa, pero por causas no imputables al contratista, deberá incluir en el Registro Nacional de Obras Civiles Inconclusas los datos correspondientes que den cuenta de esta situación.  </w:t>
      </w:r>
    </w:p>
    <w:p w14:paraId="4BAF5990" w14:textId="7906D176" w:rsidR="003F63EE" w:rsidRPr="00631B40" w:rsidRDefault="003F63EE" w:rsidP="00271098">
      <w:pPr>
        <w:tabs>
          <w:tab w:val="left" w:pos="0"/>
        </w:tabs>
        <w:spacing w:before="120" w:line="276" w:lineRule="auto"/>
        <w:ind w:firstLine="709"/>
        <w:jc w:val="both"/>
        <w:rPr>
          <w:rFonts w:ascii="Arial" w:eastAsia="Calibri" w:hAnsi="Arial" w:cs="Arial"/>
          <w:color w:val="000000"/>
          <w:sz w:val="22"/>
          <w:lang w:val="es-ES_tradnl" w:eastAsia="en-GB"/>
        </w:rPr>
      </w:pPr>
      <w:r w:rsidRPr="00631B40">
        <w:rPr>
          <w:rFonts w:ascii="Arial" w:eastAsia="Calibri" w:hAnsi="Arial" w:cs="Arial"/>
          <w:color w:val="000000"/>
          <w:sz w:val="22"/>
          <w:lang w:val="es-ES_tradnl" w:eastAsia="en-GB"/>
        </w:rPr>
        <w:t xml:space="preserve">Sobre el espíritu de la </w:t>
      </w:r>
      <w:r w:rsidR="00653F57" w:rsidRPr="00631B40">
        <w:rPr>
          <w:rFonts w:ascii="Arial" w:eastAsia="Calibri" w:hAnsi="Arial" w:cs="Arial"/>
          <w:color w:val="000000"/>
          <w:sz w:val="22"/>
          <w:lang w:val="es-ES_tradnl" w:eastAsia="en-GB"/>
        </w:rPr>
        <w:t>l</w:t>
      </w:r>
      <w:r w:rsidRPr="00631B40">
        <w:rPr>
          <w:rFonts w:ascii="Arial" w:eastAsia="Calibri" w:hAnsi="Arial" w:cs="Arial"/>
          <w:color w:val="000000"/>
          <w:sz w:val="22"/>
          <w:lang w:val="es-ES_tradnl" w:eastAsia="en-GB"/>
        </w:rPr>
        <w:t xml:space="preserve">ey, la exposición de motivos explica que el proyecto «[…] pretende establecer medidas para la detección y valoración de las obras públicas que no se hayan concluido de acuerdo con lo planeado por la entidad estatal a su cargo, para </w:t>
      </w:r>
      <w:r w:rsidRPr="00631B40">
        <w:rPr>
          <w:rFonts w:ascii="Arial" w:eastAsia="Calibri" w:hAnsi="Arial" w:cs="Arial"/>
          <w:color w:val="000000"/>
          <w:sz w:val="22"/>
          <w:lang w:val="es-ES_tradnl" w:eastAsia="en-GB"/>
        </w:rPr>
        <w:lastRenderedPageBreak/>
        <w:t>someterlas a evaluación técnica y financiera, dirigida a establecer si se concluyen o se procede a su demolición. Como fin esencial del proyecto se señala el de “salvaguardar las vidas como derecho fundamental”, que se entienden amenazadas por los efectos desfavorables de las obras inconclusas»</w:t>
      </w:r>
      <w:r w:rsidRPr="00631B40">
        <w:rPr>
          <w:rStyle w:val="Refdenotaalpie"/>
          <w:rFonts w:ascii="Arial" w:eastAsia="Calibri" w:hAnsi="Arial" w:cs="Arial"/>
          <w:color w:val="000000"/>
          <w:sz w:val="22"/>
          <w:lang w:val="es-ES_tradnl" w:eastAsia="en-GB"/>
        </w:rPr>
        <w:footnoteReference w:id="4"/>
      </w:r>
      <w:r w:rsidRPr="00631B40">
        <w:rPr>
          <w:rFonts w:ascii="Arial" w:eastAsia="Calibri" w:hAnsi="Arial" w:cs="Arial"/>
          <w:color w:val="000000"/>
          <w:sz w:val="22"/>
          <w:lang w:val="es-ES_tradnl" w:eastAsia="en-GB"/>
        </w:rPr>
        <w:t xml:space="preserve">. En esta medida, el propósito de la norma subyace no solo en </w:t>
      </w:r>
      <w:bookmarkStart w:id="6" w:name="_Hlk84667055"/>
      <w:r w:rsidRPr="00631B40">
        <w:rPr>
          <w:rFonts w:ascii="Arial" w:eastAsia="Calibri" w:hAnsi="Arial" w:cs="Arial"/>
          <w:color w:val="000000"/>
          <w:sz w:val="22"/>
          <w:lang w:val="es-ES_tradnl" w:eastAsia="en-GB"/>
        </w:rPr>
        <w:t xml:space="preserve">estructurar un sistema de registro, sino también en identificar el estado real de la infraestructura de obra en cada </w:t>
      </w:r>
      <w:r w:rsidR="002C6D3F" w:rsidRPr="00631B40">
        <w:rPr>
          <w:rFonts w:ascii="Arial" w:eastAsia="Calibri" w:hAnsi="Arial" w:cs="Arial"/>
          <w:color w:val="000000"/>
          <w:sz w:val="22"/>
          <w:lang w:val="es-ES_tradnl" w:eastAsia="en-GB"/>
        </w:rPr>
        <w:t>entidad</w:t>
      </w:r>
      <w:r w:rsidRPr="00631B40">
        <w:rPr>
          <w:rFonts w:ascii="Arial" w:eastAsia="Calibri" w:hAnsi="Arial" w:cs="Arial"/>
          <w:color w:val="000000"/>
          <w:sz w:val="22"/>
          <w:lang w:val="es-ES_tradnl" w:eastAsia="en-GB"/>
        </w:rPr>
        <w:t xml:space="preserve"> pública, con </w:t>
      </w:r>
      <w:r w:rsidR="00991263" w:rsidRPr="00631B40">
        <w:rPr>
          <w:rFonts w:ascii="Arial" w:eastAsia="Calibri" w:hAnsi="Arial" w:cs="Arial"/>
          <w:color w:val="000000"/>
          <w:sz w:val="22"/>
          <w:lang w:val="es-ES_tradnl" w:eastAsia="en-GB"/>
        </w:rPr>
        <w:t>la finalidad de</w:t>
      </w:r>
      <w:r w:rsidRPr="00631B40">
        <w:rPr>
          <w:rFonts w:ascii="Arial" w:eastAsia="Calibri" w:hAnsi="Arial" w:cs="Arial"/>
          <w:color w:val="000000"/>
          <w:sz w:val="22"/>
          <w:lang w:val="es-ES_tradnl" w:eastAsia="en-GB"/>
        </w:rPr>
        <w:t xml:space="preserve"> elaborar un diagnóstico sobre la viabilidad técnica, financiera y jurídica de terminar o demoler la obra, asegurando que pueda realizar una inversión de sus recursos para la intervención de </w:t>
      </w:r>
      <w:r w:rsidR="00670A7E" w:rsidRPr="00631B40">
        <w:rPr>
          <w:rFonts w:ascii="Arial" w:eastAsia="Calibri" w:hAnsi="Arial" w:cs="Arial"/>
          <w:color w:val="000000"/>
          <w:sz w:val="22"/>
          <w:lang w:val="es-ES_tradnl" w:eastAsia="en-GB"/>
        </w:rPr>
        <w:t>esta</w:t>
      </w:r>
      <w:r w:rsidRPr="00631B40">
        <w:rPr>
          <w:rFonts w:ascii="Arial" w:eastAsia="Calibri" w:hAnsi="Arial" w:cs="Arial"/>
          <w:color w:val="000000"/>
          <w:sz w:val="22"/>
          <w:lang w:val="es-ES_tradnl" w:eastAsia="en-GB"/>
        </w:rPr>
        <w:t>.</w:t>
      </w:r>
    </w:p>
    <w:bookmarkEnd w:id="6"/>
    <w:p w14:paraId="210BD0B7" w14:textId="77BEA22E" w:rsidR="003F63EE" w:rsidRPr="00631B40" w:rsidRDefault="003F63EE" w:rsidP="003F63EE">
      <w:pPr>
        <w:tabs>
          <w:tab w:val="left" w:pos="0"/>
        </w:tabs>
        <w:spacing w:before="120" w:line="276" w:lineRule="auto"/>
        <w:ind w:firstLine="709"/>
        <w:jc w:val="both"/>
        <w:rPr>
          <w:rFonts w:ascii="Arial" w:eastAsia="Calibri" w:hAnsi="Arial" w:cs="Arial"/>
          <w:color w:val="000000"/>
          <w:sz w:val="22"/>
          <w:lang w:val="es-ES_tradnl" w:eastAsia="en-GB"/>
        </w:rPr>
      </w:pPr>
      <w:r w:rsidRPr="00631B40">
        <w:rPr>
          <w:rFonts w:ascii="Arial" w:eastAsia="Calibri" w:hAnsi="Arial" w:cs="Arial"/>
          <w:color w:val="000000"/>
          <w:sz w:val="22"/>
          <w:lang w:val="es-ES_tradnl" w:eastAsia="en-GB"/>
        </w:rPr>
        <w:t xml:space="preserve"> </w:t>
      </w:r>
      <w:r w:rsidR="00653F57" w:rsidRPr="00631B40">
        <w:rPr>
          <w:rFonts w:ascii="Arial" w:eastAsia="Calibri" w:hAnsi="Arial" w:cs="Arial"/>
          <w:color w:val="000000"/>
          <w:sz w:val="22"/>
          <w:lang w:val="es-ES_tradnl" w:eastAsia="en-GB"/>
        </w:rPr>
        <w:t>P</w:t>
      </w:r>
      <w:r w:rsidRPr="00631B40">
        <w:rPr>
          <w:rFonts w:ascii="Arial" w:eastAsia="Calibri" w:hAnsi="Arial" w:cs="Arial"/>
          <w:color w:val="000000"/>
          <w:sz w:val="22"/>
          <w:lang w:val="es-ES_tradnl" w:eastAsia="en-GB"/>
        </w:rPr>
        <w:t>or ello</w:t>
      </w:r>
      <w:r w:rsidR="00991263" w:rsidRPr="00631B40">
        <w:rPr>
          <w:rFonts w:ascii="Arial" w:eastAsia="Calibri" w:hAnsi="Arial" w:cs="Arial"/>
          <w:color w:val="000000"/>
          <w:sz w:val="22"/>
          <w:lang w:val="es-ES_tradnl" w:eastAsia="en-GB"/>
        </w:rPr>
        <w:t>,</w:t>
      </w:r>
      <w:r w:rsidRPr="00631B40">
        <w:rPr>
          <w:rFonts w:ascii="Arial" w:eastAsia="Calibri" w:hAnsi="Arial" w:cs="Arial"/>
          <w:color w:val="000000"/>
          <w:sz w:val="22"/>
          <w:lang w:val="es-ES_tradnl" w:eastAsia="en-GB"/>
        </w:rPr>
        <w:t xml:space="preserve"> los artículos 5 y 13 </w:t>
      </w:r>
      <w:r w:rsidRPr="00631B40">
        <w:rPr>
          <w:rFonts w:ascii="Arial" w:eastAsia="Calibri" w:hAnsi="Arial" w:cs="Arial"/>
          <w:i/>
          <w:color w:val="000000"/>
          <w:sz w:val="22"/>
          <w:lang w:val="es-ES_tradnl" w:eastAsia="en-GB"/>
        </w:rPr>
        <w:t>ibídem</w:t>
      </w:r>
      <w:r w:rsidRPr="00631B40">
        <w:rPr>
          <w:rFonts w:ascii="Arial" w:eastAsia="Calibri" w:hAnsi="Arial" w:cs="Arial"/>
          <w:color w:val="000000"/>
          <w:sz w:val="22"/>
          <w:lang w:val="es-ES_tradnl" w:eastAsia="en-GB"/>
        </w:rPr>
        <w:t xml:space="preserve"> </w:t>
      </w:r>
      <w:r w:rsidR="007C5A9F" w:rsidRPr="00631B40">
        <w:rPr>
          <w:rFonts w:ascii="Arial" w:eastAsia="Calibri" w:hAnsi="Arial" w:cs="Arial"/>
          <w:color w:val="000000"/>
          <w:sz w:val="22"/>
          <w:lang w:val="es-ES_tradnl" w:eastAsia="en-GB"/>
        </w:rPr>
        <w:t>disponen</w:t>
      </w:r>
      <w:r w:rsidRPr="00631B40">
        <w:rPr>
          <w:rFonts w:ascii="Arial" w:eastAsia="Calibri" w:hAnsi="Arial" w:cs="Arial"/>
          <w:color w:val="000000"/>
          <w:sz w:val="22"/>
          <w:lang w:val="es-ES_tradnl" w:eastAsia="en-GB"/>
        </w:rPr>
        <w:t xml:space="preserve"> que la entidad estatal contratante decidirá sobre la intervención física de terminación o demolición de la obra civil inconclusa, para lo cual podrá disponer de las partidas necesarias, según la disponibilidad de recursos compatibles con el marco fiscal de mediano plazo y la regla fiscal de cada entidad. Además, se podrá presentar en el plan de desarrollo de la entidad una estrategia de atención para determinar la intervención de las obras que se encuentren en el Registro Nacional de Obras Civiles Inconclusas, con énfasis en aquellas que lleven más tiempo sin intervención, siempre atendiendo a la disponibilidad de recursos</w:t>
      </w:r>
      <w:r w:rsidRPr="00631B40">
        <w:rPr>
          <w:rStyle w:val="Refdenotaalpie"/>
          <w:rFonts w:ascii="Arial" w:eastAsia="Calibri" w:hAnsi="Arial" w:cs="Arial"/>
          <w:color w:val="000000"/>
          <w:sz w:val="22"/>
          <w:lang w:val="es-ES_tradnl" w:eastAsia="en-GB"/>
        </w:rPr>
        <w:footnoteReference w:id="5"/>
      </w:r>
      <w:r w:rsidRPr="00631B40">
        <w:rPr>
          <w:rFonts w:ascii="Arial" w:eastAsia="Calibri" w:hAnsi="Arial" w:cs="Arial"/>
          <w:color w:val="000000"/>
          <w:sz w:val="22"/>
          <w:lang w:val="es-ES_tradnl" w:eastAsia="en-GB"/>
        </w:rPr>
        <w:t xml:space="preserve">. </w:t>
      </w:r>
    </w:p>
    <w:p w14:paraId="10F12519" w14:textId="3E0D1D27" w:rsidR="00EE46A2" w:rsidRPr="00631B40" w:rsidRDefault="003F63EE" w:rsidP="00271098">
      <w:pPr>
        <w:tabs>
          <w:tab w:val="left" w:pos="0"/>
        </w:tabs>
        <w:spacing w:before="120" w:line="276" w:lineRule="auto"/>
        <w:ind w:firstLine="709"/>
        <w:jc w:val="both"/>
        <w:rPr>
          <w:rFonts w:ascii="Arial" w:eastAsia="Calibri" w:hAnsi="Arial" w:cs="Arial"/>
          <w:color w:val="000000"/>
          <w:sz w:val="22"/>
          <w:lang w:val="es-ES_tradnl" w:eastAsia="en-GB"/>
        </w:rPr>
      </w:pPr>
      <w:r w:rsidRPr="00631B40">
        <w:rPr>
          <w:rFonts w:ascii="Arial" w:eastAsia="Calibri" w:hAnsi="Arial" w:cs="Arial"/>
          <w:color w:val="000000"/>
          <w:sz w:val="22"/>
          <w:lang w:val="es-ES_tradnl" w:eastAsia="en-GB"/>
        </w:rPr>
        <w:t xml:space="preserve">En tal sentido, esta ley busca que la entidad estatal determine el destino definitivo </w:t>
      </w:r>
      <w:r w:rsidR="008131E7" w:rsidRPr="00631B40">
        <w:rPr>
          <w:rFonts w:ascii="Arial" w:eastAsia="Calibri" w:hAnsi="Arial" w:cs="Arial"/>
          <w:color w:val="000000"/>
          <w:sz w:val="22"/>
          <w:lang w:val="es-ES_tradnl" w:eastAsia="en-GB"/>
        </w:rPr>
        <w:t xml:space="preserve">de </w:t>
      </w:r>
      <w:r w:rsidRPr="00631B40">
        <w:rPr>
          <w:rFonts w:ascii="Arial" w:eastAsia="Calibri" w:hAnsi="Arial" w:cs="Arial"/>
          <w:color w:val="000000"/>
          <w:sz w:val="22"/>
          <w:lang w:val="es-ES_tradnl" w:eastAsia="en-GB"/>
        </w:rPr>
        <w:t>la obra, a través del concepto jurídico, técnico y financiero que emitan las áreas de la entidad</w:t>
      </w:r>
      <w:r w:rsidR="002A0DA6" w:rsidRPr="00631B40">
        <w:rPr>
          <w:rFonts w:ascii="Arial" w:eastAsia="Calibri" w:hAnsi="Arial" w:cs="Arial"/>
          <w:color w:val="000000"/>
          <w:sz w:val="22"/>
          <w:lang w:val="es-ES_tradnl" w:eastAsia="en-GB"/>
        </w:rPr>
        <w:t xml:space="preserve">, </w:t>
      </w:r>
      <w:r w:rsidRPr="00631B40">
        <w:rPr>
          <w:rFonts w:ascii="Arial" w:eastAsia="Calibri" w:hAnsi="Arial" w:cs="Arial"/>
          <w:color w:val="000000"/>
          <w:sz w:val="22"/>
          <w:lang w:val="es-ES_tradnl" w:eastAsia="en-GB"/>
        </w:rPr>
        <w:t xml:space="preserve">cuyas funciones y competencias se encuentran relacionadas con la obra inconclusa, observando, en todo caso, el deber de apropiar las partidas presupuestales correspondientes. De todas formas, si se opta por la demolición, esta </w:t>
      </w:r>
      <w:r w:rsidR="00CF2137" w:rsidRPr="00631B40">
        <w:rPr>
          <w:rFonts w:ascii="Arial" w:eastAsia="Calibri" w:hAnsi="Arial" w:cs="Arial"/>
          <w:color w:val="000000"/>
          <w:sz w:val="22"/>
          <w:lang w:val="es-ES_tradnl" w:eastAsia="en-GB"/>
        </w:rPr>
        <w:t xml:space="preserve">decisión </w:t>
      </w:r>
      <w:r w:rsidRPr="00631B40">
        <w:rPr>
          <w:rFonts w:ascii="Arial" w:eastAsia="Calibri" w:hAnsi="Arial" w:cs="Arial"/>
          <w:color w:val="000000"/>
          <w:sz w:val="22"/>
          <w:lang w:val="es-ES_tradnl" w:eastAsia="en-GB"/>
        </w:rPr>
        <w:t>deberá adopta</w:t>
      </w:r>
      <w:r w:rsidR="00CF2137" w:rsidRPr="00631B40">
        <w:rPr>
          <w:rFonts w:ascii="Arial" w:eastAsia="Calibri" w:hAnsi="Arial" w:cs="Arial"/>
          <w:color w:val="000000"/>
          <w:sz w:val="22"/>
          <w:lang w:val="es-ES_tradnl" w:eastAsia="en-GB"/>
        </w:rPr>
        <w:t>rse</w:t>
      </w:r>
      <w:r w:rsidRPr="00631B40">
        <w:rPr>
          <w:rFonts w:ascii="Arial" w:eastAsia="Calibri" w:hAnsi="Arial" w:cs="Arial"/>
          <w:color w:val="000000"/>
          <w:sz w:val="22"/>
          <w:lang w:val="es-ES_tradnl" w:eastAsia="en-GB"/>
        </w:rPr>
        <w:t xml:space="preserve"> </w:t>
      </w:r>
      <w:r w:rsidR="00CF2137" w:rsidRPr="00631B40">
        <w:rPr>
          <w:rFonts w:ascii="Arial" w:eastAsia="Calibri" w:hAnsi="Arial" w:cs="Arial"/>
          <w:color w:val="000000"/>
          <w:sz w:val="22"/>
          <w:lang w:val="es-ES_tradnl" w:eastAsia="en-GB"/>
        </w:rPr>
        <w:t xml:space="preserve">mediante </w:t>
      </w:r>
      <w:r w:rsidRPr="00631B40">
        <w:rPr>
          <w:rFonts w:ascii="Arial" w:eastAsia="Calibri" w:hAnsi="Arial" w:cs="Arial"/>
          <w:color w:val="000000"/>
          <w:sz w:val="22"/>
          <w:lang w:val="es-ES_tradnl" w:eastAsia="en-GB"/>
        </w:rPr>
        <w:t xml:space="preserve">acto administrativo </w:t>
      </w:r>
      <w:r w:rsidR="00CF2137" w:rsidRPr="00631B40">
        <w:rPr>
          <w:rFonts w:ascii="Arial" w:eastAsia="Calibri" w:hAnsi="Arial" w:cs="Arial"/>
          <w:color w:val="000000"/>
          <w:sz w:val="22"/>
          <w:lang w:val="es-ES_tradnl" w:eastAsia="en-GB"/>
        </w:rPr>
        <w:t xml:space="preserve">expedido </w:t>
      </w:r>
      <w:r w:rsidRPr="00631B40">
        <w:rPr>
          <w:rFonts w:ascii="Arial" w:eastAsia="Calibri" w:hAnsi="Arial" w:cs="Arial"/>
          <w:color w:val="000000"/>
          <w:sz w:val="22"/>
          <w:lang w:val="es-ES_tradnl" w:eastAsia="en-GB"/>
        </w:rPr>
        <w:t>por el representante legal de la entidad a cargo de la obra</w:t>
      </w:r>
      <w:r w:rsidR="00CF2137" w:rsidRPr="00631B40">
        <w:rPr>
          <w:rFonts w:ascii="Arial" w:eastAsia="Calibri" w:hAnsi="Arial" w:cs="Arial"/>
          <w:color w:val="000000"/>
          <w:sz w:val="22"/>
          <w:lang w:val="es-ES_tradnl" w:eastAsia="en-GB"/>
        </w:rPr>
        <w:t>,</w:t>
      </w:r>
      <w:r w:rsidRPr="00631B40">
        <w:rPr>
          <w:rFonts w:ascii="Arial" w:eastAsia="Calibri" w:hAnsi="Arial" w:cs="Arial"/>
          <w:color w:val="000000"/>
          <w:sz w:val="22"/>
          <w:lang w:val="es-ES_tradnl" w:eastAsia="en-GB"/>
        </w:rPr>
        <w:t xml:space="preserve"> y </w:t>
      </w:r>
      <w:r w:rsidR="009C37EA" w:rsidRPr="00631B40">
        <w:rPr>
          <w:rFonts w:ascii="Arial" w:eastAsia="Calibri" w:hAnsi="Arial" w:cs="Arial"/>
          <w:color w:val="000000"/>
          <w:sz w:val="22"/>
          <w:lang w:val="es-ES_tradnl" w:eastAsia="en-GB"/>
        </w:rPr>
        <w:t>solo podrá</w:t>
      </w:r>
      <w:r w:rsidRPr="00631B40">
        <w:rPr>
          <w:rFonts w:ascii="Arial" w:eastAsia="Calibri" w:hAnsi="Arial" w:cs="Arial"/>
          <w:color w:val="000000"/>
          <w:sz w:val="22"/>
          <w:lang w:val="es-ES_tradnl" w:eastAsia="en-GB"/>
        </w:rPr>
        <w:t xml:space="preserve"> ordena</w:t>
      </w:r>
      <w:r w:rsidR="00CF2137" w:rsidRPr="00631B40">
        <w:rPr>
          <w:rFonts w:ascii="Arial" w:eastAsia="Calibri" w:hAnsi="Arial" w:cs="Arial"/>
          <w:color w:val="000000"/>
          <w:sz w:val="22"/>
          <w:lang w:val="es-ES_tradnl" w:eastAsia="en-GB"/>
        </w:rPr>
        <w:t>rse</w:t>
      </w:r>
      <w:r w:rsidRPr="00631B40">
        <w:rPr>
          <w:rFonts w:ascii="Arial" w:eastAsia="Calibri" w:hAnsi="Arial" w:cs="Arial"/>
          <w:color w:val="000000"/>
          <w:sz w:val="22"/>
          <w:lang w:val="es-ES_tradnl" w:eastAsia="en-GB"/>
        </w:rPr>
        <w:t xml:space="preserve"> en casos de ruina o grave amenaza a los derechos fundamentales o colectivos, debidamente evaluada. </w:t>
      </w:r>
    </w:p>
    <w:p w14:paraId="4B41162D" w14:textId="77777777" w:rsidR="005E1927" w:rsidRPr="00631B40" w:rsidRDefault="005E1927" w:rsidP="005E1927">
      <w:pPr>
        <w:tabs>
          <w:tab w:val="left" w:pos="0"/>
        </w:tabs>
        <w:spacing w:before="120" w:line="276" w:lineRule="auto"/>
        <w:ind w:firstLine="709"/>
        <w:jc w:val="both"/>
        <w:rPr>
          <w:rFonts w:ascii="Arial" w:eastAsia="Calibri" w:hAnsi="Arial" w:cs="Arial"/>
          <w:color w:val="000000"/>
          <w:sz w:val="22"/>
          <w:lang w:val="es-ES_tradnl" w:eastAsia="en-GB"/>
        </w:rPr>
      </w:pPr>
      <w:r w:rsidRPr="00631B40">
        <w:rPr>
          <w:rFonts w:ascii="Arial" w:eastAsia="Calibri" w:hAnsi="Arial" w:cs="Arial"/>
          <w:color w:val="000000"/>
          <w:sz w:val="22"/>
          <w:lang w:val="es-ES_tradnl" w:eastAsia="en-GB"/>
        </w:rPr>
        <w:t>De conformidad con el artículo 3 de la Ley 2020 de 2020</w:t>
      </w:r>
      <w:r w:rsidRPr="00631B40">
        <w:rPr>
          <w:rStyle w:val="Refdenotaalpie"/>
          <w:rFonts w:ascii="Arial" w:eastAsia="Calibri" w:hAnsi="Arial" w:cs="Arial"/>
          <w:color w:val="000000"/>
          <w:sz w:val="22"/>
          <w:lang w:val="es-ES_tradnl" w:eastAsia="en-GB"/>
        </w:rPr>
        <w:footnoteReference w:id="6"/>
      </w:r>
      <w:r w:rsidRPr="00631B40">
        <w:rPr>
          <w:rFonts w:ascii="Arial" w:eastAsia="Calibri" w:hAnsi="Arial" w:cs="Arial"/>
          <w:color w:val="000000"/>
          <w:sz w:val="22"/>
          <w:lang w:val="es-ES_tradnl" w:eastAsia="en-GB"/>
        </w:rPr>
        <w:t xml:space="preserve">, el Registro Nacional de Obras Civiles Inconclusas es un sistema administrado por la Contraloría General de la </w:t>
      </w:r>
      <w:r w:rsidRPr="00631B40">
        <w:rPr>
          <w:rFonts w:ascii="Arial" w:eastAsia="Calibri" w:hAnsi="Arial" w:cs="Arial"/>
          <w:color w:val="000000"/>
          <w:sz w:val="22"/>
          <w:lang w:val="es-ES_tradnl" w:eastAsia="en-GB"/>
        </w:rPr>
        <w:lastRenderedPageBreak/>
        <w:t>República</w:t>
      </w:r>
      <w:r w:rsidRPr="00631B40">
        <w:rPr>
          <w:rStyle w:val="Refdenotaalpie"/>
          <w:rFonts w:ascii="Arial" w:eastAsia="Calibri" w:hAnsi="Arial" w:cs="Arial"/>
          <w:color w:val="000000"/>
          <w:sz w:val="22"/>
          <w:lang w:val="es-ES_tradnl" w:eastAsia="en-GB"/>
        </w:rPr>
        <w:footnoteReference w:id="7"/>
      </w:r>
      <w:r w:rsidRPr="00631B40">
        <w:rPr>
          <w:rFonts w:ascii="Arial" w:eastAsia="Calibri" w:hAnsi="Arial" w:cs="Arial"/>
          <w:color w:val="000000"/>
          <w:sz w:val="22"/>
          <w:lang w:val="es-ES_tradnl" w:eastAsia="en-GB"/>
        </w:rPr>
        <w:t xml:space="preserve">, construido a partir de la información remitida por las entidades estatales en los distintos niveles o los datos obtenidos por dicho órgano de control fiscal, sobre las obras inconclusas del país. El artículo 2, literal b) de la Ley 2020 de 2020 complementa esta noción, indicando que el Registro Nacional de Obras Civiles Inconclusas </w:t>
      </w:r>
      <w:bookmarkStart w:id="7" w:name="_Hlk86842018"/>
      <w:r w:rsidRPr="00631B40">
        <w:rPr>
          <w:rFonts w:ascii="Arial" w:eastAsia="Calibri" w:hAnsi="Arial" w:cs="Arial"/>
          <w:color w:val="000000"/>
          <w:sz w:val="22"/>
          <w:lang w:val="es-ES_tradnl" w:eastAsia="en-GB"/>
        </w:rPr>
        <w:t>«</w:t>
      </w:r>
      <w:bookmarkEnd w:id="7"/>
      <w:r w:rsidRPr="00631B40">
        <w:rPr>
          <w:rFonts w:ascii="Arial" w:eastAsia="Calibri" w:hAnsi="Arial" w:cs="Arial"/>
          <w:color w:val="000000"/>
          <w:sz w:val="22"/>
          <w:lang w:val="es-ES_tradnl" w:eastAsia="en-GB"/>
        </w:rPr>
        <w:t xml:space="preserve">Es un sistema que contiene los datos sobre obras inconclusas en todo el territorio nacional. El inventario de obras civiles inconclusas reportado por las entidades estatales hará parte integral del banco de proyectos de la respectiva entidad». </w:t>
      </w:r>
    </w:p>
    <w:p w14:paraId="1AFC9A9C" w14:textId="652C079A" w:rsidR="005E1927" w:rsidRPr="00631B40" w:rsidRDefault="00013AA0" w:rsidP="005E1927">
      <w:pPr>
        <w:tabs>
          <w:tab w:val="left" w:pos="0"/>
        </w:tabs>
        <w:spacing w:before="120" w:line="276" w:lineRule="auto"/>
        <w:ind w:firstLine="709"/>
        <w:jc w:val="both"/>
        <w:rPr>
          <w:rFonts w:ascii="Arial" w:hAnsi="Arial" w:cs="Arial"/>
          <w:color w:val="000000" w:themeColor="text1"/>
          <w:sz w:val="22"/>
          <w:lang w:val="es-ES_tradnl"/>
        </w:rPr>
      </w:pPr>
      <w:r w:rsidRPr="00631B40">
        <w:rPr>
          <w:rFonts w:ascii="Arial" w:eastAsia="Calibri" w:hAnsi="Arial" w:cs="Arial"/>
          <w:color w:val="000000"/>
          <w:sz w:val="22"/>
          <w:lang w:val="es-ES_tradnl" w:eastAsia="en-GB"/>
        </w:rPr>
        <w:t>Asimismo, l</w:t>
      </w:r>
      <w:r w:rsidR="005E1927" w:rsidRPr="00631B40">
        <w:rPr>
          <w:rFonts w:ascii="Arial" w:eastAsia="Calibri" w:hAnsi="Arial" w:cs="Arial"/>
          <w:color w:val="000000"/>
          <w:sz w:val="22"/>
          <w:lang w:val="es-ES_tradnl" w:eastAsia="en-GB"/>
        </w:rPr>
        <w:t>a información de este</w:t>
      </w:r>
      <w:r w:rsidR="005E1927" w:rsidRPr="00631B40">
        <w:rPr>
          <w:rFonts w:ascii="Arial" w:hAnsi="Arial" w:cs="Arial"/>
          <w:color w:val="000000" w:themeColor="text1"/>
          <w:sz w:val="22"/>
          <w:lang w:val="es-ES_tradnl"/>
        </w:rPr>
        <w:t xml:space="preserve"> registro debe actualizarse permanentemente</w:t>
      </w:r>
      <w:r w:rsidRPr="00631B40">
        <w:rPr>
          <w:rFonts w:ascii="Arial" w:hAnsi="Arial" w:cs="Arial"/>
          <w:color w:val="000000" w:themeColor="text1"/>
          <w:sz w:val="22"/>
          <w:lang w:val="es-ES_tradnl"/>
        </w:rPr>
        <w:t>. L</w:t>
      </w:r>
      <w:r w:rsidR="005E1927" w:rsidRPr="00631B40">
        <w:rPr>
          <w:rFonts w:ascii="Arial" w:hAnsi="Arial" w:cs="Arial"/>
          <w:color w:val="000000" w:themeColor="text1"/>
          <w:sz w:val="22"/>
          <w:lang w:val="es-ES_tradnl"/>
        </w:rPr>
        <w:t>a Contraloría General de la República y las entidades estatales deberán realizar el seguimiento y actualización del Registro Nacional de Obras Civiles Inconclusas con el fin de establecer la realidad respecto de la condición técnica, física y financiera de aquellas. Además, las entidades estatales deberán garantizar la actualización permanente del Registro Nacional de Obras Civiles Inconclusas en los términos y condiciones que disponga la Contraloría General de la República</w:t>
      </w:r>
      <w:r w:rsidR="005E1927" w:rsidRPr="00631B40">
        <w:rPr>
          <w:rStyle w:val="Refdenotaalpie"/>
          <w:rFonts w:ascii="Arial" w:eastAsia="Calibri" w:hAnsi="Arial" w:cs="Arial"/>
          <w:color w:val="000000"/>
          <w:sz w:val="22"/>
          <w:lang w:val="es-ES_tradnl" w:eastAsia="en-GB"/>
        </w:rPr>
        <w:footnoteReference w:id="8"/>
      </w:r>
      <w:r w:rsidR="005E1927" w:rsidRPr="00631B40">
        <w:rPr>
          <w:rFonts w:ascii="Arial" w:hAnsi="Arial" w:cs="Arial"/>
          <w:color w:val="000000" w:themeColor="text1"/>
          <w:sz w:val="22"/>
          <w:lang w:val="es-ES_tradnl"/>
        </w:rPr>
        <w:t>.</w:t>
      </w:r>
    </w:p>
    <w:p w14:paraId="37301923" w14:textId="6C364E59" w:rsidR="005E1927" w:rsidRPr="00631B40" w:rsidRDefault="005E1927" w:rsidP="006E11F3">
      <w:pPr>
        <w:tabs>
          <w:tab w:val="left" w:pos="0"/>
        </w:tabs>
        <w:spacing w:before="120" w:line="276" w:lineRule="auto"/>
        <w:ind w:firstLine="709"/>
        <w:jc w:val="both"/>
        <w:rPr>
          <w:rFonts w:ascii="Arial" w:eastAsia="Calibri" w:hAnsi="Arial" w:cs="Arial"/>
          <w:color w:val="000000"/>
          <w:sz w:val="22"/>
          <w:lang w:val="es-ES_tradnl" w:eastAsia="en-GB"/>
        </w:rPr>
      </w:pPr>
      <w:r w:rsidRPr="00631B40">
        <w:rPr>
          <w:rFonts w:ascii="Arial" w:eastAsia="Calibri" w:hAnsi="Arial" w:cs="Arial"/>
          <w:color w:val="000000"/>
          <w:sz w:val="22"/>
          <w:lang w:val="es-ES_tradnl" w:eastAsia="en-GB"/>
        </w:rPr>
        <w:t xml:space="preserve">De esta manera, la </w:t>
      </w:r>
      <w:r w:rsidRPr="00631B40">
        <w:rPr>
          <w:rFonts w:ascii="Arial" w:hAnsi="Arial" w:cs="Arial"/>
          <w:color w:val="000000" w:themeColor="text1"/>
          <w:sz w:val="22"/>
          <w:lang w:val="es-ES_tradnl"/>
        </w:rPr>
        <w:t>Contraloría General de la República</w:t>
      </w:r>
      <w:r w:rsidR="002319A7" w:rsidRPr="00631B40">
        <w:rPr>
          <w:rFonts w:ascii="Arial" w:hAnsi="Arial" w:cs="Arial"/>
          <w:color w:val="000000" w:themeColor="text1"/>
          <w:sz w:val="22"/>
          <w:lang w:val="es-ES_tradnl"/>
        </w:rPr>
        <w:t>, a través de la Dirección de Información, Análisis y Reacción Inmediata,</w:t>
      </w:r>
      <w:r w:rsidRPr="00631B40">
        <w:rPr>
          <w:rFonts w:ascii="Arial" w:hAnsi="Arial" w:cs="Arial"/>
          <w:color w:val="000000" w:themeColor="text1"/>
          <w:sz w:val="22"/>
          <w:lang w:val="es-ES_tradnl"/>
        </w:rPr>
        <w:t xml:space="preserve"> es la encargada de dirigir y coordinar </w:t>
      </w:r>
      <w:r w:rsidRPr="00631B40">
        <w:rPr>
          <w:rFonts w:ascii="Arial" w:eastAsia="Calibri" w:hAnsi="Arial" w:cs="Arial"/>
          <w:color w:val="000000"/>
          <w:sz w:val="22"/>
          <w:lang w:val="es-ES_tradnl" w:eastAsia="en-GB"/>
        </w:rPr>
        <w:t>el Registro Nacional de Obras Civiles Inconclusas</w:t>
      </w:r>
      <w:r w:rsidR="00E31881" w:rsidRPr="00631B40">
        <w:rPr>
          <w:rFonts w:ascii="Arial" w:eastAsia="Calibri" w:hAnsi="Arial" w:cs="Arial"/>
          <w:color w:val="000000"/>
          <w:sz w:val="22"/>
          <w:lang w:val="es-ES_tradnl" w:eastAsia="en-GB"/>
        </w:rPr>
        <w:t xml:space="preserve"> y realizar el seguimiento y actualización d</w:t>
      </w:r>
      <w:r w:rsidR="00E34616" w:rsidRPr="00631B40">
        <w:rPr>
          <w:rFonts w:ascii="Arial" w:eastAsia="Calibri" w:hAnsi="Arial" w:cs="Arial"/>
          <w:color w:val="000000"/>
          <w:sz w:val="22"/>
          <w:lang w:val="es-ES_tradnl" w:eastAsia="en-GB"/>
        </w:rPr>
        <w:t>e este</w:t>
      </w:r>
      <w:r w:rsidR="00E31881" w:rsidRPr="00631B40">
        <w:rPr>
          <w:rFonts w:ascii="Arial" w:eastAsia="Calibri" w:hAnsi="Arial" w:cs="Arial"/>
          <w:color w:val="000000"/>
          <w:sz w:val="22"/>
          <w:lang w:val="es-ES_tradnl" w:eastAsia="en-GB"/>
        </w:rPr>
        <w:t xml:space="preserve">. </w:t>
      </w:r>
      <w:r w:rsidR="00060041" w:rsidRPr="00631B40">
        <w:rPr>
          <w:rFonts w:ascii="Arial" w:eastAsia="Calibri" w:hAnsi="Arial" w:cs="Arial"/>
          <w:color w:val="000000"/>
          <w:sz w:val="22"/>
          <w:lang w:val="es-ES_tradnl" w:eastAsia="en-GB"/>
        </w:rPr>
        <w:t>Por ello, m</w:t>
      </w:r>
      <w:r w:rsidRPr="00631B40">
        <w:rPr>
          <w:rFonts w:ascii="Arial" w:eastAsia="Calibri" w:hAnsi="Arial" w:cs="Arial"/>
          <w:color w:val="000000"/>
          <w:sz w:val="22"/>
          <w:lang w:val="es-ES_tradnl" w:eastAsia="en-GB"/>
        </w:rPr>
        <w:t>ediante la Resolución No. REG-ORD-0</w:t>
      </w:r>
      <w:r w:rsidR="00A84147" w:rsidRPr="00631B40">
        <w:rPr>
          <w:rFonts w:ascii="Arial" w:eastAsia="Calibri" w:hAnsi="Arial" w:cs="Arial"/>
          <w:color w:val="000000"/>
          <w:sz w:val="22"/>
          <w:lang w:val="es-ES_tradnl" w:eastAsia="en-GB"/>
        </w:rPr>
        <w:t>0</w:t>
      </w:r>
      <w:r w:rsidRPr="00631B40">
        <w:rPr>
          <w:rFonts w:ascii="Arial" w:eastAsia="Calibri" w:hAnsi="Arial" w:cs="Arial"/>
          <w:color w:val="000000"/>
          <w:sz w:val="22"/>
          <w:lang w:val="es-ES_tradnl" w:eastAsia="en-GB"/>
        </w:rPr>
        <w:t>42-2020 del 25 de agosto de 2020</w:t>
      </w:r>
      <w:r w:rsidR="003E645D" w:rsidRPr="00631B40">
        <w:rPr>
          <w:rStyle w:val="Refdenotaalpie"/>
          <w:rFonts w:ascii="Arial" w:eastAsia="Calibri" w:hAnsi="Arial" w:cs="Arial"/>
          <w:color w:val="000000"/>
          <w:sz w:val="22"/>
          <w:lang w:val="es-ES_tradnl" w:eastAsia="en-GB"/>
        </w:rPr>
        <w:footnoteReference w:id="9"/>
      </w:r>
      <w:r w:rsidR="00E34616" w:rsidRPr="00631B40">
        <w:rPr>
          <w:rFonts w:ascii="Arial" w:eastAsia="Calibri" w:hAnsi="Arial" w:cs="Arial"/>
          <w:color w:val="000000"/>
          <w:sz w:val="22"/>
          <w:lang w:val="es-ES_tradnl" w:eastAsia="en-GB"/>
        </w:rPr>
        <w:t>,</w:t>
      </w:r>
      <w:r w:rsidR="00E31881" w:rsidRPr="00631B40">
        <w:rPr>
          <w:rFonts w:ascii="Arial" w:eastAsia="Calibri" w:hAnsi="Arial" w:cs="Arial"/>
          <w:color w:val="000000"/>
          <w:sz w:val="22"/>
          <w:lang w:val="es-ES_tradnl" w:eastAsia="en-GB"/>
        </w:rPr>
        <w:t xml:space="preserve"> expedida por la </w:t>
      </w:r>
      <w:r w:rsidR="00E31881" w:rsidRPr="00631B40">
        <w:rPr>
          <w:rFonts w:ascii="Arial" w:hAnsi="Arial" w:cs="Arial"/>
          <w:color w:val="000000" w:themeColor="text1"/>
          <w:sz w:val="22"/>
          <w:lang w:val="es-ES_tradnl"/>
        </w:rPr>
        <w:t>Contraloría General de la República</w:t>
      </w:r>
      <w:r w:rsidR="00E34616" w:rsidRPr="00631B40">
        <w:rPr>
          <w:rFonts w:ascii="Arial" w:hAnsi="Arial" w:cs="Arial"/>
          <w:color w:val="000000" w:themeColor="text1"/>
          <w:sz w:val="22"/>
          <w:lang w:val="es-ES_tradnl"/>
        </w:rPr>
        <w:t>,</w:t>
      </w:r>
      <w:r w:rsidR="00E31881" w:rsidRPr="00631B40">
        <w:rPr>
          <w:rFonts w:ascii="Arial" w:eastAsia="Calibri" w:hAnsi="Arial" w:cs="Arial"/>
          <w:color w:val="000000"/>
          <w:sz w:val="22"/>
          <w:lang w:val="es-ES_tradnl" w:eastAsia="en-GB"/>
        </w:rPr>
        <w:t xml:space="preserve"> </w:t>
      </w:r>
      <w:r w:rsidRPr="00631B40">
        <w:rPr>
          <w:rFonts w:ascii="Arial" w:eastAsia="Calibri" w:hAnsi="Arial" w:cs="Arial"/>
          <w:color w:val="000000"/>
          <w:sz w:val="22"/>
          <w:lang w:val="es-ES_tradnl" w:eastAsia="en-GB"/>
        </w:rPr>
        <w:t xml:space="preserve">se estableció que la información concerniente al Registro Nacional de Obras Civiles Inconclusas se rendiría a través del SIRECI, conforme al Capítulo II </w:t>
      </w:r>
      <w:r w:rsidR="00936472" w:rsidRPr="00631B40">
        <w:rPr>
          <w:rFonts w:ascii="Arial" w:eastAsia="Calibri" w:hAnsi="Arial" w:cs="Arial"/>
          <w:color w:val="000000"/>
          <w:sz w:val="22"/>
          <w:lang w:val="es-ES_tradnl" w:eastAsia="en-GB"/>
        </w:rPr>
        <w:t>«</w:t>
      </w:r>
      <w:r w:rsidRPr="00631B40">
        <w:rPr>
          <w:rFonts w:ascii="Arial" w:eastAsia="Calibri" w:hAnsi="Arial" w:cs="Arial"/>
          <w:color w:val="000000"/>
          <w:sz w:val="22"/>
          <w:lang w:val="es-ES_tradnl" w:eastAsia="en-GB"/>
        </w:rPr>
        <w:t>Información de Obras Inconclusas</w:t>
      </w:r>
      <w:r w:rsidR="00936472" w:rsidRPr="00631B40">
        <w:rPr>
          <w:rFonts w:ascii="Arial" w:eastAsia="Calibri" w:hAnsi="Arial" w:cs="Arial"/>
          <w:color w:val="000000"/>
          <w:sz w:val="22"/>
          <w:lang w:val="es-ES_tradnl" w:eastAsia="en-GB"/>
        </w:rPr>
        <w:t>»</w:t>
      </w:r>
      <w:r w:rsidRPr="00631B40">
        <w:rPr>
          <w:rFonts w:ascii="Arial" w:eastAsia="Calibri" w:hAnsi="Arial" w:cs="Arial"/>
          <w:color w:val="000000"/>
          <w:sz w:val="22"/>
          <w:lang w:val="es-ES_tradnl" w:eastAsia="en-GB"/>
        </w:rPr>
        <w:t xml:space="preserve"> del Título III </w:t>
      </w:r>
      <w:r w:rsidR="00936472" w:rsidRPr="00631B40">
        <w:rPr>
          <w:rFonts w:ascii="Arial" w:eastAsia="Calibri" w:hAnsi="Arial" w:cs="Arial"/>
          <w:color w:val="000000"/>
          <w:sz w:val="22"/>
          <w:lang w:val="es-ES_tradnl" w:eastAsia="en-GB"/>
        </w:rPr>
        <w:t>«</w:t>
      </w:r>
      <w:r w:rsidRPr="00631B40">
        <w:rPr>
          <w:rFonts w:ascii="Arial" w:eastAsia="Calibri" w:hAnsi="Arial" w:cs="Arial"/>
          <w:color w:val="000000"/>
          <w:sz w:val="22"/>
          <w:lang w:val="es-ES_tradnl" w:eastAsia="en-GB"/>
        </w:rPr>
        <w:t>Rendición de Otra Información</w:t>
      </w:r>
      <w:r w:rsidR="00936472" w:rsidRPr="00631B40">
        <w:rPr>
          <w:rFonts w:ascii="Arial" w:eastAsia="Calibri" w:hAnsi="Arial" w:cs="Arial"/>
          <w:color w:val="000000"/>
          <w:sz w:val="22"/>
          <w:lang w:val="es-ES_tradnl" w:eastAsia="en-GB"/>
        </w:rPr>
        <w:t>»</w:t>
      </w:r>
      <w:r w:rsidR="00E31881" w:rsidRPr="00631B40">
        <w:rPr>
          <w:rFonts w:ascii="Arial" w:eastAsia="Calibri" w:hAnsi="Arial" w:cs="Arial"/>
          <w:color w:val="000000"/>
          <w:sz w:val="22"/>
          <w:lang w:val="es-ES_tradnl" w:eastAsia="en-GB"/>
        </w:rPr>
        <w:t>.</w:t>
      </w:r>
      <w:r w:rsidR="00936472" w:rsidRPr="00631B40">
        <w:rPr>
          <w:rFonts w:ascii="Arial" w:eastAsia="Calibri" w:hAnsi="Arial" w:cs="Arial"/>
          <w:color w:val="000000"/>
          <w:sz w:val="22"/>
          <w:lang w:val="es-ES_tradnl" w:eastAsia="en-GB"/>
        </w:rPr>
        <w:t xml:space="preserve"> De acuerdo con</w:t>
      </w:r>
      <w:r w:rsidR="005956EC" w:rsidRPr="00631B40">
        <w:rPr>
          <w:rFonts w:ascii="Arial" w:eastAsia="Calibri" w:hAnsi="Arial" w:cs="Arial"/>
          <w:color w:val="000000"/>
          <w:sz w:val="22"/>
          <w:lang w:val="es-ES_tradnl" w:eastAsia="en-GB"/>
        </w:rPr>
        <w:t xml:space="preserve"> </w:t>
      </w:r>
      <w:r w:rsidR="00936472" w:rsidRPr="00631B40">
        <w:rPr>
          <w:rFonts w:ascii="Arial" w:eastAsia="Calibri" w:hAnsi="Arial" w:cs="Arial"/>
          <w:color w:val="000000"/>
          <w:sz w:val="22"/>
          <w:lang w:val="es-ES_tradnl" w:eastAsia="en-GB"/>
        </w:rPr>
        <w:t>e</w:t>
      </w:r>
      <w:r w:rsidR="00060041" w:rsidRPr="00631B40">
        <w:rPr>
          <w:rFonts w:ascii="Arial" w:eastAsia="Calibri" w:hAnsi="Arial" w:cs="Arial"/>
          <w:color w:val="000000"/>
          <w:sz w:val="22"/>
          <w:lang w:val="es-ES_tradnl" w:eastAsia="en-GB"/>
        </w:rPr>
        <w:t xml:space="preserve">l artículo </w:t>
      </w:r>
      <w:r w:rsidR="006F2B09" w:rsidRPr="00631B40">
        <w:rPr>
          <w:rFonts w:ascii="Arial" w:eastAsia="Calibri" w:hAnsi="Arial" w:cs="Arial"/>
          <w:color w:val="000000"/>
          <w:sz w:val="22"/>
          <w:lang w:val="es-ES_tradnl" w:eastAsia="en-GB"/>
        </w:rPr>
        <w:t>5</w:t>
      </w:r>
      <w:r w:rsidR="006E11F3" w:rsidRPr="00631B40">
        <w:rPr>
          <w:rFonts w:ascii="Arial" w:eastAsia="Calibri" w:hAnsi="Arial" w:cs="Arial"/>
          <w:color w:val="000000"/>
          <w:sz w:val="22"/>
          <w:lang w:val="es-ES_tradnl" w:eastAsia="en-GB"/>
        </w:rPr>
        <w:t>1</w:t>
      </w:r>
      <w:r w:rsidR="003E645D" w:rsidRPr="00631B40">
        <w:rPr>
          <w:rFonts w:ascii="Arial" w:eastAsia="Calibri" w:hAnsi="Arial" w:cs="Arial"/>
          <w:color w:val="000000"/>
          <w:sz w:val="22"/>
          <w:lang w:val="es-ES_tradnl" w:eastAsia="en-GB"/>
        </w:rPr>
        <w:t xml:space="preserve"> de dicha Resolución</w:t>
      </w:r>
      <w:r w:rsidR="00936472" w:rsidRPr="00631B40">
        <w:rPr>
          <w:rFonts w:ascii="Arial" w:eastAsia="Calibri" w:hAnsi="Arial" w:cs="Arial"/>
          <w:color w:val="000000"/>
          <w:sz w:val="22"/>
          <w:lang w:val="es-ES_tradnl" w:eastAsia="en-GB"/>
        </w:rPr>
        <w:t xml:space="preserve">, </w:t>
      </w:r>
      <w:r w:rsidR="006F2B09" w:rsidRPr="00631B40">
        <w:rPr>
          <w:rFonts w:ascii="Arial" w:eastAsia="Calibri" w:hAnsi="Arial" w:cs="Arial"/>
          <w:color w:val="000000"/>
          <w:sz w:val="22"/>
          <w:lang w:val="es-ES_tradnl" w:eastAsia="en-GB"/>
        </w:rPr>
        <w:t xml:space="preserve">el </w:t>
      </w:r>
      <w:r w:rsidR="006F2B09" w:rsidRPr="00631B40">
        <w:rPr>
          <w:rFonts w:ascii="Arial" w:eastAsia="Calibri" w:hAnsi="Arial" w:cs="Arial"/>
          <w:color w:val="000000"/>
          <w:sz w:val="22"/>
          <w:lang w:val="es-ES_tradnl" w:eastAsia="en-GB"/>
        </w:rPr>
        <w:lastRenderedPageBreak/>
        <w:t xml:space="preserve">contenido de la información es la requerida en el Sistema de Rendición Electrónico de la Cuenta e Informe y Otra Información </w:t>
      </w:r>
      <w:r w:rsidR="00CF2137" w:rsidRPr="00631B40">
        <w:rPr>
          <w:rFonts w:ascii="Arial" w:eastAsia="Calibri" w:hAnsi="Arial" w:cs="Arial"/>
          <w:color w:val="000000"/>
          <w:sz w:val="22"/>
          <w:lang w:val="es-ES_tradnl" w:eastAsia="en-GB"/>
        </w:rPr>
        <w:t>–</w:t>
      </w:r>
      <w:r w:rsidR="006F2B09" w:rsidRPr="00631B40">
        <w:rPr>
          <w:rFonts w:ascii="Arial" w:eastAsia="Calibri" w:hAnsi="Arial" w:cs="Arial"/>
          <w:color w:val="000000"/>
          <w:sz w:val="22"/>
          <w:lang w:val="es-ES_tradnl" w:eastAsia="en-GB"/>
        </w:rPr>
        <w:t>SIRECI</w:t>
      </w:r>
      <w:r w:rsidR="00CF2137" w:rsidRPr="00631B40">
        <w:rPr>
          <w:rFonts w:ascii="Arial" w:eastAsia="Calibri" w:hAnsi="Arial" w:cs="Arial"/>
          <w:color w:val="000000"/>
          <w:sz w:val="22"/>
          <w:lang w:val="es-ES_tradnl" w:eastAsia="en-GB"/>
        </w:rPr>
        <w:t>–</w:t>
      </w:r>
      <w:r w:rsidR="006F2B09" w:rsidRPr="00631B40">
        <w:rPr>
          <w:rFonts w:ascii="Arial" w:eastAsia="Calibri" w:hAnsi="Arial" w:cs="Arial"/>
          <w:color w:val="000000"/>
          <w:sz w:val="22"/>
          <w:lang w:val="es-ES_tradnl" w:eastAsia="en-GB"/>
        </w:rPr>
        <w:t>, sobre la información que debe incorporar</w:t>
      </w:r>
      <w:r w:rsidR="00CF2137" w:rsidRPr="00631B40">
        <w:rPr>
          <w:rFonts w:ascii="Arial" w:eastAsia="Calibri" w:hAnsi="Arial" w:cs="Arial"/>
          <w:color w:val="000000"/>
          <w:sz w:val="22"/>
          <w:lang w:val="es-ES_tradnl" w:eastAsia="en-GB"/>
        </w:rPr>
        <w:t>se</w:t>
      </w:r>
      <w:r w:rsidR="006F2B09" w:rsidRPr="00631B40">
        <w:rPr>
          <w:rFonts w:ascii="Arial" w:eastAsia="Calibri" w:hAnsi="Arial" w:cs="Arial"/>
          <w:color w:val="000000"/>
          <w:sz w:val="22"/>
          <w:lang w:val="es-ES_tradnl" w:eastAsia="en-GB"/>
        </w:rPr>
        <w:t xml:space="preserve"> en la relación de obras civiles inconclusas, de conformidad con la ley. </w:t>
      </w:r>
    </w:p>
    <w:p w14:paraId="0E2F3C07" w14:textId="3D57AC8A" w:rsidR="006F44B7" w:rsidRPr="00631B40" w:rsidRDefault="00D051BB" w:rsidP="002319A7">
      <w:pPr>
        <w:tabs>
          <w:tab w:val="left" w:pos="0"/>
        </w:tabs>
        <w:spacing w:before="120" w:line="276" w:lineRule="auto"/>
        <w:ind w:firstLine="709"/>
        <w:jc w:val="both"/>
        <w:rPr>
          <w:rFonts w:ascii="Arial" w:eastAsia="Calibri" w:hAnsi="Arial" w:cs="Arial"/>
          <w:color w:val="000000"/>
          <w:sz w:val="22"/>
          <w:lang w:val="es-ES_tradnl" w:eastAsia="en-GB"/>
        </w:rPr>
      </w:pPr>
      <w:r w:rsidRPr="00631B40">
        <w:rPr>
          <w:rFonts w:ascii="Arial" w:eastAsia="Calibri" w:hAnsi="Arial" w:cs="Arial"/>
          <w:color w:val="000000"/>
          <w:sz w:val="22"/>
          <w:lang w:val="es-ES_tradnl" w:eastAsia="en-GB"/>
        </w:rPr>
        <w:t>Respecto a</w:t>
      </w:r>
      <w:r w:rsidR="003F63EE" w:rsidRPr="00631B40">
        <w:rPr>
          <w:rFonts w:ascii="Arial" w:eastAsia="Calibri" w:hAnsi="Arial" w:cs="Arial"/>
          <w:color w:val="000000"/>
          <w:sz w:val="22"/>
          <w:lang w:val="es-ES_tradnl" w:eastAsia="en-GB"/>
        </w:rPr>
        <w:t xml:space="preserve">l contenido del Registro Nacional de Obras Civiles Inconclusas, </w:t>
      </w:r>
      <w:bookmarkStart w:id="8" w:name="_Hlk71184896"/>
      <w:r w:rsidR="003F63EE" w:rsidRPr="00631B40">
        <w:rPr>
          <w:rFonts w:ascii="Arial" w:eastAsia="Calibri" w:hAnsi="Arial" w:cs="Arial"/>
          <w:color w:val="000000"/>
          <w:sz w:val="22"/>
          <w:lang w:val="es-ES_tradnl" w:eastAsia="en-GB"/>
        </w:rPr>
        <w:t xml:space="preserve">el artículo 4 </w:t>
      </w:r>
      <w:r w:rsidR="00F51ED2" w:rsidRPr="00631B40">
        <w:rPr>
          <w:rFonts w:ascii="Arial" w:eastAsia="Calibri" w:hAnsi="Arial" w:cs="Arial"/>
          <w:color w:val="000000"/>
          <w:sz w:val="22"/>
          <w:lang w:val="es-ES_tradnl" w:eastAsia="en-GB"/>
        </w:rPr>
        <w:t xml:space="preserve">de la Ley 2020 de 2020 </w:t>
      </w:r>
      <w:r w:rsidR="003F63EE" w:rsidRPr="00631B40">
        <w:rPr>
          <w:rFonts w:ascii="Arial" w:eastAsia="Calibri" w:hAnsi="Arial" w:cs="Arial"/>
          <w:color w:val="000000"/>
          <w:sz w:val="22"/>
          <w:lang w:val="es-ES_tradnl" w:eastAsia="en-GB"/>
        </w:rPr>
        <w:t>determina la información mínima que debe reportarse por las entidades públicas. Entre otros</w:t>
      </w:r>
      <w:r w:rsidR="007E3528" w:rsidRPr="00631B40">
        <w:rPr>
          <w:rFonts w:ascii="Arial" w:eastAsia="Calibri" w:hAnsi="Arial" w:cs="Arial"/>
          <w:color w:val="000000"/>
          <w:sz w:val="22"/>
          <w:lang w:val="es-ES_tradnl" w:eastAsia="en-GB"/>
        </w:rPr>
        <w:t xml:space="preserve"> elementos</w:t>
      </w:r>
      <w:r w:rsidR="003F63EE" w:rsidRPr="00631B40">
        <w:rPr>
          <w:rFonts w:ascii="Arial" w:eastAsia="Calibri" w:hAnsi="Arial" w:cs="Arial"/>
          <w:color w:val="000000"/>
          <w:sz w:val="22"/>
          <w:lang w:val="es-ES_tradnl" w:eastAsia="en-GB"/>
        </w:rPr>
        <w:t>, deberá contener datos sobre la</w:t>
      </w:r>
      <w:r w:rsidR="00271098" w:rsidRPr="00631B40">
        <w:rPr>
          <w:rFonts w:ascii="Arial" w:eastAsia="Calibri" w:hAnsi="Arial" w:cs="Arial"/>
          <w:color w:val="000000"/>
          <w:sz w:val="22"/>
          <w:lang w:val="es-ES_tradnl" w:eastAsia="en-GB"/>
        </w:rPr>
        <w:t xml:space="preserve"> identificación del contratista, consultores, interventores y demás personas naturales y/o jurídicas</w:t>
      </w:r>
      <w:r w:rsidR="003F63EE" w:rsidRPr="00631B40">
        <w:rPr>
          <w:rFonts w:ascii="Arial" w:eastAsia="Calibri" w:hAnsi="Arial" w:cs="Arial"/>
          <w:color w:val="000000"/>
          <w:sz w:val="22"/>
          <w:lang w:val="es-ES_tradnl" w:eastAsia="en-GB"/>
        </w:rPr>
        <w:t xml:space="preserve"> </w:t>
      </w:r>
      <w:r w:rsidR="00271098" w:rsidRPr="00631B40">
        <w:rPr>
          <w:rFonts w:ascii="Arial" w:eastAsia="Calibri" w:hAnsi="Arial" w:cs="Arial"/>
          <w:color w:val="000000"/>
          <w:sz w:val="22"/>
          <w:lang w:val="es-ES_tradnl" w:eastAsia="en-GB"/>
        </w:rPr>
        <w:t>que intervinieron en la planeación y ejecución del proyecto</w:t>
      </w:r>
      <w:r w:rsidR="002B683F" w:rsidRPr="00631B40">
        <w:rPr>
          <w:rFonts w:ascii="Arial" w:eastAsia="Calibri" w:hAnsi="Arial" w:cs="Arial"/>
          <w:color w:val="000000"/>
          <w:sz w:val="22"/>
          <w:lang w:val="es-ES_tradnl" w:eastAsia="en-GB"/>
        </w:rPr>
        <w:t>;</w:t>
      </w:r>
      <w:r w:rsidR="00271098" w:rsidRPr="00631B40">
        <w:rPr>
          <w:rFonts w:ascii="Arial" w:eastAsia="Calibri" w:hAnsi="Arial" w:cs="Arial"/>
          <w:color w:val="000000"/>
          <w:sz w:val="22"/>
          <w:lang w:val="es-ES_tradnl" w:eastAsia="en-GB"/>
        </w:rPr>
        <w:t xml:space="preserve"> las </w:t>
      </w:r>
      <w:r w:rsidR="003F63EE" w:rsidRPr="00631B40">
        <w:rPr>
          <w:rFonts w:ascii="Arial" w:eastAsia="Calibri" w:hAnsi="Arial" w:cs="Arial"/>
          <w:color w:val="000000"/>
          <w:sz w:val="22"/>
          <w:lang w:val="es-ES_tradnl" w:eastAsia="en-GB"/>
        </w:rPr>
        <w:t>razones técnicas y/o jurídicas por las cuales la obra civil quedó inconclusa; los pagos efectuados; los procesos en curso y/o fallos que hayan declarado responsabilidades penales, fiscales, civiles y disciplinarias derivadas de la obra inconclusa; los actos administrativos que declaren el incumplimiento de los contratistas o caducidad de los contratos</w:t>
      </w:r>
      <w:r w:rsidR="003E645D" w:rsidRPr="00631B40">
        <w:rPr>
          <w:rFonts w:ascii="Arial" w:eastAsia="Calibri" w:hAnsi="Arial" w:cs="Arial"/>
          <w:color w:val="000000"/>
          <w:sz w:val="22"/>
          <w:lang w:val="es-ES_tradnl" w:eastAsia="en-GB"/>
        </w:rPr>
        <w:t xml:space="preserve">, así como </w:t>
      </w:r>
      <w:r w:rsidR="00282016" w:rsidRPr="00631B40">
        <w:rPr>
          <w:rFonts w:ascii="Arial" w:eastAsia="Calibri" w:hAnsi="Arial" w:cs="Arial"/>
          <w:color w:val="000000"/>
          <w:sz w:val="22"/>
          <w:lang w:val="es-ES_tradnl" w:eastAsia="en-GB"/>
        </w:rPr>
        <w:t>el</w:t>
      </w:r>
      <w:r w:rsidR="003F63EE" w:rsidRPr="00631B40">
        <w:rPr>
          <w:rFonts w:ascii="Arial" w:eastAsia="Calibri" w:hAnsi="Arial" w:cs="Arial"/>
          <w:color w:val="000000"/>
          <w:sz w:val="22"/>
          <w:lang w:val="es-ES_tradnl" w:eastAsia="en-GB"/>
        </w:rPr>
        <w:t xml:space="preserve"> </w:t>
      </w:r>
      <w:r w:rsidR="002319A7" w:rsidRPr="00631B40">
        <w:rPr>
          <w:rFonts w:ascii="Arial" w:eastAsiaTheme="minorHAnsi" w:hAnsi="Arial" w:cs="Arial"/>
          <w:sz w:val="22"/>
          <w:szCs w:val="22"/>
          <w:lang w:val="es-ES_tradnl" w:eastAsia="en-US"/>
        </w:rPr>
        <w:t>informe final presentado por el interventor del proyecto y l</w:t>
      </w:r>
      <w:r w:rsidR="00282016" w:rsidRPr="00631B40">
        <w:rPr>
          <w:rFonts w:ascii="Arial" w:eastAsiaTheme="minorHAnsi" w:hAnsi="Arial" w:cs="Arial"/>
          <w:sz w:val="22"/>
          <w:szCs w:val="22"/>
          <w:lang w:val="es-ES_tradnl" w:eastAsia="en-US"/>
        </w:rPr>
        <w:t xml:space="preserve">a </w:t>
      </w:r>
      <w:r w:rsidR="002319A7" w:rsidRPr="00631B40">
        <w:rPr>
          <w:rFonts w:ascii="Arial" w:eastAsiaTheme="minorHAnsi" w:hAnsi="Arial" w:cs="Arial"/>
          <w:sz w:val="22"/>
          <w:szCs w:val="22"/>
          <w:lang w:val="es-ES_tradnl" w:eastAsia="en-US"/>
        </w:rPr>
        <w:t xml:space="preserve">demás </w:t>
      </w:r>
      <w:r w:rsidR="00282016" w:rsidRPr="00631B40">
        <w:rPr>
          <w:rFonts w:ascii="Arial" w:eastAsiaTheme="minorHAnsi" w:hAnsi="Arial" w:cs="Arial"/>
          <w:sz w:val="22"/>
          <w:szCs w:val="22"/>
          <w:lang w:val="es-ES_tradnl" w:eastAsia="en-US"/>
        </w:rPr>
        <w:t xml:space="preserve">información </w:t>
      </w:r>
      <w:r w:rsidR="002319A7" w:rsidRPr="00631B40">
        <w:rPr>
          <w:rFonts w:ascii="Arial" w:eastAsiaTheme="minorHAnsi" w:hAnsi="Arial" w:cs="Arial"/>
          <w:sz w:val="22"/>
          <w:szCs w:val="22"/>
          <w:lang w:val="es-ES_tradnl" w:eastAsia="en-US"/>
        </w:rPr>
        <w:t>que establezca la Contraloría General de la República.</w:t>
      </w:r>
      <w:r w:rsidR="002319A7" w:rsidRPr="00631B40">
        <w:rPr>
          <w:rFonts w:ascii="Arial" w:eastAsia="Calibri" w:hAnsi="Arial" w:cs="Arial"/>
          <w:color w:val="000000"/>
          <w:sz w:val="22"/>
          <w:lang w:val="es-ES_tradnl" w:eastAsia="en-GB"/>
        </w:rPr>
        <w:t xml:space="preserve"> </w:t>
      </w:r>
    </w:p>
    <w:p w14:paraId="28647752" w14:textId="6639C3FB" w:rsidR="00B03E3C" w:rsidRPr="00631B40" w:rsidRDefault="00B03E3C" w:rsidP="00B03E3C">
      <w:pPr>
        <w:spacing w:before="120" w:line="276" w:lineRule="auto"/>
        <w:ind w:firstLine="709"/>
        <w:jc w:val="both"/>
        <w:rPr>
          <w:rFonts w:ascii="Arial" w:hAnsi="Arial" w:cs="Arial"/>
          <w:color w:val="000000" w:themeColor="text1"/>
          <w:sz w:val="22"/>
          <w:szCs w:val="22"/>
        </w:rPr>
      </w:pPr>
      <w:r w:rsidRPr="00631B40">
        <w:rPr>
          <w:rFonts w:ascii="Arial" w:hAnsi="Arial" w:cs="Arial"/>
          <w:color w:val="000000" w:themeColor="text1"/>
          <w:sz w:val="22"/>
          <w:szCs w:val="22"/>
          <w:lang w:val="es-ES_tradnl"/>
        </w:rPr>
        <w:t xml:space="preserve">Dicho de otra manera, el artículo 4 de la Ley 2020 de 2020 establece la información mínima que debe incorporarse en el mencionado Registro. En tal sentido, el literal o) dice que debe incluirse la información relativa a los «Procesos en curso y/o fallos que hayan declarado responsabilidades penales, fiscales, civiles y disciplinarias derivadas de la obra inconclusa; </w:t>
      </w:r>
      <w:r w:rsidRPr="00631B40">
        <w:rPr>
          <w:rFonts w:ascii="Arial" w:hAnsi="Arial" w:cs="Arial"/>
          <w:i/>
          <w:iCs/>
          <w:color w:val="000000" w:themeColor="text1"/>
          <w:sz w:val="22"/>
          <w:szCs w:val="22"/>
          <w:lang w:val="es-ES_tradnl"/>
        </w:rPr>
        <w:t>así como</w:t>
      </w:r>
      <w:r w:rsidRPr="00631B40">
        <w:rPr>
          <w:rFonts w:ascii="Arial" w:hAnsi="Arial" w:cs="Arial"/>
          <w:color w:val="000000" w:themeColor="text1"/>
          <w:sz w:val="22"/>
          <w:szCs w:val="22"/>
          <w:lang w:val="es-ES_tradnl"/>
        </w:rPr>
        <w:t xml:space="preserve"> los actos administrativos que declaren el incumplimiento de los contratistas o caducidad de los contratos» (énfasis fuera de texto). De otro lado, el segundo inciso del parágrafo 2 del artículo 9 de la Ley 2020 de 2020 dispone que «</w:t>
      </w:r>
      <w:r w:rsidRPr="00631B40">
        <w:rPr>
          <w:rFonts w:ascii="Arial" w:hAnsi="Arial" w:cs="Arial"/>
          <w:color w:val="000000" w:themeColor="text1"/>
          <w:sz w:val="22"/>
          <w:szCs w:val="22"/>
        </w:rPr>
        <w:t>Igualmente, el acto administrativo que declare el incumplimiento, caducidad y/o terminación unilateral del contrato de obra, tendrá en cuenta en su parte motiva, la documentación que repose en el Registro Nacional de Obras Civiles Inconclusas».</w:t>
      </w:r>
    </w:p>
    <w:p w14:paraId="67830505" w14:textId="72583DB9" w:rsidR="00B03E3C" w:rsidRPr="00631B40" w:rsidRDefault="00B03E3C" w:rsidP="00B03E3C">
      <w:pPr>
        <w:spacing w:before="120" w:line="276" w:lineRule="auto"/>
        <w:ind w:firstLine="709"/>
        <w:jc w:val="both"/>
        <w:rPr>
          <w:rFonts w:ascii="Arial" w:hAnsi="Arial" w:cs="Arial"/>
          <w:color w:val="000000" w:themeColor="text1"/>
          <w:sz w:val="22"/>
          <w:szCs w:val="22"/>
          <w:lang w:val="es-ES_tradnl"/>
        </w:rPr>
      </w:pPr>
      <w:r w:rsidRPr="00631B40">
        <w:rPr>
          <w:rFonts w:ascii="Arial" w:hAnsi="Arial" w:cs="Arial"/>
          <w:color w:val="000000" w:themeColor="text1"/>
          <w:sz w:val="22"/>
          <w:szCs w:val="22"/>
        </w:rPr>
        <w:t xml:space="preserve">En consecuencia, puede concluirse que si la incorporación de los actos administrativos que declaran el incumplimiento hace parte de la información mínima del Registro Nacional de Obras Civiles Inconclusas, esto significa que dichos actos han de estar produciendo efectos jurídicos; o sea que deben estar </w:t>
      </w:r>
      <w:r w:rsidRPr="00631B40">
        <w:rPr>
          <w:rFonts w:ascii="Arial" w:hAnsi="Arial" w:cs="Arial"/>
          <w:i/>
          <w:iCs/>
          <w:color w:val="000000" w:themeColor="text1"/>
          <w:sz w:val="22"/>
          <w:szCs w:val="22"/>
        </w:rPr>
        <w:t>en firme</w:t>
      </w:r>
      <w:r w:rsidRPr="00631B40">
        <w:rPr>
          <w:rFonts w:ascii="Arial" w:hAnsi="Arial" w:cs="Arial"/>
          <w:color w:val="000000" w:themeColor="text1"/>
          <w:sz w:val="22"/>
          <w:szCs w:val="22"/>
        </w:rPr>
        <w:t xml:space="preserve">, pues el artículo 89 de la Ley 1437 de 2011 –aplicable en virtud del </w:t>
      </w:r>
      <w:r w:rsidRPr="00631B40">
        <w:rPr>
          <w:rFonts w:ascii="Arial" w:hAnsi="Arial" w:cs="Arial"/>
          <w:i/>
          <w:iCs/>
          <w:color w:val="000000" w:themeColor="text1"/>
          <w:sz w:val="22"/>
          <w:szCs w:val="22"/>
        </w:rPr>
        <w:t>principio de subsidiariedad</w:t>
      </w:r>
      <w:r w:rsidRPr="00631B40">
        <w:rPr>
          <w:rFonts w:ascii="Arial" w:hAnsi="Arial" w:cs="Arial"/>
          <w:color w:val="000000" w:themeColor="text1"/>
          <w:sz w:val="22"/>
          <w:szCs w:val="22"/>
        </w:rPr>
        <w:t>, ante la ausencia de regulación especial sobre este tema en la Ley 2020 de 2020</w:t>
      </w:r>
      <w:r w:rsidRPr="00631B40">
        <w:rPr>
          <w:rStyle w:val="Refdenotaalpie"/>
          <w:rFonts w:ascii="Arial" w:hAnsi="Arial" w:cs="Arial"/>
          <w:color w:val="000000" w:themeColor="text1"/>
          <w:sz w:val="22"/>
          <w:szCs w:val="22"/>
        </w:rPr>
        <w:footnoteReference w:id="10"/>
      </w:r>
      <w:r w:rsidRPr="00631B40">
        <w:rPr>
          <w:rFonts w:ascii="Arial" w:hAnsi="Arial" w:cs="Arial"/>
          <w:color w:val="000000" w:themeColor="text1"/>
          <w:sz w:val="22"/>
          <w:szCs w:val="22"/>
        </w:rPr>
        <w:t>– establece que «Salvo disposición legal en contrario, los actos en firme serán suficientes para que las autoridades, por sí mismas, puedan ejecutarlos de inmediato». Entonces, al ser la incorporación en el Registro Nacional de Obras Civiles Inconclusas un efecto jurídico del acto administrativo, esta Agencia considera que la decisión ha de estar en firme.  </w:t>
      </w:r>
    </w:p>
    <w:p w14:paraId="34153240" w14:textId="6E73A58A" w:rsidR="00271098" w:rsidRPr="00631B40" w:rsidRDefault="003F63EE" w:rsidP="002319A7">
      <w:pPr>
        <w:tabs>
          <w:tab w:val="left" w:pos="0"/>
        </w:tabs>
        <w:spacing w:before="120" w:line="276" w:lineRule="auto"/>
        <w:ind w:firstLine="709"/>
        <w:jc w:val="both"/>
        <w:rPr>
          <w:rFonts w:ascii="Arial" w:eastAsia="Calibri" w:hAnsi="Arial" w:cs="Arial"/>
          <w:color w:val="000000"/>
          <w:sz w:val="22"/>
          <w:lang w:val="es-ES_tradnl" w:eastAsia="en-GB"/>
        </w:rPr>
      </w:pPr>
      <w:r w:rsidRPr="00631B40">
        <w:rPr>
          <w:rFonts w:ascii="Arial" w:eastAsia="Calibri" w:hAnsi="Arial" w:cs="Arial"/>
          <w:color w:val="000000"/>
          <w:sz w:val="22"/>
          <w:lang w:val="es-ES_tradnl" w:eastAsia="en-GB"/>
        </w:rPr>
        <w:t xml:space="preserve">Igualmente, </w:t>
      </w:r>
      <w:r w:rsidR="006F44B7" w:rsidRPr="00631B40">
        <w:rPr>
          <w:rFonts w:ascii="Arial" w:eastAsia="Calibri" w:hAnsi="Arial" w:cs="Arial"/>
          <w:color w:val="000000"/>
          <w:sz w:val="22"/>
          <w:lang w:val="es-ES_tradnl" w:eastAsia="en-GB"/>
        </w:rPr>
        <w:t xml:space="preserve">conforme al artículo 15 </w:t>
      </w:r>
      <w:r w:rsidR="006F44B7" w:rsidRPr="00631B40">
        <w:rPr>
          <w:rFonts w:ascii="Arial" w:eastAsia="Calibri" w:hAnsi="Arial" w:cs="Arial"/>
          <w:i/>
          <w:iCs/>
          <w:color w:val="000000"/>
          <w:sz w:val="22"/>
          <w:lang w:val="es-ES_tradnl" w:eastAsia="en-GB"/>
        </w:rPr>
        <w:t>ibídem</w:t>
      </w:r>
      <w:r w:rsidR="006F44B7" w:rsidRPr="00631B40">
        <w:rPr>
          <w:rFonts w:ascii="Arial" w:eastAsia="Calibri" w:hAnsi="Arial" w:cs="Arial"/>
          <w:color w:val="000000"/>
          <w:sz w:val="22"/>
          <w:lang w:val="es-ES_tradnl" w:eastAsia="en-GB"/>
        </w:rPr>
        <w:t xml:space="preserve"> se incluirán en el Registro Nacional de Obras Civiles Inconclusas, las obras civiles ya terminadas que no se encuentren en </w:t>
      </w:r>
      <w:r w:rsidR="006F44B7" w:rsidRPr="00631B40">
        <w:rPr>
          <w:rFonts w:ascii="Arial" w:eastAsia="Calibri" w:hAnsi="Arial" w:cs="Arial"/>
          <w:color w:val="000000"/>
          <w:sz w:val="22"/>
          <w:lang w:val="es-ES_tradnl" w:eastAsia="en-GB"/>
        </w:rPr>
        <w:lastRenderedPageBreak/>
        <w:t xml:space="preserve">funcionamiento. Para tales efectos, la Contraloría General de la República establecerá los criterios y el término para su incorporación. </w:t>
      </w:r>
    </w:p>
    <w:p w14:paraId="33D55967" w14:textId="1A105CEB" w:rsidR="00CF2137" w:rsidRPr="00631B40" w:rsidRDefault="006F44B7" w:rsidP="00840596">
      <w:pPr>
        <w:spacing w:before="120" w:line="276" w:lineRule="auto"/>
        <w:ind w:firstLine="567"/>
        <w:jc w:val="both"/>
        <w:rPr>
          <w:rFonts w:ascii="Arial" w:hAnsi="Arial" w:cs="Arial"/>
          <w:bCs/>
          <w:color w:val="000000" w:themeColor="text1"/>
          <w:sz w:val="22"/>
          <w:szCs w:val="22"/>
          <w:lang w:val="es-ES_tradnl"/>
        </w:rPr>
      </w:pPr>
      <w:r w:rsidRPr="00631B40">
        <w:rPr>
          <w:rFonts w:ascii="Arial" w:eastAsiaTheme="minorHAnsi" w:hAnsi="Arial" w:cs="Arial"/>
          <w:sz w:val="22"/>
          <w:szCs w:val="22"/>
          <w:lang w:val="es-ES_tradnl" w:eastAsia="en-US"/>
        </w:rPr>
        <w:t>En este contexto,</w:t>
      </w:r>
      <w:r w:rsidR="00DB00A7" w:rsidRPr="00631B40">
        <w:rPr>
          <w:rFonts w:ascii="Arial" w:eastAsiaTheme="minorHAnsi" w:hAnsi="Arial" w:cs="Arial"/>
          <w:sz w:val="22"/>
          <w:szCs w:val="22"/>
          <w:lang w:val="es-ES_tradnl" w:eastAsia="en-US"/>
        </w:rPr>
        <w:t xml:space="preserve"> </w:t>
      </w:r>
      <w:r w:rsidR="00CB4688" w:rsidRPr="00631B40">
        <w:rPr>
          <w:rFonts w:ascii="Arial" w:eastAsiaTheme="minorHAnsi" w:hAnsi="Arial" w:cs="Arial"/>
          <w:sz w:val="22"/>
          <w:szCs w:val="22"/>
          <w:lang w:val="es-ES_tradnl" w:eastAsia="en-US"/>
        </w:rPr>
        <w:t xml:space="preserve">las obras civiles inconclusas que deben </w:t>
      </w:r>
      <w:r w:rsidR="00EE65BE" w:rsidRPr="00631B40">
        <w:rPr>
          <w:rFonts w:ascii="Arial" w:eastAsiaTheme="minorHAnsi" w:hAnsi="Arial" w:cs="Arial"/>
          <w:sz w:val="22"/>
          <w:szCs w:val="22"/>
          <w:lang w:val="es-ES_tradnl" w:eastAsia="en-US"/>
        </w:rPr>
        <w:t>incluirse</w:t>
      </w:r>
      <w:r w:rsidR="00CB4688" w:rsidRPr="00631B40">
        <w:rPr>
          <w:rFonts w:ascii="Arial" w:eastAsiaTheme="minorHAnsi" w:hAnsi="Arial" w:cs="Arial"/>
          <w:sz w:val="22"/>
          <w:szCs w:val="22"/>
          <w:lang w:val="es-ES_tradnl" w:eastAsia="en-US"/>
        </w:rPr>
        <w:t xml:space="preserve"> </w:t>
      </w:r>
      <w:r w:rsidRPr="00631B40">
        <w:rPr>
          <w:rFonts w:ascii="Arial" w:eastAsiaTheme="minorHAnsi" w:hAnsi="Arial" w:cs="Arial"/>
          <w:sz w:val="22"/>
          <w:szCs w:val="22"/>
          <w:lang w:val="es-ES_tradnl" w:eastAsia="en-US"/>
        </w:rPr>
        <w:t xml:space="preserve">en el Registro </w:t>
      </w:r>
      <w:r w:rsidRPr="00631B40">
        <w:rPr>
          <w:rFonts w:ascii="Arial" w:eastAsia="Calibri" w:hAnsi="Arial" w:cs="Arial"/>
          <w:color w:val="000000"/>
          <w:sz w:val="22"/>
          <w:szCs w:val="22"/>
          <w:lang w:val="es-ES_tradnl" w:eastAsia="en-GB"/>
        </w:rPr>
        <w:t>Nacional de Obras Civiles Inconclusas está</w:t>
      </w:r>
      <w:r w:rsidR="00CB4688" w:rsidRPr="00631B40">
        <w:rPr>
          <w:rFonts w:ascii="Arial" w:eastAsia="Calibri" w:hAnsi="Arial" w:cs="Arial"/>
          <w:color w:val="000000"/>
          <w:sz w:val="22"/>
          <w:szCs w:val="22"/>
          <w:lang w:val="es-ES_tradnl" w:eastAsia="en-GB"/>
        </w:rPr>
        <w:t>n</w:t>
      </w:r>
      <w:r w:rsidRPr="00631B40">
        <w:rPr>
          <w:rFonts w:ascii="Arial" w:eastAsia="Calibri" w:hAnsi="Arial" w:cs="Arial"/>
          <w:color w:val="000000"/>
          <w:sz w:val="22"/>
          <w:szCs w:val="22"/>
          <w:lang w:val="es-ES_tradnl" w:eastAsia="en-GB"/>
        </w:rPr>
        <w:t xml:space="preserve"> determinad</w:t>
      </w:r>
      <w:r w:rsidR="00CB4688" w:rsidRPr="00631B40">
        <w:rPr>
          <w:rFonts w:ascii="Arial" w:eastAsia="Calibri" w:hAnsi="Arial" w:cs="Arial"/>
          <w:color w:val="000000"/>
          <w:sz w:val="22"/>
          <w:szCs w:val="22"/>
          <w:lang w:val="es-ES_tradnl" w:eastAsia="en-GB"/>
        </w:rPr>
        <w:t>as</w:t>
      </w:r>
      <w:r w:rsidRPr="00631B40">
        <w:rPr>
          <w:rFonts w:ascii="Arial" w:eastAsia="Calibri" w:hAnsi="Arial" w:cs="Arial"/>
          <w:color w:val="000000"/>
          <w:sz w:val="22"/>
          <w:szCs w:val="22"/>
          <w:lang w:val="es-ES_tradnl" w:eastAsia="en-GB"/>
        </w:rPr>
        <w:t xml:space="preserve"> por l</w:t>
      </w:r>
      <w:r w:rsidR="00004F60" w:rsidRPr="00631B40">
        <w:rPr>
          <w:rFonts w:ascii="Arial" w:eastAsia="Calibri" w:hAnsi="Arial" w:cs="Arial"/>
          <w:color w:val="000000"/>
          <w:sz w:val="22"/>
          <w:szCs w:val="22"/>
          <w:lang w:val="es-ES_tradnl" w:eastAsia="en-GB"/>
        </w:rPr>
        <w:t xml:space="preserve">a </w:t>
      </w:r>
      <w:r w:rsidRPr="00631B40">
        <w:rPr>
          <w:rFonts w:ascii="Arial" w:eastAsia="Calibri" w:hAnsi="Arial" w:cs="Arial"/>
          <w:color w:val="000000"/>
          <w:sz w:val="22"/>
          <w:szCs w:val="22"/>
          <w:lang w:val="es-ES_tradnl" w:eastAsia="en-GB"/>
        </w:rPr>
        <w:t>Ley 2020 de 2020</w:t>
      </w:r>
      <w:r w:rsidR="00EE65BE" w:rsidRPr="00631B40">
        <w:rPr>
          <w:rFonts w:ascii="Arial" w:eastAsia="Calibri" w:hAnsi="Arial" w:cs="Arial"/>
          <w:color w:val="000000"/>
          <w:sz w:val="22"/>
          <w:szCs w:val="22"/>
          <w:lang w:val="es-ES_tradnl" w:eastAsia="en-GB"/>
        </w:rPr>
        <w:t xml:space="preserve">, cuya </w:t>
      </w:r>
      <w:r w:rsidRPr="00631B40">
        <w:rPr>
          <w:rFonts w:ascii="Arial" w:eastAsia="Calibri" w:hAnsi="Arial" w:cs="Arial"/>
          <w:color w:val="000000"/>
          <w:sz w:val="22"/>
          <w:szCs w:val="22"/>
          <w:lang w:val="es-ES_tradnl" w:eastAsia="en-GB"/>
        </w:rPr>
        <w:t>administración es competencia de la Contraloría General de la República</w:t>
      </w:r>
      <w:r w:rsidRPr="00631B40">
        <w:rPr>
          <w:rFonts w:ascii="Arial" w:eastAsiaTheme="minorHAnsi" w:hAnsi="Arial" w:cs="Arial"/>
          <w:sz w:val="22"/>
          <w:szCs w:val="22"/>
          <w:lang w:val="es-ES_tradnl" w:eastAsia="en-US"/>
        </w:rPr>
        <w:t>. Por tanto, la entidad estatal responsable tiene la obligación de reportar la información que exige</w:t>
      </w:r>
      <w:r w:rsidR="00CB4688" w:rsidRPr="00631B40">
        <w:rPr>
          <w:rFonts w:ascii="Arial" w:eastAsiaTheme="minorHAnsi" w:hAnsi="Arial" w:cs="Arial"/>
          <w:sz w:val="22"/>
          <w:szCs w:val="22"/>
          <w:lang w:val="es-ES_tradnl" w:eastAsia="en-US"/>
        </w:rPr>
        <w:t xml:space="preserve"> </w:t>
      </w:r>
      <w:r w:rsidR="00CB4688" w:rsidRPr="00631B40">
        <w:rPr>
          <w:rFonts w:ascii="Arial" w:hAnsi="Arial" w:cs="Arial"/>
          <w:bCs/>
          <w:color w:val="000000" w:themeColor="text1"/>
          <w:sz w:val="22"/>
          <w:szCs w:val="22"/>
          <w:lang w:val="es-ES_tradnl"/>
        </w:rPr>
        <w:t>el artículo 2</w:t>
      </w:r>
      <w:r w:rsidR="00EE65BE" w:rsidRPr="00631B40">
        <w:rPr>
          <w:rFonts w:ascii="Arial" w:hAnsi="Arial" w:cs="Arial"/>
          <w:bCs/>
          <w:color w:val="000000" w:themeColor="text1"/>
          <w:sz w:val="22"/>
          <w:szCs w:val="22"/>
          <w:lang w:val="es-ES_tradnl"/>
        </w:rPr>
        <w:t xml:space="preserve"> de dicha Ley, de acuerdo con los presupuestos allí descritos, en concordancia con lo dispuesto en el artículo</w:t>
      </w:r>
      <w:r w:rsidR="00CB4688" w:rsidRPr="00631B40">
        <w:rPr>
          <w:rFonts w:ascii="Arial" w:hAnsi="Arial" w:cs="Arial"/>
          <w:bCs/>
          <w:color w:val="000000" w:themeColor="text1"/>
          <w:sz w:val="22"/>
          <w:szCs w:val="22"/>
          <w:lang w:val="es-ES_tradnl"/>
        </w:rPr>
        <w:t xml:space="preserve"> 4</w:t>
      </w:r>
      <w:r w:rsidR="00EE65BE" w:rsidRPr="00631B40">
        <w:rPr>
          <w:rFonts w:ascii="Arial" w:hAnsi="Arial" w:cs="Arial"/>
          <w:bCs/>
          <w:color w:val="000000" w:themeColor="text1"/>
          <w:sz w:val="22"/>
          <w:szCs w:val="22"/>
          <w:lang w:val="es-ES_tradnl"/>
        </w:rPr>
        <w:t xml:space="preserve"> sobre la información mínima que debe incorporar</w:t>
      </w:r>
      <w:r w:rsidR="00F82791" w:rsidRPr="00631B40">
        <w:rPr>
          <w:rFonts w:ascii="Arial" w:hAnsi="Arial" w:cs="Arial"/>
          <w:bCs/>
          <w:color w:val="000000" w:themeColor="text1"/>
          <w:sz w:val="22"/>
          <w:szCs w:val="22"/>
          <w:lang w:val="es-ES_tradnl"/>
        </w:rPr>
        <w:t>se</w:t>
      </w:r>
      <w:r w:rsidR="00EE65BE" w:rsidRPr="00631B40">
        <w:rPr>
          <w:rFonts w:ascii="Arial" w:hAnsi="Arial" w:cs="Arial"/>
          <w:bCs/>
          <w:color w:val="000000" w:themeColor="text1"/>
          <w:sz w:val="22"/>
          <w:szCs w:val="22"/>
          <w:lang w:val="es-ES_tradnl"/>
        </w:rPr>
        <w:t xml:space="preserve"> en el Registro</w:t>
      </w:r>
      <w:r w:rsidR="00840596" w:rsidRPr="00631B40">
        <w:rPr>
          <w:rFonts w:ascii="Arial" w:hAnsi="Arial" w:cs="Arial"/>
          <w:bCs/>
          <w:color w:val="000000" w:themeColor="text1"/>
          <w:sz w:val="22"/>
          <w:szCs w:val="22"/>
          <w:lang w:val="es-ES_tradnl"/>
        </w:rPr>
        <w:t xml:space="preserve">, </w:t>
      </w:r>
      <w:r w:rsidR="00840596" w:rsidRPr="00631B40">
        <w:rPr>
          <w:rFonts w:ascii="Arial" w:eastAsiaTheme="minorHAnsi" w:hAnsi="Arial" w:cs="Arial"/>
          <w:sz w:val="22"/>
          <w:szCs w:val="22"/>
          <w:lang w:val="es-ES_tradnl" w:eastAsia="en-US"/>
        </w:rPr>
        <w:t xml:space="preserve">así como toda aquella información que establezca </w:t>
      </w:r>
      <w:r w:rsidR="00840596" w:rsidRPr="00631B40">
        <w:rPr>
          <w:rFonts w:ascii="Arial" w:eastAsia="Calibri" w:hAnsi="Arial" w:cs="Arial"/>
          <w:color w:val="000000"/>
          <w:sz w:val="22"/>
          <w:lang w:val="es-ES_tradnl" w:eastAsia="en-GB"/>
        </w:rPr>
        <w:t xml:space="preserve">la Contraloría General de la </w:t>
      </w:r>
      <w:r w:rsidR="00840596" w:rsidRPr="00631B40">
        <w:rPr>
          <w:rFonts w:ascii="Arial" w:eastAsia="Calibri" w:hAnsi="Arial" w:cs="Arial"/>
          <w:color w:val="000000"/>
          <w:sz w:val="22"/>
          <w:szCs w:val="22"/>
          <w:lang w:val="es-ES_tradnl" w:eastAsia="en-GB"/>
        </w:rPr>
        <w:t>República en el marco de sus competencias</w:t>
      </w:r>
      <w:r w:rsidR="00EE65BE" w:rsidRPr="00631B40">
        <w:rPr>
          <w:rFonts w:ascii="Arial" w:hAnsi="Arial" w:cs="Arial"/>
          <w:bCs/>
          <w:color w:val="000000" w:themeColor="text1"/>
          <w:sz w:val="22"/>
          <w:szCs w:val="22"/>
          <w:lang w:val="es-ES_tradnl"/>
        </w:rPr>
        <w:t xml:space="preserve">. </w:t>
      </w:r>
    </w:p>
    <w:p w14:paraId="47261CBD" w14:textId="5D76CE17" w:rsidR="00F9047F" w:rsidRPr="00631B40" w:rsidRDefault="00DC486D" w:rsidP="00840596">
      <w:pPr>
        <w:spacing w:before="120" w:line="276" w:lineRule="auto"/>
        <w:ind w:firstLine="567"/>
        <w:jc w:val="both"/>
        <w:rPr>
          <w:rFonts w:ascii="Arial" w:eastAsiaTheme="minorHAnsi" w:hAnsi="Arial" w:cs="Arial"/>
          <w:sz w:val="22"/>
          <w:szCs w:val="22"/>
          <w:lang w:val="es-ES_tradnl" w:eastAsia="en-US"/>
        </w:rPr>
      </w:pPr>
      <w:r w:rsidRPr="00631B40">
        <w:rPr>
          <w:rFonts w:ascii="Arial" w:hAnsi="Arial" w:cs="Arial"/>
          <w:bCs/>
          <w:color w:val="000000" w:themeColor="text1"/>
          <w:sz w:val="22"/>
          <w:szCs w:val="22"/>
          <w:lang w:val="es-ES_tradnl"/>
        </w:rPr>
        <w:t xml:space="preserve">En este sentido, el Registro Nacional de Obras Civiles Inconclusas contendrá el inventario actualizado de </w:t>
      </w:r>
      <w:r w:rsidR="00F82791" w:rsidRPr="00631B40">
        <w:rPr>
          <w:rFonts w:ascii="Arial" w:hAnsi="Arial" w:cs="Arial"/>
          <w:bCs/>
          <w:color w:val="000000" w:themeColor="text1"/>
          <w:sz w:val="22"/>
          <w:szCs w:val="22"/>
          <w:lang w:val="es-ES_tradnl"/>
        </w:rPr>
        <w:t xml:space="preserve">las </w:t>
      </w:r>
      <w:r w:rsidRPr="00631B40">
        <w:rPr>
          <w:rFonts w:ascii="Arial" w:hAnsi="Arial" w:cs="Arial"/>
          <w:bCs/>
          <w:color w:val="000000" w:themeColor="text1"/>
          <w:sz w:val="22"/>
          <w:szCs w:val="22"/>
          <w:lang w:val="es-ES_tradnl"/>
        </w:rPr>
        <w:t>obras civiles inconclusas, compuesto por la información reportada por las entidades</w:t>
      </w:r>
      <w:r w:rsidR="00F82791" w:rsidRPr="00631B40">
        <w:rPr>
          <w:rFonts w:ascii="Arial" w:hAnsi="Arial" w:cs="Arial"/>
          <w:bCs/>
          <w:color w:val="000000" w:themeColor="text1"/>
          <w:sz w:val="22"/>
          <w:szCs w:val="22"/>
          <w:lang w:val="es-ES_tradnl"/>
        </w:rPr>
        <w:t xml:space="preserve"> estatales</w:t>
      </w:r>
      <w:r w:rsidRPr="00631B40">
        <w:rPr>
          <w:rFonts w:ascii="Arial" w:hAnsi="Arial" w:cs="Arial"/>
          <w:bCs/>
          <w:color w:val="000000" w:themeColor="text1"/>
          <w:sz w:val="22"/>
          <w:szCs w:val="22"/>
          <w:lang w:val="es-ES_tradnl"/>
        </w:rPr>
        <w:t xml:space="preserve"> o la información obtenida por la Contraloría General de la República sobre el particular. </w:t>
      </w:r>
      <w:r w:rsidR="00EE65BE" w:rsidRPr="00631B40">
        <w:rPr>
          <w:rFonts w:ascii="Arial" w:hAnsi="Arial" w:cs="Arial"/>
          <w:bCs/>
          <w:color w:val="000000" w:themeColor="text1"/>
          <w:sz w:val="22"/>
          <w:szCs w:val="22"/>
          <w:lang w:val="es-ES_tradnl"/>
        </w:rPr>
        <w:t>Igualmente, deberá</w:t>
      </w:r>
      <w:r w:rsidR="00D00C4E" w:rsidRPr="00631B40">
        <w:rPr>
          <w:rFonts w:ascii="Arial" w:hAnsi="Arial" w:cs="Arial"/>
          <w:bCs/>
          <w:color w:val="000000" w:themeColor="text1"/>
          <w:sz w:val="22"/>
          <w:szCs w:val="22"/>
          <w:lang w:val="es-ES_tradnl"/>
        </w:rPr>
        <w:t>n</w:t>
      </w:r>
      <w:r w:rsidR="00EE65BE" w:rsidRPr="00631B40">
        <w:rPr>
          <w:rFonts w:ascii="Arial" w:hAnsi="Arial" w:cs="Arial"/>
          <w:bCs/>
          <w:color w:val="000000" w:themeColor="text1"/>
          <w:sz w:val="22"/>
          <w:szCs w:val="22"/>
          <w:lang w:val="es-ES_tradnl"/>
        </w:rPr>
        <w:t xml:space="preserve"> incluirse en el Registro </w:t>
      </w:r>
      <w:r w:rsidR="00EE65BE" w:rsidRPr="00631B40">
        <w:rPr>
          <w:rFonts w:ascii="Arial" w:eastAsia="Calibri" w:hAnsi="Arial" w:cs="Arial"/>
          <w:color w:val="000000"/>
          <w:sz w:val="22"/>
          <w:lang w:val="es-ES_tradnl" w:eastAsia="en-GB"/>
        </w:rPr>
        <w:t>las obras civiles ya terminadas que no se encuentren en funcionamiento</w:t>
      </w:r>
      <w:r w:rsidR="00D00C4E" w:rsidRPr="00631B40">
        <w:rPr>
          <w:rFonts w:ascii="Arial" w:eastAsia="Calibri" w:hAnsi="Arial" w:cs="Arial"/>
          <w:color w:val="000000"/>
          <w:sz w:val="22"/>
          <w:lang w:val="es-ES_tradnl" w:eastAsia="en-GB"/>
        </w:rPr>
        <w:t>,</w:t>
      </w:r>
      <w:r w:rsidR="00EE65BE" w:rsidRPr="00631B40">
        <w:rPr>
          <w:rFonts w:ascii="Arial" w:hAnsi="Arial" w:cs="Arial"/>
          <w:bCs/>
          <w:color w:val="000000" w:themeColor="text1"/>
          <w:sz w:val="22"/>
          <w:szCs w:val="22"/>
          <w:lang w:val="es-ES_tradnl"/>
        </w:rPr>
        <w:t xml:space="preserve"> de acuerdo con los criterios y el término para su incorporación que establezca la</w:t>
      </w:r>
      <w:r w:rsidR="00CB4688" w:rsidRPr="00631B40">
        <w:rPr>
          <w:rFonts w:ascii="Arial" w:hAnsi="Arial" w:cs="Arial"/>
          <w:bCs/>
          <w:color w:val="000000" w:themeColor="text1"/>
          <w:sz w:val="22"/>
          <w:szCs w:val="22"/>
          <w:lang w:val="es-ES_tradnl"/>
        </w:rPr>
        <w:t xml:space="preserve"> </w:t>
      </w:r>
      <w:r w:rsidR="00EE65BE" w:rsidRPr="00631B40">
        <w:rPr>
          <w:rFonts w:ascii="Arial" w:hAnsi="Arial" w:cs="Arial"/>
          <w:bCs/>
          <w:color w:val="000000" w:themeColor="text1"/>
          <w:sz w:val="22"/>
          <w:szCs w:val="22"/>
          <w:lang w:val="es-ES_tradnl"/>
        </w:rPr>
        <w:t>C</w:t>
      </w:r>
      <w:r w:rsidR="00CB4688" w:rsidRPr="00631B40">
        <w:rPr>
          <w:rFonts w:ascii="Arial" w:hAnsi="Arial" w:cs="Arial"/>
          <w:bCs/>
          <w:color w:val="000000" w:themeColor="text1"/>
          <w:sz w:val="22"/>
          <w:szCs w:val="22"/>
          <w:lang w:val="es-ES_tradnl"/>
        </w:rPr>
        <w:t xml:space="preserve">ontraloría </w:t>
      </w:r>
      <w:r w:rsidR="00EE65BE" w:rsidRPr="00631B40">
        <w:rPr>
          <w:rFonts w:ascii="Arial" w:hAnsi="Arial" w:cs="Arial"/>
          <w:bCs/>
          <w:color w:val="000000" w:themeColor="text1"/>
          <w:sz w:val="22"/>
          <w:szCs w:val="22"/>
          <w:lang w:val="es-ES_tradnl"/>
        </w:rPr>
        <w:t>G</w:t>
      </w:r>
      <w:r w:rsidR="00CB4688" w:rsidRPr="00631B40">
        <w:rPr>
          <w:rFonts w:ascii="Arial" w:hAnsi="Arial" w:cs="Arial"/>
          <w:bCs/>
          <w:color w:val="000000" w:themeColor="text1"/>
          <w:sz w:val="22"/>
          <w:szCs w:val="22"/>
          <w:lang w:val="es-ES_tradnl"/>
        </w:rPr>
        <w:t xml:space="preserve">eneral de la </w:t>
      </w:r>
      <w:r w:rsidR="00EE65BE" w:rsidRPr="00631B40">
        <w:rPr>
          <w:rFonts w:ascii="Arial" w:hAnsi="Arial" w:cs="Arial"/>
          <w:bCs/>
          <w:color w:val="000000" w:themeColor="text1"/>
          <w:sz w:val="22"/>
          <w:szCs w:val="22"/>
          <w:lang w:val="es-ES_tradnl"/>
        </w:rPr>
        <w:t>R</w:t>
      </w:r>
      <w:r w:rsidR="00CB4688" w:rsidRPr="00631B40">
        <w:rPr>
          <w:rFonts w:ascii="Arial" w:hAnsi="Arial" w:cs="Arial"/>
          <w:bCs/>
          <w:color w:val="000000" w:themeColor="text1"/>
          <w:sz w:val="22"/>
          <w:szCs w:val="22"/>
          <w:lang w:val="es-ES_tradnl"/>
        </w:rPr>
        <w:t>epública</w:t>
      </w:r>
      <w:r w:rsidR="00A47FB2" w:rsidRPr="00631B40">
        <w:rPr>
          <w:rFonts w:ascii="Arial" w:hAnsi="Arial" w:cs="Arial"/>
          <w:bCs/>
          <w:color w:val="000000" w:themeColor="text1"/>
          <w:sz w:val="22"/>
          <w:szCs w:val="22"/>
          <w:lang w:val="es-ES_tradnl"/>
        </w:rPr>
        <w:t xml:space="preserve">. </w:t>
      </w:r>
    </w:p>
    <w:bookmarkEnd w:id="8"/>
    <w:p w14:paraId="2DF83810" w14:textId="3E726F23" w:rsidR="003F63EE" w:rsidRPr="00631B40" w:rsidRDefault="003F63EE" w:rsidP="00F51ED2">
      <w:pPr>
        <w:tabs>
          <w:tab w:val="left" w:pos="0"/>
        </w:tabs>
        <w:spacing w:before="120" w:line="276" w:lineRule="auto"/>
        <w:ind w:firstLine="709"/>
        <w:jc w:val="both"/>
        <w:rPr>
          <w:rFonts w:ascii="Arial" w:eastAsia="Calibri" w:hAnsi="Arial" w:cs="Arial"/>
          <w:color w:val="000000"/>
          <w:sz w:val="22"/>
          <w:lang w:val="es-ES_tradnl" w:eastAsia="en-GB"/>
        </w:rPr>
      </w:pPr>
      <w:r w:rsidRPr="00631B40">
        <w:rPr>
          <w:rFonts w:ascii="Arial" w:eastAsia="Calibri" w:hAnsi="Arial" w:cs="Arial"/>
          <w:color w:val="000000"/>
          <w:sz w:val="22"/>
          <w:lang w:val="es-ES_tradnl" w:eastAsia="en-GB"/>
        </w:rPr>
        <w:t>Según artículo 9 de la Ley 2020 de 2020, la obligación de reportar esta información recae en</w:t>
      </w:r>
      <w:r w:rsidR="00F51ED2" w:rsidRPr="00631B40">
        <w:rPr>
          <w:rFonts w:ascii="Arial" w:eastAsia="Calibri" w:hAnsi="Arial" w:cs="Arial"/>
          <w:color w:val="000000"/>
          <w:sz w:val="22"/>
          <w:lang w:val="es-ES_tradnl" w:eastAsia="en-GB"/>
        </w:rPr>
        <w:t xml:space="preserve"> los ministros, gerentes, presidentes, directores, superintendentes, gobernadores, alcaldes, y demás representantes legales de entidades estatales, en cualquiera de sus esferas nacionales o territoriales, y los demás ordenadores del gasto de quien dependa la toma de decisiones sobre la materia </w:t>
      </w:r>
      <w:r w:rsidRPr="00631B40">
        <w:rPr>
          <w:rFonts w:ascii="Arial" w:eastAsia="Calibri" w:hAnsi="Arial" w:cs="Arial"/>
          <w:color w:val="000000"/>
          <w:sz w:val="22"/>
          <w:lang w:val="es-ES_tradnl" w:eastAsia="en-GB"/>
        </w:rPr>
        <w:t>y su incumplimiento genera las sanciones respectivas conforme a la normativa vigente</w:t>
      </w:r>
      <w:r w:rsidRPr="00631B40">
        <w:rPr>
          <w:rStyle w:val="Refdenotaalpie"/>
          <w:rFonts w:ascii="Arial" w:eastAsia="Calibri" w:hAnsi="Arial" w:cs="Arial"/>
          <w:color w:val="000000"/>
          <w:sz w:val="22"/>
          <w:lang w:val="es-ES_tradnl" w:eastAsia="en-GB"/>
        </w:rPr>
        <w:footnoteReference w:id="11"/>
      </w:r>
      <w:r w:rsidRPr="00631B40">
        <w:rPr>
          <w:rFonts w:ascii="Arial" w:eastAsia="Calibri" w:hAnsi="Arial" w:cs="Arial"/>
          <w:color w:val="000000"/>
          <w:sz w:val="22"/>
          <w:lang w:val="es-ES_tradnl" w:eastAsia="en-GB"/>
        </w:rPr>
        <w:t xml:space="preserve">. En todo caso, la información que consta en el Registro podrá tenerse en cuenta por los entes de control o por las entidades públicas sometidas al Estatuto General de Contratación </w:t>
      </w:r>
      <w:r w:rsidR="002B683F" w:rsidRPr="00631B40">
        <w:rPr>
          <w:rFonts w:ascii="Arial" w:eastAsia="Calibri" w:hAnsi="Arial" w:cs="Arial"/>
          <w:color w:val="000000"/>
          <w:sz w:val="22"/>
          <w:lang w:val="es-ES_tradnl" w:eastAsia="en-GB"/>
        </w:rPr>
        <w:t xml:space="preserve">de la Administración </w:t>
      </w:r>
      <w:r w:rsidRPr="00631B40">
        <w:rPr>
          <w:rFonts w:ascii="Arial" w:eastAsia="Calibri" w:hAnsi="Arial" w:cs="Arial"/>
          <w:color w:val="000000"/>
          <w:sz w:val="22"/>
          <w:lang w:val="es-ES_tradnl" w:eastAsia="en-GB"/>
        </w:rPr>
        <w:t xml:space="preserve">Pública en los procesos fiscales, disciplinarios o sancionatorios que se adelanten en razón de la obra civil inconclusa. Igualmente, el acto administrativo que declare el incumplimiento, caducidad y/o terminación unilateral del contrato de obra, tendrá en cuenta en la parte motiva, la documentación que repose en el registro. </w:t>
      </w:r>
    </w:p>
    <w:p w14:paraId="2CEC3A73" w14:textId="39F637ED" w:rsidR="00466861" w:rsidRPr="00631B40" w:rsidRDefault="003F63EE" w:rsidP="00360E6D">
      <w:pPr>
        <w:tabs>
          <w:tab w:val="left" w:pos="0"/>
        </w:tabs>
        <w:spacing w:before="120" w:line="276" w:lineRule="auto"/>
        <w:ind w:firstLine="709"/>
        <w:jc w:val="both"/>
        <w:rPr>
          <w:rFonts w:ascii="Arial" w:eastAsia="Calibri" w:hAnsi="Arial" w:cs="Arial"/>
          <w:color w:val="000000"/>
          <w:sz w:val="22"/>
          <w:lang w:val="es-ES_tradnl" w:eastAsia="en-GB"/>
        </w:rPr>
      </w:pPr>
      <w:r w:rsidRPr="00631B40">
        <w:rPr>
          <w:rFonts w:ascii="Arial" w:eastAsia="Calibri" w:hAnsi="Arial" w:cs="Arial"/>
          <w:color w:val="000000"/>
          <w:sz w:val="22"/>
          <w:lang w:val="es-ES_tradnl" w:eastAsia="en-GB"/>
        </w:rPr>
        <w:t xml:space="preserve">De esta manera, debido al carácter público de la información del registro, podrá </w:t>
      </w:r>
      <w:bookmarkStart w:id="9" w:name="_Hlk85120931"/>
      <w:r w:rsidRPr="00631B40">
        <w:rPr>
          <w:rFonts w:ascii="Arial" w:eastAsia="Calibri" w:hAnsi="Arial" w:cs="Arial"/>
          <w:color w:val="000000"/>
          <w:sz w:val="22"/>
          <w:lang w:val="es-ES_tradnl" w:eastAsia="en-GB"/>
        </w:rPr>
        <w:t>verificar</w:t>
      </w:r>
      <w:r w:rsidR="002B342A" w:rsidRPr="00631B40">
        <w:rPr>
          <w:rFonts w:ascii="Arial" w:eastAsia="Calibri" w:hAnsi="Arial" w:cs="Arial"/>
          <w:color w:val="000000"/>
          <w:sz w:val="22"/>
          <w:lang w:val="es-ES_tradnl" w:eastAsia="en-GB"/>
        </w:rPr>
        <w:t>se</w:t>
      </w:r>
      <w:r w:rsidRPr="00631B40">
        <w:rPr>
          <w:rFonts w:ascii="Arial" w:eastAsia="Calibri" w:hAnsi="Arial" w:cs="Arial"/>
          <w:color w:val="000000"/>
          <w:sz w:val="22"/>
          <w:lang w:val="es-ES_tradnl" w:eastAsia="en-GB"/>
        </w:rPr>
        <w:t xml:space="preserve"> en el sistema dispuesto por la Contraloría General de la Nación, el motivo por el cual la obra civil qued</w:t>
      </w:r>
      <w:r w:rsidR="00D75718" w:rsidRPr="00631B40">
        <w:rPr>
          <w:rFonts w:ascii="Arial" w:eastAsia="Calibri" w:hAnsi="Arial" w:cs="Arial"/>
          <w:color w:val="000000"/>
          <w:sz w:val="22"/>
          <w:lang w:val="es-ES_tradnl" w:eastAsia="en-GB"/>
        </w:rPr>
        <w:t>ó</w:t>
      </w:r>
      <w:r w:rsidRPr="00631B40">
        <w:rPr>
          <w:rFonts w:ascii="Arial" w:eastAsia="Calibri" w:hAnsi="Arial" w:cs="Arial"/>
          <w:color w:val="000000"/>
          <w:sz w:val="22"/>
          <w:lang w:val="es-ES_tradnl" w:eastAsia="en-GB"/>
        </w:rPr>
        <w:t xml:space="preserve"> inconclusa, así como las situaciones de incumplimiento del contratista y en general el estado jurídico, técnico y financiero de la obra</w:t>
      </w:r>
      <w:bookmarkEnd w:id="9"/>
      <w:r w:rsidRPr="00631B40">
        <w:rPr>
          <w:rFonts w:ascii="Arial" w:eastAsia="Calibri" w:hAnsi="Arial" w:cs="Arial"/>
          <w:color w:val="000000"/>
          <w:sz w:val="22"/>
          <w:lang w:val="es-ES_tradnl" w:eastAsia="en-GB"/>
        </w:rPr>
        <w:t>. Si se presenta alguna controversia respecto de la información suministrada por la entidad estatal, esta será la encargada de resolverla</w:t>
      </w:r>
      <w:r w:rsidR="00D75718" w:rsidRPr="00631B40">
        <w:rPr>
          <w:rFonts w:ascii="Arial" w:eastAsia="Calibri" w:hAnsi="Arial" w:cs="Arial"/>
          <w:color w:val="000000"/>
          <w:sz w:val="22"/>
          <w:lang w:val="es-ES_tradnl" w:eastAsia="en-GB"/>
        </w:rPr>
        <w:t>,</w:t>
      </w:r>
      <w:r w:rsidRPr="00631B40">
        <w:rPr>
          <w:rFonts w:ascii="Arial" w:eastAsia="Calibri" w:hAnsi="Arial" w:cs="Arial"/>
          <w:color w:val="000000"/>
          <w:sz w:val="22"/>
          <w:lang w:val="es-ES_tradnl" w:eastAsia="en-GB"/>
        </w:rPr>
        <w:t xml:space="preserve"> atendiendo </w:t>
      </w:r>
      <w:r w:rsidR="00D75718" w:rsidRPr="00631B40">
        <w:rPr>
          <w:rFonts w:ascii="Arial" w:eastAsia="Calibri" w:hAnsi="Arial" w:cs="Arial"/>
          <w:color w:val="000000"/>
          <w:sz w:val="22"/>
          <w:lang w:val="es-ES_tradnl" w:eastAsia="en-GB"/>
        </w:rPr>
        <w:t xml:space="preserve">a </w:t>
      </w:r>
      <w:r w:rsidRPr="00631B40">
        <w:rPr>
          <w:rFonts w:ascii="Arial" w:eastAsia="Calibri" w:hAnsi="Arial" w:cs="Arial"/>
          <w:color w:val="000000"/>
          <w:sz w:val="22"/>
          <w:lang w:val="es-ES_tradnl" w:eastAsia="en-GB"/>
        </w:rPr>
        <w:t>los principios y disposiciones establecidos en la normativ</w:t>
      </w:r>
      <w:r w:rsidR="002B683F" w:rsidRPr="00631B40">
        <w:rPr>
          <w:rFonts w:ascii="Arial" w:eastAsia="Calibri" w:hAnsi="Arial" w:cs="Arial"/>
          <w:color w:val="000000"/>
          <w:sz w:val="22"/>
          <w:lang w:val="es-ES_tradnl" w:eastAsia="en-GB"/>
        </w:rPr>
        <w:t>a</w:t>
      </w:r>
      <w:r w:rsidRPr="00631B40">
        <w:rPr>
          <w:rFonts w:ascii="Arial" w:eastAsia="Calibri" w:hAnsi="Arial" w:cs="Arial"/>
          <w:color w:val="000000"/>
          <w:sz w:val="22"/>
          <w:lang w:val="es-ES_tradnl" w:eastAsia="en-GB"/>
        </w:rPr>
        <w:t xml:space="preserve"> vigente. Conforme al artículo 12, es preciso señalar que la cancelación de la </w:t>
      </w:r>
      <w:r w:rsidRPr="00631B40">
        <w:rPr>
          <w:rFonts w:ascii="Arial" w:eastAsia="Calibri" w:hAnsi="Arial" w:cs="Arial"/>
          <w:color w:val="000000"/>
          <w:sz w:val="22"/>
          <w:lang w:val="es-ES_tradnl" w:eastAsia="en-GB"/>
        </w:rPr>
        <w:lastRenderedPageBreak/>
        <w:t>anotación de la obra en el Registro Nacional de Obras Civiles Inconclusas solo operará a solicitud de la entidad estatal</w:t>
      </w:r>
      <w:r w:rsidR="00D75718" w:rsidRPr="00631B40">
        <w:rPr>
          <w:rFonts w:ascii="Arial" w:eastAsia="Calibri" w:hAnsi="Arial" w:cs="Arial"/>
          <w:color w:val="000000"/>
          <w:sz w:val="22"/>
          <w:lang w:val="es-ES_tradnl" w:eastAsia="en-GB"/>
        </w:rPr>
        <w:t>,</w:t>
      </w:r>
      <w:r w:rsidRPr="00631B40">
        <w:rPr>
          <w:rFonts w:ascii="Arial" w:eastAsia="Calibri" w:hAnsi="Arial" w:cs="Arial"/>
          <w:color w:val="000000"/>
          <w:sz w:val="22"/>
          <w:lang w:val="es-ES_tradnl" w:eastAsia="en-GB"/>
        </w:rPr>
        <w:t xml:space="preserve"> una vez haya sido demolida o finalizada exitosamente.</w:t>
      </w:r>
    </w:p>
    <w:p w14:paraId="50E3EBF7" w14:textId="77777777" w:rsidR="00F7169B" w:rsidRPr="00631B40" w:rsidRDefault="00F7169B" w:rsidP="00BD67B2">
      <w:pPr>
        <w:tabs>
          <w:tab w:val="left" w:pos="0"/>
        </w:tabs>
        <w:spacing w:line="276" w:lineRule="auto"/>
        <w:jc w:val="both"/>
        <w:rPr>
          <w:rFonts w:ascii="Arial" w:eastAsia="Calibri" w:hAnsi="Arial" w:cs="Arial"/>
          <w:b/>
          <w:bCs/>
          <w:color w:val="000000"/>
          <w:sz w:val="22"/>
          <w:lang w:val="es-ES_tradnl" w:eastAsia="en-GB"/>
        </w:rPr>
      </w:pPr>
    </w:p>
    <w:p w14:paraId="557C39B2" w14:textId="289EE86A" w:rsidR="00E5756C" w:rsidRPr="00631B40" w:rsidRDefault="00A24B6C" w:rsidP="00BD67B2">
      <w:pPr>
        <w:tabs>
          <w:tab w:val="left" w:pos="0"/>
        </w:tabs>
        <w:spacing w:line="276" w:lineRule="auto"/>
        <w:jc w:val="both"/>
        <w:rPr>
          <w:rFonts w:ascii="Arial" w:eastAsia="Calibri" w:hAnsi="Arial" w:cs="Arial"/>
          <w:b/>
          <w:bCs/>
          <w:color w:val="000000"/>
          <w:sz w:val="22"/>
          <w:lang w:val="es-ES_tradnl" w:eastAsia="en-GB"/>
        </w:rPr>
      </w:pPr>
      <w:r w:rsidRPr="00631B40">
        <w:rPr>
          <w:rFonts w:ascii="Arial" w:eastAsia="Calibri" w:hAnsi="Arial" w:cs="Arial"/>
          <w:b/>
          <w:bCs/>
          <w:color w:val="000000"/>
          <w:sz w:val="22"/>
          <w:lang w:val="es-ES_tradnl" w:eastAsia="en-GB"/>
        </w:rPr>
        <w:t>2.</w:t>
      </w:r>
      <w:r w:rsidR="008B566A" w:rsidRPr="00631B40">
        <w:rPr>
          <w:rFonts w:ascii="Arial" w:eastAsia="Calibri" w:hAnsi="Arial" w:cs="Arial"/>
          <w:b/>
          <w:bCs/>
          <w:color w:val="000000"/>
          <w:sz w:val="22"/>
          <w:lang w:val="es-ES_tradnl" w:eastAsia="en-GB"/>
        </w:rPr>
        <w:t>2</w:t>
      </w:r>
      <w:r w:rsidRPr="00631B40">
        <w:rPr>
          <w:rFonts w:ascii="Arial" w:eastAsia="Calibri" w:hAnsi="Arial" w:cs="Arial"/>
          <w:b/>
          <w:bCs/>
          <w:color w:val="000000"/>
          <w:sz w:val="22"/>
          <w:lang w:val="es-ES_tradnl" w:eastAsia="en-GB"/>
        </w:rPr>
        <w:t xml:space="preserve">. </w:t>
      </w:r>
      <w:r w:rsidR="00360E6D" w:rsidRPr="00631B40">
        <w:rPr>
          <w:rFonts w:ascii="Arial" w:eastAsia="Calibri" w:hAnsi="Arial" w:cs="Arial"/>
          <w:b/>
          <w:bCs/>
          <w:color w:val="000000"/>
          <w:sz w:val="22"/>
          <w:lang w:val="es-ES_tradnl" w:eastAsia="en-GB"/>
        </w:rPr>
        <w:t xml:space="preserve">Deber de verificación del Registro Nacional de Obras Civiles Inconclusas en la evaluación de </w:t>
      </w:r>
      <w:r w:rsidR="009B6910" w:rsidRPr="00631B40">
        <w:rPr>
          <w:rFonts w:ascii="Arial" w:eastAsia="Calibri" w:hAnsi="Arial" w:cs="Arial"/>
          <w:b/>
          <w:bCs/>
          <w:color w:val="000000"/>
          <w:sz w:val="22"/>
          <w:lang w:val="es-ES_tradnl" w:eastAsia="en-GB"/>
        </w:rPr>
        <w:t>las ofertas</w:t>
      </w:r>
      <w:r w:rsidR="00360E6D" w:rsidRPr="00631B40">
        <w:rPr>
          <w:rFonts w:ascii="Arial" w:eastAsia="Calibri" w:hAnsi="Arial" w:cs="Arial"/>
          <w:b/>
          <w:bCs/>
          <w:color w:val="000000"/>
          <w:sz w:val="22"/>
          <w:lang w:val="es-ES_tradnl" w:eastAsia="en-GB"/>
        </w:rPr>
        <w:t xml:space="preserve"> para la selección de contratistas de obra o interventores</w:t>
      </w:r>
    </w:p>
    <w:p w14:paraId="47C4BBD9" w14:textId="252A38FB" w:rsidR="00BD67B2" w:rsidRPr="00631B40" w:rsidRDefault="00BD67B2" w:rsidP="00567723">
      <w:pPr>
        <w:tabs>
          <w:tab w:val="left" w:pos="0"/>
        </w:tabs>
        <w:spacing w:line="276" w:lineRule="auto"/>
        <w:jc w:val="both"/>
        <w:rPr>
          <w:rFonts w:ascii="Arial" w:eastAsia="Calibri" w:hAnsi="Arial" w:cs="Arial"/>
          <w:color w:val="000000"/>
          <w:sz w:val="22"/>
          <w:lang w:val="es-ES_tradnl" w:eastAsia="en-GB"/>
        </w:rPr>
      </w:pPr>
    </w:p>
    <w:p w14:paraId="1EE85E77" w14:textId="632A5598" w:rsidR="00466861" w:rsidRPr="00631B40" w:rsidRDefault="00466861" w:rsidP="00466861">
      <w:pPr>
        <w:tabs>
          <w:tab w:val="left" w:pos="0"/>
        </w:tabs>
        <w:spacing w:line="276" w:lineRule="auto"/>
        <w:jc w:val="both"/>
        <w:rPr>
          <w:rFonts w:ascii="Arial" w:eastAsia="Calibri" w:hAnsi="Arial" w:cs="Arial"/>
          <w:color w:val="000000"/>
          <w:sz w:val="22"/>
          <w:lang w:val="es-ES_tradnl" w:eastAsia="en-GB"/>
        </w:rPr>
      </w:pPr>
      <w:r w:rsidRPr="00631B40">
        <w:rPr>
          <w:rFonts w:ascii="Arial" w:eastAsia="Calibri" w:hAnsi="Arial" w:cs="Arial"/>
          <w:color w:val="000000"/>
          <w:sz w:val="22"/>
          <w:lang w:val="es-ES_tradnl" w:eastAsia="en-GB"/>
        </w:rPr>
        <w:t xml:space="preserve">El artículo 6 de la Ley 2020 de 2020 establece un deber a cargo de las entidades estatales dentro de los procedimientos que adelanten para la contratación de obras públicas. Consiste en la obligación de </w:t>
      </w:r>
      <w:r w:rsidRPr="00631B40">
        <w:rPr>
          <w:rFonts w:ascii="Arial" w:eastAsia="Calibri" w:hAnsi="Arial" w:cs="Arial"/>
          <w:i/>
          <w:iCs/>
          <w:color w:val="000000"/>
          <w:sz w:val="22"/>
          <w:lang w:val="es-ES_tradnl" w:eastAsia="en-GB"/>
        </w:rPr>
        <w:t>consultar</w:t>
      </w:r>
      <w:r w:rsidRPr="00631B40">
        <w:rPr>
          <w:rFonts w:ascii="Arial" w:eastAsia="Calibri" w:hAnsi="Arial" w:cs="Arial"/>
          <w:color w:val="000000"/>
          <w:sz w:val="22"/>
          <w:lang w:val="es-ES_tradnl" w:eastAsia="en-GB"/>
        </w:rPr>
        <w:t xml:space="preserve"> y </w:t>
      </w:r>
      <w:r w:rsidRPr="00631B40">
        <w:rPr>
          <w:rFonts w:ascii="Arial" w:eastAsia="Calibri" w:hAnsi="Arial" w:cs="Arial"/>
          <w:i/>
          <w:iCs/>
          <w:color w:val="000000"/>
          <w:sz w:val="22"/>
          <w:lang w:val="es-ES_tradnl" w:eastAsia="en-GB"/>
        </w:rPr>
        <w:t>analizar</w:t>
      </w:r>
      <w:r w:rsidRPr="00631B40">
        <w:rPr>
          <w:rFonts w:ascii="Arial" w:eastAsia="Calibri" w:hAnsi="Arial" w:cs="Arial"/>
          <w:color w:val="000000"/>
          <w:sz w:val="22"/>
          <w:lang w:val="es-ES_tradnl" w:eastAsia="en-GB"/>
        </w:rPr>
        <w:t xml:space="preserve"> la información contenida en el Registro Nacional de Obras Civiles Inconclusas. Además, dispone que en los procesos de selección de contratistas de obra e interventores han de considerarse las anotaciones del registro en la evaluación de </w:t>
      </w:r>
      <w:r w:rsidR="009B6910" w:rsidRPr="00631B40">
        <w:rPr>
          <w:rFonts w:ascii="Arial" w:eastAsia="Calibri" w:hAnsi="Arial" w:cs="Arial"/>
          <w:color w:val="000000"/>
          <w:sz w:val="22"/>
          <w:lang w:val="es-ES_tradnl" w:eastAsia="en-GB"/>
        </w:rPr>
        <w:t>las ofertas</w:t>
      </w:r>
      <w:r w:rsidRPr="00631B40">
        <w:rPr>
          <w:rFonts w:ascii="Arial" w:eastAsia="Calibri" w:hAnsi="Arial" w:cs="Arial"/>
          <w:color w:val="000000"/>
          <w:sz w:val="22"/>
          <w:lang w:val="es-ES_tradnl" w:eastAsia="en-GB"/>
        </w:rPr>
        <w:t>. La norma prescribe lo siguiente:</w:t>
      </w:r>
    </w:p>
    <w:p w14:paraId="537CB646" w14:textId="77777777" w:rsidR="00466861" w:rsidRPr="00631B40" w:rsidRDefault="00466861" w:rsidP="00466861">
      <w:pPr>
        <w:tabs>
          <w:tab w:val="left" w:pos="0"/>
        </w:tabs>
        <w:ind w:left="709" w:right="709"/>
        <w:jc w:val="both"/>
        <w:rPr>
          <w:rFonts w:ascii="Arial" w:eastAsia="Calibri" w:hAnsi="Arial" w:cs="Arial"/>
          <w:color w:val="000000"/>
          <w:sz w:val="21"/>
          <w:szCs w:val="21"/>
          <w:lang w:val="es-ES_tradnl" w:eastAsia="en-GB"/>
        </w:rPr>
      </w:pPr>
    </w:p>
    <w:p w14:paraId="72697A5C" w14:textId="77777777" w:rsidR="00466861" w:rsidRPr="00631B40"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631B40">
        <w:rPr>
          <w:rFonts w:ascii="Arial" w:eastAsia="Calibri" w:hAnsi="Arial" w:cs="Arial"/>
          <w:color w:val="000000"/>
          <w:sz w:val="21"/>
          <w:szCs w:val="21"/>
          <w:lang w:val="es-ES_tradnl" w:eastAsia="en-GB"/>
        </w:rPr>
        <w:t>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w:t>
      </w:r>
    </w:p>
    <w:p w14:paraId="538820F1" w14:textId="77777777" w:rsidR="00466861" w:rsidRPr="00631B40"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631B40">
        <w:rPr>
          <w:rFonts w:ascii="Arial" w:eastAsia="Calibri" w:hAnsi="Arial" w:cs="Arial"/>
          <w:color w:val="000000"/>
          <w:sz w:val="21"/>
          <w:szCs w:val="21"/>
          <w:lang w:val="es-ES_tradnl" w:eastAsia="en-GB"/>
        </w:rPr>
        <w:t>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5o de la Ley 1150 de 2007 o la norma que la modifique.</w:t>
      </w:r>
    </w:p>
    <w:p w14:paraId="2864B1C4" w14:textId="51A3A7D5" w:rsidR="00466861" w:rsidRPr="00631B40" w:rsidRDefault="00466861" w:rsidP="00466861">
      <w:pPr>
        <w:tabs>
          <w:tab w:val="left" w:pos="0"/>
        </w:tabs>
        <w:ind w:left="709" w:right="709"/>
        <w:jc w:val="both"/>
        <w:rPr>
          <w:rFonts w:ascii="Arial" w:eastAsia="Calibri" w:hAnsi="Arial" w:cs="Arial"/>
          <w:color w:val="000000"/>
          <w:sz w:val="21"/>
          <w:szCs w:val="21"/>
          <w:lang w:val="es-ES_tradnl" w:eastAsia="en-GB"/>
        </w:rPr>
      </w:pPr>
      <w:r w:rsidRPr="00631B40">
        <w:rPr>
          <w:rFonts w:ascii="Arial" w:eastAsia="Calibri" w:hAnsi="Arial" w:cs="Arial"/>
          <w:color w:val="000000"/>
          <w:sz w:val="21"/>
          <w:szCs w:val="21"/>
          <w:lang w:val="es-ES_tradnl" w:eastAsia="en-GB"/>
        </w:rPr>
        <w:t xml:space="preserve">Cualquier controversia o solicitud que surja en relación con los reportes </w:t>
      </w:r>
      <w:r w:rsidR="003D3109" w:rsidRPr="00631B40">
        <w:rPr>
          <w:rFonts w:ascii="Arial" w:eastAsia="Calibri" w:hAnsi="Arial" w:cs="Arial"/>
          <w:color w:val="000000"/>
          <w:sz w:val="21"/>
          <w:szCs w:val="21"/>
          <w:lang w:val="es-ES_tradnl" w:eastAsia="en-GB"/>
        </w:rPr>
        <w:t>de</w:t>
      </w:r>
      <w:r w:rsidRPr="00631B40">
        <w:rPr>
          <w:rFonts w:ascii="Arial" w:eastAsia="Calibri" w:hAnsi="Arial" w:cs="Arial"/>
          <w:color w:val="000000"/>
          <w:sz w:val="21"/>
          <w:szCs w:val="21"/>
          <w:lang w:val="es-ES_tradnl" w:eastAsia="en-GB"/>
        </w:rPr>
        <w:t xml:space="preserve"> información que suministre la entidad contratante, serán resueltos por esta, atendiendo los principios y disposiciones establecidos en la normatividad vigente.</w:t>
      </w:r>
    </w:p>
    <w:p w14:paraId="3A047B7A" w14:textId="77777777" w:rsidR="00466861" w:rsidRPr="00631B40" w:rsidRDefault="00466861" w:rsidP="00466861">
      <w:pPr>
        <w:tabs>
          <w:tab w:val="left" w:pos="0"/>
        </w:tabs>
        <w:spacing w:line="276" w:lineRule="auto"/>
        <w:jc w:val="both"/>
        <w:rPr>
          <w:rFonts w:ascii="Arial" w:eastAsia="Calibri" w:hAnsi="Arial" w:cs="Arial"/>
          <w:color w:val="000000"/>
          <w:sz w:val="22"/>
          <w:lang w:val="es-ES_tradnl" w:eastAsia="en-GB"/>
        </w:rPr>
      </w:pPr>
    </w:p>
    <w:p w14:paraId="5901D7E7" w14:textId="159E9448" w:rsidR="00466861" w:rsidRPr="00631B40" w:rsidRDefault="00466861" w:rsidP="00466861">
      <w:pPr>
        <w:tabs>
          <w:tab w:val="left" w:pos="0"/>
        </w:tabs>
        <w:spacing w:line="276" w:lineRule="auto"/>
        <w:ind w:firstLine="709"/>
        <w:jc w:val="both"/>
        <w:rPr>
          <w:rFonts w:ascii="Arial" w:eastAsia="Calibri" w:hAnsi="Arial" w:cs="Arial"/>
          <w:color w:val="000000"/>
          <w:sz w:val="22"/>
          <w:lang w:val="es-ES_tradnl" w:eastAsia="en-GB"/>
        </w:rPr>
      </w:pPr>
      <w:r w:rsidRPr="00631B40">
        <w:rPr>
          <w:rFonts w:ascii="Arial" w:eastAsia="Calibri" w:hAnsi="Arial" w:cs="Arial"/>
          <w:color w:val="000000"/>
          <w:sz w:val="22"/>
          <w:lang w:val="es-ES_tradnl" w:eastAsia="en-GB"/>
        </w:rPr>
        <w:t xml:space="preserve">Como se observa, el artículo citado prescribe que las entidades estatales deben revisar «[…] las anotaciones vigentes en el Registro Nacional de Obras Civiles Inconclusas al momento de evaluar los factores de ponderación de calidad, establecidos en el literal a) del artículo 5o de la Ley 1150 de 2007 o la norma que la modifique». Teniendo en cuenta que el artículo 6 de la Ley 2020 de 2020 se remite al literal a) del artículo 5 de la Ley 1150 de 2007, conviene recordar lo señalado en dicho enunciado normativo. Este consagra los criterios para garantizar la </w:t>
      </w:r>
      <w:r w:rsidRPr="00631B40">
        <w:rPr>
          <w:rFonts w:ascii="Arial" w:eastAsia="Calibri" w:hAnsi="Arial" w:cs="Arial"/>
          <w:i/>
          <w:iCs/>
          <w:color w:val="000000"/>
          <w:sz w:val="22"/>
          <w:lang w:val="es-ES_tradnl" w:eastAsia="en-GB"/>
        </w:rPr>
        <w:t>selección objetiva</w:t>
      </w:r>
      <w:r w:rsidRPr="00631B40">
        <w:rPr>
          <w:rFonts w:ascii="Arial" w:eastAsia="Calibri" w:hAnsi="Arial" w:cs="Arial"/>
          <w:color w:val="000000"/>
          <w:sz w:val="22"/>
          <w:lang w:val="es-ES_tradnl" w:eastAsia="en-GB"/>
        </w:rPr>
        <w:t xml:space="preserve"> en los procedimientos contractuales, precisando la metodología con la cual pueden establecerse tanto los requisitos habilitantes como los criterios de </w:t>
      </w:r>
      <w:r w:rsidR="00F02F45" w:rsidRPr="00631B40">
        <w:rPr>
          <w:rFonts w:ascii="Arial" w:eastAsia="Calibri" w:hAnsi="Arial" w:cs="Arial"/>
          <w:color w:val="000000"/>
          <w:sz w:val="22"/>
          <w:lang w:val="es-ES_tradnl" w:eastAsia="en-GB"/>
        </w:rPr>
        <w:t>asignación de puntaje</w:t>
      </w:r>
      <w:r w:rsidRPr="00631B40">
        <w:rPr>
          <w:rFonts w:ascii="Arial" w:eastAsia="Calibri" w:hAnsi="Arial" w:cs="Arial"/>
          <w:color w:val="000000"/>
          <w:sz w:val="22"/>
          <w:lang w:val="es-ES_tradnl" w:eastAsia="en-GB"/>
        </w:rPr>
        <w:t>. En lo pertinente, la norma dispone que:</w:t>
      </w:r>
    </w:p>
    <w:p w14:paraId="36C497EE" w14:textId="77777777" w:rsidR="00466861" w:rsidRPr="00631B40" w:rsidRDefault="00466861" w:rsidP="00F42155">
      <w:pPr>
        <w:tabs>
          <w:tab w:val="left" w:pos="0"/>
        </w:tabs>
        <w:spacing w:line="276" w:lineRule="auto"/>
        <w:ind w:right="709"/>
        <w:jc w:val="both"/>
        <w:rPr>
          <w:rFonts w:ascii="Arial" w:eastAsia="Calibri" w:hAnsi="Arial" w:cs="Arial"/>
          <w:color w:val="000000"/>
          <w:sz w:val="22"/>
          <w:szCs w:val="22"/>
          <w:lang w:val="es-ES_tradnl" w:eastAsia="en-GB"/>
        </w:rPr>
      </w:pPr>
    </w:p>
    <w:p w14:paraId="2F05453A" w14:textId="77777777" w:rsidR="00466861" w:rsidRPr="00631B40"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631B40">
        <w:rPr>
          <w:rFonts w:ascii="Arial" w:eastAsia="Calibri" w:hAnsi="Arial" w:cs="Arial"/>
          <w:color w:val="000000"/>
          <w:sz w:val="21"/>
          <w:szCs w:val="21"/>
          <w:lang w:val="es-ES_tradnl" w:eastAsia="en-GB"/>
        </w:rPr>
        <w:t xml:space="preserve">[…]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w:t>
      </w:r>
      <w:r w:rsidRPr="00631B40">
        <w:rPr>
          <w:rFonts w:ascii="Arial" w:eastAsia="Calibri" w:hAnsi="Arial" w:cs="Arial"/>
          <w:color w:val="000000"/>
          <w:sz w:val="21"/>
          <w:szCs w:val="21"/>
          <w:lang w:val="es-ES_tradnl" w:eastAsia="en-GB"/>
        </w:rPr>
        <w:lastRenderedPageBreak/>
        <w:t>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783D8BA6" w14:textId="77777777" w:rsidR="00466861" w:rsidRPr="00631B40"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631B40">
        <w:rPr>
          <w:rFonts w:ascii="Arial" w:eastAsia="Calibri" w:hAnsi="Arial" w:cs="Arial"/>
          <w:color w:val="000000"/>
          <w:sz w:val="21"/>
          <w:szCs w:val="21"/>
          <w:lang w:val="es-ES_tradnl" w:eastAsia="en-GB"/>
        </w:rPr>
        <w:t>En los procesos de selección en los que se tenga en cuenta los factores técnicos y económicos, la oferta más ventajosa será la que resulte de aplicar alguna de las siguientes alternativas:</w:t>
      </w:r>
    </w:p>
    <w:p w14:paraId="6C234761" w14:textId="77777777" w:rsidR="00466861" w:rsidRPr="00631B40"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631B40">
        <w:rPr>
          <w:rFonts w:ascii="Arial" w:eastAsia="Calibri" w:hAnsi="Arial" w:cs="Arial"/>
          <w:i/>
          <w:iCs/>
          <w:color w:val="000000"/>
          <w:sz w:val="21"/>
          <w:szCs w:val="21"/>
          <w:lang w:val="es-ES_tradnl" w:eastAsia="en-GB"/>
        </w:rPr>
        <w:t>a) La ponderación de los elementos de calidad y precio soportados en puntajes o fórmulas señaladas en el pliego de condiciones; o</w:t>
      </w:r>
    </w:p>
    <w:p w14:paraId="2076399E" w14:textId="77777777" w:rsidR="00466861" w:rsidRPr="00631B40" w:rsidRDefault="00466861" w:rsidP="00466861">
      <w:pPr>
        <w:tabs>
          <w:tab w:val="left" w:pos="0"/>
        </w:tabs>
        <w:ind w:left="709" w:right="709"/>
        <w:jc w:val="both"/>
        <w:rPr>
          <w:rFonts w:ascii="Arial" w:eastAsia="Calibri" w:hAnsi="Arial" w:cs="Arial"/>
          <w:color w:val="000000"/>
          <w:sz w:val="21"/>
          <w:szCs w:val="21"/>
          <w:lang w:val="es-ES_tradnl" w:eastAsia="en-GB"/>
        </w:rPr>
      </w:pPr>
      <w:r w:rsidRPr="00631B40">
        <w:rPr>
          <w:rFonts w:ascii="Arial" w:eastAsia="Calibri" w:hAnsi="Arial" w:cs="Arial"/>
          <w:color w:val="000000"/>
          <w:sz w:val="21"/>
          <w:szCs w:val="21"/>
          <w:lang w:val="es-ES_tradnl" w:eastAsia="en-GB"/>
        </w:rPr>
        <w:t>b) La ponderación de los elementos de calidad y precio que representen la mejor relación de costo-beneficio para la entidad. (Énfasis fuera de texto)</w:t>
      </w:r>
    </w:p>
    <w:p w14:paraId="728D3318" w14:textId="77777777" w:rsidR="00466861" w:rsidRPr="00631B40" w:rsidRDefault="00466861" w:rsidP="00F42155">
      <w:pPr>
        <w:tabs>
          <w:tab w:val="left" w:pos="0"/>
        </w:tabs>
        <w:spacing w:line="276" w:lineRule="auto"/>
        <w:ind w:left="709" w:right="709"/>
        <w:jc w:val="both"/>
        <w:rPr>
          <w:rFonts w:ascii="Arial" w:eastAsia="Calibri" w:hAnsi="Arial" w:cs="Arial"/>
          <w:color w:val="000000"/>
          <w:sz w:val="22"/>
          <w:szCs w:val="22"/>
          <w:lang w:val="es-ES_tradnl" w:eastAsia="en-GB"/>
        </w:rPr>
      </w:pPr>
    </w:p>
    <w:p w14:paraId="2DEE119C" w14:textId="462096C9" w:rsidR="00466861" w:rsidRPr="00631B40" w:rsidRDefault="00466861" w:rsidP="00F42155">
      <w:pPr>
        <w:tabs>
          <w:tab w:val="left" w:pos="0"/>
        </w:tabs>
        <w:spacing w:line="276" w:lineRule="auto"/>
        <w:ind w:firstLine="709"/>
        <w:jc w:val="both"/>
        <w:rPr>
          <w:rFonts w:ascii="Arial" w:eastAsia="Calibri" w:hAnsi="Arial" w:cs="Arial"/>
          <w:color w:val="000000"/>
          <w:sz w:val="22"/>
          <w:lang w:val="es-ES_tradnl" w:eastAsia="en-GB"/>
        </w:rPr>
      </w:pPr>
      <w:r w:rsidRPr="00631B40">
        <w:rPr>
          <w:rFonts w:ascii="Arial" w:eastAsia="Calibri" w:hAnsi="Arial" w:cs="Arial"/>
          <w:color w:val="000000"/>
          <w:sz w:val="22"/>
          <w:lang w:val="es-ES_tradnl" w:eastAsia="en-GB"/>
        </w:rPr>
        <w:t xml:space="preserve">Así las cosas, para interpretar el apartado del artículo 6 de la Ley 2020 de 2020 –referido a la evaluación de los factores de ponderación de calidad, previo análisis de las anotaciones del Registro Nacional de Obras Civiles Inconclusas– debe resaltarse que el artículo 5 de la Ley 1150 de 2007 </w:t>
      </w:r>
      <w:r w:rsidRPr="00631B40">
        <w:rPr>
          <w:rFonts w:ascii="Arial" w:eastAsia="Calibri" w:hAnsi="Arial" w:cs="Arial"/>
          <w:iCs/>
          <w:color w:val="000000"/>
          <w:sz w:val="22"/>
          <w:lang w:val="es-ES_tradnl" w:eastAsia="en-GB"/>
        </w:rPr>
        <w:t>no</w:t>
      </w:r>
      <w:r w:rsidRPr="00631B40">
        <w:rPr>
          <w:rFonts w:ascii="Arial" w:eastAsia="Calibri" w:hAnsi="Arial" w:cs="Arial"/>
          <w:color w:val="000000"/>
          <w:sz w:val="22"/>
          <w:lang w:val="es-ES_tradnl" w:eastAsia="en-GB"/>
        </w:rPr>
        <w:t xml:space="preserve"> los define, sino que se limita a mencionarlos de manera genérica. En efecto, el literal a) de dicho artículo está precedido por un inciso que establece: «En los procesos de selección en los que se tenga en cuenta los factores técnicos y económicos, la oferta más ventajosa será la que resulte de aplicar alguna de las siguientes alternativas»; y, a renglón seguido, dentro de las «alternativas», el legislador incorpora la siguiente: «a) La ponderación de los elementos de calidad y precio soportados en puntajes o fórmulas señaladas en el pliego de condiciones».</w:t>
      </w:r>
    </w:p>
    <w:p w14:paraId="21266B1C" w14:textId="3882CC25" w:rsidR="00466861" w:rsidRPr="00631B40" w:rsidRDefault="00466861" w:rsidP="00466861">
      <w:pPr>
        <w:tabs>
          <w:tab w:val="left" w:pos="0"/>
        </w:tabs>
        <w:spacing w:before="120" w:line="276" w:lineRule="auto"/>
        <w:ind w:firstLine="709"/>
        <w:jc w:val="both"/>
        <w:rPr>
          <w:rFonts w:ascii="Arial" w:eastAsia="Calibri" w:hAnsi="Arial" w:cs="Arial"/>
          <w:color w:val="000000"/>
          <w:sz w:val="22"/>
          <w:lang w:val="es-ES_tradnl" w:eastAsia="en-GB"/>
        </w:rPr>
      </w:pPr>
      <w:r w:rsidRPr="00631B40">
        <w:rPr>
          <w:rFonts w:ascii="Arial" w:eastAsia="Calibri" w:hAnsi="Arial" w:cs="Arial"/>
          <w:color w:val="000000"/>
          <w:sz w:val="22"/>
          <w:lang w:val="es-ES_tradnl" w:eastAsia="en-GB"/>
        </w:rPr>
        <w:t xml:space="preserve">Como puede apreciarse, el Congreso de la República optó por conceder a las entidades estatales un margen de discrecionalidad administrativa para determinar en los procedimientos de selección que realicen cuáles </w:t>
      </w:r>
      <w:r w:rsidRPr="00631B40">
        <w:rPr>
          <w:rFonts w:ascii="Arial" w:eastAsia="Calibri" w:hAnsi="Arial" w:cs="Arial"/>
          <w:color w:val="000000" w:themeColor="text1"/>
          <w:sz w:val="22"/>
          <w:lang w:val="es-ES_tradnl" w:eastAsia="en-GB"/>
        </w:rPr>
        <w:t>serán los elementos de calidad y precio que tendrán en cuenta en la calificación o ponderación</w:t>
      </w:r>
      <w:r w:rsidR="00F02F45" w:rsidRPr="00631B40">
        <w:rPr>
          <w:rFonts w:ascii="Arial" w:eastAsia="Calibri" w:hAnsi="Arial" w:cs="Arial"/>
          <w:color w:val="000000" w:themeColor="text1"/>
          <w:sz w:val="22"/>
          <w:lang w:val="es-ES_tradnl" w:eastAsia="en-GB"/>
        </w:rPr>
        <w:t xml:space="preserve"> de las ofertas</w:t>
      </w:r>
      <w:r w:rsidRPr="00631B40">
        <w:rPr>
          <w:rFonts w:ascii="Arial" w:eastAsia="Calibri" w:hAnsi="Arial" w:cs="Arial"/>
          <w:color w:val="000000" w:themeColor="text1"/>
          <w:sz w:val="22"/>
          <w:lang w:val="es-ES_tradnl" w:eastAsia="en-GB"/>
        </w:rPr>
        <w:t xml:space="preserve">. </w:t>
      </w:r>
      <w:r w:rsidRPr="00631B40">
        <w:rPr>
          <w:rFonts w:ascii="Arial" w:eastAsia="Calibri" w:hAnsi="Arial" w:cs="Arial"/>
          <w:color w:val="000000"/>
          <w:sz w:val="22"/>
          <w:lang w:val="es-ES_tradnl" w:eastAsia="en-GB"/>
        </w:rPr>
        <w:t>De igual forma, el legislador no estableció una fórmula o metodología específica para realizar esta ponderación, sino que también lo dejó librado a la apreciación de las entidades públicas interesadas en contratar.</w:t>
      </w:r>
    </w:p>
    <w:p w14:paraId="59E7D80E" w14:textId="50A79A8C" w:rsidR="00466861" w:rsidRPr="00631B40" w:rsidRDefault="00466861" w:rsidP="00466861">
      <w:pPr>
        <w:tabs>
          <w:tab w:val="left" w:pos="0"/>
        </w:tabs>
        <w:spacing w:before="120" w:line="276" w:lineRule="auto"/>
        <w:ind w:firstLine="709"/>
        <w:jc w:val="both"/>
        <w:rPr>
          <w:rFonts w:ascii="Arial" w:hAnsi="Arial" w:cs="Arial"/>
          <w:color w:val="000000" w:themeColor="text1"/>
          <w:sz w:val="22"/>
          <w:lang w:val="es-ES_tradnl"/>
        </w:rPr>
      </w:pPr>
      <w:r w:rsidRPr="00631B40">
        <w:rPr>
          <w:rFonts w:ascii="Arial" w:eastAsia="Calibri" w:hAnsi="Arial" w:cs="Arial"/>
          <w:color w:val="000000"/>
          <w:sz w:val="22"/>
          <w:lang w:val="es-ES_tradnl" w:eastAsia="en-GB"/>
        </w:rPr>
        <w:t>Esta Subdirección se ha pronunciado sobre el reconocimiento de la discrecionalidad administrativa</w:t>
      </w:r>
      <w:r w:rsidR="00A47B02" w:rsidRPr="00631B40">
        <w:rPr>
          <w:rFonts w:ascii="Arial" w:eastAsia="Calibri" w:hAnsi="Arial" w:cs="Arial"/>
          <w:color w:val="000000"/>
          <w:sz w:val="22"/>
          <w:lang w:val="es-ES_tradnl" w:eastAsia="en-GB"/>
        </w:rPr>
        <w:t>,</w:t>
      </w:r>
      <w:r w:rsidRPr="00631B40">
        <w:rPr>
          <w:rFonts w:ascii="Arial" w:eastAsia="Calibri" w:hAnsi="Arial" w:cs="Arial"/>
          <w:color w:val="000000"/>
          <w:sz w:val="22"/>
          <w:lang w:val="es-ES_tradnl" w:eastAsia="en-GB"/>
        </w:rPr>
        <w:t xml:space="preserve"> como modelo de asignación de potestades en la contratación estatal. Por ejemplo, en el Concepto C-120 del 3 de marzo de 2020 </w:t>
      </w:r>
      <w:r w:rsidR="003D3109" w:rsidRPr="00631B40">
        <w:rPr>
          <w:rFonts w:ascii="Arial" w:eastAsia="Calibri" w:hAnsi="Arial" w:cs="Arial"/>
          <w:color w:val="000000"/>
          <w:sz w:val="22"/>
          <w:lang w:val="es-ES_tradnl" w:eastAsia="en-GB"/>
        </w:rPr>
        <w:t>señaló</w:t>
      </w:r>
      <w:r w:rsidRPr="00631B40">
        <w:rPr>
          <w:rFonts w:ascii="Arial" w:eastAsia="Calibri" w:hAnsi="Arial" w:cs="Arial"/>
          <w:color w:val="000000"/>
          <w:sz w:val="22"/>
          <w:lang w:val="es-ES_tradnl" w:eastAsia="en-GB"/>
        </w:rPr>
        <w:t xml:space="preserve"> que si bien la discrecionalidad implica un espacio de libertad para las entidades estales, en todo caso, al hacer uso de ella, deben observar el artículo 44 de la Ley 1437 de 2011, según el cual </w:t>
      </w:r>
      <w:r w:rsidRPr="00631B40">
        <w:rPr>
          <w:rFonts w:ascii="Arial" w:hAnsi="Arial" w:cs="Arial"/>
          <w:color w:val="000000" w:themeColor="text1"/>
          <w:sz w:val="22"/>
          <w:lang w:val="es-ES_tradnl"/>
        </w:rPr>
        <w:t>la decisión debe ser adecuada y proporcional al trámite y a los hechos que lo motivaron</w:t>
      </w:r>
      <w:r w:rsidRPr="00631B40">
        <w:rPr>
          <w:rStyle w:val="Refdenotaalpie"/>
          <w:rFonts w:ascii="Arial" w:hAnsi="Arial" w:cs="Arial"/>
          <w:color w:val="000000" w:themeColor="text1"/>
          <w:sz w:val="22"/>
          <w:lang w:val="es-ES_tradnl"/>
        </w:rPr>
        <w:footnoteReference w:id="12"/>
      </w:r>
      <w:r w:rsidRPr="00631B40">
        <w:rPr>
          <w:rFonts w:ascii="Arial" w:hAnsi="Arial" w:cs="Arial"/>
          <w:color w:val="000000" w:themeColor="text1"/>
          <w:sz w:val="22"/>
          <w:lang w:val="es-ES_tradnl"/>
        </w:rPr>
        <w:t xml:space="preserve">. </w:t>
      </w:r>
      <w:r w:rsidRPr="00631B40">
        <w:rPr>
          <w:rFonts w:ascii="Arial" w:hAnsi="Arial" w:cs="Arial"/>
          <w:color w:val="000000" w:themeColor="text1"/>
          <w:sz w:val="22"/>
          <w:lang w:val="es-ES_tradnl"/>
        </w:rPr>
        <w:lastRenderedPageBreak/>
        <w:t>Este también ha sido el entendimiento de la doctrina, que ha considerado que el ejercicio de la discrecionalidad administrativa debe respetar el principio de proporcionalidad</w:t>
      </w:r>
      <w:r w:rsidRPr="00631B40">
        <w:rPr>
          <w:rStyle w:val="Refdenotaalpie"/>
          <w:rFonts w:ascii="Arial" w:hAnsi="Arial" w:cs="Arial"/>
          <w:color w:val="000000" w:themeColor="text1"/>
          <w:sz w:val="22"/>
          <w:lang w:val="es-ES_tradnl"/>
        </w:rPr>
        <w:footnoteReference w:id="13"/>
      </w:r>
      <w:r w:rsidRPr="00631B40">
        <w:rPr>
          <w:rFonts w:ascii="Arial" w:hAnsi="Arial" w:cs="Arial"/>
          <w:color w:val="000000" w:themeColor="text1"/>
          <w:sz w:val="22"/>
          <w:lang w:val="es-ES_tradnl"/>
        </w:rPr>
        <w:t>.</w:t>
      </w:r>
    </w:p>
    <w:p w14:paraId="2E58647C" w14:textId="0D3422EC" w:rsidR="00466861" w:rsidRPr="00631B40" w:rsidRDefault="00466861" w:rsidP="00466861">
      <w:pPr>
        <w:tabs>
          <w:tab w:val="left" w:pos="0"/>
        </w:tabs>
        <w:spacing w:before="120" w:line="276" w:lineRule="auto"/>
        <w:ind w:firstLine="709"/>
        <w:jc w:val="both"/>
        <w:rPr>
          <w:rFonts w:ascii="Arial" w:hAnsi="Arial" w:cs="Arial"/>
          <w:color w:val="000000" w:themeColor="text1"/>
          <w:sz w:val="22"/>
          <w:lang w:val="es-ES_tradnl"/>
        </w:rPr>
      </w:pPr>
      <w:r w:rsidRPr="00631B40">
        <w:rPr>
          <w:rFonts w:ascii="Arial" w:hAnsi="Arial" w:cs="Arial"/>
          <w:color w:val="000000" w:themeColor="text1"/>
          <w:sz w:val="22"/>
          <w:lang w:val="es-ES_tradnl"/>
        </w:rPr>
        <w:t xml:space="preserve">Esta discrecionalidad también se encuentra presente al momento de elaborar el pliego de condiciones y específicamente, al definir los criterios de calificación con puntos. </w:t>
      </w:r>
      <w:r w:rsidR="003D3109" w:rsidRPr="00631B40">
        <w:rPr>
          <w:rFonts w:ascii="Arial" w:hAnsi="Arial" w:cs="Arial"/>
          <w:color w:val="000000" w:themeColor="text1"/>
          <w:sz w:val="22"/>
          <w:lang w:val="es-ES_tradnl"/>
        </w:rPr>
        <w:t xml:space="preserve">Entre </w:t>
      </w:r>
      <w:r w:rsidRPr="00631B40">
        <w:rPr>
          <w:rFonts w:ascii="Arial" w:hAnsi="Arial" w:cs="Arial"/>
          <w:color w:val="000000" w:themeColor="text1"/>
          <w:sz w:val="22"/>
          <w:lang w:val="es-ES_tradnl"/>
        </w:rPr>
        <w:t xml:space="preserve">estos criterios se encuentran los elementos de calidad y precio indicados en el artículo 5, numeral 2, literal a), de la Ley 1150 de 2007. Por ello la Sección Tercera del Consejo de Estado considera que: </w:t>
      </w:r>
    </w:p>
    <w:p w14:paraId="1013A2E5" w14:textId="77777777" w:rsidR="00466861" w:rsidRPr="00631B40" w:rsidRDefault="00466861" w:rsidP="00466861">
      <w:pPr>
        <w:tabs>
          <w:tab w:val="left" w:pos="0"/>
        </w:tabs>
        <w:spacing w:line="276" w:lineRule="auto"/>
        <w:ind w:left="709" w:right="709"/>
        <w:jc w:val="both"/>
        <w:rPr>
          <w:rFonts w:ascii="Arial" w:eastAsia="Calibri" w:hAnsi="Arial" w:cs="Arial"/>
          <w:color w:val="000000"/>
          <w:sz w:val="22"/>
          <w:szCs w:val="22"/>
          <w:lang w:val="es-ES_tradnl" w:eastAsia="en-GB"/>
        </w:rPr>
      </w:pPr>
    </w:p>
    <w:p w14:paraId="5C5CE75C" w14:textId="77777777" w:rsidR="00466861" w:rsidRPr="00631B40" w:rsidRDefault="00466861" w:rsidP="00466861">
      <w:pPr>
        <w:tabs>
          <w:tab w:val="left" w:pos="0"/>
        </w:tabs>
        <w:ind w:left="709" w:right="709"/>
        <w:jc w:val="both"/>
        <w:rPr>
          <w:rFonts w:ascii="Arial" w:eastAsia="Calibri" w:hAnsi="Arial" w:cs="Arial"/>
          <w:color w:val="000000"/>
          <w:sz w:val="21"/>
          <w:szCs w:val="21"/>
          <w:lang w:val="es-ES_tradnl" w:eastAsia="en-GB"/>
        </w:rPr>
      </w:pPr>
      <w:r w:rsidRPr="00631B40">
        <w:rPr>
          <w:rFonts w:ascii="Arial" w:eastAsia="Calibri" w:hAnsi="Arial" w:cs="Arial"/>
          <w:color w:val="000000"/>
          <w:sz w:val="21"/>
          <w:szCs w:val="21"/>
          <w:lang w:val="es-ES_tradnl" w:eastAsia="en-GB"/>
        </w:rPr>
        <w:t>Bajo esta premisa debe entenderse el deber de selección objetiva consagrado en el artículo 5 de la Ley 1150 de 2007, disposición que otorga discrecionalidad a las diversas entidades estatales para que establezcan en los pliegos de condiciones los diferentes factores de escogencia y calificación. Por ende, es cierto, como se desprende del libelo de la demanda, que el legislador otorgó a la Administración una libertad de elección de los distintos criterios de ponderación para asegurar que se contratará con la mejor oferta, esto es, aquella que se ajuste mejor a las finalidades de interés general</w:t>
      </w:r>
      <w:r w:rsidRPr="00631B40">
        <w:rPr>
          <w:rStyle w:val="Refdenotaalpie"/>
          <w:rFonts w:ascii="Arial" w:eastAsia="Calibri" w:hAnsi="Arial" w:cs="Arial"/>
          <w:color w:val="000000"/>
          <w:sz w:val="21"/>
          <w:szCs w:val="21"/>
          <w:lang w:val="es-ES_tradnl" w:eastAsia="en-GB"/>
        </w:rPr>
        <w:footnoteReference w:id="14"/>
      </w:r>
      <w:r w:rsidRPr="00631B40">
        <w:rPr>
          <w:rFonts w:ascii="Arial" w:eastAsia="Calibri" w:hAnsi="Arial" w:cs="Arial"/>
          <w:color w:val="000000"/>
          <w:sz w:val="21"/>
          <w:szCs w:val="21"/>
          <w:lang w:val="es-ES_tradnl" w:eastAsia="en-GB"/>
        </w:rPr>
        <w:t>.</w:t>
      </w:r>
    </w:p>
    <w:p w14:paraId="732488CA" w14:textId="77777777" w:rsidR="00466861" w:rsidRPr="00631B40" w:rsidRDefault="00466861" w:rsidP="00466861">
      <w:pPr>
        <w:tabs>
          <w:tab w:val="left" w:pos="0"/>
        </w:tabs>
        <w:spacing w:line="276" w:lineRule="auto"/>
        <w:ind w:firstLine="709"/>
        <w:jc w:val="both"/>
        <w:rPr>
          <w:rFonts w:ascii="Arial" w:hAnsi="Arial" w:cs="Arial"/>
          <w:color w:val="000000" w:themeColor="text1"/>
          <w:sz w:val="22"/>
          <w:lang w:val="es-ES_tradnl"/>
        </w:rPr>
      </w:pPr>
    </w:p>
    <w:p w14:paraId="5BA09B73" w14:textId="2B86722B" w:rsidR="00466861" w:rsidRPr="00631B40" w:rsidRDefault="00466861" w:rsidP="00466861">
      <w:pPr>
        <w:spacing w:line="276" w:lineRule="auto"/>
        <w:ind w:firstLine="709"/>
        <w:jc w:val="both"/>
        <w:rPr>
          <w:rFonts w:ascii="Arial" w:hAnsi="Arial" w:cs="Arial"/>
          <w:color w:val="000000" w:themeColor="text1"/>
          <w:sz w:val="22"/>
          <w:lang w:val="es-ES_tradnl"/>
        </w:rPr>
      </w:pPr>
      <w:r w:rsidRPr="00631B40">
        <w:rPr>
          <w:rFonts w:ascii="Arial" w:hAnsi="Arial" w:cs="Arial"/>
          <w:color w:val="000000" w:themeColor="text1"/>
          <w:sz w:val="22"/>
          <w:lang w:val="es-ES_tradnl"/>
        </w:rPr>
        <w:t>Por tanto, cuando el artículo 6 de la Ley 2020 de 2020 establece que «Durante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w:t>
      </w:r>
      <w:r w:rsidRPr="00631B40">
        <w:rPr>
          <w:rFonts w:ascii="Arial" w:hAnsi="Arial" w:cs="Arial"/>
          <w:color w:val="000000" w:themeColor="text1"/>
          <w:sz w:val="22"/>
          <w:vertAlign w:val="superscript"/>
          <w:lang w:val="es-ES_tradnl"/>
        </w:rPr>
        <w:t>o</w:t>
      </w:r>
      <w:r w:rsidRPr="00631B40">
        <w:rPr>
          <w:rFonts w:ascii="Arial" w:hAnsi="Arial" w:cs="Arial"/>
          <w:color w:val="000000" w:themeColor="text1"/>
          <w:sz w:val="22"/>
          <w:lang w:val="es-ES_tradnl"/>
        </w:rPr>
        <w:t xml:space="preserve"> de la Ley 1150 de 2007 o la norma que la modifique», significa que al aplicar dichos criterios de calificación con puntos dentro del procedimiento contractual, las entidades estatales deben servirse de la información contenida en el Registro</w:t>
      </w:r>
      <w:r w:rsidR="006204FE" w:rsidRPr="00631B40">
        <w:rPr>
          <w:rFonts w:ascii="Arial" w:hAnsi="Arial" w:cs="Arial"/>
          <w:color w:val="000000" w:themeColor="text1"/>
          <w:sz w:val="22"/>
          <w:lang w:val="es-ES_tradnl"/>
        </w:rPr>
        <w:t xml:space="preserve"> y de las actualizaciones </w:t>
      </w:r>
      <w:r w:rsidR="006C4461" w:rsidRPr="00631B40">
        <w:rPr>
          <w:rFonts w:ascii="Arial" w:hAnsi="Arial" w:cs="Arial"/>
          <w:color w:val="000000" w:themeColor="text1"/>
          <w:sz w:val="22"/>
          <w:lang w:val="es-ES_tradnl"/>
        </w:rPr>
        <w:t>de dicha información</w:t>
      </w:r>
      <w:r w:rsidR="00C35206" w:rsidRPr="00631B40">
        <w:rPr>
          <w:rFonts w:ascii="Arial" w:hAnsi="Arial" w:cs="Arial"/>
          <w:color w:val="000000" w:themeColor="text1"/>
          <w:sz w:val="22"/>
          <w:lang w:val="es-ES_tradnl"/>
        </w:rPr>
        <w:t xml:space="preserve"> </w:t>
      </w:r>
      <w:r w:rsidR="006204FE" w:rsidRPr="00631B40">
        <w:rPr>
          <w:rFonts w:ascii="Arial" w:hAnsi="Arial" w:cs="Arial"/>
          <w:color w:val="000000" w:themeColor="text1"/>
          <w:sz w:val="22"/>
          <w:lang w:val="es-ES_tradnl"/>
        </w:rPr>
        <w:t>que se reporten por parte de la Contraloría General de la Rep</w:t>
      </w:r>
      <w:r w:rsidR="003D3109" w:rsidRPr="00631B40">
        <w:rPr>
          <w:rFonts w:ascii="Arial" w:hAnsi="Arial" w:cs="Arial"/>
          <w:color w:val="000000" w:themeColor="text1"/>
          <w:sz w:val="22"/>
          <w:lang w:val="es-ES_tradnl"/>
        </w:rPr>
        <w:t>ú</w:t>
      </w:r>
      <w:r w:rsidR="006204FE" w:rsidRPr="00631B40">
        <w:rPr>
          <w:rFonts w:ascii="Arial" w:hAnsi="Arial" w:cs="Arial"/>
          <w:color w:val="000000" w:themeColor="text1"/>
          <w:sz w:val="22"/>
          <w:lang w:val="es-ES_tradnl"/>
        </w:rPr>
        <w:t>blica y de las entidades estatales</w:t>
      </w:r>
      <w:r w:rsidR="006C4461" w:rsidRPr="00631B40">
        <w:rPr>
          <w:rFonts w:ascii="Arial" w:hAnsi="Arial" w:cs="Arial"/>
          <w:color w:val="000000" w:themeColor="text1"/>
          <w:sz w:val="22"/>
          <w:lang w:val="es-ES_tradnl"/>
        </w:rPr>
        <w:t>, conf</w:t>
      </w:r>
      <w:r w:rsidR="00C35206" w:rsidRPr="00631B40">
        <w:rPr>
          <w:rFonts w:ascii="Arial" w:hAnsi="Arial" w:cs="Arial"/>
          <w:color w:val="000000" w:themeColor="text1"/>
          <w:sz w:val="22"/>
          <w:lang w:val="es-ES_tradnl"/>
        </w:rPr>
        <w:t>orme lo establece el</w:t>
      </w:r>
      <w:r w:rsidR="006C4461" w:rsidRPr="00631B40">
        <w:rPr>
          <w:rFonts w:ascii="Arial" w:hAnsi="Arial" w:cs="Arial"/>
          <w:color w:val="000000" w:themeColor="text1"/>
          <w:sz w:val="22"/>
          <w:lang w:val="es-ES_tradnl"/>
        </w:rPr>
        <w:t xml:space="preserve"> artículo 3 de la Ley 2020 de 2020. </w:t>
      </w:r>
      <w:r w:rsidR="00484E3F" w:rsidRPr="00631B40">
        <w:rPr>
          <w:rFonts w:ascii="Arial" w:eastAsiaTheme="minorHAnsi" w:hAnsi="Arial" w:cs="Arial"/>
          <w:sz w:val="22"/>
          <w:szCs w:val="22"/>
          <w:lang w:val="es-ES_tradnl" w:eastAsia="en-US"/>
        </w:rPr>
        <w:t xml:space="preserve">En este contexto, las entidades deberán examinar la particularidad de la </w:t>
      </w:r>
      <w:r w:rsidR="00484E3F" w:rsidRPr="00631B40">
        <w:rPr>
          <w:rFonts w:ascii="Arial" w:eastAsiaTheme="minorHAnsi" w:hAnsi="Arial" w:cs="Arial"/>
          <w:sz w:val="22"/>
          <w:szCs w:val="22"/>
          <w:lang w:val="es-ES_tradnl" w:eastAsia="en-US"/>
        </w:rPr>
        <w:lastRenderedPageBreak/>
        <w:t xml:space="preserve">anotación y determinar </w:t>
      </w:r>
      <w:r w:rsidR="00D65451" w:rsidRPr="00631B40">
        <w:rPr>
          <w:rFonts w:ascii="Arial" w:eastAsiaTheme="minorHAnsi" w:hAnsi="Arial" w:cs="Arial"/>
          <w:sz w:val="22"/>
          <w:szCs w:val="22"/>
          <w:lang w:val="es-ES_tradnl" w:eastAsia="en-US"/>
        </w:rPr>
        <w:t xml:space="preserve">si </w:t>
      </w:r>
      <w:r w:rsidR="003D41CC" w:rsidRPr="00631B40">
        <w:rPr>
          <w:rFonts w:ascii="Arial" w:eastAsiaTheme="minorHAnsi" w:hAnsi="Arial" w:cs="Arial"/>
          <w:sz w:val="22"/>
          <w:szCs w:val="22"/>
          <w:lang w:val="es-ES_tradnl" w:eastAsia="en-US"/>
        </w:rPr>
        <w:t>e</w:t>
      </w:r>
      <w:r w:rsidR="00D65451" w:rsidRPr="00631B40">
        <w:rPr>
          <w:rFonts w:ascii="Arial" w:eastAsiaTheme="minorHAnsi" w:hAnsi="Arial" w:cs="Arial"/>
          <w:sz w:val="22"/>
          <w:szCs w:val="22"/>
          <w:lang w:val="es-ES_tradnl" w:eastAsia="en-US"/>
        </w:rPr>
        <w:t xml:space="preserve">sta </w:t>
      </w:r>
      <w:r w:rsidR="00484E3F" w:rsidRPr="00631B40">
        <w:rPr>
          <w:rFonts w:ascii="Arial" w:eastAsiaTheme="minorHAnsi" w:hAnsi="Arial" w:cs="Arial"/>
          <w:sz w:val="22"/>
          <w:szCs w:val="22"/>
          <w:lang w:val="es-ES_tradnl" w:eastAsia="en-US"/>
        </w:rPr>
        <w:t xml:space="preserve">afectará </w:t>
      </w:r>
      <w:r w:rsidR="00042B91" w:rsidRPr="00631B40">
        <w:rPr>
          <w:rFonts w:ascii="Arial" w:eastAsiaTheme="minorHAnsi" w:hAnsi="Arial" w:cs="Arial"/>
          <w:sz w:val="22"/>
          <w:szCs w:val="22"/>
          <w:lang w:val="es-ES_tradnl" w:eastAsia="en-US"/>
        </w:rPr>
        <w:t xml:space="preserve">la ponderación </w:t>
      </w:r>
      <w:r w:rsidR="00484E3F" w:rsidRPr="00631B40">
        <w:rPr>
          <w:rFonts w:ascii="Arial" w:eastAsiaTheme="minorHAnsi" w:hAnsi="Arial" w:cs="Arial"/>
          <w:sz w:val="22"/>
          <w:szCs w:val="22"/>
          <w:lang w:val="es-ES_tradnl" w:eastAsia="en-US"/>
        </w:rPr>
        <w:t>al momento de realizar la respectiva evaluación.</w:t>
      </w:r>
    </w:p>
    <w:p w14:paraId="09358323" w14:textId="0DF3681A" w:rsidR="00484E3F" w:rsidRPr="00631B40" w:rsidRDefault="00484E3F" w:rsidP="00CE5AAD">
      <w:pPr>
        <w:spacing w:before="120" w:line="276" w:lineRule="auto"/>
        <w:ind w:firstLine="709"/>
        <w:jc w:val="both"/>
        <w:rPr>
          <w:rFonts w:ascii="Arial" w:hAnsi="Arial" w:cs="Arial"/>
          <w:color w:val="000000" w:themeColor="text1"/>
          <w:sz w:val="22"/>
          <w:lang w:val="es-ES_tradnl"/>
        </w:rPr>
      </w:pPr>
      <w:r w:rsidRPr="00631B40">
        <w:rPr>
          <w:rFonts w:ascii="Arial" w:hAnsi="Arial" w:cs="Arial"/>
          <w:color w:val="000000" w:themeColor="text1"/>
          <w:sz w:val="22"/>
          <w:lang w:val="es-ES_tradnl"/>
        </w:rPr>
        <w:t>De esta manera, como las entidades estatales cuentan con discrecionalidad para determinar los criterios de calificación, corresponde a estas definir, en los pliegos de condiciones</w:t>
      </w:r>
      <w:r w:rsidR="00202913" w:rsidRPr="00631B40">
        <w:rPr>
          <w:rFonts w:ascii="Arial" w:hAnsi="Arial" w:cs="Arial"/>
          <w:color w:val="000000" w:themeColor="text1"/>
          <w:sz w:val="22"/>
          <w:lang w:val="es-ES_tradnl"/>
        </w:rPr>
        <w:t xml:space="preserve"> o documentos equivalentes</w:t>
      </w:r>
      <w:r w:rsidRPr="00631B40">
        <w:rPr>
          <w:rFonts w:ascii="Arial" w:hAnsi="Arial" w:cs="Arial"/>
          <w:color w:val="000000" w:themeColor="text1"/>
          <w:sz w:val="22"/>
          <w:lang w:val="es-ES_tradnl"/>
        </w:rPr>
        <w:t xml:space="preserve">, los factores de </w:t>
      </w:r>
      <w:r w:rsidR="009B6910" w:rsidRPr="00631B40">
        <w:rPr>
          <w:rFonts w:ascii="Arial" w:hAnsi="Arial" w:cs="Arial"/>
          <w:color w:val="000000" w:themeColor="text1"/>
          <w:sz w:val="22"/>
          <w:lang w:val="es-ES_tradnl"/>
        </w:rPr>
        <w:t>asignación de puntaje</w:t>
      </w:r>
      <w:r w:rsidRPr="00631B40">
        <w:rPr>
          <w:rFonts w:ascii="Arial" w:hAnsi="Arial" w:cs="Arial"/>
          <w:color w:val="000000" w:themeColor="text1"/>
          <w:sz w:val="22"/>
          <w:lang w:val="es-ES_tradnl"/>
        </w:rPr>
        <w:t xml:space="preserve"> y la forma en que se realizará la valoración de las anotaciones vigentes en el Registro Nacional de Obras Civiles Inconclusas al momento de </w:t>
      </w:r>
      <w:r w:rsidR="009B6910" w:rsidRPr="00631B40">
        <w:rPr>
          <w:rFonts w:ascii="Arial" w:hAnsi="Arial" w:cs="Arial"/>
          <w:color w:val="000000" w:themeColor="text1"/>
          <w:sz w:val="22"/>
          <w:lang w:val="es-ES_tradnl"/>
        </w:rPr>
        <w:t>evaluar las ofertas</w:t>
      </w:r>
      <w:r w:rsidRPr="00631B40">
        <w:rPr>
          <w:rFonts w:ascii="Arial" w:hAnsi="Arial" w:cs="Arial"/>
          <w:color w:val="000000" w:themeColor="text1"/>
          <w:sz w:val="22"/>
          <w:lang w:val="es-ES_tradnl"/>
        </w:rPr>
        <w:t>, conforme a los parámetros del artículo 6 de la Ley 2020 de 2020. Lo anterior, teniendo en cuenta</w:t>
      </w:r>
      <w:r w:rsidR="00CE5AAD" w:rsidRPr="00631B40">
        <w:rPr>
          <w:rFonts w:ascii="Arial" w:hAnsi="Arial" w:cs="Arial"/>
          <w:color w:val="000000" w:themeColor="text1"/>
          <w:sz w:val="22"/>
          <w:lang w:val="es-ES_tradnl"/>
        </w:rPr>
        <w:t xml:space="preserve"> </w:t>
      </w:r>
      <w:r w:rsidRPr="00631B40">
        <w:rPr>
          <w:rFonts w:ascii="Arial" w:hAnsi="Arial" w:cs="Arial"/>
          <w:color w:val="000000" w:themeColor="text1"/>
          <w:sz w:val="22"/>
          <w:lang w:val="es-ES_tradnl"/>
        </w:rPr>
        <w:t>que la norma no restringió a una metodología específica el análisis y la valoración de estas anotaciones.</w:t>
      </w:r>
      <w:r w:rsidR="00CE5AAD" w:rsidRPr="00631B40">
        <w:rPr>
          <w:rFonts w:ascii="Arial" w:hAnsi="Arial" w:cs="Arial"/>
          <w:color w:val="000000" w:themeColor="text1"/>
          <w:sz w:val="22"/>
          <w:lang w:val="es-ES_tradnl"/>
        </w:rPr>
        <w:t xml:space="preserve"> </w:t>
      </w:r>
    </w:p>
    <w:p w14:paraId="50A791C5" w14:textId="25F8EEF7" w:rsidR="00A97430" w:rsidRPr="00631B40" w:rsidRDefault="002F7C31" w:rsidP="0036249F">
      <w:pPr>
        <w:spacing w:before="120" w:line="276" w:lineRule="auto"/>
        <w:ind w:firstLine="709"/>
        <w:jc w:val="both"/>
        <w:rPr>
          <w:rFonts w:ascii="Arial" w:eastAsia="Calibri" w:hAnsi="Arial" w:cs="Arial"/>
          <w:color w:val="000000"/>
          <w:sz w:val="22"/>
          <w:lang w:val="es-ES_tradnl" w:eastAsia="en-GB"/>
        </w:rPr>
      </w:pPr>
      <w:r w:rsidRPr="00631B40">
        <w:rPr>
          <w:rFonts w:ascii="Arial" w:hAnsi="Arial" w:cs="Arial"/>
          <w:color w:val="000000" w:themeColor="text1"/>
          <w:sz w:val="22"/>
          <w:lang w:val="es-ES_tradnl"/>
        </w:rPr>
        <w:t>Sin embargo,</w:t>
      </w:r>
      <w:r w:rsidR="00AA7878" w:rsidRPr="00631B40">
        <w:rPr>
          <w:rFonts w:ascii="Arial" w:hAnsi="Arial" w:cs="Arial"/>
          <w:color w:val="000000" w:themeColor="text1"/>
          <w:sz w:val="22"/>
          <w:lang w:val="es-ES_tradnl"/>
        </w:rPr>
        <w:t xml:space="preserve"> debe precisarse que</w:t>
      </w:r>
      <w:r w:rsidRPr="00631B40">
        <w:rPr>
          <w:rFonts w:ascii="Arial" w:hAnsi="Arial" w:cs="Arial"/>
          <w:color w:val="000000" w:themeColor="text1"/>
          <w:sz w:val="22"/>
          <w:lang w:val="es-ES_tradnl"/>
        </w:rPr>
        <w:t xml:space="preserve"> </w:t>
      </w:r>
      <w:r w:rsidR="00AA7878" w:rsidRPr="00631B40">
        <w:rPr>
          <w:rFonts w:ascii="Arial" w:hAnsi="Arial" w:cs="Arial"/>
          <w:color w:val="000000" w:themeColor="text1"/>
          <w:sz w:val="22"/>
          <w:lang w:val="es-ES_tradnl"/>
        </w:rPr>
        <w:t>l</w:t>
      </w:r>
      <w:r w:rsidR="00AA7878" w:rsidRPr="00631B40">
        <w:rPr>
          <w:rFonts w:ascii="Arial" w:eastAsia="Calibri" w:hAnsi="Arial" w:cs="Arial"/>
          <w:color w:val="000000"/>
          <w:sz w:val="22"/>
          <w:lang w:val="es-ES_tradnl" w:eastAsia="en-GB"/>
        </w:rPr>
        <w:t>a sola inclusión en el Registro Nacional de Obras Civiles Inconclusas no puede entenderse suficiente para</w:t>
      </w:r>
      <w:r w:rsidR="00AA7878" w:rsidRPr="00631B40">
        <w:rPr>
          <w:rFonts w:ascii="Arial" w:hAnsi="Arial" w:cs="Arial"/>
          <w:color w:val="000000" w:themeColor="text1"/>
          <w:sz w:val="22"/>
          <w:lang w:val="es-ES_tradnl"/>
        </w:rPr>
        <w:t xml:space="preserve"> afectar la ponderación del factor de calidad del proponente, puesto que la norma establece el deber de la entidad de realizar la consulta y el análisis de la anotación.</w:t>
      </w:r>
      <w:r w:rsidR="00896F86" w:rsidRPr="00631B40">
        <w:rPr>
          <w:rFonts w:ascii="Arial" w:hAnsi="Arial" w:cs="Arial"/>
          <w:color w:val="000000" w:themeColor="text1"/>
          <w:sz w:val="22"/>
          <w:lang w:val="es-ES_tradnl"/>
        </w:rPr>
        <w:t xml:space="preserve"> </w:t>
      </w:r>
      <w:r w:rsidR="00896F86" w:rsidRPr="00631B40">
        <w:rPr>
          <w:rFonts w:ascii="Arial" w:eastAsia="Calibri" w:hAnsi="Arial" w:cs="Arial"/>
          <w:color w:val="000000"/>
          <w:sz w:val="22"/>
          <w:lang w:val="es-ES_tradnl" w:eastAsia="en-GB"/>
        </w:rPr>
        <w:t>Adem</w:t>
      </w:r>
      <w:r w:rsidR="00D65451" w:rsidRPr="00631B40">
        <w:rPr>
          <w:rFonts w:ascii="Arial" w:eastAsia="Calibri" w:hAnsi="Arial" w:cs="Arial"/>
          <w:color w:val="000000"/>
          <w:sz w:val="22"/>
          <w:lang w:val="es-ES_tradnl" w:eastAsia="en-GB"/>
        </w:rPr>
        <w:t>á</w:t>
      </w:r>
      <w:r w:rsidR="00896F86" w:rsidRPr="00631B40">
        <w:rPr>
          <w:rFonts w:ascii="Arial" w:eastAsia="Calibri" w:hAnsi="Arial" w:cs="Arial"/>
          <w:color w:val="000000"/>
          <w:sz w:val="22"/>
          <w:lang w:val="es-ES_tradnl" w:eastAsia="en-GB"/>
        </w:rPr>
        <w:t>s,</w:t>
      </w:r>
      <w:r w:rsidR="00C87FF2" w:rsidRPr="00631B40">
        <w:rPr>
          <w:rFonts w:ascii="Arial" w:eastAsia="Calibri" w:hAnsi="Arial" w:cs="Arial"/>
          <w:color w:val="000000"/>
          <w:sz w:val="22"/>
          <w:lang w:val="es-ES_tradnl" w:eastAsia="en-GB"/>
        </w:rPr>
        <w:t xml:space="preserve"> co</w:t>
      </w:r>
      <w:r w:rsidR="00D65451" w:rsidRPr="00631B40">
        <w:rPr>
          <w:rFonts w:ascii="Arial" w:eastAsia="Calibri" w:hAnsi="Arial" w:cs="Arial"/>
          <w:color w:val="000000"/>
          <w:sz w:val="22"/>
          <w:lang w:val="es-ES_tradnl" w:eastAsia="en-GB"/>
        </w:rPr>
        <w:t xml:space="preserve">mo </w:t>
      </w:r>
      <w:r w:rsidR="00C87FF2" w:rsidRPr="00631B40">
        <w:rPr>
          <w:rFonts w:ascii="Arial" w:eastAsia="Calibri" w:hAnsi="Arial" w:cs="Arial"/>
          <w:color w:val="000000"/>
          <w:sz w:val="22"/>
          <w:lang w:val="es-ES_tradnl" w:eastAsia="en-GB"/>
        </w:rPr>
        <w:t>se expuso,</w:t>
      </w:r>
      <w:r w:rsidR="00896F86" w:rsidRPr="00631B40">
        <w:rPr>
          <w:rFonts w:ascii="Arial" w:eastAsia="Calibri" w:hAnsi="Arial" w:cs="Arial"/>
          <w:color w:val="000000"/>
          <w:sz w:val="22"/>
          <w:lang w:val="es-ES_tradnl" w:eastAsia="en-GB"/>
        </w:rPr>
        <w:t xml:space="preserve"> </w:t>
      </w:r>
      <w:r w:rsidR="00C71AFB" w:rsidRPr="00631B40">
        <w:rPr>
          <w:rFonts w:ascii="Arial" w:eastAsia="Calibri" w:hAnsi="Arial" w:cs="Arial"/>
          <w:color w:val="000000"/>
          <w:sz w:val="22"/>
          <w:lang w:val="es-ES_tradnl" w:eastAsia="en-GB"/>
        </w:rPr>
        <w:t xml:space="preserve">el Registro Nacional de Nacional de Obras Civiles Inconclusas es un sistema que contiene los datos sobre obras inconclusas en todo el territorio nacional, compuesto por la información reportada por las entidades estatales o la información obtenida por la Contraloría General de la República. </w:t>
      </w:r>
      <w:r w:rsidR="00A01212" w:rsidRPr="00631B40">
        <w:rPr>
          <w:rFonts w:ascii="Arial" w:eastAsia="Calibri" w:hAnsi="Arial" w:cs="Arial"/>
          <w:color w:val="000000"/>
          <w:sz w:val="22"/>
          <w:lang w:val="es-ES_tradnl" w:eastAsia="en-GB"/>
        </w:rPr>
        <w:t xml:space="preserve">Esto significa que el </w:t>
      </w:r>
      <w:r w:rsidR="00F60CFA" w:rsidRPr="00631B40">
        <w:rPr>
          <w:rFonts w:ascii="Arial" w:eastAsia="Calibri" w:hAnsi="Arial" w:cs="Arial"/>
          <w:color w:val="000000"/>
          <w:sz w:val="22"/>
          <w:lang w:val="es-ES_tradnl" w:eastAsia="en-GB"/>
        </w:rPr>
        <w:t>R</w:t>
      </w:r>
      <w:r w:rsidR="00A01212" w:rsidRPr="00631B40">
        <w:rPr>
          <w:rFonts w:ascii="Arial" w:eastAsia="Calibri" w:hAnsi="Arial" w:cs="Arial"/>
          <w:color w:val="000000"/>
          <w:sz w:val="22"/>
          <w:lang w:val="es-ES_tradnl" w:eastAsia="en-GB"/>
        </w:rPr>
        <w:t xml:space="preserve">egistro </w:t>
      </w:r>
      <w:r w:rsidR="00C71AFB" w:rsidRPr="00631B40">
        <w:rPr>
          <w:rFonts w:ascii="Arial" w:eastAsia="Calibri" w:hAnsi="Arial" w:cs="Arial"/>
          <w:color w:val="000000"/>
          <w:sz w:val="22"/>
          <w:lang w:val="es-ES_tradnl" w:eastAsia="en-GB"/>
        </w:rPr>
        <w:t xml:space="preserve">contiene toda </w:t>
      </w:r>
      <w:r w:rsidR="00A01212" w:rsidRPr="00631B40">
        <w:rPr>
          <w:rFonts w:ascii="Arial" w:eastAsia="Calibri" w:hAnsi="Arial" w:cs="Arial"/>
          <w:color w:val="000000"/>
          <w:sz w:val="22"/>
          <w:lang w:val="es-ES_tradnl" w:eastAsia="en-GB"/>
        </w:rPr>
        <w:t>la información necesaria que permit</w:t>
      </w:r>
      <w:r w:rsidR="001B1D14" w:rsidRPr="00631B40">
        <w:rPr>
          <w:rFonts w:ascii="Arial" w:eastAsia="Calibri" w:hAnsi="Arial" w:cs="Arial"/>
          <w:color w:val="000000"/>
          <w:sz w:val="22"/>
          <w:lang w:val="es-ES_tradnl" w:eastAsia="en-GB"/>
        </w:rPr>
        <w:t>e</w:t>
      </w:r>
      <w:r w:rsidR="00A01212" w:rsidRPr="00631B40">
        <w:rPr>
          <w:rFonts w:ascii="Arial" w:eastAsia="Calibri" w:hAnsi="Arial" w:cs="Arial"/>
          <w:color w:val="000000"/>
          <w:sz w:val="22"/>
          <w:lang w:val="es-ES_tradnl" w:eastAsia="en-GB"/>
        </w:rPr>
        <w:t xml:space="preserve"> verificar el estado real de dicha obra</w:t>
      </w:r>
      <w:r w:rsidR="0036249F" w:rsidRPr="00631B40">
        <w:rPr>
          <w:rFonts w:ascii="Arial" w:eastAsia="Calibri" w:hAnsi="Arial" w:cs="Arial"/>
          <w:color w:val="000000"/>
          <w:sz w:val="22"/>
          <w:lang w:val="es-ES_tradnl" w:eastAsia="en-GB"/>
        </w:rPr>
        <w:t xml:space="preserve">: </w:t>
      </w:r>
      <w:r w:rsidR="00F60CFA" w:rsidRPr="00631B40">
        <w:rPr>
          <w:rFonts w:ascii="Arial" w:eastAsia="Calibri" w:hAnsi="Arial" w:cs="Arial"/>
          <w:color w:val="000000"/>
          <w:sz w:val="22"/>
          <w:lang w:val="es-ES_tradnl" w:eastAsia="en-GB"/>
        </w:rPr>
        <w:t>datos sobre la identificación del contratista, consultores, interventores y demás personas naturales y/o jurídicas que intervinieron en la planeación y ejecución del proyecto</w:t>
      </w:r>
      <w:r w:rsidR="000F144E" w:rsidRPr="00631B40">
        <w:rPr>
          <w:rFonts w:ascii="Arial" w:eastAsia="Calibri" w:hAnsi="Arial" w:cs="Arial"/>
          <w:color w:val="000000"/>
          <w:sz w:val="22"/>
          <w:lang w:val="es-ES_tradnl" w:eastAsia="en-GB"/>
        </w:rPr>
        <w:t>, entre otros</w:t>
      </w:r>
      <w:r w:rsidR="00D65451" w:rsidRPr="00631B40">
        <w:rPr>
          <w:rFonts w:ascii="Arial" w:eastAsia="Calibri" w:hAnsi="Arial" w:cs="Arial"/>
          <w:color w:val="000000"/>
          <w:sz w:val="22"/>
          <w:lang w:val="es-ES_tradnl" w:eastAsia="en-GB"/>
        </w:rPr>
        <w:t xml:space="preserve">. En este sentido, no puede entenderse que la sola inclusión de dicha información </w:t>
      </w:r>
      <w:r w:rsidR="009A26A2" w:rsidRPr="00631B40">
        <w:rPr>
          <w:rFonts w:ascii="Arial" w:eastAsia="Calibri" w:hAnsi="Arial" w:cs="Arial"/>
          <w:color w:val="000000"/>
          <w:sz w:val="22"/>
          <w:lang w:val="es-ES_tradnl" w:eastAsia="en-GB"/>
        </w:rPr>
        <w:t>tenga incidencia</w:t>
      </w:r>
      <w:r w:rsidR="00D65451" w:rsidRPr="00631B40">
        <w:rPr>
          <w:rFonts w:ascii="Arial" w:eastAsia="Calibri" w:hAnsi="Arial" w:cs="Arial"/>
          <w:color w:val="000000"/>
          <w:sz w:val="22"/>
          <w:lang w:val="es-ES_tradnl" w:eastAsia="en-GB"/>
        </w:rPr>
        <w:t xml:space="preserve"> </w:t>
      </w:r>
      <w:r w:rsidR="00A97430" w:rsidRPr="00631B40">
        <w:rPr>
          <w:rFonts w:ascii="Arial" w:eastAsia="Calibri" w:hAnsi="Arial" w:cs="Arial"/>
          <w:color w:val="000000"/>
          <w:sz w:val="22"/>
          <w:lang w:val="es-ES_tradnl" w:eastAsia="en-GB"/>
        </w:rPr>
        <w:t xml:space="preserve">automática </w:t>
      </w:r>
      <w:r w:rsidR="00D65451" w:rsidRPr="00631B40">
        <w:rPr>
          <w:rFonts w:ascii="Arial" w:eastAsia="Calibri" w:hAnsi="Arial" w:cs="Arial"/>
          <w:color w:val="000000"/>
          <w:sz w:val="22"/>
          <w:szCs w:val="22"/>
          <w:lang w:val="es-ES_tradnl" w:eastAsia="en-GB"/>
        </w:rPr>
        <w:t>al momento de evaluar los factores de ponderación</w:t>
      </w:r>
      <w:r w:rsidR="00A97430" w:rsidRPr="00631B40">
        <w:rPr>
          <w:rFonts w:ascii="Arial" w:eastAsia="Calibri" w:hAnsi="Arial" w:cs="Arial"/>
          <w:color w:val="000000"/>
          <w:sz w:val="22"/>
          <w:szCs w:val="22"/>
          <w:lang w:val="es-ES_tradnl" w:eastAsia="en-GB"/>
        </w:rPr>
        <w:t xml:space="preserve">. Por ello, el artículo 6 dispuso expresamente que las entidades estatales contratantes </w:t>
      </w:r>
      <w:r w:rsidR="00A97430" w:rsidRPr="00631B40">
        <w:rPr>
          <w:rFonts w:ascii="Arial" w:hAnsi="Arial" w:cs="Arial"/>
          <w:color w:val="000000" w:themeColor="text1"/>
          <w:sz w:val="22"/>
          <w:szCs w:val="22"/>
          <w:lang w:val="es-ES_tradnl"/>
        </w:rPr>
        <w:t>«</w:t>
      </w:r>
      <w:r w:rsidR="00A97430" w:rsidRPr="00631B40">
        <w:rPr>
          <w:rFonts w:ascii="Arial" w:eastAsia="Calibri" w:hAnsi="Arial" w:cs="Arial"/>
          <w:color w:val="000000"/>
          <w:sz w:val="22"/>
          <w:szCs w:val="22"/>
          <w:lang w:val="es-ES_tradnl" w:eastAsia="en-GB"/>
        </w:rPr>
        <w:t>deberán consultar y analizar las anotaciones vigentes que presenten las personas naturales o jurídicas, nacionales o extranjeras domiciliadas o con sucursal en Colombia, en el Registro Nacional de Obras Civiles Inconclusas</w:t>
      </w:r>
      <w:r w:rsidR="00A97430" w:rsidRPr="00631B40">
        <w:rPr>
          <w:rFonts w:ascii="Arial" w:hAnsi="Arial" w:cs="Arial"/>
          <w:color w:val="000000" w:themeColor="text1"/>
          <w:sz w:val="22"/>
          <w:szCs w:val="22"/>
          <w:lang w:val="es-ES_tradnl"/>
        </w:rPr>
        <w:t>»</w:t>
      </w:r>
      <w:r w:rsidR="00A97430" w:rsidRPr="00631B40">
        <w:rPr>
          <w:rFonts w:ascii="Arial" w:eastAsia="Calibri" w:hAnsi="Arial" w:cs="Arial"/>
          <w:color w:val="000000"/>
          <w:sz w:val="22"/>
          <w:szCs w:val="22"/>
          <w:lang w:val="es-ES_tradnl" w:eastAsia="en-GB"/>
        </w:rPr>
        <w:t>.</w:t>
      </w:r>
    </w:p>
    <w:p w14:paraId="4D9A1B18" w14:textId="7FAB3DBB" w:rsidR="00AE72A9" w:rsidRPr="00631B40" w:rsidRDefault="009006F5" w:rsidP="00AE72A9">
      <w:pPr>
        <w:spacing w:before="120" w:line="276" w:lineRule="auto"/>
        <w:ind w:firstLine="709"/>
        <w:jc w:val="both"/>
        <w:rPr>
          <w:rFonts w:ascii="Arial" w:eastAsia="Calibri" w:hAnsi="Arial" w:cs="Arial"/>
          <w:color w:val="000000"/>
          <w:sz w:val="22"/>
          <w:szCs w:val="22"/>
          <w:lang w:val="es-ES_tradnl" w:eastAsia="en-GB"/>
        </w:rPr>
      </w:pPr>
      <w:r w:rsidRPr="00631B40">
        <w:rPr>
          <w:rFonts w:ascii="Arial" w:hAnsi="Arial" w:cs="Arial"/>
          <w:color w:val="000000" w:themeColor="text1"/>
          <w:sz w:val="22"/>
          <w:lang w:val="es-ES_tradnl"/>
        </w:rPr>
        <w:t xml:space="preserve">Así las cosas, </w:t>
      </w:r>
      <w:r w:rsidR="0039494D" w:rsidRPr="00631B40">
        <w:rPr>
          <w:rFonts w:ascii="Arial" w:hAnsi="Arial" w:cs="Arial"/>
          <w:color w:val="000000" w:themeColor="text1"/>
          <w:sz w:val="22"/>
          <w:lang w:val="es-ES_tradnl"/>
        </w:rPr>
        <w:t xml:space="preserve">no siempre que el contratista de obra o interventor se encuentre incluido en dicho Registro </w:t>
      </w:r>
      <w:r w:rsidR="00A352D9" w:rsidRPr="00631B40">
        <w:rPr>
          <w:rFonts w:ascii="Arial" w:hAnsi="Arial" w:cs="Arial"/>
          <w:color w:val="000000" w:themeColor="text1"/>
          <w:sz w:val="22"/>
          <w:lang w:val="es-ES_tradnl"/>
        </w:rPr>
        <w:t xml:space="preserve">esto </w:t>
      </w:r>
      <w:r w:rsidR="00160FC5" w:rsidRPr="00631B40">
        <w:rPr>
          <w:rFonts w:ascii="Arial" w:hAnsi="Arial" w:cs="Arial"/>
          <w:color w:val="000000" w:themeColor="text1"/>
          <w:sz w:val="22"/>
          <w:lang w:val="es-ES_tradnl"/>
        </w:rPr>
        <w:t xml:space="preserve">generará </w:t>
      </w:r>
      <w:r w:rsidR="005E2E63" w:rsidRPr="00631B40">
        <w:rPr>
          <w:rFonts w:ascii="Arial" w:hAnsi="Arial" w:cs="Arial"/>
          <w:color w:val="000000" w:themeColor="text1"/>
          <w:sz w:val="22"/>
          <w:lang w:val="es-ES_tradnl"/>
        </w:rPr>
        <w:t xml:space="preserve">automáticamente una consecuencia </w:t>
      </w:r>
      <w:r w:rsidR="0039494D" w:rsidRPr="00631B40">
        <w:rPr>
          <w:rFonts w:ascii="Arial" w:hAnsi="Arial" w:cs="Arial"/>
          <w:color w:val="000000" w:themeColor="text1"/>
          <w:sz w:val="22"/>
          <w:lang w:val="es-ES_tradnl"/>
        </w:rPr>
        <w:t>en la ponderación de</w:t>
      </w:r>
      <w:r w:rsidR="00FF5877" w:rsidRPr="00631B40">
        <w:rPr>
          <w:rFonts w:ascii="Arial" w:hAnsi="Arial" w:cs="Arial"/>
          <w:color w:val="000000" w:themeColor="text1"/>
          <w:sz w:val="22"/>
          <w:lang w:val="es-ES_tradnl"/>
        </w:rPr>
        <w:t xml:space="preserve"> los criterios de evaluación</w:t>
      </w:r>
      <w:r w:rsidR="0039494D" w:rsidRPr="00631B40">
        <w:rPr>
          <w:rFonts w:ascii="Arial" w:hAnsi="Arial" w:cs="Arial"/>
          <w:color w:val="000000" w:themeColor="text1"/>
          <w:sz w:val="22"/>
          <w:lang w:val="es-ES_tradnl"/>
        </w:rPr>
        <w:t xml:space="preserve">, pues la entidad tiene el deber de </w:t>
      </w:r>
      <w:r w:rsidR="0039494D" w:rsidRPr="00631B40">
        <w:rPr>
          <w:rFonts w:ascii="Arial" w:eastAsia="Calibri" w:hAnsi="Arial" w:cs="Arial"/>
          <w:color w:val="000000"/>
          <w:sz w:val="22"/>
          <w:szCs w:val="22"/>
          <w:lang w:val="es-ES_tradnl" w:eastAsia="en-GB"/>
        </w:rPr>
        <w:t xml:space="preserve">consultar y analizar las anotaciones vigentes. En todo caso, </w:t>
      </w:r>
      <w:r w:rsidR="00CF6AC0" w:rsidRPr="00631B40">
        <w:rPr>
          <w:rFonts w:ascii="Arial" w:eastAsia="Calibri" w:hAnsi="Arial" w:cs="Arial"/>
          <w:color w:val="000000"/>
          <w:sz w:val="22"/>
          <w:szCs w:val="22"/>
          <w:lang w:val="es-ES_tradnl" w:eastAsia="en-GB"/>
        </w:rPr>
        <w:t>si se present</w:t>
      </w:r>
      <w:r w:rsidR="00113584" w:rsidRPr="00631B40">
        <w:rPr>
          <w:rFonts w:ascii="Arial" w:eastAsia="Calibri" w:hAnsi="Arial" w:cs="Arial"/>
          <w:color w:val="000000"/>
          <w:sz w:val="22"/>
          <w:szCs w:val="22"/>
          <w:lang w:val="es-ES_tradnl" w:eastAsia="en-GB"/>
        </w:rPr>
        <w:t>a</w:t>
      </w:r>
      <w:r w:rsidR="00CF6AC0" w:rsidRPr="00631B40">
        <w:rPr>
          <w:rFonts w:ascii="Arial" w:eastAsia="Calibri" w:hAnsi="Arial" w:cs="Arial"/>
          <w:color w:val="000000"/>
          <w:sz w:val="22"/>
          <w:szCs w:val="22"/>
          <w:lang w:val="es-ES_tradnl" w:eastAsia="en-GB"/>
        </w:rPr>
        <w:t xml:space="preserve"> alguna discrepancia en relación con la información reportada en el Registro por la entidad contratante, el artículo 6 dispuso que tal controversia o solicitud será resuelta por la entidad contratante que suministró dicha información. En consecuencia, el contratista deberá manifestar su inconformidad directamente ante la entidad contratante que realizó la anotación, la cual deberá atenderla teniendo en cuenta los principios y disposiciones establecidas en la normativ</w:t>
      </w:r>
      <w:r w:rsidR="00C03127" w:rsidRPr="00631B40">
        <w:rPr>
          <w:rFonts w:ascii="Arial" w:eastAsia="Calibri" w:hAnsi="Arial" w:cs="Arial"/>
          <w:color w:val="000000"/>
          <w:sz w:val="22"/>
          <w:szCs w:val="22"/>
          <w:lang w:val="es-ES_tradnl" w:eastAsia="en-GB"/>
        </w:rPr>
        <w:t>a</w:t>
      </w:r>
      <w:r w:rsidR="00CF6AC0" w:rsidRPr="00631B40">
        <w:rPr>
          <w:rFonts w:ascii="Arial" w:eastAsia="Calibri" w:hAnsi="Arial" w:cs="Arial"/>
          <w:color w:val="000000"/>
          <w:sz w:val="22"/>
          <w:szCs w:val="22"/>
          <w:lang w:val="es-ES_tradnl" w:eastAsia="en-GB"/>
        </w:rPr>
        <w:t xml:space="preserve"> vigente.</w:t>
      </w:r>
    </w:p>
    <w:p w14:paraId="035F3239" w14:textId="2CD35C5A" w:rsidR="00B03E3C" w:rsidRPr="00631B40" w:rsidRDefault="009E02B9" w:rsidP="00B03E3C">
      <w:pPr>
        <w:spacing w:before="120" w:line="276" w:lineRule="auto"/>
        <w:ind w:firstLine="709"/>
        <w:jc w:val="both"/>
        <w:rPr>
          <w:rFonts w:ascii="Arial" w:hAnsi="Arial" w:cs="Arial"/>
          <w:bCs/>
          <w:color w:val="000000" w:themeColor="text1"/>
          <w:sz w:val="22"/>
          <w:szCs w:val="22"/>
          <w:lang w:val="es-ES_tradnl"/>
        </w:rPr>
      </w:pPr>
      <w:r w:rsidRPr="00631B40">
        <w:rPr>
          <w:rFonts w:ascii="Arial" w:hAnsi="Arial" w:cs="Arial"/>
          <w:bCs/>
          <w:color w:val="000000" w:themeColor="text1"/>
          <w:sz w:val="22"/>
          <w:szCs w:val="22"/>
          <w:lang w:val="es-ES_tradnl"/>
        </w:rPr>
        <w:t>Ahora bien, n</w:t>
      </w:r>
      <w:r w:rsidR="00AE72A9" w:rsidRPr="00631B40">
        <w:rPr>
          <w:rFonts w:ascii="Arial" w:hAnsi="Arial" w:cs="Arial"/>
          <w:bCs/>
          <w:color w:val="000000" w:themeColor="text1"/>
          <w:sz w:val="22"/>
          <w:szCs w:val="22"/>
          <w:lang w:val="es-ES_tradnl"/>
        </w:rPr>
        <w:t xml:space="preserve">i </w:t>
      </w:r>
      <w:r w:rsidRPr="00631B40">
        <w:rPr>
          <w:rFonts w:ascii="Arial" w:hAnsi="Arial" w:cs="Arial"/>
          <w:bCs/>
          <w:color w:val="000000" w:themeColor="text1"/>
          <w:sz w:val="22"/>
          <w:szCs w:val="22"/>
          <w:lang w:val="es-ES_tradnl"/>
        </w:rPr>
        <w:t>el artículo 6 de la Ley 2020 de 2020</w:t>
      </w:r>
      <w:r w:rsidR="00AE72A9" w:rsidRPr="00631B40">
        <w:rPr>
          <w:rFonts w:ascii="Arial" w:hAnsi="Arial" w:cs="Arial"/>
          <w:bCs/>
          <w:color w:val="000000" w:themeColor="text1"/>
          <w:sz w:val="22"/>
          <w:szCs w:val="22"/>
          <w:lang w:val="es-ES_tradnl"/>
        </w:rPr>
        <w:t xml:space="preserve"> ni </w:t>
      </w:r>
      <w:r w:rsidRPr="00631B40">
        <w:rPr>
          <w:rFonts w:ascii="Arial" w:hAnsi="Arial" w:cs="Arial"/>
          <w:bCs/>
          <w:color w:val="000000" w:themeColor="text1"/>
          <w:sz w:val="22"/>
          <w:szCs w:val="22"/>
          <w:lang w:val="es-ES_tradnl"/>
        </w:rPr>
        <w:t>sus</w:t>
      </w:r>
      <w:r w:rsidR="00AE72A9" w:rsidRPr="00631B40">
        <w:rPr>
          <w:rFonts w:ascii="Arial" w:hAnsi="Arial" w:cs="Arial"/>
          <w:bCs/>
          <w:color w:val="000000" w:themeColor="text1"/>
          <w:sz w:val="22"/>
          <w:szCs w:val="22"/>
          <w:lang w:val="es-ES_tradnl"/>
        </w:rPr>
        <w:t xml:space="preserve"> demás disposiciones contienen el deber, dirigido a las entidades estatales, de solicitar o revisar documentos distintos al Registro Nacional de Obras Civiles Inconclusas. No en vano, el último inciso del artículo 6 </w:t>
      </w:r>
      <w:r w:rsidR="00AE72A9" w:rsidRPr="00631B40">
        <w:rPr>
          <w:rFonts w:ascii="Arial" w:hAnsi="Arial" w:cs="Arial"/>
          <w:bCs/>
          <w:i/>
          <w:iCs/>
          <w:color w:val="000000" w:themeColor="text1"/>
          <w:sz w:val="22"/>
          <w:szCs w:val="22"/>
          <w:lang w:val="es-ES_tradnl"/>
        </w:rPr>
        <w:t>ibídem</w:t>
      </w:r>
      <w:r w:rsidR="00AE72A9" w:rsidRPr="00631B40">
        <w:rPr>
          <w:rFonts w:ascii="Arial" w:hAnsi="Arial" w:cs="Arial"/>
          <w:bCs/>
          <w:color w:val="000000" w:themeColor="text1"/>
          <w:sz w:val="22"/>
          <w:szCs w:val="22"/>
          <w:lang w:val="es-ES_tradnl"/>
        </w:rPr>
        <w:t xml:space="preserve"> dispone que «Cualquier controversia o solicitud que surja en relación con </w:t>
      </w:r>
      <w:r w:rsidR="00AE72A9" w:rsidRPr="00631B40">
        <w:rPr>
          <w:rFonts w:ascii="Arial" w:hAnsi="Arial" w:cs="Arial"/>
          <w:bCs/>
          <w:color w:val="000000" w:themeColor="text1"/>
          <w:sz w:val="22"/>
          <w:szCs w:val="22"/>
          <w:lang w:val="es-ES_tradnl"/>
        </w:rPr>
        <w:lastRenderedPageBreak/>
        <w:t>los reportes de información que suministre la entidad contratante, serán resueltos por esta, atendiendo los principios y disposiciones establecidos en la normatividad vigente». Es decir, corresponde a la entidad contratante que realizó el reporte de información resolver las controversias o solicitudes. Las entidades que adelantan el proceso de contratación de la obra pública deben consultar y analizar las anotaciones vigentes en el Registro Nacional de Obras Civiles Inconclusas, actuando con eficiencia y celeridad –como lo manda el artículo 209 de la Constitución–, lo que no se opone a la posibilidad de que soliciten alguna aclaración a la entidad contratante que reportó la correspondiente información, en cumplimiento del principio de coordinación y colaboración</w:t>
      </w:r>
      <w:r w:rsidR="00AE72A9" w:rsidRPr="00631B40">
        <w:rPr>
          <w:rStyle w:val="Refdenotaalpie"/>
          <w:rFonts w:ascii="Arial" w:hAnsi="Arial" w:cs="Arial"/>
          <w:bCs/>
          <w:color w:val="000000" w:themeColor="text1"/>
          <w:sz w:val="22"/>
          <w:szCs w:val="22"/>
          <w:lang w:val="es-ES_tradnl"/>
        </w:rPr>
        <w:footnoteReference w:id="15"/>
      </w:r>
      <w:r w:rsidR="00AE72A9" w:rsidRPr="00631B40">
        <w:rPr>
          <w:rFonts w:ascii="Arial" w:hAnsi="Arial" w:cs="Arial"/>
          <w:bCs/>
          <w:color w:val="000000" w:themeColor="text1"/>
          <w:sz w:val="22"/>
          <w:szCs w:val="22"/>
          <w:lang w:val="es-ES_tradnl"/>
        </w:rPr>
        <w:t xml:space="preserve">. </w:t>
      </w:r>
    </w:p>
    <w:p w14:paraId="79C02457" w14:textId="40DAF382" w:rsidR="00B03E3C" w:rsidRPr="00631B40" w:rsidRDefault="00B03E3C" w:rsidP="00B03E3C">
      <w:pPr>
        <w:spacing w:before="120" w:line="276" w:lineRule="auto"/>
        <w:ind w:firstLine="709"/>
        <w:jc w:val="both"/>
        <w:rPr>
          <w:rFonts w:ascii="Arial" w:hAnsi="Arial" w:cs="Arial"/>
          <w:bCs/>
          <w:color w:val="000000" w:themeColor="text1"/>
          <w:sz w:val="22"/>
          <w:szCs w:val="22"/>
          <w:lang w:val="es-ES_tradnl"/>
        </w:rPr>
      </w:pPr>
      <w:r w:rsidRPr="00631B40">
        <w:rPr>
          <w:rFonts w:ascii="Arial" w:hAnsi="Arial" w:cs="Arial"/>
          <w:color w:val="000000" w:themeColor="text1"/>
          <w:sz w:val="22"/>
          <w:szCs w:val="22"/>
          <w:lang w:val="es-ES_tradnl"/>
        </w:rPr>
        <w:t xml:space="preserve">En suma, para los procesos de contratación de obra y de interventoría cada entidad estatal tiene discrecionalidad administrativa para determinar, en los pliegos de condiciones, la forma en que realizará el análisis de las anotaciones vigentes en el Registro Nacional de Obras Civiles Inconclusas al momento de ponderar los criterios de evaluación. Para ello, deben actuar de manera razonable, cumpliendo los principios de la función administrativa y de la gestión fiscal, previstos en los artículos 209 y 267 de la Constitución Política, y el principio de proporcionalidad. De esta manera, se garantiza la objetividad y se minimiza el riesgo de actuaciones arbitrarias. </w:t>
      </w:r>
    </w:p>
    <w:p w14:paraId="5B3F109F" w14:textId="49A9B38F" w:rsidR="00B03E3C" w:rsidRPr="00631B40" w:rsidRDefault="00B03E3C" w:rsidP="00B03E3C">
      <w:pPr>
        <w:spacing w:before="120" w:line="276" w:lineRule="auto"/>
        <w:ind w:firstLine="709"/>
        <w:jc w:val="both"/>
        <w:rPr>
          <w:rFonts w:ascii="Arial" w:hAnsi="Arial" w:cs="Arial"/>
          <w:color w:val="000000" w:themeColor="text1"/>
          <w:sz w:val="22"/>
          <w:szCs w:val="22"/>
          <w:lang w:val="es-ES_tradnl"/>
        </w:rPr>
      </w:pPr>
      <w:r w:rsidRPr="00631B40">
        <w:rPr>
          <w:rFonts w:ascii="Arial" w:hAnsi="Arial" w:cs="Arial"/>
          <w:color w:val="000000" w:themeColor="text1"/>
          <w:sz w:val="22"/>
          <w:szCs w:val="22"/>
          <w:lang w:val="es-ES_tradnl"/>
        </w:rPr>
        <w:t xml:space="preserve">En tal sentido, corresponde a las entidades estatales, en cada procedimiento de selección, acorde con la información y la forma como hayan </w:t>
      </w:r>
      <w:r w:rsidR="00C03127" w:rsidRPr="00631B40">
        <w:rPr>
          <w:rFonts w:ascii="Arial" w:hAnsi="Arial" w:cs="Arial"/>
          <w:color w:val="000000" w:themeColor="text1"/>
          <w:sz w:val="22"/>
          <w:szCs w:val="22"/>
          <w:lang w:val="es-ES_tradnl"/>
        </w:rPr>
        <w:t xml:space="preserve">elaborado </w:t>
      </w:r>
      <w:r w:rsidRPr="00631B40">
        <w:rPr>
          <w:rFonts w:ascii="Arial" w:hAnsi="Arial" w:cs="Arial"/>
          <w:color w:val="000000" w:themeColor="text1"/>
          <w:sz w:val="22"/>
          <w:szCs w:val="22"/>
          <w:lang w:val="es-ES_tradnl"/>
        </w:rPr>
        <w:t xml:space="preserve">el pliego de condiciones, revisar las anotaciones contenidas en el Registro Nacional de Obras Civiles Inconclusas, </w:t>
      </w:r>
      <w:r w:rsidR="009C2FAB" w:rsidRPr="00631B40">
        <w:rPr>
          <w:rFonts w:ascii="Arial" w:hAnsi="Arial" w:cs="Arial"/>
          <w:color w:val="000000" w:themeColor="text1"/>
          <w:sz w:val="22"/>
          <w:szCs w:val="22"/>
          <w:lang w:val="es-ES_tradnl"/>
        </w:rPr>
        <w:t>atendiendo de forma preeminente la información contenida en dicho registro; sin perjuicio de que en caso de tener alguna duda</w:t>
      </w:r>
      <w:r w:rsidR="00F70E70" w:rsidRPr="00631B40">
        <w:rPr>
          <w:rFonts w:ascii="Arial" w:hAnsi="Arial" w:cs="Arial"/>
          <w:color w:val="000000" w:themeColor="text1"/>
          <w:sz w:val="22"/>
          <w:szCs w:val="22"/>
          <w:lang w:val="es-ES_tradnl"/>
        </w:rPr>
        <w:t xml:space="preserve">, </w:t>
      </w:r>
      <w:r w:rsidR="009C2FAB" w:rsidRPr="00631B40">
        <w:rPr>
          <w:rFonts w:ascii="Arial" w:hAnsi="Arial" w:cs="Arial"/>
          <w:color w:val="000000" w:themeColor="text1"/>
          <w:sz w:val="22"/>
          <w:szCs w:val="22"/>
          <w:lang w:val="es-ES_tradnl"/>
        </w:rPr>
        <w:t xml:space="preserve">se comuniquen </w:t>
      </w:r>
      <w:r w:rsidRPr="00631B40">
        <w:rPr>
          <w:rFonts w:ascii="Arial" w:hAnsi="Arial" w:cs="Arial"/>
          <w:color w:val="000000" w:themeColor="text1"/>
          <w:sz w:val="22"/>
          <w:szCs w:val="22"/>
          <w:lang w:val="es-ES_tradnl"/>
        </w:rPr>
        <w:t xml:space="preserve">con la entidad estatal contratante que reportó la información o con la Contraloría General de la República –en tanto autoridad directora y administradora de dicho Registro–, en los términos de los artículos 3 y 7 de la Ley 2020 de 2020 y 6 de la Ley 489 de 1998. </w:t>
      </w:r>
    </w:p>
    <w:p w14:paraId="6069CCD1" w14:textId="2846BE3D" w:rsidR="00231601" w:rsidRPr="00631B40" w:rsidRDefault="00B03E3C" w:rsidP="001023A6">
      <w:pPr>
        <w:spacing w:before="120" w:line="276" w:lineRule="auto"/>
        <w:ind w:firstLine="709"/>
        <w:jc w:val="both"/>
        <w:rPr>
          <w:rFonts w:ascii="Arial" w:hAnsi="Arial" w:cs="Arial"/>
          <w:color w:val="000000" w:themeColor="text1"/>
          <w:sz w:val="22"/>
          <w:szCs w:val="22"/>
          <w:lang w:val="es-ES_tradnl"/>
        </w:rPr>
      </w:pPr>
      <w:r w:rsidRPr="00631B40">
        <w:rPr>
          <w:rFonts w:ascii="Arial" w:hAnsi="Arial" w:cs="Arial"/>
          <w:color w:val="000000" w:themeColor="text1"/>
          <w:sz w:val="22"/>
          <w:szCs w:val="22"/>
          <w:lang w:val="es-ES_tradnl"/>
        </w:rPr>
        <w:t>Una vez determinado el sentido de los datos incorporados en el Registro Nacional de Obras Civiles Inconclusas, las entidades estatales a las que se refiere el artículo 6 de la Ley 2020 de 2020 no pueden desconocer estas anotaciones, pues este cuerpo normativo no las autoriza para reabrir y zanjar</w:t>
      </w:r>
      <w:r w:rsidR="00C03127" w:rsidRPr="00631B40">
        <w:rPr>
          <w:rFonts w:ascii="Arial" w:hAnsi="Arial" w:cs="Arial"/>
          <w:color w:val="000000" w:themeColor="text1"/>
          <w:sz w:val="22"/>
          <w:szCs w:val="22"/>
          <w:lang w:val="es-ES_tradnl"/>
        </w:rPr>
        <w:t>,</w:t>
      </w:r>
      <w:r w:rsidRPr="00631B40">
        <w:rPr>
          <w:rFonts w:ascii="Arial" w:hAnsi="Arial" w:cs="Arial"/>
          <w:color w:val="000000" w:themeColor="text1"/>
          <w:sz w:val="22"/>
          <w:szCs w:val="22"/>
          <w:lang w:val="es-ES_tradnl"/>
        </w:rPr>
        <w:t xml:space="preserve"> por ellas mismas, en sede del procedimiento de selección contractual, la discusión sobre las circunstancias que dieron lugar a la declaración </w:t>
      </w:r>
      <w:r w:rsidRPr="00631B40">
        <w:rPr>
          <w:rFonts w:ascii="Arial" w:hAnsi="Arial" w:cs="Arial"/>
          <w:color w:val="000000" w:themeColor="text1"/>
          <w:sz w:val="22"/>
          <w:szCs w:val="22"/>
          <w:lang w:val="es-ES_tradnl"/>
        </w:rPr>
        <w:lastRenderedPageBreak/>
        <w:t>de las obras como inconclusas. El último inciso del artículo 6 dispone que «</w:t>
      </w:r>
      <w:r w:rsidRPr="00631B40">
        <w:rPr>
          <w:rFonts w:ascii="Arial" w:hAnsi="Arial" w:cs="Arial"/>
          <w:color w:val="000000" w:themeColor="text1"/>
          <w:sz w:val="22"/>
          <w:szCs w:val="22"/>
        </w:rPr>
        <w:t>Cualquier controversia o solicitud que surja en relación con los reportes de información que suministre la entidad contratante, serán resueltos por esta, atendiendo los principios y disposiciones establecidos en la normatividad vigente».</w:t>
      </w:r>
      <w:r w:rsidR="00CF6AC0" w:rsidRPr="00631B40">
        <w:rPr>
          <w:rFonts w:ascii="Arial" w:eastAsia="Calibri" w:hAnsi="Arial" w:cs="Arial"/>
          <w:color w:val="000000"/>
          <w:sz w:val="22"/>
          <w:szCs w:val="22"/>
          <w:lang w:val="es-ES_tradnl" w:eastAsia="en-GB"/>
        </w:rPr>
        <w:t xml:space="preserve"> </w:t>
      </w:r>
    </w:p>
    <w:p w14:paraId="15F7B399" w14:textId="77777777" w:rsidR="001023A6" w:rsidRPr="00631B40" w:rsidRDefault="001023A6" w:rsidP="008B566A">
      <w:pPr>
        <w:tabs>
          <w:tab w:val="left" w:pos="0"/>
        </w:tabs>
        <w:spacing w:line="276" w:lineRule="auto"/>
        <w:jc w:val="both"/>
        <w:rPr>
          <w:rFonts w:ascii="Arial" w:eastAsia="Calibri" w:hAnsi="Arial" w:cs="Arial"/>
          <w:b/>
          <w:bCs/>
          <w:color w:val="000000"/>
          <w:sz w:val="22"/>
          <w:lang w:val="es-ES_tradnl" w:eastAsia="en-GB"/>
        </w:rPr>
      </w:pPr>
    </w:p>
    <w:p w14:paraId="7D49CD5B" w14:textId="0E5A4A39" w:rsidR="008B566A" w:rsidRPr="00631B40" w:rsidRDefault="008B566A" w:rsidP="008B566A">
      <w:pPr>
        <w:tabs>
          <w:tab w:val="left" w:pos="0"/>
        </w:tabs>
        <w:spacing w:line="276" w:lineRule="auto"/>
        <w:jc w:val="both"/>
        <w:rPr>
          <w:rFonts w:ascii="Arial" w:eastAsia="Calibri" w:hAnsi="Arial" w:cs="Arial"/>
          <w:b/>
          <w:bCs/>
          <w:color w:val="000000"/>
          <w:sz w:val="22"/>
          <w:lang w:val="es-ES_tradnl" w:eastAsia="en-GB"/>
        </w:rPr>
      </w:pPr>
      <w:r w:rsidRPr="00631B40">
        <w:rPr>
          <w:rFonts w:ascii="Arial" w:eastAsia="Calibri" w:hAnsi="Arial" w:cs="Arial"/>
          <w:b/>
          <w:bCs/>
          <w:color w:val="000000"/>
          <w:sz w:val="22"/>
          <w:lang w:val="es-ES_tradnl" w:eastAsia="en-GB"/>
        </w:rPr>
        <w:t xml:space="preserve">2.3. </w:t>
      </w:r>
      <w:bookmarkStart w:id="10" w:name="_Hlk109728326"/>
      <w:r w:rsidR="00C8247A" w:rsidRPr="00631B40">
        <w:rPr>
          <w:rFonts w:ascii="Arial" w:eastAsia="Calibri" w:hAnsi="Arial" w:cs="Arial"/>
          <w:b/>
          <w:bCs/>
          <w:color w:val="000000"/>
          <w:sz w:val="22"/>
          <w:lang w:val="es-ES_tradnl" w:eastAsia="en-GB"/>
        </w:rPr>
        <w:t xml:space="preserve">Ámbito de aplicación </w:t>
      </w:r>
      <w:r w:rsidRPr="00631B40">
        <w:rPr>
          <w:rFonts w:ascii="Arial" w:eastAsia="Calibri" w:hAnsi="Arial" w:cs="Arial"/>
          <w:b/>
          <w:bCs/>
          <w:color w:val="000000"/>
          <w:sz w:val="22"/>
          <w:lang w:val="es-ES_tradnl" w:eastAsia="en-GB"/>
        </w:rPr>
        <w:t>del artículo 6 de la Ley 2020 de 2020</w:t>
      </w:r>
      <w:r w:rsidR="00C8247A" w:rsidRPr="00631B40">
        <w:rPr>
          <w:rFonts w:ascii="Arial" w:eastAsia="Calibri" w:hAnsi="Arial" w:cs="Arial"/>
          <w:b/>
          <w:bCs/>
          <w:color w:val="000000"/>
          <w:sz w:val="22"/>
          <w:lang w:val="es-ES_tradnl" w:eastAsia="en-GB"/>
        </w:rPr>
        <w:t>. Análisis frente</w:t>
      </w:r>
      <w:r w:rsidRPr="00631B40">
        <w:rPr>
          <w:rFonts w:ascii="Arial" w:eastAsia="Calibri" w:hAnsi="Arial" w:cs="Arial"/>
          <w:b/>
          <w:bCs/>
          <w:color w:val="000000"/>
          <w:sz w:val="22"/>
          <w:lang w:val="es-ES_tradnl" w:eastAsia="en-GB"/>
        </w:rPr>
        <w:t xml:space="preserve"> a las entidades exceptuadas del Estatuto General de Contratación de la Administración Pública</w:t>
      </w:r>
      <w:bookmarkEnd w:id="10"/>
    </w:p>
    <w:p w14:paraId="1F9A4B5C" w14:textId="6FF25DCD" w:rsidR="008B566A" w:rsidRPr="00631B40" w:rsidRDefault="008B566A" w:rsidP="00720FAD">
      <w:pPr>
        <w:spacing w:line="276" w:lineRule="auto"/>
        <w:jc w:val="both"/>
        <w:rPr>
          <w:rFonts w:ascii="Arial" w:hAnsi="Arial" w:cs="Arial"/>
          <w:color w:val="000000" w:themeColor="text1"/>
          <w:sz w:val="22"/>
          <w:lang w:val="es-ES_tradnl"/>
        </w:rPr>
      </w:pPr>
    </w:p>
    <w:p w14:paraId="266E74C6" w14:textId="0FC14CB9" w:rsidR="00614B29" w:rsidRPr="00631B40" w:rsidRDefault="008B566A" w:rsidP="00631B40">
      <w:pPr>
        <w:spacing w:after="120" w:line="276" w:lineRule="auto"/>
        <w:jc w:val="both"/>
        <w:rPr>
          <w:rFonts w:ascii="Arial" w:hAnsi="Arial" w:cs="Arial"/>
          <w:bCs/>
          <w:color w:val="000000" w:themeColor="text1"/>
          <w:sz w:val="22"/>
          <w:szCs w:val="22"/>
          <w:lang w:val="es-ES_tradnl"/>
        </w:rPr>
      </w:pPr>
      <w:r w:rsidRPr="00631B40">
        <w:rPr>
          <w:rFonts w:ascii="Arial" w:hAnsi="Arial" w:cs="Arial"/>
          <w:bCs/>
          <w:color w:val="000000" w:themeColor="text1"/>
          <w:sz w:val="22"/>
          <w:szCs w:val="22"/>
          <w:lang w:val="es-ES_tradnl"/>
        </w:rPr>
        <w:t xml:space="preserve">Teniendo en cuenta que en la consulta se indaga por la aplicabilidad del artículo 6 de la Ley 2020 de 2020 </w:t>
      </w:r>
      <w:r w:rsidR="00D1119D" w:rsidRPr="00631B40">
        <w:rPr>
          <w:rFonts w:ascii="Arial" w:hAnsi="Arial" w:cs="Arial"/>
          <w:bCs/>
          <w:color w:val="000000" w:themeColor="text1"/>
          <w:sz w:val="22"/>
          <w:szCs w:val="22"/>
          <w:lang w:val="es-ES_tradnl"/>
        </w:rPr>
        <w:t xml:space="preserve">frente a procedimientos de selección que no se rigen por el Estatuto General de Contratación de la Administración Pública, </w:t>
      </w:r>
      <w:r w:rsidR="00CE65AB" w:rsidRPr="00631B40">
        <w:rPr>
          <w:rFonts w:ascii="Arial" w:hAnsi="Arial" w:cs="Arial"/>
          <w:bCs/>
          <w:color w:val="000000" w:themeColor="text1"/>
          <w:sz w:val="22"/>
          <w:szCs w:val="22"/>
          <w:lang w:val="es-ES_tradnl"/>
        </w:rPr>
        <w:t xml:space="preserve">entre ellos los adelantados por las </w:t>
      </w:r>
      <w:r w:rsidRPr="00631B40">
        <w:rPr>
          <w:rFonts w:ascii="Arial" w:hAnsi="Arial" w:cs="Arial"/>
          <w:bCs/>
          <w:color w:val="000000" w:themeColor="text1"/>
          <w:sz w:val="22"/>
          <w:szCs w:val="22"/>
          <w:lang w:val="es-ES_tradnl"/>
        </w:rPr>
        <w:t>empresas industriales y comerciales del Estado</w:t>
      </w:r>
      <w:r w:rsidR="00B122A3" w:rsidRPr="00631B40">
        <w:rPr>
          <w:rFonts w:ascii="Arial" w:hAnsi="Arial" w:cs="Arial"/>
          <w:bCs/>
          <w:color w:val="000000" w:themeColor="text1"/>
          <w:sz w:val="22"/>
          <w:szCs w:val="22"/>
          <w:lang w:val="es-ES_tradnl"/>
        </w:rPr>
        <w:t xml:space="preserve"> que tienen un régimen especial de contratación, por actuar en competencia en el mercado</w:t>
      </w:r>
      <w:r w:rsidR="0000103A" w:rsidRPr="00631B40">
        <w:rPr>
          <w:rStyle w:val="Refdenotaalpie"/>
          <w:rFonts w:ascii="Arial" w:hAnsi="Arial" w:cs="Arial"/>
          <w:bCs/>
          <w:color w:val="000000" w:themeColor="text1"/>
          <w:sz w:val="22"/>
          <w:szCs w:val="22"/>
          <w:lang w:val="es-ES_tradnl"/>
        </w:rPr>
        <w:footnoteReference w:id="16"/>
      </w:r>
      <w:r w:rsidR="00B122A3" w:rsidRPr="00631B40">
        <w:rPr>
          <w:rFonts w:ascii="Arial" w:hAnsi="Arial" w:cs="Arial"/>
          <w:bCs/>
          <w:color w:val="000000" w:themeColor="text1"/>
          <w:sz w:val="22"/>
          <w:szCs w:val="22"/>
          <w:lang w:val="es-ES_tradnl"/>
        </w:rPr>
        <w:t xml:space="preserve">, </w:t>
      </w:r>
      <w:r w:rsidR="00614B29" w:rsidRPr="00631B40">
        <w:rPr>
          <w:rFonts w:ascii="Arial" w:hAnsi="Arial" w:cs="Arial"/>
          <w:bCs/>
          <w:color w:val="000000" w:themeColor="text1"/>
          <w:sz w:val="22"/>
          <w:szCs w:val="22"/>
          <w:lang w:val="es-ES_tradnl"/>
        </w:rPr>
        <w:t xml:space="preserve">a continuación se analizará la procedencia de aplicar el artículo señalado en los procesos contractuales que no se encuentren regidos por el </w:t>
      </w:r>
      <w:r w:rsidR="00CE65AB" w:rsidRPr="00631B40">
        <w:rPr>
          <w:rFonts w:ascii="Arial" w:hAnsi="Arial" w:cs="Arial"/>
          <w:bCs/>
          <w:color w:val="000000" w:themeColor="text1"/>
          <w:sz w:val="22"/>
          <w:szCs w:val="22"/>
          <w:lang w:val="es-ES_tradnl"/>
        </w:rPr>
        <w:t>EGCAP.</w:t>
      </w:r>
    </w:p>
    <w:p w14:paraId="480D051D" w14:textId="6A7D4807" w:rsidR="00CE65AB" w:rsidRPr="00631B40" w:rsidRDefault="00CE65AB" w:rsidP="00631B40">
      <w:pPr>
        <w:spacing w:after="120" w:line="276" w:lineRule="auto"/>
        <w:jc w:val="both"/>
        <w:rPr>
          <w:rFonts w:ascii="Arial" w:hAnsi="Arial" w:cs="Arial"/>
          <w:bCs/>
          <w:color w:val="000000" w:themeColor="text1"/>
          <w:sz w:val="22"/>
          <w:szCs w:val="22"/>
          <w:lang w:val="es-ES_tradnl"/>
        </w:rPr>
      </w:pPr>
      <w:r w:rsidRPr="00631B40">
        <w:rPr>
          <w:rFonts w:ascii="Arial" w:hAnsi="Arial" w:cs="Arial"/>
          <w:bCs/>
          <w:color w:val="000000" w:themeColor="text1"/>
          <w:sz w:val="22"/>
          <w:szCs w:val="22"/>
          <w:lang w:val="es-ES_tradnl"/>
        </w:rPr>
        <w:tab/>
      </w:r>
      <w:r w:rsidR="00517661" w:rsidRPr="00631B40">
        <w:rPr>
          <w:rFonts w:ascii="Arial" w:hAnsi="Arial" w:cs="Arial"/>
          <w:bCs/>
          <w:color w:val="000000" w:themeColor="text1"/>
          <w:sz w:val="22"/>
          <w:szCs w:val="22"/>
          <w:lang w:val="es-ES_tradnl"/>
        </w:rPr>
        <w:t>S</w:t>
      </w:r>
      <w:r w:rsidRPr="00631B40">
        <w:rPr>
          <w:rFonts w:ascii="Arial" w:hAnsi="Arial" w:cs="Arial"/>
          <w:bCs/>
          <w:color w:val="000000" w:themeColor="text1"/>
          <w:sz w:val="22"/>
          <w:szCs w:val="22"/>
          <w:lang w:val="es-ES_tradnl"/>
        </w:rPr>
        <w:t>e anticipa la conclusión</w:t>
      </w:r>
      <w:r w:rsidR="008C5BF1" w:rsidRPr="00631B40">
        <w:rPr>
          <w:rFonts w:ascii="Arial" w:hAnsi="Arial" w:cs="Arial"/>
          <w:bCs/>
          <w:color w:val="000000" w:themeColor="text1"/>
          <w:sz w:val="22"/>
          <w:szCs w:val="22"/>
          <w:lang w:val="es-ES_tradnl"/>
        </w:rPr>
        <w:t>,</w:t>
      </w:r>
      <w:r w:rsidRPr="00631B40">
        <w:rPr>
          <w:rFonts w:ascii="Arial" w:hAnsi="Arial" w:cs="Arial"/>
          <w:bCs/>
          <w:color w:val="000000" w:themeColor="text1"/>
          <w:sz w:val="22"/>
          <w:szCs w:val="22"/>
          <w:lang w:val="es-ES_tradnl"/>
        </w:rPr>
        <w:t xml:space="preserve"> en el sentido de que </w:t>
      </w:r>
      <w:bookmarkStart w:id="11" w:name="_Hlk110926687"/>
      <w:bookmarkStart w:id="12" w:name="_Hlk110925673"/>
      <w:r w:rsidR="00F9413E" w:rsidRPr="00631B40">
        <w:rPr>
          <w:rFonts w:ascii="Arial" w:hAnsi="Arial" w:cs="Arial"/>
          <w:bCs/>
          <w:color w:val="000000" w:themeColor="text1"/>
          <w:sz w:val="22"/>
          <w:szCs w:val="22"/>
          <w:lang w:val="es-ES_tradnl"/>
        </w:rPr>
        <w:t xml:space="preserve">a juicio de esta Subdirección </w:t>
      </w:r>
      <w:r w:rsidRPr="00631B40">
        <w:rPr>
          <w:rFonts w:ascii="Arial" w:hAnsi="Arial" w:cs="Arial"/>
          <w:bCs/>
          <w:color w:val="000000" w:themeColor="text1"/>
          <w:sz w:val="22"/>
          <w:szCs w:val="22"/>
          <w:lang w:val="es-ES_tradnl"/>
        </w:rPr>
        <w:t xml:space="preserve">el artículo 6 de la Ley 2020 de 2020 solo aplica obligatoriamente en aquellos procedimientos de selección donde rija el artículo 5 de la Ley 1150 de 2007, esto es, frente a los </w:t>
      </w:r>
      <w:r w:rsidR="008C5BF1" w:rsidRPr="00631B40">
        <w:rPr>
          <w:rFonts w:ascii="Arial" w:hAnsi="Arial" w:cs="Arial"/>
          <w:bCs/>
          <w:color w:val="000000" w:themeColor="text1"/>
          <w:sz w:val="22"/>
          <w:szCs w:val="22"/>
          <w:lang w:val="es-ES_tradnl"/>
        </w:rPr>
        <w:t>sometidos</w:t>
      </w:r>
      <w:r w:rsidRPr="00631B40">
        <w:rPr>
          <w:rFonts w:ascii="Arial" w:hAnsi="Arial" w:cs="Arial"/>
          <w:bCs/>
          <w:color w:val="000000" w:themeColor="text1"/>
          <w:sz w:val="22"/>
          <w:szCs w:val="22"/>
          <w:lang w:val="es-ES_tradnl"/>
        </w:rPr>
        <w:t xml:space="preserve"> </w:t>
      </w:r>
      <w:r w:rsidR="008C5BF1" w:rsidRPr="00631B40">
        <w:rPr>
          <w:rFonts w:ascii="Arial" w:hAnsi="Arial" w:cs="Arial"/>
          <w:bCs/>
          <w:color w:val="000000" w:themeColor="text1"/>
          <w:sz w:val="22"/>
          <w:szCs w:val="22"/>
          <w:lang w:val="es-ES_tradnl"/>
        </w:rPr>
        <w:t>a</w:t>
      </w:r>
      <w:r w:rsidRPr="00631B40">
        <w:rPr>
          <w:rFonts w:ascii="Arial" w:hAnsi="Arial" w:cs="Arial"/>
          <w:bCs/>
          <w:color w:val="000000" w:themeColor="text1"/>
          <w:sz w:val="22"/>
          <w:szCs w:val="22"/>
          <w:lang w:val="es-ES_tradnl"/>
        </w:rPr>
        <w:t xml:space="preserve">l EGCAP, por lo que no aplicará de forma obligatoria en </w:t>
      </w:r>
      <w:r w:rsidR="00DB5935" w:rsidRPr="00631B40">
        <w:rPr>
          <w:rFonts w:ascii="Arial" w:hAnsi="Arial" w:cs="Arial"/>
          <w:bCs/>
          <w:color w:val="000000" w:themeColor="text1"/>
          <w:sz w:val="22"/>
          <w:szCs w:val="22"/>
          <w:lang w:val="es-ES_tradnl"/>
        </w:rPr>
        <w:t>aquellos</w:t>
      </w:r>
      <w:r w:rsidRPr="00631B40">
        <w:rPr>
          <w:rFonts w:ascii="Arial" w:hAnsi="Arial" w:cs="Arial"/>
          <w:bCs/>
          <w:color w:val="000000" w:themeColor="text1"/>
          <w:sz w:val="22"/>
          <w:szCs w:val="22"/>
          <w:lang w:val="es-ES_tradnl"/>
        </w:rPr>
        <w:t xml:space="preserve"> de las entidades exceptuadas de dicho estatuto. En tal sentido, a continuación se </w:t>
      </w:r>
      <w:r w:rsidR="00DB5935" w:rsidRPr="00631B40">
        <w:rPr>
          <w:rFonts w:ascii="Arial" w:hAnsi="Arial" w:cs="Arial"/>
          <w:bCs/>
          <w:color w:val="000000" w:themeColor="text1"/>
          <w:sz w:val="22"/>
          <w:szCs w:val="22"/>
          <w:lang w:val="es-ES_tradnl"/>
        </w:rPr>
        <w:t>exponen</w:t>
      </w:r>
      <w:r w:rsidRPr="00631B40">
        <w:rPr>
          <w:rFonts w:ascii="Arial" w:hAnsi="Arial" w:cs="Arial"/>
          <w:bCs/>
          <w:color w:val="000000" w:themeColor="text1"/>
          <w:sz w:val="22"/>
          <w:szCs w:val="22"/>
          <w:lang w:val="es-ES_tradnl"/>
        </w:rPr>
        <w:t xml:space="preserve"> los argumentos que soportan la conclusión que se acaba de anticipar</w:t>
      </w:r>
      <w:r w:rsidR="008C5BF1" w:rsidRPr="00631B40">
        <w:rPr>
          <w:rFonts w:ascii="Arial" w:hAnsi="Arial" w:cs="Arial"/>
          <w:bCs/>
          <w:color w:val="000000" w:themeColor="text1"/>
          <w:sz w:val="22"/>
          <w:szCs w:val="22"/>
          <w:lang w:val="es-ES_tradnl"/>
        </w:rPr>
        <w:t xml:space="preserve">, precisando, en todo caso, que lo señalado en este numeral se refiere, de forma exclusiva, al artículo 6 de la Ley 2020, no así frente al resto de </w:t>
      </w:r>
      <w:r w:rsidR="00517661" w:rsidRPr="00631B40">
        <w:rPr>
          <w:rFonts w:ascii="Arial" w:hAnsi="Arial" w:cs="Arial"/>
          <w:bCs/>
          <w:color w:val="000000" w:themeColor="text1"/>
          <w:sz w:val="22"/>
          <w:szCs w:val="22"/>
          <w:lang w:val="es-ES_tradnl"/>
        </w:rPr>
        <w:t>las disposiciones de dicha ley.</w:t>
      </w:r>
    </w:p>
    <w:p w14:paraId="7F3D3120" w14:textId="598DB23B" w:rsidR="00CE65AB" w:rsidRPr="00631B40" w:rsidRDefault="008C5BF1" w:rsidP="008C5BF1">
      <w:pPr>
        <w:spacing w:after="120" w:line="276" w:lineRule="auto"/>
        <w:jc w:val="both"/>
        <w:rPr>
          <w:rFonts w:ascii="Arial" w:hAnsi="Arial" w:cs="Arial"/>
          <w:bCs/>
          <w:color w:val="000000" w:themeColor="text1"/>
          <w:sz w:val="22"/>
          <w:szCs w:val="22"/>
          <w:lang w:val="es-ES_tradnl"/>
        </w:rPr>
      </w:pPr>
      <w:r w:rsidRPr="00631B40">
        <w:rPr>
          <w:rFonts w:ascii="Arial" w:hAnsi="Arial" w:cs="Arial"/>
          <w:bCs/>
          <w:color w:val="000000" w:themeColor="text1"/>
          <w:sz w:val="22"/>
          <w:szCs w:val="22"/>
          <w:lang w:val="es-ES_tradnl"/>
        </w:rPr>
        <w:tab/>
      </w:r>
      <w:r w:rsidR="00F9413E" w:rsidRPr="00631B40">
        <w:rPr>
          <w:rFonts w:ascii="Arial" w:hAnsi="Arial" w:cs="Arial"/>
          <w:bCs/>
          <w:i/>
          <w:iCs/>
          <w:color w:val="000000" w:themeColor="text1"/>
          <w:sz w:val="22"/>
          <w:szCs w:val="22"/>
          <w:lang w:val="es-ES_tradnl"/>
        </w:rPr>
        <w:t>i)</w:t>
      </w:r>
      <w:r w:rsidR="00F9413E" w:rsidRPr="00631B40">
        <w:rPr>
          <w:rFonts w:ascii="Arial" w:hAnsi="Arial" w:cs="Arial"/>
          <w:bCs/>
          <w:color w:val="000000" w:themeColor="text1"/>
          <w:sz w:val="22"/>
          <w:szCs w:val="22"/>
          <w:lang w:val="es-ES_tradnl"/>
        </w:rPr>
        <w:t xml:space="preserve"> El primer</w:t>
      </w:r>
      <w:r w:rsidR="0040609F" w:rsidRPr="00631B40">
        <w:rPr>
          <w:rFonts w:ascii="Arial" w:hAnsi="Arial" w:cs="Arial"/>
          <w:bCs/>
          <w:color w:val="000000" w:themeColor="text1"/>
          <w:sz w:val="22"/>
          <w:szCs w:val="22"/>
          <w:lang w:val="es-ES_tradnl"/>
        </w:rPr>
        <w:t>o</w:t>
      </w:r>
      <w:r w:rsidR="00F9413E" w:rsidRPr="00631B40">
        <w:rPr>
          <w:rFonts w:ascii="Arial" w:hAnsi="Arial" w:cs="Arial"/>
          <w:bCs/>
          <w:color w:val="000000" w:themeColor="text1"/>
          <w:sz w:val="22"/>
          <w:szCs w:val="22"/>
          <w:lang w:val="es-ES_tradnl"/>
        </w:rPr>
        <w:t xml:space="preserve"> y principal argumento que fundamenta la conclusión indicada radica en la remisión expresa que realiza el artículo 6 de la Ley 2020 al artículo 5 de la Ley 1150 de 2007, para concretar su contenido regulativo. En este sentido, cuando la disposición señala que en los procesos de selección objetiva de contratistas de obra e interventor</w:t>
      </w:r>
      <w:r w:rsidR="00744377" w:rsidRPr="00631B40">
        <w:rPr>
          <w:rFonts w:ascii="Arial" w:hAnsi="Arial" w:cs="Arial"/>
          <w:bCs/>
          <w:color w:val="000000" w:themeColor="text1"/>
          <w:sz w:val="22"/>
          <w:szCs w:val="22"/>
          <w:lang w:val="es-ES_tradnl"/>
        </w:rPr>
        <w:t xml:space="preserve">es </w:t>
      </w:r>
      <w:r w:rsidR="00F9413E" w:rsidRPr="00631B40">
        <w:rPr>
          <w:rFonts w:ascii="Arial" w:hAnsi="Arial" w:cs="Arial"/>
          <w:bCs/>
          <w:color w:val="000000" w:themeColor="text1"/>
          <w:sz w:val="22"/>
          <w:szCs w:val="22"/>
          <w:lang w:val="es-ES_tradnl"/>
        </w:rPr>
        <w:t>se tendrán en cuenta las anotaciones vigentes en el registro para evaluar los factores de ponderación de calidad, establecidos en el literal a) del artículo 5° de la Ley 1150 de 2007, está remitiendo a una disposición, cuyos destinatarios son las entidades regidas por el Estatuto General de Contratación de la Administración Pública.</w:t>
      </w:r>
      <w:r w:rsidR="00744377" w:rsidRPr="00631B40">
        <w:rPr>
          <w:rFonts w:ascii="Arial" w:hAnsi="Arial" w:cs="Arial"/>
          <w:bCs/>
          <w:color w:val="000000" w:themeColor="text1"/>
          <w:sz w:val="22"/>
          <w:szCs w:val="22"/>
          <w:lang w:val="es-ES_tradnl"/>
        </w:rPr>
        <w:t xml:space="preserve"> Teniendo en cuenta lo anterior, la </w:t>
      </w:r>
      <w:r w:rsidR="00744377" w:rsidRPr="00631B40">
        <w:rPr>
          <w:rFonts w:ascii="Arial" w:hAnsi="Arial" w:cs="Arial"/>
          <w:bCs/>
          <w:color w:val="000000" w:themeColor="text1"/>
          <w:sz w:val="22"/>
          <w:szCs w:val="22"/>
          <w:lang w:val="es-ES_tradnl"/>
        </w:rPr>
        <w:lastRenderedPageBreak/>
        <w:t xml:space="preserve">consecuencia jurídica de la disposición únicamente </w:t>
      </w:r>
      <w:r w:rsidR="003A4C15" w:rsidRPr="00631B40">
        <w:rPr>
          <w:rFonts w:ascii="Arial" w:hAnsi="Arial" w:cs="Arial"/>
          <w:bCs/>
          <w:color w:val="000000" w:themeColor="text1"/>
          <w:sz w:val="22"/>
          <w:szCs w:val="22"/>
          <w:lang w:val="es-ES_tradnl"/>
        </w:rPr>
        <w:t>regiría</w:t>
      </w:r>
      <w:r w:rsidR="00744377" w:rsidRPr="00631B40">
        <w:rPr>
          <w:rFonts w:ascii="Arial" w:hAnsi="Arial" w:cs="Arial"/>
          <w:bCs/>
          <w:color w:val="000000" w:themeColor="text1"/>
          <w:sz w:val="22"/>
          <w:szCs w:val="22"/>
          <w:lang w:val="es-ES_tradnl"/>
        </w:rPr>
        <w:t xml:space="preserve"> en los procedimientos de selección donde </w:t>
      </w:r>
      <w:r w:rsidR="003A4C15" w:rsidRPr="00631B40">
        <w:rPr>
          <w:rFonts w:ascii="Arial" w:hAnsi="Arial" w:cs="Arial"/>
          <w:bCs/>
          <w:color w:val="000000" w:themeColor="text1"/>
          <w:sz w:val="22"/>
          <w:szCs w:val="22"/>
          <w:lang w:val="es-ES_tradnl"/>
        </w:rPr>
        <w:t>aplique</w:t>
      </w:r>
      <w:r w:rsidR="00744377" w:rsidRPr="00631B40">
        <w:rPr>
          <w:rFonts w:ascii="Arial" w:hAnsi="Arial" w:cs="Arial"/>
          <w:bCs/>
          <w:color w:val="000000" w:themeColor="text1"/>
          <w:sz w:val="22"/>
          <w:szCs w:val="22"/>
          <w:lang w:val="es-ES_tradnl"/>
        </w:rPr>
        <w:t xml:space="preserve"> el artículo 5 de la Ley 1150 de 2007. Por ello, las entidades exceptuadas, al no ser destinatarias de las reglas establecidas en el artículo 5 de la Ley 1150 de 2007, </w:t>
      </w:r>
      <w:r w:rsidR="00DB5935" w:rsidRPr="00631B40">
        <w:rPr>
          <w:rFonts w:ascii="Arial" w:hAnsi="Arial" w:cs="Arial"/>
          <w:bCs/>
          <w:color w:val="000000" w:themeColor="text1"/>
          <w:sz w:val="22"/>
          <w:szCs w:val="22"/>
          <w:lang w:val="es-ES_tradnl"/>
        </w:rPr>
        <w:t>tampoco lo serían</w:t>
      </w:r>
      <w:r w:rsidR="00744377" w:rsidRPr="00631B40">
        <w:rPr>
          <w:rFonts w:ascii="Arial" w:hAnsi="Arial" w:cs="Arial"/>
          <w:bCs/>
          <w:color w:val="000000" w:themeColor="text1"/>
          <w:sz w:val="22"/>
          <w:szCs w:val="22"/>
          <w:lang w:val="es-ES_tradnl"/>
        </w:rPr>
        <w:t xml:space="preserve"> del artículo 6 de la Ley 2020.</w:t>
      </w:r>
    </w:p>
    <w:bookmarkEnd w:id="11"/>
    <w:p w14:paraId="62A31FF2" w14:textId="6C601CE9" w:rsidR="00744377" w:rsidRPr="00631B40" w:rsidRDefault="00D0421C" w:rsidP="008C5BF1">
      <w:pPr>
        <w:spacing w:after="120" w:line="276" w:lineRule="auto"/>
        <w:jc w:val="both"/>
        <w:rPr>
          <w:rFonts w:ascii="Arial" w:hAnsi="Arial" w:cs="Arial"/>
          <w:bCs/>
          <w:color w:val="000000" w:themeColor="text1"/>
          <w:sz w:val="22"/>
          <w:szCs w:val="22"/>
          <w:lang w:val="es-ES_tradnl"/>
        </w:rPr>
      </w:pPr>
      <w:r w:rsidRPr="00631B40">
        <w:rPr>
          <w:rFonts w:ascii="Arial" w:hAnsi="Arial" w:cs="Arial"/>
          <w:bCs/>
          <w:color w:val="000000" w:themeColor="text1"/>
          <w:sz w:val="22"/>
          <w:szCs w:val="22"/>
          <w:lang w:val="es-ES_tradnl"/>
        </w:rPr>
        <w:tab/>
      </w:r>
      <w:r w:rsidRPr="00631B40">
        <w:rPr>
          <w:rFonts w:ascii="Arial" w:hAnsi="Arial" w:cs="Arial"/>
          <w:bCs/>
          <w:i/>
          <w:iCs/>
          <w:color w:val="000000" w:themeColor="text1"/>
          <w:sz w:val="22"/>
          <w:szCs w:val="22"/>
          <w:lang w:val="es-ES_tradnl"/>
        </w:rPr>
        <w:t>ii)</w:t>
      </w:r>
      <w:r w:rsidRPr="00631B40">
        <w:rPr>
          <w:rFonts w:ascii="Arial" w:hAnsi="Arial" w:cs="Arial"/>
          <w:bCs/>
          <w:color w:val="000000" w:themeColor="text1"/>
          <w:sz w:val="22"/>
          <w:szCs w:val="22"/>
          <w:lang w:val="es-ES_tradnl"/>
        </w:rPr>
        <w:t xml:space="preserve"> En línea con lo anterior, aunque las entidades estatales exceptuadas de la aplicación del EGCAP también deben realizar una selección objetiva de los contratistas, ello no las hace destinatarias de las reglas establecidas en el artículo 5 de la Ley 1150 de 2007, disposición que únicamente aplica frente a las sometidas, pues las reglas mediante las cuales se concreta la selección objetiva en el artículo 5 </w:t>
      </w:r>
      <w:r w:rsidRPr="00631B40">
        <w:rPr>
          <w:rFonts w:ascii="Arial" w:hAnsi="Arial" w:cs="Arial"/>
          <w:bCs/>
          <w:i/>
          <w:iCs/>
          <w:color w:val="000000" w:themeColor="text1"/>
          <w:sz w:val="22"/>
          <w:szCs w:val="22"/>
          <w:lang w:val="es-ES_tradnl"/>
        </w:rPr>
        <w:t>ibidem</w:t>
      </w:r>
      <w:r w:rsidRPr="00631B40">
        <w:rPr>
          <w:rFonts w:ascii="Arial" w:hAnsi="Arial" w:cs="Arial"/>
          <w:bCs/>
          <w:color w:val="000000" w:themeColor="text1"/>
          <w:sz w:val="22"/>
          <w:szCs w:val="22"/>
          <w:lang w:val="es-ES_tradnl"/>
        </w:rPr>
        <w:t xml:space="preserve"> refieren a instituciones propias y específicas de las entidades sometidas a dicho estatuto.</w:t>
      </w:r>
    </w:p>
    <w:p w14:paraId="3E4219C5" w14:textId="2462D6A6" w:rsidR="00D0421C" w:rsidRPr="00631B40" w:rsidRDefault="00D0421C" w:rsidP="008C5BF1">
      <w:pPr>
        <w:spacing w:after="120" w:line="276" w:lineRule="auto"/>
        <w:jc w:val="both"/>
        <w:rPr>
          <w:rFonts w:ascii="Arial" w:hAnsi="Arial" w:cs="Arial"/>
          <w:bCs/>
          <w:color w:val="000000" w:themeColor="text1"/>
          <w:sz w:val="22"/>
          <w:szCs w:val="22"/>
          <w:lang w:val="es-ES_tradnl"/>
        </w:rPr>
      </w:pPr>
      <w:r w:rsidRPr="00631B40">
        <w:rPr>
          <w:rFonts w:ascii="Arial" w:hAnsi="Arial" w:cs="Arial"/>
          <w:bCs/>
          <w:color w:val="000000" w:themeColor="text1"/>
          <w:sz w:val="22"/>
          <w:szCs w:val="22"/>
          <w:lang w:val="es-ES_tradnl"/>
        </w:rPr>
        <w:tab/>
      </w:r>
      <w:r w:rsidRPr="00631B40">
        <w:rPr>
          <w:rFonts w:ascii="Arial" w:hAnsi="Arial" w:cs="Arial"/>
          <w:bCs/>
          <w:i/>
          <w:iCs/>
          <w:color w:val="000000" w:themeColor="text1"/>
          <w:sz w:val="22"/>
          <w:szCs w:val="22"/>
          <w:lang w:val="es-ES_tradnl"/>
        </w:rPr>
        <w:t>iii)</w:t>
      </w:r>
      <w:r w:rsidRPr="00631B40">
        <w:rPr>
          <w:rFonts w:ascii="Arial" w:hAnsi="Arial" w:cs="Arial"/>
          <w:bCs/>
          <w:color w:val="000000" w:themeColor="text1"/>
          <w:sz w:val="22"/>
          <w:szCs w:val="22"/>
          <w:lang w:val="es-ES_tradnl"/>
        </w:rPr>
        <w:t xml:space="preserve"> Pese a que del inciso primero del artículo 6 de la Ley 2020 de 2020 parece deducirse un ámbito de aplicación </w:t>
      </w:r>
      <w:r w:rsidR="005F35FF" w:rsidRPr="00631B40">
        <w:rPr>
          <w:rFonts w:ascii="Arial" w:hAnsi="Arial" w:cs="Arial"/>
          <w:bCs/>
          <w:color w:val="000000" w:themeColor="text1"/>
          <w:sz w:val="22"/>
          <w:szCs w:val="22"/>
          <w:lang w:val="es-ES_tradnl"/>
        </w:rPr>
        <w:t>más amplio, que no disting</w:t>
      </w:r>
      <w:r w:rsidR="00DB5935" w:rsidRPr="00631B40">
        <w:rPr>
          <w:rFonts w:ascii="Arial" w:hAnsi="Arial" w:cs="Arial"/>
          <w:bCs/>
          <w:color w:val="000000" w:themeColor="text1"/>
          <w:sz w:val="22"/>
          <w:szCs w:val="22"/>
          <w:lang w:val="es-ES_tradnl"/>
        </w:rPr>
        <w:t>ue</w:t>
      </w:r>
      <w:r w:rsidR="005F35FF" w:rsidRPr="00631B40">
        <w:rPr>
          <w:rFonts w:ascii="Arial" w:hAnsi="Arial" w:cs="Arial"/>
          <w:bCs/>
          <w:color w:val="000000" w:themeColor="text1"/>
          <w:sz w:val="22"/>
          <w:szCs w:val="22"/>
          <w:lang w:val="es-ES_tradnl"/>
        </w:rPr>
        <w:t xml:space="preserve"> entre el régimen contractual aplicable a los «procesos de contratación de obras públicas», el inciso segundo, que concreta la </w:t>
      </w:r>
      <w:r w:rsidR="005F35FF" w:rsidRPr="00631B40">
        <w:rPr>
          <w:rFonts w:ascii="Arial" w:hAnsi="Arial" w:cs="Arial"/>
          <w:bCs/>
          <w:i/>
          <w:iCs/>
          <w:color w:val="000000" w:themeColor="text1"/>
          <w:sz w:val="22"/>
          <w:szCs w:val="22"/>
          <w:lang w:val="es-ES_tradnl"/>
        </w:rPr>
        <w:t>consecuencia</w:t>
      </w:r>
      <w:r w:rsidR="005F35FF" w:rsidRPr="00631B40">
        <w:rPr>
          <w:rFonts w:ascii="Arial" w:hAnsi="Arial" w:cs="Arial"/>
          <w:bCs/>
          <w:color w:val="000000" w:themeColor="text1"/>
          <w:sz w:val="22"/>
          <w:szCs w:val="22"/>
          <w:lang w:val="es-ES_tradnl"/>
        </w:rPr>
        <w:t xml:space="preserve"> del deber de consultar y analizar las anotaciones en el registro</w:t>
      </w:r>
      <w:r w:rsidR="00DB5935" w:rsidRPr="00631B40">
        <w:rPr>
          <w:rFonts w:ascii="Arial" w:hAnsi="Arial" w:cs="Arial"/>
          <w:bCs/>
          <w:color w:val="000000" w:themeColor="text1"/>
          <w:sz w:val="22"/>
          <w:szCs w:val="22"/>
          <w:lang w:val="es-ES_tradnl"/>
        </w:rPr>
        <w:t>,</w:t>
      </w:r>
      <w:r w:rsidR="005F35FF" w:rsidRPr="00631B40">
        <w:rPr>
          <w:rFonts w:ascii="Arial" w:hAnsi="Arial" w:cs="Arial"/>
          <w:bCs/>
          <w:color w:val="000000" w:themeColor="text1"/>
          <w:sz w:val="22"/>
          <w:szCs w:val="22"/>
          <w:lang w:val="es-ES_tradnl"/>
        </w:rPr>
        <w:t xml:space="preserve"> circunscribe su aplicación a los procesos en que </w:t>
      </w:r>
      <w:r w:rsidR="00DB5935" w:rsidRPr="00631B40">
        <w:rPr>
          <w:rFonts w:ascii="Arial" w:hAnsi="Arial" w:cs="Arial"/>
          <w:bCs/>
          <w:color w:val="000000" w:themeColor="text1"/>
          <w:sz w:val="22"/>
          <w:szCs w:val="22"/>
          <w:lang w:val="es-ES_tradnl"/>
        </w:rPr>
        <w:t>aplique</w:t>
      </w:r>
      <w:r w:rsidR="005F35FF" w:rsidRPr="00631B40">
        <w:rPr>
          <w:rFonts w:ascii="Arial" w:hAnsi="Arial" w:cs="Arial"/>
          <w:bCs/>
          <w:color w:val="000000" w:themeColor="text1"/>
          <w:sz w:val="22"/>
          <w:szCs w:val="22"/>
          <w:lang w:val="es-ES_tradnl"/>
        </w:rPr>
        <w:t xml:space="preserve"> el artículo 5 de la Ley 1150 de 2007, siendo clara la intención del legislador de que sus destinatarios sean las entidades sometidas al EGCAP, que son frente a quienes rige esta última disposición.</w:t>
      </w:r>
    </w:p>
    <w:p w14:paraId="54E1FDF3" w14:textId="16850E6D" w:rsidR="005F35FF" w:rsidRPr="00631B40" w:rsidRDefault="005F35FF" w:rsidP="008C5BF1">
      <w:pPr>
        <w:spacing w:after="120" w:line="276" w:lineRule="auto"/>
        <w:jc w:val="both"/>
        <w:rPr>
          <w:rFonts w:ascii="Arial" w:hAnsi="Arial" w:cs="Arial"/>
          <w:bCs/>
          <w:color w:val="000000" w:themeColor="text1"/>
          <w:sz w:val="22"/>
          <w:szCs w:val="22"/>
          <w:lang w:val="es-ES_tradnl"/>
        </w:rPr>
      </w:pPr>
      <w:r w:rsidRPr="00631B40">
        <w:rPr>
          <w:rFonts w:ascii="Arial" w:hAnsi="Arial" w:cs="Arial"/>
          <w:bCs/>
          <w:color w:val="000000" w:themeColor="text1"/>
          <w:sz w:val="22"/>
          <w:szCs w:val="22"/>
          <w:lang w:val="es-ES_tradnl"/>
        </w:rPr>
        <w:tab/>
        <w:t xml:space="preserve">En efecto, esta Subdirección considera que no es posible escindir el inciso primero del artículo 6 de la Ley 2020 de su inciso segundo, pues este concreta </w:t>
      </w:r>
      <w:r w:rsidR="00F73D49" w:rsidRPr="00631B40">
        <w:rPr>
          <w:rFonts w:ascii="Arial" w:hAnsi="Arial" w:cs="Arial"/>
          <w:bCs/>
          <w:color w:val="000000" w:themeColor="text1"/>
          <w:sz w:val="22"/>
          <w:szCs w:val="22"/>
          <w:lang w:val="es-ES_tradnl"/>
        </w:rPr>
        <w:t>la consecuencia que se sigue de consultar y analizar las anotaciones del registro. En este sentido, solo apreciados en su conjunto el inciso primero y el segundo es posible llegar a una proposición jurídica completa</w:t>
      </w:r>
      <w:r w:rsidR="005A5DF5" w:rsidRPr="00631B40">
        <w:rPr>
          <w:rFonts w:ascii="Arial" w:hAnsi="Arial" w:cs="Arial"/>
          <w:bCs/>
          <w:color w:val="000000" w:themeColor="text1"/>
          <w:sz w:val="22"/>
          <w:szCs w:val="22"/>
          <w:lang w:val="es-ES_tradnl"/>
        </w:rPr>
        <w:t>,</w:t>
      </w:r>
      <w:r w:rsidR="00F73D49" w:rsidRPr="00631B40">
        <w:rPr>
          <w:rFonts w:ascii="Arial" w:hAnsi="Arial" w:cs="Arial"/>
          <w:bCs/>
          <w:color w:val="000000" w:themeColor="text1"/>
          <w:sz w:val="22"/>
          <w:szCs w:val="22"/>
          <w:lang w:val="es-ES_tradnl"/>
        </w:rPr>
        <w:t xml:space="preserve"> estableciendo un supuesto de hecho y una consecuencia jurídica. En efecto, si solo se parte del inciso primero de la disposición, se colegiría el deber de consultar y analizar las anotaciones vigentes en el registro; pero la finalidad de realizar dicha actuación consiste en aplicar la consecuencia establecida en el inciso segundo</w:t>
      </w:r>
      <w:r w:rsidR="008E188A" w:rsidRPr="00631B40">
        <w:rPr>
          <w:rFonts w:ascii="Arial" w:hAnsi="Arial" w:cs="Arial"/>
          <w:bCs/>
          <w:color w:val="000000" w:themeColor="text1"/>
          <w:sz w:val="22"/>
          <w:szCs w:val="22"/>
          <w:lang w:val="es-ES_tradnl"/>
        </w:rPr>
        <w:t>, que incidiría en la evaluación de las ofertas, en los términos del artículo 5 de la Ley 1150 de 2007.</w:t>
      </w:r>
    </w:p>
    <w:p w14:paraId="10509980" w14:textId="6D0AA7A3" w:rsidR="008E188A" w:rsidRPr="00631B40" w:rsidRDefault="008E188A" w:rsidP="008C5BF1">
      <w:pPr>
        <w:spacing w:after="120" w:line="276" w:lineRule="auto"/>
        <w:jc w:val="both"/>
        <w:rPr>
          <w:rFonts w:ascii="Arial" w:hAnsi="Arial" w:cs="Arial"/>
          <w:bCs/>
          <w:color w:val="000000" w:themeColor="text1"/>
          <w:sz w:val="22"/>
          <w:szCs w:val="22"/>
          <w:lang w:val="es-ES_tradnl"/>
        </w:rPr>
      </w:pPr>
      <w:r w:rsidRPr="00631B40">
        <w:rPr>
          <w:rFonts w:ascii="Arial" w:hAnsi="Arial" w:cs="Arial"/>
          <w:bCs/>
          <w:color w:val="000000" w:themeColor="text1"/>
          <w:sz w:val="22"/>
          <w:szCs w:val="22"/>
          <w:lang w:val="es-ES_tradnl"/>
        </w:rPr>
        <w:tab/>
      </w:r>
      <w:r w:rsidRPr="00631B40">
        <w:rPr>
          <w:rFonts w:ascii="Arial" w:hAnsi="Arial" w:cs="Arial"/>
          <w:bCs/>
          <w:i/>
          <w:iCs/>
          <w:color w:val="000000" w:themeColor="text1"/>
          <w:sz w:val="22"/>
          <w:szCs w:val="22"/>
          <w:lang w:val="es-ES_tradnl"/>
        </w:rPr>
        <w:t>iv)</w:t>
      </w:r>
      <w:r w:rsidRPr="00631B40">
        <w:rPr>
          <w:rFonts w:ascii="Arial" w:hAnsi="Arial" w:cs="Arial"/>
          <w:bCs/>
          <w:color w:val="000000" w:themeColor="text1"/>
          <w:sz w:val="22"/>
          <w:szCs w:val="22"/>
          <w:lang w:val="es-ES_tradnl"/>
        </w:rPr>
        <w:t xml:space="preserve"> Si el legislador hubiese querido otorgarle un alcance más amplio al artículo 6 de la Ley 2020 de 2020, para hacerlo aplicable a las entidades exceptuadas</w:t>
      </w:r>
      <w:r w:rsidR="0040609F" w:rsidRPr="00631B40">
        <w:rPr>
          <w:rFonts w:ascii="Arial" w:hAnsi="Arial" w:cs="Arial"/>
          <w:bCs/>
          <w:color w:val="000000" w:themeColor="text1"/>
          <w:sz w:val="22"/>
          <w:szCs w:val="22"/>
          <w:lang w:val="es-ES_tradnl"/>
        </w:rPr>
        <w:t>,</w:t>
      </w:r>
      <w:r w:rsidRPr="00631B40">
        <w:rPr>
          <w:rFonts w:ascii="Arial" w:hAnsi="Arial" w:cs="Arial"/>
          <w:bCs/>
          <w:color w:val="000000" w:themeColor="text1"/>
          <w:sz w:val="22"/>
          <w:szCs w:val="22"/>
          <w:lang w:val="es-ES_tradnl"/>
        </w:rPr>
        <w:t xml:space="preserve"> no habría remitido al artículo 5 de la Ley 1150 de 2007. Sin embargo, el legislador claramente decidió atar el contenido regulativo del artículo 6 de la Ley 2020 al artículo 5 de la Ley 1150 de 2007, limitando su alcance a los procedimientos de selección en que aplique esta última disposición.</w:t>
      </w:r>
      <w:r w:rsidR="009B0BE9" w:rsidRPr="00631B40">
        <w:rPr>
          <w:rFonts w:ascii="Arial" w:hAnsi="Arial" w:cs="Arial"/>
          <w:bCs/>
          <w:color w:val="000000" w:themeColor="text1"/>
          <w:sz w:val="22"/>
          <w:szCs w:val="22"/>
          <w:lang w:val="es-ES_tradnl"/>
        </w:rPr>
        <w:t xml:space="preserve"> </w:t>
      </w:r>
    </w:p>
    <w:p w14:paraId="6CAECED0" w14:textId="43B1142E" w:rsidR="00FF0B76" w:rsidRPr="00631B40" w:rsidRDefault="009B0BE9" w:rsidP="008C5BF1">
      <w:pPr>
        <w:spacing w:after="120" w:line="276" w:lineRule="auto"/>
        <w:jc w:val="both"/>
        <w:rPr>
          <w:rFonts w:ascii="Arial" w:hAnsi="Arial" w:cs="Arial"/>
          <w:bCs/>
          <w:color w:val="000000" w:themeColor="text1"/>
          <w:sz w:val="22"/>
          <w:szCs w:val="22"/>
          <w:lang w:val="es-ES_tradnl"/>
        </w:rPr>
      </w:pPr>
      <w:r w:rsidRPr="00631B40">
        <w:rPr>
          <w:rFonts w:ascii="Arial" w:hAnsi="Arial" w:cs="Arial"/>
          <w:bCs/>
          <w:color w:val="000000" w:themeColor="text1"/>
          <w:sz w:val="22"/>
          <w:szCs w:val="22"/>
          <w:lang w:val="es-ES_tradnl"/>
        </w:rPr>
        <w:tab/>
        <w:t xml:space="preserve">En este sentido, dada la concreción realizada por el legislador en el inciso segundo del artículo 6 de la Ley 2020, esta Subdirección considera que debe atenderse al tenor literal de la disposición, que vinculó su contenido al artículo 5 de la Ley 1150 de 2007, por lo que no sería posible deducir un alcance mayor. En efecto, como lo establece el artículo 27 </w:t>
      </w:r>
      <w:r w:rsidR="00FF0B76" w:rsidRPr="00631B40">
        <w:rPr>
          <w:rFonts w:ascii="Arial" w:hAnsi="Arial" w:cs="Arial"/>
          <w:bCs/>
          <w:color w:val="000000" w:themeColor="text1"/>
          <w:sz w:val="22"/>
          <w:szCs w:val="22"/>
          <w:lang w:val="es-ES_tradnl"/>
        </w:rPr>
        <w:t>del Código Civil «Cuando el sentido de la ley sea claro, no se desatenderá su tenor literal a pretexto de consultar su espíritu».</w:t>
      </w:r>
    </w:p>
    <w:p w14:paraId="78E3AB8E" w14:textId="1FCACBDD" w:rsidR="00302FE8" w:rsidRPr="00631B40" w:rsidRDefault="00302FE8" w:rsidP="00631B40">
      <w:pPr>
        <w:spacing w:line="276" w:lineRule="auto"/>
        <w:jc w:val="both"/>
        <w:rPr>
          <w:rFonts w:ascii="Arial" w:hAnsi="Arial" w:cs="Arial"/>
          <w:bCs/>
          <w:color w:val="000000" w:themeColor="text1"/>
          <w:sz w:val="22"/>
          <w:szCs w:val="22"/>
          <w:lang w:val="es-ES_tradnl"/>
        </w:rPr>
      </w:pPr>
      <w:r w:rsidRPr="00631B40">
        <w:rPr>
          <w:rFonts w:ascii="Arial" w:hAnsi="Arial" w:cs="Arial"/>
          <w:bCs/>
          <w:color w:val="000000" w:themeColor="text1"/>
          <w:sz w:val="22"/>
          <w:szCs w:val="22"/>
          <w:lang w:val="es-ES_tradnl"/>
        </w:rPr>
        <w:lastRenderedPageBreak/>
        <w:tab/>
        <w:t xml:space="preserve">Finalmente, </w:t>
      </w:r>
      <w:r w:rsidR="005A5DF5" w:rsidRPr="00631B40">
        <w:rPr>
          <w:rFonts w:ascii="Arial" w:hAnsi="Arial" w:cs="Arial"/>
          <w:bCs/>
          <w:color w:val="000000" w:themeColor="text1"/>
          <w:sz w:val="22"/>
          <w:szCs w:val="22"/>
          <w:lang w:val="es-ES_tradnl"/>
        </w:rPr>
        <w:t xml:space="preserve">sin perjuicio de la postura adoptada por esta Subdirección, se considera importante destacar el hecho de que </w:t>
      </w:r>
      <w:r w:rsidR="00F87062" w:rsidRPr="00631B40">
        <w:rPr>
          <w:rFonts w:ascii="Arial" w:hAnsi="Arial" w:cs="Arial"/>
          <w:bCs/>
          <w:color w:val="000000" w:themeColor="text1"/>
          <w:sz w:val="22"/>
          <w:szCs w:val="22"/>
          <w:lang w:val="es-ES_tradnl"/>
        </w:rPr>
        <w:t xml:space="preserve">si bien </w:t>
      </w:r>
      <w:r w:rsidR="005A5DF5" w:rsidRPr="00631B40">
        <w:rPr>
          <w:rFonts w:ascii="Arial" w:hAnsi="Arial" w:cs="Arial"/>
          <w:bCs/>
          <w:color w:val="000000" w:themeColor="text1"/>
          <w:sz w:val="22"/>
          <w:szCs w:val="22"/>
          <w:lang w:val="es-ES_tradnl"/>
        </w:rPr>
        <w:t xml:space="preserve">el artículo 6 de la Ley 2020 de 2020 no </w:t>
      </w:r>
      <w:r w:rsidR="00F87062" w:rsidRPr="00631B40">
        <w:rPr>
          <w:rFonts w:ascii="Arial" w:hAnsi="Arial" w:cs="Arial"/>
          <w:bCs/>
          <w:color w:val="000000" w:themeColor="text1"/>
          <w:sz w:val="22"/>
          <w:szCs w:val="22"/>
          <w:lang w:val="es-ES_tradnl"/>
        </w:rPr>
        <w:t>rige</w:t>
      </w:r>
      <w:r w:rsidR="005A5DF5" w:rsidRPr="00631B40">
        <w:rPr>
          <w:rFonts w:ascii="Arial" w:hAnsi="Arial" w:cs="Arial"/>
          <w:bCs/>
          <w:color w:val="000000" w:themeColor="text1"/>
          <w:sz w:val="22"/>
          <w:szCs w:val="22"/>
          <w:lang w:val="es-ES_tradnl"/>
        </w:rPr>
        <w:t xml:space="preserve"> de manera obligatoria en los procedimientos de selección de las entidades exceptuadas del EGCAP, ello no impide que en desarrollo de su discrecionalidad en la configuración de su</w:t>
      </w:r>
      <w:r w:rsidR="00E56B1B" w:rsidRPr="00631B40">
        <w:rPr>
          <w:rFonts w:ascii="Arial" w:hAnsi="Arial" w:cs="Arial"/>
          <w:bCs/>
          <w:color w:val="000000" w:themeColor="text1"/>
          <w:sz w:val="22"/>
          <w:szCs w:val="22"/>
          <w:lang w:val="es-ES_tradnl"/>
        </w:rPr>
        <w:t xml:space="preserve">s procedimientos de selección </w:t>
      </w:r>
      <w:r w:rsidR="00F87062" w:rsidRPr="00631B40">
        <w:rPr>
          <w:rFonts w:ascii="Arial" w:hAnsi="Arial" w:cs="Arial"/>
          <w:bCs/>
          <w:color w:val="000000" w:themeColor="text1"/>
          <w:sz w:val="22"/>
          <w:szCs w:val="22"/>
          <w:lang w:val="es-ES_tradnl"/>
        </w:rPr>
        <w:t>incorporen reglas</w:t>
      </w:r>
      <w:r w:rsidR="00E56B1B" w:rsidRPr="00631B40">
        <w:rPr>
          <w:rFonts w:ascii="Arial" w:hAnsi="Arial" w:cs="Arial"/>
          <w:bCs/>
          <w:color w:val="000000" w:themeColor="text1"/>
          <w:sz w:val="22"/>
          <w:szCs w:val="22"/>
          <w:lang w:val="es-ES_tradnl"/>
        </w:rPr>
        <w:t xml:space="preserve"> tendientes a tener en consideración</w:t>
      </w:r>
      <w:r w:rsidR="00AF5AA9" w:rsidRPr="00631B40">
        <w:rPr>
          <w:rFonts w:ascii="Arial" w:hAnsi="Arial" w:cs="Arial"/>
          <w:bCs/>
          <w:color w:val="000000" w:themeColor="text1"/>
          <w:sz w:val="22"/>
          <w:szCs w:val="22"/>
          <w:lang w:val="es-ES_tradnl"/>
        </w:rPr>
        <w:t>,</w:t>
      </w:r>
      <w:r w:rsidR="00E56B1B" w:rsidRPr="00631B40">
        <w:rPr>
          <w:rFonts w:ascii="Arial" w:hAnsi="Arial" w:cs="Arial"/>
          <w:bCs/>
          <w:color w:val="000000" w:themeColor="text1"/>
          <w:sz w:val="22"/>
          <w:szCs w:val="22"/>
          <w:lang w:val="es-ES_tradnl"/>
        </w:rPr>
        <w:t xml:space="preserve"> en la evaluación de las ofertas, las anotaciones en el Registro Nacional de Obras Civiles Inconclusas. Lo anterior, en virtud de</w:t>
      </w:r>
      <w:r w:rsidR="00F87062" w:rsidRPr="00631B40">
        <w:rPr>
          <w:rFonts w:ascii="Arial" w:hAnsi="Arial" w:cs="Arial"/>
          <w:bCs/>
          <w:color w:val="000000" w:themeColor="text1"/>
          <w:sz w:val="22"/>
          <w:szCs w:val="22"/>
          <w:lang w:val="es-ES_tradnl"/>
        </w:rPr>
        <w:t xml:space="preserve">l margen de configuración </w:t>
      </w:r>
      <w:r w:rsidR="00E56B1B" w:rsidRPr="00631B40">
        <w:rPr>
          <w:rFonts w:ascii="Arial" w:hAnsi="Arial" w:cs="Arial"/>
          <w:bCs/>
          <w:color w:val="000000" w:themeColor="text1"/>
          <w:sz w:val="22"/>
          <w:szCs w:val="22"/>
          <w:lang w:val="es-ES_tradnl"/>
        </w:rPr>
        <w:t>con que cuentan para estructurar sus procedimientos de selección</w:t>
      </w:r>
      <w:r w:rsidR="00D70D94" w:rsidRPr="00631B40">
        <w:rPr>
          <w:rFonts w:ascii="Arial" w:hAnsi="Arial" w:cs="Arial"/>
          <w:bCs/>
          <w:color w:val="000000" w:themeColor="text1"/>
          <w:sz w:val="22"/>
          <w:szCs w:val="22"/>
          <w:lang w:val="es-ES_tradnl"/>
        </w:rPr>
        <w:t>,</w:t>
      </w:r>
      <w:r w:rsidR="00E56B1B" w:rsidRPr="00631B40">
        <w:rPr>
          <w:rFonts w:ascii="Arial" w:hAnsi="Arial" w:cs="Arial"/>
          <w:bCs/>
          <w:color w:val="000000" w:themeColor="text1"/>
          <w:sz w:val="22"/>
          <w:szCs w:val="22"/>
          <w:lang w:val="es-ES_tradnl"/>
        </w:rPr>
        <w:t xml:space="preserve"> y para regular, entre otros aspectos, los criterios y reglas de evaluación de </w:t>
      </w:r>
      <w:r w:rsidR="004221D4" w:rsidRPr="00631B40">
        <w:rPr>
          <w:rFonts w:ascii="Arial" w:hAnsi="Arial" w:cs="Arial"/>
          <w:bCs/>
          <w:color w:val="000000" w:themeColor="text1"/>
          <w:sz w:val="22"/>
          <w:szCs w:val="22"/>
          <w:lang w:val="es-ES_tradnl"/>
        </w:rPr>
        <w:t>las</w:t>
      </w:r>
      <w:r w:rsidR="00E56B1B" w:rsidRPr="00631B40">
        <w:rPr>
          <w:rFonts w:ascii="Arial" w:hAnsi="Arial" w:cs="Arial"/>
          <w:bCs/>
          <w:color w:val="000000" w:themeColor="text1"/>
          <w:sz w:val="22"/>
          <w:szCs w:val="22"/>
          <w:lang w:val="es-ES_tradnl"/>
        </w:rPr>
        <w:t xml:space="preserve"> ofertas</w:t>
      </w:r>
      <w:r w:rsidR="004221D4" w:rsidRPr="00631B40">
        <w:rPr>
          <w:rFonts w:ascii="Arial" w:hAnsi="Arial" w:cs="Arial"/>
          <w:bCs/>
          <w:color w:val="000000" w:themeColor="text1"/>
          <w:sz w:val="22"/>
          <w:szCs w:val="22"/>
          <w:lang w:val="es-ES_tradnl"/>
        </w:rPr>
        <w:t>.</w:t>
      </w:r>
      <w:bookmarkEnd w:id="12"/>
    </w:p>
    <w:p w14:paraId="6C5F6CB3" w14:textId="77777777" w:rsidR="00AE72A9" w:rsidRPr="00631B40" w:rsidRDefault="00AE72A9" w:rsidP="004221D4">
      <w:pPr>
        <w:spacing w:line="276" w:lineRule="auto"/>
        <w:jc w:val="both"/>
        <w:rPr>
          <w:rFonts w:ascii="Arial" w:hAnsi="Arial" w:cs="Arial"/>
          <w:color w:val="000000" w:themeColor="text1"/>
          <w:sz w:val="22"/>
          <w:lang w:val="es-ES_tradnl"/>
        </w:rPr>
      </w:pPr>
    </w:p>
    <w:p w14:paraId="37CA9805" w14:textId="4838EADE" w:rsidR="00DD5B04" w:rsidRPr="00631B40" w:rsidRDefault="004177A6" w:rsidP="00510DE9">
      <w:pPr>
        <w:tabs>
          <w:tab w:val="left" w:pos="0"/>
        </w:tabs>
        <w:jc w:val="both"/>
        <w:rPr>
          <w:rFonts w:ascii="Arial" w:eastAsia="Calibri" w:hAnsi="Arial" w:cs="Arial"/>
          <w:b/>
          <w:color w:val="000000" w:themeColor="text1"/>
          <w:sz w:val="22"/>
          <w:lang w:val="es-ES_tradnl"/>
        </w:rPr>
      </w:pPr>
      <w:r w:rsidRPr="00631B40">
        <w:rPr>
          <w:rFonts w:ascii="Arial" w:eastAsia="Calibri" w:hAnsi="Arial" w:cs="Arial"/>
          <w:b/>
          <w:color w:val="000000" w:themeColor="text1"/>
          <w:sz w:val="22"/>
          <w:lang w:val="es-ES_tradnl"/>
        </w:rPr>
        <w:t>3</w:t>
      </w:r>
      <w:r w:rsidR="00B011A9" w:rsidRPr="00631B40">
        <w:rPr>
          <w:rFonts w:ascii="Arial" w:eastAsia="Calibri" w:hAnsi="Arial" w:cs="Arial"/>
          <w:b/>
          <w:color w:val="000000" w:themeColor="text1"/>
          <w:sz w:val="22"/>
          <w:lang w:val="es-ES_tradnl"/>
        </w:rPr>
        <w:t xml:space="preserve">. </w:t>
      </w:r>
      <w:r w:rsidR="00DD5B04" w:rsidRPr="00631B40">
        <w:rPr>
          <w:rFonts w:ascii="Arial" w:eastAsia="Calibri" w:hAnsi="Arial" w:cs="Arial"/>
          <w:b/>
          <w:color w:val="000000" w:themeColor="text1"/>
          <w:sz w:val="22"/>
          <w:lang w:val="es-ES_tradnl"/>
        </w:rPr>
        <w:t>Respuesta</w:t>
      </w:r>
    </w:p>
    <w:p w14:paraId="4A972907" w14:textId="75A730D1" w:rsidR="00A83A06" w:rsidRPr="00631B40" w:rsidRDefault="00A83A06" w:rsidP="00523363">
      <w:pPr>
        <w:tabs>
          <w:tab w:val="left" w:pos="0"/>
        </w:tabs>
        <w:spacing w:line="276" w:lineRule="auto"/>
        <w:jc w:val="both"/>
        <w:rPr>
          <w:rFonts w:ascii="Arial" w:eastAsia="Calibri" w:hAnsi="Arial" w:cs="Arial"/>
          <w:b/>
          <w:color w:val="000000" w:themeColor="text1"/>
          <w:sz w:val="22"/>
          <w:lang w:val="es-ES_tradnl"/>
        </w:rPr>
      </w:pPr>
    </w:p>
    <w:p w14:paraId="2A08A907" w14:textId="2E9DE4B7" w:rsidR="00274079" w:rsidRPr="00631B40" w:rsidRDefault="00274079" w:rsidP="000900A3">
      <w:pPr>
        <w:tabs>
          <w:tab w:val="left" w:pos="0"/>
        </w:tabs>
        <w:spacing w:line="276" w:lineRule="auto"/>
        <w:jc w:val="both"/>
        <w:rPr>
          <w:rFonts w:ascii="Arial" w:eastAsia="Calibri" w:hAnsi="Arial" w:cs="Arial"/>
          <w:bCs/>
          <w:color w:val="000000" w:themeColor="text1"/>
          <w:sz w:val="22"/>
          <w:lang w:val="es-ES_tradnl"/>
        </w:rPr>
      </w:pPr>
      <w:r w:rsidRPr="00631B40">
        <w:rPr>
          <w:rFonts w:ascii="Arial" w:eastAsia="Calibri" w:hAnsi="Arial" w:cs="Arial"/>
          <w:bCs/>
          <w:color w:val="000000" w:themeColor="text1"/>
          <w:sz w:val="22"/>
          <w:lang w:val="es-ES_tradnl"/>
        </w:rPr>
        <w:t>Teniendo en cuenta que</w:t>
      </w:r>
      <w:r w:rsidR="00136978" w:rsidRPr="00631B40">
        <w:rPr>
          <w:rFonts w:ascii="Arial" w:eastAsia="Calibri" w:hAnsi="Arial" w:cs="Arial"/>
          <w:bCs/>
          <w:color w:val="000000" w:themeColor="text1"/>
          <w:sz w:val="22"/>
          <w:lang w:val="es-ES_tradnl"/>
        </w:rPr>
        <w:t xml:space="preserve"> frente a algunas preguntas </w:t>
      </w:r>
      <w:r w:rsidR="00921124" w:rsidRPr="00631B40">
        <w:rPr>
          <w:rFonts w:ascii="Arial" w:eastAsia="Calibri" w:hAnsi="Arial" w:cs="Arial"/>
          <w:bCs/>
          <w:color w:val="000000" w:themeColor="text1"/>
          <w:sz w:val="22"/>
          <w:lang w:val="es-ES_tradnl"/>
        </w:rPr>
        <w:t>pueden plantearse respuestas o</w:t>
      </w:r>
      <w:r w:rsidR="00136978" w:rsidRPr="00631B40">
        <w:rPr>
          <w:rFonts w:ascii="Arial" w:eastAsia="Calibri" w:hAnsi="Arial" w:cs="Arial"/>
          <w:bCs/>
          <w:color w:val="000000" w:themeColor="text1"/>
          <w:sz w:val="22"/>
          <w:lang w:val="es-ES_tradnl"/>
        </w:rPr>
        <w:t xml:space="preserve"> argumentos</w:t>
      </w:r>
      <w:r w:rsidR="00921124" w:rsidRPr="00631B40">
        <w:rPr>
          <w:rFonts w:ascii="Arial" w:eastAsia="Calibri" w:hAnsi="Arial" w:cs="Arial"/>
          <w:bCs/>
          <w:color w:val="000000" w:themeColor="text1"/>
          <w:sz w:val="22"/>
          <w:lang w:val="es-ES_tradnl"/>
        </w:rPr>
        <w:t xml:space="preserve"> similares</w:t>
      </w:r>
      <w:r w:rsidR="000900A3" w:rsidRPr="00631B40">
        <w:rPr>
          <w:rFonts w:ascii="Arial" w:eastAsia="Calibri" w:hAnsi="Arial" w:cs="Arial"/>
          <w:bCs/>
          <w:color w:val="000000" w:themeColor="text1"/>
          <w:sz w:val="22"/>
          <w:lang w:val="es-ES_tradnl"/>
        </w:rPr>
        <w:t xml:space="preserve">, para no reiterarlos, se agruparán por bloques </w:t>
      </w:r>
      <w:r w:rsidR="00921124" w:rsidRPr="00631B40">
        <w:rPr>
          <w:rFonts w:ascii="Arial" w:eastAsia="Calibri" w:hAnsi="Arial" w:cs="Arial"/>
          <w:bCs/>
          <w:color w:val="000000" w:themeColor="text1"/>
          <w:sz w:val="22"/>
          <w:lang w:val="es-ES_tradnl"/>
        </w:rPr>
        <w:t>temáticos</w:t>
      </w:r>
      <w:r w:rsidR="009C3A75" w:rsidRPr="00631B40">
        <w:rPr>
          <w:rFonts w:ascii="Arial" w:eastAsia="Calibri" w:hAnsi="Arial" w:cs="Arial"/>
          <w:bCs/>
          <w:color w:val="000000" w:themeColor="text1"/>
          <w:sz w:val="22"/>
          <w:lang w:val="es-ES_tradnl"/>
        </w:rPr>
        <w:t>, absolviendo los interrogantes dentro del ámbito de competencias de esta Agencia</w:t>
      </w:r>
      <w:r w:rsidR="000900A3" w:rsidRPr="00631B40">
        <w:rPr>
          <w:rFonts w:ascii="Arial" w:eastAsia="Calibri" w:hAnsi="Arial" w:cs="Arial"/>
          <w:bCs/>
          <w:color w:val="000000" w:themeColor="text1"/>
          <w:sz w:val="22"/>
          <w:lang w:val="es-ES_tradnl"/>
        </w:rPr>
        <w:t>:</w:t>
      </w:r>
    </w:p>
    <w:p w14:paraId="78C1B68B" w14:textId="77777777" w:rsidR="00274079" w:rsidRPr="00631B40" w:rsidRDefault="00274079" w:rsidP="00523363">
      <w:pPr>
        <w:tabs>
          <w:tab w:val="left" w:pos="0"/>
        </w:tabs>
        <w:spacing w:line="276" w:lineRule="auto"/>
        <w:jc w:val="both"/>
        <w:rPr>
          <w:rFonts w:ascii="Arial" w:eastAsia="Calibri" w:hAnsi="Arial" w:cs="Arial"/>
          <w:b/>
          <w:color w:val="000000" w:themeColor="text1"/>
          <w:sz w:val="22"/>
          <w:lang w:val="es-ES_tradnl"/>
        </w:rPr>
      </w:pPr>
    </w:p>
    <w:p w14:paraId="1C6582CB" w14:textId="5A2D4682" w:rsidR="00C977BE" w:rsidRPr="00631B40" w:rsidRDefault="00C977BE" w:rsidP="00C977BE">
      <w:pPr>
        <w:ind w:left="709" w:right="709"/>
        <w:jc w:val="both"/>
        <w:rPr>
          <w:rFonts w:ascii="Arial" w:hAnsi="Arial" w:cs="Arial"/>
          <w:bCs/>
          <w:color w:val="000000" w:themeColor="text1"/>
          <w:sz w:val="21"/>
          <w:szCs w:val="21"/>
          <w:lang w:val="es-ES_tradnl"/>
        </w:rPr>
      </w:pPr>
      <w:r w:rsidRPr="00631B40">
        <w:rPr>
          <w:rFonts w:ascii="Arial" w:hAnsi="Arial" w:cs="Arial"/>
          <w:bCs/>
          <w:color w:val="000000" w:themeColor="text1"/>
          <w:sz w:val="21"/>
          <w:szCs w:val="21"/>
          <w:lang w:val="es-ES_tradnl"/>
        </w:rPr>
        <w:t>«1. ¿Teniendo en cuenta la naturaleza jurídica de las EICE, en aquellos procesos contractuales que se rigen por el régimen privado y/o especial deben dar cumplimiento al artículo 6 de la Ley 2020 de 2020 teniendo en cuenta lo señalado en el inciso primero del mismo?</w:t>
      </w:r>
    </w:p>
    <w:p w14:paraId="15F6C637" w14:textId="72855460" w:rsidR="00302FE8" w:rsidRPr="00631B40" w:rsidRDefault="00302FE8" w:rsidP="00C977BE">
      <w:pPr>
        <w:ind w:left="709" w:right="709"/>
        <w:jc w:val="both"/>
        <w:rPr>
          <w:rFonts w:ascii="Arial" w:hAnsi="Arial" w:cs="Arial"/>
          <w:bCs/>
          <w:color w:val="000000" w:themeColor="text1"/>
          <w:sz w:val="21"/>
          <w:szCs w:val="21"/>
          <w:lang w:val="es-ES_tradnl"/>
        </w:rPr>
      </w:pPr>
    </w:p>
    <w:p w14:paraId="440B6DBA" w14:textId="77777777" w:rsidR="00302FE8" w:rsidRPr="00631B40" w:rsidRDefault="00302FE8" w:rsidP="00302FE8">
      <w:pPr>
        <w:ind w:left="709" w:right="709"/>
        <w:jc w:val="both"/>
        <w:rPr>
          <w:rFonts w:ascii="Arial" w:hAnsi="Arial" w:cs="Arial"/>
          <w:bCs/>
          <w:color w:val="000000" w:themeColor="text1"/>
          <w:sz w:val="21"/>
          <w:szCs w:val="21"/>
          <w:lang w:val="es-ES_tradnl"/>
        </w:rPr>
      </w:pPr>
      <w:r w:rsidRPr="00631B40">
        <w:rPr>
          <w:rFonts w:ascii="Arial" w:hAnsi="Arial" w:cs="Arial"/>
          <w:bCs/>
          <w:color w:val="000000" w:themeColor="text1"/>
          <w:sz w:val="21"/>
          <w:szCs w:val="21"/>
          <w:lang w:val="es-ES_tradnl"/>
        </w:rPr>
        <w:t>«2. ¿Teniendo en cuenta la naturaleza jurídica de las EICE, en aquellos procesos contractuales que se rigen por el régimen privado y/o especial deben dar cumplimiento al artículo 6 de la Ley 2020 de 2020 teniendo en cuenta que el inciso segundo hace referencia al artículo 5 de la Ley 1150 de 2007?</w:t>
      </w:r>
    </w:p>
    <w:p w14:paraId="3EB0410D" w14:textId="0ABC60E0" w:rsidR="000900A3" w:rsidRPr="00631B40" w:rsidRDefault="000900A3" w:rsidP="00C977BE">
      <w:pPr>
        <w:ind w:left="709" w:right="709"/>
        <w:jc w:val="both"/>
        <w:rPr>
          <w:rFonts w:ascii="Arial" w:hAnsi="Arial" w:cs="Arial"/>
          <w:bCs/>
          <w:color w:val="000000" w:themeColor="text1"/>
          <w:sz w:val="21"/>
          <w:szCs w:val="21"/>
          <w:lang w:val="es-ES_tradnl"/>
        </w:rPr>
      </w:pPr>
    </w:p>
    <w:p w14:paraId="77DD19FC" w14:textId="41A715C8" w:rsidR="000900A3" w:rsidRPr="00631B40" w:rsidRDefault="000900A3" w:rsidP="000900A3">
      <w:pPr>
        <w:ind w:left="709" w:right="709"/>
        <w:jc w:val="both"/>
        <w:rPr>
          <w:rFonts w:ascii="Arial" w:hAnsi="Arial" w:cs="Arial"/>
          <w:bCs/>
          <w:color w:val="000000" w:themeColor="text1"/>
          <w:sz w:val="21"/>
          <w:szCs w:val="21"/>
          <w:lang w:val="es-ES_tradnl"/>
        </w:rPr>
      </w:pPr>
      <w:r w:rsidRPr="00631B40">
        <w:rPr>
          <w:rFonts w:ascii="Arial" w:hAnsi="Arial" w:cs="Arial"/>
          <w:bCs/>
          <w:color w:val="000000" w:themeColor="text1"/>
          <w:sz w:val="21"/>
          <w:szCs w:val="21"/>
          <w:lang w:val="es-ES_tradnl"/>
        </w:rPr>
        <w:t>»3. ¿En los procesos contractuales derivados de un patrimonio autónomo constituido por una EICE, pero que por instrucción de su órgano de administración los tramita esta última, deben dar cumplimiento al artículo 6 de la Ley 2020 de 2020 teniendo en cuenta lo señalado en el inciso primero del mismo?</w:t>
      </w:r>
      <w:r w:rsidR="00D60108" w:rsidRPr="00631B40">
        <w:rPr>
          <w:rFonts w:ascii="Arial" w:hAnsi="Arial" w:cs="Arial"/>
          <w:bCs/>
          <w:color w:val="000000" w:themeColor="text1"/>
          <w:sz w:val="21"/>
          <w:szCs w:val="21"/>
          <w:lang w:val="es-ES_tradnl"/>
        </w:rPr>
        <w:t>»</w:t>
      </w:r>
    </w:p>
    <w:p w14:paraId="7D5778EA" w14:textId="5C57BCB8" w:rsidR="00C977BE" w:rsidRPr="00631B40" w:rsidRDefault="00C977BE" w:rsidP="00C977BE">
      <w:pPr>
        <w:ind w:left="709" w:right="709"/>
        <w:jc w:val="both"/>
        <w:rPr>
          <w:rFonts w:ascii="Arial" w:hAnsi="Arial" w:cs="Arial"/>
          <w:bCs/>
          <w:color w:val="000000" w:themeColor="text1"/>
          <w:sz w:val="21"/>
          <w:szCs w:val="21"/>
          <w:lang w:val="es-ES_tradnl"/>
        </w:rPr>
      </w:pPr>
    </w:p>
    <w:p w14:paraId="4EC24867" w14:textId="2D5239D8" w:rsidR="00C977BE" w:rsidRPr="00631B40" w:rsidRDefault="00C977BE" w:rsidP="00C977BE">
      <w:pPr>
        <w:ind w:left="709" w:right="709"/>
        <w:jc w:val="both"/>
        <w:rPr>
          <w:rFonts w:ascii="Arial" w:hAnsi="Arial" w:cs="Arial"/>
          <w:bCs/>
          <w:color w:val="000000" w:themeColor="text1"/>
          <w:sz w:val="21"/>
          <w:szCs w:val="21"/>
          <w:lang w:val="es-ES_tradnl"/>
        </w:rPr>
      </w:pPr>
      <w:r w:rsidRPr="00631B40">
        <w:rPr>
          <w:rFonts w:ascii="Arial" w:hAnsi="Arial" w:cs="Arial"/>
          <w:bCs/>
          <w:color w:val="000000" w:themeColor="text1"/>
          <w:sz w:val="21"/>
          <w:szCs w:val="21"/>
          <w:lang w:val="es-ES_tradnl"/>
        </w:rPr>
        <w:t>»4.</w:t>
      </w:r>
      <w:r w:rsidR="008B17C8" w:rsidRPr="00631B40">
        <w:rPr>
          <w:rFonts w:ascii="Arial" w:hAnsi="Arial" w:cs="Arial"/>
          <w:bCs/>
          <w:color w:val="000000" w:themeColor="text1"/>
          <w:sz w:val="21"/>
          <w:szCs w:val="21"/>
          <w:lang w:val="es-ES_tradnl"/>
        </w:rPr>
        <w:t xml:space="preserve"> </w:t>
      </w:r>
      <w:r w:rsidRPr="00631B40">
        <w:rPr>
          <w:rFonts w:ascii="Arial" w:hAnsi="Arial" w:cs="Arial"/>
          <w:bCs/>
          <w:color w:val="000000" w:themeColor="text1"/>
          <w:sz w:val="21"/>
          <w:szCs w:val="21"/>
          <w:lang w:val="es-ES_tradnl"/>
        </w:rPr>
        <w:t>¿En los procesos contractuales derivados de un patrimonio autónomo constituido por una EICE, pero que por instrucción de su órgano de administración los tramita esta última, deben dar cumplimiento al artículo 6 de la Ley 2020 de 2020 teniendo en cuenta que el inciso segundo hace referencia al artículo 5 de la Ley 1150 de 2007?</w:t>
      </w:r>
      <w:r w:rsidR="00077886" w:rsidRPr="00631B40">
        <w:rPr>
          <w:rFonts w:ascii="Arial" w:hAnsi="Arial" w:cs="Arial"/>
          <w:bCs/>
          <w:color w:val="000000" w:themeColor="text1"/>
          <w:sz w:val="21"/>
          <w:szCs w:val="21"/>
          <w:lang w:val="es-ES_tradnl"/>
        </w:rPr>
        <w:t>»</w:t>
      </w:r>
    </w:p>
    <w:p w14:paraId="794511E2" w14:textId="77777777" w:rsidR="000341A3" w:rsidRPr="00631B40" w:rsidRDefault="000341A3" w:rsidP="000341A3">
      <w:pPr>
        <w:spacing w:line="276" w:lineRule="auto"/>
        <w:jc w:val="both"/>
        <w:rPr>
          <w:rFonts w:ascii="Arial" w:hAnsi="Arial" w:cs="Arial"/>
          <w:bCs/>
          <w:color w:val="000000" w:themeColor="text1"/>
          <w:sz w:val="21"/>
          <w:szCs w:val="21"/>
          <w:lang w:val="es-ES_tradnl"/>
        </w:rPr>
      </w:pPr>
    </w:p>
    <w:p w14:paraId="1206C142" w14:textId="58F218E7" w:rsidR="00227DF8" w:rsidRPr="00631B40" w:rsidRDefault="00517661" w:rsidP="00227DF8">
      <w:pPr>
        <w:spacing w:after="120" w:line="276" w:lineRule="auto"/>
        <w:jc w:val="both"/>
        <w:rPr>
          <w:rFonts w:ascii="Arial" w:hAnsi="Arial" w:cs="Arial"/>
          <w:bCs/>
          <w:color w:val="000000" w:themeColor="text1"/>
          <w:sz w:val="22"/>
          <w:szCs w:val="22"/>
          <w:lang w:val="es-ES_tradnl"/>
        </w:rPr>
      </w:pPr>
      <w:r w:rsidRPr="00631B40">
        <w:rPr>
          <w:rFonts w:ascii="Arial" w:hAnsi="Arial" w:cs="Arial"/>
          <w:bCs/>
          <w:color w:val="000000" w:themeColor="text1"/>
          <w:sz w:val="22"/>
          <w:szCs w:val="22"/>
          <w:lang w:val="es-ES_tradnl"/>
        </w:rPr>
        <w:t xml:space="preserve">De acuerdo con las consideraciones, </w:t>
      </w:r>
      <w:r w:rsidR="00227DF8" w:rsidRPr="00631B40">
        <w:rPr>
          <w:rFonts w:ascii="Arial" w:hAnsi="Arial" w:cs="Arial"/>
          <w:bCs/>
          <w:color w:val="000000" w:themeColor="text1"/>
          <w:sz w:val="22"/>
          <w:szCs w:val="22"/>
          <w:lang w:val="es-ES_tradnl"/>
        </w:rPr>
        <w:t xml:space="preserve">a juicio de esta Subdirección el artículo 6 de la Ley 2020 de 2020 solo aplica obligatoriamente en aquellos procedimientos de selección donde rija el artículo 5 de la Ley 1150 de 2007, esto es, frente a los sometidos al EGCAP, por lo que no aplicará de forma obligatoria en aquellos de las entidades exceptuadas de dicho estatuto. En tal sentido, a continuación se exponen los argumentos que soportan la conclusión que se acaba de anticipar, precisando, en todo caso, que lo señalado se refiere, </w:t>
      </w:r>
      <w:r w:rsidR="00227DF8" w:rsidRPr="00631B40">
        <w:rPr>
          <w:rFonts w:ascii="Arial" w:hAnsi="Arial" w:cs="Arial"/>
          <w:bCs/>
          <w:color w:val="000000" w:themeColor="text1"/>
          <w:sz w:val="22"/>
          <w:szCs w:val="22"/>
          <w:lang w:val="es-ES_tradnl"/>
        </w:rPr>
        <w:lastRenderedPageBreak/>
        <w:t>de forma exclusiva, al artículo 6 de la Ley 2020, no así frente al resto de las disposiciones de dicha ley.</w:t>
      </w:r>
    </w:p>
    <w:p w14:paraId="2830AE4F" w14:textId="77777777" w:rsidR="00227DF8" w:rsidRPr="00631B40" w:rsidRDefault="00227DF8" w:rsidP="00227DF8">
      <w:pPr>
        <w:spacing w:after="120" w:line="276" w:lineRule="auto"/>
        <w:jc w:val="both"/>
        <w:rPr>
          <w:rFonts w:ascii="Arial" w:hAnsi="Arial" w:cs="Arial"/>
          <w:bCs/>
          <w:color w:val="000000" w:themeColor="text1"/>
          <w:sz w:val="22"/>
          <w:szCs w:val="22"/>
          <w:lang w:val="es-ES_tradnl"/>
        </w:rPr>
      </w:pPr>
      <w:r w:rsidRPr="00631B40">
        <w:rPr>
          <w:rFonts w:ascii="Arial" w:hAnsi="Arial" w:cs="Arial"/>
          <w:bCs/>
          <w:color w:val="000000" w:themeColor="text1"/>
          <w:sz w:val="22"/>
          <w:szCs w:val="22"/>
          <w:lang w:val="es-ES_tradnl"/>
        </w:rPr>
        <w:tab/>
      </w:r>
      <w:r w:rsidRPr="00631B40">
        <w:rPr>
          <w:rFonts w:ascii="Arial" w:hAnsi="Arial" w:cs="Arial"/>
          <w:bCs/>
          <w:i/>
          <w:iCs/>
          <w:color w:val="000000" w:themeColor="text1"/>
          <w:sz w:val="22"/>
          <w:szCs w:val="22"/>
          <w:lang w:val="es-ES_tradnl"/>
        </w:rPr>
        <w:t>i)</w:t>
      </w:r>
      <w:r w:rsidRPr="00631B40">
        <w:rPr>
          <w:rFonts w:ascii="Arial" w:hAnsi="Arial" w:cs="Arial"/>
          <w:bCs/>
          <w:color w:val="000000" w:themeColor="text1"/>
          <w:sz w:val="22"/>
          <w:szCs w:val="22"/>
          <w:lang w:val="es-ES_tradnl"/>
        </w:rPr>
        <w:t xml:space="preserve"> El primero y principal argumento que fundamenta la conclusión indicada radica en la remisión expresa que realiza el artículo 6 de la Ley 2020 al artículo 5 de la Ley 1150 de 2007, para concretar su contenido regulativo. En este sentido, cuando la disposición señala que en los procesos de selección objetiva de contratistas de obra e interventores se tendrán en cuenta las anotaciones vigentes en el registro para evaluar los factores de ponderación de calidad, establecidos en el literal a) del artículo 5° de la Ley 1150 de 2007, está remitiendo a una disposición, cuyos destinatarios son las entidades regidas por el Estatuto General de Contratación de la Administración Pública. Teniendo en cuenta lo anterior, la consecuencia jurídica de la disposición únicamente regiría en los procedimientos de selección donde aplique el artículo 5 de la Ley 1150 de 2007. Por ello, las entidades exceptuadas, al no ser destinatarias de las reglas establecidas en el artículo 5 de la Ley 1150 de 2007, tampoco lo serían del artículo 6 de la Ley 2020.</w:t>
      </w:r>
    </w:p>
    <w:p w14:paraId="6E9BE26A" w14:textId="77777777" w:rsidR="00227DF8" w:rsidRPr="00631B40" w:rsidRDefault="00227DF8" w:rsidP="00227DF8">
      <w:pPr>
        <w:spacing w:after="120" w:line="276" w:lineRule="auto"/>
        <w:jc w:val="both"/>
        <w:rPr>
          <w:rFonts w:ascii="Arial" w:hAnsi="Arial" w:cs="Arial"/>
          <w:bCs/>
          <w:color w:val="000000" w:themeColor="text1"/>
          <w:sz w:val="22"/>
          <w:szCs w:val="22"/>
          <w:lang w:val="es-ES_tradnl"/>
        </w:rPr>
      </w:pPr>
      <w:r w:rsidRPr="00631B40">
        <w:rPr>
          <w:rFonts w:ascii="Arial" w:hAnsi="Arial" w:cs="Arial"/>
          <w:bCs/>
          <w:color w:val="000000" w:themeColor="text1"/>
          <w:sz w:val="22"/>
          <w:szCs w:val="22"/>
          <w:lang w:val="es-ES_tradnl"/>
        </w:rPr>
        <w:tab/>
      </w:r>
      <w:r w:rsidRPr="00631B40">
        <w:rPr>
          <w:rFonts w:ascii="Arial" w:hAnsi="Arial" w:cs="Arial"/>
          <w:bCs/>
          <w:i/>
          <w:iCs/>
          <w:color w:val="000000" w:themeColor="text1"/>
          <w:sz w:val="22"/>
          <w:szCs w:val="22"/>
          <w:lang w:val="es-ES_tradnl"/>
        </w:rPr>
        <w:t>ii)</w:t>
      </w:r>
      <w:r w:rsidRPr="00631B40">
        <w:rPr>
          <w:rFonts w:ascii="Arial" w:hAnsi="Arial" w:cs="Arial"/>
          <w:bCs/>
          <w:color w:val="000000" w:themeColor="text1"/>
          <w:sz w:val="22"/>
          <w:szCs w:val="22"/>
          <w:lang w:val="es-ES_tradnl"/>
        </w:rPr>
        <w:t xml:space="preserve"> En línea con lo anterior, aunque las entidades estatales exceptuadas de la aplicación del EGCAP también deben realizar una selección objetiva de los contratistas, ello no las hace destinatarias de las reglas establecidas en el artículo 5 de la Ley 1150 de 2007, disposición que únicamente aplica frente a las sometidas, pues las reglas mediante las cuales se concreta la selección objetiva en el artículo 5 </w:t>
      </w:r>
      <w:r w:rsidRPr="00631B40">
        <w:rPr>
          <w:rFonts w:ascii="Arial" w:hAnsi="Arial" w:cs="Arial"/>
          <w:bCs/>
          <w:i/>
          <w:iCs/>
          <w:color w:val="000000" w:themeColor="text1"/>
          <w:sz w:val="22"/>
          <w:szCs w:val="22"/>
          <w:lang w:val="es-ES_tradnl"/>
        </w:rPr>
        <w:t>ibidem</w:t>
      </w:r>
      <w:r w:rsidRPr="00631B40">
        <w:rPr>
          <w:rFonts w:ascii="Arial" w:hAnsi="Arial" w:cs="Arial"/>
          <w:bCs/>
          <w:color w:val="000000" w:themeColor="text1"/>
          <w:sz w:val="22"/>
          <w:szCs w:val="22"/>
          <w:lang w:val="es-ES_tradnl"/>
        </w:rPr>
        <w:t xml:space="preserve"> refieren a instituciones propias y específicas de las entidades sometidas a dicho estatuto.</w:t>
      </w:r>
    </w:p>
    <w:p w14:paraId="6D49F4EA" w14:textId="77777777" w:rsidR="00227DF8" w:rsidRPr="00631B40" w:rsidRDefault="00227DF8" w:rsidP="00227DF8">
      <w:pPr>
        <w:spacing w:after="120" w:line="276" w:lineRule="auto"/>
        <w:jc w:val="both"/>
        <w:rPr>
          <w:rFonts w:ascii="Arial" w:hAnsi="Arial" w:cs="Arial"/>
          <w:bCs/>
          <w:color w:val="000000" w:themeColor="text1"/>
          <w:sz w:val="22"/>
          <w:szCs w:val="22"/>
          <w:lang w:val="es-ES_tradnl"/>
        </w:rPr>
      </w:pPr>
      <w:r w:rsidRPr="00631B40">
        <w:rPr>
          <w:rFonts w:ascii="Arial" w:hAnsi="Arial" w:cs="Arial"/>
          <w:bCs/>
          <w:color w:val="000000" w:themeColor="text1"/>
          <w:sz w:val="22"/>
          <w:szCs w:val="22"/>
          <w:lang w:val="es-ES_tradnl"/>
        </w:rPr>
        <w:tab/>
      </w:r>
      <w:r w:rsidRPr="00631B40">
        <w:rPr>
          <w:rFonts w:ascii="Arial" w:hAnsi="Arial" w:cs="Arial"/>
          <w:bCs/>
          <w:i/>
          <w:iCs/>
          <w:color w:val="000000" w:themeColor="text1"/>
          <w:sz w:val="22"/>
          <w:szCs w:val="22"/>
          <w:lang w:val="es-ES_tradnl"/>
        </w:rPr>
        <w:t>iii)</w:t>
      </w:r>
      <w:r w:rsidRPr="00631B40">
        <w:rPr>
          <w:rFonts w:ascii="Arial" w:hAnsi="Arial" w:cs="Arial"/>
          <w:bCs/>
          <w:color w:val="000000" w:themeColor="text1"/>
          <w:sz w:val="22"/>
          <w:szCs w:val="22"/>
          <w:lang w:val="es-ES_tradnl"/>
        </w:rPr>
        <w:t xml:space="preserve"> Pese a que del inciso primero del artículo 6 de la Ley 2020 de 2020 parece deducirse un ámbito de aplicación más amplio, que no distingue entre el régimen contractual aplicable a los «procesos de contratación de obras públicas», el inciso segundo, que concreta la </w:t>
      </w:r>
      <w:r w:rsidRPr="00631B40">
        <w:rPr>
          <w:rFonts w:ascii="Arial" w:hAnsi="Arial" w:cs="Arial"/>
          <w:bCs/>
          <w:i/>
          <w:iCs/>
          <w:color w:val="000000" w:themeColor="text1"/>
          <w:sz w:val="22"/>
          <w:szCs w:val="22"/>
          <w:lang w:val="es-ES_tradnl"/>
        </w:rPr>
        <w:t>consecuencia</w:t>
      </w:r>
      <w:r w:rsidRPr="00631B40">
        <w:rPr>
          <w:rFonts w:ascii="Arial" w:hAnsi="Arial" w:cs="Arial"/>
          <w:bCs/>
          <w:color w:val="000000" w:themeColor="text1"/>
          <w:sz w:val="22"/>
          <w:szCs w:val="22"/>
          <w:lang w:val="es-ES_tradnl"/>
        </w:rPr>
        <w:t xml:space="preserve"> del deber de consultar y analizar las anotaciones en el registro, circunscribe su aplicación a los procesos en que aplique el artículo 5 de la Ley 1150 de 2007, siendo clara la intención del legislador de que sus destinatarios sean las entidades sometidas al EGCAP, que son frente a quienes rige esta última disposición.</w:t>
      </w:r>
    </w:p>
    <w:p w14:paraId="4945B150" w14:textId="77777777" w:rsidR="00227DF8" w:rsidRPr="00631B40" w:rsidRDefault="00227DF8" w:rsidP="00227DF8">
      <w:pPr>
        <w:spacing w:after="120" w:line="276" w:lineRule="auto"/>
        <w:jc w:val="both"/>
        <w:rPr>
          <w:rFonts w:ascii="Arial" w:hAnsi="Arial" w:cs="Arial"/>
          <w:bCs/>
          <w:color w:val="000000" w:themeColor="text1"/>
          <w:sz w:val="22"/>
          <w:szCs w:val="22"/>
          <w:lang w:val="es-ES_tradnl"/>
        </w:rPr>
      </w:pPr>
      <w:r w:rsidRPr="00631B40">
        <w:rPr>
          <w:rFonts w:ascii="Arial" w:hAnsi="Arial" w:cs="Arial"/>
          <w:bCs/>
          <w:color w:val="000000" w:themeColor="text1"/>
          <w:sz w:val="22"/>
          <w:szCs w:val="22"/>
          <w:lang w:val="es-ES_tradnl"/>
        </w:rPr>
        <w:tab/>
        <w:t>En efecto, esta Subdirección considera que no es posible escindir el inciso primero del artículo 6 de la Ley 2020 de su inciso segundo, pues este concreta la consecuencia que se sigue de consultar y analizar las anotaciones del registro. En este sentido, solo apreciados en su conjunto el inciso primero y el segundo es posible llegar a una proposición jurídica completa, estableciendo un supuesto de hecho y una consecuencia jurídica. En efecto, si solo se parte del inciso primero de la disposición, se colegiría el deber de consultar y analizar las anotaciones vigentes en el registro; pero la finalidad de realizar dicha actuación consiste en aplicar la consecuencia establecida en el inciso segundo, que incidiría en la evaluación de las ofertas, en los términos del artículo 5 de la Ley 1150 de 2007.</w:t>
      </w:r>
    </w:p>
    <w:p w14:paraId="11B03118" w14:textId="77777777" w:rsidR="00227DF8" w:rsidRPr="00631B40" w:rsidRDefault="00227DF8" w:rsidP="00227DF8">
      <w:pPr>
        <w:spacing w:after="120" w:line="276" w:lineRule="auto"/>
        <w:jc w:val="both"/>
        <w:rPr>
          <w:rFonts w:ascii="Arial" w:hAnsi="Arial" w:cs="Arial"/>
          <w:bCs/>
          <w:color w:val="000000" w:themeColor="text1"/>
          <w:sz w:val="22"/>
          <w:szCs w:val="22"/>
          <w:lang w:val="es-ES_tradnl"/>
        </w:rPr>
      </w:pPr>
      <w:r w:rsidRPr="00631B40">
        <w:rPr>
          <w:rFonts w:ascii="Arial" w:hAnsi="Arial" w:cs="Arial"/>
          <w:bCs/>
          <w:color w:val="000000" w:themeColor="text1"/>
          <w:sz w:val="22"/>
          <w:szCs w:val="22"/>
          <w:lang w:val="es-ES_tradnl"/>
        </w:rPr>
        <w:tab/>
      </w:r>
      <w:r w:rsidRPr="00631B40">
        <w:rPr>
          <w:rFonts w:ascii="Arial" w:hAnsi="Arial" w:cs="Arial"/>
          <w:bCs/>
          <w:i/>
          <w:iCs/>
          <w:color w:val="000000" w:themeColor="text1"/>
          <w:sz w:val="22"/>
          <w:szCs w:val="22"/>
          <w:lang w:val="es-ES_tradnl"/>
        </w:rPr>
        <w:t>iv)</w:t>
      </w:r>
      <w:r w:rsidRPr="00631B40">
        <w:rPr>
          <w:rFonts w:ascii="Arial" w:hAnsi="Arial" w:cs="Arial"/>
          <w:bCs/>
          <w:color w:val="000000" w:themeColor="text1"/>
          <w:sz w:val="22"/>
          <w:szCs w:val="22"/>
          <w:lang w:val="es-ES_tradnl"/>
        </w:rPr>
        <w:t xml:space="preserve"> Si el legislador hubiese querido otorgarle un alcance más amplio al artículo 6 de la Ley 2020 de 2020, para hacerlo aplicable a las entidades exceptuadas, no habría remitido al artículo 5 de la Ley 1150 de 2007, lo cual habría sido totalmente innecesario. Sin </w:t>
      </w:r>
      <w:r w:rsidRPr="00631B40">
        <w:rPr>
          <w:rFonts w:ascii="Arial" w:hAnsi="Arial" w:cs="Arial"/>
          <w:bCs/>
          <w:color w:val="000000" w:themeColor="text1"/>
          <w:sz w:val="22"/>
          <w:szCs w:val="22"/>
          <w:lang w:val="es-ES_tradnl"/>
        </w:rPr>
        <w:lastRenderedPageBreak/>
        <w:t xml:space="preserve">embargo, el legislador claramente decidió atar el contenido regulativo del artículo 6 de la Ley 2020 al artículo 5 de la Ley 1150 de 2007, limitando su alcance a los procedimientos de selección en que aplique esta última disposición. </w:t>
      </w:r>
    </w:p>
    <w:p w14:paraId="60641500" w14:textId="6813864B" w:rsidR="00227DF8" w:rsidRPr="00631B40" w:rsidRDefault="00227DF8" w:rsidP="00227DF8">
      <w:pPr>
        <w:spacing w:after="120" w:line="276" w:lineRule="auto"/>
        <w:jc w:val="both"/>
        <w:rPr>
          <w:rFonts w:ascii="Arial" w:hAnsi="Arial" w:cs="Arial"/>
          <w:bCs/>
          <w:color w:val="000000" w:themeColor="text1"/>
          <w:sz w:val="22"/>
          <w:szCs w:val="22"/>
          <w:lang w:val="es-ES_tradnl"/>
        </w:rPr>
      </w:pPr>
      <w:r w:rsidRPr="00631B40">
        <w:rPr>
          <w:rFonts w:ascii="Arial" w:hAnsi="Arial" w:cs="Arial"/>
          <w:bCs/>
          <w:color w:val="000000" w:themeColor="text1"/>
          <w:sz w:val="22"/>
          <w:szCs w:val="22"/>
          <w:lang w:val="es-ES_tradnl"/>
        </w:rPr>
        <w:tab/>
        <w:t>En este sentido, dada la concreción realizada por el legislador en el inciso segundo del artículo 6 de la Ley 2020, esta Subdirección considera que debe atenderse al tenor literal de la disposición, que vinculó su contenido al artículo 5 de la Ley 1150 de 2007, por lo que no sería posible deducir un alcance mayor. En efecto, como lo establece el artículo 27 del Código Civil «Cuando el sentido de la ley sea claro, no se desatenderá su tenor literal a pretexto de consultar su espíritu».</w:t>
      </w:r>
    </w:p>
    <w:p w14:paraId="56E4D094" w14:textId="5574ED65" w:rsidR="00517661" w:rsidRPr="00631B40" w:rsidRDefault="00227DF8" w:rsidP="000D676A">
      <w:pPr>
        <w:spacing w:line="276" w:lineRule="auto"/>
        <w:jc w:val="both"/>
        <w:rPr>
          <w:rFonts w:ascii="Arial" w:hAnsi="Arial" w:cs="Arial"/>
          <w:bCs/>
          <w:color w:val="000000" w:themeColor="text1"/>
          <w:sz w:val="22"/>
          <w:szCs w:val="22"/>
          <w:lang w:val="es-ES_tradnl"/>
        </w:rPr>
      </w:pPr>
      <w:r w:rsidRPr="00631B40">
        <w:rPr>
          <w:rFonts w:ascii="Arial" w:hAnsi="Arial" w:cs="Arial"/>
          <w:bCs/>
          <w:color w:val="000000" w:themeColor="text1"/>
          <w:sz w:val="22"/>
          <w:szCs w:val="22"/>
          <w:lang w:val="es-ES_tradnl"/>
        </w:rPr>
        <w:tab/>
        <w:t xml:space="preserve">Finalmente, sin perjuicio de la postura adoptada por esta Subdirección, se considera importante destacar el hecho de que </w:t>
      </w:r>
      <w:r w:rsidR="00AF5AA9" w:rsidRPr="00631B40">
        <w:rPr>
          <w:rFonts w:ascii="Arial" w:hAnsi="Arial" w:cs="Arial"/>
          <w:bCs/>
          <w:color w:val="000000" w:themeColor="text1"/>
          <w:sz w:val="22"/>
          <w:szCs w:val="22"/>
          <w:lang w:val="es-ES_tradnl"/>
        </w:rPr>
        <w:t xml:space="preserve">si bien </w:t>
      </w:r>
      <w:r w:rsidRPr="00631B40">
        <w:rPr>
          <w:rFonts w:ascii="Arial" w:hAnsi="Arial" w:cs="Arial"/>
          <w:bCs/>
          <w:color w:val="000000" w:themeColor="text1"/>
          <w:sz w:val="22"/>
          <w:szCs w:val="22"/>
          <w:lang w:val="es-ES_tradnl"/>
        </w:rPr>
        <w:t>el artículo 6 de la Ley 2020 de 2020 no ri</w:t>
      </w:r>
      <w:r w:rsidR="00AF5AA9" w:rsidRPr="00631B40">
        <w:rPr>
          <w:rFonts w:ascii="Arial" w:hAnsi="Arial" w:cs="Arial"/>
          <w:bCs/>
          <w:color w:val="000000" w:themeColor="text1"/>
          <w:sz w:val="22"/>
          <w:szCs w:val="22"/>
          <w:lang w:val="es-ES_tradnl"/>
        </w:rPr>
        <w:t>ge</w:t>
      </w:r>
      <w:r w:rsidRPr="00631B40">
        <w:rPr>
          <w:rFonts w:ascii="Arial" w:hAnsi="Arial" w:cs="Arial"/>
          <w:bCs/>
          <w:color w:val="000000" w:themeColor="text1"/>
          <w:sz w:val="22"/>
          <w:szCs w:val="22"/>
          <w:lang w:val="es-ES_tradnl"/>
        </w:rPr>
        <w:t xml:space="preserve"> de manera obligatoria en los procedimientos de selección de las entidades exceptuadas del EGCAP, ello no impide que en desarrollo de su discrecionalidad en la configuración de sus procedimientos de selección </w:t>
      </w:r>
      <w:r w:rsidR="00AF5AA9" w:rsidRPr="00631B40">
        <w:rPr>
          <w:rFonts w:ascii="Arial" w:hAnsi="Arial" w:cs="Arial"/>
          <w:bCs/>
          <w:color w:val="000000" w:themeColor="text1"/>
          <w:sz w:val="22"/>
          <w:szCs w:val="22"/>
          <w:lang w:val="es-ES_tradnl"/>
        </w:rPr>
        <w:t xml:space="preserve">incorporen reglas </w:t>
      </w:r>
      <w:r w:rsidRPr="00631B40">
        <w:rPr>
          <w:rFonts w:ascii="Arial" w:hAnsi="Arial" w:cs="Arial"/>
          <w:bCs/>
          <w:color w:val="000000" w:themeColor="text1"/>
          <w:sz w:val="22"/>
          <w:szCs w:val="22"/>
          <w:lang w:val="es-ES_tradnl"/>
        </w:rPr>
        <w:t>tendientes a tener en consideración</w:t>
      </w:r>
      <w:r w:rsidR="0043688C" w:rsidRPr="00631B40">
        <w:rPr>
          <w:rFonts w:ascii="Arial" w:hAnsi="Arial" w:cs="Arial"/>
          <w:bCs/>
          <w:color w:val="000000" w:themeColor="text1"/>
          <w:sz w:val="22"/>
          <w:szCs w:val="22"/>
          <w:lang w:val="es-ES_tradnl"/>
        </w:rPr>
        <w:t>,</w:t>
      </w:r>
      <w:r w:rsidRPr="00631B40">
        <w:rPr>
          <w:rFonts w:ascii="Arial" w:hAnsi="Arial" w:cs="Arial"/>
          <w:bCs/>
          <w:color w:val="000000" w:themeColor="text1"/>
          <w:sz w:val="22"/>
          <w:szCs w:val="22"/>
          <w:lang w:val="es-ES_tradnl"/>
        </w:rPr>
        <w:t xml:space="preserve"> en la evaluación de las ofertas, las anotaciones en el Registro Nacional de Obras Civiles Inconclusas. Lo anterior, en virtud del </w:t>
      </w:r>
      <w:r w:rsidR="00D70D94" w:rsidRPr="00631B40">
        <w:rPr>
          <w:rFonts w:ascii="Arial" w:hAnsi="Arial" w:cs="Arial"/>
          <w:bCs/>
          <w:color w:val="000000" w:themeColor="text1"/>
          <w:sz w:val="22"/>
          <w:szCs w:val="22"/>
          <w:lang w:val="es-ES_tradnl"/>
        </w:rPr>
        <w:t>margen de configuración</w:t>
      </w:r>
      <w:r w:rsidRPr="00631B40">
        <w:rPr>
          <w:rFonts w:ascii="Arial" w:hAnsi="Arial" w:cs="Arial"/>
          <w:bCs/>
          <w:color w:val="000000" w:themeColor="text1"/>
          <w:sz w:val="22"/>
          <w:szCs w:val="22"/>
          <w:lang w:val="es-ES_tradnl"/>
        </w:rPr>
        <w:t xml:space="preserve"> con que cuentan para estructurar sus procedimientos de selección</w:t>
      </w:r>
      <w:r w:rsidR="00D70D94" w:rsidRPr="00631B40">
        <w:rPr>
          <w:rFonts w:ascii="Arial" w:hAnsi="Arial" w:cs="Arial"/>
          <w:bCs/>
          <w:color w:val="000000" w:themeColor="text1"/>
          <w:sz w:val="22"/>
          <w:szCs w:val="22"/>
          <w:lang w:val="es-ES_tradnl"/>
        </w:rPr>
        <w:t>,</w:t>
      </w:r>
      <w:r w:rsidRPr="00631B40">
        <w:rPr>
          <w:rFonts w:ascii="Arial" w:hAnsi="Arial" w:cs="Arial"/>
          <w:bCs/>
          <w:color w:val="000000" w:themeColor="text1"/>
          <w:sz w:val="22"/>
          <w:szCs w:val="22"/>
          <w:lang w:val="es-ES_tradnl"/>
        </w:rPr>
        <w:t xml:space="preserve"> y para regular, entre otros aspectos, los criterios y reglas de evaluación de las ofertas.</w:t>
      </w:r>
    </w:p>
    <w:p w14:paraId="4823FC4E" w14:textId="77777777" w:rsidR="000D676A" w:rsidRPr="00631B40" w:rsidRDefault="000D676A" w:rsidP="000D676A">
      <w:pPr>
        <w:spacing w:line="276" w:lineRule="auto"/>
        <w:jc w:val="both"/>
        <w:rPr>
          <w:rFonts w:ascii="Arial" w:hAnsi="Arial" w:cs="Arial"/>
          <w:bCs/>
          <w:color w:val="000000" w:themeColor="text1"/>
          <w:sz w:val="21"/>
          <w:szCs w:val="21"/>
          <w:lang w:val="es-ES_tradnl"/>
        </w:rPr>
      </w:pPr>
    </w:p>
    <w:p w14:paraId="23701376" w14:textId="0EEEE9E0" w:rsidR="00C977BE" w:rsidRPr="00631B40" w:rsidRDefault="003975AF" w:rsidP="00C977BE">
      <w:pPr>
        <w:ind w:left="709" w:right="709"/>
        <w:jc w:val="both"/>
        <w:rPr>
          <w:rFonts w:ascii="Arial" w:hAnsi="Arial" w:cs="Arial"/>
          <w:bCs/>
          <w:color w:val="000000" w:themeColor="text1"/>
          <w:sz w:val="21"/>
          <w:szCs w:val="21"/>
          <w:lang w:val="es-ES_tradnl"/>
        </w:rPr>
      </w:pPr>
      <w:r w:rsidRPr="00631B40">
        <w:rPr>
          <w:rFonts w:ascii="Arial" w:hAnsi="Arial" w:cs="Arial"/>
          <w:bCs/>
          <w:color w:val="000000" w:themeColor="text1"/>
          <w:sz w:val="21"/>
          <w:szCs w:val="21"/>
          <w:lang w:val="es-ES_tradnl"/>
        </w:rPr>
        <w:t>«</w:t>
      </w:r>
      <w:r w:rsidR="00C977BE" w:rsidRPr="00631B40">
        <w:rPr>
          <w:rFonts w:ascii="Arial" w:hAnsi="Arial" w:cs="Arial"/>
          <w:bCs/>
          <w:color w:val="000000" w:themeColor="text1"/>
          <w:sz w:val="21"/>
          <w:szCs w:val="21"/>
          <w:lang w:val="es-ES_tradnl"/>
        </w:rPr>
        <w:t>5. ¿Para realizar el análisis de las anotaciones, sólo se debe consultar el Registro Nacional de Obras Civiles Inconclusas, o por el contrario, el proponente podrá remitir documentación adicional que demuestre, si fue o no, por hechos imputables a él que la obra inconclusa quedó en este estado?</w:t>
      </w:r>
    </w:p>
    <w:p w14:paraId="46A44972" w14:textId="27A27BD3" w:rsidR="00CB2D22" w:rsidRPr="00631B40" w:rsidRDefault="00CB2D22" w:rsidP="00C977BE">
      <w:pPr>
        <w:ind w:left="709" w:right="709"/>
        <w:jc w:val="both"/>
        <w:rPr>
          <w:rFonts w:ascii="Arial" w:hAnsi="Arial" w:cs="Arial"/>
          <w:bCs/>
          <w:color w:val="000000" w:themeColor="text1"/>
          <w:sz w:val="21"/>
          <w:szCs w:val="21"/>
          <w:lang w:val="es-ES_tradnl"/>
        </w:rPr>
      </w:pPr>
    </w:p>
    <w:p w14:paraId="677C97DD" w14:textId="31DAED5A" w:rsidR="00CB2D22" w:rsidRPr="00631B40" w:rsidRDefault="00CB2D22" w:rsidP="00CB2D22">
      <w:pPr>
        <w:ind w:left="709" w:right="709"/>
        <w:jc w:val="both"/>
        <w:rPr>
          <w:rFonts w:ascii="Arial" w:hAnsi="Arial" w:cs="Arial"/>
          <w:bCs/>
          <w:color w:val="000000" w:themeColor="text1"/>
          <w:sz w:val="21"/>
          <w:szCs w:val="21"/>
          <w:lang w:val="es-ES_tradnl"/>
        </w:rPr>
      </w:pPr>
      <w:r w:rsidRPr="00631B40">
        <w:rPr>
          <w:rFonts w:ascii="Arial" w:hAnsi="Arial" w:cs="Arial"/>
          <w:bCs/>
          <w:color w:val="000000" w:themeColor="text1"/>
          <w:sz w:val="21"/>
          <w:szCs w:val="21"/>
          <w:lang w:val="es-ES_tradnl"/>
        </w:rPr>
        <w:t>»10. ¿Para dar cumplimiento a la normatividad, que tipo de documentos deberán revisarse para dar estricto cumplimiento a la misma?» (sic)</w:t>
      </w:r>
    </w:p>
    <w:p w14:paraId="1F75063A" w14:textId="77777777" w:rsidR="00CB2D22" w:rsidRPr="00631B40" w:rsidRDefault="00CB2D22" w:rsidP="00C977BE">
      <w:pPr>
        <w:ind w:left="709" w:right="709"/>
        <w:jc w:val="both"/>
        <w:rPr>
          <w:rFonts w:ascii="Arial" w:hAnsi="Arial" w:cs="Arial"/>
          <w:bCs/>
          <w:color w:val="000000" w:themeColor="text1"/>
          <w:sz w:val="21"/>
          <w:szCs w:val="21"/>
          <w:lang w:val="es-ES_tradnl"/>
        </w:rPr>
      </w:pPr>
    </w:p>
    <w:p w14:paraId="5A67F89B" w14:textId="3B890FBF" w:rsidR="00AB6DDD" w:rsidRPr="00631B40" w:rsidRDefault="008C2171" w:rsidP="00CB2D22">
      <w:pPr>
        <w:spacing w:line="276" w:lineRule="auto"/>
        <w:jc w:val="both"/>
        <w:rPr>
          <w:rFonts w:ascii="Arial" w:hAnsi="Arial" w:cs="Arial"/>
          <w:bCs/>
          <w:color w:val="000000" w:themeColor="text1"/>
          <w:sz w:val="22"/>
          <w:szCs w:val="22"/>
          <w:lang w:val="es-ES_tradnl"/>
        </w:rPr>
      </w:pPr>
      <w:r w:rsidRPr="00631B40">
        <w:rPr>
          <w:rFonts w:ascii="Arial" w:hAnsi="Arial" w:cs="Arial"/>
          <w:bCs/>
          <w:color w:val="000000" w:themeColor="text1"/>
          <w:sz w:val="22"/>
          <w:szCs w:val="22"/>
          <w:lang w:val="es-ES_tradnl"/>
        </w:rPr>
        <w:t xml:space="preserve">El artículo 6 de la Ley 2020 de 2020 </w:t>
      </w:r>
      <w:r w:rsidR="00F665DE" w:rsidRPr="00631B40">
        <w:rPr>
          <w:rFonts w:ascii="Arial" w:hAnsi="Arial" w:cs="Arial"/>
          <w:bCs/>
          <w:color w:val="000000" w:themeColor="text1"/>
          <w:sz w:val="22"/>
          <w:szCs w:val="22"/>
          <w:lang w:val="es-ES_tradnl"/>
        </w:rPr>
        <w:t>ordena</w:t>
      </w:r>
      <w:r w:rsidRPr="00631B40">
        <w:rPr>
          <w:rFonts w:ascii="Arial" w:hAnsi="Arial" w:cs="Arial"/>
          <w:bCs/>
          <w:color w:val="000000" w:themeColor="text1"/>
          <w:sz w:val="22"/>
          <w:szCs w:val="22"/>
          <w:lang w:val="es-ES_tradnl"/>
        </w:rPr>
        <w:t xml:space="preserve"> </w:t>
      </w:r>
      <w:r w:rsidR="00F665DE" w:rsidRPr="00631B40">
        <w:rPr>
          <w:rFonts w:ascii="Arial" w:hAnsi="Arial" w:cs="Arial"/>
          <w:bCs/>
          <w:color w:val="000000" w:themeColor="text1"/>
          <w:sz w:val="22"/>
          <w:szCs w:val="22"/>
          <w:lang w:val="es-ES_tradnl"/>
        </w:rPr>
        <w:t>«consultar y analizar las anotaciones vigentes que presenten las personas naturales o jurídicas, nacionales o extranjeras domiciliadas o con sucursal en Colombia, en el Registro Nacional de Obras Civiles Inconclusas». Ni est</w:t>
      </w:r>
      <w:r w:rsidR="00AF6C53" w:rsidRPr="00631B40">
        <w:rPr>
          <w:rFonts w:ascii="Arial" w:hAnsi="Arial" w:cs="Arial"/>
          <w:bCs/>
          <w:color w:val="000000" w:themeColor="text1"/>
          <w:sz w:val="22"/>
          <w:szCs w:val="22"/>
          <w:lang w:val="es-ES_tradnl"/>
        </w:rPr>
        <w:t xml:space="preserve">a norma, ni </w:t>
      </w:r>
      <w:r w:rsidR="008333D0" w:rsidRPr="00631B40">
        <w:rPr>
          <w:rFonts w:ascii="Arial" w:hAnsi="Arial" w:cs="Arial"/>
          <w:bCs/>
          <w:color w:val="000000" w:themeColor="text1"/>
          <w:sz w:val="22"/>
          <w:szCs w:val="22"/>
          <w:lang w:val="es-ES_tradnl"/>
        </w:rPr>
        <w:t>las demás</w:t>
      </w:r>
      <w:r w:rsidR="00AF6C53" w:rsidRPr="00631B40">
        <w:rPr>
          <w:rFonts w:ascii="Arial" w:hAnsi="Arial" w:cs="Arial"/>
          <w:bCs/>
          <w:color w:val="000000" w:themeColor="text1"/>
          <w:sz w:val="22"/>
          <w:szCs w:val="22"/>
          <w:lang w:val="es-ES_tradnl"/>
        </w:rPr>
        <w:t xml:space="preserve"> disposiciones </w:t>
      </w:r>
      <w:r w:rsidR="008333D0" w:rsidRPr="00631B40">
        <w:rPr>
          <w:rFonts w:ascii="Arial" w:hAnsi="Arial" w:cs="Arial"/>
          <w:bCs/>
          <w:color w:val="000000" w:themeColor="text1"/>
          <w:sz w:val="22"/>
          <w:szCs w:val="22"/>
          <w:lang w:val="es-ES_tradnl"/>
        </w:rPr>
        <w:t>de</w:t>
      </w:r>
      <w:r w:rsidR="00AF6C53" w:rsidRPr="00631B40">
        <w:rPr>
          <w:rFonts w:ascii="Arial" w:hAnsi="Arial" w:cs="Arial"/>
          <w:bCs/>
          <w:color w:val="000000" w:themeColor="text1"/>
          <w:sz w:val="22"/>
          <w:szCs w:val="22"/>
          <w:lang w:val="es-ES_tradnl"/>
        </w:rPr>
        <w:t xml:space="preserve"> dicha Ley, contienen </w:t>
      </w:r>
      <w:r w:rsidR="007466A5" w:rsidRPr="00631B40">
        <w:rPr>
          <w:rFonts w:ascii="Arial" w:hAnsi="Arial" w:cs="Arial"/>
          <w:bCs/>
          <w:color w:val="000000" w:themeColor="text1"/>
          <w:sz w:val="22"/>
          <w:szCs w:val="22"/>
          <w:lang w:val="es-ES_tradnl"/>
        </w:rPr>
        <w:t>el deber</w:t>
      </w:r>
      <w:r w:rsidR="008333D0" w:rsidRPr="00631B40">
        <w:rPr>
          <w:rFonts w:ascii="Arial" w:hAnsi="Arial" w:cs="Arial"/>
          <w:bCs/>
          <w:color w:val="000000" w:themeColor="text1"/>
          <w:sz w:val="22"/>
          <w:szCs w:val="22"/>
          <w:lang w:val="es-ES_tradnl"/>
        </w:rPr>
        <w:t>,</w:t>
      </w:r>
      <w:r w:rsidR="007466A5" w:rsidRPr="00631B40">
        <w:rPr>
          <w:rFonts w:ascii="Arial" w:hAnsi="Arial" w:cs="Arial"/>
          <w:bCs/>
          <w:color w:val="000000" w:themeColor="text1"/>
          <w:sz w:val="22"/>
          <w:szCs w:val="22"/>
          <w:lang w:val="es-ES_tradnl"/>
        </w:rPr>
        <w:t xml:space="preserve"> dirigido a las entidades estatales</w:t>
      </w:r>
      <w:r w:rsidR="008333D0" w:rsidRPr="00631B40">
        <w:rPr>
          <w:rFonts w:ascii="Arial" w:hAnsi="Arial" w:cs="Arial"/>
          <w:bCs/>
          <w:color w:val="000000" w:themeColor="text1"/>
          <w:sz w:val="22"/>
          <w:szCs w:val="22"/>
          <w:lang w:val="es-ES_tradnl"/>
        </w:rPr>
        <w:t>, de solicitar o revisar documentos distintos al Registro Nacional de Obras Civiles Inconclusas.</w:t>
      </w:r>
      <w:r w:rsidR="002457C5" w:rsidRPr="00631B40">
        <w:rPr>
          <w:rFonts w:ascii="Arial" w:hAnsi="Arial" w:cs="Arial"/>
          <w:bCs/>
          <w:color w:val="000000" w:themeColor="text1"/>
          <w:sz w:val="22"/>
          <w:szCs w:val="22"/>
          <w:lang w:val="es-ES_tradnl"/>
        </w:rPr>
        <w:t xml:space="preserve"> No en vano, el último inciso del artículo 6 </w:t>
      </w:r>
      <w:r w:rsidR="000258CA" w:rsidRPr="00631B40">
        <w:rPr>
          <w:rFonts w:ascii="Arial" w:hAnsi="Arial" w:cs="Arial"/>
          <w:bCs/>
          <w:i/>
          <w:iCs/>
          <w:color w:val="000000" w:themeColor="text1"/>
          <w:sz w:val="22"/>
          <w:szCs w:val="22"/>
          <w:lang w:val="es-ES_tradnl"/>
        </w:rPr>
        <w:t>ibídem</w:t>
      </w:r>
      <w:r w:rsidR="000258CA" w:rsidRPr="00631B40">
        <w:rPr>
          <w:rFonts w:ascii="Arial" w:hAnsi="Arial" w:cs="Arial"/>
          <w:bCs/>
          <w:color w:val="000000" w:themeColor="text1"/>
          <w:sz w:val="22"/>
          <w:szCs w:val="22"/>
          <w:lang w:val="es-ES_tradnl"/>
        </w:rPr>
        <w:t xml:space="preserve"> dispone que «Cualquier controversia o solicitud que surja en relación con los reportes de información que suministre la entidad contratante, serán resueltos por esta, atendiendo los principios y disposiciones establecidos en la normatividad vigente</w:t>
      </w:r>
      <w:r w:rsidR="00644D91" w:rsidRPr="00631B40">
        <w:rPr>
          <w:rFonts w:ascii="Arial" w:hAnsi="Arial" w:cs="Arial"/>
          <w:bCs/>
          <w:color w:val="000000" w:themeColor="text1"/>
          <w:sz w:val="22"/>
          <w:szCs w:val="22"/>
          <w:lang w:val="es-ES_tradnl"/>
        </w:rPr>
        <w:t>»</w:t>
      </w:r>
      <w:r w:rsidR="000258CA" w:rsidRPr="00631B40">
        <w:rPr>
          <w:rFonts w:ascii="Arial" w:hAnsi="Arial" w:cs="Arial"/>
          <w:bCs/>
          <w:color w:val="000000" w:themeColor="text1"/>
          <w:sz w:val="22"/>
          <w:szCs w:val="22"/>
          <w:lang w:val="es-ES_tradnl"/>
        </w:rPr>
        <w:t>.</w:t>
      </w:r>
      <w:r w:rsidR="00644D91" w:rsidRPr="00631B40">
        <w:rPr>
          <w:rFonts w:ascii="Arial" w:hAnsi="Arial" w:cs="Arial"/>
          <w:bCs/>
          <w:color w:val="000000" w:themeColor="text1"/>
          <w:sz w:val="22"/>
          <w:szCs w:val="22"/>
          <w:lang w:val="es-ES_tradnl"/>
        </w:rPr>
        <w:t xml:space="preserve"> Es decir, corresponde a la entidad contratante que realizó el reporte de información</w:t>
      </w:r>
      <w:r w:rsidR="005B2218" w:rsidRPr="00631B40">
        <w:rPr>
          <w:rFonts w:ascii="Arial" w:hAnsi="Arial" w:cs="Arial"/>
          <w:bCs/>
          <w:color w:val="000000" w:themeColor="text1"/>
          <w:sz w:val="22"/>
          <w:szCs w:val="22"/>
          <w:lang w:val="es-ES_tradnl"/>
        </w:rPr>
        <w:t xml:space="preserve"> resolver </w:t>
      </w:r>
      <w:r w:rsidR="005C3E5A" w:rsidRPr="00631B40">
        <w:rPr>
          <w:rFonts w:ascii="Arial" w:hAnsi="Arial" w:cs="Arial"/>
          <w:bCs/>
          <w:color w:val="000000" w:themeColor="text1"/>
          <w:sz w:val="22"/>
          <w:szCs w:val="22"/>
          <w:lang w:val="es-ES_tradnl"/>
        </w:rPr>
        <w:t>las controversias o solicitudes</w:t>
      </w:r>
      <w:r w:rsidR="00EE08D6" w:rsidRPr="00631B40">
        <w:rPr>
          <w:rFonts w:ascii="Arial" w:hAnsi="Arial" w:cs="Arial"/>
          <w:bCs/>
          <w:color w:val="000000" w:themeColor="text1"/>
          <w:sz w:val="22"/>
          <w:szCs w:val="22"/>
          <w:lang w:val="es-ES_tradnl"/>
        </w:rPr>
        <w:t xml:space="preserve">. Las entidades que adelantan el proceso de contratación de la obra pública deben </w:t>
      </w:r>
      <w:r w:rsidR="00212AEE" w:rsidRPr="00631B40">
        <w:rPr>
          <w:rFonts w:ascii="Arial" w:hAnsi="Arial" w:cs="Arial"/>
          <w:bCs/>
          <w:color w:val="000000" w:themeColor="text1"/>
          <w:sz w:val="22"/>
          <w:szCs w:val="22"/>
          <w:lang w:val="es-ES_tradnl"/>
        </w:rPr>
        <w:t>consultar y analizar las anotaciones vigentes en el Registro Nacional de Obras Civiles Inconclusas</w:t>
      </w:r>
      <w:r w:rsidR="00E14260" w:rsidRPr="00631B40">
        <w:rPr>
          <w:rFonts w:ascii="Arial" w:hAnsi="Arial" w:cs="Arial"/>
          <w:bCs/>
          <w:color w:val="000000" w:themeColor="text1"/>
          <w:sz w:val="22"/>
          <w:szCs w:val="22"/>
          <w:lang w:val="es-ES_tradnl"/>
        </w:rPr>
        <w:t>,</w:t>
      </w:r>
      <w:r w:rsidR="00B3635F" w:rsidRPr="00631B40">
        <w:rPr>
          <w:rFonts w:ascii="Arial" w:hAnsi="Arial" w:cs="Arial"/>
          <w:bCs/>
          <w:color w:val="000000" w:themeColor="text1"/>
          <w:sz w:val="22"/>
          <w:szCs w:val="22"/>
          <w:lang w:val="es-ES_tradnl"/>
        </w:rPr>
        <w:t xml:space="preserve"> actuando con eficiencia y celeridad –</w:t>
      </w:r>
      <w:r w:rsidR="001A0E02" w:rsidRPr="00631B40">
        <w:rPr>
          <w:rFonts w:ascii="Arial" w:hAnsi="Arial" w:cs="Arial"/>
          <w:bCs/>
          <w:color w:val="000000" w:themeColor="text1"/>
          <w:sz w:val="22"/>
          <w:szCs w:val="22"/>
          <w:lang w:val="es-ES_tradnl"/>
        </w:rPr>
        <w:t xml:space="preserve">como lo </w:t>
      </w:r>
      <w:r w:rsidR="009A3A24" w:rsidRPr="00631B40">
        <w:rPr>
          <w:rFonts w:ascii="Arial" w:hAnsi="Arial" w:cs="Arial"/>
          <w:bCs/>
          <w:color w:val="000000" w:themeColor="text1"/>
          <w:sz w:val="22"/>
          <w:szCs w:val="22"/>
          <w:lang w:val="es-ES_tradnl"/>
        </w:rPr>
        <w:t>manda el artículo 209 de la Constitución–</w:t>
      </w:r>
      <w:r w:rsidR="00B3635F" w:rsidRPr="00631B40">
        <w:rPr>
          <w:rFonts w:ascii="Arial" w:hAnsi="Arial" w:cs="Arial"/>
          <w:bCs/>
          <w:color w:val="000000" w:themeColor="text1"/>
          <w:sz w:val="22"/>
          <w:szCs w:val="22"/>
          <w:lang w:val="es-ES_tradnl"/>
        </w:rPr>
        <w:t>,</w:t>
      </w:r>
      <w:r w:rsidR="00E14260" w:rsidRPr="00631B40">
        <w:rPr>
          <w:rFonts w:ascii="Arial" w:hAnsi="Arial" w:cs="Arial"/>
          <w:bCs/>
          <w:color w:val="000000" w:themeColor="text1"/>
          <w:sz w:val="22"/>
          <w:szCs w:val="22"/>
          <w:lang w:val="es-ES_tradnl"/>
        </w:rPr>
        <w:t xml:space="preserve"> </w:t>
      </w:r>
      <w:r w:rsidR="00212AEE" w:rsidRPr="00631B40">
        <w:rPr>
          <w:rFonts w:ascii="Arial" w:hAnsi="Arial" w:cs="Arial"/>
          <w:bCs/>
          <w:color w:val="000000" w:themeColor="text1"/>
          <w:sz w:val="22"/>
          <w:szCs w:val="22"/>
          <w:lang w:val="es-ES_tradnl"/>
        </w:rPr>
        <w:t>lo que no se opone a</w:t>
      </w:r>
      <w:r w:rsidR="00E14260" w:rsidRPr="00631B40">
        <w:rPr>
          <w:rFonts w:ascii="Arial" w:hAnsi="Arial" w:cs="Arial"/>
          <w:bCs/>
          <w:color w:val="000000" w:themeColor="text1"/>
          <w:sz w:val="22"/>
          <w:szCs w:val="22"/>
          <w:lang w:val="es-ES_tradnl"/>
        </w:rPr>
        <w:t xml:space="preserve"> la posibilidad de </w:t>
      </w:r>
      <w:r w:rsidR="009A3A24" w:rsidRPr="00631B40">
        <w:rPr>
          <w:rFonts w:ascii="Arial" w:hAnsi="Arial" w:cs="Arial"/>
          <w:bCs/>
          <w:color w:val="000000" w:themeColor="text1"/>
          <w:sz w:val="22"/>
          <w:szCs w:val="22"/>
          <w:lang w:val="es-ES_tradnl"/>
        </w:rPr>
        <w:t>que soliciten</w:t>
      </w:r>
      <w:r w:rsidR="00E14260" w:rsidRPr="00631B40">
        <w:rPr>
          <w:rFonts w:ascii="Arial" w:hAnsi="Arial" w:cs="Arial"/>
          <w:bCs/>
          <w:color w:val="000000" w:themeColor="text1"/>
          <w:sz w:val="22"/>
          <w:szCs w:val="22"/>
          <w:lang w:val="es-ES_tradnl"/>
        </w:rPr>
        <w:t xml:space="preserve"> alguna aclaración a la entidad contratante que </w:t>
      </w:r>
      <w:r w:rsidR="00F62E0E" w:rsidRPr="00631B40">
        <w:rPr>
          <w:rFonts w:ascii="Arial" w:hAnsi="Arial" w:cs="Arial"/>
          <w:bCs/>
          <w:color w:val="000000" w:themeColor="text1"/>
          <w:sz w:val="22"/>
          <w:szCs w:val="22"/>
          <w:lang w:val="es-ES_tradnl"/>
        </w:rPr>
        <w:t xml:space="preserve">reportó </w:t>
      </w:r>
      <w:r w:rsidR="00F62E0E" w:rsidRPr="00631B40">
        <w:rPr>
          <w:rFonts w:ascii="Arial" w:hAnsi="Arial" w:cs="Arial"/>
          <w:bCs/>
          <w:color w:val="000000" w:themeColor="text1"/>
          <w:sz w:val="22"/>
          <w:szCs w:val="22"/>
          <w:lang w:val="es-ES_tradnl"/>
        </w:rPr>
        <w:lastRenderedPageBreak/>
        <w:t>la correspondiente información, en cumplimiento del</w:t>
      </w:r>
      <w:r w:rsidR="00B8179B" w:rsidRPr="00631B40">
        <w:rPr>
          <w:rFonts w:ascii="Arial" w:hAnsi="Arial" w:cs="Arial"/>
          <w:bCs/>
          <w:color w:val="000000" w:themeColor="text1"/>
          <w:sz w:val="22"/>
          <w:szCs w:val="22"/>
          <w:lang w:val="es-ES_tradnl"/>
        </w:rPr>
        <w:t xml:space="preserve"> principio de coordinación y colaboración.</w:t>
      </w:r>
      <w:r w:rsidR="00F62E0E" w:rsidRPr="00631B40">
        <w:rPr>
          <w:rFonts w:ascii="Arial" w:hAnsi="Arial" w:cs="Arial"/>
          <w:bCs/>
          <w:color w:val="000000" w:themeColor="text1"/>
          <w:sz w:val="22"/>
          <w:szCs w:val="22"/>
          <w:lang w:val="es-ES_tradnl"/>
        </w:rPr>
        <w:t xml:space="preserve"> </w:t>
      </w:r>
    </w:p>
    <w:p w14:paraId="086B853A" w14:textId="77777777" w:rsidR="00AB6DDD" w:rsidRPr="00631B40" w:rsidRDefault="00AB6DDD" w:rsidP="00AB6DDD">
      <w:pPr>
        <w:ind w:right="709"/>
        <w:jc w:val="both"/>
        <w:rPr>
          <w:rFonts w:ascii="Arial" w:hAnsi="Arial" w:cs="Arial"/>
          <w:bCs/>
          <w:color w:val="000000" w:themeColor="text1"/>
          <w:sz w:val="21"/>
          <w:szCs w:val="21"/>
          <w:lang w:val="es-ES_tradnl"/>
        </w:rPr>
      </w:pPr>
    </w:p>
    <w:p w14:paraId="3B304788" w14:textId="4D492F60" w:rsidR="00C977BE" w:rsidRPr="00631B40" w:rsidRDefault="003975AF" w:rsidP="00C977BE">
      <w:pPr>
        <w:ind w:left="709" w:right="709"/>
        <w:jc w:val="both"/>
        <w:rPr>
          <w:rFonts w:ascii="Arial" w:hAnsi="Arial" w:cs="Arial"/>
          <w:bCs/>
          <w:color w:val="000000" w:themeColor="text1"/>
          <w:sz w:val="21"/>
          <w:szCs w:val="21"/>
          <w:lang w:val="es-ES_tradnl"/>
        </w:rPr>
      </w:pPr>
      <w:r w:rsidRPr="00631B40">
        <w:rPr>
          <w:rFonts w:ascii="Arial" w:hAnsi="Arial" w:cs="Arial"/>
          <w:bCs/>
          <w:color w:val="000000" w:themeColor="text1"/>
          <w:sz w:val="21"/>
          <w:szCs w:val="21"/>
          <w:lang w:val="es-ES_tradnl"/>
        </w:rPr>
        <w:t>«</w:t>
      </w:r>
      <w:r w:rsidR="00C977BE" w:rsidRPr="00631B40">
        <w:rPr>
          <w:rFonts w:ascii="Arial" w:hAnsi="Arial" w:cs="Arial"/>
          <w:bCs/>
          <w:color w:val="000000" w:themeColor="text1"/>
          <w:sz w:val="21"/>
          <w:szCs w:val="21"/>
          <w:lang w:val="es-ES_tradnl"/>
        </w:rPr>
        <w:t>6. ¿Para descontar los puntos deberá existir una sanción en firme contra el proponente?</w:t>
      </w:r>
    </w:p>
    <w:p w14:paraId="47C92534" w14:textId="0AA50A32" w:rsidR="0084385E" w:rsidRPr="00631B40" w:rsidRDefault="0084385E" w:rsidP="00C977BE">
      <w:pPr>
        <w:ind w:left="709" w:right="709"/>
        <w:jc w:val="both"/>
        <w:rPr>
          <w:rFonts w:ascii="Arial" w:hAnsi="Arial" w:cs="Arial"/>
          <w:bCs/>
          <w:color w:val="000000" w:themeColor="text1"/>
          <w:sz w:val="21"/>
          <w:szCs w:val="21"/>
          <w:lang w:val="es-ES_tradnl"/>
        </w:rPr>
      </w:pPr>
    </w:p>
    <w:p w14:paraId="19A6F88A" w14:textId="77777777" w:rsidR="0084385E" w:rsidRPr="00631B40" w:rsidRDefault="0084385E" w:rsidP="0084385E">
      <w:pPr>
        <w:ind w:left="709" w:right="709"/>
        <w:jc w:val="both"/>
        <w:rPr>
          <w:rFonts w:ascii="Arial" w:hAnsi="Arial" w:cs="Arial"/>
          <w:bCs/>
          <w:color w:val="000000" w:themeColor="text1"/>
          <w:sz w:val="21"/>
          <w:szCs w:val="21"/>
          <w:lang w:val="es-ES_tradnl"/>
        </w:rPr>
      </w:pPr>
      <w:r w:rsidRPr="00631B40">
        <w:rPr>
          <w:rFonts w:ascii="Arial" w:hAnsi="Arial" w:cs="Arial"/>
          <w:bCs/>
          <w:color w:val="000000" w:themeColor="text1"/>
          <w:sz w:val="21"/>
          <w:szCs w:val="21"/>
          <w:lang w:val="es-ES_tradnl"/>
        </w:rPr>
        <w:t>»7. ¿Qué análisis se puede realizar a las anotaciones que arroja el citado Registro, teniendo en cuenta que el mismo es un documento que tiene casillas y que no establece hechos claros de responsabilidad relacionada con los sujetos que aparecen en él?</w:t>
      </w:r>
    </w:p>
    <w:p w14:paraId="3599811A" w14:textId="77777777" w:rsidR="0084385E" w:rsidRPr="00631B40" w:rsidRDefault="0084385E" w:rsidP="0084385E">
      <w:pPr>
        <w:ind w:left="709" w:right="709"/>
        <w:jc w:val="both"/>
        <w:rPr>
          <w:rFonts w:ascii="Arial" w:hAnsi="Arial" w:cs="Arial"/>
          <w:bCs/>
          <w:color w:val="000000" w:themeColor="text1"/>
          <w:sz w:val="21"/>
          <w:szCs w:val="21"/>
          <w:lang w:val="es-ES_tradnl"/>
        </w:rPr>
      </w:pPr>
    </w:p>
    <w:p w14:paraId="5CFA9A69" w14:textId="77777777" w:rsidR="0084385E" w:rsidRPr="00631B40" w:rsidRDefault="0084385E" w:rsidP="0084385E">
      <w:pPr>
        <w:ind w:left="709" w:right="709"/>
        <w:jc w:val="both"/>
        <w:rPr>
          <w:rFonts w:ascii="Arial" w:hAnsi="Arial" w:cs="Arial"/>
          <w:bCs/>
          <w:color w:val="000000" w:themeColor="text1"/>
          <w:sz w:val="21"/>
          <w:szCs w:val="21"/>
          <w:lang w:val="es-ES_tradnl"/>
        </w:rPr>
      </w:pPr>
      <w:r w:rsidRPr="00631B40">
        <w:rPr>
          <w:rFonts w:ascii="Arial" w:hAnsi="Arial" w:cs="Arial"/>
          <w:bCs/>
          <w:color w:val="000000" w:themeColor="text1"/>
          <w:sz w:val="21"/>
          <w:szCs w:val="21"/>
          <w:lang w:val="es-ES_tradnl"/>
        </w:rPr>
        <w:t>»8. ¿Habida cuenta que el análisis implica una labor que podría llevar a la órbita de la subjetividad, como se puede evitar que se pierda objetividad en dicha labor? (sic)</w:t>
      </w:r>
    </w:p>
    <w:p w14:paraId="1502916D" w14:textId="77777777" w:rsidR="0084385E" w:rsidRPr="00631B40" w:rsidRDefault="0084385E" w:rsidP="0084385E">
      <w:pPr>
        <w:ind w:left="709" w:right="709"/>
        <w:jc w:val="both"/>
        <w:rPr>
          <w:rFonts w:ascii="Arial" w:hAnsi="Arial" w:cs="Arial"/>
          <w:bCs/>
          <w:color w:val="000000" w:themeColor="text1"/>
          <w:sz w:val="21"/>
          <w:szCs w:val="21"/>
          <w:lang w:val="es-ES_tradnl"/>
        </w:rPr>
      </w:pPr>
    </w:p>
    <w:p w14:paraId="1E91CFED" w14:textId="77777777" w:rsidR="0084385E" w:rsidRPr="00631B40" w:rsidRDefault="0084385E" w:rsidP="0084385E">
      <w:pPr>
        <w:ind w:left="709" w:right="709"/>
        <w:jc w:val="both"/>
        <w:rPr>
          <w:rFonts w:ascii="Arial" w:hAnsi="Arial" w:cs="Arial"/>
          <w:bCs/>
          <w:color w:val="000000" w:themeColor="text1"/>
          <w:sz w:val="21"/>
          <w:szCs w:val="21"/>
          <w:lang w:val="es-ES_tradnl"/>
        </w:rPr>
      </w:pPr>
      <w:r w:rsidRPr="00631B40">
        <w:rPr>
          <w:rFonts w:ascii="Arial" w:hAnsi="Arial" w:cs="Arial"/>
          <w:bCs/>
          <w:color w:val="000000" w:themeColor="text1"/>
          <w:sz w:val="21"/>
          <w:szCs w:val="21"/>
          <w:lang w:val="es-ES_tradnl"/>
        </w:rPr>
        <w:t>»9. ¿Dado que las anotaciones que se encuentran en el Registro enunciado no contienen material para realizar un análisis, que anotaciones deberían ser suficientes para descontar los puntos? (sanciones, fallos, procesos disciplinarios, etc) (sic).</w:t>
      </w:r>
    </w:p>
    <w:p w14:paraId="5AE27BF5" w14:textId="77777777" w:rsidR="0084385E" w:rsidRPr="00631B40" w:rsidRDefault="0084385E" w:rsidP="0084385E">
      <w:pPr>
        <w:ind w:right="709"/>
        <w:jc w:val="both"/>
        <w:rPr>
          <w:rFonts w:ascii="Arial" w:hAnsi="Arial" w:cs="Arial"/>
          <w:bCs/>
          <w:color w:val="000000" w:themeColor="text1"/>
          <w:sz w:val="21"/>
          <w:szCs w:val="21"/>
          <w:lang w:val="es-ES_tradnl"/>
        </w:rPr>
      </w:pPr>
    </w:p>
    <w:p w14:paraId="3DBA3D12" w14:textId="77777777" w:rsidR="0084385E" w:rsidRPr="00631B40" w:rsidRDefault="0084385E" w:rsidP="0084385E">
      <w:pPr>
        <w:ind w:left="709" w:right="709"/>
        <w:jc w:val="both"/>
        <w:rPr>
          <w:rFonts w:ascii="Arial" w:hAnsi="Arial" w:cs="Arial"/>
          <w:bCs/>
          <w:color w:val="000000" w:themeColor="text1"/>
          <w:sz w:val="21"/>
          <w:szCs w:val="21"/>
          <w:lang w:val="es-ES_tradnl"/>
        </w:rPr>
      </w:pPr>
      <w:r w:rsidRPr="00631B40">
        <w:rPr>
          <w:rFonts w:ascii="Arial" w:hAnsi="Arial" w:cs="Arial"/>
          <w:bCs/>
          <w:color w:val="000000" w:themeColor="text1"/>
          <w:sz w:val="21"/>
          <w:szCs w:val="21"/>
          <w:lang w:val="es-ES_tradnl"/>
        </w:rPr>
        <w:t>»11. ¿Es jurídicamente viable, desconocer la anotación registrada por la entidad afectada por una obra civil inconclusa, en el Registro Nacional de Obras Civiles Inconclusas, aduciendo que obedece al análisis de la Entidad? ¿acaso el análisis no lo realiza conforme al artículo 2 de la Ley 2020 de 2020, la entidad afectada con la obra civil inconclusa, de manera previa a la anotación en el Registro Nacional de Obras Civiles inconclusas?</w:t>
      </w:r>
    </w:p>
    <w:p w14:paraId="2CC5B7ED" w14:textId="77777777" w:rsidR="0084385E" w:rsidRPr="00631B40" w:rsidRDefault="0084385E" w:rsidP="0084385E">
      <w:pPr>
        <w:ind w:left="709" w:right="709"/>
        <w:jc w:val="both"/>
        <w:rPr>
          <w:rFonts w:ascii="Arial" w:hAnsi="Arial" w:cs="Arial"/>
          <w:bCs/>
          <w:color w:val="000000" w:themeColor="text1"/>
          <w:sz w:val="21"/>
          <w:szCs w:val="21"/>
          <w:lang w:val="es-ES_tradnl"/>
        </w:rPr>
      </w:pPr>
    </w:p>
    <w:p w14:paraId="382DD784" w14:textId="0BAB417B" w:rsidR="0084385E" w:rsidRPr="00631B40" w:rsidRDefault="0084385E" w:rsidP="0084385E">
      <w:pPr>
        <w:ind w:left="709" w:right="709"/>
        <w:jc w:val="both"/>
        <w:rPr>
          <w:rFonts w:ascii="Arial" w:hAnsi="Arial" w:cs="Arial"/>
          <w:bCs/>
          <w:color w:val="000000" w:themeColor="text1"/>
          <w:sz w:val="21"/>
          <w:szCs w:val="21"/>
          <w:lang w:val="es-ES_tradnl"/>
        </w:rPr>
      </w:pPr>
      <w:r w:rsidRPr="00631B40">
        <w:rPr>
          <w:rFonts w:ascii="Arial" w:hAnsi="Arial" w:cs="Arial"/>
          <w:bCs/>
          <w:color w:val="000000" w:themeColor="text1"/>
          <w:sz w:val="21"/>
          <w:szCs w:val="21"/>
          <w:lang w:val="es-ES_tradnl"/>
        </w:rPr>
        <w:t>»12. ¿Es jurídicamente viable realizar un análisis a la anotación registrada por la entidad afectada por una obra civil inconclusa, en el Registro Nacional de Obras Civiles Inconclusas, cuando la misma no incluyó la información detallada o anexa al registro pero si esta la anotación?</w:t>
      </w:r>
      <w:r w:rsidR="003975AF" w:rsidRPr="00631B40">
        <w:rPr>
          <w:rFonts w:ascii="Arial" w:hAnsi="Arial" w:cs="Arial"/>
          <w:bCs/>
          <w:color w:val="000000" w:themeColor="text1"/>
          <w:sz w:val="21"/>
          <w:szCs w:val="21"/>
          <w:lang w:val="es-ES_tradnl"/>
        </w:rPr>
        <w:t>»</w:t>
      </w:r>
      <w:r w:rsidRPr="00631B40">
        <w:rPr>
          <w:rFonts w:ascii="Arial" w:hAnsi="Arial" w:cs="Arial"/>
          <w:bCs/>
          <w:color w:val="000000" w:themeColor="text1"/>
          <w:sz w:val="21"/>
          <w:szCs w:val="21"/>
          <w:lang w:val="es-ES_tradnl"/>
        </w:rPr>
        <w:t xml:space="preserve"> (sic)</w:t>
      </w:r>
    </w:p>
    <w:p w14:paraId="4634F59C" w14:textId="14AF0F3E" w:rsidR="00C977BE" w:rsidRPr="00631B40" w:rsidRDefault="00C977BE" w:rsidP="0084385E">
      <w:pPr>
        <w:ind w:right="709"/>
        <w:jc w:val="both"/>
        <w:rPr>
          <w:rFonts w:ascii="Arial" w:hAnsi="Arial" w:cs="Arial"/>
          <w:bCs/>
          <w:color w:val="000000" w:themeColor="text1"/>
          <w:sz w:val="21"/>
          <w:szCs w:val="21"/>
          <w:lang w:val="es-ES_tradnl"/>
        </w:rPr>
      </w:pPr>
    </w:p>
    <w:p w14:paraId="02F7C623" w14:textId="466E44DD" w:rsidR="0063283D" w:rsidRPr="00631B40" w:rsidRDefault="00622C25" w:rsidP="00552A6F">
      <w:pPr>
        <w:spacing w:line="276" w:lineRule="auto"/>
        <w:jc w:val="both"/>
        <w:rPr>
          <w:rFonts w:ascii="Arial" w:hAnsi="Arial" w:cs="Arial"/>
          <w:color w:val="000000" w:themeColor="text1"/>
          <w:sz w:val="22"/>
          <w:szCs w:val="22"/>
          <w:lang w:val="es-ES_tradnl"/>
        </w:rPr>
      </w:pPr>
      <w:r w:rsidRPr="00631B40">
        <w:rPr>
          <w:rFonts w:ascii="Arial" w:hAnsi="Arial" w:cs="Arial"/>
          <w:color w:val="000000" w:themeColor="text1"/>
          <w:sz w:val="22"/>
          <w:szCs w:val="22"/>
          <w:lang w:val="es-ES_tradnl"/>
        </w:rPr>
        <w:t xml:space="preserve">Como se indicó en las consideraciones de este concepto, </w:t>
      </w:r>
      <w:r w:rsidR="007A6FEF" w:rsidRPr="00631B40">
        <w:rPr>
          <w:rFonts w:ascii="Arial" w:hAnsi="Arial" w:cs="Arial"/>
          <w:color w:val="000000" w:themeColor="text1"/>
          <w:sz w:val="22"/>
          <w:szCs w:val="22"/>
          <w:lang w:val="es-ES_tradnl"/>
        </w:rPr>
        <w:t>cada entidad estatal tiene discrecionalidad</w:t>
      </w:r>
      <w:r w:rsidR="0084385E" w:rsidRPr="00631B40">
        <w:rPr>
          <w:rFonts w:ascii="Arial" w:hAnsi="Arial" w:cs="Arial"/>
          <w:color w:val="000000" w:themeColor="text1"/>
          <w:sz w:val="22"/>
          <w:szCs w:val="22"/>
          <w:lang w:val="es-ES_tradnl"/>
        </w:rPr>
        <w:t xml:space="preserve"> administrativa</w:t>
      </w:r>
      <w:r w:rsidR="007A6FEF" w:rsidRPr="00631B40">
        <w:rPr>
          <w:rFonts w:ascii="Arial" w:hAnsi="Arial" w:cs="Arial"/>
          <w:color w:val="000000" w:themeColor="text1"/>
          <w:sz w:val="22"/>
          <w:szCs w:val="22"/>
          <w:lang w:val="es-ES_tradnl"/>
        </w:rPr>
        <w:t xml:space="preserve"> </w:t>
      </w:r>
      <w:r w:rsidR="0084385E" w:rsidRPr="00631B40">
        <w:rPr>
          <w:rFonts w:ascii="Arial" w:hAnsi="Arial" w:cs="Arial"/>
          <w:color w:val="000000" w:themeColor="text1"/>
          <w:sz w:val="22"/>
          <w:szCs w:val="22"/>
          <w:lang w:val="es-ES_tradnl"/>
        </w:rPr>
        <w:t>para</w:t>
      </w:r>
      <w:r w:rsidR="007A6FEF" w:rsidRPr="00631B40">
        <w:rPr>
          <w:rFonts w:ascii="Arial" w:hAnsi="Arial" w:cs="Arial"/>
          <w:color w:val="000000" w:themeColor="text1"/>
          <w:sz w:val="22"/>
          <w:szCs w:val="22"/>
          <w:lang w:val="es-ES_tradnl"/>
        </w:rPr>
        <w:t xml:space="preserve"> determinar, en los pliegos de condiciones</w:t>
      </w:r>
      <w:r w:rsidR="009C2FAB" w:rsidRPr="00631B40">
        <w:rPr>
          <w:rFonts w:ascii="Arial" w:hAnsi="Arial" w:cs="Arial"/>
          <w:color w:val="000000" w:themeColor="text1"/>
          <w:sz w:val="22"/>
          <w:szCs w:val="22"/>
          <w:lang w:val="es-ES_tradnl"/>
        </w:rPr>
        <w:t>,</w:t>
      </w:r>
      <w:r w:rsidRPr="00631B40">
        <w:rPr>
          <w:rFonts w:ascii="Arial" w:hAnsi="Arial" w:cs="Arial"/>
          <w:color w:val="000000" w:themeColor="text1"/>
          <w:sz w:val="22"/>
          <w:szCs w:val="22"/>
          <w:lang w:val="es-ES_tradnl"/>
        </w:rPr>
        <w:t xml:space="preserve"> </w:t>
      </w:r>
      <w:r w:rsidR="007A6FEF" w:rsidRPr="00631B40">
        <w:rPr>
          <w:rFonts w:ascii="Arial" w:hAnsi="Arial" w:cs="Arial"/>
          <w:color w:val="000000" w:themeColor="text1"/>
          <w:sz w:val="22"/>
          <w:szCs w:val="22"/>
          <w:lang w:val="es-ES_tradnl"/>
        </w:rPr>
        <w:t>la forma en que realizará el análisis de las anotaciones vigentes en el Registro Nacional de Obras Civiles Inconclusas al momento de ponderar los criterios de evaluación.</w:t>
      </w:r>
      <w:r w:rsidR="00D36D60" w:rsidRPr="00631B40">
        <w:rPr>
          <w:rFonts w:ascii="Arial" w:hAnsi="Arial" w:cs="Arial"/>
          <w:color w:val="000000" w:themeColor="text1"/>
          <w:sz w:val="22"/>
          <w:szCs w:val="22"/>
          <w:lang w:val="es-ES_tradnl"/>
        </w:rPr>
        <w:t xml:space="preserve"> </w:t>
      </w:r>
      <w:r w:rsidR="0084385E" w:rsidRPr="00631B40">
        <w:rPr>
          <w:rFonts w:ascii="Arial" w:hAnsi="Arial" w:cs="Arial"/>
          <w:color w:val="000000" w:themeColor="text1"/>
          <w:sz w:val="22"/>
          <w:szCs w:val="22"/>
          <w:lang w:val="es-ES_tradnl"/>
        </w:rPr>
        <w:t xml:space="preserve">Para ello, deben actuar de manera razonable, cumpliendo los principios de la función administrativa y de la gestión fiscal, </w:t>
      </w:r>
      <w:r w:rsidR="009164E7" w:rsidRPr="00631B40">
        <w:rPr>
          <w:rFonts w:ascii="Arial" w:hAnsi="Arial" w:cs="Arial"/>
          <w:color w:val="000000" w:themeColor="text1"/>
          <w:sz w:val="22"/>
          <w:szCs w:val="22"/>
          <w:lang w:val="es-ES_tradnl"/>
        </w:rPr>
        <w:t>previstos en los artículos 209 y 267 de la Constitución Política, y el principio de proporcionalidad.</w:t>
      </w:r>
      <w:r w:rsidR="00516FDB" w:rsidRPr="00631B40">
        <w:rPr>
          <w:rFonts w:ascii="Arial" w:hAnsi="Arial" w:cs="Arial"/>
          <w:color w:val="000000" w:themeColor="text1"/>
          <w:sz w:val="22"/>
          <w:szCs w:val="22"/>
          <w:lang w:val="es-ES_tradnl"/>
        </w:rPr>
        <w:t xml:space="preserve"> De esta manera, se garantiza la objetividad y se minimiza el riesgo de actuaciones arbitrarias.</w:t>
      </w:r>
      <w:r w:rsidR="0054713E" w:rsidRPr="00631B40">
        <w:rPr>
          <w:rFonts w:ascii="Arial" w:hAnsi="Arial" w:cs="Arial"/>
          <w:color w:val="000000" w:themeColor="text1"/>
          <w:sz w:val="22"/>
          <w:szCs w:val="22"/>
          <w:lang w:val="es-ES_tradnl"/>
        </w:rPr>
        <w:t xml:space="preserve"> </w:t>
      </w:r>
    </w:p>
    <w:p w14:paraId="154C36D9" w14:textId="3C8A6E40" w:rsidR="0063283D" w:rsidRPr="00631B40" w:rsidRDefault="009D4643" w:rsidP="0063283D">
      <w:pPr>
        <w:spacing w:before="120" w:line="276" w:lineRule="auto"/>
        <w:ind w:firstLine="709"/>
        <w:jc w:val="both"/>
        <w:rPr>
          <w:rFonts w:ascii="Arial" w:hAnsi="Arial" w:cs="Arial"/>
          <w:color w:val="000000" w:themeColor="text1"/>
          <w:sz w:val="22"/>
          <w:szCs w:val="22"/>
          <w:lang w:val="es-ES_tradnl"/>
        </w:rPr>
      </w:pPr>
      <w:r w:rsidRPr="00631B40">
        <w:rPr>
          <w:rFonts w:ascii="Arial" w:hAnsi="Arial" w:cs="Arial"/>
          <w:color w:val="000000" w:themeColor="text1"/>
          <w:sz w:val="22"/>
          <w:szCs w:val="22"/>
          <w:lang w:val="es-ES_tradnl"/>
        </w:rPr>
        <w:t>En tal sentido, c</w:t>
      </w:r>
      <w:r w:rsidR="0054713E" w:rsidRPr="00631B40">
        <w:rPr>
          <w:rFonts w:ascii="Arial" w:hAnsi="Arial" w:cs="Arial"/>
          <w:color w:val="000000" w:themeColor="text1"/>
          <w:sz w:val="22"/>
          <w:szCs w:val="22"/>
          <w:lang w:val="es-ES_tradnl"/>
        </w:rPr>
        <w:t xml:space="preserve">orresponde a las entidades estatales, en cada procedimiento de selección, acorde con la información y la forma como hayan confeccionado el pliego de condiciones, </w:t>
      </w:r>
      <w:r w:rsidRPr="00631B40">
        <w:rPr>
          <w:rFonts w:ascii="Arial" w:hAnsi="Arial" w:cs="Arial"/>
          <w:color w:val="000000" w:themeColor="text1"/>
          <w:sz w:val="22"/>
          <w:szCs w:val="22"/>
          <w:lang w:val="es-ES_tradnl"/>
        </w:rPr>
        <w:t>revisar las anotaciones contenidas en el Registro Nacional de Obras Civiles Inconclusas</w:t>
      </w:r>
      <w:r w:rsidR="00F835CC" w:rsidRPr="00631B40">
        <w:rPr>
          <w:rFonts w:ascii="Arial" w:hAnsi="Arial" w:cs="Arial"/>
          <w:color w:val="000000" w:themeColor="text1"/>
          <w:sz w:val="22"/>
          <w:szCs w:val="22"/>
          <w:lang w:val="es-ES_tradnl"/>
        </w:rPr>
        <w:t>,</w:t>
      </w:r>
      <w:r w:rsidR="009C2FAB" w:rsidRPr="00631B40">
        <w:rPr>
          <w:rFonts w:ascii="Arial" w:hAnsi="Arial" w:cs="Arial"/>
          <w:color w:val="000000" w:themeColor="text1"/>
          <w:sz w:val="22"/>
          <w:szCs w:val="22"/>
          <w:lang w:val="es-ES_tradnl"/>
        </w:rPr>
        <w:t xml:space="preserve"> atendiendo de forma preeminente la información contenida en dicho registro; sin perjuicio de que</w:t>
      </w:r>
      <w:r w:rsidR="00E975E4" w:rsidRPr="00631B40">
        <w:rPr>
          <w:rFonts w:ascii="Arial" w:hAnsi="Arial" w:cs="Arial"/>
          <w:color w:val="000000" w:themeColor="text1"/>
          <w:sz w:val="22"/>
          <w:szCs w:val="22"/>
          <w:lang w:val="es-ES_tradnl"/>
        </w:rPr>
        <w:t xml:space="preserve"> </w:t>
      </w:r>
      <w:r w:rsidRPr="00631B40">
        <w:rPr>
          <w:rFonts w:ascii="Arial" w:hAnsi="Arial" w:cs="Arial"/>
          <w:color w:val="000000" w:themeColor="text1"/>
          <w:sz w:val="22"/>
          <w:szCs w:val="22"/>
          <w:lang w:val="es-ES_tradnl"/>
        </w:rPr>
        <w:t xml:space="preserve">en caso de tener alguna duda, </w:t>
      </w:r>
      <w:r w:rsidR="009C2FAB" w:rsidRPr="00631B40">
        <w:rPr>
          <w:rFonts w:ascii="Arial" w:hAnsi="Arial" w:cs="Arial"/>
          <w:color w:val="000000" w:themeColor="text1"/>
          <w:sz w:val="22"/>
          <w:szCs w:val="22"/>
          <w:lang w:val="es-ES_tradnl"/>
        </w:rPr>
        <w:t xml:space="preserve">se comuniquen </w:t>
      </w:r>
      <w:r w:rsidRPr="00631B40">
        <w:rPr>
          <w:rFonts w:ascii="Arial" w:hAnsi="Arial" w:cs="Arial"/>
          <w:color w:val="000000" w:themeColor="text1"/>
          <w:sz w:val="22"/>
          <w:szCs w:val="22"/>
          <w:lang w:val="es-ES_tradnl"/>
        </w:rPr>
        <w:t xml:space="preserve">con la entidad estatal contratante que reportó la información </w:t>
      </w:r>
      <w:r w:rsidR="008C0EE0" w:rsidRPr="00631B40">
        <w:rPr>
          <w:rFonts w:ascii="Arial" w:hAnsi="Arial" w:cs="Arial"/>
          <w:color w:val="000000" w:themeColor="text1"/>
          <w:sz w:val="22"/>
          <w:szCs w:val="22"/>
          <w:lang w:val="es-ES_tradnl"/>
        </w:rPr>
        <w:t>o con la Contraloría General de la República</w:t>
      </w:r>
      <w:r w:rsidR="00F835CC" w:rsidRPr="00631B40">
        <w:rPr>
          <w:rFonts w:ascii="Arial" w:hAnsi="Arial" w:cs="Arial"/>
          <w:color w:val="000000" w:themeColor="text1"/>
          <w:sz w:val="22"/>
          <w:szCs w:val="22"/>
          <w:lang w:val="es-ES_tradnl"/>
        </w:rPr>
        <w:t xml:space="preserve"> –en </w:t>
      </w:r>
      <w:r w:rsidR="00F835CC" w:rsidRPr="00631B40">
        <w:rPr>
          <w:rFonts w:ascii="Arial" w:hAnsi="Arial" w:cs="Arial"/>
          <w:color w:val="000000" w:themeColor="text1"/>
          <w:sz w:val="22"/>
          <w:szCs w:val="22"/>
          <w:lang w:val="es-ES_tradnl"/>
        </w:rPr>
        <w:lastRenderedPageBreak/>
        <w:t xml:space="preserve">tanto autoridad </w:t>
      </w:r>
      <w:r w:rsidR="0006093B" w:rsidRPr="00631B40">
        <w:rPr>
          <w:rFonts w:ascii="Arial" w:hAnsi="Arial" w:cs="Arial"/>
          <w:color w:val="000000" w:themeColor="text1"/>
          <w:sz w:val="22"/>
          <w:szCs w:val="22"/>
          <w:lang w:val="es-ES_tradnl"/>
        </w:rPr>
        <w:t>directora</w:t>
      </w:r>
      <w:r w:rsidR="00293C8E" w:rsidRPr="00631B40">
        <w:rPr>
          <w:rFonts w:ascii="Arial" w:hAnsi="Arial" w:cs="Arial"/>
          <w:color w:val="000000" w:themeColor="text1"/>
          <w:sz w:val="22"/>
          <w:szCs w:val="22"/>
          <w:lang w:val="es-ES_tradnl"/>
        </w:rPr>
        <w:t xml:space="preserve"> y administradora</w:t>
      </w:r>
      <w:r w:rsidR="0006093B" w:rsidRPr="00631B40">
        <w:rPr>
          <w:rFonts w:ascii="Arial" w:hAnsi="Arial" w:cs="Arial"/>
          <w:color w:val="000000" w:themeColor="text1"/>
          <w:sz w:val="22"/>
          <w:szCs w:val="22"/>
          <w:lang w:val="es-ES_tradnl"/>
        </w:rPr>
        <w:t xml:space="preserve"> de dicho Registro</w:t>
      </w:r>
      <w:r w:rsidR="00F835CC" w:rsidRPr="00631B40">
        <w:rPr>
          <w:rFonts w:ascii="Arial" w:hAnsi="Arial" w:cs="Arial"/>
          <w:color w:val="000000" w:themeColor="text1"/>
          <w:sz w:val="22"/>
          <w:szCs w:val="22"/>
          <w:lang w:val="es-ES_tradnl"/>
        </w:rPr>
        <w:t>–</w:t>
      </w:r>
      <w:r w:rsidR="0006093B" w:rsidRPr="00631B40">
        <w:rPr>
          <w:rFonts w:ascii="Arial" w:hAnsi="Arial" w:cs="Arial"/>
          <w:color w:val="000000" w:themeColor="text1"/>
          <w:sz w:val="22"/>
          <w:szCs w:val="22"/>
          <w:lang w:val="es-ES_tradnl"/>
        </w:rPr>
        <w:t>, en los términos de los artículos 3</w:t>
      </w:r>
      <w:r w:rsidR="00293C8E" w:rsidRPr="00631B40">
        <w:rPr>
          <w:rFonts w:ascii="Arial" w:hAnsi="Arial" w:cs="Arial"/>
          <w:color w:val="000000" w:themeColor="text1"/>
          <w:sz w:val="22"/>
          <w:szCs w:val="22"/>
          <w:lang w:val="es-ES_tradnl"/>
        </w:rPr>
        <w:t xml:space="preserve"> y 7</w:t>
      </w:r>
      <w:r w:rsidR="0006093B" w:rsidRPr="00631B40">
        <w:rPr>
          <w:rFonts w:ascii="Arial" w:hAnsi="Arial" w:cs="Arial"/>
          <w:color w:val="000000" w:themeColor="text1"/>
          <w:sz w:val="22"/>
          <w:szCs w:val="22"/>
          <w:lang w:val="es-ES_tradnl"/>
        </w:rPr>
        <w:t xml:space="preserve"> de la Ley 2020 de 2020 y 6 de la Ley 489 de 19</w:t>
      </w:r>
      <w:r w:rsidR="00DB0859" w:rsidRPr="00631B40">
        <w:rPr>
          <w:rFonts w:ascii="Arial" w:hAnsi="Arial" w:cs="Arial"/>
          <w:color w:val="000000" w:themeColor="text1"/>
          <w:sz w:val="22"/>
          <w:szCs w:val="22"/>
          <w:lang w:val="es-ES_tradnl"/>
        </w:rPr>
        <w:t>98.</w:t>
      </w:r>
      <w:r w:rsidR="008678C6" w:rsidRPr="00631B40">
        <w:rPr>
          <w:rFonts w:ascii="Arial" w:hAnsi="Arial" w:cs="Arial"/>
          <w:color w:val="000000" w:themeColor="text1"/>
          <w:sz w:val="22"/>
          <w:szCs w:val="22"/>
          <w:lang w:val="es-ES_tradnl"/>
        </w:rPr>
        <w:t xml:space="preserve"> </w:t>
      </w:r>
    </w:p>
    <w:p w14:paraId="7D833D81" w14:textId="62DD1BCE" w:rsidR="009164E7" w:rsidRPr="00631B40" w:rsidRDefault="004A21E3" w:rsidP="0063283D">
      <w:pPr>
        <w:spacing w:before="120" w:line="276" w:lineRule="auto"/>
        <w:ind w:firstLine="709"/>
        <w:jc w:val="both"/>
        <w:rPr>
          <w:rFonts w:ascii="Arial" w:hAnsi="Arial" w:cs="Arial"/>
          <w:color w:val="000000" w:themeColor="text1"/>
          <w:sz w:val="22"/>
          <w:szCs w:val="22"/>
          <w:lang w:val="es-ES_tradnl"/>
        </w:rPr>
      </w:pPr>
      <w:r w:rsidRPr="00631B40">
        <w:rPr>
          <w:rFonts w:ascii="Arial" w:hAnsi="Arial" w:cs="Arial"/>
          <w:color w:val="000000" w:themeColor="text1"/>
          <w:sz w:val="22"/>
          <w:szCs w:val="22"/>
          <w:lang w:val="es-ES_tradnl"/>
        </w:rPr>
        <w:t>Una vez determinado</w:t>
      </w:r>
      <w:r w:rsidR="008678C6" w:rsidRPr="00631B40">
        <w:rPr>
          <w:rFonts w:ascii="Arial" w:hAnsi="Arial" w:cs="Arial"/>
          <w:color w:val="000000" w:themeColor="text1"/>
          <w:sz w:val="22"/>
          <w:szCs w:val="22"/>
          <w:lang w:val="es-ES_tradnl"/>
        </w:rPr>
        <w:t xml:space="preserve"> </w:t>
      </w:r>
      <w:r w:rsidRPr="00631B40">
        <w:rPr>
          <w:rFonts w:ascii="Arial" w:hAnsi="Arial" w:cs="Arial"/>
          <w:color w:val="000000" w:themeColor="text1"/>
          <w:sz w:val="22"/>
          <w:szCs w:val="22"/>
          <w:lang w:val="es-ES_tradnl"/>
        </w:rPr>
        <w:t>el sentido</w:t>
      </w:r>
      <w:r w:rsidR="008678C6" w:rsidRPr="00631B40">
        <w:rPr>
          <w:rFonts w:ascii="Arial" w:hAnsi="Arial" w:cs="Arial"/>
          <w:color w:val="000000" w:themeColor="text1"/>
          <w:sz w:val="22"/>
          <w:szCs w:val="22"/>
          <w:lang w:val="es-ES_tradnl"/>
        </w:rPr>
        <w:t xml:space="preserve"> </w:t>
      </w:r>
      <w:r w:rsidRPr="00631B40">
        <w:rPr>
          <w:rFonts w:ascii="Arial" w:hAnsi="Arial" w:cs="Arial"/>
          <w:color w:val="000000" w:themeColor="text1"/>
          <w:sz w:val="22"/>
          <w:szCs w:val="22"/>
          <w:lang w:val="es-ES_tradnl"/>
        </w:rPr>
        <w:t xml:space="preserve">de </w:t>
      </w:r>
      <w:r w:rsidR="00B72F71" w:rsidRPr="00631B40">
        <w:rPr>
          <w:rFonts w:ascii="Arial" w:hAnsi="Arial" w:cs="Arial"/>
          <w:color w:val="000000" w:themeColor="text1"/>
          <w:sz w:val="22"/>
          <w:szCs w:val="22"/>
          <w:lang w:val="es-ES_tradnl"/>
        </w:rPr>
        <w:t>los datos</w:t>
      </w:r>
      <w:r w:rsidRPr="00631B40">
        <w:rPr>
          <w:rFonts w:ascii="Arial" w:hAnsi="Arial" w:cs="Arial"/>
          <w:color w:val="000000" w:themeColor="text1"/>
          <w:sz w:val="22"/>
          <w:szCs w:val="22"/>
          <w:lang w:val="es-ES_tradnl"/>
        </w:rPr>
        <w:t xml:space="preserve"> incorporad</w:t>
      </w:r>
      <w:r w:rsidR="00B72F71" w:rsidRPr="00631B40">
        <w:rPr>
          <w:rFonts w:ascii="Arial" w:hAnsi="Arial" w:cs="Arial"/>
          <w:color w:val="000000" w:themeColor="text1"/>
          <w:sz w:val="22"/>
          <w:szCs w:val="22"/>
          <w:lang w:val="es-ES_tradnl"/>
        </w:rPr>
        <w:t>o</w:t>
      </w:r>
      <w:r w:rsidRPr="00631B40">
        <w:rPr>
          <w:rFonts w:ascii="Arial" w:hAnsi="Arial" w:cs="Arial"/>
          <w:color w:val="000000" w:themeColor="text1"/>
          <w:sz w:val="22"/>
          <w:szCs w:val="22"/>
          <w:lang w:val="es-ES_tradnl"/>
        </w:rPr>
        <w:t>s en el Registro Nacional de Obras Civiles Inconclusas</w:t>
      </w:r>
      <w:r w:rsidR="008678C6" w:rsidRPr="00631B40">
        <w:rPr>
          <w:rFonts w:ascii="Arial" w:hAnsi="Arial" w:cs="Arial"/>
          <w:color w:val="000000" w:themeColor="text1"/>
          <w:sz w:val="22"/>
          <w:szCs w:val="22"/>
          <w:lang w:val="es-ES_tradnl"/>
        </w:rPr>
        <w:t>, las entidades esta</w:t>
      </w:r>
      <w:r w:rsidR="00F6695A" w:rsidRPr="00631B40">
        <w:rPr>
          <w:rFonts w:ascii="Arial" w:hAnsi="Arial" w:cs="Arial"/>
          <w:color w:val="000000" w:themeColor="text1"/>
          <w:sz w:val="22"/>
          <w:szCs w:val="22"/>
          <w:lang w:val="es-ES_tradnl"/>
        </w:rPr>
        <w:t>ta</w:t>
      </w:r>
      <w:r w:rsidR="008678C6" w:rsidRPr="00631B40">
        <w:rPr>
          <w:rFonts w:ascii="Arial" w:hAnsi="Arial" w:cs="Arial"/>
          <w:color w:val="000000" w:themeColor="text1"/>
          <w:sz w:val="22"/>
          <w:szCs w:val="22"/>
          <w:lang w:val="es-ES_tradnl"/>
        </w:rPr>
        <w:t xml:space="preserve">les </w:t>
      </w:r>
      <w:r w:rsidRPr="00631B40">
        <w:rPr>
          <w:rFonts w:ascii="Arial" w:hAnsi="Arial" w:cs="Arial"/>
          <w:color w:val="000000" w:themeColor="text1"/>
          <w:sz w:val="22"/>
          <w:szCs w:val="22"/>
          <w:lang w:val="es-ES_tradnl"/>
        </w:rPr>
        <w:t xml:space="preserve">a las que se refiere el artículo 6 de la Ley 2020 de 2020 </w:t>
      </w:r>
      <w:r w:rsidR="00B72F71" w:rsidRPr="00631B40">
        <w:rPr>
          <w:rFonts w:ascii="Arial" w:hAnsi="Arial" w:cs="Arial"/>
          <w:color w:val="000000" w:themeColor="text1"/>
          <w:sz w:val="22"/>
          <w:szCs w:val="22"/>
          <w:lang w:val="es-ES_tradnl"/>
        </w:rPr>
        <w:t>no pueden desconocer estas anotaciones, pues este cuerpo normativo no las autoriza para reabrir</w:t>
      </w:r>
      <w:r w:rsidR="0063283D" w:rsidRPr="00631B40">
        <w:rPr>
          <w:rFonts w:ascii="Arial" w:hAnsi="Arial" w:cs="Arial"/>
          <w:color w:val="000000" w:themeColor="text1"/>
          <w:sz w:val="22"/>
          <w:szCs w:val="22"/>
          <w:lang w:val="es-ES_tradnl"/>
        </w:rPr>
        <w:t xml:space="preserve"> y zanjar por ella</w:t>
      </w:r>
      <w:r w:rsidR="00A279B2" w:rsidRPr="00631B40">
        <w:rPr>
          <w:rFonts w:ascii="Arial" w:hAnsi="Arial" w:cs="Arial"/>
          <w:color w:val="000000" w:themeColor="text1"/>
          <w:sz w:val="22"/>
          <w:szCs w:val="22"/>
          <w:lang w:val="es-ES_tradnl"/>
        </w:rPr>
        <w:t>s</w:t>
      </w:r>
      <w:r w:rsidR="0063283D" w:rsidRPr="00631B40">
        <w:rPr>
          <w:rFonts w:ascii="Arial" w:hAnsi="Arial" w:cs="Arial"/>
          <w:color w:val="000000" w:themeColor="text1"/>
          <w:sz w:val="22"/>
          <w:szCs w:val="22"/>
          <w:lang w:val="es-ES_tradnl"/>
        </w:rPr>
        <w:t xml:space="preserve"> misma</w:t>
      </w:r>
      <w:r w:rsidR="00A279B2" w:rsidRPr="00631B40">
        <w:rPr>
          <w:rFonts w:ascii="Arial" w:hAnsi="Arial" w:cs="Arial"/>
          <w:color w:val="000000" w:themeColor="text1"/>
          <w:sz w:val="22"/>
          <w:szCs w:val="22"/>
          <w:lang w:val="es-ES_tradnl"/>
        </w:rPr>
        <w:t>s</w:t>
      </w:r>
      <w:r w:rsidR="0063283D" w:rsidRPr="00631B40">
        <w:rPr>
          <w:rFonts w:ascii="Arial" w:hAnsi="Arial" w:cs="Arial"/>
          <w:color w:val="000000" w:themeColor="text1"/>
          <w:sz w:val="22"/>
          <w:szCs w:val="22"/>
          <w:lang w:val="es-ES_tradnl"/>
        </w:rPr>
        <w:t>,</w:t>
      </w:r>
      <w:r w:rsidR="00B72F71" w:rsidRPr="00631B40">
        <w:rPr>
          <w:rFonts w:ascii="Arial" w:hAnsi="Arial" w:cs="Arial"/>
          <w:color w:val="000000" w:themeColor="text1"/>
          <w:sz w:val="22"/>
          <w:szCs w:val="22"/>
          <w:lang w:val="es-ES_tradnl"/>
        </w:rPr>
        <w:t xml:space="preserve"> en sede del procedimiento de selección contractual</w:t>
      </w:r>
      <w:r w:rsidR="0063283D" w:rsidRPr="00631B40">
        <w:rPr>
          <w:rFonts w:ascii="Arial" w:hAnsi="Arial" w:cs="Arial"/>
          <w:color w:val="000000" w:themeColor="text1"/>
          <w:sz w:val="22"/>
          <w:szCs w:val="22"/>
          <w:lang w:val="es-ES_tradnl"/>
        </w:rPr>
        <w:t>,</w:t>
      </w:r>
      <w:r w:rsidR="00B72F71" w:rsidRPr="00631B40">
        <w:rPr>
          <w:rFonts w:ascii="Arial" w:hAnsi="Arial" w:cs="Arial"/>
          <w:color w:val="000000" w:themeColor="text1"/>
          <w:sz w:val="22"/>
          <w:szCs w:val="22"/>
          <w:lang w:val="es-ES_tradnl"/>
        </w:rPr>
        <w:t xml:space="preserve"> la discusión sobre las circunstancias que dieron lugar a la declaración de las obras como inconclusas.</w:t>
      </w:r>
      <w:r w:rsidR="00F57624" w:rsidRPr="00631B40">
        <w:rPr>
          <w:rFonts w:ascii="Arial" w:hAnsi="Arial" w:cs="Arial"/>
          <w:color w:val="000000" w:themeColor="text1"/>
          <w:sz w:val="22"/>
          <w:szCs w:val="22"/>
          <w:lang w:val="es-ES_tradnl"/>
        </w:rPr>
        <w:t xml:space="preserve"> El</w:t>
      </w:r>
      <w:r w:rsidR="0063283D" w:rsidRPr="00631B40">
        <w:rPr>
          <w:rFonts w:ascii="Arial" w:hAnsi="Arial" w:cs="Arial"/>
          <w:color w:val="000000" w:themeColor="text1"/>
          <w:sz w:val="22"/>
          <w:szCs w:val="22"/>
          <w:lang w:val="es-ES_tradnl"/>
        </w:rPr>
        <w:t xml:space="preserve"> último inciso del artículo 6 dispone que «</w:t>
      </w:r>
      <w:r w:rsidR="0063283D" w:rsidRPr="00631B40">
        <w:rPr>
          <w:rFonts w:ascii="Arial" w:hAnsi="Arial" w:cs="Arial"/>
          <w:color w:val="000000" w:themeColor="text1"/>
          <w:sz w:val="22"/>
          <w:szCs w:val="22"/>
        </w:rPr>
        <w:t>Cualquier controversia o solicitud que surja en relación con los reportes de información que suministre la entidad contratante, serán resueltos por esta, atendiendo los principios y disposiciones establecidos en la normatividad vigente</w:t>
      </w:r>
      <w:r w:rsidR="00FB3D96" w:rsidRPr="00631B40">
        <w:rPr>
          <w:rFonts w:ascii="Arial" w:hAnsi="Arial" w:cs="Arial"/>
          <w:color w:val="000000" w:themeColor="text1"/>
          <w:sz w:val="22"/>
          <w:szCs w:val="22"/>
        </w:rPr>
        <w:t>»</w:t>
      </w:r>
      <w:r w:rsidR="0063283D" w:rsidRPr="00631B40">
        <w:rPr>
          <w:rFonts w:ascii="Arial" w:hAnsi="Arial" w:cs="Arial"/>
          <w:color w:val="000000" w:themeColor="text1"/>
          <w:sz w:val="22"/>
          <w:szCs w:val="22"/>
        </w:rPr>
        <w:t>.</w:t>
      </w:r>
    </w:p>
    <w:p w14:paraId="1D69175C" w14:textId="3D3304F7" w:rsidR="00F82443" w:rsidRPr="00631B40" w:rsidRDefault="00D36D60" w:rsidP="00676436">
      <w:pPr>
        <w:spacing w:before="120" w:line="276" w:lineRule="auto"/>
        <w:ind w:firstLine="709"/>
        <w:jc w:val="both"/>
        <w:rPr>
          <w:rFonts w:ascii="Arial" w:hAnsi="Arial" w:cs="Arial"/>
          <w:color w:val="000000" w:themeColor="text1"/>
          <w:sz w:val="22"/>
          <w:szCs w:val="22"/>
        </w:rPr>
      </w:pPr>
      <w:r w:rsidRPr="00631B40">
        <w:rPr>
          <w:rFonts w:ascii="Arial" w:hAnsi="Arial" w:cs="Arial"/>
          <w:color w:val="000000" w:themeColor="text1"/>
          <w:sz w:val="22"/>
          <w:szCs w:val="22"/>
          <w:lang w:val="es-ES_tradnl"/>
        </w:rPr>
        <w:t>Por otra parte,</w:t>
      </w:r>
      <w:r w:rsidR="005E02CD" w:rsidRPr="00631B40">
        <w:rPr>
          <w:rFonts w:ascii="Arial" w:hAnsi="Arial" w:cs="Arial"/>
          <w:color w:val="000000" w:themeColor="text1"/>
          <w:sz w:val="22"/>
          <w:szCs w:val="22"/>
          <w:lang w:val="es-ES_tradnl"/>
        </w:rPr>
        <w:t xml:space="preserve"> </w:t>
      </w:r>
      <w:r w:rsidR="00150C64" w:rsidRPr="00631B40">
        <w:rPr>
          <w:rFonts w:ascii="Arial" w:hAnsi="Arial" w:cs="Arial"/>
          <w:color w:val="000000" w:themeColor="text1"/>
          <w:sz w:val="22"/>
          <w:szCs w:val="22"/>
          <w:lang w:val="es-ES_tradnl"/>
        </w:rPr>
        <w:t>el artículo</w:t>
      </w:r>
      <w:r w:rsidR="00C9604E" w:rsidRPr="00631B40">
        <w:rPr>
          <w:rFonts w:ascii="Arial" w:hAnsi="Arial" w:cs="Arial"/>
          <w:color w:val="000000" w:themeColor="text1"/>
          <w:sz w:val="22"/>
          <w:szCs w:val="22"/>
          <w:lang w:val="es-ES_tradnl"/>
        </w:rPr>
        <w:t xml:space="preserve"> 4 de </w:t>
      </w:r>
      <w:r w:rsidR="00150C64" w:rsidRPr="00631B40">
        <w:rPr>
          <w:rFonts w:ascii="Arial" w:hAnsi="Arial" w:cs="Arial"/>
          <w:color w:val="000000" w:themeColor="text1"/>
          <w:sz w:val="22"/>
          <w:szCs w:val="22"/>
          <w:lang w:val="es-ES_tradnl"/>
        </w:rPr>
        <w:t>la Ley 2020 de 2020</w:t>
      </w:r>
      <w:r w:rsidR="00C9604E" w:rsidRPr="00631B40">
        <w:rPr>
          <w:rFonts w:ascii="Arial" w:hAnsi="Arial" w:cs="Arial"/>
          <w:color w:val="000000" w:themeColor="text1"/>
          <w:sz w:val="22"/>
          <w:szCs w:val="22"/>
          <w:lang w:val="es-ES_tradnl"/>
        </w:rPr>
        <w:t xml:space="preserve"> establece la información mínima que debe incorporarse en e</w:t>
      </w:r>
      <w:r w:rsidR="00A903D1" w:rsidRPr="00631B40">
        <w:rPr>
          <w:rFonts w:ascii="Arial" w:hAnsi="Arial" w:cs="Arial"/>
          <w:color w:val="000000" w:themeColor="text1"/>
          <w:sz w:val="22"/>
          <w:szCs w:val="22"/>
          <w:lang w:val="es-ES_tradnl"/>
        </w:rPr>
        <w:t>l mencionado Registro.</w:t>
      </w:r>
      <w:r w:rsidR="00295566" w:rsidRPr="00631B40">
        <w:rPr>
          <w:rFonts w:ascii="Arial" w:hAnsi="Arial" w:cs="Arial"/>
          <w:color w:val="000000" w:themeColor="text1"/>
          <w:sz w:val="22"/>
          <w:szCs w:val="22"/>
          <w:lang w:val="es-ES_tradnl"/>
        </w:rPr>
        <w:t xml:space="preserve"> </w:t>
      </w:r>
      <w:r w:rsidR="007716BA" w:rsidRPr="00631B40">
        <w:rPr>
          <w:rFonts w:ascii="Arial" w:hAnsi="Arial" w:cs="Arial"/>
          <w:color w:val="000000" w:themeColor="text1"/>
          <w:sz w:val="22"/>
          <w:szCs w:val="22"/>
          <w:lang w:val="es-ES_tradnl"/>
        </w:rPr>
        <w:t>En tal sentido, e</w:t>
      </w:r>
      <w:r w:rsidR="00295566" w:rsidRPr="00631B40">
        <w:rPr>
          <w:rFonts w:ascii="Arial" w:hAnsi="Arial" w:cs="Arial"/>
          <w:color w:val="000000" w:themeColor="text1"/>
          <w:sz w:val="22"/>
          <w:szCs w:val="22"/>
          <w:lang w:val="es-ES_tradnl"/>
        </w:rPr>
        <w:t xml:space="preserve">l literal o) dice que debe incluirse la información relativa a los «Procesos en curso y/o fallos que hayan declarado responsabilidades penales, fiscales, civiles y disciplinarias derivadas de la obra inconclusa; </w:t>
      </w:r>
      <w:r w:rsidR="00295566" w:rsidRPr="00631B40">
        <w:rPr>
          <w:rFonts w:ascii="Arial" w:hAnsi="Arial" w:cs="Arial"/>
          <w:i/>
          <w:iCs/>
          <w:color w:val="000000" w:themeColor="text1"/>
          <w:sz w:val="22"/>
          <w:szCs w:val="22"/>
          <w:lang w:val="es-ES_tradnl"/>
        </w:rPr>
        <w:t>así como</w:t>
      </w:r>
      <w:r w:rsidR="00295566" w:rsidRPr="00631B40">
        <w:rPr>
          <w:rFonts w:ascii="Arial" w:hAnsi="Arial" w:cs="Arial"/>
          <w:color w:val="000000" w:themeColor="text1"/>
          <w:sz w:val="22"/>
          <w:szCs w:val="22"/>
          <w:lang w:val="es-ES_tradnl"/>
        </w:rPr>
        <w:t xml:space="preserve"> los actos administrativos que declaren el incumplimiento de los contratistas o caducidad de los contratos» (énfasis fuera de texto). </w:t>
      </w:r>
      <w:r w:rsidR="0094080F" w:rsidRPr="00631B40">
        <w:rPr>
          <w:rFonts w:ascii="Arial" w:hAnsi="Arial" w:cs="Arial"/>
          <w:color w:val="000000" w:themeColor="text1"/>
          <w:sz w:val="22"/>
          <w:szCs w:val="22"/>
          <w:lang w:val="es-ES_tradnl"/>
        </w:rPr>
        <w:t>De otro lado</w:t>
      </w:r>
      <w:r w:rsidR="000D0EA9" w:rsidRPr="00631B40">
        <w:rPr>
          <w:rFonts w:ascii="Arial" w:hAnsi="Arial" w:cs="Arial"/>
          <w:color w:val="000000" w:themeColor="text1"/>
          <w:sz w:val="22"/>
          <w:szCs w:val="22"/>
          <w:lang w:val="es-ES_tradnl"/>
        </w:rPr>
        <w:t>, el segundo inciso del parágrafo 2 del artículo 9 de la Ley 2020 de 2020 dispone que «</w:t>
      </w:r>
      <w:r w:rsidR="000D0EA9" w:rsidRPr="00631B40">
        <w:rPr>
          <w:rFonts w:ascii="Arial" w:hAnsi="Arial" w:cs="Arial"/>
          <w:color w:val="000000" w:themeColor="text1"/>
          <w:sz w:val="22"/>
          <w:szCs w:val="22"/>
        </w:rPr>
        <w:t>Igualmente, el acto administrativo que declare el incumplimiento, caducidad y/o terminación unilateral del contrato de obra, tendrá en cuenta en su parte motiva, la documentación que repose en el Registro Nacional de Obras Civiles Inconclusas</w:t>
      </w:r>
      <w:r w:rsidR="008C2353" w:rsidRPr="00631B40">
        <w:rPr>
          <w:rFonts w:ascii="Arial" w:hAnsi="Arial" w:cs="Arial"/>
          <w:color w:val="000000" w:themeColor="text1"/>
          <w:sz w:val="22"/>
          <w:szCs w:val="22"/>
        </w:rPr>
        <w:t>»</w:t>
      </w:r>
      <w:r w:rsidR="000D0EA9" w:rsidRPr="00631B40">
        <w:rPr>
          <w:rFonts w:ascii="Arial" w:hAnsi="Arial" w:cs="Arial"/>
          <w:color w:val="000000" w:themeColor="text1"/>
          <w:sz w:val="22"/>
          <w:szCs w:val="22"/>
        </w:rPr>
        <w:t>.</w:t>
      </w:r>
    </w:p>
    <w:p w14:paraId="17E4ABDE" w14:textId="2B1E87CE" w:rsidR="007A6FEF" w:rsidRPr="00631B40" w:rsidRDefault="0048063B" w:rsidP="00676436">
      <w:pPr>
        <w:spacing w:before="120" w:line="276" w:lineRule="auto"/>
        <w:ind w:firstLine="709"/>
        <w:jc w:val="both"/>
        <w:rPr>
          <w:rFonts w:ascii="Arial" w:hAnsi="Arial" w:cs="Arial"/>
          <w:color w:val="000000" w:themeColor="text1"/>
          <w:sz w:val="22"/>
          <w:szCs w:val="22"/>
          <w:lang w:val="es-ES_tradnl"/>
        </w:rPr>
      </w:pPr>
      <w:r w:rsidRPr="00631B40">
        <w:rPr>
          <w:rFonts w:ascii="Arial" w:hAnsi="Arial" w:cs="Arial"/>
          <w:color w:val="000000" w:themeColor="text1"/>
          <w:sz w:val="22"/>
          <w:szCs w:val="22"/>
        </w:rPr>
        <w:t>En consecuencia, puede</w:t>
      </w:r>
      <w:r w:rsidR="002566AF" w:rsidRPr="00631B40">
        <w:rPr>
          <w:rFonts w:ascii="Arial" w:hAnsi="Arial" w:cs="Arial"/>
          <w:color w:val="000000" w:themeColor="text1"/>
          <w:sz w:val="22"/>
          <w:szCs w:val="22"/>
        </w:rPr>
        <w:t xml:space="preserve"> concluirse que s</w:t>
      </w:r>
      <w:r w:rsidR="008C2353" w:rsidRPr="00631B40">
        <w:rPr>
          <w:rFonts w:ascii="Arial" w:hAnsi="Arial" w:cs="Arial"/>
          <w:color w:val="000000" w:themeColor="text1"/>
          <w:sz w:val="22"/>
          <w:szCs w:val="22"/>
        </w:rPr>
        <w:t>i la incorporación de los actos administrativos que declaran el incumplimiento hace parte de la información mínima del Registro Nacional de Obras Civiles Inconclusas</w:t>
      </w:r>
      <w:r w:rsidR="0098460E" w:rsidRPr="00631B40">
        <w:rPr>
          <w:rFonts w:ascii="Arial" w:hAnsi="Arial" w:cs="Arial"/>
          <w:color w:val="000000" w:themeColor="text1"/>
          <w:sz w:val="22"/>
          <w:szCs w:val="22"/>
        </w:rPr>
        <w:t xml:space="preserve">, esto significa que dichos actos han de estar produciendo efectos jurídicos; </w:t>
      </w:r>
      <w:r w:rsidR="002566AF" w:rsidRPr="00631B40">
        <w:rPr>
          <w:rFonts w:ascii="Arial" w:hAnsi="Arial" w:cs="Arial"/>
          <w:color w:val="000000" w:themeColor="text1"/>
          <w:sz w:val="22"/>
          <w:szCs w:val="22"/>
        </w:rPr>
        <w:t>o sea</w:t>
      </w:r>
      <w:r w:rsidR="0098460E" w:rsidRPr="00631B40">
        <w:rPr>
          <w:rFonts w:ascii="Arial" w:hAnsi="Arial" w:cs="Arial"/>
          <w:color w:val="000000" w:themeColor="text1"/>
          <w:sz w:val="22"/>
          <w:szCs w:val="22"/>
        </w:rPr>
        <w:t xml:space="preserve"> que deben estar </w:t>
      </w:r>
      <w:r w:rsidR="0098460E" w:rsidRPr="00631B40">
        <w:rPr>
          <w:rFonts w:ascii="Arial" w:hAnsi="Arial" w:cs="Arial"/>
          <w:i/>
          <w:iCs/>
          <w:color w:val="000000" w:themeColor="text1"/>
          <w:sz w:val="22"/>
          <w:szCs w:val="22"/>
        </w:rPr>
        <w:t>en firme</w:t>
      </w:r>
      <w:r w:rsidR="0098460E" w:rsidRPr="00631B40">
        <w:rPr>
          <w:rFonts w:ascii="Arial" w:hAnsi="Arial" w:cs="Arial"/>
          <w:color w:val="000000" w:themeColor="text1"/>
          <w:sz w:val="22"/>
          <w:szCs w:val="22"/>
        </w:rPr>
        <w:t xml:space="preserve">, pues </w:t>
      </w:r>
      <w:r w:rsidR="00C35263" w:rsidRPr="00631B40">
        <w:rPr>
          <w:rFonts w:ascii="Arial" w:hAnsi="Arial" w:cs="Arial"/>
          <w:color w:val="000000" w:themeColor="text1"/>
          <w:sz w:val="22"/>
          <w:szCs w:val="22"/>
        </w:rPr>
        <w:t xml:space="preserve">el artículo 89 de la Ley 1437 de 2011 –aplicable en virtud del </w:t>
      </w:r>
      <w:r w:rsidR="00C35263" w:rsidRPr="00631B40">
        <w:rPr>
          <w:rFonts w:ascii="Arial" w:hAnsi="Arial" w:cs="Arial"/>
          <w:i/>
          <w:iCs/>
          <w:color w:val="000000" w:themeColor="text1"/>
          <w:sz w:val="22"/>
          <w:szCs w:val="22"/>
        </w:rPr>
        <w:t>principio de subsidiariedad</w:t>
      </w:r>
      <w:r w:rsidR="00C35263" w:rsidRPr="00631B40">
        <w:rPr>
          <w:rFonts w:ascii="Arial" w:hAnsi="Arial" w:cs="Arial"/>
          <w:color w:val="000000" w:themeColor="text1"/>
          <w:sz w:val="22"/>
          <w:szCs w:val="22"/>
        </w:rPr>
        <w:t>, ante la ausencia de regulación especial sobre este tema en la Ley 2020 de 2020–</w:t>
      </w:r>
      <w:r w:rsidR="008E33E1" w:rsidRPr="00631B40">
        <w:rPr>
          <w:rFonts w:ascii="Arial" w:hAnsi="Arial" w:cs="Arial"/>
          <w:color w:val="000000" w:themeColor="text1"/>
          <w:sz w:val="22"/>
          <w:szCs w:val="22"/>
        </w:rPr>
        <w:t xml:space="preserve"> establece que </w:t>
      </w:r>
      <w:r w:rsidR="000A08FF" w:rsidRPr="00631B40">
        <w:rPr>
          <w:rFonts w:ascii="Arial" w:hAnsi="Arial" w:cs="Arial"/>
          <w:color w:val="000000" w:themeColor="text1"/>
          <w:sz w:val="22"/>
          <w:szCs w:val="22"/>
        </w:rPr>
        <w:t>«</w:t>
      </w:r>
      <w:r w:rsidR="006B5020" w:rsidRPr="00631B40">
        <w:rPr>
          <w:rFonts w:ascii="Arial" w:hAnsi="Arial" w:cs="Arial"/>
          <w:color w:val="000000" w:themeColor="text1"/>
          <w:sz w:val="22"/>
          <w:szCs w:val="22"/>
        </w:rPr>
        <w:t>S</w:t>
      </w:r>
      <w:r w:rsidR="000A08FF" w:rsidRPr="00631B40">
        <w:rPr>
          <w:rFonts w:ascii="Arial" w:hAnsi="Arial" w:cs="Arial"/>
          <w:color w:val="000000" w:themeColor="text1"/>
          <w:sz w:val="22"/>
          <w:szCs w:val="22"/>
        </w:rPr>
        <w:t>alvo disposición legal en contrario, los actos en firme serán suficientes para que las autoridades, por sí mismas, puedan ejecutarlos de inmediato</w:t>
      </w:r>
      <w:r w:rsidR="006B5020" w:rsidRPr="00631B40">
        <w:rPr>
          <w:rFonts w:ascii="Arial" w:hAnsi="Arial" w:cs="Arial"/>
          <w:color w:val="000000" w:themeColor="text1"/>
          <w:sz w:val="22"/>
          <w:szCs w:val="22"/>
        </w:rPr>
        <w:t>»</w:t>
      </w:r>
      <w:r w:rsidR="000A08FF" w:rsidRPr="00631B40">
        <w:rPr>
          <w:rFonts w:ascii="Arial" w:hAnsi="Arial" w:cs="Arial"/>
          <w:color w:val="000000" w:themeColor="text1"/>
          <w:sz w:val="22"/>
          <w:szCs w:val="22"/>
        </w:rPr>
        <w:t>.</w:t>
      </w:r>
      <w:r w:rsidR="002566AF" w:rsidRPr="00631B40">
        <w:rPr>
          <w:rFonts w:ascii="Arial" w:hAnsi="Arial" w:cs="Arial"/>
          <w:color w:val="000000" w:themeColor="text1"/>
          <w:sz w:val="22"/>
          <w:szCs w:val="22"/>
        </w:rPr>
        <w:t xml:space="preserve"> Entonces, al ser la incorporación en el Registro Nacional de Obras Civiles Inconclusas un efecto jurídico del acto administrativo, esta Agencia considera que </w:t>
      </w:r>
      <w:r w:rsidR="00304B9B" w:rsidRPr="00631B40">
        <w:rPr>
          <w:rFonts w:ascii="Arial" w:hAnsi="Arial" w:cs="Arial"/>
          <w:color w:val="000000" w:themeColor="text1"/>
          <w:sz w:val="22"/>
          <w:szCs w:val="22"/>
        </w:rPr>
        <w:t>la decisión ha de estar en firme.</w:t>
      </w:r>
      <w:r w:rsidR="002566AF" w:rsidRPr="00631B40">
        <w:rPr>
          <w:rFonts w:ascii="Arial" w:hAnsi="Arial" w:cs="Arial"/>
          <w:color w:val="000000" w:themeColor="text1"/>
          <w:sz w:val="22"/>
          <w:szCs w:val="22"/>
        </w:rPr>
        <w:t xml:space="preserve"> </w:t>
      </w:r>
      <w:r w:rsidR="000A08FF" w:rsidRPr="00631B40">
        <w:rPr>
          <w:rFonts w:ascii="Arial" w:hAnsi="Arial" w:cs="Arial"/>
          <w:color w:val="000000" w:themeColor="text1"/>
          <w:sz w:val="22"/>
          <w:szCs w:val="22"/>
        </w:rPr>
        <w:t> </w:t>
      </w:r>
    </w:p>
    <w:p w14:paraId="60E24AF3" w14:textId="77777777" w:rsidR="00C977BE" w:rsidRPr="00631B40" w:rsidRDefault="00C977BE" w:rsidP="00C977BE">
      <w:pPr>
        <w:ind w:left="709" w:right="709"/>
        <w:jc w:val="both"/>
        <w:rPr>
          <w:rFonts w:ascii="Arial" w:hAnsi="Arial" w:cs="Arial"/>
          <w:bCs/>
          <w:color w:val="000000" w:themeColor="text1"/>
          <w:sz w:val="21"/>
          <w:szCs w:val="21"/>
          <w:lang w:val="es-ES_tradnl"/>
        </w:rPr>
      </w:pPr>
    </w:p>
    <w:p w14:paraId="6462443C" w14:textId="2D76A755" w:rsidR="00C977BE" w:rsidRPr="00631B40" w:rsidRDefault="003975AF" w:rsidP="00C977BE">
      <w:pPr>
        <w:ind w:left="709" w:right="709"/>
        <w:jc w:val="both"/>
        <w:rPr>
          <w:rFonts w:ascii="Arial" w:hAnsi="Arial" w:cs="Arial"/>
          <w:bCs/>
          <w:color w:val="000000" w:themeColor="text1"/>
          <w:sz w:val="21"/>
          <w:szCs w:val="21"/>
          <w:lang w:val="es-ES_tradnl"/>
        </w:rPr>
      </w:pPr>
      <w:r w:rsidRPr="00631B40">
        <w:rPr>
          <w:rFonts w:ascii="Arial" w:hAnsi="Arial" w:cs="Arial"/>
          <w:bCs/>
          <w:color w:val="000000" w:themeColor="text1"/>
          <w:sz w:val="21"/>
          <w:szCs w:val="21"/>
          <w:lang w:val="es-ES_tradnl"/>
        </w:rPr>
        <w:t>«</w:t>
      </w:r>
      <w:r w:rsidR="00C977BE" w:rsidRPr="00631B40">
        <w:rPr>
          <w:rFonts w:ascii="Arial" w:hAnsi="Arial" w:cs="Arial"/>
          <w:bCs/>
          <w:color w:val="000000" w:themeColor="text1"/>
          <w:sz w:val="21"/>
          <w:szCs w:val="21"/>
          <w:lang w:val="es-ES_tradnl"/>
        </w:rPr>
        <w:t>13. ¿El proponente que se considere afectado con la anotación registrada por la entidad afectada por una obra civil inconclusa, en el Registro Nacional de Obras Civiles Inconclusas, puede hacer uso de los mecanismos que la Ley le otorga, a fin de requerir la modificación, aclaración o eliminación del registro, de manera directa ante la entidad que realizo dicho registro? (sic)</w:t>
      </w:r>
    </w:p>
    <w:p w14:paraId="28E0AA95" w14:textId="77777777" w:rsidR="00C977BE" w:rsidRPr="00631B40" w:rsidRDefault="00C977BE" w:rsidP="00C977BE">
      <w:pPr>
        <w:ind w:left="709" w:right="709"/>
        <w:jc w:val="both"/>
        <w:rPr>
          <w:rFonts w:ascii="Arial" w:hAnsi="Arial" w:cs="Arial"/>
          <w:bCs/>
          <w:color w:val="000000" w:themeColor="text1"/>
          <w:sz w:val="21"/>
          <w:szCs w:val="21"/>
          <w:lang w:val="es-ES_tradnl"/>
        </w:rPr>
      </w:pPr>
    </w:p>
    <w:p w14:paraId="43240A37" w14:textId="2BC43BA1" w:rsidR="008315AF" w:rsidRPr="00631B40" w:rsidRDefault="00C977BE" w:rsidP="008315AF">
      <w:pPr>
        <w:ind w:left="709" w:right="709"/>
        <w:jc w:val="both"/>
        <w:rPr>
          <w:rFonts w:ascii="Arial" w:hAnsi="Arial" w:cs="Arial"/>
          <w:bCs/>
          <w:color w:val="000000" w:themeColor="text1"/>
          <w:sz w:val="21"/>
          <w:szCs w:val="21"/>
          <w:lang w:val="es-ES_tradnl"/>
        </w:rPr>
      </w:pPr>
      <w:r w:rsidRPr="00631B40">
        <w:rPr>
          <w:rFonts w:ascii="Arial" w:hAnsi="Arial" w:cs="Arial"/>
          <w:bCs/>
          <w:color w:val="000000" w:themeColor="text1"/>
          <w:sz w:val="21"/>
          <w:szCs w:val="21"/>
          <w:lang w:val="es-ES_tradnl"/>
        </w:rPr>
        <w:t xml:space="preserve">»14. Teniendo en cuenta lo indicado en el último inciso del artículo 6 de la ley 2020 de 2020, ¿si dentro del proceso de contratación surgen controversias frente a las anotaciones de los proponentes en el Registro Nacional de Obras Civiles </w:t>
      </w:r>
      <w:r w:rsidRPr="00631B40">
        <w:rPr>
          <w:rFonts w:ascii="Arial" w:hAnsi="Arial" w:cs="Arial"/>
          <w:bCs/>
          <w:color w:val="000000" w:themeColor="text1"/>
          <w:sz w:val="21"/>
          <w:szCs w:val="21"/>
          <w:lang w:val="es-ES_tradnl"/>
        </w:rPr>
        <w:lastRenderedPageBreak/>
        <w:t>Inconclusas, ¿las mismas deberán ser resueltas por la entidad que realizó el reporte? Y en caso afirmativo ¿cómo garantizar el cumplimiento de los principios, si la entidad que convoca deberá estar a la espera de la respuesta de un tercero para culminar con el proceso de contratación?»</w:t>
      </w:r>
      <w:bookmarkStart w:id="13" w:name="_Hlk68165480"/>
    </w:p>
    <w:p w14:paraId="7C4D5970" w14:textId="77777777" w:rsidR="008315AF" w:rsidRPr="00631B40" w:rsidRDefault="008315AF" w:rsidP="008315AF">
      <w:pPr>
        <w:spacing w:line="276" w:lineRule="auto"/>
        <w:ind w:firstLine="709"/>
        <w:jc w:val="both"/>
        <w:rPr>
          <w:rFonts w:ascii="Arial" w:hAnsi="Arial" w:cs="Arial"/>
          <w:color w:val="000000" w:themeColor="text1"/>
          <w:sz w:val="22"/>
          <w:szCs w:val="22"/>
          <w:lang w:val="es-ES_tradnl"/>
        </w:rPr>
      </w:pPr>
    </w:p>
    <w:p w14:paraId="3679956C" w14:textId="63DE7514" w:rsidR="00372491" w:rsidRPr="00631B40" w:rsidRDefault="00FB3D96" w:rsidP="00631B40">
      <w:pPr>
        <w:spacing w:line="276" w:lineRule="auto"/>
        <w:jc w:val="both"/>
        <w:rPr>
          <w:rFonts w:ascii="Arial" w:hAnsi="Arial" w:cs="Arial"/>
          <w:color w:val="000000" w:themeColor="text1"/>
          <w:sz w:val="22"/>
          <w:szCs w:val="22"/>
          <w:lang w:val="es-ES_tradnl"/>
        </w:rPr>
      </w:pPr>
      <w:r w:rsidRPr="00631B40">
        <w:rPr>
          <w:rFonts w:ascii="Arial" w:hAnsi="Arial" w:cs="Arial"/>
          <w:color w:val="000000" w:themeColor="text1"/>
          <w:sz w:val="22"/>
          <w:szCs w:val="22"/>
          <w:lang w:val="es-ES_tradnl"/>
        </w:rPr>
        <w:t>Según se indicó, e</w:t>
      </w:r>
      <w:r w:rsidR="00372491" w:rsidRPr="00631B40">
        <w:rPr>
          <w:rFonts w:ascii="Arial" w:hAnsi="Arial" w:cs="Arial"/>
          <w:color w:val="000000" w:themeColor="text1"/>
          <w:sz w:val="22"/>
          <w:szCs w:val="22"/>
          <w:lang w:val="es-ES_tradnl"/>
        </w:rPr>
        <w:t xml:space="preserve">l </w:t>
      </w:r>
      <w:r w:rsidRPr="00631B40">
        <w:rPr>
          <w:rFonts w:ascii="Arial" w:hAnsi="Arial" w:cs="Arial"/>
          <w:color w:val="000000" w:themeColor="text1"/>
          <w:sz w:val="22"/>
          <w:szCs w:val="22"/>
          <w:lang w:val="es-ES_tradnl"/>
        </w:rPr>
        <w:t>tercer</w:t>
      </w:r>
      <w:r w:rsidR="00372491" w:rsidRPr="00631B40">
        <w:rPr>
          <w:rFonts w:ascii="Arial" w:hAnsi="Arial" w:cs="Arial"/>
          <w:color w:val="000000" w:themeColor="text1"/>
          <w:sz w:val="22"/>
          <w:szCs w:val="22"/>
          <w:lang w:val="es-ES_tradnl"/>
        </w:rPr>
        <w:t xml:space="preserve"> inciso del artículo 6 dispone que «</w:t>
      </w:r>
      <w:r w:rsidR="00372491" w:rsidRPr="00631B40">
        <w:rPr>
          <w:rFonts w:ascii="Arial" w:hAnsi="Arial" w:cs="Arial"/>
          <w:color w:val="000000" w:themeColor="text1"/>
          <w:sz w:val="22"/>
          <w:szCs w:val="22"/>
        </w:rPr>
        <w:t>Cualquier controversia o solicitud que surja en relación con los reportes de información que suministre la entidad contratante, serán resueltos por esta, atendiendo los principios y disposiciones establecidos en la normatividad vigente</w:t>
      </w:r>
      <w:r w:rsidRPr="00631B40">
        <w:rPr>
          <w:rFonts w:ascii="Arial" w:hAnsi="Arial" w:cs="Arial"/>
          <w:color w:val="000000" w:themeColor="text1"/>
          <w:sz w:val="22"/>
          <w:szCs w:val="22"/>
        </w:rPr>
        <w:t>»</w:t>
      </w:r>
      <w:r w:rsidR="004C1CA0" w:rsidRPr="00631B40">
        <w:rPr>
          <w:rFonts w:ascii="Arial" w:hAnsi="Arial" w:cs="Arial"/>
          <w:color w:val="000000" w:themeColor="text1"/>
          <w:sz w:val="22"/>
          <w:szCs w:val="22"/>
        </w:rPr>
        <w:t>. Ahora bien, l</w:t>
      </w:r>
      <w:r w:rsidR="00132D11" w:rsidRPr="00631B40">
        <w:rPr>
          <w:rFonts w:ascii="Arial" w:hAnsi="Arial" w:cs="Arial"/>
          <w:color w:val="000000" w:themeColor="text1"/>
          <w:sz w:val="22"/>
          <w:szCs w:val="22"/>
        </w:rPr>
        <w:t>a entidad estatal que está adelantando el trámite del procedimiento de selección</w:t>
      </w:r>
      <w:r w:rsidR="00204588" w:rsidRPr="00631B40">
        <w:rPr>
          <w:rFonts w:ascii="Arial" w:hAnsi="Arial" w:cs="Arial"/>
          <w:color w:val="000000" w:themeColor="text1"/>
          <w:sz w:val="22"/>
          <w:szCs w:val="22"/>
        </w:rPr>
        <w:t xml:space="preserve"> del contratista de obra o de interventoría debe propender porque la respuesta de la entidad estatal sea </w:t>
      </w:r>
      <w:r w:rsidR="007B334B" w:rsidRPr="00631B40">
        <w:rPr>
          <w:rFonts w:ascii="Arial" w:hAnsi="Arial" w:cs="Arial"/>
          <w:color w:val="000000" w:themeColor="text1"/>
          <w:sz w:val="22"/>
          <w:szCs w:val="22"/>
        </w:rPr>
        <w:t xml:space="preserve">oportuna, en cumplimiento del deber de coordinación administrativa, de manera que lo dispuesto en el citado inciso se compagine con la garantía de los demás principios de rigen la actividad contractual. En todo caso, </w:t>
      </w:r>
      <w:r w:rsidR="009743AF" w:rsidRPr="00631B40">
        <w:rPr>
          <w:rFonts w:ascii="Arial" w:hAnsi="Arial" w:cs="Arial"/>
          <w:color w:val="000000" w:themeColor="text1"/>
          <w:sz w:val="22"/>
          <w:szCs w:val="22"/>
        </w:rPr>
        <w:t xml:space="preserve">dicho inciso se debe interpretar de manera razonable, para que no dé </w:t>
      </w:r>
      <w:r w:rsidR="00014B0D" w:rsidRPr="00631B40">
        <w:rPr>
          <w:rFonts w:ascii="Arial" w:hAnsi="Arial" w:cs="Arial"/>
          <w:color w:val="000000" w:themeColor="text1"/>
          <w:sz w:val="22"/>
          <w:szCs w:val="22"/>
        </w:rPr>
        <w:t>lugar</w:t>
      </w:r>
      <w:r w:rsidR="009743AF" w:rsidRPr="00631B40">
        <w:rPr>
          <w:rFonts w:ascii="Arial" w:hAnsi="Arial" w:cs="Arial"/>
          <w:color w:val="000000" w:themeColor="text1"/>
          <w:sz w:val="22"/>
          <w:szCs w:val="22"/>
        </w:rPr>
        <w:t xml:space="preserve"> a reabrir discusiones sobre actos administrativos</w:t>
      </w:r>
      <w:r w:rsidR="00FD0094" w:rsidRPr="00631B40">
        <w:rPr>
          <w:rFonts w:ascii="Arial" w:hAnsi="Arial" w:cs="Arial"/>
          <w:color w:val="000000" w:themeColor="text1"/>
          <w:sz w:val="22"/>
          <w:szCs w:val="22"/>
        </w:rPr>
        <w:t xml:space="preserve"> </w:t>
      </w:r>
      <w:r w:rsidR="00D43EF5" w:rsidRPr="00631B40">
        <w:rPr>
          <w:rFonts w:ascii="Arial" w:hAnsi="Arial" w:cs="Arial"/>
          <w:color w:val="000000" w:themeColor="text1"/>
          <w:sz w:val="22"/>
          <w:szCs w:val="22"/>
        </w:rPr>
        <w:t>en firme</w:t>
      </w:r>
      <w:r w:rsidR="00014B0D" w:rsidRPr="00631B40">
        <w:rPr>
          <w:rFonts w:ascii="Arial" w:hAnsi="Arial" w:cs="Arial"/>
          <w:color w:val="000000" w:themeColor="text1"/>
          <w:sz w:val="22"/>
          <w:szCs w:val="22"/>
        </w:rPr>
        <w:t xml:space="preserve"> </w:t>
      </w:r>
      <w:r w:rsidR="00D43EF5" w:rsidRPr="00631B40">
        <w:rPr>
          <w:rFonts w:ascii="Arial" w:hAnsi="Arial" w:cs="Arial"/>
          <w:color w:val="000000" w:themeColor="text1"/>
          <w:sz w:val="22"/>
          <w:szCs w:val="22"/>
        </w:rPr>
        <w:t xml:space="preserve">o frente a los cuales </w:t>
      </w:r>
      <w:r w:rsidR="00014B0D" w:rsidRPr="00631B40">
        <w:rPr>
          <w:rFonts w:ascii="Arial" w:hAnsi="Arial" w:cs="Arial"/>
          <w:color w:val="000000" w:themeColor="text1"/>
          <w:sz w:val="22"/>
          <w:szCs w:val="22"/>
        </w:rPr>
        <w:t>el debate</w:t>
      </w:r>
      <w:r w:rsidR="00D43EF5" w:rsidRPr="00631B40">
        <w:rPr>
          <w:rFonts w:ascii="Arial" w:hAnsi="Arial" w:cs="Arial"/>
          <w:color w:val="000000" w:themeColor="text1"/>
          <w:sz w:val="22"/>
          <w:szCs w:val="22"/>
        </w:rPr>
        <w:t xml:space="preserve"> debe </w:t>
      </w:r>
      <w:r w:rsidR="00014B0D" w:rsidRPr="00631B40">
        <w:rPr>
          <w:rFonts w:ascii="Arial" w:hAnsi="Arial" w:cs="Arial"/>
          <w:color w:val="000000" w:themeColor="text1"/>
          <w:sz w:val="22"/>
          <w:szCs w:val="22"/>
        </w:rPr>
        <w:t>resolverse</w:t>
      </w:r>
      <w:r w:rsidR="00D43EF5" w:rsidRPr="00631B40">
        <w:rPr>
          <w:rFonts w:ascii="Arial" w:hAnsi="Arial" w:cs="Arial"/>
          <w:color w:val="000000" w:themeColor="text1"/>
          <w:sz w:val="22"/>
          <w:szCs w:val="22"/>
        </w:rPr>
        <w:t xml:space="preserve"> en sede jurisdiccional.</w:t>
      </w:r>
    </w:p>
    <w:p w14:paraId="2B296E44" w14:textId="77777777" w:rsidR="008E0FAA" w:rsidRPr="00631B40" w:rsidRDefault="008E0FAA" w:rsidP="008E0FAA">
      <w:pPr>
        <w:spacing w:before="120" w:line="276" w:lineRule="auto"/>
        <w:jc w:val="both"/>
        <w:rPr>
          <w:rFonts w:ascii="Arial" w:eastAsiaTheme="minorHAnsi" w:hAnsi="Arial" w:cs="Arial"/>
          <w:sz w:val="22"/>
          <w:szCs w:val="22"/>
          <w:lang w:val="es-ES_tradnl" w:eastAsia="en-US"/>
        </w:rPr>
      </w:pPr>
    </w:p>
    <w:bookmarkEnd w:id="13"/>
    <w:p w14:paraId="77EE5912" w14:textId="59329AC3" w:rsidR="00DD5B04" w:rsidRPr="00631B40" w:rsidRDefault="00DD5B04" w:rsidP="0011177B">
      <w:pPr>
        <w:spacing w:line="276" w:lineRule="auto"/>
        <w:jc w:val="both"/>
        <w:rPr>
          <w:rFonts w:ascii="Arial" w:hAnsi="Arial" w:cs="Arial"/>
          <w:color w:val="000000" w:themeColor="text1"/>
          <w:sz w:val="22"/>
          <w:lang w:val="es-ES_tradnl"/>
        </w:rPr>
      </w:pPr>
      <w:r w:rsidRPr="00631B40">
        <w:rPr>
          <w:rFonts w:ascii="Arial" w:hAnsi="Arial" w:cs="Arial"/>
          <w:color w:val="000000" w:themeColor="text1"/>
          <w:sz w:val="22"/>
          <w:lang w:val="es-ES_tradnl"/>
        </w:rPr>
        <w:t>Este concepto tiene el alcance previsto en el artículo 28 del Código de Procedimiento Administrativo y de</w:t>
      </w:r>
      <w:r w:rsidR="00D40F8B" w:rsidRPr="00631B40">
        <w:rPr>
          <w:rFonts w:ascii="Arial" w:hAnsi="Arial" w:cs="Arial"/>
          <w:color w:val="000000" w:themeColor="text1"/>
          <w:sz w:val="22"/>
          <w:lang w:val="es-ES_tradnl"/>
        </w:rPr>
        <w:t xml:space="preserve"> lo Contencioso Administrativo.</w:t>
      </w:r>
    </w:p>
    <w:p w14:paraId="056816F7" w14:textId="77777777" w:rsidR="00D40F8B" w:rsidRPr="00631B40" w:rsidRDefault="00D40F8B" w:rsidP="00D40F8B">
      <w:pPr>
        <w:spacing w:before="120" w:line="276" w:lineRule="auto"/>
        <w:jc w:val="both"/>
        <w:rPr>
          <w:rFonts w:ascii="Arial" w:hAnsi="Arial" w:cs="Arial"/>
          <w:color w:val="000000" w:themeColor="text1"/>
          <w:sz w:val="22"/>
          <w:lang w:val="es-ES_tradnl"/>
        </w:rPr>
      </w:pPr>
    </w:p>
    <w:p w14:paraId="349855C9" w14:textId="64A189C0" w:rsidR="00D40F8B" w:rsidRPr="00631B4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631B40">
        <w:rPr>
          <w:rFonts w:ascii="Arial" w:hAnsi="Arial" w:cs="Arial"/>
          <w:color w:val="000000" w:themeColor="text1"/>
          <w:sz w:val="22"/>
          <w:szCs w:val="22"/>
          <w:lang w:val="es-ES_tradnl"/>
        </w:rPr>
        <w:t>Atentamente,</w:t>
      </w:r>
    </w:p>
    <w:p w14:paraId="242E7F6A" w14:textId="77777777" w:rsidR="00401373" w:rsidRPr="00631B40" w:rsidRDefault="00401373"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bookmarkEnd w:id="3"/>
    <w:p w14:paraId="0605F336" w14:textId="093DA452" w:rsidR="00D6190D" w:rsidRPr="00631B40" w:rsidRDefault="00544EED" w:rsidP="00631B40">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1CD59E88" wp14:editId="4A2F787C">
            <wp:extent cx="2519045" cy="104902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9045" cy="1049020"/>
                    </a:xfrm>
                    <a:prstGeom prst="rect">
                      <a:avLst/>
                    </a:prstGeom>
                    <a:noFill/>
                    <a:ln>
                      <a:noFill/>
                    </a:ln>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6190D" w:rsidRPr="00631B40" w14:paraId="7FFE11D9" w14:textId="77777777" w:rsidTr="00EA7D90">
        <w:trPr>
          <w:trHeight w:val="315"/>
        </w:trPr>
        <w:tc>
          <w:tcPr>
            <w:tcW w:w="812" w:type="dxa"/>
            <w:vAlign w:val="center"/>
            <w:hideMark/>
          </w:tcPr>
          <w:p w14:paraId="6118DC95" w14:textId="77777777" w:rsidR="00D6190D" w:rsidRPr="00631B40" w:rsidRDefault="00D6190D" w:rsidP="00EA7D90">
            <w:pPr>
              <w:jc w:val="both"/>
              <w:rPr>
                <w:rFonts w:ascii="Arial" w:hAnsi="Arial" w:cs="Arial"/>
                <w:color w:val="000000" w:themeColor="text1"/>
                <w:sz w:val="16"/>
                <w:szCs w:val="16"/>
                <w:lang w:val="es-ES_tradnl" w:eastAsia="es-ES"/>
              </w:rPr>
            </w:pPr>
            <w:r w:rsidRPr="00631B40">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83C06BA" w14:textId="77777777" w:rsidR="00665CEF" w:rsidRPr="00631B40" w:rsidRDefault="00665CEF" w:rsidP="00665CEF">
            <w:pPr>
              <w:jc w:val="both"/>
              <w:rPr>
                <w:rFonts w:ascii="Arial" w:hAnsi="Arial" w:cs="Arial"/>
                <w:color w:val="000000" w:themeColor="text1"/>
                <w:sz w:val="16"/>
                <w:szCs w:val="16"/>
                <w:lang w:val="es-ES_tradnl" w:eastAsia="es-ES"/>
              </w:rPr>
            </w:pPr>
            <w:r w:rsidRPr="00631B40">
              <w:rPr>
                <w:rFonts w:ascii="Arial" w:hAnsi="Arial" w:cs="Arial"/>
                <w:color w:val="000000" w:themeColor="text1"/>
                <w:sz w:val="16"/>
                <w:szCs w:val="16"/>
                <w:lang w:val="es-ES_tradnl" w:eastAsia="es-ES"/>
              </w:rPr>
              <w:t>Sebastián Ramírez Grisales</w:t>
            </w:r>
          </w:p>
          <w:p w14:paraId="6CEDF5DD" w14:textId="109B8474" w:rsidR="00D6190D" w:rsidRPr="00631B40" w:rsidRDefault="00665CEF" w:rsidP="00EA7D90">
            <w:pPr>
              <w:jc w:val="both"/>
              <w:rPr>
                <w:rFonts w:ascii="Arial" w:hAnsi="Arial" w:cs="Arial"/>
                <w:color w:val="000000" w:themeColor="text1"/>
                <w:sz w:val="16"/>
                <w:szCs w:val="16"/>
                <w:lang w:val="es-ES_tradnl" w:eastAsia="es-ES"/>
              </w:rPr>
            </w:pPr>
            <w:r w:rsidRPr="00631B40">
              <w:rPr>
                <w:rFonts w:ascii="Arial" w:hAnsi="Arial" w:cs="Arial"/>
                <w:color w:val="000000" w:themeColor="text1"/>
                <w:sz w:val="16"/>
                <w:szCs w:val="16"/>
                <w:lang w:val="es-ES_tradnl" w:eastAsia="es-ES"/>
              </w:rPr>
              <w:t>Contratista de la Subdirección de Gestión Contractual</w:t>
            </w:r>
          </w:p>
        </w:tc>
      </w:tr>
      <w:tr w:rsidR="00D6190D" w:rsidRPr="00631B40" w14:paraId="7ED0EBAE" w14:textId="77777777" w:rsidTr="00EA7D90">
        <w:trPr>
          <w:trHeight w:val="330"/>
        </w:trPr>
        <w:tc>
          <w:tcPr>
            <w:tcW w:w="812" w:type="dxa"/>
            <w:vAlign w:val="center"/>
            <w:hideMark/>
          </w:tcPr>
          <w:p w14:paraId="50FFA7B2" w14:textId="77777777" w:rsidR="00D6190D" w:rsidRPr="00631B40" w:rsidRDefault="00D6190D" w:rsidP="00EA7D90">
            <w:pPr>
              <w:jc w:val="both"/>
              <w:rPr>
                <w:rFonts w:ascii="Arial" w:hAnsi="Arial" w:cs="Arial"/>
                <w:color w:val="000000" w:themeColor="text1"/>
                <w:sz w:val="16"/>
                <w:szCs w:val="16"/>
                <w:lang w:val="es-ES_tradnl" w:eastAsia="es-ES"/>
              </w:rPr>
            </w:pPr>
            <w:r w:rsidRPr="00631B40">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9D21BDE" w14:textId="77777777" w:rsidR="00665CEF" w:rsidRPr="00631B40" w:rsidRDefault="00665CEF" w:rsidP="00665CEF">
            <w:pPr>
              <w:jc w:val="both"/>
              <w:rPr>
                <w:rFonts w:ascii="Arial" w:hAnsi="Arial" w:cs="Arial"/>
                <w:color w:val="000000" w:themeColor="text1"/>
                <w:sz w:val="16"/>
                <w:szCs w:val="16"/>
                <w:lang w:val="es-ES_tradnl" w:eastAsia="es-ES"/>
              </w:rPr>
            </w:pPr>
            <w:r w:rsidRPr="00631B40">
              <w:rPr>
                <w:rFonts w:ascii="Arial" w:hAnsi="Arial" w:cs="Arial"/>
                <w:color w:val="000000" w:themeColor="text1"/>
                <w:sz w:val="16"/>
                <w:szCs w:val="16"/>
                <w:lang w:val="es-ES_tradnl" w:eastAsia="es-ES"/>
              </w:rPr>
              <w:t>Juan David Marín López</w:t>
            </w:r>
          </w:p>
          <w:p w14:paraId="44CCC5E6" w14:textId="6DB8DEEE" w:rsidR="00D6190D" w:rsidRPr="00631B40" w:rsidRDefault="00665CEF" w:rsidP="00EA7D90">
            <w:pPr>
              <w:jc w:val="both"/>
              <w:rPr>
                <w:rFonts w:ascii="Arial" w:hAnsi="Arial" w:cs="Arial"/>
                <w:color w:val="000000" w:themeColor="text1"/>
                <w:sz w:val="16"/>
                <w:szCs w:val="16"/>
                <w:lang w:val="es-ES_tradnl" w:eastAsia="es-ES"/>
              </w:rPr>
            </w:pPr>
            <w:r w:rsidRPr="00631B40">
              <w:rPr>
                <w:rFonts w:ascii="Arial" w:hAnsi="Arial" w:cs="Arial"/>
                <w:color w:val="000000" w:themeColor="text1"/>
                <w:sz w:val="16"/>
                <w:szCs w:val="16"/>
                <w:lang w:val="es-ES_tradnl" w:eastAsia="es-ES"/>
              </w:rPr>
              <w:t>Subdirector de Gestión Contractual (E)</w:t>
            </w:r>
          </w:p>
        </w:tc>
      </w:tr>
      <w:tr w:rsidR="00D6190D" w:rsidRPr="008E7053" w14:paraId="3D88EBD8" w14:textId="77777777" w:rsidTr="00EA7D90">
        <w:trPr>
          <w:trHeight w:val="300"/>
        </w:trPr>
        <w:tc>
          <w:tcPr>
            <w:tcW w:w="812" w:type="dxa"/>
            <w:vAlign w:val="center"/>
            <w:hideMark/>
          </w:tcPr>
          <w:p w14:paraId="2FEE7E54" w14:textId="77777777" w:rsidR="00D6190D" w:rsidRPr="00631B40" w:rsidRDefault="00D6190D" w:rsidP="00EA7D90">
            <w:pPr>
              <w:jc w:val="both"/>
              <w:rPr>
                <w:rFonts w:ascii="Arial" w:hAnsi="Arial" w:cs="Arial"/>
                <w:color w:val="000000" w:themeColor="text1"/>
                <w:sz w:val="16"/>
                <w:szCs w:val="16"/>
                <w:lang w:val="es-ES_tradnl" w:eastAsia="es-ES"/>
              </w:rPr>
            </w:pPr>
            <w:r w:rsidRPr="00631B40">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E3E294B" w14:textId="77777777" w:rsidR="00C4060A" w:rsidRPr="00631B40" w:rsidRDefault="00C4060A" w:rsidP="00C4060A">
            <w:pPr>
              <w:jc w:val="both"/>
              <w:rPr>
                <w:rFonts w:ascii="Arial" w:hAnsi="Arial" w:cs="Arial"/>
                <w:color w:val="000000" w:themeColor="text1"/>
                <w:sz w:val="16"/>
                <w:szCs w:val="16"/>
                <w:lang w:val="es-ES_tradnl" w:eastAsia="es-ES"/>
              </w:rPr>
            </w:pPr>
            <w:r w:rsidRPr="00631B40">
              <w:rPr>
                <w:rFonts w:ascii="Arial" w:hAnsi="Arial" w:cs="Arial"/>
                <w:color w:val="000000" w:themeColor="text1"/>
                <w:sz w:val="16"/>
                <w:szCs w:val="16"/>
                <w:lang w:val="es-ES_tradnl" w:eastAsia="es-ES"/>
              </w:rPr>
              <w:t>Juan David Marín López</w:t>
            </w:r>
          </w:p>
          <w:p w14:paraId="6F5C2874" w14:textId="72363B04" w:rsidR="00D6190D" w:rsidRPr="008E7053" w:rsidRDefault="00C4060A" w:rsidP="00EA7D90">
            <w:pPr>
              <w:jc w:val="both"/>
              <w:rPr>
                <w:rFonts w:ascii="Arial" w:hAnsi="Arial" w:cs="Arial"/>
                <w:color w:val="000000" w:themeColor="text1"/>
                <w:sz w:val="16"/>
                <w:szCs w:val="16"/>
                <w:lang w:val="es-ES_tradnl" w:eastAsia="es-ES"/>
              </w:rPr>
            </w:pPr>
            <w:r w:rsidRPr="00631B40">
              <w:rPr>
                <w:rFonts w:ascii="Arial" w:hAnsi="Arial" w:cs="Arial"/>
                <w:color w:val="000000" w:themeColor="text1"/>
                <w:sz w:val="16"/>
                <w:szCs w:val="16"/>
                <w:lang w:val="es-ES_tradnl" w:eastAsia="es-ES"/>
              </w:rPr>
              <w:t>Subdirector de Gestión Contractual (E)</w:t>
            </w:r>
          </w:p>
        </w:tc>
      </w:tr>
    </w:tbl>
    <w:p w14:paraId="48CC8121" w14:textId="77777777" w:rsidR="00D6190D" w:rsidRPr="008E7053" w:rsidRDefault="00D6190D" w:rsidP="00F51022">
      <w:pPr>
        <w:rPr>
          <w:rFonts w:ascii="Arial" w:hAnsi="Arial" w:cs="Arial"/>
          <w:lang w:val="es-ES_tradnl"/>
        </w:rPr>
      </w:pPr>
    </w:p>
    <w:sectPr w:rsidR="00D6190D" w:rsidRPr="008E7053"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0B6C4" w14:textId="77777777" w:rsidR="00BF4570" w:rsidRDefault="00BF4570">
      <w:r>
        <w:separator/>
      </w:r>
    </w:p>
  </w:endnote>
  <w:endnote w:type="continuationSeparator" w:id="0">
    <w:p w14:paraId="5D1283E6" w14:textId="77777777" w:rsidR="00BF4570" w:rsidRDefault="00BF4570">
      <w:r>
        <w:continuationSeparator/>
      </w:r>
    </w:p>
  </w:endnote>
  <w:endnote w:type="continuationNotice" w:id="1">
    <w:p w14:paraId="7DE56D19" w14:textId="77777777" w:rsidR="00BF4570" w:rsidRDefault="00BF45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C36B1" w:rsidRPr="008217B7" w:rsidRDefault="00EC36B1"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A41BA">
      <w:rPr>
        <w:rFonts w:ascii="Arial" w:hAnsi="Arial" w:cs="Arial"/>
        <w:b/>
        <w:bCs/>
        <w:noProof/>
        <w:color w:val="7F7F7F" w:themeColor="text1" w:themeTint="80"/>
        <w:sz w:val="16"/>
        <w:szCs w:val="16"/>
      </w:rPr>
      <w:t>20</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A41BA">
      <w:rPr>
        <w:rFonts w:ascii="Arial" w:hAnsi="Arial" w:cs="Arial"/>
        <w:b/>
        <w:bCs/>
        <w:noProof/>
        <w:color w:val="7F7F7F" w:themeColor="text1" w:themeTint="80"/>
        <w:sz w:val="16"/>
        <w:szCs w:val="16"/>
      </w:rPr>
      <w:t>20</w:t>
    </w:r>
    <w:r w:rsidRPr="00084B97">
      <w:rPr>
        <w:rFonts w:ascii="Arial" w:hAnsi="Arial" w:cs="Arial"/>
        <w:b/>
        <w:bCs/>
        <w:color w:val="7F7F7F" w:themeColor="text1" w:themeTint="80"/>
        <w:sz w:val="16"/>
        <w:szCs w:val="16"/>
      </w:rPr>
      <w:fldChar w:fldCharType="end"/>
    </w:r>
  </w:p>
  <w:p w14:paraId="48FC6A04" w14:textId="5FD1A7C9" w:rsidR="00EC36B1" w:rsidRDefault="00EC36B1"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C36B1" w:rsidRDefault="00EC36B1" w:rsidP="007B0854">
    <w:pPr>
      <w:pStyle w:val="Piedepgina"/>
      <w:jc w:val="center"/>
      <w:rPr>
        <w:lang w:val="es-ES"/>
      </w:rPr>
    </w:pPr>
  </w:p>
  <w:p w14:paraId="6C0EFC49" w14:textId="77777777" w:rsidR="00EC36B1" w:rsidRPr="007B0854" w:rsidRDefault="00EC36B1"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00094" w14:textId="77777777" w:rsidR="00BF4570" w:rsidRDefault="00BF4570">
      <w:r>
        <w:separator/>
      </w:r>
    </w:p>
  </w:footnote>
  <w:footnote w:type="continuationSeparator" w:id="0">
    <w:p w14:paraId="75D7D30B" w14:textId="77777777" w:rsidR="00BF4570" w:rsidRDefault="00BF4570">
      <w:r>
        <w:continuationSeparator/>
      </w:r>
    </w:p>
  </w:footnote>
  <w:footnote w:type="continuationNotice" w:id="1">
    <w:p w14:paraId="62415D92" w14:textId="77777777" w:rsidR="00BF4570" w:rsidRDefault="00BF4570"/>
  </w:footnote>
  <w:footnote w:id="2">
    <w:p w14:paraId="2C86444E" w14:textId="5AF60EC3" w:rsidR="009872C5" w:rsidRPr="004B7910" w:rsidRDefault="009872C5" w:rsidP="009872C5">
      <w:pPr>
        <w:pStyle w:val="Textonotapie"/>
        <w:ind w:firstLine="708"/>
        <w:jc w:val="both"/>
        <w:rPr>
          <w:rFonts w:ascii="Arial" w:hAnsi="Arial" w:cs="Arial"/>
          <w:sz w:val="19"/>
          <w:szCs w:val="19"/>
        </w:rPr>
      </w:pPr>
      <w:r w:rsidRPr="004B7910">
        <w:rPr>
          <w:rStyle w:val="Refdenotaalpie"/>
          <w:rFonts w:ascii="Arial" w:hAnsi="Arial" w:cs="Arial"/>
          <w:sz w:val="19"/>
          <w:szCs w:val="19"/>
        </w:rPr>
        <w:footnoteRef/>
      </w:r>
      <w:r w:rsidRPr="004B7910">
        <w:rPr>
          <w:rFonts w:ascii="Arial" w:hAnsi="Arial" w:cs="Arial"/>
          <w:sz w:val="19"/>
          <w:szCs w:val="19"/>
        </w:rPr>
        <w:t xml:space="preserve"> Conviene señalar que el término de respuesta frente a la petición de la referencia fue ampliado mediante comunicación del 26 de julio de 2022.</w:t>
      </w:r>
    </w:p>
  </w:footnote>
  <w:footnote w:id="3">
    <w:p w14:paraId="7177A302" w14:textId="41A7AA38" w:rsidR="003F63EE" w:rsidRPr="004B7910" w:rsidRDefault="003F63EE" w:rsidP="009872C5">
      <w:pPr>
        <w:pStyle w:val="Textonotapie"/>
        <w:ind w:firstLine="709"/>
        <w:jc w:val="both"/>
        <w:rPr>
          <w:rFonts w:ascii="Arial" w:hAnsi="Arial" w:cs="Arial"/>
          <w:color w:val="000000" w:themeColor="text1"/>
          <w:sz w:val="19"/>
          <w:szCs w:val="19"/>
        </w:rPr>
      </w:pPr>
      <w:r w:rsidRPr="004B7910">
        <w:rPr>
          <w:rStyle w:val="Refdenotaalpie"/>
          <w:rFonts w:ascii="Arial" w:hAnsi="Arial" w:cs="Arial"/>
          <w:color w:val="000000" w:themeColor="text1"/>
          <w:sz w:val="19"/>
          <w:szCs w:val="19"/>
        </w:rPr>
        <w:footnoteRef/>
      </w:r>
      <w:r w:rsidRPr="004B7910">
        <w:rPr>
          <w:rFonts w:ascii="Arial" w:hAnsi="Arial" w:cs="Arial"/>
          <w:color w:val="000000" w:themeColor="text1"/>
          <w:sz w:val="19"/>
          <w:szCs w:val="19"/>
        </w:rPr>
        <w:t xml:space="preserve"> </w:t>
      </w:r>
      <w:r w:rsidRPr="004B7910">
        <w:rPr>
          <w:rFonts w:ascii="Arial" w:hAnsi="Arial" w:cs="Arial"/>
          <w:color w:val="000000" w:themeColor="text1"/>
          <w:sz w:val="19"/>
          <w:szCs w:val="19"/>
          <w:lang w:val="es-ES"/>
        </w:rPr>
        <w:t xml:space="preserve">Sobre el particular, se puede consultar la Gaceta 158 del cuarto debate en el Senado. Disponible en: </w:t>
      </w:r>
      <w:hyperlink r:id="rId1" w:history="1">
        <w:r w:rsidRPr="004B7910">
          <w:rPr>
            <w:rFonts w:ascii="Arial" w:hAnsi="Arial" w:cs="Arial"/>
            <w:color w:val="000000" w:themeColor="text1"/>
            <w:sz w:val="19"/>
            <w:szCs w:val="19"/>
            <w:lang w:val="es-ES"/>
          </w:rPr>
          <w:t>http://svrpubindc.imprenta.gov.co/senado/index.xhtml;jsessionid=b3ba7213a248bacd37376ffcedca</w:t>
        </w:r>
      </w:hyperlink>
      <w:r w:rsidR="002B17AD" w:rsidRPr="004B7910">
        <w:rPr>
          <w:rFonts w:ascii="Arial" w:hAnsi="Arial" w:cs="Arial"/>
          <w:color w:val="000000" w:themeColor="text1"/>
          <w:sz w:val="19"/>
          <w:szCs w:val="19"/>
          <w:lang w:val="es-ES"/>
        </w:rPr>
        <w:t xml:space="preserve">  </w:t>
      </w:r>
      <w:r w:rsidRPr="004B7910">
        <w:rPr>
          <w:rFonts w:ascii="Arial" w:hAnsi="Arial" w:cs="Arial"/>
          <w:color w:val="000000" w:themeColor="text1"/>
          <w:sz w:val="19"/>
          <w:szCs w:val="19"/>
        </w:rPr>
        <w:t xml:space="preserve"> </w:t>
      </w:r>
    </w:p>
  </w:footnote>
  <w:footnote w:id="4">
    <w:p w14:paraId="50898B9D" w14:textId="77777777" w:rsidR="003F63EE" w:rsidRPr="004B7910" w:rsidRDefault="003F63EE" w:rsidP="009872C5">
      <w:pPr>
        <w:pStyle w:val="Textonotapie"/>
        <w:ind w:firstLine="709"/>
        <w:jc w:val="both"/>
        <w:rPr>
          <w:rFonts w:ascii="Arial" w:hAnsi="Arial" w:cs="Arial"/>
          <w:color w:val="000000" w:themeColor="text1"/>
          <w:sz w:val="19"/>
          <w:szCs w:val="19"/>
        </w:rPr>
      </w:pPr>
    </w:p>
    <w:p w14:paraId="47BDF827" w14:textId="77777777" w:rsidR="003F63EE" w:rsidRPr="004B7910" w:rsidRDefault="003F63EE" w:rsidP="009872C5">
      <w:pPr>
        <w:pStyle w:val="Textonotapie"/>
        <w:ind w:firstLine="709"/>
        <w:jc w:val="both"/>
        <w:rPr>
          <w:rFonts w:ascii="Arial" w:hAnsi="Arial" w:cs="Arial"/>
          <w:color w:val="000000" w:themeColor="text1"/>
          <w:sz w:val="19"/>
          <w:szCs w:val="19"/>
          <w:lang w:val="es-ES"/>
        </w:rPr>
      </w:pPr>
      <w:r w:rsidRPr="004B7910">
        <w:rPr>
          <w:rStyle w:val="Refdenotaalpie"/>
          <w:rFonts w:ascii="Arial" w:hAnsi="Arial" w:cs="Arial"/>
          <w:color w:val="000000" w:themeColor="text1"/>
          <w:sz w:val="19"/>
          <w:szCs w:val="19"/>
        </w:rPr>
        <w:footnoteRef/>
      </w:r>
      <w:r w:rsidRPr="004B7910">
        <w:rPr>
          <w:rFonts w:ascii="Arial" w:hAnsi="Arial" w:cs="Arial"/>
          <w:color w:val="000000" w:themeColor="text1"/>
          <w:sz w:val="19"/>
          <w:szCs w:val="19"/>
        </w:rPr>
        <w:t xml:space="preserve"> </w:t>
      </w:r>
      <w:r w:rsidRPr="004B7910">
        <w:rPr>
          <w:rFonts w:ascii="Arial" w:hAnsi="Arial" w:cs="Arial"/>
          <w:color w:val="000000" w:themeColor="text1"/>
          <w:sz w:val="19"/>
          <w:szCs w:val="19"/>
          <w:lang w:val="es-ES"/>
        </w:rPr>
        <w:t>Exposición de motivos del Proyecto de Ley No. 025 de 2018 Cámara. Disponible en: http://leyes.senado.gov.co/proyectos/images/documentos/Textos%20Radicados/Ponencias/2018/gaceta_563.pdf</w:t>
      </w:r>
    </w:p>
    <w:p w14:paraId="5DE5BC25" w14:textId="77777777" w:rsidR="003F63EE" w:rsidRPr="004B7910" w:rsidRDefault="003F63EE" w:rsidP="009872C5">
      <w:pPr>
        <w:pStyle w:val="Textonotapie"/>
        <w:ind w:firstLine="709"/>
        <w:jc w:val="both"/>
        <w:rPr>
          <w:rFonts w:ascii="Arial" w:hAnsi="Arial" w:cs="Arial"/>
          <w:color w:val="000000" w:themeColor="text1"/>
          <w:sz w:val="19"/>
          <w:szCs w:val="19"/>
          <w:lang w:val="es-ES"/>
        </w:rPr>
      </w:pPr>
    </w:p>
  </w:footnote>
  <w:footnote w:id="5">
    <w:p w14:paraId="516FB853" w14:textId="77777777" w:rsidR="003F63EE" w:rsidRPr="004B7910" w:rsidRDefault="003F63EE" w:rsidP="009872C5">
      <w:pPr>
        <w:pStyle w:val="Textonotapie"/>
        <w:ind w:firstLine="709"/>
        <w:jc w:val="both"/>
        <w:rPr>
          <w:rFonts w:ascii="Arial" w:hAnsi="Arial" w:cs="Arial"/>
          <w:color w:val="000000" w:themeColor="text1"/>
          <w:sz w:val="19"/>
          <w:szCs w:val="19"/>
          <w:lang w:val="es-ES"/>
        </w:rPr>
      </w:pPr>
      <w:r w:rsidRPr="004B7910">
        <w:rPr>
          <w:rStyle w:val="Refdenotaalpie"/>
          <w:rFonts w:ascii="Arial" w:hAnsi="Arial" w:cs="Arial"/>
          <w:color w:val="000000" w:themeColor="text1"/>
          <w:sz w:val="19"/>
          <w:szCs w:val="19"/>
        </w:rPr>
        <w:footnoteRef/>
      </w:r>
      <w:r w:rsidRPr="004B7910">
        <w:rPr>
          <w:rFonts w:ascii="Arial" w:hAnsi="Arial" w:cs="Arial"/>
          <w:color w:val="000000" w:themeColor="text1"/>
          <w:sz w:val="19"/>
          <w:szCs w:val="19"/>
        </w:rPr>
        <w:t xml:space="preserve"> </w:t>
      </w:r>
      <w:r w:rsidRPr="004B7910">
        <w:rPr>
          <w:rFonts w:ascii="Arial" w:hAnsi="Arial" w:cs="Arial"/>
          <w:color w:val="000000" w:themeColor="text1"/>
          <w:sz w:val="19"/>
          <w:szCs w:val="19"/>
          <w:lang w:val="es-ES"/>
        </w:rPr>
        <w:t>«Artículo 11. Planeación. La secretaría, departamento u oficina de planeación o quien haga sus veces podrá presentar en el plan nacional, departamental, distrital o municipal de desarrollo, según sea el caso, una estrategia o medida de atención para determinar la intervención física de terminación o demolición de aquellas obras que figuren en el Registro Nacional de Obras Civiles Inconclusas durante la vigencia del plan, dando énfasis a las obras que más tiempo llevan en el informe sin ser intervenidas, de acuerdo a la disponibilidad de recursos con que cuente en cada vigencia».</w:t>
      </w:r>
    </w:p>
    <w:p w14:paraId="45FF1CAC" w14:textId="77777777" w:rsidR="003F63EE" w:rsidRPr="004B7910" w:rsidRDefault="003F63EE" w:rsidP="009872C5">
      <w:pPr>
        <w:pStyle w:val="Textonotapie"/>
        <w:ind w:firstLine="709"/>
        <w:jc w:val="both"/>
        <w:rPr>
          <w:rFonts w:ascii="Arial" w:hAnsi="Arial" w:cs="Arial"/>
          <w:color w:val="000000" w:themeColor="text1"/>
          <w:sz w:val="19"/>
          <w:szCs w:val="19"/>
          <w:lang w:val="es-CO"/>
        </w:rPr>
      </w:pPr>
    </w:p>
  </w:footnote>
  <w:footnote w:id="6">
    <w:p w14:paraId="7E98267F" w14:textId="77777777" w:rsidR="005E1927" w:rsidRPr="004B7910" w:rsidRDefault="005E1927" w:rsidP="009872C5">
      <w:pPr>
        <w:pStyle w:val="Textonotapie"/>
        <w:ind w:firstLine="709"/>
        <w:jc w:val="both"/>
        <w:rPr>
          <w:rFonts w:ascii="Arial" w:hAnsi="Arial" w:cs="Arial"/>
          <w:color w:val="000000" w:themeColor="text1"/>
          <w:sz w:val="19"/>
          <w:szCs w:val="19"/>
          <w:lang w:val="es-ES"/>
        </w:rPr>
      </w:pPr>
      <w:r w:rsidRPr="004B7910">
        <w:rPr>
          <w:rStyle w:val="Refdenotaalpie"/>
          <w:rFonts w:ascii="Arial" w:hAnsi="Arial" w:cs="Arial"/>
          <w:color w:val="000000" w:themeColor="text1"/>
          <w:sz w:val="19"/>
          <w:szCs w:val="19"/>
        </w:rPr>
        <w:footnoteRef/>
      </w:r>
      <w:r w:rsidRPr="004B7910">
        <w:rPr>
          <w:rFonts w:ascii="Arial" w:hAnsi="Arial" w:cs="Arial"/>
          <w:color w:val="000000" w:themeColor="text1"/>
          <w:sz w:val="19"/>
          <w:szCs w:val="19"/>
        </w:rPr>
        <w:t xml:space="preserve"> </w:t>
      </w:r>
      <w:r w:rsidRPr="004B7910">
        <w:rPr>
          <w:rFonts w:ascii="Arial" w:hAnsi="Arial" w:cs="Arial"/>
          <w:color w:val="000000" w:themeColor="text1"/>
          <w:sz w:val="19"/>
          <w:szCs w:val="19"/>
          <w:lang w:val="es-ES"/>
        </w:rPr>
        <w:t>Dicho artículo establece: «Créese el Registro Nacional de Obras Civiles Inconclusas, bajo la dirección y coordinación de la Dirección de Información, Análisis y Reacción Inmediata de la Contraloría General de la República, el cual contendrá el inventario actualizado de obras civiles inconclusas y estará compuesto por la información reportada por las entidades estatales del orden nacional, departamental, municipal, distrital y demás órdenes institucionales, sobre las obras civiles inconclusas de su jurisdicción, o la información obtenida por la Contraloría General de la República sobre el particular.</w:t>
      </w:r>
    </w:p>
    <w:p w14:paraId="2E09DEA8" w14:textId="56AA4B83" w:rsidR="005E1927" w:rsidRPr="004B7910" w:rsidRDefault="005E1927" w:rsidP="009872C5">
      <w:pPr>
        <w:pStyle w:val="Textonotapie"/>
        <w:ind w:firstLine="709"/>
        <w:jc w:val="both"/>
        <w:rPr>
          <w:rFonts w:ascii="Arial" w:hAnsi="Arial" w:cs="Arial"/>
          <w:color w:val="000000" w:themeColor="text1"/>
          <w:sz w:val="19"/>
          <w:szCs w:val="19"/>
          <w:lang w:val="es-ES"/>
        </w:rPr>
      </w:pPr>
      <w:r w:rsidRPr="004B7910">
        <w:rPr>
          <w:rFonts w:ascii="Arial" w:hAnsi="Arial" w:cs="Arial"/>
          <w:color w:val="000000" w:themeColor="text1"/>
          <w:sz w:val="19"/>
          <w:szCs w:val="19"/>
          <w:lang w:val="es-ES"/>
        </w:rPr>
        <w:t>»La Contraloría General de la República y las entidades estatales deberán realizar el seguimiento y actualización del Registro Nacional de Obras Civiles Inconclusas con el fin de establecer la realidad respecto de la condición técnica, física y financiera de aquellas. […]».</w:t>
      </w:r>
    </w:p>
    <w:p w14:paraId="5E1FC1EC" w14:textId="77777777" w:rsidR="007C5A38" w:rsidRPr="004B7910" w:rsidRDefault="007C5A38" w:rsidP="009872C5">
      <w:pPr>
        <w:pStyle w:val="Textonotapie"/>
        <w:ind w:firstLine="709"/>
        <w:jc w:val="both"/>
        <w:rPr>
          <w:rFonts w:ascii="Arial" w:hAnsi="Arial" w:cs="Arial"/>
          <w:color w:val="000000" w:themeColor="text1"/>
          <w:sz w:val="19"/>
          <w:szCs w:val="19"/>
          <w:lang w:val="es-ES"/>
        </w:rPr>
      </w:pPr>
    </w:p>
  </w:footnote>
  <w:footnote w:id="7">
    <w:p w14:paraId="4BAFAB12" w14:textId="77777777" w:rsidR="005E1927" w:rsidRPr="004B7910" w:rsidRDefault="005E1927" w:rsidP="009872C5">
      <w:pPr>
        <w:pStyle w:val="Textonotapie"/>
        <w:ind w:firstLine="709"/>
        <w:jc w:val="both"/>
        <w:rPr>
          <w:rFonts w:ascii="Arial" w:hAnsi="Arial" w:cs="Arial"/>
          <w:color w:val="000000" w:themeColor="text1"/>
          <w:sz w:val="19"/>
          <w:szCs w:val="19"/>
          <w:lang w:val="es-ES"/>
        </w:rPr>
      </w:pPr>
      <w:r w:rsidRPr="004B7910">
        <w:rPr>
          <w:rStyle w:val="Refdenotaalpie"/>
          <w:rFonts w:ascii="Arial" w:hAnsi="Arial" w:cs="Arial"/>
          <w:color w:val="000000" w:themeColor="text1"/>
          <w:sz w:val="19"/>
          <w:szCs w:val="19"/>
        </w:rPr>
        <w:footnoteRef/>
      </w:r>
      <w:r w:rsidRPr="004B7910">
        <w:rPr>
          <w:rFonts w:ascii="Arial" w:hAnsi="Arial" w:cs="Arial"/>
          <w:color w:val="000000" w:themeColor="text1"/>
          <w:sz w:val="19"/>
          <w:szCs w:val="19"/>
        </w:rPr>
        <w:t xml:space="preserve"> </w:t>
      </w:r>
      <w:r w:rsidRPr="004B7910">
        <w:rPr>
          <w:rFonts w:ascii="Arial" w:hAnsi="Arial" w:cs="Arial"/>
          <w:color w:val="000000" w:themeColor="text1"/>
          <w:sz w:val="19"/>
          <w:szCs w:val="19"/>
          <w:lang w:val="es-ES"/>
        </w:rPr>
        <w:t xml:space="preserve">Sobre la competencia de la Contraloría General de la República respecto de la administración del Registro Nacional de Obras Civiles Inconclusas, puede consultarse la circular con radicado No. 2020EE0096013 del 28 de agosto de 2020, en el siguiente enlace: </w:t>
      </w:r>
      <w:hyperlink r:id="rId2" w:history="1">
        <w:r w:rsidRPr="004B7910">
          <w:rPr>
            <w:rStyle w:val="Hipervnculo"/>
            <w:rFonts w:ascii="Arial" w:hAnsi="Arial" w:cs="Arial"/>
            <w:color w:val="000000" w:themeColor="text1"/>
            <w:sz w:val="19"/>
            <w:szCs w:val="19"/>
            <w:u w:val="none"/>
            <w:lang w:val="es-ES"/>
          </w:rPr>
          <w:t>https://www.contraloria.gov.co/documents/20181/1776254/CIRCULAR_2020EE0096013_REGISTRO_NACIONAL_OBRAS_INCONCLUSAS.PDF/785952d4-4b41-48cb-916b-4881c3b4a095</w:t>
        </w:r>
      </w:hyperlink>
    </w:p>
    <w:p w14:paraId="2D42BBCA" w14:textId="77777777" w:rsidR="005E1927" w:rsidRPr="004B7910" w:rsidRDefault="005E1927" w:rsidP="009872C5">
      <w:pPr>
        <w:pStyle w:val="Textonotapie"/>
        <w:ind w:firstLine="709"/>
        <w:jc w:val="both"/>
        <w:rPr>
          <w:rFonts w:ascii="Arial" w:hAnsi="Arial" w:cs="Arial"/>
          <w:color w:val="000000" w:themeColor="text1"/>
          <w:sz w:val="19"/>
          <w:szCs w:val="19"/>
          <w:lang w:val="es-ES"/>
        </w:rPr>
      </w:pPr>
    </w:p>
  </w:footnote>
  <w:footnote w:id="8">
    <w:p w14:paraId="742AFD96" w14:textId="77777777" w:rsidR="005E1927" w:rsidRPr="004B7910" w:rsidRDefault="005E1927" w:rsidP="009872C5">
      <w:pPr>
        <w:pStyle w:val="Textonotapie"/>
        <w:ind w:firstLine="709"/>
        <w:jc w:val="both"/>
        <w:rPr>
          <w:rFonts w:ascii="Arial" w:eastAsia="Calibri" w:hAnsi="Arial" w:cs="Arial"/>
          <w:color w:val="000000" w:themeColor="text1"/>
          <w:sz w:val="19"/>
          <w:szCs w:val="19"/>
          <w:lang w:val="es-ES_tradnl" w:eastAsia="en-GB"/>
        </w:rPr>
      </w:pPr>
      <w:r w:rsidRPr="004B7910">
        <w:rPr>
          <w:rStyle w:val="Refdenotaalpie"/>
          <w:rFonts w:ascii="Arial" w:hAnsi="Arial" w:cs="Arial"/>
          <w:color w:val="000000" w:themeColor="text1"/>
          <w:sz w:val="19"/>
          <w:szCs w:val="19"/>
        </w:rPr>
        <w:footnoteRef/>
      </w:r>
      <w:r w:rsidRPr="004B7910">
        <w:rPr>
          <w:rFonts w:ascii="Arial" w:hAnsi="Arial" w:cs="Arial"/>
          <w:color w:val="000000" w:themeColor="text1"/>
          <w:sz w:val="19"/>
          <w:szCs w:val="19"/>
        </w:rPr>
        <w:t xml:space="preserve"> </w:t>
      </w:r>
      <w:r w:rsidRPr="004B7910">
        <w:rPr>
          <w:rFonts w:ascii="Arial" w:hAnsi="Arial" w:cs="Arial"/>
          <w:color w:val="000000" w:themeColor="text1"/>
          <w:sz w:val="19"/>
          <w:szCs w:val="19"/>
          <w:lang w:val="es-CO"/>
        </w:rPr>
        <w:t xml:space="preserve">Al respecto, el parágrafo 3 </w:t>
      </w:r>
      <w:r w:rsidRPr="004B7910">
        <w:rPr>
          <w:rFonts w:ascii="Arial" w:eastAsia="Calibri" w:hAnsi="Arial" w:cs="Arial"/>
          <w:color w:val="000000" w:themeColor="text1"/>
          <w:sz w:val="19"/>
          <w:szCs w:val="19"/>
          <w:lang w:val="es-ES_tradnl" w:eastAsia="en-GB"/>
        </w:rPr>
        <w:t xml:space="preserve">del artículo 3 de la Ley 2020 de 2020 establece lo siguiente: </w:t>
      </w:r>
      <w:r w:rsidRPr="004B7910">
        <w:rPr>
          <w:rFonts w:ascii="Arial" w:hAnsi="Arial" w:cs="Arial"/>
          <w:color w:val="000000" w:themeColor="text1"/>
          <w:sz w:val="19"/>
          <w:szCs w:val="19"/>
          <w:lang w:val="es-ES"/>
        </w:rPr>
        <w:t>«</w:t>
      </w:r>
      <w:r w:rsidRPr="004B7910">
        <w:rPr>
          <w:rFonts w:ascii="Arial" w:eastAsia="Calibri" w:hAnsi="Arial" w:cs="Arial"/>
          <w:color w:val="000000" w:themeColor="text1"/>
          <w:sz w:val="19"/>
          <w:szCs w:val="19"/>
          <w:lang w:val="es-ES_tradnl" w:eastAsia="en-GB"/>
        </w:rPr>
        <w:t>PARÁGRAFO 3°. Las entidades estatales deberán garantizar la actualización permanente del Registro Nacional de Obras Civiles Inconclusas, en los términos y condiciones que al respecto establezca la Contraloría General de la República, a través de la Dirección de Información, Análisis y Reacción Inmediata.</w:t>
      </w:r>
    </w:p>
    <w:p w14:paraId="304F4F17" w14:textId="16C80008" w:rsidR="005E1927" w:rsidRDefault="005E1927" w:rsidP="009872C5">
      <w:pPr>
        <w:pStyle w:val="Textonotapie"/>
        <w:ind w:firstLine="709"/>
        <w:jc w:val="both"/>
        <w:rPr>
          <w:rFonts w:ascii="Arial" w:hAnsi="Arial" w:cs="Arial"/>
          <w:color w:val="000000" w:themeColor="text1"/>
          <w:sz w:val="19"/>
          <w:szCs w:val="19"/>
          <w:lang w:val="es-ES"/>
        </w:rPr>
      </w:pPr>
      <w:r w:rsidRPr="004B7910">
        <w:rPr>
          <w:rFonts w:ascii="Arial" w:hAnsi="Arial" w:cs="Arial"/>
          <w:color w:val="000000" w:themeColor="text1"/>
          <w:sz w:val="19"/>
          <w:szCs w:val="19"/>
          <w:lang w:val="es-ES"/>
        </w:rPr>
        <w:t>«</w:t>
      </w:r>
      <w:r w:rsidRPr="004B7910">
        <w:rPr>
          <w:rFonts w:ascii="Arial" w:eastAsia="Calibri" w:hAnsi="Arial" w:cs="Arial"/>
          <w:color w:val="000000" w:themeColor="text1"/>
          <w:sz w:val="19"/>
          <w:szCs w:val="19"/>
          <w:lang w:val="es-ES_tradnl" w:eastAsia="en-GB"/>
        </w:rPr>
        <w:t>Así mismo, las entidades estatales deben garantizar el acceso y suministro de la información en tiempo real, sobre la ejecución de los proyectos o contratos de obras civiles. Para tales efectos, podrán exigir las condiciones necesarias a sus futuros contratistas</w:t>
      </w:r>
      <w:r w:rsidRPr="004B7910">
        <w:rPr>
          <w:rFonts w:ascii="Arial" w:hAnsi="Arial" w:cs="Arial"/>
          <w:color w:val="000000" w:themeColor="text1"/>
          <w:sz w:val="19"/>
          <w:szCs w:val="19"/>
          <w:lang w:val="es-ES"/>
        </w:rPr>
        <w:t>»</w:t>
      </w:r>
      <w:r w:rsidR="009C6460" w:rsidRPr="004B7910">
        <w:rPr>
          <w:rFonts w:ascii="Arial" w:hAnsi="Arial" w:cs="Arial"/>
          <w:color w:val="000000" w:themeColor="text1"/>
          <w:sz w:val="19"/>
          <w:szCs w:val="19"/>
          <w:lang w:val="es-ES"/>
        </w:rPr>
        <w:t>.</w:t>
      </w:r>
    </w:p>
    <w:p w14:paraId="11B5F333" w14:textId="77777777" w:rsidR="00F51022" w:rsidRPr="004B7910" w:rsidRDefault="00F51022" w:rsidP="009872C5">
      <w:pPr>
        <w:pStyle w:val="Textonotapie"/>
        <w:ind w:firstLine="709"/>
        <w:jc w:val="both"/>
        <w:rPr>
          <w:rFonts w:ascii="Arial" w:hAnsi="Arial" w:cs="Arial"/>
          <w:color w:val="000000" w:themeColor="text1"/>
          <w:sz w:val="19"/>
          <w:szCs w:val="19"/>
          <w:lang w:val="es-CO"/>
        </w:rPr>
      </w:pPr>
    </w:p>
  </w:footnote>
  <w:footnote w:id="9">
    <w:p w14:paraId="5298F21A" w14:textId="1CE87C95" w:rsidR="003E645D" w:rsidRPr="004B7910" w:rsidRDefault="003E645D" w:rsidP="009872C5">
      <w:pPr>
        <w:pStyle w:val="Textonotapie"/>
        <w:ind w:firstLine="709"/>
        <w:jc w:val="both"/>
        <w:rPr>
          <w:rFonts w:ascii="Arial" w:hAnsi="Arial" w:cs="Arial"/>
          <w:color w:val="000000" w:themeColor="text1"/>
          <w:sz w:val="19"/>
          <w:szCs w:val="19"/>
          <w:lang w:val="es-CO"/>
        </w:rPr>
      </w:pPr>
      <w:r w:rsidRPr="004B7910">
        <w:rPr>
          <w:rStyle w:val="Refdenotaalpie"/>
          <w:rFonts w:ascii="Arial" w:hAnsi="Arial" w:cs="Arial"/>
          <w:color w:val="000000" w:themeColor="text1"/>
          <w:sz w:val="19"/>
          <w:szCs w:val="19"/>
        </w:rPr>
        <w:footnoteRef/>
      </w:r>
      <w:r w:rsidRPr="004B7910">
        <w:rPr>
          <w:rFonts w:ascii="Arial" w:hAnsi="Arial" w:cs="Arial"/>
          <w:color w:val="000000" w:themeColor="text1"/>
          <w:sz w:val="19"/>
          <w:szCs w:val="19"/>
        </w:rPr>
        <w:t xml:space="preserve"> Puede ser consultada en:</w:t>
      </w:r>
      <w:r w:rsidR="00D50CE8" w:rsidRPr="004B7910">
        <w:rPr>
          <w:rFonts w:ascii="Arial" w:hAnsi="Arial" w:cs="Arial"/>
          <w:color w:val="000000" w:themeColor="text1"/>
          <w:sz w:val="19"/>
          <w:szCs w:val="19"/>
        </w:rPr>
        <w:t xml:space="preserve"> </w:t>
      </w:r>
      <w:hyperlink r:id="rId3" w:history="1">
        <w:r w:rsidR="00D50CE8" w:rsidRPr="004B7910">
          <w:rPr>
            <w:rStyle w:val="Hipervnculo"/>
            <w:rFonts w:ascii="Arial" w:hAnsi="Arial" w:cs="Arial"/>
            <w:color w:val="000000" w:themeColor="text1"/>
            <w:sz w:val="19"/>
            <w:szCs w:val="19"/>
            <w:u w:val="none"/>
          </w:rPr>
          <w:t>https://www.contraloria.gov.co/web/relatoria/normatividad-y-relatoria</w:t>
        </w:r>
      </w:hyperlink>
      <w:r w:rsidR="00D50CE8" w:rsidRPr="004B7910">
        <w:rPr>
          <w:rStyle w:val="Hipervnculo"/>
          <w:rFonts w:ascii="Arial" w:hAnsi="Arial" w:cs="Arial"/>
          <w:color w:val="000000" w:themeColor="text1"/>
          <w:sz w:val="19"/>
          <w:szCs w:val="19"/>
          <w:u w:val="none"/>
        </w:rPr>
        <w:t xml:space="preserve"> </w:t>
      </w:r>
      <w:r w:rsidRPr="004B7910">
        <w:rPr>
          <w:rFonts w:ascii="Arial" w:hAnsi="Arial" w:cs="Arial"/>
          <w:color w:val="000000" w:themeColor="text1"/>
          <w:sz w:val="19"/>
          <w:szCs w:val="19"/>
        </w:rPr>
        <w:t xml:space="preserve"> </w:t>
      </w:r>
      <w:r w:rsidR="001E3C62" w:rsidRPr="004B7910">
        <w:rPr>
          <w:rFonts w:ascii="Arial" w:hAnsi="Arial" w:cs="Arial"/>
          <w:color w:val="000000" w:themeColor="text1"/>
          <w:sz w:val="19"/>
          <w:szCs w:val="19"/>
        </w:rPr>
        <w:tab/>
      </w:r>
    </w:p>
  </w:footnote>
  <w:footnote w:id="10">
    <w:p w14:paraId="573E3A4D" w14:textId="77777777" w:rsidR="00B03E3C" w:rsidRPr="004B7910" w:rsidRDefault="00B03E3C" w:rsidP="009872C5">
      <w:pPr>
        <w:pStyle w:val="Textonotapie"/>
        <w:ind w:firstLine="709"/>
        <w:jc w:val="both"/>
        <w:rPr>
          <w:rFonts w:ascii="Arial" w:hAnsi="Arial" w:cs="Arial"/>
          <w:sz w:val="19"/>
          <w:szCs w:val="19"/>
          <w:lang w:val="es-ES"/>
        </w:rPr>
      </w:pPr>
      <w:r w:rsidRPr="004B7910">
        <w:rPr>
          <w:rStyle w:val="Refdenotaalpie"/>
          <w:rFonts w:ascii="Arial" w:hAnsi="Arial" w:cs="Arial"/>
          <w:sz w:val="19"/>
          <w:szCs w:val="19"/>
        </w:rPr>
        <w:footnoteRef/>
      </w:r>
      <w:r w:rsidRPr="004B7910">
        <w:rPr>
          <w:rFonts w:ascii="Arial" w:hAnsi="Arial" w:cs="Arial"/>
          <w:sz w:val="19"/>
          <w:szCs w:val="19"/>
        </w:rPr>
        <w:t xml:space="preserve"> </w:t>
      </w:r>
      <w:r w:rsidRPr="004B7910">
        <w:rPr>
          <w:rFonts w:ascii="Arial" w:hAnsi="Arial" w:cs="Arial"/>
          <w:sz w:val="19"/>
          <w:szCs w:val="19"/>
          <w:lang w:val="es-ES"/>
        </w:rPr>
        <w:t>En efecto, el principio de subsidiariedad, como criterio de aplicación de la primera parte de la Ley 1437 de 2011, se encuentra en los artículos 2, 34 y 47 de dicho Código.</w:t>
      </w:r>
    </w:p>
  </w:footnote>
  <w:footnote w:id="11">
    <w:p w14:paraId="66FBC820" w14:textId="77777777" w:rsidR="003F63EE" w:rsidRPr="004B7910" w:rsidRDefault="003F63EE" w:rsidP="009872C5">
      <w:pPr>
        <w:pStyle w:val="Textonotapie"/>
        <w:ind w:firstLine="709"/>
        <w:jc w:val="both"/>
        <w:rPr>
          <w:rFonts w:ascii="Arial" w:hAnsi="Arial" w:cs="Arial"/>
          <w:color w:val="000000" w:themeColor="text1"/>
          <w:sz w:val="19"/>
          <w:szCs w:val="19"/>
          <w:lang w:val="es-CO"/>
        </w:rPr>
      </w:pPr>
      <w:r w:rsidRPr="004B7910">
        <w:rPr>
          <w:rStyle w:val="Refdenotaalpie"/>
          <w:rFonts w:ascii="Arial" w:hAnsi="Arial" w:cs="Arial"/>
          <w:color w:val="000000" w:themeColor="text1"/>
          <w:sz w:val="19"/>
          <w:szCs w:val="19"/>
        </w:rPr>
        <w:footnoteRef/>
      </w:r>
      <w:r w:rsidRPr="004B7910">
        <w:rPr>
          <w:rFonts w:ascii="Arial" w:hAnsi="Arial" w:cs="Arial"/>
          <w:color w:val="000000" w:themeColor="text1"/>
          <w:sz w:val="19"/>
          <w:szCs w:val="19"/>
        </w:rPr>
        <w:t xml:space="preserve"> </w:t>
      </w:r>
      <w:r w:rsidRPr="004B7910">
        <w:rPr>
          <w:rFonts w:ascii="Arial" w:hAnsi="Arial" w:cs="Arial"/>
          <w:color w:val="000000" w:themeColor="text1"/>
          <w:sz w:val="19"/>
          <w:szCs w:val="19"/>
          <w:lang w:val="es-ES"/>
        </w:rPr>
        <w:t>«Artículo 9. Responsables. Los responsables de hacer el inventario de obras inconclusas, serán los ministros, gerentes, presidentes, directores, superintendentes, gobernadores, alcaldes, y demás representantes legales de entidades estatales, en cualquiera de sus esferas nacionales o territoriales, y los demás ordenadores del gasto de quien dependa la toma de decisiones sobre la materia».</w:t>
      </w:r>
    </w:p>
  </w:footnote>
  <w:footnote w:id="12">
    <w:p w14:paraId="19815BFB" w14:textId="77777777" w:rsidR="00466861" w:rsidRPr="004B7910" w:rsidRDefault="00466861" w:rsidP="009872C5">
      <w:pPr>
        <w:pStyle w:val="Textonotapie"/>
        <w:ind w:firstLine="709"/>
        <w:jc w:val="both"/>
        <w:rPr>
          <w:rFonts w:ascii="Arial" w:hAnsi="Arial" w:cs="Arial"/>
          <w:color w:val="000000" w:themeColor="text1"/>
          <w:sz w:val="19"/>
          <w:szCs w:val="19"/>
        </w:rPr>
      </w:pPr>
      <w:r w:rsidRPr="004B7910">
        <w:rPr>
          <w:rStyle w:val="Refdenotaalpie"/>
          <w:rFonts w:ascii="Arial" w:hAnsi="Arial" w:cs="Arial"/>
          <w:color w:val="000000" w:themeColor="text1"/>
          <w:sz w:val="19"/>
          <w:szCs w:val="19"/>
        </w:rPr>
        <w:footnoteRef/>
      </w:r>
      <w:r w:rsidRPr="004B7910">
        <w:rPr>
          <w:rFonts w:ascii="Arial" w:hAnsi="Arial" w:cs="Arial"/>
          <w:color w:val="000000" w:themeColor="text1"/>
          <w:sz w:val="19"/>
          <w:szCs w:val="19"/>
        </w:rPr>
        <w:t xml:space="preserve"> </w:t>
      </w:r>
      <w:r w:rsidRPr="004B7910">
        <w:rPr>
          <w:rFonts w:ascii="Arial" w:hAnsi="Arial" w:cs="Arial"/>
          <w:color w:val="000000" w:themeColor="text1"/>
          <w:sz w:val="19"/>
          <w:szCs w:val="19"/>
          <w:lang w:eastAsia="es-CO"/>
        </w:rPr>
        <w:t>Ley 1437 de 2011:</w:t>
      </w:r>
      <w:r w:rsidRPr="004B7910">
        <w:rPr>
          <w:rFonts w:ascii="Arial" w:hAnsi="Arial" w:cs="Arial"/>
          <w:color w:val="000000" w:themeColor="text1"/>
          <w:sz w:val="19"/>
          <w:szCs w:val="19"/>
        </w:rPr>
        <w:t xml:space="preserve"> «Artículo 44. Decisiones discrecionales. En la medida en que el contenido de una decisión de carácter general o particular sea discrecional, debe ser adecuada a los fines de la norma que la autoriza, y proporcional a los hechos que le sirven de causa</w:t>
      </w:r>
      <w:r w:rsidRPr="004B7910">
        <w:rPr>
          <w:rFonts w:ascii="Arial" w:hAnsi="Arial" w:cs="Arial"/>
          <w:color w:val="000000" w:themeColor="text1"/>
          <w:sz w:val="19"/>
          <w:szCs w:val="19"/>
          <w:lang w:eastAsia="es-CO"/>
        </w:rPr>
        <w:t>»</w:t>
      </w:r>
      <w:r w:rsidRPr="004B7910">
        <w:rPr>
          <w:rFonts w:ascii="Arial" w:hAnsi="Arial" w:cs="Arial"/>
          <w:color w:val="000000" w:themeColor="text1"/>
          <w:sz w:val="19"/>
          <w:szCs w:val="19"/>
        </w:rPr>
        <w:t>.</w:t>
      </w:r>
    </w:p>
    <w:p w14:paraId="12B2685B" w14:textId="77777777" w:rsidR="00466861" w:rsidRPr="004B7910" w:rsidRDefault="00466861" w:rsidP="009872C5">
      <w:pPr>
        <w:pStyle w:val="Textonotapie"/>
        <w:ind w:firstLine="709"/>
        <w:jc w:val="both"/>
        <w:rPr>
          <w:rFonts w:ascii="Arial" w:hAnsi="Arial" w:cs="Arial"/>
          <w:color w:val="000000" w:themeColor="text1"/>
          <w:sz w:val="19"/>
          <w:szCs w:val="19"/>
          <w:lang w:val="es-ES"/>
        </w:rPr>
      </w:pPr>
    </w:p>
  </w:footnote>
  <w:footnote w:id="13">
    <w:p w14:paraId="615A1910" w14:textId="77777777" w:rsidR="00466861" w:rsidRPr="004B7910" w:rsidRDefault="00466861" w:rsidP="009872C5">
      <w:pPr>
        <w:pStyle w:val="Textonotapie"/>
        <w:ind w:firstLine="709"/>
        <w:jc w:val="both"/>
        <w:rPr>
          <w:rFonts w:ascii="Arial" w:hAnsi="Arial" w:cs="Arial"/>
          <w:color w:val="000000" w:themeColor="text1"/>
          <w:sz w:val="19"/>
          <w:szCs w:val="19"/>
          <w:lang w:val="es-ES"/>
        </w:rPr>
      </w:pPr>
      <w:r w:rsidRPr="004B7910">
        <w:rPr>
          <w:rStyle w:val="Refdenotaalpie"/>
          <w:rFonts w:ascii="Arial" w:hAnsi="Arial" w:cs="Arial"/>
          <w:color w:val="000000" w:themeColor="text1"/>
          <w:sz w:val="19"/>
          <w:szCs w:val="19"/>
        </w:rPr>
        <w:footnoteRef/>
      </w:r>
      <w:r w:rsidRPr="004B7910">
        <w:rPr>
          <w:rFonts w:ascii="Arial" w:hAnsi="Arial" w:cs="Arial"/>
          <w:color w:val="000000" w:themeColor="text1"/>
          <w:sz w:val="19"/>
          <w:szCs w:val="19"/>
        </w:rPr>
        <w:t xml:space="preserve"> </w:t>
      </w:r>
      <w:r w:rsidRPr="004B7910">
        <w:rPr>
          <w:rFonts w:ascii="Arial" w:hAnsi="Arial" w:cs="Arial"/>
          <w:color w:val="000000" w:themeColor="text1"/>
          <w:sz w:val="19"/>
          <w:szCs w:val="19"/>
          <w:lang w:val="es-ES"/>
        </w:rPr>
        <w:t xml:space="preserve">Principio que se compone a su vez de «tres subprincipios, etapas o mandatos parciales: el </w:t>
      </w:r>
      <w:r w:rsidRPr="004B7910">
        <w:rPr>
          <w:rFonts w:ascii="Arial" w:hAnsi="Arial" w:cs="Arial"/>
          <w:i/>
          <w:iCs/>
          <w:color w:val="000000" w:themeColor="text1"/>
          <w:sz w:val="19"/>
          <w:szCs w:val="19"/>
          <w:lang w:val="es-ES"/>
        </w:rPr>
        <w:t>subprincipio o mandato de adecuación, de idoneidad o de congruencia</w:t>
      </w:r>
      <w:r w:rsidRPr="004B7910">
        <w:rPr>
          <w:rFonts w:ascii="Arial" w:hAnsi="Arial" w:cs="Arial"/>
          <w:color w:val="000000" w:themeColor="text1"/>
          <w:sz w:val="19"/>
          <w:szCs w:val="19"/>
          <w:lang w:val="es-ES"/>
        </w:rPr>
        <w:t xml:space="preserve">, por virtud del cual la medida limitadora de los derechos o intereses del administrado debe ser útil, apropiada o idónea para obtener el fin buscado, esto es, que el abanico de posibles medidas que ha de adoptar la Administración se limita a las que resulten congruentes con el entramado fáctico del caso y aptas para la consecución del cometido fijado por el ordenamiento jurídico al atribuir la potestad correspondiente a la Administración; el </w:t>
      </w:r>
      <w:r w:rsidRPr="004B7910">
        <w:rPr>
          <w:rFonts w:ascii="Arial" w:hAnsi="Arial" w:cs="Arial"/>
          <w:i/>
          <w:iCs/>
          <w:color w:val="000000" w:themeColor="text1"/>
          <w:sz w:val="19"/>
          <w:szCs w:val="19"/>
          <w:lang w:val="es-ES"/>
        </w:rPr>
        <w:t>subprincipio o mandato de necesidad, intervención mínima o menor lesividad</w:t>
      </w:r>
      <w:r w:rsidRPr="004B7910">
        <w:rPr>
          <w:rFonts w:ascii="Arial" w:hAnsi="Arial" w:cs="Arial"/>
          <w:color w:val="000000" w:themeColor="text1"/>
          <w:sz w:val="19"/>
          <w:szCs w:val="19"/>
          <w:lang w:val="es-ES"/>
        </w:rPr>
        <w:t xml:space="preserve">, de acuerdo con el cual la adopción de la medida elegida debe ser indispensable, dada la inexistencia de una alternativa distinta que sea tan eficaz para satisfacer el fin de interés público al cual apunta, pero menos limitativa del otro u otros principios, derechos o intereses en tensión; y en tercer lugar, </w:t>
      </w:r>
      <w:r w:rsidRPr="004B7910">
        <w:rPr>
          <w:rFonts w:ascii="Arial" w:hAnsi="Arial" w:cs="Arial"/>
          <w:i/>
          <w:iCs/>
          <w:color w:val="000000" w:themeColor="text1"/>
          <w:sz w:val="19"/>
          <w:szCs w:val="19"/>
          <w:lang w:val="es-ES"/>
        </w:rPr>
        <w:t>el subprincipio o mandato de proporcionalidad en sentido estricto</w:t>
      </w:r>
      <w:r w:rsidRPr="004B7910">
        <w:rPr>
          <w:rFonts w:ascii="Arial" w:hAnsi="Arial" w:cs="Arial"/>
          <w:color w:val="000000" w:themeColor="text1"/>
          <w:sz w:val="19"/>
          <w:szCs w:val="19"/>
          <w:lang w:val="es-ES"/>
        </w:rPr>
        <w:t>, de acuerdo con el cual debe producirse un equilibrio entre el perjuicio irrogado al derecho o interés que se limita y el beneficio que de ello se deriva para el bien jurídico que la medida prohíja» (MARÍN HERNÁNDEZ, Hugo Alberto. El principio de proporcionalidad en el derecho administrativo colombiano. Bogotá: Universidad Externado de Colombia, 2018. p. 34).</w:t>
      </w:r>
    </w:p>
    <w:p w14:paraId="588068E2" w14:textId="77777777" w:rsidR="00466861" w:rsidRPr="004B7910" w:rsidRDefault="00466861" w:rsidP="009872C5">
      <w:pPr>
        <w:pStyle w:val="Textonotapie"/>
        <w:ind w:firstLine="709"/>
        <w:jc w:val="both"/>
        <w:rPr>
          <w:rFonts w:ascii="Arial" w:hAnsi="Arial" w:cs="Arial"/>
          <w:color w:val="000000" w:themeColor="text1"/>
          <w:sz w:val="19"/>
          <w:szCs w:val="19"/>
          <w:lang w:val="es-ES"/>
        </w:rPr>
      </w:pPr>
    </w:p>
  </w:footnote>
  <w:footnote w:id="14">
    <w:p w14:paraId="5144796C" w14:textId="32289649" w:rsidR="00466861" w:rsidRPr="004B7910" w:rsidRDefault="00466861" w:rsidP="009872C5">
      <w:pPr>
        <w:ind w:firstLine="709"/>
        <w:jc w:val="both"/>
        <w:rPr>
          <w:rFonts w:ascii="Arial" w:eastAsiaTheme="minorHAnsi" w:hAnsi="Arial" w:cs="Arial"/>
          <w:color w:val="000000" w:themeColor="text1"/>
          <w:sz w:val="19"/>
          <w:szCs w:val="19"/>
          <w:lang w:val="es-ES" w:eastAsia="en-US"/>
        </w:rPr>
      </w:pPr>
      <w:r w:rsidRPr="004B7910">
        <w:rPr>
          <w:rStyle w:val="Refdenotaalpie"/>
          <w:rFonts w:ascii="Arial" w:hAnsi="Arial" w:cs="Arial"/>
          <w:color w:val="000000" w:themeColor="text1"/>
          <w:sz w:val="19"/>
          <w:szCs w:val="19"/>
        </w:rPr>
        <w:footnoteRef/>
      </w:r>
      <w:r w:rsidRPr="004B7910">
        <w:rPr>
          <w:rFonts w:ascii="Arial" w:hAnsi="Arial" w:cs="Arial"/>
          <w:color w:val="000000" w:themeColor="text1"/>
          <w:sz w:val="19"/>
          <w:szCs w:val="19"/>
        </w:rPr>
        <w:t xml:space="preserve"> </w:t>
      </w:r>
      <w:r w:rsidRPr="004B7910">
        <w:rPr>
          <w:rFonts w:ascii="Arial" w:hAnsi="Arial" w:cs="Arial"/>
          <w:color w:val="000000" w:themeColor="text1"/>
          <w:sz w:val="19"/>
          <w:szCs w:val="19"/>
          <w:lang w:val="es-ES"/>
        </w:rPr>
        <w:t xml:space="preserve">Consejo de Estado. Sección Tercera. Sentencia del 14 de abril de 2010. Consejero Ponente: Enrique Gil Botero. </w:t>
      </w:r>
      <w:r w:rsidRPr="004B7910">
        <w:rPr>
          <w:rFonts w:ascii="Arial" w:eastAsiaTheme="minorHAnsi" w:hAnsi="Arial" w:cs="Arial"/>
          <w:color w:val="000000" w:themeColor="text1"/>
          <w:sz w:val="19"/>
          <w:szCs w:val="19"/>
          <w:lang w:val="es-ES" w:eastAsia="en-US"/>
        </w:rPr>
        <w:t>Radicación número: 11001-03-26-000-2008-00101-00(36054)</w:t>
      </w:r>
      <w:r w:rsidR="00F80DAD" w:rsidRPr="004B7910">
        <w:rPr>
          <w:rFonts w:ascii="Arial" w:eastAsiaTheme="minorHAnsi" w:hAnsi="Arial" w:cs="Arial"/>
          <w:color w:val="000000" w:themeColor="text1"/>
          <w:sz w:val="19"/>
          <w:szCs w:val="19"/>
          <w:lang w:val="es-ES" w:eastAsia="en-US"/>
        </w:rPr>
        <w:t>.</w:t>
      </w:r>
    </w:p>
    <w:p w14:paraId="4AF2FD79" w14:textId="77777777" w:rsidR="00466861" w:rsidRPr="004B7910" w:rsidRDefault="00466861" w:rsidP="009872C5">
      <w:pPr>
        <w:pStyle w:val="Textonotapie"/>
        <w:ind w:firstLine="709"/>
        <w:jc w:val="both"/>
        <w:rPr>
          <w:rFonts w:ascii="Arial" w:hAnsi="Arial" w:cs="Arial"/>
          <w:color w:val="000000" w:themeColor="text1"/>
          <w:sz w:val="19"/>
          <w:szCs w:val="19"/>
          <w:lang w:val="es-ES"/>
        </w:rPr>
      </w:pPr>
    </w:p>
  </w:footnote>
  <w:footnote w:id="15">
    <w:p w14:paraId="62B6E98E" w14:textId="77777777" w:rsidR="00AE72A9" w:rsidRPr="004B7910" w:rsidRDefault="00AE72A9" w:rsidP="009872C5">
      <w:pPr>
        <w:pStyle w:val="NormalWeb"/>
        <w:spacing w:before="0" w:beforeAutospacing="0" w:after="0" w:afterAutospacing="0"/>
        <w:ind w:firstLine="709"/>
        <w:jc w:val="both"/>
        <w:rPr>
          <w:rFonts w:ascii="Arial" w:hAnsi="Arial" w:cs="Arial"/>
          <w:color w:val="000000" w:themeColor="text1"/>
          <w:sz w:val="19"/>
          <w:szCs w:val="19"/>
        </w:rPr>
      </w:pPr>
      <w:r w:rsidRPr="004B7910">
        <w:rPr>
          <w:rStyle w:val="Refdenotaalpie"/>
          <w:rFonts w:ascii="Arial" w:hAnsi="Arial" w:cs="Arial"/>
          <w:color w:val="000000" w:themeColor="text1"/>
          <w:sz w:val="19"/>
          <w:szCs w:val="19"/>
        </w:rPr>
        <w:footnoteRef/>
      </w:r>
      <w:r w:rsidRPr="004B7910">
        <w:rPr>
          <w:rFonts w:ascii="Arial" w:hAnsi="Arial" w:cs="Arial"/>
          <w:color w:val="000000" w:themeColor="text1"/>
          <w:sz w:val="19"/>
          <w:szCs w:val="19"/>
        </w:rPr>
        <w:t xml:space="preserve"> </w:t>
      </w:r>
      <w:r w:rsidRPr="004B7910">
        <w:rPr>
          <w:rFonts w:ascii="Arial" w:hAnsi="Arial" w:cs="Arial"/>
          <w:color w:val="000000" w:themeColor="text1"/>
          <w:sz w:val="19"/>
          <w:szCs w:val="19"/>
          <w:lang w:val="es-ES"/>
        </w:rPr>
        <w:t>Este principio está consagrado en el artículo 6 de la Ley 489 de 1998; norma que dispone: «</w:t>
      </w:r>
      <w:r w:rsidRPr="004B7910">
        <w:rPr>
          <w:rFonts w:ascii="Arial" w:hAnsi="Arial" w:cs="Arial"/>
          <w:color w:val="000000" w:themeColor="text1"/>
          <w:sz w:val="19"/>
          <w:szCs w:val="19"/>
        </w:rPr>
        <w:t>En virtud del principio de coordinación y colaboración, las autoridades administrativas deben garantizar la armonía en el ejercicio de sus respectivas funciones con el fin de lograr los fines y cometidos estatales.</w:t>
      </w:r>
    </w:p>
    <w:p w14:paraId="1E2AE72C" w14:textId="77777777" w:rsidR="00AE72A9" w:rsidRPr="004B7910" w:rsidRDefault="00AE72A9" w:rsidP="009872C5">
      <w:pPr>
        <w:pStyle w:val="NormalWeb"/>
        <w:spacing w:before="0" w:beforeAutospacing="0" w:after="0" w:afterAutospacing="0"/>
        <w:ind w:firstLine="709"/>
        <w:jc w:val="both"/>
        <w:rPr>
          <w:rFonts w:ascii="Arial" w:hAnsi="Arial" w:cs="Arial"/>
          <w:color w:val="000000" w:themeColor="text1"/>
          <w:sz w:val="19"/>
          <w:szCs w:val="19"/>
        </w:rPr>
      </w:pPr>
      <w:r w:rsidRPr="004B7910">
        <w:rPr>
          <w:rFonts w:ascii="Arial" w:hAnsi="Arial" w:cs="Arial"/>
          <w:color w:val="000000" w:themeColor="text1"/>
          <w:sz w:val="19"/>
          <w:szCs w:val="19"/>
        </w:rPr>
        <w:t>En consecuencia, prestarán su colaboración a las demás entidades para facilitar el ejercicio de sus funciones y se abstendrán de impedir o estorbar su cumplimiento por los órganos, dependencias, organismos y entidades titulares.</w:t>
      </w:r>
    </w:p>
    <w:p w14:paraId="6EF33CC0" w14:textId="77777777" w:rsidR="00AE72A9" w:rsidRPr="004B7910" w:rsidRDefault="00AE72A9" w:rsidP="009872C5">
      <w:pPr>
        <w:pStyle w:val="NormalWeb"/>
        <w:spacing w:before="0" w:beforeAutospacing="0" w:after="0" w:afterAutospacing="0"/>
        <w:ind w:firstLine="709"/>
        <w:jc w:val="both"/>
        <w:rPr>
          <w:rFonts w:ascii="Arial" w:hAnsi="Arial" w:cs="Arial"/>
          <w:color w:val="000000" w:themeColor="text1"/>
          <w:sz w:val="19"/>
          <w:szCs w:val="19"/>
        </w:rPr>
      </w:pPr>
      <w:r w:rsidRPr="004B7910">
        <w:rPr>
          <w:rStyle w:val="baj"/>
          <w:rFonts w:ascii="Arial" w:hAnsi="Arial" w:cs="Arial"/>
          <w:color w:val="000000" w:themeColor="text1"/>
          <w:sz w:val="19"/>
          <w:szCs w:val="19"/>
        </w:rPr>
        <w:t>PARAGRAFO.</w:t>
      </w:r>
      <w:r w:rsidRPr="004B7910">
        <w:rPr>
          <w:rFonts w:ascii="Arial" w:hAnsi="Arial" w:cs="Arial"/>
          <w:color w:val="000000" w:themeColor="text1"/>
          <w:sz w:val="19"/>
          <w:szCs w:val="19"/>
        </w:rPr>
        <w:t> A través de los comités sectoriales de desarrollo administrativo de que trata el artículo </w:t>
      </w:r>
      <w:hyperlink r:id="rId4" w:anchor="19" w:history="1">
        <w:r w:rsidRPr="004B7910">
          <w:rPr>
            <w:rStyle w:val="Hipervnculo"/>
            <w:rFonts w:ascii="Arial" w:hAnsi="Arial" w:cs="Arial"/>
            <w:color w:val="000000" w:themeColor="text1"/>
            <w:sz w:val="19"/>
            <w:szCs w:val="19"/>
            <w:u w:val="none"/>
          </w:rPr>
          <w:t>19</w:t>
        </w:r>
      </w:hyperlink>
      <w:r w:rsidRPr="004B7910">
        <w:rPr>
          <w:rFonts w:ascii="Arial" w:hAnsi="Arial" w:cs="Arial"/>
          <w:color w:val="000000" w:themeColor="text1"/>
          <w:sz w:val="19"/>
          <w:szCs w:val="19"/>
        </w:rPr>
        <w:t> de esta ley y en cumplimiento del inciso 2o. del artículo </w:t>
      </w:r>
      <w:hyperlink r:id="rId5" w:anchor="209" w:history="1">
        <w:r w:rsidRPr="004B7910">
          <w:rPr>
            <w:rStyle w:val="Hipervnculo"/>
            <w:rFonts w:ascii="Arial" w:hAnsi="Arial" w:cs="Arial"/>
            <w:color w:val="000000" w:themeColor="text1"/>
            <w:sz w:val="19"/>
            <w:szCs w:val="19"/>
            <w:u w:val="none"/>
          </w:rPr>
          <w:t>209</w:t>
        </w:r>
      </w:hyperlink>
      <w:r w:rsidRPr="004B7910">
        <w:rPr>
          <w:rFonts w:ascii="Arial" w:hAnsi="Arial" w:cs="Arial"/>
          <w:color w:val="000000" w:themeColor="text1"/>
          <w:sz w:val="19"/>
          <w:szCs w:val="19"/>
        </w:rPr>
        <w:t> de la c.p. se procurará de manera prioritaria dar desarrollo a este principio de la coordinación entre las autoridades administrativas y entre los organismos del respectivo sector».</w:t>
      </w:r>
    </w:p>
    <w:p w14:paraId="046E93AE" w14:textId="77777777" w:rsidR="00AE72A9" w:rsidRPr="004B7910" w:rsidRDefault="00AE72A9" w:rsidP="009872C5">
      <w:pPr>
        <w:pStyle w:val="Textonotapie"/>
        <w:ind w:firstLine="709"/>
        <w:jc w:val="both"/>
        <w:rPr>
          <w:rFonts w:ascii="Arial" w:hAnsi="Arial" w:cs="Arial"/>
          <w:color w:val="000000" w:themeColor="text1"/>
          <w:sz w:val="19"/>
          <w:szCs w:val="19"/>
          <w:lang w:val="es-ES"/>
        </w:rPr>
      </w:pPr>
    </w:p>
  </w:footnote>
  <w:footnote w:id="16">
    <w:p w14:paraId="1A90C532" w14:textId="7CAC7C5A" w:rsidR="0000103A" w:rsidRPr="00631B40" w:rsidRDefault="0000103A" w:rsidP="00631B40">
      <w:pPr>
        <w:pStyle w:val="Textonotapie"/>
        <w:ind w:firstLine="708"/>
        <w:jc w:val="both"/>
        <w:rPr>
          <w:rFonts w:ascii="Arial" w:hAnsi="Arial" w:cs="Arial"/>
          <w:sz w:val="19"/>
          <w:szCs w:val="19"/>
          <w:lang w:val="es-CO"/>
        </w:rPr>
      </w:pPr>
      <w:r w:rsidRPr="004B7910">
        <w:rPr>
          <w:rStyle w:val="Refdenotaalpie"/>
          <w:rFonts w:ascii="Arial" w:hAnsi="Arial" w:cs="Arial"/>
          <w:sz w:val="19"/>
          <w:szCs w:val="19"/>
        </w:rPr>
        <w:footnoteRef/>
      </w:r>
      <w:r w:rsidRPr="004B7910">
        <w:rPr>
          <w:rFonts w:ascii="Arial" w:hAnsi="Arial" w:cs="Arial"/>
          <w:sz w:val="19"/>
          <w:szCs w:val="19"/>
        </w:rPr>
        <w:t xml:space="preserve"> Cfr. Ley 1150 de 2007, artículo 14: «</w:t>
      </w:r>
      <w:r w:rsidRPr="004B7910">
        <w:rPr>
          <w:rFonts w:ascii="Arial" w:hAnsi="Arial" w:cs="Arial"/>
          <w:i/>
          <w:iCs/>
          <w:sz w:val="19"/>
          <w:szCs w:val="19"/>
        </w:rPr>
        <w:t>Las Empresas Industriales y Comerciales del Estado</w:t>
      </w:r>
      <w:r w:rsidRPr="004B7910">
        <w:rPr>
          <w:rFonts w:ascii="Arial" w:hAnsi="Arial" w:cs="Arial"/>
          <w:sz w:val="19"/>
          <w:szCs w:val="19"/>
        </w:rPr>
        <w:t xml:space="preserve">,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w:t>
      </w:r>
      <w:r w:rsidRPr="004B7910">
        <w:rPr>
          <w:rFonts w:ascii="Arial" w:hAnsi="Arial" w:cs="Arial"/>
          <w:i/>
          <w:iCs/>
          <w:sz w:val="19"/>
          <w:szCs w:val="19"/>
        </w:rPr>
        <w:t>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w:t>
      </w:r>
      <w:r w:rsidRPr="004B7910">
        <w:rPr>
          <w:rFonts w:ascii="Arial" w:hAnsi="Arial" w:cs="Arial"/>
          <w:sz w:val="19"/>
          <w:szCs w:val="19"/>
        </w:rPr>
        <w:t>. Se exceptúan los contratos de ciencia y tecnología, que se regirán por la Ley 29 de 1990 y las disposiciones normativas existentes».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C36B1" w:rsidRDefault="00EC36B1">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091851077">
    <w:abstractNumId w:val="9"/>
  </w:num>
  <w:num w:numId="2" w16cid:durableId="313460040">
    <w:abstractNumId w:val="7"/>
  </w:num>
  <w:num w:numId="3" w16cid:durableId="619989855">
    <w:abstractNumId w:val="13"/>
  </w:num>
  <w:num w:numId="4" w16cid:durableId="1039941695">
    <w:abstractNumId w:val="16"/>
  </w:num>
  <w:num w:numId="5" w16cid:durableId="1813862765">
    <w:abstractNumId w:val="20"/>
  </w:num>
  <w:num w:numId="6" w16cid:durableId="55234678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02364043">
    <w:abstractNumId w:val="17"/>
  </w:num>
  <w:num w:numId="8" w16cid:durableId="969943558">
    <w:abstractNumId w:val="0"/>
  </w:num>
  <w:num w:numId="9" w16cid:durableId="473984621">
    <w:abstractNumId w:val="3"/>
  </w:num>
  <w:num w:numId="10" w16cid:durableId="7915577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89768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61884190">
    <w:abstractNumId w:val="8"/>
  </w:num>
  <w:num w:numId="13" w16cid:durableId="1776752871">
    <w:abstractNumId w:val="12"/>
  </w:num>
  <w:num w:numId="14" w16cid:durableId="133765872">
    <w:abstractNumId w:val="6"/>
  </w:num>
  <w:num w:numId="15" w16cid:durableId="207847846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50164997">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49976820">
    <w:abstractNumId w:val="22"/>
  </w:num>
  <w:num w:numId="18" w16cid:durableId="915213900">
    <w:abstractNumId w:val="14"/>
  </w:num>
  <w:num w:numId="19" w16cid:durableId="988244685">
    <w:abstractNumId w:val="2"/>
  </w:num>
  <w:num w:numId="20" w16cid:durableId="2074620673">
    <w:abstractNumId w:val="23"/>
  </w:num>
  <w:num w:numId="21" w16cid:durableId="1530148058">
    <w:abstractNumId w:val="15"/>
  </w:num>
  <w:num w:numId="22" w16cid:durableId="1531602192">
    <w:abstractNumId w:val="5"/>
  </w:num>
  <w:num w:numId="23" w16cid:durableId="854806621">
    <w:abstractNumId w:val="4"/>
  </w:num>
  <w:num w:numId="24" w16cid:durableId="1096898210">
    <w:abstractNumId w:val="18"/>
  </w:num>
  <w:num w:numId="25" w16cid:durableId="613753937">
    <w:abstractNumId w:val="10"/>
  </w:num>
  <w:num w:numId="26" w16cid:durableId="13325678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CO" w:vendorID="64" w:dllVersion="4096" w:nlCheck="1" w:checkStyle="0"/>
  <w:activeWritingStyle w:appName="MSWord" w:lang="pt-BR"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ctiveWritingStyle w:appName="MSWord" w:lang="es-MX" w:vendorID="64" w:dllVersion="0" w:nlCheck="1" w:checkStyle="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3A"/>
    <w:rsid w:val="0000162E"/>
    <w:rsid w:val="00001A1C"/>
    <w:rsid w:val="00001FFD"/>
    <w:rsid w:val="00002027"/>
    <w:rsid w:val="000020FE"/>
    <w:rsid w:val="000031A8"/>
    <w:rsid w:val="00003B87"/>
    <w:rsid w:val="00003C5C"/>
    <w:rsid w:val="00004027"/>
    <w:rsid w:val="000040D7"/>
    <w:rsid w:val="00004556"/>
    <w:rsid w:val="00004F60"/>
    <w:rsid w:val="000051AF"/>
    <w:rsid w:val="00005958"/>
    <w:rsid w:val="000059D3"/>
    <w:rsid w:val="0000600A"/>
    <w:rsid w:val="00006081"/>
    <w:rsid w:val="000060D0"/>
    <w:rsid w:val="00007052"/>
    <w:rsid w:val="000075EA"/>
    <w:rsid w:val="00007750"/>
    <w:rsid w:val="000077FD"/>
    <w:rsid w:val="00007E37"/>
    <w:rsid w:val="00010C40"/>
    <w:rsid w:val="000112B4"/>
    <w:rsid w:val="00011DCC"/>
    <w:rsid w:val="00012532"/>
    <w:rsid w:val="00012B9E"/>
    <w:rsid w:val="00012FBA"/>
    <w:rsid w:val="00013AA0"/>
    <w:rsid w:val="00013C6B"/>
    <w:rsid w:val="0001406B"/>
    <w:rsid w:val="000143F8"/>
    <w:rsid w:val="00014624"/>
    <w:rsid w:val="000147ED"/>
    <w:rsid w:val="00014AFD"/>
    <w:rsid w:val="00014B0D"/>
    <w:rsid w:val="00015B44"/>
    <w:rsid w:val="00016081"/>
    <w:rsid w:val="000165AC"/>
    <w:rsid w:val="0001662B"/>
    <w:rsid w:val="00016651"/>
    <w:rsid w:val="000171A2"/>
    <w:rsid w:val="00017B65"/>
    <w:rsid w:val="00020158"/>
    <w:rsid w:val="000207E0"/>
    <w:rsid w:val="00020F8F"/>
    <w:rsid w:val="00021A95"/>
    <w:rsid w:val="0002256F"/>
    <w:rsid w:val="00023DAE"/>
    <w:rsid w:val="00024592"/>
    <w:rsid w:val="00024896"/>
    <w:rsid w:val="000258CA"/>
    <w:rsid w:val="00025E45"/>
    <w:rsid w:val="00026092"/>
    <w:rsid w:val="000263F0"/>
    <w:rsid w:val="00026407"/>
    <w:rsid w:val="000264F6"/>
    <w:rsid w:val="00026608"/>
    <w:rsid w:val="000268B3"/>
    <w:rsid w:val="00026C0C"/>
    <w:rsid w:val="00027787"/>
    <w:rsid w:val="000278D2"/>
    <w:rsid w:val="00027B49"/>
    <w:rsid w:val="00031167"/>
    <w:rsid w:val="00031384"/>
    <w:rsid w:val="000315E1"/>
    <w:rsid w:val="0003236E"/>
    <w:rsid w:val="0003339A"/>
    <w:rsid w:val="000341A3"/>
    <w:rsid w:val="000341F2"/>
    <w:rsid w:val="00034651"/>
    <w:rsid w:val="000351F2"/>
    <w:rsid w:val="00035230"/>
    <w:rsid w:val="00036E03"/>
    <w:rsid w:val="000406DB"/>
    <w:rsid w:val="0004080C"/>
    <w:rsid w:val="0004094D"/>
    <w:rsid w:val="00041029"/>
    <w:rsid w:val="0004149B"/>
    <w:rsid w:val="00041CA0"/>
    <w:rsid w:val="00042961"/>
    <w:rsid w:val="000429AA"/>
    <w:rsid w:val="00042B91"/>
    <w:rsid w:val="00042C25"/>
    <w:rsid w:val="00042D03"/>
    <w:rsid w:val="00042EF7"/>
    <w:rsid w:val="00043086"/>
    <w:rsid w:val="000430A0"/>
    <w:rsid w:val="00043A33"/>
    <w:rsid w:val="00043D3B"/>
    <w:rsid w:val="00043DFA"/>
    <w:rsid w:val="0004418C"/>
    <w:rsid w:val="00044204"/>
    <w:rsid w:val="00044498"/>
    <w:rsid w:val="000449D4"/>
    <w:rsid w:val="00046717"/>
    <w:rsid w:val="00046A63"/>
    <w:rsid w:val="00046C09"/>
    <w:rsid w:val="0004716A"/>
    <w:rsid w:val="00047385"/>
    <w:rsid w:val="000473E8"/>
    <w:rsid w:val="0004797F"/>
    <w:rsid w:val="000504DE"/>
    <w:rsid w:val="00050E84"/>
    <w:rsid w:val="00051074"/>
    <w:rsid w:val="00051C8A"/>
    <w:rsid w:val="00052B79"/>
    <w:rsid w:val="00052EA0"/>
    <w:rsid w:val="000536E3"/>
    <w:rsid w:val="00054252"/>
    <w:rsid w:val="0005474D"/>
    <w:rsid w:val="00055388"/>
    <w:rsid w:val="00055CB9"/>
    <w:rsid w:val="00056F66"/>
    <w:rsid w:val="0005702F"/>
    <w:rsid w:val="0005779C"/>
    <w:rsid w:val="00060041"/>
    <w:rsid w:val="0006093B"/>
    <w:rsid w:val="000619C7"/>
    <w:rsid w:val="00061D06"/>
    <w:rsid w:val="00061E28"/>
    <w:rsid w:val="0006294B"/>
    <w:rsid w:val="00062CDD"/>
    <w:rsid w:val="00063BC3"/>
    <w:rsid w:val="00063FA5"/>
    <w:rsid w:val="00063FDB"/>
    <w:rsid w:val="000640AF"/>
    <w:rsid w:val="00064495"/>
    <w:rsid w:val="00064626"/>
    <w:rsid w:val="00064940"/>
    <w:rsid w:val="00064CAE"/>
    <w:rsid w:val="00064DB7"/>
    <w:rsid w:val="00064FA7"/>
    <w:rsid w:val="00065195"/>
    <w:rsid w:val="0007009A"/>
    <w:rsid w:val="00070AEB"/>
    <w:rsid w:val="00070AF1"/>
    <w:rsid w:val="000714DE"/>
    <w:rsid w:val="0007254F"/>
    <w:rsid w:val="0007357F"/>
    <w:rsid w:val="000735C3"/>
    <w:rsid w:val="00073C30"/>
    <w:rsid w:val="00074305"/>
    <w:rsid w:val="00074B2A"/>
    <w:rsid w:val="00075B3E"/>
    <w:rsid w:val="00076456"/>
    <w:rsid w:val="0007779B"/>
    <w:rsid w:val="000777E7"/>
    <w:rsid w:val="00077886"/>
    <w:rsid w:val="0007790A"/>
    <w:rsid w:val="0008017B"/>
    <w:rsid w:val="00080ACD"/>
    <w:rsid w:val="000811ED"/>
    <w:rsid w:val="00081284"/>
    <w:rsid w:val="00081A3B"/>
    <w:rsid w:val="00081D62"/>
    <w:rsid w:val="0008205C"/>
    <w:rsid w:val="00082B74"/>
    <w:rsid w:val="00083099"/>
    <w:rsid w:val="000837A7"/>
    <w:rsid w:val="00083EDC"/>
    <w:rsid w:val="0008482C"/>
    <w:rsid w:val="00084B97"/>
    <w:rsid w:val="0008510E"/>
    <w:rsid w:val="000856DE"/>
    <w:rsid w:val="00085F17"/>
    <w:rsid w:val="00085FB3"/>
    <w:rsid w:val="000862F8"/>
    <w:rsid w:val="0008686B"/>
    <w:rsid w:val="00086B2A"/>
    <w:rsid w:val="00086ED2"/>
    <w:rsid w:val="000900A3"/>
    <w:rsid w:val="000914D6"/>
    <w:rsid w:val="00091569"/>
    <w:rsid w:val="00092DCA"/>
    <w:rsid w:val="0009395E"/>
    <w:rsid w:val="000942EB"/>
    <w:rsid w:val="0009524D"/>
    <w:rsid w:val="00095B70"/>
    <w:rsid w:val="0009617E"/>
    <w:rsid w:val="000979CF"/>
    <w:rsid w:val="000A0098"/>
    <w:rsid w:val="000A03C8"/>
    <w:rsid w:val="000A05F2"/>
    <w:rsid w:val="000A06C4"/>
    <w:rsid w:val="000A0861"/>
    <w:rsid w:val="000A08FF"/>
    <w:rsid w:val="000A0ED1"/>
    <w:rsid w:val="000A10AC"/>
    <w:rsid w:val="000A12DB"/>
    <w:rsid w:val="000A17C8"/>
    <w:rsid w:val="000A20D7"/>
    <w:rsid w:val="000A2128"/>
    <w:rsid w:val="000A26A1"/>
    <w:rsid w:val="000A362F"/>
    <w:rsid w:val="000A3B49"/>
    <w:rsid w:val="000A5AAF"/>
    <w:rsid w:val="000A5F97"/>
    <w:rsid w:val="000A648E"/>
    <w:rsid w:val="000A73BB"/>
    <w:rsid w:val="000A7EF4"/>
    <w:rsid w:val="000B09B2"/>
    <w:rsid w:val="000B0A15"/>
    <w:rsid w:val="000B103F"/>
    <w:rsid w:val="000B1042"/>
    <w:rsid w:val="000B1437"/>
    <w:rsid w:val="000B1470"/>
    <w:rsid w:val="000B2B86"/>
    <w:rsid w:val="000B3051"/>
    <w:rsid w:val="000B419B"/>
    <w:rsid w:val="000B41E7"/>
    <w:rsid w:val="000B4A48"/>
    <w:rsid w:val="000B5781"/>
    <w:rsid w:val="000C0185"/>
    <w:rsid w:val="000C0F81"/>
    <w:rsid w:val="000C128D"/>
    <w:rsid w:val="000C17A3"/>
    <w:rsid w:val="000C1D4B"/>
    <w:rsid w:val="000C2E4D"/>
    <w:rsid w:val="000C3260"/>
    <w:rsid w:val="000C3803"/>
    <w:rsid w:val="000C3B77"/>
    <w:rsid w:val="000C4F49"/>
    <w:rsid w:val="000C5861"/>
    <w:rsid w:val="000C5CA2"/>
    <w:rsid w:val="000C639D"/>
    <w:rsid w:val="000C6C31"/>
    <w:rsid w:val="000C6DBC"/>
    <w:rsid w:val="000C6F79"/>
    <w:rsid w:val="000C7476"/>
    <w:rsid w:val="000C7711"/>
    <w:rsid w:val="000C7AA2"/>
    <w:rsid w:val="000D0462"/>
    <w:rsid w:val="000D053D"/>
    <w:rsid w:val="000D0AA7"/>
    <w:rsid w:val="000D0EA9"/>
    <w:rsid w:val="000D0ED2"/>
    <w:rsid w:val="000D152A"/>
    <w:rsid w:val="000D1CEB"/>
    <w:rsid w:val="000D2563"/>
    <w:rsid w:val="000D25BF"/>
    <w:rsid w:val="000D378E"/>
    <w:rsid w:val="000D3FDC"/>
    <w:rsid w:val="000D4E38"/>
    <w:rsid w:val="000D50DB"/>
    <w:rsid w:val="000D5F49"/>
    <w:rsid w:val="000D6288"/>
    <w:rsid w:val="000D676A"/>
    <w:rsid w:val="000D6CAF"/>
    <w:rsid w:val="000D7541"/>
    <w:rsid w:val="000D75E1"/>
    <w:rsid w:val="000E067E"/>
    <w:rsid w:val="000E22CF"/>
    <w:rsid w:val="000E2977"/>
    <w:rsid w:val="000E30AC"/>
    <w:rsid w:val="000E3B46"/>
    <w:rsid w:val="000E3E11"/>
    <w:rsid w:val="000E4596"/>
    <w:rsid w:val="000E4B0F"/>
    <w:rsid w:val="000E4EA2"/>
    <w:rsid w:val="000E5768"/>
    <w:rsid w:val="000E5843"/>
    <w:rsid w:val="000E6139"/>
    <w:rsid w:val="000E6BE1"/>
    <w:rsid w:val="000E7118"/>
    <w:rsid w:val="000E7E0B"/>
    <w:rsid w:val="000F078A"/>
    <w:rsid w:val="000F122D"/>
    <w:rsid w:val="000F144E"/>
    <w:rsid w:val="000F1450"/>
    <w:rsid w:val="000F14E8"/>
    <w:rsid w:val="000F1BBD"/>
    <w:rsid w:val="000F1FC6"/>
    <w:rsid w:val="000F2739"/>
    <w:rsid w:val="000F3138"/>
    <w:rsid w:val="000F3D39"/>
    <w:rsid w:val="000F4403"/>
    <w:rsid w:val="000F4C85"/>
    <w:rsid w:val="000F4E17"/>
    <w:rsid w:val="000F6578"/>
    <w:rsid w:val="000F70CD"/>
    <w:rsid w:val="000F7ABD"/>
    <w:rsid w:val="000F7E8F"/>
    <w:rsid w:val="000F7FBB"/>
    <w:rsid w:val="001000FB"/>
    <w:rsid w:val="00101B40"/>
    <w:rsid w:val="001023A6"/>
    <w:rsid w:val="00102605"/>
    <w:rsid w:val="00102686"/>
    <w:rsid w:val="00102745"/>
    <w:rsid w:val="00103361"/>
    <w:rsid w:val="00103855"/>
    <w:rsid w:val="00103915"/>
    <w:rsid w:val="00103CA3"/>
    <w:rsid w:val="00103EA0"/>
    <w:rsid w:val="00104F1C"/>
    <w:rsid w:val="001051E5"/>
    <w:rsid w:val="00105A74"/>
    <w:rsid w:val="00105ACB"/>
    <w:rsid w:val="00105AEF"/>
    <w:rsid w:val="00106259"/>
    <w:rsid w:val="001062F4"/>
    <w:rsid w:val="001068EB"/>
    <w:rsid w:val="001078CE"/>
    <w:rsid w:val="0011011F"/>
    <w:rsid w:val="001107A8"/>
    <w:rsid w:val="00110CEB"/>
    <w:rsid w:val="00110F61"/>
    <w:rsid w:val="001111BD"/>
    <w:rsid w:val="0011165A"/>
    <w:rsid w:val="0011177B"/>
    <w:rsid w:val="00111B2B"/>
    <w:rsid w:val="00112774"/>
    <w:rsid w:val="00112B2E"/>
    <w:rsid w:val="00113003"/>
    <w:rsid w:val="00113062"/>
    <w:rsid w:val="00113568"/>
    <w:rsid w:val="00113584"/>
    <w:rsid w:val="00113705"/>
    <w:rsid w:val="00113975"/>
    <w:rsid w:val="00113CFC"/>
    <w:rsid w:val="00113FEA"/>
    <w:rsid w:val="00114A22"/>
    <w:rsid w:val="00114E9D"/>
    <w:rsid w:val="0011507B"/>
    <w:rsid w:val="00116328"/>
    <w:rsid w:val="001174C9"/>
    <w:rsid w:val="00117E69"/>
    <w:rsid w:val="00117EA9"/>
    <w:rsid w:val="00121103"/>
    <w:rsid w:val="0012156A"/>
    <w:rsid w:val="00121BAB"/>
    <w:rsid w:val="00121E3C"/>
    <w:rsid w:val="00122B23"/>
    <w:rsid w:val="00122B7E"/>
    <w:rsid w:val="00123FB5"/>
    <w:rsid w:val="0012400F"/>
    <w:rsid w:val="001249DC"/>
    <w:rsid w:val="0012572D"/>
    <w:rsid w:val="00125BED"/>
    <w:rsid w:val="00125C59"/>
    <w:rsid w:val="00125D4F"/>
    <w:rsid w:val="00126AE3"/>
    <w:rsid w:val="00127004"/>
    <w:rsid w:val="0012798E"/>
    <w:rsid w:val="00127AF2"/>
    <w:rsid w:val="00127EDC"/>
    <w:rsid w:val="00127F6D"/>
    <w:rsid w:val="00130355"/>
    <w:rsid w:val="00131B5A"/>
    <w:rsid w:val="00132C30"/>
    <w:rsid w:val="00132D11"/>
    <w:rsid w:val="00132EFD"/>
    <w:rsid w:val="00133AED"/>
    <w:rsid w:val="00134FF9"/>
    <w:rsid w:val="00135B1A"/>
    <w:rsid w:val="00135E88"/>
    <w:rsid w:val="0013695C"/>
    <w:rsid w:val="00136978"/>
    <w:rsid w:val="001369F5"/>
    <w:rsid w:val="00136BF7"/>
    <w:rsid w:val="001378B9"/>
    <w:rsid w:val="00137FFA"/>
    <w:rsid w:val="00140109"/>
    <w:rsid w:val="001401AA"/>
    <w:rsid w:val="0014029B"/>
    <w:rsid w:val="00140A4F"/>
    <w:rsid w:val="001413AB"/>
    <w:rsid w:val="00141771"/>
    <w:rsid w:val="00141C66"/>
    <w:rsid w:val="001440D0"/>
    <w:rsid w:val="00144335"/>
    <w:rsid w:val="0014502F"/>
    <w:rsid w:val="00145282"/>
    <w:rsid w:val="001453B0"/>
    <w:rsid w:val="001454D9"/>
    <w:rsid w:val="00145D8E"/>
    <w:rsid w:val="00146083"/>
    <w:rsid w:val="001462F7"/>
    <w:rsid w:val="001466F0"/>
    <w:rsid w:val="00146AC2"/>
    <w:rsid w:val="00147798"/>
    <w:rsid w:val="00150005"/>
    <w:rsid w:val="00150C64"/>
    <w:rsid w:val="00151B99"/>
    <w:rsid w:val="001521B2"/>
    <w:rsid w:val="00152288"/>
    <w:rsid w:val="00152EDD"/>
    <w:rsid w:val="00153491"/>
    <w:rsid w:val="0015361C"/>
    <w:rsid w:val="0015372F"/>
    <w:rsid w:val="00153BFB"/>
    <w:rsid w:val="0015407E"/>
    <w:rsid w:val="0015446D"/>
    <w:rsid w:val="0015448E"/>
    <w:rsid w:val="00154933"/>
    <w:rsid w:val="00154A6F"/>
    <w:rsid w:val="00155D08"/>
    <w:rsid w:val="00156BE5"/>
    <w:rsid w:val="00157232"/>
    <w:rsid w:val="00160401"/>
    <w:rsid w:val="00160D4E"/>
    <w:rsid w:val="00160FC5"/>
    <w:rsid w:val="0016125D"/>
    <w:rsid w:val="00161E62"/>
    <w:rsid w:val="00161F1C"/>
    <w:rsid w:val="0016200B"/>
    <w:rsid w:val="001624AC"/>
    <w:rsid w:val="00163D7A"/>
    <w:rsid w:val="00164281"/>
    <w:rsid w:val="00166EC0"/>
    <w:rsid w:val="00167503"/>
    <w:rsid w:val="001676A9"/>
    <w:rsid w:val="00167A15"/>
    <w:rsid w:val="00167A50"/>
    <w:rsid w:val="00167DF5"/>
    <w:rsid w:val="00170001"/>
    <w:rsid w:val="0017118C"/>
    <w:rsid w:val="0017189B"/>
    <w:rsid w:val="00172198"/>
    <w:rsid w:val="00172612"/>
    <w:rsid w:val="00172817"/>
    <w:rsid w:val="00172F15"/>
    <w:rsid w:val="001734E3"/>
    <w:rsid w:val="001742BF"/>
    <w:rsid w:val="00175E49"/>
    <w:rsid w:val="00177076"/>
    <w:rsid w:val="001805C1"/>
    <w:rsid w:val="00180A2E"/>
    <w:rsid w:val="001813AF"/>
    <w:rsid w:val="001829CD"/>
    <w:rsid w:val="00182F01"/>
    <w:rsid w:val="0018329E"/>
    <w:rsid w:val="00183C7A"/>
    <w:rsid w:val="00184F27"/>
    <w:rsid w:val="0018519B"/>
    <w:rsid w:val="00185AFE"/>
    <w:rsid w:val="00185E78"/>
    <w:rsid w:val="00187177"/>
    <w:rsid w:val="00187443"/>
    <w:rsid w:val="00187ABD"/>
    <w:rsid w:val="001904E3"/>
    <w:rsid w:val="0019087A"/>
    <w:rsid w:val="00191C5A"/>
    <w:rsid w:val="00191CEB"/>
    <w:rsid w:val="00191E63"/>
    <w:rsid w:val="00192D68"/>
    <w:rsid w:val="001932ED"/>
    <w:rsid w:val="0019388B"/>
    <w:rsid w:val="00193B9A"/>
    <w:rsid w:val="001946AE"/>
    <w:rsid w:val="001946D5"/>
    <w:rsid w:val="00194E8C"/>
    <w:rsid w:val="001962EC"/>
    <w:rsid w:val="001963DD"/>
    <w:rsid w:val="001965DB"/>
    <w:rsid w:val="00196DC9"/>
    <w:rsid w:val="001A0236"/>
    <w:rsid w:val="001A0AF8"/>
    <w:rsid w:val="001A0E02"/>
    <w:rsid w:val="001A18D5"/>
    <w:rsid w:val="001A1D4A"/>
    <w:rsid w:val="001A3011"/>
    <w:rsid w:val="001A4DAF"/>
    <w:rsid w:val="001A66DF"/>
    <w:rsid w:val="001A67D0"/>
    <w:rsid w:val="001A7591"/>
    <w:rsid w:val="001A75B1"/>
    <w:rsid w:val="001B0366"/>
    <w:rsid w:val="001B0444"/>
    <w:rsid w:val="001B096B"/>
    <w:rsid w:val="001B0F9F"/>
    <w:rsid w:val="001B123C"/>
    <w:rsid w:val="001B1A0D"/>
    <w:rsid w:val="001B1BF1"/>
    <w:rsid w:val="001B1D14"/>
    <w:rsid w:val="001B2456"/>
    <w:rsid w:val="001B449C"/>
    <w:rsid w:val="001B4AA2"/>
    <w:rsid w:val="001B4ADE"/>
    <w:rsid w:val="001B5EF8"/>
    <w:rsid w:val="001B64C6"/>
    <w:rsid w:val="001B7F0B"/>
    <w:rsid w:val="001C07C6"/>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4141"/>
    <w:rsid w:val="001D56E9"/>
    <w:rsid w:val="001D644C"/>
    <w:rsid w:val="001D7923"/>
    <w:rsid w:val="001D796A"/>
    <w:rsid w:val="001D7A84"/>
    <w:rsid w:val="001D7C79"/>
    <w:rsid w:val="001E15F0"/>
    <w:rsid w:val="001E1CC4"/>
    <w:rsid w:val="001E1D38"/>
    <w:rsid w:val="001E218A"/>
    <w:rsid w:val="001E362E"/>
    <w:rsid w:val="001E3BDF"/>
    <w:rsid w:val="001E3C62"/>
    <w:rsid w:val="001E3E0F"/>
    <w:rsid w:val="001E4258"/>
    <w:rsid w:val="001E56A3"/>
    <w:rsid w:val="001E56FF"/>
    <w:rsid w:val="001E5D6A"/>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54E"/>
    <w:rsid w:val="00200B51"/>
    <w:rsid w:val="00201F1E"/>
    <w:rsid w:val="00202913"/>
    <w:rsid w:val="0020299B"/>
    <w:rsid w:val="00202E44"/>
    <w:rsid w:val="00202F83"/>
    <w:rsid w:val="002037AA"/>
    <w:rsid w:val="00203FE3"/>
    <w:rsid w:val="002042D8"/>
    <w:rsid w:val="00204515"/>
    <w:rsid w:val="00204588"/>
    <w:rsid w:val="00204BF5"/>
    <w:rsid w:val="00204E6B"/>
    <w:rsid w:val="00204F79"/>
    <w:rsid w:val="002058D4"/>
    <w:rsid w:val="00205BAA"/>
    <w:rsid w:val="0020632A"/>
    <w:rsid w:val="0020697F"/>
    <w:rsid w:val="00207249"/>
    <w:rsid w:val="002110EB"/>
    <w:rsid w:val="00211338"/>
    <w:rsid w:val="00211388"/>
    <w:rsid w:val="0021148C"/>
    <w:rsid w:val="00211694"/>
    <w:rsid w:val="0021201A"/>
    <w:rsid w:val="00212AEE"/>
    <w:rsid w:val="00213A1F"/>
    <w:rsid w:val="00213C63"/>
    <w:rsid w:val="00214502"/>
    <w:rsid w:val="00214741"/>
    <w:rsid w:val="0021539A"/>
    <w:rsid w:val="00215852"/>
    <w:rsid w:val="00215B8E"/>
    <w:rsid w:val="00216264"/>
    <w:rsid w:val="002176B6"/>
    <w:rsid w:val="0021792D"/>
    <w:rsid w:val="00217DB8"/>
    <w:rsid w:val="0022032A"/>
    <w:rsid w:val="002221CE"/>
    <w:rsid w:val="00222BE8"/>
    <w:rsid w:val="00223102"/>
    <w:rsid w:val="002232CB"/>
    <w:rsid w:val="00224022"/>
    <w:rsid w:val="00224235"/>
    <w:rsid w:val="00226055"/>
    <w:rsid w:val="0022613F"/>
    <w:rsid w:val="00226236"/>
    <w:rsid w:val="002270C9"/>
    <w:rsid w:val="00227A8B"/>
    <w:rsid w:val="00227DF8"/>
    <w:rsid w:val="0023118E"/>
    <w:rsid w:val="0023146B"/>
    <w:rsid w:val="002315A0"/>
    <w:rsid w:val="00231601"/>
    <w:rsid w:val="002319A7"/>
    <w:rsid w:val="00231EC7"/>
    <w:rsid w:val="00232E15"/>
    <w:rsid w:val="00233079"/>
    <w:rsid w:val="0023382C"/>
    <w:rsid w:val="00233977"/>
    <w:rsid w:val="00233C58"/>
    <w:rsid w:val="00233C71"/>
    <w:rsid w:val="00233F03"/>
    <w:rsid w:val="002345B6"/>
    <w:rsid w:val="00234B84"/>
    <w:rsid w:val="002353B5"/>
    <w:rsid w:val="00236016"/>
    <w:rsid w:val="00237065"/>
    <w:rsid w:val="00237589"/>
    <w:rsid w:val="0023758D"/>
    <w:rsid w:val="002375A7"/>
    <w:rsid w:val="002378CF"/>
    <w:rsid w:val="0024015C"/>
    <w:rsid w:val="0024019A"/>
    <w:rsid w:val="002411DE"/>
    <w:rsid w:val="0024131D"/>
    <w:rsid w:val="002415B8"/>
    <w:rsid w:val="00241618"/>
    <w:rsid w:val="00241E0B"/>
    <w:rsid w:val="00242D62"/>
    <w:rsid w:val="002431D7"/>
    <w:rsid w:val="00243319"/>
    <w:rsid w:val="00244026"/>
    <w:rsid w:val="00244058"/>
    <w:rsid w:val="0024465A"/>
    <w:rsid w:val="00245718"/>
    <w:rsid w:val="002457C5"/>
    <w:rsid w:val="00245E07"/>
    <w:rsid w:val="0024622D"/>
    <w:rsid w:val="00247712"/>
    <w:rsid w:val="002479C0"/>
    <w:rsid w:val="00250EC6"/>
    <w:rsid w:val="00251866"/>
    <w:rsid w:val="00251A9F"/>
    <w:rsid w:val="00252492"/>
    <w:rsid w:val="00252B35"/>
    <w:rsid w:val="0025316D"/>
    <w:rsid w:val="002532F4"/>
    <w:rsid w:val="00253A02"/>
    <w:rsid w:val="00253B81"/>
    <w:rsid w:val="002554DE"/>
    <w:rsid w:val="00255E11"/>
    <w:rsid w:val="002566AF"/>
    <w:rsid w:val="00256835"/>
    <w:rsid w:val="002569F0"/>
    <w:rsid w:val="00256ECF"/>
    <w:rsid w:val="00257730"/>
    <w:rsid w:val="00257999"/>
    <w:rsid w:val="002600BD"/>
    <w:rsid w:val="002604AA"/>
    <w:rsid w:val="00260F90"/>
    <w:rsid w:val="0026129B"/>
    <w:rsid w:val="00261560"/>
    <w:rsid w:val="00261715"/>
    <w:rsid w:val="00261CF9"/>
    <w:rsid w:val="00261EC0"/>
    <w:rsid w:val="0026231B"/>
    <w:rsid w:val="00263101"/>
    <w:rsid w:val="00263201"/>
    <w:rsid w:val="00263A37"/>
    <w:rsid w:val="00264676"/>
    <w:rsid w:val="002653A6"/>
    <w:rsid w:val="0026608D"/>
    <w:rsid w:val="002661F1"/>
    <w:rsid w:val="002663BA"/>
    <w:rsid w:val="002667D9"/>
    <w:rsid w:val="00266CB5"/>
    <w:rsid w:val="00271098"/>
    <w:rsid w:val="002711A4"/>
    <w:rsid w:val="00271861"/>
    <w:rsid w:val="00271B00"/>
    <w:rsid w:val="00271F13"/>
    <w:rsid w:val="00274079"/>
    <w:rsid w:val="00274DB5"/>
    <w:rsid w:val="002755E3"/>
    <w:rsid w:val="00275BB1"/>
    <w:rsid w:val="00275FBF"/>
    <w:rsid w:val="00276373"/>
    <w:rsid w:val="00276DF7"/>
    <w:rsid w:val="00277933"/>
    <w:rsid w:val="00277F8D"/>
    <w:rsid w:val="00277FA7"/>
    <w:rsid w:val="00280F3D"/>
    <w:rsid w:val="0028106A"/>
    <w:rsid w:val="0028187B"/>
    <w:rsid w:val="00281EB4"/>
    <w:rsid w:val="00282016"/>
    <w:rsid w:val="0028308E"/>
    <w:rsid w:val="002834E9"/>
    <w:rsid w:val="00283A52"/>
    <w:rsid w:val="00283C5E"/>
    <w:rsid w:val="00283E26"/>
    <w:rsid w:val="0028428F"/>
    <w:rsid w:val="00284CFC"/>
    <w:rsid w:val="00285832"/>
    <w:rsid w:val="00285969"/>
    <w:rsid w:val="0028663B"/>
    <w:rsid w:val="00286CEC"/>
    <w:rsid w:val="002871A9"/>
    <w:rsid w:val="00290781"/>
    <w:rsid w:val="002907A4"/>
    <w:rsid w:val="00290F11"/>
    <w:rsid w:val="00291784"/>
    <w:rsid w:val="002929BB"/>
    <w:rsid w:val="00293C8E"/>
    <w:rsid w:val="00294368"/>
    <w:rsid w:val="00294B78"/>
    <w:rsid w:val="00295566"/>
    <w:rsid w:val="00295949"/>
    <w:rsid w:val="0029624A"/>
    <w:rsid w:val="00296922"/>
    <w:rsid w:val="00297098"/>
    <w:rsid w:val="002A05D4"/>
    <w:rsid w:val="002A09FF"/>
    <w:rsid w:val="002A0DA6"/>
    <w:rsid w:val="002A0E60"/>
    <w:rsid w:val="002A1A58"/>
    <w:rsid w:val="002A1B02"/>
    <w:rsid w:val="002A1C53"/>
    <w:rsid w:val="002A1EA5"/>
    <w:rsid w:val="002A2225"/>
    <w:rsid w:val="002A28FC"/>
    <w:rsid w:val="002A2B44"/>
    <w:rsid w:val="002A2EA5"/>
    <w:rsid w:val="002A3D94"/>
    <w:rsid w:val="002A4736"/>
    <w:rsid w:val="002A4B1C"/>
    <w:rsid w:val="002A4CC8"/>
    <w:rsid w:val="002A6AFB"/>
    <w:rsid w:val="002A6F7A"/>
    <w:rsid w:val="002A733D"/>
    <w:rsid w:val="002A774A"/>
    <w:rsid w:val="002A7E5C"/>
    <w:rsid w:val="002A7F6D"/>
    <w:rsid w:val="002B0598"/>
    <w:rsid w:val="002B1342"/>
    <w:rsid w:val="002B17AD"/>
    <w:rsid w:val="002B27C8"/>
    <w:rsid w:val="002B2A7F"/>
    <w:rsid w:val="002B330B"/>
    <w:rsid w:val="002B33C1"/>
    <w:rsid w:val="002B342A"/>
    <w:rsid w:val="002B39BE"/>
    <w:rsid w:val="002B438C"/>
    <w:rsid w:val="002B48DB"/>
    <w:rsid w:val="002B4B34"/>
    <w:rsid w:val="002B541A"/>
    <w:rsid w:val="002B6407"/>
    <w:rsid w:val="002B6416"/>
    <w:rsid w:val="002B6459"/>
    <w:rsid w:val="002B683F"/>
    <w:rsid w:val="002B73B0"/>
    <w:rsid w:val="002C1143"/>
    <w:rsid w:val="002C11FA"/>
    <w:rsid w:val="002C24B4"/>
    <w:rsid w:val="002C2B3A"/>
    <w:rsid w:val="002C2B87"/>
    <w:rsid w:val="002C3CF4"/>
    <w:rsid w:val="002C40DA"/>
    <w:rsid w:val="002C441A"/>
    <w:rsid w:val="002C4A73"/>
    <w:rsid w:val="002C4B84"/>
    <w:rsid w:val="002C4C0C"/>
    <w:rsid w:val="002C5016"/>
    <w:rsid w:val="002C5C2F"/>
    <w:rsid w:val="002C5D0F"/>
    <w:rsid w:val="002C5E87"/>
    <w:rsid w:val="002C60B9"/>
    <w:rsid w:val="002C6D3F"/>
    <w:rsid w:val="002C6F77"/>
    <w:rsid w:val="002C704D"/>
    <w:rsid w:val="002D0845"/>
    <w:rsid w:val="002D0933"/>
    <w:rsid w:val="002D19BB"/>
    <w:rsid w:val="002D1A9B"/>
    <w:rsid w:val="002D21F8"/>
    <w:rsid w:val="002D22C5"/>
    <w:rsid w:val="002D301F"/>
    <w:rsid w:val="002D302A"/>
    <w:rsid w:val="002D36C6"/>
    <w:rsid w:val="002D37C1"/>
    <w:rsid w:val="002D444B"/>
    <w:rsid w:val="002D4A45"/>
    <w:rsid w:val="002D4A73"/>
    <w:rsid w:val="002D4B42"/>
    <w:rsid w:val="002D4DBA"/>
    <w:rsid w:val="002D5A1B"/>
    <w:rsid w:val="002D65BC"/>
    <w:rsid w:val="002D6AD0"/>
    <w:rsid w:val="002D6D7E"/>
    <w:rsid w:val="002D736C"/>
    <w:rsid w:val="002E055C"/>
    <w:rsid w:val="002E1050"/>
    <w:rsid w:val="002E18E5"/>
    <w:rsid w:val="002E1953"/>
    <w:rsid w:val="002E2D7D"/>
    <w:rsid w:val="002E3AB5"/>
    <w:rsid w:val="002E3D76"/>
    <w:rsid w:val="002E40A1"/>
    <w:rsid w:val="002E48EC"/>
    <w:rsid w:val="002E499E"/>
    <w:rsid w:val="002E4B44"/>
    <w:rsid w:val="002E4ECB"/>
    <w:rsid w:val="002E4F23"/>
    <w:rsid w:val="002E7847"/>
    <w:rsid w:val="002F0073"/>
    <w:rsid w:val="002F0618"/>
    <w:rsid w:val="002F1E67"/>
    <w:rsid w:val="002F22B6"/>
    <w:rsid w:val="002F240B"/>
    <w:rsid w:val="002F2F50"/>
    <w:rsid w:val="002F3601"/>
    <w:rsid w:val="002F45F6"/>
    <w:rsid w:val="002F692F"/>
    <w:rsid w:val="002F7B66"/>
    <w:rsid w:val="002F7C31"/>
    <w:rsid w:val="00300CB4"/>
    <w:rsid w:val="00300E24"/>
    <w:rsid w:val="00302C0E"/>
    <w:rsid w:val="00302FE8"/>
    <w:rsid w:val="003033BA"/>
    <w:rsid w:val="003043A3"/>
    <w:rsid w:val="00304B9B"/>
    <w:rsid w:val="00304BD4"/>
    <w:rsid w:val="0030500A"/>
    <w:rsid w:val="0030517B"/>
    <w:rsid w:val="003052EB"/>
    <w:rsid w:val="00305FCB"/>
    <w:rsid w:val="003063C3"/>
    <w:rsid w:val="003065CE"/>
    <w:rsid w:val="00306B44"/>
    <w:rsid w:val="00307C44"/>
    <w:rsid w:val="0031088E"/>
    <w:rsid w:val="00310D01"/>
    <w:rsid w:val="00311376"/>
    <w:rsid w:val="00311A1F"/>
    <w:rsid w:val="00311B47"/>
    <w:rsid w:val="00311D52"/>
    <w:rsid w:val="00312190"/>
    <w:rsid w:val="0031229D"/>
    <w:rsid w:val="003125E0"/>
    <w:rsid w:val="0031271D"/>
    <w:rsid w:val="00313447"/>
    <w:rsid w:val="00313748"/>
    <w:rsid w:val="00313EA3"/>
    <w:rsid w:val="00315457"/>
    <w:rsid w:val="003161A4"/>
    <w:rsid w:val="00316955"/>
    <w:rsid w:val="0031720A"/>
    <w:rsid w:val="0031749B"/>
    <w:rsid w:val="003174E5"/>
    <w:rsid w:val="00317C9D"/>
    <w:rsid w:val="00317CD2"/>
    <w:rsid w:val="00317D99"/>
    <w:rsid w:val="0032078D"/>
    <w:rsid w:val="0032137B"/>
    <w:rsid w:val="00321BD6"/>
    <w:rsid w:val="00321FA3"/>
    <w:rsid w:val="003227D3"/>
    <w:rsid w:val="00322937"/>
    <w:rsid w:val="00322A46"/>
    <w:rsid w:val="00322A84"/>
    <w:rsid w:val="00323881"/>
    <w:rsid w:val="00323B73"/>
    <w:rsid w:val="00325D98"/>
    <w:rsid w:val="0032682A"/>
    <w:rsid w:val="00327A5C"/>
    <w:rsid w:val="0033092C"/>
    <w:rsid w:val="0033122A"/>
    <w:rsid w:val="003315AC"/>
    <w:rsid w:val="00331927"/>
    <w:rsid w:val="00331932"/>
    <w:rsid w:val="00331C53"/>
    <w:rsid w:val="0033293D"/>
    <w:rsid w:val="00333A88"/>
    <w:rsid w:val="00335B15"/>
    <w:rsid w:val="00335B21"/>
    <w:rsid w:val="00335D3F"/>
    <w:rsid w:val="00336104"/>
    <w:rsid w:val="00336248"/>
    <w:rsid w:val="0033638A"/>
    <w:rsid w:val="00336729"/>
    <w:rsid w:val="0033726D"/>
    <w:rsid w:val="00337362"/>
    <w:rsid w:val="00337CA8"/>
    <w:rsid w:val="0034177C"/>
    <w:rsid w:val="00342345"/>
    <w:rsid w:val="00342C27"/>
    <w:rsid w:val="003430C8"/>
    <w:rsid w:val="003432C8"/>
    <w:rsid w:val="003434B3"/>
    <w:rsid w:val="00343536"/>
    <w:rsid w:val="00343EFB"/>
    <w:rsid w:val="00344760"/>
    <w:rsid w:val="0034680A"/>
    <w:rsid w:val="00346C62"/>
    <w:rsid w:val="0034778E"/>
    <w:rsid w:val="003501E2"/>
    <w:rsid w:val="0035071F"/>
    <w:rsid w:val="00351E10"/>
    <w:rsid w:val="0035273A"/>
    <w:rsid w:val="003533F4"/>
    <w:rsid w:val="003536F6"/>
    <w:rsid w:val="00353DD5"/>
    <w:rsid w:val="00355131"/>
    <w:rsid w:val="00355214"/>
    <w:rsid w:val="00356438"/>
    <w:rsid w:val="00360E6D"/>
    <w:rsid w:val="00361306"/>
    <w:rsid w:val="00361A59"/>
    <w:rsid w:val="00362417"/>
    <w:rsid w:val="0036249F"/>
    <w:rsid w:val="00363348"/>
    <w:rsid w:val="00363857"/>
    <w:rsid w:val="00363D59"/>
    <w:rsid w:val="003640F7"/>
    <w:rsid w:val="00364300"/>
    <w:rsid w:val="00365D3A"/>
    <w:rsid w:val="003664FF"/>
    <w:rsid w:val="00366BD2"/>
    <w:rsid w:val="003670B8"/>
    <w:rsid w:val="003704A3"/>
    <w:rsid w:val="003706F2"/>
    <w:rsid w:val="003711F1"/>
    <w:rsid w:val="0037124F"/>
    <w:rsid w:val="00371CA6"/>
    <w:rsid w:val="00372491"/>
    <w:rsid w:val="00373827"/>
    <w:rsid w:val="0037401C"/>
    <w:rsid w:val="00374A1E"/>
    <w:rsid w:val="0037507B"/>
    <w:rsid w:val="00375C7C"/>
    <w:rsid w:val="00377027"/>
    <w:rsid w:val="00377135"/>
    <w:rsid w:val="00380272"/>
    <w:rsid w:val="00380576"/>
    <w:rsid w:val="003805DB"/>
    <w:rsid w:val="00380AE8"/>
    <w:rsid w:val="003813F4"/>
    <w:rsid w:val="0038152A"/>
    <w:rsid w:val="00381B96"/>
    <w:rsid w:val="00382466"/>
    <w:rsid w:val="00382BAD"/>
    <w:rsid w:val="00384261"/>
    <w:rsid w:val="003844E3"/>
    <w:rsid w:val="00384DF1"/>
    <w:rsid w:val="00384FF3"/>
    <w:rsid w:val="00386456"/>
    <w:rsid w:val="003865A9"/>
    <w:rsid w:val="00387642"/>
    <w:rsid w:val="00390F32"/>
    <w:rsid w:val="0039135E"/>
    <w:rsid w:val="0039319C"/>
    <w:rsid w:val="00393CAE"/>
    <w:rsid w:val="003945DC"/>
    <w:rsid w:val="003945F4"/>
    <w:rsid w:val="0039494D"/>
    <w:rsid w:val="00394EB5"/>
    <w:rsid w:val="003953B4"/>
    <w:rsid w:val="0039615F"/>
    <w:rsid w:val="00396A29"/>
    <w:rsid w:val="003975AF"/>
    <w:rsid w:val="00397FF0"/>
    <w:rsid w:val="003A0878"/>
    <w:rsid w:val="003A11BA"/>
    <w:rsid w:val="003A1561"/>
    <w:rsid w:val="003A1D25"/>
    <w:rsid w:val="003A1E36"/>
    <w:rsid w:val="003A22A2"/>
    <w:rsid w:val="003A2447"/>
    <w:rsid w:val="003A2562"/>
    <w:rsid w:val="003A2AA1"/>
    <w:rsid w:val="003A31A5"/>
    <w:rsid w:val="003A3851"/>
    <w:rsid w:val="003A39DD"/>
    <w:rsid w:val="003A4A8E"/>
    <w:rsid w:val="003A4C15"/>
    <w:rsid w:val="003A563C"/>
    <w:rsid w:val="003A581E"/>
    <w:rsid w:val="003A5C32"/>
    <w:rsid w:val="003A5CEF"/>
    <w:rsid w:val="003A6160"/>
    <w:rsid w:val="003A65A5"/>
    <w:rsid w:val="003A6BA5"/>
    <w:rsid w:val="003A72F5"/>
    <w:rsid w:val="003A78E5"/>
    <w:rsid w:val="003B0341"/>
    <w:rsid w:val="003B0FCF"/>
    <w:rsid w:val="003B120F"/>
    <w:rsid w:val="003B1794"/>
    <w:rsid w:val="003B1E57"/>
    <w:rsid w:val="003B28F8"/>
    <w:rsid w:val="003B2EF3"/>
    <w:rsid w:val="003B4B1C"/>
    <w:rsid w:val="003B4CB2"/>
    <w:rsid w:val="003B534F"/>
    <w:rsid w:val="003B5391"/>
    <w:rsid w:val="003B65D7"/>
    <w:rsid w:val="003B65E0"/>
    <w:rsid w:val="003B6BD4"/>
    <w:rsid w:val="003B6F4D"/>
    <w:rsid w:val="003B6FE7"/>
    <w:rsid w:val="003C01C6"/>
    <w:rsid w:val="003C0D1F"/>
    <w:rsid w:val="003C116A"/>
    <w:rsid w:val="003C1AF4"/>
    <w:rsid w:val="003C1B63"/>
    <w:rsid w:val="003C1CB8"/>
    <w:rsid w:val="003C2550"/>
    <w:rsid w:val="003C287F"/>
    <w:rsid w:val="003C3339"/>
    <w:rsid w:val="003C375A"/>
    <w:rsid w:val="003C4D9F"/>
    <w:rsid w:val="003C622C"/>
    <w:rsid w:val="003C6E89"/>
    <w:rsid w:val="003C73C7"/>
    <w:rsid w:val="003D050B"/>
    <w:rsid w:val="003D0B98"/>
    <w:rsid w:val="003D0C3C"/>
    <w:rsid w:val="003D0DE5"/>
    <w:rsid w:val="003D1351"/>
    <w:rsid w:val="003D21C1"/>
    <w:rsid w:val="003D3109"/>
    <w:rsid w:val="003D3707"/>
    <w:rsid w:val="003D3B15"/>
    <w:rsid w:val="003D3B2E"/>
    <w:rsid w:val="003D41CC"/>
    <w:rsid w:val="003D484D"/>
    <w:rsid w:val="003D49CB"/>
    <w:rsid w:val="003D4BD6"/>
    <w:rsid w:val="003D6B8F"/>
    <w:rsid w:val="003D7566"/>
    <w:rsid w:val="003D7702"/>
    <w:rsid w:val="003D7F9C"/>
    <w:rsid w:val="003E09BB"/>
    <w:rsid w:val="003E159D"/>
    <w:rsid w:val="003E20EA"/>
    <w:rsid w:val="003E210C"/>
    <w:rsid w:val="003E2F55"/>
    <w:rsid w:val="003E3087"/>
    <w:rsid w:val="003E34DB"/>
    <w:rsid w:val="003E3833"/>
    <w:rsid w:val="003E389E"/>
    <w:rsid w:val="003E3AF9"/>
    <w:rsid w:val="003E4A70"/>
    <w:rsid w:val="003E4C48"/>
    <w:rsid w:val="003E4CD9"/>
    <w:rsid w:val="003E54B3"/>
    <w:rsid w:val="003E5780"/>
    <w:rsid w:val="003E5B9F"/>
    <w:rsid w:val="003E6072"/>
    <w:rsid w:val="003E645D"/>
    <w:rsid w:val="003E6A08"/>
    <w:rsid w:val="003E6AB6"/>
    <w:rsid w:val="003E6E0B"/>
    <w:rsid w:val="003E71CD"/>
    <w:rsid w:val="003E78DA"/>
    <w:rsid w:val="003E7A8B"/>
    <w:rsid w:val="003F0CBD"/>
    <w:rsid w:val="003F0F7F"/>
    <w:rsid w:val="003F300D"/>
    <w:rsid w:val="003F391F"/>
    <w:rsid w:val="003F4599"/>
    <w:rsid w:val="003F45E1"/>
    <w:rsid w:val="003F4F6C"/>
    <w:rsid w:val="003F516A"/>
    <w:rsid w:val="003F559E"/>
    <w:rsid w:val="003F6181"/>
    <w:rsid w:val="003F63EE"/>
    <w:rsid w:val="003F7051"/>
    <w:rsid w:val="003F7343"/>
    <w:rsid w:val="00400002"/>
    <w:rsid w:val="00400054"/>
    <w:rsid w:val="00401373"/>
    <w:rsid w:val="004016A3"/>
    <w:rsid w:val="00401B31"/>
    <w:rsid w:val="0040202B"/>
    <w:rsid w:val="00402041"/>
    <w:rsid w:val="00402DE1"/>
    <w:rsid w:val="00402EEB"/>
    <w:rsid w:val="004037C2"/>
    <w:rsid w:val="00404041"/>
    <w:rsid w:val="00404B43"/>
    <w:rsid w:val="00404C61"/>
    <w:rsid w:val="00405487"/>
    <w:rsid w:val="0040602B"/>
    <w:rsid w:val="0040609F"/>
    <w:rsid w:val="00407A7A"/>
    <w:rsid w:val="00407ABC"/>
    <w:rsid w:val="00407F1E"/>
    <w:rsid w:val="00410A88"/>
    <w:rsid w:val="00411317"/>
    <w:rsid w:val="00411A9E"/>
    <w:rsid w:val="0041259F"/>
    <w:rsid w:val="00412B4D"/>
    <w:rsid w:val="00412C51"/>
    <w:rsid w:val="00413262"/>
    <w:rsid w:val="0041329C"/>
    <w:rsid w:val="004139F4"/>
    <w:rsid w:val="00413FFA"/>
    <w:rsid w:val="00414246"/>
    <w:rsid w:val="0041475B"/>
    <w:rsid w:val="00414D9A"/>
    <w:rsid w:val="00415194"/>
    <w:rsid w:val="00415816"/>
    <w:rsid w:val="00415B88"/>
    <w:rsid w:val="00415D32"/>
    <w:rsid w:val="00415D56"/>
    <w:rsid w:val="004160A2"/>
    <w:rsid w:val="004170D7"/>
    <w:rsid w:val="004177A6"/>
    <w:rsid w:val="00417EFD"/>
    <w:rsid w:val="004200EE"/>
    <w:rsid w:val="004205A4"/>
    <w:rsid w:val="004209D2"/>
    <w:rsid w:val="00420D6E"/>
    <w:rsid w:val="00421BD2"/>
    <w:rsid w:val="00421E00"/>
    <w:rsid w:val="00421FCB"/>
    <w:rsid w:val="004221D4"/>
    <w:rsid w:val="00422DCA"/>
    <w:rsid w:val="00423F9F"/>
    <w:rsid w:val="00425C43"/>
    <w:rsid w:val="00426C69"/>
    <w:rsid w:val="004273FA"/>
    <w:rsid w:val="004300E1"/>
    <w:rsid w:val="00430186"/>
    <w:rsid w:val="00431789"/>
    <w:rsid w:val="0043269A"/>
    <w:rsid w:val="004328C2"/>
    <w:rsid w:val="004333C2"/>
    <w:rsid w:val="00433ACB"/>
    <w:rsid w:val="00434787"/>
    <w:rsid w:val="004347DA"/>
    <w:rsid w:val="00434C13"/>
    <w:rsid w:val="004354A5"/>
    <w:rsid w:val="00436323"/>
    <w:rsid w:val="0043683F"/>
    <w:rsid w:val="0043688C"/>
    <w:rsid w:val="00436F40"/>
    <w:rsid w:val="004370FA"/>
    <w:rsid w:val="00440096"/>
    <w:rsid w:val="004403DD"/>
    <w:rsid w:val="00440DB0"/>
    <w:rsid w:val="00440FAD"/>
    <w:rsid w:val="00441291"/>
    <w:rsid w:val="004420AB"/>
    <w:rsid w:val="004422D6"/>
    <w:rsid w:val="004427AC"/>
    <w:rsid w:val="00442D4D"/>
    <w:rsid w:val="00443613"/>
    <w:rsid w:val="0044374D"/>
    <w:rsid w:val="00443865"/>
    <w:rsid w:val="00443AF9"/>
    <w:rsid w:val="00443B55"/>
    <w:rsid w:val="00443D27"/>
    <w:rsid w:val="00444E7E"/>
    <w:rsid w:val="00445AC2"/>
    <w:rsid w:val="00445DBE"/>
    <w:rsid w:val="00445EAB"/>
    <w:rsid w:val="00446037"/>
    <w:rsid w:val="0044642F"/>
    <w:rsid w:val="0044772C"/>
    <w:rsid w:val="00447B13"/>
    <w:rsid w:val="00447E82"/>
    <w:rsid w:val="00450846"/>
    <w:rsid w:val="00451A52"/>
    <w:rsid w:val="00451FC8"/>
    <w:rsid w:val="0045271D"/>
    <w:rsid w:val="00452755"/>
    <w:rsid w:val="00452803"/>
    <w:rsid w:val="004529C6"/>
    <w:rsid w:val="00452EAD"/>
    <w:rsid w:val="004533D1"/>
    <w:rsid w:val="004534D1"/>
    <w:rsid w:val="00454548"/>
    <w:rsid w:val="00454717"/>
    <w:rsid w:val="00455047"/>
    <w:rsid w:val="00455354"/>
    <w:rsid w:val="0045558D"/>
    <w:rsid w:val="004568D0"/>
    <w:rsid w:val="00456970"/>
    <w:rsid w:val="00456B71"/>
    <w:rsid w:val="00456BB1"/>
    <w:rsid w:val="00456DDB"/>
    <w:rsid w:val="00457570"/>
    <w:rsid w:val="00460915"/>
    <w:rsid w:val="00460946"/>
    <w:rsid w:val="00460CAE"/>
    <w:rsid w:val="004613D2"/>
    <w:rsid w:val="004614A9"/>
    <w:rsid w:val="00461E97"/>
    <w:rsid w:val="0046268F"/>
    <w:rsid w:val="0046284F"/>
    <w:rsid w:val="00462B10"/>
    <w:rsid w:val="00462C04"/>
    <w:rsid w:val="0046320A"/>
    <w:rsid w:val="0046361D"/>
    <w:rsid w:val="004638E2"/>
    <w:rsid w:val="00464030"/>
    <w:rsid w:val="004647F8"/>
    <w:rsid w:val="004647FB"/>
    <w:rsid w:val="00464EF5"/>
    <w:rsid w:val="00465677"/>
    <w:rsid w:val="00465AC3"/>
    <w:rsid w:val="00466616"/>
    <w:rsid w:val="00466861"/>
    <w:rsid w:val="00466A0C"/>
    <w:rsid w:val="00466D4F"/>
    <w:rsid w:val="00470A6A"/>
    <w:rsid w:val="00470D92"/>
    <w:rsid w:val="004712D1"/>
    <w:rsid w:val="00471DF7"/>
    <w:rsid w:val="00471F6B"/>
    <w:rsid w:val="0047295C"/>
    <w:rsid w:val="00472D8E"/>
    <w:rsid w:val="004734CF"/>
    <w:rsid w:val="00475C5A"/>
    <w:rsid w:val="00475C9C"/>
    <w:rsid w:val="0047676B"/>
    <w:rsid w:val="0047773C"/>
    <w:rsid w:val="00477A7D"/>
    <w:rsid w:val="00477C5F"/>
    <w:rsid w:val="00480050"/>
    <w:rsid w:val="0048063B"/>
    <w:rsid w:val="004808DE"/>
    <w:rsid w:val="00481AC4"/>
    <w:rsid w:val="00481DC1"/>
    <w:rsid w:val="00482507"/>
    <w:rsid w:val="0048268A"/>
    <w:rsid w:val="0048308A"/>
    <w:rsid w:val="00483356"/>
    <w:rsid w:val="004835CA"/>
    <w:rsid w:val="004836F8"/>
    <w:rsid w:val="004836FE"/>
    <w:rsid w:val="004843F9"/>
    <w:rsid w:val="004847E6"/>
    <w:rsid w:val="00484E3F"/>
    <w:rsid w:val="00484F0F"/>
    <w:rsid w:val="00484F40"/>
    <w:rsid w:val="0048540C"/>
    <w:rsid w:val="0048592F"/>
    <w:rsid w:val="004861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078"/>
    <w:rsid w:val="00493E04"/>
    <w:rsid w:val="004940E3"/>
    <w:rsid w:val="0049530F"/>
    <w:rsid w:val="00496664"/>
    <w:rsid w:val="00496786"/>
    <w:rsid w:val="0049695B"/>
    <w:rsid w:val="00496D8F"/>
    <w:rsid w:val="00497463"/>
    <w:rsid w:val="00497B15"/>
    <w:rsid w:val="004A054C"/>
    <w:rsid w:val="004A08D1"/>
    <w:rsid w:val="004A16C1"/>
    <w:rsid w:val="004A1CE2"/>
    <w:rsid w:val="004A21E3"/>
    <w:rsid w:val="004A2800"/>
    <w:rsid w:val="004A2A8D"/>
    <w:rsid w:val="004A34D2"/>
    <w:rsid w:val="004A37B9"/>
    <w:rsid w:val="004A40A6"/>
    <w:rsid w:val="004A41BA"/>
    <w:rsid w:val="004A4241"/>
    <w:rsid w:val="004A4301"/>
    <w:rsid w:val="004A4DD8"/>
    <w:rsid w:val="004A4E65"/>
    <w:rsid w:val="004A58EE"/>
    <w:rsid w:val="004A59B7"/>
    <w:rsid w:val="004A623B"/>
    <w:rsid w:val="004A6A04"/>
    <w:rsid w:val="004A6A52"/>
    <w:rsid w:val="004B0F0B"/>
    <w:rsid w:val="004B2197"/>
    <w:rsid w:val="004B298A"/>
    <w:rsid w:val="004B3008"/>
    <w:rsid w:val="004B4456"/>
    <w:rsid w:val="004B50A4"/>
    <w:rsid w:val="004B578D"/>
    <w:rsid w:val="004B5BE7"/>
    <w:rsid w:val="004B5E2D"/>
    <w:rsid w:val="004B6C07"/>
    <w:rsid w:val="004B74D3"/>
    <w:rsid w:val="004B76D3"/>
    <w:rsid w:val="004B788E"/>
    <w:rsid w:val="004B7910"/>
    <w:rsid w:val="004B7E5D"/>
    <w:rsid w:val="004C028A"/>
    <w:rsid w:val="004C0DD8"/>
    <w:rsid w:val="004C1CA0"/>
    <w:rsid w:val="004C22F7"/>
    <w:rsid w:val="004C2B27"/>
    <w:rsid w:val="004C34CD"/>
    <w:rsid w:val="004C3929"/>
    <w:rsid w:val="004C3C93"/>
    <w:rsid w:val="004C4DCB"/>
    <w:rsid w:val="004C5212"/>
    <w:rsid w:val="004C5EF0"/>
    <w:rsid w:val="004C683D"/>
    <w:rsid w:val="004C7226"/>
    <w:rsid w:val="004C74C9"/>
    <w:rsid w:val="004C7D70"/>
    <w:rsid w:val="004D02F9"/>
    <w:rsid w:val="004D0319"/>
    <w:rsid w:val="004D03FE"/>
    <w:rsid w:val="004D0446"/>
    <w:rsid w:val="004D0F95"/>
    <w:rsid w:val="004D106A"/>
    <w:rsid w:val="004D298F"/>
    <w:rsid w:val="004D31EE"/>
    <w:rsid w:val="004D36AF"/>
    <w:rsid w:val="004D3BD1"/>
    <w:rsid w:val="004D4BA1"/>
    <w:rsid w:val="004D57BB"/>
    <w:rsid w:val="004D584D"/>
    <w:rsid w:val="004D6826"/>
    <w:rsid w:val="004E023F"/>
    <w:rsid w:val="004E0742"/>
    <w:rsid w:val="004E0C64"/>
    <w:rsid w:val="004E0F6B"/>
    <w:rsid w:val="004E103F"/>
    <w:rsid w:val="004E1545"/>
    <w:rsid w:val="004E1F1C"/>
    <w:rsid w:val="004E2A35"/>
    <w:rsid w:val="004E39B7"/>
    <w:rsid w:val="004E40CE"/>
    <w:rsid w:val="004E4858"/>
    <w:rsid w:val="004E518D"/>
    <w:rsid w:val="004E5736"/>
    <w:rsid w:val="004E5B36"/>
    <w:rsid w:val="004E6045"/>
    <w:rsid w:val="004E6F43"/>
    <w:rsid w:val="004E6F55"/>
    <w:rsid w:val="004E7200"/>
    <w:rsid w:val="004E7A24"/>
    <w:rsid w:val="004F034D"/>
    <w:rsid w:val="004F053F"/>
    <w:rsid w:val="004F091D"/>
    <w:rsid w:val="004F0960"/>
    <w:rsid w:val="004F0A5C"/>
    <w:rsid w:val="004F0D61"/>
    <w:rsid w:val="004F163F"/>
    <w:rsid w:val="004F18A0"/>
    <w:rsid w:val="004F1A08"/>
    <w:rsid w:val="004F2B64"/>
    <w:rsid w:val="004F2E3D"/>
    <w:rsid w:val="004F3764"/>
    <w:rsid w:val="004F3EEF"/>
    <w:rsid w:val="004F4248"/>
    <w:rsid w:val="004F5930"/>
    <w:rsid w:val="004F5970"/>
    <w:rsid w:val="004F5F0C"/>
    <w:rsid w:val="004F6121"/>
    <w:rsid w:val="004F6161"/>
    <w:rsid w:val="004F6630"/>
    <w:rsid w:val="004F66BC"/>
    <w:rsid w:val="004F6C26"/>
    <w:rsid w:val="004F7052"/>
    <w:rsid w:val="004F7AC9"/>
    <w:rsid w:val="00500135"/>
    <w:rsid w:val="0050062F"/>
    <w:rsid w:val="005012E2"/>
    <w:rsid w:val="0050160F"/>
    <w:rsid w:val="0050284E"/>
    <w:rsid w:val="00504E6A"/>
    <w:rsid w:val="0050507E"/>
    <w:rsid w:val="00505DCB"/>
    <w:rsid w:val="00506762"/>
    <w:rsid w:val="005075CA"/>
    <w:rsid w:val="0051074C"/>
    <w:rsid w:val="00510DE9"/>
    <w:rsid w:val="005111E2"/>
    <w:rsid w:val="00511218"/>
    <w:rsid w:val="00511231"/>
    <w:rsid w:val="0051195F"/>
    <w:rsid w:val="00512779"/>
    <w:rsid w:val="00512C4F"/>
    <w:rsid w:val="00512FA0"/>
    <w:rsid w:val="00513042"/>
    <w:rsid w:val="0051334F"/>
    <w:rsid w:val="00513399"/>
    <w:rsid w:val="00513AA0"/>
    <w:rsid w:val="00513AF2"/>
    <w:rsid w:val="00514575"/>
    <w:rsid w:val="00514C03"/>
    <w:rsid w:val="00514D67"/>
    <w:rsid w:val="00515515"/>
    <w:rsid w:val="00515D26"/>
    <w:rsid w:val="0051635C"/>
    <w:rsid w:val="00516C5B"/>
    <w:rsid w:val="00516FDB"/>
    <w:rsid w:val="00517612"/>
    <w:rsid w:val="00517661"/>
    <w:rsid w:val="00517CFB"/>
    <w:rsid w:val="00517F85"/>
    <w:rsid w:val="00520899"/>
    <w:rsid w:val="00520922"/>
    <w:rsid w:val="00520937"/>
    <w:rsid w:val="005209FC"/>
    <w:rsid w:val="00520EF8"/>
    <w:rsid w:val="00521021"/>
    <w:rsid w:val="00522176"/>
    <w:rsid w:val="005224E5"/>
    <w:rsid w:val="005226BE"/>
    <w:rsid w:val="00523363"/>
    <w:rsid w:val="00523903"/>
    <w:rsid w:val="005239B6"/>
    <w:rsid w:val="00523C45"/>
    <w:rsid w:val="00524165"/>
    <w:rsid w:val="005246E7"/>
    <w:rsid w:val="00524FD2"/>
    <w:rsid w:val="00525621"/>
    <w:rsid w:val="00526431"/>
    <w:rsid w:val="005265D8"/>
    <w:rsid w:val="00527865"/>
    <w:rsid w:val="00527E57"/>
    <w:rsid w:val="00530405"/>
    <w:rsid w:val="00530522"/>
    <w:rsid w:val="005305E5"/>
    <w:rsid w:val="00530F38"/>
    <w:rsid w:val="005312A6"/>
    <w:rsid w:val="00531F26"/>
    <w:rsid w:val="0053277C"/>
    <w:rsid w:val="005327C0"/>
    <w:rsid w:val="00533101"/>
    <w:rsid w:val="00533CA9"/>
    <w:rsid w:val="005346AD"/>
    <w:rsid w:val="00534EFB"/>
    <w:rsid w:val="00534F60"/>
    <w:rsid w:val="005357F1"/>
    <w:rsid w:val="00536053"/>
    <w:rsid w:val="005369E6"/>
    <w:rsid w:val="005371AC"/>
    <w:rsid w:val="00537672"/>
    <w:rsid w:val="0053772F"/>
    <w:rsid w:val="00537B77"/>
    <w:rsid w:val="00540244"/>
    <w:rsid w:val="0054058B"/>
    <w:rsid w:val="00540C4C"/>
    <w:rsid w:val="00541571"/>
    <w:rsid w:val="0054275A"/>
    <w:rsid w:val="005428B8"/>
    <w:rsid w:val="00542BD7"/>
    <w:rsid w:val="00543084"/>
    <w:rsid w:val="0054413A"/>
    <w:rsid w:val="00544288"/>
    <w:rsid w:val="005446BB"/>
    <w:rsid w:val="00544EED"/>
    <w:rsid w:val="00545E30"/>
    <w:rsid w:val="00545EA3"/>
    <w:rsid w:val="00546293"/>
    <w:rsid w:val="00546C9B"/>
    <w:rsid w:val="0054713E"/>
    <w:rsid w:val="00547BF6"/>
    <w:rsid w:val="00551098"/>
    <w:rsid w:val="00551598"/>
    <w:rsid w:val="0055162B"/>
    <w:rsid w:val="00551BFF"/>
    <w:rsid w:val="00551D68"/>
    <w:rsid w:val="005523AA"/>
    <w:rsid w:val="00552A6F"/>
    <w:rsid w:val="00552B3E"/>
    <w:rsid w:val="005545B9"/>
    <w:rsid w:val="005546D1"/>
    <w:rsid w:val="005551AA"/>
    <w:rsid w:val="005564CA"/>
    <w:rsid w:val="005568EA"/>
    <w:rsid w:val="00557140"/>
    <w:rsid w:val="00560C87"/>
    <w:rsid w:val="00560EF9"/>
    <w:rsid w:val="00560F51"/>
    <w:rsid w:val="00561249"/>
    <w:rsid w:val="0056182B"/>
    <w:rsid w:val="00561AF3"/>
    <w:rsid w:val="00561D82"/>
    <w:rsid w:val="00561E0B"/>
    <w:rsid w:val="00562141"/>
    <w:rsid w:val="00562D86"/>
    <w:rsid w:val="005642EC"/>
    <w:rsid w:val="00564704"/>
    <w:rsid w:val="00564712"/>
    <w:rsid w:val="005657A8"/>
    <w:rsid w:val="00565952"/>
    <w:rsid w:val="005659AE"/>
    <w:rsid w:val="00566866"/>
    <w:rsid w:val="005670A5"/>
    <w:rsid w:val="00567723"/>
    <w:rsid w:val="00567AB8"/>
    <w:rsid w:val="00567C20"/>
    <w:rsid w:val="00570A26"/>
    <w:rsid w:val="0057221F"/>
    <w:rsid w:val="00572539"/>
    <w:rsid w:val="00572B8B"/>
    <w:rsid w:val="0057337D"/>
    <w:rsid w:val="00573504"/>
    <w:rsid w:val="0057411B"/>
    <w:rsid w:val="00574708"/>
    <w:rsid w:val="00574D81"/>
    <w:rsid w:val="005756AA"/>
    <w:rsid w:val="00576233"/>
    <w:rsid w:val="0057696F"/>
    <w:rsid w:val="005774FE"/>
    <w:rsid w:val="0058040C"/>
    <w:rsid w:val="005807B3"/>
    <w:rsid w:val="00580D6D"/>
    <w:rsid w:val="005813DE"/>
    <w:rsid w:val="00581796"/>
    <w:rsid w:val="00581B45"/>
    <w:rsid w:val="00582480"/>
    <w:rsid w:val="0058290E"/>
    <w:rsid w:val="00582CAB"/>
    <w:rsid w:val="0058375E"/>
    <w:rsid w:val="00584233"/>
    <w:rsid w:val="005842D0"/>
    <w:rsid w:val="00585486"/>
    <w:rsid w:val="005855AE"/>
    <w:rsid w:val="00585829"/>
    <w:rsid w:val="00585CA8"/>
    <w:rsid w:val="00586412"/>
    <w:rsid w:val="005864B9"/>
    <w:rsid w:val="005866C4"/>
    <w:rsid w:val="00587585"/>
    <w:rsid w:val="00587E29"/>
    <w:rsid w:val="00590F1A"/>
    <w:rsid w:val="005915CE"/>
    <w:rsid w:val="00591C03"/>
    <w:rsid w:val="00591E2A"/>
    <w:rsid w:val="005923C4"/>
    <w:rsid w:val="005930ED"/>
    <w:rsid w:val="00593F75"/>
    <w:rsid w:val="005940A0"/>
    <w:rsid w:val="0059429A"/>
    <w:rsid w:val="00594F2B"/>
    <w:rsid w:val="005956EC"/>
    <w:rsid w:val="00595F98"/>
    <w:rsid w:val="00596AEE"/>
    <w:rsid w:val="00596AF7"/>
    <w:rsid w:val="00596CCE"/>
    <w:rsid w:val="00597E38"/>
    <w:rsid w:val="005A1976"/>
    <w:rsid w:val="005A2120"/>
    <w:rsid w:val="005A2501"/>
    <w:rsid w:val="005A2C80"/>
    <w:rsid w:val="005A3066"/>
    <w:rsid w:val="005A3A1B"/>
    <w:rsid w:val="005A3B35"/>
    <w:rsid w:val="005A3C4B"/>
    <w:rsid w:val="005A3E5A"/>
    <w:rsid w:val="005A43F3"/>
    <w:rsid w:val="005A496F"/>
    <w:rsid w:val="005A4A56"/>
    <w:rsid w:val="005A5A3D"/>
    <w:rsid w:val="005A5CF8"/>
    <w:rsid w:val="005A5DF5"/>
    <w:rsid w:val="005A6035"/>
    <w:rsid w:val="005A6B75"/>
    <w:rsid w:val="005A6E00"/>
    <w:rsid w:val="005A718A"/>
    <w:rsid w:val="005B09BE"/>
    <w:rsid w:val="005B12B2"/>
    <w:rsid w:val="005B143B"/>
    <w:rsid w:val="005B1E45"/>
    <w:rsid w:val="005B21C4"/>
    <w:rsid w:val="005B2218"/>
    <w:rsid w:val="005B2A28"/>
    <w:rsid w:val="005B3621"/>
    <w:rsid w:val="005B3ECA"/>
    <w:rsid w:val="005B4948"/>
    <w:rsid w:val="005B501D"/>
    <w:rsid w:val="005B54CC"/>
    <w:rsid w:val="005B74AD"/>
    <w:rsid w:val="005B7E96"/>
    <w:rsid w:val="005C0429"/>
    <w:rsid w:val="005C084F"/>
    <w:rsid w:val="005C0D57"/>
    <w:rsid w:val="005C0EE9"/>
    <w:rsid w:val="005C1716"/>
    <w:rsid w:val="005C1954"/>
    <w:rsid w:val="005C1C0B"/>
    <w:rsid w:val="005C2011"/>
    <w:rsid w:val="005C3E5A"/>
    <w:rsid w:val="005C3EA3"/>
    <w:rsid w:val="005C5011"/>
    <w:rsid w:val="005C529E"/>
    <w:rsid w:val="005C57BA"/>
    <w:rsid w:val="005C5C52"/>
    <w:rsid w:val="005C5D3D"/>
    <w:rsid w:val="005C5F05"/>
    <w:rsid w:val="005C7F3E"/>
    <w:rsid w:val="005D1051"/>
    <w:rsid w:val="005D2044"/>
    <w:rsid w:val="005D2917"/>
    <w:rsid w:val="005D2EB2"/>
    <w:rsid w:val="005D2F48"/>
    <w:rsid w:val="005D464B"/>
    <w:rsid w:val="005D466F"/>
    <w:rsid w:val="005D49F0"/>
    <w:rsid w:val="005D51FA"/>
    <w:rsid w:val="005D53E8"/>
    <w:rsid w:val="005D5A9D"/>
    <w:rsid w:val="005D6651"/>
    <w:rsid w:val="005D691D"/>
    <w:rsid w:val="005D6A72"/>
    <w:rsid w:val="005D749F"/>
    <w:rsid w:val="005D791B"/>
    <w:rsid w:val="005D7CF2"/>
    <w:rsid w:val="005D7F92"/>
    <w:rsid w:val="005E02CD"/>
    <w:rsid w:val="005E0D7B"/>
    <w:rsid w:val="005E1595"/>
    <w:rsid w:val="005E17CA"/>
    <w:rsid w:val="005E1927"/>
    <w:rsid w:val="005E1F1D"/>
    <w:rsid w:val="005E273D"/>
    <w:rsid w:val="005E2E63"/>
    <w:rsid w:val="005E3278"/>
    <w:rsid w:val="005E363B"/>
    <w:rsid w:val="005E3B0D"/>
    <w:rsid w:val="005E4F85"/>
    <w:rsid w:val="005E5CCD"/>
    <w:rsid w:val="005E7FC9"/>
    <w:rsid w:val="005F1910"/>
    <w:rsid w:val="005F1D89"/>
    <w:rsid w:val="005F305B"/>
    <w:rsid w:val="005F3361"/>
    <w:rsid w:val="005F35FF"/>
    <w:rsid w:val="005F3B47"/>
    <w:rsid w:val="005F4481"/>
    <w:rsid w:val="005F4961"/>
    <w:rsid w:val="005F49AF"/>
    <w:rsid w:val="005F4A58"/>
    <w:rsid w:val="005F4C06"/>
    <w:rsid w:val="005F54DF"/>
    <w:rsid w:val="005F5888"/>
    <w:rsid w:val="005F5984"/>
    <w:rsid w:val="005F6CE2"/>
    <w:rsid w:val="005F72E9"/>
    <w:rsid w:val="005F730E"/>
    <w:rsid w:val="005F780B"/>
    <w:rsid w:val="00600195"/>
    <w:rsid w:val="00600473"/>
    <w:rsid w:val="0060063B"/>
    <w:rsid w:val="006013C9"/>
    <w:rsid w:val="006016EA"/>
    <w:rsid w:val="00602B45"/>
    <w:rsid w:val="00603499"/>
    <w:rsid w:val="006035F5"/>
    <w:rsid w:val="00603CC2"/>
    <w:rsid w:val="006047D1"/>
    <w:rsid w:val="00604A55"/>
    <w:rsid w:val="00605AC3"/>
    <w:rsid w:val="00606908"/>
    <w:rsid w:val="00607996"/>
    <w:rsid w:val="00607A37"/>
    <w:rsid w:val="00607E9F"/>
    <w:rsid w:val="0061085E"/>
    <w:rsid w:val="00611398"/>
    <w:rsid w:val="00612322"/>
    <w:rsid w:val="006123C0"/>
    <w:rsid w:val="0061278E"/>
    <w:rsid w:val="00613191"/>
    <w:rsid w:val="006133F9"/>
    <w:rsid w:val="006134B3"/>
    <w:rsid w:val="00613564"/>
    <w:rsid w:val="00613DE1"/>
    <w:rsid w:val="0061401F"/>
    <w:rsid w:val="00614166"/>
    <w:rsid w:val="00614817"/>
    <w:rsid w:val="006149CC"/>
    <w:rsid w:val="00614B29"/>
    <w:rsid w:val="00615095"/>
    <w:rsid w:val="006157A9"/>
    <w:rsid w:val="0061591D"/>
    <w:rsid w:val="00615ED0"/>
    <w:rsid w:val="0061604C"/>
    <w:rsid w:val="00616247"/>
    <w:rsid w:val="00616C2B"/>
    <w:rsid w:val="006170F7"/>
    <w:rsid w:val="006174FA"/>
    <w:rsid w:val="006178D1"/>
    <w:rsid w:val="00620000"/>
    <w:rsid w:val="006204FE"/>
    <w:rsid w:val="00620719"/>
    <w:rsid w:val="006212C9"/>
    <w:rsid w:val="00621D0C"/>
    <w:rsid w:val="00622470"/>
    <w:rsid w:val="00622725"/>
    <w:rsid w:val="00622C25"/>
    <w:rsid w:val="006231AA"/>
    <w:rsid w:val="00623482"/>
    <w:rsid w:val="00623AC2"/>
    <w:rsid w:val="00625F38"/>
    <w:rsid w:val="006266D7"/>
    <w:rsid w:val="00626D42"/>
    <w:rsid w:val="00626EE3"/>
    <w:rsid w:val="006274AD"/>
    <w:rsid w:val="00627532"/>
    <w:rsid w:val="006302AA"/>
    <w:rsid w:val="006310C3"/>
    <w:rsid w:val="0063161E"/>
    <w:rsid w:val="0063167C"/>
    <w:rsid w:val="00631B40"/>
    <w:rsid w:val="00631BB5"/>
    <w:rsid w:val="00631BEF"/>
    <w:rsid w:val="00631DD0"/>
    <w:rsid w:val="0063283D"/>
    <w:rsid w:val="0063306E"/>
    <w:rsid w:val="00633DBF"/>
    <w:rsid w:val="00634122"/>
    <w:rsid w:val="006351B4"/>
    <w:rsid w:val="006355B6"/>
    <w:rsid w:val="00635E32"/>
    <w:rsid w:val="006365DE"/>
    <w:rsid w:val="00636BE4"/>
    <w:rsid w:val="00637802"/>
    <w:rsid w:val="00637836"/>
    <w:rsid w:val="00637C26"/>
    <w:rsid w:val="00637F44"/>
    <w:rsid w:val="00640659"/>
    <w:rsid w:val="00640810"/>
    <w:rsid w:val="00641078"/>
    <w:rsid w:val="00641242"/>
    <w:rsid w:val="00642A32"/>
    <w:rsid w:val="006433D5"/>
    <w:rsid w:val="00643F91"/>
    <w:rsid w:val="00644D91"/>
    <w:rsid w:val="00646399"/>
    <w:rsid w:val="00646B20"/>
    <w:rsid w:val="00646D0F"/>
    <w:rsid w:val="0064708F"/>
    <w:rsid w:val="00647A36"/>
    <w:rsid w:val="00647CDC"/>
    <w:rsid w:val="00647CDF"/>
    <w:rsid w:val="00647DCC"/>
    <w:rsid w:val="00647EFA"/>
    <w:rsid w:val="00647F14"/>
    <w:rsid w:val="00650027"/>
    <w:rsid w:val="00651B9C"/>
    <w:rsid w:val="00651C47"/>
    <w:rsid w:val="00652854"/>
    <w:rsid w:val="00652E70"/>
    <w:rsid w:val="0065339A"/>
    <w:rsid w:val="00653469"/>
    <w:rsid w:val="00653F57"/>
    <w:rsid w:val="00654A38"/>
    <w:rsid w:val="00655301"/>
    <w:rsid w:val="00655371"/>
    <w:rsid w:val="00655876"/>
    <w:rsid w:val="00655D4C"/>
    <w:rsid w:val="00655E8B"/>
    <w:rsid w:val="00656070"/>
    <w:rsid w:val="00656C4B"/>
    <w:rsid w:val="006573EA"/>
    <w:rsid w:val="00661029"/>
    <w:rsid w:val="00661042"/>
    <w:rsid w:val="0066135A"/>
    <w:rsid w:val="0066272D"/>
    <w:rsid w:val="00662E58"/>
    <w:rsid w:val="00662F39"/>
    <w:rsid w:val="006635A0"/>
    <w:rsid w:val="00664351"/>
    <w:rsid w:val="00665575"/>
    <w:rsid w:val="00665968"/>
    <w:rsid w:val="00665BF7"/>
    <w:rsid w:val="00665CEF"/>
    <w:rsid w:val="00666178"/>
    <w:rsid w:val="0066639E"/>
    <w:rsid w:val="00666473"/>
    <w:rsid w:val="00666BBC"/>
    <w:rsid w:val="00666C72"/>
    <w:rsid w:val="00666E6C"/>
    <w:rsid w:val="0066707F"/>
    <w:rsid w:val="00667ED8"/>
    <w:rsid w:val="0067064C"/>
    <w:rsid w:val="00670A7E"/>
    <w:rsid w:val="00670B20"/>
    <w:rsid w:val="00670E12"/>
    <w:rsid w:val="00671A39"/>
    <w:rsid w:val="00672E80"/>
    <w:rsid w:val="006739E4"/>
    <w:rsid w:val="00673ECF"/>
    <w:rsid w:val="00673F26"/>
    <w:rsid w:val="0067426B"/>
    <w:rsid w:val="00674A1B"/>
    <w:rsid w:val="006754F8"/>
    <w:rsid w:val="00676127"/>
    <w:rsid w:val="00676436"/>
    <w:rsid w:val="00676AED"/>
    <w:rsid w:val="00676C2D"/>
    <w:rsid w:val="00677F03"/>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53E"/>
    <w:rsid w:val="00685E7B"/>
    <w:rsid w:val="00686551"/>
    <w:rsid w:val="0068730C"/>
    <w:rsid w:val="00687504"/>
    <w:rsid w:val="00687A14"/>
    <w:rsid w:val="00687A8C"/>
    <w:rsid w:val="00690839"/>
    <w:rsid w:val="006908DB"/>
    <w:rsid w:val="00690DE9"/>
    <w:rsid w:val="00691DE9"/>
    <w:rsid w:val="00691EAA"/>
    <w:rsid w:val="00692245"/>
    <w:rsid w:val="00692FD1"/>
    <w:rsid w:val="00692FFA"/>
    <w:rsid w:val="00693772"/>
    <w:rsid w:val="00694160"/>
    <w:rsid w:val="006942B0"/>
    <w:rsid w:val="006959A5"/>
    <w:rsid w:val="00695C0C"/>
    <w:rsid w:val="0069681B"/>
    <w:rsid w:val="00696A05"/>
    <w:rsid w:val="00697665"/>
    <w:rsid w:val="00697C9A"/>
    <w:rsid w:val="00697E68"/>
    <w:rsid w:val="006A0274"/>
    <w:rsid w:val="006A2A43"/>
    <w:rsid w:val="006A2BF1"/>
    <w:rsid w:val="006A2F0C"/>
    <w:rsid w:val="006A2F9A"/>
    <w:rsid w:val="006A34E4"/>
    <w:rsid w:val="006A3A5A"/>
    <w:rsid w:val="006A44CF"/>
    <w:rsid w:val="006A457D"/>
    <w:rsid w:val="006A4941"/>
    <w:rsid w:val="006A55EE"/>
    <w:rsid w:val="006A575B"/>
    <w:rsid w:val="006A59DE"/>
    <w:rsid w:val="006A63D1"/>
    <w:rsid w:val="006A6571"/>
    <w:rsid w:val="006A6655"/>
    <w:rsid w:val="006A6BF9"/>
    <w:rsid w:val="006A7999"/>
    <w:rsid w:val="006A7CB5"/>
    <w:rsid w:val="006A7FD0"/>
    <w:rsid w:val="006B0126"/>
    <w:rsid w:val="006B025C"/>
    <w:rsid w:val="006B2534"/>
    <w:rsid w:val="006B2CB2"/>
    <w:rsid w:val="006B347D"/>
    <w:rsid w:val="006B3E19"/>
    <w:rsid w:val="006B4488"/>
    <w:rsid w:val="006B5020"/>
    <w:rsid w:val="006B616C"/>
    <w:rsid w:val="006B67AC"/>
    <w:rsid w:val="006B744B"/>
    <w:rsid w:val="006B7863"/>
    <w:rsid w:val="006B786A"/>
    <w:rsid w:val="006B7E4E"/>
    <w:rsid w:val="006C003A"/>
    <w:rsid w:val="006C092D"/>
    <w:rsid w:val="006C2454"/>
    <w:rsid w:val="006C2551"/>
    <w:rsid w:val="006C37CA"/>
    <w:rsid w:val="006C40D2"/>
    <w:rsid w:val="006C4461"/>
    <w:rsid w:val="006C5B15"/>
    <w:rsid w:val="006C5D32"/>
    <w:rsid w:val="006C5DCB"/>
    <w:rsid w:val="006C70C4"/>
    <w:rsid w:val="006D04DA"/>
    <w:rsid w:val="006D05C0"/>
    <w:rsid w:val="006D10F6"/>
    <w:rsid w:val="006D1544"/>
    <w:rsid w:val="006D1688"/>
    <w:rsid w:val="006D1FF3"/>
    <w:rsid w:val="006D2C65"/>
    <w:rsid w:val="006D32C6"/>
    <w:rsid w:val="006D360E"/>
    <w:rsid w:val="006D3697"/>
    <w:rsid w:val="006D39D2"/>
    <w:rsid w:val="006D3F2A"/>
    <w:rsid w:val="006D41B2"/>
    <w:rsid w:val="006D4370"/>
    <w:rsid w:val="006D46A3"/>
    <w:rsid w:val="006D658F"/>
    <w:rsid w:val="006D69FA"/>
    <w:rsid w:val="006D6A12"/>
    <w:rsid w:val="006D712D"/>
    <w:rsid w:val="006D7687"/>
    <w:rsid w:val="006D7D1F"/>
    <w:rsid w:val="006D7D8A"/>
    <w:rsid w:val="006E0572"/>
    <w:rsid w:val="006E05D8"/>
    <w:rsid w:val="006E08EE"/>
    <w:rsid w:val="006E11F3"/>
    <w:rsid w:val="006E155A"/>
    <w:rsid w:val="006E3452"/>
    <w:rsid w:val="006E39D1"/>
    <w:rsid w:val="006E437F"/>
    <w:rsid w:val="006E4D5B"/>
    <w:rsid w:val="006E602F"/>
    <w:rsid w:val="006E6720"/>
    <w:rsid w:val="006E68FA"/>
    <w:rsid w:val="006E7275"/>
    <w:rsid w:val="006E77B8"/>
    <w:rsid w:val="006F15CC"/>
    <w:rsid w:val="006F2B09"/>
    <w:rsid w:val="006F4147"/>
    <w:rsid w:val="006F4315"/>
    <w:rsid w:val="006F44B7"/>
    <w:rsid w:val="006F458D"/>
    <w:rsid w:val="006F4A6D"/>
    <w:rsid w:val="006F4CB0"/>
    <w:rsid w:val="006F4D84"/>
    <w:rsid w:val="006F4DAF"/>
    <w:rsid w:val="006F4F78"/>
    <w:rsid w:val="006F547E"/>
    <w:rsid w:val="006F5CA8"/>
    <w:rsid w:val="006F5CCF"/>
    <w:rsid w:val="006F6926"/>
    <w:rsid w:val="006F7607"/>
    <w:rsid w:val="006F772B"/>
    <w:rsid w:val="0070138A"/>
    <w:rsid w:val="0070157E"/>
    <w:rsid w:val="007030D4"/>
    <w:rsid w:val="0070317C"/>
    <w:rsid w:val="00703279"/>
    <w:rsid w:val="00703285"/>
    <w:rsid w:val="00703B61"/>
    <w:rsid w:val="00703E11"/>
    <w:rsid w:val="00704102"/>
    <w:rsid w:val="0070461C"/>
    <w:rsid w:val="00705631"/>
    <w:rsid w:val="00705818"/>
    <w:rsid w:val="00705F62"/>
    <w:rsid w:val="007074FF"/>
    <w:rsid w:val="0070773F"/>
    <w:rsid w:val="00707ED3"/>
    <w:rsid w:val="007101B7"/>
    <w:rsid w:val="00710668"/>
    <w:rsid w:val="00710A3D"/>
    <w:rsid w:val="007110F4"/>
    <w:rsid w:val="007112B1"/>
    <w:rsid w:val="0071130F"/>
    <w:rsid w:val="00711659"/>
    <w:rsid w:val="00712714"/>
    <w:rsid w:val="007128E3"/>
    <w:rsid w:val="007129AB"/>
    <w:rsid w:val="00712A16"/>
    <w:rsid w:val="00712B63"/>
    <w:rsid w:val="00713526"/>
    <w:rsid w:val="00713FC5"/>
    <w:rsid w:val="00715BBF"/>
    <w:rsid w:val="00715C29"/>
    <w:rsid w:val="00715CBD"/>
    <w:rsid w:val="00715EAA"/>
    <w:rsid w:val="00716CAD"/>
    <w:rsid w:val="00716F18"/>
    <w:rsid w:val="007172E9"/>
    <w:rsid w:val="00717363"/>
    <w:rsid w:val="00717786"/>
    <w:rsid w:val="00717ACB"/>
    <w:rsid w:val="00720FAD"/>
    <w:rsid w:val="00721BFF"/>
    <w:rsid w:val="00722FD8"/>
    <w:rsid w:val="007236C4"/>
    <w:rsid w:val="00724635"/>
    <w:rsid w:val="0072554B"/>
    <w:rsid w:val="00725AFD"/>
    <w:rsid w:val="00726603"/>
    <w:rsid w:val="00727DDC"/>
    <w:rsid w:val="00730218"/>
    <w:rsid w:val="00730CD6"/>
    <w:rsid w:val="00730F74"/>
    <w:rsid w:val="0073114B"/>
    <w:rsid w:val="00734414"/>
    <w:rsid w:val="00734952"/>
    <w:rsid w:val="00734990"/>
    <w:rsid w:val="00734FF5"/>
    <w:rsid w:val="00735B78"/>
    <w:rsid w:val="00735DA7"/>
    <w:rsid w:val="007368B4"/>
    <w:rsid w:val="007378E0"/>
    <w:rsid w:val="00737C5C"/>
    <w:rsid w:val="00740529"/>
    <w:rsid w:val="00740D47"/>
    <w:rsid w:val="00741358"/>
    <w:rsid w:val="00741626"/>
    <w:rsid w:val="00742332"/>
    <w:rsid w:val="00742886"/>
    <w:rsid w:val="00742DD2"/>
    <w:rsid w:val="00742E00"/>
    <w:rsid w:val="007437C6"/>
    <w:rsid w:val="007439EE"/>
    <w:rsid w:val="007441A2"/>
    <w:rsid w:val="00744377"/>
    <w:rsid w:val="00744E80"/>
    <w:rsid w:val="00744F88"/>
    <w:rsid w:val="00745035"/>
    <w:rsid w:val="0074531C"/>
    <w:rsid w:val="00745547"/>
    <w:rsid w:val="007459D0"/>
    <w:rsid w:val="0074623A"/>
    <w:rsid w:val="007463A9"/>
    <w:rsid w:val="00746420"/>
    <w:rsid w:val="007466A5"/>
    <w:rsid w:val="00746E04"/>
    <w:rsid w:val="00746E08"/>
    <w:rsid w:val="00746E3D"/>
    <w:rsid w:val="007473B9"/>
    <w:rsid w:val="00747529"/>
    <w:rsid w:val="00747C96"/>
    <w:rsid w:val="00750075"/>
    <w:rsid w:val="007502EC"/>
    <w:rsid w:val="00750382"/>
    <w:rsid w:val="0075094E"/>
    <w:rsid w:val="00750FA8"/>
    <w:rsid w:val="00750FB5"/>
    <w:rsid w:val="007522E8"/>
    <w:rsid w:val="00753BAC"/>
    <w:rsid w:val="00753C9B"/>
    <w:rsid w:val="00754A0B"/>
    <w:rsid w:val="007552DB"/>
    <w:rsid w:val="007554A3"/>
    <w:rsid w:val="00755B08"/>
    <w:rsid w:val="00755DD0"/>
    <w:rsid w:val="00756035"/>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9B7"/>
    <w:rsid w:val="00762E60"/>
    <w:rsid w:val="0076339C"/>
    <w:rsid w:val="007634AD"/>
    <w:rsid w:val="00766B0E"/>
    <w:rsid w:val="00766ECC"/>
    <w:rsid w:val="007672F3"/>
    <w:rsid w:val="007677B5"/>
    <w:rsid w:val="007678B1"/>
    <w:rsid w:val="007708A8"/>
    <w:rsid w:val="007716BA"/>
    <w:rsid w:val="00772275"/>
    <w:rsid w:val="007723B1"/>
    <w:rsid w:val="007734E4"/>
    <w:rsid w:val="0077380D"/>
    <w:rsid w:val="00773BC8"/>
    <w:rsid w:val="00773DCC"/>
    <w:rsid w:val="0077466F"/>
    <w:rsid w:val="007752B7"/>
    <w:rsid w:val="007759A8"/>
    <w:rsid w:val="00775D98"/>
    <w:rsid w:val="00776FE5"/>
    <w:rsid w:val="00777008"/>
    <w:rsid w:val="00777101"/>
    <w:rsid w:val="007774E7"/>
    <w:rsid w:val="0077768C"/>
    <w:rsid w:val="00777696"/>
    <w:rsid w:val="00777FF4"/>
    <w:rsid w:val="00780251"/>
    <w:rsid w:val="007804FE"/>
    <w:rsid w:val="00780F32"/>
    <w:rsid w:val="0078122E"/>
    <w:rsid w:val="00781939"/>
    <w:rsid w:val="00781D29"/>
    <w:rsid w:val="00782289"/>
    <w:rsid w:val="007825EF"/>
    <w:rsid w:val="0078286B"/>
    <w:rsid w:val="00782D2C"/>
    <w:rsid w:val="00782FC2"/>
    <w:rsid w:val="00784181"/>
    <w:rsid w:val="00784FC4"/>
    <w:rsid w:val="00785BBB"/>
    <w:rsid w:val="00785DD8"/>
    <w:rsid w:val="0078673D"/>
    <w:rsid w:val="00786FAD"/>
    <w:rsid w:val="007873C9"/>
    <w:rsid w:val="00787D90"/>
    <w:rsid w:val="00787F5E"/>
    <w:rsid w:val="00790164"/>
    <w:rsid w:val="007906E2"/>
    <w:rsid w:val="00790A24"/>
    <w:rsid w:val="00790A37"/>
    <w:rsid w:val="00790A60"/>
    <w:rsid w:val="0079146D"/>
    <w:rsid w:val="00791588"/>
    <w:rsid w:val="00791C32"/>
    <w:rsid w:val="00791FF0"/>
    <w:rsid w:val="007923D0"/>
    <w:rsid w:val="0079302C"/>
    <w:rsid w:val="007930D3"/>
    <w:rsid w:val="0079381F"/>
    <w:rsid w:val="00793B2E"/>
    <w:rsid w:val="00793D45"/>
    <w:rsid w:val="007948F5"/>
    <w:rsid w:val="00795647"/>
    <w:rsid w:val="00795EAC"/>
    <w:rsid w:val="007963F6"/>
    <w:rsid w:val="00796418"/>
    <w:rsid w:val="00796AE4"/>
    <w:rsid w:val="00796E80"/>
    <w:rsid w:val="007979AD"/>
    <w:rsid w:val="00797A9C"/>
    <w:rsid w:val="007A0EAB"/>
    <w:rsid w:val="007A2341"/>
    <w:rsid w:val="007A38A1"/>
    <w:rsid w:val="007A3967"/>
    <w:rsid w:val="007A3BBE"/>
    <w:rsid w:val="007A4766"/>
    <w:rsid w:val="007A5816"/>
    <w:rsid w:val="007A5947"/>
    <w:rsid w:val="007A6FEF"/>
    <w:rsid w:val="007B0313"/>
    <w:rsid w:val="007B0854"/>
    <w:rsid w:val="007B0E48"/>
    <w:rsid w:val="007B18FD"/>
    <w:rsid w:val="007B1D1B"/>
    <w:rsid w:val="007B303E"/>
    <w:rsid w:val="007B32C0"/>
    <w:rsid w:val="007B32F7"/>
    <w:rsid w:val="007B334B"/>
    <w:rsid w:val="007B3659"/>
    <w:rsid w:val="007B4558"/>
    <w:rsid w:val="007B4632"/>
    <w:rsid w:val="007B46A2"/>
    <w:rsid w:val="007B4828"/>
    <w:rsid w:val="007B4B2D"/>
    <w:rsid w:val="007B4D4A"/>
    <w:rsid w:val="007B5428"/>
    <w:rsid w:val="007B57A5"/>
    <w:rsid w:val="007B6C64"/>
    <w:rsid w:val="007B6EC8"/>
    <w:rsid w:val="007B6F81"/>
    <w:rsid w:val="007B7EA2"/>
    <w:rsid w:val="007C097D"/>
    <w:rsid w:val="007C11BB"/>
    <w:rsid w:val="007C13FA"/>
    <w:rsid w:val="007C1672"/>
    <w:rsid w:val="007C312A"/>
    <w:rsid w:val="007C3570"/>
    <w:rsid w:val="007C3F3B"/>
    <w:rsid w:val="007C4241"/>
    <w:rsid w:val="007C538B"/>
    <w:rsid w:val="007C55FF"/>
    <w:rsid w:val="007C5A38"/>
    <w:rsid w:val="007C5A9F"/>
    <w:rsid w:val="007C6339"/>
    <w:rsid w:val="007C7C43"/>
    <w:rsid w:val="007C7F0D"/>
    <w:rsid w:val="007D0B77"/>
    <w:rsid w:val="007D1134"/>
    <w:rsid w:val="007D23F7"/>
    <w:rsid w:val="007D2566"/>
    <w:rsid w:val="007D2C18"/>
    <w:rsid w:val="007D2D74"/>
    <w:rsid w:val="007D3395"/>
    <w:rsid w:val="007D3693"/>
    <w:rsid w:val="007D3C6D"/>
    <w:rsid w:val="007D481A"/>
    <w:rsid w:val="007D5648"/>
    <w:rsid w:val="007D58C5"/>
    <w:rsid w:val="007D5D2A"/>
    <w:rsid w:val="007D5DE8"/>
    <w:rsid w:val="007D663C"/>
    <w:rsid w:val="007D71AD"/>
    <w:rsid w:val="007D7CFC"/>
    <w:rsid w:val="007E0812"/>
    <w:rsid w:val="007E18DF"/>
    <w:rsid w:val="007E2A04"/>
    <w:rsid w:val="007E2C36"/>
    <w:rsid w:val="007E350D"/>
    <w:rsid w:val="007E3528"/>
    <w:rsid w:val="007E5C4A"/>
    <w:rsid w:val="007E64D4"/>
    <w:rsid w:val="007E66E9"/>
    <w:rsid w:val="007E69F2"/>
    <w:rsid w:val="007E7432"/>
    <w:rsid w:val="007E74BF"/>
    <w:rsid w:val="007F14D3"/>
    <w:rsid w:val="007F1D9D"/>
    <w:rsid w:val="007F1E28"/>
    <w:rsid w:val="007F1F63"/>
    <w:rsid w:val="007F22A0"/>
    <w:rsid w:val="007F2E11"/>
    <w:rsid w:val="007F2F90"/>
    <w:rsid w:val="007F3320"/>
    <w:rsid w:val="007F392A"/>
    <w:rsid w:val="007F3AC1"/>
    <w:rsid w:val="007F4976"/>
    <w:rsid w:val="007F5A56"/>
    <w:rsid w:val="007F616E"/>
    <w:rsid w:val="007F665F"/>
    <w:rsid w:val="007F6B46"/>
    <w:rsid w:val="007F6FCE"/>
    <w:rsid w:val="007F72CB"/>
    <w:rsid w:val="007F736A"/>
    <w:rsid w:val="007F73A1"/>
    <w:rsid w:val="007F7635"/>
    <w:rsid w:val="007F785F"/>
    <w:rsid w:val="007F7AF6"/>
    <w:rsid w:val="007F7E36"/>
    <w:rsid w:val="00800681"/>
    <w:rsid w:val="00800E6D"/>
    <w:rsid w:val="008014D9"/>
    <w:rsid w:val="0080150F"/>
    <w:rsid w:val="0080153A"/>
    <w:rsid w:val="00801A2A"/>
    <w:rsid w:val="00802041"/>
    <w:rsid w:val="008022C9"/>
    <w:rsid w:val="00802F9E"/>
    <w:rsid w:val="00803116"/>
    <w:rsid w:val="00803700"/>
    <w:rsid w:val="00803D9D"/>
    <w:rsid w:val="00803DBF"/>
    <w:rsid w:val="0080422D"/>
    <w:rsid w:val="00805882"/>
    <w:rsid w:val="008059C6"/>
    <w:rsid w:val="00805AD7"/>
    <w:rsid w:val="00805BD6"/>
    <w:rsid w:val="00805DE3"/>
    <w:rsid w:val="00806516"/>
    <w:rsid w:val="00806CFF"/>
    <w:rsid w:val="00807C35"/>
    <w:rsid w:val="00807F69"/>
    <w:rsid w:val="008100F7"/>
    <w:rsid w:val="00810206"/>
    <w:rsid w:val="00811898"/>
    <w:rsid w:val="008124D8"/>
    <w:rsid w:val="008131E7"/>
    <w:rsid w:val="00813A7B"/>
    <w:rsid w:val="00813F04"/>
    <w:rsid w:val="00814B72"/>
    <w:rsid w:val="00815DA5"/>
    <w:rsid w:val="00815E7D"/>
    <w:rsid w:val="00816221"/>
    <w:rsid w:val="0081766B"/>
    <w:rsid w:val="00820336"/>
    <w:rsid w:val="00820705"/>
    <w:rsid w:val="00820CBF"/>
    <w:rsid w:val="00820FA8"/>
    <w:rsid w:val="008212FD"/>
    <w:rsid w:val="00821489"/>
    <w:rsid w:val="008217B7"/>
    <w:rsid w:val="0082239B"/>
    <w:rsid w:val="0082292E"/>
    <w:rsid w:val="00822D06"/>
    <w:rsid w:val="0082348D"/>
    <w:rsid w:val="008234E0"/>
    <w:rsid w:val="008236BE"/>
    <w:rsid w:val="008241CE"/>
    <w:rsid w:val="00825240"/>
    <w:rsid w:val="00825B43"/>
    <w:rsid w:val="00827203"/>
    <w:rsid w:val="00827CC0"/>
    <w:rsid w:val="00827D86"/>
    <w:rsid w:val="00831026"/>
    <w:rsid w:val="0083119B"/>
    <w:rsid w:val="008315AF"/>
    <w:rsid w:val="00831BAE"/>
    <w:rsid w:val="00832216"/>
    <w:rsid w:val="008326B3"/>
    <w:rsid w:val="00832CD0"/>
    <w:rsid w:val="008333D0"/>
    <w:rsid w:val="00833430"/>
    <w:rsid w:val="008335EE"/>
    <w:rsid w:val="00834128"/>
    <w:rsid w:val="0083417F"/>
    <w:rsid w:val="00835143"/>
    <w:rsid w:val="00835741"/>
    <w:rsid w:val="00836E74"/>
    <w:rsid w:val="00836EAB"/>
    <w:rsid w:val="00837673"/>
    <w:rsid w:val="00837937"/>
    <w:rsid w:val="00837D82"/>
    <w:rsid w:val="00840596"/>
    <w:rsid w:val="00840893"/>
    <w:rsid w:val="00840E88"/>
    <w:rsid w:val="008423EC"/>
    <w:rsid w:val="00842919"/>
    <w:rsid w:val="0084332E"/>
    <w:rsid w:val="00843615"/>
    <w:rsid w:val="00843698"/>
    <w:rsid w:val="0084385E"/>
    <w:rsid w:val="00843A4B"/>
    <w:rsid w:val="00843B57"/>
    <w:rsid w:val="00843B60"/>
    <w:rsid w:val="00843D33"/>
    <w:rsid w:val="00843F04"/>
    <w:rsid w:val="00844D4F"/>
    <w:rsid w:val="00845AE3"/>
    <w:rsid w:val="008462A0"/>
    <w:rsid w:val="008466A0"/>
    <w:rsid w:val="00847535"/>
    <w:rsid w:val="00847B6D"/>
    <w:rsid w:val="0085092D"/>
    <w:rsid w:val="00850D82"/>
    <w:rsid w:val="00850F79"/>
    <w:rsid w:val="0085100B"/>
    <w:rsid w:val="0085304C"/>
    <w:rsid w:val="008548CA"/>
    <w:rsid w:val="00856C06"/>
    <w:rsid w:val="0085790B"/>
    <w:rsid w:val="00857C95"/>
    <w:rsid w:val="00857E78"/>
    <w:rsid w:val="008609C7"/>
    <w:rsid w:val="00860AEF"/>
    <w:rsid w:val="0086122C"/>
    <w:rsid w:val="00861310"/>
    <w:rsid w:val="00861F0F"/>
    <w:rsid w:val="00861F53"/>
    <w:rsid w:val="0086289E"/>
    <w:rsid w:val="0086394E"/>
    <w:rsid w:val="00863F8A"/>
    <w:rsid w:val="00863FE3"/>
    <w:rsid w:val="00864241"/>
    <w:rsid w:val="00864384"/>
    <w:rsid w:val="0086468A"/>
    <w:rsid w:val="00864CD5"/>
    <w:rsid w:val="008650BE"/>
    <w:rsid w:val="0086633B"/>
    <w:rsid w:val="00866495"/>
    <w:rsid w:val="00866931"/>
    <w:rsid w:val="00867323"/>
    <w:rsid w:val="00867512"/>
    <w:rsid w:val="008678C6"/>
    <w:rsid w:val="00867A6B"/>
    <w:rsid w:val="0087033C"/>
    <w:rsid w:val="00870B44"/>
    <w:rsid w:val="008715ED"/>
    <w:rsid w:val="008717D8"/>
    <w:rsid w:val="00871E3C"/>
    <w:rsid w:val="00872F97"/>
    <w:rsid w:val="00873162"/>
    <w:rsid w:val="00873863"/>
    <w:rsid w:val="00874607"/>
    <w:rsid w:val="00874915"/>
    <w:rsid w:val="00874B89"/>
    <w:rsid w:val="00875403"/>
    <w:rsid w:val="00875434"/>
    <w:rsid w:val="00875DC8"/>
    <w:rsid w:val="00876215"/>
    <w:rsid w:val="0087646C"/>
    <w:rsid w:val="00876815"/>
    <w:rsid w:val="00876BAB"/>
    <w:rsid w:val="00877932"/>
    <w:rsid w:val="008808C7"/>
    <w:rsid w:val="0088106B"/>
    <w:rsid w:val="0088107D"/>
    <w:rsid w:val="0088168A"/>
    <w:rsid w:val="00881BE1"/>
    <w:rsid w:val="00881E64"/>
    <w:rsid w:val="00882E39"/>
    <w:rsid w:val="008850E3"/>
    <w:rsid w:val="008850EB"/>
    <w:rsid w:val="00885183"/>
    <w:rsid w:val="00886DF2"/>
    <w:rsid w:val="00886FB9"/>
    <w:rsid w:val="00887080"/>
    <w:rsid w:val="00887680"/>
    <w:rsid w:val="00887C79"/>
    <w:rsid w:val="00890073"/>
    <w:rsid w:val="00890B92"/>
    <w:rsid w:val="0089107B"/>
    <w:rsid w:val="008913CC"/>
    <w:rsid w:val="00891411"/>
    <w:rsid w:val="008914AE"/>
    <w:rsid w:val="00891838"/>
    <w:rsid w:val="008919CF"/>
    <w:rsid w:val="00891F84"/>
    <w:rsid w:val="00892143"/>
    <w:rsid w:val="008928EC"/>
    <w:rsid w:val="00892E5D"/>
    <w:rsid w:val="008935CF"/>
    <w:rsid w:val="00894436"/>
    <w:rsid w:val="00894BB1"/>
    <w:rsid w:val="008950CB"/>
    <w:rsid w:val="008951D0"/>
    <w:rsid w:val="0089582D"/>
    <w:rsid w:val="008959C6"/>
    <w:rsid w:val="0089606D"/>
    <w:rsid w:val="00896129"/>
    <w:rsid w:val="008965DF"/>
    <w:rsid w:val="00896F86"/>
    <w:rsid w:val="00897066"/>
    <w:rsid w:val="0089774F"/>
    <w:rsid w:val="00897875"/>
    <w:rsid w:val="00897B8F"/>
    <w:rsid w:val="008A00D8"/>
    <w:rsid w:val="008A00D9"/>
    <w:rsid w:val="008A07D5"/>
    <w:rsid w:val="008A2A23"/>
    <w:rsid w:val="008A2AF5"/>
    <w:rsid w:val="008A2B5A"/>
    <w:rsid w:val="008A3F9D"/>
    <w:rsid w:val="008A4E48"/>
    <w:rsid w:val="008A5474"/>
    <w:rsid w:val="008A5C9A"/>
    <w:rsid w:val="008A6A55"/>
    <w:rsid w:val="008A6DF0"/>
    <w:rsid w:val="008A6F6E"/>
    <w:rsid w:val="008A7888"/>
    <w:rsid w:val="008A796E"/>
    <w:rsid w:val="008A7CCB"/>
    <w:rsid w:val="008B0862"/>
    <w:rsid w:val="008B088C"/>
    <w:rsid w:val="008B17C8"/>
    <w:rsid w:val="008B1BF5"/>
    <w:rsid w:val="008B21EA"/>
    <w:rsid w:val="008B263F"/>
    <w:rsid w:val="008B47A6"/>
    <w:rsid w:val="008B566A"/>
    <w:rsid w:val="008B672C"/>
    <w:rsid w:val="008C036D"/>
    <w:rsid w:val="008C0743"/>
    <w:rsid w:val="008C0B4C"/>
    <w:rsid w:val="008C0EE0"/>
    <w:rsid w:val="008C11F0"/>
    <w:rsid w:val="008C1DBA"/>
    <w:rsid w:val="008C2171"/>
    <w:rsid w:val="008C2353"/>
    <w:rsid w:val="008C24E7"/>
    <w:rsid w:val="008C2500"/>
    <w:rsid w:val="008C2B7C"/>
    <w:rsid w:val="008C2CAC"/>
    <w:rsid w:val="008C3E2A"/>
    <w:rsid w:val="008C45BD"/>
    <w:rsid w:val="008C4B19"/>
    <w:rsid w:val="008C568F"/>
    <w:rsid w:val="008C5BF1"/>
    <w:rsid w:val="008C62D4"/>
    <w:rsid w:val="008C6B89"/>
    <w:rsid w:val="008D18AA"/>
    <w:rsid w:val="008D1A2A"/>
    <w:rsid w:val="008D29B1"/>
    <w:rsid w:val="008D35D9"/>
    <w:rsid w:val="008D3B85"/>
    <w:rsid w:val="008D462D"/>
    <w:rsid w:val="008D66CA"/>
    <w:rsid w:val="008D69B1"/>
    <w:rsid w:val="008D7338"/>
    <w:rsid w:val="008D7635"/>
    <w:rsid w:val="008E0012"/>
    <w:rsid w:val="008E0DF7"/>
    <w:rsid w:val="008E0FAA"/>
    <w:rsid w:val="008E0FAD"/>
    <w:rsid w:val="008E1347"/>
    <w:rsid w:val="008E16E0"/>
    <w:rsid w:val="008E188A"/>
    <w:rsid w:val="008E1C15"/>
    <w:rsid w:val="008E1C9A"/>
    <w:rsid w:val="008E1E97"/>
    <w:rsid w:val="008E28BD"/>
    <w:rsid w:val="008E2EF5"/>
    <w:rsid w:val="008E33E1"/>
    <w:rsid w:val="008E38B4"/>
    <w:rsid w:val="008E3BA4"/>
    <w:rsid w:val="008E44AB"/>
    <w:rsid w:val="008E5179"/>
    <w:rsid w:val="008E6598"/>
    <w:rsid w:val="008E7053"/>
    <w:rsid w:val="008E71B9"/>
    <w:rsid w:val="008E7214"/>
    <w:rsid w:val="008E7348"/>
    <w:rsid w:val="008E7884"/>
    <w:rsid w:val="008E7D6E"/>
    <w:rsid w:val="008F0481"/>
    <w:rsid w:val="008F1056"/>
    <w:rsid w:val="008F2E8D"/>
    <w:rsid w:val="008F387B"/>
    <w:rsid w:val="008F3DD9"/>
    <w:rsid w:val="008F4814"/>
    <w:rsid w:val="008F4DA6"/>
    <w:rsid w:val="008F538E"/>
    <w:rsid w:val="008F5A20"/>
    <w:rsid w:val="008F5ABA"/>
    <w:rsid w:val="008F7905"/>
    <w:rsid w:val="008F7989"/>
    <w:rsid w:val="009006F5"/>
    <w:rsid w:val="00900C9D"/>
    <w:rsid w:val="009026AF"/>
    <w:rsid w:val="009028E8"/>
    <w:rsid w:val="00902E5C"/>
    <w:rsid w:val="0090350D"/>
    <w:rsid w:val="009046E5"/>
    <w:rsid w:val="009047C5"/>
    <w:rsid w:val="00904C33"/>
    <w:rsid w:val="00910683"/>
    <w:rsid w:val="00910E00"/>
    <w:rsid w:val="009116CE"/>
    <w:rsid w:val="00911714"/>
    <w:rsid w:val="00911A5B"/>
    <w:rsid w:val="0091314F"/>
    <w:rsid w:val="009136D4"/>
    <w:rsid w:val="00914B9A"/>
    <w:rsid w:val="00914C3F"/>
    <w:rsid w:val="00914F33"/>
    <w:rsid w:val="009153F6"/>
    <w:rsid w:val="00915FCE"/>
    <w:rsid w:val="009164E7"/>
    <w:rsid w:val="00916AFE"/>
    <w:rsid w:val="00916FC8"/>
    <w:rsid w:val="009170D3"/>
    <w:rsid w:val="0091759C"/>
    <w:rsid w:val="00920026"/>
    <w:rsid w:val="009203E2"/>
    <w:rsid w:val="00921124"/>
    <w:rsid w:val="00921304"/>
    <w:rsid w:val="00921805"/>
    <w:rsid w:val="00921BA7"/>
    <w:rsid w:val="00921C42"/>
    <w:rsid w:val="00923396"/>
    <w:rsid w:val="00923F56"/>
    <w:rsid w:val="009246C4"/>
    <w:rsid w:val="00925743"/>
    <w:rsid w:val="0092579F"/>
    <w:rsid w:val="00926084"/>
    <w:rsid w:val="00927E8D"/>
    <w:rsid w:val="00927F23"/>
    <w:rsid w:val="00930698"/>
    <w:rsid w:val="009307CD"/>
    <w:rsid w:val="00931451"/>
    <w:rsid w:val="009314FA"/>
    <w:rsid w:val="009316C0"/>
    <w:rsid w:val="0093194F"/>
    <w:rsid w:val="00931BF3"/>
    <w:rsid w:val="00931C55"/>
    <w:rsid w:val="00933333"/>
    <w:rsid w:val="0093349A"/>
    <w:rsid w:val="009337B2"/>
    <w:rsid w:val="00933FCB"/>
    <w:rsid w:val="00934E69"/>
    <w:rsid w:val="00936472"/>
    <w:rsid w:val="009367D5"/>
    <w:rsid w:val="00936AF5"/>
    <w:rsid w:val="00937401"/>
    <w:rsid w:val="0093742C"/>
    <w:rsid w:val="009376FB"/>
    <w:rsid w:val="00937D6B"/>
    <w:rsid w:val="00940477"/>
    <w:rsid w:val="0094080F"/>
    <w:rsid w:val="00940876"/>
    <w:rsid w:val="00940A53"/>
    <w:rsid w:val="00940F3C"/>
    <w:rsid w:val="009410E0"/>
    <w:rsid w:val="00943F69"/>
    <w:rsid w:val="009444B4"/>
    <w:rsid w:val="00944644"/>
    <w:rsid w:val="009460F9"/>
    <w:rsid w:val="00946A24"/>
    <w:rsid w:val="009470D4"/>
    <w:rsid w:val="009470FD"/>
    <w:rsid w:val="00947337"/>
    <w:rsid w:val="00950567"/>
    <w:rsid w:val="009512FA"/>
    <w:rsid w:val="00951E57"/>
    <w:rsid w:val="00953018"/>
    <w:rsid w:val="009533E2"/>
    <w:rsid w:val="00953554"/>
    <w:rsid w:val="0095385A"/>
    <w:rsid w:val="00953928"/>
    <w:rsid w:val="00955B0D"/>
    <w:rsid w:val="00955FF8"/>
    <w:rsid w:val="0095780A"/>
    <w:rsid w:val="009579E4"/>
    <w:rsid w:val="00957AA4"/>
    <w:rsid w:val="00957ACB"/>
    <w:rsid w:val="00957F27"/>
    <w:rsid w:val="009609F0"/>
    <w:rsid w:val="00960BDB"/>
    <w:rsid w:val="0096147D"/>
    <w:rsid w:val="00961E5F"/>
    <w:rsid w:val="009625C6"/>
    <w:rsid w:val="00962861"/>
    <w:rsid w:val="009629A1"/>
    <w:rsid w:val="009629B5"/>
    <w:rsid w:val="00962A50"/>
    <w:rsid w:val="009631BD"/>
    <w:rsid w:val="00963A22"/>
    <w:rsid w:val="00964138"/>
    <w:rsid w:val="00964B3F"/>
    <w:rsid w:val="00964C98"/>
    <w:rsid w:val="00966214"/>
    <w:rsid w:val="009675D1"/>
    <w:rsid w:val="0096793C"/>
    <w:rsid w:val="00971441"/>
    <w:rsid w:val="009715D4"/>
    <w:rsid w:val="009739A9"/>
    <w:rsid w:val="00973AA2"/>
    <w:rsid w:val="009743AF"/>
    <w:rsid w:val="0097494E"/>
    <w:rsid w:val="00974B58"/>
    <w:rsid w:val="009761ED"/>
    <w:rsid w:val="0097670F"/>
    <w:rsid w:val="009801E7"/>
    <w:rsid w:val="0098022F"/>
    <w:rsid w:val="00980703"/>
    <w:rsid w:val="009810DE"/>
    <w:rsid w:val="009822D7"/>
    <w:rsid w:val="009827E6"/>
    <w:rsid w:val="00982F84"/>
    <w:rsid w:val="0098427D"/>
    <w:rsid w:val="00984567"/>
    <w:rsid w:val="0098460E"/>
    <w:rsid w:val="00985102"/>
    <w:rsid w:val="009865D5"/>
    <w:rsid w:val="009872C5"/>
    <w:rsid w:val="009876F2"/>
    <w:rsid w:val="00987C77"/>
    <w:rsid w:val="00990345"/>
    <w:rsid w:val="00990701"/>
    <w:rsid w:val="009908E5"/>
    <w:rsid w:val="0099119C"/>
    <w:rsid w:val="00991263"/>
    <w:rsid w:val="0099137A"/>
    <w:rsid w:val="0099211C"/>
    <w:rsid w:val="00992786"/>
    <w:rsid w:val="00993140"/>
    <w:rsid w:val="00993B78"/>
    <w:rsid w:val="00993E1D"/>
    <w:rsid w:val="0099483A"/>
    <w:rsid w:val="00995119"/>
    <w:rsid w:val="009953AD"/>
    <w:rsid w:val="0099583D"/>
    <w:rsid w:val="00996992"/>
    <w:rsid w:val="00996D6F"/>
    <w:rsid w:val="00996E1E"/>
    <w:rsid w:val="00997392"/>
    <w:rsid w:val="0099747C"/>
    <w:rsid w:val="0099771C"/>
    <w:rsid w:val="009A01E4"/>
    <w:rsid w:val="009A0917"/>
    <w:rsid w:val="009A0A33"/>
    <w:rsid w:val="009A1351"/>
    <w:rsid w:val="009A2435"/>
    <w:rsid w:val="009A26A2"/>
    <w:rsid w:val="009A35DC"/>
    <w:rsid w:val="009A38AB"/>
    <w:rsid w:val="009A3A24"/>
    <w:rsid w:val="009A3CFB"/>
    <w:rsid w:val="009A3D47"/>
    <w:rsid w:val="009A41CC"/>
    <w:rsid w:val="009A4D63"/>
    <w:rsid w:val="009A5356"/>
    <w:rsid w:val="009A5468"/>
    <w:rsid w:val="009A5D99"/>
    <w:rsid w:val="009A5FB6"/>
    <w:rsid w:val="009A608C"/>
    <w:rsid w:val="009A6CA7"/>
    <w:rsid w:val="009A6D9B"/>
    <w:rsid w:val="009A6FDF"/>
    <w:rsid w:val="009A76D6"/>
    <w:rsid w:val="009B0BE9"/>
    <w:rsid w:val="009B199E"/>
    <w:rsid w:val="009B2E29"/>
    <w:rsid w:val="009B3163"/>
    <w:rsid w:val="009B412E"/>
    <w:rsid w:val="009B422F"/>
    <w:rsid w:val="009B46BC"/>
    <w:rsid w:val="009B4838"/>
    <w:rsid w:val="009B4D1A"/>
    <w:rsid w:val="009B558B"/>
    <w:rsid w:val="009B6801"/>
    <w:rsid w:val="009B6910"/>
    <w:rsid w:val="009B6D21"/>
    <w:rsid w:val="009B78ED"/>
    <w:rsid w:val="009C0E6B"/>
    <w:rsid w:val="009C181C"/>
    <w:rsid w:val="009C1C7F"/>
    <w:rsid w:val="009C28A2"/>
    <w:rsid w:val="009C2FAB"/>
    <w:rsid w:val="009C3239"/>
    <w:rsid w:val="009C37EA"/>
    <w:rsid w:val="009C3828"/>
    <w:rsid w:val="009C3A75"/>
    <w:rsid w:val="009C3D2C"/>
    <w:rsid w:val="009C4987"/>
    <w:rsid w:val="009C523F"/>
    <w:rsid w:val="009C59BF"/>
    <w:rsid w:val="009C5E4F"/>
    <w:rsid w:val="009C5F64"/>
    <w:rsid w:val="009C5F82"/>
    <w:rsid w:val="009C6460"/>
    <w:rsid w:val="009C70F8"/>
    <w:rsid w:val="009C78A3"/>
    <w:rsid w:val="009C7D6D"/>
    <w:rsid w:val="009D0156"/>
    <w:rsid w:val="009D04FF"/>
    <w:rsid w:val="009D05DA"/>
    <w:rsid w:val="009D0649"/>
    <w:rsid w:val="009D11F6"/>
    <w:rsid w:val="009D13B9"/>
    <w:rsid w:val="009D1A14"/>
    <w:rsid w:val="009D1E2A"/>
    <w:rsid w:val="009D1FA0"/>
    <w:rsid w:val="009D2BDF"/>
    <w:rsid w:val="009D3736"/>
    <w:rsid w:val="009D4529"/>
    <w:rsid w:val="009D4643"/>
    <w:rsid w:val="009D4B03"/>
    <w:rsid w:val="009D4BB7"/>
    <w:rsid w:val="009D604F"/>
    <w:rsid w:val="009D61BB"/>
    <w:rsid w:val="009D6410"/>
    <w:rsid w:val="009D65FF"/>
    <w:rsid w:val="009D68BB"/>
    <w:rsid w:val="009D70C2"/>
    <w:rsid w:val="009D7ADB"/>
    <w:rsid w:val="009D7B33"/>
    <w:rsid w:val="009D7F0A"/>
    <w:rsid w:val="009E02B9"/>
    <w:rsid w:val="009E0703"/>
    <w:rsid w:val="009E16DA"/>
    <w:rsid w:val="009E1CD4"/>
    <w:rsid w:val="009E2391"/>
    <w:rsid w:val="009E3CEE"/>
    <w:rsid w:val="009E476A"/>
    <w:rsid w:val="009E4E05"/>
    <w:rsid w:val="009E56FF"/>
    <w:rsid w:val="009E5CB1"/>
    <w:rsid w:val="009E5E56"/>
    <w:rsid w:val="009E61EA"/>
    <w:rsid w:val="009E6990"/>
    <w:rsid w:val="009E6FEE"/>
    <w:rsid w:val="009E736E"/>
    <w:rsid w:val="009F060F"/>
    <w:rsid w:val="009F0678"/>
    <w:rsid w:val="009F06A6"/>
    <w:rsid w:val="009F0781"/>
    <w:rsid w:val="009F0850"/>
    <w:rsid w:val="009F1BDF"/>
    <w:rsid w:val="009F1EAE"/>
    <w:rsid w:val="009F369D"/>
    <w:rsid w:val="009F36FE"/>
    <w:rsid w:val="009F4F25"/>
    <w:rsid w:val="009F59C2"/>
    <w:rsid w:val="009F6236"/>
    <w:rsid w:val="009F6A3A"/>
    <w:rsid w:val="009F7172"/>
    <w:rsid w:val="009F7263"/>
    <w:rsid w:val="009F76B5"/>
    <w:rsid w:val="009F76EA"/>
    <w:rsid w:val="009F78EB"/>
    <w:rsid w:val="009F7DE3"/>
    <w:rsid w:val="009F7F32"/>
    <w:rsid w:val="009F7FEB"/>
    <w:rsid w:val="00A01212"/>
    <w:rsid w:val="00A01852"/>
    <w:rsid w:val="00A0188B"/>
    <w:rsid w:val="00A01E73"/>
    <w:rsid w:val="00A023E7"/>
    <w:rsid w:val="00A02B88"/>
    <w:rsid w:val="00A03160"/>
    <w:rsid w:val="00A035CB"/>
    <w:rsid w:val="00A036AC"/>
    <w:rsid w:val="00A03C54"/>
    <w:rsid w:val="00A041BC"/>
    <w:rsid w:val="00A0447F"/>
    <w:rsid w:val="00A046D2"/>
    <w:rsid w:val="00A049CE"/>
    <w:rsid w:val="00A04A54"/>
    <w:rsid w:val="00A057E1"/>
    <w:rsid w:val="00A05B4B"/>
    <w:rsid w:val="00A066C3"/>
    <w:rsid w:val="00A06754"/>
    <w:rsid w:val="00A06942"/>
    <w:rsid w:val="00A069E0"/>
    <w:rsid w:val="00A06E4A"/>
    <w:rsid w:val="00A078FB"/>
    <w:rsid w:val="00A1036D"/>
    <w:rsid w:val="00A1069F"/>
    <w:rsid w:val="00A10919"/>
    <w:rsid w:val="00A10ACA"/>
    <w:rsid w:val="00A10D08"/>
    <w:rsid w:val="00A12355"/>
    <w:rsid w:val="00A12384"/>
    <w:rsid w:val="00A127D2"/>
    <w:rsid w:val="00A12ADA"/>
    <w:rsid w:val="00A143EC"/>
    <w:rsid w:val="00A14A60"/>
    <w:rsid w:val="00A1500F"/>
    <w:rsid w:val="00A15621"/>
    <w:rsid w:val="00A15670"/>
    <w:rsid w:val="00A157A0"/>
    <w:rsid w:val="00A1585B"/>
    <w:rsid w:val="00A15C19"/>
    <w:rsid w:val="00A15FE5"/>
    <w:rsid w:val="00A16809"/>
    <w:rsid w:val="00A17769"/>
    <w:rsid w:val="00A17EA2"/>
    <w:rsid w:val="00A20264"/>
    <w:rsid w:val="00A20997"/>
    <w:rsid w:val="00A20D1D"/>
    <w:rsid w:val="00A21454"/>
    <w:rsid w:val="00A22025"/>
    <w:rsid w:val="00A22498"/>
    <w:rsid w:val="00A22571"/>
    <w:rsid w:val="00A24560"/>
    <w:rsid w:val="00A24B6C"/>
    <w:rsid w:val="00A25B0F"/>
    <w:rsid w:val="00A25BBB"/>
    <w:rsid w:val="00A25F8E"/>
    <w:rsid w:val="00A264FC"/>
    <w:rsid w:val="00A26FE1"/>
    <w:rsid w:val="00A27643"/>
    <w:rsid w:val="00A279B2"/>
    <w:rsid w:val="00A27F18"/>
    <w:rsid w:val="00A27FB6"/>
    <w:rsid w:val="00A30121"/>
    <w:rsid w:val="00A30368"/>
    <w:rsid w:val="00A3043A"/>
    <w:rsid w:val="00A30E02"/>
    <w:rsid w:val="00A30F6A"/>
    <w:rsid w:val="00A312E2"/>
    <w:rsid w:val="00A31BA2"/>
    <w:rsid w:val="00A31C3E"/>
    <w:rsid w:val="00A3366A"/>
    <w:rsid w:val="00A34538"/>
    <w:rsid w:val="00A34677"/>
    <w:rsid w:val="00A3483C"/>
    <w:rsid w:val="00A352D9"/>
    <w:rsid w:val="00A3540F"/>
    <w:rsid w:val="00A3551F"/>
    <w:rsid w:val="00A35630"/>
    <w:rsid w:val="00A35914"/>
    <w:rsid w:val="00A36189"/>
    <w:rsid w:val="00A36CAF"/>
    <w:rsid w:val="00A37E73"/>
    <w:rsid w:val="00A37FB6"/>
    <w:rsid w:val="00A4104A"/>
    <w:rsid w:val="00A41081"/>
    <w:rsid w:val="00A411CA"/>
    <w:rsid w:val="00A413AD"/>
    <w:rsid w:val="00A42096"/>
    <w:rsid w:val="00A426F3"/>
    <w:rsid w:val="00A42FDF"/>
    <w:rsid w:val="00A430A9"/>
    <w:rsid w:val="00A431FE"/>
    <w:rsid w:val="00A4353B"/>
    <w:rsid w:val="00A439E5"/>
    <w:rsid w:val="00A4497A"/>
    <w:rsid w:val="00A44BE8"/>
    <w:rsid w:val="00A44C96"/>
    <w:rsid w:val="00A44F54"/>
    <w:rsid w:val="00A45F9B"/>
    <w:rsid w:val="00A462A8"/>
    <w:rsid w:val="00A46574"/>
    <w:rsid w:val="00A467C4"/>
    <w:rsid w:val="00A47B02"/>
    <w:rsid w:val="00A47FB2"/>
    <w:rsid w:val="00A500B1"/>
    <w:rsid w:val="00A5101D"/>
    <w:rsid w:val="00A52D3F"/>
    <w:rsid w:val="00A52EE5"/>
    <w:rsid w:val="00A53037"/>
    <w:rsid w:val="00A532B9"/>
    <w:rsid w:val="00A5351D"/>
    <w:rsid w:val="00A53E79"/>
    <w:rsid w:val="00A54031"/>
    <w:rsid w:val="00A5426D"/>
    <w:rsid w:val="00A54318"/>
    <w:rsid w:val="00A54FC2"/>
    <w:rsid w:val="00A55122"/>
    <w:rsid w:val="00A568C7"/>
    <w:rsid w:val="00A56DE7"/>
    <w:rsid w:val="00A57EB2"/>
    <w:rsid w:val="00A6009E"/>
    <w:rsid w:val="00A60B1F"/>
    <w:rsid w:val="00A6180E"/>
    <w:rsid w:val="00A61C60"/>
    <w:rsid w:val="00A62589"/>
    <w:rsid w:val="00A62C3A"/>
    <w:rsid w:val="00A63812"/>
    <w:rsid w:val="00A63DF7"/>
    <w:rsid w:val="00A64505"/>
    <w:rsid w:val="00A64BEE"/>
    <w:rsid w:val="00A668BA"/>
    <w:rsid w:val="00A66FA7"/>
    <w:rsid w:val="00A67AE3"/>
    <w:rsid w:val="00A67DCF"/>
    <w:rsid w:val="00A67E16"/>
    <w:rsid w:val="00A703CC"/>
    <w:rsid w:val="00A70C5C"/>
    <w:rsid w:val="00A71EA7"/>
    <w:rsid w:val="00A72AD6"/>
    <w:rsid w:val="00A730AD"/>
    <w:rsid w:val="00A73855"/>
    <w:rsid w:val="00A73D64"/>
    <w:rsid w:val="00A74216"/>
    <w:rsid w:val="00A744B4"/>
    <w:rsid w:val="00A751E3"/>
    <w:rsid w:val="00A75504"/>
    <w:rsid w:val="00A758C1"/>
    <w:rsid w:val="00A75CD9"/>
    <w:rsid w:val="00A762DC"/>
    <w:rsid w:val="00A76438"/>
    <w:rsid w:val="00A77168"/>
    <w:rsid w:val="00A7723B"/>
    <w:rsid w:val="00A7793C"/>
    <w:rsid w:val="00A77D21"/>
    <w:rsid w:val="00A80085"/>
    <w:rsid w:val="00A8043B"/>
    <w:rsid w:val="00A81148"/>
    <w:rsid w:val="00A81323"/>
    <w:rsid w:val="00A820CB"/>
    <w:rsid w:val="00A82342"/>
    <w:rsid w:val="00A83A06"/>
    <w:rsid w:val="00A83BEF"/>
    <w:rsid w:val="00A84147"/>
    <w:rsid w:val="00A84443"/>
    <w:rsid w:val="00A84541"/>
    <w:rsid w:val="00A8487F"/>
    <w:rsid w:val="00A849A3"/>
    <w:rsid w:val="00A84A0E"/>
    <w:rsid w:val="00A85A07"/>
    <w:rsid w:val="00A86E0B"/>
    <w:rsid w:val="00A903D1"/>
    <w:rsid w:val="00A90F12"/>
    <w:rsid w:val="00A911F6"/>
    <w:rsid w:val="00A916D0"/>
    <w:rsid w:val="00A92A62"/>
    <w:rsid w:val="00A93101"/>
    <w:rsid w:val="00A94293"/>
    <w:rsid w:val="00A9496E"/>
    <w:rsid w:val="00A949F0"/>
    <w:rsid w:val="00A94BDE"/>
    <w:rsid w:val="00A94D26"/>
    <w:rsid w:val="00A94FCA"/>
    <w:rsid w:val="00A95B17"/>
    <w:rsid w:val="00A95E4C"/>
    <w:rsid w:val="00A96C60"/>
    <w:rsid w:val="00A9740B"/>
    <w:rsid w:val="00A97430"/>
    <w:rsid w:val="00A97548"/>
    <w:rsid w:val="00A9766C"/>
    <w:rsid w:val="00A977F8"/>
    <w:rsid w:val="00A97C93"/>
    <w:rsid w:val="00AA08E7"/>
    <w:rsid w:val="00AA0A06"/>
    <w:rsid w:val="00AA1351"/>
    <w:rsid w:val="00AA1859"/>
    <w:rsid w:val="00AA1C84"/>
    <w:rsid w:val="00AA3D7B"/>
    <w:rsid w:val="00AA42A0"/>
    <w:rsid w:val="00AA442B"/>
    <w:rsid w:val="00AA46A4"/>
    <w:rsid w:val="00AA4C85"/>
    <w:rsid w:val="00AA5779"/>
    <w:rsid w:val="00AA58A1"/>
    <w:rsid w:val="00AA61C7"/>
    <w:rsid w:val="00AA669D"/>
    <w:rsid w:val="00AA66ED"/>
    <w:rsid w:val="00AA6BE1"/>
    <w:rsid w:val="00AA6D27"/>
    <w:rsid w:val="00AA7416"/>
    <w:rsid w:val="00AA7878"/>
    <w:rsid w:val="00AA7A60"/>
    <w:rsid w:val="00AA7B42"/>
    <w:rsid w:val="00AB041C"/>
    <w:rsid w:val="00AB09DA"/>
    <w:rsid w:val="00AB14E8"/>
    <w:rsid w:val="00AB1B1D"/>
    <w:rsid w:val="00AB2216"/>
    <w:rsid w:val="00AB30BE"/>
    <w:rsid w:val="00AB358D"/>
    <w:rsid w:val="00AB37A1"/>
    <w:rsid w:val="00AB3BAD"/>
    <w:rsid w:val="00AB3CFD"/>
    <w:rsid w:val="00AB49BC"/>
    <w:rsid w:val="00AB4DEE"/>
    <w:rsid w:val="00AB4E32"/>
    <w:rsid w:val="00AB579A"/>
    <w:rsid w:val="00AB6DDD"/>
    <w:rsid w:val="00AB724B"/>
    <w:rsid w:val="00AB726C"/>
    <w:rsid w:val="00AB72B4"/>
    <w:rsid w:val="00AB75CB"/>
    <w:rsid w:val="00AC02AA"/>
    <w:rsid w:val="00AC0537"/>
    <w:rsid w:val="00AC0A84"/>
    <w:rsid w:val="00AC2A0B"/>
    <w:rsid w:val="00AC2BEE"/>
    <w:rsid w:val="00AC2E53"/>
    <w:rsid w:val="00AC484F"/>
    <w:rsid w:val="00AC4B20"/>
    <w:rsid w:val="00AC56F2"/>
    <w:rsid w:val="00AC6886"/>
    <w:rsid w:val="00AC6A8F"/>
    <w:rsid w:val="00AC71C3"/>
    <w:rsid w:val="00AC780B"/>
    <w:rsid w:val="00AD1EFA"/>
    <w:rsid w:val="00AD2072"/>
    <w:rsid w:val="00AD2DBD"/>
    <w:rsid w:val="00AD2FBF"/>
    <w:rsid w:val="00AD455D"/>
    <w:rsid w:val="00AD463C"/>
    <w:rsid w:val="00AD46A2"/>
    <w:rsid w:val="00AD4F60"/>
    <w:rsid w:val="00AD5044"/>
    <w:rsid w:val="00AD5114"/>
    <w:rsid w:val="00AD5CED"/>
    <w:rsid w:val="00AD6123"/>
    <w:rsid w:val="00AD6236"/>
    <w:rsid w:val="00AD7619"/>
    <w:rsid w:val="00AD7770"/>
    <w:rsid w:val="00AE0C2C"/>
    <w:rsid w:val="00AE1772"/>
    <w:rsid w:val="00AE1990"/>
    <w:rsid w:val="00AE25E8"/>
    <w:rsid w:val="00AE2AD4"/>
    <w:rsid w:val="00AE2CA7"/>
    <w:rsid w:val="00AE2F1D"/>
    <w:rsid w:val="00AE43F3"/>
    <w:rsid w:val="00AE4E52"/>
    <w:rsid w:val="00AE586F"/>
    <w:rsid w:val="00AE6582"/>
    <w:rsid w:val="00AE6DC5"/>
    <w:rsid w:val="00AE72A9"/>
    <w:rsid w:val="00AE7686"/>
    <w:rsid w:val="00AE799A"/>
    <w:rsid w:val="00AF0E81"/>
    <w:rsid w:val="00AF117A"/>
    <w:rsid w:val="00AF186E"/>
    <w:rsid w:val="00AF19DF"/>
    <w:rsid w:val="00AF26CF"/>
    <w:rsid w:val="00AF3247"/>
    <w:rsid w:val="00AF4E92"/>
    <w:rsid w:val="00AF554B"/>
    <w:rsid w:val="00AF5AA9"/>
    <w:rsid w:val="00AF5C9B"/>
    <w:rsid w:val="00AF5D53"/>
    <w:rsid w:val="00AF5E2D"/>
    <w:rsid w:val="00AF644B"/>
    <w:rsid w:val="00AF6C53"/>
    <w:rsid w:val="00AF6CA6"/>
    <w:rsid w:val="00AF6EB6"/>
    <w:rsid w:val="00AF7796"/>
    <w:rsid w:val="00AF7F35"/>
    <w:rsid w:val="00B00C4F"/>
    <w:rsid w:val="00B011A9"/>
    <w:rsid w:val="00B024ED"/>
    <w:rsid w:val="00B02EB3"/>
    <w:rsid w:val="00B02FCB"/>
    <w:rsid w:val="00B033F8"/>
    <w:rsid w:val="00B03C1E"/>
    <w:rsid w:val="00B03E3C"/>
    <w:rsid w:val="00B04400"/>
    <w:rsid w:val="00B04835"/>
    <w:rsid w:val="00B05A55"/>
    <w:rsid w:val="00B05DE1"/>
    <w:rsid w:val="00B06081"/>
    <w:rsid w:val="00B06595"/>
    <w:rsid w:val="00B0742F"/>
    <w:rsid w:val="00B10058"/>
    <w:rsid w:val="00B10109"/>
    <w:rsid w:val="00B10388"/>
    <w:rsid w:val="00B1085E"/>
    <w:rsid w:val="00B10FD1"/>
    <w:rsid w:val="00B122A3"/>
    <w:rsid w:val="00B12735"/>
    <w:rsid w:val="00B129C6"/>
    <w:rsid w:val="00B13386"/>
    <w:rsid w:val="00B13533"/>
    <w:rsid w:val="00B13C48"/>
    <w:rsid w:val="00B13E35"/>
    <w:rsid w:val="00B13EC0"/>
    <w:rsid w:val="00B14102"/>
    <w:rsid w:val="00B14D32"/>
    <w:rsid w:val="00B1557C"/>
    <w:rsid w:val="00B155DC"/>
    <w:rsid w:val="00B15766"/>
    <w:rsid w:val="00B15E0C"/>
    <w:rsid w:val="00B1666A"/>
    <w:rsid w:val="00B1686D"/>
    <w:rsid w:val="00B1741D"/>
    <w:rsid w:val="00B17447"/>
    <w:rsid w:val="00B1771D"/>
    <w:rsid w:val="00B17B91"/>
    <w:rsid w:val="00B20209"/>
    <w:rsid w:val="00B203AF"/>
    <w:rsid w:val="00B203C9"/>
    <w:rsid w:val="00B2088D"/>
    <w:rsid w:val="00B208FF"/>
    <w:rsid w:val="00B22C58"/>
    <w:rsid w:val="00B22E22"/>
    <w:rsid w:val="00B22F5F"/>
    <w:rsid w:val="00B23813"/>
    <w:rsid w:val="00B23FD9"/>
    <w:rsid w:val="00B24542"/>
    <w:rsid w:val="00B24591"/>
    <w:rsid w:val="00B245D5"/>
    <w:rsid w:val="00B24C36"/>
    <w:rsid w:val="00B24F94"/>
    <w:rsid w:val="00B25126"/>
    <w:rsid w:val="00B25A52"/>
    <w:rsid w:val="00B25B0A"/>
    <w:rsid w:val="00B25FC3"/>
    <w:rsid w:val="00B26DE0"/>
    <w:rsid w:val="00B27026"/>
    <w:rsid w:val="00B275FE"/>
    <w:rsid w:val="00B27875"/>
    <w:rsid w:val="00B3008D"/>
    <w:rsid w:val="00B30302"/>
    <w:rsid w:val="00B30E11"/>
    <w:rsid w:val="00B30EEB"/>
    <w:rsid w:val="00B31423"/>
    <w:rsid w:val="00B31710"/>
    <w:rsid w:val="00B323E0"/>
    <w:rsid w:val="00B32DC0"/>
    <w:rsid w:val="00B3346C"/>
    <w:rsid w:val="00B335E4"/>
    <w:rsid w:val="00B33970"/>
    <w:rsid w:val="00B33C23"/>
    <w:rsid w:val="00B34302"/>
    <w:rsid w:val="00B345B4"/>
    <w:rsid w:val="00B348B1"/>
    <w:rsid w:val="00B34A28"/>
    <w:rsid w:val="00B35046"/>
    <w:rsid w:val="00B35B6A"/>
    <w:rsid w:val="00B3635F"/>
    <w:rsid w:val="00B369F3"/>
    <w:rsid w:val="00B37657"/>
    <w:rsid w:val="00B37AFD"/>
    <w:rsid w:val="00B37B07"/>
    <w:rsid w:val="00B37CD8"/>
    <w:rsid w:val="00B4046F"/>
    <w:rsid w:val="00B40B47"/>
    <w:rsid w:val="00B41D39"/>
    <w:rsid w:val="00B422C0"/>
    <w:rsid w:val="00B426CA"/>
    <w:rsid w:val="00B426E1"/>
    <w:rsid w:val="00B437F8"/>
    <w:rsid w:val="00B4387A"/>
    <w:rsid w:val="00B44260"/>
    <w:rsid w:val="00B44746"/>
    <w:rsid w:val="00B44854"/>
    <w:rsid w:val="00B458D0"/>
    <w:rsid w:val="00B4792C"/>
    <w:rsid w:val="00B50CAE"/>
    <w:rsid w:val="00B512AD"/>
    <w:rsid w:val="00B5196C"/>
    <w:rsid w:val="00B51A03"/>
    <w:rsid w:val="00B525CB"/>
    <w:rsid w:val="00B52697"/>
    <w:rsid w:val="00B54422"/>
    <w:rsid w:val="00B547F5"/>
    <w:rsid w:val="00B54D8F"/>
    <w:rsid w:val="00B55857"/>
    <w:rsid w:val="00B55AEC"/>
    <w:rsid w:val="00B55C69"/>
    <w:rsid w:val="00B56851"/>
    <w:rsid w:val="00B56D6E"/>
    <w:rsid w:val="00B572F7"/>
    <w:rsid w:val="00B57B9D"/>
    <w:rsid w:val="00B57DAF"/>
    <w:rsid w:val="00B60094"/>
    <w:rsid w:val="00B6022C"/>
    <w:rsid w:val="00B614F8"/>
    <w:rsid w:val="00B6172E"/>
    <w:rsid w:val="00B61994"/>
    <w:rsid w:val="00B61FD4"/>
    <w:rsid w:val="00B62880"/>
    <w:rsid w:val="00B63872"/>
    <w:rsid w:val="00B63CB2"/>
    <w:rsid w:val="00B6416D"/>
    <w:rsid w:val="00B64246"/>
    <w:rsid w:val="00B6479D"/>
    <w:rsid w:val="00B64EDB"/>
    <w:rsid w:val="00B65938"/>
    <w:rsid w:val="00B65C8A"/>
    <w:rsid w:val="00B65CE2"/>
    <w:rsid w:val="00B660AD"/>
    <w:rsid w:val="00B66109"/>
    <w:rsid w:val="00B66349"/>
    <w:rsid w:val="00B67630"/>
    <w:rsid w:val="00B67FBF"/>
    <w:rsid w:val="00B71FA7"/>
    <w:rsid w:val="00B72110"/>
    <w:rsid w:val="00B72B91"/>
    <w:rsid w:val="00B72F71"/>
    <w:rsid w:val="00B73019"/>
    <w:rsid w:val="00B7315F"/>
    <w:rsid w:val="00B7323A"/>
    <w:rsid w:val="00B73356"/>
    <w:rsid w:val="00B7353B"/>
    <w:rsid w:val="00B7358A"/>
    <w:rsid w:val="00B737FB"/>
    <w:rsid w:val="00B739A9"/>
    <w:rsid w:val="00B7423D"/>
    <w:rsid w:val="00B74D05"/>
    <w:rsid w:val="00B7709A"/>
    <w:rsid w:val="00B777FA"/>
    <w:rsid w:val="00B77850"/>
    <w:rsid w:val="00B7796B"/>
    <w:rsid w:val="00B80337"/>
    <w:rsid w:val="00B80C72"/>
    <w:rsid w:val="00B8179B"/>
    <w:rsid w:val="00B81964"/>
    <w:rsid w:val="00B81AB3"/>
    <w:rsid w:val="00B81E6F"/>
    <w:rsid w:val="00B82123"/>
    <w:rsid w:val="00B8225B"/>
    <w:rsid w:val="00B82BB5"/>
    <w:rsid w:val="00B83182"/>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A0C54"/>
    <w:rsid w:val="00BA1382"/>
    <w:rsid w:val="00BA20D8"/>
    <w:rsid w:val="00BA22FC"/>
    <w:rsid w:val="00BA2F30"/>
    <w:rsid w:val="00BA30E0"/>
    <w:rsid w:val="00BA4771"/>
    <w:rsid w:val="00BA4BEB"/>
    <w:rsid w:val="00BA5027"/>
    <w:rsid w:val="00BA5303"/>
    <w:rsid w:val="00BA665B"/>
    <w:rsid w:val="00BA7370"/>
    <w:rsid w:val="00BA778B"/>
    <w:rsid w:val="00BB0888"/>
    <w:rsid w:val="00BB0DF1"/>
    <w:rsid w:val="00BB0E9B"/>
    <w:rsid w:val="00BB22F9"/>
    <w:rsid w:val="00BB2841"/>
    <w:rsid w:val="00BB300F"/>
    <w:rsid w:val="00BB32C9"/>
    <w:rsid w:val="00BB35C5"/>
    <w:rsid w:val="00BB4C8E"/>
    <w:rsid w:val="00BB57ED"/>
    <w:rsid w:val="00BB65C3"/>
    <w:rsid w:val="00BB662E"/>
    <w:rsid w:val="00BB67A9"/>
    <w:rsid w:val="00BB6C01"/>
    <w:rsid w:val="00BB7608"/>
    <w:rsid w:val="00BB7942"/>
    <w:rsid w:val="00BB7CD1"/>
    <w:rsid w:val="00BC0F33"/>
    <w:rsid w:val="00BC10A4"/>
    <w:rsid w:val="00BC14A7"/>
    <w:rsid w:val="00BC17CC"/>
    <w:rsid w:val="00BC229E"/>
    <w:rsid w:val="00BC2898"/>
    <w:rsid w:val="00BC2928"/>
    <w:rsid w:val="00BC2BB1"/>
    <w:rsid w:val="00BC34A3"/>
    <w:rsid w:val="00BC3FF9"/>
    <w:rsid w:val="00BC42EF"/>
    <w:rsid w:val="00BC4834"/>
    <w:rsid w:val="00BC4A97"/>
    <w:rsid w:val="00BC5349"/>
    <w:rsid w:val="00BC5A25"/>
    <w:rsid w:val="00BC5BBD"/>
    <w:rsid w:val="00BC5FDD"/>
    <w:rsid w:val="00BC68B4"/>
    <w:rsid w:val="00BD0140"/>
    <w:rsid w:val="00BD023B"/>
    <w:rsid w:val="00BD02CC"/>
    <w:rsid w:val="00BD1675"/>
    <w:rsid w:val="00BD2063"/>
    <w:rsid w:val="00BD33D9"/>
    <w:rsid w:val="00BD38C5"/>
    <w:rsid w:val="00BD3CF1"/>
    <w:rsid w:val="00BD3DEA"/>
    <w:rsid w:val="00BD3E97"/>
    <w:rsid w:val="00BD40E4"/>
    <w:rsid w:val="00BD449A"/>
    <w:rsid w:val="00BD4CD4"/>
    <w:rsid w:val="00BD52FE"/>
    <w:rsid w:val="00BD62CF"/>
    <w:rsid w:val="00BD67B2"/>
    <w:rsid w:val="00BD78AB"/>
    <w:rsid w:val="00BD78FE"/>
    <w:rsid w:val="00BE0149"/>
    <w:rsid w:val="00BE0767"/>
    <w:rsid w:val="00BE12D7"/>
    <w:rsid w:val="00BE1372"/>
    <w:rsid w:val="00BE1775"/>
    <w:rsid w:val="00BE18DA"/>
    <w:rsid w:val="00BE228A"/>
    <w:rsid w:val="00BE26C0"/>
    <w:rsid w:val="00BE3442"/>
    <w:rsid w:val="00BE35E8"/>
    <w:rsid w:val="00BE45DF"/>
    <w:rsid w:val="00BE47B2"/>
    <w:rsid w:val="00BE47BA"/>
    <w:rsid w:val="00BE48C7"/>
    <w:rsid w:val="00BE4F66"/>
    <w:rsid w:val="00BE5238"/>
    <w:rsid w:val="00BE6074"/>
    <w:rsid w:val="00BE7257"/>
    <w:rsid w:val="00BF020D"/>
    <w:rsid w:val="00BF1DD2"/>
    <w:rsid w:val="00BF23A3"/>
    <w:rsid w:val="00BF2A7E"/>
    <w:rsid w:val="00BF2F6E"/>
    <w:rsid w:val="00BF3331"/>
    <w:rsid w:val="00BF3A45"/>
    <w:rsid w:val="00BF436F"/>
    <w:rsid w:val="00BF4570"/>
    <w:rsid w:val="00BF5723"/>
    <w:rsid w:val="00BF5C05"/>
    <w:rsid w:val="00BF6FC6"/>
    <w:rsid w:val="00BF7414"/>
    <w:rsid w:val="00BF7C52"/>
    <w:rsid w:val="00BF7F99"/>
    <w:rsid w:val="00C00713"/>
    <w:rsid w:val="00C009A0"/>
    <w:rsid w:val="00C01F74"/>
    <w:rsid w:val="00C02558"/>
    <w:rsid w:val="00C0285F"/>
    <w:rsid w:val="00C02DBF"/>
    <w:rsid w:val="00C02F35"/>
    <w:rsid w:val="00C03127"/>
    <w:rsid w:val="00C03305"/>
    <w:rsid w:val="00C03515"/>
    <w:rsid w:val="00C03738"/>
    <w:rsid w:val="00C037A6"/>
    <w:rsid w:val="00C03DB7"/>
    <w:rsid w:val="00C043F5"/>
    <w:rsid w:val="00C044E3"/>
    <w:rsid w:val="00C04BDB"/>
    <w:rsid w:val="00C0528A"/>
    <w:rsid w:val="00C052C6"/>
    <w:rsid w:val="00C05A61"/>
    <w:rsid w:val="00C06C92"/>
    <w:rsid w:val="00C06CCF"/>
    <w:rsid w:val="00C108B8"/>
    <w:rsid w:val="00C11503"/>
    <w:rsid w:val="00C1159D"/>
    <w:rsid w:val="00C11683"/>
    <w:rsid w:val="00C118DB"/>
    <w:rsid w:val="00C1233E"/>
    <w:rsid w:val="00C125C1"/>
    <w:rsid w:val="00C12EBF"/>
    <w:rsid w:val="00C12FB3"/>
    <w:rsid w:val="00C138BC"/>
    <w:rsid w:val="00C13D85"/>
    <w:rsid w:val="00C14639"/>
    <w:rsid w:val="00C14E82"/>
    <w:rsid w:val="00C14FF6"/>
    <w:rsid w:val="00C15A85"/>
    <w:rsid w:val="00C1641B"/>
    <w:rsid w:val="00C165FC"/>
    <w:rsid w:val="00C176D5"/>
    <w:rsid w:val="00C17863"/>
    <w:rsid w:val="00C2082C"/>
    <w:rsid w:val="00C20EB0"/>
    <w:rsid w:val="00C21005"/>
    <w:rsid w:val="00C220B6"/>
    <w:rsid w:val="00C22D7C"/>
    <w:rsid w:val="00C22DDE"/>
    <w:rsid w:val="00C2338B"/>
    <w:rsid w:val="00C233CE"/>
    <w:rsid w:val="00C23661"/>
    <w:rsid w:val="00C237DD"/>
    <w:rsid w:val="00C238F4"/>
    <w:rsid w:val="00C23A99"/>
    <w:rsid w:val="00C245EE"/>
    <w:rsid w:val="00C24AE1"/>
    <w:rsid w:val="00C24B8D"/>
    <w:rsid w:val="00C24BD7"/>
    <w:rsid w:val="00C25352"/>
    <w:rsid w:val="00C25813"/>
    <w:rsid w:val="00C25855"/>
    <w:rsid w:val="00C27143"/>
    <w:rsid w:val="00C27490"/>
    <w:rsid w:val="00C27A55"/>
    <w:rsid w:val="00C27D37"/>
    <w:rsid w:val="00C302E5"/>
    <w:rsid w:val="00C309E8"/>
    <w:rsid w:val="00C30A95"/>
    <w:rsid w:val="00C32017"/>
    <w:rsid w:val="00C325CD"/>
    <w:rsid w:val="00C3322E"/>
    <w:rsid w:val="00C337F5"/>
    <w:rsid w:val="00C33B90"/>
    <w:rsid w:val="00C34B5F"/>
    <w:rsid w:val="00C35206"/>
    <w:rsid w:val="00C35263"/>
    <w:rsid w:val="00C358D4"/>
    <w:rsid w:val="00C36785"/>
    <w:rsid w:val="00C36845"/>
    <w:rsid w:val="00C3711C"/>
    <w:rsid w:val="00C37256"/>
    <w:rsid w:val="00C37A7B"/>
    <w:rsid w:val="00C37D88"/>
    <w:rsid w:val="00C37FFE"/>
    <w:rsid w:val="00C40223"/>
    <w:rsid w:val="00C4060A"/>
    <w:rsid w:val="00C40B50"/>
    <w:rsid w:val="00C4105D"/>
    <w:rsid w:val="00C41858"/>
    <w:rsid w:val="00C419E3"/>
    <w:rsid w:val="00C419F4"/>
    <w:rsid w:val="00C41E6A"/>
    <w:rsid w:val="00C42247"/>
    <w:rsid w:val="00C439BE"/>
    <w:rsid w:val="00C44972"/>
    <w:rsid w:val="00C44C0F"/>
    <w:rsid w:val="00C44E61"/>
    <w:rsid w:val="00C4539B"/>
    <w:rsid w:val="00C45466"/>
    <w:rsid w:val="00C455C1"/>
    <w:rsid w:val="00C4581D"/>
    <w:rsid w:val="00C47472"/>
    <w:rsid w:val="00C500F0"/>
    <w:rsid w:val="00C504A7"/>
    <w:rsid w:val="00C506C9"/>
    <w:rsid w:val="00C50A16"/>
    <w:rsid w:val="00C5122B"/>
    <w:rsid w:val="00C51C9A"/>
    <w:rsid w:val="00C52C68"/>
    <w:rsid w:val="00C52D98"/>
    <w:rsid w:val="00C52FB7"/>
    <w:rsid w:val="00C53D24"/>
    <w:rsid w:val="00C54640"/>
    <w:rsid w:val="00C546C6"/>
    <w:rsid w:val="00C547A6"/>
    <w:rsid w:val="00C54A3A"/>
    <w:rsid w:val="00C5503F"/>
    <w:rsid w:val="00C55C32"/>
    <w:rsid w:val="00C56A67"/>
    <w:rsid w:val="00C56CC2"/>
    <w:rsid w:val="00C57498"/>
    <w:rsid w:val="00C5763C"/>
    <w:rsid w:val="00C5780C"/>
    <w:rsid w:val="00C5796B"/>
    <w:rsid w:val="00C6096C"/>
    <w:rsid w:val="00C619A1"/>
    <w:rsid w:val="00C62370"/>
    <w:rsid w:val="00C62545"/>
    <w:rsid w:val="00C62BBB"/>
    <w:rsid w:val="00C6305F"/>
    <w:rsid w:val="00C6325B"/>
    <w:rsid w:val="00C63E99"/>
    <w:rsid w:val="00C64161"/>
    <w:rsid w:val="00C641BD"/>
    <w:rsid w:val="00C649B8"/>
    <w:rsid w:val="00C64A64"/>
    <w:rsid w:val="00C65151"/>
    <w:rsid w:val="00C65625"/>
    <w:rsid w:val="00C657F4"/>
    <w:rsid w:val="00C66119"/>
    <w:rsid w:val="00C66292"/>
    <w:rsid w:val="00C672A3"/>
    <w:rsid w:val="00C672F1"/>
    <w:rsid w:val="00C673D0"/>
    <w:rsid w:val="00C6742E"/>
    <w:rsid w:val="00C6764E"/>
    <w:rsid w:val="00C70012"/>
    <w:rsid w:val="00C71AFB"/>
    <w:rsid w:val="00C71E2A"/>
    <w:rsid w:val="00C733BA"/>
    <w:rsid w:val="00C760DC"/>
    <w:rsid w:val="00C8082B"/>
    <w:rsid w:val="00C81A88"/>
    <w:rsid w:val="00C81AEC"/>
    <w:rsid w:val="00C81D46"/>
    <w:rsid w:val="00C820AD"/>
    <w:rsid w:val="00C82298"/>
    <w:rsid w:val="00C8247A"/>
    <w:rsid w:val="00C833B4"/>
    <w:rsid w:val="00C83F9E"/>
    <w:rsid w:val="00C84284"/>
    <w:rsid w:val="00C84E33"/>
    <w:rsid w:val="00C85FFC"/>
    <w:rsid w:val="00C861FC"/>
    <w:rsid w:val="00C86C87"/>
    <w:rsid w:val="00C87FF2"/>
    <w:rsid w:val="00C9005E"/>
    <w:rsid w:val="00C90111"/>
    <w:rsid w:val="00C90CA9"/>
    <w:rsid w:val="00C915F2"/>
    <w:rsid w:val="00C917B1"/>
    <w:rsid w:val="00C9193C"/>
    <w:rsid w:val="00C91B77"/>
    <w:rsid w:val="00C920E2"/>
    <w:rsid w:val="00C93765"/>
    <w:rsid w:val="00C93877"/>
    <w:rsid w:val="00C93D8C"/>
    <w:rsid w:val="00C946CC"/>
    <w:rsid w:val="00C94AFF"/>
    <w:rsid w:val="00C959BD"/>
    <w:rsid w:val="00C95F44"/>
    <w:rsid w:val="00C9604E"/>
    <w:rsid w:val="00C96AF0"/>
    <w:rsid w:val="00C96D1B"/>
    <w:rsid w:val="00C97106"/>
    <w:rsid w:val="00C973B8"/>
    <w:rsid w:val="00C97684"/>
    <w:rsid w:val="00C977BE"/>
    <w:rsid w:val="00CA0031"/>
    <w:rsid w:val="00CA0413"/>
    <w:rsid w:val="00CA043A"/>
    <w:rsid w:val="00CA04F8"/>
    <w:rsid w:val="00CA1691"/>
    <w:rsid w:val="00CA2E65"/>
    <w:rsid w:val="00CA41E7"/>
    <w:rsid w:val="00CA4B2B"/>
    <w:rsid w:val="00CA5107"/>
    <w:rsid w:val="00CA5520"/>
    <w:rsid w:val="00CA5812"/>
    <w:rsid w:val="00CA5BD4"/>
    <w:rsid w:val="00CA5C14"/>
    <w:rsid w:val="00CA76FC"/>
    <w:rsid w:val="00CA7B60"/>
    <w:rsid w:val="00CA7E7B"/>
    <w:rsid w:val="00CB0236"/>
    <w:rsid w:val="00CB19E3"/>
    <w:rsid w:val="00CB2C3A"/>
    <w:rsid w:val="00CB2D22"/>
    <w:rsid w:val="00CB2D38"/>
    <w:rsid w:val="00CB4137"/>
    <w:rsid w:val="00CB4688"/>
    <w:rsid w:val="00CB52D0"/>
    <w:rsid w:val="00CB5578"/>
    <w:rsid w:val="00CB5671"/>
    <w:rsid w:val="00CB591C"/>
    <w:rsid w:val="00CB5943"/>
    <w:rsid w:val="00CB61B3"/>
    <w:rsid w:val="00CB6F83"/>
    <w:rsid w:val="00CB72AE"/>
    <w:rsid w:val="00CB78AD"/>
    <w:rsid w:val="00CB7C46"/>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61AD"/>
    <w:rsid w:val="00CC61B7"/>
    <w:rsid w:val="00CC61CA"/>
    <w:rsid w:val="00CC69EC"/>
    <w:rsid w:val="00CC71D3"/>
    <w:rsid w:val="00CC743D"/>
    <w:rsid w:val="00CC7E36"/>
    <w:rsid w:val="00CD050A"/>
    <w:rsid w:val="00CD205D"/>
    <w:rsid w:val="00CD2A22"/>
    <w:rsid w:val="00CD2B50"/>
    <w:rsid w:val="00CD4506"/>
    <w:rsid w:val="00CD520B"/>
    <w:rsid w:val="00CD592E"/>
    <w:rsid w:val="00CD5982"/>
    <w:rsid w:val="00CD5A1A"/>
    <w:rsid w:val="00CD5C76"/>
    <w:rsid w:val="00CD68FF"/>
    <w:rsid w:val="00CD7924"/>
    <w:rsid w:val="00CD7EFA"/>
    <w:rsid w:val="00CE020E"/>
    <w:rsid w:val="00CE0566"/>
    <w:rsid w:val="00CE1CD4"/>
    <w:rsid w:val="00CE23FE"/>
    <w:rsid w:val="00CE2761"/>
    <w:rsid w:val="00CE314E"/>
    <w:rsid w:val="00CE31F9"/>
    <w:rsid w:val="00CE3D5C"/>
    <w:rsid w:val="00CE3E14"/>
    <w:rsid w:val="00CE44C7"/>
    <w:rsid w:val="00CE53CC"/>
    <w:rsid w:val="00CE5AAD"/>
    <w:rsid w:val="00CE5FA4"/>
    <w:rsid w:val="00CE65A7"/>
    <w:rsid w:val="00CE65AB"/>
    <w:rsid w:val="00CE68FE"/>
    <w:rsid w:val="00CE69CC"/>
    <w:rsid w:val="00CE6C06"/>
    <w:rsid w:val="00CE6EC4"/>
    <w:rsid w:val="00CE7F26"/>
    <w:rsid w:val="00CF0659"/>
    <w:rsid w:val="00CF1226"/>
    <w:rsid w:val="00CF1ABB"/>
    <w:rsid w:val="00CF1E1D"/>
    <w:rsid w:val="00CF2137"/>
    <w:rsid w:val="00CF24FE"/>
    <w:rsid w:val="00CF35D0"/>
    <w:rsid w:val="00CF3DD5"/>
    <w:rsid w:val="00CF4AF7"/>
    <w:rsid w:val="00CF4D20"/>
    <w:rsid w:val="00CF6AC0"/>
    <w:rsid w:val="00CF73F8"/>
    <w:rsid w:val="00CF7928"/>
    <w:rsid w:val="00CF7CA2"/>
    <w:rsid w:val="00D00A8E"/>
    <w:rsid w:val="00D00C4E"/>
    <w:rsid w:val="00D00DE0"/>
    <w:rsid w:val="00D00F79"/>
    <w:rsid w:val="00D012BF"/>
    <w:rsid w:val="00D01760"/>
    <w:rsid w:val="00D0368E"/>
    <w:rsid w:val="00D03A48"/>
    <w:rsid w:val="00D03D2D"/>
    <w:rsid w:val="00D03E7B"/>
    <w:rsid w:val="00D0401A"/>
    <w:rsid w:val="00D0421C"/>
    <w:rsid w:val="00D047E0"/>
    <w:rsid w:val="00D04B9F"/>
    <w:rsid w:val="00D04FFB"/>
    <w:rsid w:val="00D051BB"/>
    <w:rsid w:val="00D058E9"/>
    <w:rsid w:val="00D05D09"/>
    <w:rsid w:val="00D0612A"/>
    <w:rsid w:val="00D07455"/>
    <w:rsid w:val="00D1060D"/>
    <w:rsid w:val="00D10C38"/>
    <w:rsid w:val="00D10E7C"/>
    <w:rsid w:val="00D11182"/>
    <w:rsid w:val="00D1119D"/>
    <w:rsid w:val="00D1137B"/>
    <w:rsid w:val="00D11807"/>
    <w:rsid w:val="00D11DB3"/>
    <w:rsid w:val="00D12D82"/>
    <w:rsid w:val="00D1306E"/>
    <w:rsid w:val="00D134CD"/>
    <w:rsid w:val="00D13F22"/>
    <w:rsid w:val="00D14B5F"/>
    <w:rsid w:val="00D14E13"/>
    <w:rsid w:val="00D14F23"/>
    <w:rsid w:val="00D15356"/>
    <w:rsid w:val="00D16740"/>
    <w:rsid w:val="00D16A8B"/>
    <w:rsid w:val="00D16E39"/>
    <w:rsid w:val="00D17951"/>
    <w:rsid w:val="00D17AD8"/>
    <w:rsid w:val="00D2104A"/>
    <w:rsid w:val="00D21722"/>
    <w:rsid w:val="00D21BB5"/>
    <w:rsid w:val="00D21FFC"/>
    <w:rsid w:val="00D223B6"/>
    <w:rsid w:val="00D223E8"/>
    <w:rsid w:val="00D22A95"/>
    <w:rsid w:val="00D22DC8"/>
    <w:rsid w:val="00D24128"/>
    <w:rsid w:val="00D2522A"/>
    <w:rsid w:val="00D2531C"/>
    <w:rsid w:val="00D2643E"/>
    <w:rsid w:val="00D2742F"/>
    <w:rsid w:val="00D2754F"/>
    <w:rsid w:val="00D279D9"/>
    <w:rsid w:val="00D3014B"/>
    <w:rsid w:val="00D312DC"/>
    <w:rsid w:val="00D31B84"/>
    <w:rsid w:val="00D31C6A"/>
    <w:rsid w:val="00D31EDF"/>
    <w:rsid w:val="00D31FF9"/>
    <w:rsid w:val="00D32149"/>
    <w:rsid w:val="00D32256"/>
    <w:rsid w:val="00D32A27"/>
    <w:rsid w:val="00D32ABC"/>
    <w:rsid w:val="00D34B25"/>
    <w:rsid w:val="00D34F4E"/>
    <w:rsid w:val="00D357F3"/>
    <w:rsid w:val="00D35814"/>
    <w:rsid w:val="00D35C0E"/>
    <w:rsid w:val="00D36D60"/>
    <w:rsid w:val="00D373A8"/>
    <w:rsid w:val="00D379A5"/>
    <w:rsid w:val="00D401BE"/>
    <w:rsid w:val="00D4043A"/>
    <w:rsid w:val="00D40A8E"/>
    <w:rsid w:val="00D40DB0"/>
    <w:rsid w:val="00D40F8B"/>
    <w:rsid w:val="00D41858"/>
    <w:rsid w:val="00D422DB"/>
    <w:rsid w:val="00D42AC2"/>
    <w:rsid w:val="00D42E7D"/>
    <w:rsid w:val="00D43B8A"/>
    <w:rsid w:val="00D43EF5"/>
    <w:rsid w:val="00D44866"/>
    <w:rsid w:val="00D4498E"/>
    <w:rsid w:val="00D4515F"/>
    <w:rsid w:val="00D451E8"/>
    <w:rsid w:val="00D45D69"/>
    <w:rsid w:val="00D4636B"/>
    <w:rsid w:val="00D466C9"/>
    <w:rsid w:val="00D467D8"/>
    <w:rsid w:val="00D47275"/>
    <w:rsid w:val="00D47AA6"/>
    <w:rsid w:val="00D50C39"/>
    <w:rsid w:val="00D50CE8"/>
    <w:rsid w:val="00D51E15"/>
    <w:rsid w:val="00D52B7E"/>
    <w:rsid w:val="00D52E2F"/>
    <w:rsid w:val="00D52F59"/>
    <w:rsid w:val="00D530EE"/>
    <w:rsid w:val="00D5327E"/>
    <w:rsid w:val="00D53E3E"/>
    <w:rsid w:val="00D55904"/>
    <w:rsid w:val="00D5616F"/>
    <w:rsid w:val="00D57940"/>
    <w:rsid w:val="00D57D6A"/>
    <w:rsid w:val="00D60108"/>
    <w:rsid w:val="00D60327"/>
    <w:rsid w:val="00D6045B"/>
    <w:rsid w:val="00D61526"/>
    <w:rsid w:val="00D618F6"/>
    <w:rsid w:val="00D6190D"/>
    <w:rsid w:val="00D61F81"/>
    <w:rsid w:val="00D625AC"/>
    <w:rsid w:val="00D62BE6"/>
    <w:rsid w:val="00D63766"/>
    <w:rsid w:val="00D638B7"/>
    <w:rsid w:val="00D63912"/>
    <w:rsid w:val="00D63923"/>
    <w:rsid w:val="00D6451B"/>
    <w:rsid w:val="00D64B57"/>
    <w:rsid w:val="00D65451"/>
    <w:rsid w:val="00D65DEA"/>
    <w:rsid w:val="00D65DFE"/>
    <w:rsid w:val="00D67BC7"/>
    <w:rsid w:val="00D701F1"/>
    <w:rsid w:val="00D705D3"/>
    <w:rsid w:val="00D708F2"/>
    <w:rsid w:val="00D70D94"/>
    <w:rsid w:val="00D70E00"/>
    <w:rsid w:val="00D713FB"/>
    <w:rsid w:val="00D715AC"/>
    <w:rsid w:val="00D71851"/>
    <w:rsid w:val="00D718CF"/>
    <w:rsid w:val="00D728F5"/>
    <w:rsid w:val="00D72E9D"/>
    <w:rsid w:val="00D73249"/>
    <w:rsid w:val="00D73419"/>
    <w:rsid w:val="00D73BD9"/>
    <w:rsid w:val="00D73CA9"/>
    <w:rsid w:val="00D7481A"/>
    <w:rsid w:val="00D751B7"/>
    <w:rsid w:val="00D7524B"/>
    <w:rsid w:val="00D75396"/>
    <w:rsid w:val="00D75718"/>
    <w:rsid w:val="00D759C0"/>
    <w:rsid w:val="00D75E99"/>
    <w:rsid w:val="00D766C7"/>
    <w:rsid w:val="00D7692B"/>
    <w:rsid w:val="00D7734F"/>
    <w:rsid w:val="00D8044C"/>
    <w:rsid w:val="00D805D6"/>
    <w:rsid w:val="00D8075E"/>
    <w:rsid w:val="00D80860"/>
    <w:rsid w:val="00D80D4C"/>
    <w:rsid w:val="00D8184D"/>
    <w:rsid w:val="00D81A7B"/>
    <w:rsid w:val="00D8223C"/>
    <w:rsid w:val="00D82B57"/>
    <w:rsid w:val="00D82CE5"/>
    <w:rsid w:val="00D8342C"/>
    <w:rsid w:val="00D84E19"/>
    <w:rsid w:val="00D85494"/>
    <w:rsid w:val="00D8582C"/>
    <w:rsid w:val="00D85D61"/>
    <w:rsid w:val="00D8616D"/>
    <w:rsid w:val="00D86767"/>
    <w:rsid w:val="00D8711B"/>
    <w:rsid w:val="00D87384"/>
    <w:rsid w:val="00D90023"/>
    <w:rsid w:val="00D90127"/>
    <w:rsid w:val="00D90683"/>
    <w:rsid w:val="00D915C8"/>
    <w:rsid w:val="00D9261C"/>
    <w:rsid w:val="00D92B9B"/>
    <w:rsid w:val="00D9310B"/>
    <w:rsid w:val="00D936CA"/>
    <w:rsid w:val="00D93726"/>
    <w:rsid w:val="00D93DD3"/>
    <w:rsid w:val="00D93F3E"/>
    <w:rsid w:val="00D9405B"/>
    <w:rsid w:val="00D94942"/>
    <w:rsid w:val="00D95145"/>
    <w:rsid w:val="00D967CB"/>
    <w:rsid w:val="00D96EE0"/>
    <w:rsid w:val="00D97BD1"/>
    <w:rsid w:val="00DA008B"/>
    <w:rsid w:val="00DA04A6"/>
    <w:rsid w:val="00DA06B8"/>
    <w:rsid w:val="00DA286D"/>
    <w:rsid w:val="00DA2969"/>
    <w:rsid w:val="00DA29B7"/>
    <w:rsid w:val="00DA318E"/>
    <w:rsid w:val="00DA4842"/>
    <w:rsid w:val="00DA5989"/>
    <w:rsid w:val="00DA5AB1"/>
    <w:rsid w:val="00DA5F9D"/>
    <w:rsid w:val="00DA69B2"/>
    <w:rsid w:val="00DA7462"/>
    <w:rsid w:val="00DA7AD0"/>
    <w:rsid w:val="00DB00A7"/>
    <w:rsid w:val="00DB02D7"/>
    <w:rsid w:val="00DB03CC"/>
    <w:rsid w:val="00DB0859"/>
    <w:rsid w:val="00DB09DF"/>
    <w:rsid w:val="00DB12D4"/>
    <w:rsid w:val="00DB14F0"/>
    <w:rsid w:val="00DB1745"/>
    <w:rsid w:val="00DB1AFF"/>
    <w:rsid w:val="00DB219A"/>
    <w:rsid w:val="00DB3165"/>
    <w:rsid w:val="00DB402B"/>
    <w:rsid w:val="00DB4292"/>
    <w:rsid w:val="00DB5935"/>
    <w:rsid w:val="00DB5B8E"/>
    <w:rsid w:val="00DB6207"/>
    <w:rsid w:val="00DB6E46"/>
    <w:rsid w:val="00DB7117"/>
    <w:rsid w:val="00DB76EC"/>
    <w:rsid w:val="00DB7760"/>
    <w:rsid w:val="00DB7DD4"/>
    <w:rsid w:val="00DC00B4"/>
    <w:rsid w:val="00DC0954"/>
    <w:rsid w:val="00DC15BA"/>
    <w:rsid w:val="00DC18CD"/>
    <w:rsid w:val="00DC1A68"/>
    <w:rsid w:val="00DC30B8"/>
    <w:rsid w:val="00DC32C6"/>
    <w:rsid w:val="00DC478F"/>
    <w:rsid w:val="00DC486D"/>
    <w:rsid w:val="00DC62E5"/>
    <w:rsid w:val="00DC6F33"/>
    <w:rsid w:val="00DC7349"/>
    <w:rsid w:val="00DD14D8"/>
    <w:rsid w:val="00DD1599"/>
    <w:rsid w:val="00DD1B03"/>
    <w:rsid w:val="00DD2A62"/>
    <w:rsid w:val="00DD2F2F"/>
    <w:rsid w:val="00DD2F7A"/>
    <w:rsid w:val="00DD3885"/>
    <w:rsid w:val="00DD5056"/>
    <w:rsid w:val="00DD5808"/>
    <w:rsid w:val="00DD5946"/>
    <w:rsid w:val="00DD5B04"/>
    <w:rsid w:val="00DD5DAE"/>
    <w:rsid w:val="00DD5EC6"/>
    <w:rsid w:val="00DD605F"/>
    <w:rsid w:val="00DD72A0"/>
    <w:rsid w:val="00DD735D"/>
    <w:rsid w:val="00DE0159"/>
    <w:rsid w:val="00DE01C3"/>
    <w:rsid w:val="00DE064A"/>
    <w:rsid w:val="00DE082D"/>
    <w:rsid w:val="00DE1410"/>
    <w:rsid w:val="00DE2B07"/>
    <w:rsid w:val="00DE3119"/>
    <w:rsid w:val="00DE3FF0"/>
    <w:rsid w:val="00DE4105"/>
    <w:rsid w:val="00DE5189"/>
    <w:rsid w:val="00DE6119"/>
    <w:rsid w:val="00DE6230"/>
    <w:rsid w:val="00DE67F5"/>
    <w:rsid w:val="00DE7108"/>
    <w:rsid w:val="00DE78D1"/>
    <w:rsid w:val="00DE7B4E"/>
    <w:rsid w:val="00DF0263"/>
    <w:rsid w:val="00DF030B"/>
    <w:rsid w:val="00DF0EB4"/>
    <w:rsid w:val="00DF1E36"/>
    <w:rsid w:val="00DF1FDB"/>
    <w:rsid w:val="00DF236B"/>
    <w:rsid w:val="00DF2A91"/>
    <w:rsid w:val="00DF30B5"/>
    <w:rsid w:val="00DF3889"/>
    <w:rsid w:val="00DF3CC9"/>
    <w:rsid w:val="00DF4451"/>
    <w:rsid w:val="00DF49FF"/>
    <w:rsid w:val="00DF4FFB"/>
    <w:rsid w:val="00DF5236"/>
    <w:rsid w:val="00DF651F"/>
    <w:rsid w:val="00DF6E10"/>
    <w:rsid w:val="00DF6F43"/>
    <w:rsid w:val="00DF752F"/>
    <w:rsid w:val="00DF76A2"/>
    <w:rsid w:val="00DF7B33"/>
    <w:rsid w:val="00DF7DF9"/>
    <w:rsid w:val="00E00B7A"/>
    <w:rsid w:val="00E02186"/>
    <w:rsid w:val="00E026BB"/>
    <w:rsid w:val="00E027C5"/>
    <w:rsid w:val="00E027D8"/>
    <w:rsid w:val="00E02F1C"/>
    <w:rsid w:val="00E03124"/>
    <w:rsid w:val="00E03951"/>
    <w:rsid w:val="00E03DB8"/>
    <w:rsid w:val="00E05E70"/>
    <w:rsid w:val="00E05FD6"/>
    <w:rsid w:val="00E064BC"/>
    <w:rsid w:val="00E07225"/>
    <w:rsid w:val="00E07AAA"/>
    <w:rsid w:val="00E10325"/>
    <w:rsid w:val="00E109DD"/>
    <w:rsid w:val="00E11229"/>
    <w:rsid w:val="00E114CA"/>
    <w:rsid w:val="00E11CF0"/>
    <w:rsid w:val="00E1397F"/>
    <w:rsid w:val="00E13AB8"/>
    <w:rsid w:val="00E14260"/>
    <w:rsid w:val="00E1482E"/>
    <w:rsid w:val="00E16382"/>
    <w:rsid w:val="00E1699C"/>
    <w:rsid w:val="00E16E75"/>
    <w:rsid w:val="00E1746D"/>
    <w:rsid w:val="00E2012A"/>
    <w:rsid w:val="00E205A2"/>
    <w:rsid w:val="00E20BA4"/>
    <w:rsid w:val="00E21FE3"/>
    <w:rsid w:val="00E23137"/>
    <w:rsid w:val="00E23980"/>
    <w:rsid w:val="00E241E9"/>
    <w:rsid w:val="00E257C3"/>
    <w:rsid w:val="00E25CB3"/>
    <w:rsid w:val="00E25DA4"/>
    <w:rsid w:val="00E26796"/>
    <w:rsid w:val="00E26CB8"/>
    <w:rsid w:val="00E26FCF"/>
    <w:rsid w:val="00E27165"/>
    <w:rsid w:val="00E27226"/>
    <w:rsid w:val="00E3044A"/>
    <w:rsid w:val="00E307FB"/>
    <w:rsid w:val="00E30E32"/>
    <w:rsid w:val="00E31881"/>
    <w:rsid w:val="00E31A4A"/>
    <w:rsid w:val="00E3344A"/>
    <w:rsid w:val="00E33B29"/>
    <w:rsid w:val="00E33B62"/>
    <w:rsid w:val="00E3403D"/>
    <w:rsid w:val="00E34616"/>
    <w:rsid w:val="00E34E6C"/>
    <w:rsid w:val="00E350D8"/>
    <w:rsid w:val="00E353E2"/>
    <w:rsid w:val="00E35D39"/>
    <w:rsid w:val="00E36345"/>
    <w:rsid w:val="00E36C86"/>
    <w:rsid w:val="00E36CEB"/>
    <w:rsid w:val="00E37A28"/>
    <w:rsid w:val="00E401DE"/>
    <w:rsid w:val="00E40430"/>
    <w:rsid w:val="00E40690"/>
    <w:rsid w:val="00E40AEB"/>
    <w:rsid w:val="00E4143A"/>
    <w:rsid w:val="00E421AB"/>
    <w:rsid w:val="00E424C8"/>
    <w:rsid w:val="00E4251D"/>
    <w:rsid w:val="00E42BF5"/>
    <w:rsid w:val="00E43D00"/>
    <w:rsid w:val="00E445E4"/>
    <w:rsid w:val="00E44CCC"/>
    <w:rsid w:val="00E4577B"/>
    <w:rsid w:val="00E457CB"/>
    <w:rsid w:val="00E45D47"/>
    <w:rsid w:val="00E45DE4"/>
    <w:rsid w:val="00E45E63"/>
    <w:rsid w:val="00E46498"/>
    <w:rsid w:val="00E4738B"/>
    <w:rsid w:val="00E477E1"/>
    <w:rsid w:val="00E50A7B"/>
    <w:rsid w:val="00E50AF1"/>
    <w:rsid w:val="00E50B0B"/>
    <w:rsid w:val="00E510FE"/>
    <w:rsid w:val="00E51632"/>
    <w:rsid w:val="00E51E25"/>
    <w:rsid w:val="00E5205B"/>
    <w:rsid w:val="00E521AE"/>
    <w:rsid w:val="00E52B1E"/>
    <w:rsid w:val="00E53BCA"/>
    <w:rsid w:val="00E53F02"/>
    <w:rsid w:val="00E54534"/>
    <w:rsid w:val="00E54574"/>
    <w:rsid w:val="00E548C3"/>
    <w:rsid w:val="00E54F27"/>
    <w:rsid w:val="00E55FF1"/>
    <w:rsid w:val="00E56090"/>
    <w:rsid w:val="00E565B9"/>
    <w:rsid w:val="00E56B1B"/>
    <w:rsid w:val="00E5733B"/>
    <w:rsid w:val="00E5756C"/>
    <w:rsid w:val="00E601BE"/>
    <w:rsid w:val="00E60B5F"/>
    <w:rsid w:val="00E613AE"/>
    <w:rsid w:val="00E61429"/>
    <w:rsid w:val="00E61547"/>
    <w:rsid w:val="00E61ABB"/>
    <w:rsid w:val="00E61FD7"/>
    <w:rsid w:val="00E62238"/>
    <w:rsid w:val="00E623E6"/>
    <w:rsid w:val="00E630C0"/>
    <w:rsid w:val="00E63107"/>
    <w:rsid w:val="00E634E6"/>
    <w:rsid w:val="00E63DCE"/>
    <w:rsid w:val="00E64700"/>
    <w:rsid w:val="00E65074"/>
    <w:rsid w:val="00E65327"/>
    <w:rsid w:val="00E65E70"/>
    <w:rsid w:val="00E66087"/>
    <w:rsid w:val="00E66D79"/>
    <w:rsid w:val="00E66DF9"/>
    <w:rsid w:val="00E66FF9"/>
    <w:rsid w:val="00E67856"/>
    <w:rsid w:val="00E679C8"/>
    <w:rsid w:val="00E70314"/>
    <w:rsid w:val="00E70850"/>
    <w:rsid w:val="00E70E47"/>
    <w:rsid w:val="00E724E7"/>
    <w:rsid w:val="00E72B41"/>
    <w:rsid w:val="00E7347B"/>
    <w:rsid w:val="00E73B02"/>
    <w:rsid w:val="00E73D03"/>
    <w:rsid w:val="00E7471C"/>
    <w:rsid w:val="00E7498A"/>
    <w:rsid w:val="00E7514E"/>
    <w:rsid w:val="00E75B34"/>
    <w:rsid w:val="00E77AF5"/>
    <w:rsid w:val="00E77D23"/>
    <w:rsid w:val="00E8029A"/>
    <w:rsid w:val="00E823F9"/>
    <w:rsid w:val="00E82C1F"/>
    <w:rsid w:val="00E83671"/>
    <w:rsid w:val="00E84A71"/>
    <w:rsid w:val="00E84D13"/>
    <w:rsid w:val="00E86556"/>
    <w:rsid w:val="00E86798"/>
    <w:rsid w:val="00E86D35"/>
    <w:rsid w:val="00E86DC2"/>
    <w:rsid w:val="00E86E32"/>
    <w:rsid w:val="00E8732E"/>
    <w:rsid w:val="00E9011F"/>
    <w:rsid w:val="00E906EB"/>
    <w:rsid w:val="00E90EB6"/>
    <w:rsid w:val="00E9160D"/>
    <w:rsid w:val="00E9241E"/>
    <w:rsid w:val="00E92460"/>
    <w:rsid w:val="00E92E62"/>
    <w:rsid w:val="00E93804"/>
    <w:rsid w:val="00E93A86"/>
    <w:rsid w:val="00E94DA5"/>
    <w:rsid w:val="00E95434"/>
    <w:rsid w:val="00E96467"/>
    <w:rsid w:val="00E966DA"/>
    <w:rsid w:val="00E96948"/>
    <w:rsid w:val="00E9737B"/>
    <w:rsid w:val="00E975E4"/>
    <w:rsid w:val="00E97A3F"/>
    <w:rsid w:val="00E97F0A"/>
    <w:rsid w:val="00EA0100"/>
    <w:rsid w:val="00EA04DC"/>
    <w:rsid w:val="00EA0886"/>
    <w:rsid w:val="00EA0BCE"/>
    <w:rsid w:val="00EA16E1"/>
    <w:rsid w:val="00EA2726"/>
    <w:rsid w:val="00EA2744"/>
    <w:rsid w:val="00EA37B9"/>
    <w:rsid w:val="00EA39F7"/>
    <w:rsid w:val="00EA3B27"/>
    <w:rsid w:val="00EA3DC2"/>
    <w:rsid w:val="00EA434E"/>
    <w:rsid w:val="00EA4757"/>
    <w:rsid w:val="00EA53D3"/>
    <w:rsid w:val="00EA560B"/>
    <w:rsid w:val="00EA5669"/>
    <w:rsid w:val="00EA5C05"/>
    <w:rsid w:val="00EA63EF"/>
    <w:rsid w:val="00EA6750"/>
    <w:rsid w:val="00EB0A89"/>
    <w:rsid w:val="00EB1573"/>
    <w:rsid w:val="00EB1650"/>
    <w:rsid w:val="00EB1910"/>
    <w:rsid w:val="00EB1D24"/>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AB1"/>
    <w:rsid w:val="00EC1CE7"/>
    <w:rsid w:val="00EC26F1"/>
    <w:rsid w:val="00EC36B1"/>
    <w:rsid w:val="00EC3C94"/>
    <w:rsid w:val="00EC44DF"/>
    <w:rsid w:val="00EC4AB1"/>
    <w:rsid w:val="00EC4FB9"/>
    <w:rsid w:val="00EC5393"/>
    <w:rsid w:val="00EC54D2"/>
    <w:rsid w:val="00EC5741"/>
    <w:rsid w:val="00EC5ACE"/>
    <w:rsid w:val="00EC5DA3"/>
    <w:rsid w:val="00EC6014"/>
    <w:rsid w:val="00EC6398"/>
    <w:rsid w:val="00EC6B3E"/>
    <w:rsid w:val="00EC73DE"/>
    <w:rsid w:val="00EC7637"/>
    <w:rsid w:val="00EC7CF2"/>
    <w:rsid w:val="00ED046B"/>
    <w:rsid w:val="00ED046C"/>
    <w:rsid w:val="00ED053A"/>
    <w:rsid w:val="00ED1F03"/>
    <w:rsid w:val="00ED2D27"/>
    <w:rsid w:val="00ED3347"/>
    <w:rsid w:val="00ED3954"/>
    <w:rsid w:val="00ED43A2"/>
    <w:rsid w:val="00ED4967"/>
    <w:rsid w:val="00ED4EC8"/>
    <w:rsid w:val="00ED5140"/>
    <w:rsid w:val="00ED538C"/>
    <w:rsid w:val="00ED5771"/>
    <w:rsid w:val="00ED587F"/>
    <w:rsid w:val="00ED5964"/>
    <w:rsid w:val="00ED623F"/>
    <w:rsid w:val="00ED69BA"/>
    <w:rsid w:val="00ED72E9"/>
    <w:rsid w:val="00ED732E"/>
    <w:rsid w:val="00ED77F0"/>
    <w:rsid w:val="00ED7FBC"/>
    <w:rsid w:val="00EE0253"/>
    <w:rsid w:val="00EE0297"/>
    <w:rsid w:val="00EE08D6"/>
    <w:rsid w:val="00EE1258"/>
    <w:rsid w:val="00EE13DA"/>
    <w:rsid w:val="00EE162F"/>
    <w:rsid w:val="00EE1668"/>
    <w:rsid w:val="00EE366D"/>
    <w:rsid w:val="00EE46A2"/>
    <w:rsid w:val="00EE4BEE"/>
    <w:rsid w:val="00EE5057"/>
    <w:rsid w:val="00EE5454"/>
    <w:rsid w:val="00EE58B8"/>
    <w:rsid w:val="00EE59B5"/>
    <w:rsid w:val="00EE5D1D"/>
    <w:rsid w:val="00EE5FB7"/>
    <w:rsid w:val="00EE65BE"/>
    <w:rsid w:val="00EE6A1A"/>
    <w:rsid w:val="00EE6E4B"/>
    <w:rsid w:val="00EE7B54"/>
    <w:rsid w:val="00EE7C88"/>
    <w:rsid w:val="00EE7C8B"/>
    <w:rsid w:val="00EF0209"/>
    <w:rsid w:val="00EF0EA4"/>
    <w:rsid w:val="00EF1E97"/>
    <w:rsid w:val="00EF2436"/>
    <w:rsid w:val="00EF2547"/>
    <w:rsid w:val="00EF2B2B"/>
    <w:rsid w:val="00EF2E1C"/>
    <w:rsid w:val="00EF2FD6"/>
    <w:rsid w:val="00EF326A"/>
    <w:rsid w:val="00EF3627"/>
    <w:rsid w:val="00EF427A"/>
    <w:rsid w:val="00EF45DF"/>
    <w:rsid w:val="00EF4952"/>
    <w:rsid w:val="00EF498F"/>
    <w:rsid w:val="00EF4A42"/>
    <w:rsid w:val="00EF510C"/>
    <w:rsid w:val="00EF52F1"/>
    <w:rsid w:val="00EF55C4"/>
    <w:rsid w:val="00EF57BC"/>
    <w:rsid w:val="00EF6784"/>
    <w:rsid w:val="00EF688A"/>
    <w:rsid w:val="00EF6A03"/>
    <w:rsid w:val="00EF6DC2"/>
    <w:rsid w:val="00EF7BF4"/>
    <w:rsid w:val="00F0030F"/>
    <w:rsid w:val="00F00674"/>
    <w:rsid w:val="00F01657"/>
    <w:rsid w:val="00F01E67"/>
    <w:rsid w:val="00F02744"/>
    <w:rsid w:val="00F02BFD"/>
    <w:rsid w:val="00F02D25"/>
    <w:rsid w:val="00F02F45"/>
    <w:rsid w:val="00F04269"/>
    <w:rsid w:val="00F0435D"/>
    <w:rsid w:val="00F04580"/>
    <w:rsid w:val="00F04ECA"/>
    <w:rsid w:val="00F05BFB"/>
    <w:rsid w:val="00F06E19"/>
    <w:rsid w:val="00F06F84"/>
    <w:rsid w:val="00F076E7"/>
    <w:rsid w:val="00F07AA1"/>
    <w:rsid w:val="00F105AE"/>
    <w:rsid w:val="00F10618"/>
    <w:rsid w:val="00F10886"/>
    <w:rsid w:val="00F1108B"/>
    <w:rsid w:val="00F11768"/>
    <w:rsid w:val="00F11951"/>
    <w:rsid w:val="00F12262"/>
    <w:rsid w:val="00F12AF8"/>
    <w:rsid w:val="00F12C52"/>
    <w:rsid w:val="00F12D59"/>
    <w:rsid w:val="00F1325D"/>
    <w:rsid w:val="00F148B7"/>
    <w:rsid w:val="00F14EA9"/>
    <w:rsid w:val="00F14F7B"/>
    <w:rsid w:val="00F15505"/>
    <w:rsid w:val="00F1598D"/>
    <w:rsid w:val="00F15BFF"/>
    <w:rsid w:val="00F16A7B"/>
    <w:rsid w:val="00F213A0"/>
    <w:rsid w:val="00F21A51"/>
    <w:rsid w:val="00F21D54"/>
    <w:rsid w:val="00F21EF4"/>
    <w:rsid w:val="00F2230E"/>
    <w:rsid w:val="00F23113"/>
    <w:rsid w:val="00F23255"/>
    <w:rsid w:val="00F23393"/>
    <w:rsid w:val="00F23759"/>
    <w:rsid w:val="00F23B7F"/>
    <w:rsid w:val="00F23F23"/>
    <w:rsid w:val="00F24644"/>
    <w:rsid w:val="00F24A06"/>
    <w:rsid w:val="00F256FD"/>
    <w:rsid w:val="00F26F33"/>
    <w:rsid w:val="00F26F4F"/>
    <w:rsid w:val="00F300A8"/>
    <w:rsid w:val="00F30400"/>
    <w:rsid w:val="00F3079E"/>
    <w:rsid w:val="00F33980"/>
    <w:rsid w:val="00F3399B"/>
    <w:rsid w:val="00F33C1A"/>
    <w:rsid w:val="00F3461B"/>
    <w:rsid w:val="00F346ED"/>
    <w:rsid w:val="00F34945"/>
    <w:rsid w:val="00F34E1E"/>
    <w:rsid w:val="00F3570C"/>
    <w:rsid w:val="00F368FF"/>
    <w:rsid w:val="00F37068"/>
    <w:rsid w:val="00F37F3F"/>
    <w:rsid w:val="00F40992"/>
    <w:rsid w:val="00F412DF"/>
    <w:rsid w:val="00F41596"/>
    <w:rsid w:val="00F41D8B"/>
    <w:rsid w:val="00F42121"/>
    <w:rsid w:val="00F42155"/>
    <w:rsid w:val="00F42284"/>
    <w:rsid w:val="00F424B3"/>
    <w:rsid w:val="00F428B1"/>
    <w:rsid w:val="00F428B4"/>
    <w:rsid w:val="00F4345D"/>
    <w:rsid w:val="00F4387B"/>
    <w:rsid w:val="00F446CF"/>
    <w:rsid w:val="00F4518D"/>
    <w:rsid w:val="00F45B91"/>
    <w:rsid w:val="00F46639"/>
    <w:rsid w:val="00F46692"/>
    <w:rsid w:val="00F47AAA"/>
    <w:rsid w:val="00F50183"/>
    <w:rsid w:val="00F50D92"/>
    <w:rsid w:val="00F51022"/>
    <w:rsid w:val="00F51765"/>
    <w:rsid w:val="00F51A51"/>
    <w:rsid w:val="00F51CB4"/>
    <w:rsid w:val="00F51ED2"/>
    <w:rsid w:val="00F52324"/>
    <w:rsid w:val="00F52950"/>
    <w:rsid w:val="00F52C9D"/>
    <w:rsid w:val="00F533F1"/>
    <w:rsid w:val="00F55679"/>
    <w:rsid w:val="00F561E3"/>
    <w:rsid w:val="00F565E6"/>
    <w:rsid w:val="00F567E4"/>
    <w:rsid w:val="00F56AFA"/>
    <w:rsid w:val="00F575E2"/>
    <w:rsid w:val="00F57624"/>
    <w:rsid w:val="00F579FF"/>
    <w:rsid w:val="00F600E0"/>
    <w:rsid w:val="00F600FD"/>
    <w:rsid w:val="00F60510"/>
    <w:rsid w:val="00F605EC"/>
    <w:rsid w:val="00F6091B"/>
    <w:rsid w:val="00F60CFA"/>
    <w:rsid w:val="00F60F60"/>
    <w:rsid w:val="00F612CE"/>
    <w:rsid w:val="00F624A7"/>
    <w:rsid w:val="00F62AB6"/>
    <w:rsid w:val="00F62E0E"/>
    <w:rsid w:val="00F63107"/>
    <w:rsid w:val="00F652AF"/>
    <w:rsid w:val="00F653F0"/>
    <w:rsid w:val="00F65A3C"/>
    <w:rsid w:val="00F66282"/>
    <w:rsid w:val="00F665BE"/>
    <w:rsid w:val="00F665DE"/>
    <w:rsid w:val="00F6695A"/>
    <w:rsid w:val="00F67D8B"/>
    <w:rsid w:val="00F70920"/>
    <w:rsid w:val="00F70961"/>
    <w:rsid w:val="00F70A8F"/>
    <w:rsid w:val="00F70E70"/>
    <w:rsid w:val="00F71397"/>
    <w:rsid w:val="00F7169B"/>
    <w:rsid w:val="00F72389"/>
    <w:rsid w:val="00F72516"/>
    <w:rsid w:val="00F72586"/>
    <w:rsid w:val="00F72FB4"/>
    <w:rsid w:val="00F7300A"/>
    <w:rsid w:val="00F735E5"/>
    <w:rsid w:val="00F73D49"/>
    <w:rsid w:val="00F73E80"/>
    <w:rsid w:val="00F7469C"/>
    <w:rsid w:val="00F7492E"/>
    <w:rsid w:val="00F74945"/>
    <w:rsid w:val="00F749A3"/>
    <w:rsid w:val="00F74A04"/>
    <w:rsid w:val="00F74AE8"/>
    <w:rsid w:val="00F757A8"/>
    <w:rsid w:val="00F76C11"/>
    <w:rsid w:val="00F77021"/>
    <w:rsid w:val="00F77E61"/>
    <w:rsid w:val="00F80862"/>
    <w:rsid w:val="00F80DAD"/>
    <w:rsid w:val="00F815AC"/>
    <w:rsid w:val="00F82443"/>
    <w:rsid w:val="00F82775"/>
    <w:rsid w:val="00F82791"/>
    <w:rsid w:val="00F835CC"/>
    <w:rsid w:val="00F83B33"/>
    <w:rsid w:val="00F83CAE"/>
    <w:rsid w:val="00F840BF"/>
    <w:rsid w:val="00F8415D"/>
    <w:rsid w:val="00F8427A"/>
    <w:rsid w:val="00F843DF"/>
    <w:rsid w:val="00F84899"/>
    <w:rsid w:val="00F85585"/>
    <w:rsid w:val="00F859F0"/>
    <w:rsid w:val="00F85CC1"/>
    <w:rsid w:val="00F86B5D"/>
    <w:rsid w:val="00F87062"/>
    <w:rsid w:val="00F87464"/>
    <w:rsid w:val="00F87634"/>
    <w:rsid w:val="00F87C13"/>
    <w:rsid w:val="00F87C5A"/>
    <w:rsid w:val="00F87E29"/>
    <w:rsid w:val="00F87F18"/>
    <w:rsid w:val="00F87F68"/>
    <w:rsid w:val="00F9047F"/>
    <w:rsid w:val="00F90A0D"/>
    <w:rsid w:val="00F90C4D"/>
    <w:rsid w:val="00F9167D"/>
    <w:rsid w:val="00F91CB2"/>
    <w:rsid w:val="00F9289C"/>
    <w:rsid w:val="00F92AC2"/>
    <w:rsid w:val="00F933A1"/>
    <w:rsid w:val="00F93924"/>
    <w:rsid w:val="00F93DBC"/>
    <w:rsid w:val="00F93E41"/>
    <w:rsid w:val="00F9413E"/>
    <w:rsid w:val="00F94644"/>
    <w:rsid w:val="00F9537B"/>
    <w:rsid w:val="00F963FC"/>
    <w:rsid w:val="00FA015F"/>
    <w:rsid w:val="00FA0FAC"/>
    <w:rsid w:val="00FA1DA2"/>
    <w:rsid w:val="00FA20BF"/>
    <w:rsid w:val="00FA2420"/>
    <w:rsid w:val="00FA3414"/>
    <w:rsid w:val="00FA347A"/>
    <w:rsid w:val="00FA3CDE"/>
    <w:rsid w:val="00FA49B7"/>
    <w:rsid w:val="00FA4F7A"/>
    <w:rsid w:val="00FA5043"/>
    <w:rsid w:val="00FA5280"/>
    <w:rsid w:val="00FA6F8B"/>
    <w:rsid w:val="00FA7A30"/>
    <w:rsid w:val="00FB033F"/>
    <w:rsid w:val="00FB12E3"/>
    <w:rsid w:val="00FB1570"/>
    <w:rsid w:val="00FB193B"/>
    <w:rsid w:val="00FB1FBC"/>
    <w:rsid w:val="00FB27B7"/>
    <w:rsid w:val="00FB3483"/>
    <w:rsid w:val="00FB35E3"/>
    <w:rsid w:val="00FB3D96"/>
    <w:rsid w:val="00FB583C"/>
    <w:rsid w:val="00FB6176"/>
    <w:rsid w:val="00FB62CE"/>
    <w:rsid w:val="00FB630E"/>
    <w:rsid w:val="00FB6738"/>
    <w:rsid w:val="00FB691B"/>
    <w:rsid w:val="00FB6949"/>
    <w:rsid w:val="00FB69D3"/>
    <w:rsid w:val="00FB731C"/>
    <w:rsid w:val="00FC05A0"/>
    <w:rsid w:val="00FC0811"/>
    <w:rsid w:val="00FC0EB6"/>
    <w:rsid w:val="00FC1196"/>
    <w:rsid w:val="00FC15EB"/>
    <w:rsid w:val="00FC18DC"/>
    <w:rsid w:val="00FC19C1"/>
    <w:rsid w:val="00FC2AC4"/>
    <w:rsid w:val="00FC2F73"/>
    <w:rsid w:val="00FC3A9B"/>
    <w:rsid w:val="00FC3AE1"/>
    <w:rsid w:val="00FC3DFC"/>
    <w:rsid w:val="00FC3EF4"/>
    <w:rsid w:val="00FC431B"/>
    <w:rsid w:val="00FC434C"/>
    <w:rsid w:val="00FC4FDF"/>
    <w:rsid w:val="00FC57B3"/>
    <w:rsid w:val="00FC5CF4"/>
    <w:rsid w:val="00FC6A39"/>
    <w:rsid w:val="00FC79AB"/>
    <w:rsid w:val="00FC7BE7"/>
    <w:rsid w:val="00FC7DAC"/>
    <w:rsid w:val="00FC7F1B"/>
    <w:rsid w:val="00FD0094"/>
    <w:rsid w:val="00FD04AE"/>
    <w:rsid w:val="00FD1890"/>
    <w:rsid w:val="00FD1994"/>
    <w:rsid w:val="00FD2CA6"/>
    <w:rsid w:val="00FD3508"/>
    <w:rsid w:val="00FD393C"/>
    <w:rsid w:val="00FD43BB"/>
    <w:rsid w:val="00FD4AF3"/>
    <w:rsid w:val="00FD5285"/>
    <w:rsid w:val="00FD798D"/>
    <w:rsid w:val="00FD7FB9"/>
    <w:rsid w:val="00FE0AC2"/>
    <w:rsid w:val="00FE141E"/>
    <w:rsid w:val="00FE144E"/>
    <w:rsid w:val="00FE1768"/>
    <w:rsid w:val="00FE24F4"/>
    <w:rsid w:val="00FE2560"/>
    <w:rsid w:val="00FE35D0"/>
    <w:rsid w:val="00FE3BAD"/>
    <w:rsid w:val="00FE41AC"/>
    <w:rsid w:val="00FE42ED"/>
    <w:rsid w:val="00FE55A7"/>
    <w:rsid w:val="00FE55E6"/>
    <w:rsid w:val="00FE56D5"/>
    <w:rsid w:val="00FE5C5A"/>
    <w:rsid w:val="00FE6432"/>
    <w:rsid w:val="00FE714F"/>
    <w:rsid w:val="00FE72A0"/>
    <w:rsid w:val="00FF0050"/>
    <w:rsid w:val="00FF045F"/>
    <w:rsid w:val="00FF0B76"/>
    <w:rsid w:val="00FF13D4"/>
    <w:rsid w:val="00FF2053"/>
    <w:rsid w:val="00FF22CB"/>
    <w:rsid w:val="00FF3382"/>
    <w:rsid w:val="00FF3B37"/>
    <w:rsid w:val="00FF3D6F"/>
    <w:rsid w:val="00FF4BD8"/>
    <w:rsid w:val="00FF4D11"/>
    <w:rsid w:val="00FF5214"/>
    <w:rsid w:val="00FF5877"/>
    <w:rsid w:val="00FF596E"/>
    <w:rsid w:val="00FF5B59"/>
    <w:rsid w:val="00FF5BFD"/>
    <w:rsid w:val="00FF6095"/>
    <w:rsid w:val="00FF62FE"/>
    <w:rsid w:val="00FF655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1B9"/>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character" w:styleId="Mencinsinresolver">
    <w:name w:val="Unresolved Mention"/>
    <w:basedOn w:val="Fuentedeprrafopredeter"/>
    <w:uiPriority w:val="99"/>
    <w:semiHidden/>
    <w:unhideWhenUsed/>
    <w:rsid w:val="004A4241"/>
    <w:rPr>
      <w:color w:val="605E5C"/>
      <w:shd w:val="clear" w:color="auto" w:fill="E1DFDD"/>
    </w:rPr>
  </w:style>
  <w:style w:type="paragraph" w:styleId="Revisin">
    <w:name w:val="Revision"/>
    <w:hidden/>
    <w:uiPriority w:val="99"/>
    <w:semiHidden/>
    <w:rsid w:val="009C6460"/>
    <w:pPr>
      <w:spacing w:after="0" w:line="240" w:lineRule="auto"/>
    </w:pPr>
    <w:rPr>
      <w:rFonts w:ascii="Times New Roman" w:eastAsia="Times New Roman" w:hAnsi="Times New Roman" w:cs="Times New Roman"/>
      <w:sz w:val="24"/>
      <w:szCs w:val="24"/>
      <w:lang w:eastAsia="es-ES_tradnl"/>
    </w:rPr>
  </w:style>
  <w:style w:type="character" w:customStyle="1" w:styleId="baj">
    <w:name w:val="b_aj"/>
    <w:basedOn w:val="Fuentedeprrafopredeter"/>
    <w:rsid w:val="00F24A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0425987">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3178462">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7858150">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4548202">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27427429">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097834">
      <w:bodyDiv w:val="1"/>
      <w:marLeft w:val="0"/>
      <w:marRight w:val="0"/>
      <w:marTop w:val="0"/>
      <w:marBottom w:val="0"/>
      <w:divBdr>
        <w:top w:val="none" w:sz="0" w:space="0" w:color="auto"/>
        <w:left w:val="none" w:sz="0" w:space="0" w:color="auto"/>
        <w:bottom w:val="none" w:sz="0" w:space="0" w:color="auto"/>
        <w:right w:val="none" w:sz="0" w:space="0" w:color="auto"/>
      </w:divBdr>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39123167">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645136">
      <w:bodyDiv w:val="1"/>
      <w:marLeft w:val="0"/>
      <w:marRight w:val="0"/>
      <w:marTop w:val="0"/>
      <w:marBottom w:val="0"/>
      <w:divBdr>
        <w:top w:val="none" w:sz="0" w:space="0" w:color="auto"/>
        <w:left w:val="none" w:sz="0" w:space="0" w:color="auto"/>
        <w:bottom w:val="none" w:sz="0" w:space="0" w:color="auto"/>
        <w:right w:val="none" w:sz="0" w:space="0" w:color="auto"/>
      </w:divBdr>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0745468">
      <w:bodyDiv w:val="1"/>
      <w:marLeft w:val="0"/>
      <w:marRight w:val="0"/>
      <w:marTop w:val="0"/>
      <w:marBottom w:val="0"/>
      <w:divBdr>
        <w:top w:val="none" w:sz="0" w:space="0" w:color="auto"/>
        <w:left w:val="none" w:sz="0" w:space="0" w:color="auto"/>
        <w:bottom w:val="none" w:sz="0" w:space="0" w:color="auto"/>
        <w:right w:val="none" w:sz="0" w:space="0" w:color="auto"/>
      </w:divBdr>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6591500">
      <w:bodyDiv w:val="1"/>
      <w:marLeft w:val="0"/>
      <w:marRight w:val="0"/>
      <w:marTop w:val="0"/>
      <w:marBottom w:val="0"/>
      <w:divBdr>
        <w:top w:val="none" w:sz="0" w:space="0" w:color="auto"/>
        <w:left w:val="none" w:sz="0" w:space="0" w:color="auto"/>
        <w:bottom w:val="none" w:sz="0" w:space="0" w:color="auto"/>
        <w:right w:val="none" w:sz="0" w:space="0" w:color="auto"/>
      </w:divBdr>
      <w:divsChild>
        <w:div w:id="1272784276">
          <w:marLeft w:val="0"/>
          <w:marRight w:val="0"/>
          <w:marTop w:val="0"/>
          <w:marBottom w:val="0"/>
          <w:divBdr>
            <w:top w:val="none" w:sz="0" w:space="0" w:color="auto"/>
            <w:left w:val="none" w:sz="0" w:space="0" w:color="auto"/>
            <w:bottom w:val="none" w:sz="0" w:space="0" w:color="auto"/>
            <w:right w:val="none" w:sz="0" w:space="0" w:color="auto"/>
          </w:divBdr>
          <w:divsChild>
            <w:div w:id="1151945959">
              <w:marLeft w:val="0"/>
              <w:marRight w:val="0"/>
              <w:marTop w:val="0"/>
              <w:marBottom w:val="0"/>
              <w:divBdr>
                <w:top w:val="none" w:sz="0" w:space="0" w:color="auto"/>
                <w:left w:val="none" w:sz="0" w:space="0" w:color="auto"/>
                <w:bottom w:val="none" w:sz="0" w:space="0" w:color="auto"/>
                <w:right w:val="none" w:sz="0" w:space="0" w:color="auto"/>
              </w:divBdr>
              <w:divsChild>
                <w:div w:id="171692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73923135">
      <w:bodyDiv w:val="1"/>
      <w:marLeft w:val="0"/>
      <w:marRight w:val="0"/>
      <w:marTop w:val="0"/>
      <w:marBottom w:val="0"/>
      <w:divBdr>
        <w:top w:val="none" w:sz="0" w:space="0" w:color="auto"/>
        <w:left w:val="none" w:sz="0" w:space="0" w:color="auto"/>
        <w:bottom w:val="none" w:sz="0" w:space="0" w:color="auto"/>
        <w:right w:val="none" w:sz="0" w:space="0" w:color="auto"/>
      </w:divBdr>
    </w:div>
    <w:div w:id="677346864">
      <w:bodyDiv w:val="1"/>
      <w:marLeft w:val="0"/>
      <w:marRight w:val="0"/>
      <w:marTop w:val="0"/>
      <w:marBottom w:val="0"/>
      <w:divBdr>
        <w:top w:val="none" w:sz="0" w:space="0" w:color="auto"/>
        <w:left w:val="none" w:sz="0" w:space="0" w:color="auto"/>
        <w:bottom w:val="none" w:sz="0" w:space="0" w:color="auto"/>
        <w:right w:val="none" w:sz="0" w:space="0" w:color="auto"/>
      </w:divBdr>
    </w:div>
    <w:div w:id="68448425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2821321">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4621428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07169653">
      <w:bodyDiv w:val="1"/>
      <w:marLeft w:val="0"/>
      <w:marRight w:val="0"/>
      <w:marTop w:val="0"/>
      <w:marBottom w:val="0"/>
      <w:divBdr>
        <w:top w:val="none" w:sz="0" w:space="0" w:color="auto"/>
        <w:left w:val="none" w:sz="0" w:space="0" w:color="auto"/>
        <w:bottom w:val="none" w:sz="0" w:space="0" w:color="auto"/>
        <w:right w:val="none" w:sz="0" w:space="0" w:color="auto"/>
      </w:divBdr>
    </w:div>
    <w:div w:id="1016930835">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33922021">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7270463">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6872358">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18054503">
      <w:bodyDiv w:val="1"/>
      <w:marLeft w:val="0"/>
      <w:marRight w:val="0"/>
      <w:marTop w:val="0"/>
      <w:marBottom w:val="0"/>
      <w:divBdr>
        <w:top w:val="none" w:sz="0" w:space="0" w:color="auto"/>
        <w:left w:val="none" w:sz="0" w:space="0" w:color="auto"/>
        <w:bottom w:val="none" w:sz="0" w:space="0" w:color="auto"/>
        <w:right w:val="none" w:sz="0" w:space="0" w:color="auto"/>
      </w:divBdr>
      <w:divsChild>
        <w:div w:id="228150166">
          <w:marLeft w:val="0"/>
          <w:marRight w:val="0"/>
          <w:marTop w:val="0"/>
          <w:marBottom w:val="0"/>
          <w:divBdr>
            <w:top w:val="none" w:sz="0" w:space="0" w:color="auto"/>
            <w:left w:val="none" w:sz="0" w:space="0" w:color="auto"/>
            <w:bottom w:val="none" w:sz="0" w:space="0" w:color="auto"/>
            <w:right w:val="none" w:sz="0" w:space="0" w:color="auto"/>
          </w:divBdr>
          <w:divsChild>
            <w:div w:id="243491994">
              <w:marLeft w:val="0"/>
              <w:marRight w:val="0"/>
              <w:marTop w:val="0"/>
              <w:marBottom w:val="0"/>
              <w:divBdr>
                <w:top w:val="none" w:sz="0" w:space="0" w:color="auto"/>
                <w:left w:val="none" w:sz="0" w:space="0" w:color="auto"/>
                <w:bottom w:val="none" w:sz="0" w:space="0" w:color="auto"/>
                <w:right w:val="none" w:sz="0" w:space="0" w:color="auto"/>
              </w:divBdr>
              <w:divsChild>
                <w:div w:id="131132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1501415">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982290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660228">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203018">
      <w:bodyDiv w:val="1"/>
      <w:marLeft w:val="0"/>
      <w:marRight w:val="0"/>
      <w:marTop w:val="0"/>
      <w:marBottom w:val="0"/>
      <w:divBdr>
        <w:top w:val="none" w:sz="0" w:space="0" w:color="auto"/>
        <w:left w:val="none" w:sz="0" w:space="0" w:color="auto"/>
        <w:bottom w:val="none" w:sz="0" w:space="0" w:color="auto"/>
        <w:right w:val="none" w:sz="0" w:space="0" w:color="auto"/>
      </w:divBdr>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5971814">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8040994">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7587808">
      <w:bodyDiv w:val="1"/>
      <w:marLeft w:val="0"/>
      <w:marRight w:val="0"/>
      <w:marTop w:val="0"/>
      <w:marBottom w:val="0"/>
      <w:divBdr>
        <w:top w:val="none" w:sz="0" w:space="0" w:color="auto"/>
        <w:left w:val="none" w:sz="0" w:space="0" w:color="auto"/>
        <w:bottom w:val="none" w:sz="0" w:space="0" w:color="auto"/>
        <w:right w:val="none" w:sz="0" w:space="0" w:color="auto"/>
      </w:divBdr>
      <w:divsChild>
        <w:div w:id="1949269711">
          <w:marLeft w:val="0"/>
          <w:marRight w:val="0"/>
          <w:marTop w:val="0"/>
          <w:marBottom w:val="0"/>
          <w:divBdr>
            <w:top w:val="none" w:sz="0" w:space="0" w:color="auto"/>
            <w:left w:val="none" w:sz="0" w:space="0" w:color="auto"/>
            <w:bottom w:val="none" w:sz="0" w:space="0" w:color="auto"/>
            <w:right w:val="none" w:sz="0" w:space="0" w:color="auto"/>
          </w:divBdr>
          <w:divsChild>
            <w:div w:id="346643625">
              <w:marLeft w:val="0"/>
              <w:marRight w:val="0"/>
              <w:marTop w:val="0"/>
              <w:marBottom w:val="0"/>
              <w:divBdr>
                <w:top w:val="none" w:sz="0" w:space="0" w:color="auto"/>
                <w:left w:val="none" w:sz="0" w:space="0" w:color="auto"/>
                <w:bottom w:val="none" w:sz="0" w:space="0" w:color="auto"/>
                <w:right w:val="none" w:sz="0" w:space="0" w:color="auto"/>
              </w:divBdr>
              <w:divsChild>
                <w:div w:id="178240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11738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260254">
      <w:bodyDiv w:val="1"/>
      <w:marLeft w:val="0"/>
      <w:marRight w:val="0"/>
      <w:marTop w:val="0"/>
      <w:marBottom w:val="0"/>
      <w:divBdr>
        <w:top w:val="none" w:sz="0" w:space="0" w:color="auto"/>
        <w:left w:val="none" w:sz="0" w:space="0" w:color="auto"/>
        <w:bottom w:val="none" w:sz="0" w:space="0" w:color="auto"/>
        <w:right w:val="none" w:sz="0" w:space="0" w:color="auto"/>
      </w:divBdr>
      <w:divsChild>
        <w:div w:id="50472422">
          <w:marLeft w:val="0"/>
          <w:marRight w:val="0"/>
          <w:marTop w:val="0"/>
          <w:marBottom w:val="0"/>
          <w:divBdr>
            <w:top w:val="none" w:sz="0" w:space="0" w:color="auto"/>
            <w:left w:val="none" w:sz="0" w:space="0" w:color="auto"/>
            <w:bottom w:val="none" w:sz="0" w:space="0" w:color="auto"/>
            <w:right w:val="none" w:sz="0" w:space="0" w:color="auto"/>
          </w:divBdr>
          <w:divsChild>
            <w:div w:id="1966808268">
              <w:marLeft w:val="0"/>
              <w:marRight w:val="0"/>
              <w:marTop w:val="0"/>
              <w:marBottom w:val="0"/>
              <w:divBdr>
                <w:top w:val="none" w:sz="0" w:space="0" w:color="auto"/>
                <w:left w:val="none" w:sz="0" w:space="0" w:color="auto"/>
                <w:bottom w:val="none" w:sz="0" w:space="0" w:color="auto"/>
                <w:right w:val="none" w:sz="0" w:space="0" w:color="auto"/>
              </w:divBdr>
              <w:divsChild>
                <w:div w:id="1051341884">
                  <w:marLeft w:val="0"/>
                  <w:marRight w:val="0"/>
                  <w:marTop w:val="0"/>
                  <w:marBottom w:val="0"/>
                  <w:divBdr>
                    <w:top w:val="none" w:sz="0" w:space="0" w:color="auto"/>
                    <w:left w:val="none" w:sz="0" w:space="0" w:color="auto"/>
                    <w:bottom w:val="none" w:sz="0" w:space="0" w:color="auto"/>
                    <w:right w:val="none" w:sz="0" w:space="0" w:color="auto"/>
                  </w:divBdr>
                </w:div>
              </w:divsChild>
            </w:div>
            <w:div w:id="2362199">
              <w:marLeft w:val="0"/>
              <w:marRight w:val="0"/>
              <w:marTop w:val="0"/>
              <w:marBottom w:val="0"/>
              <w:divBdr>
                <w:top w:val="none" w:sz="0" w:space="0" w:color="auto"/>
                <w:left w:val="none" w:sz="0" w:space="0" w:color="auto"/>
                <w:bottom w:val="none" w:sz="0" w:space="0" w:color="auto"/>
                <w:right w:val="none" w:sz="0" w:space="0" w:color="auto"/>
              </w:divBdr>
              <w:divsChild>
                <w:div w:id="1621304003">
                  <w:marLeft w:val="0"/>
                  <w:marRight w:val="0"/>
                  <w:marTop w:val="0"/>
                  <w:marBottom w:val="0"/>
                  <w:divBdr>
                    <w:top w:val="none" w:sz="0" w:space="0" w:color="auto"/>
                    <w:left w:val="none" w:sz="0" w:space="0" w:color="auto"/>
                    <w:bottom w:val="none" w:sz="0" w:space="0" w:color="auto"/>
                    <w:right w:val="none" w:sz="0" w:space="0" w:color="auto"/>
                  </w:divBdr>
                </w:div>
                <w:div w:id="722294380">
                  <w:marLeft w:val="0"/>
                  <w:marRight w:val="0"/>
                  <w:marTop w:val="0"/>
                  <w:marBottom w:val="0"/>
                  <w:divBdr>
                    <w:top w:val="none" w:sz="0" w:space="0" w:color="auto"/>
                    <w:left w:val="none" w:sz="0" w:space="0" w:color="auto"/>
                    <w:bottom w:val="none" w:sz="0" w:space="0" w:color="auto"/>
                    <w:right w:val="none" w:sz="0" w:space="0" w:color="auto"/>
                  </w:divBdr>
                </w:div>
              </w:divsChild>
            </w:div>
            <w:div w:id="1406295703">
              <w:marLeft w:val="0"/>
              <w:marRight w:val="0"/>
              <w:marTop w:val="0"/>
              <w:marBottom w:val="0"/>
              <w:divBdr>
                <w:top w:val="none" w:sz="0" w:space="0" w:color="auto"/>
                <w:left w:val="none" w:sz="0" w:space="0" w:color="auto"/>
                <w:bottom w:val="none" w:sz="0" w:space="0" w:color="auto"/>
                <w:right w:val="none" w:sz="0" w:space="0" w:color="auto"/>
              </w:divBdr>
              <w:divsChild>
                <w:div w:id="475074396">
                  <w:marLeft w:val="0"/>
                  <w:marRight w:val="0"/>
                  <w:marTop w:val="0"/>
                  <w:marBottom w:val="0"/>
                  <w:divBdr>
                    <w:top w:val="none" w:sz="0" w:space="0" w:color="auto"/>
                    <w:left w:val="none" w:sz="0" w:space="0" w:color="auto"/>
                    <w:bottom w:val="none" w:sz="0" w:space="0" w:color="auto"/>
                    <w:right w:val="none" w:sz="0" w:space="0" w:color="auto"/>
                  </w:divBdr>
                </w:div>
              </w:divsChild>
            </w:div>
            <w:div w:id="1571160861">
              <w:marLeft w:val="0"/>
              <w:marRight w:val="0"/>
              <w:marTop w:val="0"/>
              <w:marBottom w:val="0"/>
              <w:divBdr>
                <w:top w:val="none" w:sz="0" w:space="0" w:color="auto"/>
                <w:left w:val="none" w:sz="0" w:space="0" w:color="auto"/>
                <w:bottom w:val="none" w:sz="0" w:space="0" w:color="auto"/>
                <w:right w:val="none" w:sz="0" w:space="0" w:color="auto"/>
              </w:divBdr>
              <w:divsChild>
                <w:div w:id="1787385527">
                  <w:marLeft w:val="0"/>
                  <w:marRight w:val="0"/>
                  <w:marTop w:val="0"/>
                  <w:marBottom w:val="0"/>
                  <w:divBdr>
                    <w:top w:val="none" w:sz="0" w:space="0" w:color="auto"/>
                    <w:left w:val="none" w:sz="0" w:space="0" w:color="auto"/>
                    <w:bottom w:val="none" w:sz="0" w:space="0" w:color="auto"/>
                    <w:right w:val="none" w:sz="0" w:space="0" w:color="auto"/>
                  </w:divBdr>
                </w:div>
                <w:div w:id="1018121137">
                  <w:marLeft w:val="0"/>
                  <w:marRight w:val="0"/>
                  <w:marTop w:val="0"/>
                  <w:marBottom w:val="0"/>
                  <w:divBdr>
                    <w:top w:val="none" w:sz="0" w:space="0" w:color="auto"/>
                    <w:left w:val="none" w:sz="0" w:space="0" w:color="auto"/>
                    <w:bottom w:val="none" w:sz="0" w:space="0" w:color="auto"/>
                    <w:right w:val="none" w:sz="0" w:space="0" w:color="auto"/>
                  </w:divBdr>
                </w:div>
              </w:divsChild>
            </w:div>
            <w:div w:id="519004330">
              <w:marLeft w:val="0"/>
              <w:marRight w:val="0"/>
              <w:marTop w:val="0"/>
              <w:marBottom w:val="0"/>
              <w:divBdr>
                <w:top w:val="none" w:sz="0" w:space="0" w:color="auto"/>
                <w:left w:val="none" w:sz="0" w:space="0" w:color="auto"/>
                <w:bottom w:val="none" w:sz="0" w:space="0" w:color="auto"/>
                <w:right w:val="none" w:sz="0" w:space="0" w:color="auto"/>
              </w:divBdr>
              <w:divsChild>
                <w:div w:id="5085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970664">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070358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560749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90132028">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www.contraloria.gov.co/web/relatoria/normatividad-y-relatoria" TargetMode="External"/><Relationship Id="rId2" Type="http://schemas.openxmlformats.org/officeDocument/2006/relationships/hyperlink" Target="https://www.contraloria.gov.co/documents/20181/1776254/CIRCULAR_2020EE0096013_REGISTRO_NACIONAL_OBRAS_INCONCLUSAS.PDF/785952d4-4b41-48cb-916b-4881c3b4a095" TargetMode="External"/><Relationship Id="rId1" Type="http://schemas.openxmlformats.org/officeDocument/2006/relationships/hyperlink" Target="http://svrpubindc.imprenta.gov.co/senado/index.xhtml;jsessionid=b3ba7213a248bacd37376ffcedca" TargetMode="External"/><Relationship Id="rId5" Type="http://schemas.openxmlformats.org/officeDocument/2006/relationships/hyperlink" Target="http://www.secretariasenado.gov.co/senado/basedoc/constitucion_politica_1991_pr006.html" TargetMode="External"/><Relationship Id="rId4" Type="http://schemas.openxmlformats.org/officeDocument/2006/relationships/hyperlink" Target="http://www.secretariasenado.gov.co/senado/basedoc/ley_0489_1998.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FB403457-0D1F-4CEC-BE31-277489902569}">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6D5B8417-2E94-4956-8D78-BA6B8C9BBD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2052</TotalTime>
  <Pages>24</Pages>
  <Words>10021</Words>
  <Characters>55117</Characters>
  <Application>Microsoft Office Word</Application>
  <DocSecurity>0</DocSecurity>
  <Lines>459</Lines>
  <Paragraphs>130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Sebastián Ramírez Grisales</cp:lastModifiedBy>
  <cp:revision>367</cp:revision>
  <cp:lastPrinted>2020-01-30T15:05:00Z</cp:lastPrinted>
  <dcterms:created xsi:type="dcterms:W3CDTF">2022-02-07T16:26:00Z</dcterms:created>
  <dcterms:modified xsi:type="dcterms:W3CDTF">2022-08-10T14:38:00Z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