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4AE0E" w14:textId="77777777" w:rsidR="00CD37E4" w:rsidRDefault="00CD37E4" w:rsidP="00CD37E4">
      <w:pPr>
        <w:tabs>
          <w:tab w:val="left" w:pos="6551"/>
        </w:tabs>
        <w:spacing w:after="0" w:line="240" w:lineRule="auto"/>
        <w:jc w:val="both"/>
        <w:rPr>
          <w:rFonts w:ascii="Verdana" w:eastAsia="Times New Roman" w:hAnsi="Verdana" w:cs="Arial"/>
          <w:b/>
          <w:bCs/>
          <w:color w:val="000000"/>
          <w:sz w:val="20"/>
          <w:szCs w:val="20"/>
          <w:lang w:eastAsia="es-ES_tradnl"/>
        </w:rPr>
      </w:pPr>
      <w:bookmarkStart w:id="0" w:name="_Hlk143780582"/>
      <w:r w:rsidRPr="00CD37E4">
        <w:rPr>
          <w:rFonts w:ascii="Verdana" w:eastAsia="Times New Roman" w:hAnsi="Verdana" w:cs="Arial"/>
          <w:b/>
          <w:bCs/>
          <w:color w:val="000000"/>
          <w:sz w:val="20"/>
          <w:szCs w:val="20"/>
          <w:lang w:eastAsia="es-ES_tradnl"/>
        </w:rPr>
        <w:t xml:space="preserve">DECRETO 1860 DE 2021 – Convocatorias limitadas a MiPymes – Normas reglamentarias – Mínima cuantía </w:t>
      </w:r>
    </w:p>
    <w:p w14:paraId="138B9BCA" w14:textId="77777777" w:rsidR="00CD37E4" w:rsidRDefault="00CD37E4" w:rsidP="00CD37E4">
      <w:pPr>
        <w:tabs>
          <w:tab w:val="left" w:pos="6551"/>
        </w:tabs>
        <w:spacing w:after="0" w:line="240" w:lineRule="auto"/>
        <w:jc w:val="both"/>
        <w:rPr>
          <w:rFonts w:ascii="Verdana" w:eastAsia="Times New Roman" w:hAnsi="Verdana" w:cs="Arial"/>
          <w:b/>
          <w:bCs/>
          <w:color w:val="000000"/>
          <w:sz w:val="20"/>
          <w:szCs w:val="20"/>
          <w:lang w:eastAsia="es-ES_tradnl"/>
        </w:rPr>
      </w:pPr>
    </w:p>
    <w:p w14:paraId="7DD89995" w14:textId="136285A1" w:rsidR="00CD37E4" w:rsidRDefault="00CD37E4" w:rsidP="13935D63">
      <w:pPr>
        <w:tabs>
          <w:tab w:val="left" w:pos="6551"/>
        </w:tabs>
        <w:spacing w:after="0" w:line="240" w:lineRule="auto"/>
        <w:jc w:val="both"/>
        <w:rPr>
          <w:rFonts w:ascii="Verdana" w:eastAsia="Calibri" w:hAnsi="Verdana" w:cs="Arial"/>
          <w:color w:val="000000" w:themeColor="text1"/>
          <w:sz w:val="20"/>
          <w:szCs w:val="20"/>
          <w:lang w:val="es-ES"/>
        </w:rPr>
      </w:pPr>
      <w:r w:rsidRPr="13935D63">
        <w:rPr>
          <w:rFonts w:ascii="Verdana" w:eastAsia="Calibri" w:hAnsi="Verdana" w:cs="Arial"/>
          <w:color w:val="000000" w:themeColor="text1"/>
          <w:sz w:val="20"/>
          <w:szCs w:val="20"/>
          <w:lang w:val="es-ES"/>
        </w:rPr>
        <w:t xml:space="preserve">[...] el Gobierno Nacional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El artículo 8 </w:t>
      </w:r>
      <w:r w:rsidRPr="13935D63">
        <w:rPr>
          <w:rFonts w:ascii="Verdana" w:eastAsia="Calibri" w:hAnsi="Verdana" w:cs="Arial"/>
          <w:i/>
          <w:iCs/>
          <w:color w:val="000000" w:themeColor="text1"/>
          <w:sz w:val="20"/>
          <w:szCs w:val="20"/>
          <w:lang w:val="es-ES"/>
        </w:rPr>
        <w:t>ibidem</w:t>
      </w:r>
      <w:r w:rsidRPr="13935D63">
        <w:rPr>
          <w:rFonts w:ascii="Verdana" w:eastAsia="Calibri" w:hAnsi="Verdana" w:cs="Arial"/>
          <w:color w:val="000000" w:themeColor="text1"/>
          <w:sz w:val="20"/>
          <w:szCs w:val="20"/>
          <w:lang w:val="es-ES"/>
        </w:rPr>
        <w:t xml:space="preserve"> sometió a un plazo la entrada en vigencia de sus disposiciones, al señalar que “aplicarán a los procedimientos de selección cuya invitación, aviso de convocatoria o documento equivalente se publique a los tres (3) meses contados a partir de su expedición”.</w:t>
      </w:r>
    </w:p>
    <w:p w14:paraId="20139686" w14:textId="77777777" w:rsidR="00CD37E4" w:rsidRDefault="00CD37E4" w:rsidP="00CD37E4">
      <w:pPr>
        <w:tabs>
          <w:tab w:val="left" w:pos="6551"/>
        </w:tabs>
        <w:spacing w:after="0" w:line="240" w:lineRule="auto"/>
        <w:jc w:val="both"/>
        <w:rPr>
          <w:rFonts w:ascii="Verdana" w:eastAsia="Calibri" w:hAnsi="Verdana" w:cs="Arial"/>
          <w:bCs/>
          <w:color w:val="000000" w:themeColor="text1"/>
          <w:sz w:val="20"/>
          <w:szCs w:val="20"/>
          <w:lang w:val="es-ES_tradnl"/>
        </w:rPr>
      </w:pPr>
    </w:p>
    <w:p w14:paraId="35C240D2" w14:textId="7D20E2EF" w:rsidR="00CD37E4" w:rsidRPr="00CD37E4" w:rsidRDefault="00CD37E4" w:rsidP="001A2BF6">
      <w:pPr>
        <w:shd w:val="clear" w:color="auto" w:fill="FFFFFF" w:themeFill="background1"/>
        <w:spacing w:after="0" w:line="240" w:lineRule="auto"/>
        <w:jc w:val="both"/>
        <w:textAlignment w:val="baseline"/>
        <w:rPr>
          <w:rFonts w:ascii="Verdana" w:eastAsia="Calibri" w:hAnsi="Verdana" w:cs="Arial"/>
          <w:color w:val="000000" w:themeColor="text1"/>
          <w:sz w:val="20"/>
          <w:szCs w:val="20"/>
          <w:lang w:val="es-ES"/>
        </w:rPr>
      </w:pPr>
      <w:r w:rsidRPr="00CD37E4">
        <w:rPr>
          <w:rFonts w:ascii="Verdana" w:eastAsia="Calibri" w:hAnsi="Verdana" w:cs="Arial"/>
          <w:color w:val="000000" w:themeColor="text1"/>
          <w:sz w:val="20"/>
          <w:szCs w:val="20"/>
          <w:lang w:val="es-ES"/>
        </w:rPr>
        <w:t>Entre los aspectos reglamentados por el mencionado decreto se encuentra el procedimiento de mínima cuantía. Así las cosas,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 Teniendo en cuenta lo anterior, la nueva Subsección 5 contiene los siguientes artículos: i) El artículo 2.2.1.2.1.5.1. que se ocupa de desarrollar el contenido de los estudios previos para la contratación de mínima cuantía</w:t>
      </w:r>
      <w:r w:rsidR="001A2BF6">
        <w:rPr>
          <w:rFonts w:ascii="Verdana" w:eastAsia="Calibri" w:hAnsi="Verdana" w:cs="Arial"/>
          <w:color w:val="000000" w:themeColor="text1"/>
          <w:sz w:val="20"/>
          <w:szCs w:val="20"/>
          <w:lang w:val="es-ES"/>
        </w:rPr>
        <w:t>.</w:t>
      </w:r>
      <w:r w:rsidRPr="00CD37E4">
        <w:rPr>
          <w:rFonts w:ascii="Verdana" w:eastAsia="Calibri" w:hAnsi="Verdana" w:cs="Arial"/>
          <w:color w:val="000000" w:themeColor="text1"/>
          <w:sz w:val="20"/>
          <w:szCs w:val="20"/>
          <w:lang w:val="es-ES"/>
        </w:rPr>
        <w:t xml:space="preserve"> ii) El 2.2.1.2.1.5.2. que contiene el procedimiento general de la mínima cuantía, señalando el contenido mínimo de la “invitación” y las distintas etapas y reglas que estructuran esta modalidad de selección, incluyendo la forma en que procederán las convocatorias limitadas a MiPymes, de acuerdo con el mandato del parágrafo 1 del artículo 30 de la Ley 2069 de 2020. iii) El 2.2.1.2.1.5.3. que regula un procedimiento especial para las adquisiciones en grandes almacenes cuando se trate de mínima cuantía. iv) El artículo 2.2.1.2.1.5.4. el cual establece la posibilidad de que</w:t>
      </w:r>
      <w:r w:rsidRPr="00CD37E4">
        <w:rPr>
          <w:rFonts w:ascii="Century Gothic" w:eastAsia="Calibri" w:hAnsi="Century Gothic" w:cs="Arial"/>
          <w:color w:val="000000" w:themeColor="text1"/>
          <w:sz w:val="20"/>
          <w:szCs w:val="20"/>
          <w:lang w:val="es-ES"/>
        </w:rPr>
        <w:t xml:space="preserve"> </w:t>
      </w:r>
      <w:r w:rsidRPr="00CD37E4">
        <w:rPr>
          <w:rFonts w:ascii="Verdana" w:eastAsia="Calibri" w:hAnsi="Verdana" w:cs="Arial"/>
          <w:color w:val="000000" w:themeColor="text1"/>
          <w:sz w:val="20"/>
          <w:szCs w:val="20"/>
          <w:lang w:val="es-ES"/>
        </w:rPr>
        <w:t>la Agencia Nacional de Contratación Pública – Colombia Compra Eficiente defina las reglas para la utilización de instrumentos de agregación de demanda en la Tienda Virtual del Estado Colombiano para adquisiciones hasta el monto de la mínima cuantía con MiPymes y con grandes almacenes. v) El artículo 2.2.1.2.1.5.5. establece que la entidad estatal es libre de exigir o no garantías en el proceso de selección de mínima cuantía y en la adquisición de “grandes almacenes”.</w:t>
      </w:r>
    </w:p>
    <w:p w14:paraId="3519A468" w14:textId="77777777" w:rsidR="00E271BF" w:rsidRDefault="00E271BF" w:rsidP="00E271BF">
      <w:pPr>
        <w:spacing w:after="120" w:line="276" w:lineRule="auto"/>
        <w:jc w:val="both"/>
        <w:rPr>
          <w:rFonts w:ascii="Verdana" w:eastAsia="Calibri" w:hAnsi="Verdana" w:cs="Arial"/>
          <w:bCs/>
          <w:color w:val="000000" w:themeColor="text1"/>
          <w:sz w:val="20"/>
          <w:szCs w:val="20"/>
          <w:lang w:val="es-ES"/>
        </w:rPr>
      </w:pPr>
    </w:p>
    <w:p w14:paraId="6F6EFC20" w14:textId="77777777" w:rsidR="00E271BF" w:rsidRPr="00E271BF" w:rsidRDefault="00E271BF" w:rsidP="00E271BF">
      <w:pPr>
        <w:tabs>
          <w:tab w:val="left" w:pos="6551"/>
        </w:tabs>
        <w:spacing w:after="0" w:line="240" w:lineRule="auto"/>
        <w:jc w:val="both"/>
        <w:rPr>
          <w:rFonts w:ascii="Verdana" w:eastAsia="Calibri" w:hAnsi="Verdana" w:cs="Arial"/>
          <w:b/>
          <w:color w:val="000000" w:themeColor="text1"/>
          <w:sz w:val="20"/>
          <w:szCs w:val="20"/>
          <w:lang w:val="es-ES_tradnl"/>
        </w:rPr>
      </w:pPr>
      <w:r w:rsidRPr="00E271BF">
        <w:rPr>
          <w:rFonts w:ascii="Verdana" w:eastAsia="Calibri" w:hAnsi="Verdana" w:cs="Arial"/>
          <w:b/>
          <w:color w:val="000000" w:themeColor="text1"/>
          <w:sz w:val="20"/>
          <w:szCs w:val="20"/>
          <w:lang w:val="es-ES_tradnl"/>
        </w:rPr>
        <w:t xml:space="preserve">CONVOCATORIAS LIMITADAS A MIPYME </w:t>
      </w:r>
      <w:r w:rsidRPr="00E271BF">
        <w:rPr>
          <w:rStyle w:val="normaltextrun"/>
          <w:rFonts w:ascii="Verdana" w:hAnsi="Verdana" w:cs="Arial"/>
          <w:b/>
          <w:bCs/>
          <w:color w:val="000000"/>
          <w:sz w:val="20"/>
          <w:szCs w:val="20"/>
        </w:rPr>
        <w:t xml:space="preserve">– Aplicación </w:t>
      </w:r>
      <w:r w:rsidRPr="00E271BF">
        <w:rPr>
          <w:rFonts w:ascii="Verdana" w:eastAsia="Calibri" w:hAnsi="Verdana" w:cs="Arial"/>
          <w:b/>
          <w:color w:val="000000" w:themeColor="text1"/>
          <w:sz w:val="20"/>
          <w:szCs w:val="20"/>
          <w:lang w:val="es-ES_tradnl"/>
        </w:rPr>
        <w:t xml:space="preserve">  </w:t>
      </w:r>
    </w:p>
    <w:p w14:paraId="0FA40C69" w14:textId="77777777" w:rsidR="00E271BF" w:rsidRDefault="00E271BF" w:rsidP="00E271BF">
      <w:pPr>
        <w:spacing w:after="0" w:line="240" w:lineRule="auto"/>
        <w:jc w:val="both"/>
        <w:rPr>
          <w:rFonts w:ascii="Verdana" w:eastAsia="Calibri" w:hAnsi="Verdana" w:cs="Arial"/>
          <w:bCs/>
          <w:color w:val="000000" w:themeColor="text1"/>
          <w:sz w:val="20"/>
          <w:szCs w:val="20"/>
          <w:lang w:val="es-ES"/>
        </w:rPr>
      </w:pPr>
    </w:p>
    <w:p w14:paraId="6A0ECC13" w14:textId="140B46B3" w:rsidR="00E271BF" w:rsidRPr="00E271BF" w:rsidRDefault="00E271BF" w:rsidP="00E271BF">
      <w:pPr>
        <w:spacing w:after="0" w:line="240" w:lineRule="auto"/>
        <w:jc w:val="both"/>
        <w:rPr>
          <w:rFonts w:ascii="Verdana" w:hAnsi="Verdana" w:cs="Arial"/>
          <w:bCs/>
          <w:sz w:val="20"/>
          <w:szCs w:val="20"/>
          <w:lang w:eastAsia="es-ES"/>
        </w:rPr>
      </w:pPr>
      <w:r w:rsidRPr="00E271BF">
        <w:rPr>
          <w:rFonts w:ascii="Verdana" w:hAnsi="Verdana" w:cs="Arial"/>
          <w:bCs/>
          <w:sz w:val="20"/>
          <w:szCs w:val="20"/>
          <w:lang w:val="es-ES_tradnl" w:eastAsia="es-ES"/>
        </w:rPr>
        <w:t xml:space="preserve">[…] el artículo 5 del Decreto 1860 de 2021 modificó </w:t>
      </w:r>
      <w:r w:rsidRPr="00E271BF">
        <w:rPr>
          <w:rFonts w:ascii="Verdana" w:hAnsi="Verdana" w:cs="Arial"/>
          <w:bCs/>
          <w:sz w:val="20"/>
          <w:szCs w:val="20"/>
          <w:lang w:eastAsia="es-ES"/>
        </w:rPr>
        <w:t>los artículos 2.2.1.2.4.2.2., 2.2.1.2.4.2.3. y 2.2.1.2.4.2.4. de la Subsección 2 de la Sección 4 del Capítulo 2 del Título 1 de la Parte 2 del Libro 2 del Decreto 1082 de 2015, reglamentando</w:t>
      </w:r>
      <w:r w:rsidRPr="00E271BF">
        <w:rPr>
          <w:rFonts w:ascii="Verdana" w:hAnsi="Verdana" w:cs="Arial"/>
          <w:bCs/>
          <w:sz w:val="20"/>
          <w:szCs w:val="20"/>
          <w:lang w:val="es-ES_tradnl" w:eastAsia="es-ES"/>
        </w:rPr>
        <w:t xml:space="preserve"> las convocatorias limitadas a Mipyme, con fundamento en lo establecido en el artículo 34 de la Ley 2069 de 2020. Esta nueva Subsección 2 contempla los siguientes aspectos: i) requisitos para limitar la convocatoria de los </w:t>
      </w:r>
      <w:r w:rsidRPr="00E271BF">
        <w:rPr>
          <w:rFonts w:ascii="Verdana" w:hAnsi="Verdana" w:cs="Arial"/>
          <w:bCs/>
          <w:sz w:val="20"/>
          <w:szCs w:val="20"/>
          <w:lang w:eastAsia="es-ES"/>
        </w:rPr>
        <w:t>procesos de contratación con pluralidad de oferentes</w:t>
      </w:r>
      <w:r w:rsidRPr="00E271BF">
        <w:rPr>
          <w:rFonts w:ascii="Verdana" w:hAnsi="Verdana" w:cs="Arial"/>
          <w:bCs/>
          <w:sz w:val="20"/>
          <w:szCs w:val="20"/>
          <w:lang w:val="es-ES_tradnl" w:eastAsia="es-ES"/>
        </w:rPr>
        <w:t xml:space="preserve"> a las Mipyme colombianas con mínimo un (1) año de existencia – artículo </w:t>
      </w:r>
      <w:r w:rsidRPr="00E271BF">
        <w:rPr>
          <w:rFonts w:ascii="Verdana" w:hAnsi="Verdana" w:cs="Arial"/>
          <w:bCs/>
          <w:sz w:val="20"/>
          <w:szCs w:val="20"/>
          <w:lang w:eastAsia="es-ES"/>
        </w:rPr>
        <w:t>2.2.1.2.4.2.2-</w:t>
      </w:r>
      <w:r w:rsidRPr="00E271BF">
        <w:rPr>
          <w:rFonts w:ascii="Verdana" w:hAnsi="Verdana" w:cs="Arial"/>
          <w:bCs/>
          <w:sz w:val="20"/>
          <w:szCs w:val="20"/>
          <w:lang w:val="es-ES_tradnl" w:eastAsia="es-ES"/>
        </w:rPr>
        <w:t xml:space="preserve"> , ii) desarrolla las </w:t>
      </w:r>
      <w:r w:rsidRPr="00E271BF">
        <w:rPr>
          <w:rFonts w:ascii="Verdana" w:hAnsi="Verdana" w:cs="Arial"/>
          <w:bCs/>
          <w:sz w:val="20"/>
          <w:szCs w:val="20"/>
          <w:lang w:eastAsia="es-ES"/>
        </w:rPr>
        <w:t>convocatorias limitadas a Mipyme colombianas que tengan domicilio en los departamentos o municipios en donde se va a ejecutar el contrato – artículo 2.2.1.2.4.2.3.,</w:t>
      </w:r>
      <w:r w:rsidRPr="00E271BF">
        <w:rPr>
          <w:rFonts w:ascii="Verdana" w:hAnsi="Verdana" w:cs="Arial"/>
          <w:bCs/>
          <w:sz w:val="20"/>
          <w:szCs w:val="20"/>
          <w:lang w:val="es-ES_tradnl" w:eastAsia="es-ES"/>
        </w:rPr>
        <w:t xml:space="preserve"> y iii) </w:t>
      </w:r>
      <w:r w:rsidRPr="00E271BF">
        <w:rPr>
          <w:rFonts w:ascii="Verdana" w:hAnsi="Verdana" w:cs="Arial"/>
          <w:bCs/>
          <w:sz w:val="20"/>
          <w:szCs w:val="20"/>
          <w:lang w:eastAsia="es-ES"/>
        </w:rPr>
        <w:t>regula la acreditación de requisitos para participar en convocatorias limitadas – artículo 2.2.1.2.4.2.4-.</w:t>
      </w:r>
    </w:p>
    <w:p w14:paraId="54B7F361" w14:textId="77777777" w:rsidR="00E271BF" w:rsidRPr="00E271BF" w:rsidRDefault="00E271BF" w:rsidP="00E271BF">
      <w:pPr>
        <w:spacing w:after="0" w:line="240" w:lineRule="auto"/>
        <w:jc w:val="both"/>
        <w:rPr>
          <w:rFonts w:ascii="Verdana" w:hAnsi="Verdana" w:cs="Arial"/>
          <w:sz w:val="20"/>
          <w:szCs w:val="20"/>
          <w:lang w:val="es-ES" w:eastAsia="es-ES"/>
        </w:rPr>
      </w:pPr>
      <w:r w:rsidRPr="00E271BF">
        <w:rPr>
          <w:rFonts w:ascii="Verdana" w:hAnsi="Verdana" w:cs="Arial"/>
          <w:sz w:val="20"/>
          <w:szCs w:val="20"/>
          <w:lang w:val="es-ES" w:eastAsia="es-ES"/>
        </w:rPr>
        <w:lastRenderedPageBreak/>
        <w:t>De esta manera, el artículo 5 del Decreto 1860 de 2021, que modifica los artículos del Decreto 1082 de 2015 expuestos en el párrafo anterior, constituye la nueva reglamentación del artículo 34 de la Ley 2069 de 2020, al desarrollar las reglas aplicables a las convocatorias limitadas a Mipyme,</w:t>
      </w:r>
      <w:r w:rsidRPr="00E271BF">
        <w:rPr>
          <w:rFonts w:ascii="Verdana" w:eastAsia="Calibri" w:hAnsi="Verdana" w:cs="Arial"/>
          <w:sz w:val="20"/>
          <w:szCs w:val="20"/>
          <w:lang w:val="es-ES"/>
        </w:rPr>
        <w:t xml:space="preserve"> </w:t>
      </w:r>
      <w:r w:rsidRPr="00E271BF">
        <w:rPr>
          <w:rFonts w:ascii="Verdana" w:hAnsi="Verdana" w:cs="Arial"/>
          <w:sz w:val="20"/>
          <w:szCs w:val="20"/>
          <w:lang w:val="es-ES" w:eastAsia="es-ES"/>
        </w:rPr>
        <w:t xml:space="preserve">disposición que entró a regir desde el 24 de marzo de 2022, pues, como se indicó, </w:t>
      </w:r>
      <w:r w:rsidRPr="00E271BF">
        <w:rPr>
          <w:rFonts w:ascii="Verdana" w:eastAsia="Calibri" w:hAnsi="Verdana" w:cs="Arial"/>
          <w:sz w:val="20"/>
          <w:szCs w:val="20"/>
          <w:lang w:val="es-ES"/>
        </w:rPr>
        <w:t>el artículo 8 de dicho decreto sometió su vigencia al transcurso del periodo de 3 meses siguientes a su expedición.</w:t>
      </w:r>
    </w:p>
    <w:p w14:paraId="49AF6DA9" w14:textId="77777777" w:rsidR="00E271BF" w:rsidRPr="00E271BF" w:rsidRDefault="00E271BF" w:rsidP="00E271BF">
      <w:pPr>
        <w:tabs>
          <w:tab w:val="left" w:pos="6551"/>
        </w:tabs>
        <w:spacing w:after="0" w:line="240" w:lineRule="auto"/>
        <w:jc w:val="both"/>
        <w:rPr>
          <w:rFonts w:ascii="Verdana" w:eastAsia="Calibri" w:hAnsi="Verdana" w:cs="Arial"/>
          <w:bCs/>
          <w:color w:val="000000" w:themeColor="text1"/>
          <w:sz w:val="20"/>
          <w:szCs w:val="20"/>
          <w:lang w:val="es-ES"/>
        </w:rPr>
      </w:pPr>
    </w:p>
    <w:p w14:paraId="648AAA07" w14:textId="2638B38F" w:rsidR="00CD37E4" w:rsidRDefault="00C75BA7" w:rsidP="00CD37E4">
      <w:pPr>
        <w:tabs>
          <w:tab w:val="left" w:pos="6551"/>
        </w:tabs>
        <w:spacing w:after="0" w:line="240" w:lineRule="auto"/>
        <w:jc w:val="both"/>
        <w:rPr>
          <w:rFonts w:ascii="Verdana" w:eastAsia="Times New Roman" w:hAnsi="Verdana" w:cs="Arial"/>
          <w:b/>
          <w:bCs/>
          <w:color w:val="000000"/>
          <w:sz w:val="20"/>
          <w:szCs w:val="20"/>
          <w:lang w:eastAsia="es-ES_tradnl"/>
        </w:rPr>
      </w:pPr>
      <w:r w:rsidRPr="00CD37E4">
        <w:rPr>
          <w:rFonts w:ascii="Verdana" w:eastAsia="Times New Roman" w:hAnsi="Verdana" w:cs="Arial"/>
          <w:b/>
          <w:bCs/>
          <w:color w:val="000000"/>
          <w:sz w:val="20"/>
          <w:szCs w:val="20"/>
          <w:lang w:eastAsia="es-ES_tradnl"/>
        </w:rPr>
        <w:t>DECRETO 1860 DE 2021 – Convocatorias limitadas a MiPymes</w:t>
      </w:r>
      <w:r w:rsidR="00321BB0">
        <w:rPr>
          <w:rFonts w:ascii="Verdana" w:eastAsia="Times New Roman" w:hAnsi="Verdana" w:cs="Arial"/>
          <w:b/>
          <w:bCs/>
          <w:color w:val="000000"/>
          <w:sz w:val="20"/>
          <w:szCs w:val="20"/>
          <w:lang w:eastAsia="es-ES_tradnl"/>
        </w:rPr>
        <w:t xml:space="preserve"> Nacionales</w:t>
      </w:r>
      <w:r>
        <w:rPr>
          <w:rFonts w:ascii="Verdana" w:eastAsia="Times New Roman" w:hAnsi="Verdana" w:cs="Arial"/>
          <w:b/>
          <w:bCs/>
          <w:color w:val="000000"/>
          <w:sz w:val="20"/>
          <w:szCs w:val="20"/>
          <w:lang w:eastAsia="es-ES_tradnl"/>
        </w:rPr>
        <w:t xml:space="preserve"> – Requisitos </w:t>
      </w:r>
    </w:p>
    <w:p w14:paraId="2173C085" w14:textId="77777777" w:rsidR="00C75BA7" w:rsidRDefault="00C75BA7" w:rsidP="00CD37E4">
      <w:pPr>
        <w:tabs>
          <w:tab w:val="left" w:pos="6551"/>
        </w:tabs>
        <w:spacing w:after="0" w:line="240" w:lineRule="auto"/>
        <w:jc w:val="both"/>
        <w:rPr>
          <w:rFonts w:ascii="Verdana" w:eastAsia="Times New Roman" w:hAnsi="Verdana" w:cs="Arial"/>
          <w:b/>
          <w:bCs/>
          <w:color w:val="000000"/>
          <w:sz w:val="20"/>
          <w:szCs w:val="20"/>
          <w:lang w:eastAsia="es-ES_tradnl"/>
        </w:rPr>
      </w:pPr>
    </w:p>
    <w:p w14:paraId="668B5015" w14:textId="77777777" w:rsidR="00C75BA7" w:rsidRDefault="00C75BA7" w:rsidP="00321BB0">
      <w:pPr>
        <w:spacing w:after="0" w:line="240" w:lineRule="auto"/>
        <w:jc w:val="both"/>
        <w:rPr>
          <w:rFonts w:ascii="Verdana" w:eastAsia="Arial" w:hAnsi="Verdana" w:cs="Arial"/>
          <w:color w:val="000000"/>
          <w:lang w:val="es-ES_tradnl"/>
        </w:rPr>
      </w:pPr>
      <w:r w:rsidRPr="13935D63">
        <w:rPr>
          <w:rFonts w:ascii="Verdana" w:eastAsia="Arial" w:hAnsi="Verdana" w:cs="Arial"/>
          <w:color w:val="000000" w:themeColor="text1"/>
          <w:sz w:val="20"/>
          <w:szCs w:val="20"/>
        </w:rPr>
        <w:t xml:space="preserve">En este contexto, el artículo 2.2.1.2.4.2.2. del Decreto 1082 de 2015 –modificado por el Decreto 1860 de 2021– establece los requisitos que se deben acreditar en las “convocatorias limitadas a Mipymes”.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señalados allí. Según se evidencia, el numeral primero limita cuantitativamente los procesos contractuales en los que se puede hacer esa convocatoria limitada a Mipyme, en la medida en que el valor del proceso de contratación tendrá que ser “menor a ciento veinticinco mil dólares de los Estados Unidos de América”. Por su parte, el numeral segundo establece dos exigencias: por un lado, que al menos dos (2) Mipymes colombianas presenten a la entidad la solicitud de limitar el proceso contractual y, por el otro, que hagan la solicitud por lo menos un día (1) hábil antes de la expedición del acto administrativo de apertura </w:t>
      </w:r>
      <w:r w:rsidRPr="13935D63">
        <w:rPr>
          <w:rFonts w:ascii="Verdana" w:eastAsia="Arial" w:hAnsi="Verdana" w:cs="Arial"/>
          <w:color w:val="000000" w:themeColor="text1"/>
          <w:sz w:val="20"/>
          <w:szCs w:val="20"/>
          <w:lang w:val="es-ES"/>
        </w:rPr>
        <w:t>o el que haga sus veces de acuerdo con la normativa aplicable a cada proceso de contratación</w:t>
      </w:r>
      <w:r w:rsidRPr="13935D63">
        <w:rPr>
          <w:rFonts w:ascii="Verdana" w:eastAsia="Arial" w:hAnsi="Verdana" w:cs="Arial"/>
          <w:color w:val="000000" w:themeColor="text1"/>
          <w:sz w:val="20"/>
          <w:szCs w:val="20"/>
        </w:rPr>
        <w:t xml:space="preserve">. Además, la norma señala que, </w:t>
      </w:r>
      <w:r w:rsidRPr="13935D63">
        <w:rPr>
          <w:rFonts w:ascii="Verdana" w:eastAsia="Arial" w:hAnsi="Verdana" w:cs="Arial"/>
          <w:color w:val="000000" w:themeColor="text1"/>
          <w:sz w:val="20"/>
          <w:szCs w:val="20"/>
          <w:lang w:val="es-ES"/>
        </w:rPr>
        <w:t>tratándose de personas jurídicas, las solicitudes solo las podrán realizar Mipymes, cuyo objeto social les permita ejecutar el contrato relacionado con el proceso contractual. Asimismo, este artículo incluye a las cooperativas y demás entidades de economía solidaria dentro de los sujetos que pueden solicitar y participar en las convocatorias limitadas a Mipymes, siempre que estas cumplan con las condiciones señaladas en el artículo.</w:t>
      </w:r>
      <w:r w:rsidRPr="13935D63">
        <w:rPr>
          <w:rFonts w:ascii="Verdana" w:eastAsia="Arial" w:hAnsi="Verdana" w:cs="Arial"/>
          <w:color w:val="000000" w:themeColor="text1"/>
          <w:lang w:val="es-ES"/>
        </w:rPr>
        <w:t xml:space="preserve"> </w:t>
      </w:r>
    </w:p>
    <w:p w14:paraId="34C5DC27" w14:textId="5AD07B39" w:rsidR="00E245AB" w:rsidRPr="0044528D" w:rsidRDefault="00E245AB" w:rsidP="13935D63">
      <w:pPr>
        <w:spacing w:after="0" w:line="240" w:lineRule="auto"/>
        <w:jc w:val="both"/>
        <w:rPr>
          <w:rFonts w:ascii="Verdana" w:hAnsi="Verdana"/>
        </w:rPr>
      </w:pPr>
    </w:p>
    <w:p w14:paraId="31ADB4D6" w14:textId="1C407A7E" w:rsidR="001D444E" w:rsidRDefault="001D444E">
      <w:pPr>
        <w:rPr>
          <w:rFonts w:ascii="Verdana" w:hAnsi="Verdana"/>
        </w:rPr>
      </w:pPr>
      <w:r>
        <w:rPr>
          <w:rFonts w:ascii="Verdana" w:hAnsi="Verdana"/>
        </w:rPr>
        <w:br w:type="page"/>
      </w:r>
    </w:p>
    <w:p w14:paraId="70A7E85F" w14:textId="77777777" w:rsidR="00E245AB" w:rsidRPr="0044528D" w:rsidRDefault="00E245AB" w:rsidP="13935D63">
      <w:pPr>
        <w:spacing w:after="0" w:line="240" w:lineRule="auto"/>
        <w:jc w:val="both"/>
        <w:rPr>
          <w:rFonts w:ascii="Verdana" w:hAnsi="Verdana"/>
        </w:rPr>
      </w:pPr>
    </w:p>
    <w:p w14:paraId="3FE2184B" w14:textId="7BAEE07E" w:rsidR="00E245AB" w:rsidRPr="0044528D" w:rsidRDefault="00E245AB" w:rsidP="13935D63">
      <w:pPr>
        <w:spacing w:after="0" w:line="240" w:lineRule="auto"/>
        <w:jc w:val="both"/>
        <w:rPr>
          <w:rFonts w:ascii="Verdana" w:hAnsi="Verdana"/>
        </w:rPr>
      </w:pPr>
      <w:r w:rsidRPr="13935D63">
        <w:rPr>
          <w:rFonts w:ascii="Verdana" w:hAnsi="Verdana"/>
        </w:rPr>
        <w:t xml:space="preserve">Bogotá D.C., </w:t>
      </w:r>
      <w:r w:rsidR="001D3FCD">
        <w:rPr>
          <w:rFonts w:ascii="Verdana" w:hAnsi="Verdana"/>
        </w:rPr>
        <w:t>5 de mayo de 2025</w:t>
      </w:r>
    </w:p>
    <w:p w14:paraId="19965CDE" w14:textId="77777777" w:rsidR="00FC5D28" w:rsidRDefault="00FC5D28" w:rsidP="00FC5D28">
      <w:pPr>
        <w:spacing w:after="0" w:line="240" w:lineRule="auto"/>
        <w:jc w:val="both"/>
        <w:rPr>
          <w:rFonts w:ascii="Verdana" w:eastAsia="Calibri" w:hAnsi="Verdana" w:cs="Arial"/>
          <w:lang w:val="es-ES" w:eastAsia="es-ES"/>
        </w:rPr>
      </w:pPr>
    </w:p>
    <w:p w14:paraId="37DA1CB8" w14:textId="616820F1" w:rsidR="001D3FCD" w:rsidRDefault="001D3FCD" w:rsidP="001D3FCD">
      <w:pPr>
        <w:spacing w:after="0" w:line="240" w:lineRule="auto"/>
        <w:jc w:val="right"/>
        <w:rPr>
          <w:rFonts w:ascii="Verdana" w:eastAsia="Calibri" w:hAnsi="Verdana" w:cs="Arial"/>
          <w:lang w:val="es-ES" w:eastAsia="es-ES"/>
        </w:rPr>
      </w:pPr>
      <w:r w:rsidRPr="001D3FCD">
        <w:rPr>
          <w:rFonts w:ascii="Verdana" w:eastAsia="Calibri" w:hAnsi="Verdana" w:cs="Arial"/>
          <w:lang w:val="es-ES" w:eastAsia="es-ES"/>
        </w:rPr>
        <w:drawing>
          <wp:inline distT="0" distB="0" distL="0" distR="0" wp14:anchorId="72C4B7E8" wp14:editId="7FD030DE">
            <wp:extent cx="2209992" cy="670618"/>
            <wp:effectExtent l="0" t="0" r="0" b="0"/>
            <wp:docPr id="17533326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332650" name=""/>
                    <pic:cNvPicPr/>
                  </pic:nvPicPr>
                  <pic:blipFill>
                    <a:blip r:embed="rId11"/>
                    <a:stretch>
                      <a:fillRect/>
                    </a:stretch>
                  </pic:blipFill>
                  <pic:spPr>
                    <a:xfrm>
                      <a:off x="0" y="0"/>
                      <a:ext cx="2209992" cy="670618"/>
                    </a:xfrm>
                    <a:prstGeom prst="rect">
                      <a:avLst/>
                    </a:prstGeom>
                  </pic:spPr>
                </pic:pic>
              </a:graphicData>
            </a:graphic>
          </wp:inline>
        </w:drawing>
      </w:r>
    </w:p>
    <w:p w14:paraId="24F805BE" w14:textId="7A20A182" w:rsidR="00CD37E4" w:rsidRPr="000854FA" w:rsidRDefault="00CD37E4" w:rsidP="00BC670B">
      <w:pPr>
        <w:spacing w:after="0" w:line="240" w:lineRule="auto"/>
        <w:jc w:val="center"/>
        <w:rPr>
          <w:rFonts w:ascii="Verdana" w:hAnsi="Verdana"/>
          <w:lang w:val="pt-BR"/>
        </w:rPr>
      </w:pPr>
    </w:p>
    <w:p w14:paraId="0A301591" w14:textId="268E4DB6" w:rsidR="00FC5D28" w:rsidRPr="000854FA" w:rsidRDefault="00FC5D28" w:rsidP="00F0522A">
      <w:pPr>
        <w:spacing w:after="0" w:line="240" w:lineRule="auto"/>
        <w:jc w:val="both"/>
        <w:rPr>
          <w:rFonts w:ascii="Verdana" w:hAnsi="Verdana"/>
          <w:lang w:val="pt-BR"/>
        </w:rPr>
      </w:pPr>
      <w:r w:rsidRPr="000854FA">
        <w:rPr>
          <w:rFonts w:ascii="Verdana" w:hAnsi="Verdana"/>
          <w:lang w:val="pt-BR"/>
        </w:rPr>
        <w:t>Señor</w:t>
      </w:r>
    </w:p>
    <w:p w14:paraId="4382E93D" w14:textId="0B080E41" w:rsidR="00F0522A" w:rsidRPr="00BC670B" w:rsidRDefault="00F0522A" w:rsidP="00F0522A">
      <w:pPr>
        <w:spacing w:after="0" w:line="240" w:lineRule="auto"/>
        <w:jc w:val="both"/>
        <w:rPr>
          <w:rFonts w:ascii="Verdana" w:hAnsi="Verdana"/>
          <w:b/>
          <w:bCs/>
          <w:lang w:val="pt-BR"/>
        </w:rPr>
      </w:pPr>
      <w:r w:rsidRPr="00BC670B">
        <w:rPr>
          <w:rFonts w:ascii="Verdana" w:hAnsi="Verdana"/>
          <w:b/>
          <w:bCs/>
          <w:lang w:val="pt-BR"/>
        </w:rPr>
        <w:t>JOSE PEREZ</w:t>
      </w:r>
    </w:p>
    <w:p w14:paraId="71B8239B" w14:textId="4DE713FB" w:rsidR="00FC5D28" w:rsidRPr="000854FA" w:rsidRDefault="000854FA" w:rsidP="00FC5D28">
      <w:pPr>
        <w:spacing w:after="0" w:line="240" w:lineRule="auto"/>
        <w:rPr>
          <w:rFonts w:ascii="Verdana" w:hAnsi="Verdana"/>
          <w:u w:val="single"/>
          <w:lang w:val="pt-BR"/>
        </w:rPr>
      </w:pPr>
      <w:hyperlink r:id="rId12" w:history="1">
        <w:r w:rsidRPr="000854FA">
          <w:rPr>
            <w:rFonts w:ascii="Verdana" w:hAnsi="Verdana"/>
            <w:u w:val="single"/>
            <w:lang w:val="pt-BR"/>
          </w:rPr>
          <w:t>pachopege@hotmail.com</w:t>
        </w:r>
      </w:hyperlink>
    </w:p>
    <w:p w14:paraId="403AD989" w14:textId="463D12D8" w:rsidR="00FC5D28" w:rsidRPr="001D444E" w:rsidRDefault="000854FA" w:rsidP="00FC5D28">
      <w:pPr>
        <w:spacing w:after="0" w:line="240" w:lineRule="auto"/>
        <w:rPr>
          <w:rFonts w:ascii="Verdana" w:hAnsi="Verdana"/>
          <w:lang w:val="pt-BR"/>
        </w:rPr>
      </w:pPr>
      <w:r>
        <w:rPr>
          <w:rFonts w:ascii="Verdana" w:hAnsi="Verdana"/>
          <w:lang w:val="pt-BR"/>
        </w:rPr>
        <w:t>Aguachica, Cesar</w:t>
      </w:r>
    </w:p>
    <w:p w14:paraId="30256697" w14:textId="77777777" w:rsidR="00FC5D28" w:rsidRPr="001D444E" w:rsidRDefault="00FC5D28" w:rsidP="00FC5D28">
      <w:pPr>
        <w:spacing w:after="0" w:line="240" w:lineRule="auto"/>
        <w:rPr>
          <w:rFonts w:ascii="Verdana" w:eastAsia="Calibri" w:hAnsi="Verdana" w:cs="Arial"/>
          <w:b/>
          <w:bCs/>
          <w:color w:val="000000"/>
          <w:lang w:val="pt-BR"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C5D28" w:rsidRPr="00F71A6A" w14:paraId="21541F85" w14:textId="77777777" w:rsidTr="0022503E">
        <w:trPr>
          <w:trHeight w:val="162"/>
        </w:trPr>
        <w:tc>
          <w:tcPr>
            <w:tcW w:w="2689" w:type="dxa"/>
          </w:tcPr>
          <w:p w14:paraId="25DD742B" w14:textId="77777777" w:rsidR="00FC5D28" w:rsidRPr="001D444E" w:rsidRDefault="00FC5D28" w:rsidP="00A82F73">
            <w:pPr>
              <w:jc w:val="both"/>
              <w:rPr>
                <w:rFonts w:ascii="Verdana" w:eastAsia="Calibri" w:hAnsi="Verdana" w:cs="Arial"/>
                <w:b/>
                <w:bCs/>
                <w:color w:val="7030A0"/>
                <w:lang w:val="pt-BR" w:eastAsia="es-ES_tradnl"/>
              </w:rPr>
            </w:pPr>
          </w:p>
        </w:tc>
        <w:tc>
          <w:tcPr>
            <w:tcW w:w="6100" w:type="dxa"/>
            <w:shd w:val="clear" w:color="auto" w:fill="auto"/>
          </w:tcPr>
          <w:p w14:paraId="3BBE49C6" w14:textId="39011D28" w:rsidR="00FC5D28" w:rsidRDefault="00FC5D28" w:rsidP="00A82F73">
            <w:pPr>
              <w:jc w:val="both"/>
              <w:rPr>
                <w:rFonts w:ascii="Verdana" w:eastAsia="Calibri" w:hAnsi="Verdana" w:cs="Arial"/>
                <w:b/>
                <w:bCs/>
                <w:lang w:val="es-ES" w:eastAsia="es-ES"/>
              </w:rPr>
            </w:pPr>
            <w:r w:rsidRPr="003C7BF7">
              <w:rPr>
                <w:rFonts w:ascii="Verdana" w:eastAsia="Calibri" w:hAnsi="Verdana" w:cs="Arial"/>
                <w:b/>
                <w:bCs/>
                <w:lang w:val="es-ES" w:eastAsia="es-ES"/>
              </w:rPr>
              <w:t>Concepto C-</w:t>
            </w:r>
            <w:r w:rsidR="004718DB">
              <w:rPr>
                <w:rFonts w:ascii="Verdana" w:eastAsia="Calibri" w:hAnsi="Verdana" w:cs="Arial"/>
                <w:b/>
                <w:bCs/>
                <w:lang w:val="es-ES" w:eastAsia="es-ES"/>
              </w:rPr>
              <w:t>391</w:t>
            </w:r>
            <w:r w:rsidRPr="003C7BF7">
              <w:rPr>
                <w:rFonts w:ascii="Verdana" w:eastAsia="Calibri" w:hAnsi="Verdana" w:cs="Arial"/>
                <w:b/>
                <w:bCs/>
                <w:lang w:val="es-ES" w:eastAsia="es-ES"/>
              </w:rPr>
              <w:t xml:space="preserve"> de 2025</w:t>
            </w:r>
          </w:p>
          <w:p w14:paraId="0E20F498" w14:textId="77777777" w:rsidR="00FC5D28" w:rsidRPr="003C7BF7" w:rsidRDefault="00FC5D28" w:rsidP="00A82F73">
            <w:pPr>
              <w:jc w:val="both"/>
              <w:rPr>
                <w:rFonts w:ascii="Verdana" w:eastAsia="Calibri" w:hAnsi="Verdana" w:cs="Arial"/>
                <w:b/>
                <w:bCs/>
                <w:color w:val="7030A0"/>
                <w:lang w:val="es-ES" w:eastAsia="es-ES"/>
              </w:rPr>
            </w:pPr>
          </w:p>
        </w:tc>
      </w:tr>
      <w:tr w:rsidR="00FC5D28" w:rsidRPr="00F71A6A" w14:paraId="56843D13" w14:textId="77777777" w:rsidTr="0022503E">
        <w:trPr>
          <w:trHeight w:val="884"/>
        </w:trPr>
        <w:tc>
          <w:tcPr>
            <w:tcW w:w="2689" w:type="dxa"/>
          </w:tcPr>
          <w:p w14:paraId="334A02EA" w14:textId="77777777" w:rsidR="00FC5D28" w:rsidRPr="00F71A6A" w:rsidRDefault="00FC5D28" w:rsidP="00A82F73">
            <w:pPr>
              <w:jc w:val="both"/>
              <w:rPr>
                <w:rFonts w:ascii="Verdana" w:eastAsia="Calibri" w:hAnsi="Verdana" w:cs="Arial"/>
                <w:color w:val="000000"/>
                <w:lang w:val="es-ES_tradnl" w:eastAsia="es-ES_tradnl"/>
              </w:rPr>
            </w:pPr>
            <w:r w:rsidRPr="00F71A6A">
              <w:rPr>
                <w:rFonts w:ascii="Verdana" w:eastAsia="Calibri" w:hAnsi="Verdana" w:cs="Arial"/>
                <w:b/>
                <w:color w:val="000000"/>
                <w:lang w:val="es-ES_tradnl" w:eastAsia="es-ES_tradnl"/>
              </w:rPr>
              <w:t>Temas:</w:t>
            </w:r>
            <w:r w:rsidRPr="00F71A6A">
              <w:rPr>
                <w:rFonts w:ascii="Verdana" w:eastAsia="Calibri" w:hAnsi="Verdana" w:cs="Arial"/>
                <w:color w:val="000000"/>
                <w:lang w:val="es-ES_tradnl" w:eastAsia="es-ES_tradnl"/>
              </w:rPr>
              <w:t xml:space="preserve">                   </w:t>
            </w:r>
          </w:p>
        </w:tc>
        <w:tc>
          <w:tcPr>
            <w:tcW w:w="6100" w:type="dxa"/>
            <w:shd w:val="clear" w:color="auto" w:fill="auto"/>
          </w:tcPr>
          <w:p w14:paraId="395E9D6E" w14:textId="246AAF4C" w:rsidR="00FC5D28" w:rsidRPr="00C02F37" w:rsidRDefault="00FC5D28" w:rsidP="00A82F73">
            <w:pPr>
              <w:spacing w:line="276" w:lineRule="auto"/>
              <w:jc w:val="both"/>
              <w:rPr>
                <w:rFonts w:ascii="Verdana" w:eastAsia="Century Gothic" w:hAnsi="Verdana" w:cs="Century Gothic"/>
                <w:bCs/>
              </w:rPr>
            </w:pPr>
            <w:r w:rsidRPr="00A968E3">
              <w:rPr>
                <w:rFonts w:ascii="Verdana" w:eastAsia="Century Gothic" w:hAnsi="Verdana" w:cs="Century Gothic"/>
                <w:bCs/>
              </w:rPr>
              <w:t xml:space="preserve">DECRETO 1860 DE 2021 – Convocatorias limitadas a MiPymes – Normas reglamentarias – Mínima cuantía / CONVOCATORIAS LIMITADAS A MIPYME – Aplicación </w:t>
            </w:r>
            <w:r>
              <w:rPr>
                <w:rFonts w:ascii="Verdana" w:eastAsia="Century Gothic" w:hAnsi="Verdana" w:cs="Century Gothic"/>
                <w:bCs/>
              </w:rPr>
              <w:t xml:space="preserve">- </w:t>
            </w:r>
            <w:r w:rsidRPr="00C02F37">
              <w:rPr>
                <w:rFonts w:ascii="Verdana" w:eastAsia="Century Gothic" w:hAnsi="Verdana" w:cs="Century Gothic"/>
                <w:bCs/>
              </w:rPr>
              <w:t xml:space="preserve">CONVOCATORIAS LIMITADAS A MIPYMES NACIONALES – Requisitos </w:t>
            </w:r>
          </w:p>
          <w:p w14:paraId="7DCA574E" w14:textId="77777777" w:rsidR="00FC5D28" w:rsidRPr="00AA4101" w:rsidRDefault="00FC5D28" w:rsidP="00A82F73">
            <w:pPr>
              <w:spacing w:line="276" w:lineRule="auto"/>
              <w:jc w:val="both"/>
              <w:rPr>
                <w:rFonts w:ascii="Verdana" w:eastAsia="Calibri" w:hAnsi="Verdana" w:cs="Arial"/>
                <w:lang w:eastAsia="es-ES"/>
              </w:rPr>
            </w:pPr>
          </w:p>
        </w:tc>
      </w:tr>
      <w:tr w:rsidR="00FC5D28" w:rsidRPr="00F71A6A" w14:paraId="7C88E1F1" w14:textId="77777777" w:rsidTr="0022503E">
        <w:tc>
          <w:tcPr>
            <w:tcW w:w="2689" w:type="dxa"/>
          </w:tcPr>
          <w:p w14:paraId="2A27F7EB" w14:textId="77777777" w:rsidR="00FC5D28" w:rsidRPr="00F71A6A" w:rsidRDefault="00FC5D28" w:rsidP="00A82F73">
            <w:pPr>
              <w:jc w:val="both"/>
              <w:rPr>
                <w:rFonts w:ascii="Verdana" w:eastAsia="Calibri" w:hAnsi="Verdana" w:cs="Arial"/>
                <w:b/>
                <w:lang w:val="es-ES_tradnl" w:eastAsia="es-ES_tradnl"/>
              </w:rPr>
            </w:pPr>
            <w:r w:rsidRPr="00F71A6A">
              <w:rPr>
                <w:rFonts w:ascii="Verdana" w:eastAsia="Calibri" w:hAnsi="Verdana" w:cs="Arial"/>
                <w:b/>
                <w:lang w:val="es-ES_tradnl" w:eastAsia="es-ES_tradnl"/>
              </w:rPr>
              <w:t>Radicación:</w:t>
            </w:r>
            <w:r w:rsidRPr="00F71A6A">
              <w:rPr>
                <w:rFonts w:ascii="Verdana" w:eastAsia="Calibri" w:hAnsi="Verdana" w:cs="Arial"/>
                <w:lang w:val="es-ES_tradnl" w:eastAsia="es-ES_tradnl"/>
              </w:rPr>
              <w:t xml:space="preserve">               </w:t>
            </w:r>
          </w:p>
        </w:tc>
        <w:tc>
          <w:tcPr>
            <w:tcW w:w="6100" w:type="dxa"/>
          </w:tcPr>
          <w:p w14:paraId="5A5EA911" w14:textId="79572217" w:rsidR="00FC5D28" w:rsidRPr="00581526" w:rsidRDefault="00FC5D28" w:rsidP="00A82F73">
            <w:pPr>
              <w:jc w:val="both"/>
              <w:rPr>
                <w:rFonts w:ascii="Verdana" w:eastAsia="Calibri" w:hAnsi="Verdana" w:cs="Arial"/>
                <w:lang w:val="es-ES_tradnl" w:eastAsia="es-ES_tradnl"/>
              </w:rPr>
            </w:pPr>
            <w:r w:rsidRPr="00581526">
              <w:rPr>
                <w:rFonts w:ascii="Verdana" w:eastAsia="Calibri" w:hAnsi="Verdana" w:cs="Arial"/>
                <w:lang w:val="es-ES_tradnl" w:eastAsia="es-ES_tradnl"/>
              </w:rPr>
              <w:t xml:space="preserve">Respuesta a consulta con radicado No. </w:t>
            </w:r>
            <w:r w:rsidR="004718DB" w:rsidRPr="004718DB">
              <w:rPr>
                <w:rFonts w:ascii="Verdana" w:eastAsia="Calibri" w:hAnsi="Verdana" w:cs="Arial"/>
                <w:lang w:val="es-ES_tradnl" w:eastAsia="es-ES_tradnl"/>
              </w:rPr>
              <w:t>P20250331003068</w:t>
            </w:r>
          </w:p>
        </w:tc>
      </w:tr>
    </w:tbl>
    <w:p w14:paraId="2A50C28E" w14:textId="77777777" w:rsidR="00FC5D28" w:rsidRPr="00F71A6A" w:rsidRDefault="00FC5D28" w:rsidP="00FC5D28">
      <w:pPr>
        <w:spacing w:after="0" w:line="276" w:lineRule="auto"/>
        <w:jc w:val="both"/>
        <w:rPr>
          <w:rFonts w:ascii="Verdana" w:eastAsia="Calibri" w:hAnsi="Verdana" w:cs="Arial"/>
          <w:lang w:val="es-ES_tradnl" w:eastAsia="es-ES_tradnl"/>
        </w:rPr>
      </w:pPr>
    </w:p>
    <w:p w14:paraId="7744798E" w14:textId="5C7F40E7" w:rsidR="00FC5D28" w:rsidRPr="00F71A6A" w:rsidRDefault="00FC5D28" w:rsidP="00FC5D28">
      <w:pPr>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Estimad</w:t>
      </w:r>
      <w:r w:rsidR="004718DB">
        <w:rPr>
          <w:rFonts w:ascii="Verdana" w:eastAsia="Calibri" w:hAnsi="Verdana" w:cs="Arial"/>
          <w:lang w:val="es-ES" w:eastAsia="es-ES"/>
        </w:rPr>
        <w:t>o</w:t>
      </w:r>
      <w:r>
        <w:rPr>
          <w:rFonts w:ascii="Verdana" w:eastAsia="Calibri" w:hAnsi="Verdana" w:cs="Arial"/>
          <w:lang w:val="es-ES" w:eastAsia="es-ES"/>
        </w:rPr>
        <w:t xml:space="preserve"> </w:t>
      </w:r>
      <w:r w:rsidRPr="00F71A6A">
        <w:rPr>
          <w:rFonts w:ascii="Verdana" w:eastAsia="Calibri" w:hAnsi="Verdana" w:cs="Arial"/>
          <w:lang w:val="es-ES" w:eastAsia="es-ES"/>
        </w:rPr>
        <w:t>señor</w:t>
      </w:r>
      <w:r w:rsidR="004718DB">
        <w:rPr>
          <w:rFonts w:ascii="Verdana" w:eastAsia="Calibri" w:hAnsi="Verdana" w:cs="Arial"/>
          <w:lang w:val="es-ES" w:eastAsia="es-ES"/>
        </w:rPr>
        <w:t xml:space="preserve"> </w:t>
      </w:r>
      <w:r w:rsidR="006504F8">
        <w:rPr>
          <w:rFonts w:ascii="Verdana" w:eastAsia="Calibri" w:hAnsi="Verdana" w:cs="Arial"/>
          <w:lang w:val="es-ES" w:eastAsia="es-ES"/>
        </w:rPr>
        <w:t>Pérez</w:t>
      </w:r>
      <w:r>
        <w:rPr>
          <w:rFonts w:ascii="Verdana" w:eastAsia="Calibri" w:hAnsi="Verdana" w:cs="Arial"/>
          <w:lang w:val="es-ES" w:eastAsia="es-ES"/>
        </w:rPr>
        <w:t>:</w:t>
      </w:r>
      <w:r w:rsidRPr="00F71A6A">
        <w:rPr>
          <w:rFonts w:ascii="Verdana" w:eastAsia="Calibri" w:hAnsi="Verdana" w:cs="Arial"/>
          <w:lang w:val="es-ES" w:eastAsia="es-ES"/>
        </w:rPr>
        <w:t xml:space="preserve"> </w:t>
      </w:r>
    </w:p>
    <w:p w14:paraId="18F830BA" w14:textId="77777777" w:rsidR="00FC5D28" w:rsidRPr="00F71A6A" w:rsidRDefault="00FC5D28" w:rsidP="00FC5D28">
      <w:pPr>
        <w:tabs>
          <w:tab w:val="left" w:pos="3768"/>
        </w:tabs>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ab/>
      </w:r>
    </w:p>
    <w:p w14:paraId="04721808" w14:textId="6CA05D2D" w:rsidR="00FC5D28" w:rsidRPr="00F71A6A" w:rsidRDefault="00FC5D28" w:rsidP="00FC5D28">
      <w:pPr>
        <w:spacing w:after="0" w:line="276" w:lineRule="auto"/>
        <w:jc w:val="both"/>
        <w:rPr>
          <w:rFonts w:ascii="Verdana" w:eastAsia="Calibri" w:hAnsi="Verdana" w:cs="Arial"/>
          <w:lang w:val="es-ES" w:eastAsia="es-ES"/>
        </w:rPr>
      </w:pPr>
      <w:r w:rsidRPr="00F71A6A">
        <w:rPr>
          <w:rFonts w:ascii="Verdana" w:eastAsia="Calibri" w:hAnsi="Verdana" w:cs="Arial"/>
          <w:color w:val="000000" w:themeColor="text1"/>
          <w:lang w:val="es-ES" w:eastAsia="es-ES"/>
        </w:rPr>
        <w:t>En ejercicio de la competencia otorgada por los artículos 3, numeral 5º, y 11, numeral 8º, del Decreto Ley 4170 de 2011,</w:t>
      </w:r>
      <w:r w:rsidRPr="00F71A6A">
        <w:rPr>
          <w:rFonts w:ascii="Verdana" w:eastAsia="Arial MT" w:hAnsi="Verdana" w:cs="Arial MT"/>
          <w:lang w:val="es-ES" w:eastAsia="es-ES"/>
        </w:rPr>
        <w:t xml:space="preserve"> </w:t>
      </w:r>
      <w:r w:rsidRPr="00F71A6A">
        <w:rPr>
          <w:rFonts w:ascii="Verdana" w:hAnsi="Verdana" w:cs="Arial"/>
        </w:rPr>
        <w:t xml:space="preserve">así como lo establecido en el artículo 4 de la Resolución 1707 de 2018 expedida por esta Entidad, </w:t>
      </w:r>
      <w:r w:rsidRPr="00F71A6A">
        <w:rPr>
          <w:rFonts w:ascii="Verdana" w:eastAsia="Calibri" w:hAnsi="Verdana" w:cs="Arial"/>
          <w:color w:val="000000" w:themeColor="text1"/>
          <w:lang w:val="es-ES" w:eastAsia="es-ES"/>
        </w:rPr>
        <w:t xml:space="preserve">la Agencia Nacional de Contratación </w:t>
      </w:r>
      <w:r w:rsidRPr="00F71A6A">
        <w:rPr>
          <w:rFonts w:ascii="Verdana" w:eastAsia="Calibri" w:hAnsi="Verdana" w:cs="Arial"/>
          <w:lang w:val="es-ES" w:eastAsia="es-ES"/>
        </w:rPr>
        <w:t xml:space="preserve">Pública – Colombia Compra Eficiente– responde su solicitud de consulta de fecha </w:t>
      </w:r>
      <w:r w:rsidR="00DC455A">
        <w:rPr>
          <w:rFonts w:ascii="Verdana" w:eastAsia="Calibri" w:hAnsi="Verdana" w:cs="Arial"/>
          <w:lang w:val="es-ES" w:eastAsia="es-ES"/>
        </w:rPr>
        <w:t>31</w:t>
      </w:r>
      <w:r>
        <w:rPr>
          <w:rFonts w:ascii="Verdana" w:eastAsia="Calibri" w:hAnsi="Verdana" w:cs="Arial"/>
          <w:lang w:val="es-ES" w:eastAsia="es-ES"/>
        </w:rPr>
        <w:t xml:space="preserve"> de </w:t>
      </w:r>
      <w:r w:rsidR="00DC455A">
        <w:rPr>
          <w:rFonts w:ascii="Verdana" w:eastAsia="Calibri" w:hAnsi="Verdana" w:cs="Arial"/>
          <w:lang w:val="es-ES" w:eastAsia="es-ES"/>
        </w:rPr>
        <w:t>marzo</w:t>
      </w:r>
      <w:r w:rsidRPr="00DC1BDA">
        <w:rPr>
          <w:rFonts w:ascii="Verdana" w:eastAsia="Calibri" w:hAnsi="Verdana" w:cs="Arial"/>
          <w:lang w:val="es-ES" w:eastAsia="es-ES"/>
        </w:rPr>
        <w:t xml:space="preserve"> de 2025, </w:t>
      </w:r>
      <w:r w:rsidRPr="00F71A6A">
        <w:rPr>
          <w:rFonts w:ascii="Verdana" w:eastAsia="Calibri" w:hAnsi="Verdana" w:cs="Arial"/>
          <w:lang w:val="es-ES" w:eastAsia="es-ES"/>
        </w:rPr>
        <w:t xml:space="preserve">en la cual manifiesta lo siguiente: </w:t>
      </w:r>
    </w:p>
    <w:p w14:paraId="281090D2" w14:textId="77777777" w:rsidR="00FC5D28" w:rsidRPr="000643DA" w:rsidRDefault="00FC5D28" w:rsidP="00FC5D28">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2929A866" w14:textId="77777777" w:rsidR="00DC455A" w:rsidRPr="00DC455A" w:rsidRDefault="00FC5D28" w:rsidP="00DC455A">
      <w:pPr>
        <w:spacing w:after="0" w:line="240" w:lineRule="auto"/>
        <w:ind w:left="709" w:right="902"/>
        <w:jc w:val="both"/>
        <w:rPr>
          <w:rFonts w:ascii="Verdana" w:eastAsia="Century Gothic" w:hAnsi="Verdana" w:cs="Century Gothic"/>
          <w:sz w:val="20"/>
          <w:szCs w:val="20"/>
        </w:rPr>
      </w:pPr>
      <w:bookmarkStart w:id="1" w:name="_Hlk192699624"/>
      <w:r w:rsidRPr="00835A24">
        <w:rPr>
          <w:rFonts w:ascii="Verdana" w:eastAsia="Century Gothic" w:hAnsi="Verdana" w:cs="Century Gothic"/>
          <w:sz w:val="20"/>
          <w:szCs w:val="20"/>
        </w:rPr>
        <w:t>“</w:t>
      </w:r>
      <w:r w:rsidR="00DC455A" w:rsidRPr="00DC455A">
        <w:rPr>
          <w:rFonts w:ascii="Verdana" w:eastAsia="Century Gothic" w:hAnsi="Verdana" w:cs="Century Gothic"/>
          <w:sz w:val="20"/>
          <w:szCs w:val="20"/>
        </w:rPr>
        <w:t>EN LA MODALIDAD DE MINIMA CUANTIA POR LA LEY ESTA PERMITIDO</w:t>
      </w:r>
    </w:p>
    <w:p w14:paraId="1E909EAF" w14:textId="3E2E20DB" w:rsidR="00FC5D28" w:rsidRPr="00835A24" w:rsidRDefault="00DC455A" w:rsidP="00DC455A">
      <w:pPr>
        <w:spacing w:after="0" w:line="240" w:lineRule="auto"/>
        <w:ind w:left="709" w:right="902"/>
        <w:jc w:val="both"/>
        <w:rPr>
          <w:rFonts w:ascii="Verdana" w:hAnsi="Verdana"/>
          <w:sz w:val="20"/>
          <w:szCs w:val="20"/>
        </w:rPr>
      </w:pPr>
      <w:r w:rsidRPr="00DC455A">
        <w:rPr>
          <w:rFonts w:ascii="Verdana" w:eastAsia="Century Gothic" w:hAnsi="Verdana" w:cs="Century Gothic"/>
          <w:sz w:val="20"/>
          <w:szCs w:val="20"/>
        </w:rPr>
        <w:t>LIMITARLA A MIPYME:</w:t>
      </w:r>
      <w:r w:rsidR="00FC5D28" w:rsidRPr="008125DD">
        <w:rPr>
          <w:rFonts w:ascii="Verdana" w:hAnsi="Verdana"/>
          <w:sz w:val="20"/>
          <w:szCs w:val="20"/>
        </w:rPr>
        <w:t xml:space="preserve"> </w:t>
      </w:r>
      <w:r w:rsidR="00FC5D28" w:rsidRPr="00835A24">
        <w:rPr>
          <w:rFonts w:ascii="Verdana" w:eastAsia="Century Gothic" w:hAnsi="Verdana" w:cs="Century Gothic"/>
          <w:sz w:val="20"/>
          <w:szCs w:val="20"/>
        </w:rPr>
        <w:t>(…)”.</w:t>
      </w:r>
    </w:p>
    <w:bookmarkEnd w:id="1"/>
    <w:p w14:paraId="2D24639C" w14:textId="77777777" w:rsidR="00FC5D28" w:rsidRPr="00F71A6A" w:rsidRDefault="00FC5D28" w:rsidP="00FC5D28">
      <w:pPr>
        <w:pStyle w:val="Prrafodelista"/>
        <w:tabs>
          <w:tab w:val="left" w:pos="142"/>
          <w:tab w:val="left" w:pos="284"/>
        </w:tabs>
        <w:spacing w:after="0" w:line="240" w:lineRule="auto"/>
        <w:ind w:left="0"/>
        <w:jc w:val="both"/>
        <w:rPr>
          <w:rFonts w:ascii="Verdana" w:eastAsia="Century Gothic" w:hAnsi="Verdana" w:cs="Century Gothic"/>
          <w:b/>
          <w:bCs/>
        </w:rPr>
      </w:pPr>
    </w:p>
    <w:p w14:paraId="680E2ED0" w14:textId="582525D2" w:rsidR="00FC5D28" w:rsidRPr="00995CAD" w:rsidRDefault="00FC5D28" w:rsidP="00FC5D28">
      <w:pPr>
        <w:spacing w:after="120" w:line="276" w:lineRule="auto"/>
        <w:ind w:firstLine="709"/>
        <w:jc w:val="both"/>
        <w:rPr>
          <w:rFonts w:ascii="Verdana" w:eastAsia="Calibri" w:hAnsi="Verdana" w:cs="Arial"/>
          <w:color w:val="000000"/>
          <w:szCs w:val="24"/>
          <w:lang w:val="es-ES_tradnl" w:eastAsia="es-ES_tradnl"/>
        </w:rPr>
      </w:pPr>
      <w:r w:rsidRPr="00995CA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995CAD">
        <w:rPr>
          <w:rFonts w:ascii="Verdana" w:eastAsia="Calibri" w:hAnsi="Verdana" w:cs="Arial"/>
          <w:color w:val="000000"/>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95CAD">
        <w:rPr>
          <w:rFonts w:ascii="Verdana" w:eastAsia="Calibri" w:hAnsi="Verdana" w:cs="Arial"/>
          <w:color w:val="000000"/>
          <w:szCs w:val="24"/>
          <w:lang w:val="es-ES_tradnl" w:eastAsia="es-ES_tradnl"/>
        </w:rPr>
        <w:tab/>
      </w:r>
    </w:p>
    <w:p w14:paraId="0326C4EC" w14:textId="77777777" w:rsidR="00FC5D28" w:rsidRPr="00995CAD" w:rsidRDefault="00FC5D28" w:rsidP="00FC5D28">
      <w:pPr>
        <w:spacing w:after="0" w:line="276" w:lineRule="auto"/>
        <w:ind w:firstLine="709"/>
        <w:jc w:val="both"/>
        <w:rPr>
          <w:rFonts w:ascii="Verdana" w:eastAsia="Calibri" w:hAnsi="Verdana" w:cs="Arial"/>
          <w:color w:val="000000"/>
          <w:lang w:val="es-ES" w:eastAsia="es-ES"/>
        </w:rPr>
      </w:pPr>
      <w:r w:rsidRPr="00995CAD">
        <w:rPr>
          <w:rFonts w:ascii="Verdana" w:eastAsia="Calibri" w:hAnsi="Verdana" w:cs="Arial"/>
          <w:color w:val="000000"/>
          <w:lang w:val="es-ES" w:eastAsia="es-ES"/>
        </w:rPr>
        <w:t xml:space="preserve">Conforme lo expuesto, en aras de garantizar el derecho fundamental de petición, se resolverá su petición dentro de los límites de la referida competencia consultiva, esto es, haciendo </w:t>
      </w:r>
      <w:r>
        <w:rPr>
          <w:rFonts w:ascii="Verdana" w:eastAsia="Calibri" w:hAnsi="Verdana" w:cs="Arial"/>
          <w:color w:val="000000"/>
          <w:lang w:val="es-ES" w:eastAsia="es-ES"/>
        </w:rPr>
        <w:t>abstracción del caso particular y concreto señalado en su petición, pero señalando</w:t>
      </w:r>
      <w:r w:rsidRPr="00995CAD">
        <w:rPr>
          <w:rFonts w:ascii="Verdana" w:eastAsia="Calibri" w:hAnsi="Verdana" w:cs="Arial"/>
          <w:color w:val="000000"/>
          <w:lang w:val="es-ES" w:eastAsia="es-ES"/>
        </w:rPr>
        <w:t xml:space="preserve"> </w:t>
      </w:r>
      <w:r>
        <w:rPr>
          <w:rFonts w:ascii="Verdana" w:eastAsia="Calibri" w:hAnsi="Verdana" w:cs="Arial"/>
          <w:color w:val="000000"/>
          <w:lang w:val="es-ES" w:eastAsia="es-ES"/>
        </w:rPr>
        <w:t>alg</w:t>
      </w:r>
      <w:r w:rsidRPr="00995CAD">
        <w:rPr>
          <w:rFonts w:ascii="Verdana" w:eastAsia="Calibri" w:hAnsi="Verdana" w:cs="Arial"/>
          <w:color w:val="000000"/>
          <w:lang w:val="es-ES" w:eastAsia="es-ES"/>
        </w:rPr>
        <w:t>unas consideraciones sobre las normas generales relacionadas con el</w:t>
      </w:r>
      <w:r w:rsidRPr="00995CAD">
        <w:rPr>
          <w:rFonts w:ascii="Verdana" w:eastAsia="Calibri" w:hAnsi="Verdana" w:cs="Arial"/>
          <w:color w:val="7030A0"/>
          <w:lang w:val="es-ES" w:eastAsia="es-ES"/>
        </w:rPr>
        <w:t xml:space="preserve"> </w:t>
      </w:r>
      <w:r w:rsidRPr="00995CAD">
        <w:rPr>
          <w:rFonts w:ascii="Verdana" w:eastAsia="Calibri" w:hAnsi="Verdana" w:cs="Arial"/>
          <w:color w:val="000000"/>
          <w:lang w:val="es-ES" w:eastAsia="es-ES"/>
        </w:rPr>
        <w:t>problema</w:t>
      </w:r>
      <w:r w:rsidRPr="00995CAD">
        <w:rPr>
          <w:rFonts w:ascii="Verdana" w:eastAsia="Calibri" w:hAnsi="Verdana" w:cs="Arial"/>
          <w:color w:val="7030A0"/>
          <w:lang w:val="es-ES" w:eastAsia="es-ES"/>
        </w:rPr>
        <w:t xml:space="preserve"> </w:t>
      </w:r>
      <w:r w:rsidRPr="00995CAD">
        <w:rPr>
          <w:rFonts w:ascii="Verdana" w:eastAsia="Calibri" w:hAnsi="Verdana" w:cs="Arial"/>
          <w:color w:val="000000"/>
          <w:lang w:val="es-ES" w:eastAsia="es-ES"/>
        </w:rPr>
        <w:t>jurídico</w:t>
      </w:r>
      <w:r w:rsidRPr="00995CAD">
        <w:rPr>
          <w:rFonts w:ascii="Verdana" w:eastAsia="Calibri" w:hAnsi="Verdana" w:cs="Arial"/>
          <w:color w:val="7030A0"/>
          <w:lang w:val="es-ES" w:eastAsia="es-ES"/>
        </w:rPr>
        <w:t xml:space="preserve"> </w:t>
      </w:r>
      <w:r w:rsidRPr="00995CAD">
        <w:rPr>
          <w:rFonts w:ascii="Verdana" w:eastAsia="Calibri" w:hAnsi="Verdana" w:cs="Arial"/>
          <w:color w:val="000000"/>
          <w:lang w:val="es-ES" w:eastAsia="es-ES"/>
        </w:rPr>
        <w:t xml:space="preserve">de su consulta.  </w:t>
      </w:r>
    </w:p>
    <w:p w14:paraId="015D3FAB" w14:textId="77777777" w:rsidR="00FC5D28" w:rsidRPr="00F71A6A" w:rsidRDefault="00FC5D28" w:rsidP="00FC5D28">
      <w:pPr>
        <w:spacing w:after="0" w:line="276" w:lineRule="auto"/>
        <w:ind w:firstLine="709"/>
        <w:jc w:val="both"/>
        <w:rPr>
          <w:rFonts w:ascii="Verdana" w:eastAsia="Calibri" w:hAnsi="Verdana" w:cs="Arial"/>
          <w:color w:val="000000"/>
          <w:lang w:val="es-ES" w:eastAsia="es-ES"/>
        </w:rPr>
      </w:pPr>
    </w:p>
    <w:p w14:paraId="716043DC" w14:textId="77777777" w:rsidR="00FC5D28" w:rsidRPr="00F71A6A" w:rsidRDefault="00FC5D28" w:rsidP="003B656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1A6A">
        <w:rPr>
          <w:rFonts w:ascii="Verdana" w:eastAsia="Century Gothic" w:hAnsi="Verdana" w:cs="Century Gothic"/>
          <w:b/>
          <w:bCs/>
        </w:rPr>
        <w:t>Problema planteado:</w:t>
      </w:r>
    </w:p>
    <w:p w14:paraId="15183D5D" w14:textId="77777777" w:rsidR="00FC5D28" w:rsidRPr="00F71A6A" w:rsidRDefault="00FC5D28" w:rsidP="00FC5D28">
      <w:pPr>
        <w:tabs>
          <w:tab w:val="left" w:pos="426"/>
        </w:tabs>
        <w:spacing w:after="0" w:line="276" w:lineRule="auto"/>
        <w:jc w:val="both"/>
        <w:rPr>
          <w:rFonts w:ascii="Verdana" w:eastAsia="Century Gothic" w:hAnsi="Verdana" w:cs="Century Gothic"/>
          <w:lang w:val="es-ES"/>
        </w:rPr>
      </w:pPr>
    </w:p>
    <w:p w14:paraId="5DF6D58D" w14:textId="4660C521" w:rsidR="00FC5D28" w:rsidRPr="00DC455A" w:rsidRDefault="00DC455A" w:rsidP="00DC455A">
      <w:pPr>
        <w:spacing w:after="0" w:line="240" w:lineRule="auto"/>
        <w:ind w:right="-93"/>
        <w:jc w:val="both"/>
        <w:rPr>
          <w:rFonts w:ascii="Verdana" w:eastAsia="Century Gothic" w:hAnsi="Verdana" w:cs="Century Gothic"/>
        </w:rPr>
      </w:pPr>
      <w:r>
        <w:rPr>
          <w:rFonts w:ascii="Verdana" w:eastAsia="Century Gothic" w:hAnsi="Verdana" w:cs="Century Gothic"/>
        </w:rPr>
        <w:t>D</w:t>
      </w:r>
      <w:r w:rsidRPr="00F71A6A">
        <w:rPr>
          <w:rFonts w:ascii="Verdana" w:eastAsia="Century Gothic" w:hAnsi="Verdana" w:cs="Century Gothic"/>
        </w:rPr>
        <w:t xml:space="preserve">e acuerdo con el contenido de su solicitud, esta agencia </w:t>
      </w:r>
      <w:r>
        <w:rPr>
          <w:rFonts w:ascii="Verdana" w:eastAsia="Century Gothic" w:hAnsi="Verdana" w:cs="Century Gothic"/>
        </w:rPr>
        <w:t>resolverá el siguiente problema jurídico: ¿En los procesos de contratación bajo la modalidad de mínima cuantía</w:t>
      </w:r>
      <w:r w:rsidRPr="00DC455A">
        <w:rPr>
          <w:rFonts w:ascii="Verdana" w:eastAsia="Century Gothic" w:hAnsi="Verdana" w:cs="Century Gothic"/>
        </w:rPr>
        <w:t xml:space="preserve"> está permitido realizar limitación a mipyme</w:t>
      </w:r>
      <w:r>
        <w:rPr>
          <w:rFonts w:ascii="Verdana" w:eastAsia="Century Gothic" w:hAnsi="Verdana" w:cs="Century Gothic"/>
        </w:rPr>
        <w:t>?</w:t>
      </w:r>
    </w:p>
    <w:p w14:paraId="616B67F9" w14:textId="77777777" w:rsidR="00FC5D28" w:rsidRDefault="00FC5D28" w:rsidP="005A75AB">
      <w:pPr>
        <w:spacing w:after="0" w:line="276" w:lineRule="auto"/>
        <w:jc w:val="both"/>
        <w:rPr>
          <w:rFonts w:ascii="Verdana" w:eastAsia="Century Gothic" w:hAnsi="Verdana" w:cs="Century Gothic"/>
          <w:b/>
          <w:bCs/>
        </w:rPr>
      </w:pPr>
    </w:p>
    <w:p w14:paraId="7080AEEB" w14:textId="77777777" w:rsidR="00FC5D28" w:rsidRDefault="00FC5D28" w:rsidP="005A75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C1BDA">
        <w:rPr>
          <w:rFonts w:ascii="Verdana" w:eastAsia="Century Gothic" w:hAnsi="Verdana" w:cs="Century Gothic"/>
          <w:b/>
          <w:bCs/>
        </w:rPr>
        <w:t>Respuesta:</w:t>
      </w:r>
    </w:p>
    <w:p w14:paraId="13C36A0E" w14:textId="77777777" w:rsidR="00FC5D28" w:rsidRPr="00F71A6A" w:rsidRDefault="00FC5D28" w:rsidP="00FC5D2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Look w:val="04A0" w:firstRow="1" w:lastRow="0" w:firstColumn="1" w:lastColumn="0" w:noHBand="0" w:noVBand="1"/>
      </w:tblPr>
      <w:tblGrid>
        <w:gridCol w:w="8828"/>
      </w:tblGrid>
      <w:tr w:rsidR="00FC5D28" w:rsidRPr="00F71A6A" w14:paraId="02EAAB6F" w14:textId="77777777" w:rsidTr="00A82F73">
        <w:tc>
          <w:tcPr>
            <w:tcW w:w="8828" w:type="dxa"/>
            <w:shd w:val="clear" w:color="auto" w:fill="auto"/>
          </w:tcPr>
          <w:p w14:paraId="00B572A6" w14:textId="4D8F6C77" w:rsidR="000118FB" w:rsidRPr="00FB696C" w:rsidRDefault="00DC455A" w:rsidP="000118FB">
            <w:pPr>
              <w:spacing w:before="120" w:after="120" w:line="276" w:lineRule="auto"/>
              <w:jc w:val="both"/>
              <w:rPr>
                <w:rFonts w:ascii="Verdana" w:eastAsia="Century Gothic" w:hAnsi="Verdana" w:cs="Century Gothic"/>
              </w:rPr>
            </w:pPr>
            <w:r w:rsidRPr="00FB696C">
              <w:rPr>
                <w:rFonts w:ascii="Verdana" w:eastAsia="Century Gothic" w:hAnsi="Verdana" w:cs="Century Gothic"/>
              </w:rPr>
              <w:t xml:space="preserve">Si. </w:t>
            </w:r>
            <w:r w:rsidR="000118FB" w:rsidRPr="00FB696C">
              <w:rPr>
                <w:rFonts w:ascii="Verdana" w:eastAsia="Century Gothic" w:hAnsi="Verdana" w:cs="Century Gothic"/>
              </w:rPr>
              <w:t xml:space="preserve">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 Teniendo en cuenta lo anterior, la nueva Subsección 5 contiene los siguientes artículos: i) El artículo 2.2.1.2.1.5.1. que se ocupa de desarrollar el contenido de los estudios previos para la contratación de mínima cuantía. ii) El 2.2.1.2.1.5.2. que contiene el procedimiento general de la mínima cuantía, señalando el contenido mínimo de la “invitación” y las distintas etapas y reglas que estructuran esta modalidad de selección, </w:t>
            </w:r>
            <w:r w:rsidR="000118FB" w:rsidRPr="006204ED">
              <w:rPr>
                <w:rFonts w:ascii="Verdana" w:eastAsia="Century Gothic" w:hAnsi="Verdana" w:cs="Century Gothic"/>
                <w:u w:val="single"/>
              </w:rPr>
              <w:t>incluyendo la forma en que procederán las convocatorias limitadas a MiPymes, de acuerdo con el mandato del parágrafo 1 del artículo 30 de la Ley 2069 de 2020</w:t>
            </w:r>
            <w:r w:rsidR="006E7936" w:rsidRPr="00FB696C">
              <w:rPr>
                <w:rFonts w:ascii="Verdana" w:eastAsia="Century Gothic" w:hAnsi="Verdana" w:cs="Century Gothic"/>
              </w:rPr>
              <w:t xml:space="preserve"> </w:t>
            </w:r>
            <w:r w:rsidR="00FB696C" w:rsidRPr="00FB696C">
              <w:rPr>
                <w:rFonts w:ascii="Verdana" w:eastAsia="Century Gothic" w:hAnsi="Verdana" w:cs="Century Gothic"/>
              </w:rPr>
              <w:t>(… )</w:t>
            </w:r>
            <w:r w:rsidR="000118FB" w:rsidRPr="00FB696C">
              <w:rPr>
                <w:rFonts w:ascii="Verdana" w:eastAsia="Century Gothic" w:hAnsi="Verdana" w:cs="Century Gothic"/>
              </w:rPr>
              <w:t>”.</w:t>
            </w:r>
            <w:r w:rsidR="006204ED">
              <w:rPr>
                <w:rFonts w:ascii="Verdana" w:eastAsia="Century Gothic" w:hAnsi="Verdana" w:cs="Century Gothic"/>
              </w:rPr>
              <w:t xml:space="preserve"> (subraya nuestra)</w:t>
            </w:r>
          </w:p>
          <w:p w14:paraId="1B4A48F9" w14:textId="77777777" w:rsidR="00FB696C" w:rsidRPr="00FB696C" w:rsidRDefault="00FB696C" w:rsidP="000118FB">
            <w:pPr>
              <w:spacing w:before="120" w:after="120" w:line="276" w:lineRule="auto"/>
              <w:jc w:val="both"/>
              <w:rPr>
                <w:rFonts w:ascii="Verdana" w:eastAsia="Century Gothic" w:hAnsi="Verdana" w:cs="Century Gothic"/>
              </w:rPr>
            </w:pPr>
          </w:p>
          <w:p w14:paraId="66B27133" w14:textId="3EF0C0E3" w:rsidR="00FB696C" w:rsidRPr="00FB696C" w:rsidRDefault="00FB696C" w:rsidP="000118FB">
            <w:pPr>
              <w:spacing w:before="120" w:after="120" w:line="276" w:lineRule="auto"/>
              <w:jc w:val="both"/>
              <w:rPr>
                <w:rFonts w:ascii="Verdana" w:eastAsia="Century Gothic" w:hAnsi="Verdana" w:cs="Century Gothic"/>
              </w:rPr>
            </w:pPr>
            <w:r w:rsidRPr="00FB696C">
              <w:rPr>
                <w:rFonts w:ascii="Verdana" w:eastAsia="Century Gothic" w:hAnsi="Verdana" w:cs="Century Gothic"/>
              </w:rPr>
              <w:lastRenderedPageBreak/>
              <w:t xml:space="preserve">En este sentido la norma habilita la limitación </w:t>
            </w:r>
            <w:r w:rsidR="006204ED">
              <w:rPr>
                <w:rFonts w:ascii="Verdana" w:eastAsia="Century Gothic" w:hAnsi="Verdana" w:cs="Century Gothic"/>
              </w:rPr>
              <w:t xml:space="preserve">a MiPymes </w:t>
            </w:r>
            <w:r w:rsidRPr="00FB696C">
              <w:rPr>
                <w:rFonts w:ascii="Verdana" w:eastAsia="Century Gothic" w:hAnsi="Verdana" w:cs="Century Gothic"/>
              </w:rPr>
              <w:t xml:space="preserve">para dicha modalidad mientras se cumplan los requisitos establecidos en el artículo Artículo 2.2.1.2.4.2.2. del Decreto 1082 de 2015. </w:t>
            </w:r>
          </w:p>
          <w:p w14:paraId="7DE43C75" w14:textId="77777777" w:rsidR="00FB696C" w:rsidRPr="00FB696C" w:rsidRDefault="00FB696C" w:rsidP="000118FB">
            <w:pPr>
              <w:spacing w:before="120" w:after="120" w:line="276" w:lineRule="auto"/>
              <w:jc w:val="both"/>
              <w:rPr>
                <w:rFonts w:ascii="Verdana" w:eastAsia="Century Gothic" w:hAnsi="Verdana" w:cs="Century Gothic"/>
              </w:rPr>
            </w:pPr>
          </w:p>
          <w:p w14:paraId="4AC85827" w14:textId="5119AF18" w:rsidR="001D4D4B" w:rsidRPr="00FB696C" w:rsidRDefault="001D4D4B" w:rsidP="005A75AB">
            <w:pPr>
              <w:spacing w:before="120" w:line="276" w:lineRule="auto"/>
              <w:ind w:firstLine="709"/>
              <w:jc w:val="both"/>
              <w:rPr>
                <w:rFonts w:ascii="Verdana" w:eastAsia="Century Gothic" w:hAnsi="Verdana" w:cs="Century Gothic"/>
              </w:rPr>
            </w:pPr>
          </w:p>
        </w:tc>
      </w:tr>
    </w:tbl>
    <w:p w14:paraId="7FBF7DF0" w14:textId="77777777" w:rsidR="00FC5D28" w:rsidRPr="00F71A6A" w:rsidRDefault="00FC5D28" w:rsidP="00FC5D28">
      <w:pPr>
        <w:tabs>
          <w:tab w:val="left" w:pos="142"/>
          <w:tab w:val="left" w:pos="284"/>
        </w:tabs>
        <w:spacing w:after="0" w:line="276" w:lineRule="auto"/>
        <w:jc w:val="both"/>
        <w:rPr>
          <w:rFonts w:ascii="Verdana" w:eastAsia="Century Gothic" w:hAnsi="Verdana" w:cs="Century Gothic"/>
          <w:b/>
          <w:bCs/>
          <w:lang w:val="es-ES"/>
        </w:rPr>
      </w:pPr>
    </w:p>
    <w:p w14:paraId="704F5E5E" w14:textId="77777777" w:rsidR="00FC5D28" w:rsidRPr="00F71A6A" w:rsidRDefault="00FC5D28" w:rsidP="00FC5D2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1A6A">
        <w:rPr>
          <w:rFonts w:ascii="Verdana" w:eastAsia="Century Gothic" w:hAnsi="Verdana" w:cs="Century Gothic"/>
          <w:b/>
          <w:bCs/>
        </w:rPr>
        <w:t>Razones de la respuesta:</w:t>
      </w:r>
    </w:p>
    <w:p w14:paraId="2FE42892" w14:textId="77777777" w:rsidR="00FC5D28" w:rsidRPr="00F71A6A" w:rsidRDefault="00FC5D28" w:rsidP="00FC5D28">
      <w:pPr>
        <w:spacing w:after="0" w:line="276" w:lineRule="auto"/>
        <w:jc w:val="both"/>
        <w:rPr>
          <w:rFonts w:ascii="Verdana" w:eastAsia="Calibri" w:hAnsi="Verdana" w:cs="Arial"/>
          <w:color w:val="7030A0"/>
          <w:lang w:val="es-ES"/>
        </w:rPr>
      </w:pPr>
    </w:p>
    <w:p w14:paraId="5EF53C95" w14:textId="77777777" w:rsidR="00FC5D28" w:rsidRDefault="00FC5D28" w:rsidP="00FC5D28">
      <w:pPr>
        <w:spacing w:after="0" w:line="276" w:lineRule="auto"/>
        <w:jc w:val="both"/>
        <w:rPr>
          <w:rFonts w:ascii="Verdana" w:eastAsia="Calibri" w:hAnsi="Verdana" w:cs="Arial"/>
          <w:lang w:val="es-ES"/>
        </w:rPr>
      </w:pPr>
      <w:r w:rsidRPr="00F71A6A">
        <w:rPr>
          <w:rFonts w:ascii="Verdana" w:eastAsia="Calibri" w:hAnsi="Verdana" w:cs="Arial"/>
          <w:lang w:val="es-ES"/>
        </w:rPr>
        <w:t xml:space="preserve">Lo anterior se sustenta en las siguientes consideraciones: </w:t>
      </w:r>
      <w:bookmarkStart w:id="2" w:name="_Hlk192104360"/>
    </w:p>
    <w:p w14:paraId="01220E47" w14:textId="77777777" w:rsidR="00FC5D28" w:rsidRDefault="00FC5D28" w:rsidP="00FC5D28">
      <w:pPr>
        <w:spacing w:after="0" w:line="276" w:lineRule="auto"/>
        <w:jc w:val="both"/>
        <w:rPr>
          <w:rFonts w:ascii="Verdana" w:eastAsia="Calibri" w:hAnsi="Verdana" w:cs="Arial"/>
          <w:lang w:val="es-ES"/>
        </w:rPr>
      </w:pPr>
    </w:p>
    <w:p w14:paraId="128A6DB9" w14:textId="77777777" w:rsidR="00FC5D28" w:rsidRPr="00C940A9" w:rsidRDefault="00FC5D28" w:rsidP="00FC5D28">
      <w:pPr>
        <w:shd w:val="clear" w:color="auto" w:fill="FFFFFF" w:themeFill="background1"/>
        <w:spacing w:after="120" w:line="276" w:lineRule="auto"/>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El artículo 30 de la Ley 2069 de 2020 modificó el numeral 5 del artículo 2 de la Ley 1150 de 2007, el cual regula el proceso de contratación a través de la mínima cuantía. Esta es una modalidad de selección en virtud de la cual</w:t>
      </w:r>
      <w:r>
        <w:rPr>
          <w:rFonts w:ascii="Verdana" w:eastAsia="Calibri" w:hAnsi="Verdana" w:cs="Arial"/>
          <w:color w:val="000000" w:themeColor="text1"/>
          <w:lang w:val="es-ES"/>
        </w:rPr>
        <w:t>,</w:t>
      </w:r>
      <w:r w:rsidRPr="00C940A9">
        <w:rPr>
          <w:rFonts w:ascii="Verdana" w:eastAsia="Calibri" w:hAnsi="Verdana" w:cs="Arial"/>
          <w:color w:val="000000" w:themeColor="text1"/>
          <w:lang w:val="es-ES"/>
        </w:rPr>
        <w:t xml:space="preserve"> la entidad estatal realiza una convocatoria pública para recibir ofertas de bienes, obras o servicios cuyo valor no excede el diez por ciento (10%) de la menor cuantía. El factor determinante para llevar a cabo tal procedimiento es la cuantía –calculada como presupuesto oficial a partir del estudio del sector–, independientemente de su objeto</w:t>
      </w:r>
      <w:r w:rsidRPr="00C940A9">
        <w:rPr>
          <w:rFonts w:ascii="Verdana" w:eastAsia="Calibri" w:hAnsi="Verdana" w:cs="Arial"/>
          <w:color w:val="000000" w:themeColor="text1"/>
          <w:vertAlign w:val="superscript"/>
          <w:lang w:val="es-ES"/>
        </w:rPr>
        <w:footnoteReference w:id="2"/>
      </w:r>
      <w:r w:rsidRPr="00C940A9">
        <w:rPr>
          <w:rFonts w:ascii="Verdana" w:eastAsia="Calibri" w:hAnsi="Verdana" w:cs="Arial"/>
          <w:color w:val="000000" w:themeColor="text1"/>
          <w:lang w:val="es-ES"/>
        </w:rPr>
        <w:t xml:space="preserve">. </w:t>
      </w:r>
    </w:p>
    <w:p w14:paraId="63A000F6" w14:textId="77777777" w:rsidR="00FC5D28" w:rsidRPr="00C940A9" w:rsidRDefault="00FC5D28" w:rsidP="005A75AB">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El parágrafo 1 del artículo 30 de la Ley 2069 de 2020 dispone que el reglamento que expedirá el Gobierno nacional tiene como objetivo definir: i) las “particularidades del procedimiento de selección” y ii) la posibilidad de realizar estas adquisiciones a MiPymes o establecimientos que correspondan a la definición de “gran almacén</w:t>
      </w:r>
      <w:r>
        <w:rPr>
          <w:rFonts w:ascii="Verdana" w:eastAsia="Calibri" w:hAnsi="Verdana" w:cs="Arial"/>
          <w:color w:val="000000" w:themeColor="text1"/>
          <w:lang w:val="es-ES"/>
        </w:rPr>
        <w:t>”</w:t>
      </w:r>
      <w:r w:rsidRPr="00C940A9">
        <w:rPr>
          <w:rFonts w:ascii="Verdana" w:eastAsia="Calibri" w:hAnsi="Verdana" w:cs="Arial"/>
          <w:color w:val="000000" w:themeColor="text1"/>
          <w:lang w:val="es-ES"/>
        </w:rPr>
        <w:t>.</w:t>
      </w:r>
    </w:p>
    <w:p w14:paraId="0C51CFE6" w14:textId="77777777" w:rsidR="00FC5D28" w:rsidRPr="00C940A9" w:rsidRDefault="00FC5D28" w:rsidP="00FC5D28">
      <w:pPr>
        <w:shd w:val="clear" w:color="auto" w:fill="FFFFFF" w:themeFill="background1"/>
        <w:spacing w:after="120" w:line="276" w:lineRule="auto"/>
        <w:ind w:firstLine="708"/>
        <w:jc w:val="both"/>
        <w:textAlignment w:val="baseline"/>
        <w:rPr>
          <w:rFonts w:ascii="Verdana" w:eastAsia="Calibri" w:hAnsi="Verdana" w:cs="Arial"/>
          <w:bCs/>
          <w:color w:val="000000" w:themeColor="text1"/>
        </w:rPr>
      </w:pPr>
      <w:r w:rsidRPr="00C940A9">
        <w:rPr>
          <w:rFonts w:ascii="Verdana" w:eastAsia="Calibri" w:hAnsi="Verdana" w:cs="Arial"/>
          <w:bCs/>
          <w:color w:val="000000" w:themeColor="text1"/>
          <w:lang w:val="es-ES_tradnl"/>
        </w:rPr>
        <w:t xml:space="preserve">Con fundamento en lo anterior, el Gobierno Nacional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El artículo 8 </w:t>
      </w:r>
      <w:r w:rsidRPr="00C940A9">
        <w:rPr>
          <w:rFonts w:ascii="Verdana" w:eastAsia="Calibri" w:hAnsi="Verdana" w:cs="Arial"/>
          <w:bCs/>
          <w:i/>
          <w:iCs/>
          <w:color w:val="000000" w:themeColor="text1"/>
          <w:lang w:val="es-ES_tradnl"/>
        </w:rPr>
        <w:t>ibidem</w:t>
      </w:r>
      <w:r w:rsidRPr="00C940A9">
        <w:rPr>
          <w:rFonts w:ascii="Verdana" w:eastAsia="Calibri" w:hAnsi="Verdana" w:cs="Arial"/>
          <w:bCs/>
          <w:color w:val="000000" w:themeColor="text1"/>
          <w:lang w:val="es-ES_tradnl"/>
        </w:rPr>
        <w:t xml:space="preserve"> sometió a un plazo la entrada en vigencia de sus disposiciones, al señalar que “aplicarán a los procedimientos de selección </w:t>
      </w:r>
      <w:r w:rsidRPr="00C940A9">
        <w:rPr>
          <w:rFonts w:ascii="Verdana" w:eastAsia="Calibri" w:hAnsi="Verdana" w:cs="Arial"/>
          <w:bCs/>
          <w:color w:val="000000" w:themeColor="text1"/>
          <w:lang w:val="es-ES_tradnl"/>
        </w:rPr>
        <w:lastRenderedPageBreak/>
        <w:t>cuya invitación, aviso de convocatoria o documento equivalente se publique a los tres (3) meses contados a partir de su expedición”</w:t>
      </w:r>
      <w:r w:rsidRPr="00C940A9">
        <w:rPr>
          <w:rFonts w:ascii="Verdana" w:eastAsia="Calibri" w:hAnsi="Verdana" w:cs="Arial"/>
          <w:bCs/>
          <w:color w:val="000000" w:themeColor="text1"/>
          <w:vertAlign w:val="superscript"/>
          <w:lang w:val="es-ES_tradnl"/>
        </w:rPr>
        <w:footnoteReference w:id="3"/>
      </w:r>
      <w:r w:rsidRPr="00C940A9">
        <w:rPr>
          <w:rFonts w:ascii="Verdana" w:eastAsia="Calibri" w:hAnsi="Verdana" w:cs="Arial"/>
          <w:bCs/>
          <w:color w:val="000000" w:themeColor="text1"/>
        </w:rPr>
        <w:t xml:space="preserve">. </w:t>
      </w:r>
    </w:p>
    <w:p w14:paraId="3DE8BD28" w14:textId="77777777" w:rsidR="00082F86" w:rsidRDefault="00FC5D28" w:rsidP="00A44D96">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 xml:space="preserve">Entre los aspectos reglamentados por el mencionado decreto se encuentra el procedimiento de mínima cuantía. Así las cosas,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 Teniendo en cuenta lo anterior, la nueva Subsección 5 contiene los siguientes artículos: </w:t>
      </w:r>
    </w:p>
    <w:p w14:paraId="5F163080" w14:textId="4DCD22BD" w:rsidR="00082F86" w:rsidRDefault="00FC5D28" w:rsidP="00A44D96">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 xml:space="preserve">i) </w:t>
      </w:r>
      <w:bookmarkStart w:id="4" w:name="_Hlk194041046"/>
      <w:r w:rsidR="00082F86">
        <w:rPr>
          <w:rFonts w:ascii="Verdana" w:eastAsia="Calibri" w:hAnsi="Verdana" w:cs="Arial"/>
          <w:color w:val="000000" w:themeColor="text1"/>
          <w:lang w:val="es-ES"/>
        </w:rPr>
        <w:t xml:space="preserve">El artículo </w:t>
      </w:r>
      <w:r w:rsidRPr="00C940A9">
        <w:rPr>
          <w:rFonts w:ascii="Verdana" w:eastAsia="Calibri" w:hAnsi="Verdana" w:cs="Arial"/>
          <w:color w:val="000000" w:themeColor="text1"/>
          <w:lang w:val="es-ES"/>
        </w:rPr>
        <w:t>2.2.1.2.1.5.1</w:t>
      </w:r>
      <w:bookmarkEnd w:id="4"/>
      <w:r w:rsidRPr="00C940A9">
        <w:rPr>
          <w:rFonts w:ascii="Verdana" w:eastAsia="Calibri" w:hAnsi="Verdana" w:cs="Arial"/>
          <w:color w:val="000000" w:themeColor="text1"/>
          <w:lang w:val="es-ES"/>
        </w:rPr>
        <w:t xml:space="preserve">. que se ocupa de desarrollar el contenido de los estudios previos para la contratación de mínima cuantía. </w:t>
      </w:r>
    </w:p>
    <w:p w14:paraId="008C8482" w14:textId="44825047" w:rsidR="00082F86" w:rsidRDefault="00FC5D28" w:rsidP="00A44D96">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 xml:space="preserve">ii) </w:t>
      </w:r>
      <w:r w:rsidR="00082F86">
        <w:rPr>
          <w:rFonts w:ascii="Verdana" w:eastAsia="Calibri" w:hAnsi="Verdana" w:cs="Arial"/>
          <w:color w:val="000000" w:themeColor="text1"/>
          <w:lang w:val="es-ES"/>
        </w:rPr>
        <w:t>El</w:t>
      </w:r>
      <w:r w:rsidRPr="00C940A9">
        <w:rPr>
          <w:rFonts w:ascii="Verdana" w:eastAsia="Calibri" w:hAnsi="Verdana" w:cs="Arial"/>
          <w:color w:val="000000" w:themeColor="text1"/>
          <w:lang w:val="es-ES"/>
        </w:rPr>
        <w:t xml:space="preserve"> 2.2.1.2.1.5.2. que contiene el procedimiento general de la mínima cuantía, señalando el contenido mínimo de la “invitación” y las distintas etapas y reglas que estructuran esta modalidad de selección, incluyendo la forma en que procederán las convocatorias limitadas a MiPymes, de acuerdo con el mandato del parágrafo 1 del artículo 30 de la Ley 2069 de 2020. </w:t>
      </w:r>
    </w:p>
    <w:p w14:paraId="4D36EEB4" w14:textId="77777777" w:rsidR="001B1CD1" w:rsidRDefault="00FC5D28" w:rsidP="00A44D96">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 xml:space="preserve">iii) </w:t>
      </w:r>
      <w:r w:rsidR="001B1CD1">
        <w:rPr>
          <w:rFonts w:ascii="Verdana" w:eastAsia="Calibri" w:hAnsi="Verdana" w:cs="Arial"/>
          <w:color w:val="000000" w:themeColor="text1"/>
          <w:lang w:val="es-ES"/>
        </w:rPr>
        <w:t>El</w:t>
      </w:r>
      <w:r w:rsidRPr="00C940A9">
        <w:rPr>
          <w:rFonts w:ascii="Verdana" w:eastAsia="Calibri" w:hAnsi="Verdana" w:cs="Arial"/>
          <w:color w:val="000000" w:themeColor="text1"/>
          <w:lang w:val="es-ES"/>
        </w:rPr>
        <w:t xml:space="preserve"> </w:t>
      </w:r>
      <w:bookmarkStart w:id="5" w:name="_Hlk194041070"/>
      <w:r w:rsidRPr="00C940A9">
        <w:rPr>
          <w:rFonts w:ascii="Verdana" w:eastAsia="Calibri" w:hAnsi="Verdana" w:cs="Arial"/>
          <w:color w:val="000000" w:themeColor="text1"/>
          <w:lang w:val="es-ES"/>
        </w:rPr>
        <w:t>2.2.1.2.1.5.3.</w:t>
      </w:r>
      <w:bookmarkEnd w:id="5"/>
      <w:r w:rsidRPr="00C940A9">
        <w:rPr>
          <w:rFonts w:ascii="Verdana" w:eastAsia="Calibri" w:hAnsi="Verdana" w:cs="Arial"/>
          <w:color w:val="000000" w:themeColor="text1"/>
          <w:lang w:val="es-ES"/>
        </w:rPr>
        <w:t xml:space="preserve"> que regula un procedimiento especial para las adquisiciones en grandes almacenes cuando se trate de mínima cuantía. </w:t>
      </w:r>
    </w:p>
    <w:p w14:paraId="23379B2A" w14:textId="43868F8B" w:rsidR="001B1CD1" w:rsidRDefault="00FC5D28" w:rsidP="00A44D96">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 xml:space="preserve">iv) </w:t>
      </w:r>
      <w:r w:rsidR="001B1CD1">
        <w:rPr>
          <w:rFonts w:ascii="Verdana" w:eastAsia="Calibri" w:hAnsi="Verdana" w:cs="Arial"/>
          <w:color w:val="000000" w:themeColor="text1"/>
          <w:lang w:val="es-ES"/>
        </w:rPr>
        <w:t>El artículo</w:t>
      </w:r>
      <w:r w:rsidRPr="00C940A9">
        <w:rPr>
          <w:rFonts w:ascii="Verdana" w:eastAsia="Calibri" w:hAnsi="Verdana" w:cs="Arial"/>
          <w:color w:val="000000" w:themeColor="text1"/>
          <w:lang w:val="es-ES"/>
        </w:rPr>
        <w:t xml:space="preserve"> </w:t>
      </w:r>
      <w:bookmarkStart w:id="6" w:name="_Hlk194041078"/>
      <w:r w:rsidRPr="00C940A9">
        <w:rPr>
          <w:rFonts w:ascii="Verdana" w:eastAsia="Calibri" w:hAnsi="Verdana" w:cs="Arial"/>
          <w:color w:val="000000" w:themeColor="text1"/>
          <w:lang w:val="es-ES"/>
        </w:rPr>
        <w:t xml:space="preserve">2.2.1.2.1.5.4. </w:t>
      </w:r>
      <w:bookmarkEnd w:id="6"/>
      <w:r w:rsidRPr="00C940A9">
        <w:rPr>
          <w:rFonts w:ascii="Verdana" w:eastAsia="Calibri" w:hAnsi="Verdana" w:cs="Arial"/>
          <w:color w:val="000000" w:themeColor="text1"/>
          <w:lang w:val="es-ES"/>
        </w:rPr>
        <w:t>el cual establece la posibilidad de que</w:t>
      </w:r>
      <w:r w:rsidRPr="001D4AC1">
        <w:rPr>
          <w:rFonts w:ascii="Century Gothic" w:eastAsia="Calibri" w:hAnsi="Century Gothic" w:cs="Arial"/>
          <w:color w:val="000000" w:themeColor="text1"/>
          <w:lang w:val="es-ES"/>
        </w:rPr>
        <w:t xml:space="preserve"> </w:t>
      </w:r>
      <w:r w:rsidRPr="00C940A9">
        <w:rPr>
          <w:rFonts w:ascii="Verdana" w:eastAsia="Calibri" w:hAnsi="Verdana" w:cs="Arial"/>
          <w:color w:val="000000" w:themeColor="text1"/>
          <w:lang w:val="es-ES"/>
        </w:rPr>
        <w:t xml:space="preserve">la Agencia Nacional de Contratación Pública – Colombia Compra Eficiente defina las reglas para la utilización de instrumentos de agregación de demanda en la Tienda Virtual del Estado Colombiano para adquisiciones hasta el monto de la mínima cuantía con MiPymes y con grandes almacenes. </w:t>
      </w:r>
    </w:p>
    <w:p w14:paraId="39A1635A" w14:textId="37A7D256" w:rsidR="00FC5D28" w:rsidRPr="00C940A9" w:rsidRDefault="00FC5D28" w:rsidP="00FC5D28">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 xml:space="preserve">v) </w:t>
      </w:r>
      <w:r w:rsidR="001B1CD1">
        <w:rPr>
          <w:rFonts w:ascii="Verdana" w:eastAsia="Calibri" w:hAnsi="Verdana" w:cs="Arial"/>
          <w:color w:val="000000" w:themeColor="text1"/>
          <w:lang w:val="es-ES"/>
        </w:rPr>
        <w:t xml:space="preserve">El artículo </w:t>
      </w:r>
      <w:r w:rsidRPr="00C940A9">
        <w:rPr>
          <w:rFonts w:ascii="Verdana" w:eastAsia="Calibri" w:hAnsi="Verdana" w:cs="Arial"/>
          <w:color w:val="000000" w:themeColor="text1"/>
          <w:lang w:val="es-ES"/>
        </w:rPr>
        <w:t>2.2.1.2.1.5.5. establece que la entidad estatal es libre de exigir o no garantías en el proceso de selección de mínima cuantía y en la adquisición de “grandes almacenes”.</w:t>
      </w:r>
    </w:p>
    <w:p w14:paraId="7F6D4164" w14:textId="77777777" w:rsidR="00FC5D28" w:rsidRPr="00C940A9" w:rsidRDefault="00FC5D28" w:rsidP="00FC5D28">
      <w:pPr>
        <w:spacing w:after="120" w:line="276" w:lineRule="auto"/>
        <w:ind w:firstLine="709"/>
        <w:jc w:val="both"/>
        <w:rPr>
          <w:rFonts w:ascii="Verdana" w:hAnsi="Verdana" w:cs="Arial"/>
          <w:bCs/>
          <w:lang w:eastAsia="es-ES"/>
        </w:rPr>
      </w:pPr>
      <w:r w:rsidRPr="00C940A9">
        <w:rPr>
          <w:rFonts w:ascii="Verdana" w:hAnsi="Verdana" w:cs="Arial"/>
          <w:bCs/>
          <w:lang w:val="es-ES_tradnl" w:eastAsia="es-ES"/>
        </w:rPr>
        <w:t xml:space="preserve">Ahora bien, el artículo 5 del Decreto 1860 de 2021 modificó </w:t>
      </w:r>
      <w:r w:rsidRPr="00C940A9">
        <w:rPr>
          <w:rFonts w:ascii="Verdana" w:hAnsi="Verdana" w:cs="Arial"/>
          <w:bCs/>
          <w:lang w:eastAsia="es-ES"/>
        </w:rPr>
        <w:t xml:space="preserve">los artículos </w:t>
      </w:r>
      <w:bookmarkStart w:id="7" w:name="_Hlk194041112"/>
      <w:r w:rsidRPr="00C940A9">
        <w:rPr>
          <w:rFonts w:ascii="Verdana" w:hAnsi="Verdana" w:cs="Arial"/>
          <w:bCs/>
          <w:lang w:eastAsia="es-ES"/>
        </w:rPr>
        <w:t>2.2.1.2.4.2.2., 2.2.1.2.4.2.3. y 2.2.1.2.4.2.4</w:t>
      </w:r>
      <w:bookmarkEnd w:id="7"/>
      <w:r w:rsidRPr="00C940A9">
        <w:rPr>
          <w:rFonts w:ascii="Verdana" w:hAnsi="Verdana" w:cs="Arial"/>
          <w:bCs/>
          <w:lang w:eastAsia="es-ES"/>
        </w:rPr>
        <w:t>. de la Subsección 2 de la Sección 4 del Capítulo 2 del Título 1 de la Parte 2 del Libro 2 del Decreto 1082 de 2015, reglamentando</w:t>
      </w:r>
      <w:r w:rsidRPr="00C940A9">
        <w:rPr>
          <w:rFonts w:ascii="Verdana" w:hAnsi="Verdana" w:cs="Arial"/>
          <w:bCs/>
          <w:lang w:val="es-ES_tradnl" w:eastAsia="es-ES"/>
        </w:rPr>
        <w:t xml:space="preserve"> las convocatorias limitadas a Mipyme, con fundamento en lo </w:t>
      </w:r>
      <w:r w:rsidRPr="00C940A9">
        <w:rPr>
          <w:rFonts w:ascii="Verdana" w:hAnsi="Verdana" w:cs="Arial"/>
          <w:bCs/>
          <w:lang w:val="es-ES_tradnl" w:eastAsia="es-ES"/>
        </w:rPr>
        <w:lastRenderedPageBreak/>
        <w:t xml:space="preserve">establecido en el artículo 34 de la Ley 2069 de 2020. Esta nueva Subsección 2 contempla los siguientes aspectos: i) requisitos para limitar la convocatoria de los </w:t>
      </w:r>
      <w:r w:rsidRPr="00C940A9">
        <w:rPr>
          <w:rFonts w:ascii="Verdana" w:hAnsi="Verdana" w:cs="Arial"/>
          <w:bCs/>
          <w:lang w:eastAsia="es-ES"/>
        </w:rPr>
        <w:t>procesos de contratación con pluralidad de oferentes</w:t>
      </w:r>
      <w:r w:rsidRPr="00C940A9">
        <w:rPr>
          <w:rFonts w:ascii="Verdana" w:hAnsi="Verdana" w:cs="Arial"/>
          <w:bCs/>
          <w:lang w:val="es-ES_tradnl" w:eastAsia="es-ES"/>
        </w:rPr>
        <w:t xml:space="preserve"> a las Mipyme colombianas con mínimo un (1) año de existencia – artículo </w:t>
      </w:r>
      <w:r w:rsidRPr="00C940A9">
        <w:rPr>
          <w:rFonts w:ascii="Verdana" w:hAnsi="Verdana" w:cs="Arial"/>
          <w:bCs/>
          <w:lang w:eastAsia="es-ES"/>
        </w:rPr>
        <w:t>2.2.1.2.4.2.2-</w:t>
      </w:r>
      <w:r w:rsidRPr="00C940A9">
        <w:rPr>
          <w:rFonts w:ascii="Verdana" w:hAnsi="Verdana" w:cs="Arial"/>
          <w:bCs/>
          <w:lang w:val="es-ES_tradnl" w:eastAsia="es-ES"/>
        </w:rPr>
        <w:t xml:space="preserve"> , ii) desarrolla las </w:t>
      </w:r>
      <w:r w:rsidRPr="00C940A9">
        <w:rPr>
          <w:rFonts w:ascii="Verdana" w:hAnsi="Verdana" w:cs="Arial"/>
          <w:bCs/>
          <w:lang w:eastAsia="es-ES"/>
        </w:rPr>
        <w:t>convocatorias limitadas a Mipyme colombianas que tengan domicilio en los departamentos o municipios en donde se va a ejecutar el contrato – artículo 2.2.1.2.4.2.3.,</w:t>
      </w:r>
      <w:r w:rsidRPr="00C940A9">
        <w:rPr>
          <w:rFonts w:ascii="Verdana" w:hAnsi="Verdana" w:cs="Arial"/>
          <w:bCs/>
          <w:lang w:val="es-ES_tradnl" w:eastAsia="es-ES"/>
        </w:rPr>
        <w:t xml:space="preserve"> y iii) </w:t>
      </w:r>
      <w:r w:rsidRPr="00C940A9">
        <w:rPr>
          <w:rFonts w:ascii="Verdana" w:hAnsi="Verdana" w:cs="Arial"/>
          <w:bCs/>
          <w:lang w:eastAsia="es-ES"/>
        </w:rPr>
        <w:t>regula la acreditación de requisitos para participar en convocatorias limitadas – artículo 2.2.1.2.4.2.4-</w:t>
      </w:r>
      <w:r>
        <w:rPr>
          <w:rFonts w:ascii="Verdana" w:hAnsi="Verdana" w:cs="Arial"/>
          <w:bCs/>
          <w:lang w:eastAsia="es-ES"/>
        </w:rPr>
        <w:t>.</w:t>
      </w:r>
    </w:p>
    <w:p w14:paraId="1D72A765" w14:textId="77777777" w:rsidR="00FC5D28" w:rsidRPr="00C940A9" w:rsidRDefault="00FC5D28" w:rsidP="00FC5D28">
      <w:pPr>
        <w:spacing w:after="120" w:line="276" w:lineRule="auto"/>
        <w:ind w:firstLine="709"/>
        <w:jc w:val="both"/>
        <w:rPr>
          <w:rFonts w:ascii="Verdana" w:hAnsi="Verdana" w:cs="Arial"/>
          <w:lang w:val="es-ES" w:eastAsia="es-ES"/>
        </w:rPr>
      </w:pPr>
      <w:r w:rsidRPr="00C940A9">
        <w:rPr>
          <w:rFonts w:ascii="Verdana" w:hAnsi="Verdana" w:cs="Arial"/>
          <w:lang w:val="es-ES" w:eastAsia="es-ES"/>
        </w:rPr>
        <w:t>De esta manera, el artículo 5 del Decreto 1860 de 2021, que modifica los artículos del Decreto 1082 de 2015 expuestos en el párrafo anterior, constituye la nueva reglamentación del artículo 34 de la Ley 2069 de 2020, al desarrollar las reglas aplicables a las convocatorias limitadas a Mipyme,</w:t>
      </w:r>
      <w:r w:rsidRPr="00C940A9">
        <w:rPr>
          <w:rFonts w:ascii="Verdana" w:eastAsia="Calibri" w:hAnsi="Verdana" w:cs="Arial"/>
          <w:lang w:val="es-ES"/>
        </w:rPr>
        <w:t xml:space="preserve"> </w:t>
      </w:r>
      <w:r w:rsidRPr="00C940A9">
        <w:rPr>
          <w:rFonts w:ascii="Verdana" w:hAnsi="Verdana" w:cs="Arial"/>
          <w:lang w:val="es-ES" w:eastAsia="es-ES"/>
        </w:rPr>
        <w:t xml:space="preserve">disposición que entró a regir desde el 24 de marzo de 2022, pues, como se indicó, </w:t>
      </w:r>
      <w:r w:rsidRPr="00C940A9">
        <w:rPr>
          <w:rFonts w:ascii="Verdana" w:eastAsia="Calibri" w:hAnsi="Verdana" w:cs="Arial"/>
          <w:lang w:val="es-ES"/>
        </w:rPr>
        <w:t>el artículo 8 de dicho decreto sometió su vigencia al transcurso del periodo de 3 meses siguientes a su expedición.</w:t>
      </w:r>
    </w:p>
    <w:p w14:paraId="528C9027" w14:textId="77777777" w:rsidR="00FC5D28" w:rsidRPr="00C940A9" w:rsidRDefault="00FC5D28" w:rsidP="005A75AB">
      <w:pPr>
        <w:spacing w:after="0" w:line="276" w:lineRule="auto"/>
        <w:ind w:firstLine="709"/>
        <w:jc w:val="both"/>
        <w:rPr>
          <w:rFonts w:ascii="Verdana" w:eastAsia="Arial" w:hAnsi="Verdana" w:cs="Arial"/>
          <w:color w:val="000000"/>
        </w:rPr>
      </w:pPr>
      <w:r w:rsidRPr="00C940A9">
        <w:rPr>
          <w:rFonts w:ascii="Verdana" w:eastAsia="Arial" w:hAnsi="Verdana" w:cs="Arial"/>
          <w:color w:val="000000"/>
        </w:rPr>
        <w:t xml:space="preserve">En este contexto, el artículo 2.2.1.2.4.2.2. del Decreto 1082 de 2015 –modificado por el Decreto 1860 de 2021– establece los requisitos que se deben acreditar en las “convocatorias limitadas a Mipymes”.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señalados allí. Al respecto indica lo siguiente: </w:t>
      </w:r>
    </w:p>
    <w:p w14:paraId="3CF9B141" w14:textId="77777777" w:rsidR="00A44D96" w:rsidRDefault="00A44D96" w:rsidP="005A75AB">
      <w:pPr>
        <w:spacing w:after="0"/>
        <w:ind w:left="709" w:right="709"/>
        <w:jc w:val="both"/>
        <w:rPr>
          <w:rFonts w:ascii="Verdana" w:eastAsia="Calibri" w:hAnsi="Verdana" w:cs="Arial"/>
          <w:sz w:val="20"/>
          <w:szCs w:val="20"/>
          <w:lang w:val="es-ES"/>
        </w:rPr>
      </w:pPr>
    </w:p>
    <w:p w14:paraId="7583066D" w14:textId="44058DD3" w:rsidR="00FC5D28" w:rsidRPr="00C940A9" w:rsidRDefault="00885A39" w:rsidP="00885A39">
      <w:pPr>
        <w:spacing w:after="0" w:line="240" w:lineRule="auto"/>
        <w:ind w:left="709" w:right="709"/>
        <w:jc w:val="both"/>
        <w:rPr>
          <w:rFonts w:ascii="Verdana" w:eastAsia="Calibri" w:hAnsi="Verdana" w:cs="Arial"/>
          <w:sz w:val="20"/>
          <w:szCs w:val="20"/>
          <w:lang w:val="es-ES"/>
        </w:rPr>
      </w:pPr>
      <w:r>
        <w:rPr>
          <w:rFonts w:ascii="Verdana" w:eastAsia="Calibri" w:hAnsi="Verdana" w:cs="Arial"/>
          <w:sz w:val="20"/>
          <w:szCs w:val="20"/>
          <w:lang w:val="es-ES"/>
        </w:rPr>
        <w:t>“</w:t>
      </w:r>
      <w:r w:rsidR="00FC5D28" w:rsidRPr="00C940A9">
        <w:rPr>
          <w:rFonts w:ascii="Verdana" w:eastAsia="Calibri" w:hAnsi="Verdana" w:cs="Arial"/>
          <w:sz w:val="20"/>
          <w:szCs w:val="20"/>
          <w:lang w:val="es-ES"/>
        </w:rPr>
        <w:t xml:space="preserve">Artículo 2.2.1.2.4.2.2. Convocatorias Imitadas a Mipyme.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66FB4731" w14:textId="77777777" w:rsidR="00885A39" w:rsidRPr="00C940A9" w:rsidRDefault="00885A39" w:rsidP="005A75AB">
      <w:pPr>
        <w:spacing w:after="0" w:line="240" w:lineRule="auto"/>
        <w:ind w:left="709" w:right="709"/>
        <w:jc w:val="both"/>
        <w:rPr>
          <w:rFonts w:ascii="Verdana" w:eastAsia="Calibri" w:hAnsi="Verdana" w:cs="Arial"/>
          <w:sz w:val="20"/>
          <w:szCs w:val="20"/>
          <w:lang w:val="es-ES"/>
        </w:rPr>
      </w:pPr>
    </w:p>
    <w:p w14:paraId="3E9A70C5" w14:textId="77777777" w:rsidR="00FC5D28" w:rsidRPr="00C940A9" w:rsidRDefault="00FC5D28" w:rsidP="005A75AB">
      <w:pPr>
        <w:spacing w:after="0" w:line="240" w:lineRule="auto"/>
        <w:ind w:left="709" w:right="709"/>
        <w:jc w:val="both"/>
        <w:rPr>
          <w:rFonts w:ascii="Verdana" w:eastAsia="Calibri" w:hAnsi="Verdana" w:cs="Arial"/>
          <w:sz w:val="20"/>
          <w:szCs w:val="20"/>
          <w:lang w:val="es-ES_tradnl"/>
        </w:rPr>
      </w:pPr>
      <w:r w:rsidRPr="00C940A9">
        <w:rPr>
          <w:rFonts w:ascii="Verdana" w:eastAsia="Calibri" w:hAnsi="Verdana" w:cs="Arial"/>
          <w:sz w:val="20"/>
          <w:szCs w:val="20"/>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04DBA5C6" w14:textId="77777777" w:rsidR="00885A39" w:rsidRDefault="00885A39" w:rsidP="00885A39">
      <w:pPr>
        <w:spacing w:after="0" w:line="240" w:lineRule="auto"/>
        <w:ind w:left="709" w:right="709"/>
        <w:jc w:val="both"/>
        <w:rPr>
          <w:rFonts w:ascii="Verdana" w:eastAsia="Calibri" w:hAnsi="Verdana" w:cs="Arial"/>
          <w:sz w:val="20"/>
          <w:szCs w:val="20"/>
          <w:lang w:val="es-ES"/>
        </w:rPr>
      </w:pPr>
    </w:p>
    <w:p w14:paraId="45E50211" w14:textId="7AFADC20" w:rsidR="00FC5D28" w:rsidRPr="00C940A9" w:rsidRDefault="00FC5D28" w:rsidP="00885A39">
      <w:pPr>
        <w:spacing w:after="0" w:line="240" w:lineRule="auto"/>
        <w:ind w:left="709" w:right="709"/>
        <w:jc w:val="both"/>
        <w:rPr>
          <w:rFonts w:ascii="Verdana" w:eastAsia="Calibri" w:hAnsi="Verdana" w:cs="Arial"/>
          <w:sz w:val="20"/>
          <w:szCs w:val="20"/>
          <w:lang w:val="es-ES"/>
        </w:rPr>
      </w:pPr>
      <w:r w:rsidRPr="00C940A9">
        <w:rPr>
          <w:rFonts w:ascii="Verdana" w:eastAsia="Calibri" w:hAnsi="Verdana" w:cs="Arial"/>
          <w:sz w:val="20"/>
          <w:szCs w:val="20"/>
          <w:lang w:val="es-ES"/>
        </w:rPr>
        <w:t xml:space="preserve">2. Se hayan recibido solicitudes de por lo menos dos (2) Mipyme colombianas para limitar la convocatoria a Mipyme colombianas. Las </w:t>
      </w:r>
      <w:r w:rsidRPr="00C940A9">
        <w:rPr>
          <w:rFonts w:ascii="Verdana" w:eastAsia="Calibri" w:hAnsi="Verdana" w:cs="Arial"/>
          <w:sz w:val="20"/>
          <w:szCs w:val="20"/>
          <w:lang w:val="es-ES"/>
        </w:rPr>
        <w:lastRenderedPageBreak/>
        <w:t>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Mipyme, cuyo objeto social les permita ejecutar el contrato relacionado con el proceso contractual.</w:t>
      </w:r>
    </w:p>
    <w:p w14:paraId="6B9E19D3" w14:textId="77777777" w:rsidR="00885A39" w:rsidRPr="00C940A9" w:rsidRDefault="00885A39" w:rsidP="005A75AB">
      <w:pPr>
        <w:spacing w:after="0" w:line="240" w:lineRule="auto"/>
        <w:ind w:left="709" w:right="709"/>
        <w:jc w:val="both"/>
        <w:rPr>
          <w:rFonts w:ascii="Verdana" w:eastAsia="Calibri" w:hAnsi="Verdana" w:cs="Arial"/>
          <w:sz w:val="20"/>
          <w:szCs w:val="20"/>
          <w:lang w:val="es-ES"/>
        </w:rPr>
      </w:pPr>
    </w:p>
    <w:p w14:paraId="7D8D3178" w14:textId="55881E8C" w:rsidR="00FC5D28" w:rsidRPr="00C940A9" w:rsidRDefault="00FC5D28" w:rsidP="005A75AB">
      <w:pPr>
        <w:spacing w:after="0" w:line="240" w:lineRule="auto"/>
        <w:ind w:left="709" w:right="709"/>
        <w:jc w:val="both"/>
        <w:rPr>
          <w:rFonts w:ascii="Verdana" w:eastAsia="Calibri" w:hAnsi="Verdana" w:cs="Arial"/>
          <w:sz w:val="20"/>
          <w:szCs w:val="20"/>
          <w:lang w:val="es-ES"/>
        </w:rPr>
      </w:pPr>
      <w:r w:rsidRPr="00C940A9">
        <w:rPr>
          <w:rFonts w:ascii="Verdana" w:eastAsia="Calibri" w:hAnsi="Verdana" w:cs="Arial"/>
          <w:sz w:val="20"/>
          <w:szCs w:val="20"/>
          <w:lang w:val="es-ES"/>
        </w:rPr>
        <w:t>Parágrafo. Las cooperativas y demás entidades de economía solidaria, siempre que tengan la calidad de Mipyme, podrán solicitar y participar en las convocatorias limitadas en las mismas condiciones dispuestas en el presente artículo</w:t>
      </w:r>
      <w:r w:rsidR="00885A39">
        <w:rPr>
          <w:rFonts w:ascii="Verdana" w:eastAsia="Calibri" w:hAnsi="Verdana" w:cs="Arial"/>
          <w:sz w:val="20"/>
          <w:szCs w:val="20"/>
          <w:lang w:val="es-ES"/>
        </w:rPr>
        <w:t>”</w:t>
      </w:r>
      <w:r w:rsidRPr="00C940A9">
        <w:rPr>
          <w:rFonts w:ascii="Verdana" w:eastAsia="Calibri" w:hAnsi="Verdana" w:cs="Arial"/>
          <w:sz w:val="20"/>
          <w:szCs w:val="20"/>
          <w:lang w:val="es-ES"/>
        </w:rPr>
        <w:t>.</w:t>
      </w:r>
    </w:p>
    <w:p w14:paraId="2CAFCCFE" w14:textId="77777777" w:rsidR="00FC5D28" w:rsidRPr="001D4AC1" w:rsidRDefault="00FC5D28" w:rsidP="00FC5D28">
      <w:pPr>
        <w:spacing w:after="0"/>
        <w:ind w:left="709" w:right="709"/>
        <w:jc w:val="both"/>
        <w:rPr>
          <w:rFonts w:ascii="Century Gothic" w:eastAsia="Arial" w:hAnsi="Century Gothic" w:cs="Arial"/>
          <w:color w:val="000000"/>
        </w:rPr>
      </w:pPr>
    </w:p>
    <w:p w14:paraId="6F58049D" w14:textId="77777777" w:rsidR="00FC5D28" w:rsidRPr="00C940A9" w:rsidRDefault="00FC5D28" w:rsidP="00FC5D28">
      <w:pPr>
        <w:spacing w:after="120" w:line="276" w:lineRule="auto"/>
        <w:ind w:firstLine="709"/>
        <w:jc w:val="both"/>
        <w:rPr>
          <w:rFonts w:ascii="Verdana" w:eastAsia="Arial" w:hAnsi="Verdana" w:cs="Arial"/>
          <w:color w:val="000000"/>
        </w:rPr>
      </w:pPr>
      <w:r w:rsidRPr="00C940A9">
        <w:rPr>
          <w:rFonts w:ascii="Verdana" w:eastAsia="Arial" w:hAnsi="Verdana" w:cs="Arial"/>
          <w:color w:val="000000"/>
        </w:rPr>
        <w:t>Según se evidencia, el numeral primero limita cuantitativamente los procesos contractuales en los que se puede hacer esa convocatoria limitada a Mipyme,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w:t>
      </w:r>
      <w:r w:rsidRPr="00C940A9">
        <w:rPr>
          <w:rStyle w:val="Refdenotaalpie"/>
          <w:rFonts w:ascii="Verdana" w:eastAsia="Arial" w:hAnsi="Verdana" w:cs="Arial"/>
          <w:color w:val="000000"/>
        </w:rPr>
        <w:footnoteReference w:id="4"/>
      </w:r>
      <w:r w:rsidRPr="00C940A9">
        <w:rPr>
          <w:rFonts w:ascii="Verdana" w:eastAsia="Arial" w:hAnsi="Verdana" w:cs="Arial"/>
          <w:color w:val="000000"/>
        </w:rPr>
        <w:t xml:space="preserve">. </w:t>
      </w:r>
    </w:p>
    <w:p w14:paraId="1EB5DACC" w14:textId="43BE9FAF" w:rsidR="00FC5D28" w:rsidRPr="005B1F06" w:rsidRDefault="00FC5D28" w:rsidP="00FC5D28">
      <w:pPr>
        <w:spacing w:after="120" w:line="276" w:lineRule="auto"/>
        <w:ind w:firstLine="709"/>
        <w:jc w:val="both"/>
        <w:rPr>
          <w:rFonts w:ascii="Verdana" w:eastAsia="Arial" w:hAnsi="Verdana" w:cs="Arial"/>
          <w:color w:val="000000"/>
        </w:rPr>
      </w:pPr>
      <w:r w:rsidRPr="00C940A9">
        <w:rPr>
          <w:rFonts w:ascii="Verdana" w:eastAsia="Arial" w:hAnsi="Verdana" w:cs="Arial"/>
          <w:color w:val="000000"/>
        </w:rPr>
        <w:t xml:space="preserve">Por su parte, el numeral segundo establece dos exigencias: por un lado, que al menos dos (2) </w:t>
      </w:r>
      <w:r w:rsidR="00DB28A0" w:rsidRPr="00C940A9">
        <w:rPr>
          <w:rFonts w:ascii="Verdana" w:eastAsia="Arial" w:hAnsi="Verdana" w:cs="Arial"/>
          <w:color w:val="000000"/>
        </w:rPr>
        <w:t>Mipymes</w:t>
      </w:r>
      <w:r w:rsidRPr="00C940A9">
        <w:rPr>
          <w:rFonts w:ascii="Verdana" w:eastAsia="Arial" w:hAnsi="Verdana" w:cs="Arial"/>
          <w:color w:val="000000"/>
        </w:rPr>
        <w:t xml:space="preserve"> colombianas presenten a la entidad la solicitud de limitar el proceso contractual y, por el otro, que hagan la solicitud por lo menos un día (1) hábil antes de la expedición del acto administrativo de apertura </w:t>
      </w:r>
      <w:r w:rsidRPr="00C940A9">
        <w:rPr>
          <w:rFonts w:ascii="Verdana" w:eastAsia="Arial" w:hAnsi="Verdana" w:cs="Arial"/>
          <w:color w:val="000000"/>
          <w:lang w:val="es-ES_tradnl"/>
        </w:rPr>
        <w:t xml:space="preserve">o el que haga </w:t>
      </w:r>
      <w:r w:rsidRPr="005B1F06">
        <w:rPr>
          <w:rFonts w:ascii="Verdana" w:eastAsia="Arial" w:hAnsi="Verdana" w:cs="Arial"/>
          <w:color w:val="000000"/>
          <w:lang w:val="es-ES_tradnl"/>
        </w:rPr>
        <w:t>sus veces de acuerdo con la normativa aplicable a cada proceso de contratación</w:t>
      </w:r>
      <w:r w:rsidRPr="005B1F06">
        <w:rPr>
          <w:rFonts w:ascii="Verdana" w:eastAsia="Arial" w:hAnsi="Verdana" w:cs="Arial"/>
          <w:color w:val="000000"/>
        </w:rPr>
        <w:t xml:space="preserve">. Además, la norma señala que, </w:t>
      </w:r>
      <w:r w:rsidRPr="005B1F06">
        <w:rPr>
          <w:rFonts w:ascii="Verdana" w:eastAsia="Arial" w:hAnsi="Verdana" w:cs="Arial"/>
          <w:color w:val="000000"/>
          <w:lang w:val="es-ES_tradnl"/>
        </w:rPr>
        <w:t xml:space="preserve">tratándose de personas jurídicas, las solicitudes solo las podrán realizar </w:t>
      </w:r>
      <w:r w:rsidR="00DB28A0" w:rsidRPr="005B1F06">
        <w:rPr>
          <w:rFonts w:ascii="Verdana" w:eastAsia="Arial" w:hAnsi="Verdana" w:cs="Arial"/>
          <w:color w:val="000000"/>
          <w:lang w:val="es-ES_tradnl"/>
        </w:rPr>
        <w:t>Mipymes</w:t>
      </w:r>
      <w:r w:rsidRPr="005B1F06">
        <w:rPr>
          <w:rFonts w:ascii="Verdana" w:eastAsia="Arial" w:hAnsi="Verdana" w:cs="Arial"/>
          <w:color w:val="000000"/>
          <w:lang w:val="es-ES_tradnl"/>
        </w:rPr>
        <w:t xml:space="preserve">, cuyo objeto social les permita ejecutar el contrato relacionado con el proceso contractual. Asimismo, este artículo incluye a las cooperativas y demás entidades de economía solidaria dentro de los sujetos que pueden solicitar y participar en las convocatorias limitadas a </w:t>
      </w:r>
      <w:r w:rsidR="00FB255D" w:rsidRPr="005B1F06">
        <w:rPr>
          <w:rFonts w:ascii="Verdana" w:eastAsia="Arial" w:hAnsi="Verdana" w:cs="Arial"/>
          <w:color w:val="000000"/>
          <w:lang w:val="es-ES_tradnl"/>
        </w:rPr>
        <w:t>Mipymes</w:t>
      </w:r>
      <w:r w:rsidRPr="005B1F06">
        <w:rPr>
          <w:rFonts w:ascii="Verdana" w:eastAsia="Arial" w:hAnsi="Verdana" w:cs="Arial"/>
          <w:color w:val="000000"/>
          <w:lang w:val="es-ES_tradnl"/>
        </w:rPr>
        <w:t xml:space="preserve">, siempre que estas cumplan con las condiciones señaladas en el artículo. </w:t>
      </w:r>
    </w:p>
    <w:p w14:paraId="41977CFB" w14:textId="31556324" w:rsidR="00FC5D28" w:rsidRPr="005B1F06" w:rsidRDefault="00FC5D28" w:rsidP="00FC5D28">
      <w:pPr>
        <w:spacing w:after="120" w:line="276" w:lineRule="auto"/>
        <w:ind w:firstLine="709"/>
        <w:jc w:val="both"/>
        <w:rPr>
          <w:rFonts w:ascii="Verdana" w:hAnsi="Verdana" w:cs="Arial"/>
          <w:lang w:val="es-ES" w:eastAsia="es-MX"/>
        </w:rPr>
      </w:pPr>
      <w:r w:rsidRPr="005B1F06">
        <w:rPr>
          <w:rFonts w:ascii="Verdana" w:eastAsia="Arial" w:hAnsi="Verdana" w:cs="Arial"/>
          <w:color w:val="000000"/>
          <w:lang w:val="es-ES_tradnl"/>
        </w:rPr>
        <w:t>Así las cosas,</w:t>
      </w:r>
      <w:r w:rsidRPr="005B1F06">
        <w:rPr>
          <w:rFonts w:ascii="Verdana" w:hAnsi="Verdana" w:cs="Arial"/>
          <w:lang w:val="es-ES" w:eastAsia="es-MX"/>
        </w:rPr>
        <w:t xml:space="preserve"> las entidades independientemente de su régimen de contratación, los patrimonios autónomos constituidos por entidades estatales y los particulares que ejecuten recursos públicos deben limitar la convocatoria de los procesos de contratación con pluralidad de oferentes a las </w:t>
      </w:r>
      <w:r w:rsidR="00CB54E5" w:rsidRPr="005B1F06">
        <w:rPr>
          <w:rFonts w:ascii="Verdana" w:hAnsi="Verdana" w:cs="Arial"/>
          <w:lang w:val="es-ES" w:eastAsia="es-MX"/>
        </w:rPr>
        <w:t>Mipymes</w:t>
      </w:r>
      <w:r w:rsidRPr="005B1F06">
        <w:rPr>
          <w:rFonts w:ascii="Verdana" w:hAnsi="Verdana" w:cs="Arial"/>
          <w:lang w:val="es-ES" w:eastAsia="es-MX"/>
        </w:rPr>
        <w:t xml:space="preserve"> </w:t>
      </w:r>
      <w:r w:rsidRPr="005B1F06">
        <w:rPr>
          <w:rFonts w:ascii="Verdana" w:hAnsi="Verdana" w:cs="Arial"/>
          <w:lang w:val="es-ES" w:eastAsia="es-MX"/>
        </w:rPr>
        <w:lastRenderedPageBreak/>
        <w:t>colombianas con mínimo un (1) año de existencia, cuando se cumplan los requisitos previstos en el artículo 2.2.1.2.4.2.2 del Decreto 1082 de 2015 anteriormente señalado.</w:t>
      </w:r>
    </w:p>
    <w:p w14:paraId="066B1531" w14:textId="77777777" w:rsidR="00FC5D28" w:rsidRPr="00542EFB" w:rsidRDefault="00FC5D28" w:rsidP="00FC5D28">
      <w:pPr>
        <w:spacing w:after="0" w:line="276" w:lineRule="auto"/>
        <w:jc w:val="both"/>
        <w:rPr>
          <w:rFonts w:ascii="Verdana" w:eastAsia="Calibri" w:hAnsi="Verdana" w:cs="Arial"/>
          <w:lang w:val="es-ES"/>
        </w:rPr>
      </w:pPr>
    </w:p>
    <w:bookmarkEnd w:id="2"/>
    <w:p w14:paraId="5518BDE2" w14:textId="77777777" w:rsidR="00FC5D28" w:rsidRPr="00ED7249" w:rsidRDefault="00FC5D28" w:rsidP="000074D5">
      <w:pPr>
        <w:spacing w:after="0" w:line="276" w:lineRule="auto"/>
        <w:jc w:val="both"/>
        <w:rPr>
          <w:rFonts w:ascii="Verdana" w:eastAsia="Century Gothic" w:hAnsi="Verdana" w:cs="Century Gothic"/>
          <w:b/>
          <w:bCs/>
        </w:rPr>
      </w:pPr>
      <w:r>
        <w:rPr>
          <w:rFonts w:ascii="Verdana" w:eastAsia="Century Gothic" w:hAnsi="Verdana" w:cs="Century Gothic"/>
          <w:b/>
          <w:bCs/>
        </w:rPr>
        <w:t xml:space="preserve">4. </w:t>
      </w:r>
      <w:r w:rsidRPr="00F71A6A">
        <w:rPr>
          <w:rFonts w:ascii="Verdana" w:eastAsia="Century Gothic" w:hAnsi="Verdana" w:cs="Century Gothic"/>
          <w:b/>
          <w:bCs/>
        </w:rPr>
        <w:t>Referencias normativas, jurisprudenciales y otras fuentes:</w:t>
      </w:r>
    </w:p>
    <w:p w14:paraId="570CC53F" w14:textId="77777777" w:rsidR="005A1810" w:rsidRPr="000074D5" w:rsidRDefault="005A1810" w:rsidP="001261BC">
      <w:pPr>
        <w:spacing w:after="0" w:line="276" w:lineRule="auto"/>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C5D28" w:rsidRPr="00F71A6A" w14:paraId="0D276176" w14:textId="77777777" w:rsidTr="00A82F73">
        <w:trPr>
          <w:trHeight w:val="632"/>
        </w:trPr>
        <w:tc>
          <w:tcPr>
            <w:tcW w:w="8647" w:type="dxa"/>
          </w:tcPr>
          <w:p w14:paraId="31397313" w14:textId="77777777" w:rsidR="00FC5D28" w:rsidRPr="00126826" w:rsidRDefault="00FC5D28" w:rsidP="001261BC">
            <w:pPr>
              <w:pStyle w:val="Prrafodelista"/>
              <w:numPr>
                <w:ilvl w:val="0"/>
                <w:numId w:val="17"/>
              </w:numPr>
              <w:spacing w:line="276" w:lineRule="auto"/>
              <w:contextualSpacing w:val="0"/>
              <w:jc w:val="both"/>
              <w:rPr>
                <w:rFonts w:ascii="Verdana" w:eastAsia="Calibri" w:hAnsi="Verdana" w:cs="Arial"/>
                <w:lang w:val="es-ES_tradnl"/>
              </w:rPr>
            </w:pPr>
            <w:r w:rsidRPr="00126826">
              <w:rPr>
                <w:rFonts w:ascii="Verdana" w:eastAsia="Calibri" w:hAnsi="Verdana" w:cs="Arial"/>
                <w:lang w:val="es-ES_tradnl"/>
              </w:rPr>
              <w:t xml:space="preserve">Código de Comercio. Artículos 110, 111 y 263. </w:t>
            </w:r>
          </w:p>
          <w:p w14:paraId="04006FEE" w14:textId="77777777" w:rsidR="00FC5D28" w:rsidRPr="00126826" w:rsidRDefault="00FC5D28" w:rsidP="001261BC">
            <w:pPr>
              <w:pStyle w:val="Prrafodelista"/>
              <w:numPr>
                <w:ilvl w:val="0"/>
                <w:numId w:val="17"/>
              </w:numPr>
              <w:spacing w:line="276" w:lineRule="auto"/>
              <w:contextualSpacing w:val="0"/>
              <w:jc w:val="both"/>
              <w:rPr>
                <w:rFonts w:ascii="Verdana" w:hAnsi="Verdana"/>
              </w:rPr>
            </w:pPr>
            <w:r w:rsidRPr="00126826">
              <w:rPr>
                <w:rFonts w:ascii="Verdana" w:eastAsia="Calibri" w:hAnsi="Verdana" w:cs="Arial"/>
                <w:lang w:val="es-ES_tradnl"/>
              </w:rPr>
              <w:t>Ley 590 de 2000</w:t>
            </w:r>
            <w:r>
              <w:rPr>
                <w:rFonts w:ascii="Verdana" w:eastAsia="Calibri" w:hAnsi="Verdana" w:cs="Arial"/>
                <w:lang w:val="es-ES_tradnl"/>
              </w:rPr>
              <w:t>.</w:t>
            </w:r>
          </w:p>
          <w:p w14:paraId="1FD2B0A4" w14:textId="77777777" w:rsidR="00FC5D28" w:rsidRPr="00126826" w:rsidRDefault="00FC5D28" w:rsidP="001261BC">
            <w:pPr>
              <w:pStyle w:val="Prrafodelista"/>
              <w:numPr>
                <w:ilvl w:val="0"/>
                <w:numId w:val="17"/>
              </w:numPr>
              <w:spacing w:line="276" w:lineRule="auto"/>
              <w:contextualSpacing w:val="0"/>
              <w:jc w:val="both"/>
              <w:rPr>
                <w:rFonts w:ascii="Verdana" w:hAnsi="Verdana"/>
              </w:rPr>
            </w:pPr>
            <w:r w:rsidRPr="00126826">
              <w:rPr>
                <w:rFonts w:ascii="Verdana" w:hAnsi="Verdana"/>
              </w:rPr>
              <w:t xml:space="preserve">Ley 1150 de 2007. Artículo 2 numeral 5. </w:t>
            </w:r>
          </w:p>
          <w:p w14:paraId="70CF3960" w14:textId="77777777" w:rsidR="00FC5D28" w:rsidRPr="00126826" w:rsidRDefault="00FC5D28" w:rsidP="001261BC">
            <w:pPr>
              <w:pStyle w:val="Prrafodelista"/>
              <w:numPr>
                <w:ilvl w:val="0"/>
                <w:numId w:val="17"/>
              </w:numPr>
              <w:spacing w:line="276" w:lineRule="auto"/>
              <w:contextualSpacing w:val="0"/>
              <w:jc w:val="both"/>
              <w:rPr>
                <w:rFonts w:ascii="Verdana" w:hAnsi="Verdana"/>
              </w:rPr>
            </w:pPr>
            <w:r w:rsidRPr="00126826">
              <w:rPr>
                <w:rFonts w:ascii="Verdana" w:hAnsi="Verdana"/>
              </w:rPr>
              <w:t xml:space="preserve">Decreto 1082 de 2015. Artículos </w:t>
            </w:r>
            <w:r w:rsidRPr="00126826">
              <w:rPr>
                <w:rFonts w:ascii="Verdana" w:hAnsi="Verdana" w:cs="Arial"/>
                <w:bCs/>
                <w:lang w:eastAsia="es-ES"/>
              </w:rPr>
              <w:t xml:space="preserve">2.2.1.2.4.2.2., 2.2.1.2.4.2.3., 2.2.1.2.4.2.4., </w:t>
            </w:r>
            <w:r w:rsidRPr="00126826">
              <w:rPr>
                <w:rFonts w:ascii="Verdana" w:eastAsia="Calibri" w:hAnsi="Verdana" w:cs="Arial"/>
                <w:color w:val="000000" w:themeColor="text1"/>
              </w:rPr>
              <w:t xml:space="preserve">2.2.1.2.1.5.1., </w:t>
            </w:r>
            <w:r w:rsidRPr="00126826">
              <w:rPr>
                <w:rFonts w:ascii="Verdana" w:hAnsi="Verdana"/>
              </w:rPr>
              <w:t xml:space="preserve">2.2.1.2.1.5.2., </w:t>
            </w:r>
            <w:r w:rsidRPr="00126826">
              <w:rPr>
                <w:rFonts w:ascii="Verdana" w:eastAsia="Calibri" w:hAnsi="Verdana" w:cs="Arial"/>
                <w:color w:val="000000" w:themeColor="text1"/>
              </w:rPr>
              <w:t>2.2.1.2.1.5.3., 2.2.1.2.1.5.4., 2.2.1.2.1.5.5.</w:t>
            </w:r>
          </w:p>
          <w:p w14:paraId="58D901BF" w14:textId="77777777" w:rsidR="00FC5D28" w:rsidRPr="00126826" w:rsidRDefault="00FC5D28" w:rsidP="001261BC">
            <w:pPr>
              <w:pStyle w:val="Prrafodelista"/>
              <w:numPr>
                <w:ilvl w:val="0"/>
                <w:numId w:val="17"/>
              </w:numPr>
              <w:spacing w:line="276" w:lineRule="auto"/>
              <w:contextualSpacing w:val="0"/>
              <w:jc w:val="both"/>
              <w:rPr>
                <w:rFonts w:ascii="Verdana" w:hAnsi="Verdana"/>
              </w:rPr>
            </w:pPr>
            <w:r w:rsidRPr="00126826">
              <w:rPr>
                <w:rFonts w:ascii="Verdana" w:eastAsia="Calibri" w:hAnsi="Verdana" w:cs="Arial"/>
                <w:lang w:val="es-ES_tradnl"/>
              </w:rPr>
              <w:t>Decreto 957 de 2019</w:t>
            </w:r>
            <w:r>
              <w:rPr>
                <w:rFonts w:ascii="Verdana" w:eastAsia="Calibri" w:hAnsi="Verdana" w:cs="Arial"/>
                <w:lang w:val="es-ES_tradnl"/>
              </w:rPr>
              <w:t>.</w:t>
            </w:r>
          </w:p>
          <w:p w14:paraId="1824EF8E" w14:textId="77777777" w:rsidR="00FC5D28" w:rsidRPr="00126826" w:rsidRDefault="00FC5D28" w:rsidP="001261BC">
            <w:pPr>
              <w:pStyle w:val="Prrafodelista"/>
              <w:numPr>
                <w:ilvl w:val="0"/>
                <w:numId w:val="17"/>
              </w:numPr>
              <w:spacing w:line="276" w:lineRule="auto"/>
              <w:contextualSpacing w:val="0"/>
              <w:jc w:val="both"/>
              <w:rPr>
                <w:rFonts w:ascii="Verdana" w:hAnsi="Verdana"/>
              </w:rPr>
            </w:pPr>
            <w:r w:rsidRPr="00126826">
              <w:rPr>
                <w:rFonts w:ascii="Verdana" w:hAnsi="Verdana"/>
              </w:rPr>
              <w:t>Ley 2069 de 2020. Artículos 30 y 34.</w:t>
            </w:r>
          </w:p>
          <w:p w14:paraId="5C06D507" w14:textId="77777777" w:rsidR="00FC5D28" w:rsidRPr="00126826" w:rsidRDefault="00FC5D28" w:rsidP="001261BC">
            <w:pPr>
              <w:pStyle w:val="Prrafodelista"/>
              <w:numPr>
                <w:ilvl w:val="0"/>
                <w:numId w:val="17"/>
              </w:numPr>
              <w:spacing w:line="276" w:lineRule="auto"/>
              <w:contextualSpacing w:val="0"/>
              <w:jc w:val="both"/>
              <w:rPr>
                <w:rFonts w:ascii="Verdana" w:hAnsi="Verdana"/>
              </w:rPr>
            </w:pPr>
            <w:r w:rsidRPr="00126826">
              <w:rPr>
                <w:rFonts w:ascii="Verdana" w:hAnsi="Verdana"/>
              </w:rPr>
              <w:t>Decreto 1860 de 2021. Artículos 2, 5 y 8.</w:t>
            </w:r>
          </w:p>
        </w:tc>
      </w:tr>
    </w:tbl>
    <w:p w14:paraId="3AD29F45" w14:textId="77777777" w:rsidR="00FC5D28" w:rsidRDefault="00FC5D28" w:rsidP="00FC5D28">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3D34E4C5" w14:textId="77777777" w:rsidR="00FC5D28" w:rsidRPr="00F71A6A" w:rsidRDefault="00FC5D28" w:rsidP="00FC5D2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lang w:val="es-CO"/>
        </w:rPr>
        <w:t xml:space="preserve">5. </w:t>
      </w:r>
      <w:r w:rsidRPr="00F71A6A">
        <w:rPr>
          <w:rFonts w:ascii="Verdana" w:eastAsia="Century Gothic" w:hAnsi="Verdana" w:cs="Century Gothic"/>
          <w:b/>
          <w:bCs/>
        </w:rPr>
        <w:t>Doctrina de la Agencia Nacional de Contratación Pública:</w:t>
      </w:r>
    </w:p>
    <w:p w14:paraId="31393714" w14:textId="77777777" w:rsidR="00FC5D28" w:rsidRDefault="00FC5D28" w:rsidP="001261BC">
      <w:pPr>
        <w:spacing w:after="0" w:line="276" w:lineRule="auto"/>
        <w:jc w:val="both"/>
        <w:rPr>
          <w:rFonts w:ascii="Verdana" w:eastAsia="Calibri" w:hAnsi="Verdana" w:cs="Arial"/>
          <w:lang w:eastAsia="es-ES_tradnl"/>
        </w:rPr>
      </w:pPr>
    </w:p>
    <w:p w14:paraId="7B02C81D" w14:textId="77777777" w:rsidR="00FC5D28" w:rsidRDefault="00FC5D28" w:rsidP="000074D5">
      <w:pPr>
        <w:spacing w:after="0" w:line="276" w:lineRule="auto"/>
        <w:jc w:val="both"/>
        <w:rPr>
          <w:rFonts w:ascii="Verdana" w:hAnsi="Verdana" w:cs="Arial"/>
          <w:shd w:val="clear" w:color="auto" w:fill="FFFFFF"/>
        </w:rPr>
      </w:pPr>
      <w:r w:rsidRPr="009C1EEE">
        <w:rPr>
          <w:rFonts w:ascii="Verdana" w:hAnsi="Verdana" w:cs="Arial"/>
          <w:shd w:val="clear" w:color="auto" w:fill="FFFFFF"/>
          <w:lang w:val="es-ES"/>
        </w:rPr>
        <w:t xml:space="preserve">Sobre las convocatorias limitadas a </w:t>
      </w:r>
      <w:r>
        <w:rPr>
          <w:rFonts w:ascii="Verdana" w:hAnsi="Verdana" w:cs="Arial"/>
          <w:shd w:val="clear" w:color="auto" w:fill="FFFFFF"/>
          <w:lang w:val="es-ES"/>
        </w:rPr>
        <w:t>MiPymes</w:t>
      </w:r>
      <w:r w:rsidRPr="009C1EEE">
        <w:rPr>
          <w:rFonts w:ascii="Verdana" w:hAnsi="Verdana" w:cs="Arial"/>
          <w:shd w:val="clear" w:color="auto" w:fill="FFFFFF"/>
          <w:lang w:val="es-ES"/>
        </w:rPr>
        <w:t xml:space="preserve">, según la modificación realizada por el Decreto 1860 de 2021 al Decreto 1082 de 2015, esta Subdirección se ha referido en los Conceptos </w:t>
      </w:r>
      <w:r>
        <w:rPr>
          <w:rFonts w:ascii="Verdana" w:hAnsi="Verdana" w:cs="Arial"/>
          <w:shd w:val="clear" w:color="auto" w:fill="FFFFFF"/>
          <w:lang w:val="es-ES"/>
        </w:rPr>
        <w:t>C</w:t>
      </w:r>
      <w:r w:rsidRPr="00126826">
        <w:rPr>
          <w:rFonts w:ascii="Verdana" w:hAnsi="Verdana" w:cs="Arial"/>
          <w:shd w:val="clear" w:color="auto" w:fill="FFFFFF"/>
          <w:lang w:val="es-ES"/>
        </w:rPr>
        <w:t>-037 del 26 de febrero de 2021, C-035 del 02 de marzo de 2021, C-126 del 06 de abril de 2021, C-127 del 06 de abril de 2021, C-144 del 07 de abril de 2021, C-141 del 08 de abril de 2021, C-163 y C-164 del 19 de abril de 2021, C-242 del 25 de mayo de 2021, C-496 del 14 de septiembre de 2021, C-573 de 13 de octubre de 2021, C-001 del 17 de febrero de 2022, C-293 del 12 de abril de 2022, C-490 del 26 de julio de 2022, C-523 del 16 de agosto de 2022, C-539 del 29 de agosto de 2022, C-585 del 19 de septiembre de 2022, C-587 del 21 de septiembre de 2022, C-597 del 9 de septiembre de 2022, C-627 del 12 de septiembre de 2022, C-643 del 10 de octubre de 2022, C- 662 del 13 de octubre de 2022, C-699 del 25 de octubre de 2022, C-744 del 08 de noviembre de 2022, C-758 del 10 de noviembre de 2022</w:t>
      </w:r>
      <w:r>
        <w:rPr>
          <w:rFonts w:ascii="Verdana" w:hAnsi="Verdana" w:cs="Arial"/>
          <w:shd w:val="clear" w:color="auto" w:fill="FFFFFF"/>
          <w:lang w:val="es-ES"/>
        </w:rPr>
        <w:t>,</w:t>
      </w:r>
      <w:r w:rsidRPr="00126826">
        <w:rPr>
          <w:rFonts w:ascii="Verdana" w:hAnsi="Verdana" w:cs="Arial"/>
          <w:shd w:val="clear" w:color="auto" w:fill="FFFFFF"/>
          <w:lang w:val="es-ES"/>
        </w:rPr>
        <w:t xml:space="preserve"> C-895 del 27 de diciembre de 2022</w:t>
      </w:r>
      <w:r>
        <w:rPr>
          <w:rFonts w:ascii="Verdana" w:hAnsi="Verdana" w:cs="Arial"/>
          <w:shd w:val="clear" w:color="auto" w:fill="FFFFFF"/>
          <w:lang w:val="es-ES"/>
        </w:rPr>
        <w:t>, C- 201 del 2 de agosto de 2024, C-1021 del 27 de diciembre de 2024, C</w:t>
      </w:r>
      <w:r w:rsidRPr="00126826">
        <w:rPr>
          <w:rFonts w:ascii="Verdana" w:hAnsi="Verdana" w:cs="Arial"/>
          <w:shd w:val="clear" w:color="auto" w:fill="FFFFFF"/>
          <w:lang w:val="es-ES"/>
        </w:rPr>
        <w:t>-932 de</w:t>
      </w:r>
      <w:r>
        <w:rPr>
          <w:rFonts w:ascii="Verdana" w:hAnsi="Verdana" w:cs="Arial"/>
          <w:shd w:val="clear" w:color="auto" w:fill="FFFFFF"/>
          <w:lang w:val="es-ES"/>
        </w:rPr>
        <w:t>l 30 de diciembre de</w:t>
      </w:r>
      <w:r w:rsidRPr="00126826">
        <w:rPr>
          <w:rFonts w:ascii="Verdana" w:hAnsi="Verdana" w:cs="Arial"/>
          <w:shd w:val="clear" w:color="auto" w:fill="FFFFFF"/>
          <w:lang w:val="es-ES"/>
        </w:rPr>
        <w:t xml:space="preserve"> 2024</w:t>
      </w:r>
      <w:r>
        <w:rPr>
          <w:rFonts w:ascii="Verdana" w:hAnsi="Verdana" w:cs="Arial"/>
          <w:shd w:val="clear" w:color="auto" w:fill="FFFFFF"/>
          <w:lang w:val="es-ES"/>
        </w:rPr>
        <w:t xml:space="preserve">, entre otros. </w:t>
      </w:r>
      <w:r w:rsidRPr="005A267A">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w:t>
      </w:r>
      <w:r w:rsidRPr="005D1F62">
        <w:rPr>
          <w:rFonts w:ascii="Verdana" w:hAnsi="Verdana" w:cs="Arial"/>
          <w:shd w:val="clear" w:color="auto" w:fill="FFFFFF"/>
        </w:rPr>
        <w:t xml:space="preserve"> contratación </w:t>
      </w:r>
      <w:r w:rsidRPr="005D1F62">
        <w:rPr>
          <w:rFonts w:ascii="Verdana" w:hAnsi="Verdana" w:cs="Arial"/>
          <w:shd w:val="clear" w:color="auto" w:fill="FFFFFF"/>
        </w:rPr>
        <w:lastRenderedPageBreak/>
        <w:t>concordada con la doctrina de la Subdirección de Gestión Contractual.</w:t>
      </w:r>
      <w:r>
        <w:rPr>
          <w:rFonts w:ascii="Verdana" w:hAnsi="Verdana" w:cs="Arial"/>
          <w:shd w:val="clear" w:color="auto" w:fill="FFFFFF"/>
        </w:rPr>
        <w:t xml:space="preserve"> </w:t>
      </w:r>
      <w:r w:rsidRPr="005D1F62">
        <w:rPr>
          <w:rFonts w:ascii="Verdana" w:hAnsi="Verdana" w:cs="Arial"/>
          <w:shd w:val="clear" w:color="auto" w:fill="FFFFFF"/>
        </w:rPr>
        <w:t>Accede a través del siguiente enlace: </w:t>
      </w:r>
      <w:hyperlink r:id="rId13" w:tgtFrame="_blank" w:tooltip="Dirección URL original: https://relatoria.colombiacompra.gov.co/. Haga clic o pulse si confía en este vínculo." w:history="1">
        <w:r w:rsidRPr="005D1F62">
          <w:rPr>
            <w:rStyle w:val="Hipervnculo"/>
            <w:rFonts w:ascii="Verdana" w:hAnsi="Verdana" w:cs="Arial"/>
            <w:shd w:val="clear" w:color="auto" w:fill="FFFFFF"/>
          </w:rPr>
          <w:t>https://relatoria.colombiacompra.gov.co/</w:t>
        </w:r>
      </w:hyperlink>
      <w:r w:rsidRPr="005D1F62">
        <w:rPr>
          <w:rFonts w:ascii="Verdana" w:hAnsi="Verdana" w:cs="Arial"/>
          <w:shd w:val="clear" w:color="auto" w:fill="FFFFFF"/>
        </w:rPr>
        <w:t>.</w:t>
      </w:r>
    </w:p>
    <w:p w14:paraId="5C0F540A" w14:textId="77777777" w:rsidR="00D015A6" w:rsidRPr="000074D5" w:rsidRDefault="00D015A6" w:rsidP="006F5A49">
      <w:pPr>
        <w:spacing w:after="0" w:line="276" w:lineRule="auto"/>
        <w:jc w:val="both"/>
        <w:rPr>
          <w:rFonts w:ascii="Verdana" w:hAnsi="Verdana" w:cs="Arial"/>
          <w:shd w:val="clear" w:color="auto" w:fill="FFFFFF"/>
        </w:rPr>
      </w:pPr>
    </w:p>
    <w:p w14:paraId="34C3F62C" w14:textId="77777777" w:rsidR="00FC5D28" w:rsidRPr="00542EFB" w:rsidRDefault="00FC5D28" w:rsidP="00FC5D28">
      <w:pPr>
        <w:widowControl w:val="0"/>
        <w:autoSpaceDE w:val="0"/>
        <w:autoSpaceDN w:val="0"/>
        <w:spacing w:after="0" w:line="276" w:lineRule="auto"/>
        <w:jc w:val="both"/>
        <w:rPr>
          <w:rFonts w:ascii="Verdana" w:hAnsi="Verdana" w:cs="Arial"/>
          <w:color w:val="4472C4" w:themeColor="accent1"/>
          <w:shd w:val="clear" w:color="auto" w:fill="FFFFFF"/>
          <w:lang w:val="es-ES"/>
        </w:rPr>
      </w:pPr>
      <w:r w:rsidRPr="00B679E6">
        <w:rPr>
          <w:rStyle w:val="normaltextrun"/>
          <w:rFonts w:ascii="Verdana" w:hAnsi="Verdana" w:cs="Arial"/>
          <w:color w:val="000000" w:themeColor="text1"/>
          <w:shd w:val="clear" w:color="auto" w:fill="FFFFFF"/>
          <w:lang w:val="es-ES"/>
        </w:rPr>
        <w:t>Te informamos que ya se encuentra disponible la Cartilla para incentivar y fortalecer el acceso a las compras y contratación pública de los pueblos y comunidades étnicas en Colombia.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w:t>
      </w:r>
      <w:r w:rsidRPr="00B679E6">
        <w:rPr>
          <w:rFonts w:ascii="Verdana" w:hAnsi="Verdana"/>
        </w:rPr>
        <w:t xml:space="preserve"> enlace: </w:t>
      </w:r>
      <w:hyperlink r:id="rId14" w:tgtFrame="_blank" w:tooltip="Dirección URL original: https://www.colombiacompra.gov.co/manuales-guias-y-pliegos-tipo/manuales-y-guias/cartilla-para-incentivar-y-fortalecer-el-acceso-las. Haga clic o pulse si confía en este vínculo." w:history="1">
        <w:r w:rsidRPr="00B679E6">
          <w:rPr>
            <w:rStyle w:val="Hipervnculo"/>
            <w:rFonts w:ascii="Verdana" w:hAnsi="Verdana"/>
          </w:rPr>
          <w:t>Cartilla para incentivar y fortalecer el acceso a las compras y contratación pública de los pueblos y comunidades étnicas en Colombia | Colombia Compra Eficiente | Agencia Nacional de Contratación Pública</w:t>
        </w:r>
      </w:hyperlink>
    </w:p>
    <w:p w14:paraId="5CC7D6B7" w14:textId="77777777" w:rsidR="00FC5D28" w:rsidRDefault="00FC5D28" w:rsidP="00FC5D28">
      <w:pPr>
        <w:spacing w:after="0" w:line="276" w:lineRule="auto"/>
        <w:jc w:val="both"/>
        <w:rPr>
          <w:rFonts w:ascii="Verdana" w:hAnsi="Verdana"/>
        </w:rPr>
      </w:pPr>
    </w:p>
    <w:p w14:paraId="7985176C" w14:textId="77777777" w:rsidR="00FC5D28" w:rsidRPr="00B679E6" w:rsidRDefault="00FC5D28" w:rsidP="00FC5D28">
      <w:pPr>
        <w:spacing w:after="0" w:line="276" w:lineRule="auto"/>
        <w:jc w:val="both"/>
        <w:rPr>
          <w:rFonts w:ascii="Verdana" w:hAnsi="Verdana"/>
        </w:rPr>
      </w:pPr>
      <w:r w:rsidRPr="00B679E6">
        <w:rPr>
          <w:rFonts w:ascii="Verdana" w:hAnsi="Verdana"/>
        </w:rPr>
        <w:t>De otra parte, te informamos que, con el objetivo de garantizar un conocimiento adecuado de las </w:t>
      </w:r>
      <w:r w:rsidRPr="00B679E6">
        <w:rPr>
          <w:rFonts w:ascii="Verdana" w:hAnsi="Verdana"/>
          <w:b/>
          <w:bCs/>
        </w:rPr>
        <w:t>modificaciones y/o actualizaciones realizadas a los Documentos Tipo</w:t>
      </w:r>
      <w:r w:rsidRPr="00B679E6">
        <w:rPr>
          <w:rFonts w:ascii="Verdana" w:hAnsi="Verdana"/>
        </w:rPr>
        <w:t>, hemos programado una serie de </w:t>
      </w:r>
      <w:r w:rsidRPr="00B679E6">
        <w:rPr>
          <w:rFonts w:ascii="Verdana" w:hAnsi="Verdana"/>
          <w:b/>
          <w:bCs/>
        </w:rPr>
        <w:t>capacitaciones </w:t>
      </w:r>
      <w:r w:rsidRPr="00B679E6">
        <w:rPr>
          <w:rFonts w:ascii="Verdana" w:hAnsi="Verdana"/>
        </w:rPr>
        <w:t>dirigidas a todos los actores involucrados en los procesos de selección. Podrás conocer la programación y realizar tu inscripción a estas capacitaciones a través del siguiente enlace: </w:t>
      </w:r>
      <w:hyperlink r:id="rId15" w:tgtFrame="_blank" w:tooltip="Dirección URL original: https://www.colombiacompra.gov.co/ciudadanos/calendario. Haga clic o pulse si confía en este vínculo." w:history="1">
        <w:r w:rsidRPr="00B679E6">
          <w:rPr>
            <w:rStyle w:val="Hipervnculo"/>
            <w:rFonts w:ascii="Verdana" w:hAnsi="Verdana"/>
          </w:rPr>
          <w:t>Calendario | Colombia Compra Eficiente | Agencia Nacional de Contratación Pública</w:t>
        </w:r>
      </w:hyperlink>
    </w:p>
    <w:p w14:paraId="01E08E7D" w14:textId="77777777" w:rsidR="00FC5D28" w:rsidRDefault="00FC5D28" w:rsidP="00FC5D28">
      <w:pPr>
        <w:spacing w:after="0" w:line="276" w:lineRule="auto"/>
        <w:jc w:val="both"/>
        <w:rPr>
          <w:rFonts w:ascii="Verdana" w:hAnsi="Verdana"/>
        </w:rPr>
      </w:pPr>
    </w:p>
    <w:p w14:paraId="1EC6F574" w14:textId="77777777" w:rsidR="00FC5D28" w:rsidRPr="00B679E6" w:rsidRDefault="00FC5D28" w:rsidP="00FC5D28">
      <w:pPr>
        <w:spacing w:after="0" w:line="276" w:lineRule="auto"/>
        <w:jc w:val="both"/>
        <w:rPr>
          <w:rFonts w:ascii="Verdana" w:hAnsi="Verdana"/>
        </w:rPr>
      </w:pPr>
      <w:r w:rsidRPr="00B679E6">
        <w:rPr>
          <w:rFonts w:ascii="Verdana" w:hAnsi="Verdana"/>
        </w:rPr>
        <w:t>También, te contamos que ya publicamos </w:t>
      </w:r>
      <w:r w:rsidRPr="00B679E6">
        <w:rPr>
          <w:rFonts w:ascii="Verdana" w:hAnsi="Verdana"/>
          <w:b/>
          <w:bCs/>
        </w:rPr>
        <w:t>la nueva Guía de Contratación Pública Sostenible y Socialmente Responsable</w:t>
      </w:r>
      <w:r w:rsidRPr="00B679E6">
        <w:rPr>
          <w:rFonts w:ascii="Verdana" w:hAnsi="Verdana"/>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B679E6">
          <w:rPr>
            <w:rStyle w:val="Hipervnculo"/>
            <w:rFonts w:ascii="Verdana" w:hAnsi="Verdana"/>
          </w:rPr>
          <w:t>Guía de Contratación Pública Sostenible y Socialmente Responsable | Colombia Compra Eficiente | Agencia Nacional de Contratación Pública</w:t>
        </w:r>
      </w:hyperlink>
    </w:p>
    <w:p w14:paraId="51C324C8" w14:textId="77777777" w:rsidR="00FC5D28" w:rsidRDefault="00FC5D28" w:rsidP="006F5A49">
      <w:pPr>
        <w:spacing w:after="0" w:line="276" w:lineRule="auto"/>
        <w:jc w:val="both"/>
        <w:rPr>
          <w:rFonts w:ascii="Verdana" w:hAnsi="Verdana"/>
        </w:rPr>
      </w:pPr>
    </w:p>
    <w:p w14:paraId="4666DBA1" w14:textId="77777777" w:rsidR="00FC5D28" w:rsidRPr="00F71A6A" w:rsidRDefault="00FC5D28" w:rsidP="006F5A49">
      <w:pPr>
        <w:spacing w:after="0" w:line="276" w:lineRule="auto"/>
        <w:jc w:val="both"/>
        <w:rPr>
          <w:rFonts w:ascii="Verdana" w:hAnsi="Verdana"/>
        </w:rPr>
      </w:pPr>
      <w:r w:rsidRPr="00F71A6A">
        <w:rPr>
          <w:rFonts w:ascii="Verdana" w:hAnsi="Verdana"/>
        </w:rPr>
        <w:t xml:space="preserve">Por último, lo invitamos a seguirnos en las redes sociales en las cuales se difunde información institucional: </w:t>
      </w:r>
    </w:p>
    <w:p w14:paraId="73049A8F" w14:textId="77777777" w:rsidR="00FC5D28" w:rsidRPr="00F71A6A" w:rsidRDefault="00FC5D28" w:rsidP="006F5A49">
      <w:pPr>
        <w:spacing w:after="0" w:line="276" w:lineRule="auto"/>
        <w:jc w:val="both"/>
        <w:rPr>
          <w:rFonts w:ascii="Verdana" w:hAnsi="Verdana"/>
        </w:rPr>
      </w:pPr>
    </w:p>
    <w:p w14:paraId="12AA4F72" w14:textId="77777777" w:rsidR="00FC5D28" w:rsidRPr="00F71A6A" w:rsidRDefault="00FC5D28" w:rsidP="006F5A49">
      <w:pPr>
        <w:spacing w:after="0" w:line="276" w:lineRule="auto"/>
        <w:jc w:val="both"/>
        <w:rPr>
          <w:rFonts w:ascii="Verdana" w:hAnsi="Verdana"/>
        </w:rPr>
      </w:pPr>
      <w:r w:rsidRPr="00F71A6A">
        <w:rPr>
          <w:rFonts w:ascii="Verdana" w:hAnsi="Verdana"/>
        </w:rPr>
        <w:t xml:space="preserve">Twitter: </w:t>
      </w:r>
      <w:r w:rsidRPr="00F71A6A">
        <w:rPr>
          <w:rStyle w:val="Hipervnculo"/>
          <w:rFonts w:ascii="Verdana" w:hAnsi="Verdana"/>
          <w:color w:val="4472C4" w:themeColor="accent1"/>
        </w:rPr>
        <w:t>@colombiacompra</w:t>
      </w:r>
      <w:r w:rsidRPr="00F71A6A">
        <w:rPr>
          <w:rFonts w:ascii="Verdana" w:hAnsi="Verdana"/>
          <w:color w:val="4472C4" w:themeColor="accent1"/>
        </w:rPr>
        <w:t xml:space="preserve"> </w:t>
      </w:r>
    </w:p>
    <w:p w14:paraId="2AB686AE" w14:textId="77777777" w:rsidR="00FC5D28" w:rsidRPr="00F71A6A" w:rsidRDefault="00FC5D28" w:rsidP="006F5A49">
      <w:pPr>
        <w:spacing w:after="0" w:line="276" w:lineRule="auto"/>
        <w:jc w:val="both"/>
        <w:rPr>
          <w:rFonts w:ascii="Verdana" w:hAnsi="Verdana"/>
        </w:rPr>
      </w:pPr>
      <w:r w:rsidRPr="00F71A6A">
        <w:rPr>
          <w:rFonts w:ascii="Verdana" w:hAnsi="Verdana"/>
        </w:rPr>
        <w:t xml:space="preserve">Facebook: </w:t>
      </w:r>
      <w:r w:rsidRPr="00F71A6A">
        <w:rPr>
          <w:rStyle w:val="Hipervnculo"/>
          <w:rFonts w:ascii="Verdana" w:hAnsi="Verdana"/>
          <w:color w:val="4472C4" w:themeColor="accent1"/>
        </w:rPr>
        <w:t>ColombiaCompraEficiente</w:t>
      </w:r>
    </w:p>
    <w:p w14:paraId="375998E1" w14:textId="77777777" w:rsidR="00FC5D28" w:rsidRDefault="00FC5D28" w:rsidP="000074D5">
      <w:pPr>
        <w:spacing w:after="0" w:line="276" w:lineRule="auto"/>
        <w:jc w:val="both"/>
        <w:rPr>
          <w:rStyle w:val="Hipervnculo"/>
          <w:rFonts w:ascii="Verdana" w:hAnsi="Verdana"/>
          <w:color w:val="4472C4" w:themeColor="accent1"/>
        </w:rPr>
      </w:pPr>
      <w:r w:rsidRPr="00F71A6A">
        <w:rPr>
          <w:rFonts w:ascii="Verdana" w:hAnsi="Verdana"/>
        </w:rPr>
        <w:lastRenderedPageBreak/>
        <w:t xml:space="preserve">LinkedIn: </w:t>
      </w:r>
      <w:r w:rsidRPr="00F71A6A">
        <w:rPr>
          <w:rStyle w:val="Hipervnculo"/>
          <w:rFonts w:ascii="Verdana" w:hAnsi="Verdana"/>
          <w:color w:val="4472C4" w:themeColor="accent1"/>
        </w:rPr>
        <w:t>Agencia Nacional de Contratación Pública - Colombia Compra Eficiente</w:t>
      </w:r>
      <w:r w:rsidRPr="00F71A6A">
        <w:rPr>
          <w:rFonts w:ascii="Verdana" w:hAnsi="Verdana"/>
          <w:color w:val="4472C4" w:themeColor="accent1"/>
        </w:rPr>
        <w:t xml:space="preserve"> </w:t>
      </w:r>
      <w:r w:rsidRPr="00F71A6A">
        <w:rPr>
          <w:rFonts w:ascii="Verdana" w:hAnsi="Verdana"/>
        </w:rPr>
        <w:t xml:space="preserve">Instagram: </w:t>
      </w:r>
      <w:r w:rsidRPr="00F71A6A">
        <w:rPr>
          <w:rStyle w:val="Hipervnculo"/>
          <w:rFonts w:ascii="Verdana" w:hAnsi="Verdana"/>
          <w:color w:val="4472C4" w:themeColor="accent1"/>
        </w:rPr>
        <w:t>@colombiacompraeficiente_cce</w:t>
      </w:r>
    </w:p>
    <w:p w14:paraId="588548BC" w14:textId="77777777" w:rsidR="000074D5" w:rsidRPr="000074D5" w:rsidRDefault="000074D5" w:rsidP="006F5A49">
      <w:pPr>
        <w:spacing w:after="0" w:line="276" w:lineRule="auto"/>
        <w:jc w:val="both"/>
        <w:rPr>
          <w:rFonts w:ascii="Verdana" w:hAnsi="Verdana"/>
        </w:rPr>
      </w:pPr>
    </w:p>
    <w:p w14:paraId="034AB726" w14:textId="77777777" w:rsidR="00FC5D28" w:rsidRPr="00F71A6A" w:rsidRDefault="00FC5D28" w:rsidP="00FC5D28">
      <w:pPr>
        <w:widowControl w:val="0"/>
        <w:autoSpaceDE w:val="0"/>
        <w:autoSpaceDN w:val="0"/>
        <w:spacing w:after="0" w:line="276" w:lineRule="auto"/>
        <w:jc w:val="both"/>
        <w:rPr>
          <w:rFonts w:ascii="Verdana" w:hAnsi="Verdana" w:cs="Arial"/>
          <w:lang w:val="es-ES_tradnl"/>
        </w:rPr>
      </w:pPr>
      <w:r w:rsidRPr="00F71A6A">
        <w:rPr>
          <w:rFonts w:ascii="Verdana" w:hAnsi="Verdana" w:cs="Arial"/>
        </w:rPr>
        <w:t xml:space="preserve">Este concepto tiene el alcance previsto en el artículo 28 del Código de Procedimiento Administrativo y de lo Contencioso Administrativo </w:t>
      </w:r>
      <w:r w:rsidRPr="00F71A6A">
        <w:rPr>
          <w:rFonts w:ascii="Verdana" w:hAnsi="Verdana" w:cs="Arial"/>
          <w:lang w:val="es-ES_tradnl"/>
        </w:rPr>
        <w:t>y las expresiones aquí utilizadas con mayúscula inicial deben ser entendidas con el significado que les otorga el artículo 2.2.1.1.1.3.1. del Decreto 1082 de 2015.</w:t>
      </w:r>
    </w:p>
    <w:p w14:paraId="6460E440" w14:textId="77777777" w:rsidR="00FC5D28" w:rsidRPr="006F2228" w:rsidRDefault="00FC5D28" w:rsidP="00FC5D28">
      <w:pPr>
        <w:widowControl w:val="0"/>
        <w:autoSpaceDE w:val="0"/>
        <w:autoSpaceDN w:val="0"/>
        <w:spacing w:after="0" w:line="276" w:lineRule="auto"/>
        <w:jc w:val="both"/>
        <w:rPr>
          <w:rFonts w:ascii="Verdana" w:hAnsi="Verdana" w:cs="Arial"/>
          <w:lang w:val="es-ES_tradnl"/>
        </w:rPr>
      </w:pPr>
    </w:p>
    <w:p w14:paraId="742154F9" w14:textId="77777777" w:rsidR="00FC5D28" w:rsidRDefault="00FC5D28" w:rsidP="006F5A49">
      <w:pPr>
        <w:spacing w:after="0" w:line="276" w:lineRule="auto"/>
        <w:rPr>
          <w:rFonts w:ascii="Verdana" w:hAnsi="Verdana" w:cs="Arial"/>
          <w:lang w:eastAsia="es-CO"/>
        </w:rPr>
      </w:pPr>
      <w:r w:rsidRPr="00F71A6A">
        <w:rPr>
          <w:rFonts w:ascii="Verdana" w:eastAsia="Times New Roman" w:hAnsi="Verdana" w:cs="Arial"/>
          <w:lang w:eastAsia="es-CO"/>
        </w:rPr>
        <w:t>Atentamente,</w:t>
      </w:r>
      <w:r w:rsidRPr="00F71A6A">
        <w:rPr>
          <w:rFonts w:ascii="Verdana" w:hAnsi="Verdana" w:cs="Arial"/>
          <w:lang w:eastAsia="es-CO"/>
        </w:rPr>
        <w:t xml:space="preserve"> </w:t>
      </w:r>
    </w:p>
    <w:p w14:paraId="3DC5D09D" w14:textId="55C74C1E" w:rsidR="00FC5D28" w:rsidRDefault="00FC5D28" w:rsidP="00FC5D28">
      <w:pPr>
        <w:spacing w:after="0" w:line="240" w:lineRule="auto"/>
        <w:jc w:val="center"/>
        <w:rPr>
          <w:noProof/>
        </w:rPr>
      </w:pPr>
    </w:p>
    <w:p w14:paraId="36DA28C7" w14:textId="77777777" w:rsidR="00FB696C" w:rsidRDefault="00FB696C" w:rsidP="00FC5D28">
      <w:pPr>
        <w:spacing w:after="0" w:line="240" w:lineRule="auto"/>
        <w:jc w:val="center"/>
        <w:rPr>
          <w:noProof/>
          <w:lang w:eastAsia="es-CO"/>
        </w:rPr>
      </w:pPr>
    </w:p>
    <w:p w14:paraId="117E4EBC" w14:textId="37765642" w:rsidR="006504F8" w:rsidRPr="00774100" w:rsidRDefault="001D3FCD" w:rsidP="006504F8">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51D7E423" wp14:editId="6257FB76">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504F8" w:rsidRPr="00774100" w14:paraId="22F51C28" w14:textId="77777777" w:rsidTr="003A34BF">
        <w:trPr>
          <w:trHeight w:val="315"/>
        </w:trPr>
        <w:tc>
          <w:tcPr>
            <w:tcW w:w="893" w:type="dxa"/>
            <w:vAlign w:val="center"/>
            <w:hideMark/>
          </w:tcPr>
          <w:p w14:paraId="359F42F6" w14:textId="77777777" w:rsidR="006504F8" w:rsidRPr="00774100" w:rsidRDefault="006504F8" w:rsidP="003A34BF">
            <w:pPr>
              <w:rPr>
                <w:rFonts w:ascii="Verdana" w:eastAsia="Calibri" w:hAnsi="Verdana" w:cs="Arial"/>
                <w:sz w:val="16"/>
                <w:szCs w:val="16"/>
                <w:lang w:val="es-ES" w:eastAsia="es-ES"/>
              </w:rPr>
            </w:pPr>
            <w:r w:rsidRPr="00774100">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39D8A7D7" w14:textId="08D51F35" w:rsidR="006504F8" w:rsidRPr="00774100" w:rsidRDefault="00CB10BA" w:rsidP="003A34BF">
            <w:pPr>
              <w:rPr>
                <w:rFonts w:ascii="Verdana" w:eastAsia="Arial" w:hAnsi="Verdana" w:cs="Arial"/>
                <w:sz w:val="16"/>
                <w:szCs w:val="16"/>
              </w:rPr>
            </w:pPr>
            <w:r>
              <w:rPr>
                <w:rFonts w:ascii="Verdana" w:eastAsia="Arial" w:hAnsi="Verdana" w:cs="Arial"/>
                <w:sz w:val="16"/>
                <w:szCs w:val="16"/>
              </w:rPr>
              <w:t xml:space="preserve">Diana </w:t>
            </w:r>
            <w:r w:rsidR="006504F8">
              <w:rPr>
                <w:rFonts w:ascii="Verdana" w:eastAsia="Arial" w:hAnsi="Verdana" w:cs="Arial"/>
                <w:sz w:val="16"/>
                <w:szCs w:val="16"/>
              </w:rPr>
              <w:t xml:space="preserve">Carolina Blanco Rodriguez </w:t>
            </w:r>
          </w:p>
          <w:p w14:paraId="47ABC017" w14:textId="77777777" w:rsidR="006504F8" w:rsidRPr="00774100" w:rsidRDefault="006504F8" w:rsidP="003A34BF">
            <w:pPr>
              <w:rPr>
                <w:rFonts w:ascii="Verdana" w:eastAsia="Arial" w:hAnsi="Verdana" w:cs="Arial"/>
                <w:sz w:val="16"/>
                <w:szCs w:val="16"/>
              </w:rPr>
            </w:pPr>
            <w:r w:rsidRPr="00774100">
              <w:rPr>
                <w:rFonts w:ascii="Verdana" w:eastAsia="Arial" w:hAnsi="Verdana" w:cs="Arial"/>
                <w:sz w:val="16"/>
                <w:szCs w:val="16"/>
              </w:rPr>
              <w:t>Contrati</w:t>
            </w:r>
            <w:r>
              <w:rPr>
                <w:rFonts w:ascii="Verdana" w:eastAsia="Arial" w:hAnsi="Verdana" w:cs="Arial"/>
                <w:sz w:val="16"/>
                <w:szCs w:val="16"/>
              </w:rPr>
              <w:t>sta</w:t>
            </w:r>
            <w:r w:rsidRPr="00774100">
              <w:rPr>
                <w:rFonts w:ascii="Verdana" w:eastAsia="Arial" w:hAnsi="Verdana" w:cs="Arial"/>
                <w:sz w:val="16"/>
                <w:szCs w:val="16"/>
              </w:rPr>
              <w:t xml:space="preserve"> de la Subdirección de Gestión Contractual</w:t>
            </w:r>
          </w:p>
        </w:tc>
      </w:tr>
      <w:tr w:rsidR="006504F8" w:rsidRPr="00774100" w14:paraId="155E931E" w14:textId="77777777" w:rsidTr="003A34BF">
        <w:trPr>
          <w:trHeight w:val="330"/>
        </w:trPr>
        <w:tc>
          <w:tcPr>
            <w:tcW w:w="893" w:type="dxa"/>
            <w:vAlign w:val="center"/>
            <w:hideMark/>
          </w:tcPr>
          <w:p w14:paraId="3045F04A" w14:textId="77777777" w:rsidR="006504F8" w:rsidRPr="00774100" w:rsidRDefault="006504F8" w:rsidP="003A34BF">
            <w:pPr>
              <w:rPr>
                <w:rFonts w:ascii="Verdana" w:eastAsia="Calibri" w:hAnsi="Verdana" w:cs="Arial"/>
                <w:sz w:val="16"/>
                <w:szCs w:val="16"/>
                <w:lang w:val="es-ES" w:eastAsia="es-ES"/>
              </w:rPr>
            </w:pPr>
            <w:r w:rsidRPr="00774100">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062024D9" w14:textId="5484C228" w:rsidR="006504F8" w:rsidRPr="00774100" w:rsidRDefault="006504F8" w:rsidP="003A34BF">
            <w:pPr>
              <w:textAlignment w:val="baseline"/>
              <w:rPr>
                <w:rFonts w:ascii="Verdana" w:eastAsia="Times New Roman" w:hAnsi="Verdana" w:cs="Segoe UI"/>
                <w:sz w:val="16"/>
                <w:szCs w:val="16"/>
                <w:lang w:eastAsia="es-ES_tradnl"/>
              </w:rPr>
            </w:pPr>
            <w:r>
              <w:rPr>
                <w:rFonts w:ascii="Verdana" w:eastAsia="Times New Roman" w:hAnsi="Verdana" w:cs="Segoe UI"/>
                <w:sz w:val="16"/>
                <w:szCs w:val="16"/>
                <w:lang w:eastAsia="es-ES_tradnl"/>
              </w:rPr>
              <w:t xml:space="preserve">Adriana López </w:t>
            </w:r>
          </w:p>
          <w:p w14:paraId="1A3243C5" w14:textId="77777777" w:rsidR="006504F8" w:rsidRPr="00774100" w:rsidRDefault="006504F8" w:rsidP="003A34BF">
            <w:pPr>
              <w:textAlignment w:val="baseline"/>
              <w:rPr>
                <w:rFonts w:ascii="Verdana" w:eastAsia="Times New Roman" w:hAnsi="Verdana" w:cs="Segoe UI"/>
                <w:sz w:val="16"/>
                <w:szCs w:val="16"/>
                <w:lang w:eastAsia="es-ES_tradnl"/>
              </w:rPr>
            </w:pPr>
            <w:r w:rsidRPr="00774100">
              <w:rPr>
                <w:rFonts w:ascii="Verdana" w:eastAsia="Times New Roman" w:hAnsi="Verdana" w:cs="Arial"/>
                <w:sz w:val="16"/>
                <w:szCs w:val="16"/>
                <w:lang w:val="es-ES" w:eastAsia="es-ES_tradnl"/>
              </w:rPr>
              <w:t>Contratista de la Subdirección de Gestión Contractual</w:t>
            </w:r>
            <w:r w:rsidRPr="00774100">
              <w:rPr>
                <w:rFonts w:ascii="Verdana" w:eastAsia="Times New Roman" w:hAnsi="Verdana" w:cs="Arial"/>
                <w:sz w:val="16"/>
                <w:szCs w:val="16"/>
                <w:lang w:eastAsia="es-ES_tradnl"/>
              </w:rPr>
              <w:t> </w:t>
            </w:r>
          </w:p>
        </w:tc>
      </w:tr>
      <w:tr w:rsidR="006504F8" w:rsidRPr="00774100" w14:paraId="3D1ED2CF" w14:textId="77777777" w:rsidTr="003A34BF">
        <w:trPr>
          <w:trHeight w:val="300"/>
        </w:trPr>
        <w:tc>
          <w:tcPr>
            <w:tcW w:w="893" w:type="dxa"/>
            <w:vAlign w:val="center"/>
          </w:tcPr>
          <w:p w14:paraId="683EA25D" w14:textId="77777777" w:rsidR="006504F8" w:rsidRPr="00774100" w:rsidRDefault="006504F8" w:rsidP="003A34BF">
            <w:pPr>
              <w:rPr>
                <w:rFonts w:ascii="Verdana" w:eastAsia="Calibri" w:hAnsi="Verdana" w:cs="Arial"/>
                <w:sz w:val="16"/>
                <w:szCs w:val="16"/>
                <w:lang w:val="es-ES" w:eastAsia="es-ES"/>
              </w:rPr>
            </w:pPr>
            <w:r w:rsidRPr="00774100">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45E7BA07" w14:textId="77777777" w:rsidR="006504F8" w:rsidRPr="00774100" w:rsidRDefault="006504F8" w:rsidP="003A34BF">
            <w:pPr>
              <w:rPr>
                <w:rFonts w:ascii="Verdana" w:eastAsia="Calibri" w:hAnsi="Verdana" w:cs="Arial"/>
                <w:sz w:val="16"/>
                <w:szCs w:val="16"/>
                <w:lang w:val="pt-BR" w:eastAsia="es-ES"/>
              </w:rPr>
            </w:pPr>
            <w:r w:rsidRPr="00774100">
              <w:rPr>
                <w:rFonts w:ascii="Verdana" w:eastAsia="Calibri" w:hAnsi="Verdana" w:cs="Arial"/>
                <w:sz w:val="16"/>
                <w:szCs w:val="16"/>
                <w:lang w:val="pt-BR" w:eastAsia="es-ES"/>
              </w:rPr>
              <w:t>Carolina Quintero Gacharná</w:t>
            </w:r>
          </w:p>
          <w:p w14:paraId="65D87C20" w14:textId="77777777" w:rsidR="006504F8" w:rsidRPr="00774100" w:rsidRDefault="006504F8" w:rsidP="003A34BF">
            <w:pPr>
              <w:rPr>
                <w:rFonts w:ascii="Verdana" w:eastAsia="Calibri" w:hAnsi="Verdana" w:cs="Arial"/>
                <w:sz w:val="16"/>
                <w:szCs w:val="16"/>
                <w:lang w:val="pt-BR" w:eastAsia="es-ES"/>
              </w:rPr>
            </w:pPr>
            <w:r w:rsidRPr="00774100">
              <w:rPr>
                <w:rFonts w:ascii="Verdana" w:eastAsia="Calibri" w:hAnsi="Verdana" w:cs="Arial"/>
                <w:sz w:val="16"/>
                <w:szCs w:val="16"/>
                <w:lang w:eastAsia="es-ES"/>
              </w:rPr>
              <w:t>Subdirectora</w:t>
            </w:r>
            <w:r w:rsidRPr="00774100">
              <w:rPr>
                <w:rFonts w:ascii="Verdana" w:eastAsia="Calibri" w:hAnsi="Verdana" w:cs="Arial"/>
                <w:sz w:val="16"/>
                <w:szCs w:val="16"/>
                <w:lang w:val="pt-BR" w:eastAsia="es-ES"/>
              </w:rPr>
              <w:t xml:space="preserve"> de Gestión Contratual ANCP – CCE</w:t>
            </w:r>
          </w:p>
        </w:tc>
      </w:tr>
    </w:tbl>
    <w:p w14:paraId="7863A463" w14:textId="77777777" w:rsidR="00FB696C" w:rsidRDefault="00FB696C" w:rsidP="00FC5D28">
      <w:pPr>
        <w:spacing w:after="0" w:line="240" w:lineRule="auto"/>
        <w:jc w:val="center"/>
        <w:rPr>
          <w:noProof/>
          <w:lang w:eastAsia="es-CO"/>
        </w:rPr>
      </w:pPr>
    </w:p>
    <w:p w14:paraId="07832DF6" w14:textId="77777777" w:rsidR="00FB696C" w:rsidRDefault="00FB696C" w:rsidP="00FC5D28">
      <w:pPr>
        <w:spacing w:after="0" w:line="240" w:lineRule="auto"/>
        <w:jc w:val="center"/>
        <w:rPr>
          <w:noProof/>
          <w:lang w:eastAsia="es-CO"/>
        </w:rPr>
      </w:pPr>
    </w:p>
    <w:p w14:paraId="29D6E8DB" w14:textId="77777777" w:rsidR="00FB696C" w:rsidRDefault="00FB696C" w:rsidP="00FC5D28">
      <w:pPr>
        <w:spacing w:after="0" w:line="240" w:lineRule="auto"/>
        <w:jc w:val="center"/>
        <w:rPr>
          <w:noProof/>
          <w:lang w:eastAsia="es-CO"/>
        </w:rPr>
      </w:pPr>
    </w:p>
    <w:p w14:paraId="67DD3F8C" w14:textId="77777777" w:rsidR="002707A2" w:rsidRPr="00FC5D28" w:rsidRDefault="002707A2" w:rsidP="00E245AB">
      <w:pPr>
        <w:spacing w:after="0"/>
        <w:jc w:val="both"/>
        <w:rPr>
          <w:rStyle w:val="Hipervnculo"/>
          <w:rFonts w:ascii="Verdana" w:hAnsi="Verdana"/>
          <w:lang w:val="es-ES"/>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34330" w14:textId="77777777" w:rsidR="00485E7A" w:rsidRDefault="00485E7A" w:rsidP="004A1847">
      <w:pPr>
        <w:spacing w:after="0" w:line="240" w:lineRule="auto"/>
      </w:pPr>
      <w:r>
        <w:separator/>
      </w:r>
    </w:p>
  </w:endnote>
  <w:endnote w:type="continuationSeparator" w:id="0">
    <w:p w14:paraId="1A97697A" w14:textId="77777777" w:rsidR="00485E7A" w:rsidRDefault="00485E7A" w:rsidP="004A1847">
      <w:pPr>
        <w:spacing w:after="0" w:line="240" w:lineRule="auto"/>
      </w:pPr>
      <w:r>
        <w:continuationSeparator/>
      </w:r>
    </w:p>
  </w:endnote>
  <w:endnote w:type="continuationNotice" w:id="1">
    <w:p w14:paraId="1370519B" w14:textId="77777777" w:rsidR="00485E7A" w:rsidRDefault="00485E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6FF81" w14:textId="77777777" w:rsidR="00485E7A" w:rsidRDefault="00485E7A" w:rsidP="004A1847">
      <w:pPr>
        <w:spacing w:after="0" w:line="240" w:lineRule="auto"/>
      </w:pPr>
      <w:r>
        <w:separator/>
      </w:r>
    </w:p>
  </w:footnote>
  <w:footnote w:type="continuationSeparator" w:id="0">
    <w:p w14:paraId="282C8965" w14:textId="77777777" w:rsidR="00485E7A" w:rsidRDefault="00485E7A" w:rsidP="004A1847">
      <w:pPr>
        <w:spacing w:after="0" w:line="240" w:lineRule="auto"/>
      </w:pPr>
      <w:r>
        <w:continuationSeparator/>
      </w:r>
    </w:p>
  </w:footnote>
  <w:footnote w:type="continuationNotice" w:id="1">
    <w:p w14:paraId="3B43F8F2" w14:textId="77777777" w:rsidR="00485E7A" w:rsidRDefault="00485E7A">
      <w:pPr>
        <w:spacing w:after="0" w:line="240" w:lineRule="auto"/>
      </w:pPr>
    </w:p>
  </w:footnote>
  <w:footnote w:id="2">
    <w:p w14:paraId="324D984B" w14:textId="77777777" w:rsidR="00FC5D28" w:rsidRPr="00C940A9" w:rsidRDefault="00FC5D28" w:rsidP="00FC5D28">
      <w:pPr>
        <w:pStyle w:val="Textonotapie"/>
        <w:ind w:firstLine="709"/>
        <w:jc w:val="both"/>
        <w:rPr>
          <w:rFonts w:ascii="Verdana" w:hAnsi="Verdana" w:cs="Arial"/>
          <w:color w:val="000000"/>
          <w:sz w:val="14"/>
          <w:szCs w:val="14"/>
          <w:lang w:val="es-ES_tradnl"/>
        </w:rPr>
      </w:pPr>
      <w:r w:rsidRPr="00C940A9">
        <w:rPr>
          <w:rStyle w:val="Refdenotaalpie"/>
          <w:rFonts w:ascii="Verdana" w:hAnsi="Verdana" w:cs="Arial"/>
          <w:color w:val="000000"/>
          <w:sz w:val="14"/>
          <w:szCs w:val="14"/>
          <w:lang w:val="es-ES_tradnl"/>
        </w:rPr>
        <w:footnoteRef/>
      </w:r>
      <w:r w:rsidRPr="00C940A9">
        <w:rPr>
          <w:rFonts w:ascii="Verdana" w:hAnsi="Verdana" w:cs="Arial"/>
          <w:color w:val="000000"/>
          <w:sz w:val="14"/>
          <w:szCs w:val="14"/>
          <w:lang w:val="es-ES_tradnl"/>
        </w:rPr>
        <w:t xml:space="preserve"> Esto lo ratifica el </w:t>
      </w:r>
      <w:bookmarkStart w:id="3" w:name="_Hlk194040859"/>
      <w:r w:rsidRPr="00C940A9">
        <w:rPr>
          <w:rFonts w:ascii="Verdana" w:hAnsi="Verdana" w:cs="Arial"/>
          <w:color w:val="000000"/>
          <w:sz w:val="14"/>
          <w:szCs w:val="14"/>
          <w:lang w:val="es-ES_tradnl"/>
        </w:rPr>
        <w:t xml:space="preserve">artículo 2.2.1.2.1.5.2. </w:t>
      </w:r>
      <w:bookmarkEnd w:id="3"/>
      <w:r w:rsidRPr="00C940A9">
        <w:rPr>
          <w:rFonts w:ascii="Verdana" w:hAnsi="Verdana" w:cs="Arial"/>
          <w:color w:val="000000"/>
          <w:sz w:val="14"/>
          <w:szCs w:val="14"/>
          <w:lang w:val="es-ES_tradnl"/>
        </w:rPr>
        <w:t>del Decreto 1082 de 2015.</w:t>
      </w:r>
    </w:p>
    <w:p w14:paraId="65D84066" w14:textId="77777777" w:rsidR="00FC5D28" w:rsidRPr="00C940A9" w:rsidRDefault="00FC5D28" w:rsidP="00FC5D28">
      <w:pPr>
        <w:pStyle w:val="Textonotapie"/>
        <w:ind w:firstLine="709"/>
        <w:jc w:val="both"/>
        <w:rPr>
          <w:rFonts w:ascii="Verdana" w:hAnsi="Verdana" w:cs="Arial"/>
          <w:color w:val="000000"/>
          <w:sz w:val="14"/>
          <w:szCs w:val="14"/>
          <w:lang w:val="es-ES_tradnl"/>
        </w:rPr>
      </w:pPr>
    </w:p>
  </w:footnote>
  <w:footnote w:id="3">
    <w:p w14:paraId="342B6A03" w14:textId="77777777" w:rsidR="00FC5D28" w:rsidRPr="00A61D2A" w:rsidRDefault="00FC5D28" w:rsidP="00FC5D28">
      <w:pPr>
        <w:pStyle w:val="Textonotapie"/>
        <w:ind w:firstLine="708"/>
        <w:jc w:val="both"/>
        <w:rPr>
          <w:rFonts w:ascii="Century Gothic" w:hAnsi="Century Gothic" w:cs="Arial"/>
          <w:sz w:val="14"/>
          <w:szCs w:val="14"/>
        </w:rPr>
      </w:pPr>
      <w:r w:rsidRPr="00C940A9">
        <w:rPr>
          <w:rStyle w:val="Refdenotaalpie"/>
          <w:rFonts w:ascii="Verdana" w:hAnsi="Verdana" w:cs="Arial"/>
          <w:sz w:val="14"/>
          <w:szCs w:val="14"/>
        </w:rPr>
        <w:footnoteRef/>
      </w:r>
      <w:r w:rsidRPr="00C940A9">
        <w:rPr>
          <w:rFonts w:ascii="Verdana" w:hAnsi="Verdana" w:cs="Arial"/>
          <w:sz w:val="14"/>
          <w:szCs w:val="14"/>
        </w:rPr>
        <w:t xml:space="preserve"> El artículo completo es del siguiente tenor: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5 de la Sección 1 del Capítulo 2 del Título 1 de la Parte 2 del Libro 2, así como los artículos 2.2.1.2.4.2.2., 2.2.1.2.4.2.3., 2.2.1.2.4.2.4., 2.2.1.2.1.2.2. Y 2.2.1.2.4.2.8.; adiciona los artículos 2.2.1.2.4.2.14., 2.2.1.2.4.2.15., 2.2.1.2.4.2.16., 2.2.1.2.4.2.17. Y 2.2.1.2.4.2.18.; adiciona un parágrafo al artículo 2.2.1.2.3.1.9; y deroga el artículo 2.2.1.1.2.2.9. del Decreto 1082 de 2015, Único Reglamentario del Sector Administrativo de Planeación Nacional”.</w:t>
      </w:r>
    </w:p>
  </w:footnote>
  <w:footnote w:id="4">
    <w:p w14:paraId="008ED095" w14:textId="77777777" w:rsidR="00FC5D28" w:rsidRPr="005B1F06" w:rsidRDefault="00FC5D28" w:rsidP="00FC5D28">
      <w:pPr>
        <w:pStyle w:val="Textonotapie"/>
        <w:ind w:firstLine="708"/>
        <w:jc w:val="both"/>
        <w:rPr>
          <w:rFonts w:ascii="Verdana" w:hAnsi="Verdana" w:cs="Arial"/>
          <w:sz w:val="14"/>
          <w:szCs w:val="14"/>
        </w:rPr>
      </w:pPr>
      <w:r w:rsidRPr="005B1F06">
        <w:rPr>
          <w:rStyle w:val="Refdenotaalpie"/>
          <w:rFonts w:ascii="Verdana" w:hAnsi="Verdana" w:cs="Arial"/>
          <w:sz w:val="14"/>
          <w:szCs w:val="14"/>
        </w:rPr>
        <w:footnoteRef/>
      </w:r>
      <w:r w:rsidRPr="005B1F06">
        <w:rPr>
          <w:rFonts w:ascii="Verdana" w:hAnsi="Verdana" w:cs="Arial"/>
          <w:sz w:val="14"/>
          <w:szCs w:val="14"/>
        </w:rPr>
        <w:t xml:space="preserve"> Este monto fue publicado por la Agencia Nacional de Contratación Pública – Colombia Compra Eficiente, de acuerdo con la información remitida por el Ministerio de Comercio Industria y Turismo, disponible en el siguiente enlace: </w:t>
      </w:r>
      <w:hyperlink r:id="rId1" w:history="1">
        <w:r w:rsidRPr="005B1F06">
          <w:rPr>
            <w:rStyle w:val="Hipervnculo"/>
            <w:rFonts w:ascii="Verdana" w:hAnsi="Verdana" w:cs="Arial"/>
            <w:color w:val="000000" w:themeColor="text1"/>
            <w:sz w:val="14"/>
            <w:szCs w:val="14"/>
          </w:rPr>
          <w:t>https://www.colombiacompra.gov.co/sites/cce_public/files/files_2020/vf_umbrales_actualizaciones_2022_-_2023_1.pdf</w:t>
        </w:r>
      </w:hyperlink>
      <w:r w:rsidRPr="005B1F06">
        <w:rPr>
          <w:rFonts w:ascii="Verdana" w:hAnsi="Verdana" w:cs="Arial"/>
          <w:color w:val="000000" w:themeColor="text1"/>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E9E7D9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30306954" o:spid="_x0000_i1025" type="#_x0000_t75" style="width:11.25pt;height:11.25pt;visibility:visible;mso-wrap-style:square">
            <v:imagedata r:id="rId1" o:title=""/>
          </v:shape>
        </w:pict>
      </mc:Choice>
      <mc:Fallback>
        <w:drawing>
          <wp:inline distT="0" distB="0" distL="0" distR="0" wp14:anchorId="03D03535" wp14:editId="6595D252">
            <wp:extent cx="142875" cy="142875"/>
            <wp:effectExtent l="0" t="0" r="0" b="0"/>
            <wp:docPr id="2130306954" name="Imagen 2130306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2A7397"/>
    <w:multiLevelType w:val="hybridMultilevel"/>
    <w:tmpl w:val="5F0CAC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9"/>
  </w:num>
  <w:num w:numId="16" w16cid:durableId="341274352">
    <w:abstractNumId w:val="0"/>
  </w:num>
  <w:num w:numId="17" w16cid:durableId="18642020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4D5"/>
    <w:rsid w:val="000118FB"/>
    <w:rsid w:val="00016F78"/>
    <w:rsid w:val="00025033"/>
    <w:rsid w:val="000266FB"/>
    <w:rsid w:val="00046945"/>
    <w:rsid w:val="00061B2A"/>
    <w:rsid w:val="00082362"/>
    <w:rsid w:val="00082F86"/>
    <w:rsid w:val="000854FA"/>
    <w:rsid w:val="000A683E"/>
    <w:rsid w:val="000B19B9"/>
    <w:rsid w:val="000C7312"/>
    <w:rsid w:val="000D0334"/>
    <w:rsid w:val="000F1050"/>
    <w:rsid w:val="000F6486"/>
    <w:rsid w:val="00125105"/>
    <w:rsid w:val="001261BC"/>
    <w:rsid w:val="00127233"/>
    <w:rsid w:val="001511A0"/>
    <w:rsid w:val="00180D43"/>
    <w:rsid w:val="00191ACC"/>
    <w:rsid w:val="001A2BF6"/>
    <w:rsid w:val="001B1CD1"/>
    <w:rsid w:val="001D1E0F"/>
    <w:rsid w:val="001D3FCD"/>
    <w:rsid w:val="001D444E"/>
    <w:rsid w:val="001D4D4B"/>
    <w:rsid w:val="001E4177"/>
    <w:rsid w:val="001F7DC6"/>
    <w:rsid w:val="0022503E"/>
    <w:rsid w:val="00226D9C"/>
    <w:rsid w:val="002421BB"/>
    <w:rsid w:val="0025796E"/>
    <w:rsid w:val="002670AF"/>
    <w:rsid w:val="002707A2"/>
    <w:rsid w:val="00273FCC"/>
    <w:rsid w:val="00277E88"/>
    <w:rsid w:val="002869EA"/>
    <w:rsid w:val="002951A0"/>
    <w:rsid w:val="002962BC"/>
    <w:rsid w:val="002A093D"/>
    <w:rsid w:val="002A0DD0"/>
    <w:rsid w:val="002A49AC"/>
    <w:rsid w:val="002A64FD"/>
    <w:rsid w:val="002A73C9"/>
    <w:rsid w:val="002A746E"/>
    <w:rsid w:val="002C7A84"/>
    <w:rsid w:val="002E4FD9"/>
    <w:rsid w:val="002F5CA4"/>
    <w:rsid w:val="00321BB0"/>
    <w:rsid w:val="00322A85"/>
    <w:rsid w:val="00324168"/>
    <w:rsid w:val="00333ED9"/>
    <w:rsid w:val="003448F4"/>
    <w:rsid w:val="00374F5E"/>
    <w:rsid w:val="00377E3E"/>
    <w:rsid w:val="00380F03"/>
    <w:rsid w:val="003A091B"/>
    <w:rsid w:val="003A779E"/>
    <w:rsid w:val="003B6564"/>
    <w:rsid w:val="003D0F4D"/>
    <w:rsid w:val="003D5B0D"/>
    <w:rsid w:val="003E0499"/>
    <w:rsid w:val="003F3941"/>
    <w:rsid w:val="00406575"/>
    <w:rsid w:val="00414C74"/>
    <w:rsid w:val="00421876"/>
    <w:rsid w:val="0042722E"/>
    <w:rsid w:val="0044528D"/>
    <w:rsid w:val="004526DF"/>
    <w:rsid w:val="004718DB"/>
    <w:rsid w:val="004818E4"/>
    <w:rsid w:val="00485E7A"/>
    <w:rsid w:val="00490068"/>
    <w:rsid w:val="00491EF1"/>
    <w:rsid w:val="004A1847"/>
    <w:rsid w:val="004A305D"/>
    <w:rsid w:val="004E15EC"/>
    <w:rsid w:val="004F21C4"/>
    <w:rsid w:val="004F685F"/>
    <w:rsid w:val="005566E8"/>
    <w:rsid w:val="00574867"/>
    <w:rsid w:val="00591460"/>
    <w:rsid w:val="005A1810"/>
    <w:rsid w:val="005A2D07"/>
    <w:rsid w:val="005A33CB"/>
    <w:rsid w:val="005A75AB"/>
    <w:rsid w:val="005B3816"/>
    <w:rsid w:val="005B39C9"/>
    <w:rsid w:val="005C3777"/>
    <w:rsid w:val="005C5CDC"/>
    <w:rsid w:val="005D476C"/>
    <w:rsid w:val="005E73E7"/>
    <w:rsid w:val="006204ED"/>
    <w:rsid w:val="006219F8"/>
    <w:rsid w:val="00632090"/>
    <w:rsid w:val="0063604C"/>
    <w:rsid w:val="00645A59"/>
    <w:rsid w:val="006504F8"/>
    <w:rsid w:val="00665D70"/>
    <w:rsid w:val="006900D9"/>
    <w:rsid w:val="00690D7C"/>
    <w:rsid w:val="006A5B6F"/>
    <w:rsid w:val="006D75FE"/>
    <w:rsid w:val="006E6A81"/>
    <w:rsid w:val="006E7936"/>
    <w:rsid w:val="006F5A49"/>
    <w:rsid w:val="00706C16"/>
    <w:rsid w:val="00756841"/>
    <w:rsid w:val="0076212D"/>
    <w:rsid w:val="007649AB"/>
    <w:rsid w:val="00764D5B"/>
    <w:rsid w:val="00771D0C"/>
    <w:rsid w:val="00772AB7"/>
    <w:rsid w:val="007833AC"/>
    <w:rsid w:val="00790FE1"/>
    <w:rsid w:val="007B268C"/>
    <w:rsid w:val="007B7171"/>
    <w:rsid w:val="007C0C0F"/>
    <w:rsid w:val="007C3DC2"/>
    <w:rsid w:val="007E5497"/>
    <w:rsid w:val="007E70BD"/>
    <w:rsid w:val="00806F5F"/>
    <w:rsid w:val="00820278"/>
    <w:rsid w:val="00835F8C"/>
    <w:rsid w:val="008379C1"/>
    <w:rsid w:val="00867F95"/>
    <w:rsid w:val="0087199B"/>
    <w:rsid w:val="008843B6"/>
    <w:rsid w:val="00885A39"/>
    <w:rsid w:val="00891928"/>
    <w:rsid w:val="008A446D"/>
    <w:rsid w:val="008B4A21"/>
    <w:rsid w:val="008D180B"/>
    <w:rsid w:val="008F0EA7"/>
    <w:rsid w:val="0091292D"/>
    <w:rsid w:val="009239D7"/>
    <w:rsid w:val="00923EEF"/>
    <w:rsid w:val="009419F9"/>
    <w:rsid w:val="00952E27"/>
    <w:rsid w:val="00956252"/>
    <w:rsid w:val="0095685E"/>
    <w:rsid w:val="00961B09"/>
    <w:rsid w:val="00965334"/>
    <w:rsid w:val="0097093E"/>
    <w:rsid w:val="0097651F"/>
    <w:rsid w:val="00986AC5"/>
    <w:rsid w:val="009A0DFA"/>
    <w:rsid w:val="009B2D26"/>
    <w:rsid w:val="009C6B71"/>
    <w:rsid w:val="009C71FA"/>
    <w:rsid w:val="009C72E7"/>
    <w:rsid w:val="009C762D"/>
    <w:rsid w:val="009D3058"/>
    <w:rsid w:val="009F3A13"/>
    <w:rsid w:val="00A122D3"/>
    <w:rsid w:val="00A17F13"/>
    <w:rsid w:val="00A20739"/>
    <w:rsid w:val="00A3339C"/>
    <w:rsid w:val="00A33C78"/>
    <w:rsid w:val="00A361EC"/>
    <w:rsid w:val="00A44D96"/>
    <w:rsid w:val="00A77273"/>
    <w:rsid w:val="00AB0ADB"/>
    <w:rsid w:val="00B01B1A"/>
    <w:rsid w:val="00B03B14"/>
    <w:rsid w:val="00B03C0F"/>
    <w:rsid w:val="00B50ED7"/>
    <w:rsid w:val="00B66319"/>
    <w:rsid w:val="00B72CD3"/>
    <w:rsid w:val="00B72FFF"/>
    <w:rsid w:val="00B966CB"/>
    <w:rsid w:val="00BC3D36"/>
    <w:rsid w:val="00BC670B"/>
    <w:rsid w:val="00BD4C32"/>
    <w:rsid w:val="00BD7F72"/>
    <w:rsid w:val="00C04FB3"/>
    <w:rsid w:val="00C330EB"/>
    <w:rsid w:val="00C33ED7"/>
    <w:rsid w:val="00C41061"/>
    <w:rsid w:val="00C754BE"/>
    <w:rsid w:val="00C75BA7"/>
    <w:rsid w:val="00C76B1C"/>
    <w:rsid w:val="00CB10BA"/>
    <w:rsid w:val="00CB54E5"/>
    <w:rsid w:val="00CB6357"/>
    <w:rsid w:val="00CC1B26"/>
    <w:rsid w:val="00CD37E4"/>
    <w:rsid w:val="00CE459F"/>
    <w:rsid w:val="00D015A6"/>
    <w:rsid w:val="00D13B30"/>
    <w:rsid w:val="00D23B79"/>
    <w:rsid w:val="00D25870"/>
    <w:rsid w:val="00D423A2"/>
    <w:rsid w:val="00D520D8"/>
    <w:rsid w:val="00D63AC2"/>
    <w:rsid w:val="00D7383B"/>
    <w:rsid w:val="00D94D1A"/>
    <w:rsid w:val="00DA231B"/>
    <w:rsid w:val="00DA4CE9"/>
    <w:rsid w:val="00DB28A0"/>
    <w:rsid w:val="00DC39FC"/>
    <w:rsid w:val="00DC455A"/>
    <w:rsid w:val="00DE40AE"/>
    <w:rsid w:val="00DF5254"/>
    <w:rsid w:val="00E16408"/>
    <w:rsid w:val="00E20894"/>
    <w:rsid w:val="00E245AB"/>
    <w:rsid w:val="00E271BF"/>
    <w:rsid w:val="00E2764C"/>
    <w:rsid w:val="00E27F2E"/>
    <w:rsid w:val="00E457DD"/>
    <w:rsid w:val="00E470F1"/>
    <w:rsid w:val="00E50AFE"/>
    <w:rsid w:val="00E52180"/>
    <w:rsid w:val="00E56231"/>
    <w:rsid w:val="00E75C92"/>
    <w:rsid w:val="00E771DC"/>
    <w:rsid w:val="00E8772A"/>
    <w:rsid w:val="00E90F6B"/>
    <w:rsid w:val="00E92C27"/>
    <w:rsid w:val="00EA0E3D"/>
    <w:rsid w:val="00EC38A7"/>
    <w:rsid w:val="00ED7384"/>
    <w:rsid w:val="00EE1AA8"/>
    <w:rsid w:val="00EF6A17"/>
    <w:rsid w:val="00F0522A"/>
    <w:rsid w:val="00F07897"/>
    <w:rsid w:val="00F31EDC"/>
    <w:rsid w:val="00F4025E"/>
    <w:rsid w:val="00F462B3"/>
    <w:rsid w:val="00F5664F"/>
    <w:rsid w:val="00F63E17"/>
    <w:rsid w:val="00F666C4"/>
    <w:rsid w:val="00F76AFC"/>
    <w:rsid w:val="00FA47C0"/>
    <w:rsid w:val="00FB255D"/>
    <w:rsid w:val="00FB5DD1"/>
    <w:rsid w:val="00FB696C"/>
    <w:rsid w:val="00FC1DDA"/>
    <w:rsid w:val="00FC2B5D"/>
    <w:rsid w:val="00FC5D28"/>
    <w:rsid w:val="00FF1449"/>
    <w:rsid w:val="13935D63"/>
    <w:rsid w:val="36B104B2"/>
    <w:rsid w:val="706726C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C5D2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C5D2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pachopege@hotmail.com"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esperanza.contreras%40colombiacompra.gov.co%7Ceb0fd05604104aa4d3bc08dd4c4ad35e%7C7b09041e245149d08cb179d5e3d8c1be%7C0%7C0%7C638750606446533879%7CUnknown%7CTWFpbGZsb3d8eyJFbXB0eU1hcGkiOnRydWUsIlYiOiIwLjAuMDAwMCIsIlAiOiJXaW4zMiIsIkFOIjoiTWFpbCIsIldUIjoyfQ%3D%3D%7C0%7C%7C%7C&amp;sdata=L0pIxKODuvqdJdlvvPzHiozW8YtzgU8R4%2F%2Btbs%2BwOF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esperanza.contreras%40colombiacompra.gov.co%7Ceb0fd05604104aa4d3bc08dd4c4ad35e%7C7b09041e245149d08cb179d5e3d8c1be%7C0%7C0%7C638750606446524224%7CUnknown%7CTWFpbGZsb3d8eyJFbXB0eU1hcGkiOnRydWUsIlYiOiIwLjAuMDAwMCIsIlAiOiJXaW4zMiIsIkFOIjoiTWFpbCIsIldUIjoyfQ%3D%3D%7C0%7C%7C%7C&amp;sdata=6UggDTQVaVjwhMf9bnbUyElTuUjis%2BHKv2KOgauEvx4%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esperanza.contreras%40colombiacompra.gov.co%7Ceb0fd05604104aa4d3bc08dd4c4ad35e%7C7b09041e245149d08cb179d5e3d8c1be%7C0%7C0%7C638750606446508016%7CUnknown%7CTWFpbGZsb3d8eyJFbXB0eU1hcGkiOnRydWUsIlYiOiIwLjAuMDAwMCIsIlAiOiJXaW4zMiIsIkFOIjoiTWFpbCIsIldUIjoyfQ%3D%3D%7C0%7C%7C%7C&amp;sdata=w5yEy%2F7g7%2F%2FIXj5TgaBe1Ucg3Eiuadk9fm7CybX%2F5Gw%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files_2020/vf_umbrales_actualizaciones_2022_-_2023_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3D223-0BF7-41AB-A572-89B12842E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58B92529-4727-483E-B735-F7749BA17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3954</Words>
  <Characters>21749</Characters>
  <Application>Microsoft Office Word</Application>
  <DocSecurity>0</DocSecurity>
  <Lines>181</Lines>
  <Paragraphs>51</Paragraphs>
  <ScaleCrop>false</ScaleCrop>
  <Company/>
  <LinksUpToDate>false</LinksUpToDate>
  <CharactersWithSpaces>25652</CharactersWithSpaces>
  <SharedDoc>false</SharedDoc>
  <HLinks>
    <vt:vector size="36" baseType="variant">
      <vt:variant>
        <vt:i4>2228259</vt:i4>
      </vt:variant>
      <vt:variant>
        <vt:i4>12</vt:i4>
      </vt:variant>
      <vt:variant>
        <vt:i4>0</vt:i4>
      </vt:variant>
      <vt:variant>
        <vt:i4>5</vt:i4>
      </vt:variant>
      <vt:variant>
        <vt:lpwstr>https://nam02.safelinks.protection.outlook.com/?url=https%3A%2F%2Fwww.colombiacompra.gov.co%2Fmanuales-guias-y-pliegos-tipo%2Fmanuales-y-guias%2Fguia-de-contratacion-publica-sostenible-y-socialmente&amp;data=05%7C02%7Cesperanza.contreras%40colombiacompra.gov.co%7Ceb0fd05604104aa4d3bc08dd4c4ad35e%7C7b09041e245149d08cb179d5e3d8c1be%7C0%7C0%7C638750606446533879%7CUnknown%7CTWFpbGZsb3d8eyJFbXB0eU1hcGkiOnRydWUsIlYiOiIwLjAuMDAwMCIsIlAiOiJXaW4zMiIsIkFOIjoiTWFpbCIsIldUIjoyfQ%3D%3D%7C0%7C%7C%7C&amp;sdata=L0pIxKODuvqdJdlvvPzHiozW8YtzgU8R4%2F%2Btbs%2BwOF4%3D&amp;reserved=0</vt:lpwstr>
      </vt:variant>
      <vt:variant>
        <vt:lpwstr/>
      </vt:variant>
      <vt:variant>
        <vt:i4>7012393</vt:i4>
      </vt:variant>
      <vt:variant>
        <vt:i4>9</vt:i4>
      </vt:variant>
      <vt:variant>
        <vt:i4>0</vt:i4>
      </vt:variant>
      <vt:variant>
        <vt:i4>5</vt:i4>
      </vt:variant>
      <vt:variant>
        <vt:lpwstr>https://nam02.safelinks.protection.outlook.com/?url=https%3A%2F%2Fwww.colombiacompra.gov.co%2Fciudadanos%2Fcalendario&amp;data=05%7C02%7Cesperanza.contreras%40colombiacompra.gov.co%7Ceb0fd05604104aa4d3bc08dd4c4ad35e%7C7b09041e245149d08cb179d5e3d8c1be%7C0%7C0%7C638750606446524224%7CUnknown%7CTWFpbGZsb3d8eyJFbXB0eU1hcGkiOnRydWUsIlYiOiIwLjAuMDAwMCIsIlAiOiJXaW4zMiIsIkFOIjoiTWFpbCIsIldUIjoyfQ%3D%3D%7C0%7C%7C%7C&amp;sdata=6UggDTQVaVjwhMf9bnbUyElTuUjis%2BHKv2KOgauEvx4%3D&amp;reserved=0</vt:lpwstr>
      </vt:variant>
      <vt:variant>
        <vt:lpwstr/>
      </vt:variant>
      <vt:variant>
        <vt:i4>7012465</vt:i4>
      </vt:variant>
      <vt:variant>
        <vt:i4>6</vt:i4>
      </vt:variant>
      <vt:variant>
        <vt:i4>0</vt:i4>
      </vt:variant>
      <vt:variant>
        <vt:i4>5</vt:i4>
      </vt:variant>
      <vt:variant>
        <vt:lpwstr>https://nam02.safelinks.protection.outlook.com/?url=https%3A%2F%2Fwww.colombiacompra.gov.co%2Fmanuales-guias-y-pliegos-tipo%2Fmanuales-y-guias%2Fcartilla-para-incentivar-y-fortalecer-el-acceso-las&amp;data=05%7C02%7Cesperanza.contreras%40colombiacompra.gov.co%7Ceb0fd05604104aa4d3bc08dd4c4ad35e%7C7b09041e245149d08cb179d5e3d8c1be%7C0%7C0%7C638750606446508016%7CUnknown%7CTWFpbGZsb3d8eyJFbXB0eU1hcGkiOnRydWUsIlYiOiIwLjAuMDAwMCIsIlAiOiJXaW4zMiIsIkFOIjoiTWFpbCIsIldUIjoyfQ%3D%3D%7C0%7C%7C%7C&amp;sdata=w5yEy%2F7g7%2F%2FIXj5TgaBe1Ucg3Eiuadk9fm7CybX%2F5Gw%3D&amp;reserved=0</vt:lpwstr>
      </vt:variant>
      <vt:variant>
        <vt:lpwstr/>
      </vt:variant>
      <vt:variant>
        <vt:i4>3866680</vt:i4>
      </vt:variant>
      <vt:variant>
        <vt:i4>3</vt:i4>
      </vt:variant>
      <vt:variant>
        <vt:i4>0</vt:i4>
      </vt:variant>
      <vt:variant>
        <vt:i4>5</vt:i4>
      </vt:variant>
      <vt:variant>
        <vt:lpwstr>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vt:lpwstr>
      </vt:variant>
      <vt:variant>
        <vt:lpwstr/>
      </vt:variant>
      <vt:variant>
        <vt:i4>8323138</vt:i4>
      </vt:variant>
      <vt:variant>
        <vt:i4>0</vt:i4>
      </vt:variant>
      <vt:variant>
        <vt:i4>0</vt:i4>
      </vt:variant>
      <vt:variant>
        <vt:i4>5</vt:i4>
      </vt:variant>
      <vt:variant>
        <vt:lpwstr>mailto:creacissas@hotmail.com</vt:lpwstr>
      </vt:variant>
      <vt:variant>
        <vt:lpwstr/>
      </vt:variant>
      <vt:variant>
        <vt:i4>262146</vt:i4>
      </vt:variant>
      <vt:variant>
        <vt:i4>0</vt:i4>
      </vt:variant>
      <vt:variant>
        <vt:i4>0</vt:i4>
      </vt:variant>
      <vt:variant>
        <vt:i4>5</vt:i4>
      </vt:variant>
      <vt:variant>
        <vt:lpwstr>https://www.colombiacompra.gov.co/sites/cce_public/files/files_2020/vf_umbrales_actualizaciones_2022_-_2023_1.pdf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3</cp:revision>
  <cp:lastPrinted>2023-01-10T21:18:00Z</cp:lastPrinted>
  <dcterms:created xsi:type="dcterms:W3CDTF">2025-05-04T23:18:00Z</dcterms:created>
  <dcterms:modified xsi:type="dcterms:W3CDTF">2025-05-07T04:04:00Z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