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590FC" w14:textId="77777777" w:rsidR="009C4E6B" w:rsidRPr="003D7A8B" w:rsidRDefault="009C4E6B" w:rsidP="009C4E6B">
      <w:pPr>
        <w:spacing w:line="276" w:lineRule="auto"/>
        <w:jc w:val="both"/>
        <w:rPr>
          <w:rFonts w:ascii="Verdana" w:eastAsia="Calibri" w:hAnsi="Verdana" w:cs="Arial"/>
          <w:b/>
          <w:bCs/>
          <w:color w:val="000000" w:themeColor="text1"/>
          <w:lang w:eastAsia="es-ES"/>
        </w:rPr>
      </w:pPr>
      <w:r>
        <w:rPr>
          <w:rFonts w:ascii="Verdana" w:eastAsia="Calibri" w:hAnsi="Verdana" w:cs="Arial"/>
          <w:b/>
          <w:bCs/>
          <w:color w:val="000000" w:themeColor="text1"/>
          <w:lang w:eastAsia="es-ES"/>
        </w:rPr>
        <w:t>MEMORANDO DE ENTENDIMIENTO</w:t>
      </w:r>
      <w:r w:rsidRPr="00BE38A3">
        <w:rPr>
          <w:rFonts w:ascii="Verdana" w:eastAsia="Calibri" w:hAnsi="Verdana" w:cs="Arial"/>
          <w:b/>
          <w:bCs/>
          <w:color w:val="000000" w:themeColor="text1"/>
          <w:lang w:eastAsia="es-ES"/>
        </w:rPr>
        <w:t xml:space="preserve"> – </w:t>
      </w:r>
      <w:r>
        <w:rPr>
          <w:rFonts w:ascii="Verdana" w:eastAsia="Calibri" w:hAnsi="Verdana" w:cs="Arial"/>
          <w:b/>
          <w:bCs/>
          <w:color w:val="000000" w:themeColor="text1"/>
          <w:lang w:val="es-ES" w:eastAsia="es-ES"/>
        </w:rPr>
        <w:t xml:space="preserve">Definición </w:t>
      </w:r>
      <w:r w:rsidRPr="00BE38A3">
        <w:rPr>
          <w:rFonts w:ascii="Verdana" w:eastAsia="Calibri" w:hAnsi="Verdana" w:cs="Arial"/>
          <w:b/>
          <w:bCs/>
          <w:color w:val="000000" w:themeColor="text1"/>
          <w:lang w:eastAsia="es-ES"/>
        </w:rPr>
        <w:t>–</w:t>
      </w:r>
      <w:r>
        <w:rPr>
          <w:rFonts w:ascii="Verdana" w:eastAsia="Calibri" w:hAnsi="Verdana" w:cs="Arial"/>
          <w:b/>
          <w:bCs/>
          <w:color w:val="000000" w:themeColor="text1"/>
          <w:lang w:eastAsia="es-ES"/>
        </w:rPr>
        <w:t xml:space="preserve"> Normativa</w:t>
      </w:r>
    </w:p>
    <w:p w14:paraId="0C27DBC8" w14:textId="77777777" w:rsidR="009C4E6B" w:rsidRDefault="009C4E6B" w:rsidP="009C4E6B">
      <w:pPr>
        <w:spacing w:after="0" w:line="240" w:lineRule="auto"/>
        <w:jc w:val="both"/>
      </w:pPr>
      <w:r w:rsidRPr="00D360B8">
        <w:rPr>
          <w:rFonts w:ascii="Verdana" w:eastAsia="Geomanist Light" w:hAnsi="Verdana" w:cs="Arial"/>
          <w:color w:val="000000" w:themeColor="text1"/>
          <w:sz w:val="20"/>
          <w:szCs w:val="20"/>
        </w:rPr>
        <w:t>Los memorandos de entendimientos son instrumentos simplificados en los cuales se incluyen intenciones, compromisos, aspiraciones, propósitos o se desarrollan instrumentos preexistentes. En los mismos no se contemplan obligaciones de comportamiento reales, ni términos imperativos u obligacionales, sino más bien clausulas programáticas que suelen contener simples exhortaciones o declaraciones de intención. Las normas que regulan los memorandos de entendimiento o cartas de intención corresponden a aquellas que de manera general le asignan las funciones a las Entidades Estatales. En este orden de ideas, este tipo de acuerdos no tienen el alcance de contrato estatal, en la medida en que no generan obligaciones para quienes lo suscriben, en consecuencia, no están sujetos a la normativa del Sistema de Compra Pública.</w:t>
      </w:r>
    </w:p>
    <w:p w14:paraId="70273F07" w14:textId="77777777" w:rsidR="009C4E6B" w:rsidRDefault="009C4E6B" w:rsidP="009C4E6B">
      <w:pPr>
        <w:spacing w:after="0" w:line="240" w:lineRule="auto"/>
        <w:jc w:val="both"/>
        <w:rPr>
          <w:rFonts w:ascii="Verdana" w:eastAsia="Aptos" w:hAnsi="Verdana" w:cs="Times New Roman"/>
          <w:sz w:val="20"/>
          <w:szCs w:val="20"/>
          <w:shd w:val="clear" w:color="auto" w:fill="FFFFFF"/>
        </w:rPr>
      </w:pPr>
    </w:p>
    <w:p w14:paraId="2CA9D24D" w14:textId="77777777" w:rsidR="009C4E6B" w:rsidRDefault="009C4E6B" w:rsidP="009C4E6B">
      <w:pPr>
        <w:spacing w:after="0" w:line="240" w:lineRule="auto"/>
        <w:jc w:val="both"/>
        <w:rPr>
          <w:rFonts w:ascii="Verdana" w:eastAsia="Aptos" w:hAnsi="Verdana" w:cs="Times New Roman"/>
          <w:sz w:val="20"/>
          <w:szCs w:val="20"/>
          <w:shd w:val="clear" w:color="auto" w:fill="FFFFFF"/>
        </w:rPr>
      </w:pPr>
      <w:r>
        <w:rPr>
          <w:rFonts w:ascii="Verdana" w:eastAsia="Calibri" w:hAnsi="Verdana" w:cs="Arial"/>
          <w:b/>
          <w:bCs/>
          <w:color w:val="000000" w:themeColor="text1"/>
          <w:lang w:eastAsia="es-ES"/>
        </w:rPr>
        <w:t>MEMORANDO DE ENTENDIMIENTO</w:t>
      </w:r>
      <w:r w:rsidRPr="00BE38A3">
        <w:rPr>
          <w:rFonts w:ascii="Verdana" w:eastAsia="Calibri" w:hAnsi="Verdana" w:cs="Arial"/>
          <w:b/>
          <w:bCs/>
          <w:color w:val="000000" w:themeColor="text1"/>
          <w:lang w:eastAsia="es-ES"/>
        </w:rPr>
        <w:t xml:space="preserve"> – </w:t>
      </w:r>
      <w:r>
        <w:rPr>
          <w:rFonts w:ascii="Verdana" w:eastAsia="Calibri" w:hAnsi="Verdana" w:cs="Arial"/>
          <w:b/>
          <w:bCs/>
          <w:color w:val="000000" w:themeColor="text1"/>
          <w:lang w:val="es-ES" w:eastAsia="es-ES"/>
        </w:rPr>
        <w:t>Partes</w:t>
      </w:r>
    </w:p>
    <w:p w14:paraId="09F59709" w14:textId="77777777" w:rsidR="009C4E6B" w:rsidRDefault="009C4E6B" w:rsidP="009C4E6B">
      <w:pPr>
        <w:spacing w:after="0" w:line="240" w:lineRule="auto"/>
        <w:jc w:val="both"/>
        <w:rPr>
          <w:rFonts w:ascii="Verdana" w:eastAsia="Aptos" w:hAnsi="Verdana" w:cs="Times New Roman"/>
          <w:sz w:val="20"/>
          <w:szCs w:val="20"/>
          <w:shd w:val="clear" w:color="auto" w:fill="FFFFFF"/>
        </w:rPr>
      </w:pPr>
    </w:p>
    <w:p w14:paraId="2DAFFD8D" w14:textId="77777777" w:rsidR="009C4E6B" w:rsidRPr="00026B1B" w:rsidRDefault="009C4E6B" w:rsidP="009C4E6B">
      <w:pPr>
        <w:spacing w:after="0" w:line="240" w:lineRule="auto"/>
        <w:jc w:val="both"/>
        <w:rPr>
          <w:rFonts w:ascii="Verdana" w:eastAsia="Geomanist Light" w:hAnsi="Verdana" w:cs="Arial"/>
          <w:color w:val="000000" w:themeColor="text1"/>
          <w:sz w:val="20"/>
          <w:szCs w:val="20"/>
        </w:rPr>
      </w:pPr>
      <w:r w:rsidRPr="00026B1B">
        <w:rPr>
          <w:rFonts w:ascii="Verdana" w:eastAsia="Geomanist Light" w:hAnsi="Verdana" w:cs="Arial"/>
          <w:color w:val="000000" w:themeColor="text1"/>
          <w:sz w:val="20"/>
          <w:szCs w:val="20"/>
        </w:rPr>
        <w:t>Adicionalmente, se debe tener en cuenta que al no estar contemplados en el ordenamiento jurídico y no contener obligaciones, se puede suscribir entre cualquier persona, sin que exista una calidad especial para ello, ya que son documentos que al no contar con regulación pueden ser utilizados por personas naturales o jurídicas de cualquier naturaleza.</w:t>
      </w:r>
    </w:p>
    <w:p w14:paraId="539ED66D" w14:textId="77777777" w:rsidR="009C4E6B" w:rsidRDefault="009C4E6B" w:rsidP="009C4E6B">
      <w:pPr>
        <w:spacing w:after="0" w:line="240" w:lineRule="auto"/>
        <w:jc w:val="both"/>
        <w:rPr>
          <w:rFonts w:ascii="Verdana" w:eastAsia="Aptos" w:hAnsi="Verdana" w:cs="Times New Roman"/>
          <w:sz w:val="20"/>
          <w:szCs w:val="20"/>
          <w:shd w:val="clear" w:color="auto" w:fill="FFFFFF"/>
        </w:rPr>
      </w:pPr>
    </w:p>
    <w:p w14:paraId="0F94E306" w14:textId="77777777" w:rsidR="009C4E6B" w:rsidRDefault="009C4E6B" w:rsidP="009C4E6B">
      <w:pPr>
        <w:spacing w:after="0" w:line="240" w:lineRule="auto"/>
        <w:jc w:val="both"/>
        <w:rPr>
          <w:rFonts w:ascii="Verdana" w:eastAsia="Aptos" w:hAnsi="Verdana" w:cs="Times New Roman"/>
          <w:sz w:val="20"/>
          <w:szCs w:val="20"/>
          <w:shd w:val="clear" w:color="auto" w:fill="FFFFFF"/>
        </w:rPr>
      </w:pPr>
    </w:p>
    <w:p w14:paraId="5DD62556" w14:textId="77777777" w:rsidR="009C4E6B" w:rsidRDefault="009C4E6B" w:rsidP="009C4E6B">
      <w:pPr>
        <w:spacing w:after="0" w:line="240" w:lineRule="auto"/>
        <w:jc w:val="both"/>
        <w:rPr>
          <w:rFonts w:ascii="Verdana" w:eastAsia="Aptos" w:hAnsi="Verdana" w:cs="Times New Roman"/>
          <w:sz w:val="20"/>
          <w:szCs w:val="20"/>
          <w:shd w:val="clear" w:color="auto" w:fill="FFFFFF"/>
        </w:rPr>
      </w:pPr>
    </w:p>
    <w:p w14:paraId="7B632B01" w14:textId="77777777" w:rsidR="009C4E6B" w:rsidRDefault="009C4E6B" w:rsidP="009C4E6B">
      <w:pPr>
        <w:spacing w:after="0" w:line="240" w:lineRule="auto"/>
        <w:jc w:val="both"/>
        <w:rPr>
          <w:rFonts w:ascii="Verdana" w:eastAsia="Aptos" w:hAnsi="Verdana" w:cs="Times New Roman"/>
          <w:sz w:val="20"/>
          <w:szCs w:val="20"/>
          <w:shd w:val="clear" w:color="auto" w:fill="FFFFFF"/>
        </w:rPr>
      </w:pPr>
    </w:p>
    <w:p w14:paraId="2675D29B" w14:textId="77777777" w:rsidR="009C4E6B" w:rsidRDefault="009C4E6B" w:rsidP="009C4E6B">
      <w:pPr>
        <w:spacing w:after="0" w:line="240" w:lineRule="auto"/>
        <w:jc w:val="both"/>
        <w:rPr>
          <w:rFonts w:ascii="Verdana" w:eastAsia="Aptos" w:hAnsi="Verdana" w:cs="Times New Roman"/>
          <w:sz w:val="20"/>
          <w:szCs w:val="20"/>
          <w:shd w:val="clear" w:color="auto" w:fill="FFFFFF"/>
        </w:rPr>
      </w:pPr>
    </w:p>
    <w:p w14:paraId="111D46EC" w14:textId="77777777" w:rsidR="009C4E6B" w:rsidRDefault="009C4E6B" w:rsidP="009C4E6B">
      <w:pPr>
        <w:spacing w:after="0" w:line="240" w:lineRule="auto"/>
        <w:jc w:val="both"/>
        <w:rPr>
          <w:rFonts w:ascii="Verdana" w:eastAsia="Aptos" w:hAnsi="Verdana" w:cs="Times New Roman"/>
          <w:sz w:val="20"/>
          <w:szCs w:val="20"/>
          <w:shd w:val="clear" w:color="auto" w:fill="FFFFFF"/>
        </w:rPr>
      </w:pPr>
    </w:p>
    <w:p w14:paraId="2B369192" w14:textId="77777777" w:rsidR="009C4E6B" w:rsidRDefault="009C4E6B" w:rsidP="009C4E6B">
      <w:pPr>
        <w:spacing w:after="0" w:line="240" w:lineRule="auto"/>
        <w:jc w:val="both"/>
        <w:rPr>
          <w:rFonts w:ascii="Verdana" w:eastAsia="Aptos" w:hAnsi="Verdana" w:cs="Times New Roman"/>
          <w:sz w:val="20"/>
          <w:szCs w:val="20"/>
          <w:shd w:val="clear" w:color="auto" w:fill="FFFFFF"/>
        </w:rPr>
      </w:pPr>
    </w:p>
    <w:p w14:paraId="677B4C9A" w14:textId="77777777" w:rsidR="009C4E6B" w:rsidRDefault="009C4E6B" w:rsidP="009C4E6B">
      <w:pPr>
        <w:spacing w:after="0" w:line="240" w:lineRule="auto"/>
        <w:jc w:val="both"/>
        <w:rPr>
          <w:rFonts w:ascii="Verdana" w:eastAsia="Aptos" w:hAnsi="Verdana" w:cs="Times New Roman"/>
          <w:sz w:val="20"/>
          <w:szCs w:val="20"/>
          <w:shd w:val="clear" w:color="auto" w:fill="FFFFFF"/>
        </w:rPr>
      </w:pPr>
    </w:p>
    <w:p w14:paraId="0036A37D" w14:textId="77777777" w:rsidR="009C4E6B" w:rsidRPr="00307DE6" w:rsidRDefault="009C4E6B" w:rsidP="009C4E6B">
      <w:pPr>
        <w:spacing w:after="0" w:line="240" w:lineRule="auto"/>
        <w:jc w:val="both"/>
        <w:rPr>
          <w:rFonts w:ascii="Verdana" w:eastAsia="Aptos" w:hAnsi="Verdana" w:cs="Times New Roman"/>
          <w:sz w:val="20"/>
          <w:szCs w:val="20"/>
          <w:shd w:val="clear" w:color="auto" w:fill="FFFFFF"/>
        </w:rPr>
      </w:pPr>
    </w:p>
    <w:p w14:paraId="4B2AA955"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3EAF0131"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5ACD7876"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17932189"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027A3002"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249068C9"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5310B95E"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43A42D88"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0C7380D8"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4622880E"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35CA53A8"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2DF83451"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25FBCA90" w14:textId="77777777" w:rsidR="009C4E6B" w:rsidRDefault="009C4E6B" w:rsidP="009C4E6B">
      <w:pPr>
        <w:spacing w:after="0" w:line="240" w:lineRule="auto"/>
        <w:jc w:val="both"/>
        <w:rPr>
          <w:rFonts w:ascii="Verdana" w:eastAsia="Aptos" w:hAnsi="Verdana" w:cs="Times New Roman"/>
          <w:sz w:val="20"/>
          <w:szCs w:val="20"/>
          <w:shd w:val="clear" w:color="auto" w:fill="FFFFFF"/>
          <w:lang w:val="es-ES"/>
        </w:rPr>
      </w:pPr>
    </w:p>
    <w:p w14:paraId="43295F15" w14:textId="77777777" w:rsidR="00DC1970" w:rsidRDefault="00DC1970">
      <w:pPr>
        <w:rPr>
          <w:rFonts w:ascii="Verdana" w:eastAsia="Geomanist Light" w:hAnsi="Verdana" w:cs="Arial"/>
          <w:lang w:val="es-MX"/>
        </w:rPr>
      </w:pPr>
      <w:r>
        <w:rPr>
          <w:rFonts w:ascii="Verdana" w:eastAsia="Geomanist Light" w:hAnsi="Verdana" w:cs="Arial"/>
          <w:lang w:val="es-MX"/>
        </w:rPr>
        <w:br w:type="page"/>
      </w:r>
    </w:p>
    <w:p w14:paraId="4796C690" w14:textId="06C48E53" w:rsidR="009C4E6B" w:rsidRDefault="009C4E6B" w:rsidP="009C4E6B">
      <w:pPr>
        <w:spacing w:after="0" w:line="240" w:lineRule="auto"/>
        <w:jc w:val="both"/>
        <w:rPr>
          <w:rFonts w:ascii="Verdana" w:eastAsia="Geomanist Light" w:hAnsi="Verdana" w:cs="Arial"/>
          <w:lang w:val="es-MX"/>
        </w:rPr>
      </w:pPr>
      <w:r w:rsidRPr="007C1C94">
        <w:rPr>
          <w:rFonts w:ascii="Verdana" w:eastAsia="Geomanist Light" w:hAnsi="Verdana" w:cs="Arial"/>
          <w:lang w:val="es-MX"/>
        </w:rPr>
        <w:lastRenderedPageBreak/>
        <w:t>Bogotá D.C., </w:t>
      </w:r>
      <w:r w:rsidR="00BB0DF4">
        <w:rPr>
          <w:rFonts w:ascii="Verdana" w:eastAsia="Geomanist Light" w:hAnsi="Verdana" w:cs="Arial"/>
          <w:lang w:val="es-MX"/>
        </w:rPr>
        <w:t>7 de mayo de 2025</w:t>
      </w:r>
    </w:p>
    <w:p w14:paraId="0ED5B953" w14:textId="77777777" w:rsidR="00BB0DF4" w:rsidRDefault="00BB0DF4" w:rsidP="009C4E6B">
      <w:pPr>
        <w:spacing w:after="0" w:line="240" w:lineRule="auto"/>
        <w:jc w:val="both"/>
        <w:rPr>
          <w:rFonts w:ascii="Verdana" w:eastAsia="Geomanist Light" w:hAnsi="Verdana" w:cs="Arial"/>
          <w:lang w:val="es-MX"/>
        </w:rPr>
      </w:pPr>
    </w:p>
    <w:p w14:paraId="27B32971" w14:textId="167E0729" w:rsidR="00BB0DF4" w:rsidRPr="005D1DA0" w:rsidRDefault="00BB0DF4" w:rsidP="00BB0DF4">
      <w:pPr>
        <w:spacing w:after="0" w:line="240" w:lineRule="auto"/>
        <w:jc w:val="right"/>
        <w:rPr>
          <w:rFonts w:ascii="Verdana" w:eastAsia="Aptos" w:hAnsi="Verdana" w:cs="Times New Roman"/>
          <w:sz w:val="20"/>
          <w:szCs w:val="20"/>
          <w:shd w:val="clear" w:color="auto" w:fill="FFFFFF"/>
          <w:lang w:val="es-ES"/>
        </w:rPr>
      </w:pPr>
      <w:r w:rsidRPr="00BB0DF4">
        <w:rPr>
          <w:rFonts w:ascii="Verdana" w:eastAsia="Aptos" w:hAnsi="Verdana" w:cs="Times New Roman"/>
          <w:sz w:val="20"/>
          <w:szCs w:val="20"/>
          <w:shd w:val="clear" w:color="auto" w:fill="FFFFFF"/>
          <w:lang w:val="es-ES"/>
        </w:rPr>
        <w:drawing>
          <wp:inline distT="0" distB="0" distL="0" distR="0" wp14:anchorId="7BE57487" wp14:editId="1A82A744">
            <wp:extent cx="3639058" cy="971686"/>
            <wp:effectExtent l="0" t="0" r="0" b="0"/>
            <wp:docPr id="918099777"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99777" name="Imagen 1" descr="Interfaz de usuario gráfica, Texto&#10;&#10;El contenido generado por IA puede ser incorrecto."/>
                    <pic:cNvPicPr/>
                  </pic:nvPicPr>
                  <pic:blipFill>
                    <a:blip r:embed="rId10"/>
                    <a:stretch>
                      <a:fillRect/>
                    </a:stretch>
                  </pic:blipFill>
                  <pic:spPr>
                    <a:xfrm>
                      <a:off x="0" y="0"/>
                      <a:ext cx="3639058" cy="971686"/>
                    </a:xfrm>
                    <a:prstGeom prst="rect">
                      <a:avLst/>
                    </a:prstGeom>
                  </pic:spPr>
                </pic:pic>
              </a:graphicData>
            </a:graphic>
          </wp:inline>
        </w:drawing>
      </w:r>
    </w:p>
    <w:p w14:paraId="7E4C4A64" w14:textId="77777777" w:rsidR="009C4E6B" w:rsidRDefault="009C4E6B" w:rsidP="009C4E6B">
      <w:pPr>
        <w:spacing w:after="0" w:line="240" w:lineRule="auto"/>
        <w:jc w:val="both"/>
        <w:rPr>
          <w:rFonts w:ascii="Verdana" w:eastAsia="Calibri" w:hAnsi="Verdana" w:cs="Arial"/>
          <w:lang w:val="es-ES"/>
        </w:rPr>
      </w:pPr>
    </w:p>
    <w:p w14:paraId="4FCED47D" w14:textId="77777777" w:rsidR="009C4E6B" w:rsidRPr="007C1C94" w:rsidRDefault="009C4E6B" w:rsidP="009C4E6B">
      <w:pPr>
        <w:spacing w:after="0" w:line="240" w:lineRule="auto"/>
        <w:jc w:val="both"/>
        <w:rPr>
          <w:rFonts w:ascii="Verdana" w:eastAsia="Calibri" w:hAnsi="Verdana" w:cs="Arial"/>
          <w:lang w:val="es-ES"/>
        </w:rPr>
      </w:pPr>
    </w:p>
    <w:p w14:paraId="4CBAAA7B" w14:textId="77777777" w:rsidR="009C4E6B" w:rsidRPr="00D20089" w:rsidRDefault="009C4E6B" w:rsidP="009C4E6B">
      <w:pPr>
        <w:spacing w:after="0" w:line="240" w:lineRule="auto"/>
        <w:jc w:val="both"/>
        <w:rPr>
          <w:rFonts w:ascii="Verdana" w:eastAsia="Calibri" w:hAnsi="Verdana" w:cs="Arial"/>
          <w:lang w:val="es-ES" w:eastAsia="es-ES"/>
        </w:rPr>
      </w:pPr>
      <w:r w:rsidRPr="00D20089">
        <w:rPr>
          <w:rFonts w:ascii="Verdana" w:eastAsia="Calibri" w:hAnsi="Verdana" w:cs="Arial"/>
          <w:lang w:val="es-ES" w:eastAsia="es-ES"/>
        </w:rPr>
        <w:t>Señor</w:t>
      </w:r>
      <w:r>
        <w:rPr>
          <w:rFonts w:ascii="Verdana" w:eastAsia="Calibri" w:hAnsi="Verdana" w:cs="Arial"/>
          <w:lang w:val="es-ES" w:eastAsia="es-ES"/>
        </w:rPr>
        <w:t>a</w:t>
      </w:r>
    </w:p>
    <w:p w14:paraId="302B202E" w14:textId="77777777" w:rsidR="009C4E6B" w:rsidRPr="00D20089" w:rsidRDefault="009C4E6B" w:rsidP="009C4E6B">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Flor Patricia Oquendo Patiño</w:t>
      </w:r>
    </w:p>
    <w:p w14:paraId="017E42FB" w14:textId="77777777" w:rsidR="009C4E6B" w:rsidRDefault="009C4E6B" w:rsidP="009C4E6B">
      <w:pPr>
        <w:spacing w:after="0" w:line="240" w:lineRule="auto"/>
        <w:rPr>
          <w:rFonts w:ascii="Verdana" w:hAnsi="Verdana"/>
        </w:rPr>
      </w:pPr>
      <w:hyperlink r:id="rId11" w:history="1">
        <w:r w:rsidRPr="00662D90">
          <w:rPr>
            <w:rStyle w:val="Hipervnculo"/>
            <w:rFonts w:ascii="Verdana" w:hAnsi="Verdana"/>
          </w:rPr>
          <w:t>arleyber@gmail.com</w:t>
        </w:r>
      </w:hyperlink>
    </w:p>
    <w:p w14:paraId="63DC487C" w14:textId="77777777" w:rsidR="009C4E6B" w:rsidRPr="00D20089" w:rsidRDefault="009C4E6B" w:rsidP="009C4E6B">
      <w:pPr>
        <w:spacing w:after="0" w:line="240" w:lineRule="auto"/>
        <w:rPr>
          <w:rFonts w:ascii="Verdana" w:eastAsia="Calibri" w:hAnsi="Verdana" w:cs="Arial"/>
          <w:b/>
          <w:bCs/>
          <w:lang w:val="es-ES" w:eastAsia="es-ES"/>
        </w:rPr>
      </w:pPr>
      <w:r w:rsidRPr="00D20089">
        <w:rPr>
          <w:rFonts w:ascii="Verdana" w:eastAsia="Calibri" w:hAnsi="Verdana" w:cs="Arial"/>
          <w:lang w:val="es-ES" w:eastAsia="es-ES"/>
        </w:rPr>
        <w:t>Ciudad</w:t>
      </w:r>
    </w:p>
    <w:p w14:paraId="14D5AAD2" w14:textId="77777777" w:rsidR="009C4E6B" w:rsidRPr="007C1C94" w:rsidRDefault="009C4E6B" w:rsidP="009C4E6B">
      <w:pPr>
        <w:spacing w:after="0" w:line="240" w:lineRule="auto"/>
        <w:rPr>
          <w:rFonts w:ascii="Verdana" w:eastAsia="Calibri" w:hAnsi="Verdana" w:cs="Arial"/>
          <w:b/>
          <w:bCs/>
          <w:lang w:val="es-ES_tradnl" w:eastAsia="es-ES_tradnl"/>
        </w:rPr>
      </w:pPr>
    </w:p>
    <w:p w14:paraId="6406FD33" w14:textId="77777777" w:rsidR="009C4E6B" w:rsidRPr="007C1C94" w:rsidRDefault="009C4E6B" w:rsidP="009C4E6B">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C4E6B" w:rsidRPr="007C1C94" w14:paraId="04058A47" w14:textId="77777777" w:rsidTr="00B56297">
        <w:trPr>
          <w:trHeight w:val="208"/>
        </w:trPr>
        <w:tc>
          <w:tcPr>
            <w:tcW w:w="2689" w:type="dxa"/>
          </w:tcPr>
          <w:p w14:paraId="7B2C6F3B" w14:textId="77777777" w:rsidR="009C4E6B" w:rsidRPr="007C1C94" w:rsidRDefault="009C4E6B" w:rsidP="008F2DBE">
            <w:pPr>
              <w:jc w:val="both"/>
              <w:rPr>
                <w:rFonts w:ascii="Verdana" w:eastAsia="Calibri" w:hAnsi="Verdana" w:cs="Arial"/>
                <w:b/>
                <w:bCs/>
                <w:lang w:val="es-ES_tradnl" w:eastAsia="es-ES_tradnl"/>
              </w:rPr>
            </w:pPr>
          </w:p>
        </w:tc>
        <w:tc>
          <w:tcPr>
            <w:tcW w:w="6100" w:type="dxa"/>
          </w:tcPr>
          <w:p w14:paraId="346FC72B" w14:textId="77777777" w:rsidR="009C4E6B" w:rsidRDefault="009C4E6B" w:rsidP="008F2DBE">
            <w:pPr>
              <w:jc w:val="both"/>
              <w:rPr>
                <w:rFonts w:ascii="Verdana" w:eastAsia="Calibri" w:hAnsi="Verdana" w:cs="Arial"/>
                <w:b/>
                <w:bCs/>
                <w:lang w:val="es-ES" w:eastAsia="es-ES"/>
              </w:rPr>
            </w:pPr>
            <w:r w:rsidRPr="007C1C94">
              <w:rPr>
                <w:rFonts w:ascii="Verdana" w:eastAsia="Calibri" w:hAnsi="Verdana" w:cs="Arial"/>
                <w:b/>
                <w:bCs/>
                <w:lang w:val="es-ES" w:eastAsia="es-ES"/>
              </w:rPr>
              <w:t xml:space="preserve">Concepto C- </w:t>
            </w:r>
            <w:r>
              <w:rPr>
                <w:rFonts w:ascii="Verdana" w:eastAsia="Calibri" w:hAnsi="Verdana" w:cs="Arial"/>
                <w:b/>
                <w:bCs/>
                <w:lang w:val="es-ES" w:eastAsia="es-ES"/>
              </w:rPr>
              <w:t>393</w:t>
            </w:r>
            <w:r w:rsidRPr="007C1C94">
              <w:rPr>
                <w:rFonts w:ascii="Verdana" w:eastAsia="Calibri" w:hAnsi="Verdana" w:cs="Arial"/>
                <w:b/>
                <w:bCs/>
                <w:lang w:val="es-ES" w:eastAsia="es-ES"/>
              </w:rPr>
              <w:t xml:space="preserve"> de 202</w:t>
            </w:r>
            <w:r>
              <w:rPr>
                <w:rFonts w:ascii="Verdana" w:eastAsia="Calibri" w:hAnsi="Verdana" w:cs="Arial"/>
                <w:b/>
                <w:bCs/>
                <w:lang w:val="es-ES" w:eastAsia="es-ES"/>
              </w:rPr>
              <w:t>5</w:t>
            </w:r>
          </w:p>
          <w:p w14:paraId="72B4253D" w14:textId="77777777" w:rsidR="009C4E6B" w:rsidRPr="007C1C94" w:rsidRDefault="009C4E6B" w:rsidP="008F2DBE">
            <w:pPr>
              <w:jc w:val="both"/>
              <w:rPr>
                <w:rFonts w:ascii="Verdana" w:eastAsia="Calibri" w:hAnsi="Verdana" w:cs="Arial"/>
                <w:b/>
                <w:bCs/>
                <w:lang w:val="es-ES" w:eastAsia="es-ES"/>
              </w:rPr>
            </w:pPr>
          </w:p>
        </w:tc>
      </w:tr>
      <w:tr w:rsidR="009C4E6B" w:rsidRPr="007C1C94" w14:paraId="44C8DA4C" w14:textId="77777777" w:rsidTr="008F2DBE">
        <w:trPr>
          <w:trHeight w:val="884"/>
        </w:trPr>
        <w:tc>
          <w:tcPr>
            <w:tcW w:w="2689" w:type="dxa"/>
          </w:tcPr>
          <w:p w14:paraId="639675AC" w14:textId="77777777" w:rsidR="009C4E6B" w:rsidRPr="00D37CA7" w:rsidRDefault="009C4E6B" w:rsidP="008F2DBE">
            <w:pPr>
              <w:jc w:val="both"/>
              <w:rPr>
                <w:rFonts w:ascii="Verdana" w:eastAsia="Calibri" w:hAnsi="Verdana" w:cs="Arial"/>
                <w:lang w:val="es-ES_tradnl" w:eastAsia="es-ES_tradnl"/>
              </w:rPr>
            </w:pPr>
            <w:r w:rsidRPr="00D37CA7">
              <w:rPr>
                <w:rFonts w:ascii="Verdana" w:eastAsia="Calibri" w:hAnsi="Verdana" w:cs="Arial"/>
                <w:b/>
                <w:lang w:val="es-ES_tradnl" w:eastAsia="es-ES_tradnl"/>
              </w:rPr>
              <w:t>Temas:</w:t>
            </w:r>
            <w:r w:rsidRPr="00D37CA7">
              <w:rPr>
                <w:rFonts w:ascii="Verdana" w:eastAsia="Calibri" w:hAnsi="Verdana" w:cs="Arial"/>
                <w:lang w:val="es-ES_tradnl" w:eastAsia="es-ES_tradnl"/>
              </w:rPr>
              <w:t xml:space="preserve">                   </w:t>
            </w:r>
          </w:p>
        </w:tc>
        <w:tc>
          <w:tcPr>
            <w:tcW w:w="6100" w:type="dxa"/>
          </w:tcPr>
          <w:p w14:paraId="11E4A861" w14:textId="77777777" w:rsidR="009C4E6B" w:rsidRDefault="009C4E6B" w:rsidP="00DC1970">
            <w:pPr>
              <w:jc w:val="both"/>
              <w:rPr>
                <w:rFonts w:ascii="Verdana" w:eastAsia="Calibri" w:hAnsi="Verdana" w:cs="Arial"/>
                <w:lang w:val="es-ES" w:eastAsia="es-ES"/>
              </w:rPr>
            </w:pPr>
            <w:r w:rsidRPr="00D360B8">
              <w:rPr>
                <w:rFonts w:ascii="Verdana" w:eastAsia="Calibri" w:hAnsi="Verdana" w:cs="Arial"/>
                <w:lang w:val="es-ES" w:eastAsia="es-ES"/>
              </w:rPr>
              <w:t>MEMORANDO DE ENTENDIMIENTO – Definición – Normativa</w:t>
            </w:r>
            <w:r>
              <w:rPr>
                <w:rFonts w:ascii="Verdana" w:eastAsia="Calibri" w:hAnsi="Verdana" w:cs="Arial"/>
                <w:lang w:val="es-ES" w:eastAsia="es-ES"/>
              </w:rPr>
              <w:t xml:space="preserve"> / </w:t>
            </w:r>
            <w:r w:rsidRPr="00026B1B">
              <w:rPr>
                <w:rFonts w:ascii="Verdana" w:eastAsia="Calibri" w:hAnsi="Verdana" w:cs="Arial"/>
                <w:lang w:val="es-ES" w:eastAsia="es-ES"/>
              </w:rPr>
              <w:t>MEMORANDO DE ENTENDIMIENTO – Partes</w:t>
            </w:r>
          </w:p>
          <w:p w14:paraId="1E2D23F3" w14:textId="77777777" w:rsidR="009C4E6B" w:rsidRPr="00026B1B" w:rsidRDefault="009C4E6B" w:rsidP="008F2DBE">
            <w:pPr>
              <w:jc w:val="both"/>
              <w:rPr>
                <w:rFonts w:ascii="Verdana" w:eastAsia="Calibri" w:hAnsi="Verdana" w:cs="Arial"/>
                <w:lang w:eastAsia="es-ES"/>
              </w:rPr>
            </w:pPr>
          </w:p>
        </w:tc>
      </w:tr>
      <w:tr w:rsidR="009C4E6B" w:rsidRPr="007C1C94" w14:paraId="6F725A5F" w14:textId="77777777" w:rsidTr="008F2DBE">
        <w:tc>
          <w:tcPr>
            <w:tcW w:w="2689" w:type="dxa"/>
          </w:tcPr>
          <w:p w14:paraId="686B7836" w14:textId="77777777" w:rsidR="009C4E6B" w:rsidRPr="007C1C94" w:rsidRDefault="009C4E6B" w:rsidP="008F2DBE">
            <w:pPr>
              <w:jc w:val="both"/>
              <w:rPr>
                <w:rFonts w:ascii="Verdana" w:eastAsia="Calibri" w:hAnsi="Verdana" w:cs="Arial"/>
                <w:b/>
                <w:lang w:val="es-ES_tradnl" w:eastAsia="es-ES_tradnl"/>
              </w:rPr>
            </w:pPr>
            <w:r w:rsidRPr="007C1C94">
              <w:rPr>
                <w:rFonts w:ascii="Verdana" w:eastAsia="Calibri" w:hAnsi="Verdana" w:cs="Arial"/>
                <w:b/>
                <w:lang w:val="es-ES_tradnl" w:eastAsia="es-ES_tradnl"/>
              </w:rPr>
              <w:t>Radicación:</w:t>
            </w:r>
            <w:r w:rsidRPr="007C1C94">
              <w:rPr>
                <w:rFonts w:ascii="Verdana" w:eastAsia="Calibri" w:hAnsi="Verdana" w:cs="Arial"/>
                <w:lang w:val="es-ES_tradnl" w:eastAsia="es-ES_tradnl"/>
              </w:rPr>
              <w:t xml:space="preserve">               </w:t>
            </w:r>
          </w:p>
        </w:tc>
        <w:tc>
          <w:tcPr>
            <w:tcW w:w="6100" w:type="dxa"/>
          </w:tcPr>
          <w:p w14:paraId="7DEFB151" w14:textId="77777777" w:rsidR="009C4E6B" w:rsidRPr="007C1C94" w:rsidRDefault="009C4E6B" w:rsidP="008F2DBE">
            <w:pPr>
              <w:jc w:val="both"/>
              <w:rPr>
                <w:rFonts w:ascii="Verdana" w:eastAsia="Calibri" w:hAnsi="Verdana" w:cs="Arial"/>
                <w:lang w:val="es-ES_tradnl" w:eastAsia="es-ES_tradnl"/>
              </w:rPr>
            </w:pPr>
            <w:r w:rsidRPr="007C1C94">
              <w:rPr>
                <w:rFonts w:ascii="Verdana" w:eastAsia="Calibri" w:hAnsi="Verdana" w:cs="Arial"/>
                <w:lang w:val="es-ES_tradnl" w:eastAsia="es-ES_tradnl"/>
              </w:rPr>
              <w:t xml:space="preserve">Respuesta a consulta con radicado No. </w:t>
            </w:r>
            <w:r w:rsidRPr="00FA154F">
              <w:rPr>
                <w:rFonts w:ascii="Verdana" w:eastAsia="Calibri" w:hAnsi="Verdana" w:cs="Arial"/>
                <w:lang w:val="es-ES_tradnl" w:eastAsia="es-ES_tradnl"/>
              </w:rPr>
              <w:t>P20250401003102</w:t>
            </w:r>
          </w:p>
        </w:tc>
      </w:tr>
    </w:tbl>
    <w:p w14:paraId="1101E8B9" w14:textId="77777777" w:rsidR="009C4E6B" w:rsidRPr="007C1C94" w:rsidRDefault="009C4E6B" w:rsidP="009C4E6B">
      <w:pPr>
        <w:spacing w:after="0" w:line="240" w:lineRule="auto"/>
        <w:jc w:val="both"/>
        <w:rPr>
          <w:rFonts w:ascii="Verdana" w:eastAsia="Calibri" w:hAnsi="Verdana" w:cs="Arial"/>
          <w:lang w:val="es-ES_tradnl" w:eastAsia="es-ES_tradnl"/>
        </w:rPr>
      </w:pPr>
    </w:p>
    <w:p w14:paraId="1149BE94" w14:textId="77777777" w:rsidR="009C4E6B" w:rsidRPr="007C1C94" w:rsidRDefault="009C4E6B" w:rsidP="009C4E6B">
      <w:pPr>
        <w:spacing w:after="0" w:line="240" w:lineRule="auto"/>
        <w:jc w:val="both"/>
        <w:rPr>
          <w:rFonts w:ascii="Verdana" w:eastAsia="Calibri" w:hAnsi="Verdana" w:cs="Arial"/>
          <w:lang w:val="es-ES_tradnl" w:eastAsia="es-ES_tradnl"/>
        </w:rPr>
      </w:pPr>
    </w:p>
    <w:p w14:paraId="5520DE2D" w14:textId="77777777" w:rsidR="009C4E6B" w:rsidRPr="007C1C94" w:rsidRDefault="009C4E6B" w:rsidP="009C4E6B">
      <w:pPr>
        <w:spacing w:after="0" w:line="276" w:lineRule="auto"/>
        <w:jc w:val="both"/>
        <w:rPr>
          <w:rFonts w:ascii="Verdana" w:eastAsia="Calibri" w:hAnsi="Verdana" w:cs="Arial"/>
          <w:lang w:val="es-ES" w:eastAsia="es-ES"/>
        </w:rPr>
      </w:pPr>
      <w:r w:rsidRPr="007C1C94">
        <w:rPr>
          <w:rFonts w:ascii="Verdana" w:eastAsia="Calibri" w:hAnsi="Verdana" w:cs="Arial"/>
          <w:lang w:val="es-ES" w:eastAsia="es-ES"/>
        </w:rPr>
        <w:t>Estimad</w:t>
      </w:r>
      <w:r>
        <w:rPr>
          <w:rFonts w:ascii="Verdana" w:eastAsia="Calibri" w:hAnsi="Verdana" w:cs="Arial"/>
          <w:lang w:val="es-ES" w:eastAsia="es-ES"/>
        </w:rPr>
        <w:t>a</w:t>
      </w:r>
      <w:r w:rsidRPr="007C1C94">
        <w:rPr>
          <w:rFonts w:ascii="Verdana" w:eastAsia="Calibri" w:hAnsi="Verdana" w:cs="Arial"/>
          <w:lang w:val="es-ES" w:eastAsia="es-ES"/>
        </w:rPr>
        <w:t xml:space="preserve"> señor</w:t>
      </w:r>
      <w:r>
        <w:rPr>
          <w:rFonts w:ascii="Verdana" w:eastAsia="Calibri" w:hAnsi="Verdana" w:cs="Arial"/>
          <w:lang w:val="es-ES" w:eastAsia="es-ES"/>
        </w:rPr>
        <w:t>a</w:t>
      </w:r>
      <w:r w:rsidRPr="007C1C94">
        <w:rPr>
          <w:rFonts w:ascii="Verdana" w:eastAsia="Calibri" w:hAnsi="Verdana" w:cs="Arial"/>
          <w:lang w:val="es-ES" w:eastAsia="es-ES"/>
        </w:rPr>
        <w:t xml:space="preserve"> </w:t>
      </w:r>
      <w:r>
        <w:rPr>
          <w:rFonts w:ascii="Verdana" w:eastAsia="Calibri" w:hAnsi="Verdana" w:cs="Arial"/>
          <w:lang w:val="es-ES" w:eastAsia="es-ES"/>
        </w:rPr>
        <w:t>Oquendo</w:t>
      </w:r>
      <w:r w:rsidRPr="007C1C94">
        <w:rPr>
          <w:rFonts w:ascii="Verdana" w:eastAsia="Calibri" w:hAnsi="Verdana" w:cs="Arial"/>
          <w:lang w:val="es-ES" w:eastAsia="es-ES"/>
        </w:rPr>
        <w:t xml:space="preserve">: </w:t>
      </w:r>
    </w:p>
    <w:p w14:paraId="68F836D7" w14:textId="77777777" w:rsidR="009C4E6B" w:rsidRPr="007C1C94" w:rsidRDefault="009C4E6B" w:rsidP="009C4E6B">
      <w:pPr>
        <w:tabs>
          <w:tab w:val="left" w:pos="3768"/>
        </w:tabs>
        <w:spacing w:after="0" w:line="276" w:lineRule="auto"/>
        <w:jc w:val="both"/>
        <w:rPr>
          <w:rFonts w:ascii="Verdana" w:eastAsia="Calibri" w:hAnsi="Verdana" w:cs="Arial"/>
          <w:lang w:val="es-ES" w:eastAsia="es-ES"/>
        </w:rPr>
      </w:pPr>
      <w:r w:rsidRPr="007C1C94">
        <w:rPr>
          <w:rFonts w:ascii="Verdana" w:eastAsia="Calibri" w:hAnsi="Verdana" w:cs="Arial"/>
          <w:lang w:val="es-ES" w:eastAsia="es-ES"/>
        </w:rPr>
        <w:tab/>
      </w:r>
    </w:p>
    <w:p w14:paraId="155CD5C9" w14:textId="77777777" w:rsidR="009C4E6B" w:rsidRPr="007C1C94" w:rsidRDefault="009C4E6B" w:rsidP="009C4E6B">
      <w:pPr>
        <w:spacing w:after="0" w:line="276" w:lineRule="auto"/>
        <w:jc w:val="both"/>
        <w:rPr>
          <w:rFonts w:ascii="Verdana" w:eastAsia="Calibri" w:hAnsi="Verdana" w:cs="Arial"/>
          <w:lang w:val="es-ES" w:eastAsia="es-ES"/>
        </w:rPr>
      </w:pPr>
      <w:r w:rsidRPr="007C1C94">
        <w:rPr>
          <w:rFonts w:ascii="Verdana" w:eastAsia="Calibri" w:hAnsi="Verdana" w:cs="Arial"/>
          <w:lang w:val="es-ES" w:eastAsia="es-ES"/>
        </w:rPr>
        <w:t>En ejercicio de la competencia otorgada por los artículos 3, numeral 5º, y 11, numeral 8º, del Decreto Ley 4170 de 2011,</w:t>
      </w:r>
      <w:r w:rsidRPr="007C1C94">
        <w:rPr>
          <w:rFonts w:ascii="Verdana" w:eastAsia="Arial MT" w:hAnsi="Verdana" w:cs="Arial MT"/>
          <w:lang w:val="es-ES" w:eastAsia="es-ES"/>
        </w:rPr>
        <w:t xml:space="preserve"> </w:t>
      </w:r>
      <w:r w:rsidRPr="007C1C94">
        <w:rPr>
          <w:rFonts w:ascii="Verdana" w:hAnsi="Verdana" w:cs="Arial"/>
        </w:rPr>
        <w:t xml:space="preserve">así como lo establecido en el artículo 4 de la Resolución 1707 de 2018 expedida por esta Entidad, </w:t>
      </w:r>
      <w:r w:rsidRPr="007C1C94">
        <w:rPr>
          <w:rFonts w:ascii="Verdana" w:eastAsia="Calibri" w:hAnsi="Verdana" w:cs="Arial"/>
          <w:lang w:val="es-ES" w:eastAsia="es-ES"/>
        </w:rPr>
        <w:t>la Agencia Nacional de Contratación Pública – Colombia Compra Eficiente– responde su solicitud de consulta de fecha</w:t>
      </w:r>
      <w:r>
        <w:rPr>
          <w:rFonts w:ascii="Verdana" w:eastAsia="Calibri" w:hAnsi="Verdana" w:cs="Arial"/>
          <w:lang w:val="es-ES" w:eastAsia="es-ES"/>
        </w:rPr>
        <w:t xml:space="preserve"> 1</w:t>
      </w:r>
      <w:r w:rsidRPr="007C1C94">
        <w:rPr>
          <w:rFonts w:ascii="Verdana" w:eastAsia="Calibri" w:hAnsi="Verdana" w:cs="Arial"/>
          <w:lang w:val="es-ES" w:eastAsia="es-ES"/>
        </w:rPr>
        <w:t xml:space="preserve"> de </w:t>
      </w:r>
      <w:r>
        <w:rPr>
          <w:rFonts w:ascii="Verdana" w:eastAsia="Calibri" w:hAnsi="Verdana" w:cs="Arial"/>
          <w:lang w:val="es-ES" w:eastAsia="es-ES"/>
        </w:rPr>
        <w:t>abril</w:t>
      </w:r>
      <w:r w:rsidRPr="007C1C94">
        <w:rPr>
          <w:rFonts w:ascii="Verdana" w:eastAsia="Calibri" w:hAnsi="Verdana" w:cs="Arial"/>
          <w:lang w:val="es-ES" w:eastAsia="es-ES"/>
        </w:rPr>
        <w:t xml:space="preserve"> de 20</w:t>
      </w:r>
      <w:r>
        <w:rPr>
          <w:rFonts w:ascii="Verdana" w:eastAsia="Calibri" w:hAnsi="Verdana" w:cs="Arial"/>
          <w:lang w:val="es-ES" w:eastAsia="es-ES"/>
        </w:rPr>
        <w:t>25</w:t>
      </w:r>
      <w:r w:rsidRPr="007C1C94">
        <w:rPr>
          <w:rFonts w:ascii="Verdana" w:eastAsia="Calibri" w:hAnsi="Verdana" w:cs="Arial"/>
          <w:lang w:val="es-ES" w:eastAsia="es-ES"/>
        </w:rPr>
        <w:t>,</w:t>
      </w:r>
      <w:r>
        <w:rPr>
          <w:rFonts w:ascii="Verdana" w:eastAsia="Calibri" w:hAnsi="Verdana" w:cs="Arial"/>
          <w:lang w:val="es-ES" w:eastAsia="es-ES"/>
        </w:rPr>
        <w:t xml:space="preserve"> remitida por el Departamento Administrativo de la Función Pública con oficio remisorio No.</w:t>
      </w:r>
      <w:r w:rsidRPr="00FA154F">
        <w:rPr>
          <w:rFonts w:ascii="Verdana" w:eastAsia="Calibri" w:hAnsi="Verdana" w:cs="Arial"/>
          <w:lang w:val="es-ES" w:eastAsia="es-ES"/>
        </w:rPr>
        <w:t xml:space="preserve"> 20256000173851</w:t>
      </w:r>
      <w:r>
        <w:rPr>
          <w:rFonts w:ascii="Verdana" w:eastAsia="Calibri" w:hAnsi="Verdana" w:cs="Arial"/>
          <w:lang w:val="es-ES" w:eastAsia="es-ES"/>
        </w:rPr>
        <w:t>,</w:t>
      </w:r>
      <w:r w:rsidRPr="007C1C94">
        <w:rPr>
          <w:rFonts w:ascii="Verdana" w:eastAsia="Calibri" w:hAnsi="Verdana" w:cs="Arial"/>
          <w:lang w:val="es-ES" w:eastAsia="es-ES"/>
        </w:rPr>
        <w:t xml:space="preserve"> en la cual manifiesta lo siguiente: </w:t>
      </w:r>
    </w:p>
    <w:p w14:paraId="25824747" w14:textId="77777777" w:rsidR="009C4E6B" w:rsidRPr="007C1C94" w:rsidRDefault="009C4E6B" w:rsidP="00B56297">
      <w:pPr>
        <w:pStyle w:val="Prrafodelista"/>
        <w:tabs>
          <w:tab w:val="left" w:pos="142"/>
          <w:tab w:val="left" w:pos="284"/>
        </w:tabs>
        <w:spacing w:after="0" w:line="276" w:lineRule="auto"/>
        <w:ind w:left="0"/>
        <w:jc w:val="both"/>
        <w:rPr>
          <w:rFonts w:ascii="Verdana" w:eastAsia="Century Gothic" w:hAnsi="Verdana" w:cs="Century Gothic"/>
          <w:b/>
          <w:bCs/>
        </w:rPr>
      </w:pPr>
    </w:p>
    <w:p w14:paraId="11F53EAB" w14:textId="77777777" w:rsidR="009C4E6B" w:rsidRPr="00B13FE1" w:rsidRDefault="009C4E6B" w:rsidP="009C4E6B">
      <w:pPr>
        <w:spacing w:after="0" w:line="240" w:lineRule="auto"/>
        <w:ind w:left="709" w:right="709"/>
        <w:jc w:val="both"/>
        <w:rPr>
          <w:rStyle w:val="normaltextrun"/>
          <w:rFonts w:ascii="Verdana" w:hAnsi="Verdana" w:cs="Arial"/>
          <w:sz w:val="20"/>
          <w:szCs w:val="20"/>
          <w:shd w:val="clear" w:color="auto" w:fill="FFFFFF"/>
          <w:lang w:val="es-MX"/>
        </w:rPr>
      </w:pPr>
      <w:bookmarkStart w:id="0" w:name="_Hlk95313578"/>
      <w:r w:rsidRPr="007C1C94">
        <w:rPr>
          <w:rFonts w:ascii="Verdana" w:eastAsia="Century Gothic" w:hAnsi="Verdana" w:cs="Century Gothic"/>
          <w:sz w:val="20"/>
          <w:szCs w:val="20"/>
          <w:lang w:val="es-ES"/>
        </w:rPr>
        <w:t>“</w:t>
      </w:r>
      <w:r w:rsidRPr="00B13FE1">
        <w:rPr>
          <w:rStyle w:val="normaltextrun"/>
          <w:rFonts w:ascii="Verdana" w:hAnsi="Verdana" w:cs="Arial"/>
          <w:sz w:val="20"/>
          <w:szCs w:val="20"/>
          <w:shd w:val="clear" w:color="auto" w:fill="FFFFFF"/>
          <w:lang w:val="es-MX"/>
        </w:rPr>
        <w:t>1. ¿Qué normatividad es la que rige los memorandos de entendimiento?</w:t>
      </w:r>
    </w:p>
    <w:p w14:paraId="0871F1BA" w14:textId="77777777" w:rsidR="009C4E6B" w:rsidRPr="00517373" w:rsidRDefault="009C4E6B" w:rsidP="009C4E6B">
      <w:pPr>
        <w:spacing w:after="0" w:line="240" w:lineRule="auto"/>
        <w:ind w:left="709" w:right="709"/>
        <w:jc w:val="both"/>
        <w:rPr>
          <w:rFonts w:ascii="Verdana" w:hAnsi="Verdana" w:cs="Arial"/>
          <w:sz w:val="20"/>
          <w:szCs w:val="20"/>
          <w:shd w:val="clear" w:color="auto" w:fill="FFFFFF"/>
          <w:lang w:val="es-MX"/>
        </w:rPr>
      </w:pPr>
      <w:r w:rsidRPr="00B13FE1">
        <w:rPr>
          <w:rStyle w:val="normaltextrun"/>
          <w:rFonts w:ascii="Verdana" w:hAnsi="Verdana" w:cs="Arial"/>
          <w:sz w:val="20"/>
          <w:szCs w:val="20"/>
          <w:shd w:val="clear" w:color="auto" w:fill="FFFFFF"/>
          <w:lang w:val="es-MX"/>
        </w:rPr>
        <w:t>2. ¿Entre qué naturaleza de entidades se puede suscribir, ej. entidades públicas, entidades privadas,</w:t>
      </w:r>
      <w:r>
        <w:rPr>
          <w:rStyle w:val="normaltextrun"/>
          <w:rFonts w:ascii="Verdana" w:hAnsi="Verdana" w:cs="Arial"/>
          <w:sz w:val="20"/>
          <w:szCs w:val="20"/>
          <w:shd w:val="clear" w:color="auto" w:fill="FFFFFF"/>
          <w:lang w:val="es-MX"/>
        </w:rPr>
        <w:t xml:space="preserve"> </w:t>
      </w:r>
      <w:r w:rsidRPr="00B13FE1">
        <w:rPr>
          <w:rStyle w:val="normaltextrun"/>
          <w:rFonts w:ascii="Verdana" w:hAnsi="Verdana" w:cs="Arial"/>
          <w:sz w:val="20"/>
          <w:szCs w:val="20"/>
          <w:shd w:val="clear" w:color="auto" w:fill="FFFFFF"/>
          <w:lang w:val="es-MX"/>
        </w:rPr>
        <w:t>entre una entidad pública y privada, entre ONG, entre pública y ONG, etc.</w:t>
      </w:r>
      <w:r w:rsidRPr="00BA7808">
        <w:rPr>
          <w:rStyle w:val="normaltextrun"/>
          <w:rFonts w:ascii="Verdana" w:hAnsi="Verdana" w:cs="Arial"/>
          <w:sz w:val="20"/>
          <w:szCs w:val="20"/>
          <w:shd w:val="clear" w:color="auto" w:fill="FFFFFF"/>
          <w:lang w:val="es-MX"/>
        </w:rPr>
        <w:t>?</w:t>
      </w:r>
      <w:r w:rsidRPr="006C632C">
        <w:rPr>
          <w:rFonts w:ascii="Verdana" w:eastAsia="Century Gothic" w:hAnsi="Verdana" w:cs="Century Gothic"/>
          <w:sz w:val="20"/>
          <w:szCs w:val="20"/>
          <w:lang w:val="es-ES"/>
        </w:rPr>
        <w:t>”</w:t>
      </w:r>
      <w:bookmarkEnd w:id="0"/>
      <w:r w:rsidRPr="006C632C">
        <w:rPr>
          <w:rFonts w:ascii="Verdana" w:eastAsia="Century Gothic" w:hAnsi="Verdana" w:cs="Century Gothic"/>
          <w:sz w:val="20"/>
          <w:szCs w:val="20"/>
          <w:lang w:val="es-ES"/>
        </w:rPr>
        <w:t>.</w:t>
      </w:r>
    </w:p>
    <w:p w14:paraId="16532A9D" w14:textId="77777777" w:rsidR="009C4E6B" w:rsidRPr="00BA7808" w:rsidRDefault="009C4E6B" w:rsidP="00B56297">
      <w:pPr>
        <w:pStyle w:val="Prrafodelista"/>
        <w:tabs>
          <w:tab w:val="left" w:pos="142"/>
          <w:tab w:val="left" w:pos="284"/>
        </w:tabs>
        <w:spacing w:after="0" w:line="276" w:lineRule="auto"/>
        <w:ind w:left="0"/>
        <w:jc w:val="both"/>
        <w:rPr>
          <w:rFonts w:ascii="Verdana" w:eastAsia="Century Gothic" w:hAnsi="Verdana" w:cs="Century Gothic"/>
          <w:b/>
          <w:bCs/>
          <w:lang w:val="es-MX"/>
        </w:rPr>
      </w:pPr>
    </w:p>
    <w:p w14:paraId="0F968BCD" w14:textId="77777777" w:rsidR="009C4E6B" w:rsidRPr="007C1C94" w:rsidRDefault="009C4E6B" w:rsidP="009C4E6B">
      <w:pPr>
        <w:spacing w:after="120" w:line="276" w:lineRule="auto"/>
        <w:ind w:firstLine="709"/>
        <w:jc w:val="both"/>
        <w:rPr>
          <w:rFonts w:ascii="Verdana" w:eastAsia="Calibri" w:hAnsi="Verdana" w:cs="Arial"/>
          <w:szCs w:val="24"/>
          <w:lang w:val="es-ES_tradnl" w:eastAsia="es-ES_tradnl"/>
        </w:rPr>
      </w:pPr>
      <w:r w:rsidRPr="007C1C94">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C1C94">
        <w:rPr>
          <w:rFonts w:ascii="Verdana" w:eastAsia="Calibri" w:hAnsi="Verdana" w:cs="Arial"/>
          <w:szCs w:val="24"/>
          <w:lang w:val="es-ES_tradnl" w:eastAsia="es-ES_tradnl"/>
        </w:rPr>
        <w:tab/>
      </w:r>
    </w:p>
    <w:p w14:paraId="1D7DE4E2" w14:textId="77777777" w:rsidR="009C4E6B" w:rsidRPr="007C1C94" w:rsidRDefault="009C4E6B" w:rsidP="009C4E6B">
      <w:pPr>
        <w:spacing w:after="0" w:line="276" w:lineRule="auto"/>
        <w:ind w:firstLine="709"/>
        <w:jc w:val="both"/>
        <w:rPr>
          <w:rFonts w:ascii="Verdana" w:eastAsia="Calibri" w:hAnsi="Verdana" w:cs="Arial"/>
          <w:lang w:val="es-ES" w:eastAsia="es-ES"/>
        </w:rPr>
      </w:pPr>
      <w:r w:rsidRPr="007C1C9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01C2686E" w14:textId="77777777" w:rsidR="009C4E6B" w:rsidRPr="007C1C94" w:rsidRDefault="009C4E6B" w:rsidP="009C4E6B">
      <w:pPr>
        <w:spacing w:after="0" w:line="276" w:lineRule="auto"/>
        <w:ind w:firstLine="709"/>
        <w:jc w:val="both"/>
        <w:rPr>
          <w:rFonts w:ascii="Verdana" w:eastAsia="Calibri" w:hAnsi="Verdana" w:cs="Arial"/>
          <w:lang w:val="es-ES" w:eastAsia="es-ES"/>
        </w:rPr>
      </w:pPr>
    </w:p>
    <w:p w14:paraId="1A2CEB87" w14:textId="77777777" w:rsidR="009C4E6B" w:rsidRPr="007C1C94" w:rsidRDefault="009C4E6B" w:rsidP="009C4E6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C1C94">
        <w:rPr>
          <w:rFonts w:ascii="Verdana" w:eastAsia="Century Gothic" w:hAnsi="Verdana" w:cs="Century Gothic"/>
          <w:b/>
          <w:bCs/>
        </w:rPr>
        <w:t>Problema planteado:</w:t>
      </w:r>
    </w:p>
    <w:p w14:paraId="485449ED" w14:textId="77777777" w:rsidR="009C4E6B" w:rsidRPr="007C1C94" w:rsidRDefault="009C4E6B" w:rsidP="009C4E6B">
      <w:pPr>
        <w:tabs>
          <w:tab w:val="left" w:pos="426"/>
        </w:tabs>
        <w:spacing w:after="0" w:line="276" w:lineRule="auto"/>
        <w:jc w:val="both"/>
        <w:rPr>
          <w:rFonts w:ascii="Verdana" w:eastAsia="Century Gothic" w:hAnsi="Verdana" w:cs="Century Gothic"/>
          <w:lang w:val="es-ES"/>
        </w:rPr>
      </w:pPr>
    </w:p>
    <w:p w14:paraId="64A4D632" w14:textId="537B04CA" w:rsidR="009C4E6B" w:rsidRPr="00E31906" w:rsidRDefault="009C4E6B" w:rsidP="009C4E6B">
      <w:pPr>
        <w:spacing w:after="0" w:line="276" w:lineRule="auto"/>
        <w:jc w:val="both"/>
        <w:rPr>
          <w:rFonts w:ascii="Verdana" w:eastAsia="Century Gothic" w:hAnsi="Verdana" w:cs="Century Gothic"/>
        </w:rPr>
      </w:pPr>
      <w:r w:rsidRPr="007C1C94">
        <w:rPr>
          <w:rFonts w:ascii="Verdana" w:eastAsia="Century Gothic" w:hAnsi="Verdana" w:cs="Century Gothic"/>
        </w:rPr>
        <w:t>De acuerdo con el contenido de su solicitud, esta Agencia resolverá</w:t>
      </w:r>
      <w:r>
        <w:rPr>
          <w:rFonts w:ascii="Verdana" w:eastAsia="Century Gothic" w:hAnsi="Verdana" w:cs="Century Gothic"/>
        </w:rPr>
        <w:t xml:space="preserve"> el</w:t>
      </w:r>
      <w:r w:rsidRPr="007C1C94">
        <w:rPr>
          <w:rFonts w:ascii="Verdana" w:eastAsia="Century Gothic" w:hAnsi="Verdana" w:cs="Century Gothic"/>
        </w:rPr>
        <w:t xml:space="preserve"> siguiente problema jurídico:</w:t>
      </w:r>
      <w:r>
        <w:rPr>
          <w:rFonts w:ascii="Verdana" w:eastAsia="Century Gothic" w:hAnsi="Verdana" w:cs="Century Gothic"/>
        </w:rPr>
        <w:t xml:space="preserve"> ¿Qué norma rige los memorandos de entendimiento y entre </w:t>
      </w:r>
      <w:r w:rsidR="00A214E8">
        <w:rPr>
          <w:rFonts w:ascii="Verdana" w:eastAsia="Century Gothic" w:hAnsi="Verdana" w:cs="Century Gothic"/>
        </w:rPr>
        <w:t xml:space="preserve">qué tipos de sujetos </w:t>
      </w:r>
      <w:r>
        <w:rPr>
          <w:rFonts w:ascii="Verdana" w:eastAsia="Century Gothic" w:hAnsi="Verdana" w:cs="Century Gothic"/>
        </w:rPr>
        <w:t>se puede celebrar?</w:t>
      </w:r>
    </w:p>
    <w:p w14:paraId="22BA38D9" w14:textId="77777777" w:rsidR="009C4E6B" w:rsidRPr="007C1C94" w:rsidRDefault="009C4E6B" w:rsidP="009C4E6B">
      <w:pPr>
        <w:spacing w:after="0" w:line="276" w:lineRule="auto"/>
        <w:jc w:val="both"/>
        <w:rPr>
          <w:rFonts w:ascii="Verdana" w:eastAsia="Calibri" w:hAnsi="Verdana" w:cs="Arial"/>
          <w:lang w:val="es-ES"/>
        </w:rPr>
      </w:pPr>
    </w:p>
    <w:p w14:paraId="5D2399E6" w14:textId="77777777" w:rsidR="009C4E6B" w:rsidRPr="007C1C94" w:rsidRDefault="009C4E6B" w:rsidP="009C4E6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C1C94">
        <w:rPr>
          <w:rFonts w:ascii="Verdana" w:eastAsia="Century Gothic" w:hAnsi="Verdana" w:cs="Century Gothic"/>
          <w:b/>
          <w:bCs/>
        </w:rPr>
        <w:t>Respuesta:</w:t>
      </w:r>
    </w:p>
    <w:p w14:paraId="39D3E7D1" w14:textId="77777777" w:rsidR="009C4E6B" w:rsidRPr="007C1C94" w:rsidRDefault="009C4E6B" w:rsidP="009C4E6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C4E6B" w:rsidRPr="00567EFD" w14:paraId="6338976C" w14:textId="77777777" w:rsidTr="008F2DBE">
        <w:tc>
          <w:tcPr>
            <w:tcW w:w="8828" w:type="dxa"/>
            <w:shd w:val="clear" w:color="auto" w:fill="auto"/>
          </w:tcPr>
          <w:p w14:paraId="11711FE9" w14:textId="77777777" w:rsidR="009C4E6B" w:rsidRDefault="009C4E6B" w:rsidP="008F2DBE">
            <w:pPr>
              <w:widowControl w:val="0"/>
              <w:autoSpaceDE w:val="0"/>
              <w:autoSpaceDN w:val="0"/>
              <w:spacing w:after="120" w:line="276" w:lineRule="auto"/>
              <w:jc w:val="both"/>
              <w:rPr>
                <w:rFonts w:ascii="Verdana" w:eastAsia="Arial" w:hAnsi="Verdana" w:cs="Arial"/>
                <w:lang w:val="es-ES" w:eastAsia="es-ES" w:bidi="es-ES"/>
              </w:rPr>
            </w:pPr>
            <w:bookmarkStart w:id="1" w:name="_Hlk98867155"/>
            <w:r w:rsidRPr="00C82728">
              <w:rPr>
                <w:rFonts w:ascii="Verdana" w:eastAsia="Arial" w:hAnsi="Verdana" w:cs="Arial"/>
                <w:lang w:val="es-ES" w:eastAsia="es-ES" w:bidi="es-ES"/>
              </w:rPr>
              <w:t>Los memorandos de entendimientos son instrumentos simplificados en los cuales se incluyen intenciones, compromisos, aspiraciones, propósitos o se desarrollan instrumentos preexistentes. En los mismos no se contemplan obligaciones de comportamiento reales, ni términos imperativos u obligacionales, sino más bien clausulas programáticas que suelen contener simples exhortaciones o declaraciones de intención</w:t>
            </w:r>
            <w:bookmarkEnd w:id="1"/>
            <w:r w:rsidRPr="00C82728">
              <w:rPr>
                <w:rFonts w:ascii="Verdana" w:eastAsia="Arial" w:hAnsi="Verdana" w:cs="Arial"/>
                <w:vertAlign w:val="superscript"/>
                <w:lang w:val="es-ES" w:eastAsia="es-ES" w:bidi="es-ES"/>
              </w:rPr>
              <w:footnoteReference w:id="2"/>
            </w:r>
            <w:r w:rsidRPr="00C82728">
              <w:rPr>
                <w:rFonts w:ascii="Verdana" w:eastAsia="Arial" w:hAnsi="Verdana" w:cs="Arial"/>
                <w:lang w:val="es-ES" w:eastAsia="es-ES" w:bidi="es-ES"/>
              </w:rPr>
              <w:t xml:space="preserve">. Las normas que regulan los memorandos de entendimiento o cartas de intención corresponden a </w:t>
            </w:r>
            <w:r w:rsidRPr="00C82728">
              <w:rPr>
                <w:rFonts w:ascii="Verdana" w:eastAsia="Arial" w:hAnsi="Verdana" w:cs="Arial"/>
                <w:lang w:val="es-ES" w:eastAsia="es-ES" w:bidi="es-ES"/>
              </w:rPr>
              <w:lastRenderedPageBreak/>
              <w:t xml:space="preserve">aquellas que de manera general le asignan las funciones a las Entidades Estatales. </w:t>
            </w:r>
            <w:bookmarkStart w:id="2" w:name="_Hlk98867197"/>
            <w:r w:rsidRPr="00C82728">
              <w:rPr>
                <w:rFonts w:ascii="Verdana" w:eastAsia="Arial" w:hAnsi="Verdana" w:cs="Arial"/>
                <w:lang w:val="es-ES" w:eastAsia="es-ES" w:bidi="es-ES"/>
              </w:rPr>
              <w:t>En este orden de ideas, este tipo de acuerdos no tienen el alcance de contrato estatal, en la medida en que no generan obligaciones para quienes lo suscriben, en consecuencia, no están sujetos a la normativa del Sistema de Compra Pública</w:t>
            </w:r>
            <w:bookmarkEnd w:id="2"/>
            <w:r w:rsidRPr="00C82728">
              <w:rPr>
                <w:rStyle w:val="Refdenotaalpie"/>
                <w:rFonts w:ascii="Verdana" w:eastAsia="Arial" w:hAnsi="Verdana" w:cs="Arial"/>
                <w:lang w:val="es-ES" w:eastAsia="es-ES" w:bidi="es-ES"/>
              </w:rPr>
              <w:footnoteReference w:id="3"/>
            </w:r>
            <w:r w:rsidRPr="00C82728">
              <w:rPr>
                <w:rFonts w:ascii="Verdana" w:eastAsia="Arial" w:hAnsi="Verdana" w:cs="Arial"/>
                <w:lang w:val="es-ES" w:eastAsia="es-ES" w:bidi="es-ES"/>
              </w:rPr>
              <w:t xml:space="preserve">. </w:t>
            </w:r>
          </w:p>
          <w:p w14:paraId="3BE1DF19" w14:textId="77777777" w:rsidR="009C4E6B" w:rsidRPr="00C82728" w:rsidRDefault="009C4E6B" w:rsidP="00B56297">
            <w:pPr>
              <w:widowControl w:val="0"/>
              <w:autoSpaceDE w:val="0"/>
              <w:autoSpaceDN w:val="0"/>
              <w:spacing w:line="276" w:lineRule="auto"/>
              <w:ind w:firstLine="709"/>
              <w:jc w:val="both"/>
              <w:rPr>
                <w:rFonts w:ascii="Verdana" w:eastAsia="Calibri" w:hAnsi="Verdana" w:cs="Arial"/>
                <w:lang w:val="es-ES" w:eastAsia="es-ES"/>
              </w:rPr>
            </w:pPr>
            <w:r>
              <w:rPr>
                <w:rFonts w:ascii="Verdana" w:eastAsia="Arial" w:hAnsi="Verdana" w:cs="Arial"/>
                <w:lang w:val="es-ES" w:eastAsia="es-ES" w:bidi="es-ES"/>
              </w:rPr>
              <w:t>Adicionalmente, se debe tener en cuenta que al no estar contemplados en el ordenamiento jurídico y no contener obligaciones, se puede suscribir entre cualquier persona, sin que exista una calidad especial para ello, ya que son documentos que al no contar con regulación pueden ser utilizados por personas naturales o jurídicas de cualquier naturaleza.</w:t>
            </w:r>
          </w:p>
        </w:tc>
      </w:tr>
    </w:tbl>
    <w:p w14:paraId="0D16062B" w14:textId="77777777" w:rsidR="009C4E6B" w:rsidRPr="00567EFD" w:rsidRDefault="009C4E6B" w:rsidP="009C4E6B">
      <w:pPr>
        <w:tabs>
          <w:tab w:val="left" w:pos="142"/>
          <w:tab w:val="left" w:pos="284"/>
        </w:tabs>
        <w:spacing w:after="0" w:line="276" w:lineRule="auto"/>
        <w:jc w:val="both"/>
        <w:rPr>
          <w:rFonts w:ascii="Verdana" w:eastAsia="Century Gothic" w:hAnsi="Verdana" w:cs="Century Gothic"/>
          <w:b/>
          <w:bCs/>
        </w:rPr>
      </w:pPr>
    </w:p>
    <w:p w14:paraId="20F763BC" w14:textId="77777777" w:rsidR="009C4E6B" w:rsidRPr="007C1C94" w:rsidRDefault="009C4E6B" w:rsidP="009C4E6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C1C94">
        <w:rPr>
          <w:rFonts w:ascii="Verdana" w:eastAsia="Century Gothic" w:hAnsi="Verdana" w:cs="Century Gothic"/>
          <w:b/>
          <w:bCs/>
        </w:rPr>
        <w:t>Razones de la respuesta:</w:t>
      </w:r>
    </w:p>
    <w:p w14:paraId="4DB9DB0B" w14:textId="77777777" w:rsidR="009C4E6B" w:rsidRPr="007C1C94" w:rsidRDefault="009C4E6B" w:rsidP="009C4E6B">
      <w:pPr>
        <w:spacing w:after="0" w:line="276" w:lineRule="auto"/>
        <w:jc w:val="both"/>
        <w:rPr>
          <w:rFonts w:ascii="Verdana" w:eastAsia="Calibri" w:hAnsi="Verdana" w:cs="Arial"/>
          <w:lang w:val="es-ES"/>
        </w:rPr>
      </w:pPr>
    </w:p>
    <w:p w14:paraId="6E15143A" w14:textId="77777777" w:rsidR="009C4E6B" w:rsidRPr="007C1C94" w:rsidRDefault="009C4E6B" w:rsidP="009C4E6B">
      <w:pPr>
        <w:spacing w:after="0" w:line="276" w:lineRule="auto"/>
        <w:jc w:val="both"/>
        <w:rPr>
          <w:rFonts w:ascii="Verdana" w:eastAsia="Calibri" w:hAnsi="Verdana" w:cs="Arial"/>
          <w:lang w:val="es-ES"/>
        </w:rPr>
      </w:pPr>
      <w:r w:rsidRPr="007C1C94">
        <w:rPr>
          <w:rFonts w:ascii="Verdana" w:eastAsia="Calibri" w:hAnsi="Verdana" w:cs="Arial"/>
          <w:lang w:val="es-ES"/>
        </w:rPr>
        <w:t xml:space="preserve">Lo anterior se sustenta en las siguientes consideraciones: </w:t>
      </w:r>
    </w:p>
    <w:p w14:paraId="39B5F01A" w14:textId="77777777" w:rsidR="009C4E6B" w:rsidRDefault="009C4E6B" w:rsidP="009C4E6B">
      <w:pPr>
        <w:widowControl w:val="0"/>
        <w:autoSpaceDE w:val="0"/>
        <w:autoSpaceDN w:val="0"/>
        <w:spacing w:after="0" w:line="276" w:lineRule="auto"/>
        <w:jc w:val="both"/>
        <w:rPr>
          <w:rFonts w:ascii="Verdana" w:eastAsia="Calibri" w:hAnsi="Verdana" w:cs="Arial"/>
          <w:lang w:val="es-ES"/>
        </w:rPr>
      </w:pPr>
    </w:p>
    <w:p w14:paraId="13C8F92E" w14:textId="60DEE55A" w:rsidR="009C4E6B" w:rsidRPr="003733BF" w:rsidRDefault="009C4E6B" w:rsidP="009C4E6B">
      <w:pPr>
        <w:widowControl w:val="0"/>
        <w:autoSpaceDE w:val="0"/>
        <w:autoSpaceDN w:val="0"/>
        <w:spacing w:after="120" w:line="276" w:lineRule="auto"/>
        <w:jc w:val="both"/>
        <w:rPr>
          <w:rFonts w:ascii="Verdana" w:eastAsia="Arial" w:hAnsi="Verdana" w:cs="Arial"/>
          <w:lang w:val="es-ES" w:eastAsia="es-ES" w:bidi="es-ES"/>
        </w:rPr>
      </w:pPr>
      <w:r>
        <w:rPr>
          <w:rFonts w:ascii="Verdana" w:eastAsia="Arial" w:hAnsi="Verdana" w:cs="Arial"/>
          <w:lang w:val="es-ES" w:eastAsia="es-ES" w:bidi="es-ES"/>
        </w:rPr>
        <w:t>L</w:t>
      </w:r>
      <w:r w:rsidRPr="003733BF">
        <w:rPr>
          <w:rFonts w:ascii="Verdana" w:eastAsia="Arial" w:hAnsi="Verdana" w:cs="Arial"/>
          <w:lang w:val="es-ES" w:eastAsia="es-ES" w:bidi="es-ES"/>
        </w:rPr>
        <w:t xml:space="preserve">os denominados memorandos de entendimiento o también conocidas </w:t>
      </w:r>
      <w:r w:rsidR="00AC79C8" w:rsidRPr="00F246C8">
        <w:rPr>
          <w:rFonts w:ascii="Verdana" w:eastAsia="Arial" w:hAnsi="Verdana" w:cs="Arial"/>
          <w:lang w:val="es-ES" w:eastAsia="es-ES" w:bidi="es-ES"/>
        </w:rPr>
        <w:t xml:space="preserve">como </w:t>
      </w:r>
      <w:r w:rsidRPr="003733BF">
        <w:rPr>
          <w:rFonts w:ascii="Verdana" w:eastAsia="Arial" w:hAnsi="Verdana" w:cs="Arial"/>
          <w:lang w:val="es-ES" w:eastAsia="es-ES" w:bidi="es-ES"/>
        </w:rPr>
        <w:t xml:space="preserve">“cartas de intención” </w:t>
      </w:r>
      <w:r w:rsidR="00A81D2A" w:rsidRPr="00B56297">
        <w:rPr>
          <w:rFonts w:ascii="Verdana" w:eastAsia="Arial" w:hAnsi="Verdana" w:cs="Arial"/>
          <w:lang w:val="es-ES" w:eastAsia="es-ES" w:bidi="es-ES"/>
        </w:rPr>
        <w:t xml:space="preserve">son instrumentos simplificados en los cuales se incluyen intenciones, compromisos, aspiraciones, propósitos o se desarrollan instrumentos preexistentes.  Estos </w:t>
      </w:r>
      <w:r w:rsidRPr="003733BF">
        <w:rPr>
          <w:rFonts w:ascii="Verdana" w:eastAsia="Arial" w:hAnsi="Verdana" w:cs="Arial"/>
          <w:lang w:val="es-ES" w:eastAsia="es-ES" w:bidi="es-ES"/>
        </w:rPr>
        <w:t xml:space="preserve">constituyen una manifestación de acuerdo entre las partes, que por sí solos no contemplan obligaciones de comportamientos reales, </w:t>
      </w:r>
      <w:r w:rsidR="002008B7" w:rsidRPr="00B56297">
        <w:rPr>
          <w:rFonts w:ascii="Verdana" w:eastAsia="Arial" w:hAnsi="Verdana" w:cs="Arial"/>
          <w:lang w:val="es-ES" w:eastAsia="es-ES" w:bidi="es-ES"/>
        </w:rPr>
        <w:t>ni términos imperativos u obligacionales,</w:t>
      </w:r>
      <w:r w:rsidRPr="00F246C8">
        <w:rPr>
          <w:rFonts w:ascii="Verdana" w:eastAsia="Arial" w:hAnsi="Verdana" w:cs="Arial"/>
          <w:lang w:val="es-ES" w:eastAsia="es-ES" w:bidi="es-ES"/>
        </w:rPr>
        <w:t xml:space="preserve"> </w:t>
      </w:r>
      <w:r w:rsidRPr="003733BF">
        <w:rPr>
          <w:rFonts w:ascii="Verdana" w:eastAsia="Arial" w:hAnsi="Verdana" w:cs="Arial"/>
          <w:lang w:val="es-ES" w:eastAsia="es-ES" w:bidi="es-ES"/>
        </w:rPr>
        <w:t>sino compromisos programáticos basados en declaraciones de intención</w:t>
      </w:r>
      <w:r w:rsidR="004902FE" w:rsidRPr="00F246C8">
        <w:rPr>
          <w:rFonts w:ascii="Verdana" w:eastAsia="Arial" w:hAnsi="Verdana" w:cs="Arial"/>
          <w:lang w:val="es-ES" w:eastAsia="es-ES" w:bidi="es-ES"/>
        </w:rPr>
        <w:t>,</w:t>
      </w:r>
      <w:r w:rsidR="00F02FEC" w:rsidRPr="00B56297">
        <w:rPr>
          <w:rFonts w:ascii="Verdana" w:eastAsia="Arial" w:hAnsi="Verdana" w:cs="Arial"/>
          <w:lang w:val="es-ES" w:eastAsia="es-ES" w:bidi="es-ES"/>
        </w:rPr>
        <w:t xml:space="preserve"> que suelen contener simples exhortaciones o declaraciones de intención</w:t>
      </w:r>
      <w:r w:rsidR="00F02FEC" w:rsidRPr="00B56297">
        <w:rPr>
          <w:rFonts w:ascii="Verdana" w:eastAsia="Arial" w:hAnsi="Verdana" w:cs="Arial"/>
          <w:vertAlign w:val="superscript"/>
          <w:lang w:val="es-ES" w:eastAsia="es-ES" w:bidi="es-ES"/>
        </w:rPr>
        <w:footnoteReference w:id="4"/>
      </w:r>
      <w:r w:rsidR="004902FE" w:rsidRPr="00B56297">
        <w:rPr>
          <w:rFonts w:ascii="Verdana" w:eastAsia="Arial" w:hAnsi="Verdana" w:cs="Arial"/>
          <w:lang w:val="es-ES" w:eastAsia="es-ES" w:bidi="es-ES"/>
        </w:rPr>
        <w:t>.</w:t>
      </w:r>
      <w:r w:rsidR="00F82538">
        <w:rPr>
          <w:rFonts w:ascii="Verdana" w:eastAsia="Arial" w:hAnsi="Verdana" w:cs="Arial"/>
          <w:lang w:val="es-ES" w:eastAsia="es-ES" w:bidi="es-ES"/>
        </w:rPr>
        <w:t xml:space="preserve"> </w:t>
      </w:r>
      <w:r w:rsidRPr="003733BF">
        <w:rPr>
          <w:rFonts w:ascii="Verdana" w:eastAsia="Arial" w:hAnsi="Verdana" w:cs="Arial"/>
          <w:lang w:val="es-ES" w:eastAsia="es-ES" w:bidi="es-ES"/>
        </w:rPr>
        <w:t>En este orden de ideas, su manifestación no se da a través del perfeccionamiento de un contrato, sino que se materializa a través de la expedición de actos unilaterales de la administración.</w:t>
      </w:r>
    </w:p>
    <w:p w14:paraId="200C041F" w14:textId="62118A28" w:rsidR="009C4E6B" w:rsidRPr="00EE2597" w:rsidRDefault="009C4E6B" w:rsidP="009C4E6B">
      <w:pPr>
        <w:widowControl w:val="0"/>
        <w:autoSpaceDE w:val="0"/>
        <w:autoSpaceDN w:val="0"/>
        <w:spacing w:after="120" w:line="276" w:lineRule="auto"/>
        <w:ind w:firstLine="708"/>
        <w:jc w:val="both"/>
        <w:rPr>
          <w:rFonts w:ascii="Verdana" w:eastAsia="Arial" w:hAnsi="Verdana" w:cs="Arial"/>
          <w:lang w:val="es-ES" w:eastAsia="es-ES" w:bidi="es-ES"/>
        </w:rPr>
      </w:pPr>
      <w:r w:rsidRPr="00EE2597">
        <w:rPr>
          <w:rFonts w:ascii="Verdana" w:eastAsia="Arial" w:hAnsi="Verdana" w:cs="Arial"/>
          <w:lang w:val="es-ES" w:eastAsia="es-ES" w:bidi="es-ES"/>
        </w:rPr>
        <w:t xml:space="preserve">El memorando de entendimiento, al ser un documento a través del cual se materializan lineamientos o acuerdos puntales con al ánimo de culminar en un futuro y eventual un acuerdo final, su celebración, condiciones y reglas dependen de las necesidades particulares de cada uno de sus firmantes. </w:t>
      </w:r>
      <w:r w:rsidR="00736F65" w:rsidRPr="00F246C8">
        <w:rPr>
          <w:rFonts w:ascii="Verdana" w:eastAsia="Arial" w:hAnsi="Verdana" w:cs="Arial"/>
          <w:lang w:val="es-ES" w:eastAsia="es-ES" w:bidi="es-ES"/>
        </w:rPr>
        <w:t>Por lo</w:t>
      </w:r>
      <w:r w:rsidR="00F82538">
        <w:rPr>
          <w:rFonts w:ascii="Verdana" w:eastAsia="Arial" w:hAnsi="Verdana" w:cs="Arial"/>
          <w:lang w:val="es-ES" w:eastAsia="es-ES" w:bidi="es-ES"/>
        </w:rPr>
        <w:t xml:space="preserve"> anterior</w:t>
      </w:r>
      <w:r w:rsidR="00736F65" w:rsidRPr="00F246C8">
        <w:rPr>
          <w:rFonts w:ascii="Verdana" w:eastAsia="Arial" w:hAnsi="Verdana" w:cs="Arial"/>
          <w:lang w:val="es-ES" w:eastAsia="es-ES" w:bidi="es-ES"/>
        </w:rPr>
        <w:t>, l</w:t>
      </w:r>
      <w:r w:rsidR="00736F65" w:rsidRPr="00B56297">
        <w:rPr>
          <w:rFonts w:ascii="Verdana" w:eastAsia="Arial" w:hAnsi="Verdana" w:cs="Arial"/>
          <w:lang w:val="es-ES" w:eastAsia="es-ES" w:bidi="es-ES"/>
        </w:rPr>
        <w:t xml:space="preserve">as normas que regulan los memorandos de entendimiento o cartas de </w:t>
      </w:r>
      <w:r w:rsidR="00736F65" w:rsidRPr="00B56297">
        <w:rPr>
          <w:rFonts w:ascii="Verdana" w:eastAsia="Arial" w:hAnsi="Verdana" w:cs="Arial"/>
          <w:lang w:val="es-ES" w:eastAsia="es-ES" w:bidi="es-ES"/>
        </w:rPr>
        <w:lastRenderedPageBreak/>
        <w:t>intención corresponden a aquellas que de manera general le asignan las funciones a las Entidades Estatales.</w:t>
      </w:r>
    </w:p>
    <w:p w14:paraId="0806EBC3" w14:textId="77777777" w:rsidR="009C4E6B" w:rsidRDefault="009C4E6B" w:rsidP="009C4E6B">
      <w:pPr>
        <w:widowControl w:val="0"/>
        <w:autoSpaceDE w:val="0"/>
        <w:autoSpaceDN w:val="0"/>
        <w:spacing w:after="120" w:line="276" w:lineRule="auto"/>
        <w:ind w:firstLine="709"/>
        <w:jc w:val="both"/>
        <w:rPr>
          <w:rFonts w:ascii="Verdana" w:eastAsia="Arial" w:hAnsi="Verdana" w:cs="Arial"/>
          <w:lang w:val="es-ES" w:eastAsia="es-ES" w:bidi="es-ES"/>
        </w:rPr>
      </w:pPr>
      <w:r w:rsidRPr="00EE2597">
        <w:rPr>
          <w:rFonts w:ascii="Verdana" w:eastAsia="Arial" w:hAnsi="Verdana" w:cs="Arial"/>
          <w:lang w:val="es-ES" w:eastAsia="es-ES" w:bidi="es-ES"/>
        </w:rPr>
        <w:t xml:space="preserve">Ahora bien, </w:t>
      </w:r>
      <w:bookmarkStart w:id="3" w:name="_Hlk98867245"/>
      <w:r w:rsidRPr="00EE2597">
        <w:rPr>
          <w:rFonts w:ascii="Verdana" w:eastAsia="Arial" w:hAnsi="Verdana" w:cs="Arial"/>
          <w:lang w:val="es-ES" w:eastAsia="es-ES" w:bidi="es-ES"/>
        </w:rPr>
        <w:t xml:space="preserve">conforme lo ha señalado esta Agencia, en la respuesta a la </w:t>
      </w:r>
      <w:r w:rsidRPr="00EE2597">
        <w:rPr>
          <w:rFonts w:ascii="Verdana" w:hAnsi="Verdana" w:cs="Arial"/>
        </w:rPr>
        <w:t>consulta número 4201813000001079,</w:t>
      </w:r>
      <w:r w:rsidRPr="00EE2597">
        <w:rPr>
          <w:rFonts w:ascii="Verdana" w:eastAsia="Arial" w:hAnsi="Verdana" w:cs="Arial"/>
          <w:lang w:val="es-ES" w:eastAsia="es-ES" w:bidi="es-ES"/>
        </w:rPr>
        <w:t xml:space="preserve"> los memorandos de entendimiento no t</w:t>
      </w:r>
      <w:r>
        <w:rPr>
          <w:rFonts w:ascii="Verdana" w:eastAsia="Arial" w:hAnsi="Verdana" w:cs="Arial"/>
          <w:lang w:val="es-ES" w:eastAsia="es-ES" w:bidi="es-ES"/>
        </w:rPr>
        <w:t>ienen</w:t>
      </w:r>
      <w:r w:rsidRPr="00EE2597">
        <w:rPr>
          <w:rFonts w:ascii="Verdana" w:eastAsia="Arial" w:hAnsi="Verdana" w:cs="Arial"/>
          <w:lang w:val="es-ES" w:eastAsia="es-ES" w:bidi="es-ES"/>
        </w:rPr>
        <w:t xml:space="preserve"> el alcance de contrato estatal, debido a que no generan obligaciones para las partes y</w:t>
      </w:r>
      <w:r>
        <w:rPr>
          <w:rFonts w:ascii="Verdana" w:eastAsia="Arial" w:hAnsi="Verdana" w:cs="Arial"/>
          <w:lang w:val="es-ES" w:eastAsia="es-ES" w:bidi="es-ES"/>
        </w:rPr>
        <w:t xml:space="preserve"> </w:t>
      </w:r>
      <w:r w:rsidRPr="00EE2597">
        <w:rPr>
          <w:rFonts w:ascii="Verdana" w:eastAsia="Arial" w:hAnsi="Verdana" w:cs="Arial"/>
          <w:lang w:val="es-ES" w:eastAsia="es-ES" w:bidi="es-ES"/>
        </w:rPr>
        <w:t>no está</w:t>
      </w:r>
      <w:r>
        <w:rPr>
          <w:rFonts w:ascii="Verdana" w:eastAsia="Arial" w:hAnsi="Verdana" w:cs="Arial"/>
          <w:lang w:val="es-ES" w:eastAsia="es-ES" w:bidi="es-ES"/>
        </w:rPr>
        <w:t>n</w:t>
      </w:r>
      <w:r w:rsidRPr="00EE2597">
        <w:rPr>
          <w:rFonts w:ascii="Verdana" w:eastAsia="Arial" w:hAnsi="Verdana" w:cs="Arial"/>
          <w:lang w:val="es-ES" w:eastAsia="es-ES" w:bidi="es-ES"/>
        </w:rPr>
        <w:t xml:space="preserve"> contemplados en la normativa del Sistema de Compra Pública</w:t>
      </w:r>
      <w:r>
        <w:rPr>
          <w:rFonts w:ascii="Verdana" w:eastAsia="Arial" w:hAnsi="Verdana" w:cs="Arial"/>
          <w:lang w:val="es-ES" w:eastAsia="es-ES" w:bidi="es-ES"/>
        </w:rPr>
        <w:t>.</w:t>
      </w:r>
    </w:p>
    <w:p w14:paraId="0C8F4ACB" w14:textId="55383090" w:rsidR="009C4E6B" w:rsidRPr="00040414" w:rsidRDefault="009C4E6B" w:rsidP="00B56297">
      <w:pPr>
        <w:spacing w:after="120" w:line="276" w:lineRule="auto"/>
        <w:ind w:firstLine="708"/>
        <w:jc w:val="both"/>
        <w:rPr>
          <w:rFonts w:ascii="Verdana" w:eastAsia="Arial" w:hAnsi="Verdana" w:cs="Arial"/>
          <w:lang w:eastAsia="es-ES" w:bidi="es-ES"/>
        </w:rPr>
      </w:pPr>
      <w:r>
        <w:rPr>
          <w:rFonts w:ascii="Verdana" w:eastAsia="Calibri" w:hAnsi="Verdana" w:cs="Arial"/>
        </w:rPr>
        <w:t>L</w:t>
      </w:r>
      <w:r w:rsidRPr="00040414">
        <w:rPr>
          <w:rFonts w:ascii="Verdana" w:eastAsia="Calibri" w:hAnsi="Verdana" w:cs="Arial"/>
        </w:rPr>
        <w:t xml:space="preserve">os memorandos de entendimiento o cartas de intención </w:t>
      </w:r>
      <w:r>
        <w:rPr>
          <w:rFonts w:ascii="Verdana" w:eastAsia="Calibri" w:hAnsi="Verdana" w:cs="Arial"/>
        </w:rPr>
        <w:t>como</w:t>
      </w:r>
      <w:r w:rsidRPr="00040414">
        <w:rPr>
          <w:rFonts w:ascii="Verdana" w:eastAsia="Calibri" w:hAnsi="Verdana" w:cs="Arial"/>
        </w:rPr>
        <w:t xml:space="preserve"> acuerdos suscritos entre entidades estatales, al no generar obligaciones de entre los suscribientes, sino lineamientos generales dirigidos a ser concre</w:t>
      </w:r>
      <w:r>
        <w:rPr>
          <w:rFonts w:ascii="Verdana" w:eastAsia="Calibri" w:hAnsi="Verdana" w:cs="Arial"/>
        </w:rPr>
        <w:t>ta</w:t>
      </w:r>
      <w:r w:rsidRPr="00040414">
        <w:rPr>
          <w:rFonts w:ascii="Verdana" w:eastAsia="Calibri" w:hAnsi="Verdana" w:cs="Arial"/>
        </w:rPr>
        <w:t xml:space="preserve">dos en un acuerdo final, no se encuentran sometidos </w:t>
      </w:r>
      <w:r>
        <w:rPr>
          <w:rFonts w:ascii="Verdana" w:eastAsia="Calibri" w:hAnsi="Verdana" w:cs="Arial"/>
        </w:rPr>
        <w:t>al</w:t>
      </w:r>
      <w:r w:rsidRPr="00040414">
        <w:rPr>
          <w:rFonts w:ascii="Verdana" w:eastAsia="Calibri" w:hAnsi="Verdana" w:cs="Arial"/>
        </w:rPr>
        <w:t xml:space="preserve"> </w:t>
      </w:r>
      <w:r w:rsidR="003B54B1">
        <w:rPr>
          <w:rFonts w:ascii="Verdana" w:eastAsia="Calibri" w:hAnsi="Verdana" w:cs="Arial"/>
        </w:rPr>
        <w:t>E</w:t>
      </w:r>
      <w:r w:rsidRPr="00F246C8">
        <w:rPr>
          <w:rFonts w:ascii="Verdana" w:eastAsia="Calibri" w:hAnsi="Verdana" w:cs="Arial"/>
        </w:rPr>
        <w:t>statuto</w:t>
      </w:r>
      <w:r>
        <w:rPr>
          <w:rFonts w:ascii="Verdana" w:eastAsia="Calibri" w:hAnsi="Verdana" w:cs="Arial"/>
        </w:rPr>
        <w:t xml:space="preserve"> </w:t>
      </w:r>
      <w:r w:rsidR="003B54B1">
        <w:rPr>
          <w:rFonts w:ascii="Verdana" w:eastAsia="Calibri" w:hAnsi="Verdana" w:cs="Arial"/>
        </w:rPr>
        <w:t>G</w:t>
      </w:r>
      <w:r w:rsidR="003B54B1" w:rsidRPr="00F246C8">
        <w:rPr>
          <w:rFonts w:ascii="Verdana" w:eastAsia="Calibri" w:hAnsi="Verdana" w:cs="Arial"/>
        </w:rPr>
        <w:t xml:space="preserve">eneral </w:t>
      </w:r>
      <w:r>
        <w:rPr>
          <w:rFonts w:ascii="Verdana" w:eastAsia="Calibri" w:hAnsi="Verdana" w:cs="Arial"/>
        </w:rPr>
        <w:t xml:space="preserve">de </w:t>
      </w:r>
      <w:r w:rsidR="003B54B1">
        <w:rPr>
          <w:rFonts w:ascii="Verdana" w:eastAsia="Calibri" w:hAnsi="Verdana" w:cs="Arial"/>
        </w:rPr>
        <w:t>C</w:t>
      </w:r>
      <w:r w:rsidR="003B54B1" w:rsidRPr="00F246C8">
        <w:rPr>
          <w:rFonts w:ascii="Verdana" w:eastAsia="Calibri" w:hAnsi="Verdana" w:cs="Arial"/>
        </w:rPr>
        <w:t xml:space="preserve">ontratación </w:t>
      </w:r>
      <w:r>
        <w:rPr>
          <w:rFonts w:ascii="Verdana" w:eastAsia="Calibri" w:hAnsi="Verdana" w:cs="Arial"/>
        </w:rPr>
        <w:t xml:space="preserve">de la </w:t>
      </w:r>
      <w:r w:rsidR="003B54B1">
        <w:rPr>
          <w:rFonts w:ascii="Verdana" w:eastAsia="Calibri" w:hAnsi="Verdana" w:cs="Arial"/>
        </w:rPr>
        <w:t>A</w:t>
      </w:r>
      <w:r w:rsidR="003B54B1" w:rsidRPr="00F246C8">
        <w:rPr>
          <w:rFonts w:ascii="Verdana" w:eastAsia="Calibri" w:hAnsi="Verdana" w:cs="Arial"/>
        </w:rPr>
        <w:t xml:space="preserve">dministración </w:t>
      </w:r>
      <w:r w:rsidR="003B54B1">
        <w:rPr>
          <w:rFonts w:ascii="Verdana" w:eastAsia="Calibri" w:hAnsi="Verdana" w:cs="Arial"/>
        </w:rPr>
        <w:t>P</w:t>
      </w:r>
      <w:r w:rsidR="003B54B1" w:rsidRPr="00F246C8">
        <w:rPr>
          <w:rFonts w:ascii="Verdana" w:eastAsia="Calibri" w:hAnsi="Verdana" w:cs="Arial"/>
        </w:rPr>
        <w:t>ública</w:t>
      </w:r>
      <w:r w:rsidRPr="00040414">
        <w:rPr>
          <w:rFonts w:ascii="Verdana" w:eastAsia="Calibri" w:hAnsi="Verdana" w:cs="Arial"/>
        </w:rPr>
        <w:t>, no siéndoles aplicables las solemnidades que requeridas para la celebración y ejecución de contratos estatales.</w:t>
      </w:r>
    </w:p>
    <w:bookmarkEnd w:id="3"/>
    <w:p w14:paraId="70351500" w14:textId="77777777" w:rsidR="009C4E6B" w:rsidRPr="00B56297" w:rsidRDefault="009C4E6B" w:rsidP="00B56297">
      <w:pPr>
        <w:widowControl w:val="0"/>
        <w:autoSpaceDE w:val="0"/>
        <w:autoSpaceDN w:val="0"/>
        <w:spacing w:after="120" w:line="276" w:lineRule="auto"/>
        <w:ind w:firstLine="709"/>
        <w:jc w:val="both"/>
        <w:rPr>
          <w:rFonts w:ascii="Verdana" w:eastAsia="Arial" w:hAnsi="Verdana" w:cs="Arial"/>
          <w:lang w:val="es-ES" w:eastAsia="es-ES" w:bidi="es-ES"/>
        </w:rPr>
      </w:pPr>
      <w:r w:rsidRPr="00EE2597">
        <w:rPr>
          <w:rFonts w:ascii="Verdana" w:eastAsia="Arial" w:hAnsi="Verdana" w:cs="Arial"/>
          <w:lang w:val="es-ES" w:eastAsia="es-ES" w:bidi="es-ES"/>
        </w:rPr>
        <w:t>No obstante, se debe tener presente que lo que determina la naturaleza jurídica de un documento suscrito por dos partes es el contenido de este y no la denominación que se le dé. Así las cosas, si un acuerdo de voluntades denominado memorando de entendimiento, implica el cumplimiento de obligaciones reales para las partes que van más allá de la intención de llevar a cabo un propósito común o implica que la entidad estatal recibe bienes, obras o servicios, ese documento tendrá carácter de contrato, entendido como un acto mediante el cual una parte se obliga con otra a dar, hacer o no hacer algo y, en ese sentido, se deberán aplicar las norma</w:t>
      </w:r>
      <w:r>
        <w:rPr>
          <w:rFonts w:ascii="Verdana" w:eastAsia="Arial" w:hAnsi="Verdana" w:cs="Arial"/>
          <w:lang w:val="es-ES" w:eastAsia="es-ES" w:bidi="es-ES"/>
        </w:rPr>
        <w:t>s</w:t>
      </w:r>
      <w:r w:rsidRPr="00EE2597">
        <w:rPr>
          <w:rFonts w:ascii="Verdana" w:eastAsia="Arial" w:hAnsi="Verdana" w:cs="Arial"/>
          <w:lang w:val="es-ES" w:eastAsia="es-ES" w:bidi="es-ES"/>
        </w:rPr>
        <w:t xml:space="preserve"> del Sistema de Compra Pública que regulan los contratos estatales.</w:t>
      </w:r>
      <w:r w:rsidRPr="00B56297">
        <w:rPr>
          <w:rFonts w:ascii="Verdana" w:eastAsia="Arial" w:hAnsi="Verdana" w:cs="Arial"/>
          <w:lang w:val="es-ES" w:eastAsia="es-ES" w:bidi="es-ES"/>
        </w:rPr>
        <w:t xml:space="preserve"> </w:t>
      </w:r>
    </w:p>
    <w:p w14:paraId="3F73973D" w14:textId="77777777" w:rsidR="009C4E6B" w:rsidRPr="00FC6994" w:rsidRDefault="009C4E6B" w:rsidP="009C4E6B">
      <w:pPr>
        <w:spacing w:before="120" w:after="120" w:line="276" w:lineRule="auto"/>
        <w:ind w:firstLine="709"/>
        <w:jc w:val="both"/>
        <w:rPr>
          <w:rFonts w:ascii="Verdana" w:hAnsi="Verdana" w:cs="Arial"/>
          <w:bCs/>
          <w:color w:val="000000"/>
          <w:lang w:eastAsia="es-CO"/>
        </w:rPr>
      </w:pPr>
      <w:r w:rsidRPr="00FC6994">
        <w:rPr>
          <w:rFonts w:ascii="Verdana" w:hAnsi="Verdana" w:cs="Arial"/>
          <w:bCs/>
          <w:color w:val="000000"/>
          <w:lang w:eastAsia="es-CO"/>
        </w:rPr>
        <w:t xml:space="preserve">Finalmente, es importante aclarar que una </w:t>
      </w:r>
      <w:r>
        <w:rPr>
          <w:rFonts w:ascii="Verdana" w:hAnsi="Verdana" w:cs="Arial"/>
          <w:bCs/>
          <w:color w:val="000000"/>
          <w:lang w:eastAsia="es-CO"/>
        </w:rPr>
        <w:t>“c</w:t>
      </w:r>
      <w:r w:rsidRPr="00FC6994">
        <w:rPr>
          <w:rFonts w:ascii="Verdana" w:hAnsi="Verdana" w:cs="Arial"/>
          <w:bCs/>
          <w:color w:val="000000"/>
          <w:lang w:eastAsia="es-CO"/>
        </w:rPr>
        <w:t>arta de entendimiento</w:t>
      </w:r>
      <w:r>
        <w:rPr>
          <w:rFonts w:ascii="Verdana" w:hAnsi="Verdana" w:cs="Arial"/>
          <w:bCs/>
          <w:color w:val="000000"/>
          <w:lang w:eastAsia="es-CO"/>
        </w:rPr>
        <w:t>”</w:t>
      </w:r>
      <w:r w:rsidRPr="00FC6994">
        <w:rPr>
          <w:rFonts w:ascii="Verdana" w:hAnsi="Verdana" w:cs="Arial"/>
          <w:bCs/>
          <w:color w:val="000000"/>
          <w:lang w:eastAsia="es-CO"/>
        </w:rPr>
        <w:t xml:space="preserve"> o </w:t>
      </w:r>
      <w:r>
        <w:rPr>
          <w:rFonts w:ascii="Verdana" w:hAnsi="Verdana" w:cs="Arial"/>
          <w:bCs/>
          <w:color w:val="000000"/>
          <w:lang w:eastAsia="es-CO"/>
        </w:rPr>
        <w:t>“</w:t>
      </w:r>
      <w:r w:rsidRPr="00FC6994">
        <w:rPr>
          <w:rFonts w:ascii="Verdana" w:hAnsi="Verdana" w:cs="Arial"/>
          <w:bCs/>
          <w:color w:val="000000"/>
          <w:lang w:eastAsia="es-CO"/>
        </w:rPr>
        <w:t>memorando de entendimiento</w:t>
      </w:r>
      <w:r>
        <w:rPr>
          <w:rFonts w:ascii="Verdana" w:hAnsi="Verdana" w:cs="Arial"/>
          <w:bCs/>
          <w:color w:val="000000"/>
          <w:lang w:eastAsia="es-CO"/>
        </w:rPr>
        <w:t>”</w:t>
      </w:r>
      <w:r w:rsidRPr="00FC6994">
        <w:rPr>
          <w:rFonts w:ascii="Verdana" w:hAnsi="Verdana" w:cs="Arial"/>
          <w:bCs/>
          <w:color w:val="000000"/>
          <w:lang w:eastAsia="es-CO"/>
        </w:rPr>
        <w:t>, partiendo de que no existe en el ordenamiento jurídico una disposición que los defina, debe considerarse como un contrato si reúne los elementos del artículo 1495 del Código Civil –aplicable tanto a las entidades estatales sometidas al Estatuto General de Contratación de la Administración Pública</w:t>
      </w:r>
      <w:r w:rsidRPr="00FC6994">
        <w:rPr>
          <w:rStyle w:val="Refdenotaalpie"/>
          <w:rFonts w:ascii="Verdana" w:hAnsi="Verdana" w:cs="Arial"/>
          <w:bCs/>
          <w:color w:val="000000"/>
          <w:lang w:eastAsia="es-CO"/>
        </w:rPr>
        <w:footnoteReference w:id="5"/>
      </w:r>
      <w:r w:rsidRPr="00FC6994">
        <w:rPr>
          <w:rFonts w:ascii="Verdana" w:hAnsi="Verdana" w:cs="Arial"/>
          <w:bCs/>
          <w:color w:val="000000"/>
          <w:lang w:eastAsia="es-CO"/>
        </w:rPr>
        <w:t xml:space="preserve"> como a las exceptuadas de este–. Tal disposición normativa establece que </w:t>
      </w:r>
      <w:r>
        <w:rPr>
          <w:rFonts w:ascii="Verdana" w:hAnsi="Verdana" w:cs="Arial"/>
          <w:bCs/>
          <w:color w:val="000000"/>
          <w:lang w:eastAsia="es-CO"/>
        </w:rPr>
        <w:t>“</w:t>
      </w:r>
      <w:r w:rsidRPr="00FC6994">
        <w:rPr>
          <w:rFonts w:ascii="Verdana" w:hAnsi="Verdana" w:cs="Arial"/>
          <w:bCs/>
          <w:color w:val="000000"/>
          <w:lang w:eastAsia="es-CO"/>
        </w:rPr>
        <w:t>Contrato o convención es un acto por el cual una parte se obliga para con otra a dar, hacer o no hacer alguna cosa</w:t>
      </w:r>
      <w:r>
        <w:rPr>
          <w:rFonts w:ascii="Verdana" w:hAnsi="Verdana" w:cs="Arial"/>
          <w:bCs/>
          <w:color w:val="000000"/>
          <w:lang w:eastAsia="es-CO"/>
        </w:rPr>
        <w:t>”</w:t>
      </w:r>
      <w:r w:rsidRPr="00FC6994">
        <w:rPr>
          <w:rFonts w:ascii="Verdana" w:hAnsi="Verdana" w:cs="Arial"/>
          <w:bCs/>
          <w:color w:val="000000"/>
          <w:lang w:eastAsia="es-CO"/>
        </w:rPr>
        <w:t xml:space="preserve">. Por tanto, si una carta, memorando, acta u otro instrumento jurídico contiene un acuerdo de </w:t>
      </w:r>
      <w:r w:rsidRPr="00FC6994">
        <w:rPr>
          <w:rFonts w:ascii="Verdana" w:hAnsi="Verdana" w:cs="Arial"/>
          <w:bCs/>
          <w:color w:val="000000"/>
          <w:lang w:eastAsia="es-CO"/>
        </w:rPr>
        <w:lastRenderedPageBreak/>
        <w:t>voluntades para crear obligaciones, será considerado un contrato, con independencia de su denominación</w:t>
      </w:r>
      <w:r>
        <w:rPr>
          <w:rFonts w:ascii="Verdana" w:hAnsi="Verdana" w:cs="Arial"/>
          <w:bCs/>
          <w:color w:val="000000"/>
          <w:lang w:eastAsia="es-CO"/>
        </w:rPr>
        <w:t>.</w:t>
      </w:r>
      <w:r w:rsidRPr="00FC6994">
        <w:rPr>
          <w:rFonts w:ascii="Verdana" w:hAnsi="Verdana" w:cs="Arial"/>
          <w:bCs/>
          <w:color w:val="000000"/>
          <w:lang w:eastAsia="es-CO"/>
        </w:rPr>
        <w:t xml:space="preserve"> </w:t>
      </w:r>
    </w:p>
    <w:p w14:paraId="507DCAE9" w14:textId="77777777" w:rsidR="009C4E6B" w:rsidRPr="00EE2597" w:rsidRDefault="009C4E6B" w:rsidP="009C4E6B">
      <w:pPr>
        <w:widowControl w:val="0"/>
        <w:autoSpaceDE w:val="0"/>
        <w:autoSpaceDN w:val="0"/>
        <w:spacing w:after="0" w:line="276" w:lineRule="auto"/>
        <w:jc w:val="both"/>
        <w:rPr>
          <w:rFonts w:ascii="Verdana" w:hAnsi="Verdana" w:cs="Arial"/>
          <w:lang w:val="es-ES"/>
        </w:rPr>
      </w:pPr>
    </w:p>
    <w:p w14:paraId="04DE3EFD" w14:textId="77777777" w:rsidR="009C4E6B" w:rsidRPr="007C1C94" w:rsidRDefault="009C4E6B" w:rsidP="009C4E6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C1C94">
        <w:rPr>
          <w:rFonts w:ascii="Verdana" w:eastAsia="Century Gothic" w:hAnsi="Verdana" w:cs="Century Gothic"/>
          <w:b/>
          <w:bCs/>
        </w:rPr>
        <w:t>Referencias normativas, jurisprudenciales y otras fuentes:</w:t>
      </w:r>
    </w:p>
    <w:p w14:paraId="5D232A6D" w14:textId="77777777" w:rsidR="009C4E6B" w:rsidRPr="007C1C94" w:rsidRDefault="009C4E6B" w:rsidP="009C4E6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C4E6B" w:rsidRPr="007C1C94" w14:paraId="22301C36" w14:textId="77777777" w:rsidTr="00B56297">
        <w:trPr>
          <w:trHeight w:val="207"/>
        </w:trPr>
        <w:tc>
          <w:tcPr>
            <w:tcW w:w="8647" w:type="dxa"/>
          </w:tcPr>
          <w:p w14:paraId="291F927B" w14:textId="77777777" w:rsidR="009C4E6B" w:rsidRPr="00B2043C" w:rsidRDefault="009C4E6B" w:rsidP="009C4E6B">
            <w:pPr>
              <w:pStyle w:val="Prrafodelista"/>
              <w:widowControl w:val="0"/>
              <w:numPr>
                <w:ilvl w:val="0"/>
                <w:numId w:val="17"/>
              </w:numPr>
              <w:autoSpaceDE w:val="0"/>
              <w:autoSpaceDN w:val="0"/>
              <w:spacing w:after="120" w:line="276" w:lineRule="auto"/>
              <w:contextualSpacing w:val="0"/>
              <w:jc w:val="both"/>
              <w:rPr>
                <w:rFonts w:ascii="Verdana" w:hAnsi="Verdana" w:cs="Arial"/>
                <w:bCs/>
                <w:color w:val="000000"/>
                <w:lang w:val="es-CO" w:eastAsia="es-CO"/>
              </w:rPr>
            </w:pPr>
            <w:r w:rsidRPr="00B2043C">
              <w:rPr>
                <w:rFonts w:ascii="Verdana" w:hAnsi="Verdana" w:cs="Arial"/>
                <w:bCs/>
                <w:color w:val="000000"/>
                <w:lang w:val="es-CO" w:eastAsia="es-CO"/>
              </w:rPr>
              <w:t>Ley 80 de 1993, artículos 13, 32 y 40.</w:t>
            </w:r>
          </w:p>
          <w:p w14:paraId="3B434E54" w14:textId="77777777" w:rsidR="009C4E6B" w:rsidRDefault="009C4E6B" w:rsidP="009C4E6B">
            <w:pPr>
              <w:pStyle w:val="Prrafodelista"/>
              <w:widowControl w:val="0"/>
              <w:numPr>
                <w:ilvl w:val="0"/>
                <w:numId w:val="17"/>
              </w:numPr>
              <w:autoSpaceDE w:val="0"/>
              <w:autoSpaceDN w:val="0"/>
              <w:spacing w:after="120" w:line="276" w:lineRule="auto"/>
              <w:contextualSpacing w:val="0"/>
              <w:jc w:val="both"/>
              <w:rPr>
                <w:rFonts w:ascii="Verdana" w:hAnsi="Verdana" w:cs="Arial"/>
                <w:color w:val="000000" w:themeColor="text1"/>
              </w:rPr>
            </w:pPr>
            <w:r w:rsidRPr="00FC6994">
              <w:rPr>
                <w:rFonts w:ascii="Verdana" w:hAnsi="Verdana" w:cs="Arial"/>
                <w:bCs/>
                <w:color w:val="000000"/>
                <w:lang w:eastAsia="es-CO"/>
              </w:rPr>
              <w:t>Código Civil</w:t>
            </w:r>
            <w:r>
              <w:rPr>
                <w:rFonts w:ascii="Verdana" w:hAnsi="Verdana" w:cs="Arial"/>
                <w:bCs/>
                <w:color w:val="000000"/>
                <w:lang w:eastAsia="es-CO"/>
              </w:rPr>
              <w:t xml:space="preserve">, </w:t>
            </w:r>
            <w:r w:rsidRPr="00FC6994">
              <w:rPr>
                <w:rFonts w:ascii="Verdana" w:hAnsi="Verdana" w:cs="Arial"/>
                <w:bCs/>
                <w:color w:val="000000"/>
                <w:lang w:eastAsia="es-CO"/>
              </w:rPr>
              <w:t>artículo 1495</w:t>
            </w:r>
            <w:r>
              <w:rPr>
                <w:rFonts w:ascii="Verdana" w:hAnsi="Verdana" w:cs="Arial"/>
                <w:bCs/>
                <w:color w:val="000000"/>
                <w:lang w:eastAsia="es-CO"/>
              </w:rPr>
              <w:t>.</w:t>
            </w:r>
          </w:p>
          <w:p w14:paraId="2020B799" w14:textId="77777777" w:rsidR="009C4E6B" w:rsidRPr="00AB564D" w:rsidRDefault="009C4E6B" w:rsidP="00B56297">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rPr>
            </w:pPr>
            <w:r w:rsidRPr="00C82728">
              <w:rPr>
                <w:rFonts w:ascii="Verdana" w:hAnsi="Verdana" w:cs="Arial"/>
                <w:color w:val="000000" w:themeColor="text1"/>
              </w:rPr>
              <w:t>Agencia por la Acción Social y la Cooperación Internacional. Régimen Jurídico de la Cooperación Internacional. Segunda Edición.</w:t>
            </w:r>
          </w:p>
        </w:tc>
      </w:tr>
    </w:tbl>
    <w:p w14:paraId="2AB6FCDD" w14:textId="77777777" w:rsidR="009C4E6B" w:rsidRPr="007C1C94" w:rsidRDefault="009C4E6B" w:rsidP="009C4E6B">
      <w:pPr>
        <w:widowControl w:val="0"/>
        <w:autoSpaceDE w:val="0"/>
        <w:autoSpaceDN w:val="0"/>
        <w:spacing w:after="0" w:line="276" w:lineRule="auto"/>
        <w:jc w:val="both"/>
        <w:rPr>
          <w:rFonts w:ascii="Verdana" w:hAnsi="Verdana" w:cs="Arial"/>
        </w:rPr>
      </w:pPr>
    </w:p>
    <w:p w14:paraId="490F7B6F" w14:textId="77777777" w:rsidR="009C4E6B" w:rsidRPr="007C1C94" w:rsidRDefault="009C4E6B" w:rsidP="009C4E6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C1C94">
        <w:rPr>
          <w:rFonts w:ascii="Verdana" w:eastAsia="Century Gothic" w:hAnsi="Verdana" w:cs="Century Gothic"/>
          <w:b/>
          <w:bCs/>
        </w:rPr>
        <w:t>Doctrina de la Agencia Nacional de Contratación Pública:</w:t>
      </w:r>
    </w:p>
    <w:p w14:paraId="71FF204C" w14:textId="77777777" w:rsidR="009C4E6B" w:rsidRPr="007C1C94" w:rsidRDefault="009C4E6B" w:rsidP="009C4E6B">
      <w:pPr>
        <w:widowControl w:val="0"/>
        <w:autoSpaceDE w:val="0"/>
        <w:autoSpaceDN w:val="0"/>
        <w:spacing w:after="0" w:line="276" w:lineRule="auto"/>
        <w:jc w:val="both"/>
        <w:rPr>
          <w:rFonts w:ascii="Verdana" w:hAnsi="Verdana" w:cs="Arial"/>
        </w:rPr>
      </w:pPr>
    </w:p>
    <w:p w14:paraId="6386EEAE" w14:textId="77777777" w:rsidR="009C4E6B" w:rsidRPr="007C1C94" w:rsidRDefault="009C4E6B" w:rsidP="009C4E6B">
      <w:pPr>
        <w:widowControl w:val="0"/>
        <w:autoSpaceDE w:val="0"/>
        <w:autoSpaceDN w:val="0"/>
        <w:spacing w:after="0" w:line="276" w:lineRule="auto"/>
        <w:jc w:val="both"/>
        <w:rPr>
          <w:rStyle w:val="normaltextrun"/>
          <w:rFonts w:ascii="Verdana" w:hAnsi="Verdana" w:cs="Arial"/>
          <w:shd w:val="clear" w:color="auto" w:fill="FFFFFF"/>
          <w:lang w:val="es-ES"/>
        </w:rPr>
      </w:pPr>
      <w:r w:rsidRPr="00BC0378">
        <w:rPr>
          <w:rFonts w:ascii="Verdana" w:eastAsia="Calibri" w:hAnsi="Verdana" w:cs="Arial"/>
          <w:lang w:val="es-ES_tradnl" w:eastAsia="es-ES_tradnl"/>
        </w:rPr>
        <w:t xml:space="preserve">Sobre </w:t>
      </w:r>
      <w:r>
        <w:rPr>
          <w:rFonts w:ascii="Verdana" w:eastAsia="Calibri" w:hAnsi="Verdana" w:cs="Arial"/>
          <w:lang w:val="es-ES_tradnl" w:eastAsia="es-ES_tradnl"/>
        </w:rPr>
        <w:t>los memorandos de entendimiento</w:t>
      </w:r>
      <w:r w:rsidRPr="00BC0378">
        <w:rPr>
          <w:rFonts w:ascii="Verdana" w:eastAsia="Calibri" w:hAnsi="Verdana" w:cs="Arial"/>
          <w:lang w:val="es-ES_tradnl" w:eastAsia="es-ES_tradnl"/>
        </w:rPr>
        <w:t>, esta Subdirección se ha referido en los Conceptos</w:t>
      </w:r>
      <w:r>
        <w:rPr>
          <w:rFonts w:ascii="Verdana" w:eastAsia="Calibri" w:hAnsi="Verdana" w:cs="Arial"/>
          <w:lang w:val="es-ES_tradnl" w:eastAsia="es-ES_tradnl"/>
        </w:rPr>
        <w:t xml:space="preserve"> </w:t>
      </w:r>
      <w:r w:rsidRPr="00EE2597">
        <w:rPr>
          <w:rFonts w:ascii="Verdana" w:eastAsia="Calibri" w:hAnsi="Verdana" w:cs="Arial"/>
          <w:lang w:val="es-ES_tradnl" w:eastAsia="es-ES_tradnl"/>
        </w:rPr>
        <w:t>4201813000001079</w:t>
      </w:r>
      <w:r>
        <w:rPr>
          <w:rFonts w:ascii="Verdana" w:eastAsia="Calibri" w:hAnsi="Verdana" w:cs="Arial"/>
          <w:lang w:val="es-ES_tradnl" w:eastAsia="es-ES_tradnl"/>
        </w:rPr>
        <w:t xml:space="preserve">, C-575 del 27 de agosto de 2020, C-127 del 22 de marzo de 2022, C-232 del 27 de mayo de 2022, </w:t>
      </w:r>
      <w:r w:rsidRPr="005276F9">
        <w:rPr>
          <w:rFonts w:ascii="Verdana" w:eastAsia="Calibri" w:hAnsi="Verdana" w:cs="Arial"/>
          <w:lang w:val="es-ES_tradnl" w:eastAsia="es-ES_tradnl"/>
        </w:rPr>
        <w:t>P20231122017103</w:t>
      </w:r>
      <w:r w:rsidRPr="00BC0378">
        <w:rPr>
          <w:rFonts w:ascii="Verdana" w:eastAsia="Calibri" w:hAnsi="Verdana" w:cs="Arial"/>
          <w:lang w:val="es-ES_tradnl" w:eastAsia="es-ES_tradnl"/>
        </w:rPr>
        <w:t xml:space="preserve"> del </w:t>
      </w:r>
      <w:r>
        <w:rPr>
          <w:rFonts w:ascii="Verdana" w:eastAsia="Calibri" w:hAnsi="Verdana" w:cs="Arial"/>
          <w:lang w:val="es-ES_tradnl" w:eastAsia="es-ES_tradnl"/>
        </w:rPr>
        <w:t>21</w:t>
      </w:r>
      <w:r w:rsidRPr="00BC0378">
        <w:rPr>
          <w:rFonts w:ascii="Verdana" w:eastAsia="Calibri" w:hAnsi="Verdana" w:cs="Arial"/>
          <w:lang w:val="es-ES_tradnl" w:eastAsia="es-ES_tradnl"/>
        </w:rPr>
        <w:t xml:space="preserve"> de </w:t>
      </w:r>
      <w:r>
        <w:rPr>
          <w:rFonts w:ascii="Verdana" w:eastAsia="Calibri" w:hAnsi="Verdana" w:cs="Arial"/>
          <w:lang w:val="es-ES_tradnl" w:eastAsia="es-ES_tradnl"/>
        </w:rPr>
        <w:t>diciembre</w:t>
      </w:r>
      <w:r w:rsidRPr="00BC0378">
        <w:rPr>
          <w:rFonts w:ascii="Verdana" w:eastAsia="Calibri" w:hAnsi="Verdana" w:cs="Arial"/>
          <w:lang w:val="es-ES_tradnl" w:eastAsia="es-ES_tradnl"/>
        </w:rPr>
        <w:t xml:space="preserve"> de 20</w:t>
      </w:r>
      <w:r>
        <w:rPr>
          <w:rFonts w:ascii="Verdana" w:eastAsia="Calibri" w:hAnsi="Verdana" w:cs="Arial"/>
          <w:lang w:val="es-ES_tradnl" w:eastAsia="es-ES_tradnl"/>
        </w:rPr>
        <w:t>23</w:t>
      </w:r>
      <w:r w:rsidRPr="00BC0378">
        <w:rPr>
          <w:rFonts w:ascii="Verdana" w:eastAsia="Calibri" w:hAnsi="Verdana" w:cs="Arial"/>
          <w:lang w:val="es-ES_tradnl" w:eastAsia="es-ES_tradnl"/>
        </w:rPr>
        <w:t>, entre otros</w:t>
      </w:r>
      <w:r w:rsidRPr="007C1C94">
        <w:rPr>
          <w:rStyle w:val="normaltextrun"/>
          <w:rFonts w:ascii="Verdana" w:hAnsi="Verdana" w:cs="Arial"/>
          <w:shd w:val="clear" w:color="auto" w:fill="FFFFFF"/>
          <w:lang w:val="es-ES"/>
        </w:rPr>
        <w:t>. Es</w:t>
      </w:r>
      <w:r w:rsidRPr="007C1C94">
        <w:rPr>
          <w:rFonts w:ascii="Verdana" w:hAnsi="Verdana"/>
        </w:rPr>
        <w:t>tos y otros conceptos se encuentran disponibles para consulta en el Sistema de relatoría de la Agencia, al cual se puede acceder a través del siguiente enlace:</w:t>
      </w:r>
      <w:r w:rsidRPr="007C1C94">
        <w:rPr>
          <w:rStyle w:val="normaltextrun"/>
          <w:rFonts w:ascii="Verdana" w:hAnsi="Verdana" w:cs="Arial"/>
          <w:shd w:val="clear" w:color="auto" w:fill="FFFFFF"/>
          <w:lang w:val="es-ES"/>
        </w:rPr>
        <w:t xml:space="preserve"> </w:t>
      </w:r>
      <w:hyperlink r:id="rId12" w:history="1">
        <w:r w:rsidRPr="007C1C94">
          <w:rPr>
            <w:rStyle w:val="Hipervnculo"/>
            <w:rFonts w:ascii="Verdana" w:hAnsi="Verdana" w:cs="Arial"/>
            <w:shd w:val="clear" w:color="auto" w:fill="FFFFFF"/>
            <w:lang w:val="es-ES"/>
          </w:rPr>
          <w:t>https://relatoria.colombiacompra.gov.co/busqueda/conceptos</w:t>
        </w:r>
      </w:hyperlink>
    </w:p>
    <w:p w14:paraId="4A7F78C7" w14:textId="77777777" w:rsidR="009C4E6B" w:rsidRPr="007C1C94" w:rsidRDefault="009C4E6B" w:rsidP="009C4E6B">
      <w:pPr>
        <w:widowControl w:val="0"/>
        <w:autoSpaceDE w:val="0"/>
        <w:autoSpaceDN w:val="0"/>
        <w:spacing w:after="0" w:line="276" w:lineRule="auto"/>
        <w:jc w:val="both"/>
        <w:rPr>
          <w:rStyle w:val="normaltextrun"/>
          <w:rFonts w:ascii="Verdana" w:hAnsi="Verdana" w:cs="Arial"/>
          <w:shd w:val="clear" w:color="auto" w:fill="FFFFFF"/>
          <w:lang w:val="es-ES"/>
        </w:rPr>
      </w:pPr>
    </w:p>
    <w:p w14:paraId="6FCED493" w14:textId="77777777" w:rsidR="009C4E6B" w:rsidRPr="00F12E6B" w:rsidRDefault="009C4E6B" w:rsidP="009C4E6B">
      <w:pPr>
        <w:spacing w:after="0" w:line="276" w:lineRule="auto"/>
        <w:jc w:val="both"/>
        <w:rPr>
          <w:rFonts w:ascii="Verdana" w:hAnsi="Verdana"/>
        </w:rPr>
      </w:pPr>
      <w:r w:rsidRPr="00F12E6B">
        <w:rPr>
          <w:rFonts w:ascii="Verdana" w:hAnsi="Verdana"/>
        </w:rPr>
        <w:t xml:space="preserve">Por último, lo invitamos a seguirnos en las redes sociales en las cuales se difunde información institucional: </w:t>
      </w:r>
    </w:p>
    <w:p w14:paraId="6CBE07B5" w14:textId="77777777" w:rsidR="009C4E6B" w:rsidRPr="00F12E6B" w:rsidRDefault="009C4E6B" w:rsidP="009C4E6B">
      <w:pPr>
        <w:spacing w:after="0" w:line="276" w:lineRule="auto"/>
        <w:jc w:val="both"/>
        <w:rPr>
          <w:rFonts w:ascii="Verdana" w:hAnsi="Verdana"/>
        </w:rPr>
      </w:pPr>
    </w:p>
    <w:p w14:paraId="513A91C8" w14:textId="77777777" w:rsidR="009C4E6B" w:rsidRPr="00F12E6B" w:rsidRDefault="009C4E6B" w:rsidP="009C4E6B">
      <w:pPr>
        <w:spacing w:after="0" w:line="276" w:lineRule="auto"/>
        <w:jc w:val="both"/>
        <w:rPr>
          <w:rFonts w:ascii="Verdana" w:hAnsi="Verdana"/>
        </w:rPr>
      </w:pPr>
      <w:r w:rsidRPr="00F12E6B">
        <w:rPr>
          <w:rFonts w:ascii="Verdana" w:hAnsi="Verdana"/>
        </w:rPr>
        <w:t xml:space="preserve">Twitter: </w:t>
      </w:r>
      <w:r w:rsidRPr="00F12E6B">
        <w:rPr>
          <w:rStyle w:val="Hipervnculo"/>
          <w:rFonts w:ascii="Verdana" w:hAnsi="Verdana"/>
        </w:rPr>
        <w:t>@colombiacompra</w:t>
      </w:r>
      <w:r w:rsidRPr="00F12E6B">
        <w:rPr>
          <w:rFonts w:ascii="Verdana" w:hAnsi="Verdana"/>
        </w:rPr>
        <w:t xml:space="preserve"> </w:t>
      </w:r>
    </w:p>
    <w:p w14:paraId="4EF77634" w14:textId="77777777" w:rsidR="009C4E6B" w:rsidRPr="00F12E6B" w:rsidRDefault="009C4E6B" w:rsidP="009C4E6B">
      <w:pPr>
        <w:spacing w:after="0" w:line="276" w:lineRule="auto"/>
        <w:jc w:val="both"/>
        <w:rPr>
          <w:rFonts w:ascii="Verdana" w:hAnsi="Verdana"/>
        </w:rPr>
      </w:pPr>
      <w:r w:rsidRPr="00F12E6B">
        <w:rPr>
          <w:rFonts w:ascii="Verdana" w:hAnsi="Verdana"/>
        </w:rPr>
        <w:t xml:space="preserve">Facebook: </w:t>
      </w:r>
      <w:r w:rsidRPr="00F12E6B">
        <w:rPr>
          <w:rStyle w:val="Hipervnculo"/>
          <w:rFonts w:ascii="Verdana" w:hAnsi="Verdana"/>
        </w:rPr>
        <w:t>ColombiaCompraEficiente</w:t>
      </w:r>
    </w:p>
    <w:p w14:paraId="067E8CD9" w14:textId="77777777" w:rsidR="009C4E6B" w:rsidRPr="00F12E6B" w:rsidRDefault="009C4E6B" w:rsidP="009C4E6B">
      <w:pPr>
        <w:spacing w:after="0" w:line="276" w:lineRule="auto"/>
        <w:jc w:val="both"/>
        <w:rPr>
          <w:rFonts w:ascii="Verdana" w:hAnsi="Verdana"/>
        </w:rPr>
      </w:pPr>
      <w:r w:rsidRPr="00F12E6B">
        <w:rPr>
          <w:rFonts w:ascii="Verdana" w:hAnsi="Verdana"/>
        </w:rPr>
        <w:t xml:space="preserve">LinkedIn: </w:t>
      </w:r>
      <w:r w:rsidRPr="00F12E6B">
        <w:rPr>
          <w:rStyle w:val="Hipervnculo"/>
          <w:rFonts w:ascii="Verdana" w:hAnsi="Verdana"/>
        </w:rPr>
        <w:t>Agencia Nacional de Contratación Pública - Colombia Compra Eficiente</w:t>
      </w:r>
      <w:r w:rsidRPr="00F12E6B">
        <w:rPr>
          <w:rFonts w:ascii="Verdana" w:hAnsi="Verdana"/>
        </w:rPr>
        <w:t xml:space="preserve"> Instagram: </w:t>
      </w:r>
      <w:r w:rsidRPr="00F12E6B">
        <w:rPr>
          <w:rStyle w:val="Hipervnculo"/>
          <w:rFonts w:ascii="Verdana" w:hAnsi="Verdana"/>
        </w:rPr>
        <w:t>@colombiacompraeficiente_cce</w:t>
      </w:r>
    </w:p>
    <w:p w14:paraId="3FEE2026" w14:textId="77777777" w:rsidR="009C4E6B" w:rsidRPr="007C1C94" w:rsidRDefault="009C4E6B" w:rsidP="009C4E6B">
      <w:pPr>
        <w:widowControl w:val="0"/>
        <w:autoSpaceDE w:val="0"/>
        <w:autoSpaceDN w:val="0"/>
        <w:spacing w:after="0" w:line="276" w:lineRule="auto"/>
        <w:jc w:val="both"/>
        <w:rPr>
          <w:rFonts w:ascii="Verdana" w:hAnsi="Verdana" w:cs="Arial"/>
        </w:rPr>
      </w:pPr>
    </w:p>
    <w:p w14:paraId="2D5417F0" w14:textId="77777777" w:rsidR="009C4E6B" w:rsidRPr="007C1C94" w:rsidRDefault="009C4E6B" w:rsidP="009C4E6B">
      <w:pPr>
        <w:widowControl w:val="0"/>
        <w:autoSpaceDE w:val="0"/>
        <w:autoSpaceDN w:val="0"/>
        <w:spacing w:after="0" w:line="276" w:lineRule="auto"/>
        <w:jc w:val="both"/>
        <w:rPr>
          <w:rFonts w:ascii="Verdana" w:hAnsi="Verdana" w:cs="Arial"/>
          <w:lang w:val="es-ES_tradnl"/>
        </w:rPr>
      </w:pPr>
      <w:r w:rsidRPr="007C1C94">
        <w:rPr>
          <w:rFonts w:ascii="Verdana" w:hAnsi="Verdana" w:cs="Arial"/>
        </w:rPr>
        <w:t xml:space="preserve">Este concepto tiene el alcance previsto en el artículo 28 del Código de Procedimiento Administrativo y de lo Contencioso Administrativo </w:t>
      </w:r>
      <w:r w:rsidRPr="007C1C94">
        <w:rPr>
          <w:rFonts w:ascii="Verdana" w:hAnsi="Verdana" w:cs="Arial"/>
          <w:lang w:val="es-ES_tradnl"/>
        </w:rPr>
        <w:t>y las expresiones aquí utilizadas con mayúscula inicial deben ser entendidas con el significado que les otorga el artículo 2.2.1.1.1.3.1. del Decreto 1082 de 2015.</w:t>
      </w:r>
    </w:p>
    <w:p w14:paraId="0E272CA1" w14:textId="77777777" w:rsidR="009C4E6B" w:rsidRPr="007C1C94" w:rsidRDefault="009C4E6B" w:rsidP="009C4E6B">
      <w:pPr>
        <w:widowControl w:val="0"/>
        <w:autoSpaceDE w:val="0"/>
        <w:autoSpaceDN w:val="0"/>
        <w:spacing w:after="0" w:line="276" w:lineRule="auto"/>
        <w:jc w:val="both"/>
        <w:rPr>
          <w:rFonts w:ascii="Verdana" w:hAnsi="Verdana" w:cs="Arial"/>
        </w:rPr>
      </w:pPr>
    </w:p>
    <w:p w14:paraId="0FE7D92F" w14:textId="77777777" w:rsidR="009C4E6B" w:rsidRPr="007C1C94" w:rsidRDefault="009C4E6B" w:rsidP="009C4E6B">
      <w:pPr>
        <w:spacing w:after="0" w:line="240" w:lineRule="auto"/>
        <w:rPr>
          <w:rFonts w:ascii="Verdana" w:hAnsi="Verdana" w:cs="Arial"/>
          <w:lang w:eastAsia="es-CO"/>
        </w:rPr>
      </w:pPr>
      <w:r w:rsidRPr="007C1C94">
        <w:rPr>
          <w:rFonts w:ascii="Verdana" w:eastAsia="Times New Roman" w:hAnsi="Verdana" w:cs="Arial"/>
          <w:lang w:eastAsia="es-CO"/>
        </w:rPr>
        <w:t>Atentamente,</w:t>
      </w:r>
      <w:r w:rsidRPr="007C1C94">
        <w:rPr>
          <w:rFonts w:ascii="Verdana" w:hAnsi="Verdana" w:cs="Arial"/>
          <w:lang w:eastAsia="es-CO"/>
        </w:rPr>
        <w:t xml:space="preserve"> </w:t>
      </w:r>
    </w:p>
    <w:p w14:paraId="4C83987F" w14:textId="16A3C0BE" w:rsidR="009C4E6B" w:rsidRPr="007C1C94" w:rsidRDefault="00BB0DF4" w:rsidP="009C4E6B">
      <w:pPr>
        <w:spacing w:line="276" w:lineRule="auto"/>
        <w:jc w:val="center"/>
        <w:rPr>
          <w:rFonts w:ascii="Verdana" w:hAnsi="Verdana" w:cs="Arial"/>
          <w:lang w:val="es-ES_tradnl" w:eastAsia="es-CO"/>
        </w:rPr>
      </w:pPr>
      <w:r w:rsidRPr="002C3AD6">
        <w:rPr>
          <w:rFonts w:ascii="Century Gothic" w:hAnsi="Century Gothic"/>
          <w:noProof/>
        </w:rPr>
        <w:lastRenderedPageBreak/>
        <w:drawing>
          <wp:inline distT="0" distB="0" distL="0" distR="0" wp14:anchorId="2325EF6C" wp14:editId="015ED72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C4E6B" w:rsidRPr="007C1C94" w14:paraId="2DB7E609" w14:textId="77777777" w:rsidTr="008F2DBE">
        <w:trPr>
          <w:trHeight w:val="315"/>
        </w:trPr>
        <w:tc>
          <w:tcPr>
            <w:tcW w:w="893" w:type="dxa"/>
            <w:vAlign w:val="center"/>
            <w:hideMark/>
          </w:tcPr>
          <w:p w14:paraId="6F7E115B" w14:textId="77777777" w:rsidR="009C4E6B" w:rsidRPr="007C1C94" w:rsidRDefault="009C4E6B" w:rsidP="008F2DBE">
            <w:pPr>
              <w:contextualSpacing/>
              <w:rPr>
                <w:rFonts w:ascii="Verdana" w:hAnsi="Verdana" w:cs="Arial"/>
                <w:sz w:val="16"/>
                <w:szCs w:val="16"/>
                <w:lang w:val="es-ES" w:eastAsia="es-ES"/>
              </w:rPr>
            </w:pPr>
            <w:r w:rsidRPr="007C1C9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26CCC5D" w14:textId="77777777" w:rsidR="009C4E6B" w:rsidRPr="00F12E6B" w:rsidRDefault="009C4E6B" w:rsidP="008F2DBE">
            <w:pPr>
              <w:contextualSpacing/>
              <w:rPr>
                <w:rStyle w:val="normaltextrun"/>
              </w:rPr>
            </w:pPr>
            <w:r w:rsidRPr="00F12E6B">
              <w:rPr>
                <w:rStyle w:val="normaltextrun"/>
                <w:rFonts w:ascii="Verdana" w:hAnsi="Verdana"/>
                <w:sz w:val="16"/>
                <w:szCs w:val="16"/>
              </w:rPr>
              <w:t>Ximena Ríos López</w:t>
            </w:r>
          </w:p>
          <w:p w14:paraId="32E8F2D0" w14:textId="77777777" w:rsidR="009C4E6B" w:rsidRPr="007C1C94" w:rsidRDefault="009C4E6B" w:rsidP="008F2DBE">
            <w:pPr>
              <w:contextualSpacing/>
              <w:rPr>
                <w:rFonts w:ascii="Verdana" w:eastAsia="Arial" w:hAnsi="Verdana" w:cs="Arial"/>
                <w:sz w:val="16"/>
                <w:szCs w:val="16"/>
              </w:rPr>
            </w:pPr>
            <w:r>
              <w:rPr>
                <w:rStyle w:val="normaltextrun"/>
                <w:rFonts w:ascii="Verdana" w:eastAsia="Arial" w:hAnsi="Verdana" w:cs="Arial"/>
                <w:sz w:val="16"/>
                <w:szCs w:val="16"/>
              </w:rPr>
              <w:t xml:space="preserve">Gestor T1-11 </w:t>
            </w:r>
            <w:r w:rsidRPr="007C1C94">
              <w:rPr>
                <w:rStyle w:val="normaltextrun"/>
                <w:rFonts w:ascii="Verdana" w:eastAsia="Arial" w:hAnsi="Verdana" w:cs="Arial"/>
                <w:sz w:val="16"/>
                <w:szCs w:val="16"/>
              </w:rPr>
              <w:t>de la Subdirección de Gestión Contractual</w:t>
            </w:r>
          </w:p>
        </w:tc>
      </w:tr>
      <w:tr w:rsidR="009C4E6B" w:rsidRPr="007C1C94" w14:paraId="00A820AC" w14:textId="77777777" w:rsidTr="008F2DBE">
        <w:trPr>
          <w:trHeight w:val="330"/>
        </w:trPr>
        <w:tc>
          <w:tcPr>
            <w:tcW w:w="893" w:type="dxa"/>
            <w:vAlign w:val="center"/>
            <w:hideMark/>
          </w:tcPr>
          <w:p w14:paraId="0300C442" w14:textId="77777777" w:rsidR="009C4E6B" w:rsidRPr="007C1C94" w:rsidRDefault="009C4E6B" w:rsidP="008F2DBE">
            <w:pPr>
              <w:contextualSpacing/>
              <w:rPr>
                <w:rFonts w:ascii="Verdana" w:hAnsi="Verdana" w:cs="Arial"/>
                <w:sz w:val="16"/>
                <w:szCs w:val="16"/>
                <w:lang w:val="es-ES" w:eastAsia="es-ES"/>
              </w:rPr>
            </w:pPr>
            <w:r w:rsidRPr="007C1C9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75DB69" w14:textId="52C4BF7F" w:rsidR="009C4E6B" w:rsidRPr="00184489" w:rsidRDefault="009C4E6B" w:rsidP="008F2DBE">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Diana </w:t>
            </w:r>
            <w:r w:rsidR="003E22A5">
              <w:rPr>
                <w:rFonts w:ascii="Verdana" w:hAnsi="Verdana" w:cs="Segoe UI"/>
                <w:sz w:val="16"/>
                <w:szCs w:val="16"/>
              </w:rPr>
              <w:t xml:space="preserve">Lucia </w:t>
            </w:r>
            <w:r>
              <w:rPr>
                <w:rFonts w:ascii="Verdana" w:hAnsi="Verdana" w:cs="Segoe UI"/>
                <w:sz w:val="16"/>
                <w:szCs w:val="16"/>
              </w:rPr>
              <w:t>Saavedra</w:t>
            </w:r>
            <w:r w:rsidR="003E22A5">
              <w:rPr>
                <w:rFonts w:ascii="Verdana" w:hAnsi="Verdana" w:cs="Segoe UI"/>
                <w:sz w:val="16"/>
                <w:szCs w:val="16"/>
              </w:rPr>
              <w:t xml:space="preserve"> Castañeda</w:t>
            </w:r>
          </w:p>
          <w:p w14:paraId="776F3744" w14:textId="77777777" w:rsidR="009C4E6B" w:rsidRPr="007C1C94" w:rsidRDefault="009C4E6B" w:rsidP="008F2DBE">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 xml:space="preserve">Contratista </w:t>
            </w:r>
            <w:r w:rsidRPr="007C1C94">
              <w:rPr>
                <w:rStyle w:val="normaltextrun"/>
                <w:rFonts w:ascii="Verdana" w:hAnsi="Verdana" w:cs="Arial"/>
                <w:sz w:val="16"/>
                <w:szCs w:val="16"/>
                <w:lang w:val="es-ES"/>
              </w:rPr>
              <w:t>de la Subdirección de Gestión Contractual</w:t>
            </w:r>
            <w:r w:rsidRPr="007C1C94">
              <w:rPr>
                <w:rStyle w:val="eop"/>
                <w:rFonts w:ascii="Verdana" w:hAnsi="Verdana" w:cs="Arial"/>
                <w:sz w:val="16"/>
                <w:szCs w:val="16"/>
              </w:rPr>
              <w:t> </w:t>
            </w:r>
          </w:p>
        </w:tc>
      </w:tr>
      <w:tr w:rsidR="009C4E6B" w:rsidRPr="007C1C94" w14:paraId="27106A2C" w14:textId="77777777" w:rsidTr="008F2DBE">
        <w:trPr>
          <w:trHeight w:val="300"/>
        </w:trPr>
        <w:tc>
          <w:tcPr>
            <w:tcW w:w="893" w:type="dxa"/>
            <w:vAlign w:val="center"/>
          </w:tcPr>
          <w:p w14:paraId="4CFA086D" w14:textId="77777777" w:rsidR="009C4E6B" w:rsidRPr="007C1C94" w:rsidRDefault="009C4E6B" w:rsidP="008F2DBE">
            <w:pPr>
              <w:contextualSpacing/>
              <w:rPr>
                <w:rFonts w:ascii="Verdana" w:hAnsi="Verdana" w:cs="Arial"/>
                <w:sz w:val="16"/>
                <w:szCs w:val="16"/>
                <w:lang w:val="es-ES" w:eastAsia="es-ES"/>
              </w:rPr>
            </w:pPr>
            <w:r w:rsidRPr="007C1C9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F22224E" w14:textId="77777777" w:rsidR="009C4E6B" w:rsidRPr="007C1C94" w:rsidRDefault="009C4E6B" w:rsidP="008F2DBE">
            <w:pPr>
              <w:contextualSpacing/>
              <w:rPr>
                <w:rFonts w:ascii="Verdana" w:eastAsia="Calibri" w:hAnsi="Verdana" w:cs="Arial"/>
                <w:sz w:val="16"/>
                <w:szCs w:val="16"/>
                <w:lang w:val="pt-BR" w:eastAsia="es-ES"/>
              </w:rPr>
            </w:pPr>
            <w:r w:rsidRPr="007C1C94">
              <w:rPr>
                <w:rFonts w:ascii="Verdana" w:eastAsia="Calibri" w:hAnsi="Verdana" w:cs="Arial"/>
                <w:sz w:val="16"/>
                <w:szCs w:val="16"/>
                <w:lang w:val="pt-BR" w:eastAsia="es-ES"/>
              </w:rPr>
              <w:t>Carolina Quintero Gacharná</w:t>
            </w:r>
          </w:p>
          <w:p w14:paraId="4B8ACE12" w14:textId="77777777" w:rsidR="009C4E6B" w:rsidRPr="007C1C94" w:rsidRDefault="009C4E6B" w:rsidP="008F2DBE">
            <w:pPr>
              <w:contextualSpacing/>
              <w:rPr>
                <w:rFonts w:ascii="Verdana" w:eastAsia="Calibri" w:hAnsi="Verdana" w:cs="Arial"/>
                <w:sz w:val="16"/>
                <w:szCs w:val="16"/>
                <w:lang w:val="pt-BR" w:eastAsia="es-ES"/>
              </w:rPr>
            </w:pPr>
            <w:r w:rsidRPr="007C1C94">
              <w:rPr>
                <w:rFonts w:ascii="Verdana" w:eastAsia="Calibri" w:hAnsi="Verdana" w:cs="Arial"/>
                <w:sz w:val="16"/>
                <w:szCs w:val="16"/>
                <w:lang w:eastAsia="es-ES"/>
              </w:rPr>
              <w:t>Subdirectora</w:t>
            </w:r>
            <w:r w:rsidRPr="007C1C94">
              <w:rPr>
                <w:rFonts w:ascii="Verdana" w:eastAsia="Calibri" w:hAnsi="Verdana" w:cs="Arial"/>
                <w:sz w:val="16"/>
                <w:szCs w:val="16"/>
                <w:lang w:val="pt-BR" w:eastAsia="es-ES"/>
              </w:rPr>
              <w:t xml:space="preserve"> de Gestión Contractual ANCP – CCE</w:t>
            </w:r>
          </w:p>
        </w:tc>
      </w:tr>
    </w:tbl>
    <w:p w14:paraId="3900974D" w14:textId="77777777" w:rsidR="003D5B0D" w:rsidRPr="009C4E6B" w:rsidRDefault="003D5B0D" w:rsidP="009C4E6B"/>
    <w:sectPr w:rsidR="003D5B0D" w:rsidRPr="009C4E6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CF2A5" w14:textId="77777777" w:rsidR="009D4663" w:rsidRDefault="009D4663" w:rsidP="004A1847">
      <w:pPr>
        <w:spacing w:after="0" w:line="240" w:lineRule="auto"/>
      </w:pPr>
      <w:r>
        <w:separator/>
      </w:r>
    </w:p>
  </w:endnote>
  <w:endnote w:type="continuationSeparator" w:id="0">
    <w:p w14:paraId="5B4008DA" w14:textId="77777777" w:rsidR="009D4663" w:rsidRDefault="009D4663" w:rsidP="004A1847">
      <w:pPr>
        <w:spacing w:after="0" w:line="240" w:lineRule="auto"/>
      </w:pPr>
      <w:r>
        <w:continuationSeparator/>
      </w:r>
    </w:p>
  </w:endnote>
  <w:endnote w:type="continuationNotice" w:id="1">
    <w:p w14:paraId="212A50EF" w14:textId="77777777" w:rsidR="009D4663" w:rsidRDefault="009D46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3EA2C" w14:textId="77777777" w:rsidR="009D4663" w:rsidRDefault="009D4663" w:rsidP="004A1847">
      <w:pPr>
        <w:spacing w:after="0" w:line="240" w:lineRule="auto"/>
      </w:pPr>
      <w:r>
        <w:separator/>
      </w:r>
    </w:p>
  </w:footnote>
  <w:footnote w:type="continuationSeparator" w:id="0">
    <w:p w14:paraId="761FCAA2" w14:textId="77777777" w:rsidR="009D4663" w:rsidRDefault="009D4663" w:rsidP="004A1847">
      <w:pPr>
        <w:spacing w:after="0" w:line="240" w:lineRule="auto"/>
      </w:pPr>
      <w:r>
        <w:continuationSeparator/>
      </w:r>
    </w:p>
  </w:footnote>
  <w:footnote w:type="continuationNotice" w:id="1">
    <w:p w14:paraId="69221F1C" w14:textId="77777777" w:rsidR="009D4663" w:rsidRDefault="009D4663">
      <w:pPr>
        <w:spacing w:after="0" w:line="240" w:lineRule="auto"/>
      </w:pPr>
    </w:p>
  </w:footnote>
  <w:footnote w:id="2">
    <w:p w14:paraId="352E83C8" w14:textId="77777777" w:rsidR="009C4E6B" w:rsidRPr="00B2043C" w:rsidRDefault="009C4E6B" w:rsidP="009C4E6B">
      <w:pPr>
        <w:pStyle w:val="Textonotapie"/>
        <w:ind w:firstLine="709"/>
        <w:contextualSpacing/>
        <w:jc w:val="both"/>
        <w:rPr>
          <w:rFonts w:ascii="Verdana" w:hAnsi="Verdana"/>
          <w:sz w:val="16"/>
          <w:szCs w:val="16"/>
        </w:rPr>
      </w:pPr>
      <w:r w:rsidRPr="00B2043C">
        <w:rPr>
          <w:rStyle w:val="Refdenotaalpie"/>
          <w:rFonts w:ascii="Verdana" w:hAnsi="Verdana" w:cs="Arial"/>
          <w:sz w:val="16"/>
          <w:szCs w:val="16"/>
        </w:rPr>
        <w:footnoteRef/>
      </w:r>
      <w:r w:rsidRPr="00B2043C">
        <w:rPr>
          <w:rStyle w:val="Refdenotaalpie"/>
          <w:rFonts w:ascii="Verdana" w:hAnsi="Verdana" w:cs="Arial"/>
          <w:sz w:val="16"/>
          <w:szCs w:val="16"/>
        </w:rPr>
        <w:t xml:space="preserve"> </w:t>
      </w:r>
      <w:r w:rsidRPr="00B2043C">
        <w:rPr>
          <w:rFonts w:ascii="Verdana" w:hAnsi="Verdana" w:cs="Arial"/>
          <w:sz w:val="16"/>
          <w:szCs w:val="16"/>
        </w:rPr>
        <w:t>Agencia por la Acción Social y la Cooperación Internacional. Régimen Jurídico de la Cooperación Internacional. Segunda Edición. Página. 38.</w:t>
      </w:r>
    </w:p>
  </w:footnote>
  <w:footnote w:id="3">
    <w:p w14:paraId="54826E71" w14:textId="77777777" w:rsidR="009C4E6B" w:rsidRPr="00B2043C" w:rsidRDefault="009C4E6B" w:rsidP="009C4E6B">
      <w:pPr>
        <w:pStyle w:val="Textonotapie"/>
        <w:ind w:firstLine="709"/>
        <w:contextualSpacing/>
        <w:jc w:val="both"/>
        <w:rPr>
          <w:rFonts w:ascii="Verdana" w:hAnsi="Verdana" w:cs="Arial"/>
          <w:sz w:val="16"/>
          <w:szCs w:val="16"/>
        </w:rPr>
      </w:pPr>
    </w:p>
    <w:p w14:paraId="2AD3B646" w14:textId="77777777" w:rsidR="009C4E6B" w:rsidRPr="00B2043C" w:rsidRDefault="009C4E6B" w:rsidP="009C4E6B">
      <w:pPr>
        <w:pStyle w:val="Textonotapie"/>
        <w:ind w:firstLine="709"/>
        <w:contextualSpacing/>
        <w:jc w:val="both"/>
        <w:rPr>
          <w:rFonts w:ascii="Verdana" w:hAnsi="Verdana" w:cs="Arial"/>
          <w:sz w:val="16"/>
          <w:szCs w:val="16"/>
        </w:rPr>
      </w:pPr>
      <w:r w:rsidRPr="00B2043C">
        <w:rPr>
          <w:rStyle w:val="Refdenotaalpie"/>
          <w:rFonts w:ascii="Verdana" w:hAnsi="Verdana" w:cs="Arial"/>
          <w:sz w:val="16"/>
          <w:szCs w:val="16"/>
        </w:rPr>
        <w:footnoteRef/>
      </w:r>
      <w:r w:rsidRPr="00B2043C">
        <w:rPr>
          <w:rStyle w:val="Refdenotaalpie"/>
          <w:rFonts w:ascii="Verdana" w:hAnsi="Verdana" w:cs="Arial"/>
          <w:sz w:val="16"/>
          <w:szCs w:val="16"/>
        </w:rPr>
        <w:t xml:space="preserve"> </w:t>
      </w:r>
      <w:r w:rsidRPr="00B2043C">
        <w:rPr>
          <w:rFonts w:ascii="Verdana" w:hAnsi="Verdana" w:cs="Arial"/>
          <w:sz w:val="16"/>
          <w:szCs w:val="16"/>
        </w:rPr>
        <w:t xml:space="preserve">Agencia Nacional de Contratación Pública Colombia Compra Eficiente. Respuesta a la consulta número 4201814000009906. </w:t>
      </w:r>
    </w:p>
  </w:footnote>
  <w:footnote w:id="4">
    <w:p w14:paraId="048135F0" w14:textId="77777777" w:rsidR="00F02FEC" w:rsidRPr="00B56297" w:rsidRDefault="00F02FEC" w:rsidP="00F02FEC">
      <w:pPr>
        <w:pStyle w:val="Textonotapie"/>
        <w:ind w:firstLine="709"/>
        <w:contextualSpacing/>
        <w:rPr>
          <w:rFonts w:ascii="Verdana" w:hAnsi="Verdana" w:cs="Arial"/>
          <w:sz w:val="16"/>
          <w:szCs w:val="16"/>
        </w:rPr>
      </w:pPr>
    </w:p>
    <w:p w14:paraId="6BFEEDE9" w14:textId="77777777" w:rsidR="00F02FEC" w:rsidRDefault="00F02FEC" w:rsidP="00F02FEC">
      <w:pPr>
        <w:pStyle w:val="Textonotapie"/>
        <w:ind w:firstLine="709"/>
        <w:contextualSpacing/>
        <w:rPr>
          <w:rFonts w:ascii="Verdana" w:hAnsi="Verdana" w:cs="Arial"/>
          <w:sz w:val="16"/>
          <w:szCs w:val="16"/>
        </w:rPr>
      </w:pPr>
      <w:r w:rsidRPr="00B56297">
        <w:rPr>
          <w:rStyle w:val="Refdenotaalpie"/>
          <w:rFonts w:ascii="Verdana" w:hAnsi="Verdana" w:cs="Arial"/>
          <w:sz w:val="16"/>
          <w:szCs w:val="16"/>
        </w:rPr>
        <w:footnoteRef/>
      </w:r>
      <w:r w:rsidRPr="00B56297">
        <w:rPr>
          <w:rStyle w:val="Refdenotaalpie"/>
          <w:rFonts w:ascii="Verdana" w:hAnsi="Verdana" w:cs="Arial"/>
          <w:sz w:val="16"/>
          <w:szCs w:val="16"/>
        </w:rPr>
        <w:t xml:space="preserve"> </w:t>
      </w:r>
      <w:r w:rsidRPr="00B56297">
        <w:rPr>
          <w:rFonts w:ascii="Verdana" w:hAnsi="Verdana" w:cs="Arial"/>
          <w:sz w:val="16"/>
          <w:szCs w:val="16"/>
        </w:rPr>
        <w:t>Agencia por la Acción Social y la Cooperación Internacional. Régimen Jurídico de la Cooperación Internacional. Segunda Edición. Página. 38.</w:t>
      </w:r>
    </w:p>
    <w:p w14:paraId="0A7C3A03" w14:textId="77777777" w:rsidR="009A5691" w:rsidRPr="00B56297" w:rsidRDefault="009A5691" w:rsidP="00F02FEC">
      <w:pPr>
        <w:pStyle w:val="Textonotapie"/>
        <w:ind w:firstLine="709"/>
        <w:contextualSpacing/>
        <w:rPr>
          <w:rFonts w:ascii="Verdana" w:hAnsi="Verdana"/>
          <w:sz w:val="16"/>
          <w:szCs w:val="16"/>
        </w:rPr>
      </w:pPr>
    </w:p>
  </w:footnote>
  <w:footnote w:id="5">
    <w:p w14:paraId="17047160" w14:textId="77777777" w:rsidR="009C4E6B" w:rsidRPr="00B2043C" w:rsidRDefault="009C4E6B" w:rsidP="009C4E6B">
      <w:pPr>
        <w:pStyle w:val="Textonotapie"/>
        <w:ind w:firstLine="709"/>
        <w:contextualSpacing/>
        <w:jc w:val="both"/>
        <w:rPr>
          <w:rFonts w:ascii="Verdana" w:hAnsi="Verdana" w:cs="Arial"/>
          <w:sz w:val="16"/>
          <w:szCs w:val="16"/>
          <w:lang w:val="es-ES"/>
        </w:rPr>
      </w:pPr>
      <w:r w:rsidRPr="00B2043C">
        <w:rPr>
          <w:rStyle w:val="Refdenotaalpie"/>
          <w:rFonts w:ascii="Verdana" w:hAnsi="Verdana" w:cs="Arial"/>
          <w:sz w:val="16"/>
          <w:szCs w:val="16"/>
        </w:rPr>
        <w:footnoteRef/>
      </w:r>
      <w:r w:rsidRPr="00B2043C">
        <w:rPr>
          <w:rFonts w:ascii="Verdana" w:hAnsi="Verdana" w:cs="Arial"/>
          <w:sz w:val="16"/>
          <w:szCs w:val="16"/>
        </w:rPr>
        <w:t xml:space="preserve"> </w:t>
      </w:r>
      <w:r w:rsidRPr="00B2043C">
        <w:rPr>
          <w:rFonts w:ascii="Verdana" w:hAnsi="Verdana" w:cs="Arial"/>
          <w:sz w:val="16"/>
          <w:szCs w:val="16"/>
          <w:lang w:val="es-ES"/>
        </w:rPr>
        <w:t>En virtud de la remisión efectuada por los artículos 13, 32 y 40 de la Ley 80 de 1993.</w:t>
      </w:r>
    </w:p>
    <w:p w14:paraId="207E3077" w14:textId="77777777" w:rsidR="009C4E6B" w:rsidRPr="00B2043C" w:rsidRDefault="009C4E6B" w:rsidP="009C4E6B">
      <w:pPr>
        <w:pStyle w:val="Textonotapie"/>
        <w:ind w:firstLine="709"/>
        <w:contextualSpacing/>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AB26C7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28691449" o:spid="_x0000_i1025" type="#_x0000_t75" style="width:11.55pt;height:11.55pt;visibility:visible;mso-wrap-style:square">
            <v:imagedata r:id="rId1" o:title=""/>
          </v:shape>
        </w:pict>
      </mc:Choice>
      <mc:Fallback>
        <w:drawing>
          <wp:inline distT="0" distB="0" distL="0" distR="0" wp14:anchorId="0000436B" wp14:editId="252704F6">
            <wp:extent cx="146685" cy="146685"/>
            <wp:effectExtent l="0" t="0" r="0" b="0"/>
            <wp:docPr id="1628691449" name="Imagen 162869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10052"/>
    <w:rsid w:val="00125105"/>
    <w:rsid w:val="00127233"/>
    <w:rsid w:val="001511A0"/>
    <w:rsid w:val="001E4177"/>
    <w:rsid w:val="001F7DC6"/>
    <w:rsid w:val="002008B7"/>
    <w:rsid w:val="0022277F"/>
    <w:rsid w:val="002421BB"/>
    <w:rsid w:val="0025796E"/>
    <w:rsid w:val="002707A2"/>
    <w:rsid w:val="0027796E"/>
    <w:rsid w:val="002951A0"/>
    <w:rsid w:val="002962BC"/>
    <w:rsid w:val="002A093D"/>
    <w:rsid w:val="002A0DD0"/>
    <w:rsid w:val="002A49AC"/>
    <w:rsid w:val="002A64FD"/>
    <w:rsid w:val="002C7A84"/>
    <w:rsid w:val="002E4FD9"/>
    <w:rsid w:val="002F451A"/>
    <w:rsid w:val="00322A85"/>
    <w:rsid w:val="00324168"/>
    <w:rsid w:val="003448F4"/>
    <w:rsid w:val="00374F5E"/>
    <w:rsid w:val="00377E3E"/>
    <w:rsid w:val="003A779E"/>
    <w:rsid w:val="003B01B8"/>
    <w:rsid w:val="003B54B1"/>
    <w:rsid w:val="003D0F4D"/>
    <w:rsid w:val="003D5B0D"/>
    <w:rsid w:val="003E0499"/>
    <w:rsid w:val="003E22A5"/>
    <w:rsid w:val="003F3941"/>
    <w:rsid w:val="00406575"/>
    <w:rsid w:val="00414C74"/>
    <w:rsid w:val="0042722E"/>
    <w:rsid w:val="0044528D"/>
    <w:rsid w:val="004902FE"/>
    <w:rsid w:val="004A1847"/>
    <w:rsid w:val="004A305D"/>
    <w:rsid w:val="004F21C4"/>
    <w:rsid w:val="004F685F"/>
    <w:rsid w:val="00522B10"/>
    <w:rsid w:val="005566E8"/>
    <w:rsid w:val="00574867"/>
    <w:rsid w:val="00591460"/>
    <w:rsid w:val="005B3816"/>
    <w:rsid w:val="005C3777"/>
    <w:rsid w:val="005C5CDC"/>
    <w:rsid w:val="005D476C"/>
    <w:rsid w:val="0061144D"/>
    <w:rsid w:val="006219F8"/>
    <w:rsid w:val="00665D70"/>
    <w:rsid w:val="006900D9"/>
    <w:rsid w:val="006A76F8"/>
    <w:rsid w:val="00706C16"/>
    <w:rsid w:val="00736F65"/>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A5691"/>
    <w:rsid w:val="009B2D26"/>
    <w:rsid w:val="009C4E6B"/>
    <w:rsid w:val="009C71FA"/>
    <w:rsid w:val="009C72E7"/>
    <w:rsid w:val="009D3058"/>
    <w:rsid w:val="009D4663"/>
    <w:rsid w:val="009F3A13"/>
    <w:rsid w:val="00A122D3"/>
    <w:rsid w:val="00A17F13"/>
    <w:rsid w:val="00A20739"/>
    <w:rsid w:val="00A214E8"/>
    <w:rsid w:val="00A33C78"/>
    <w:rsid w:val="00A62FF8"/>
    <w:rsid w:val="00A81D2A"/>
    <w:rsid w:val="00AB0ADB"/>
    <w:rsid w:val="00AC2EAB"/>
    <w:rsid w:val="00AC79C8"/>
    <w:rsid w:val="00AD38DB"/>
    <w:rsid w:val="00B01B1A"/>
    <w:rsid w:val="00B56206"/>
    <w:rsid w:val="00B56297"/>
    <w:rsid w:val="00B66319"/>
    <w:rsid w:val="00B72CD3"/>
    <w:rsid w:val="00B72FFF"/>
    <w:rsid w:val="00BB0DF4"/>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1970"/>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A403C"/>
    <w:rsid w:val="00EC38A7"/>
    <w:rsid w:val="00EC4E44"/>
    <w:rsid w:val="00ED7384"/>
    <w:rsid w:val="00EE1AA8"/>
    <w:rsid w:val="00F02FEC"/>
    <w:rsid w:val="00F246C8"/>
    <w:rsid w:val="00F31EDC"/>
    <w:rsid w:val="00F462B3"/>
    <w:rsid w:val="00F5664F"/>
    <w:rsid w:val="00F666C4"/>
    <w:rsid w:val="00F76AFC"/>
    <w:rsid w:val="00F82538"/>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C4E6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C4E6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rleyber@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EDA038F-3FA5-4266-9C1D-0FA01AEA3B97}"/>
</file>

<file path=docProps/app.xml><?xml version="1.0" encoding="utf-8"?>
<Properties xmlns="http://schemas.openxmlformats.org/officeDocument/2006/extended-properties" xmlns:vt="http://schemas.openxmlformats.org/officeDocument/2006/docPropsVTypes">
  <Template>Normal.dotm</Template>
  <TotalTime>5</TotalTime>
  <Pages>7</Pages>
  <Words>1613</Words>
  <Characters>8874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3</cp:revision>
  <cp:lastPrinted>2023-01-10T21:18:00Z</cp:lastPrinted>
  <dcterms:created xsi:type="dcterms:W3CDTF">2025-05-07T16:57:00Z</dcterms:created>
  <dcterms:modified xsi:type="dcterms:W3CDTF">2025-05-16T20:06:00Z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