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42B246" w14:textId="2FFBCB65" w:rsidR="004A56F9" w:rsidRPr="00CF2301" w:rsidRDefault="004A56F9" w:rsidP="004A56F9">
      <w:pPr>
        <w:spacing w:after="0" w:line="240" w:lineRule="auto"/>
        <w:jc w:val="both"/>
        <w:rPr>
          <w:rFonts w:ascii="Verdana" w:eastAsia="Calibri" w:hAnsi="Verdana" w:cs="Arial"/>
          <w:b/>
          <w:color w:val="000000" w:themeColor="text1"/>
          <w:lang w:val="es-ES"/>
        </w:rPr>
      </w:pPr>
      <w:r w:rsidRPr="00CF2301">
        <w:rPr>
          <w:rFonts w:ascii="Verdana" w:eastAsia="Calibri" w:hAnsi="Verdana" w:cs="Arial"/>
          <w:b/>
          <w:color w:val="000000" w:themeColor="text1"/>
          <w:lang w:val="es-ES"/>
        </w:rPr>
        <w:t xml:space="preserve">ASOCIACIONES PÚBLICO POPULARES – Tipología contractual – Objeto </w:t>
      </w:r>
    </w:p>
    <w:p w14:paraId="6FBDFB32" w14:textId="77777777" w:rsidR="004A56F9" w:rsidRPr="00CF2301" w:rsidRDefault="004A56F9" w:rsidP="004A56F9">
      <w:pPr>
        <w:spacing w:after="0" w:line="240" w:lineRule="auto"/>
        <w:jc w:val="both"/>
        <w:rPr>
          <w:rFonts w:ascii="Verdana" w:eastAsia="Calibri" w:hAnsi="Verdana" w:cs="Arial"/>
          <w:bCs/>
          <w:color w:val="000000" w:themeColor="text1"/>
          <w:sz w:val="20"/>
          <w:szCs w:val="20"/>
        </w:rPr>
      </w:pPr>
    </w:p>
    <w:p w14:paraId="665AB036" w14:textId="77777777" w:rsidR="004A56F9" w:rsidRPr="00CF2301" w:rsidRDefault="004A56F9" w:rsidP="004A56F9">
      <w:pPr>
        <w:spacing w:after="0" w:line="240" w:lineRule="auto"/>
        <w:jc w:val="both"/>
        <w:rPr>
          <w:rFonts w:ascii="Verdana" w:eastAsia="Calibri" w:hAnsi="Verdana" w:cs="Arial"/>
          <w:bCs/>
          <w:color w:val="000000" w:themeColor="text1"/>
          <w:sz w:val="20"/>
          <w:szCs w:val="20"/>
        </w:rPr>
      </w:pPr>
      <w:r w:rsidRPr="00CF2301">
        <w:rPr>
          <w:rFonts w:ascii="Verdana" w:eastAsia="Calibri" w:hAnsi="Verdana" w:cs="Arial"/>
          <w:bCs/>
          <w:color w:val="000000" w:themeColor="text1"/>
          <w:sz w:val="20"/>
          <w:szCs w:val="20"/>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CF2301">
        <w:rPr>
          <w:rFonts w:ascii="Verdana" w:eastAsia="Calibri" w:hAnsi="Verdana" w:cs="Arial"/>
          <w:bCs/>
          <w:i/>
          <w:iCs/>
          <w:color w:val="000000" w:themeColor="text1"/>
          <w:sz w:val="20"/>
          <w:szCs w:val="20"/>
        </w:rPr>
        <w:t>Economía Popular y Comunitaria</w:t>
      </w:r>
      <w:r w:rsidRPr="00CF2301">
        <w:rPr>
          <w:rFonts w:ascii="Verdana" w:eastAsia="Calibri" w:hAnsi="Verdana" w:cs="Arial"/>
          <w:bCs/>
          <w:color w:val="000000" w:themeColor="text1"/>
          <w:sz w:val="20"/>
          <w:szCs w:val="20"/>
        </w:rPr>
        <w:t xml:space="preserve"> como eje de las Bases del Plan Nacional de Desarrollo. Así, dichas asociaciones complementan el listado del artículo 32 de la Ley 80 de 1993.</w:t>
      </w:r>
    </w:p>
    <w:p w14:paraId="4026FBFB" w14:textId="77777777" w:rsidR="004A56F9" w:rsidRPr="00CF2301" w:rsidRDefault="004A56F9" w:rsidP="004A56F9">
      <w:pPr>
        <w:spacing w:after="0" w:line="240" w:lineRule="auto"/>
        <w:jc w:val="both"/>
        <w:rPr>
          <w:rFonts w:ascii="Verdana" w:eastAsia="Calibri" w:hAnsi="Verdana" w:cs="Arial"/>
          <w:bCs/>
          <w:color w:val="000000" w:themeColor="text1"/>
          <w:sz w:val="20"/>
          <w:szCs w:val="20"/>
          <w:lang w:eastAsia="es-ES_tradnl"/>
        </w:rPr>
      </w:pPr>
    </w:p>
    <w:p w14:paraId="329DA965" w14:textId="77777777" w:rsidR="004A56F9" w:rsidRPr="00CF2301" w:rsidRDefault="004A56F9" w:rsidP="004A56F9">
      <w:pPr>
        <w:spacing w:after="0" w:line="240" w:lineRule="auto"/>
        <w:jc w:val="both"/>
        <w:rPr>
          <w:rFonts w:ascii="Verdana" w:eastAsia="Calibri" w:hAnsi="Verdana" w:cs="Arial"/>
          <w:bCs/>
          <w:color w:val="000000" w:themeColor="text1"/>
          <w:sz w:val="20"/>
          <w:szCs w:val="20"/>
        </w:rPr>
      </w:pPr>
      <w:r w:rsidRPr="00CF2301">
        <w:rPr>
          <w:rFonts w:ascii="Verdana" w:eastAsia="Calibri" w:hAnsi="Verdana" w:cs="Arial"/>
          <w:i/>
          <w:iCs/>
          <w:color w:val="000000" w:themeColor="text1"/>
          <w:sz w:val="20"/>
          <w:szCs w:val="20"/>
          <w:lang w:val="es-ES_tradnl"/>
        </w:rPr>
        <w:t>Respecto al objeto</w:t>
      </w:r>
      <w:r w:rsidRPr="00CF2301">
        <w:rPr>
          <w:rFonts w:ascii="Verdana" w:eastAsia="Calibri" w:hAnsi="Verdana" w:cs="Arial"/>
          <w:color w:val="000000" w:themeColor="text1"/>
          <w:sz w:val="20"/>
          <w:szCs w:val="20"/>
          <w:lang w:val="es-ES_tradnl"/>
        </w:rPr>
        <w:t xml:space="preserve">, las </w:t>
      </w:r>
      <w:r w:rsidRPr="00CF2301">
        <w:rPr>
          <w:rFonts w:ascii="Verdana" w:eastAsia="Calibri" w:hAnsi="Verdana" w:cs="Arial"/>
          <w:bCs/>
          <w:color w:val="000000" w:themeColor="text1"/>
          <w:sz w:val="20"/>
          <w:szCs w:val="20"/>
        </w:rPr>
        <w:t xml:space="preserve">Asociaciones Público Populares se caracterizan por su contenido, el cual debe estar relacionado con alguno de los siguientes aspectos: i) infraestructura social, vivienda rural, vías terciarias y caminos vecinales; </w:t>
      </w:r>
      <w:proofErr w:type="spellStart"/>
      <w:r w:rsidRPr="00CF2301">
        <w:rPr>
          <w:rFonts w:ascii="Verdana" w:eastAsia="Calibri" w:hAnsi="Verdana" w:cs="Arial"/>
          <w:bCs/>
          <w:color w:val="000000" w:themeColor="text1"/>
          <w:sz w:val="20"/>
          <w:szCs w:val="20"/>
        </w:rPr>
        <w:t>ii</w:t>
      </w:r>
      <w:proofErr w:type="spellEnd"/>
      <w:r w:rsidRPr="00CF2301">
        <w:rPr>
          <w:rFonts w:ascii="Verdana" w:eastAsia="Calibri" w:hAnsi="Verdana" w:cs="Arial"/>
          <w:bCs/>
          <w:color w:val="000000" w:themeColor="text1"/>
          <w:sz w:val="20"/>
          <w:szCs w:val="20"/>
        </w:rPr>
        <w:t xml:space="preserve">) cultura; </w:t>
      </w:r>
      <w:proofErr w:type="spellStart"/>
      <w:r w:rsidRPr="00CF2301">
        <w:rPr>
          <w:rFonts w:ascii="Verdana" w:eastAsia="Calibri" w:hAnsi="Verdana" w:cs="Arial"/>
          <w:bCs/>
          <w:color w:val="000000" w:themeColor="text1"/>
          <w:sz w:val="20"/>
          <w:szCs w:val="20"/>
        </w:rPr>
        <w:t>iii</w:t>
      </w:r>
      <w:proofErr w:type="spellEnd"/>
      <w:r w:rsidRPr="00CF2301">
        <w:rPr>
          <w:rFonts w:ascii="Verdana" w:eastAsia="Calibri" w:hAnsi="Verdana" w:cs="Arial"/>
          <w:bCs/>
          <w:color w:val="000000" w:themeColor="text1"/>
          <w:sz w:val="20"/>
          <w:szCs w:val="20"/>
        </w:rPr>
        <w:t xml:space="preserve">) infraestructura productiva local; </w:t>
      </w:r>
      <w:proofErr w:type="spellStart"/>
      <w:r w:rsidRPr="00CF2301">
        <w:rPr>
          <w:rFonts w:ascii="Verdana" w:eastAsia="Calibri" w:hAnsi="Verdana" w:cs="Arial"/>
          <w:bCs/>
          <w:color w:val="000000" w:themeColor="text1"/>
          <w:sz w:val="20"/>
          <w:szCs w:val="20"/>
        </w:rPr>
        <w:t>iv</w:t>
      </w:r>
      <w:proofErr w:type="spellEnd"/>
      <w:r w:rsidRPr="00CF2301">
        <w:rPr>
          <w:rFonts w:ascii="Verdana" w:eastAsia="Calibri" w:hAnsi="Verdana" w:cs="Arial"/>
          <w:bCs/>
          <w:color w:val="000000" w:themeColor="text1"/>
          <w:sz w:val="20"/>
          <w:szCs w:val="20"/>
        </w:rPr>
        <w:t xml:space="preserve">) proyectos de eficiencia energética; v) producción de alimentos; vi) gestión comunitaria del agua; </w:t>
      </w:r>
      <w:proofErr w:type="spellStart"/>
      <w:r w:rsidRPr="00CF2301">
        <w:rPr>
          <w:rFonts w:ascii="Verdana" w:eastAsia="Calibri" w:hAnsi="Verdana" w:cs="Arial"/>
          <w:bCs/>
          <w:color w:val="000000" w:themeColor="text1"/>
          <w:sz w:val="20"/>
          <w:szCs w:val="20"/>
        </w:rPr>
        <w:t>vii</w:t>
      </w:r>
      <w:proofErr w:type="spellEnd"/>
      <w:r w:rsidRPr="00CF2301">
        <w:rPr>
          <w:rFonts w:ascii="Verdana" w:eastAsia="Calibri" w:hAnsi="Verdana" w:cs="Arial"/>
          <w:bCs/>
          <w:color w:val="000000" w:themeColor="text1"/>
          <w:sz w:val="20"/>
          <w:szCs w:val="20"/>
        </w:rPr>
        <w:t xml:space="preserve">) saneamiento básico; </w:t>
      </w:r>
      <w:proofErr w:type="spellStart"/>
      <w:r w:rsidRPr="00CF2301">
        <w:rPr>
          <w:rFonts w:ascii="Verdana" w:eastAsia="Calibri" w:hAnsi="Verdana" w:cs="Arial"/>
          <w:bCs/>
          <w:color w:val="000000" w:themeColor="text1"/>
          <w:sz w:val="20"/>
          <w:szCs w:val="20"/>
        </w:rPr>
        <w:t>viii</w:t>
      </w:r>
      <w:proofErr w:type="spellEnd"/>
      <w:r w:rsidRPr="00CF2301">
        <w:rPr>
          <w:rFonts w:ascii="Verdana" w:eastAsia="Calibri" w:hAnsi="Verdana" w:cs="Arial"/>
          <w:bCs/>
          <w:color w:val="000000" w:themeColor="text1"/>
          <w:sz w:val="20"/>
          <w:szCs w:val="20"/>
        </w:rPr>
        <w:t xml:space="preserve">) economía del cuidado; </w:t>
      </w:r>
      <w:proofErr w:type="spellStart"/>
      <w:r w:rsidRPr="00CF2301">
        <w:rPr>
          <w:rFonts w:ascii="Verdana" w:eastAsia="Calibri" w:hAnsi="Verdana" w:cs="Arial"/>
          <w:bCs/>
          <w:color w:val="000000" w:themeColor="text1"/>
          <w:sz w:val="20"/>
          <w:szCs w:val="20"/>
        </w:rPr>
        <w:t>ix</w:t>
      </w:r>
      <w:proofErr w:type="spellEnd"/>
      <w:r w:rsidRPr="00CF2301">
        <w:rPr>
          <w:rFonts w:ascii="Verdana" w:eastAsia="Calibri" w:hAnsi="Verdana" w:cs="Arial"/>
          <w:bCs/>
          <w:color w:val="000000" w:themeColor="text1"/>
          <w:sz w:val="20"/>
          <w:szCs w:val="20"/>
        </w:rPr>
        <w:t>) fortalecimiento ambiental y comunitario; y x) adquisición de productos de origen o destinación agropecuarios. Cualquier objeto que no pertenezca al listado anterior, aunque esté dentro de la mínima cuantía, no podrá contratarse directamente, por lo que deberán aplicarse los demás procesos de selección establecidos en el artículo 2 de la Ley 1150 de 2007.</w:t>
      </w:r>
    </w:p>
    <w:p w14:paraId="65786008" w14:textId="77777777" w:rsidR="004A56F9" w:rsidRPr="00CF2301" w:rsidRDefault="004A56F9" w:rsidP="004A56F9">
      <w:pPr>
        <w:spacing w:after="0" w:line="240" w:lineRule="auto"/>
        <w:rPr>
          <w:rFonts w:ascii="Verdana" w:eastAsia="Geomanist Light" w:hAnsi="Verdana" w:cs="Arial"/>
          <w:color w:val="000000" w:themeColor="text1"/>
          <w:sz w:val="20"/>
          <w:szCs w:val="20"/>
        </w:rPr>
      </w:pPr>
    </w:p>
    <w:p w14:paraId="5608F2AA" w14:textId="77777777" w:rsidR="004A56F9" w:rsidRPr="00CF2301" w:rsidRDefault="004A56F9" w:rsidP="004A56F9">
      <w:pPr>
        <w:spacing w:after="0" w:line="240" w:lineRule="auto"/>
        <w:jc w:val="both"/>
        <w:rPr>
          <w:rFonts w:ascii="Verdana" w:eastAsia="Calibri" w:hAnsi="Verdana" w:cs="Arial"/>
          <w:b/>
          <w:lang w:val="es-ES"/>
        </w:rPr>
      </w:pPr>
      <w:r w:rsidRPr="00CF2301">
        <w:rPr>
          <w:rFonts w:ascii="Verdana" w:eastAsia="Calibri" w:hAnsi="Verdana" w:cs="Arial"/>
          <w:b/>
          <w:lang w:val="es-ES"/>
        </w:rPr>
        <w:t>ECONOMÍA POPULAR Y COMUNITARIA – Personas naturales y ESAL</w:t>
      </w:r>
    </w:p>
    <w:p w14:paraId="305242D8" w14:textId="77777777" w:rsidR="004A56F9" w:rsidRPr="00CF2301" w:rsidRDefault="004A56F9" w:rsidP="004A56F9">
      <w:pPr>
        <w:spacing w:after="0" w:line="240" w:lineRule="auto"/>
        <w:jc w:val="both"/>
        <w:rPr>
          <w:rFonts w:ascii="Verdana" w:eastAsia="Calibri" w:hAnsi="Verdana" w:cs="Arial"/>
          <w:b/>
          <w:sz w:val="20"/>
          <w:szCs w:val="20"/>
          <w:lang w:val="es-ES"/>
        </w:rPr>
      </w:pPr>
    </w:p>
    <w:p w14:paraId="5EDB1F33" w14:textId="77777777" w:rsidR="004A56F9" w:rsidRPr="00CF2301" w:rsidRDefault="004A56F9" w:rsidP="004A56F9">
      <w:pPr>
        <w:spacing w:after="0" w:line="240" w:lineRule="auto"/>
        <w:jc w:val="both"/>
        <w:rPr>
          <w:rFonts w:ascii="Verdana" w:eastAsia="Calibri" w:hAnsi="Verdana" w:cs="Arial"/>
          <w:bCs/>
          <w:color w:val="000000" w:themeColor="text1"/>
          <w:sz w:val="20"/>
          <w:szCs w:val="20"/>
        </w:rPr>
      </w:pPr>
      <w:r w:rsidRPr="00CF2301">
        <w:rPr>
          <w:rFonts w:ascii="Verdana" w:eastAsia="Calibri" w:hAnsi="Verdana" w:cs="Arial"/>
          <w:bCs/>
          <w:i/>
          <w:iCs/>
          <w:color w:val="000000" w:themeColor="text1"/>
          <w:sz w:val="20"/>
          <w:szCs w:val="20"/>
        </w:rPr>
        <w:t>Respecto a los sujetos</w:t>
      </w:r>
      <w:r w:rsidRPr="00CF2301">
        <w:rPr>
          <w:rFonts w:ascii="Verdana" w:eastAsia="Calibri" w:hAnsi="Verdana" w:cs="Arial"/>
          <w:bCs/>
          <w:color w:val="000000" w:themeColor="text1"/>
          <w:sz w:val="20"/>
          <w:szCs w:val="20"/>
        </w:rPr>
        <w:t xml:space="preserve">, la norma menciona a las “personas naturales o entidades sin ánimo de lucro que hagan parte de la economía popular y comunitaria”. Esto significa que las Asociaciones Público - Populares no aplican a las personas jurídicas constituidas con sujeción al Código de Comercio, especialmente, cuando la causa del contrato de sociedad es el </w:t>
      </w:r>
      <w:r w:rsidRPr="00CF2301">
        <w:rPr>
          <w:rFonts w:ascii="Verdana" w:eastAsia="Calibri" w:hAnsi="Verdana" w:cs="Arial"/>
          <w:bCs/>
          <w:i/>
          <w:iCs/>
          <w:color w:val="000000" w:themeColor="text1"/>
          <w:sz w:val="20"/>
          <w:szCs w:val="20"/>
        </w:rPr>
        <w:t xml:space="preserve">animus </w:t>
      </w:r>
      <w:proofErr w:type="spellStart"/>
      <w:r w:rsidRPr="00CF2301">
        <w:rPr>
          <w:rFonts w:ascii="Verdana" w:eastAsia="Calibri" w:hAnsi="Verdana" w:cs="Arial"/>
          <w:bCs/>
          <w:i/>
          <w:iCs/>
          <w:color w:val="000000" w:themeColor="text1"/>
          <w:sz w:val="20"/>
          <w:szCs w:val="20"/>
        </w:rPr>
        <w:t>lucrandi</w:t>
      </w:r>
      <w:proofErr w:type="spellEnd"/>
      <w:r w:rsidRPr="00CF2301">
        <w:rPr>
          <w:rFonts w:ascii="Verdana" w:eastAsia="Calibri" w:hAnsi="Verdana" w:cs="Arial"/>
          <w:bCs/>
          <w:color w:val="000000" w:themeColor="text1"/>
          <w:sz w:val="20"/>
          <w:szCs w:val="20"/>
        </w:rPr>
        <w:t xml:space="preserve">. En contraste, </w:t>
      </w:r>
      <w:r w:rsidRPr="00CF2301">
        <w:rPr>
          <w:rFonts w:ascii="Verdana" w:eastAsia="Calibri" w:hAnsi="Verdana" w:cs="Arial"/>
          <w:color w:val="000000" w:themeColor="text1"/>
          <w:sz w:val="20"/>
          <w:szCs w:val="20"/>
          <w:lang w:val="es-ES_tradnl"/>
        </w:rPr>
        <w:t xml:space="preserve">las corporaciones y fundaciones de beneficencia pública previstas en los artículos 633 y siguientes del Código Civil carecen de este último elemento. Ello no significa que las sociedades comerciales estén excluidas del sistema de compras públicas, pues podrán concurrir a los demás procesos de selección del artículo 2 de la Ley 1150 de 2007, no obstante, no podrán celebrar contratos de Asociación Público – Popular, por no ser destinatarias del artículo 100 de la Ley del Plan Nacional de Desarrollo. </w:t>
      </w:r>
    </w:p>
    <w:p w14:paraId="1748D35A" w14:textId="77777777" w:rsidR="004A56F9" w:rsidRPr="00CF2301" w:rsidRDefault="004A56F9" w:rsidP="004A56F9">
      <w:pPr>
        <w:spacing w:after="0" w:line="240" w:lineRule="auto"/>
        <w:rPr>
          <w:rFonts w:ascii="Verdana" w:eastAsia="Geomanist Light" w:hAnsi="Verdana" w:cs="Arial"/>
          <w:color w:val="000000" w:themeColor="text1"/>
          <w:sz w:val="20"/>
          <w:szCs w:val="20"/>
        </w:rPr>
      </w:pPr>
    </w:p>
    <w:p w14:paraId="5FE0E5C8" w14:textId="77777777" w:rsidR="004A56F9" w:rsidRPr="00CF2301" w:rsidRDefault="004A56F9" w:rsidP="004A56F9">
      <w:pPr>
        <w:tabs>
          <w:tab w:val="left" w:pos="426"/>
        </w:tabs>
        <w:spacing w:after="0" w:line="240" w:lineRule="auto"/>
        <w:jc w:val="both"/>
        <w:rPr>
          <w:rFonts w:ascii="Verdana" w:hAnsi="Verdana" w:cs="Arial"/>
          <w:b/>
          <w:lang w:eastAsia="es-CO"/>
        </w:rPr>
      </w:pPr>
      <w:r w:rsidRPr="00CF2301">
        <w:rPr>
          <w:rFonts w:ascii="Verdana" w:hAnsi="Verdana" w:cs="Arial"/>
          <w:b/>
          <w:lang w:eastAsia="es-CO"/>
        </w:rPr>
        <w:t xml:space="preserve">ASOCIACIONES PÚBLICO POPULARES – Celebración – Requisitos  </w:t>
      </w:r>
    </w:p>
    <w:p w14:paraId="51DC0B70" w14:textId="77777777" w:rsidR="004A56F9" w:rsidRPr="00CF2301" w:rsidRDefault="004A56F9" w:rsidP="004A56F9">
      <w:pPr>
        <w:spacing w:after="0" w:line="240" w:lineRule="auto"/>
        <w:jc w:val="both"/>
        <w:rPr>
          <w:rFonts w:ascii="Verdana" w:hAnsi="Verdana" w:cs="Arial"/>
          <w:b/>
          <w:sz w:val="20"/>
          <w:szCs w:val="20"/>
          <w:lang w:eastAsia="es-CO"/>
        </w:rPr>
      </w:pPr>
    </w:p>
    <w:p w14:paraId="01AFA31B" w14:textId="77777777" w:rsidR="004A56F9" w:rsidRPr="00CF2301" w:rsidRDefault="004A56F9" w:rsidP="004A56F9">
      <w:pPr>
        <w:spacing w:after="0" w:line="240" w:lineRule="auto"/>
        <w:jc w:val="both"/>
        <w:rPr>
          <w:rFonts w:ascii="Verdana" w:eastAsia="Arial" w:hAnsi="Verdana" w:cs="Arial"/>
          <w:color w:val="000000"/>
          <w:sz w:val="20"/>
          <w:szCs w:val="20"/>
        </w:rPr>
      </w:pPr>
      <w:r w:rsidRPr="00CF2301">
        <w:rPr>
          <w:rFonts w:ascii="Verdana" w:eastAsia="Calibri" w:hAnsi="Verdana" w:cs="Arial"/>
          <w:bCs/>
          <w:color w:val="000000" w:themeColor="text1"/>
          <w:sz w:val="20"/>
          <w:szCs w:val="20"/>
        </w:rPr>
        <w:t xml:space="preserve">Para la celebración de este tipo de contratos, </w:t>
      </w:r>
      <w:r w:rsidRPr="00CF2301">
        <w:rPr>
          <w:rFonts w:ascii="Verdana" w:eastAsia="Arial" w:hAnsi="Verdana" w:cs="Arial"/>
          <w:color w:val="000000"/>
          <w:sz w:val="20"/>
          <w:szCs w:val="20"/>
        </w:rPr>
        <w:t xml:space="preserve">el artículo 2.2.16.1.5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impone una carga argumentativa que se desdobla en dos (2) frentes. Por un lado, es necesario justificar el uso de la</w:t>
      </w:r>
      <w:r w:rsidRPr="00CF2301">
        <w:rPr>
          <w:rFonts w:ascii="Verdana" w:eastAsia="Calibri" w:hAnsi="Verdana" w:cs="Arial"/>
          <w:color w:val="000000" w:themeColor="text1"/>
          <w:sz w:val="20"/>
          <w:szCs w:val="20"/>
        </w:rPr>
        <w:t xml:space="preserve"> Asociación Público Popular</w:t>
      </w:r>
      <w:r w:rsidRPr="00CF2301">
        <w:rPr>
          <w:rFonts w:ascii="Verdana" w:eastAsia="Arial" w:hAnsi="Verdana" w:cs="Arial"/>
          <w:color w:val="000000"/>
          <w:sz w:val="20"/>
          <w:szCs w:val="20"/>
        </w:rPr>
        <w:t xml:space="preserve"> y, por otro, es necesario identificar el perfil del contratista. Lo primero exige tener en cuenta el objeto y propósito de la tipología contractual prevista en la Ley 2294 de 2023, aspectos que sirven para determinar si es conveniente o no la contratación directa. Por su parte, lo segundo requiere identificar previamente la persona natural o a la entidad sin ánimo de lucro perteneciente a la </w:t>
      </w:r>
      <w:r w:rsidRPr="00CF2301">
        <w:rPr>
          <w:rFonts w:ascii="Verdana" w:eastAsia="Arial" w:hAnsi="Verdana" w:cs="Arial"/>
          <w:i/>
          <w:iCs/>
          <w:color w:val="000000"/>
          <w:sz w:val="20"/>
          <w:szCs w:val="20"/>
        </w:rPr>
        <w:t>Economía Popular y Comunitaria</w:t>
      </w:r>
      <w:r w:rsidRPr="00CF2301">
        <w:rPr>
          <w:rFonts w:ascii="Verdana" w:eastAsia="Arial" w:hAnsi="Verdana" w:cs="Arial"/>
          <w:color w:val="000000"/>
          <w:sz w:val="20"/>
          <w:szCs w:val="20"/>
        </w:rPr>
        <w:t xml:space="preserve"> que tenga la capacidad para ejecutar las obligaciones. </w:t>
      </w:r>
    </w:p>
    <w:p w14:paraId="4A10E700" w14:textId="77777777" w:rsidR="004A56F9" w:rsidRPr="00CF2301" w:rsidRDefault="004A56F9" w:rsidP="004A56F9">
      <w:pPr>
        <w:spacing w:after="0" w:line="240" w:lineRule="auto"/>
        <w:jc w:val="both"/>
        <w:rPr>
          <w:rFonts w:ascii="Verdana" w:eastAsia="Arial" w:hAnsi="Verdana" w:cs="Arial"/>
          <w:color w:val="000000"/>
          <w:sz w:val="20"/>
          <w:szCs w:val="20"/>
        </w:rPr>
      </w:pPr>
    </w:p>
    <w:p w14:paraId="057ABA95" w14:textId="77777777" w:rsidR="004A56F9" w:rsidRPr="00CF2301" w:rsidRDefault="004A56F9" w:rsidP="004A56F9">
      <w:pPr>
        <w:spacing w:after="0" w:line="240" w:lineRule="auto"/>
        <w:jc w:val="both"/>
        <w:rPr>
          <w:rFonts w:ascii="Verdana" w:eastAsia="Arial" w:hAnsi="Verdana" w:cs="Arial"/>
          <w:color w:val="000000"/>
          <w:sz w:val="20"/>
          <w:szCs w:val="20"/>
        </w:rPr>
      </w:pPr>
      <w:r w:rsidRPr="00CF2301">
        <w:rPr>
          <w:rFonts w:ascii="Verdana" w:eastAsia="Arial" w:hAnsi="Verdana" w:cs="Arial"/>
          <w:color w:val="000000"/>
          <w:sz w:val="20"/>
          <w:szCs w:val="20"/>
        </w:rPr>
        <w:t xml:space="preserve">Esto último se complementa con el artículo 2.2.16.1.6 del Decreto 1082 de 2015, adicionado por el Decreto 874 de 2023, el cual exige lo siguiente: i) la persona natural </w:t>
      </w:r>
      <w:r w:rsidRPr="00CF2301">
        <w:rPr>
          <w:rFonts w:ascii="Verdana" w:eastAsia="Arial" w:hAnsi="Verdana" w:cs="Arial"/>
          <w:color w:val="000000"/>
          <w:sz w:val="20"/>
          <w:szCs w:val="20"/>
        </w:rPr>
        <w:lastRenderedPageBreak/>
        <w:t xml:space="preserve">o la entidad sin ánimo de lucro debe hacer parte de la Economía Popular y Comunitaria, en el marco de lo establecido en el artículo 2.2.16.1.4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w:t>
      </w:r>
      <w:proofErr w:type="spellStart"/>
      <w:r w:rsidRPr="00CF2301">
        <w:rPr>
          <w:rFonts w:ascii="Verdana" w:eastAsia="Arial" w:hAnsi="Verdana" w:cs="Arial"/>
          <w:color w:val="000000"/>
          <w:sz w:val="20"/>
          <w:szCs w:val="20"/>
        </w:rPr>
        <w:t>ii</w:t>
      </w:r>
      <w:proofErr w:type="spellEnd"/>
      <w:r w:rsidRPr="00CF2301">
        <w:rPr>
          <w:rFonts w:ascii="Verdana" w:eastAsia="Arial" w:hAnsi="Verdana" w:cs="Arial"/>
          <w:color w:val="000000"/>
          <w:sz w:val="20"/>
          <w:szCs w:val="2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CF2301">
        <w:rPr>
          <w:rFonts w:ascii="Verdana" w:eastAsia="Arial" w:hAnsi="Verdana" w:cs="Arial"/>
          <w:color w:val="000000"/>
          <w:sz w:val="20"/>
          <w:szCs w:val="20"/>
        </w:rPr>
        <w:t>iii</w:t>
      </w:r>
      <w:proofErr w:type="spellEnd"/>
      <w:r w:rsidRPr="00CF2301">
        <w:rPr>
          <w:rFonts w:ascii="Verdana" w:eastAsia="Arial" w:hAnsi="Verdana" w:cs="Arial"/>
          <w:color w:val="000000"/>
          <w:sz w:val="20"/>
          <w:szCs w:val="20"/>
        </w:rPr>
        <w:t xml:space="preserve">) la persona natural o la entidad sin ánimo de lucro deberán cumplir con la normativa aplicable a los oficios, ocupaciones u objetos sociales que desempeñen, dependiendo de su sector económico y naturaleza. </w:t>
      </w:r>
    </w:p>
    <w:p w14:paraId="5054867F" w14:textId="77777777" w:rsidR="004A56F9" w:rsidRPr="00CF2301" w:rsidRDefault="004A56F9" w:rsidP="004A56F9">
      <w:pPr>
        <w:spacing w:after="0" w:line="240" w:lineRule="auto"/>
        <w:jc w:val="both"/>
        <w:rPr>
          <w:sz w:val="20"/>
          <w:szCs w:val="20"/>
        </w:rPr>
      </w:pPr>
    </w:p>
    <w:p w14:paraId="3ACF233B" w14:textId="55B8A1F5" w:rsidR="005A7F8A" w:rsidRPr="00CF2301" w:rsidRDefault="005A7F8A">
      <w:pPr>
        <w:rPr>
          <w:rFonts w:ascii="Verdana" w:eastAsia="Geomanist Light" w:hAnsi="Verdana" w:cs="Arial"/>
          <w:color w:val="000000" w:themeColor="text1"/>
        </w:rPr>
      </w:pPr>
    </w:p>
    <w:p w14:paraId="1EAA6B98" w14:textId="77777777" w:rsidR="004A56F9" w:rsidRPr="00CF2301" w:rsidRDefault="004A56F9">
      <w:pPr>
        <w:rPr>
          <w:rFonts w:ascii="Verdana" w:eastAsia="Geomanist Light" w:hAnsi="Verdana" w:cs="Arial"/>
          <w:color w:val="000000" w:themeColor="text1"/>
          <w:lang w:val="es-MX"/>
        </w:rPr>
      </w:pPr>
      <w:r w:rsidRPr="00CF2301">
        <w:rPr>
          <w:rFonts w:ascii="Verdana" w:eastAsia="Geomanist Light" w:hAnsi="Verdana" w:cs="Arial"/>
          <w:color w:val="000000" w:themeColor="text1"/>
          <w:lang w:val="es-MX"/>
        </w:rPr>
        <w:br w:type="page"/>
      </w:r>
    </w:p>
    <w:p w14:paraId="5A07729B" w14:textId="46B4436B" w:rsidR="006F2E51" w:rsidRDefault="006F2E51" w:rsidP="000F4118">
      <w:pPr>
        <w:spacing w:after="0" w:line="240" w:lineRule="auto"/>
        <w:rPr>
          <w:rFonts w:ascii="Verdana" w:eastAsia="Geomanist Light" w:hAnsi="Verdana" w:cs="Arial"/>
          <w:color w:val="201F1E"/>
          <w:lang w:val="es-MX"/>
        </w:rPr>
      </w:pPr>
      <w:r w:rsidRPr="00CF2301">
        <w:rPr>
          <w:rFonts w:ascii="Verdana" w:eastAsia="Geomanist Light" w:hAnsi="Verdana" w:cs="Arial"/>
          <w:color w:val="000000" w:themeColor="text1"/>
          <w:lang w:val="es-MX"/>
        </w:rPr>
        <w:lastRenderedPageBreak/>
        <w:t>Bogotá D.C., </w:t>
      </w:r>
      <w:r w:rsidR="00BD35CE" w:rsidRPr="00CF2301">
        <w:rPr>
          <w:rFonts w:ascii="Verdana" w:eastAsia="Geomanist Light" w:hAnsi="Verdana" w:cs="Arial"/>
          <w:color w:val="201F1E"/>
          <w:lang w:val="es-MX"/>
        </w:rPr>
        <w:t>19 de septiembre de 2024.</w:t>
      </w:r>
    </w:p>
    <w:p w14:paraId="33705199" w14:textId="77777777" w:rsidR="00DA079A" w:rsidRPr="00CF2301" w:rsidRDefault="00DA079A" w:rsidP="000F4118">
      <w:pPr>
        <w:spacing w:after="0" w:line="240" w:lineRule="auto"/>
        <w:rPr>
          <w:rFonts w:ascii="Verdana" w:eastAsia="Geomanist Light" w:hAnsi="Verdana" w:cs="Arial"/>
          <w:color w:val="201F1E"/>
          <w:lang w:val="es-MX"/>
        </w:rPr>
      </w:pPr>
    </w:p>
    <w:p w14:paraId="0F75E5FD" w14:textId="18E768E4" w:rsidR="006F2E51" w:rsidRPr="00CF2301" w:rsidRDefault="00BD35CE" w:rsidP="00BD35CE">
      <w:pPr>
        <w:spacing w:after="0" w:line="240" w:lineRule="auto"/>
        <w:jc w:val="right"/>
        <w:rPr>
          <w:rFonts w:ascii="Verdana" w:eastAsia="Calibri" w:hAnsi="Verdana" w:cs="Arial"/>
          <w:color w:val="000000"/>
          <w:lang w:val="es-ES"/>
        </w:rPr>
      </w:pPr>
      <w:r w:rsidRPr="00CF2301">
        <w:rPr>
          <w:rFonts w:ascii="Verdana" w:eastAsia="Calibri" w:hAnsi="Verdana" w:cs="Arial"/>
          <w:color w:val="000000"/>
          <w:lang w:val="es-ES"/>
        </w:rPr>
        <w:drawing>
          <wp:inline distT="0" distB="0" distL="0" distR="0" wp14:anchorId="00AFA72B" wp14:editId="2748DADB">
            <wp:extent cx="4069218" cy="1228165"/>
            <wp:effectExtent l="0" t="0" r="7620" b="0"/>
            <wp:docPr id="1858115724" name="Imagen 1"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15724" name="Imagen 1" descr="Interfaz de usuario gráfica, Texto, Chat o mensaje de texto&#10;&#10;Descripción generada automáticamente"/>
                    <pic:cNvPicPr/>
                  </pic:nvPicPr>
                  <pic:blipFill>
                    <a:blip r:embed="rId11"/>
                    <a:stretch>
                      <a:fillRect/>
                    </a:stretch>
                  </pic:blipFill>
                  <pic:spPr>
                    <a:xfrm>
                      <a:off x="0" y="0"/>
                      <a:ext cx="4085490" cy="1233076"/>
                    </a:xfrm>
                    <a:prstGeom prst="rect">
                      <a:avLst/>
                    </a:prstGeom>
                  </pic:spPr>
                </pic:pic>
              </a:graphicData>
            </a:graphic>
          </wp:inline>
        </w:drawing>
      </w:r>
    </w:p>
    <w:p w14:paraId="6CD66956" w14:textId="77777777" w:rsidR="00123AC2" w:rsidRDefault="00123AC2" w:rsidP="000F4118">
      <w:pPr>
        <w:spacing w:after="0" w:line="240" w:lineRule="auto"/>
        <w:jc w:val="both"/>
        <w:rPr>
          <w:rFonts w:ascii="Verdana" w:eastAsia="Calibri" w:hAnsi="Verdana" w:cs="Arial"/>
          <w:lang w:eastAsia="es-ES"/>
        </w:rPr>
      </w:pPr>
    </w:p>
    <w:p w14:paraId="3904D1D5" w14:textId="53D6A720" w:rsidR="006F2E51" w:rsidRPr="00CF2301" w:rsidRDefault="006F2E51" w:rsidP="000F4118">
      <w:pPr>
        <w:spacing w:after="0" w:line="240" w:lineRule="auto"/>
        <w:jc w:val="both"/>
        <w:rPr>
          <w:rFonts w:ascii="Verdana" w:eastAsia="Calibri" w:hAnsi="Verdana" w:cs="Arial"/>
          <w:lang w:eastAsia="es-ES"/>
        </w:rPr>
      </w:pPr>
      <w:r w:rsidRPr="00CF2301">
        <w:rPr>
          <w:rFonts w:ascii="Verdana" w:eastAsia="Calibri" w:hAnsi="Verdana" w:cs="Arial"/>
          <w:lang w:eastAsia="es-ES"/>
        </w:rPr>
        <w:t>Señor</w:t>
      </w:r>
    </w:p>
    <w:p w14:paraId="248E0245" w14:textId="0E30141B" w:rsidR="00F658D7" w:rsidRPr="00CF2301" w:rsidRDefault="00F658D7" w:rsidP="000F4118">
      <w:pPr>
        <w:spacing w:after="0" w:line="240" w:lineRule="auto"/>
        <w:rPr>
          <w:rFonts w:ascii="Verdana" w:eastAsia="Calibri" w:hAnsi="Verdana" w:cs="Arial"/>
          <w:b/>
          <w:lang w:eastAsia="es-ES"/>
        </w:rPr>
      </w:pPr>
      <w:r w:rsidRPr="00CF2301">
        <w:rPr>
          <w:rFonts w:ascii="Verdana" w:eastAsia="Calibri" w:hAnsi="Verdana" w:cs="Arial"/>
          <w:b/>
          <w:lang w:eastAsia="es-ES"/>
        </w:rPr>
        <w:t xml:space="preserve">Edward Esteban </w:t>
      </w:r>
      <w:proofErr w:type="spellStart"/>
      <w:r w:rsidRPr="00CF2301">
        <w:rPr>
          <w:rFonts w:ascii="Verdana" w:eastAsia="Calibri" w:hAnsi="Verdana" w:cs="Arial"/>
          <w:b/>
          <w:lang w:eastAsia="es-ES"/>
        </w:rPr>
        <w:t>Mavisoy</w:t>
      </w:r>
      <w:proofErr w:type="spellEnd"/>
      <w:r w:rsidRPr="00CF2301">
        <w:rPr>
          <w:rFonts w:ascii="Verdana" w:eastAsia="Calibri" w:hAnsi="Verdana" w:cs="Arial"/>
          <w:b/>
          <w:lang w:eastAsia="es-ES"/>
        </w:rPr>
        <w:t xml:space="preserve"> Bravo</w:t>
      </w:r>
    </w:p>
    <w:p w14:paraId="0BD204DD" w14:textId="5A2E3098" w:rsidR="006F2E51" w:rsidRPr="00CF2301" w:rsidRDefault="00E11A11" w:rsidP="000F4118">
      <w:pPr>
        <w:spacing w:after="0" w:line="240" w:lineRule="auto"/>
        <w:rPr>
          <w:rFonts w:ascii="Verdana" w:eastAsia="Calibri" w:hAnsi="Verdana" w:cs="Arial"/>
          <w:lang w:eastAsia="es-ES"/>
        </w:rPr>
      </w:pPr>
      <w:r w:rsidRPr="00CF2301">
        <w:rPr>
          <w:rFonts w:ascii="Verdana" w:eastAsia="Calibri" w:hAnsi="Verdana" w:cs="Arial"/>
          <w:lang w:eastAsia="es-ES"/>
        </w:rPr>
        <w:t xml:space="preserve">Los Andes, Nariño </w:t>
      </w:r>
    </w:p>
    <w:p w14:paraId="1B09C05B" w14:textId="77777777" w:rsidR="006F2E51" w:rsidRPr="00CF2301" w:rsidRDefault="006F2E51" w:rsidP="000F4118">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27F01" w:rsidRPr="00CF2301" w14:paraId="76506362" w14:textId="77777777" w:rsidTr="00D06E32">
        <w:trPr>
          <w:trHeight w:val="178"/>
        </w:trPr>
        <w:tc>
          <w:tcPr>
            <w:tcW w:w="2689" w:type="dxa"/>
          </w:tcPr>
          <w:p w14:paraId="60252704" w14:textId="77777777" w:rsidR="006F2E51" w:rsidRPr="00CF2301" w:rsidRDefault="006F2E51" w:rsidP="000F4118">
            <w:pPr>
              <w:jc w:val="both"/>
              <w:rPr>
                <w:rFonts w:ascii="Verdana" w:eastAsia="Calibri" w:hAnsi="Verdana" w:cs="Arial"/>
                <w:b/>
                <w:bCs/>
                <w:lang w:eastAsia="es-ES_tradnl"/>
              </w:rPr>
            </w:pPr>
          </w:p>
        </w:tc>
        <w:tc>
          <w:tcPr>
            <w:tcW w:w="6100" w:type="dxa"/>
          </w:tcPr>
          <w:p w14:paraId="3E4BA9A5" w14:textId="77777777" w:rsidR="006F2E51" w:rsidRPr="00CF2301" w:rsidRDefault="006F2E51" w:rsidP="000F4118">
            <w:pPr>
              <w:jc w:val="both"/>
              <w:rPr>
                <w:rFonts w:ascii="Verdana" w:eastAsia="Calibri" w:hAnsi="Verdana" w:cs="Arial"/>
                <w:b/>
                <w:bCs/>
                <w:lang w:val="es-ES" w:eastAsia="es-ES"/>
              </w:rPr>
            </w:pPr>
            <w:r w:rsidRPr="00CF2301">
              <w:rPr>
                <w:rFonts w:ascii="Verdana" w:eastAsia="Calibri" w:hAnsi="Verdana" w:cs="Arial"/>
                <w:b/>
                <w:bCs/>
                <w:lang w:val="es-ES" w:eastAsia="es-ES"/>
              </w:rPr>
              <w:t>Concepto C – 39</w:t>
            </w:r>
            <w:r w:rsidR="00183095" w:rsidRPr="00CF2301">
              <w:rPr>
                <w:rFonts w:ascii="Verdana" w:eastAsia="Calibri" w:hAnsi="Verdana" w:cs="Arial"/>
                <w:b/>
                <w:bCs/>
                <w:lang w:val="es-ES" w:eastAsia="es-ES"/>
              </w:rPr>
              <w:t>4</w:t>
            </w:r>
            <w:r w:rsidRPr="00CF2301">
              <w:rPr>
                <w:rFonts w:ascii="Verdana" w:eastAsia="Calibri" w:hAnsi="Verdana" w:cs="Arial"/>
                <w:b/>
                <w:bCs/>
                <w:lang w:val="es-ES" w:eastAsia="es-ES"/>
              </w:rPr>
              <w:t xml:space="preserve"> de 2024</w:t>
            </w:r>
          </w:p>
          <w:p w14:paraId="0C56BAFE" w14:textId="36390844" w:rsidR="00D06E32" w:rsidRPr="00CF2301" w:rsidRDefault="00D06E32" w:rsidP="000F4118">
            <w:pPr>
              <w:jc w:val="both"/>
              <w:rPr>
                <w:rFonts w:ascii="Verdana" w:eastAsia="Calibri" w:hAnsi="Verdana" w:cs="Arial"/>
                <w:b/>
                <w:bCs/>
                <w:lang w:val="es-ES" w:eastAsia="es-ES"/>
              </w:rPr>
            </w:pPr>
          </w:p>
        </w:tc>
      </w:tr>
      <w:tr w:rsidR="00927F01" w:rsidRPr="00CF2301" w14:paraId="58C3AD9B" w14:textId="77777777" w:rsidTr="00473D03">
        <w:trPr>
          <w:trHeight w:val="884"/>
        </w:trPr>
        <w:tc>
          <w:tcPr>
            <w:tcW w:w="2689" w:type="dxa"/>
          </w:tcPr>
          <w:p w14:paraId="0501A0E3" w14:textId="77777777" w:rsidR="006F2E51" w:rsidRPr="00CF2301" w:rsidRDefault="006F2E51" w:rsidP="000F4118">
            <w:pPr>
              <w:jc w:val="both"/>
              <w:rPr>
                <w:rFonts w:ascii="Verdana" w:eastAsia="Calibri" w:hAnsi="Verdana" w:cs="Arial"/>
                <w:lang w:val="es-ES_tradnl" w:eastAsia="es-ES_tradnl"/>
              </w:rPr>
            </w:pPr>
            <w:r w:rsidRPr="00CF2301">
              <w:rPr>
                <w:rFonts w:ascii="Verdana" w:eastAsia="Calibri" w:hAnsi="Verdana" w:cs="Arial"/>
                <w:b/>
                <w:lang w:val="es-ES_tradnl" w:eastAsia="es-ES_tradnl"/>
              </w:rPr>
              <w:t>Temas:</w:t>
            </w:r>
            <w:r w:rsidRPr="00CF2301">
              <w:rPr>
                <w:rFonts w:ascii="Verdana" w:eastAsia="Calibri" w:hAnsi="Verdana" w:cs="Arial"/>
                <w:lang w:val="es-ES_tradnl" w:eastAsia="es-ES_tradnl"/>
              </w:rPr>
              <w:t xml:space="preserve">                   </w:t>
            </w:r>
          </w:p>
        </w:tc>
        <w:tc>
          <w:tcPr>
            <w:tcW w:w="6100" w:type="dxa"/>
          </w:tcPr>
          <w:p w14:paraId="2A85E8BA" w14:textId="77777777" w:rsidR="006F2E51" w:rsidRPr="00CF2301" w:rsidRDefault="006F2E51" w:rsidP="000F4118">
            <w:pPr>
              <w:jc w:val="both"/>
              <w:rPr>
                <w:rFonts w:ascii="Verdana" w:eastAsia="Calibri" w:hAnsi="Verdana" w:cs="Arial"/>
                <w:lang w:val="es-ES" w:eastAsia="es-ES"/>
              </w:rPr>
            </w:pPr>
            <w:r w:rsidRPr="00CF2301">
              <w:rPr>
                <w:rFonts w:ascii="Verdana" w:eastAsia="Calibri" w:hAnsi="Verdana" w:cs="Arial"/>
                <w:lang w:val="es-ES" w:eastAsia="es-ES"/>
              </w:rPr>
              <w:t xml:space="preserve">ASOCIACIONES PÚBLICO POPULARES – Tipología contractual – Objeto / ECONOMÍA POPULAR Y COMUNITARIA – Personas naturales y ESAL / ASOCIACIONES PÚBLICO POPULARES – Celebración – Requisitos     </w:t>
            </w:r>
          </w:p>
          <w:p w14:paraId="6E3DED40" w14:textId="77777777" w:rsidR="006F2E51" w:rsidRPr="00CF2301" w:rsidRDefault="006F2E51" w:rsidP="000F4118">
            <w:pPr>
              <w:jc w:val="both"/>
              <w:rPr>
                <w:rFonts w:ascii="Verdana" w:eastAsia="Calibri" w:hAnsi="Verdana" w:cs="Arial"/>
                <w:lang w:val="es-ES" w:eastAsia="es-ES"/>
              </w:rPr>
            </w:pPr>
            <w:r w:rsidRPr="00CF2301">
              <w:rPr>
                <w:rFonts w:ascii="Verdana" w:eastAsia="Calibri" w:hAnsi="Verdana" w:cs="Arial"/>
                <w:lang w:val="es-ES" w:eastAsia="es-ES"/>
              </w:rPr>
              <w:t xml:space="preserve">  </w:t>
            </w:r>
          </w:p>
        </w:tc>
      </w:tr>
      <w:tr w:rsidR="006F2E51" w:rsidRPr="00CF2301" w14:paraId="4468D00D" w14:textId="77777777" w:rsidTr="00473D03">
        <w:tc>
          <w:tcPr>
            <w:tcW w:w="2689" w:type="dxa"/>
          </w:tcPr>
          <w:p w14:paraId="65E7E8CD" w14:textId="77777777" w:rsidR="006F2E51" w:rsidRPr="00CF2301" w:rsidRDefault="006F2E51" w:rsidP="000F4118">
            <w:pPr>
              <w:jc w:val="both"/>
              <w:rPr>
                <w:rFonts w:ascii="Verdana" w:eastAsia="Calibri" w:hAnsi="Verdana" w:cs="Arial"/>
                <w:b/>
                <w:lang w:val="es-ES_tradnl" w:eastAsia="es-ES_tradnl"/>
              </w:rPr>
            </w:pPr>
            <w:r w:rsidRPr="00CF2301">
              <w:rPr>
                <w:rFonts w:ascii="Verdana" w:eastAsia="Calibri" w:hAnsi="Verdana" w:cs="Arial"/>
                <w:b/>
                <w:lang w:val="es-ES_tradnl" w:eastAsia="es-ES_tradnl"/>
              </w:rPr>
              <w:t>Radicación:</w:t>
            </w:r>
            <w:r w:rsidRPr="00CF2301">
              <w:rPr>
                <w:rFonts w:ascii="Verdana" w:eastAsia="Calibri" w:hAnsi="Verdana" w:cs="Arial"/>
                <w:lang w:val="es-ES_tradnl" w:eastAsia="es-ES_tradnl"/>
              </w:rPr>
              <w:t xml:space="preserve">               </w:t>
            </w:r>
          </w:p>
        </w:tc>
        <w:tc>
          <w:tcPr>
            <w:tcW w:w="6100" w:type="dxa"/>
          </w:tcPr>
          <w:p w14:paraId="0CDAE3FB" w14:textId="20320696" w:rsidR="006F2E51" w:rsidRPr="00CF2301" w:rsidRDefault="006F2E51" w:rsidP="000F4118">
            <w:pPr>
              <w:jc w:val="both"/>
              <w:rPr>
                <w:rFonts w:ascii="Verdana" w:eastAsia="Calibri" w:hAnsi="Verdana" w:cs="Arial"/>
                <w:lang w:val="es-ES_tradnl" w:eastAsia="es-ES_tradnl"/>
              </w:rPr>
            </w:pPr>
            <w:r w:rsidRPr="00CF2301">
              <w:rPr>
                <w:rFonts w:ascii="Verdana" w:eastAsia="Calibri" w:hAnsi="Verdana" w:cs="Arial"/>
                <w:lang w:val="es-ES_tradnl" w:eastAsia="es-ES_tradnl"/>
              </w:rPr>
              <w:t xml:space="preserve">Respuesta a la consulta con radicado No. </w:t>
            </w:r>
            <w:r w:rsidR="00C7385D" w:rsidRPr="00CF2301">
              <w:rPr>
                <w:rFonts w:ascii="Verdana" w:hAnsi="Verdana" w:cs="Calibri"/>
                <w:color w:val="000000"/>
              </w:rPr>
              <w:t>P20240723007560</w:t>
            </w:r>
            <w:r w:rsidRPr="00CF2301">
              <w:rPr>
                <w:rFonts w:ascii="Verdana" w:eastAsia="Calibri" w:hAnsi="Verdana" w:cs="Arial"/>
                <w:lang w:val="es-ES_tradnl" w:eastAsia="es-ES_tradnl"/>
              </w:rPr>
              <w:t xml:space="preserve">                         </w:t>
            </w:r>
          </w:p>
        </w:tc>
      </w:tr>
    </w:tbl>
    <w:p w14:paraId="04026196" w14:textId="77777777" w:rsidR="006F2E51" w:rsidRPr="00CF2301" w:rsidRDefault="006F2E51" w:rsidP="005F3960">
      <w:pPr>
        <w:spacing w:after="0" w:line="276" w:lineRule="auto"/>
        <w:jc w:val="both"/>
        <w:rPr>
          <w:rFonts w:ascii="Verdana" w:eastAsia="Calibri" w:hAnsi="Verdana" w:cs="Arial"/>
          <w:lang w:val="es-ES_tradnl" w:eastAsia="es-ES_tradnl"/>
        </w:rPr>
      </w:pPr>
    </w:p>
    <w:p w14:paraId="6A666951" w14:textId="77777777" w:rsidR="006F2E51" w:rsidRPr="00CF2301" w:rsidRDefault="006F2E51" w:rsidP="005F3960">
      <w:pPr>
        <w:spacing w:after="0" w:line="276" w:lineRule="auto"/>
        <w:jc w:val="both"/>
        <w:rPr>
          <w:rFonts w:ascii="Verdana" w:eastAsia="Calibri" w:hAnsi="Verdana" w:cs="Arial"/>
          <w:lang w:val="es-ES_tradnl" w:eastAsia="es-ES_tradnl"/>
        </w:rPr>
      </w:pPr>
    </w:p>
    <w:p w14:paraId="75E3409C" w14:textId="10E3522E" w:rsidR="006F2E51" w:rsidRPr="00CF2301" w:rsidRDefault="006F2E51" w:rsidP="005F3960">
      <w:pPr>
        <w:spacing w:after="0" w:line="276" w:lineRule="auto"/>
        <w:jc w:val="both"/>
        <w:rPr>
          <w:rFonts w:ascii="Verdana" w:eastAsia="Calibri" w:hAnsi="Verdana" w:cs="Arial"/>
          <w:lang w:val="es-ES" w:eastAsia="es-ES"/>
        </w:rPr>
      </w:pPr>
      <w:r w:rsidRPr="00CF2301">
        <w:rPr>
          <w:rFonts w:ascii="Verdana" w:eastAsia="Calibri" w:hAnsi="Verdana" w:cs="Arial"/>
          <w:lang w:val="es-ES" w:eastAsia="es-ES"/>
        </w:rPr>
        <w:t>Estimad</w:t>
      </w:r>
      <w:r w:rsidR="000F4118" w:rsidRPr="00CF2301">
        <w:rPr>
          <w:rFonts w:ascii="Verdana" w:eastAsia="Calibri" w:hAnsi="Verdana" w:cs="Arial"/>
          <w:lang w:val="es-ES" w:eastAsia="es-ES"/>
        </w:rPr>
        <w:t>o</w:t>
      </w:r>
      <w:r w:rsidRPr="00CF2301">
        <w:rPr>
          <w:rFonts w:ascii="Verdana" w:eastAsia="Calibri" w:hAnsi="Verdana" w:cs="Arial"/>
          <w:lang w:val="es-ES" w:eastAsia="es-ES"/>
        </w:rPr>
        <w:t xml:space="preserve"> señor </w:t>
      </w:r>
      <w:proofErr w:type="spellStart"/>
      <w:r w:rsidR="000E78E8" w:rsidRPr="00CF2301">
        <w:rPr>
          <w:rFonts w:ascii="Verdana" w:eastAsia="Calibri" w:hAnsi="Verdana" w:cs="Arial"/>
          <w:lang w:eastAsia="es-ES"/>
        </w:rPr>
        <w:t>Mavisoy</w:t>
      </w:r>
      <w:proofErr w:type="spellEnd"/>
      <w:r w:rsidR="000E78E8" w:rsidRPr="00CF2301">
        <w:rPr>
          <w:rFonts w:ascii="Verdana" w:eastAsia="Calibri" w:hAnsi="Verdana" w:cs="Arial"/>
          <w:lang w:eastAsia="es-ES"/>
        </w:rPr>
        <w:t xml:space="preserve"> Bravo</w:t>
      </w:r>
      <w:r w:rsidRPr="00CF2301">
        <w:rPr>
          <w:rFonts w:ascii="Verdana" w:eastAsia="Calibri" w:hAnsi="Verdana" w:cs="Arial"/>
          <w:lang w:val="es-ES" w:eastAsia="es-ES"/>
        </w:rPr>
        <w:t xml:space="preserve">: </w:t>
      </w:r>
    </w:p>
    <w:p w14:paraId="2A328800" w14:textId="77777777" w:rsidR="006F2E51" w:rsidRPr="00CF2301" w:rsidRDefault="006F2E51" w:rsidP="005F3960">
      <w:pPr>
        <w:tabs>
          <w:tab w:val="left" w:pos="3768"/>
        </w:tabs>
        <w:spacing w:after="0" w:line="276" w:lineRule="auto"/>
        <w:jc w:val="both"/>
        <w:rPr>
          <w:rFonts w:ascii="Verdana" w:eastAsia="Calibri" w:hAnsi="Verdana" w:cs="Arial"/>
          <w:lang w:val="es-ES" w:eastAsia="es-ES"/>
        </w:rPr>
      </w:pPr>
      <w:r w:rsidRPr="00CF2301">
        <w:rPr>
          <w:rFonts w:ascii="Verdana" w:eastAsia="Calibri" w:hAnsi="Verdana" w:cs="Arial"/>
          <w:lang w:val="es-ES" w:eastAsia="es-ES"/>
        </w:rPr>
        <w:tab/>
      </w:r>
    </w:p>
    <w:p w14:paraId="6F982E0E" w14:textId="72347C61" w:rsidR="006F2E51" w:rsidRPr="00CF2301" w:rsidRDefault="006F2E51" w:rsidP="005F3960">
      <w:pPr>
        <w:spacing w:after="0" w:line="276" w:lineRule="auto"/>
        <w:jc w:val="both"/>
        <w:rPr>
          <w:rFonts w:ascii="Verdana" w:eastAsia="Calibri" w:hAnsi="Verdana" w:cs="Arial"/>
          <w:color w:val="7030A0"/>
          <w:lang w:val="es-ES" w:eastAsia="es-ES"/>
        </w:rPr>
      </w:pPr>
      <w:r w:rsidRPr="00CF2301">
        <w:rPr>
          <w:rFonts w:ascii="Verdana" w:eastAsia="Calibri" w:hAnsi="Verdana" w:cs="Arial"/>
          <w:color w:val="000000" w:themeColor="text1"/>
          <w:lang w:val="es-ES" w:eastAsia="es-ES"/>
        </w:rPr>
        <w:t>En ejercicio de la competencia otorgada por los artículos 3, numeral 5º, y 11, numeral 8º, del Decreto Ley 4170 de 2011,</w:t>
      </w:r>
      <w:r w:rsidRPr="00CF2301">
        <w:rPr>
          <w:rFonts w:ascii="Verdana" w:eastAsia="Arial MT" w:hAnsi="Verdana" w:cs="Arial MT"/>
          <w:lang w:val="es-ES" w:eastAsia="es-ES"/>
        </w:rPr>
        <w:t xml:space="preserve"> </w:t>
      </w:r>
      <w:r w:rsidRPr="00CF2301">
        <w:rPr>
          <w:rFonts w:ascii="Verdana" w:hAnsi="Verdana" w:cs="Arial"/>
        </w:rPr>
        <w:t xml:space="preserve">así como lo establecido en el artículo 4 de la Resolución 1707 de 2018 expedida por esta Entidad, </w:t>
      </w:r>
      <w:r w:rsidRPr="00CF2301">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CF2301">
        <w:rPr>
          <w:rFonts w:ascii="Verdana" w:eastAsia="Calibri" w:hAnsi="Verdana" w:cs="Arial"/>
          <w:lang w:val="es-ES" w:eastAsia="es-ES"/>
        </w:rPr>
        <w:t xml:space="preserve">fecha </w:t>
      </w:r>
      <w:r w:rsidR="007854F1" w:rsidRPr="00CF2301">
        <w:rPr>
          <w:rFonts w:ascii="Verdana" w:eastAsia="Calibri" w:hAnsi="Verdana" w:cs="Arial"/>
          <w:lang w:val="es-ES" w:eastAsia="es-ES"/>
        </w:rPr>
        <w:t>23</w:t>
      </w:r>
      <w:r w:rsidRPr="00CF2301">
        <w:rPr>
          <w:rFonts w:ascii="Verdana" w:eastAsia="Calibri" w:hAnsi="Verdana" w:cs="Arial"/>
          <w:lang w:val="es-ES" w:eastAsia="es-ES"/>
        </w:rPr>
        <w:t xml:space="preserve"> de julio de 2024, en la cual</w:t>
      </w:r>
      <w:r w:rsidR="0004233A" w:rsidRPr="00CF2301">
        <w:rPr>
          <w:rFonts w:ascii="Verdana" w:eastAsia="Calibri" w:hAnsi="Verdana" w:cs="Arial"/>
          <w:lang w:val="es-ES" w:eastAsia="es-ES"/>
        </w:rPr>
        <w:t xml:space="preserve"> </w:t>
      </w:r>
      <w:r w:rsidRPr="00CF2301">
        <w:rPr>
          <w:rFonts w:ascii="Verdana" w:eastAsia="Calibri" w:hAnsi="Verdana" w:cs="Arial"/>
          <w:lang w:val="es-ES" w:eastAsia="es-ES"/>
        </w:rPr>
        <w:t xml:space="preserve">pregunta lo siguiente: </w:t>
      </w:r>
    </w:p>
    <w:p w14:paraId="3C2BC8EB" w14:textId="77777777" w:rsidR="006F2E51" w:rsidRPr="00CF2301" w:rsidRDefault="006F2E51" w:rsidP="005F396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0149957" w14:textId="75A871E5" w:rsidR="006F2E51" w:rsidRPr="00CF2301" w:rsidRDefault="005D54E6" w:rsidP="006F2E51">
      <w:pPr>
        <w:spacing w:after="0" w:line="240" w:lineRule="auto"/>
        <w:ind w:left="709" w:right="709"/>
        <w:jc w:val="both"/>
        <w:rPr>
          <w:rFonts w:ascii="Verdana" w:hAnsi="Verdana" w:cs="Arial"/>
          <w:sz w:val="20"/>
          <w:szCs w:val="20"/>
          <w:shd w:val="clear" w:color="auto" w:fill="FFFFFF"/>
          <w:lang w:val="es-ES"/>
        </w:rPr>
      </w:pPr>
      <w:r w:rsidRPr="00CF2301">
        <w:rPr>
          <w:rFonts w:ascii="Verdana" w:eastAsia="Century Gothic" w:hAnsi="Verdana" w:cs="Century Gothic"/>
          <w:sz w:val="20"/>
          <w:szCs w:val="20"/>
          <w:lang w:val="es-ES"/>
        </w:rPr>
        <w:t>“</w:t>
      </w:r>
      <w:r w:rsidR="00BC42C1" w:rsidRPr="00CF2301">
        <w:rPr>
          <w:rFonts w:ascii="Verdana" w:eastAsia="Century Gothic" w:hAnsi="Verdana" w:cs="Century Gothic"/>
          <w:sz w:val="20"/>
          <w:szCs w:val="20"/>
        </w:rPr>
        <w:t xml:space="preserve">Presento la inquietud respecto de la nueva figura contractual sobre ASOCIONES PUBLICO-POPULARES que se ha creado mediante ley 2294 de 2023 y regulado mediante </w:t>
      </w:r>
      <w:proofErr w:type="spellStart"/>
      <w:r w:rsidR="00BC42C1" w:rsidRPr="00CF2301">
        <w:rPr>
          <w:rFonts w:ascii="Verdana" w:eastAsia="Century Gothic" w:hAnsi="Verdana" w:cs="Century Gothic"/>
          <w:sz w:val="20"/>
          <w:szCs w:val="20"/>
        </w:rPr>
        <w:t>dcto</w:t>
      </w:r>
      <w:proofErr w:type="spellEnd"/>
      <w:r w:rsidR="00BC42C1" w:rsidRPr="00CF2301">
        <w:rPr>
          <w:rFonts w:ascii="Verdana" w:eastAsia="Century Gothic" w:hAnsi="Verdana" w:cs="Century Gothic"/>
          <w:sz w:val="20"/>
          <w:szCs w:val="20"/>
        </w:rPr>
        <w:t xml:space="preserve"> 0874 de 2024, en las normativas en mención se regulan las generalidades de la materia, mas no se establece el requisito habilitante que permita a la entidad validar al posible contratista como persona natural o entidad sin </w:t>
      </w:r>
      <w:proofErr w:type="spellStart"/>
      <w:r w:rsidR="00BC42C1" w:rsidRPr="00CF2301">
        <w:rPr>
          <w:rFonts w:ascii="Verdana" w:eastAsia="Century Gothic" w:hAnsi="Verdana" w:cs="Century Gothic"/>
          <w:sz w:val="20"/>
          <w:szCs w:val="20"/>
        </w:rPr>
        <w:t>animo</w:t>
      </w:r>
      <w:proofErr w:type="spellEnd"/>
      <w:r w:rsidR="00BC42C1" w:rsidRPr="00CF2301">
        <w:rPr>
          <w:rFonts w:ascii="Verdana" w:eastAsia="Century Gothic" w:hAnsi="Verdana" w:cs="Century Gothic"/>
          <w:sz w:val="20"/>
          <w:szCs w:val="20"/>
        </w:rPr>
        <w:t xml:space="preserve"> de lucro perteneciente a la economía popular, en ese entendido ¿Debería limitarse la escogencia a la territorialidad de la cual la entidad contratante tiene jurisdicción para contratar? </w:t>
      </w:r>
      <w:proofErr w:type="gramStart"/>
      <w:r w:rsidR="00BC42C1" w:rsidRPr="00CF2301">
        <w:rPr>
          <w:rFonts w:ascii="Verdana" w:eastAsia="Century Gothic" w:hAnsi="Verdana" w:cs="Century Gothic"/>
          <w:sz w:val="20"/>
          <w:szCs w:val="20"/>
        </w:rPr>
        <w:t xml:space="preserve">¿Para ello podría hacerse la validación del </w:t>
      </w:r>
      <w:r w:rsidR="00BC42C1" w:rsidRPr="00CF2301">
        <w:rPr>
          <w:rFonts w:ascii="Verdana" w:eastAsia="Century Gothic" w:hAnsi="Verdana" w:cs="Century Gothic"/>
          <w:sz w:val="20"/>
          <w:szCs w:val="20"/>
        </w:rPr>
        <w:lastRenderedPageBreak/>
        <w:t xml:space="preserve">registro mercantil con el domicilio y los códigos de actividad comercial con respecto a las actividades que refiere el </w:t>
      </w:r>
      <w:proofErr w:type="spellStart"/>
      <w:r w:rsidR="00BC42C1" w:rsidRPr="00CF2301">
        <w:rPr>
          <w:rFonts w:ascii="Verdana" w:eastAsia="Century Gothic" w:hAnsi="Verdana" w:cs="Century Gothic"/>
          <w:sz w:val="20"/>
          <w:szCs w:val="20"/>
        </w:rPr>
        <w:t>dcto</w:t>
      </w:r>
      <w:proofErr w:type="spellEnd"/>
      <w:r w:rsidR="00BC42C1" w:rsidRPr="00CF2301">
        <w:rPr>
          <w:rFonts w:ascii="Verdana" w:eastAsia="Century Gothic" w:hAnsi="Verdana" w:cs="Century Gothic"/>
          <w:sz w:val="20"/>
          <w:szCs w:val="20"/>
        </w:rPr>
        <w:t xml:space="preserve"> 0874 de 2024 en su art. 2.2.16.</w:t>
      </w:r>
      <w:proofErr w:type="gramEnd"/>
      <w:r w:rsidR="00BC42C1" w:rsidRPr="00CF2301">
        <w:rPr>
          <w:rFonts w:ascii="Verdana" w:eastAsia="Century Gothic" w:hAnsi="Verdana" w:cs="Century Gothic"/>
          <w:sz w:val="20"/>
          <w:szCs w:val="20"/>
        </w:rPr>
        <w:t>1.4?</w:t>
      </w:r>
      <w:r w:rsidR="006F2E51" w:rsidRPr="00CF2301">
        <w:rPr>
          <w:rStyle w:val="normaltextrun"/>
          <w:rFonts w:ascii="Verdana" w:hAnsi="Verdana" w:cs="Arial"/>
          <w:sz w:val="20"/>
          <w:szCs w:val="20"/>
          <w:shd w:val="clear" w:color="auto" w:fill="FFFFFF"/>
          <w:lang w:val="es-ES"/>
        </w:rPr>
        <w:t xml:space="preserve"> […]</w:t>
      </w:r>
      <w:r w:rsidR="006F2E51" w:rsidRPr="00CF2301">
        <w:rPr>
          <w:rFonts w:ascii="Verdana" w:eastAsia="Century Gothic" w:hAnsi="Verdana" w:cs="Century Gothic"/>
          <w:sz w:val="20"/>
          <w:szCs w:val="20"/>
          <w:lang w:val="es-ES"/>
        </w:rPr>
        <w:t xml:space="preserve">”. </w:t>
      </w:r>
    </w:p>
    <w:p w14:paraId="614B9A03" w14:textId="77777777" w:rsidR="006F2E51" w:rsidRPr="00CF2301" w:rsidRDefault="006F2E51" w:rsidP="00DD5BF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604539" w14:textId="77777777" w:rsidR="006F2E51" w:rsidRPr="00CF2301" w:rsidRDefault="006F2E51" w:rsidP="006F2E51">
      <w:pPr>
        <w:spacing w:after="120" w:line="276" w:lineRule="auto"/>
        <w:ind w:firstLine="709"/>
        <w:jc w:val="both"/>
        <w:rPr>
          <w:rFonts w:ascii="Verdana" w:eastAsia="Calibri" w:hAnsi="Verdana" w:cs="Arial"/>
          <w:color w:val="000000"/>
          <w:lang w:val="es-ES" w:eastAsia="es-ES"/>
        </w:rPr>
      </w:pPr>
      <w:r w:rsidRPr="00CF230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F2301">
        <w:rPr>
          <w:rFonts w:ascii="Verdana" w:eastAsia="Calibri" w:hAnsi="Verdana" w:cs="Arial"/>
          <w:color w:val="000000"/>
          <w:szCs w:val="24"/>
          <w:lang w:val="es-ES_tradnl" w:eastAsia="es-ES_tradnl"/>
        </w:rPr>
        <w:tab/>
      </w:r>
    </w:p>
    <w:p w14:paraId="044C7746" w14:textId="3EC5EDA9" w:rsidR="006F2E51" w:rsidRPr="00CF2301" w:rsidRDefault="006F2E51" w:rsidP="006F2E51">
      <w:pPr>
        <w:spacing w:after="0" w:line="276" w:lineRule="auto"/>
        <w:ind w:firstLine="709"/>
        <w:jc w:val="both"/>
        <w:rPr>
          <w:rFonts w:ascii="Verdana" w:eastAsia="Calibri" w:hAnsi="Verdana" w:cs="Arial"/>
          <w:color w:val="000000"/>
          <w:lang w:val="es-ES" w:eastAsia="es-ES"/>
        </w:rPr>
      </w:pPr>
      <w:r w:rsidRPr="00CF2301">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las hayan motivado, pero haciendo unas consideraciones sobre las normas generales relacionadas con l</w:t>
      </w:r>
      <w:r w:rsidR="003870C5" w:rsidRPr="00CF2301">
        <w:rPr>
          <w:rFonts w:ascii="Verdana" w:eastAsia="Calibri" w:hAnsi="Verdana" w:cs="Arial"/>
          <w:color w:val="000000"/>
          <w:lang w:val="es-ES" w:eastAsia="es-ES"/>
        </w:rPr>
        <w:t>os</w:t>
      </w:r>
      <w:r w:rsidRPr="00CF2301">
        <w:rPr>
          <w:rFonts w:ascii="Verdana" w:eastAsia="Calibri" w:hAnsi="Verdana" w:cs="Arial"/>
          <w:color w:val="7030A0"/>
          <w:lang w:val="es-ES" w:eastAsia="es-ES"/>
        </w:rPr>
        <w:t xml:space="preserve"> </w:t>
      </w:r>
      <w:r w:rsidRPr="00CF2301">
        <w:rPr>
          <w:rFonts w:ascii="Verdana" w:eastAsia="Calibri" w:hAnsi="Verdana" w:cs="Arial"/>
          <w:color w:val="000000"/>
          <w:lang w:val="es-ES" w:eastAsia="es-ES"/>
        </w:rPr>
        <w:t>problema</w:t>
      </w:r>
      <w:r w:rsidR="003870C5" w:rsidRPr="00CF2301">
        <w:rPr>
          <w:rFonts w:ascii="Verdana" w:eastAsia="Calibri" w:hAnsi="Verdana" w:cs="Arial"/>
          <w:color w:val="000000"/>
          <w:lang w:val="es-ES" w:eastAsia="es-ES"/>
        </w:rPr>
        <w:t>s</w:t>
      </w:r>
      <w:r w:rsidRPr="00CF2301">
        <w:rPr>
          <w:rFonts w:ascii="Verdana" w:eastAsia="Calibri" w:hAnsi="Verdana" w:cs="Arial"/>
          <w:color w:val="7030A0"/>
          <w:lang w:val="es-ES" w:eastAsia="es-ES"/>
        </w:rPr>
        <w:t xml:space="preserve"> </w:t>
      </w:r>
      <w:r w:rsidRPr="00CF2301">
        <w:rPr>
          <w:rFonts w:ascii="Verdana" w:eastAsia="Calibri" w:hAnsi="Verdana" w:cs="Arial"/>
          <w:color w:val="000000"/>
          <w:lang w:val="es-ES" w:eastAsia="es-ES"/>
        </w:rPr>
        <w:t>jurídico</w:t>
      </w:r>
      <w:r w:rsidR="003870C5" w:rsidRPr="00CF2301">
        <w:rPr>
          <w:rFonts w:ascii="Verdana" w:eastAsia="Calibri" w:hAnsi="Verdana" w:cs="Arial"/>
          <w:color w:val="000000"/>
          <w:lang w:val="es-ES" w:eastAsia="es-ES"/>
        </w:rPr>
        <w:t>s</w:t>
      </w:r>
      <w:r w:rsidRPr="00CF2301">
        <w:rPr>
          <w:rFonts w:ascii="Verdana" w:eastAsia="Calibri" w:hAnsi="Verdana" w:cs="Arial"/>
          <w:color w:val="7030A0"/>
          <w:lang w:val="es-ES" w:eastAsia="es-ES"/>
        </w:rPr>
        <w:t xml:space="preserve"> </w:t>
      </w:r>
      <w:r w:rsidRPr="00CF2301">
        <w:rPr>
          <w:rFonts w:ascii="Verdana" w:eastAsia="Calibri" w:hAnsi="Verdana" w:cs="Arial"/>
          <w:color w:val="000000"/>
          <w:lang w:val="es-ES" w:eastAsia="es-ES"/>
        </w:rPr>
        <w:t xml:space="preserve">de su consulta. </w:t>
      </w:r>
    </w:p>
    <w:p w14:paraId="04886A90" w14:textId="77777777" w:rsidR="006F2E51" w:rsidRPr="00CF2301" w:rsidRDefault="006F2E51" w:rsidP="006F2E51">
      <w:pPr>
        <w:spacing w:after="0" w:line="276" w:lineRule="auto"/>
        <w:ind w:firstLine="709"/>
        <w:jc w:val="both"/>
        <w:rPr>
          <w:rFonts w:ascii="Verdana" w:eastAsia="Calibri" w:hAnsi="Verdana" w:cs="Arial"/>
          <w:color w:val="000000"/>
          <w:lang w:val="es-ES" w:eastAsia="es-ES"/>
        </w:rPr>
      </w:pPr>
    </w:p>
    <w:p w14:paraId="006CB749" w14:textId="77777777" w:rsidR="006F2E51" w:rsidRPr="00CF2301" w:rsidRDefault="006F2E51" w:rsidP="006F2E5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F2301">
        <w:rPr>
          <w:rFonts w:ascii="Verdana" w:eastAsia="Century Gothic" w:hAnsi="Verdana" w:cs="Century Gothic"/>
          <w:b/>
          <w:bCs/>
        </w:rPr>
        <w:t>Problemas planteados:</w:t>
      </w:r>
    </w:p>
    <w:p w14:paraId="65C01BFF" w14:textId="77777777" w:rsidR="006F2E51" w:rsidRPr="00CF2301" w:rsidRDefault="006F2E51" w:rsidP="006F2E51">
      <w:pPr>
        <w:tabs>
          <w:tab w:val="left" w:pos="426"/>
        </w:tabs>
        <w:spacing w:after="0" w:line="276" w:lineRule="auto"/>
        <w:jc w:val="both"/>
        <w:rPr>
          <w:rFonts w:ascii="Verdana" w:eastAsia="Century Gothic" w:hAnsi="Verdana" w:cs="Century Gothic"/>
          <w:lang w:val="es-ES"/>
        </w:rPr>
      </w:pPr>
    </w:p>
    <w:p w14:paraId="15FEF37C" w14:textId="26C29EF3" w:rsidR="006F2E51" w:rsidRPr="00CF2301" w:rsidRDefault="006F2E51" w:rsidP="006F2E51">
      <w:pPr>
        <w:spacing w:after="0" w:line="276" w:lineRule="auto"/>
        <w:jc w:val="both"/>
        <w:rPr>
          <w:rFonts w:ascii="Verdana" w:eastAsia="Century Gothic" w:hAnsi="Verdana" w:cs="Century Gothic"/>
        </w:rPr>
      </w:pPr>
      <w:r w:rsidRPr="00CF2301">
        <w:rPr>
          <w:rFonts w:ascii="Verdana" w:eastAsia="Century Gothic" w:hAnsi="Verdana" w:cs="Century Gothic"/>
        </w:rPr>
        <w:t xml:space="preserve">De acuerdo con el contenido de su solicitud, esta Agencia resolverá los siguientes problemas jurídicos: i) ¿cuál es el objeto de los contratos de Asociación Público Popular?, </w:t>
      </w:r>
      <w:proofErr w:type="spellStart"/>
      <w:r w:rsidRPr="00CF2301">
        <w:rPr>
          <w:rFonts w:ascii="Verdana" w:eastAsia="Century Gothic" w:hAnsi="Verdana" w:cs="Century Gothic"/>
        </w:rPr>
        <w:t>ii</w:t>
      </w:r>
      <w:proofErr w:type="spellEnd"/>
      <w:r w:rsidRPr="00CF2301">
        <w:rPr>
          <w:rFonts w:ascii="Verdana" w:eastAsia="Century Gothic" w:hAnsi="Verdana" w:cs="Century Gothic"/>
        </w:rPr>
        <w:t>) ¿qué personas naturales y ESAL pueden suscribirlos?</w:t>
      </w:r>
      <w:r w:rsidR="001A7114" w:rsidRPr="00CF2301">
        <w:rPr>
          <w:rFonts w:ascii="Verdana" w:eastAsia="Century Gothic" w:hAnsi="Verdana" w:cs="Century Gothic"/>
        </w:rPr>
        <w:t>;</w:t>
      </w:r>
      <w:r w:rsidRPr="00CF2301">
        <w:rPr>
          <w:rFonts w:ascii="Verdana" w:eastAsia="Century Gothic" w:hAnsi="Verdana" w:cs="Century Gothic"/>
        </w:rPr>
        <w:t xml:space="preserve"> </w:t>
      </w:r>
      <w:proofErr w:type="spellStart"/>
      <w:r w:rsidRPr="00CF2301">
        <w:rPr>
          <w:rFonts w:ascii="Verdana" w:eastAsia="Century Gothic" w:hAnsi="Verdana" w:cs="Century Gothic"/>
        </w:rPr>
        <w:t>iii</w:t>
      </w:r>
      <w:proofErr w:type="spellEnd"/>
      <w:r w:rsidRPr="00CF2301">
        <w:rPr>
          <w:rFonts w:ascii="Verdana" w:eastAsia="Century Gothic" w:hAnsi="Verdana" w:cs="Century Gothic"/>
        </w:rPr>
        <w:t xml:space="preserve">) ¿qué requisitos son necesarios para celebrarlos?       </w:t>
      </w:r>
      <w:r w:rsidRPr="00CF2301">
        <w:rPr>
          <w:rFonts w:ascii="Verdana" w:eastAsia="Century Gothic" w:hAnsi="Verdana" w:cs="Century Gothic"/>
          <w:color w:val="7030A0"/>
        </w:rPr>
        <w:t xml:space="preserve"> </w:t>
      </w:r>
    </w:p>
    <w:p w14:paraId="70CFA5EC" w14:textId="77777777" w:rsidR="006F2E51" w:rsidRPr="00CF2301" w:rsidRDefault="006F2E51" w:rsidP="006F2E51">
      <w:pPr>
        <w:spacing w:after="0" w:line="276" w:lineRule="auto"/>
        <w:jc w:val="both"/>
        <w:rPr>
          <w:rFonts w:ascii="Verdana" w:eastAsia="Calibri" w:hAnsi="Verdana" w:cs="Arial"/>
          <w:color w:val="7030A0"/>
        </w:rPr>
      </w:pPr>
    </w:p>
    <w:p w14:paraId="691D52AE" w14:textId="77777777" w:rsidR="006F2E51" w:rsidRPr="00CF2301" w:rsidRDefault="006F2E51" w:rsidP="006F2E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F2301">
        <w:rPr>
          <w:rFonts w:ascii="Verdana" w:eastAsia="Century Gothic" w:hAnsi="Verdana" w:cs="Century Gothic"/>
          <w:b/>
          <w:bCs/>
        </w:rPr>
        <w:t>Respuestas:</w:t>
      </w:r>
    </w:p>
    <w:p w14:paraId="24F9D878" w14:textId="77777777" w:rsidR="006F2E51" w:rsidRPr="00CF2301" w:rsidRDefault="006F2E51" w:rsidP="006F2E5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2E51" w:rsidRPr="00CF2301" w14:paraId="753031E1" w14:textId="77777777" w:rsidTr="00473D03">
        <w:trPr>
          <w:jc w:val="center"/>
        </w:trPr>
        <w:tc>
          <w:tcPr>
            <w:tcW w:w="8828" w:type="dxa"/>
            <w:shd w:val="clear" w:color="auto" w:fill="auto"/>
          </w:tcPr>
          <w:p w14:paraId="63405544" w14:textId="3DE747AE" w:rsidR="00F706EF" w:rsidRPr="00CF2301" w:rsidRDefault="00687B43" w:rsidP="00591A41">
            <w:pPr>
              <w:spacing w:after="120" w:line="276" w:lineRule="auto"/>
              <w:jc w:val="both"/>
              <w:rPr>
                <w:rFonts w:ascii="Verdana" w:eastAsia="Calibri" w:hAnsi="Verdana" w:cs="Arial"/>
                <w:bCs/>
                <w:color w:val="000000" w:themeColor="text1"/>
              </w:rPr>
            </w:pPr>
            <w:bookmarkStart w:id="0" w:name="_Hlk171694685"/>
            <w:r w:rsidRPr="00CF2301">
              <w:rPr>
                <w:rFonts w:ascii="Verdana" w:eastAsia="Calibri" w:hAnsi="Verdana" w:cs="Arial"/>
                <w:color w:val="000000" w:themeColor="text1"/>
                <w:lang w:val="es-ES_tradnl"/>
              </w:rPr>
              <w:t>L</w:t>
            </w:r>
            <w:r w:rsidR="006F2E51" w:rsidRPr="00CF2301">
              <w:rPr>
                <w:rFonts w:ascii="Verdana" w:eastAsia="Calibri" w:hAnsi="Verdana" w:cs="Arial"/>
                <w:color w:val="000000" w:themeColor="text1"/>
                <w:lang w:val="es-ES_tradnl"/>
              </w:rPr>
              <w:t xml:space="preserve">as </w:t>
            </w:r>
            <w:r w:rsidR="006F2E51" w:rsidRPr="00CF2301">
              <w:rPr>
                <w:rFonts w:ascii="Verdana" w:eastAsia="Calibri" w:hAnsi="Verdana" w:cs="Arial"/>
                <w:bCs/>
                <w:color w:val="000000" w:themeColor="text1"/>
              </w:rPr>
              <w:t xml:space="preserve">Asociaciones </w:t>
            </w:r>
            <w:r w:rsidR="00735F27" w:rsidRPr="00CF2301">
              <w:rPr>
                <w:rFonts w:ascii="Verdana" w:eastAsia="Calibri" w:hAnsi="Verdana" w:cs="Arial"/>
                <w:bCs/>
                <w:color w:val="000000" w:themeColor="text1"/>
              </w:rPr>
              <w:t>Público-Populares</w:t>
            </w:r>
            <w:r w:rsidR="006F2E51" w:rsidRPr="00CF2301">
              <w:rPr>
                <w:rFonts w:ascii="Verdana" w:eastAsia="Calibri" w:hAnsi="Verdana" w:cs="Arial"/>
                <w:bCs/>
                <w:color w:val="000000" w:themeColor="text1"/>
              </w:rPr>
              <w:t xml:space="preserve"> </w:t>
            </w:r>
            <w:r w:rsidR="003C2E68" w:rsidRPr="00CF2301">
              <w:rPr>
                <w:rFonts w:ascii="Verdana" w:eastAsia="Calibri" w:hAnsi="Verdana" w:cs="Arial"/>
                <w:bCs/>
                <w:color w:val="000000" w:themeColor="text1"/>
              </w:rPr>
              <w:t xml:space="preserve">son </w:t>
            </w:r>
            <w:r w:rsidR="00ED0E58" w:rsidRPr="00CF2301">
              <w:rPr>
                <w:rFonts w:ascii="Verdana" w:eastAsia="Calibri" w:hAnsi="Verdana" w:cs="Arial"/>
                <w:bCs/>
                <w:color w:val="000000" w:themeColor="text1"/>
              </w:rPr>
              <w:t>una tipología particular de contrato estatal</w:t>
            </w:r>
            <w:r w:rsidR="00F64E84" w:rsidRPr="00CF2301">
              <w:rPr>
                <w:rFonts w:ascii="Verdana" w:eastAsia="Calibri" w:hAnsi="Verdana" w:cs="Arial"/>
                <w:bCs/>
                <w:color w:val="000000" w:themeColor="text1"/>
              </w:rPr>
              <w:t>, consagrada en el Plan Nacional de Desarrollo 2022-2026,</w:t>
            </w:r>
            <w:r w:rsidR="00785086" w:rsidRPr="00CF2301">
              <w:rPr>
                <w:rFonts w:ascii="Verdana" w:eastAsia="Calibri" w:hAnsi="Verdana" w:cs="Arial"/>
                <w:bCs/>
                <w:color w:val="000000" w:themeColor="text1"/>
              </w:rPr>
              <w:t xml:space="preserve"> adoptado mediante la Ley 2294 de 2023,</w:t>
            </w:r>
            <w:r w:rsidR="00ED0E58" w:rsidRPr="00CF2301">
              <w:rPr>
                <w:rFonts w:ascii="Verdana" w:eastAsia="Calibri" w:hAnsi="Verdana" w:cs="Arial"/>
                <w:bCs/>
                <w:color w:val="000000" w:themeColor="text1"/>
              </w:rPr>
              <w:t xml:space="preserve"> que se caracteriza por </w:t>
            </w:r>
            <w:r w:rsidR="00891C51" w:rsidRPr="00CF2301">
              <w:rPr>
                <w:rFonts w:ascii="Verdana" w:eastAsia="Calibri" w:hAnsi="Verdana" w:cs="Arial"/>
                <w:bCs/>
                <w:color w:val="000000" w:themeColor="text1"/>
              </w:rPr>
              <w:t>la finalidad del objeto contractual</w:t>
            </w:r>
            <w:r w:rsidRPr="00CF2301">
              <w:rPr>
                <w:rFonts w:ascii="Verdana" w:eastAsia="Calibri" w:hAnsi="Verdana" w:cs="Arial"/>
                <w:bCs/>
                <w:color w:val="000000" w:themeColor="text1"/>
              </w:rPr>
              <w:t xml:space="preserve"> y los sujetos</w:t>
            </w:r>
            <w:r w:rsidR="00E15B0C" w:rsidRPr="00CF2301">
              <w:rPr>
                <w:rFonts w:ascii="Verdana" w:eastAsia="Calibri" w:hAnsi="Verdana" w:cs="Arial"/>
                <w:bCs/>
                <w:color w:val="000000" w:themeColor="text1"/>
              </w:rPr>
              <w:t xml:space="preserve"> habilitados para su su</w:t>
            </w:r>
            <w:r w:rsidR="00EA7C98" w:rsidRPr="00CF2301">
              <w:rPr>
                <w:rFonts w:ascii="Verdana" w:eastAsia="Calibri" w:hAnsi="Verdana" w:cs="Arial"/>
                <w:bCs/>
                <w:color w:val="000000" w:themeColor="text1"/>
              </w:rPr>
              <w:t>s</w:t>
            </w:r>
            <w:r w:rsidR="00E15B0C" w:rsidRPr="00CF2301">
              <w:rPr>
                <w:rFonts w:ascii="Verdana" w:eastAsia="Calibri" w:hAnsi="Verdana" w:cs="Arial"/>
                <w:bCs/>
                <w:color w:val="000000" w:themeColor="text1"/>
              </w:rPr>
              <w:t xml:space="preserve">cripción. </w:t>
            </w:r>
            <w:r w:rsidR="00EA7C98" w:rsidRPr="00CF2301">
              <w:rPr>
                <w:rFonts w:ascii="Verdana" w:eastAsia="Calibri" w:hAnsi="Verdana" w:cs="Arial"/>
                <w:bCs/>
                <w:color w:val="000000" w:themeColor="text1"/>
              </w:rPr>
              <w:t>De acuerdo con el artículo 100 de la Ley 2294 de 2023, el objeto de estos contratos</w:t>
            </w:r>
            <w:r w:rsidR="0083604B" w:rsidRPr="00CF2301">
              <w:rPr>
                <w:rFonts w:ascii="Verdana" w:eastAsia="Calibri" w:hAnsi="Verdana" w:cs="Arial"/>
                <w:bCs/>
                <w:color w:val="000000" w:themeColor="text1"/>
              </w:rPr>
              <w:t xml:space="preserve"> es</w:t>
            </w:r>
            <w:r w:rsidR="00251F5E" w:rsidRPr="00CF2301">
              <w:rPr>
                <w:rFonts w:ascii="Verdana" w:eastAsia="Calibri" w:hAnsi="Verdana" w:cs="Arial"/>
                <w:bCs/>
                <w:color w:val="000000" w:themeColor="text1"/>
              </w:rPr>
              <w:t xml:space="preserve"> la</w:t>
            </w:r>
            <w:r w:rsidR="0083604B" w:rsidRPr="00CF2301">
              <w:rPr>
                <w:rFonts w:ascii="Verdana" w:eastAsia="Calibri" w:hAnsi="Verdana" w:cs="Arial"/>
                <w:bCs/>
                <w:color w:val="000000" w:themeColor="text1"/>
              </w:rPr>
              <w:t xml:space="preserve"> </w:t>
            </w:r>
            <w:r w:rsidR="00EB1572" w:rsidRPr="00CF2301">
              <w:rPr>
                <w:rFonts w:ascii="Verdana" w:eastAsia="Calibri" w:hAnsi="Verdana" w:cs="Arial"/>
                <w:bCs/>
                <w:color w:val="000000" w:themeColor="text1"/>
              </w:rPr>
              <w:t>adquisición de obras, bienes o servicios</w:t>
            </w:r>
            <w:r w:rsidR="006F2E51" w:rsidRPr="00CF2301">
              <w:rPr>
                <w:rFonts w:ascii="Verdana" w:eastAsia="Calibri" w:hAnsi="Verdana" w:cs="Arial"/>
                <w:bCs/>
                <w:color w:val="000000" w:themeColor="text1"/>
              </w:rPr>
              <w:t xml:space="preserve"> relaciona</w:t>
            </w:r>
            <w:r w:rsidR="00EB1572" w:rsidRPr="00CF2301">
              <w:rPr>
                <w:rFonts w:ascii="Verdana" w:eastAsia="Calibri" w:hAnsi="Verdana" w:cs="Arial"/>
                <w:bCs/>
                <w:color w:val="000000" w:themeColor="text1"/>
              </w:rPr>
              <w:t>dos</w:t>
            </w:r>
            <w:r w:rsidR="006F2E51" w:rsidRPr="00CF2301">
              <w:rPr>
                <w:rFonts w:ascii="Verdana" w:eastAsia="Calibri" w:hAnsi="Verdana" w:cs="Arial"/>
                <w:bCs/>
                <w:color w:val="000000" w:themeColor="text1"/>
              </w:rPr>
              <w:t xml:space="preserve"> con algun</w:t>
            </w:r>
            <w:r w:rsidR="00EB1572" w:rsidRPr="00CF2301">
              <w:rPr>
                <w:rFonts w:ascii="Verdana" w:eastAsia="Calibri" w:hAnsi="Verdana" w:cs="Arial"/>
                <w:bCs/>
                <w:color w:val="000000" w:themeColor="text1"/>
              </w:rPr>
              <w:t>a</w:t>
            </w:r>
            <w:r w:rsidR="006F2E51" w:rsidRPr="00CF2301">
              <w:rPr>
                <w:rFonts w:ascii="Verdana" w:eastAsia="Calibri" w:hAnsi="Verdana" w:cs="Arial"/>
                <w:bCs/>
                <w:color w:val="000000" w:themeColor="text1"/>
              </w:rPr>
              <w:t xml:space="preserve"> de los siguientes aspectos: i) infraestructura social, vivienda rural, vías terciarias y </w:t>
            </w:r>
            <w:r w:rsidR="006F2E51" w:rsidRPr="00CF2301">
              <w:rPr>
                <w:rFonts w:ascii="Verdana" w:eastAsia="Calibri" w:hAnsi="Verdana" w:cs="Arial"/>
                <w:bCs/>
                <w:color w:val="000000" w:themeColor="text1"/>
              </w:rPr>
              <w:lastRenderedPageBreak/>
              <w:t xml:space="preserve">caminos vecinales; </w:t>
            </w:r>
            <w:proofErr w:type="spellStart"/>
            <w:r w:rsidR="006F2E51" w:rsidRPr="00CF2301">
              <w:rPr>
                <w:rFonts w:ascii="Verdana" w:eastAsia="Calibri" w:hAnsi="Verdana" w:cs="Arial"/>
                <w:bCs/>
                <w:color w:val="000000" w:themeColor="text1"/>
              </w:rPr>
              <w:t>ii</w:t>
            </w:r>
            <w:proofErr w:type="spellEnd"/>
            <w:r w:rsidR="006F2E51" w:rsidRPr="00CF2301">
              <w:rPr>
                <w:rFonts w:ascii="Verdana" w:eastAsia="Calibri" w:hAnsi="Verdana" w:cs="Arial"/>
                <w:bCs/>
                <w:color w:val="000000" w:themeColor="text1"/>
              </w:rPr>
              <w:t xml:space="preserve">) cultura; </w:t>
            </w:r>
            <w:proofErr w:type="spellStart"/>
            <w:r w:rsidR="006F2E51" w:rsidRPr="00CF2301">
              <w:rPr>
                <w:rFonts w:ascii="Verdana" w:eastAsia="Calibri" w:hAnsi="Verdana" w:cs="Arial"/>
                <w:bCs/>
                <w:color w:val="000000" w:themeColor="text1"/>
              </w:rPr>
              <w:t>iii</w:t>
            </w:r>
            <w:proofErr w:type="spellEnd"/>
            <w:r w:rsidR="006F2E51" w:rsidRPr="00CF2301">
              <w:rPr>
                <w:rFonts w:ascii="Verdana" w:eastAsia="Calibri" w:hAnsi="Verdana" w:cs="Arial"/>
                <w:bCs/>
                <w:color w:val="000000" w:themeColor="text1"/>
              </w:rPr>
              <w:t xml:space="preserve">) infraestructura productiva local; </w:t>
            </w:r>
            <w:proofErr w:type="spellStart"/>
            <w:r w:rsidR="006F2E51" w:rsidRPr="00CF2301">
              <w:rPr>
                <w:rFonts w:ascii="Verdana" w:eastAsia="Calibri" w:hAnsi="Verdana" w:cs="Arial"/>
                <w:bCs/>
                <w:color w:val="000000" w:themeColor="text1"/>
              </w:rPr>
              <w:t>iv</w:t>
            </w:r>
            <w:proofErr w:type="spellEnd"/>
            <w:r w:rsidR="006F2E51" w:rsidRPr="00CF2301">
              <w:rPr>
                <w:rFonts w:ascii="Verdana" w:eastAsia="Calibri" w:hAnsi="Verdana" w:cs="Arial"/>
                <w:bCs/>
                <w:color w:val="000000" w:themeColor="text1"/>
              </w:rPr>
              <w:t xml:space="preserve">) proyectos de eficiencia energética; v) producción de alimentos; vi) gestión comunitaria del agua; </w:t>
            </w:r>
            <w:proofErr w:type="spellStart"/>
            <w:r w:rsidR="006F2E51" w:rsidRPr="00CF2301">
              <w:rPr>
                <w:rFonts w:ascii="Verdana" w:eastAsia="Calibri" w:hAnsi="Verdana" w:cs="Arial"/>
                <w:bCs/>
                <w:color w:val="000000" w:themeColor="text1"/>
              </w:rPr>
              <w:t>vii</w:t>
            </w:r>
            <w:proofErr w:type="spellEnd"/>
            <w:r w:rsidR="006F2E51" w:rsidRPr="00CF2301">
              <w:rPr>
                <w:rFonts w:ascii="Verdana" w:eastAsia="Calibri" w:hAnsi="Verdana" w:cs="Arial"/>
                <w:bCs/>
                <w:color w:val="000000" w:themeColor="text1"/>
              </w:rPr>
              <w:t xml:space="preserve">) saneamiento básico; </w:t>
            </w:r>
            <w:proofErr w:type="spellStart"/>
            <w:r w:rsidR="006F2E51" w:rsidRPr="00CF2301">
              <w:rPr>
                <w:rFonts w:ascii="Verdana" w:eastAsia="Calibri" w:hAnsi="Verdana" w:cs="Arial"/>
                <w:bCs/>
                <w:color w:val="000000" w:themeColor="text1"/>
              </w:rPr>
              <w:t>viii</w:t>
            </w:r>
            <w:proofErr w:type="spellEnd"/>
            <w:r w:rsidR="006F2E51" w:rsidRPr="00CF2301">
              <w:rPr>
                <w:rFonts w:ascii="Verdana" w:eastAsia="Calibri" w:hAnsi="Verdana" w:cs="Arial"/>
                <w:bCs/>
                <w:color w:val="000000" w:themeColor="text1"/>
              </w:rPr>
              <w:t xml:space="preserve">) economía del cuidado; </w:t>
            </w:r>
            <w:proofErr w:type="spellStart"/>
            <w:r w:rsidR="006F2E51" w:rsidRPr="00CF2301">
              <w:rPr>
                <w:rFonts w:ascii="Verdana" w:eastAsia="Calibri" w:hAnsi="Verdana" w:cs="Arial"/>
                <w:bCs/>
                <w:color w:val="000000" w:themeColor="text1"/>
              </w:rPr>
              <w:t>ix</w:t>
            </w:r>
            <w:proofErr w:type="spellEnd"/>
            <w:r w:rsidR="006F2E51" w:rsidRPr="00CF2301">
              <w:rPr>
                <w:rFonts w:ascii="Verdana" w:eastAsia="Calibri" w:hAnsi="Verdana" w:cs="Arial"/>
                <w:bCs/>
                <w:color w:val="000000" w:themeColor="text1"/>
              </w:rPr>
              <w:t xml:space="preserve">) fortalecimiento ambiental y comunitario; y x) adquisición de productos de origen o destinación agropecuarios. </w:t>
            </w:r>
          </w:p>
          <w:p w14:paraId="1FF245B8" w14:textId="54E8006E" w:rsidR="006F2E51" w:rsidRPr="00CF2301" w:rsidRDefault="006F2E51" w:rsidP="00591A41">
            <w:pPr>
              <w:spacing w:after="120" w:line="276" w:lineRule="auto"/>
              <w:jc w:val="both"/>
              <w:rPr>
                <w:rFonts w:ascii="Verdana" w:eastAsia="Calibri" w:hAnsi="Verdana" w:cs="Arial"/>
                <w:bCs/>
                <w:color w:val="000000" w:themeColor="text1"/>
              </w:rPr>
            </w:pPr>
            <w:r w:rsidRPr="00CF2301">
              <w:rPr>
                <w:rFonts w:ascii="Verdana" w:eastAsia="Arial" w:hAnsi="Verdana" w:cs="Arial"/>
                <w:color w:val="000000"/>
              </w:rPr>
              <w:t>En las condiciones</w:t>
            </w:r>
            <w:r w:rsidRPr="00CF2301">
              <w:rPr>
                <w:rFonts w:ascii="Verdana" w:eastAsia="Calibri" w:hAnsi="Verdana" w:cs="Arial"/>
                <w:bCs/>
                <w:color w:val="000000" w:themeColor="text1"/>
              </w:rPr>
              <w:t xml:space="preserve"> del artículo 2.2.16.1.4 del Decreto 1082 de 2015, la ejecución de estos objetos puede contratarse con personas naturales o entidades sin ánimo de lucro que hagan parte de la </w:t>
            </w:r>
            <w:r w:rsidR="009A07C6" w:rsidRPr="00CF2301">
              <w:rPr>
                <w:rFonts w:ascii="Verdana" w:eastAsia="Calibri" w:hAnsi="Verdana" w:cs="Arial"/>
                <w:bCs/>
                <w:color w:val="000000" w:themeColor="text1"/>
              </w:rPr>
              <w:t>denom</w:t>
            </w:r>
            <w:r w:rsidR="00353FD6" w:rsidRPr="00CF2301">
              <w:rPr>
                <w:rFonts w:ascii="Verdana" w:eastAsia="Calibri" w:hAnsi="Verdana" w:cs="Arial"/>
                <w:bCs/>
                <w:color w:val="000000" w:themeColor="text1"/>
              </w:rPr>
              <w:t xml:space="preserve">inada </w:t>
            </w:r>
            <w:r w:rsidR="00353FD6" w:rsidRPr="00CF2301">
              <w:rPr>
                <w:rFonts w:ascii="Verdana" w:eastAsia="Calibri" w:hAnsi="Verdana" w:cs="Arial"/>
                <w:bCs/>
                <w:i/>
                <w:iCs/>
                <w:color w:val="000000" w:themeColor="text1"/>
              </w:rPr>
              <w:t>E</w:t>
            </w:r>
            <w:r w:rsidRPr="00CF2301">
              <w:rPr>
                <w:rFonts w:ascii="Verdana" w:eastAsia="Calibri" w:hAnsi="Verdana" w:cs="Arial"/>
                <w:bCs/>
                <w:i/>
                <w:iCs/>
                <w:color w:val="000000" w:themeColor="text1"/>
              </w:rPr>
              <w:t xml:space="preserve">conomía </w:t>
            </w:r>
            <w:r w:rsidR="00353FD6" w:rsidRPr="00CF2301">
              <w:rPr>
                <w:rFonts w:ascii="Verdana" w:eastAsia="Calibri" w:hAnsi="Verdana" w:cs="Arial"/>
                <w:bCs/>
                <w:i/>
                <w:iCs/>
                <w:color w:val="000000" w:themeColor="text1"/>
              </w:rPr>
              <w:t xml:space="preserve">Popular </w:t>
            </w:r>
            <w:r w:rsidRPr="00CF2301">
              <w:rPr>
                <w:rFonts w:ascii="Verdana" w:eastAsia="Calibri" w:hAnsi="Verdana" w:cs="Arial"/>
                <w:bCs/>
                <w:i/>
                <w:iCs/>
                <w:color w:val="000000" w:themeColor="text1"/>
              </w:rPr>
              <w:t xml:space="preserve">y </w:t>
            </w:r>
            <w:r w:rsidR="00353FD6" w:rsidRPr="00CF2301">
              <w:rPr>
                <w:rFonts w:ascii="Verdana" w:eastAsia="Calibri" w:hAnsi="Verdana" w:cs="Arial"/>
                <w:bCs/>
                <w:i/>
                <w:iCs/>
                <w:color w:val="000000" w:themeColor="text1"/>
              </w:rPr>
              <w:t>Comunitaria</w:t>
            </w:r>
            <w:r w:rsidRPr="00CF2301">
              <w:rPr>
                <w:rFonts w:ascii="Verdana" w:eastAsia="Calibri" w:hAnsi="Verdana" w:cs="Arial"/>
                <w:bCs/>
                <w:color w:val="000000" w:themeColor="text1"/>
              </w:rPr>
              <w:t xml:space="preserve">. Sin embargo, cualquier objeto que no pertenezca al listado anterior, aunque esté dentro de la mínima cuantía, no podrá contratarse directamente, por lo que deberán aplicarse los demás procesos de selección del artículo 2 de la Ley 1150 de 2007. </w:t>
            </w:r>
          </w:p>
          <w:p w14:paraId="2C695A51" w14:textId="2CB104B5" w:rsidR="006F2E51" w:rsidRPr="00CF2301" w:rsidRDefault="006F2E51" w:rsidP="00591A41">
            <w:pPr>
              <w:spacing w:after="120" w:line="276" w:lineRule="auto"/>
              <w:ind w:firstLine="731"/>
              <w:jc w:val="both"/>
              <w:rPr>
                <w:rFonts w:ascii="Verdana" w:eastAsia="Arial" w:hAnsi="Verdana" w:cs="Arial"/>
                <w:color w:val="000000"/>
              </w:rPr>
            </w:pPr>
            <w:r w:rsidRPr="00CF2301">
              <w:rPr>
                <w:rFonts w:ascii="Verdana" w:eastAsia="Calibri" w:hAnsi="Verdana" w:cs="Arial"/>
                <w:bCs/>
                <w:color w:val="000000" w:themeColor="text1"/>
              </w:rPr>
              <w:t xml:space="preserve">Para </w:t>
            </w:r>
            <w:r w:rsidR="00D53E7A" w:rsidRPr="00CF2301">
              <w:rPr>
                <w:rFonts w:ascii="Verdana" w:eastAsia="Calibri" w:hAnsi="Verdana" w:cs="Arial"/>
                <w:bCs/>
                <w:color w:val="000000" w:themeColor="text1"/>
              </w:rPr>
              <w:t>la</w:t>
            </w:r>
            <w:r w:rsidRPr="00CF2301">
              <w:rPr>
                <w:rFonts w:ascii="Verdana" w:eastAsia="Calibri" w:hAnsi="Verdana" w:cs="Arial"/>
                <w:bCs/>
                <w:color w:val="000000" w:themeColor="text1"/>
              </w:rPr>
              <w:t xml:space="preserve"> celebración</w:t>
            </w:r>
            <w:r w:rsidR="00D53E7A" w:rsidRPr="00CF2301">
              <w:rPr>
                <w:rFonts w:ascii="Verdana" w:eastAsia="Calibri" w:hAnsi="Verdana" w:cs="Arial"/>
                <w:bCs/>
                <w:color w:val="000000" w:themeColor="text1"/>
              </w:rPr>
              <w:t xml:space="preserve"> de este tipo de contratos</w:t>
            </w:r>
            <w:r w:rsidRPr="00CF2301">
              <w:rPr>
                <w:rFonts w:ascii="Verdana" w:eastAsia="Calibri" w:hAnsi="Verdana" w:cs="Arial"/>
                <w:bCs/>
                <w:color w:val="000000" w:themeColor="text1"/>
              </w:rPr>
              <w:t xml:space="preserve">, </w:t>
            </w:r>
            <w:r w:rsidRPr="00CF2301">
              <w:rPr>
                <w:rFonts w:ascii="Verdana" w:eastAsia="Arial" w:hAnsi="Verdana" w:cs="Arial"/>
                <w:color w:val="000000"/>
              </w:rPr>
              <w:t xml:space="preserve">el artículo 2.2.16.1.5 </w:t>
            </w:r>
            <w:r w:rsidRPr="00CF2301">
              <w:rPr>
                <w:rFonts w:ascii="Verdana" w:eastAsia="Arial" w:hAnsi="Verdana" w:cs="Arial"/>
                <w:i/>
                <w:iCs/>
                <w:color w:val="000000"/>
              </w:rPr>
              <w:t>ibidem</w:t>
            </w:r>
            <w:r w:rsidRPr="00CF2301">
              <w:rPr>
                <w:rFonts w:ascii="Verdana" w:eastAsia="Arial" w:hAnsi="Verdana" w:cs="Arial"/>
                <w:color w:val="000000"/>
              </w:rPr>
              <w:t xml:space="preserve"> impone una carga argumentativa que se desdobla en dos (2) frentes. Por un lado, es necesario justificar el uso de la</w:t>
            </w:r>
            <w:r w:rsidRPr="00CF2301">
              <w:rPr>
                <w:rFonts w:ascii="Verdana" w:eastAsia="Calibri" w:hAnsi="Verdana" w:cs="Arial"/>
                <w:color w:val="000000" w:themeColor="text1"/>
              </w:rPr>
              <w:t xml:space="preserve"> Asociación Público Popular</w:t>
            </w:r>
            <w:r w:rsidRPr="00CF2301">
              <w:rPr>
                <w:rFonts w:ascii="Verdana" w:eastAsia="Arial" w:hAnsi="Verdana" w:cs="Arial"/>
                <w:color w:val="000000"/>
              </w:rPr>
              <w:t xml:space="preserve"> y, por otro, es necesario identificar el perfil del contratista. Lo primero exige tener en cuenta el objeto y propósito de la tipología contractual prevista en la Ley</w:t>
            </w:r>
            <w:r w:rsidR="00FA3DAB" w:rsidRPr="00CF2301">
              <w:rPr>
                <w:rFonts w:ascii="Verdana" w:eastAsia="Arial" w:hAnsi="Verdana" w:cs="Arial"/>
                <w:color w:val="000000"/>
              </w:rPr>
              <w:t xml:space="preserve"> 2294 de 2023</w:t>
            </w:r>
            <w:r w:rsidRPr="00CF2301">
              <w:rPr>
                <w:rFonts w:ascii="Verdana" w:eastAsia="Arial" w:hAnsi="Verdana" w:cs="Arial"/>
                <w:color w:val="000000"/>
              </w:rPr>
              <w:t xml:space="preserve">, aspectos que sirven para determinar si es conveniente o no la contratación directa. Por su parte, lo segundo requiere identificar previamente la persona natural o a la entidad sin ánimo de lucro perteneciente a la </w:t>
            </w:r>
            <w:r w:rsidR="0044670A" w:rsidRPr="00CF2301">
              <w:rPr>
                <w:rFonts w:ascii="Verdana" w:eastAsia="Arial" w:hAnsi="Verdana" w:cs="Arial"/>
                <w:i/>
                <w:iCs/>
                <w:color w:val="000000"/>
              </w:rPr>
              <w:t>Economía Popular y Comunitaria</w:t>
            </w:r>
            <w:r w:rsidR="0044670A" w:rsidRPr="00CF2301">
              <w:rPr>
                <w:rFonts w:ascii="Verdana" w:eastAsia="Arial" w:hAnsi="Verdana" w:cs="Arial"/>
                <w:color w:val="000000"/>
              </w:rPr>
              <w:t xml:space="preserve"> </w:t>
            </w:r>
            <w:r w:rsidRPr="00CF2301">
              <w:rPr>
                <w:rFonts w:ascii="Verdana" w:eastAsia="Arial" w:hAnsi="Verdana" w:cs="Arial"/>
                <w:color w:val="000000"/>
              </w:rPr>
              <w:t xml:space="preserve">que </w:t>
            </w:r>
            <w:r w:rsidR="00F706EF" w:rsidRPr="00CF2301">
              <w:rPr>
                <w:rFonts w:ascii="Verdana" w:eastAsia="Arial" w:hAnsi="Verdana" w:cs="Arial"/>
                <w:color w:val="000000"/>
              </w:rPr>
              <w:t xml:space="preserve">tenga la capacidad para </w:t>
            </w:r>
            <w:r w:rsidRPr="00CF2301">
              <w:rPr>
                <w:rFonts w:ascii="Verdana" w:eastAsia="Arial" w:hAnsi="Verdana" w:cs="Arial"/>
                <w:color w:val="000000"/>
              </w:rPr>
              <w:t xml:space="preserve">ejecutar las obligaciones. </w:t>
            </w:r>
          </w:p>
          <w:p w14:paraId="26AB3D2F" w14:textId="77777777" w:rsidR="00591A41" w:rsidRPr="00CF2301" w:rsidRDefault="006F2E51" w:rsidP="00591A41">
            <w:pPr>
              <w:spacing w:after="120" w:line="276" w:lineRule="auto"/>
              <w:ind w:firstLine="708"/>
              <w:jc w:val="both"/>
              <w:rPr>
                <w:rFonts w:ascii="Verdana" w:eastAsia="Arial" w:hAnsi="Verdana" w:cs="Arial"/>
                <w:color w:val="000000"/>
              </w:rPr>
            </w:pPr>
            <w:r w:rsidRPr="00CF2301">
              <w:rPr>
                <w:rFonts w:ascii="Verdana" w:eastAsia="Arial" w:hAnsi="Verdana" w:cs="Arial"/>
                <w:color w:val="000000"/>
              </w:rPr>
              <w:t xml:space="preserve">Esto último se complementa con el artículo 2.2.16.1.6 del Decreto 1082 de 2015, adicionado por el Decreto 874 de 2023, el cual exige lo siguiente: i) la persona natural o la entidad sin ánimo de lucro debe hacer parte de la </w:t>
            </w:r>
            <w:r w:rsidR="00866D78" w:rsidRPr="00CF2301">
              <w:rPr>
                <w:rFonts w:ascii="Verdana" w:eastAsia="Arial" w:hAnsi="Verdana" w:cs="Arial"/>
                <w:color w:val="000000"/>
              </w:rPr>
              <w:t xml:space="preserve">Economía Popular </w:t>
            </w:r>
            <w:r w:rsidRPr="00CF2301">
              <w:rPr>
                <w:rFonts w:ascii="Verdana" w:eastAsia="Arial" w:hAnsi="Verdana" w:cs="Arial"/>
                <w:color w:val="000000"/>
              </w:rPr>
              <w:t xml:space="preserve">y </w:t>
            </w:r>
            <w:r w:rsidR="00866D78" w:rsidRPr="00CF2301">
              <w:rPr>
                <w:rFonts w:ascii="Verdana" w:eastAsia="Arial" w:hAnsi="Verdana" w:cs="Arial"/>
                <w:color w:val="000000"/>
              </w:rPr>
              <w:t>Comunitaria</w:t>
            </w:r>
            <w:r w:rsidRPr="00CF2301">
              <w:rPr>
                <w:rFonts w:ascii="Verdana" w:eastAsia="Arial" w:hAnsi="Verdana" w:cs="Arial"/>
                <w:color w:val="000000"/>
              </w:rPr>
              <w:t xml:space="preserve">, en el marco de lo establecido en el artículo 2.2.16.1.4 </w:t>
            </w:r>
            <w:r w:rsidRPr="00CF2301">
              <w:rPr>
                <w:rFonts w:ascii="Verdana" w:eastAsia="Arial" w:hAnsi="Verdana" w:cs="Arial"/>
                <w:i/>
                <w:iCs/>
                <w:color w:val="000000"/>
              </w:rPr>
              <w:t>ibidem</w:t>
            </w:r>
            <w:r w:rsidRPr="00CF2301">
              <w:rPr>
                <w:rFonts w:ascii="Verdana" w:eastAsia="Arial" w:hAnsi="Verdana" w:cs="Arial"/>
                <w:color w:val="000000"/>
              </w:rPr>
              <w:t xml:space="preserve">; </w:t>
            </w:r>
            <w:proofErr w:type="spellStart"/>
            <w:r w:rsidRPr="00CF2301">
              <w:rPr>
                <w:rFonts w:ascii="Verdana" w:eastAsia="Arial" w:hAnsi="Verdana" w:cs="Arial"/>
                <w:color w:val="000000"/>
              </w:rPr>
              <w:t>ii</w:t>
            </w:r>
            <w:proofErr w:type="spellEnd"/>
            <w:r w:rsidRPr="00CF2301">
              <w:rPr>
                <w:rFonts w:ascii="Verdana" w:eastAsia="Arial" w:hAnsi="Verdana" w:cs="Arial"/>
                <w:color w:val="00000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CF2301">
              <w:rPr>
                <w:rFonts w:ascii="Verdana" w:eastAsia="Arial" w:hAnsi="Verdana" w:cs="Arial"/>
                <w:color w:val="000000"/>
              </w:rPr>
              <w:t>iii</w:t>
            </w:r>
            <w:proofErr w:type="spellEnd"/>
            <w:r w:rsidRPr="00CF2301">
              <w:rPr>
                <w:rFonts w:ascii="Verdana" w:eastAsia="Arial" w:hAnsi="Verdana" w:cs="Arial"/>
                <w:color w:val="000000"/>
              </w:rPr>
              <w:t xml:space="preserve">) la persona natural o la entidad sin ánimo de lucro deberán cumplir con la normativa aplicable a los oficios, ocupaciones u objetos sociales que desempeñen, dependiendo de su sector económico y naturaleza. </w:t>
            </w:r>
          </w:p>
          <w:p w14:paraId="4ECC6CA9" w14:textId="77777777" w:rsidR="00BB1431" w:rsidRPr="00CF2301" w:rsidRDefault="00700BE4" w:rsidP="00BB1431">
            <w:pPr>
              <w:spacing w:after="120" w:line="276" w:lineRule="auto"/>
              <w:ind w:firstLine="708"/>
              <w:jc w:val="both"/>
              <w:rPr>
                <w:rFonts w:eastAsia="Calibri"/>
                <w:bCs/>
                <w:color w:val="000000" w:themeColor="text1"/>
              </w:rPr>
            </w:pPr>
            <w:r w:rsidRPr="00CF2301">
              <w:rPr>
                <w:rFonts w:ascii="Verdana" w:eastAsia="Calibri" w:hAnsi="Verdana" w:cs="Arial"/>
                <w:bCs/>
                <w:color w:val="000000" w:themeColor="text1"/>
              </w:rPr>
              <w:t>F</w:t>
            </w:r>
            <w:r w:rsidRPr="00CF2301">
              <w:rPr>
                <w:rFonts w:ascii="Verdana" w:eastAsia="Calibri" w:hAnsi="Verdana" w:cs="Arial"/>
                <w:bCs/>
                <w:lang w:val="es-ES_tradnl"/>
              </w:rPr>
              <w:t xml:space="preserve">rente al requisito del registro mercantil, </w:t>
            </w:r>
            <w:r w:rsidR="00BB1431" w:rsidRPr="00CF2301">
              <w:rPr>
                <w:rFonts w:ascii="Verdana" w:eastAsia="Arial" w:hAnsi="Verdana" w:cs="Arial"/>
                <w:color w:val="000000"/>
              </w:rPr>
              <w:t xml:space="preserve">no es un requisito de capacidad jurídica de las </w:t>
            </w:r>
            <w:r w:rsidR="00BB1431" w:rsidRPr="00CF2301">
              <w:rPr>
                <w:rFonts w:ascii="Verdana" w:eastAsia="Calibri" w:hAnsi="Verdana" w:cs="Arial"/>
                <w:bCs/>
                <w:color w:val="000000" w:themeColor="text1"/>
              </w:rPr>
              <w:t xml:space="preserve">personas naturales o entidades sin ánimo de lucro que pretendan celebrar contratos de Asociación Público Popular, ya que </w:t>
            </w:r>
            <w:r w:rsidR="00BB1431" w:rsidRPr="00CF2301">
              <w:rPr>
                <w:rFonts w:ascii="Verdana" w:eastAsia="Calibri" w:hAnsi="Verdana" w:cs="Arial"/>
                <w:bCs/>
                <w:color w:val="000000" w:themeColor="text1"/>
              </w:rPr>
              <w:lastRenderedPageBreak/>
              <w:t>solamente es un medio de publicidad y, por tanto, no tiene una función constitutiva, sino declarativa.</w:t>
            </w:r>
            <w:r w:rsidR="00BB1431" w:rsidRPr="00CF2301">
              <w:rPr>
                <w:rFonts w:eastAsia="Calibri"/>
                <w:bCs/>
                <w:color w:val="000000" w:themeColor="text1"/>
              </w:rPr>
              <w:t xml:space="preserve"> </w:t>
            </w:r>
          </w:p>
          <w:p w14:paraId="60BAB149" w14:textId="4A5F8DB6" w:rsidR="00700BE4" w:rsidRPr="00CF2301" w:rsidRDefault="00D61ED5" w:rsidP="00BB1431">
            <w:pPr>
              <w:spacing w:after="120" w:line="276" w:lineRule="auto"/>
              <w:ind w:firstLine="708"/>
              <w:jc w:val="both"/>
              <w:rPr>
                <w:rFonts w:ascii="Verdana" w:eastAsia="Arial" w:hAnsi="Verdana" w:cs="Arial"/>
                <w:color w:val="000000"/>
              </w:rPr>
            </w:pPr>
            <w:r w:rsidRPr="00CF2301">
              <w:rPr>
                <w:rFonts w:ascii="Verdana" w:hAnsi="Verdana" w:cs="Arial"/>
                <w:color w:val="000000" w:themeColor="text1"/>
              </w:rPr>
              <w:t xml:space="preserve">Finalmente, sobre el aspecto relacionado con la </w:t>
            </w:r>
            <w:r w:rsidRPr="00CF2301">
              <w:rPr>
                <w:rFonts w:ascii="Verdana" w:hAnsi="Verdana" w:cs="Arial"/>
                <w:i/>
                <w:iCs/>
                <w:color w:val="000000" w:themeColor="text1"/>
              </w:rPr>
              <w:t xml:space="preserve">territorialidad, </w:t>
            </w:r>
            <w:r w:rsidRPr="00CF2301">
              <w:rPr>
                <w:rFonts w:ascii="Verdana" w:hAnsi="Verdana" w:cs="Arial"/>
                <w:color w:val="000000" w:themeColor="text1"/>
              </w:rPr>
              <w:t>debe señalarse que, ni el artículo 100 de la Ley 2294 de 2023 ni el Decreto 874 del 2024 incorporan una norma que limite la escogencia de la persona natural o jurídica a la territorialidad de la cual la entidad contratante tiene jurisdicción para contratar, por lo cual la persona natural o juridica no debe estar ligada al ámbito territorial en el que se va a desarrollar el objeto contractual. </w:t>
            </w:r>
          </w:p>
        </w:tc>
      </w:tr>
    </w:tbl>
    <w:p w14:paraId="54F68850" w14:textId="77777777" w:rsidR="006F2E51" w:rsidRPr="00CF2301" w:rsidRDefault="006F2E51" w:rsidP="006F2E51">
      <w:pPr>
        <w:tabs>
          <w:tab w:val="left" w:pos="142"/>
          <w:tab w:val="left" w:pos="284"/>
        </w:tabs>
        <w:spacing w:after="0" w:line="276" w:lineRule="auto"/>
        <w:jc w:val="both"/>
        <w:rPr>
          <w:rFonts w:ascii="Verdana" w:eastAsia="Century Gothic" w:hAnsi="Verdana" w:cs="Century Gothic"/>
          <w:b/>
          <w:bCs/>
          <w:lang w:val="es-ES"/>
        </w:rPr>
      </w:pPr>
    </w:p>
    <w:bookmarkEnd w:id="0"/>
    <w:p w14:paraId="10D83D68" w14:textId="77777777" w:rsidR="006F2E51" w:rsidRPr="00CF2301" w:rsidRDefault="006F2E51" w:rsidP="006F2E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F2301">
        <w:rPr>
          <w:rFonts w:ascii="Verdana" w:eastAsia="Century Gothic" w:hAnsi="Verdana" w:cs="Century Gothic"/>
          <w:b/>
          <w:bCs/>
        </w:rPr>
        <w:t>Razones de las respuestas:</w:t>
      </w:r>
    </w:p>
    <w:p w14:paraId="52B8782D" w14:textId="77777777" w:rsidR="006F2E51" w:rsidRPr="00CF2301" w:rsidRDefault="006F2E51" w:rsidP="006F2E51">
      <w:pPr>
        <w:spacing w:after="0" w:line="276" w:lineRule="auto"/>
        <w:jc w:val="both"/>
        <w:rPr>
          <w:rFonts w:ascii="Verdana" w:eastAsia="Calibri" w:hAnsi="Verdana" w:cs="Arial"/>
          <w:lang w:val="es-ES"/>
        </w:rPr>
      </w:pPr>
    </w:p>
    <w:p w14:paraId="09E7356F" w14:textId="77777777" w:rsidR="006F2E51" w:rsidRPr="00CF2301" w:rsidRDefault="006F2E51" w:rsidP="006F2E51">
      <w:pPr>
        <w:spacing w:after="0" w:line="276" w:lineRule="auto"/>
        <w:jc w:val="both"/>
        <w:rPr>
          <w:rFonts w:ascii="Verdana" w:eastAsia="Calibri" w:hAnsi="Verdana" w:cs="Arial"/>
          <w:lang w:val="es-ES"/>
        </w:rPr>
      </w:pPr>
      <w:r w:rsidRPr="00CF2301">
        <w:rPr>
          <w:rFonts w:ascii="Verdana" w:eastAsia="Calibri" w:hAnsi="Verdana" w:cs="Arial"/>
          <w:lang w:val="es-ES"/>
        </w:rPr>
        <w:t>Lo anterior se sustenta en las siguientes consideraciones:</w:t>
      </w:r>
    </w:p>
    <w:p w14:paraId="2A17335F" w14:textId="77777777" w:rsidR="00591A41" w:rsidRPr="00CF2301" w:rsidRDefault="00591A41" w:rsidP="00591A41">
      <w:pPr>
        <w:spacing w:after="0" w:line="276" w:lineRule="auto"/>
        <w:jc w:val="both"/>
        <w:rPr>
          <w:rFonts w:ascii="Verdana" w:eastAsia="Calibri" w:hAnsi="Verdana" w:cs="Arial"/>
          <w:bCs/>
          <w:color w:val="000000" w:themeColor="text1"/>
          <w:lang w:val="es-ES_tradnl"/>
        </w:rPr>
      </w:pPr>
    </w:p>
    <w:p w14:paraId="5C68A59B" w14:textId="77777777" w:rsidR="00201A0B" w:rsidRPr="00CF2301" w:rsidRDefault="00AE691D" w:rsidP="00D6144C">
      <w:pPr>
        <w:spacing w:after="120" w:line="276" w:lineRule="auto"/>
        <w:jc w:val="both"/>
        <w:rPr>
          <w:rFonts w:ascii="Verdana" w:hAnsi="Verdana"/>
        </w:rPr>
      </w:pPr>
      <w:r w:rsidRPr="00CF2301">
        <w:rPr>
          <w:rFonts w:ascii="Verdana" w:eastAsia="Calibri" w:hAnsi="Verdana" w:cs="Arial"/>
          <w:bCs/>
          <w:color w:val="000000" w:themeColor="text1"/>
          <w:lang w:val="es-ES_tradnl"/>
        </w:rPr>
        <w:t>Uno de los ejes del Plan Nacional de Desarrollo 2022-2024, “Colombia Potencia Mundial de la Vida”,</w:t>
      </w:r>
      <w:r w:rsidR="00591A41" w:rsidRPr="00CF2301">
        <w:rPr>
          <w:rFonts w:ascii="Verdana" w:hAnsi="Verdana"/>
        </w:rPr>
        <w:t xml:space="preserve"> aprobado mediante la Ley 2294 de 2023,</w:t>
      </w:r>
      <w:r w:rsidRPr="00CF2301">
        <w:rPr>
          <w:rFonts w:ascii="Verdana" w:eastAsia="Calibri" w:hAnsi="Verdana" w:cs="Arial"/>
          <w:bCs/>
          <w:color w:val="000000" w:themeColor="text1"/>
          <w:lang w:val="es-ES_tradnl"/>
        </w:rPr>
        <w:t xml:space="preserve"> es el fortalecimiento de la </w:t>
      </w:r>
      <w:r w:rsidR="00D244D1" w:rsidRPr="00CF2301">
        <w:rPr>
          <w:rFonts w:ascii="Verdana" w:eastAsia="Calibri" w:hAnsi="Verdana" w:cs="Arial"/>
          <w:bCs/>
          <w:i/>
          <w:iCs/>
          <w:color w:val="000000" w:themeColor="text1"/>
          <w:lang w:val="es-ES_tradnl"/>
        </w:rPr>
        <w:t>Economía Popular y Comunitaria</w:t>
      </w:r>
      <w:r w:rsidRPr="00CF2301">
        <w:rPr>
          <w:rFonts w:ascii="Verdana" w:eastAsia="Calibri" w:hAnsi="Verdana" w:cs="Arial"/>
          <w:bCs/>
          <w:color w:val="000000" w:themeColor="text1"/>
          <w:lang w:val="es-ES_tradnl"/>
        </w:rPr>
        <w:t>.</w:t>
      </w:r>
      <w:r w:rsidR="00050EEE" w:rsidRPr="00CF2301">
        <w:rPr>
          <w:rFonts w:ascii="Verdana" w:eastAsia="Calibri" w:hAnsi="Verdana" w:cs="Arial"/>
          <w:bCs/>
          <w:color w:val="000000" w:themeColor="text1"/>
          <w:lang w:val="es-ES_tradnl"/>
        </w:rPr>
        <w:t xml:space="preserve"> Lo anterior, bajo los siguientes pilares: </w:t>
      </w:r>
      <w:r w:rsidR="00F55DE4" w:rsidRPr="00CF2301">
        <w:rPr>
          <w:rFonts w:ascii="Verdana" w:eastAsia="Times New Roman" w:hAnsi="Verdana" w:cs="Times New Roman"/>
          <w:lang w:val="es-ES"/>
        </w:rPr>
        <w:t>“</w:t>
      </w:r>
      <w:r w:rsidR="00F55DE4" w:rsidRPr="00CF2301">
        <w:rPr>
          <w:rFonts w:ascii="Verdana" w:hAnsi="Verdana"/>
        </w:rPr>
        <w:t>[…] (i) marco institucional para su inclusión socioeconómica y sociocultural que fortalezca su capacidad de generación de ingresos; (</w:t>
      </w:r>
      <w:proofErr w:type="spellStart"/>
      <w:r w:rsidR="00F55DE4" w:rsidRPr="00CF2301">
        <w:rPr>
          <w:rFonts w:ascii="Verdana" w:hAnsi="Verdana"/>
        </w:rPr>
        <w:t>ii</w:t>
      </w:r>
      <w:proofErr w:type="spellEnd"/>
      <w:r w:rsidR="00F55DE4" w:rsidRPr="00CF2301">
        <w:rPr>
          <w:rFonts w:ascii="Verdana" w:hAnsi="Verdana"/>
        </w:rPr>
        <w:t xml:space="preserve">) reconocimiento, caracterización y </w:t>
      </w:r>
      <w:proofErr w:type="spellStart"/>
      <w:r w:rsidR="00F55DE4" w:rsidRPr="00CF2301">
        <w:rPr>
          <w:rFonts w:ascii="Verdana" w:hAnsi="Verdana"/>
        </w:rPr>
        <w:t>visibilización</w:t>
      </w:r>
      <w:proofErr w:type="spellEnd"/>
      <w:r w:rsidR="00F55DE4" w:rsidRPr="00CF2301">
        <w:rPr>
          <w:rFonts w:ascii="Verdana" w:hAnsi="Verdana"/>
        </w:rPr>
        <w:t xml:space="preserve"> de su magnitud y aporte a la sociedad tanto en las actividades económicas de mercado como no mercantiles o comunitarias; </w:t>
      </w:r>
      <w:r w:rsidR="00F55DE4" w:rsidRPr="00CF2301">
        <w:rPr>
          <w:rFonts w:ascii="Verdana" w:hAnsi="Verdana"/>
          <w:i/>
          <w:iCs/>
        </w:rPr>
        <w:t>(</w:t>
      </w:r>
      <w:proofErr w:type="spellStart"/>
      <w:r w:rsidR="00F55DE4" w:rsidRPr="00CF2301">
        <w:rPr>
          <w:rFonts w:ascii="Verdana" w:hAnsi="Verdana"/>
          <w:i/>
          <w:iCs/>
        </w:rPr>
        <w:t>iii</w:t>
      </w:r>
      <w:proofErr w:type="spellEnd"/>
      <w:r w:rsidR="00F55DE4" w:rsidRPr="00CF2301">
        <w:rPr>
          <w:rFonts w:ascii="Verdana" w:hAnsi="Verdana"/>
          <w:i/>
          <w:iCs/>
        </w:rPr>
        <w:t>) diseño de alianzas público-populares con el fin de constituir instancias de representación colectiva para la interlocución con el Estado y otros actores</w:t>
      </w:r>
      <w:r w:rsidR="00F55DE4" w:rsidRPr="00CF2301">
        <w:rPr>
          <w:rFonts w:ascii="Verdana" w:hAnsi="Verdana"/>
        </w:rPr>
        <w:t>; y (</w:t>
      </w:r>
      <w:proofErr w:type="spellStart"/>
      <w:r w:rsidR="00F55DE4" w:rsidRPr="00CF2301">
        <w:rPr>
          <w:rFonts w:ascii="Verdana" w:hAnsi="Verdana"/>
        </w:rPr>
        <w:t>iv</w:t>
      </w:r>
      <w:proofErr w:type="spellEnd"/>
      <w:r w:rsidR="00F55DE4" w:rsidRPr="00CF2301">
        <w:rPr>
          <w:rFonts w:ascii="Verdana" w:hAnsi="Verdana"/>
        </w:rPr>
        <w:t>) procesos de participación vinculantes con actores de la EP, que reconozca sus realidades, y a partir de allí se formulen las políticas públicas que les beneficie” (Énfasis fuera del texto)</w:t>
      </w:r>
      <w:r w:rsidR="00F55DE4" w:rsidRPr="00CF2301">
        <w:rPr>
          <w:rStyle w:val="Refdenotaalpie"/>
          <w:rFonts w:ascii="Verdana" w:hAnsi="Verdana"/>
        </w:rPr>
        <w:footnoteReference w:id="2"/>
      </w:r>
      <w:r w:rsidR="00F55DE4" w:rsidRPr="00CF2301">
        <w:rPr>
          <w:rFonts w:ascii="Verdana" w:hAnsi="Verdana"/>
        </w:rPr>
        <w:t>.</w:t>
      </w:r>
    </w:p>
    <w:p w14:paraId="534E95C5" w14:textId="2D7F070C" w:rsidR="00630972" w:rsidRPr="00CF2301" w:rsidRDefault="00201A0B" w:rsidP="00D6144C">
      <w:pPr>
        <w:spacing w:after="120" w:line="276" w:lineRule="auto"/>
        <w:ind w:firstLine="708"/>
        <w:jc w:val="both"/>
        <w:rPr>
          <w:rFonts w:ascii="Verdana" w:hAnsi="Verdana"/>
        </w:rPr>
      </w:pPr>
      <w:r w:rsidRPr="00CF2301">
        <w:rPr>
          <w:rFonts w:ascii="Verdana" w:hAnsi="Verdana"/>
        </w:rPr>
        <w:t>En ese contexto, e</w:t>
      </w:r>
      <w:r w:rsidR="00630972" w:rsidRPr="00CF2301">
        <w:rPr>
          <w:rFonts w:ascii="Verdana" w:eastAsia="Calibri" w:hAnsi="Verdana" w:cs="Arial"/>
          <w:color w:val="000000" w:themeColor="text1"/>
          <w:lang w:val="es-ES_tradnl"/>
        </w:rPr>
        <w:t>l artículo 100 de la Ley del Plan Nacional de Desarrollo</w:t>
      </w:r>
      <w:r w:rsidR="00630972" w:rsidRPr="00CF2301">
        <w:rPr>
          <w:rFonts w:ascii="Verdana" w:eastAsia="Calibri" w:hAnsi="Verdana" w:cs="Arial"/>
          <w:bCs/>
          <w:color w:val="000000" w:themeColor="text1"/>
          <w:lang w:val="es-ES_tradnl"/>
        </w:rPr>
        <w:t xml:space="preserve"> dispone que –</w:t>
      </w:r>
      <w:r w:rsidR="00630972" w:rsidRPr="00CF2301">
        <w:rPr>
          <w:rFonts w:ascii="Verdana" w:eastAsia="Calibri" w:hAnsi="Verdana" w:cs="Arial"/>
          <w:bCs/>
          <w:color w:val="000000" w:themeColor="text1"/>
        </w:rPr>
        <w:t xml:space="preserve">previa reglamentación del Gobierno Nacional– “Las Entidades Estatales podrán celebrar directamente contratos hasta por la mínima cuantía con personas naturales o entidades sin ánimo de lucro que hagan parte de la Economía Popular y Comunitaria. Estos contratos se denominarán Asociaciones Público Populares y podrán celebrarse para la ejecución de obras, o la adquisición de bienes y servicios relacionados con infraestructura social, vivienda rural, vías terciarias y caminos vecinales, cultura, infraestructura productiva local, proyectos de eficiencia energética, producción de alimentos, suministro de </w:t>
      </w:r>
      <w:r w:rsidR="00630972" w:rsidRPr="00CF2301">
        <w:rPr>
          <w:rFonts w:ascii="Verdana" w:eastAsia="Calibri" w:hAnsi="Verdana" w:cs="Arial"/>
          <w:bCs/>
          <w:color w:val="000000" w:themeColor="text1"/>
        </w:rPr>
        <w:lastRenderedPageBreak/>
        <w:t>bienes y servicios, gestión comunitaria del agua, saneamiento básico, economía del cuidado, fortalecimiento ambiental y comunitario y adquisición de productos de origen o destinación agropecuarios”.</w:t>
      </w:r>
    </w:p>
    <w:p w14:paraId="6531041B" w14:textId="77777777" w:rsidR="005B77F2" w:rsidRPr="00CF2301" w:rsidRDefault="00AE691D" w:rsidP="00D6144C">
      <w:pP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A este andamiaje jurídico se suma el Decreto 874 de 2024,</w:t>
      </w:r>
      <w:r w:rsidR="000245F1" w:rsidRPr="00CF2301">
        <w:rPr>
          <w:rFonts w:ascii="Verdana" w:eastAsia="Calibri" w:hAnsi="Verdana" w:cs="Arial"/>
          <w:color w:val="000000" w:themeColor="text1"/>
          <w:lang w:val="es-ES_tradnl"/>
        </w:rPr>
        <w:t xml:space="preserve"> mediante el cual se </w:t>
      </w:r>
      <w:r w:rsidR="003043C4" w:rsidRPr="00CF2301">
        <w:rPr>
          <w:rFonts w:ascii="Verdana" w:eastAsia="Calibri" w:hAnsi="Verdana" w:cs="Arial"/>
          <w:color w:val="000000" w:themeColor="text1"/>
        </w:rPr>
        <w:t xml:space="preserve">adicionó el Título 16 de la Parte 2 del Libro 2 del Decreto </w:t>
      </w:r>
      <w:hyperlink r:id="rId12" w:anchor="1082" w:tooltip="vinculo" w:history="1">
        <w:r w:rsidR="003043C4" w:rsidRPr="00CF2301">
          <w:rPr>
            <w:rStyle w:val="Hipervnculo"/>
            <w:rFonts w:ascii="Verdana" w:eastAsia="Calibri" w:hAnsi="Verdana" w:cs="Arial"/>
            <w:color w:val="auto"/>
            <w:u w:val="none"/>
          </w:rPr>
          <w:t>1082</w:t>
        </w:r>
      </w:hyperlink>
      <w:r w:rsidR="003043C4" w:rsidRPr="00CF2301">
        <w:rPr>
          <w:rFonts w:ascii="Verdana" w:eastAsia="Calibri" w:hAnsi="Verdana" w:cs="Arial"/>
          <w:color w:val="000000" w:themeColor="text1"/>
        </w:rPr>
        <w:t xml:space="preserve"> de 2015, con el fin de reglamentar el artículo 100 de la Ley 2294 de 2023, sobre las Asociaciones Público-Populares</w:t>
      </w:r>
      <w:r w:rsidR="00EF6E64" w:rsidRPr="00CF2301">
        <w:rPr>
          <w:rFonts w:ascii="Verdana" w:eastAsia="Calibri" w:hAnsi="Verdana" w:cs="Arial"/>
          <w:color w:val="000000" w:themeColor="text1"/>
        </w:rPr>
        <w:t xml:space="preserve">. </w:t>
      </w:r>
    </w:p>
    <w:p w14:paraId="50761C28" w14:textId="77777777" w:rsidR="00F77648" w:rsidRPr="00CF2301" w:rsidRDefault="005B77F2" w:rsidP="00D6144C">
      <w:pPr>
        <w:spacing w:after="120" w:line="276" w:lineRule="auto"/>
        <w:ind w:firstLine="708"/>
        <w:jc w:val="both"/>
        <w:rPr>
          <w:rFonts w:ascii="Verdana" w:eastAsia="Calibri" w:hAnsi="Verdana" w:cs="Arial"/>
          <w:color w:val="000000" w:themeColor="text1"/>
        </w:rPr>
      </w:pPr>
      <w:r w:rsidRPr="00CF2301">
        <w:rPr>
          <w:rFonts w:ascii="Verdana" w:eastAsia="Calibri" w:hAnsi="Verdana" w:cs="Arial"/>
          <w:color w:val="000000" w:themeColor="text1"/>
          <w:lang w:val="es-ES_tradnl"/>
        </w:rPr>
        <w:t>Conforme al marco normativo consagrado en el artículo 100 de la Ley</w:t>
      </w:r>
      <w:r w:rsidR="00387F09" w:rsidRPr="00CF2301">
        <w:rPr>
          <w:rFonts w:ascii="Verdana" w:eastAsia="Calibri" w:hAnsi="Verdana" w:cs="Arial"/>
          <w:color w:val="000000" w:themeColor="text1"/>
          <w:lang w:val="es-ES_tradnl"/>
        </w:rPr>
        <w:t>2294 de 2023 y el Decreto 874 de 2024, a</w:t>
      </w:r>
      <w:r w:rsidR="00AE691D" w:rsidRPr="00CF2301">
        <w:rPr>
          <w:rFonts w:ascii="Verdana" w:eastAsia="Calibri" w:hAnsi="Verdana" w:cs="Arial"/>
          <w:color w:val="000000" w:themeColor="text1"/>
          <w:lang w:val="es-ES_tradnl"/>
        </w:rPr>
        <w:t xml:space="preserve"> través de este mecanismo, para las precisas actividades detalladas en las disposiciones correspondientes, las Entidades Estatales pueden c</w:t>
      </w:r>
      <w:proofErr w:type="spellStart"/>
      <w:r w:rsidR="00AE691D" w:rsidRPr="00CF2301">
        <w:rPr>
          <w:rFonts w:ascii="Verdana" w:eastAsia="Calibri" w:hAnsi="Verdana" w:cs="Arial"/>
          <w:color w:val="000000" w:themeColor="text1"/>
        </w:rPr>
        <w:t>elebrar</w:t>
      </w:r>
      <w:proofErr w:type="spellEnd"/>
      <w:r w:rsidR="00AE691D" w:rsidRPr="00CF2301">
        <w:rPr>
          <w:rFonts w:ascii="Verdana" w:eastAsia="Calibri" w:hAnsi="Verdana" w:cs="Arial"/>
          <w:color w:val="000000" w:themeColor="text1"/>
        </w:rPr>
        <w:t xml:space="preserve"> directamente contratos hasta por la mínima cuantía con personas</w:t>
      </w:r>
      <w:r w:rsidR="00387F09" w:rsidRPr="00CF2301">
        <w:rPr>
          <w:rFonts w:ascii="Verdana" w:eastAsia="Calibri" w:hAnsi="Verdana" w:cs="Arial"/>
          <w:color w:val="000000" w:themeColor="text1"/>
        </w:rPr>
        <w:t xml:space="preserve"> </w:t>
      </w:r>
      <w:r w:rsidR="00AE691D" w:rsidRPr="00CF2301">
        <w:rPr>
          <w:rFonts w:ascii="Verdana" w:eastAsia="Calibri" w:hAnsi="Verdana" w:cs="Arial"/>
          <w:color w:val="000000" w:themeColor="text1"/>
        </w:rPr>
        <w:t xml:space="preserve">naturales o entidades sin ánimo de lucro que hagan parte de la </w:t>
      </w:r>
      <w:r w:rsidR="00567774" w:rsidRPr="00CF2301">
        <w:rPr>
          <w:rFonts w:ascii="Verdana" w:eastAsia="Calibri" w:hAnsi="Verdana" w:cs="Arial"/>
          <w:color w:val="000000" w:themeColor="text1"/>
        </w:rPr>
        <w:t xml:space="preserve">Economía Popular </w:t>
      </w:r>
      <w:r w:rsidR="00AE691D" w:rsidRPr="00CF2301">
        <w:rPr>
          <w:rFonts w:ascii="Verdana" w:eastAsia="Calibri" w:hAnsi="Verdana" w:cs="Arial"/>
          <w:color w:val="000000" w:themeColor="text1"/>
        </w:rPr>
        <w:t xml:space="preserve">y </w:t>
      </w:r>
      <w:r w:rsidR="00567774" w:rsidRPr="00CF2301">
        <w:rPr>
          <w:rFonts w:ascii="Verdana" w:eastAsia="Calibri" w:hAnsi="Verdana" w:cs="Arial"/>
          <w:color w:val="000000" w:themeColor="text1"/>
        </w:rPr>
        <w:t>Comunitaria</w:t>
      </w:r>
      <w:r w:rsidR="00387F09" w:rsidRPr="00CF2301">
        <w:rPr>
          <w:rFonts w:ascii="Verdana" w:eastAsia="Calibri" w:hAnsi="Verdana" w:cs="Arial"/>
          <w:color w:val="000000" w:themeColor="text1"/>
        </w:rPr>
        <w:t xml:space="preserve">. </w:t>
      </w:r>
    </w:p>
    <w:p w14:paraId="03C49ABC" w14:textId="2F7FAF55" w:rsidR="006F2E51" w:rsidRPr="00CF2301" w:rsidRDefault="006F2E51" w:rsidP="00D6144C">
      <w:pPr>
        <w:spacing w:after="120" w:line="276" w:lineRule="auto"/>
        <w:ind w:firstLine="708"/>
        <w:jc w:val="both"/>
        <w:rPr>
          <w:rFonts w:ascii="Verdana" w:eastAsia="Calibri" w:hAnsi="Verdana" w:cs="Arial"/>
          <w:bCs/>
          <w:color w:val="000000" w:themeColor="text1"/>
        </w:rPr>
      </w:pPr>
      <w:r w:rsidRPr="00CF2301">
        <w:rPr>
          <w:rFonts w:ascii="Verdana" w:eastAsia="Calibri" w:hAnsi="Verdana" w:cs="Arial"/>
          <w:bCs/>
          <w:color w:val="000000" w:themeColor="text1"/>
        </w:rPr>
        <w:t>Como causal de contratación directa, no se incluyó a través de la modificación expresa del artículo 2</w:t>
      </w:r>
      <w:r w:rsidR="002100C4" w:rsidRPr="00CF2301">
        <w:rPr>
          <w:rFonts w:ascii="Verdana" w:eastAsia="Calibri" w:hAnsi="Verdana" w:cs="Arial"/>
          <w:bCs/>
          <w:color w:val="000000" w:themeColor="text1"/>
        </w:rPr>
        <w:t xml:space="preserve">, numeral </w:t>
      </w:r>
      <w:r w:rsidRPr="00CF2301">
        <w:rPr>
          <w:rFonts w:ascii="Verdana" w:eastAsia="Calibri" w:hAnsi="Verdana" w:cs="Arial"/>
          <w:bCs/>
          <w:color w:val="000000" w:themeColor="text1"/>
        </w:rPr>
        <w:t xml:space="preserve">4 de la Ley 1150 de 2007. Con esto el Congreso de la República dota a las Asociaciones </w:t>
      </w:r>
      <w:r w:rsidR="00AE6EE5" w:rsidRPr="00CF2301">
        <w:rPr>
          <w:rFonts w:ascii="Verdana" w:eastAsia="Calibri" w:hAnsi="Verdana" w:cs="Arial"/>
          <w:bCs/>
          <w:color w:val="000000" w:themeColor="text1"/>
        </w:rPr>
        <w:t>Público-Populares</w:t>
      </w:r>
      <w:r w:rsidRPr="00CF2301">
        <w:rPr>
          <w:rFonts w:ascii="Verdana" w:eastAsia="Calibri" w:hAnsi="Verdana" w:cs="Arial"/>
          <w:bCs/>
          <w:color w:val="000000" w:themeColor="text1"/>
        </w:rPr>
        <w:t xml:space="preserve"> de una sustantividad propia como tipología contractual, aspecto que es congruente con el fortalecimiento de la </w:t>
      </w:r>
      <w:r w:rsidR="00F706EF" w:rsidRPr="00CF2301">
        <w:rPr>
          <w:rFonts w:ascii="Verdana" w:eastAsia="Calibri" w:hAnsi="Verdana" w:cs="Arial"/>
          <w:bCs/>
          <w:i/>
          <w:iCs/>
          <w:color w:val="000000" w:themeColor="text1"/>
        </w:rPr>
        <w:t>Economía Popular</w:t>
      </w:r>
      <w:r w:rsidR="007D2118" w:rsidRPr="00CF2301">
        <w:rPr>
          <w:rFonts w:ascii="Verdana" w:eastAsia="Calibri" w:hAnsi="Verdana" w:cs="Arial"/>
          <w:bCs/>
          <w:i/>
          <w:iCs/>
          <w:color w:val="000000" w:themeColor="text1"/>
        </w:rPr>
        <w:t xml:space="preserve"> y Comunitaria</w:t>
      </w:r>
      <w:r w:rsidR="00F706EF" w:rsidRPr="00CF2301">
        <w:rPr>
          <w:rFonts w:ascii="Verdana" w:eastAsia="Calibri" w:hAnsi="Verdana" w:cs="Arial"/>
          <w:bCs/>
          <w:color w:val="000000" w:themeColor="text1"/>
        </w:rPr>
        <w:t xml:space="preserve"> </w:t>
      </w:r>
      <w:r w:rsidRPr="00CF2301">
        <w:rPr>
          <w:rFonts w:ascii="Verdana" w:eastAsia="Calibri" w:hAnsi="Verdana" w:cs="Arial"/>
          <w:bCs/>
          <w:color w:val="000000" w:themeColor="text1"/>
        </w:rPr>
        <w:t>como eje de las Bases del Plan Nacional de Desarrollo. Así, dichas asociaciones complementan el listado del artículo 32 de la Ley 80 de 1993.</w:t>
      </w:r>
    </w:p>
    <w:p w14:paraId="3C79DF7B" w14:textId="4B97679A" w:rsidR="00A87689" w:rsidRPr="00CF2301" w:rsidRDefault="00BF4AB6" w:rsidP="00D6144C">
      <w:pPr>
        <w:spacing w:after="120" w:line="276" w:lineRule="auto"/>
        <w:jc w:val="both"/>
        <w:rPr>
          <w:rFonts w:ascii="Verdana" w:eastAsia="Calibri" w:hAnsi="Verdana" w:cs="Arial"/>
          <w:bCs/>
          <w:color w:val="000000" w:themeColor="text1"/>
        </w:rPr>
      </w:pPr>
      <w:r w:rsidRPr="00CF2301">
        <w:rPr>
          <w:rFonts w:ascii="Verdana" w:eastAsia="Calibri" w:hAnsi="Verdana" w:cs="Arial"/>
          <w:bCs/>
          <w:color w:val="000000" w:themeColor="text1"/>
        </w:rPr>
        <w:tab/>
        <w:t xml:space="preserve">Teniendo en cuenta el contenido de los problemas jurídicos planteados, </w:t>
      </w:r>
      <w:r w:rsidR="008650A7" w:rsidRPr="00CF2301">
        <w:rPr>
          <w:rFonts w:ascii="Verdana" w:eastAsia="Calibri" w:hAnsi="Verdana" w:cs="Arial"/>
          <w:bCs/>
          <w:color w:val="000000" w:themeColor="text1"/>
        </w:rPr>
        <w:t xml:space="preserve">a </w:t>
      </w:r>
      <w:r w:rsidR="00241D02" w:rsidRPr="00CF2301">
        <w:rPr>
          <w:rFonts w:ascii="Verdana" w:eastAsia="Calibri" w:hAnsi="Verdana" w:cs="Arial"/>
          <w:bCs/>
          <w:color w:val="000000" w:themeColor="text1"/>
        </w:rPr>
        <w:t>continuación,</w:t>
      </w:r>
      <w:r w:rsidR="006A429D" w:rsidRPr="00CF2301">
        <w:rPr>
          <w:rFonts w:ascii="Verdana" w:eastAsia="Calibri" w:hAnsi="Verdana" w:cs="Arial"/>
          <w:bCs/>
          <w:color w:val="000000" w:themeColor="text1"/>
        </w:rPr>
        <w:t xml:space="preserve"> se hará un análisis sobre dos aspectos </w:t>
      </w:r>
      <w:r w:rsidR="00241D02" w:rsidRPr="00CF2301">
        <w:rPr>
          <w:rFonts w:ascii="Verdana" w:eastAsia="Calibri" w:hAnsi="Verdana" w:cs="Arial"/>
          <w:bCs/>
          <w:color w:val="000000" w:themeColor="text1"/>
        </w:rPr>
        <w:t xml:space="preserve">que caracterizan a las Asociaciones Público – Populares: i) el objeto; </w:t>
      </w:r>
      <w:proofErr w:type="spellStart"/>
      <w:r w:rsidR="00241D02" w:rsidRPr="00CF2301">
        <w:rPr>
          <w:rFonts w:ascii="Verdana" w:eastAsia="Calibri" w:hAnsi="Verdana" w:cs="Arial"/>
          <w:bCs/>
          <w:color w:val="000000" w:themeColor="text1"/>
        </w:rPr>
        <w:t>ii</w:t>
      </w:r>
      <w:proofErr w:type="spellEnd"/>
      <w:r w:rsidR="00241D02" w:rsidRPr="00CF2301">
        <w:rPr>
          <w:rFonts w:ascii="Verdana" w:eastAsia="Calibri" w:hAnsi="Verdana" w:cs="Arial"/>
          <w:bCs/>
          <w:color w:val="000000" w:themeColor="text1"/>
        </w:rPr>
        <w:t>) los sujeto</w:t>
      </w:r>
      <w:r w:rsidR="008F1CA5" w:rsidRPr="00CF2301">
        <w:rPr>
          <w:rFonts w:ascii="Verdana" w:eastAsia="Calibri" w:hAnsi="Verdana" w:cs="Arial"/>
          <w:bCs/>
          <w:color w:val="000000" w:themeColor="text1"/>
        </w:rPr>
        <w:t>s y; qué se entiende por Economía Popular y Comunitaria</w:t>
      </w:r>
      <w:r w:rsidR="00241D02" w:rsidRPr="00CF2301">
        <w:rPr>
          <w:rFonts w:ascii="Verdana" w:eastAsia="Calibri" w:hAnsi="Verdana" w:cs="Arial"/>
          <w:bCs/>
          <w:color w:val="000000" w:themeColor="text1"/>
        </w:rPr>
        <w:t xml:space="preserve">. </w:t>
      </w:r>
    </w:p>
    <w:p w14:paraId="2870D9B7" w14:textId="604E4D89" w:rsidR="006F2E51" w:rsidRPr="00CF2301" w:rsidRDefault="006F2E51" w:rsidP="00D6144C">
      <w:pPr>
        <w:spacing w:after="120" w:line="276" w:lineRule="auto"/>
        <w:jc w:val="both"/>
        <w:rPr>
          <w:rFonts w:ascii="Verdana" w:eastAsia="Calibri" w:hAnsi="Verdana" w:cs="Arial"/>
          <w:bCs/>
          <w:color w:val="000000" w:themeColor="text1"/>
        </w:rPr>
      </w:pPr>
      <w:r w:rsidRPr="00CF2301">
        <w:rPr>
          <w:rFonts w:ascii="Verdana" w:eastAsia="Calibri" w:hAnsi="Verdana" w:cs="Arial"/>
          <w:color w:val="000000" w:themeColor="text1"/>
        </w:rPr>
        <w:tab/>
      </w:r>
      <w:r w:rsidR="00241D02" w:rsidRPr="00CF2301">
        <w:rPr>
          <w:rFonts w:ascii="Verdana" w:eastAsia="Calibri" w:hAnsi="Verdana" w:cs="Arial"/>
          <w:color w:val="000000" w:themeColor="text1"/>
        </w:rPr>
        <w:t xml:space="preserve">i) </w:t>
      </w:r>
      <w:r w:rsidRPr="00CF2301">
        <w:rPr>
          <w:rFonts w:ascii="Verdana" w:eastAsia="Calibri" w:hAnsi="Verdana" w:cs="Arial"/>
          <w:i/>
          <w:iCs/>
          <w:color w:val="000000" w:themeColor="text1"/>
          <w:lang w:val="es-ES_tradnl"/>
        </w:rPr>
        <w:t>Respecto al objeto</w:t>
      </w:r>
      <w:r w:rsidRPr="00CF2301">
        <w:rPr>
          <w:rFonts w:ascii="Verdana" w:eastAsia="Calibri" w:hAnsi="Verdana" w:cs="Arial"/>
          <w:color w:val="000000" w:themeColor="text1"/>
          <w:lang w:val="es-ES_tradnl"/>
        </w:rPr>
        <w:t xml:space="preserve">, las </w:t>
      </w:r>
      <w:r w:rsidRPr="00CF2301">
        <w:rPr>
          <w:rFonts w:ascii="Verdana" w:eastAsia="Calibri" w:hAnsi="Verdana" w:cs="Arial"/>
          <w:bCs/>
          <w:color w:val="000000" w:themeColor="text1"/>
        </w:rPr>
        <w:t xml:space="preserve">Asociaciones Público Populares se caracterizan por su contenido, el cual </w:t>
      </w:r>
      <w:r w:rsidR="00F706EF" w:rsidRPr="00CF2301">
        <w:rPr>
          <w:rFonts w:ascii="Verdana" w:eastAsia="Calibri" w:hAnsi="Verdana" w:cs="Arial"/>
          <w:bCs/>
          <w:color w:val="000000" w:themeColor="text1"/>
        </w:rPr>
        <w:t xml:space="preserve">debe estar </w:t>
      </w:r>
      <w:r w:rsidRPr="00CF2301">
        <w:rPr>
          <w:rFonts w:ascii="Verdana" w:eastAsia="Calibri" w:hAnsi="Verdana" w:cs="Arial"/>
          <w:bCs/>
          <w:color w:val="000000" w:themeColor="text1"/>
        </w:rPr>
        <w:t>relaciona</w:t>
      </w:r>
      <w:r w:rsidR="00F706EF" w:rsidRPr="00CF2301">
        <w:rPr>
          <w:rFonts w:ascii="Verdana" w:eastAsia="Calibri" w:hAnsi="Verdana" w:cs="Arial"/>
          <w:bCs/>
          <w:color w:val="000000" w:themeColor="text1"/>
        </w:rPr>
        <w:t>do</w:t>
      </w:r>
      <w:r w:rsidRPr="00CF2301">
        <w:rPr>
          <w:rFonts w:ascii="Verdana" w:eastAsia="Calibri" w:hAnsi="Verdana" w:cs="Arial"/>
          <w:bCs/>
          <w:color w:val="000000" w:themeColor="text1"/>
        </w:rPr>
        <w:t xml:space="preserve"> con alguno de los siguientes aspectos: i) infraestructura social, vivienda rural, vías terciarias y caminos vecinales; </w:t>
      </w:r>
      <w:proofErr w:type="spellStart"/>
      <w:r w:rsidRPr="00CF2301">
        <w:rPr>
          <w:rFonts w:ascii="Verdana" w:eastAsia="Calibri" w:hAnsi="Verdana" w:cs="Arial"/>
          <w:bCs/>
          <w:color w:val="000000" w:themeColor="text1"/>
        </w:rPr>
        <w:t>ii</w:t>
      </w:r>
      <w:proofErr w:type="spellEnd"/>
      <w:r w:rsidRPr="00CF2301">
        <w:rPr>
          <w:rFonts w:ascii="Verdana" w:eastAsia="Calibri" w:hAnsi="Verdana" w:cs="Arial"/>
          <w:bCs/>
          <w:color w:val="000000" w:themeColor="text1"/>
        </w:rPr>
        <w:t xml:space="preserve">) cultura; </w:t>
      </w:r>
      <w:proofErr w:type="spellStart"/>
      <w:r w:rsidRPr="00CF2301">
        <w:rPr>
          <w:rFonts w:ascii="Verdana" w:eastAsia="Calibri" w:hAnsi="Verdana" w:cs="Arial"/>
          <w:bCs/>
          <w:color w:val="000000" w:themeColor="text1"/>
        </w:rPr>
        <w:t>iii</w:t>
      </w:r>
      <w:proofErr w:type="spellEnd"/>
      <w:r w:rsidRPr="00CF2301">
        <w:rPr>
          <w:rFonts w:ascii="Verdana" w:eastAsia="Calibri" w:hAnsi="Verdana" w:cs="Arial"/>
          <w:bCs/>
          <w:color w:val="000000" w:themeColor="text1"/>
        </w:rPr>
        <w:t xml:space="preserve">) infraestructura productiva local; </w:t>
      </w:r>
      <w:proofErr w:type="spellStart"/>
      <w:r w:rsidRPr="00CF2301">
        <w:rPr>
          <w:rFonts w:ascii="Verdana" w:eastAsia="Calibri" w:hAnsi="Verdana" w:cs="Arial"/>
          <w:bCs/>
          <w:color w:val="000000" w:themeColor="text1"/>
        </w:rPr>
        <w:t>iv</w:t>
      </w:r>
      <w:proofErr w:type="spellEnd"/>
      <w:r w:rsidRPr="00CF2301">
        <w:rPr>
          <w:rFonts w:ascii="Verdana" w:eastAsia="Calibri" w:hAnsi="Verdana" w:cs="Arial"/>
          <w:bCs/>
          <w:color w:val="000000" w:themeColor="text1"/>
        </w:rPr>
        <w:t xml:space="preserve">) proyectos de eficiencia energética; v) producción de alimentos; vi) gestión comunitaria del agua; </w:t>
      </w:r>
      <w:proofErr w:type="spellStart"/>
      <w:r w:rsidRPr="00CF2301">
        <w:rPr>
          <w:rFonts w:ascii="Verdana" w:eastAsia="Calibri" w:hAnsi="Verdana" w:cs="Arial"/>
          <w:bCs/>
          <w:color w:val="000000" w:themeColor="text1"/>
        </w:rPr>
        <w:t>vii</w:t>
      </w:r>
      <w:proofErr w:type="spellEnd"/>
      <w:r w:rsidRPr="00CF2301">
        <w:rPr>
          <w:rFonts w:ascii="Verdana" w:eastAsia="Calibri" w:hAnsi="Verdana" w:cs="Arial"/>
          <w:bCs/>
          <w:color w:val="000000" w:themeColor="text1"/>
        </w:rPr>
        <w:t xml:space="preserve">) saneamiento básico; </w:t>
      </w:r>
      <w:proofErr w:type="spellStart"/>
      <w:r w:rsidRPr="00CF2301">
        <w:rPr>
          <w:rFonts w:ascii="Verdana" w:eastAsia="Calibri" w:hAnsi="Verdana" w:cs="Arial"/>
          <w:bCs/>
          <w:color w:val="000000" w:themeColor="text1"/>
        </w:rPr>
        <w:t>viii</w:t>
      </w:r>
      <w:proofErr w:type="spellEnd"/>
      <w:r w:rsidRPr="00CF2301">
        <w:rPr>
          <w:rFonts w:ascii="Verdana" w:eastAsia="Calibri" w:hAnsi="Verdana" w:cs="Arial"/>
          <w:bCs/>
          <w:color w:val="000000" w:themeColor="text1"/>
        </w:rPr>
        <w:t xml:space="preserve">) economía del cuidado; </w:t>
      </w:r>
      <w:proofErr w:type="spellStart"/>
      <w:r w:rsidRPr="00CF2301">
        <w:rPr>
          <w:rFonts w:ascii="Verdana" w:eastAsia="Calibri" w:hAnsi="Verdana" w:cs="Arial"/>
          <w:bCs/>
          <w:color w:val="000000" w:themeColor="text1"/>
        </w:rPr>
        <w:t>ix</w:t>
      </w:r>
      <w:proofErr w:type="spellEnd"/>
      <w:r w:rsidRPr="00CF2301">
        <w:rPr>
          <w:rFonts w:ascii="Verdana" w:eastAsia="Calibri" w:hAnsi="Verdana" w:cs="Arial"/>
          <w:bCs/>
          <w:color w:val="000000" w:themeColor="text1"/>
        </w:rPr>
        <w:t>) fortalecimiento ambiental y comunitario; y x) adquisición de productos de origen o destinación agropecuarios</w:t>
      </w:r>
      <w:r w:rsidRPr="00CF2301">
        <w:rPr>
          <w:rStyle w:val="Refdenotaalpie"/>
          <w:rFonts w:ascii="Verdana" w:eastAsia="Calibri" w:hAnsi="Verdana" w:cs="Arial"/>
          <w:bCs/>
          <w:color w:val="000000" w:themeColor="text1"/>
        </w:rPr>
        <w:footnoteReference w:id="3"/>
      </w:r>
      <w:r w:rsidRPr="00CF2301">
        <w:rPr>
          <w:rFonts w:ascii="Verdana" w:eastAsia="Calibri" w:hAnsi="Verdana" w:cs="Arial"/>
          <w:bCs/>
          <w:color w:val="000000" w:themeColor="text1"/>
        </w:rPr>
        <w:t xml:space="preserve">. Cualquier objeto que no pertenezca al listado anterior, aunque </w:t>
      </w:r>
      <w:r w:rsidRPr="00CF2301">
        <w:rPr>
          <w:rFonts w:ascii="Verdana" w:eastAsia="Calibri" w:hAnsi="Verdana" w:cs="Arial"/>
          <w:bCs/>
          <w:color w:val="000000" w:themeColor="text1"/>
        </w:rPr>
        <w:lastRenderedPageBreak/>
        <w:t xml:space="preserve">esté dentro de la mínima cuantía, no podrá contratarse directamente, por lo que deberán aplicarse los demás procesos de selección </w:t>
      </w:r>
      <w:r w:rsidR="00F706EF" w:rsidRPr="00CF2301">
        <w:rPr>
          <w:rFonts w:ascii="Verdana" w:eastAsia="Calibri" w:hAnsi="Verdana" w:cs="Arial"/>
          <w:bCs/>
          <w:color w:val="000000" w:themeColor="text1"/>
        </w:rPr>
        <w:t xml:space="preserve">establecidos en </w:t>
      </w:r>
      <w:r w:rsidRPr="00CF2301">
        <w:rPr>
          <w:rFonts w:ascii="Verdana" w:eastAsia="Calibri" w:hAnsi="Verdana" w:cs="Arial"/>
          <w:bCs/>
          <w:color w:val="000000" w:themeColor="text1"/>
        </w:rPr>
        <w:t>el artículo 2 de la Ley 1150 de 2007.</w:t>
      </w:r>
    </w:p>
    <w:p w14:paraId="0C5D1CE5" w14:textId="262F40DE" w:rsidR="006F2E51" w:rsidRPr="00CF2301" w:rsidRDefault="006F2E51" w:rsidP="00D6144C">
      <w:pPr>
        <w:spacing w:after="120" w:line="276" w:lineRule="auto"/>
        <w:jc w:val="both"/>
        <w:rPr>
          <w:rFonts w:ascii="Verdana" w:eastAsia="Calibri" w:hAnsi="Verdana" w:cs="Arial"/>
          <w:bCs/>
          <w:color w:val="000000" w:themeColor="text1"/>
        </w:rPr>
      </w:pPr>
      <w:r w:rsidRPr="00CF2301">
        <w:rPr>
          <w:rFonts w:ascii="Verdana" w:eastAsia="Calibri" w:hAnsi="Verdana" w:cs="Arial"/>
          <w:bCs/>
          <w:color w:val="000000" w:themeColor="text1"/>
        </w:rPr>
        <w:tab/>
        <w:t>Como la Ley 2294 de 2023 y el Decreto 874 de 2024 no definen estos conceptos, es necesario aplicar las reglas generales sobre el alcance de los términos consagrados en el ordenamiento jurídico. Al respecto, el artículo 28 del Código Civil dispone que</w:t>
      </w:r>
      <w:r w:rsidR="00496524" w:rsidRPr="00CF2301">
        <w:rPr>
          <w:rFonts w:ascii="Verdana" w:eastAsia="Calibri" w:hAnsi="Verdana" w:cs="Arial"/>
          <w:bCs/>
          <w:color w:val="000000" w:themeColor="text1"/>
        </w:rPr>
        <w:t>:</w:t>
      </w:r>
      <w:r w:rsidRPr="00CF2301">
        <w:rPr>
          <w:rFonts w:ascii="Verdana" w:eastAsia="Calibri" w:hAnsi="Verdana" w:cs="Arial"/>
          <w:bCs/>
          <w:color w:val="000000" w:themeColor="text1"/>
        </w:rPr>
        <w:t xml:space="preserve"> “Las palabras de la ley se entenderán en su sentido natural y obvio, según el uso general de las mismas palabras; pero cuando el legislador las haya definido expresamente para ciertas materias, se les dará en éstas su significado legal”</w:t>
      </w:r>
      <w:r w:rsidR="00686001" w:rsidRPr="00CF2301">
        <w:rPr>
          <w:rFonts w:ascii="Verdana" w:eastAsia="Calibri" w:hAnsi="Verdana" w:cs="Arial"/>
          <w:bCs/>
          <w:color w:val="000000" w:themeColor="text1"/>
        </w:rPr>
        <w:t>. I</w:t>
      </w:r>
      <w:r w:rsidRPr="00CF2301">
        <w:rPr>
          <w:rFonts w:ascii="Verdana" w:eastAsia="Calibri" w:hAnsi="Verdana" w:cs="Arial"/>
          <w:bCs/>
          <w:color w:val="000000" w:themeColor="text1"/>
        </w:rPr>
        <w:t xml:space="preserve">gualmente, el artículo 29 </w:t>
      </w:r>
      <w:r w:rsidRPr="00CF2301">
        <w:rPr>
          <w:rFonts w:ascii="Verdana" w:eastAsia="Calibri" w:hAnsi="Verdana" w:cs="Arial"/>
          <w:bCs/>
          <w:i/>
          <w:iCs/>
          <w:color w:val="000000" w:themeColor="text1"/>
        </w:rPr>
        <w:t>ibidem</w:t>
      </w:r>
      <w:r w:rsidRPr="00CF2301">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CF2301">
        <w:rPr>
          <w:rStyle w:val="Refdenotaalpie"/>
          <w:rFonts w:ascii="Verdana" w:eastAsia="Calibri" w:hAnsi="Verdana" w:cs="Arial"/>
          <w:bCs/>
          <w:color w:val="000000" w:themeColor="text1"/>
        </w:rPr>
        <w:footnoteReference w:id="4"/>
      </w:r>
      <w:r w:rsidRPr="00CF2301">
        <w:rPr>
          <w:rFonts w:ascii="Verdana" w:eastAsia="Calibri" w:hAnsi="Verdana" w:cs="Arial"/>
          <w:bCs/>
          <w:color w:val="000000" w:themeColor="text1"/>
        </w:rPr>
        <w:t xml:space="preserve">. Dentro de este marco, cada </w:t>
      </w:r>
      <w:r w:rsidR="00F77648" w:rsidRPr="00CF2301">
        <w:rPr>
          <w:rFonts w:ascii="Verdana" w:eastAsia="Calibri" w:hAnsi="Verdana" w:cs="Arial"/>
          <w:bCs/>
          <w:color w:val="000000" w:themeColor="text1"/>
        </w:rPr>
        <w:t>E</w:t>
      </w:r>
      <w:r w:rsidRPr="00CF2301">
        <w:rPr>
          <w:rFonts w:ascii="Verdana" w:eastAsia="Calibri" w:hAnsi="Verdana" w:cs="Arial"/>
          <w:bCs/>
          <w:color w:val="000000" w:themeColor="text1"/>
        </w:rPr>
        <w:t>ntidad</w:t>
      </w:r>
      <w:r w:rsidR="00F77648" w:rsidRPr="00CF2301">
        <w:rPr>
          <w:rFonts w:ascii="Verdana" w:eastAsia="Calibri" w:hAnsi="Verdana" w:cs="Arial"/>
          <w:bCs/>
          <w:color w:val="000000" w:themeColor="text1"/>
        </w:rPr>
        <w:t xml:space="preserve"> Estatal</w:t>
      </w:r>
      <w:r w:rsidRPr="00CF2301">
        <w:rPr>
          <w:rFonts w:ascii="Verdana" w:eastAsia="Calibri" w:hAnsi="Verdana" w:cs="Arial"/>
          <w:bCs/>
          <w:color w:val="000000" w:themeColor="text1"/>
        </w:rPr>
        <w:t xml:space="preserve"> definirá si el objeto contractual </w:t>
      </w:r>
      <w:r w:rsidR="00F77648" w:rsidRPr="00CF2301">
        <w:rPr>
          <w:rFonts w:ascii="Verdana" w:eastAsia="Calibri" w:hAnsi="Verdana" w:cs="Arial"/>
          <w:bCs/>
          <w:color w:val="000000" w:themeColor="text1"/>
        </w:rPr>
        <w:t xml:space="preserve">se </w:t>
      </w:r>
      <w:r w:rsidR="004A5C4A" w:rsidRPr="00CF2301">
        <w:rPr>
          <w:rFonts w:ascii="Verdana" w:eastAsia="Calibri" w:hAnsi="Verdana" w:cs="Arial"/>
          <w:bCs/>
          <w:color w:val="000000" w:themeColor="text1"/>
        </w:rPr>
        <w:t>enmarca o</w:t>
      </w:r>
      <w:r w:rsidRPr="00CF2301">
        <w:rPr>
          <w:rFonts w:ascii="Verdana" w:eastAsia="Calibri" w:hAnsi="Verdana" w:cs="Arial"/>
          <w:bCs/>
          <w:color w:val="000000" w:themeColor="text1"/>
        </w:rPr>
        <w:t xml:space="preserve"> no dentro del listado </w:t>
      </w:r>
      <w:r w:rsidR="007D5FDC" w:rsidRPr="00CF2301">
        <w:rPr>
          <w:rFonts w:ascii="Verdana" w:eastAsia="Calibri" w:hAnsi="Verdana" w:cs="Arial"/>
          <w:bCs/>
          <w:color w:val="000000" w:themeColor="text1"/>
        </w:rPr>
        <w:t xml:space="preserve">que de forma taxativa incorpora </w:t>
      </w:r>
      <w:r w:rsidRPr="00CF2301">
        <w:rPr>
          <w:rFonts w:ascii="Verdana" w:eastAsia="Calibri" w:hAnsi="Verdana" w:cs="Arial"/>
          <w:bCs/>
          <w:color w:val="000000" w:themeColor="text1"/>
        </w:rPr>
        <w:t>el artículo 100 de la Ley 2294 de 2023</w:t>
      </w:r>
      <w:r w:rsidR="00F425E2" w:rsidRPr="00CF2301">
        <w:rPr>
          <w:rFonts w:ascii="Verdana" w:eastAsia="Calibri" w:hAnsi="Verdana" w:cs="Arial"/>
          <w:bCs/>
          <w:color w:val="000000" w:themeColor="text1"/>
        </w:rPr>
        <w:t>.</w:t>
      </w:r>
      <w:r w:rsidRPr="00CF2301">
        <w:rPr>
          <w:rFonts w:ascii="Verdana" w:eastAsia="Calibri" w:hAnsi="Verdana" w:cs="Arial"/>
          <w:bCs/>
          <w:color w:val="000000" w:themeColor="text1"/>
        </w:rPr>
        <w:t xml:space="preserve">  </w:t>
      </w:r>
    </w:p>
    <w:p w14:paraId="6B2A47BE" w14:textId="65C8B5DB" w:rsidR="006F2E51" w:rsidRPr="00CF2301" w:rsidRDefault="00F425E2" w:rsidP="00D6144C">
      <w:pPr>
        <w:spacing w:after="120" w:line="276" w:lineRule="auto"/>
        <w:ind w:firstLine="708"/>
        <w:jc w:val="both"/>
        <w:rPr>
          <w:rFonts w:ascii="Verdana" w:eastAsia="Calibri" w:hAnsi="Verdana" w:cs="Arial"/>
          <w:bCs/>
          <w:color w:val="000000" w:themeColor="text1"/>
        </w:rPr>
      </w:pPr>
      <w:proofErr w:type="spellStart"/>
      <w:r w:rsidRPr="00CF2301">
        <w:rPr>
          <w:rFonts w:ascii="Verdana" w:eastAsia="Calibri" w:hAnsi="Verdana" w:cs="Arial"/>
          <w:bCs/>
          <w:color w:val="000000" w:themeColor="text1"/>
        </w:rPr>
        <w:t>ii</w:t>
      </w:r>
      <w:proofErr w:type="spellEnd"/>
      <w:r w:rsidRPr="00CF2301">
        <w:rPr>
          <w:rFonts w:ascii="Verdana" w:eastAsia="Calibri" w:hAnsi="Verdana" w:cs="Arial"/>
          <w:bCs/>
          <w:color w:val="000000" w:themeColor="text1"/>
        </w:rPr>
        <w:t xml:space="preserve">) </w:t>
      </w:r>
      <w:r w:rsidR="006F2E51" w:rsidRPr="00CF2301">
        <w:rPr>
          <w:rFonts w:ascii="Verdana" w:eastAsia="Calibri" w:hAnsi="Verdana" w:cs="Arial"/>
          <w:bCs/>
          <w:i/>
          <w:iCs/>
          <w:color w:val="000000" w:themeColor="text1"/>
        </w:rPr>
        <w:t>Respecto a los sujetos</w:t>
      </w:r>
      <w:r w:rsidR="006F2E51" w:rsidRPr="00CF2301">
        <w:rPr>
          <w:rFonts w:ascii="Verdana" w:eastAsia="Calibri" w:hAnsi="Verdana" w:cs="Arial"/>
          <w:bCs/>
          <w:color w:val="000000" w:themeColor="text1"/>
        </w:rPr>
        <w:t xml:space="preserve">, la norma menciona a las “personas naturales o entidades sin ánimo de lucro que hagan parte de la economía popular y comunitaria”. Esto significa que las Asociaciones </w:t>
      </w:r>
      <w:r w:rsidR="007B1490" w:rsidRPr="00CF2301">
        <w:rPr>
          <w:rFonts w:ascii="Verdana" w:eastAsia="Calibri" w:hAnsi="Verdana" w:cs="Arial"/>
          <w:bCs/>
          <w:color w:val="000000" w:themeColor="text1"/>
        </w:rPr>
        <w:t>Público</w:t>
      </w:r>
      <w:r w:rsidR="009D033D" w:rsidRPr="00CF2301">
        <w:rPr>
          <w:rFonts w:ascii="Verdana" w:eastAsia="Calibri" w:hAnsi="Verdana" w:cs="Arial"/>
          <w:bCs/>
          <w:color w:val="000000" w:themeColor="text1"/>
        </w:rPr>
        <w:t xml:space="preserve"> </w:t>
      </w:r>
      <w:r w:rsidR="007B1490" w:rsidRPr="00CF2301">
        <w:rPr>
          <w:rFonts w:ascii="Verdana" w:eastAsia="Calibri" w:hAnsi="Verdana" w:cs="Arial"/>
          <w:bCs/>
          <w:color w:val="000000" w:themeColor="text1"/>
        </w:rPr>
        <w:t>-</w:t>
      </w:r>
      <w:r w:rsidR="009D033D" w:rsidRPr="00CF2301">
        <w:rPr>
          <w:rFonts w:ascii="Verdana" w:eastAsia="Calibri" w:hAnsi="Verdana" w:cs="Arial"/>
          <w:bCs/>
          <w:color w:val="000000" w:themeColor="text1"/>
        </w:rPr>
        <w:t xml:space="preserve"> </w:t>
      </w:r>
      <w:r w:rsidR="006F2E51" w:rsidRPr="00CF2301">
        <w:rPr>
          <w:rFonts w:ascii="Verdana" w:eastAsia="Calibri" w:hAnsi="Verdana" w:cs="Arial"/>
          <w:bCs/>
          <w:color w:val="000000" w:themeColor="text1"/>
        </w:rPr>
        <w:t xml:space="preserve">Populares no aplican a las personas jurídicas constituidas con sujeción al Código de Comercio, especialmente, cuando la causa del contrato de sociedad es el </w:t>
      </w:r>
      <w:r w:rsidR="006F2E51" w:rsidRPr="00CF2301">
        <w:rPr>
          <w:rFonts w:ascii="Verdana" w:eastAsia="Calibri" w:hAnsi="Verdana" w:cs="Arial"/>
          <w:bCs/>
          <w:i/>
          <w:iCs/>
          <w:color w:val="000000" w:themeColor="text1"/>
        </w:rPr>
        <w:t xml:space="preserve">animus </w:t>
      </w:r>
      <w:proofErr w:type="spellStart"/>
      <w:r w:rsidR="006F2E51" w:rsidRPr="00CF2301">
        <w:rPr>
          <w:rFonts w:ascii="Verdana" w:eastAsia="Calibri" w:hAnsi="Verdana" w:cs="Arial"/>
          <w:bCs/>
          <w:i/>
          <w:iCs/>
          <w:color w:val="000000" w:themeColor="text1"/>
        </w:rPr>
        <w:t>lucrandi</w:t>
      </w:r>
      <w:proofErr w:type="spellEnd"/>
      <w:r w:rsidR="006F2E51" w:rsidRPr="00CF2301">
        <w:rPr>
          <w:rStyle w:val="Refdenotaalpie"/>
          <w:rFonts w:ascii="Verdana" w:eastAsia="Calibri" w:hAnsi="Verdana" w:cs="Arial"/>
          <w:bCs/>
          <w:color w:val="000000" w:themeColor="text1"/>
        </w:rPr>
        <w:footnoteReference w:id="5"/>
      </w:r>
      <w:r w:rsidR="006F2E51" w:rsidRPr="00CF2301">
        <w:rPr>
          <w:rFonts w:ascii="Verdana" w:eastAsia="Calibri" w:hAnsi="Verdana" w:cs="Arial"/>
          <w:bCs/>
          <w:color w:val="000000" w:themeColor="text1"/>
        </w:rPr>
        <w:t xml:space="preserve">. </w:t>
      </w:r>
      <w:r w:rsidR="006F2E51" w:rsidRPr="00CF2301">
        <w:rPr>
          <w:rFonts w:ascii="Verdana" w:eastAsia="Calibri" w:hAnsi="Verdana" w:cs="Arial"/>
          <w:bCs/>
          <w:color w:val="000000" w:themeColor="text1"/>
        </w:rPr>
        <w:lastRenderedPageBreak/>
        <w:t xml:space="preserve">En contraste, </w:t>
      </w:r>
      <w:r w:rsidR="006F2E51" w:rsidRPr="00CF2301">
        <w:rPr>
          <w:rFonts w:ascii="Verdana" w:eastAsia="Calibri" w:hAnsi="Verdana" w:cs="Arial"/>
          <w:color w:val="000000" w:themeColor="text1"/>
          <w:lang w:val="es-ES_tradnl"/>
        </w:rPr>
        <w:t>las corporaciones y fundaciones de beneficencia pública previstas en los artículos 633 y siguientes del Código Civil carecen de este último elemento</w:t>
      </w:r>
      <w:r w:rsidR="006F2E51" w:rsidRPr="00CF2301">
        <w:rPr>
          <w:rStyle w:val="Refdenotaalpie"/>
          <w:rFonts w:ascii="Verdana" w:eastAsia="Calibri" w:hAnsi="Verdana" w:cs="Arial"/>
          <w:color w:val="000000" w:themeColor="text1"/>
          <w:lang w:val="es-ES_tradnl"/>
        </w:rPr>
        <w:footnoteReference w:id="6"/>
      </w:r>
      <w:r w:rsidR="006F2E51" w:rsidRPr="00CF2301">
        <w:rPr>
          <w:rFonts w:ascii="Verdana" w:eastAsia="Calibri" w:hAnsi="Verdana" w:cs="Arial"/>
          <w:color w:val="000000" w:themeColor="text1"/>
          <w:lang w:val="es-ES_tradnl"/>
        </w:rPr>
        <w:t xml:space="preserve">. Ello no significa que las sociedades comerciales estén excluidas del sistema de compras públicas, pues </w:t>
      </w:r>
      <w:r w:rsidR="004F2566" w:rsidRPr="00CF2301">
        <w:rPr>
          <w:rFonts w:ascii="Verdana" w:eastAsia="Calibri" w:hAnsi="Verdana" w:cs="Arial"/>
          <w:color w:val="000000" w:themeColor="text1"/>
          <w:lang w:val="es-ES_tradnl"/>
        </w:rPr>
        <w:t xml:space="preserve">podrán concurrir a los demás procesos de selección del artículo 2 de la Ley 1150 de 2007, no obstante, </w:t>
      </w:r>
      <w:r w:rsidR="007A5E19" w:rsidRPr="00CF2301">
        <w:rPr>
          <w:rFonts w:ascii="Verdana" w:eastAsia="Calibri" w:hAnsi="Verdana" w:cs="Arial"/>
          <w:color w:val="000000" w:themeColor="text1"/>
          <w:lang w:val="es-ES_tradnl"/>
        </w:rPr>
        <w:t xml:space="preserve">no podrán celebrar contratos de Asociación Público – Popular, por no ser </w:t>
      </w:r>
      <w:r w:rsidR="006F2E51" w:rsidRPr="00CF2301">
        <w:rPr>
          <w:rFonts w:ascii="Verdana" w:eastAsia="Calibri" w:hAnsi="Verdana" w:cs="Arial"/>
          <w:color w:val="000000" w:themeColor="text1"/>
          <w:lang w:val="es-ES_tradnl"/>
        </w:rPr>
        <w:t xml:space="preserve">destinatarias del artículo 100 de la Ley del Plan Nacional de Desarrollo. </w:t>
      </w:r>
    </w:p>
    <w:p w14:paraId="500F39F6" w14:textId="761BA446" w:rsidR="006F2E51" w:rsidRPr="00CF2301" w:rsidRDefault="006F2E51" w:rsidP="00CC04B5">
      <w:pPr>
        <w:spacing w:after="0" w:line="276" w:lineRule="auto"/>
        <w:ind w:firstLine="709"/>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 xml:space="preserve">Por lo demás, estos contratos no aplican a las personas naturales y </w:t>
      </w:r>
      <w:r w:rsidR="002E1351" w:rsidRPr="00CF2301">
        <w:rPr>
          <w:rFonts w:ascii="Verdana" w:eastAsia="Calibri" w:hAnsi="Verdana" w:cs="Arial"/>
          <w:color w:val="000000" w:themeColor="text1"/>
          <w:lang w:val="es-ES_tradnl"/>
        </w:rPr>
        <w:t>entidades sin ánimo de lucro</w:t>
      </w:r>
      <w:r w:rsidRPr="00CF2301">
        <w:rPr>
          <w:rFonts w:ascii="Verdana" w:eastAsia="Calibri" w:hAnsi="Verdana" w:cs="Arial"/>
          <w:color w:val="000000" w:themeColor="text1"/>
          <w:lang w:val="es-ES_tradnl"/>
        </w:rPr>
        <w:t xml:space="preserve"> en sí mismas consideradas, sino en tanto hagan parte de la “</w:t>
      </w:r>
      <w:r w:rsidR="00815408" w:rsidRPr="00CF2301">
        <w:rPr>
          <w:rFonts w:ascii="Verdana" w:eastAsia="Calibri" w:hAnsi="Verdana" w:cs="Arial"/>
          <w:color w:val="000000" w:themeColor="text1"/>
          <w:lang w:val="es-ES_tradnl"/>
        </w:rPr>
        <w:t xml:space="preserve">Economía Popular </w:t>
      </w:r>
      <w:r w:rsidRPr="00CF2301">
        <w:rPr>
          <w:rFonts w:ascii="Verdana" w:eastAsia="Calibri" w:hAnsi="Verdana" w:cs="Arial"/>
          <w:color w:val="000000" w:themeColor="text1"/>
          <w:lang w:val="es-ES_tradnl"/>
        </w:rPr>
        <w:t xml:space="preserve">y </w:t>
      </w:r>
      <w:r w:rsidR="00815408" w:rsidRPr="00CF2301">
        <w:rPr>
          <w:rFonts w:ascii="Verdana" w:eastAsia="Calibri" w:hAnsi="Verdana" w:cs="Arial"/>
          <w:color w:val="000000" w:themeColor="text1"/>
          <w:lang w:val="es-ES_tradnl"/>
        </w:rPr>
        <w:t>Comunitaria</w:t>
      </w:r>
      <w:r w:rsidRPr="00CF2301">
        <w:rPr>
          <w:rFonts w:ascii="Verdana" w:eastAsia="Calibri" w:hAnsi="Verdana" w:cs="Arial"/>
          <w:color w:val="000000" w:themeColor="text1"/>
          <w:lang w:val="es-ES_tradnl"/>
        </w:rPr>
        <w:t xml:space="preserve">”. </w:t>
      </w:r>
      <w:r w:rsidR="00815408" w:rsidRPr="00CF2301">
        <w:rPr>
          <w:rFonts w:ascii="Verdana" w:eastAsia="Calibri" w:hAnsi="Verdana" w:cs="Arial"/>
          <w:color w:val="000000" w:themeColor="text1"/>
          <w:lang w:val="es-ES_tradnl"/>
        </w:rPr>
        <w:t>Esto se ratifica con el contenido del</w:t>
      </w:r>
      <w:r w:rsidRPr="00CF2301">
        <w:rPr>
          <w:rFonts w:ascii="Verdana" w:eastAsia="Arial" w:hAnsi="Verdana" w:cs="Arial"/>
          <w:color w:val="000000"/>
        </w:rPr>
        <w:t xml:space="preserve"> artículo 2.2.16.1.5 del Decreto 1082 de 2015 –adicionado por el Decreto 874 de 2023–</w:t>
      </w:r>
      <w:r w:rsidR="00C81F21" w:rsidRPr="00CF2301">
        <w:rPr>
          <w:rFonts w:ascii="Verdana" w:eastAsia="Arial" w:hAnsi="Verdana" w:cs="Arial"/>
          <w:color w:val="000000"/>
        </w:rPr>
        <w:t>, el cual</w:t>
      </w:r>
      <w:r w:rsidRPr="00CF2301">
        <w:rPr>
          <w:rFonts w:ascii="Verdana" w:eastAsia="Arial" w:hAnsi="Verdana" w:cs="Arial"/>
          <w:color w:val="000000"/>
        </w:rPr>
        <w:t xml:space="preserve"> dispone lo siguiente: </w:t>
      </w:r>
    </w:p>
    <w:p w14:paraId="732F6875" w14:textId="77777777" w:rsidR="006F2E51" w:rsidRPr="00CF2301" w:rsidRDefault="006F2E51" w:rsidP="00CC04B5">
      <w:pPr>
        <w:spacing w:after="0" w:line="276" w:lineRule="auto"/>
        <w:ind w:firstLine="709"/>
        <w:jc w:val="both"/>
        <w:rPr>
          <w:rFonts w:ascii="Verdana" w:eastAsia="Arial" w:hAnsi="Verdana" w:cs="Arial"/>
          <w:color w:val="000000"/>
        </w:rPr>
      </w:pPr>
    </w:p>
    <w:p w14:paraId="7CC74563" w14:textId="77777777" w:rsidR="006F2E51" w:rsidRPr="00CF2301" w:rsidRDefault="006F2E51" w:rsidP="00CC04B5">
      <w:pP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 xml:space="preserve">“Para celebrar una </w:t>
      </w:r>
      <w:proofErr w:type="spellStart"/>
      <w:r w:rsidRPr="00CF2301">
        <w:rPr>
          <w:rFonts w:ascii="Verdana" w:eastAsia="Arial" w:hAnsi="Verdana" w:cs="Arial"/>
          <w:color w:val="000000"/>
          <w:sz w:val="20"/>
          <w:szCs w:val="20"/>
        </w:rPr>
        <w:t>APPo</w:t>
      </w:r>
      <w:proofErr w:type="spellEnd"/>
      <w:r w:rsidRPr="00CF2301">
        <w:rPr>
          <w:rFonts w:ascii="Verdana" w:eastAsia="Arial" w:hAnsi="Verdana" w:cs="Arial"/>
          <w:color w:val="000000"/>
          <w:sz w:val="20"/>
          <w:szCs w:val="20"/>
        </w:rPr>
        <w:t xml:space="preserve">, la Entidad Estatal debe establecer dentro de los Documentos del Proceso la conveniencia de uso de la </w:t>
      </w:r>
      <w:proofErr w:type="spellStart"/>
      <w:r w:rsidRPr="00CF2301">
        <w:rPr>
          <w:rFonts w:ascii="Verdana" w:eastAsia="Arial" w:hAnsi="Verdana" w:cs="Arial"/>
          <w:color w:val="000000"/>
          <w:sz w:val="20"/>
          <w:szCs w:val="20"/>
        </w:rPr>
        <w:t>APPo</w:t>
      </w:r>
      <w:proofErr w:type="spellEnd"/>
      <w:r w:rsidRPr="00CF2301">
        <w:rPr>
          <w:rFonts w:ascii="Verdana" w:eastAsia="Arial" w:hAnsi="Verdana" w:cs="Arial"/>
          <w:color w:val="000000"/>
          <w:sz w:val="20"/>
          <w:szCs w:val="20"/>
        </w:rPr>
        <w:t xml:space="preserve"> con base en las necesidades identificadas de la Entidad Estatal, indicando el impacto estimado en la economía popular con la suscripción del contrato, la utilización de la tipología y la consistencia entre el objeto del contrato y el alcance del presente título. </w:t>
      </w:r>
    </w:p>
    <w:p w14:paraId="434C7D05" w14:textId="77777777" w:rsidR="00C81F21" w:rsidRPr="00CF2301" w:rsidRDefault="00C81F21" w:rsidP="00CC04B5">
      <w:pPr>
        <w:spacing w:after="0" w:line="240" w:lineRule="auto"/>
        <w:ind w:left="709" w:right="709"/>
        <w:jc w:val="both"/>
        <w:rPr>
          <w:rFonts w:ascii="Verdana" w:eastAsia="Arial" w:hAnsi="Verdana" w:cs="Arial"/>
          <w:color w:val="000000"/>
          <w:sz w:val="20"/>
          <w:szCs w:val="20"/>
        </w:rPr>
      </w:pPr>
    </w:p>
    <w:p w14:paraId="03BDF4F5" w14:textId="77777777" w:rsidR="006F2E51" w:rsidRPr="00CF2301" w:rsidRDefault="006F2E51" w:rsidP="00CC04B5">
      <w:pP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i/>
          <w:color w:val="000000"/>
          <w:sz w:val="20"/>
          <w:szCs w:val="20"/>
        </w:rPr>
        <w:t>Adicionalmente, deben identificar las condiciones de idoneidad y los requisitos técnicos que llevan a elegir a la persona natural o a la entidad sin ánimo de lucro perteneciente a la economía popular y comunitaria para ejecutar y cumplir el objeto del contrato</w:t>
      </w:r>
      <w:r w:rsidRPr="00CF2301">
        <w:rPr>
          <w:rFonts w:ascii="Verdana" w:eastAsia="Arial" w:hAnsi="Verdana" w:cs="Arial"/>
          <w:color w:val="000000"/>
          <w:sz w:val="20"/>
          <w:szCs w:val="20"/>
        </w:rPr>
        <w:t>”</w:t>
      </w:r>
      <w:r w:rsidRPr="00CF2301">
        <w:rPr>
          <w:rStyle w:val="Refdenotaalpie"/>
          <w:rFonts w:ascii="Verdana" w:eastAsia="Arial" w:hAnsi="Verdana" w:cs="Arial"/>
          <w:color w:val="000000"/>
          <w:sz w:val="20"/>
          <w:szCs w:val="20"/>
        </w:rPr>
        <w:footnoteReference w:id="7"/>
      </w:r>
      <w:r w:rsidRPr="00CF2301">
        <w:rPr>
          <w:rFonts w:ascii="Verdana" w:eastAsia="Arial" w:hAnsi="Verdana" w:cs="Arial"/>
          <w:color w:val="000000"/>
          <w:sz w:val="20"/>
          <w:szCs w:val="20"/>
        </w:rPr>
        <w:t>. (Énfasis fuera de texto)</w:t>
      </w:r>
    </w:p>
    <w:p w14:paraId="296B1693" w14:textId="77777777" w:rsidR="006F2E51" w:rsidRPr="00CF2301" w:rsidRDefault="006F2E51" w:rsidP="00CC04B5">
      <w:pPr>
        <w:spacing w:after="0" w:line="276" w:lineRule="auto"/>
        <w:jc w:val="both"/>
        <w:rPr>
          <w:rFonts w:ascii="Verdana" w:eastAsia="Arial" w:hAnsi="Verdana" w:cs="Arial"/>
          <w:color w:val="000000"/>
        </w:rPr>
      </w:pPr>
    </w:p>
    <w:p w14:paraId="0C4DC864" w14:textId="6A22FCD3" w:rsidR="006F2E51" w:rsidRPr="00CF2301" w:rsidRDefault="006F2E51" w:rsidP="00CC04B5">
      <w:pPr>
        <w:spacing w:after="120" w:line="276" w:lineRule="auto"/>
        <w:jc w:val="both"/>
        <w:rPr>
          <w:rFonts w:ascii="Verdana" w:eastAsia="Arial" w:hAnsi="Verdana" w:cs="Arial"/>
          <w:color w:val="000000"/>
        </w:rPr>
      </w:pPr>
      <w:r w:rsidRPr="00CF2301">
        <w:rPr>
          <w:rFonts w:ascii="Verdana" w:eastAsia="Arial" w:hAnsi="Verdana" w:cs="Arial"/>
          <w:color w:val="000000"/>
        </w:rPr>
        <w:tab/>
        <w:t>De la norma se desprende una carga argumentativa que se desdobla en dos (2) frentes. Por un lado, es necesario justificar el uso de la</w:t>
      </w:r>
      <w:r w:rsidRPr="00CF2301">
        <w:rPr>
          <w:rFonts w:ascii="Verdana" w:eastAsia="Calibri" w:hAnsi="Verdana" w:cs="Arial"/>
          <w:color w:val="000000" w:themeColor="text1"/>
        </w:rPr>
        <w:t xml:space="preserve"> Asociación Público Popular</w:t>
      </w:r>
      <w:r w:rsidRPr="00CF2301">
        <w:rPr>
          <w:rFonts w:ascii="Verdana" w:eastAsia="Arial" w:hAnsi="Verdana" w:cs="Arial"/>
          <w:color w:val="000000"/>
        </w:rPr>
        <w:t xml:space="preserve"> y, por otro, es necesario identificar el perfil del contratista. Conforme a </w:t>
      </w:r>
      <w:r w:rsidRPr="00CF2301">
        <w:rPr>
          <w:rFonts w:ascii="Verdana" w:eastAsia="Arial" w:hAnsi="Verdana" w:cs="Arial"/>
          <w:color w:val="000000"/>
        </w:rPr>
        <w:lastRenderedPageBreak/>
        <w:t xml:space="preserve">los parámetros precitados, lo primero exige tener en cuenta el objeto y propósito de la tipología contractual prevista en la Ley de Plan Nacional de Desarrollo, aspectos que sirven para determinar si es conveniente o no la contratación directa. Por </w:t>
      </w:r>
      <w:r w:rsidR="00BF0869" w:rsidRPr="00CF2301">
        <w:rPr>
          <w:rFonts w:ascii="Verdana" w:eastAsia="Arial" w:hAnsi="Verdana" w:cs="Arial"/>
          <w:color w:val="000000"/>
        </w:rPr>
        <w:t>otro lado</w:t>
      </w:r>
      <w:r w:rsidRPr="00CF2301">
        <w:rPr>
          <w:rFonts w:ascii="Verdana" w:eastAsia="Arial" w:hAnsi="Verdana" w:cs="Arial"/>
          <w:color w:val="000000"/>
        </w:rPr>
        <w:t xml:space="preserve">, lo segundo requiere identificar previamente la persona natural o a la entidad sin ánimo de lucro perteneciente a la </w:t>
      </w:r>
      <w:r w:rsidR="006E1DEB" w:rsidRPr="00CF2301">
        <w:rPr>
          <w:rFonts w:ascii="Verdana" w:eastAsia="Arial" w:hAnsi="Verdana" w:cs="Arial"/>
          <w:color w:val="000000"/>
        </w:rPr>
        <w:t xml:space="preserve">Economía Popular </w:t>
      </w:r>
      <w:r w:rsidRPr="00CF2301">
        <w:rPr>
          <w:rFonts w:ascii="Verdana" w:eastAsia="Arial" w:hAnsi="Verdana" w:cs="Arial"/>
          <w:color w:val="000000"/>
        </w:rPr>
        <w:t xml:space="preserve">y </w:t>
      </w:r>
      <w:r w:rsidR="006E1DEB" w:rsidRPr="00CF2301">
        <w:rPr>
          <w:rFonts w:ascii="Verdana" w:eastAsia="Arial" w:hAnsi="Verdana" w:cs="Arial"/>
          <w:color w:val="000000"/>
        </w:rPr>
        <w:t xml:space="preserve">Comunitaria </w:t>
      </w:r>
      <w:r w:rsidRPr="00CF2301">
        <w:rPr>
          <w:rFonts w:ascii="Verdana" w:eastAsia="Arial" w:hAnsi="Verdana" w:cs="Arial"/>
          <w:color w:val="000000"/>
        </w:rPr>
        <w:t xml:space="preserve">que pueda ejecutar las obligaciones. </w:t>
      </w:r>
    </w:p>
    <w:p w14:paraId="65769311" w14:textId="77777777" w:rsidR="00C10751" w:rsidRPr="00CF2301" w:rsidRDefault="006F2E51" w:rsidP="00CC04B5">
      <w:pPr>
        <w:spacing w:after="120" w:line="276" w:lineRule="auto"/>
        <w:ind w:firstLine="708"/>
        <w:jc w:val="both"/>
        <w:rPr>
          <w:rFonts w:ascii="Verdana" w:eastAsia="Arial" w:hAnsi="Verdana" w:cs="Arial"/>
          <w:color w:val="000000"/>
        </w:rPr>
      </w:pPr>
      <w:r w:rsidRPr="00CF2301">
        <w:rPr>
          <w:rFonts w:ascii="Verdana" w:eastAsia="Arial" w:hAnsi="Verdana" w:cs="Arial"/>
          <w:color w:val="000000"/>
        </w:rPr>
        <w:t>Est</w:t>
      </w:r>
      <w:r w:rsidR="00EB0DF7" w:rsidRPr="00CF2301">
        <w:rPr>
          <w:rFonts w:ascii="Verdana" w:eastAsia="Arial" w:hAnsi="Verdana" w:cs="Arial"/>
          <w:color w:val="000000"/>
        </w:rPr>
        <w:t>e</w:t>
      </w:r>
      <w:r w:rsidRPr="00CF2301">
        <w:rPr>
          <w:rFonts w:ascii="Verdana" w:eastAsia="Arial" w:hAnsi="Verdana" w:cs="Arial"/>
          <w:color w:val="000000"/>
        </w:rPr>
        <w:t xml:space="preserve"> último</w:t>
      </w:r>
      <w:r w:rsidR="00EB0DF7" w:rsidRPr="00CF2301">
        <w:rPr>
          <w:rFonts w:ascii="Verdana" w:eastAsia="Arial" w:hAnsi="Verdana" w:cs="Arial"/>
          <w:color w:val="000000"/>
        </w:rPr>
        <w:t xml:space="preserve"> aspecto</w:t>
      </w:r>
      <w:r w:rsidRPr="00CF2301">
        <w:rPr>
          <w:rFonts w:ascii="Verdana" w:eastAsia="Arial" w:hAnsi="Verdana" w:cs="Arial"/>
          <w:color w:val="000000"/>
        </w:rPr>
        <w:t xml:space="preserve"> se complementa con el artículo 2.2.16.1.6 del Decreto 1082 de 2015, adicionado por el Decreto 874 de 2023, el cual exige lo siguiente: i) la persona natural o la entidad sin ánimo de lucro debe hacer parte de la </w:t>
      </w:r>
      <w:r w:rsidR="001102C0" w:rsidRPr="00CF2301">
        <w:rPr>
          <w:rFonts w:ascii="Verdana" w:eastAsia="Arial" w:hAnsi="Verdana" w:cs="Arial"/>
          <w:color w:val="000000"/>
        </w:rPr>
        <w:t xml:space="preserve">Economía Popular </w:t>
      </w:r>
      <w:r w:rsidRPr="00CF2301">
        <w:rPr>
          <w:rFonts w:ascii="Verdana" w:eastAsia="Arial" w:hAnsi="Verdana" w:cs="Arial"/>
          <w:color w:val="000000"/>
        </w:rPr>
        <w:t xml:space="preserve">y </w:t>
      </w:r>
      <w:r w:rsidR="001102C0" w:rsidRPr="00CF2301">
        <w:rPr>
          <w:rFonts w:ascii="Verdana" w:eastAsia="Arial" w:hAnsi="Verdana" w:cs="Arial"/>
          <w:color w:val="000000"/>
        </w:rPr>
        <w:t>Comunitaria</w:t>
      </w:r>
      <w:r w:rsidRPr="00CF2301">
        <w:rPr>
          <w:rFonts w:ascii="Verdana" w:eastAsia="Arial" w:hAnsi="Verdana" w:cs="Arial"/>
          <w:color w:val="000000"/>
        </w:rPr>
        <w:t xml:space="preserve">, en el marco de lo establecido en el artículo 2.2.16.1.4 </w:t>
      </w:r>
      <w:r w:rsidRPr="00CF2301">
        <w:rPr>
          <w:rFonts w:ascii="Verdana" w:eastAsia="Arial" w:hAnsi="Verdana" w:cs="Arial"/>
          <w:i/>
          <w:iCs/>
          <w:color w:val="000000"/>
        </w:rPr>
        <w:t>ibidem</w:t>
      </w:r>
      <w:r w:rsidRPr="00CF2301">
        <w:rPr>
          <w:rFonts w:ascii="Verdana" w:eastAsia="Arial" w:hAnsi="Verdana" w:cs="Arial"/>
          <w:color w:val="000000"/>
        </w:rPr>
        <w:t xml:space="preserve">; </w:t>
      </w:r>
      <w:proofErr w:type="spellStart"/>
      <w:r w:rsidRPr="00CF2301">
        <w:rPr>
          <w:rFonts w:ascii="Verdana" w:eastAsia="Arial" w:hAnsi="Verdana" w:cs="Arial"/>
          <w:color w:val="000000"/>
        </w:rPr>
        <w:t>ii</w:t>
      </w:r>
      <w:proofErr w:type="spellEnd"/>
      <w:r w:rsidRPr="00CF2301">
        <w:rPr>
          <w:rFonts w:ascii="Verdana" w:eastAsia="Arial" w:hAnsi="Verdana" w:cs="Arial"/>
          <w:color w:val="00000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CF2301">
        <w:rPr>
          <w:rFonts w:ascii="Verdana" w:eastAsia="Arial" w:hAnsi="Verdana" w:cs="Arial"/>
          <w:color w:val="000000"/>
        </w:rPr>
        <w:t>iii</w:t>
      </w:r>
      <w:proofErr w:type="spellEnd"/>
      <w:r w:rsidRPr="00CF2301">
        <w:rPr>
          <w:rFonts w:ascii="Verdana" w:eastAsia="Arial" w:hAnsi="Verdana" w:cs="Arial"/>
          <w:color w:val="000000"/>
        </w:rPr>
        <w:t xml:space="preserve">) la persona natural o la entidad sin ánimo de lucro deberán cumplir con la normativa aplicable a los oficios, ocupaciones u objetos sociales que desempeñen, dependiendo de su sector económico y naturaleza. </w:t>
      </w:r>
    </w:p>
    <w:p w14:paraId="3B69877A" w14:textId="77777777" w:rsidR="000C4871" w:rsidRPr="00CF2301" w:rsidRDefault="006F2E51" w:rsidP="00CC04B5">
      <w:pPr>
        <w:spacing w:after="120" w:line="276" w:lineRule="auto"/>
        <w:ind w:firstLine="709"/>
        <w:jc w:val="both"/>
        <w:rPr>
          <w:rFonts w:ascii="Verdana" w:eastAsia="Arial" w:hAnsi="Verdana" w:cs="Arial"/>
          <w:color w:val="000000"/>
        </w:rPr>
      </w:pPr>
      <w:r w:rsidRPr="00CF2301">
        <w:rPr>
          <w:rFonts w:ascii="Verdana" w:eastAsia="Arial" w:hAnsi="Verdana" w:cs="Arial"/>
          <w:color w:val="000000"/>
        </w:rPr>
        <w:t xml:space="preserve">Al entender que las Asociaciones </w:t>
      </w:r>
      <w:r w:rsidR="00154466" w:rsidRPr="00CF2301">
        <w:rPr>
          <w:rFonts w:ascii="Verdana" w:eastAsia="Arial" w:hAnsi="Verdana" w:cs="Arial"/>
          <w:color w:val="000000"/>
        </w:rPr>
        <w:t>Público-</w:t>
      </w:r>
      <w:r w:rsidRPr="00CF2301">
        <w:rPr>
          <w:rFonts w:ascii="Verdana" w:eastAsia="Arial" w:hAnsi="Verdana" w:cs="Arial"/>
          <w:color w:val="000000"/>
        </w:rPr>
        <w:t>Populares son una categoría contractual autónoma, los aspectos indicados</w:t>
      </w:r>
      <w:r w:rsidR="00C10751" w:rsidRPr="00CF2301">
        <w:rPr>
          <w:rFonts w:ascii="Verdana" w:eastAsia="Arial" w:hAnsi="Verdana" w:cs="Arial"/>
          <w:color w:val="000000"/>
        </w:rPr>
        <w:t xml:space="preserve"> en el párrafo anterior</w:t>
      </w:r>
      <w:r w:rsidRPr="00CF2301">
        <w:rPr>
          <w:rFonts w:ascii="Verdana" w:eastAsia="Arial" w:hAnsi="Verdana" w:cs="Arial"/>
          <w:color w:val="000000"/>
        </w:rPr>
        <w:t xml:space="preserve"> hacen parte de los estudios previos y del acto administrativo de justificación de la contratación directa –artículos 2.2.1.1.2.1.1 y 2.2.1.2.1.4.1 del Decreto 1082 de 2015–.</w:t>
      </w:r>
      <w:r w:rsidR="00C10751" w:rsidRPr="00CF2301">
        <w:rPr>
          <w:rFonts w:ascii="Verdana" w:eastAsia="Arial" w:hAnsi="Verdana" w:cs="Arial"/>
          <w:color w:val="000000"/>
        </w:rPr>
        <w:t xml:space="preserve"> </w:t>
      </w:r>
      <w:r w:rsidRPr="00CF2301">
        <w:rPr>
          <w:rFonts w:ascii="Verdana" w:eastAsia="Arial" w:hAnsi="Verdana" w:cs="Arial"/>
          <w:color w:val="000000"/>
        </w:rPr>
        <w:t>No obstante, el parágrafo</w:t>
      </w:r>
      <w:r w:rsidR="00DF3B2A" w:rsidRPr="00CF2301">
        <w:rPr>
          <w:rFonts w:ascii="Verdana" w:eastAsia="Arial" w:hAnsi="Verdana" w:cs="Arial"/>
          <w:color w:val="000000"/>
        </w:rPr>
        <w:t xml:space="preserve"> del artículo </w:t>
      </w:r>
      <w:r w:rsidR="006335E1" w:rsidRPr="00CF2301">
        <w:rPr>
          <w:rFonts w:ascii="Verdana" w:eastAsia="Arial" w:hAnsi="Verdana" w:cs="Arial"/>
          <w:color w:val="000000"/>
        </w:rPr>
        <w:t>2.2.16.1.6.</w:t>
      </w:r>
      <w:r w:rsidRPr="00CF2301">
        <w:rPr>
          <w:rFonts w:ascii="Verdana" w:eastAsia="Arial" w:hAnsi="Verdana" w:cs="Arial"/>
          <w:color w:val="000000"/>
        </w:rPr>
        <w:t xml:space="preserve"> dispone que “Sin perjuicio de lo anterior, cada Entidad Estatal debe determinar en los Documentos del Proceso los requisitos que debe acreditar la persona natural o la entidad sin ánimo de lucro beneficiaria de la </w:t>
      </w:r>
      <w:proofErr w:type="spellStart"/>
      <w:r w:rsidRPr="00CF2301">
        <w:rPr>
          <w:rFonts w:ascii="Verdana" w:eastAsia="Arial" w:hAnsi="Verdana" w:cs="Arial"/>
          <w:color w:val="000000"/>
        </w:rPr>
        <w:t>APPo</w:t>
      </w:r>
      <w:proofErr w:type="spellEnd"/>
      <w:r w:rsidRPr="00CF2301">
        <w:rPr>
          <w:rFonts w:ascii="Verdana" w:eastAsia="Arial" w:hAnsi="Verdana" w:cs="Arial"/>
          <w:color w:val="000000"/>
        </w:rPr>
        <w:t>, para lo cual podrán tener en cuenta los lineamientos que se expidan desde las instancias y/o entidades competentes</w:t>
      </w:r>
      <w:r w:rsidR="000C4871" w:rsidRPr="00CF2301">
        <w:rPr>
          <w:rFonts w:ascii="Verdana" w:eastAsia="Arial" w:hAnsi="Verdana" w:cs="Arial"/>
          <w:color w:val="000000"/>
        </w:rPr>
        <w:t>”</w:t>
      </w:r>
      <w:r w:rsidRPr="00CF2301">
        <w:rPr>
          <w:rFonts w:ascii="Verdana" w:eastAsia="Arial" w:hAnsi="Verdana" w:cs="Arial"/>
          <w:color w:val="000000"/>
        </w:rPr>
        <w:t>.</w:t>
      </w:r>
    </w:p>
    <w:p w14:paraId="006F8231" w14:textId="657E122C" w:rsidR="006335E1" w:rsidRPr="00CF2301" w:rsidRDefault="0069399C" w:rsidP="00CC04B5">
      <w:pPr>
        <w:spacing w:after="120" w:line="276" w:lineRule="auto"/>
        <w:ind w:firstLine="709"/>
        <w:jc w:val="both"/>
        <w:rPr>
          <w:rFonts w:ascii="Verdana" w:eastAsia="Arial" w:hAnsi="Verdana" w:cs="Arial"/>
          <w:color w:val="000000"/>
        </w:rPr>
      </w:pPr>
      <w:proofErr w:type="spellStart"/>
      <w:r w:rsidRPr="00CF2301">
        <w:rPr>
          <w:rFonts w:ascii="Verdana" w:eastAsia="Arial" w:hAnsi="Verdana" w:cs="Arial"/>
          <w:color w:val="000000"/>
        </w:rPr>
        <w:t>iii</w:t>
      </w:r>
      <w:proofErr w:type="spellEnd"/>
      <w:r w:rsidRPr="00CF2301">
        <w:rPr>
          <w:rFonts w:ascii="Verdana" w:eastAsia="Arial" w:hAnsi="Verdana" w:cs="Arial"/>
          <w:color w:val="000000"/>
        </w:rPr>
        <w:t xml:space="preserve">) </w:t>
      </w:r>
      <w:r w:rsidR="006F2E51" w:rsidRPr="00CF2301">
        <w:rPr>
          <w:rFonts w:ascii="Verdana" w:eastAsia="Arial" w:hAnsi="Verdana" w:cs="Arial"/>
          <w:color w:val="000000"/>
        </w:rPr>
        <w:t xml:space="preserve">Respecto a la caracterización, promoción y defensa de los intereses de los </w:t>
      </w:r>
      <w:r w:rsidR="006F2E51" w:rsidRPr="00CF2301">
        <w:rPr>
          <w:rFonts w:ascii="Verdana" w:eastAsia="Arial" w:hAnsi="Verdana" w:cs="Arial"/>
          <w:i/>
          <w:iCs/>
          <w:color w:val="000000"/>
        </w:rPr>
        <w:t>sujetos de la</w:t>
      </w:r>
      <w:r w:rsidR="006F2E51" w:rsidRPr="00CF2301">
        <w:rPr>
          <w:rFonts w:ascii="Verdana" w:eastAsia="Arial" w:hAnsi="Verdana" w:cs="Arial"/>
          <w:color w:val="000000"/>
        </w:rPr>
        <w:t xml:space="preserve"> </w:t>
      </w:r>
      <w:r w:rsidR="0008738E" w:rsidRPr="00CF2301">
        <w:rPr>
          <w:rFonts w:ascii="Verdana" w:eastAsia="Arial" w:hAnsi="Verdana" w:cs="Arial"/>
          <w:i/>
          <w:iCs/>
          <w:color w:val="000000"/>
        </w:rPr>
        <w:t>Economía Popular y Comunitaria</w:t>
      </w:r>
      <w:r w:rsidR="006F2E51" w:rsidRPr="00CF2301">
        <w:rPr>
          <w:rFonts w:ascii="Verdana" w:eastAsia="Arial" w:hAnsi="Verdana" w:cs="Arial"/>
          <w:color w:val="000000"/>
        </w:rPr>
        <w:t xml:space="preserve">, esta norma es congruente con las competencias asignadas a entidades como el Consejo de Economía Popular, el Ministerio de Comercio, Industria y Turismo, así como el Departamento Administrativo Nacional de Estadística. Por tanto, </w:t>
      </w:r>
      <w:r w:rsidR="002A1DE5" w:rsidRPr="00CF2301">
        <w:rPr>
          <w:rFonts w:ascii="Verdana" w:eastAsia="Arial" w:hAnsi="Verdana" w:cs="Arial"/>
          <w:color w:val="000000"/>
        </w:rPr>
        <w:t>de acuerdo con</w:t>
      </w:r>
      <w:r w:rsidR="006F2E51" w:rsidRPr="00CF2301">
        <w:rPr>
          <w:rFonts w:ascii="Verdana" w:eastAsia="Arial" w:hAnsi="Verdana" w:cs="Arial"/>
          <w:color w:val="000000"/>
        </w:rPr>
        <w:t xml:space="preserve"> las instrucciones adicionales que expidan estos órganos, podrán identificarse y perfilarse los requisitos de quienes aspiren a celebrar contratos con Estado por medio de Asociaciones </w:t>
      </w:r>
      <w:r w:rsidR="001D67D2" w:rsidRPr="00CF2301">
        <w:rPr>
          <w:rFonts w:ascii="Verdana" w:eastAsia="Arial" w:hAnsi="Verdana" w:cs="Arial"/>
          <w:color w:val="000000"/>
        </w:rPr>
        <w:t>Público-Populares</w:t>
      </w:r>
      <w:r w:rsidR="006F2E51" w:rsidRPr="00CF2301">
        <w:rPr>
          <w:rStyle w:val="Refdenotaalpie"/>
          <w:rFonts w:ascii="Verdana" w:eastAsia="Arial" w:hAnsi="Verdana" w:cs="Arial"/>
          <w:color w:val="000000"/>
        </w:rPr>
        <w:footnoteReference w:id="8"/>
      </w:r>
      <w:r w:rsidR="006F2E51" w:rsidRPr="00CF2301">
        <w:rPr>
          <w:rFonts w:ascii="Verdana" w:eastAsia="Arial" w:hAnsi="Verdana" w:cs="Arial"/>
          <w:color w:val="000000"/>
        </w:rPr>
        <w:t xml:space="preserve">. </w:t>
      </w:r>
    </w:p>
    <w:p w14:paraId="71D8EAC5" w14:textId="792C3363" w:rsidR="006F2E51" w:rsidRPr="00CF2301" w:rsidRDefault="006F2E51" w:rsidP="00D6144C">
      <w:pPr>
        <w:spacing w:after="0" w:line="276" w:lineRule="auto"/>
        <w:ind w:firstLine="709"/>
        <w:jc w:val="both"/>
        <w:rPr>
          <w:rFonts w:ascii="Verdana" w:eastAsia="Calibri" w:hAnsi="Verdana" w:cs="Arial"/>
          <w:color w:val="000000" w:themeColor="text1"/>
          <w:lang w:val="es-ES_tradnl"/>
        </w:rPr>
      </w:pPr>
      <w:r w:rsidRPr="00CF2301">
        <w:rPr>
          <w:rFonts w:ascii="Verdana" w:eastAsia="Arial" w:hAnsi="Verdana" w:cs="Arial"/>
          <w:color w:val="000000"/>
        </w:rPr>
        <w:lastRenderedPageBreak/>
        <w:t xml:space="preserve">Dado que no existe un registro para identificarlos, es preciso determinar qué personas naturales o entidades sin ánimo de lucro hacen parte de la </w:t>
      </w:r>
      <w:r w:rsidR="00C97D1B" w:rsidRPr="00CF2301">
        <w:rPr>
          <w:rFonts w:ascii="Verdana" w:eastAsia="Arial" w:hAnsi="Verdana" w:cs="Arial"/>
          <w:color w:val="000000"/>
        </w:rPr>
        <w:t xml:space="preserve">Economía Popular </w:t>
      </w:r>
      <w:r w:rsidRPr="00CF2301">
        <w:rPr>
          <w:rFonts w:ascii="Verdana" w:eastAsia="Arial" w:hAnsi="Verdana" w:cs="Arial"/>
          <w:color w:val="000000"/>
        </w:rPr>
        <w:t xml:space="preserve">y </w:t>
      </w:r>
      <w:r w:rsidR="00C97D1B" w:rsidRPr="00CF2301">
        <w:rPr>
          <w:rFonts w:ascii="Verdana" w:eastAsia="Arial" w:hAnsi="Verdana" w:cs="Arial"/>
          <w:color w:val="000000"/>
        </w:rPr>
        <w:t>Comunitaria</w:t>
      </w:r>
      <w:r w:rsidRPr="00CF2301">
        <w:rPr>
          <w:rFonts w:ascii="Verdana" w:eastAsia="Arial" w:hAnsi="Verdana" w:cs="Arial"/>
          <w:color w:val="000000"/>
        </w:rPr>
        <w:t xml:space="preserve">. </w:t>
      </w:r>
      <w:r w:rsidRPr="00CF2301">
        <w:rPr>
          <w:rFonts w:ascii="Verdana" w:eastAsia="Calibri" w:hAnsi="Verdana" w:cs="Arial"/>
          <w:color w:val="000000" w:themeColor="text1"/>
          <w:lang w:val="es-ES_tradnl"/>
        </w:rPr>
        <w:t>En este marco, el artículo 2.2.16.1.4 del Decreto 1082 de 2015 –adicionado por el Decreto 874 de 2024– señala lo siguiente:</w:t>
      </w:r>
    </w:p>
    <w:p w14:paraId="29B372F1" w14:textId="77777777" w:rsidR="006F2E51" w:rsidRPr="00CF2301" w:rsidRDefault="006F2E51" w:rsidP="00CA6D53">
      <w:pPr>
        <w:pBdr>
          <w:top w:val="nil"/>
          <w:left w:val="nil"/>
          <w:bottom w:val="nil"/>
          <w:right w:val="nil"/>
          <w:between w:val="nil"/>
        </w:pBdr>
        <w:spacing w:after="0" w:line="276" w:lineRule="auto"/>
        <w:ind w:firstLine="709"/>
        <w:jc w:val="both"/>
        <w:rPr>
          <w:rFonts w:ascii="Verdana" w:eastAsia="Calibri" w:hAnsi="Verdana" w:cs="Arial"/>
          <w:color w:val="000000" w:themeColor="text1"/>
          <w:lang w:val="es-ES_tradnl"/>
        </w:rPr>
      </w:pPr>
    </w:p>
    <w:p w14:paraId="644D4644" w14:textId="77777777" w:rsidR="006F2E51" w:rsidRPr="00CF2301" w:rsidRDefault="006F2E51" w:rsidP="00CA6D53">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lang w:val="es-ES"/>
        </w:rPr>
      </w:pPr>
      <w:r w:rsidRPr="00CF2301">
        <w:rPr>
          <w:rFonts w:ascii="Verdana" w:eastAsia="Calibri" w:hAnsi="Verdana" w:cs="Arial"/>
          <w:color w:val="000000" w:themeColor="text1"/>
          <w:sz w:val="20"/>
          <w:szCs w:val="20"/>
          <w:lang w:val="es-ES"/>
        </w:rPr>
        <w:t>“Para el efecto del presente Título, se entiende por economía popular a los oficios y ocupaciones mercantiles relacionados con la producción, distribución y comercialización de bienes y servicios, y no mercantiles, que hagan referencia a actividades domésticas o comunitarias, desarrolladas por unidades económicas de baja escala ya sea personales, familiares, micronegocios o microempresas, en cualquier sector económico. Los actores de la Economía Popular pueden realizar sus actividades de manera individual, en unidades económicas, u organizados de manera asociativa”.</w:t>
      </w:r>
    </w:p>
    <w:p w14:paraId="038D79D2" w14:textId="77777777" w:rsidR="006F2E51" w:rsidRPr="00CF2301" w:rsidRDefault="006F2E51" w:rsidP="00CA6D53">
      <w:pPr>
        <w:pBdr>
          <w:top w:val="nil"/>
          <w:left w:val="nil"/>
          <w:bottom w:val="nil"/>
          <w:right w:val="nil"/>
          <w:between w:val="nil"/>
        </w:pBdr>
        <w:spacing w:after="0" w:line="276" w:lineRule="auto"/>
        <w:jc w:val="both"/>
        <w:rPr>
          <w:rFonts w:ascii="Verdana" w:eastAsia="Calibri" w:hAnsi="Verdana" w:cs="Arial"/>
          <w:color w:val="000000" w:themeColor="text1"/>
          <w:lang w:val="es-ES_tradnl"/>
        </w:rPr>
      </w:pPr>
    </w:p>
    <w:p w14:paraId="65871BF8" w14:textId="77777777" w:rsidR="006F2E51" w:rsidRPr="00CF2301" w:rsidRDefault="006F2E51" w:rsidP="00CC04B5">
      <w:pPr>
        <w:pBdr>
          <w:top w:val="nil"/>
          <w:left w:val="nil"/>
          <w:bottom w:val="nil"/>
          <w:right w:val="nil"/>
          <w:between w:val="nil"/>
        </w:pBdr>
        <w:spacing w:after="120" w:line="276" w:lineRule="auto"/>
        <w:jc w:val="both"/>
        <w:rPr>
          <w:rFonts w:ascii="Verdana" w:eastAsia="Calibri" w:hAnsi="Verdana" w:cs="Arial"/>
          <w:color w:val="000000" w:themeColor="text1"/>
          <w:lang w:val="es-ES"/>
        </w:rPr>
      </w:pPr>
      <w:r w:rsidRPr="00CF2301">
        <w:rPr>
          <w:rFonts w:ascii="Verdana" w:eastAsia="Calibri" w:hAnsi="Verdana" w:cs="Arial"/>
          <w:color w:val="000000" w:themeColor="text1"/>
          <w:lang w:val="es-ES_tradnl"/>
        </w:rPr>
        <w:tab/>
      </w:r>
      <w:r w:rsidRPr="00CF2301">
        <w:rPr>
          <w:rFonts w:ascii="Verdana" w:eastAsia="Calibri" w:hAnsi="Verdana" w:cs="Arial"/>
          <w:color w:val="000000" w:themeColor="text1"/>
          <w:lang w:val="es-ES"/>
        </w:rPr>
        <w:t>La norma recoge la definición adoptada en las Bases del Plan Nacional de Desarrollo 2022-2026 para el componente “2. Seguridad humana y justicia social” – “C. Expansión de capacidades: más y mejores oportunidades de la población para lograr sus proyectos de vida” – “7. Reconocimiento e impulso a la economía popular y comunitaria (EP)”</w:t>
      </w:r>
      <w:r w:rsidRPr="00CF2301">
        <w:rPr>
          <w:rStyle w:val="Refdenotaalpie"/>
          <w:rFonts w:ascii="Verdana" w:eastAsia="Calibri" w:hAnsi="Verdana" w:cs="Arial"/>
          <w:color w:val="000000" w:themeColor="text1"/>
          <w:lang w:val="es-ES"/>
        </w:rPr>
        <w:footnoteReference w:id="9"/>
      </w:r>
      <w:r w:rsidRPr="00CF2301">
        <w:rPr>
          <w:rFonts w:ascii="Verdana" w:eastAsia="Calibri" w:hAnsi="Verdana" w:cs="Arial"/>
          <w:color w:val="000000" w:themeColor="text1"/>
          <w:lang w:val="es-ES"/>
        </w:rPr>
        <w:t xml:space="preserve">. Ésta menciona los siguientes elementos: i) las actividades que desarrollan, </w:t>
      </w:r>
      <w:proofErr w:type="spellStart"/>
      <w:r w:rsidRPr="00CF2301">
        <w:rPr>
          <w:rFonts w:ascii="Verdana" w:eastAsia="Calibri" w:hAnsi="Verdana" w:cs="Arial"/>
          <w:color w:val="000000" w:themeColor="text1"/>
          <w:lang w:val="es-ES"/>
        </w:rPr>
        <w:t>ii</w:t>
      </w:r>
      <w:proofErr w:type="spellEnd"/>
      <w:r w:rsidRPr="00CF2301">
        <w:rPr>
          <w:rFonts w:ascii="Verdana" w:eastAsia="Calibri" w:hAnsi="Verdana" w:cs="Arial"/>
          <w:color w:val="000000" w:themeColor="text1"/>
          <w:lang w:val="es-ES"/>
        </w:rPr>
        <w:t xml:space="preserve">) la forma en que lo hacen y </w:t>
      </w:r>
      <w:proofErr w:type="spellStart"/>
      <w:r w:rsidRPr="00CF2301">
        <w:rPr>
          <w:rFonts w:ascii="Verdana" w:eastAsia="Calibri" w:hAnsi="Verdana" w:cs="Arial"/>
          <w:color w:val="000000" w:themeColor="text1"/>
          <w:lang w:val="es-ES"/>
        </w:rPr>
        <w:t>iii</w:t>
      </w:r>
      <w:proofErr w:type="spellEnd"/>
      <w:r w:rsidRPr="00CF2301">
        <w:rPr>
          <w:rFonts w:ascii="Verdana" w:eastAsia="Calibri" w:hAnsi="Verdana" w:cs="Arial"/>
          <w:color w:val="000000" w:themeColor="text1"/>
          <w:lang w:val="es-ES"/>
        </w:rPr>
        <w:t>) cómo se organizan.</w:t>
      </w:r>
    </w:p>
    <w:p w14:paraId="0B48D928" w14:textId="6646B7DD" w:rsidR="006F2E51" w:rsidRPr="00CF2301" w:rsidRDefault="006F2E51" w:rsidP="00CC04B5">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 xml:space="preserve">– </w:t>
      </w:r>
      <w:r w:rsidRPr="00CF2301">
        <w:rPr>
          <w:rFonts w:ascii="Verdana" w:eastAsia="Calibri" w:hAnsi="Verdana" w:cs="Arial"/>
          <w:i/>
          <w:iCs/>
          <w:color w:val="000000" w:themeColor="text1"/>
          <w:lang w:val="es-ES_tradnl"/>
        </w:rPr>
        <w:t>En primer lugar</w:t>
      </w:r>
      <w:r w:rsidRPr="00CF2301">
        <w:rPr>
          <w:rFonts w:ascii="Verdana" w:eastAsia="Calibri" w:hAnsi="Verdana" w:cs="Arial"/>
          <w:color w:val="000000" w:themeColor="text1"/>
          <w:lang w:val="es-ES_tradnl"/>
        </w:rPr>
        <w:t xml:space="preserve">, el artículo 2.2.16.1.4 del Decreto 1082 de 2015 se refiere a las actividades mercantiles y no mercantiles que desempeñan las personas naturales o entidades sin ánimo de lucro. Para su identificación, es necesario tener en cuenta que la </w:t>
      </w:r>
      <w:r w:rsidRPr="00CF2301">
        <w:rPr>
          <w:rFonts w:ascii="Verdana" w:eastAsia="Calibri" w:hAnsi="Verdana" w:cs="Arial"/>
          <w:i/>
          <w:iCs/>
          <w:color w:val="000000" w:themeColor="text1"/>
          <w:lang w:val="es-ES_tradnl"/>
        </w:rPr>
        <w:t>actividad mercantil</w:t>
      </w:r>
      <w:r w:rsidRPr="00CF2301">
        <w:rPr>
          <w:rFonts w:ascii="Verdana" w:eastAsia="Calibri" w:hAnsi="Verdana" w:cs="Arial"/>
          <w:color w:val="000000" w:themeColor="text1"/>
          <w:lang w:val="es-ES_tradnl"/>
        </w:rPr>
        <w:t xml:space="preserve"> no se relaciona exclusivamente con el concepto de comerciante –sistema subjetivo–</w:t>
      </w:r>
      <w:r w:rsidRPr="00CF2301">
        <w:rPr>
          <w:rStyle w:val="Refdenotaalpie"/>
          <w:rFonts w:ascii="Verdana" w:eastAsia="Calibri" w:hAnsi="Verdana" w:cs="Arial"/>
          <w:color w:val="000000" w:themeColor="text1"/>
          <w:lang w:val="es-ES_tradnl"/>
        </w:rPr>
        <w:footnoteReference w:id="10"/>
      </w:r>
      <w:r w:rsidRPr="00CF2301">
        <w:rPr>
          <w:rFonts w:ascii="Verdana" w:eastAsia="Calibri" w:hAnsi="Verdana" w:cs="Arial"/>
          <w:color w:val="000000" w:themeColor="text1"/>
          <w:lang w:val="es-ES_tradnl"/>
        </w:rPr>
        <w:t xml:space="preserve">. Por ello, el Decreto Ley 410 de 1971 lo complementa con la noción de acto de comercio </w:t>
      </w:r>
      <w:r w:rsidRPr="00CF2301">
        <w:rPr>
          <w:rFonts w:ascii="Verdana" w:eastAsia="Calibri" w:hAnsi="Verdana" w:cs="Arial"/>
          <w:color w:val="000000" w:themeColor="text1"/>
          <w:lang w:val="es-ES_tradnl"/>
        </w:rPr>
        <w:lastRenderedPageBreak/>
        <w:t xml:space="preserve">–sistema objetivo–. Así, “[…] mientras en el sistema subjetivo actos de comercio son únicamente los realizados por comerciantes, en el sistema objetivo </w:t>
      </w:r>
      <w:r w:rsidRPr="00CF2301">
        <w:rPr>
          <w:rFonts w:ascii="Verdana" w:eastAsia="Calibri" w:hAnsi="Verdana" w:cs="Arial"/>
          <w:i/>
          <w:iCs/>
          <w:color w:val="000000" w:themeColor="text1"/>
          <w:lang w:val="es-ES_tradnl"/>
        </w:rPr>
        <w:t>son actos de comercio no solo los realizados por comerciantes, sino los que, sin ser ejecutados por comerciantes, se definen como mercantiles atendiendo a su sustantiva naturaleza</w:t>
      </w:r>
      <w:r w:rsidRPr="00CF2301">
        <w:rPr>
          <w:rFonts w:ascii="Verdana" w:eastAsia="Calibri" w:hAnsi="Verdana" w:cs="Arial"/>
          <w:color w:val="000000" w:themeColor="text1"/>
          <w:lang w:val="es-ES_tradnl"/>
        </w:rPr>
        <w:t xml:space="preserve"> (la finalidad de mediación entre productores y consumidores, el ser auxiliares de una industria mercantil, etc.) [...] No hay actos de comercio porque los realice un comerciante. Hay comerciantes porque realizan actos de comercio profesionalmente [...] el punto de partida es el acto de comercio y no el comerciante”</w:t>
      </w:r>
      <w:r w:rsidRPr="00CF2301">
        <w:rPr>
          <w:rStyle w:val="Refdenotaalpie"/>
          <w:rFonts w:ascii="Verdana" w:eastAsia="Calibri" w:hAnsi="Verdana" w:cs="Arial"/>
          <w:color w:val="000000" w:themeColor="text1"/>
          <w:lang w:val="es-ES_tradnl"/>
        </w:rPr>
        <w:footnoteReference w:id="11"/>
      </w:r>
      <w:r w:rsidRPr="00CF2301">
        <w:rPr>
          <w:rFonts w:ascii="Verdana" w:eastAsia="Calibri" w:hAnsi="Verdana" w:cs="Arial"/>
          <w:color w:val="000000" w:themeColor="text1"/>
          <w:lang w:val="es-ES_tradnl"/>
        </w:rPr>
        <w:t xml:space="preserve"> (Énfasis fuera de texto).</w:t>
      </w:r>
    </w:p>
    <w:p w14:paraId="04BF81C4" w14:textId="38CB573B" w:rsidR="006F2E51" w:rsidRPr="00CF2301" w:rsidRDefault="00E107E4" w:rsidP="00CC04B5">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bCs/>
          <w:lang w:val="es-ES_tradnl"/>
        </w:rPr>
        <w:t>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w:t>
      </w:r>
      <w:r w:rsidR="008F5BC2" w:rsidRPr="00CF2301">
        <w:rPr>
          <w:rFonts w:ascii="Arial" w:eastAsia="Calibri" w:hAnsi="Arial" w:cs="Arial"/>
          <w:bCs/>
          <w:lang w:val="es-ES_tradnl"/>
        </w:rPr>
        <w:t xml:space="preserve">. </w:t>
      </w:r>
      <w:r w:rsidR="006F2E51" w:rsidRPr="00CF2301">
        <w:rPr>
          <w:rFonts w:ascii="Verdana" w:eastAsia="Calibri" w:hAnsi="Verdana" w:cs="Arial"/>
          <w:color w:val="000000" w:themeColor="text1"/>
          <w:lang w:val="es-ES_tradnl"/>
        </w:rPr>
        <w:t xml:space="preserve">En esta perspectiva, la </w:t>
      </w:r>
      <w:r w:rsidR="006F2E51" w:rsidRPr="00CF2301">
        <w:rPr>
          <w:rFonts w:ascii="Verdana" w:eastAsia="Calibri" w:hAnsi="Verdana" w:cs="Arial"/>
          <w:i/>
          <w:iCs/>
          <w:color w:val="000000" w:themeColor="text1"/>
          <w:lang w:val="es-ES_tradnl"/>
        </w:rPr>
        <w:t>actividad mercantil</w:t>
      </w:r>
      <w:r w:rsidR="006F2E51" w:rsidRPr="00CF2301">
        <w:rPr>
          <w:rFonts w:ascii="Verdana" w:eastAsia="Calibri" w:hAnsi="Verdana" w:cs="Arial"/>
          <w:color w:val="000000" w:themeColor="text1"/>
          <w:lang w:val="es-ES_tradnl"/>
        </w:rPr>
        <w:t xml:space="preserve"> se concreta en los actos que el Código de Comercio dispone como tales. Dicho estatuto regula tres (3) categorías de actos de comercio: objetivos, conexos y mixtos. Los </w:t>
      </w:r>
      <w:r w:rsidR="006F2E51" w:rsidRPr="00CF2301">
        <w:rPr>
          <w:rFonts w:ascii="Verdana" w:eastAsia="Calibri" w:hAnsi="Verdana" w:cs="Arial"/>
          <w:i/>
          <w:iCs/>
          <w:color w:val="000000" w:themeColor="text1"/>
          <w:lang w:val="es-ES_tradnl"/>
        </w:rPr>
        <w:t>actos de comercio objetivos</w:t>
      </w:r>
      <w:r w:rsidR="006F2E51" w:rsidRPr="00CF2301">
        <w:rPr>
          <w:rFonts w:ascii="Verdana" w:eastAsia="Calibri" w:hAnsi="Verdana" w:cs="Arial"/>
          <w:color w:val="000000" w:themeColor="text1"/>
          <w:lang w:val="es-ES_tradnl"/>
        </w:rPr>
        <w:t xml:space="preserve"> se encuentran en la lista enunciativa del artículo 20 del Código de Comercio, identificados por su carácter patrimonial de acuerdo con su intención especulativa, propósitos de intermediación o desarrollo de actividades empresariales</w:t>
      </w:r>
      <w:r w:rsidR="006F2E51" w:rsidRPr="00CF2301">
        <w:rPr>
          <w:rStyle w:val="Refdenotaalpie"/>
          <w:rFonts w:ascii="Verdana" w:eastAsia="Calibri" w:hAnsi="Verdana" w:cs="Arial"/>
          <w:color w:val="000000" w:themeColor="text1"/>
          <w:lang w:val="es-ES_tradnl"/>
        </w:rPr>
        <w:footnoteReference w:id="12"/>
      </w:r>
      <w:r w:rsidR="006F2E51" w:rsidRPr="00CF2301">
        <w:rPr>
          <w:rFonts w:ascii="Verdana" w:eastAsia="Calibri" w:hAnsi="Verdana" w:cs="Arial"/>
          <w:color w:val="000000" w:themeColor="text1"/>
          <w:lang w:val="es-ES_tradnl"/>
        </w:rPr>
        <w:t xml:space="preserve">. Por su parte, los </w:t>
      </w:r>
      <w:r w:rsidR="006F2E51" w:rsidRPr="00CF2301">
        <w:rPr>
          <w:rFonts w:ascii="Verdana" w:eastAsia="Calibri" w:hAnsi="Verdana" w:cs="Arial"/>
          <w:i/>
          <w:iCs/>
          <w:color w:val="000000" w:themeColor="text1"/>
          <w:lang w:val="es-ES_tradnl"/>
        </w:rPr>
        <w:lastRenderedPageBreak/>
        <w:t>actos de comercio conexos</w:t>
      </w:r>
      <w:r w:rsidR="006F2E51" w:rsidRPr="00CF2301">
        <w:rPr>
          <w:rFonts w:ascii="Verdana" w:eastAsia="Calibri" w:hAnsi="Verdana" w:cs="Arial"/>
          <w:color w:val="000000" w:themeColor="text1"/>
          <w:lang w:val="es-ES_tradnl"/>
        </w:rPr>
        <w:t xml:space="preserve"> están regulados en el artículo 21 </w:t>
      </w:r>
      <w:r w:rsidR="006F2E51" w:rsidRPr="00CF2301">
        <w:rPr>
          <w:rFonts w:ascii="Verdana" w:eastAsia="Calibri" w:hAnsi="Verdana" w:cs="Arial"/>
          <w:i/>
          <w:iCs/>
          <w:color w:val="000000" w:themeColor="text1"/>
          <w:lang w:val="es-ES_tradnl"/>
        </w:rPr>
        <w:t>ibidem</w:t>
      </w:r>
      <w:r w:rsidR="006F2E51" w:rsidRPr="00CF2301">
        <w:rPr>
          <w:rFonts w:ascii="Verdana" w:eastAsia="Calibri" w:hAnsi="Verdana" w:cs="Arial"/>
          <w:color w:val="000000" w:themeColor="text1"/>
          <w:lang w:val="es-ES_tradnl"/>
        </w:rPr>
        <w:t xml:space="preserve"> de la siguiente forma: “Se tendrán así mismo como mercantiles todos los actos de los comerciantes relacionados con actividades o empresas de comercio, y los ejecutados por cualquier persona para asegurar el cumplimiento de obligaciones comerciales”. Finalmente, </w:t>
      </w:r>
      <w:r w:rsidR="006F2E51" w:rsidRPr="00CF2301">
        <w:rPr>
          <w:rFonts w:ascii="Verdana" w:eastAsia="Calibri" w:hAnsi="Verdana" w:cs="Arial"/>
          <w:i/>
          <w:iCs/>
          <w:color w:val="000000" w:themeColor="text1"/>
          <w:lang w:val="es-ES_tradnl"/>
        </w:rPr>
        <w:t>actos de comercio mixtos</w:t>
      </w:r>
      <w:r w:rsidR="006F2E51" w:rsidRPr="00CF2301">
        <w:rPr>
          <w:rFonts w:ascii="Verdana" w:eastAsia="Calibri" w:hAnsi="Verdana" w:cs="Arial"/>
          <w:color w:val="000000" w:themeColor="text1"/>
          <w:lang w:val="es-ES_tradnl"/>
        </w:rPr>
        <w:t xml:space="preserve"> son los del artículo 22 </w:t>
      </w:r>
      <w:r w:rsidR="006F2E51" w:rsidRPr="00CF2301">
        <w:rPr>
          <w:rFonts w:ascii="Verdana" w:eastAsia="Calibri" w:hAnsi="Verdana" w:cs="Arial"/>
          <w:i/>
          <w:iCs/>
          <w:color w:val="000000" w:themeColor="text1"/>
          <w:lang w:val="es-ES_tradnl"/>
        </w:rPr>
        <w:t>ibidem</w:t>
      </w:r>
      <w:r w:rsidR="006F2E51" w:rsidRPr="00CF2301">
        <w:rPr>
          <w:rFonts w:ascii="Verdana" w:eastAsia="Calibri" w:hAnsi="Verdana" w:cs="Arial"/>
          <w:color w:val="000000" w:themeColor="text1"/>
          <w:lang w:val="es-ES_tradnl"/>
        </w:rPr>
        <w:t>, por lo que “Si el acto fuere mercantil para una de las partes se regirá por las disposiciones de la ley comercial”</w:t>
      </w:r>
      <w:r w:rsidR="00263ACB" w:rsidRPr="00CF2301">
        <w:rPr>
          <w:rStyle w:val="Refdenotaalpie"/>
          <w:rFonts w:ascii="Verdana" w:eastAsia="Calibri" w:hAnsi="Verdana" w:cs="Arial"/>
          <w:color w:val="000000" w:themeColor="text1"/>
          <w:lang w:val="es-ES_tradnl"/>
        </w:rPr>
        <w:footnoteReference w:id="13"/>
      </w:r>
      <w:r w:rsidR="006F2E51" w:rsidRPr="00CF2301">
        <w:rPr>
          <w:rFonts w:ascii="Verdana" w:eastAsia="Calibri" w:hAnsi="Verdana" w:cs="Arial"/>
          <w:color w:val="000000" w:themeColor="text1"/>
          <w:lang w:val="es-ES_tradnl"/>
        </w:rPr>
        <w:t xml:space="preserve">.  </w:t>
      </w:r>
    </w:p>
    <w:p w14:paraId="41E1F274" w14:textId="7ECFB0FC" w:rsidR="006F2E51" w:rsidRPr="00CF2301" w:rsidRDefault="006F2E51" w:rsidP="0008254D">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 xml:space="preserve">Si bien las normas citadas delimitan la </w:t>
      </w:r>
      <w:r w:rsidRPr="00CF2301">
        <w:rPr>
          <w:rFonts w:ascii="Verdana" w:eastAsia="Calibri" w:hAnsi="Verdana" w:cs="Arial"/>
          <w:i/>
          <w:iCs/>
          <w:color w:val="000000" w:themeColor="text1"/>
          <w:lang w:val="es-ES_tradnl"/>
        </w:rPr>
        <w:t>actividad mercantil</w:t>
      </w:r>
      <w:r w:rsidRPr="00CF2301">
        <w:rPr>
          <w:rFonts w:ascii="Verdana" w:eastAsia="Calibri" w:hAnsi="Verdana" w:cs="Arial"/>
          <w:color w:val="000000" w:themeColor="text1"/>
          <w:lang w:val="es-ES_tradnl"/>
        </w:rPr>
        <w:t xml:space="preserve">, la única jurídicamente relevante para el artículo 2.2.16.1.4 del Decreto 1082 de 2015 es aquella derivada de “[…] oficios y ocupaciones […] relacionados con la producción, distribución y comercialización de bienes y servicios […]”. Este criterio tiene una función delimitadora, por lo que no es suficiente la realización de actos de comercio </w:t>
      </w:r>
      <w:r w:rsidRPr="00CF2301">
        <w:rPr>
          <w:rFonts w:ascii="Verdana" w:eastAsia="Calibri" w:hAnsi="Verdana" w:cs="Arial"/>
          <w:i/>
          <w:iCs/>
          <w:color w:val="000000" w:themeColor="text1"/>
          <w:lang w:val="es-ES_tradnl"/>
        </w:rPr>
        <w:t>per se</w:t>
      </w:r>
      <w:r w:rsidRPr="00CF2301">
        <w:rPr>
          <w:rFonts w:ascii="Verdana" w:eastAsia="Calibri" w:hAnsi="Verdana" w:cs="Arial"/>
          <w:color w:val="000000" w:themeColor="text1"/>
          <w:lang w:val="es-ES_tradnl"/>
        </w:rPr>
        <w:t xml:space="preserve"> para formar parte de la </w:t>
      </w:r>
      <w:r w:rsidR="005B341F" w:rsidRPr="00CF2301">
        <w:rPr>
          <w:rFonts w:ascii="Verdana" w:eastAsia="Calibri" w:hAnsi="Verdana" w:cs="Arial"/>
          <w:color w:val="000000" w:themeColor="text1"/>
          <w:lang w:val="es-ES_tradnl"/>
        </w:rPr>
        <w:t>E</w:t>
      </w:r>
      <w:r w:rsidRPr="00CF2301">
        <w:rPr>
          <w:rFonts w:ascii="Verdana" w:eastAsia="Calibri" w:hAnsi="Verdana" w:cs="Arial"/>
          <w:color w:val="000000" w:themeColor="text1"/>
          <w:lang w:val="es-ES_tradnl"/>
        </w:rPr>
        <w:t xml:space="preserve">conomía </w:t>
      </w:r>
      <w:r w:rsidR="005B341F" w:rsidRPr="00CF2301">
        <w:rPr>
          <w:rFonts w:ascii="Verdana" w:eastAsia="Calibri" w:hAnsi="Verdana" w:cs="Arial"/>
          <w:color w:val="000000" w:themeColor="text1"/>
          <w:lang w:val="es-ES_tradnl"/>
        </w:rPr>
        <w:t xml:space="preserve">Popular </w:t>
      </w:r>
      <w:r w:rsidRPr="00CF2301">
        <w:rPr>
          <w:rFonts w:ascii="Verdana" w:eastAsia="Calibri" w:hAnsi="Verdana" w:cs="Arial"/>
          <w:color w:val="000000" w:themeColor="text1"/>
          <w:lang w:val="es-ES_tradnl"/>
        </w:rPr>
        <w:t xml:space="preserve">y </w:t>
      </w:r>
      <w:r w:rsidR="005B341F" w:rsidRPr="00CF2301">
        <w:rPr>
          <w:rFonts w:ascii="Verdana" w:eastAsia="Calibri" w:hAnsi="Verdana" w:cs="Arial"/>
          <w:color w:val="000000" w:themeColor="text1"/>
          <w:lang w:val="es-ES_tradnl"/>
        </w:rPr>
        <w:t>Comunitaria</w:t>
      </w:r>
      <w:r w:rsidR="00D6508B" w:rsidRPr="00CF2301">
        <w:rPr>
          <w:rFonts w:ascii="Verdana" w:eastAsia="Calibri" w:hAnsi="Verdana" w:cs="Arial"/>
          <w:color w:val="000000" w:themeColor="text1"/>
          <w:lang w:val="es-ES_tradnl"/>
        </w:rPr>
        <w:t>, sino que deberán corresponder al tipo de oficios y ocupaciones descritas</w:t>
      </w:r>
      <w:r w:rsidRPr="00CF2301">
        <w:rPr>
          <w:rFonts w:ascii="Verdana" w:eastAsia="Calibri" w:hAnsi="Verdana" w:cs="Arial"/>
          <w:color w:val="000000" w:themeColor="text1"/>
          <w:lang w:val="es-ES_tradnl"/>
        </w:rPr>
        <w:t xml:space="preserve">. En consecuencia, las Entidades Estatales deberán verificar que las personas naturales o las entidades sin ánimo de lucro cumplan dicha condición. </w:t>
      </w:r>
    </w:p>
    <w:p w14:paraId="141F131A" w14:textId="00B91E92" w:rsidR="006F2E51" w:rsidRPr="00CF2301" w:rsidRDefault="006F2E51" w:rsidP="006F2E51">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 xml:space="preserve">Por su parte, la </w:t>
      </w:r>
      <w:r w:rsidRPr="00CF2301">
        <w:rPr>
          <w:rFonts w:ascii="Verdana" w:eastAsia="Calibri" w:hAnsi="Verdana" w:cs="Arial"/>
          <w:i/>
          <w:iCs/>
          <w:color w:val="000000" w:themeColor="text1"/>
          <w:lang w:val="es-ES_tradnl"/>
        </w:rPr>
        <w:t>actividad no mercantil</w:t>
      </w:r>
      <w:r w:rsidRPr="00CF2301">
        <w:rPr>
          <w:rFonts w:ascii="Verdana" w:eastAsia="Calibri" w:hAnsi="Verdana" w:cs="Arial"/>
          <w:color w:val="000000" w:themeColor="text1"/>
          <w:lang w:val="es-ES_tradnl"/>
        </w:rPr>
        <w:t xml:space="preserve"> se identifica con la lista enunciativa del artículo 23 del Código de Comercio</w:t>
      </w:r>
      <w:r w:rsidRPr="00CF2301">
        <w:rPr>
          <w:rStyle w:val="Refdenotaalpie"/>
          <w:rFonts w:ascii="Verdana" w:eastAsia="Calibri" w:hAnsi="Verdana" w:cs="Arial"/>
          <w:color w:val="000000" w:themeColor="text1"/>
          <w:lang w:val="es-ES_tradnl"/>
        </w:rPr>
        <w:footnoteReference w:id="14"/>
      </w:r>
      <w:r w:rsidRPr="00CF2301">
        <w:rPr>
          <w:rFonts w:ascii="Verdana" w:eastAsia="Calibri" w:hAnsi="Verdana" w:cs="Arial"/>
          <w:color w:val="000000" w:themeColor="text1"/>
          <w:lang w:val="es-ES_tradnl"/>
        </w:rPr>
        <w:t xml:space="preserve">. Precisamente, están excluidas de la </w:t>
      </w:r>
      <w:r w:rsidRPr="00CF2301">
        <w:rPr>
          <w:rFonts w:ascii="Verdana" w:eastAsia="Calibri" w:hAnsi="Verdana" w:cs="Arial"/>
          <w:color w:val="000000" w:themeColor="text1"/>
          <w:lang w:val="es-ES_tradnl"/>
        </w:rPr>
        <w:lastRenderedPageBreak/>
        <w:t xml:space="preserve">categoría de acto de comercio, porque implican acciones de consumo, producción de obras artísticas, ejercicio de profesiones liberales, etc., de manera que son una antítesis de la intención especulativa, el propósito de intermediación o el desarrollo de actividades empresariales. De forma análoga a lo comentado en el párrafo precedente, su realización no es suficiente por sí misma para identificar a las personas naturales o entidades sin ánimo de lucro como actores de la </w:t>
      </w:r>
      <w:r w:rsidR="009B2D59" w:rsidRPr="00CF2301">
        <w:rPr>
          <w:rFonts w:ascii="Verdana" w:eastAsia="Calibri" w:hAnsi="Verdana" w:cs="Arial"/>
          <w:color w:val="000000" w:themeColor="text1"/>
          <w:lang w:val="es-ES_tradnl"/>
        </w:rPr>
        <w:t>E</w:t>
      </w:r>
      <w:r w:rsidRPr="00CF2301">
        <w:rPr>
          <w:rFonts w:ascii="Verdana" w:eastAsia="Calibri" w:hAnsi="Verdana" w:cs="Arial"/>
          <w:color w:val="000000" w:themeColor="text1"/>
          <w:lang w:val="es-ES_tradnl"/>
        </w:rPr>
        <w:t xml:space="preserve">conomía </w:t>
      </w:r>
      <w:r w:rsidR="009B2D59" w:rsidRPr="00CF2301">
        <w:rPr>
          <w:rFonts w:ascii="Verdana" w:eastAsia="Calibri" w:hAnsi="Verdana" w:cs="Arial"/>
          <w:color w:val="000000" w:themeColor="text1"/>
          <w:lang w:val="es-ES_tradnl"/>
        </w:rPr>
        <w:t>P</w:t>
      </w:r>
      <w:r w:rsidRPr="00CF2301">
        <w:rPr>
          <w:rFonts w:ascii="Verdana" w:eastAsia="Calibri" w:hAnsi="Verdana" w:cs="Arial"/>
          <w:color w:val="000000" w:themeColor="text1"/>
          <w:lang w:val="es-ES_tradnl"/>
        </w:rPr>
        <w:t xml:space="preserve">opular y </w:t>
      </w:r>
      <w:r w:rsidR="009B2D59" w:rsidRPr="00CF2301">
        <w:rPr>
          <w:rFonts w:ascii="Verdana" w:eastAsia="Calibri" w:hAnsi="Verdana" w:cs="Arial"/>
          <w:color w:val="000000" w:themeColor="text1"/>
          <w:lang w:val="es-ES_tradnl"/>
        </w:rPr>
        <w:t>C</w:t>
      </w:r>
      <w:r w:rsidRPr="00CF2301">
        <w:rPr>
          <w:rFonts w:ascii="Verdana" w:eastAsia="Calibri" w:hAnsi="Verdana" w:cs="Arial"/>
          <w:color w:val="000000" w:themeColor="text1"/>
          <w:lang w:val="es-ES_tradnl"/>
        </w:rPr>
        <w:t xml:space="preserve">omunitaria, ya que la </w:t>
      </w:r>
      <w:r w:rsidRPr="00CF2301">
        <w:rPr>
          <w:rFonts w:ascii="Verdana" w:eastAsia="Calibri" w:hAnsi="Verdana" w:cs="Arial"/>
          <w:i/>
          <w:iCs/>
          <w:color w:val="000000" w:themeColor="text1"/>
          <w:lang w:val="es-ES_tradnl"/>
        </w:rPr>
        <w:t>actividad no mercantil</w:t>
      </w:r>
      <w:r w:rsidRPr="00CF2301">
        <w:rPr>
          <w:rFonts w:ascii="Verdana" w:eastAsia="Calibri" w:hAnsi="Verdana" w:cs="Arial"/>
          <w:color w:val="000000" w:themeColor="text1"/>
          <w:lang w:val="es-ES_tradnl"/>
        </w:rPr>
        <w:t xml:space="preserve"> relevante para el artículo 2.2.16.1.4 del Decreto 1082 de 2015 es aquella relacionada con “[…] oficios y ocupaciones […] que hagan referencia a actividades domésticas o comunitarias […]”.</w:t>
      </w:r>
    </w:p>
    <w:p w14:paraId="072C8073" w14:textId="157F8D7C" w:rsidR="006F2E51" w:rsidRPr="00CF2301" w:rsidRDefault="006F2E51" w:rsidP="006F2E51">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 xml:space="preserve">Ni las Bases de la Ley del Plan Nacional de Desarrollo ni el Decreto 874 de 2024 ofrecen criterios para determinar a qué se refieren estas actividades, por lo que –como se explicó </w:t>
      </w:r>
      <w:r w:rsidRPr="00CF2301">
        <w:rPr>
          <w:rFonts w:ascii="Verdana" w:eastAsia="Calibri" w:hAnsi="Verdana" w:cs="Arial"/>
          <w:i/>
          <w:iCs/>
          <w:color w:val="000000" w:themeColor="text1"/>
          <w:lang w:val="es-ES_tradnl"/>
        </w:rPr>
        <w:t>ut supra</w:t>
      </w:r>
      <w:r w:rsidRPr="00CF2301">
        <w:rPr>
          <w:rFonts w:ascii="Verdana" w:eastAsia="Calibri" w:hAnsi="Verdana" w:cs="Arial"/>
          <w:color w:val="000000" w:themeColor="text1"/>
          <w:lang w:val="es-ES_tradnl"/>
        </w:rPr>
        <w:t xml:space="preserve">– son importantes los lineamientos que emitan </w:t>
      </w:r>
      <w:r w:rsidRPr="00CF2301">
        <w:rPr>
          <w:rFonts w:ascii="Verdana" w:eastAsia="Arial" w:hAnsi="Verdana" w:cs="Arial"/>
          <w:color w:val="000000"/>
        </w:rPr>
        <w:t>el Consejo de Economía Popular, el Ministerio de Comercio, Industria y Turismo, así como el Departamento Administrativo Nacional de Estadística, en los términos del parágrafo del artículo 2.2.16.1.6 del Decreto 1082 de 2015. En ausencia de pronunciamiento de los órganos competentes, la Agencia considera “</w:t>
      </w:r>
      <w:r w:rsidRPr="00CF2301">
        <w:rPr>
          <w:rFonts w:ascii="Verdana" w:eastAsia="Calibri" w:hAnsi="Verdana" w:cs="Arial"/>
          <w:color w:val="000000" w:themeColor="text1"/>
          <w:lang w:val="es-ES_tradnl"/>
        </w:rPr>
        <w:t>actividades domésticas o comunitarias” como aquellas que, de forma altruista, se orientan a satisfacer necesidades básicas de la familia o la sociedad sin pretender una contraprestación económica. De forma ejemplificativa, pueden manifestarse en el cuidado de personas vulnerables, el trabajo comunitario voluntario, la producción para el autoconsumo,</w:t>
      </w:r>
      <w:r w:rsidR="009176EA" w:rsidRPr="00CF2301">
        <w:rPr>
          <w:rFonts w:ascii="Verdana" w:eastAsia="Calibri" w:hAnsi="Verdana" w:cs="Arial"/>
          <w:color w:val="000000" w:themeColor="text1"/>
          <w:lang w:val="es-ES_tradnl"/>
        </w:rPr>
        <w:t xml:space="preserve"> las actividades relacionadas con la economía del cuidado</w:t>
      </w:r>
      <w:r w:rsidR="00E547F7" w:rsidRPr="00CF2301">
        <w:rPr>
          <w:rStyle w:val="Refdenotaalpie"/>
          <w:rFonts w:ascii="Verdana" w:eastAsia="Calibri" w:hAnsi="Verdana" w:cs="Arial"/>
          <w:color w:val="000000" w:themeColor="text1"/>
          <w:lang w:val="es-ES_tradnl"/>
        </w:rPr>
        <w:footnoteReference w:id="15"/>
      </w:r>
      <w:r w:rsidR="009176EA" w:rsidRPr="00CF2301">
        <w:rPr>
          <w:rFonts w:ascii="Verdana" w:eastAsia="Calibri" w:hAnsi="Verdana" w:cs="Arial"/>
          <w:color w:val="000000" w:themeColor="text1"/>
          <w:lang w:val="es-ES_tradnl"/>
        </w:rPr>
        <w:t>,</w:t>
      </w:r>
      <w:r w:rsidRPr="00CF2301">
        <w:rPr>
          <w:rFonts w:ascii="Verdana" w:eastAsia="Calibri" w:hAnsi="Verdana" w:cs="Arial"/>
          <w:color w:val="000000" w:themeColor="text1"/>
          <w:lang w:val="es-ES_tradnl"/>
        </w:rPr>
        <w:t xml:space="preserve"> etc.  </w:t>
      </w:r>
    </w:p>
    <w:p w14:paraId="51487180" w14:textId="40B91C9E" w:rsidR="006F2E51" w:rsidRPr="00CF2301" w:rsidRDefault="006F2E51" w:rsidP="006F2E51">
      <w:pPr>
        <w:pBdr>
          <w:top w:val="nil"/>
          <w:left w:val="nil"/>
          <w:bottom w:val="nil"/>
          <w:right w:val="nil"/>
          <w:between w:val="nil"/>
        </w:pBdr>
        <w:spacing w:after="120" w:line="276" w:lineRule="auto"/>
        <w:ind w:firstLine="708"/>
        <w:jc w:val="both"/>
        <w:rPr>
          <w:rFonts w:ascii="Verdana" w:eastAsia="Arial" w:hAnsi="Verdana" w:cs="Arial"/>
          <w:color w:val="000000"/>
        </w:rPr>
      </w:pPr>
      <w:r w:rsidRPr="00CF2301">
        <w:rPr>
          <w:rFonts w:ascii="Verdana" w:eastAsia="Calibri" w:hAnsi="Verdana" w:cs="Arial"/>
          <w:color w:val="000000" w:themeColor="text1"/>
          <w:lang w:val="es-ES_tradnl"/>
        </w:rPr>
        <w:lastRenderedPageBreak/>
        <w:t>As</w:t>
      </w:r>
      <w:r w:rsidR="009176EA" w:rsidRPr="00CF2301">
        <w:rPr>
          <w:rFonts w:ascii="Verdana" w:eastAsia="Calibri" w:hAnsi="Verdana" w:cs="Arial"/>
          <w:color w:val="000000" w:themeColor="text1"/>
          <w:lang w:val="es-ES_tradnl"/>
        </w:rPr>
        <w:t xml:space="preserve">í </w:t>
      </w:r>
      <w:r w:rsidRPr="00CF2301">
        <w:rPr>
          <w:rFonts w:ascii="Verdana" w:eastAsia="Calibri" w:hAnsi="Verdana" w:cs="Arial"/>
          <w:color w:val="000000" w:themeColor="text1"/>
          <w:lang w:val="es-ES_tradnl"/>
        </w:rPr>
        <w:t xml:space="preserve">mismo, el artículo 2.2.16.1.4 del Decreto 1082 de 2015 dispone que estas </w:t>
      </w:r>
      <w:r w:rsidRPr="00CF2301">
        <w:rPr>
          <w:rFonts w:ascii="Verdana" w:eastAsia="Calibri" w:hAnsi="Verdana" w:cs="Arial"/>
          <w:i/>
          <w:iCs/>
          <w:color w:val="000000" w:themeColor="text1"/>
          <w:lang w:val="es-ES_tradnl"/>
        </w:rPr>
        <w:t xml:space="preserve">actividades mercantiles </w:t>
      </w:r>
      <w:r w:rsidRPr="00CF2301">
        <w:rPr>
          <w:rFonts w:ascii="Verdana" w:eastAsia="Calibri" w:hAnsi="Verdana" w:cs="Arial"/>
          <w:color w:val="000000" w:themeColor="text1"/>
          <w:lang w:val="es-ES_tradnl"/>
        </w:rPr>
        <w:t>y</w:t>
      </w:r>
      <w:r w:rsidRPr="00CF2301">
        <w:rPr>
          <w:rFonts w:ascii="Verdana" w:eastAsia="Calibri" w:hAnsi="Verdana" w:cs="Arial"/>
          <w:i/>
          <w:iCs/>
          <w:color w:val="000000" w:themeColor="text1"/>
          <w:lang w:val="es-ES_tradnl"/>
        </w:rPr>
        <w:t xml:space="preserve"> no mercantiles</w:t>
      </w:r>
      <w:r w:rsidRPr="00CF2301">
        <w:rPr>
          <w:rFonts w:ascii="Verdana" w:eastAsia="Calibri" w:hAnsi="Verdana" w:cs="Arial"/>
          <w:color w:val="000000" w:themeColor="text1"/>
          <w:lang w:val="es-ES_tradnl"/>
        </w:rPr>
        <w:t xml:space="preserve"> son desarrolladas por “[…] unidades económicas de baja escala ya sea personales, familiares, micronegocios o microempresas […]”. La concreción de esta idea hace necesarios los lineamientos </w:t>
      </w:r>
      <w:r w:rsidRPr="00CF2301">
        <w:rPr>
          <w:rFonts w:ascii="Verdana" w:eastAsia="Arial" w:hAnsi="Verdana" w:cs="Arial"/>
          <w:color w:val="000000"/>
        </w:rPr>
        <w:t xml:space="preserve">del parágrafo del artículo 2.2.16.1.6 </w:t>
      </w:r>
      <w:r w:rsidRPr="00CF2301">
        <w:rPr>
          <w:rFonts w:ascii="Verdana" w:eastAsia="Arial" w:hAnsi="Verdana" w:cs="Arial"/>
          <w:i/>
          <w:iCs/>
          <w:color w:val="000000"/>
        </w:rPr>
        <w:t>ibidem</w:t>
      </w:r>
      <w:r w:rsidRPr="00CF2301">
        <w:rPr>
          <w:rFonts w:ascii="Verdana" w:eastAsia="Arial" w:hAnsi="Verdana" w:cs="Arial"/>
          <w:color w:val="000000"/>
        </w:rPr>
        <w:t xml:space="preserve">. Como no se han expedido, la Agencia estima que el concepto de </w:t>
      </w:r>
      <w:r w:rsidRPr="00CF2301">
        <w:rPr>
          <w:rFonts w:ascii="Verdana" w:eastAsia="Arial" w:hAnsi="Verdana" w:cs="Arial"/>
          <w:i/>
          <w:iCs/>
          <w:color w:val="000000"/>
        </w:rPr>
        <w:t>unidades económicas de baja escala</w:t>
      </w:r>
      <w:r w:rsidRPr="00CF2301">
        <w:rPr>
          <w:rFonts w:ascii="Verdana" w:eastAsia="Arial" w:hAnsi="Verdana" w:cs="Arial"/>
          <w:color w:val="000000"/>
        </w:rPr>
        <w:t xml:space="preserve"> es un criterio delimitador que deja por fuera de la </w:t>
      </w:r>
      <w:r w:rsidR="00B10C4B" w:rsidRPr="00CF2301">
        <w:rPr>
          <w:rFonts w:ascii="Verdana" w:eastAsia="Arial" w:hAnsi="Verdana" w:cs="Arial"/>
          <w:color w:val="000000"/>
        </w:rPr>
        <w:t>E</w:t>
      </w:r>
      <w:r w:rsidRPr="00CF2301">
        <w:rPr>
          <w:rFonts w:ascii="Verdana" w:eastAsia="Arial" w:hAnsi="Verdana" w:cs="Arial"/>
          <w:color w:val="000000"/>
        </w:rPr>
        <w:t xml:space="preserve">conomía </w:t>
      </w:r>
      <w:r w:rsidR="00B10C4B" w:rsidRPr="00CF2301">
        <w:rPr>
          <w:rFonts w:ascii="Verdana" w:eastAsia="Arial" w:hAnsi="Verdana" w:cs="Arial"/>
          <w:color w:val="000000"/>
        </w:rPr>
        <w:t xml:space="preserve">Popular </w:t>
      </w:r>
      <w:r w:rsidRPr="00CF2301">
        <w:rPr>
          <w:rFonts w:ascii="Verdana" w:eastAsia="Arial" w:hAnsi="Verdana" w:cs="Arial"/>
          <w:color w:val="000000"/>
        </w:rPr>
        <w:t xml:space="preserve">y </w:t>
      </w:r>
      <w:r w:rsidR="00B10C4B" w:rsidRPr="00CF2301">
        <w:rPr>
          <w:rFonts w:ascii="Verdana" w:eastAsia="Arial" w:hAnsi="Verdana" w:cs="Arial"/>
          <w:color w:val="000000"/>
        </w:rPr>
        <w:t xml:space="preserve">Comunitaria </w:t>
      </w:r>
      <w:r w:rsidRPr="00CF2301">
        <w:rPr>
          <w:rFonts w:ascii="Verdana" w:eastAsia="Arial" w:hAnsi="Verdana" w:cs="Arial"/>
          <w:color w:val="000000"/>
        </w:rPr>
        <w:t xml:space="preserve">a la pequeña, mediana y gran empresa, de acuerdo con la categorización del Decreto Único Reglamentario del Sector Comercio, Industria y Turismo. Aunque estas últimas pueden participar en los demás procesos de selección del artículo 2 de la Ley 1150 de 2007, el objetivo del </w:t>
      </w:r>
      <w:r w:rsidRPr="00CF2301">
        <w:rPr>
          <w:rFonts w:ascii="Verdana" w:eastAsia="Calibri" w:hAnsi="Verdana" w:cs="Arial"/>
          <w:bCs/>
          <w:color w:val="000000" w:themeColor="text1"/>
        </w:rPr>
        <w:t>artículo 100 de la Ley 2294 de 2023</w:t>
      </w:r>
      <w:r w:rsidRPr="00CF2301">
        <w:rPr>
          <w:rFonts w:ascii="Verdana" w:eastAsia="Arial" w:hAnsi="Verdana" w:cs="Arial"/>
          <w:color w:val="000000"/>
        </w:rPr>
        <w:t xml:space="preserve"> es incluir en el sistema de compras públicas la actividad económica de las personas naturales y </w:t>
      </w:r>
      <w:r w:rsidR="00B85ED4" w:rsidRPr="00CF2301">
        <w:rPr>
          <w:rFonts w:ascii="Verdana" w:eastAsia="Arial" w:hAnsi="Verdana" w:cs="Arial"/>
          <w:color w:val="000000"/>
        </w:rPr>
        <w:t>entidades sin ánimo de lucro</w:t>
      </w:r>
      <w:r w:rsidRPr="00CF2301">
        <w:rPr>
          <w:rFonts w:ascii="Verdana" w:eastAsia="Arial" w:hAnsi="Verdana" w:cs="Arial"/>
          <w:color w:val="000000"/>
        </w:rPr>
        <w:t xml:space="preserve"> que tienen un volumen reducido de producción, ingresos y personal empleado, por lo que operan con recursos limitados. </w:t>
      </w:r>
    </w:p>
    <w:p w14:paraId="63371E67" w14:textId="77777777" w:rsidR="006F2E51" w:rsidRPr="00CF2301" w:rsidRDefault="006F2E51" w:rsidP="006F2E51">
      <w:pPr>
        <w:pBdr>
          <w:top w:val="nil"/>
          <w:left w:val="nil"/>
          <w:bottom w:val="nil"/>
          <w:right w:val="nil"/>
          <w:between w:val="nil"/>
        </w:pBdr>
        <w:spacing w:after="0" w:line="276" w:lineRule="auto"/>
        <w:ind w:firstLine="708"/>
        <w:jc w:val="both"/>
        <w:rPr>
          <w:rFonts w:ascii="Verdana" w:eastAsia="Arial" w:hAnsi="Verdana" w:cs="Arial"/>
          <w:color w:val="000000"/>
        </w:rPr>
      </w:pPr>
      <w:r w:rsidRPr="00CF2301">
        <w:rPr>
          <w:rFonts w:ascii="Verdana" w:eastAsia="Arial" w:hAnsi="Verdana" w:cs="Arial"/>
          <w:color w:val="000000"/>
        </w:rPr>
        <w:t>Para el Departamento Administrativo Nacional De Estadística, la unidad económica es “[…] una persona natural o jurídica que lleva a cabo una actividad económica en alguno de los cuatro (4) tipos: establecimiento fijo, semifijo, vivienda o en puestos móviles”</w:t>
      </w:r>
      <w:r w:rsidRPr="00CF2301">
        <w:rPr>
          <w:rStyle w:val="Refdenotaalpie"/>
          <w:rFonts w:ascii="Verdana" w:eastAsia="Arial" w:hAnsi="Verdana" w:cs="Arial"/>
          <w:color w:val="000000"/>
        </w:rPr>
        <w:footnoteReference w:id="16"/>
      </w:r>
      <w:r w:rsidRPr="00CF2301">
        <w:rPr>
          <w:rFonts w:ascii="Verdana" w:eastAsia="Arial" w:hAnsi="Verdana" w:cs="Arial"/>
          <w:color w:val="000000"/>
        </w:rPr>
        <w:t>. Además de que pueden tener carácter personal o familiar, eventualmente ostentan la calidad de micronegocios. De acuerdo con el DANE, estos últimos corresponden a una “Unidad económica con máximo nueve (9) personas ocupadas, que desarrolla una actividad productiva de bienes o servicios, con el objeto de obtener un ingreso, actuando en calidad de propietario o arrendatario de los medios de producción”</w:t>
      </w:r>
      <w:r w:rsidRPr="00CF2301">
        <w:rPr>
          <w:rStyle w:val="Refdenotaalpie"/>
          <w:rFonts w:ascii="Verdana" w:eastAsia="Arial" w:hAnsi="Verdana" w:cs="Arial"/>
          <w:color w:val="000000"/>
        </w:rPr>
        <w:footnoteReference w:id="17"/>
      </w:r>
      <w:r w:rsidRPr="00CF2301">
        <w:rPr>
          <w:rFonts w:ascii="Verdana" w:eastAsia="Arial" w:hAnsi="Verdana" w:cs="Arial"/>
          <w:color w:val="000000"/>
        </w:rPr>
        <w:t>. Por su parte, el artículo 2.2.1.13.2.2 del Decreto 1074 de 2015 establece los criterios para identificar la microempresa:</w:t>
      </w:r>
    </w:p>
    <w:p w14:paraId="54964CA1" w14:textId="77777777" w:rsidR="006F2E51" w:rsidRPr="00CF2301" w:rsidRDefault="006F2E51" w:rsidP="006F2E51">
      <w:pPr>
        <w:pBdr>
          <w:top w:val="nil"/>
          <w:left w:val="nil"/>
          <w:bottom w:val="nil"/>
          <w:right w:val="nil"/>
          <w:between w:val="nil"/>
        </w:pBdr>
        <w:spacing w:after="0" w:line="276" w:lineRule="auto"/>
        <w:ind w:firstLine="708"/>
        <w:jc w:val="both"/>
        <w:rPr>
          <w:rFonts w:ascii="Verdana" w:eastAsia="Arial" w:hAnsi="Verdana" w:cs="Arial"/>
          <w:color w:val="000000"/>
        </w:rPr>
      </w:pPr>
    </w:p>
    <w:p w14:paraId="250695F4" w14:textId="77777777"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lastRenderedPageBreak/>
        <w:t>“Para efectos de la clasificación del tamaño empresarial se utilizarán […] los siguientes rangos para determinar el valor de los ingresos por actividades ordinarias anuales de acuerdo con el sector económico de que se trate:</w:t>
      </w:r>
    </w:p>
    <w:p w14:paraId="5B53056A"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08B386D6" w14:textId="77777777"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1. Para el sector manufacturero:</w:t>
      </w:r>
    </w:p>
    <w:p w14:paraId="6A48875F" w14:textId="77777777"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Microempresa. Aquella cuyos ingresos por actividades ordinarias anuales sean inferiores o iguales a veintitrés mil quinientos sesenta y tres Unidades de Valor Tributario (23.563 UVT).</w:t>
      </w:r>
    </w:p>
    <w:p w14:paraId="733296EA"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7B7E3A39" w14:textId="1B039332"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w:t>
      </w:r>
    </w:p>
    <w:p w14:paraId="5147F63A"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48CA06F" w14:textId="76D48039"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2. Para el sector servicios:</w:t>
      </w:r>
    </w:p>
    <w:p w14:paraId="11F3823E" w14:textId="77777777"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Microempresa. Aquella cuyos ingresos por actividades ordinarias anuales sean inferiores o iguales a treinta y dos mil novecientos ochenta y ocho Unidades de Valor Tributario (32.988 UVT).</w:t>
      </w:r>
    </w:p>
    <w:p w14:paraId="2462D8DD"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5D835AD" w14:textId="50BE0216"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w:t>
      </w:r>
    </w:p>
    <w:p w14:paraId="000D1449"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12900DAF" w14:textId="7F266C13"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3. Para el sector de comercio:</w:t>
      </w:r>
    </w:p>
    <w:p w14:paraId="3B69B244" w14:textId="77777777"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Microempresa. Aquella cuyos ingresos por actividades ordinarias anuales sean inferiores o iguales a cuarenta y cuatro mil setecientos sesenta y nueve Unidades de Valor Tributario (44.769 UVT).</w:t>
      </w:r>
    </w:p>
    <w:p w14:paraId="11CD8148"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60E89D50" w14:textId="10CFDFE8"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w:t>
      </w:r>
    </w:p>
    <w:p w14:paraId="56E7F242" w14:textId="77777777"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Parágrafo 2. Para aquella empresa cuya actividad principal no corresponda exclusivamente a uno de los anteriores sectores, los rangos a aplicar serán aquellos previstos para el sector manufacturero.</w:t>
      </w:r>
    </w:p>
    <w:p w14:paraId="6083061C"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1B45B2E8" w14:textId="13E5588E"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Parágrafo 3. Cuando los ingresos de la empresa provengan de más de uno de los sectores contemplados en el presente Capítulo, se considerará la actividad del sector económico cuyos ingresos hayan sido más altos.</w:t>
      </w:r>
    </w:p>
    <w:p w14:paraId="7876DF1E" w14:textId="77777777" w:rsidR="00B85ED4" w:rsidRPr="00CF2301" w:rsidRDefault="00B85ED4"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5BED3B75" w14:textId="1D8E559B" w:rsidR="006F2E51" w:rsidRPr="00CF2301" w:rsidRDefault="006F2E51" w:rsidP="00A226DC">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F2301">
        <w:rPr>
          <w:rFonts w:ascii="Verdana" w:eastAsia="Arial" w:hAnsi="Verdana" w:cs="Arial"/>
          <w:color w:val="000000"/>
          <w:sz w:val="20"/>
          <w:szCs w:val="20"/>
        </w:rPr>
        <w:t xml:space="preserve">Parágrafo 4. El Ministerio de Comercio, Industria y Turismo, en conjunto con el Departamento Nacional de Estadística -DANE-, a la fecha de la </w:t>
      </w:r>
      <w:proofErr w:type="gramStart"/>
      <w:r w:rsidRPr="00CF2301">
        <w:rPr>
          <w:rFonts w:ascii="Verdana" w:eastAsia="Arial" w:hAnsi="Verdana" w:cs="Arial"/>
          <w:color w:val="000000"/>
          <w:sz w:val="20"/>
          <w:szCs w:val="20"/>
        </w:rPr>
        <w:t>entrada en vigencia</w:t>
      </w:r>
      <w:proofErr w:type="gramEnd"/>
      <w:r w:rsidRPr="00CF2301">
        <w:rPr>
          <w:rFonts w:ascii="Verdana" w:eastAsia="Arial" w:hAnsi="Verdana" w:cs="Arial"/>
          <w:color w:val="000000"/>
          <w:sz w:val="20"/>
          <w:szCs w:val="20"/>
        </w:rPr>
        <w:t xml:space="preserve"> del presente Capitulo establecerá, mediante acto administrativo, el anexo técnico de correspondencia de los tres sectores, manufactura, comercio y servicios con la Clasificación de las Actividades Económicas - </w:t>
      </w:r>
      <w:proofErr w:type="spellStart"/>
      <w:r w:rsidRPr="00CF2301">
        <w:rPr>
          <w:rFonts w:ascii="Verdana" w:eastAsia="Arial" w:hAnsi="Verdana" w:cs="Arial"/>
          <w:color w:val="000000"/>
          <w:sz w:val="20"/>
          <w:szCs w:val="20"/>
        </w:rPr>
        <w:t>CllU</w:t>
      </w:r>
      <w:proofErr w:type="spellEnd"/>
      <w:r w:rsidRPr="00CF2301">
        <w:rPr>
          <w:rFonts w:ascii="Verdana" w:eastAsia="Arial" w:hAnsi="Verdana" w:cs="Arial"/>
          <w:color w:val="000000"/>
          <w:sz w:val="20"/>
          <w:szCs w:val="20"/>
        </w:rPr>
        <w:t xml:space="preserve"> Revisión 4”.</w:t>
      </w:r>
    </w:p>
    <w:p w14:paraId="370ED4CA" w14:textId="77777777" w:rsidR="006F2E51" w:rsidRPr="00CF2301" w:rsidRDefault="006F2E51" w:rsidP="006F2E51">
      <w:pPr>
        <w:pBdr>
          <w:top w:val="nil"/>
          <w:left w:val="nil"/>
          <w:bottom w:val="nil"/>
          <w:right w:val="nil"/>
          <w:between w:val="nil"/>
        </w:pBdr>
        <w:spacing w:after="0" w:line="276" w:lineRule="auto"/>
        <w:jc w:val="both"/>
        <w:rPr>
          <w:rFonts w:ascii="Verdana" w:eastAsia="Arial" w:hAnsi="Verdana" w:cs="Arial"/>
          <w:color w:val="000000"/>
        </w:rPr>
      </w:pPr>
    </w:p>
    <w:p w14:paraId="4F0628B1" w14:textId="3493C8F1" w:rsidR="006F2E51" w:rsidRPr="00CF2301" w:rsidRDefault="006F2E51" w:rsidP="006F2E51">
      <w:pPr>
        <w:spacing w:after="120" w:line="276" w:lineRule="auto"/>
        <w:ind w:firstLine="708"/>
        <w:jc w:val="both"/>
        <w:rPr>
          <w:rFonts w:ascii="Verdana" w:eastAsia="Calibri" w:hAnsi="Verdana" w:cs="Arial"/>
          <w:color w:val="000000" w:themeColor="text1"/>
          <w:lang w:val="es-ES"/>
        </w:rPr>
      </w:pPr>
      <w:r w:rsidRPr="00CF2301">
        <w:rPr>
          <w:rFonts w:ascii="Verdana" w:eastAsia="Calibri" w:hAnsi="Verdana" w:cs="Arial"/>
          <w:color w:val="000000" w:themeColor="text1"/>
          <w:lang w:val="es-ES"/>
        </w:rPr>
        <w:t xml:space="preserve">La Ley de Emprendimiento atribuye la calidad de empresa a algunas </w:t>
      </w:r>
      <w:r w:rsidR="00B85ED4" w:rsidRPr="00CF2301">
        <w:rPr>
          <w:rFonts w:ascii="Verdana" w:eastAsia="Calibri" w:hAnsi="Verdana" w:cs="Arial"/>
          <w:color w:val="000000" w:themeColor="text1"/>
          <w:lang w:val="es-ES"/>
        </w:rPr>
        <w:t>entidades sin ánimo de lucro</w:t>
      </w:r>
      <w:r w:rsidRPr="00CF2301">
        <w:rPr>
          <w:rFonts w:ascii="Verdana" w:eastAsia="Calibri" w:hAnsi="Verdana" w:cs="Arial"/>
          <w:color w:val="000000" w:themeColor="text1"/>
          <w:lang w:val="es-ES"/>
        </w:rPr>
        <w:t xml:space="preserve">, con la posibilidad de que éstas también puedan clasificarse con microempresas. Al respecto, el artículo 23 de la Ley 2069 de 2020 dispone que “De conformidad con lo establecido por los artículos 4 de la Ley 79 de 1988 y 6 de la Ley 454 de 1998, </w:t>
      </w:r>
      <w:bookmarkStart w:id="1" w:name="_Hlk140491183"/>
      <w:r w:rsidRPr="00CF2301">
        <w:rPr>
          <w:rFonts w:ascii="Verdana" w:eastAsia="Calibri" w:hAnsi="Verdana" w:cs="Arial"/>
          <w:i/>
          <w:color w:val="000000" w:themeColor="text1"/>
          <w:lang w:val="es-ES"/>
        </w:rPr>
        <w:t>las cooperativas y demás entidades de la economía solidaria son empresas</w:t>
      </w:r>
      <w:bookmarkEnd w:id="1"/>
      <w:r w:rsidRPr="00CF2301">
        <w:rPr>
          <w:rFonts w:ascii="Verdana" w:eastAsia="Calibri" w:hAnsi="Verdana" w:cs="Arial"/>
          <w:color w:val="000000" w:themeColor="text1"/>
          <w:lang w:val="es-ES"/>
        </w:rPr>
        <w:t xml:space="preserve">. En tal virtud, para los efectos de la </w:t>
      </w:r>
      <w:r w:rsidRPr="00CF2301">
        <w:rPr>
          <w:rFonts w:ascii="Verdana" w:eastAsia="Calibri" w:hAnsi="Verdana" w:cs="Arial"/>
          <w:color w:val="000000" w:themeColor="text1"/>
          <w:lang w:val="es-ES"/>
        </w:rPr>
        <w:lastRenderedPageBreak/>
        <w:t xml:space="preserve">presente ley, las entidades de economía solidaria </w:t>
      </w:r>
      <w:r w:rsidRPr="00CF2301">
        <w:rPr>
          <w:rFonts w:ascii="Verdana" w:eastAsia="Calibri" w:hAnsi="Verdana" w:cs="Arial"/>
          <w:i/>
          <w:color w:val="000000" w:themeColor="text1"/>
          <w:lang w:val="es-ES"/>
        </w:rPr>
        <w:t xml:space="preserve">serán clasificadas como </w:t>
      </w:r>
      <w:proofErr w:type="spellStart"/>
      <w:r w:rsidRPr="00CF2301">
        <w:rPr>
          <w:rFonts w:ascii="Verdana" w:eastAsia="Calibri" w:hAnsi="Verdana" w:cs="Arial"/>
          <w:i/>
          <w:color w:val="000000" w:themeColor="text1"/>
          <w:lang w:val="es-ES"/>
        </w:rPr>
        <w:t>Mipymes</w:t>
      </w:r>
      <w:proofErr w:type="spellEnd"/>
      <w:r w:rsidRPr="00CF2301">
        <w:rPr>
          <w:rFonts w:ascii="Verdana" w:eastAsia="Calibri" w:hAnsi="Verdana" w:cs="Arial"/>
          <w:i/>
          <w:color w:val="000000" w:themeColor="text1"/>
          <w:lang w:val="es-ES"/>
        </w:rPr>
        <w:t xml:space="preserve"> en los términos establecidos por el artículo 2 de la Ley 590 de 2000 y por el Decreto 957 de 2019 o las normas que los modifiquen, deroguen o adicionen</w:t>
      </w:r>
      <w:r w:rsidRPr="00CF2301">
        <w:rPr>
          <w:rFonts w:ascii="Verdana" w:eastAsia="Calibri" w:hAnsi="Verdana" w:cs="Arial"/>
          <w:color w:val="000000" w:themeColor="text1"/>
          <w:lang w:val="es-ES"/>
        </w:rPr>
        <w:t>, sin perjuicio de la normatividad específica aplicable a sus diferentes figuras jurídicas, ni del marco de competencias institucionales de Gobierno para su fomento, fortalecimiento, inspección, control y vigilancia” (Énfasis fuera de texto).</w:t>
      </w:r>
    </w:p>
    <w:p w14:paraId="3A53E9F0" w14:textId="77777777" w:rsidR="006F2E51" w:rsidRPr="00CF2301" w:rsidRDefault="006F2E51" w:rsidP="006F2E51">
      <w:pP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El inciso primero del artículo 4 de la Ley 79 de 1988 dispone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Por su parte,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Pr="00CF2301">
        <w:rPr>
          <w:rStyle w:val="Refdenotaalpie"/>
          <w:rFonts w:ascii="Verdana" w:eastAsia="Calibri" w:hAnsi="Verdana" w:cs="Arial"/>
          <w:color w:val="000000" w:themeColor="text1"/>
          <w:lang w:val="es-ES_tradnl"/>
        </w:rPr>
        <w:footnoteReference w:id="18"/>
      </w:r>
      <w:r w:rsidRPr="00CF2301">
        <w:rPr>
          <w:rFonts w:ascii="Verdana" w:eastAsia="Calibri" w:hAnsi="Verdana" w:cs="Arial"/>
          <w:color w:val="000000" w:themeColor="text1"/>
          <w:lang w:val="es-ES_tradnl"/>
        </w:rPr>
        <w:t>.</w:t>
      </w:r>
    </w:p>
    <w:p w14:paraId="40427BA5" w14:textId="0571AF50" w:rsidR="006F2E51" w:rsidRPr="00CF2301" w:rsidRDefault="006F2E51" w:rsidP="006F2E51">
      <w:pP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 xml:space="preserve">Esta calidad empresarial de algunas </w:t>
      </w:r>
      <w:r w:rsidR="00B85ED4" w:rsidRPr="00CF2301">
        <w:rPr>
          <w:rFonts w:ascii="Verdana" w:eastAsia="Calibri" w:hAnsi="Verdana" w:cs="Arial"/>
          <w:color w:val="000000" w:themeColor="text1"/>
          <w:lang w:val="es-ES_tradnl"/>
        </w:rPr>
        <w:t>entidades sin ánimo de lucro</w:t>
      </w:r>
      <w:r w:rsidRPr="00CF2301">
        <w:rPr>
          <w:rFonts w:ascii="Verdana" w:eastAsia="Calibri" w:hAnsi="Verdana" w:cs="Arial"/>
          <w:color w:val="000000" w:themeColor="text1"/>
          <w:lang w:val="es-ES_tradnl"/>
        </w:rPr>
        <w:t xml:space="preserve">, así como el desarrollo de actividades mercantiles por parte de éstas, no riñe con la falta de </w:t>
      </w:r>
      <w:r w:rsidRPr="00CF2301">
        <w:rPr>
          <w:rFonts w:ascii="Verdana" w:eastAsia="Calibri" w:hAnsi="Verdana" w:cs="Arial"/>
          <w:bCs/>
          <w:i/>
          <w:iCs/>
          <w:color w:val="000000" w:themeColor="text1"/>
        </w:rPr>
        <w:t xml:space="preserve">animus </w:t>
      </w:r>
      <w:proofErr w:type="spellStart"/>
      <w:r w:rsidRPr="00CF2301">
        <w:rPr>
          <w:rFonts w:ascii="Verdana" w:eastAsia="Calibri" w:hAnsi="Verdana" w:cs="Arial"/>
          <w:bCs/>
          <w:i/>
          <w:iCs/>
          <w:color w:val="000000" w:themeColor="text1"/>
        </w:rPr>
        <w:t>lucrandi</w:t>
      </w:r>
      <w:proofErr w:type="spellEnd"/>
      <w:r w:rsidRPr="00CF2301">
        <w:rPr>
          <w:rFonts w:ascii="Verdana" w:eastAsia="Calibri" w:hAnsi="Verdana" w:cs="Arial"/>
          <w:bCs/>
          <w:color w:val="000000" w:themeColor="text1"/>
        </w:rPr>
        <w:t xml:space="preserve">. Como explica la Corte Constitucional en la Sentencia C-287 de 2012, con ponencia de la Magistrada María Victoria Calle Correa, “[…] el hecho que no persigan una finalidad </w:t>
      </w:r>
      <w:r w:rsidR="00123AC2" w:rsidRPr="00CF2301">
        <w:rPr>
          <w:rFonts w:ascii="Verdana" w:eastAsia="Calibri" w:hAnsi="Verdana" w:cs="Arial"/>
          <w:bCs/>
          <w:color w:val="000000" w:themeColor="text1"/>
        </w:rPr>
        <w:t>lucrativa</w:t>
      </w:r>
      <w:r w:rsidRPr="00CF2301">
        <w:rPr>
          <w:rFonts w:ascii="Verdana" w:eastAsia="Calibri" w:hAnsi="Verdana" w:cs="Arial"/>
          <w:bCs/>
          <w:color w:val="000000" w:themeColor="text1"/>
        </w:rPr>
        <w:t xml:space="preserve"> no significa que no desarrollen actividades que generen utilidades, lo que pasa es </w:t>
      </w:r>
      <w:proofErr w:type="gramStart"/>
      <w:r w:rsidRPr="00CF2301">
        <w:rPr>
          <w:rFonts w:ascii="Verdana" w:eastAsia="Calibri" w:hAnsi="Verdana" w:cs="Arial"/>
          <w:bCs/>
          <w:color w:val="000000" w:themeColor="text1"/>
        </w:rPr>
        <w:t>que</w:t>
      </w:r>
      <w:proofErr w:type="gramEnd"/>
      <w:r w:rsidRPr="00CF2301">
        <w:rPr>
          <w:rFonts w:ascii="Verdana" w:eastAsia="Calibri" w:hAnsi="Verdana" w:cs="Arial"/>
          <w:bCs/>
          <w:color w:val="000000" w:themeColor="text1"/>
        </w:rPr>
        <w:t xml:space="preserve"> a diferencia de las sociedades, el lucro o ganancia obtenida no se reparte entre sus miembros sino que se integra al patrimonio de la asociación para la obtención del fin deseado </w:t>
      </w:r>
      <w:r w:rsidRPr="00CF2301">
        <w:rPr>
          <w:rFonts w:ascii="Verdana" w:eastAsia="Calibri" w:hAnsi="Verdana" w:cs="Arial"/>
          <w:bCs/>
          <w:color w:val="000000" w:themeColor="text1"/>
        </w:rPr>
        <w:lastRenderedPageBreak/>
        <w:t>[…]”</w:t>
      </w:r>
      <w:r w:rsidRPr="00CF2301">
        <w:rPr>
          <w:rStyle w:val="Refdenotaalpie"/>
          <w:rFonts w:ascii="Verdana" w:eastAsia="Calibri" w:hAnsi="Verdana" w:cs="Arial"/>
          <w:bCs/>
          <w:color w:val="000000" w:themeColor="text1"/>
        </w:rPr>
        <w:footnoteReference w:id="19"/>
      </w:r>
      <w:r w:rsidRPr="00CF2301">
        <w:rPr>
          <w:rFonts w:ascii="Verdana" w:eastAsia="Calibri" w:hAnsi="Verdana" w:cs="Arial"/>
          <w:bCs/>
          <w:color w:val="000000" w:themeColor="text1"/>
        </w:rPr>
        <w:t xml:space="preserve">. Así, la principal característica de las </w:t>
      </w:r>
      <w:r w:rsidR="00804428" w:rsidRPr="00CF2301">
        <w:rPr>
          <w:rFonts w:ascii="Verdana" w:eastAsia="Calibri" w:hAnsi="Verdana" w:cs="Arial"/>
          <w:bCs/>
          <w:color w:val="000000" w:themeColor="text1"/>
        </w:rPr>
        <w:t>entidades sin ánimo de lucro</w:t>
      </w:r>
      <w:r w:rsidRPr="00CF2301">
        <w:rPr>
          <w:rFonts w:ascii="Verdana" w:eastAsia="Calibri" w:hAnsi="Verdana" w:cs="Arial"/>
          <w:bCs/>
          <w:color w:val="000000" w:themeColor="text1"/>
        </w:rPr>
        <w:t xml:space="preserve"> es la ausencia de lucro, es decir, las ganancias o beneficios económicos no están destinados a repartirse en favor de los miembros ni de terceros, sino que permanecen dentro de la entidad incrementando su patrimonio.  </w:t>
      </w:r>
    </w:p>
    <w:p w14:paraId="3851B070" w14:textId="77777777" w:rsidR="002E2BA9" w:rsidRPr="00CF2301" w:rsidRDefault="006F2E51" w:rsidP="006F2E51">
      <w:pPr>
        <w:pBdr>
          <w:top w:val="nil"/>
          <w:left w:val="nil"/>
          <w:bottom w:val="nil"/>
          <w:right w:val="nil"/>
          <w:between w:val="nil"/>
        </w:pBdr>
        <w:spacing w:after="120" w:line="276" w:lineRule="auto"/>
        <w:jc w:val="both"/>
        <w:rPr>
          <w:rFonts w:ascii="Verdana" w:eastAsia="Calibri" w:hAnsi="Verdana" w:cs="Arial"/>
          <w:color w:val="000000" w:themeColor="text1"/>
          <w:lang w:val="es-ES_tradnl"/>
        </w:rPr>
      </w:pPr>
      <w:r w:rsidRPr="00CF2301">
        <w:rPr>
          <w:rFonts w:ascii="Verdana" w:eastAsia="Arial" w:hAnsi="Verdana" w:cs="Arial"/>
          <w:color w:val="000000"/>
        </w:rPr>
        <w:tab/>
        <w:t xml:space="preserve">Sin embargo, la noción de unidad económica empleada en el Decreto 874 de 2024 no se identifica necesariamente con los conceptos de comerciante, empresa o establecimiento de comercio. Además de que los actores de la </w:t>
      </w:r>
      <w:r w:rsidR="005626F6" w:rsidRPr="00CF2301">
        <w:rPr>
          <w:rFonts w:ascii="Verdana" w:eastAsia="Arial" w:hAnsi="Verdana" w:cs="Arial"/>
          <w:color w:val="000000"/>
        </w:rPr>
        <w:t>E</w:t>
      </w:r>
      <w:r w:rsidRPr="00CF2301">
        <w:rPr>
          <w:rFonts w:ascii="Verdana" w:eastAsia="Arial" w:hAnsi="Verdana" w:cs="Arial"/>
          <w:color w:val="000000"/>
        </w:rPr>
        <w:t xml:space="preserve">conomía </w:t>
      </w:r>
      <w:r w:rsidR="005626F6" w:rsidRPr="00CF2301">
        <w:rPr>
          <w:rFonts w:ascii="Verdana" w:eastAsia="Arial" w:hAnsi="Verdana" w:cs="Arial"/>
          <w:color w:val="000000"/>
        </w:rPr>
        <w:t xml:space="preserve">Popular </w:t>
      </w:r>
      <w:r w:rsidRPr="00CF2301">
        <w:rPr>
          <w:rFonts w:ascii="Verdana" w:eastAsia="Arial" w:hAnsi="Verdana" w:cs="Arial"/>
          <w:color w:val="000000"/>
        </w:rPr>
        <w:t xml:space="preserve">y </w:t>
      </w:r>
      <w:r w:rsidR="005626F6" w:rsidRPr="00CF2301">
        <w:rPr>
          <w:rFonts w:ascii="Verdana" w:eastAsia="Arial" w:hAnsi="Verdana" w:cs="Arial"/>
          <w:color w:val="000000"/>
        </w:rPr>
        <w:t>Comunitaria</w:t>
      </w:r>
      <w:r w:rsidRPr="00CF2301">
        <w:rPr>
          <w:rFonts w:ascii="Verdana" w:eastAsia="Arial" w:hAnsi="Verdana" w:cs="Arial"/>
          <w:color w:val="000000"/>
        </w:rPr>
        <w:t xml:space="preserve"> pueden ejecutar </w:t>
      </w:r>
      <w:r w:rsidRPr="00CF2301">
        <w:rPr>
          <w:rFonts w:ascii="Verdana" w:eastAsia="Arial" w:hAnsi="Verdana" w:cs="Arial"/>
          <w:i/>
          <w:iCs/>
          <w:color w:val="000000"/>
        </w:rPr>
        <w:t>actividades no mercantiles</w:t>
      </w:r>
      <w:r w:rsidRPr="00CF2301">
        <w:rPr>
          <w:rFonts w:ascii="Verdana" w:eastAsia="Arial" w:hAnsi="Verdana" w:cs="Arial"/>
          <w:color w:val="000000"/>
        </w:rPr>
        <w:t xml:space="preserve">, quienes no se ocupan del ejercicio profesional de </w:t>
      </w:r>
      <w:r w:rsidRPr="00CF2301">
        <w:rPr>
          <w:rFonts w:ascii="Verdana" w:eastAsia="Arial" w:hAnsi="Verdana" w:cs="Arial"/>
          <w:i/>
          <w:iCs/>
          <w:color w:val="000000"/>
        </w:rPr>
        <w:t>actividades mercantiles</w:t>
      </w:r>
      <w:r w:rsidRPr="00CF2301">
        <w:rPr>
          <w:rFonts w:ascii="Verdana" w:eastAsia="Arial" w:hAnsi="Verdana" w:cs="Arial"/>
          <w:color w:val="000000"/>
        </w:rPr>
        <w:t xml:space="preserve"> están facultados</w:t>
      </w:r>
      <w:r w:rsidR="007D77B1" w:rsidRPr="00CF2301">
        <w:rPr>
          <w:rFonts w:ascii="Verdana" w:eastAsia="Arial" w:hAnsi="Verdana" w:cs="Arial"/>
          <w:color w:val="000000"/>
        </w:rPr>
        <w:t xml:space="preserve"> para</w:t>
      </w:r>
      <w:r w:rsidRPr="00CF2301">
        <w:rPr>
          <w:rFonts w:ascii="Verdana" w:eastAsia="Arial" w:hAnsi="Verdana" w:cs="Arial"/>
          <w:color w:val="000000"/>
        </w:rPr>
        <w:t xml:space="preserve"> realizar actos de comercio, sin necesidad de tener un conjunto de bienes organizados –artículo 515 del Código de Comercio– para la producción, transformación, circulación, administración o custodia de bienes, o para la prestación de servicios –artículo 25 </w:t>
      </w:r>
      <w:r w:rsidRPr="00CF2301">
        <w:rPr>
          <w:rFonts w:ascii="Verdana" w:eastAsia="Arial" w:hAnsi="Verdana" w:cs="Arial"/>
          <w:i/>
          <w:iCs/>
          <w:color w:val="000000"/>
        </w:rPr>
        <w:t>ibidem</w:t>
      </w:r>
      <w:r w:rsidRPr="00CF2301">
        <w:rPr>
          <w:rFonts w:ascii="Verdana" w:eastAsia="Arial" w:hAnsi="Verdana" w:cs="Arial"/>
          <w:color w:val="000000"/>
        </w:rPr>
        <w:t xml:space="preserve">–. Incluso, fuera de lo previsto en </w:t>
      </w:r>
      <w:r w:rsidRPr="00CF2301">
        <w:rPr>
          <w:rFonts w:ascii="Verdana" w:eastAsia="Calibri" w:hAnsi="Verdana" w:cs="Arial"/>
          <w:color w:val="000000" w:themeColor="text1"/>
          <w:lang w:val="es-ES_tradnl"/>
        </w:rPr>
        <w:t xml:space="preserve">el artículo 23 de la Ley 2069 de 2020, las demás ESAL </w:t>
      </w:r>
      <w:r w:rsidR="00137E92" w:rsidRPr="00CF2301">
        <w:rPr>
          <w:rFonts w:ascii="Verdana" w:eastAsia="Calibri" w:hAnsi="Verdana" w:cs="Arial"/>
          <w:color w:val="000000" w:themeColor="text1"/>
          <w:lang w:val="es-ES_tradnl"/>
        </w:rPr>
        <w:t>entidades sin ánimo de lucro</w:t>
      </w:r>
      <w:r w:rsidRPr="00CF2301">
        <w:rPr>
          <w:rFonts w:ascii="Verdana" w:eastAsia="Calibri" w:hAnsi="Verdana" w:cs="Arial"/>
          <w:color w:val="000000" w:themeColor="text1"/>
          <w:lang w:val="es-ES_tradnl"/>
        </w:rPr>
        <w:t xml:space="preserve"> tienen naturaleza empresarial, y el lugar donde operan no sería considerado un bien comercial.</w:t>
      </w:r>
    </w:p>
    <w:p w14:paraId="30970724" w14:textId="43256E19" w:rsidR="002E2BA9" w:rsidRPr="00CF2301" w:rsidRDefault="006F2E51" w:rsidP="002E2BA9">
      <w:pPr>
        <w:spacing w:after="120" w:line="276" w:lineRule="auto"/>
        <w:ind w:firstLine="708"/>
        <w:jc w:val="both"/>
        <w:rPr>
          <w:rFonts w:ascii="Verdana" w:eastAsia="Calibri" w:hAnsi="Verdana" w:cs="Arial"/>
          <w:bCs/>
          <w:lang w:val="es-ES_tradnl"/>
        </w:rPr>
      </w:pPr>
      <w:r w:rsidRPr="00CF2301">
        <w:rPr>
          <w:rFonts w:ascii="Verdana" w:eastAsia="Calibri" w:hAnsi="Verdana" w:cs="Arial"/>
          <w:color w:val="000000" w:themeColor="text1"/>
          <w:lang w:val="es-ES_tradnl"/>
        </w:rPr>
        <w:t xml:space="preserve"> </w:t>
      </w:r>
      <w:r w:rsidRPr="00CF2301">
        <w:rPr>
          <w:rFonts w:ascii="Verdana" w:eastAsia="Arial" w:hAnsi="Verdana" w:cs="Arial"/>
          <w:color w:val="000000"/>
        </w:rPr>
        <w:t xml:space="preserve">En todo caso, aunque reúnan las características mencionadas, el registro mercantil no es un requisito de capacidad jurídica de las </w:t>
      </w:r>
      <w:r w:rsidRPr="00CF2301">
        <w:rPr>
          <w:rFonts w:ascii="Verdana" w:eastAsia="Calibri" w:hAnsi="Verdana" w:cs="Arial"/>
          <w:bCs/>
          <w:color w:val="000000" w:themeColor="text1"/>
        </w:rPr>
        <w:t>personas naturales o entidades sin ánimo de lucro que pretendan celebrar contratos de Asociación Público Popular, ya que solamente es un medio de publicidad y, por tanto, no tiene una función constitutiva, sino declarativa</w:t>
      </w:r>
      <w:r w:rsidRPr="00CF2301">
        <w:rPr>
          <w:rStyle w:val="Refdenotaalpie"/>
          <w:rFonts w:ascii="Verdana" w:eastAsia="Calibri" w:hAnsi="Verdana" w:cs="Arial"/>
          <w:bCs/>
          <w:color w:val="000000" w:themeColor="text1"/>
        </w:rPr>
        <w:footnoteReference w:id="20"/>
      </w:r>
      <w:r w:rsidRPr="00CF2301">
        <w:rPr>
          <w:rFonts w:ascii="Verdana" w:eastAsia="Calibri" w:hAnsi="Verdana" w:cs="Arial"/>
          <w:bCs/>
          <w:color w:val="000000" w:themeColor="text1"/>
        </w:rPr>
        <w:t>.</w:t>
      </w:r>
      <w:r w:rsidR="002E2BA9" w:rsidRPr="00CF2301">
        <w:rPr>
          <w:rFonts w:ascii="Verdana" w:eastAsia="Calibri" w:hAnsi="Verdana" w:cs="Arial"/>
          <w:bCs/>
          <w:color w:val="000000" w:themeColor="text1"/>
        </w:rPr>
        <w:t xml:space="preserve"> F</w:t>
      </w:r>
      <w:r w:rsidR="002E2BA9" w:rsidRPr="00CF2301">
        <w:rPr>
          <w:rFonts w:ascii="Verdana" w:eastAsia="Calibri" w:hAnsi="Verdana" w:cs="Arial"/>
          <w:bCs/>
          <w:lang w:val="es-ES_tradnl"/>
        </w:rPr>
        <w:t xml:space="preserve">rente al requisito del registro mercantil, el artículo 29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002E2BA9" w:rsidRPr="00CF2301">
        <w:rPr>
          <w:rFonts w:ascii="Verdana" w:eastAsia="Calibri" w:hAnsi="Verdana" w:cs="Arial"/>
          <w:bCs/>
          <w:i/>
          <w:iCs/>
          <w:lang w:val="es-ES_tradnl"/>
        </w:rPr>
        <w:t>ibidem</w:t>
      </w:r>
      <w:r w:rsidR="002E2BA9" w:rsidRPr="00CF2301">
        <w:rPr>
          <w:rFonts w:ascii="Verdana" w:eastAsia="Calibri" w:hAnsi="Verdana" w:cs="Arial"/>
          <w:bCs/>
          <w:lang w:val="es-ES_tradnl"/>
        </w:rPr>
        <w:t xml:space="preserve"> señalan que cuando </w:t>
      </w:r>
      <w:r w:rsidR="002E2BA9" w:rsidRPr="00CF2301">
        <w:rPr>
          <w:rFonts w:ascii="Verdana" w:hAnsi="Verdana" w:cs="Arial"/>
        </w:rPr>
        <w:t xml:space="preserve">un empresario </w:t>
      </w:r>
      <w:r w:rsidR="002E2BA9" w:rsidRPr="00CF2301">
        <w:rPr>
          <w:rFonts w:ascii="Verdana" w:hAnsi="Verdana" w:cs="Arial"/>
        </w:rPr>
        <w:lastRenderedPageBreak/>
        <w:t xml:space="preserve">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2CF9BBC2" w14:textId="77777777" w:rsidR="002E2BA9" w:rsidRPr="00CF2301" w:rsidRDefault="002E2BA9" w:rsidP="002E2BA9">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color w:val="000000" w:themeColor="text1"/>
          <w:lang w:val="es-ES_tradnl"/>
        </w:rPr>
        <w:t>En ese sentido, si bien el registro mercantil puede ser un medio de prueba que permita acreditar que una persona ejerce una actividad mercantil, lo cierto es que este no basta para demostrar que pertenece a la Economía Popular y Comunitaria. Esto en la medida que, tal y como se señaló en los párrafos anteriores, es necesario que se acredite que ejerce oficios y ocupaciones relacionados con la producción, distribución y comercialización de bienes y servicios, así como otros aspectos que se analizarán más adelante, como es la condición de baja escala. Por otro lado, el registro mercantil no es aplicable en todos los casos para la verificación de las condiciones del sujeto a contratar, dado que el concepto de Economía Popular y Comunitaria también comprende actividades no mercantiles – las cuales se explicarán a continuación –, frente a las cuales el registro mercantil no será el documento idóneo.</w:t>
      </w:r>
    </w:p>
    <w:p w14:paraId="03A4C67D" w14:textId="77777777" w:rsidR="002E2BA9" w:rsidRPr="00CF2301" w:rsidRDefault="002E2BA9" w:rsidP="002E2BA9">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F2301">
        <w:rPr>
          <w:rFonts w:ascii="Verdana" w:eastAsia="Calibri" w:hAnsi="Verdana" w:cs="Arial"/>
          <w:color w:val="000000" w:themeColor="text1"/>
        </w:rPr>
        <w:t xml:space="preserve">En consecuencia, la Entidad Estatal deberá señalar en los documentos del proceso cuál es la información que se debe acreditar, así como los documentos que tendrá como válidos para tal fin. En consecuencia, el sujeto que pretenda suscribir este tipo de contratos deberá ceñirse a lo dispuesto por la entidad y allegar toda información ordenada, en los términos y la forma en que hayan sido señalados. </w:t>
      </w:r>
    </w:p>
    <w:p w14:paraId="5C00692B" w14:textId="1E8096BD" w:rsidR="006F2E51" w:rsidRPr="00CF2301" w:rsidRDefault="006F2E51" w:rsidP="006F2E51">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F2301">
        <w:rPr>
          <w:rFonts w:ascii="Verdana" w:eastAsia="Calibri" w:hAnsi="Verdana" w:cs="Arial"/>
          <w:bCs/>
          <w:color w:val="000000" w:themeColor="text1"/>
        </w:rPr>
        <w:t xml:space="preserve">Finalmente, </w:t>
      </w:r>
      <w:r w:rsidRPr="00CF2301">
        <w:rPr>
          <w:rFonts w:ascii="Verdana" w:eastAsia="Calibri" w:hAnsi="Verdana" w:cs="Arial"/>
          <w:color w:val="000000" w:themeColor="text1"/>
          <w:lang w:val="es-ES_tradnl"/>
        </w:rPr>
        <w:t xml:space="preserve">el artículo 2.2.16.1.4 del Decreto 1082 de 2015 prescribe que “[…] Los actores de la Economía Popular pueden realizar sus actividades de manera individual, en unidades económicas, u organizados de manera asociativa”. El concepto de unidad económica es el explicado en el punto anterior, siempre que corresponda a la categoría de baja escala. No obstante, también podrán organizarse de forma individual o asociativa, es decir, tanto por una sola persona natural o </w:t>
      </w:r>
      <w:r w:rsidR="001D4791" w:rsidRPr="00CF2301">
        <w:rPr>
          <w:rFonts w:ascii="Verdana" w:eastAsia="Calibri" w:hAnsi="Verdana" w:cs="Arial"/>
          <w:color w:val="000000" w:themeColor="text1"/>
          <w:lang w:val="es-ES_tradnl"/>
        </w:rPr>
        <w:t xml:space="preserve">entidades sin ánimo de lucro </w:t>
      </w:r>
      <w:r w:rsidRPr="00CF2301">
        <w:rPr>
          <w:rFonts w:ascii="Verdana" w:eastAsia="Calibri" w:hAnsi="Verdana" w:cs="Arial"/>
          <w:color w:val="000000" w:themeColor="text1"/>
          <w:lang w:val="es-ES_tradnl"/>
        </w:rPr>
        <w:t xml:space="preserve">como por un grupo de </w:t>
      </w:r>
      <w:proofErr w:type="gramStart"/>
      <w:r w:rsidRPr="00CF2301">
        <w:rPr>
          <w:rFonts w:ascii="Verdana" w:eastAsia="Calibri" w:hAnsi="Verdana" w:cs="Arial"/>
          <w:color w:val="000000" w:themeColor="text1"/>
          <w:lang w:val="es-ES_tradnl"/>
        </w:rPr>
        <w:t>las mismas</w:t>
      </w:r>
      <w:proofErr w:type="gramEnd"/>
      <w:r w:rsidRPr="00CF2301">
        <w:rPr>
          <w:rFonts w:ascii="Verdana" w:eastAsia="Calibri" w:hAnsi="Verdana" w:cs="Arial"/>
          <w:color w:val="000000" w:themeColor="text1"/>
          <w:lang w:val="es-ES_tradnl"/>
        </w:rPr>
        <w:t xml:space="preserve">. </w:t>
      </w:r>
    </w:p>
    <w:p w14:paraId="16CF80F2" w14:textId="5B977AA7" w:rsidR="006F2E51" w:rsidRPr="00CF2301" w:rsidRDefault="006F2E51" w:rsidP="006F2E51">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F2301">
        <w:rPr>
          <w:rFonts w:ascii="Verdana" w:eastAsia="Calibri" w:hAnsi="Verdana" w:cs="Arial"/>
          <w:color w:val="000000" w:themeColor="text1"/>
          <w:lang w:val="es-ES_tradnl"/>
        </w:rPr>
        <w:t xml:space="preserve">Estas formas asociativas tienen su fundamento en el artículo 38 constitucional, y de ellas pueden surgir o no una nueva persona jurídica. </w:t>
      </w:r>
      <w:r w:rsidRPr="00CF2301">
        <w:rPr>
          <w:rFonts w:ascii="Verdana" w:eastAsia="Calibri" w:hAnsi="Verdana" w:cs="Arial"/>
          <w:lang w:val="es-ES"/>
        </w:rPr>
        <w:t xml:space="preserve">Estas últimas son entes ficticios con capacidad autónoma para ejercer derechos y </w:t>
      </w:r>
      <w:r w:rsidRPr="00CF2301">
        <w:rPr>
          <w:rFonts w:ascii="Verdana" w:eastAsia="Calibri" w:hAnsi="Verdana" w:cs="Arial"/>
          <w:lang w:val="es-ES"/>
        </w:rPr>
        <w:lastRenderedPageBreak/>
        <w:t>contraer obligaciones –</w:t>
      </w:r>
      <w:r w:rsidRPr="00CF2301">
        <w:rPr>
          <w:rFonts w:ascii="Verdana" w:eastAsia="Calibri" w:hAnsi="Verdana" w:cs="Arial"/>
          <w:color w:val="000000" w:themeColor="text1"/>
        </w:rPr>
        <w:t>art</w:t>
      </w:r>
      <w:r w:rsidR="003E676F" w:rsidRPr="00CF2301">
        <w:rPr>
          <w:rFonts w:ascii="Verdana" w:eastAsia="Calibri" w:hAnsi="Verdana" w:cs="Arial"/>
          <w:color w:val="000000" w:themeColor="text1"/>
        </w:rPr>
        <w:t xml:space="preserve">ículo </w:t>
      </w:r>
      <w:r w:rsidRPr="00CF2301">
        <w:rPr>
          <w:rFonts w:ascii="Verdana" w:eastAsia="Calibri" w:hAnsi="Verdana" w:cs="Arial"/>
          <w:color w:val="000000" w:themeColor="text1"/>
        </w:rPr>
        <w:t>633 del Código Civil–</w:t>
      </w:r>
      <w:r w:rsidRPr="00CF2301">
        <w:rPr>
          <w:rStyle w:val="Refdenotaalpie"/>
          <w:rFonts w:ascii="Verdana" w:eastAsia="Calibri" w:hAnsi="Verdana" w:cs="Arial"/>
          <w:color w:val="000000" w:themeColor="text1"/>
        </w:rPr>
        <w:footnoteReference w:id="21"/>
      </w:r>
      <w:r w:rsidRPr="00CF2301">
        <w:rPr>
          <w:rFonts w:ascii="Verdana" w:eastAsia="Calibri" w:hAnsi="Verdana" w:cs="Arial"/>
          <w:color w:val="000000" w:themeColor="text1"/>
        </w:rPr>
        <w:t>. Aunque la participación corresponda a otros sujetos de derecho, dichos entes tienen personería jurídica diferente de los socios individualmente considerados</w:t>
      </w:r>
      <w:r w:rsidRPr="00CF2301">
        <w:rPr>
          <w:rStyle w:val="Refdenotaalpie"/>
          <w:rFonts w:ascii="Verdana" w:eastAsia="Calibri" w:hAnsi="Verdana" w:cs="Arial"/>
          <w:color w:val="000000" w:themeColor="text1"/>
        </w:rPr>
        <w:footnoteReference w:id="22"/>
      </w:r>
      <w:r w:rsidRPr="00CF2301">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CF2301">
        <w:rPr>
          <w:rStyle w:val="Refdenotaalpie"/>
          <w:rFonts w:ascii="Verdana" w:eastAsia="Calibri" w:hAnsi="Verdana" w:cs="Arial"/>
          <w:color w:val="000000" w:themeColor="text1"/>
        </w:rPr>
        <w:footnoteReference w:id="23"/>
      </w:r>
      <w:r w:rsidRPr="00CF2301">
        <w:rPr>
          <w:rFonts w:ascii="Verdana" w:eastAsia="Calibri" w:hAnsi="Verdana" w:cs="Arial"/>
          <w:color w:val="000000" w:themeColor="text1"/>
        </w:rPr>
        <w:t xml:space="preserve">. </w:t>
      </w:r>
    </w:p>
    <w:p w14:paraId="31929417" w14:textId="4FF58668" w:rsidR="006F2E51" w:rsidRPr="00CF2301" w:rsidRDefault="006F2E51" w:rsidP="006F2E51">
      <w:pPr>
        <w:pBdr>
          <w:top w:val="nil"/>
          <w:left w:val="nil"/>
          <w:bottom w:val="nil"/>
          <w:right w:val="nil"/>
          <w:between w:val="nil"/>
        </w:pBdr>
        <w:spacing w:after="0" w:line="276" w:lineRule="auto"/>
        <w:ind w:firstLine="708"/>
        <w:jc w:val="both"/>
        <w:rPr>
          <w:rFonts w:ascii="Verdana" w:hAnsi="Verdana" w:cs="Arial"/>
          <w:color w:val="000000" w:themeColor="text1"/>
        </w:rPr>
      </w:pPr>
      <w:r w:rsidRPr="00CF2301">
        <w:rPr>
          <w:rFonts w:ascii="Verdana" w:eastAsia="Calibri" w:hAnsi="Verdana" w:cs="Arial"/>
          <w:color w:val="000000" w:themeColor="text1"/>
        </w:rPr>
        <w:t xml:space="preserve">No obstante, de la norma transcrita no se desprende la necesidad de que los asociados constituyan una persona jurídica independiente para ser parte de la “economía social y comunitaria”. Es decir, pueden aunar esfuerzos de forma colectiva para desarrollar </w:t>
      </w:r>
      <w:r w:rsidRPr="00CF2301">
        <w:rPr>
          <w:rFonts w:ascii="Verdana" w:eastAsia="Calibri" w:hAnsi="Verdana" w:cs="Arial"/>
          <w:i/>
          <w:iCs/>
          <w:color w:val="000000" w:themeColor="text1"/>
          <w:lang w:val="es-ES_tradnl"/>
        </w:rPr>
        <w:t xml:space="preserve">actividades mercantiles </w:t>
      </w:r>
      <w:r w:rsidRPr="00CF2301">
        <w:rPr>
          <w:rFonts w:ascii="Verdana" w:eastAsia="Calibri" w:hAnsi="Verdana" w:cs="Arial"/>
          <w:color w:val="000000" w:themeColor="text1"/>
          <w:lang w:val="es-ES_tradnl"/>
        </w:rPr>
        <w:t>y</w:t>
      </w:r>
      <w:r w:rsidRPr="00CF2301">
        <w:rPr>
          <w:rFonts w:ascii="Verdana" w:eastAsia="Calibri" w:hAnsi="Verdana" w:cs="Arial"/>
          <w:i/>
          <w:iCs/>
          <w:color w:val="000000" w:themeColor="text1"/>
          <w:lang w:val="es-ES_tradnl"/>
        </w:rPr>
        <w:t xml:space="preserve"> no mercantiles </w:t>
      </w:r>
      <w:r w:rsidRPr="00CF2301">
        <w:rPr>
          <w:rFonts w:ascii="Verdana" w:eastAsia="Calibri" w:hAnsi="Verdana" w:cs="Arial"/>
          <w:color w:val="000000" w:themeColor="text1"/>
          <w:lang w:val="es-ES_tradnl"/>
        </w:rPr>
        <w:t>de pequeña escala, por lo que –a diferencia de las descritas en el párrafo anterior, sin perjuicio de mantener el propósito altruista de las acciones desplegadas– se tratará de “asociaciones no reconocidas”</w:t>
      </w:r>
      <w:r w:rsidRPr="00CF2301">
        <w:rPr>
          <w:rStyle w:val="Refdenotaalpie"/>
          <w:rFonts w:ascii="Verdana" w:eastAsia="Calibri" w:hAnsi="Verdana" w:cs="Arial"/>
          <w:color w:val="000000" w:themeColor="text1"/>
          <w:lang w:val="es-ES_tradnl"/>
        </w:rPr>
        <w:footnoteReference w:id="24"/>
      </w:r>
      <w:r w:rsidRPr="00CF2301">
        <w:rPr>
          <w:rFonts w:ascii="Verdana" w:eastAsia="Calibri" w:hAnsi="Verdana" w:cs="Arial"/>
          <w:color w:val="000000" w:themeColor="text1"/>
          <w:lang w:val="es-ES_tradnl"/>
        </w:rPr>
        <w:t>.</w:t>
      </w:r>
      <w:r w:rsidRPr="00CF2301">
        <w:rPr>
          <w:rFonts w:ascii="Verdana" w:eastAsia="Calibri" w:hAnsi="Verdana" w:cs="Arial"/>
          <w:color w:val="000000" w:themeColor="text1"/>
        </w:rPr>
        <w:t xml:space="preserve"> Como carecen de capacidad jurídica </w:t>
      </w:r>
      <w:r w:rsidRPr="00CF2301">
        <w:rPr>
          <w:rFonts w:ascii="Verdana" w:eastAsia="Calibri" w:hAnsi="Verdana" w:cs="Arial"/>
          <w:color w:val="000000" w:themeColor="text1"/>
        </w:rPr>
        <w:lastRenderedPageBreak/>
        <w:t xml:space="preserve">autónoma, </w:t>
      </w:r>
      <w:r w:rsidRPr="00CF2301">
        <w:rPr>
          <w:rFonts w:ascii="Verdana" w:hAnsi="Verdana" w:cs="Arial"/>
          <w:color w:val="000000" w:themeColor="text1"/>
        </w:rPr>
        <w:t>la celebración de cualquier negocio jurídico no corresponde a la asociación, sino a todos sus integrantes de forma conjunta. Es decir, son los participantes –no la asociación conformada– los que tienen personería y capacidad para actuar.</w:t>
      </w:r>
      <w:r w:rsidR="00665EC7" w:rsidRPr="00CF2301">
        <w:rPr>
          <w:rFonts w:ascii="Verdana" w:hAnsi="Verdana" w:cs="Arial"/>
          <w:color w:val="000000" w:themeColor="text1"/>
        </w:rPr>
        <w:t xml:space="preserve"> Ahora bien, para determinar si una asociación pertenece o no a la Economía Popular y Comunitaria, será necesario que todos sus integrantes puedan ser clasificados como tales. </w:t>
      </w:r>
    </w:p>
    <w:p w14:paraId="4CF46E4B" w14:textId="77777777" w:rsidR="004D4567" w:rsidRPr="00CF2301" w:rsidRDefault="004D4567" w:rsidP="006F2E51">
      <w:pPr>
        <w:pBdr>
          <w:top w:val="nil"/>
          <w:left w:val="nil"/>
          <w:bottom w:val="nil"/>
          <w:right w:val="nil"/>
          <w:between w:val="nil"/>
        </w:pBdr>
        <w:spacing w:after="120" w:line="276" w:lineRule="auto"/>
        <w:jc w:val="both"/>
        <w:rPr>
          <w:rFonts w:ascii="Verdana" w:hAnsi="Verdana" w:cs="Arial"/>
          <w:color w:val="000000" w:themeColor="text1"/>
        </w:rPr>
      </w:pPr>
    </w:p>
    <w:p w14:paraId="66ED8A83" w14:textId="4A9B901C" w:rsidR="006F2E51" w:rsidRPr="00CF2301" w:rsidRDefault="006F2E51" w:rsidP="006F2E51">
      <w:pPr>
        <w:pBdr>
          <w:top w:val="nil"/>
          <w:left w:val="nil"/>
          <w:bottom w:val="nil"/>
          <w:right w:val="nil"/>
          <w:between w:val="nil"/>
        </w:pBdr>
        <w:spacing w:after="120" w:line="276" w:lineRule="auto"/>
        <w:jc w:val="both"/>
        <w:rPr>
          <w:rFonts w:ascii="Verdana" w:hAnsi="Verdana" w:cs="Arial"/>
          <w:color w:val="000000" w:themeColor="text1"/>
        </w:rPr>
      </w:pPr>
      <w:r w:rsidRPr="00CF2301">
        <w:rPr>
          <w:rFonts w:ascii="Verdana" w:hAnsi="Verdana" w:cs="Arial"/>
          <w:color w:val="000000" w:themeColor="text1"/>
        </w:rPr>
        <w:t>Por ser una causal de contratación directa, las condiciones para celebrar contratos de Asociación Público Popular deben interpretarse restrictivamente, pues excepciona los procedimientos con pluralidad de oferentes. Incluso, el artículo 2.2.16.1.8 del Decreto 1082 de 2015 prohíbe fraccionar el objeto contractual para eludirlos</w:t>
      </w:r>
      <w:r w:rsidRPr="00CF2301">
        <w:rPr>
          <w:rStyle w:val="Refdenotaalpie"/>
          <w:rFonts w:ascii="Verdana" w:hAnsi="Verdana" w:cs="Arial"/>
          <w:color w:val="000000" w:themeColor="text1"/>
        </w:rPr>
        <w:footnoteReference w:id="25"/>
      </w:r>
      <w:r w:rsidRPr="00CF2301">
        <w:rPr>
          <w:rFonts w:ascii="Verdana" w:hAnsi="Verdana" w:cs="Arial"/>
          <w:color w:val="000000" w:themeColor="text1"/>
        </w:rPr>
        <w:t xml:space="preserve">. Esto sin perjuicio de que las Entidades Estatales verifiquen la conveniencia y oportunidad de celebrar estos negocios jurídicos de cara a criterios técnicos y económicos, para garantizar la idoneidad del contratista, la calidad del objeto ejecutado, así como el uso eficiente de los recursos públicos. </w:t>
      </w:r>
    </w:p>
    <w:p w14:paraId="454E5C3E" w14:textId="63C88F92" w:rsidR="00D5493A" w:rsidRPr="00CF2301" w:rsidRDefault="006F2E51" w:rsidP="00EC396C">
      <w:pPr>
        <w:pBdr>
          <w:top w:val="nil"/>
          <w:left w:val="nil"/>
          <w:bottom w:val="nil"/>
          <w:right w:val="nil"/>
          <w:between w:val="nil"/>
        </w:pBdr>
        <w:spacing w:after="0" w:line="276" w:lineRule="auto"/>
        <w:jc w:val="both"/>
        <w:rPr>
          <w:rFonts w:ascii="Verdana" w:hAnsi="Verdana" w:cs="Arial"/>
          <w:color w:val="000000" w:themeColor="text1"/>
        </w:rPr>
      </w:pPr>
      <w:r w:rsidRPr="00CF2301">
        <w:rPr>
          <w:rFonts w:ascii="Verdana" w:hAnsi="Verdana" w:cs="Arial"/>
          <w:color w:val="000000" w:themeColor="text1"/>
        </w:rPr>
        <w:tab/>
      </w:r>
      <w:proofErr w:type="spellStart"/>
      <w:r w:rsidR="004D4567" w:rsidRPr="00CF2301">
        <w:rPr>
          <w:rFonts w:ascii="Verdana" w:hAnsi="Verdana" w:cs="Arial"/>
          <w:color w:val="000000" w:themeColor="text1"/>
        </w:rPr>
        <w:t>iv</w:t>
      </w:r>
      <w:proofErr w:type="spellEnd"/>
      <w:r w:rsidR="004D4567" w:rsidRPr="00CF2301">
        <w:rPr>
          <w:rFonts w:ascii="Verdana" w:hAnsi="Verdana" w:cs="Arial"/>
          <w:color w:val="000000" w:themeColor="text1"/>
        </w:rPr>
        <w:t xml:space="preserve">) </w:t>
      </w:r>
      <w:r w:rsidR="00D5493A" w:rsidRPr="00CF2301">
        <w:rPr>
          <w:rFonts w:ascii="Verdana" w:hAnsi="Verdana" w:cs="Arial"/>
          <w:color w:val="000000" w:themeColor="text1"/>
        </w:rPr>
        <w:t xml:space="preserve">Finalmente, sobre el aspecto relacionado con la </w:t>
      </w:r>
      <w:r w:rsidR="00E56BF5" w:rsidRPr="00CF2301">
        <w:rPr>
          <w:rFonts w:ascii="Verdana" w:hAnsi="Verdana" w:cs="Arial"/>
          <w:i/>
          <w:iCs/>
          <w:color w:val="000000" w:themeColor="text1"/>
        </w:rPr>
        <w:t>territorialidad</w:t>
      </w:r>
      <w:r w:rsidR="007F195C" w:rsidRPr="00CF2301">
        <w:rPr>
          <w:rFonts w:ascii="Verdana" w:hAnsi="Verdana" w:cs="Arial"/>
          <w:i/>
          <w:iCs/>
          <w:color w:val="000000" w:themeColor="text1"/>
        </w:rPr>
        <w:t xml:space="preserve">, </w:t>
      </w:r>
      <w:r w:rsidR="007F195C" w:rsidRPr="00CF2301">
        <w:rPr>
          <w:rFonts w:ascii="Verdana" w:hAnsi="Verdana" w:cs="Arial"/>
          <w:color w:val="000000" w:themeColor="text1"/>
        </w:rPr>
        <w:t xml:space="preserve">debe señalarse que, ni el artículo 100 de la Ley 2294 de 2023 ni el Decreto </w:t>
      </w:r>
      <w:r w:rsidR="009A29D2" w:rsidRPr="00CF2301">
        <w:rPr>
          <w:rFonts w:ascii="Verdana" w:hAnsi="Verdana" w:cs="Arial"/>
          <w:color w:val="000000" w:themeColor="text1"/>
        </w:rPr>
        <w:t xml:space="preserve">874 del 2024 incorporan una norma que limite la </w:t>
      </w:r>
      <w:r w:rsidR="007F195C" w:rsidRPr="00CF2301">
        <w:rPr>
          <w:rFonts w:ascii="Verdana" w:hAnsi="Verdana" w:cs="Arial"/>
          <w:color w:val="000000" w:themeColor="text1"/>
        </w:rPr>
        <w:t>escogencia</w:t>
      </w:r>
      <w:r w:rsidR="006A6C20" w:rsidRPr="00CF2301">
        <w:rPr>
          <w:rFonts w:ascii="Verdana" w:hAnsi="Verdana" w:cs="Arial"/>
          <w:color w:val="000000" w:themeColor="text1"/>
        </w:rPr>
        <w:t xml:space="preserve"> de la persona natural o jurídica</w:t>
      </w:r>
      <w:r w:rsidR="007F195C" w:rsidRPr="00CF2301">
        <w:rPr>
          <w:rFonts w:ascii="Verdana" w:hAnsi="Verdana" w:cs="Arial"/>
          <w:color w:val="000000" w:themeColor="text1"/>
        </w:rPr>
        <w:t xml:space="preserve"> a la territorialidad de la cual la entidad contratante tiene jurisdicción para contrata</w:t>
      </w:r>
      <w:r w:rsidR="000F266F" w:rsidRPr="00CF2301">
        <w:rPr>
          <w:rFonts w:ascii="Verdana" w:hAnsi="Verdana" w:cs="Arial"/>
          <w:color w:val="000000" w:themeColor="text1"/>
        </w:rPr>
        <w:t>r</w:t>
      </w:r>
      <w:r w:rsidR="002A3753" w:rsidRPr="00CF2301">
        <w:rPr>
          <w:rFonts w:ascii="Verdana" w:hAnsi="Verdana" w:cs="Arial"/>
          <w:color w:val="000000" w:themeColor="text1"/>
        </w:rPr>
        <w:t xml:space="preserve">, </w:t>
      </w:r>
      <w:r w:rsidR="000F266F" w:rsidRPr="00CF2301">
        <w:rPr>
          <w:rFonts w:ascii="Verdana" w:hAnsi="Verdana" w:cs="Arial"/>
          <w:color w:val="000000" w:themeColor="text1"/>
        </w:rPr>
        <w:t xml:space="preserve">por lo cual la persona natural o juridica </w:t>
      </w:r>
      <w:r w:rsidR="00D5493A" w:rsidRPr="00CF2301">
        <w:rPr>
          <w:rFonts w:ascii="Verdana" w:hAnsi="Verdana" w:cs="Arial"/>
          <w:color w:val="000000" w:themeColor="text1"/>
        </w:rPr>
        <w:t xml:space="preserve">no </w:t>
      </w:r>
      <w:r w:rsidR="00EC396C" w:rsidRPr="00CF2301">
        <w:rPr>
          <w:rFonts w:ascii="Verdana" w:hAnsi="Verdana" w:cs="Arial"/>
          <w:color w:val="000000" w:themeColor="text1"/>
        </w:rPr>
        <w:t xml:space="preserve">debe </w:t>
      </w:r>
      <w:r w:rsidR="00D5493A" w:rsidRPr="00CF2301">
        <w:rPr>
          <w:rFonts w:ascii="Verdana" w:hAnsi="Verdana" w:cs="Arial"/>
          <w:color w:val="000000" w:themeColor="text1"/>
        </w:rPr>
        <w:t>est</w:t>
      </w:r>
      <w:r w:rsidR="00EC396C" w:rsidRPr="00CF2301">
        <w:rPr>
          <w:rFonts w:ascii="Verdana" w:hAnsi="Verdana" w:cs="Arial"/>
          <w:color w:val="000000" w:themeColor="text1"/>
        </w:rPr>
        <w:t>ar</w:t>
      </w:r>
      <w:r w:rsidR="00D5493A" w:rsidRPr="00CF2301">
        <w:rPr>
          <w:rFonts w:ascii="Verdana" w:hAnsi="Verdana" w:cs="Arial"/>
          <w:color w:val="000000" w:themeColor="text1"/>
        </w:rPr>
        <w:t xml:space="preserve"> ligada al ámbito territorial en el que se va a desarrollar el objeto contractual. </w:t>
      </w:r>
    </w:p>
    <w:p w14:paraId="2C9805C0" w14:textId="77777777" w:rsidR="006F2E51" w:rsidRPr="00CF2301" w:rsidRDefault="006F2E51" w:rsidP="00EC396C">
      <w:pPr>
        <w:spacing w:after="0" w:line="276" w:lineRule="auto"/>
        <w:jc w:val="both"/>
        <w:rPr>
          <w:rFonts w:ascii="Verdana" w:eastAsia="Times New Roman" w:hAnsi="Verdana" w:cs="Arial"/>
          <w:color w:val="000000" w:themeColor="text1"/>
          <w:lang w:eastAsia="es-CO"/>
        </w:rPr>
      </w:pPr>
    </w:p>
    <w:p w14:paraId="5F216C3E" w14:textId="77777777" w:rsidR="006F2E51" w:rsidRPr="00CF2301" w:rsidRDefault="006F2E51" w:rsidP="00EC39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F2301">
        <w:rPr>
          <w:rFonts w:ascii="Verdana" w:eastAsia="Century Gothic" w:hAnsi="Verdana" w:cs="Century Gothic"/>
          <w:b/>
          <w:bCs/>
        </w:rPr>
        <w:t>Referencias normativas:</w:t>
      </w:r>
    </w:p>
    <w:p w14:paraId="20426A08" w14:textId="77777777" w:rsidR="006F2E51" w:rsidRPr="00CF2301" w:rsidRDefault="006F2E51" w:rsidP="00EC396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2E51" w:rsidRPr="00CF2301" w14:paraId="600588D8" w14:textId="77777777" w:rsidTr="00473D03">
        <w:trPr>
          <w:trHeight w:val="870"/>
          <w:jc w:val="center"/>
        </w:trPr>
        <w:tc>
          <w:tcPr>
            <w:tcW w:w="8647" w:type="dxa"/>
          </w:tcPr>
          <w:p w14:paraId="2EEA70C6" w14:textId="23403857" w:rsidR="006F2E51" w:rsidRPr="00CF2301" w:rsidRDefault="006F2E51" w:rsidP="002F45B9">
            <w:pPr>
              <w:pStyle w:val="Prrafodelista"/>
              <w:widowControl w:val="0"/>
              <w:numPr>
                <w:ilvl w:val="0"/>
                <w:numId w:val="17"/>
              </w:numPr>
              <w:autoSpaceDE w:val="0"/>
              <w:autoSpaceDN w:val="0"/>
              <w:spacing w:line="276" w:lineRule="auto"/>
              <w:ind w:left="360"/>
              <w:jc w:val="both"/>
              <w:rPr>
                <w:rFonts w:ascii="Verdana" w:hAnsi="Verdana" w:cs="Arial"/>
              </w:rPr>
            </w:pPr>
            <w:r w:rsidRPr="00CF2301">
              <w:rPr>
                <w:rFonts w:ascii="Verdana" w:hAnsi="Verdana" w:cs="Arial"/>
              </w:rPr>
              <w:t>Ley 80 de 1993</w:t>
            </w:r>
            <w:r w:rsidR="004055A7" w:rsidRPr="00CF2301">
              <w:rPr>
                <w:rFonts w:ascii="Verdana" w:hAnsi="Verdana" w:cs="Arial"/>
              </w:rPr>
              <w:t>:</w:t>
            </w:r>
            <w:r w:rsidRPr="00CF2301">
              <w:rPr>
                <w:rFonts w:ascii="Verdana" w:hAnsi="Verdana" w:cs="Arial"/>
              </w:rPr>
              <w:t xml:space="preserve"> </w:t>
            </w:r>
            <w:r w:rsidR="004055A7" w:rsidRPr="00CF2301">
              <w:rPr>
                <w:rFonts w:ascii="Verdana" w:hAnsi="Verdana" w:cs="Arial"/>
              </w:rPr>
              <w:t>A</w:t>
            </w:r>
            <w:r w:rsidRPr="00CF2301">
              <w:rPr>
                <w:rFonts w:ascii="Verdana" w:hAnsi="Verdana" w:cs="Arial"/>
              </w:rPr>
              <w:t xml:space="preserve">rtículo 32. </w:t>
            </w:r>
          </w:p>
          <w:p w14:paraId="72F53AC9" w14:textId="77777777" w:rsidR="006F2E51" w:rsidRPr="00CF2301" w:rsidRDefault="006F2E51" w:rsidP="002F45B9">
            <w:pPr>
              <w:pStyle w:val="Prrafodelista"/>
              <w:widowControl w:val="0"/>
              <w:autoSpaceDE w:val="0"/>
              <w:autoSpaceDN w:val="0"/>
              <w:spacing w:line="276" w:lineRule="auto"/>
              <w:ind w:left="360"/>
              <w:jc w:val="both"/>
              <w:rPr>
                <w:rFonts w:ascii="Verdana" w:hAnsi="Verdana" w:cs="Arial"/>
                <w:sz w:val="12"/>
                <w:szCs w:val="12"/>
              </w:rPr>
            </w:pPr>
          </w:p>
          <w:p w14:paraId="44DD2F93" w14:textId="33813256" w:rsidR="006F2E51" w:rsidRPr="00CF2301" w:rsidRDefault="006F2E51" w:rsidP="002F45B9">
            <w:pPr>
              <w:pStyle w:val="Prrafodelista"/>
              <w:widowControl w:val="0"/>
              <w:numPr>
                <w:ilvl w:val="0"/>
                <w:numId w:val="17"/>
              </w:numPr>
              <w:autoSpaceDE w:val="0"/>
              <w:autoSpaceDN w:val="0"/>
              <w:spacing w:line="276" w:lineRule="auto"/>
              <w:ind w:left="360"/>
              <w:jc w:val="both"/>
              <w:rPr>
                <w:rFonts w:ascii="Verdana" w:hAnsi="Verdana" w:cs="Arial"/>
              </w:rPr>
            </w:pPr>
            <w:r w:rsidRPr="00CF2301">
              <w:rPr>
                <w:rFonts w:ascii="Verdana" w:hAnsi="Verdana" w:cs="Arial"/>
              </w:rPr>
              <w:t>Ley 1150 de 2007</w:t>
            </w:r>
            <w:r w:rsidR="004055A7" w:rsidRPr="00CF2301">
              <w:rPr>
                <w:rFonts w:ascii="Verdana" w:hAnsi="Verdana" w:cs="Arial"/>
              </w:rPr>
              <w:t>: A</w:t>
            </w:r>
            <w:r w:rsidRPr="00CF2301">
              <w:rPr>
                <w:rFonts w:ascii="Verdana" w:hAnsi="Verdana" w:cs="Arial"/>
              </w:rPr>
              <w:t xml:space="preserve">rtículo 2. </w:t>
            </w:r>
          </w:p>
          <w:p w14:paraId="7476EC4C" w14:textId="77777777" w:rsidR="006F2E51" w:rsidRPr="00CF2301" w:rsidRDefault="006F2E51" w:rsidP="002F45B9">
            <w:pPr>
              <w:widowControl w:val="0"/>
              <w:autoSpaceDE w:val="0"/>
              <w:autoSpaceDN w:val="0"/>
              <w:spacing w:line="276" w:lineRule="auto"/>
              <w:jc w:val="both"/>
              <w:rPr>
                <w:rFonts w:ascii="Verdana" w:hAnsi="Verdana" w:cs="Arial"/>
                <w:sz w:val="12"/>
                <w:szCs w:val="12"/>
              </w:rPr>
            </w:pPr>
          </w:p>
          <w:p w14:paraId="11540DE8" w14:textId="102C0FA6" w:rsidR="006F2E51" w:rsidRPr="00CF2301" w:rsidRDefault="006F2E51" w:rsidP="002F45B9">
            <w:pPr>
              <w:pStyle w:val="Prrafodelista"/>
              <w:widowControl w:val="0"/>
              <w:numPr>
                <w:ilvl w:val="0"/>
                <w:numId w:val="17"/>
              </w:numPr>
              <w:autoSpaceDE w:val="0"/>
              <w:autoSpaceDN w:val="0"/>
              <w:spacing w:line="276" w:lineRule="auto"/>
              <w:ind w:left="360"/>
              <w:jc w:val="both"/>
              <w:rPr>
                <w:rFonts w:ascii="Verdana" w:hAnsi="Verdana" w:cs="Arial"/>
              </w:rPr>
            </w:pPr>
            <w:r w:rsidRPr="00CF2301">
              <w:rPr>
                <w:rFonts w:ascii="Verdana" w:hAnsi="Verdana" w:cs="Arial"/>
              </w:rPr>
              <w:t>Ley 2069 de 2020</w:t>
            </w:r>
            <w:r w:rsidR="004055A7" w:rsidRPr="00CF2301">
              <w:rPr>
                <w:rFonts w:ascii="Verdana" w:hAnsi="Verdana" w:cs="Arial"/>
              </w:rPr>
              <w:t>: A</w:t>
            </w:r>
            <w:r w:rsidRPr="00CF2301">
              <w:rPr>
                <w:rFonts w:ascii="Verdana" w:hAnsi="Verdana" w:cs="Arial"/>
              </w:rPr>
              <w:t>rtículo 23.</w:t>
            </w:r>
          </w:p>
          <w:p w14:paraId="60A63F24" w14:textId="77777777" w:rsidR="006F2E51" w:rsidRPr="00CF2301" w:rsidRDefault="006F2E51" w:rsidP="002F45B9">
            <w:pPr>
              <w:widowControl w:val="0"/>
              <w:autoSpaceDE w:val="0"/>
              <w:autoSpaceDN w:val="0"/>
              <w:spacing w:line="276" w:lineRule="auto"/>
              <w:jc w:val="both"/>
              <w:rPr>
                <w:rFonts w:ascii="Verdana" w:hAnsi="Verdana" w:cs="Arial"/>
                <w:sz w:val="12"/>
                <w:szCs w:val="12"/>
              </w:rPr>
            </w:pPr>
          </w:p>
          <w:p w14:paraId="64D13B51" w14:textId="401B05B4" w:rsidR="006F2E51" w:rsidRPr="00CF2301" w:rsidRDefault="006F2E51" w:rsidP="002F45B9">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Ley 2294 de 2023</w:t>
            </w:r>
            <w:r w:rsidR="004055A7" w:rsidRPr="00CF2301">
              <w:rPr>
                <w:rFonts w:ascii="Verdana" w:hAnsi="Verdana" w:cs="Arial"/>
              </w:rPr>
              <w:t>: A</w:t>
            </w:r>
            <w:r w:rsidRPr="00CF2301">
              <w:rPr>
                <w:rFonts w:ascii="Verdana" w:hAnsi="Verdana" w:cs="Arial"/>
              </w:rPr>
              <w:t>rtículo 100.</w:t>
            </w:r>
          </w:p>
          <w:p w14:paraId="49DD7A34" w14:textId="13A73CD8" w:rsidR="006F2E51" w:rsidRPr="00CF2301" w:rsidRDefault="006F2E51" w:rsidP="002F45B9">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lastRenderedPageBreak/>
              <w:t>Código Civil</w:t>
            </w:r>
            <w:r w:rsidR="004055A7" w:rsidRPr="00CF2301">
              <w:rPr>
                <w:rFonts w:ascii="Verdana" w:hAnsi="Verdana" w:cs="Arial"/>
              </w:rPr>
              <w:t>: A</w:t>
            </w:r>
            <w:r w:rsidRPr="00CF2301">
              <w:rPr>
                <w:rFonts w:ascii="Verdana" w:hAnsi="Verdana" w:cs="Arial"/>
              </w:rPr>
              <w:t>rtículos 28, 29 y 633.</w:t>
            </w:r>
          </w:p>
          <w:p w14:paraId="50A5E652" w14:textId="79D096D1" w:rsidR="006F2E51" w:rsidRPr="00CF2301" w:rsidRDefault="006F2E51" w:rsidP="002F45B9">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Código de Comercio</w:t>
            </w:r>
            <w:r w:rsidR="004055A7" w:rsidRPr="00CF2301">
              <w:rPr>
                <w:rFonts w:ascii="Verdana" w:hAnsi="Verdana" w:cs="Arial"/>
              </w:rPr>
              <w:t>: A</w:t>
            </w:r>
            <w:r w:rsidRPr="00CF2301">
              <w:rPr>
                <w:rFonts w:ascii="Verdana" w:hAnsi="Verdana" w:cs="Arial"/>
              </w:rPr>
              <w:t xml:space="preserve">rtículos 10, 11, 20, 21, 22, 23, 25, </w:t>
            </w:r>
            <w:r w:rsidR="00E56BF5" w:rsidRPr="00CF2301">
              <w:rPr>
                <w:rFonts w:ascii="Verdana" w:hAnsi="Verdana" w:cs="Arial"/>
              </w:rPr>
              <w:t xml:space="preserve">29, </w:t>
            </w:r>
            <w:r w:rsidRPr="00CF2301">
              <w:rPr>
                <w:rFonts w:ascii="Verdana" w:hAnsi="Verdana" w:cs="Arial"/>
              </w:rPr>
              <w:t>98 y 515.</w:t>
            </w:r>
          </w:p>
          <w:p w14:paraId="0781B1EE" w14:textId="6C447167" w:rsidR="006F2E51" w:rsidRPr="00CF2301" w:rsidRDefault="006F2E51" w:rsidP="002F45B9">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Decreto 1074 de 2015</w:t>
            </w:r>
            <w:r w:rsidR="004055A7" w:rsidRPr="00CF2301">
              <w:rPr>
                <w:rFonts w:ascii="Verdana" w:hAnsi="Verdana" w:cs="Arial"/>
              </w:rPr>
              <w:t>: A</w:t>
            </w:r>
            <w:r w:rsidRPr="00CF2301">
              <w:rPr>
                <w:rFonts w:ascii="Verdana" w:hAnsi="Verdana" w:cs="Arial"/>
              </w:rPr>
              <w:t xml:space="preserve">rtículo 2.2.1.13.2.2. </w:t>
            </w:r>
          </w:p>
          <w:p w14:paraId="1593BEA5" w14:textId="6268037D" w:rsidR="006F2E51" w:rsidRPr="00CF2301" w:rsidRDefault="006F2E51" w:rsidP="002F45B9">
            <w:pPr>
              <w:pStyle w:val="Prrafodelista"/>
              <w:widowControl w:val="0"/>
              <w:numPr>
                <w:ilvl w:val="0"/>
                <w:numId w:val="17"/>
              </w:numPr>
              <w:autoSpaceDE w:val="0"/>
              <w:autoSpaceDN w:val="0"/>
              <w:spacing w:line="276" w:lineRule="auto"/>
              <w:ind w:left="360"/>
              <w:contextualSpacing w:val="0"/>
              <w:jc w:val="both"/>
              <w:rPr>
                <w:rFonts w:ascii="Verdana" w:hAnsi="Verdana" w:cs="Arial"/>
              </w:rPr>
            </w:pPr>
            <w:r w:rsidRPr="00CF2301">
              <w:rPr>
                <w:rFonts w:ascii="Verdana" w:hAnsi="Verdana" w:cs="Arial"/>
              </w:rPr>
              <w:t>Decreto 1082 de 2015</w:t>
            </w:r>
            <w:r w:rsidR="00427846" w:rsidRPr="00CF2301">
              <w:rPr>
                <w:rFonts w:ascii="Verdana" w:hAnsi="Verdana" w:cs="Arial"/>
              </w:rPr>
              <w:t>: A</w:t>
            </w:r>
            <w:r w:rsidRPr="00CF2301">
              <w:rPr>
                <w:rFonts w:ascii="Verdana" w:hAnsi="Verdana" w:cs="Arial"/>
              </w:rPr>
              <w:t>rtículos 2.2.1.1.1.3.1, 2.2.1.1.2.1.1, 2.2.1.2.1.4.1</w:t>
            </w:r>
            <w:r w:rsidR="00473D03" w:rsidRPr="00CF2301">
              <w:rPr>
                <w:rFonts w:ascii="Verdana" w:hAnsi="Verdana" w:cs="Arial"/>
              </w:rPr>
              <w:t xml:space="preserve">, </w:t>
            </w:r>
            <w:r w:rsidRPr="00CF2301">
              <w:rPr>
                <w:rFonts w:ascii="Verdana" w:hAnsi="Verdana" w:cs="Arial"/>
              </w:rPr>
              <w:t xml:space="preserve">2.2.16.1.4, 2.2.16.1.5, 2.2.16.1.6 y 2.2.16.1.8. </w:t>
            </w:r>
          </w:p>
        </w:tc>
      </w:tr>
    </w:tbl>
    <w:p w14:paraId="4F5FBC8E" w14:textId="77777777" w:rsidR="006F2E51" w:rsidRPr="00CF2301" w:rsidRDefault="006F2E51" w:rsidP="006F2E51">
      <w:pPr>
        <w:widowControl w:val="0"/>
        <w:autoSpaceDE w:val="0"/>
        <w:autoSpaceDN w:val="0"/>
        <w:spacing w:after="0" w:line="276" w:lineRule="auto"/>
        <w:jc w:val="both"/>
        <w:rPr>
          <w:rFonts w:ascii="Verdana" w:hAnsi="Verdana" w:cs="Arial"/>
        </w:rPr>
      </w:pPr>
    </w:p>
    <w:p w14:paraId="26D1779E" w14:textId="77777777" w:rsidR="006F2E51" w:rsidRPr="00CF2301" w:rsidRDefault="006F2E51" w:rsidP="006F2E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F2301">
        <w:rPr>
          <w:rFonts w:ascii="Verdana" w:eastAsia="Century Gothic" w:hAnsi="Verdana" w:cs="Century Gothic"/>
          <w:b/>
          <w:bCs/>
        </w:rPr>
        <w:t>Doctrina de la Agencia Nacional de Contratación Pública:</w:t>
      </w:r>
    </w:p>
    <w:p w14:paraId="4CE6AEAE" w14:textId="77777777" w:rsidR="006F2E51" w:rsidRPr="00CF2301" w:rsidRDefault="006F2E51" w:rsidP="006F2E51">
      <w:pPr>
        <w:widowControl w:val="0"/>
        <w:autoSpaceDE w:val="0"/>
        <w:autoSpaceDN w:val="0"/>
        <w:spacing w:after="0" w:line="276" w:lineRule="auto"/>
        <w:jc w:val="both"/>
        <w:rPr>
          <w:rFonts w:ascii="Verdana" w:hAnsi="Verdana" w:cs="Arial"/>
        </w:rPr>
      </w:pPr>
    </w:p>
    <w:p w14:paraId="48C83196" w14:textId="77777777" w:rsidR="006F2E51" w:rsidRPr="00CF2301" w:rsidRDefault="006F2E51" w:rsidP="006F2E5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F2301">
        <w:rPr>
          <w:rStyle w:val="normaltextrun"/>
          <w:rFonts w:ascii="Verdana" w:hAnsi="Verdana" w:cs="Arial"/>
          <w:shd w:val="clear" w:color="auto" w:fill="FFFFFF"/>
        </w:rPr>
        <w:t>L</w:t>
      </w:r>
      <w:r w:rsidRPr="00CF2301">
        <w:rPr>
          <w:rStyle w:val="normaltextrun"/>
          <w:rFonts w:ascii="Verdana" w:hAnsi="Verdana" w:cs="Arial"/>
          <w:shd w:val="clear" w:color="auto" w:fill="FFFFFF"/>
          <w:lang w:val="es-ES"/>
        </w:rPr>
        <w:t>os conceptos sobre diferentes temáticas del sistema de compras públicas</w:t>
      </w:r>
      <w:r w:rsidRPr="00CF2301">
        <w:rPr>
          <w:rFonts w:ascii="Verdana" w:hAnsi="Verdana"/>
        </w:rPr>
        <w:t xml:space="preserve"> están disponibles para consulta en el Sistema de relatoría de la Agencia, al cual puede accederse a través del siguiente enlace:</w:t>
      </w:r>
      <w:r w:rsidRPr="00CF2301">
        <w:rPr>
          <w:rStyle w:val="normaltextrun"/>
          <w:rFonts w:ascii="Verdana" w:hAnsi="Verdana" w:cs="Arial"/>
          <w:shd w:val="clear" w:color="auto" w:fill="FFFFFF"/>
          <w:lang w:val="es-ES"/>
        </w:rPr>
        <w:t xml:space="preserve"> </w:t>
      </w:r>
      <w:hyperlink r:id="rId13" w:history="1">
        <w:r w:rsidRPr="00CF2301">
          <w:rPr>
            <w:rStyle w:val="Hipervnculo"/>
            <w:rFonts w:ascii="Verdana" w:hAnsi="Verdana" w:cs="Arial"/>
            <w:shd w:val="clear" w:color="auto" w:fill="FFFFFF"/>
            <w:lang w:val="es-ES"/>
          </w:rPr>
          <w:t>https://relatoria.colombiacompra.gov.co/busqueda/conceptos</w:t>
        </w:r>
      </w:hyperlink>
      <w:r w:rsidRPr="00CF2301">
        <w:rPr>
          <w:rStyle w:val="normaltextrun"/>
          <w:rFonts w:ascii="Verdana" w:hAnsi="Verdana" w:cs="Arial"/>
          <w:shd w:val="clear" w:color="auto" w:fill="FFFFFF"/>
          <w:lang w:val="es-ES"/>
        </w:rPr>
        <w:t>.</w:t>
      </w:r>
      <w:r w:rsidRPr="00CF2301">
        <w:rPr>
          <w:rStyle w:val="normaltextrun"/>
          <w:rFonts w:ascii="Verdana" w:hAnsi="Verdana" w:cs="Arial"/>
          <w:color w:val="FF0000"/>
          <w:shd w:val="clear" w:color="auto" w:fill="FFFFFF"/>
          <w:lang w:val="es-ES"/>
        </w:rPr>
        <w:t xml:space="preserve"> </w:t>
      </w:r>
    </w:p>
    <w:p w14:paraId="1D03DA31" w14:textId="77777777" w:rsidR="006F2E51" w:rsidRPr="00CF2301" w:rsidRDefault="006F2E51" w:rsidP="006F2E51">
      <w:pPr>
        <w:widowControl w:val="0"/>
        <w:autoSpaceDE w:val="0"/>
        <w:autoSpaceDN w:val="0"/>
        <w:spacing w:after="0" w:line="276" w:lineRule="auto"/>
        <w:jc w:val="both"/>
        <w:rPr>
          <w:rFonts w:ascii="Verdana" w:hAnsi="Verdana" w:cs="Arial"/>
        </w:rPr>
      </w:pPr>
    </w:p>
    <w:p w14:paraId="37D65CE6" w14:textId="77777777" w:rsidR="006F2E51" w:rsidRPr="00CF2301" w:rsidRDefault="006F2E51" w:rsidP="006F2E51">
      <w:pPr>
        <w:widowControl w:val="0"/>
        <w:autoSpaceDE w:val="0"/>
        <w:autoSpaceDN w:val="0"/>
        <w:spacing w:after="0" w:line="276" w:lineRule="auto"/>
        <w:jc w:val="both"/>
        <w:rPr>
          <w:rFonts w:ascii="Verdana" w:hAnsi="Verdana" w:cs="Arial"/>
          <w:lang w:val="es-ES_tradnl"/>
        </w:rPr>
      </w:pPr>
      <w:r w:rsidRPr="00CF2301">
        <w:rPr>
          <w:rFonts w:ascii="Verdana" w:hAnsi="Verdana" w:cs="Arial"/>
        </w:rPr>
        <w:t xml:space="preserve">Este concepto tiene el alcance previsto en el artículo 28 del Código de Procedimiento Administrativo y de lo Contencioso Administrativo </w:t>
      </w:r>
      <w:r w:rsidRPr="00CF2301">
        <w:rPr>
          <w:rFonts w:ascii="Verdana" w:hAnsi="Verdana" w:cs="Arial"/>
          <w:lang w:val="es-ES_tradnl"/>
        </w:rPr>
        <w:t>y las expresiones aquí utilizadas con mayúscula inicial deben ser entendidas con el significado que les otorga el artículo 2.2.1.1.1.3.1. del Decreto 1082 de 2015.</w:t>
      </w:r>
    </w:p>
    <w:p w14:paraId="35B6A7E4" w14:textId="77777777" w:rsidR="006F2E51" w:rsidRPr="00CF2301" w:rsidRDefault="006F2E51" w:rsidP="006F2E51">
      <w:pPr>
        <w:widowControl w:val="0"/>
        <w:autoSpaceDE w:val="0"/>
        <w:autoSpaceDN w:val="0"/>
        <w:spacing w:after="0" w:line="276" w:lineRule="auto"/>
        <w:jc w:val="both"/>
        <w:rPr>
          <w:rFonts w:ascii="Verdana" w:hAnsi="Verdana" w:cs="Arial"/>
        </w:rPr>
      </w:pPr>
    </w:p>
    <w:p w14:paraId="3B53A27B" w14:textId="77777777" w:rsidR="006F2E51" w:rsidRPr="00CF2301" w:rsidRDefault="006F2E51" w:rsidP="006F2E51">
      <w:pPr>
        <w:spacing w:after="0" w:line="240" w:lineRule="auto"/>
        <w:rPr>
          <w:rFonts w:ascii="Verdana" w:hAnsi="Verdana" w:cs="Arial"/>
          <w:lang w:eastAsia="es-CO"/>
        </w:rPr>
      </w:pPr>
      <w:r w:rsidRPr="00CF2301">
        <w:rPr>
          <w:rFonts w:ascii="Verdana" w:eastAsia="Times New Roman" w:hAnsi="Verdana" w:cs="Arial"/>
          <w:lang w:eastAsia="es-CO"/>
        </w:rPr>
        <w:t>Atentamente,</w:t>
      </w:r>
      <w:r w:rsidRPr="00CF2301">
        <w:rPr>
          <w:rFonts w:ascii="Verdana" w:hAnsi="Verdana" w:cs="Arial"/>
          <w:lang w:eastAsia="es-CO"/>
        </w:rPr>
        <w:t xml:space="preserve"> </w:t>
      </w:r>
    </w:p>
    <w:p w14:paraId="128D1B8F" w14:textId="619D5D40" w:rsidR="006F2E51" w:rsidRPr="00CF2301" w:rsidRDefault="00DA079A" w:rsidP="006F2E51">
      <w:pPr>
        <w:spacing w:line="276" w:lineRule="auto"/>
        <w:jc w:val="center"/>
        <w:rPr>
          <w:rFonts w:ascii="Verdana" w:hAnsi="Verdana" w:cs="Arial"/>
          <w:color w:val="000000"/>
          <w:lang w:val="es-ES_tradnl" w:eastAsia="es-CO"/>
        </w:rPr>
      </w:pPr>
      <w:r>
        <w:rPr>
          <w:noProof/>
        </w:rPr>
        <w:drawing>
          <wp:inline distT="0" distB="0" distL="0" distR="0" wp14:anchorId="6D0F51C4" wp14:editId="7FC0AD28">
            <wp:extent cx="3478531" cy="978011"/>
            <wp:effectExtent l="0" t="0" r="762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rotWithShape="1">
                    <a:blip r:embed="rId14"/>
                    <a:srcRect t="20995" b="13519"/>
                    <a:stretch/>
                  </pic:blipFill>
                  <pic:spPr bwMode="auto">
                    <a:xfrm>
                      <a:off x="0" y="0"/>
                      <a:ext cx="3490049" cy="98124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F2E51" w:rsidRPr="00CF2301" w14:paraId="49C32AC8" w14:textId="77777777" w:rsidTr="00473D03">
        <w:trPr>
          <w:trHeight w:val="315"/>
        </w:trPr>
        <w:tc>
          <w:tcPr>
            <w:tcW w:w="893" w:type="dxa"/>
            <w:vAlign w:val="center"/>
            <w:hideMark/>
          </w:tcPr>
          <w:p w14:paraId="4A66EC61" w14:textId="77777777" w:rsidR="006F2E51" w:rsidRPr="00CF2301" w:rsidRDefault="006F2E51" w:rsidP="00473D03">
            <w:pPr>
              <w:contextualSpacing/>
              <w:rPr>
                <w:rFonts w:ascii="Verdana" w:hAnsi="Verdana" w:cs="Arial"/>
                <w:sz w:val="16"/>
                <w:szCs w:val="16"/>
                <w:lang w:val="es-ES" w:eastAsia="es-ES"/>
              </w:rPr>
            </w:pPr>
            <w:r w:rsidRPr="00CF230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871E40" w14:textId="6EB8FB92" w:rsidR="006F2E51" w:rsidRPr="00CF2301" w:rsidRDefault="00E56BF5" w:rsidP="00473D03">
            <w:pPr>
              <w:contextualSpacing/>
              <w:rPr>
                <w:rStyle w:val="normaltextrun"/>
                <w:rFonts w:ascii="Verdana" w:hAnsi="Verdana"/>
                <w:sz w:val="16"/>
                <w:szCs w:val="16"/>
              </w:rPr>
            </w:pPr>
            <w:r w:rsidRPr="00CF2301">
              <w:rPr>
                <w:rStyle w:val="normaltextrun"/>
                <w:rFonts w:ascii="Verdana" w:hAnsi="Verdana"/>
                <w:sz w:val="16"/>
                <w:szCs w:val="16"/>
              </w:rPr>
              <w:t>Diana Lucia Saavedra Castañeda</w:t>
            </w:r>
          </w:p>
          <w:p w14:paraId="7FA0755B" w14:textId="77777777" w:rsidR="006F2E51" w:rsidRPr="00CF2301" w:rsidRDefault="006F2E51" w:rsidP="00473D03">
            <w:pPr>
              <w:contextualSpacing/>
              <w:rPr>
                <w:rFonts w:ascii="Verdana" w:eastAsia="Arial" w:hAnsi="Verdana" w:cs="Arial"/>
                <w:sz w:val="16"/>
                <w:szCs w:val="16"/>
              </w:rPr>
            </w:pPr>
            <w:r w:rsidRPr="00CF2301">
              <w:rPr>
                <w:rStyle w:val="normaltextrun"/>
                <w:rFonts w:ascii="Verdana" w:hAnsi="Verdana"/>
                <w:sz w:val="16"/>
                <w:szCs w:val="16"/>
              </w:rPr>
              <w:t>Contratista de la Subdirección de Gestión Contractual</w:t>
            </w:r>
          </w:p>
        </w:tc>
      </w:tr>
      <w:tr w:rsidR="006F2E51" w:rsidRPr="00CF2301" w14:paraId="0EC50F81" w14:textId="77777777" w:rsidTr="00473D03">
        <w:trPr>
          <w:trHeight w:val="330"/>
        </w:trPr>
        <w:tc>
          <w:tcPr>
            <w:tcW w:w="893" w:type="dxa"/>
            <w:vAlign w:val="center"/>
            <w:hideMark/>
          </w:tcPr>
          <w:p w14:paraId="5F4D04C2" w14:textId="77777777" w:rsidR="006F2E51" w:rsidRPr="00CF2301" w:rsidRDefault="006F2E51" w:rsidP="00473D03">
            <w:pPr>
              <w:contextualSpacing/>
              <w:rPr>
                <w:rFonts w:ascii="Verdana" w:hAnsi="Verdana" w:cs="Arial"/>
                <w:sz w:val="16"/>
                <w:szCs w:val="16"/>
                <w:lang w:val="es-ES" w:eastAsia="es-ES"/>
              </w:rPr>
            </w:pPr>
            <w:r w:rsidRPr="00CF230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BC78F8" w14:textId="77777777" w:rsidR="006F2E51" w:rsidRPr="00CF2301" w:rsidRDefault="006F2E51" w:rsidP="00473D03">
            <w:pPr>
              <w:pStyle w:val="paragraph"/>
              <w:spacing w:after="0"/>
              <w:contextualSpacing/>
              <w:textAlignment w:val="baseline"/>
              <w:rPr>
                <w:rStyle w:val="normaltextrun"/>
                <w:rFonts w:ascii="Verdana" w:hAnsi="Verdana" w:cs="Arial"/>
                <w:sz w:val="16"/>
                <w:szCs w:val="16"/>
                <w:lang w:val="es-ES"/>
              </w:rPr>
            </w:pPr>
            <w:r w:rsidRPr="00CF2301">
              <w:rPr>
                <w:rStyle w:val="normaltextrun"/>
                <w:rFonts w:ascii="Verdana" w:hAnsi="Verdana" w:cs="Arial"/>
                <w:sz w:val="16"/>
                <w:szCs w:val="16"/>
                <w:lang w:val="es-ES"/>
              </w:rPr>
              <w:t>Alejandro Sarmiento Cantillo</w:t>
            </w:r>
          </w:p>
          <w:p w14:paraId="61798A8C" w14:textId="77777777" w:rsidR="006F2E51" w:rsidRPr="00CF2301" w:rsidRDefault="006F2E51" w:rsidP="00473D03">
            <w:pPr>
              <w:pStyle w:val="paragraph"/>
              <w:spacing w:before="0" w:beforeAutospacing="0" w:after="0" w:afterAutospacing="0"/>
              <w:contextualSpacing/>
              <w:textAlignment w:val="baseline"/>
              <w:rPr>
                <w:rFonts w:ascii="Verdana" w:hAnsi="Verdana" w:cs="Segoe UI"/>
                <w:sz w:val="16"/>
                <w:szCs w:val="16"/>
              </w:rPr>
            </w:pPr>
            <w:r w:rsidRPr="00CF2301">
              <w:rPr>
                <w:rStyle w:val="normaltextrun"/>
                <w:rFonts w:ascii="Verdana" w:hAnsi="Verdana" w:cs="Arial"/>
                <w:sz w:val="16"/>
                <w:szCs w:val="16"/>
                <w:lang w:val="es-ES"/>
              </w:rPr>
              <w:t>Gestor T1 ‒ 15 de la Subdirección de Gestión Contractual</w:t>
            </w:r>
            <w:r w:rsidRPr="00CF2301">
              <w:rPr>
                <w:rStyle w:val="eop"/>
                <w:rFonts w:ascii="Verdana" w:hAnsi="Verdana" w:cs="Arial"/>
                <w:sz w:val="16"/>
                <w:szCs w:val="16"/>
              </w:rPr>
              <w:t> </w:t>
            </w:r>
          </w:p>
        </w:tc>
      </w:tr>
      <w:tr w:rsidR="006F2E51" w:rsidRPr="00E56BF5" w14:paraId="783A330B" w14:textId="77777777" w:rsidTr="00473D03">
        <w:trPr>
          <w:trHeight w:val="300"/>
        </w:trPr>
        <w:tc>
          <w:tcPr>
            <w:tcW w:w="893" w:type="dxa"/>
            <w:vAlign w:val="center"/>
          </w:tcPr>
          <w:p w14:paraId="38F077E5" w14:textId="77777777" w:rsidR="006F2E51" w:rsidRPr="00CF2301" w:rsidRDefault="006F2E51" w:rsidP="00473D03">
            <w:pPr>
              <w:contextualSpacing/>
              <w:rPr>
                <w:rFonts w:ascii="Verdana" w:hAnsi="Verdana" w:cs="Arial"/>
                <w:sz w:val="16"/>
                <w:szCs w:val="16"/>
                <w:lang w:val="es-ES" w:eastAsia="es-ES"/>
              </w:rPr>
            </w:pPr>
            <w:r w:rsidRPr="00CF230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345039" w14:textId="77777777" w:rsidR="006F2E51" w:rsidRPr="00CF2301" w:rsidRDefault="006F2E51" w:rsidP="00473D03">
            <w:pPr>
              <w:contextualSpacing/>
              <w:rPr>
                <w:rFonts w:ascii="Verdana" w:eastAsia="Calibri" w:hAnsi="Verdana" w:cs="Arial"/>
                <w:sz w:val="16"/>
                <w:szCs w:val="16"/>
                <w:lang w:val="pt-BR" w:eastAsia="es-ES"/>
              </w:rPr>
            </w:pPr>
            <w:r w:rsidRPr="00CF2301">
              <w:rPr>
                <w:rFonts w:ascii="Verdana" w:eastAsia="Calibri" w:hAnsi="Verdana" w:cs="Arial"/>
                <w:sz w:val="16"/>
                <w:szCs w:val="16"/>
                <w:lang w:val="pt-BR" w:eastAsia="es-ES"/>
              </w:rPr>
              <w:t>Carolina Quintero Gacharná</w:t>
            </w:r>
          </w:p>
          <w:p w14:paraId="7DF69835" w14:textId="77777777" w:rsidR="006F2E51" w:rsidRPr="00E56BF5" w:rsidRDefault="006F2E51" w:rsidP="00473D03">
            <w:pPr>
              <w:contextualSpacing/>
              <w:rPr>
                <w:rFonts w:ascii="Verdana" w:eastAsia="Calibri" w:hAnsi="Verdana" w:cs="Arial"/>
                <w:sz w:val="16"/>
                <w:szCs w:val="16"/>
                <w:lang w:val="pt-BR" w:eastAsia="es-ES"/>
              </w:rPr>
            </w:pPr>
            <w:r w:rsidRPr="00CF2301">
              <w:rPr>
                <w:rFonts w:ascii="Verdana" w:eastAsia="Calibri" w:hAnsi="Verdana" w:cs="Arial"/>
                <w:sz w:val="16"/>
                <w:szCs w:val="16"/>
                <w:lang w:eastAsia="es-ES"/>
              </w:rPr>
              <w:t>Subdirectora</w:t>
            </w:r>
            <w:r w:rsidRPr="00CF2301">
              <w:rPr>
                <w:rFonts w:ascii="Verdana" w:eastAsia="Calibri" w:hAnsi="Verdana" w:cs="Arial"/>
                <w:sz w:val="16"/>
                <w:szCs w:val="16"/>
                <w:lang w:val="pt-BR" w:eastAsia="es-ES"/>
              </w:rPr>
              <w:t xml:space="preserve"> de Gestión Contractual ANCP – CCE</w:t>
            </w:r>
          </w:p>
        </w:tc>
      </w:tr>
    </w:tbl>
    <w:p w14:paraId="0F293BF4" w14:textId="36BC09AE" w:rsidR="00127233" w:rsidRPr="00E56BF5" w:rsidRDefault="00127233" w:rsidP="00201727">
      <w:pPr>
        <w:rPr>
          <w:rFonts w:ascii="Verdana" w:hAnsi="Verdana"/>
        </w:rPr>
      </w:pPr>
    </w:p>
    <w:p w14:paraId="378EFE92" w14:textId="77777777" w:rsidR="00D201ED" w:rsidRPr="00D201ED" w:rsidRDefault="00D201ED">
      <w:pPr>
        <w:rPr>
          <w:rFonts w:ascii="Verdana" w:hAnsi="Verdana"/>
        </w:rPr>
      </w:pPr>
    </w:p>
    <w:sectPr w:rsidR="00D201ED" w:rsidRPr="00D201E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97E7C" w14:textId="77777777" w:rsidR="005E44DF" w:rsidRDefault="005E44DF" w:rsidP="004A1847">
      <w:pPr>
        <w:spacing w:after="0" w:line="240" w:lineRule="auto"/>
      </w:pPr>
      <w:r>
        <w:separator/>
      </w:r>
    </w:p>
  </w:endnote>
  <w:endnote w:type="continuationSeparator" w:id="0">
    <w:p w14:paraId="7FF291BA" w14:textId="77777777" w:rsidR="005E44DF" w:rsidRDefault="005E44DF" w:rsidP="004A1847">
      <w:pPr>
        <w:spacing w:after="0" w:line="240" w:lineRule="auto"/>
      </w:pPr>
      <w:r>
        <w:continuationSeparator/>
      </w:r>
    </w:p>
  </w:endnote>
  <w:endnote w:type="continuationNotice" w:id="1">
    <w:p w14:paraId="43A6F95D" w14:textId="77777777" w:rsidR="005E44DF" w:rsidRDefault="005E44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6EE01D" w14:textId="77777777" w:rsidR="005E44DF" w:rsidRDefault="005E44DF" w:rsidP="004A1847">
      <w:pPr>
        <w:spacing w:after="0" w:line="240" w:lineRule="auto"/>
      </w:pPr>
      <w:r>
        <w:separator/>
      </w:r>
    </w:p>
  </w:footnote>
  <w:footnote w:type="continuationSeparator" w:id="0">
    <w:p w14:paraId="7CCC6C2E" w14:textId="77777777" w:rsidR="005E44DF" w:rsidRDefault="005E44DF" w:rsidP="004A1847">
      <w:pPr>
        <w:spacing w:after="0" w:line="240" w:lineRule="auto"/>
      </w:pPr>
      <w:r>
        <w:continuationSeparator/>
      </w:r>
    </w:p>
  </w:footnote>
  <w:footnote w:type="continuationNotice" w:id="1">
    <w:p w14:paraId="5FF79457" w14:textId="77777777" w:rsidR="005E44DF" w:rsidRDefault="005E44DF">
      <w:pPr>
        <w:spacing w:after="0" w:line="240" w:lineRule="auto"/>
      </w:pPr>
    </w:p>
  </w:footnote>
  <w:footnote w:id="2">
    <w:p w14:paraId="37FEBCE6" w14:textId="77777777" w:rsidR="00F55DE4" w:rsidRPr="00123AC2" w:rsidRDefault="00F55DE4"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Bases del Plan Nacional de Desarrollo 2022-2026. Colombia Potencia Mundial de la Vida. Numeral 7°, literal a). </w:t>
      </w:r>
    </w:p>
    <w:p w14:paraId="604EF3B7" w14:textId="77777777" w:rsidR="00AD50FC" w:rsidRPr="00123AC2" w:rsidRDefault="00AD50FC" w:rsidP="00AD50FC">
      <w:pPr>
        <w:pStyle w:val="Textonotapie"/>
        <w:ind w:firstLine="708"/>
        <w:contextualSpacing/>
        <w:jc w:val="both"/>
        <w:rPr>
          <w:rFonts w:ascii="Verdana" w:hAnsi="Verdana"/>
          <w:sz w:val="16"/>
          <w:szCs w:val="16"/>
        </w:rPr>
      </w:pPr>
    </w:p>
  </w:footnote>
  <w:footnote w:id="3">
    <w:p w14:paraId="519F836A" w14:textId="1F69C3F3" w:rsidR="006F2E51" w:rsidRPr="00123AC2" w:rsidRDefault="006F2E51" w:rsidP="00AD50FC">
      <w:pPr>
        <w:pStyle w:val="Textonotapie"/>
        <w:ind w:firstLine="708"/>
        <w:contextualSpacing/>
        <w:jc w:val="both"/>
        <w:rPr>
          <w:rFonts w:ascii="Verdana" w:hAnsi="Verdana"/>
          <w:bCs/>
          <w:sz w:val="16"/>
          <w:szCs w:val="16"/>
          <w:lang w:val="es-CO"/>
        </w:rPr>
      </w:pPr>
      <w:r w:rsidRPr="00123AC2">
        <w:rPr>
          <w:rStyle w:val="Refdenotaalpie"/>
          <w:rFonts w:ascii="Verdana" w:hAnsi="Verdana"/>
          <w:sz w:val="16"/>
          <w:szCs w:val="16"/>
        </w:rPr>
        <w:footnoteRef/>
      </w:r>
      <w:r w:rsidRPr="00123AC2">
        <w:rPr>
          <w:rFonts w:ascii="Verdana" w:hAnsi="Verdana"/>
          <w:sz w:val="16"/>
          <w:szCs w:val="16"/>
        </w:rPr>
        <w:t xml:space="preserve"> Aunque el artículo </w:t>
      </w:r>
      <w:r w:rsidRPr="00123AC2">
        <w:rPr>
          <w:rFonts w:ascii="Verdana" w:hAnsi="Verdana"/>
          <w:bCs/>
          <w:sz w:val="16"/>
          <w:szCs w:val="16"/>
          <w:lang w:val="es-CO"/>
        </w:rPr>
        <w:t xml:space="preserve">100 de la Ley 2294 de 2023 dispone que las Asociaciones </w:t>
      </w:r>
      <w:r w:rsidR="0082625B" w:rsidRPr="00123AC2">
        <w:rPr>
          <w:rFonts w:ascii="Verdana" w:hAnsi="Verdana"/>
          <w:bCs/>
          <w:sz w:val="16"/>
          <w:szCs w:val="16"/>
          <w:lang w:val="es-CO"/>
        </w:rPr>
        <w:t>Público-Populares</w:t>
      </w:r>
      <w:r w:rsidRPr="00123AC2">
        <w:rPr>
          <w:rFonts w:ascii="Verdana" w:hAnsi="Verdana"/>
          <w:bCs/>
          <w:sz w:val="16"/>
          <w:szCs w:val="16"/>
          <w:lang w:val="es-CO"/>
        </w:rPr>
        <w:t xml:space="preserve"> “[…] podrán celebrarse para la ejecución de obras, o la adquisición de bienes y servicios relacionados con […] suministro de bienes y servicios […]”, para la Agencia se trata de un defecto de técnica legislativa que no incide sobre el alcance del instrumento. Lo anterior considerando que el </w:t>
      </w:r>
      <w:r w:rsidRPr="00123AC2">
        <w:rPr>
          <w:rFonts w:ascii="Verdana" w:hAnsi="Verdana"/>
          <w:bCs/>
          <w:i/>
          <w:iCs/>
          <w:sz w:val="16"/>
          <w:szCs w:val="16"/>
          <w:lang w:val="es-CO"/>
        </w:rPr>
        <w:t>suministro</w:t>
      </w:r>
      <w:r w:rsidRPr="00123AC2">
        <w:rPr>
          <w:rFonts w:ascii="Verdana" w:hAnsi="Verdana"/>
          <w:bCs/>
          <w:sz w:val="16"/>
          <w:szCs w:val="16"/>
          <w:lang w:val="es-CO"/>
        </w:rPr>
        <w:t xml:space="preserve"> es una forma </w:t>
      </w:r>
      <w:r w:rsidRPr="00123AC2">
        <w:rPr>
          <w:rFonts w:ascii="Verdana" w:hAnsi="Verdana"/>
          <w:bCs/>
          <w:i/>
          <w:iCs/>
          <w:sz w:val="16"/>
          <w:szCs w:val="16"/>
          <w:lang w:val="es-CO"/>
        </w:rPr>
        <w:t>adquirir</w:t>
      </w:r>
      <w:r w:rsidRPr="00123AC2">
        <w:rPr>
          <w:rFonts w:ascii="Verdana" w:hAnsi="Verdana"/>
          <w:bCs/>
          <w:sz w:val="16"/>
          <w:szCs w:val="16"/>
          <w:lang w:val="es-CO"/>
        </w:rPr>
        <w:t xml:space="preserve"> bienes y servicios.</w:t>
      </w:r>
    </w:p>
    <w:p w14:paraId="6F8147CE"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lang w:val="es-CO"/>
        </w:rPr>
        <w:t>E</w:t>
      </w:r>
      <w:proofErr w:type="spellStart"/>
      <w:r w:rsidRPr="00123AC2">
        <w:rPr>
          <w:rFonts w:ascii="Verdana" w:hAnsi="Verdana"/>
          <w:sz w:val="16"/>
          <w:szCs w:val="16"/>
        </w:rPr>
        <w:t>sta</w:t>
      </w:r>
      <w:proofErr w:type="spellEnd"/>
      <w:r w:rsidRPr="00123AC2">
        <w:rPr>
          <w:rFonts w:ascii="Verdana" w:hAnsi="Verdana"/>
          <w:sz w:val="16"/>
          <w:szCs w:val="16"/>
        </w:rPr>
        <w:t xml:space="preserve"> amplitud en los sujetos y el objeto de los contratos de Asociación Público Popular diferencia la causal </w:t>
      </w:r>
      <w:r w:rsidRPr="00123AC2">
        <w:rPr>
          <w:rFonts w:ascii="Verdana" w:hAnsi="Verdana"/>
          <w:i/>
          <w:iCs/>
          <w:sz w:val="16"/>
          <w:szCs w:val="16"/>
        </w:rPr>
        <w:t>sub examine</w:t>
      </w:r>
      <w:r w:rsidRPr="00123AC2">
        <w:rPr>
          <w:rFonts w:ascii="Verdana" w:hAnsi="Verdana"/>
          <w:sz w:val="16"/>
          <w:szCs w:val="16"/>
        </w:rPr>
        <w:t xml:space="preserve"> con la prevista en el artículo 95 de la Ley 2166 de 2021, pues el inciso primero únicamente “[…] autoriza a los entes del orden Nacional, Departamental, Distrital y municipal para celebrar directamente convenios solidarios con los Organismos de Acción Comunal con el fin de ejecutar obras hasta por la menor cuantía […]”.</w:t>
      </w:r>
    </w:p>
    <w:p w14:paraId="2C2E1EAA" w14:textId="77777777" w:rsidR="00AD50FC" w:rsidRPr="00123AC2" w:rsidRDefault="00AD50FC" w:rsidP="00AD50FC">
      <w:pPr>
        <w:pStyle w:val="Textonotapie"/>
        <w:ind w:firstLine="708"/>
        <w:contextualSpacing/>
        <w:jc w:val="both"/>
        <w:rPr>
          <w:rFonts w:ascii="Verdana" w:hAnsi="Verdana"/>
          <w:sz w:val="16"/>
          <w:szCs w:val="16"/>
        </w:rPr>
      </w:pPr>
    </w:p>
  </w:footnote>
  <w:footnote w:id="4">
    <w:p w14:paraId="4C0E7C0A" w14:textId="00EC365F"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123AC2">
        <w:rPr>
          <w:rFonts w:ascii="Verdana" w:hAnsi="Verdana"/>
          <w:i/>
          <w:iCs/>
          <w:sz w:val="16"/>
          <w:szCs w:val="16"/>
        </w:rPr>
        <w:t>las palabras de la ley se entenderán en su sentido natural y obvio, según el uso general de las mismas palabras</w:t>
      </w:r>
      <w:r w:rsidRPr="00123AC2">
        <w:rPr>
          <w:rFonts w:ascii="Verdana" w:hAnsi="Verdana"/>
          <w:sz w:val="16"/>
          <w:szCs w:val="16"/>
        </w:rPr>
        <w:t>’, es decir, el uso de la gente educada. El Diccionario de la Lengua publicado por la Real Academia Española goza a este respecto de gran autoridad. ‘</w:t>
      </w:r>
      <w:r w:rsidRPr="00123AC2">
        <w:rPr>
          <w:rFonts w:ascii="Verdana" w:hAnsi="Verdana"/>
          <w:i/>
          <w:iCs/>
          <w:sz w:val="16"/>
          <w:szCs w:val="16"/>
        </w:rPr>
        <w:t>Pero cuando el legislador</w:t>
      </w:r>
      <w:r w:rsidRPr="00123AC2">
        <w:rPr>
          <w:rFonts w:ascii="Verdana" w:hAnsi="Verdana"/>
          <w:sz w:val="16"/>
          <w:szCs w:val="16"/>
        </w:rPr>
        <w:t xml:space="preserve">, agrega el artículo 20, </w:t>
      </w:r>
      <w:r w:rsidRPr="00123AC2">
        <w:rPr>
          <w:rFonts w:ascii="Verdana" w:hAnsi="Verdana"/>
          <w:i/>
          <w:iCs/>
          <w:sz w:val="16"/>
          <w:szCs w:val="16"/>
        </w:rPr>
        <w:t>las haya definido expresamente para ciertas materias se les dará en éstas su significado legal</w:t>
      </w:r>
      <w:r w:rsidRPr="00123AC2">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42B8628D" w14:textId="77777777" w:rsidR="00AD50FC" w:rsidRPr="00123AC2" w:rsidRDefault="00AD50FC" w:rsidP="00AD50FC">
      <w:pPr>
        <w:pStyle w:val="Textonotapie"/>
        <w:ind w:firstLine="708"/>
        <w:contextualSpacing/>
        <w:jc w:val="both"/>
        <w:rPr>
          <w:rFonts w:ascii="Verdana" w:hAnsi="Verdana"/>
          <w:sz w:val="16"/>
          <w:szCs w:val="16"/>
        </w:rPr>
      </w:pPr>
    </w:p>
  </w:footnote>
  <w:footnote w:id="5">
    <w:p w14:paraId="72F2FF96" w14:textId="77777777" w:rsidR="006F2E51" w:rsidRPr="00123AC2" w:rsidRDefault="006F2E51" w:rsidP="00AD50FC">
      <w:pPr>
        <w:pStyle w:val="Textonotapie"/>
        <w:ind w:firstLine="600"/>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inciso primero del artículo 98 del Código de Comercio dispone que “Por el contrato de sociedad dos o más personas se obligan a hacer un aporte en dinero, en trabajo o en otros bienes apreciables en dinero, con el fin de repartirse entre sí las utilidades obtenidas en la empresa o actividad social”. Como explica la doctrina, “[…] la sociedad no es un contrato desinteresado desde el punto de vista económico. La explotación del objeto no se hace con fines altruistas, sino para satisfacer el ánimo especulativo de los asociados, que se desprenden de una parte de su patrimonio para efectuar la inversión correspondiente” (MARTÍNEZ NEIRA, Néstor Humberto. Cátedra de sociedades: régimen comercial y bursátil. Bogotá: Legis, 2020. p. 111). </w:t>
      </w:r>
    </w:p>
    <w:p w14:paraId="2557C963" w14:textId="77777777" w:rsidR="00AD50FC" w:rsidRPr="00123AC2" w:rsidRDefault="00AD50FC" w:rsidP="00AD50FC">
      <w:pPr>
        <w:pStyle w:val="Textonotapie"/>
        <w:ind w:firstLine="600"/>
        <w:contextualSpacing/>
        <w:jc w:val="both"/>
        <w:rPr>
          <w:rFonts w:ascii="Verdana" w:hAnsi="Verdana"/>
          <w:sz w:val="16"/>
          <w:szCs w:val="16"/>
        </w:rPr>
      </w:pPr>
    </w:p>
  </w:footnote>
  <w:footnote w:id="6">
    <w:p w14:paraId="6F44251C" w14:textId="77777777" w:rsidR="006F2E51" w:rsidRPr="00123AC2" w:rsidRDefault="006F2E51" w:rsidP="00AD50FC">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Por su parte,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p w14:paraId="24E87E27" w14:textId="77777777" w:rsidR="00AD50FC" w:rsidRPr="00123AC2" w:rsidRDefault="00AD50FC" w:rsidP="00AD50FC">
      <w:pPr>
        <w:pStyle w:val="Textonotapie"/>
        <w:ind w:firstLine="708"/>
        <w:contextualSpacing/>
        <w:jc w:val="both"/>
        <w:rPr>
          <w:rFonts w:ascii="Verdana" w:hAnsi="Verdana" w:cs="Arial"/>
          <w:sz w:val="16"/>
          <w:szCs w:val="16"/>
        </w:rPr>
      </w:pPr>
    </w:p>
  </w:footnote>
  <w:footnote w:id="7">
    <w:p w14:paraId="24509A89"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2.2.1.1.1.3.1 del Decreto 1082 de 2015 define los documentos del proceso como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667D255" w14:textId="77777777" w:rsidR="00AD50FC" w:rsidRPr="00123AC2" w:rsidRDefault="00AD50FC" w:rsidP="00AD50FC">
      <w:pPr>
        <w:pStyle w:val="Textonotapie"/>
        <w:ind w:firstLine="708"/>
        <w:contextualSpacing/>
        <w:jc w:val="both"/>
        <w:rPr>
          <w:rFonts w:ascii="Verdana" w:hAnsi="Verdana"/>
          <w:sz w:val="16"/>
          <w:szCs w:val="16"/>
        </w:rPr>
      </w:pPr>
    </w:p>
  </w:footnote>
  <w:footnote w:id="8">
    <w:p w14:paraId="43453AE2"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Esta identificación y caracterización de los sujetos de la </w:t>
      </w:r>
      <w:r w:rsidRPr="00123AC2">
        <w:rPr>
          <w:rFonts w:ascii="Verdana" w:hAnsi="Verdana"/>
          <w:i/>
          <w:iCs/>
          <w:sz w:val="16"/>
          <w:szCs w:val="16"/>
        </w:rPr>
        <w:t>economía popular</w:t>
      </w:r>
      <w:r w:rsidRPr="00123AC2">
        <w:rPr>
          <w:rFonts w:ascii="Verdana" w:hAnsi="Verdana"/>
          <w:sz w:val="16"/>
          <w:szCs w:val="16"/>
        </w:rPr>
        <w:t xml:space="preserve"> también es determinante para las competencias de esta entidad, especialmente, cuando el inciso tercero del artículo 102 de la Ley del Plan Nacional de Desarrollo –al regular los sistemas dinámicos de adquisición– señala que “La Agencia Nacional de Contratación Pública – Colombia Compra Eficiente podrá realizar procesos de contratación cuyos oferentes sean actores de la economía popular. En dichos casos no se requerirá la presentación del RUP para participar en el proceso de selección”.</w:t>
      </w:r>
    </w:p>
    <w:p w14:paraId="6C5F77D7" w14:textId="77777777" w:rsidR="00AD50FC" w:rsidRPr="00123AC2" w:rsidRDefault="00AD50FC" w:rsidP="00AD50FC">
      <w:pPr>
        <w:pStyle w:val="Textonotapie"/>
        <w:ind w:firstLine="708"/>
        <w:contextualSpacing/>
        <w:jc w:val="both"/>
        <w:rPr>
          <w:rFonts w:ascii="Verdana" w:hAnsi="Verdana"/>
          <w:sz w:val="16"/>
          <w:szCs w:val="16"/>
          <w:lang w:val="es-CO"/>
        </w:rPr>
      </w:pPr>
    </w:p>
  </w:footnote>
  <w:footnote w:id="9">
    <w:p w14:paraId="51F0C405"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Este concepto hace parte de la Ley 2294 de 2023, pues –de acuerdo con el artículo 2– “El documento denominado ‘Bases del Plan Nacional de Desarrollo 2022 - 2026 Colombia Potencia Mundial de la Vida’, junto con sus anexos, elaborado por el Gobierno nacional con la participación del Consejo Superior de la Judicatura y del Consejo Nacional de Planeación, con fundamento en los insumos entregados por los colombianos en los Diálogos Regionales Vinculantes, con las modificaciones realizadas en el trámite legislativo, es parte integral del Plan Nacional de Desarrollo, y se incorpora a la presente ley como un anexo”.</w:t>
      </w:r>
    </w:p>
    <w:p w14:paraId="088C1325" w14:textId="77777777" w:rsidR="00AD50FC" w:rsidRPr="00123AC2" w:rsidRDefault="00AD50FC" w:rsidP="00AD50FC">
      <w:pPr>
        <w:pStyle w:val="Textonotapie"/>
        <w:ind w:firstLine="708"/>
        <w:contextualSpacing/>
        <w:jc w:val="both"/>
        <w:rPr>
          <w:rFonts w:ascii="Verdana" w:hAnsi="Verdana"/>
          <w:sz w:val="16"/>
          <w:szCs w:val="16"/>
          <w:lang w:val="es-CO"/>
        </w:rPr>
      </w:pPr>
    </w:p>
  </w:footnote>
  <w:footnote w:id="10">
    <w:p w14:paraId="1C9CDE71"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Éste último se define en el artículo 10 del Código de Comercio como “[…] las personas que profesionalmente se ocupan en alguna de las actividades que la ley considera mercantiles”. Por lo demás, “La calidad de comerciante se </w:t>
      </w:r>
      <w:proofErr w:type="gramStart"/>
      <w:r w:rsidRPr="00123AC2">
        <w:rPr>
          <w:rFonts w:ascii="Verdana" w:hAnsi="Verdana"/>
          <w:sz w:val="16"/>
          <w:szCs w:val="16"/>
        </w:rPr>
        <w:t>adquiere</w:t>
      </w:r>
      <w:proofErr w:type="gramEnd"/>
      <w:r w:rsidRPr="00123AC2">
        <w:rPr>
          <w:rFonts w:ascii="Verdana" w:hAnsi="Verdana"/>
          <w:sz w:val="16"/>
          <w:szCs w:val="16"/>
        </w:rPr>
        <w:t xml:space="preserve"> aunque la actividad mercantil se ejerza por medio de apoderado, intermediario o interpuesta persona”.</w:t>
      </w:r>
    </w:p>
    <w:p w14:paraId="71FB2611" w14:textId="77777777" w:rsidR="00AD50FC" w:rsidRPr="00123AC2" w:rsidRDefault="00AD50FC" w:rsidP="00AD50FC">
      <w:pPr>
        <w:pStyle w:val="Textonotapie"/>
        <w:ind w:firstLine="708"/>
        <w:contextualSpacing/>
        <w:jc w:val="both"/>
        <w:rPr>
          <w:rFonts w:ascii="Verdana" w:hAnsi="Verdana"/>
          <w:sz w:val="16"/>
          <w:szCs w:val="16"/>
          <w:lang w:val="es-CO"/>
        </w:rPr>
      </w:pPr>
    </w:p>
  </w:footnote>
  <w:footnote w:id="11">
    <w:p w14:paraId="490E5ABC" w14:textId="77777777" w:rsidR="006F2E51" w:rsidRPr="00123AC2" w:rsidRDefault="006F2E51" w:rsidP="00AD50FC">
      <w:pPr>
        <w:pStyle w:val="Textonotapie"/>
        <w:ind w:firstLine="708"/>
        <w:contextualSpacing/>
        <w:jc w:val="both"/>
        <w:rPr>
          <w:rFonts w:ascii="Verdana" w:hAnsi="Verdana"/>
          <w:sz w:val="16"/>
          <w:szCs w:val="16"/>
          <w:lang w:val="es-CO"/>
        </w:rPr>
      </w:pPr>
      <w:r w:rsidRPr="00123AC2">
        <w:rPr>
          <w:rStyle w:val="Refdenotaalpie"/>
          <w:rFonts w:ascii="Verdana" w:hAnsi="Verdana"/>
          <w:sz w:val="16"/>
          <w:szCs w:val="16"/>
        </w:rPr>
        <w:footnoteRef/>
      </w:r>
      <w:r w:rsidRPr="00123AC2">
        <w:rPr>
          <w:rFonts w:ascii="Verdana" w:hAnsi="Verdana"/>
          <w:sz w:val="16"/>
          <w:szCs w:val="16"/>
        </w:rPr>
        <w:t xml:space="preserve"> GARRIGUES, Joaquín. Curso de derecho mercantil. Tomo I. Séptima edición. Bogotá: Temis, 1987. p. 134. Énfasis fuera de texto. Ello es congruente con el artículo 11 del Código de Comercio, pues “</w:t>
      </w:r>
      <w:r w:rsidRPr="00123AC2">
        <w:rPr>
          <w:rFonts w:ascii="Verdana" w:hAnsi="Verdana"/>
          <w:sz w:val="16"/>
          <w:szCs w:val="16"/>
          <w:lang w:val="es-CO"/>
        </w:rPr>
        <w:t>Las personas que ejecuten ocasionalmente operaciones mercantiles no se considerarán comerciantes, pero estarán sujetas a las normas comerciales en cuanto a dichas operaciones”. </w:t>
      </w:r>
    </w:p>
    <w:p w14:paraId="01A879E0" w14:textId="77777777" w:rsidR="00AD50FC" w:rsidRPr="00123AC2" w:rsidRDefault="00AD50FC" w:rsidP="00AD50FC">
      <w:pPr>
        <w:pStyle w:val="Textonotapie"/>
        <w:ind w:firstLine="708"/>
        <w:contextualSpacing/>
        <w:jc w:val="both"/>
        <w:rPr>
          <w:rFonts w:ascii="Verdana" w:hAnsi="Verdana"/>
          <w:sz w:val="16"/>
          <w:szCs w:val="16"/>
          <w:lang w:val="es-CO"/>
        </w:rPr>
      </w:pPr>
    </w:p>
  </w:footnote>
  <w:footnote w:id="12">
    <w:p w14:paraId="46BBB54A"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20 del Código de Comercio dispone que “Son mercantiles para todos los efectos legales: </w:t>
      </w:r>
    </w:p>
    <w:p w14:paraId="2A26AD4D"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 La adquisición de bienes a título oneroso con destino a enajenarlos en igual forma, y la enajenación de </w:t>
      </w:r>
      <w:proofErr w:type="gramStart"/>
      <w:r w:rsidRPr="00123AC2">
        <w:rPr>
          <w:rFonts w:ascii="Verdana" w:hAnsi="Verdana"/>
          <w:sz w:val="16"/>
          <w:szCs w:val="16"/>
        </w:rPr>
        <w:t>los mismos</w:t>
      </w:r>
      <w:proofErr w:type="gramEnd"/>
      <w:r w:rsidRPr="00123AC2">
        <w:rPr>
          <w:rFonts w:ascii="Verdana" w:hAnsi="Verdana"/>
          <w:sz w:val="16"/>
          <w:szCs w:val="16"/>
        </w:rPr>
        <w:t xml:space="preserve">; </w:t>
      </w:r>
    </w:p>
    <w:p w14:paraId="28D33F83"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2) La adquisición a título oneroso de bienes muebles con destino a arrendarlos; el arrendamiento de </w:t>
      </w:r>
      <w:proofErr w:type="gramStart"/>
      <w:r w:rsidRPr="00123AC2">
        <w:rPr>
          <w:rFonts w:ascii="Verdana" w:hAnsi="Verdana"/>
          <w:sz w:val="16"/>
          <w:szCs w:val="16"/>
        </w:rPr>
        <w:t>los mismos</w:t>
      </w:r>
      <w:proofErr w:type="gramEnd"/>
      <w:r w:rsidRPr="00123AC2">
        <w:rPr>
          <w:rFonts w:ascii="Verdana" w:hAnsi="Verdana"/>
          <w:sz w:val="16"/>
          <w:szCs w:val="16"/>
        </w:rPr>
        <w:t xml:space="preserve">; el arrendamiento de toda clase de bienes para subarrendarlos, y el subarrendamiento de los mismos; </w:t>
      </w:r>
    </w:p>
    <w:p w14:paraId="4B384494"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3) El recibo de dinero en mutuo a interés, con garantía o sin ella, para darlo en préstamo, y los préstamos subsiguientes, así como dar habitualmente dinero en mutuo a interés; </w:t>
      </w:r>
    </w:p>
    <w:p w14:paraId="48ABC040"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4) La adquisición o enajenación, a título oneroso, de establecimientos de comercio, y la prenda*, arrendamiento, administración y demás operaciones análogas relacionadas con los mismos; </w:t>
      </w:r>
    </w:p>
    <w:p w14:paraId="7FFB32F5"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5) La intervención como asociado en la constitución de sociedades comerciales, los actos de administración de </w:t>
      </w:r>
      <w:proofErr w:type="gramStart"/>
      <w:r w:rsidRPr="00123AC2">
        <w:rPr>
          <w:rFonts w:ascii="Verdana" w:hAnsi="Verdana"/>
          <w:sz w:val="16"/>
          <w:szCs w:val="16"/>
        </w:rPr>
        <w:t>las mismas</w:t>
      </w:r>
      <w:proofErr w:type="gramEnd"/>
      <w:r w:rsidRPr="00123AC2">
        <w:rPr>
          <w:rFonts w:ascii="Verdana" w:hAnsi="Verdana"/>
          <w:sz w:val="16"/>
          <w:szCs w:val="16"/>
        </w:rPr>
        <w:t xml:space="preserve"> o la negociación a título oneroso de las partes de interés, cuotas o acciones; </w:t>
      </w:r>
    </w:p>
    <w:p w14:paraId="62DEEDCB"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6) El giro, otorgamiento, aceptación, garantía o negociación de títulos-valores, así como la compra para reventa, permuta, etc., de los mismos; </w:t>
      </w:r>
    </w:p>
    <w:p w14:paraId="1D556A47"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7) Las operaciones bancarias, de bolsas, o de martillos; </w:t>
      </w:r>
    </w:p>
    <w:p w14:paraId="70DADDFD"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8) El corretaje, las agencias de negocios y la representación de firmas nacionales o extranjeras; </w:t>
      </w:r>
    </w:p>
    <w:p w14:paraId="17831598"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9) La explotación o prestación de servicios de puertos, muelles, puentes, vías y campos de aterrizaje; </w:t>
      </w:r>
    </w:p>
    <w:p w14:paraId="1AE0243D"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10) Las empresas de seguros y la actividad aseguradora; </w:t>
      </w:r>
    </w:p>
    <w:p w14:paraId="23DAFE98"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11) Las empresas de transporte de personas o de cosas, a título oneroso, cualesquiera que fueren la vía y el medio utilizados; </w:t>
      </w:r>
    </w:p>
    <w:p w14:paraId="2365DD2B"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12) Las empresas de fabricación, transformación, manufactura y circulación de bienes; </w:t>
      </w:r>
    </w:p>
    <w:p w14:paraId="15E28D32"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13) Las empresas de depósito de mercaderías, provisiones o suministros, espectáculos públicos y expendio de toda clase de bienes; </w:t>
      </w:r>
    </w:p>
    <w:p w14:paraId="2F4F7116"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14) Las empresas editoriales, litográficas, fotográficas, informativas o de propaganda y las demás destinadas a la prestación de servicios; </w:t>
      </w:r>
    </w:p>
    <w:p w14:paraId="15B21C21"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15) Las empresas de obras o construcciones, reparaciones, montajes, instalaciones u ornamentaciones; </w:t>
      </w:r>
    </w:p>
    <w:p w14:paraId="6CEDEE3C"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16) Las empresas para el aprovechamiento y explotación mercantil de las fuerzas o recursos de la naturaleza; </w:t>
      </w:r>
    </w:p>
    <w:p w14:paraId="7ED9623D"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17) Las empresas promotoras de negocios y las de compra, venta, administración, custodia o circulación de toda clase de bienes; </w:t>
      </w:r>
    </w:p>
    <w:p w14:paraId="749AB452"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18) Las empresas de construcción, reparación, compra y venta de vehículos para el transporte por tierra, agua y aire, y sus accesorios, y </w:t>
      </w:r>
    </w:p>
    <w:p w14:paraId="6E0498DC"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19) Los demás actos y contratos regulados por la ley mercantil”.</w:t>
      </w:r>
    </w:p>
    <w:p w14:paraId="7A41B725" w14:textId="77777777" w:rsidR="00263ACB" w:rsidRPr="00123AC2" w:rsidRDefault="00263ACB" w:rsidP="00AD50FC">
      <w:pPr>
        <w:pStyle w:val="Textonotapie"/>
        <w:ind w:firstLine="708"/>
        <w:contextualSpacing/>
        <w:jc w:val="both"/>
        <w:rPr>
          <w:rFonts w:ascii="Verdana" w:hAnsi="Verdana"/>
          <w:sz w:val="16"/>
          <w:szCs w:val="16"/>
          <w:lang w:val="es-CO"/>
        </w:rPr>
      </w:pPr>
    </w:p>
  </w:footnote>
  <w:footnote w:id="13">
    <w:p w14:paraId="6BDE35F1" w14:textId="424C5679" w:rsidR="00263ACB" w:rsidRPr="00123AC2" w:rsidRDefault="00263ACB" w:rsidP="00AD50FC">
      <w:pPr>
        <w:pStyle w:val="Textonotapie"/>
        <w:ind w:firstLine="708"/>
        <w:contextualSpacing/>
        <w:jc w:val="both"/>
        <w:rPr>
          <w:rFonts w:ascii="Verdana" w:hAnsi="Verdana" w:cs="Arial"/>
          <w:sz w:val="16"/>
          <w:szCs w:val="16"/>
        </w:rPr>
      </w:pPr>
      <w:r w:rsidRPr="00123AC2">
        <w:rPr>
          <w:rStyle w:val="Refdenotaalpie"/>
          <w:rFonts w:ascii="Verdana" w:hAnsi="Verdana"/>
          <w:sz w:val="16"/>
          <w:szCs w:val="16"/>
        </w:rPr>
        <w:footnoteRef/>
      </w:r>
      <w:r w:rsidRPr="00123AC2">
        <w:rPr>
          <w:rFonts w:ascii="Verdana" w:hAnsi="Verdana"/>
          <w:sz w:val="16"/>
          <w:szCs w:val="16"/>
        </w:rPr>
        <w:t xml:space="preserve"> </w:t>
      </w:r>
      <w:r w:rsidRPr="00123AC2">
        <w:rPr>
          <w:rFonts w:ascii="Verdana" w:eastAsia="Calibri" w:hAnsi="Verdana" w:cs="Arial"/>
          <w:bCs/>
          <w:sz w:val="16"/>
          <w:szCs w:val="16"/>
          <w:lang w:val="es-ES_tradnl"/>
        </w:rPr>
        <w:t xml:space="preserve">En ese sentido, el artículo 20 del Código de Comercio agrupa una gran variedad de actividades bajo la categoría de “acto de comercio”, sin que dicha enumeración sea taxativa en </w:t>
      </w:r>
      <w:r w:rsidRPr="00123AC2">
        <w:rPr>
          <w:rFonts w:ascii="Verdana" w:hAnsi="Verdana" w:cs="Arial"/>
          <w:sz w:val="16"/>
          <w:szCs w:val="16"/>
        </w:rPr>
        <w:t>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005E3072" w:rsidRPr="00123AC2">
        <w:rPr>
          <w:rFonts w:ascii="Verdana" w:hAnsi="Verdana" w:cs="Arial"/>
          <w:sz w:val="16"/>
          <w:szCs w:val="16"/>
        </w:rPr>
        <w:t xml:space="preserve">. </w:t>
      </w:r>
    </w:p>
    <w:p w14:paraId="6636F6E8" w14:textId="77777777" w:rsidR="005E3072" w:rsidRPr="00123AC2" w:rsidRDefault="005E3072" w:rsidP="00AD50FC">
      <w:pPr>
        <w:pStyle w:val="Textonotapie"/>
        <w:ind w:firstLine="708"/>
        <w:contextualSpacing/>
        <w:jc w:val="both"/>
        <w:rPr>
          <w:rFonts w:ascii="Verdana" w:eastAsia="Calibri" w:hAnsi="Verdana" w:cs="Arial"/>
          <w:bCs/>
          <w:sz w:val="16"/>
          <w:szCs w:val="16"/>
          <w:lang w:val="es-ES_tradnl"/>
        </w:rPr>
      </w:pPr>
    </w:p>
  </w:footnote>
  <w:footnote w:id="14">
    <w:p w14:paraId="41691F7E"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23 del Código de Comercio prescribe que “No son mercantiles: </w:t>
      </w:r>
    </w:p>
    <w:p w14:paraId="78E9EA14"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1) La adquisición de bienes con destino al consumo doméstico o al uso del adquirente, y la enajenación de </w:t>
      </w:r>
      <w:proofErr w:type="gramStart"/>
      <w:r w:rsidRPr="00123AC2">
        <w:rPr>
          <w:rFonts w:ascii="Verdana" w:hAnsi="Verdana"/>
          <w:sz w:val="16"/>
          <w:szCs w:val="16"/>
        </w:rPr>
        <w:t>los mismos</w:t>
      </w:r>
      <w:proofErr w:type="gramEnd"/>
      <w:r w:rsidRPr="00123AC2">
        <w:rPr>
          <w:rFonts w:ascii="Verdana" w:hAnsi="Verdana"/>
          <w:sz w:val="16"/>
          <w:szCs w:val="16"/>
        </w:rPr>
        <w:t xml:space="preserve"> o de los sobrantes; </w:t>
      </w:r>
    </w:p>
    <w:p w14:paraId="40C60224"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2) La adquisición de bienes para producir obras artísticas y la enajenación de éstas por su autor; </w:t>
      </w:r>
    </w:p>
    <w:p w14:paraId="074D091B"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3) Las adquisiciones hechas por funcionarios o empleados para fines de servicio público; </w:t>
      </w:r>
    </w:p>
    <w:p w14:paraId="3163051C"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 </w:t>
      </w:r>
    </w:p>
    <w:p w14:paraId="3EC7D4C5" w14:textId="77777777" w:rsidR="006F2E51" w:rsidRPr="00123AC2" w:rsidRDefault="006F2E51" w:rsidP="00AD50FC">
      <w:pPr>
        <w:pStyle w:val="Textonotapie"/>
        <w:ind w:firstLine="708"/>
        <w:contextualSpacing/>
        <w:jc w:val="both"/>
        <w:rPr>
          <w:rFonts w:ascii="Verdana" w:hAnsi="Verdana"/>
          <w:sz w:val="16"/>
          <w:szCs w:val="16"/>
          <w:lang w:val="es-CO"/>
        </w:rPr>
      </w:pPr>
      <w:r w:rsidRPr="00123AC2">
        <w:rPr>
          <w:rFonts w:ascii="Verdana" w:hAnsi="Verdana"/>
          <w:sz w:val="16"/>
          <w:szCs w:val="16"/>
        </w:rPr>
        <w:t>5) La prestación de servicios inherentes a las profesiones liberales”.</w:t>
      </w:r>
    </w:p>
  </w:footnote>
  <w:footnote w:id="15">
    <w:p w14:paraId="22CEF5CD" w14:textId="77777777" w:rsidR="00E547F7" w:rsidRPr="00123AC2" w:rsidRDefault="00E547F7" w:rsidP="00AD50FC">
      <w:pPr>
        <w:pStyle w:val="Textonotapie"/>
        <w:ind w:firstLine="708"/>
        <w:contextualSpacing/>
        <w:rPr>
          <w:rFonts w:ascii="Verdana" w:hAnsi="Verdana"/>
          <w:sz w:val="16"/>
          <w:szCs w:val="16"/>
        </w:rPr>
      </w:pPr>
    </w:p>
    <w:p w14:paraId="59638BA3" w14:textId="1711D391" w:rsidR="00E547F7" w:rsidRPr="00123AC2" w:rsidRDefault="00E547F7" w:rsidP="00AD50FC">
      <w:pPr>
        <w:pBdr>
          <w:top w:val="nil"/>
          <w:left w:val="nil"/>
          <w:bottom w:val="nil"/>
          <w:right w:val="nil"/>
          <w:between w:val="nil"/>
        </w:pBdr>
        <w:spacing w:after="0" w:line="240" w:lineRule="auto"/>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A modo de ejemplo, </w:t>
      </w:r>
      <w:r w:rsidR="006C2C71" w:rsidRPr="00123AC2">
        <w:rPr>
          <w:rFonts w:ascii="Verdana" w:hAnsi="Verdana"/>
          <w:sz w:val="16"/>
          <w:szCs w:val="16"/>
        </w:rPr>
        <w:t>d</w:t>
      </w:r>
      <w:r w:rsidRPr="00123AC2">
        <w:rPr>
          <w:rFonts w:ascii="Verdana" w:eastAsia="Arial" w:hAnsi="Verdana" w:cs="Arial"/>
          <w:color w:val="000000"/>
          <w:sz w:val="16"/>
          <w:szCs w:val="16"/>
        </w:rPr>
        <w:t xml:space="preserve">entro de </w:t>
      </w:r>
      <w:r w:rsidR="006C2C71" w:rsidRPr="00123AC2">
        <w:rPr>
          <w:rFonts w:ascii="Verdana" w:eastAsia="Arial" w:hAnsi="Verdana" w:cs="Arial"/>
          <w:color w:val="000000"/>
          <w:sz w:val="16"/>
          <w:szCs w:val="16"/>
        </w:rPr>
        <w:t>la economía del cuidado</w:t>
      </w:r>
      <w:r w:rsidRPr="00123AC2">
        <w:rPr>
          <w:rFonts w:ascii="Verdana" w:eastAsia="Arial" w:hAnsi="Verdana" w:cs="Arial"/>
          <w:color w:val="000000"/>
          <w:sz w:val="16"/>
          <w:szCs w:val="16"/>
        </w:rPr>
        <w:t xml:space="preserve"> es posible ubicar las actividades se realizan dentro del hogar o la comunidad que son de vital importancia para el funcionamiento del sistema económico y social. Actividades como la preparación de los alimentos, el arreglo y mantenimiento del hogar y las prendas de vestir, actividades de cuidado a personas mayores, con discapacidad o niños (enseñanza de valores y habilidades), entre otras, también son necesarias para la reproducción del capital humano, dado que sirven para la manutención de los trabajadores actuales y futuros. Sin embargo, estas actividades son poco valoradas por la sociedad, principalmente porque la mayoría de ellas se realizan sin recibir una remuneración monetaria a cambio. La economía de cuidado busca otorgar valor a las actividades de cuidado y de trabajo doméstico no remunerado, dado que estas actividades se consideran bienes o servicios económicos porque además de generar valor, también demandan costos representados en tiempo y energía necesarios para producirlos. Adicionalmente estas tareas también generan bienestar a las personas que los reciben.</w:t>
      </w:r>
      <w:r w:rsidRPr="00123AC2">
        <w:rPr>
          <w:rFonts w:ascii="Verdana" w:hAnsi="Verdana"/>
          <w:sz w:val="16"/>
          <w:szCs w:val="16"/>
        </w:rPr>
        <w:t xml:space="preserve"> </w:t>
      </w:r>
    </w:p>
    <w:p w14:paraId="32FDA615" w14:textId="77777777" w:rsidR="009C0195" w:rsidRPr="00123AC2" w:rsidRDefault="009C0195" w:rsidP="00AD50FC">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p>
  </w:footnote>
  <w:footnote w:id="16">
    <w:p w14:paraId="133A5BFE"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DEPARTAMENTO ADMINISTRATIVO NACIONAL DE ESTADÍSTICA. Conteo de unidades económicas 2021. Consultado el 3 de septiembre de 2024 en la página web </w:t>
      </w:r>
      <w:hyperlink r:id="rId1" w:anchor=":~:text=*Una%20unidad%20económica%20es%20una,vivienda%20o%20en%20puestos%20móviles" w:history="1">
        <w:r w:rsidRPr="00123AC2">
          <w:rPr>
            <w:rStyle w:val="Hipervnculo"/>
            <w:rFonts w:ascii="Verdana" w:hAnsi="Verdana"/>
            <w:sz w:val="16"/>
            <w:szCs w:val="16"/>
          </w:rPr>
          <w:t>https://www.dane.gov.co/index.php/estadisticas-por-tema/comercio-interno/censo-economico-de-colombia/conteo-de-unidades-economicas-2021#:~:text=*Una%20unidad%20económica%20es%20una,vivienda%20o%20en%20puestos%20móviles</w:t>
        </w:r>
      </w:hyperlink>
      <w:r w:rsidRPr="00123AC2">
        <w:rPr>
          <w:rFonts w:ascii="Verdana" w:hAnsi="Verdana"/>
          <w:sz w:val="16"/>
          <w:szCs w:val="16"/>
        </w:rPr>
        <w:t xml:space="preserve">. </w:t>
      </w:r>
    </w:p>
    <w:p w14:paraId="2DE4943B" w14:textId="77777777" w:rsidR="009C0195" w:rsidRPr="00123AC2" w:rsidRDefault="009C0195" w:rsidP="00AD50FC">
      <w:pPr>
        <w:pStyle w:val="Textonotapie"/>
        <w:ind w:firstLine="708"/>
        <w:contextualSpacing/>
        <w:jc w:val="both"/>
        <w:rPr>
          <w:rFonts w:ascii="Verdana" w:hAnsi="Verdana"/>
          <w:sz w:val="16"/>
          <w:szCs w:val="16"/>
        </w:rPr>
      </w:pPr>
    </w:p>
  </w:footnote>
  <w:footnote w:id="17">
    <w:p w14:paraId="40E7CB42"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DEPARTAMENTO ADMINISTRATIVO NACIONAL DE ESTADÍSTICA. Encuesta de Micronegocios (EMICRON): I Trimestre de 2024. Consultado el 3 de septiembre de 2024 en la página web </w:t>
      </w:r>
      <w:hyperlink r:id="rId2" w:history="1">
        <w:r w:rsidRPr="00123AC2">
          <w:rPr>
            <w:rStyle w:val="Hipervnculo"/>
            <w:rFonts w:ascii="Verdana" w:hAnsi="Verdana"/>
            <w:sz w:val="16"/>
            <w:szCs w:val="16"/>
          </w:rPr>
          <w:t>https://www.dane.gov.co/files/operaciones/EMICRON/bol-EMICRON-Itrim2024.pdf</w:t>
        </w:r>
      </w:hyperlink>
      <w:r w:rsidRPr="00123AC2">
        <w:rPr>
          <w:rFonts w:ascii="Verdana" w:hAnsi="Verdana"/>
          <w:sz w:val="16"/>
          <w:szCs w:val="16"/>
        </w:rPr>
        <w:t xml:space="preserve">. El informe agrega que “Las actividades económicas que realizan los micronegocios comprenden desde la pequeña miscelánea de barrio hasta los servicios de consultoría especializada, incluye las profesiones liberales, las ventas ambulantes y las confecciones al interior de la vivienda. Es un grupo muy heterogéneo y puede desarrollar la actividad en cualquier emplazamiento (vivienda, local, puerta a puerta, etc.)”. </w:t>
      </w:r>
    </w:p>
  </w:footnote>
  <w:footnote w:id="18">
    <w:p w14:paraId="176D6E5B"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14:paraId="5E610285" w14:textId="77777777" w:rsidR="00B050ED" w:rsidRPr="00123AC2" w:rsidRDefault="00B050ED" w:rsidP="00AD50FC">
      <w:pPr>
        <w:pStyle w:val="Textonotapie"/>
        <w:ind w:firstLine="708"/>
        <w:contextualSpacing/>
        <w:jc w:val="both"/>
        <w:rPr>
          <w:rFonts w:ascii="Verdana" w:hAnsi="Verdana"/>
          <w:sz w:val="16"/>
          <w:szCs w:val="16"/>
        </w:rPr>
      </w:pPr>
    </w:p>
  </w:footnote>
  <w:footnote w:id="19">
    <w:p w14:paraId="5C2F688E"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En el mismo sentido, TAFUR GALVIS considera lo siguiente: “[…] además de la realización de los actos necesarios de conservación patrimonial, de tiempo atrás se acepta que las instituciones ‘sin ánimo de lucro’ no pierden ese carácter, a pesar de que usualmente celebren actos comerciales. La necesaria coherencia conceptual debe signar esas actuaciones como complementarias respecto de la actividad principal señalada por el fundador o por los asociados, y de necesaria instrumentalidad respecto de los fines de interés general y beneficio común a su cargo […]” (TAFUR GALVIS, Álvaro. Las personas jurídicas privadas sin ánimo de lucro y el Estado. Quinta edición. Bogotá: Grupo Editorial Ibáñez, 2017. p. 60).</w:t>
      </w:r>
    </w:p>
    <w:p w14:paraId="0B781CE3" w14:textId="77777777" w:rsidR="00B050ED" w:rsidRPr="00123AC2" w:rsidRDefault="00B050ED" w:rsidP="00AD50FC">
      <w:pPr>
        <w:pStyle w:val="Textonotapie"/>
        <w:ind w:firstLine="708"/>
        <w:contextualSpacing/>
        <w:jc w:val="both"/>
        <w:rPr>
          <w:rFonts w:ascii="Verdana" w:hAnsi="Verdana"/>
          <w:sz w:val="16"/>
          <w:szCs w:val="16"/>
        </w:rPr>
      </w:pPr>
    </w:p>
  </w:footnote>
  <w:footnote w:id="20">
    <w:p w14:paraId="21CB0513"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De acuerdo con el Concepto C-184 del 2 de abril de 2020, la ANCP – CCE ha considerado que “[…] el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048E7C8D"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En este sentido, […] una persona […] solo deberá estar inscrita en el registro mercantil, en cumplimiento de un deber comercial, cuando realice alguna actividad comercial profesional de manera habitual, y no por el hecho de participar en un proceso de contratación”.</w:t>
      </w:r>
    </w:p>
    <w:p w14:paraId="7BDD4B43" w14:textId="77777777" w:rsidR="00B050ED" w:rsidRPr="00123AC2" w:rsidRDefault="00B050ED" w:rsidP="00AD50FC">
      <w:pPr>
        <w:pStyle w:val="Textonotapie"/>
        <w:ind w:firstLine="708"/>
        <w:contextualSpacing/>
        <w:jc w:val="both"/>
        <w:rPr>
          <w:rFonts w:ascii="Verdana" w:hAnsi="Verdana"/>
          <w:sz w:val="16"/>
          <w:szCs w:val="16"/>
          <w:lang w:val="es-CO"/>
        </w:rPr>
      </w:pPr>
    </w:p>
  </w:footnote>
  <w:footnote w:id="21">
    <w:p w14:paraId="694CEE1C" w14:textId="77777777" w:rsidR="006F2E51" w:rsidRPr="00123AC2" w:rsidRDefault="006F2E51" w:rsidP="00AD50FC">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Al respecto, “Se ha considerado […] que, respecto de la colectividad, la personificación no es un hecho natural, porque la colectividad no puede existir como persona </w:t>
      </w:r>
      <w:r w:rsidRPr="00123AC2">
        <w:rPr>
          <w:rFonts w:ascii="Verdana" w:hAnsi="Verdana" w:cs="Arial"/>
          <w:i/>
          <w:iCs/>
          <w:sz w:val="16"/>
          <w:szCs w:val="16"/>
        </w:rPr>
        <w:t>jure propio</w:t>
      </w:r>
      <w:r w:rsidRPr="00123AC2">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123AC2">
        <w:rPr>
          <w:rFonts w:ascii="Verdana" w:hAnsi="Verdana" w:cs="Arial"/>
          <w:i/>
          <w:iCs/>
          <w:sz w:val="16"/>
          <w:szCs w:val="16"/>
        </w:rPr>
        <w:t>jure propio</w:t>
      </w:r>
      <w:r w:rsidRPr="00123AC2">
        <w:rPr>
          <w:rFonts w:ascii="Verdana" w:hAnsi="Verdana" w:cs="Arial"/>
          <w:sz w:val="16"/>
          <w:szCs w:val="16"/>
        </w:rPr>
        <w:t xml:space="preserve">,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w:t>
      </w:r>
      <w:proofErr w:type="spellStart"/>
      <w:r w:rsidRPr="00123AC2">
        <w:rPr>
          <w:rFonts w:ascii="Verdana" w:hAnsi="Verdana" w:cs="Arial"/>
          <w:sz w:val="16"/>
          <w:szCs w:val="16"/>
        </w:rPr>
        <w:t>Olejnik</w:t>
      </w:r>
      <w:proofErr w:type="spellEnd"/>
      <w:r w:rsidRPr="00123AC2">
        <w:rPr>
          <w:rFonts w:ascii="Verdana" w:hAnsi="Verdana" w:cs="Arial"/>
          <w:sz w:val="16"/>
          <w:szCs w:val="16"/>
        </w:rPr>
        <w:t>, 2020. p. 10).</w:t>
      </w:r>
    </w:p>
    <w:p w14:paraId="7520BF8C" w14:textId="77777777" w:rsidR="00B050ED" w:rsidRPr="00123AC2" w:rsidRDefault="00B050ED" w:rsidP="00AD50FC">
      <w:pPr>
        <w:pStyle w:val="Textonotapie"/>
        <w:ind w:firstLine="708"/>
        <w:contextualSpacing/>
        <w:jc w:val="both"/>
        <w:rPr>
          <w:rFonts w:ascii="Verdana" w:hAnsi="Verdana" w:cs="Arial"/>
          <w:sz w:val="16"/>
          <w:szCs w:val="16"/>
        </w:rPr>
      </w:pPr>
    </w:p>
  </w:footnote>
  <w:footnote w:id="22">
    <w:p w14:paraId="47578D8D" w14:textId="77777777" w:rsidR="006F2E51" w:rsidRPr="00123AC2" w:rsidRDefault="006F2E51" w:rsidP="00AD50FC">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04DE2AD9" w14:textId="77777777" w:rsidR="006F2E51" w:rsidRPr="00123AC2" w:rsidRDefault="006F2E51" w:rsidP="00AD50FC">
      <w:pPr>
        <w:pStyle w:val="Textonotapie"/>
        <w:ind w:firstLine="708"/>
        <w:contextualSpacing/>
        <w:jc w:val="both"/>
        <w:rPr>
          <w:rFonts w:ascii="Verdana" w:hAnsi="Verdana" w:cs="Arial"/>
          <w:sz w:val="16"/>
          <w:szCs w:val="16"/>
        </w:rPr>
      </w:pPr>
      <w:r w:rsidRPr="00123AC2">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p w14:paraId="7FCEAD7B" w14:textId="77777777" w:rsidR="00B050ED" w:rsidRPr="00123AC2" w:rsidRDefault="00B050ED" w:rsidP="00AD50FC">
      <w:pPr>
        <w:pStyle w:val="Textonotapie"/>
        <w:ind w:firstLine="708"/>
        <w:contextualSpacing/>
        <w:jc w:val="both"/>
        <w:rPr>
          <w:rFonts w:ascii="Verdana" w:hAnsi="Verdana" w:cs="Arial"/>
          <w:sz w:val="16"/>
          <w:szCs w:val="16"/>
        </w:rPr>
      </w:pPr>
    </w:p>
  </w:footnote>
  <w:footnote w:id="23">
    <w:p w14:paraId="5A1E8B64" w14:textId="77777777" w:rsidR="006F2E51" w:rsidRPr="00123AC2" w:rsidRDefault="006F2E51" w:rsidP="00AD50FC">
      <w:pPr>
        <w:pStyle w:val="Textonotapie"/>
        <w:ind w:firstLine="708"/>
        <w:contextualSpacing/>
        <w:jc w:val="both"/>
        <w:rPr>
          <w:rFonts w:ascii="Verdana" w:hAnsi="Verdana" w:cs="Arial"/>
          <w:sz w:val="16"/>
          <w:szCs w:val="16"/>
        </w:rPr>
      </w:pPr>
      <w:r w:rsidRPr="00123AC2">
        <w:rPr>
          <w:rStyle w:val="Refdenotaalpie"/>
          <w:rFonts w:ascii="Verdana" w:hAnsi="Verdana" w:cs="Arial"/>
          <w:sz w:val="16"/>
          <w:szCs w:val="16"/>
        </w:rPr>
        <w:footnoteRef/>
      </w:r>
      <w:r w:rsidRPr="00123AC2">
        <w:rPr>
          <w:rFonts w:ascii="Verdana" w:hAnsi="Verdana" w:cs="Arial"/>
          <w:sz w:val="16"/>
          <w:szCs w:val="16"/>
        </w:rPr>
        <w:t xml:space="preserve"> CLARO SOLAR, Luis. Explicaciones de derecho civil chileno y comparado. Volumen II. Tomo V. Santiago: Editorial Jurídica de Chile, 2013. p. 353.</w:t>
      </w:r>
    </w:p>
    <w:p w14:paraId="1F1B219A" w14:textId="77777777" w:rsidR="00B050ED" w:rsidRPr="00123AC2" w:rsidRDefault="00B050ED" w:rsidP="00AD50FC">
      <w:pPr>
        <w:pStyle w:val="Textonotapie"/>
        <w:ind w:firstLine="708"/>
        <w:contextualSpacing/>
        <w:jc w:val="both"/>
        <w:rPr>
          <w:rFonts w:ascii="Verdana" w:hAnsi="Verdana" w:cs="Arial"/>
          <w:sz w:val="16"/>
          <w:szCs w:val="16"/>
        </w:rPr>
      </w:pPr>
    </w:p>
  </w:footnote>
  <w:footnote w:id="24">
    <w:p w14:paraId="60D65CE2" w14:textId="77777777" w:rsidR="006F2E51" w:rsidRPr="00123AC2"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Para la doctrina</w:t>
      </w:r>
      <w:proofErr w:type="gramStart"/>
      <w:r w:rsidRPr="00123AC2">
        <w:rPr>
          <w:rFonts w:ascii="Verdana" w:hAnsi="Verdana"/>
          <w:sz w:val="16"/>
          <w:szCs w:val="16"/>
        </w:rPr>
        <w:t>, ”Existe</w:t>
      </w:r>
      <w:proofErr w:type="gramEnd"/>
      <w:r w:rsidRPr="00123AC2">
        <w:rPr>
          <w:rFonts w:ascii="Verdana" w:hAnsi="Verdana"/>
          <w:sz w:val="16"/>
          <w:szCs w:val="16"/>
        </w:rPr>
        <w:t xml:space="preserve"> asociación de fines económicos, o patrimoniales si se prefiere, cuando el fin mismo de la asociación, es decir, las ventajas que los miembros pretendan recabar al asociarse, sea de orden económico, y no cuando la asociación lleve a cabo, incluso habitualmente, actos dirigidos a un fin de lucro, pero con los cuales pretenda simplemente procurarse los medios para conseguir su fin, que bien puede ser el más ideal. Todas las demás asociaciones son de fines ideales, como usualmente se dice, o, más exactamente, de fines no económicos.</w:t>
      </w:r>
    </w:p>
    <w:p w14:paraId="1AB636FA" w14:textId="77777777" w:rsidR="006F2E51" w:rsidRPr="00123AC2" w:rsidRDefault="006F2E51" w:rsidP="00AD50FC">
      <w:pPr>
        <w:pStyle w:val="Textonotapie"/>
        <w:ind w:firstLine="708"/>
        <w:contextualSpacing/>
        <w:jc w:val="both"/>
        <w:rPr>
          <w:rFonts w:ascii="Verdana" w:hAnsi="Verdana"/>
          <w:sz w:val="16"/>
          <w:szCs w:val="16"/>
        </w:rPr>
      </w:pPr>
      <w:r w:rsidRPr="00123AC2">
        <w:rPr>
          <w:rFonts w:ascii="Verdana" w:hAnsi="Verdana"/>
          <w:sz w:val="16"/>
          <w:szCs w:val="16"/>
        </w:rPr>
        <w:t xml:space="preserve">[…] Asociación de fines altruistas es aquélla en la que el resultado que se propone conseguir ha de redundar únicamente en ventaja de una determinada categoría de terceros (por ejemplo, los pertenecientes a una ciudad o región determinada, los interesados en determinada forma cultural), o de una concreta categoría de terceros y de asociados (en cuanto también ellos entran en aquella clase o categoría, por ejemplo, por pertenecer a aquella región), o de la generalidad, y, por consiguiente, también de los asociados; teniendo en cuenta estas dos últimas hipótesis, que son las más frecuentes, la fórmula ‘asociación de fines altruistas’ hasta puede no parecer la más feliz terminológicamente, toda vez que los resultados perseguidos redundan también directamente en beneficio de los miembros” (DOMENICO, </w:t>
      </w:r>
      <w:proofErr w:type="spellStart"/>
      <w:r w:rsidRPr="00123AC2">
        <w:rPr>
          <w:rFonts w:ascii="Verdana" w:hAnsi="Verdana"/>
          <w:sz w:val="16"/>
          <w:szCs w:val="16"/>
        </w:rPr>
        <w:t>Rubino</w:t>
      </w:r>
      <w:proofErr w:type="spellEnd"/>
      <w:r w:rsidRPr="00123AC2">
        <w:rPr>
          <w:rFonts w:ascii="Verdana" w:hAnsi="Verdana"/>
          <w:sz w:val="16"/>
          <w:szCs w:val="16"/>
        </w:rPr>
        <w:t xml:space="preserve">. Las asociaciones no reconocidas. Santiago: Ediciones </w:t>
      </w:r>
      <w:proofErr w:type="spellStart"/>
      <w:r w:rsidRPr="00123AC2">
        <w:rPr>
          <w:rFonts w:ascii="Verdana" w:hAnsi="Verdana"/>
          <w:sz w:val="16"/>
          <w:szCs w:val="16"/>
        </w:rPr>
        <w:t>Olejnik</w:t>
      </w:r>
      <w:proofErr w:type="spellEnd"/>
      <w:r w:rsidRPr="00123AC2">
        <w:rPr>
          <w:rFonts w:ascii="Verdana" w:hAnsi="Verdana"/>
          <w:sz w:val="16"/>
          <w:szCs w:val="16"/>
        </w:rPr>
        <w:t>, 2018. pp. 81-82).</w:t>
      </w:r>
    </w:p>
    <w:p w14:paraId="59085823" w14:textId="77777777" w:rsidR="00B050ED" w:rsidRPr="00123AC2" w:rsidRDefault="00B050ED" w:rsidP="00AD50FC">
      <w:pPr>
        <w:pStyle w:val="Textonotapie"/>
        <w:ind w:firstLine="708"/>
        <w:contextualSpacing/>
        <w:jc w:val="both"/>
        <w:rPr>
          <w:rFonts w:ascii="Verdana" w:hAnsi="Verdana"/>
          <w:sz w:val="16"/>
          <w:szCs w:val="16"/>
        </w:rPr>
      </w:pPr>
    </w:p>
  </w:footnote>
  <w:footnote w:id="25">
    <w:p w14:paraId="5B67C55F" w14:textId="77777777" w:rsidR="006F2E51" w:rsidRDefault="006F2E51" w:rsidP="00AD50FC">
      <w:pPr>
        <w:pStyle w:val="Textonotapie"/>
        <w:ind w:firstLine="708"/>
        <w:contextualSpacing/>
        <w:jc w:val="both"/>
        <w:rPr>
          <w:rFonts w:ascii="Verdana" w:hAnsi="Verdana"/>
          <w:sz w:val="16"/>
          <w:szCs w:val="16"/>
        </w:rPr>
      </w:pPr>
      <w:r w:rsidRPr="00123AC2">
        <w:rPr>
          <w:rStyle w:val="Refdenotaalpie"/>
          <w:rFonts w:ascii="Verdana" w:hAnsi="Verdana"/>
          <w:sz w:val="16"/>
          <w:szCs w:val="16"/>
        </w:rPr>
        <w:footnoteRef/>
      </w:r>
      <w:r w:rsidRPr="00123AC2">
        <w:rPr>
          <w:rFonts w:ascii="Verdana" w:hAnsi="Verdana"/>
          <w:sz w:val="16"/>
          <w:szCs w:val="16"/>
        </w:rPr>
        <w:t xml:space="preserve"> El artículo 2.2.16.1.8 del Decreto 1082 de 2015 dispone que “Las Entidades Estatales deben abstenerse de fraccionar el objeto contractual con el fin de eludir los procedimientos impuestos por el deber de selección objetiva”.</w:t>
      </w:r>
    </w:p>
    <w:p w14:paraId="5CAC7C82" w14:textId="77777777" w:rsidR="00B050ED" w:rsidRPr="00AD50FC" w:rsidRDefault="00B050ED" w:rsidP="00AD50FC">
      <w:pPr>
        <w:pStyle w:val="Textonotapie"/>
        <w:ind w:firstLine="708"/>
        <w:contextualSpacing/>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75pt;height:7.75pt" o:bullet="t">
        <v:imagedata r:id="rId1" o:title="mso1B13"/>
      </v:shape>
    </w:pict>
  </w:numPicBullet>
  <w:abstractNum w:abstractNumId="0" w15:restartNumberingAfterBreak="0">
    <w:nsid w:val="01C06310"/>
    <w:multiLevelType w:val="multilevel"/>
    <w:tmpl w:val="A916305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5"/>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5F1"/>
    <w:rsid w:val="0004233A"/>
    <w:rsid w:val="00050EEE"/>
    <w:rsid w:val="00061B2A"/>
    <w:rsid w:val="00082362"/>
    <w:rsid w:val="0008254D"/>
    <w:rsid w:val="0008738E"/>
    <w:rsid w:val="000A683E"/>
    <w:rsid w:val="000B19B9"/>
    <w:rsid w:val="000C4871"/>
    <w:rsid w:val="000D0334"/>
    <w:rsid w:val="000D5AA3"/>
    <w:rsid w:val="000E533B"/>
    <w:rsid w:val="000E78E8"/>
    <w:rsid w:val="000F266F"/>
    <w:rsid w:val="000F4118"/>
    <w:rsid w:val="000F6486"/>
    <w:rsid w:val="000F755A"/>
    <w:rsid w:val="001102C0"/>
    <w:rsid w:val="00115A3B"/>
    <w:rsid w:val="00123AC2"/>
    <w:rsid w:val="00125105"/>
    <w:rsid w:val="00127233"/>
    <w:rsid w:val="00137E92"/>
    <w:rsid w:val="00154466"/>
    <w:rsid w:val="00155E13"/>
    <w:rsid w:val="00171265"/>
    <w:rsid w:val="001735F6"/>
    <w:rsid w:val="00183095"/>
    <w:rsid w:val="001A69FD"/>
    <w:rsid w:val="001A7114"/>
    <w:rsid w:val="001D4791"/>
    <w:rsid w:val="001D67D2"/>
    <w:rsid w:val="001E4177"/>
    <w:rsid w:val="001E5BD9"/>
    <w:rsid w:val="001F7DC6"/>
    <w:rsid w:val="00201727"/>
    <w:rsid w:val="00201A0B"/>
    <w:rsid w:val="002100C4"/>
    <w:rsid w:val="00223C3B"/>
    <w:rsid w:val="00241D02"/>
    <w:rsid w:val="002421BB"/>
    <w:rsid w:val="002454FB"/>
    <w:rsid w:val="002459C1"/>
    <w:rsid w:val="00251F5E"/>
    <w:rsid w:val="0025796E"/>
    <w:rsid w:val="00263ACB"/>
    <w:rsid w:val="002707A2"/>
    <w:rsid w:val="00290072"/>
    <w:rsid w:val="002951A0"/>
    <w:rsid w:val="002962BC"/>
    <w:rsid w:val="002A093D"/>
    <w:rsid w:val="002A0DD0"/>
    <w:rsid w:val="002A1DE5"/>
    <w:rsid w:val="002A3753"/>
    <w:rsid w:val="002A49AC"/>
    <w:rsid w:val="002A64FD"/>
    <w:rsid w:val="002B1742"/>
    <w:rsid w:val="002B6E76"/>
    <w:rsid w:val="002C0265"/>
    <w:rsid w:val="002C7A84"/>
    <w:rsid w:val="002E1351"/>
    <w:rsid w:val="002E2BA9"/>
    <w:rsid w:val="002E4FD9"/>
    <w:rsid w:val="002F45B9"/>
    <w:rsid w:val="003043C4"/>
    <w:rsid w:val="00311B69"/>
    <w:rsid w:val="0031673B"/>
    <w:rsid w:val="00322A85"/>
    <w:rsid w:val="00324168"/>
    <w:rsid w:val="00330683"/>
    <w:rsid w:val="003448F4"/>
    <w:rsid w:val="00353FD6"/>
    <w:rsid w:val="00374F5E"/>
    <w:rsid w:val="00377E3E"/>
    <w:rsid w:val="00383804"/>
    <w:rsid w:val="003870C5"/>
    <w:rsid w:val="00387F09"/>
    <w:rsid w:val="00395B3F"/>
    <w:rsid w:val="003A26D1"/>
    <w:rsid w:val="003A4574"/>
    <w:rsid w:val="003A7180"/>
    <w:rsid w:val="003A779E"/>
    <w:rsid w:val="003C2E68"/>
    <w:rsid w:val="003D01AD"/>
    <w:rsid w:val="003D0F4D"/>
    <w:rsid w:val="003D5B0D"/>
    <w:rsid w:val="003E0499"/>
    <w:rsid w:val="003E676F"/>
    <w:rsid w:val="003F3941"/>
    <w:rsid w:val="004055A7"/>
    <w:rsid w:val="00406575"/>
    <w:rsid w:val="0042722E"/>
    <w:rsid w:val="00427846"/>
    <w:rsid w:val="00434AAA"/>
    <w:rsid w:val="0044528D"/>
    <w:rsid w:val="0044670A"/>
    <w:rsid w:val="00473D03"/>
    <w:rsid w:val="004765D3"/>
    <w:rsid w:val="00496524"/>
    <w:rsid w:val="004A1847"/>
    <w:rsid w:val="004A257C"/>
    <w:rsid w:val="004A305D"/>
    <w:rsid w:val="004A56F9"/>
    <w:rsid w:val="004A5C4A"/>
    <w:rsid w:val="004B4AB6"/>
    <w:rsid w:val="004C522B"/>
    <w:rsid w:val="004C5C5C"/>
    <w:rsid w:val="004D4567"/>
    <w:rsid w:val="004D647E"/>
    <w:rsid w:val="004D78A4"/>
    <w:rsid w:val="004D7CCE"/>
    <w:rsid w:val="004F21C4"/>
    <w:rsid w:val="004F2566"/>
    <w:rsid w:val="004F685F"/>
    <w:rsid w:val="0052238A"/>
    <w:rsid w:val="00530B18"/>
    <w:rsid w:val="005566E8"/>
    <w:rsid w:val="005626F6"/>
    <w:rsid w:val="00567774"/>
    <w:rsid w:val="00567FD1"/>
    <w:rsid w:val="00574867"/>
    <w:rsid w:val="0058200E"/>
    <w:rsid w:val="00583AF8"/>
    <w:rsid w:val="00591460"/>
    <w:rsid w:val="00591A41"/>
    <w:rsid w:val="00592628"/>
    <w:rsid w:val="005A7F8A"/>
    <w:rsid w:val="005B341F"/>
    <w:rsid w:val="005B6FFD"/>
    <w:rsid w:val="005B77F2"/>
    <w:rsid w:val="005C3777"/>
    <w:rsid w:val="005C5CDC"/>
    <w:rsid w:val="005D476C"/>
    <w:rsid w:val="005D54E6"/>
    <w:rsid w:val="005E3072"/>
    <w:rsid w:val="005E44DF"/>
    <w:rsid w:val="005F3960"/>
    <w:rsid w:val="006006A3"/>
    <w:rsid w:val="0060279D"/>
    <w:rsid w:val="00606355"/>
    <w:rsid w:val="00610812"/>
    <w:rsid w:val="0062153F"/>
    <w:rsid w:val="006219F8"/>
    <w:rsid w:val="00630972"/>
    <w:rsid w:val="006335E1"/>
    <w:rsid w:val="00644E43"/>
    <w:rsid w:val="00650FF7"/>
    <w:rsid w:val="00665D70"/>
    <w:rsid w:val="00665EC7"/>
    <w:rsid w:val="00671DAC"/>
    <w:rsid w:val="00686001"/>
    <w:rsid w:val="00687B43"/>
    <w:rsid w:val="006900D9"/>
    <w:rsid w:val="0069399C"/>
    <w:rsid w:val="00693AF4"/>
    <w:rsid w:val="006A429D"/>
    <w:rsid w:val="006A6C20"/>
    <w:rsid w:val="006C2C71"/>
    <w:rsid w:val="006C34BD"/>
    <w:rsid w:val="006C735A"/>
    <w:rsid w:val="006D12F8"/>
    <w:rsid w:val="006E1DEB"/>
    <w:rsid w:val="006F2E51"/>
    <w:rsid w:val="00700590"/>
    <w:rsid w:val="00700BE4"/>
    <w:rsid w:val="00706C16"/>
    <w:rsid w:val="00726813"/>
    <w:rsid w:val="00735F27"/>
    <w:rsid w:val="00756841"/>
    <w:rsid w:val="007649AB"/>
    <w:rsid w:val="00771D0C"/>
    <w:rsid w:val="0077389B"/>
    <w:rsid w:val="007833AC"/>
    <w:rsid w:val="00785086"/>
    <w:rsid w:val="007854F1"/>
    <w:rsid w:val="007A2CFC"/>
    <w:rsid w:val="007A5E19"/>
    <w:rsid w:val="007A6B6A"/>
    <w:rsid w:val="007B1490"/>
    <w:rsid w:val="007B268C"/>
    <w:rsid w:val="007B7171"/>
    <w:rsid w:val="007B7BB4"/>
    <w:rsid w:val="007C0C0F"/>
    <w:rsid w:val="007C3DC2"/>
    <w:rsid w:val="007D2118"/>
    <w:rsid w:val="007D5FDC"/>
    <w:rsid w:val="007D77B1"/>
    <w:rsid w:val="007E5497"/>
    <w:rsid w:val="007E6B0C"/>
    <w:rsid w:val="007F195C"/>
    <w:rsid w:val="008000AB"/>
    <w:rsid w:val="00804428"/>
    <w:rsid w:val="00806F5F"/>
    <w:rsid w:val="00815408"/>
    <w:rsid w:val="00820278"/>
    <w:rsid w:val="008231F8"/>
    <w:rsid w:val="0082625B"/>
    <w:rsid w:val="00827D3B"/>
    <w:rsid w:val="0083596A"/>
    <w:rsid w:val="0083604B"/>
    <w:rsid w:val="00840FE4"/>
    <w:rsid w:val="00847C9E"/>
    <w:rsid w:val="008650A7"/>
    <w:rsid w:val="00866D78"/>
    <w:rsid w:val="008843B6"/>
    <w:rsid w:val="00885DAB"/>
    <w:rsid w:val="00891928"/>
    <w:rsid w:val="00891C51"/>
    <w:rsid w:val="008A282D"/>
    <w:rsid w:val="008A446D"/>
    <w:rsid w:val="008D180B"/>
    <w:rsid w:val="008E456E"/>
    <w:rsid w:val="008F0EA7"/>
    <w:rsid w:val="008F1CA5"/>
    <w:rsid w:val="008F5BC2"/>
    <w:rsid w:val="00903E75"/>
    <w:rsid w:val="00904E9D"/>
    <w:rsid w:val="00915533"/>
    <w:rsid w:val="009171D7"/>
    <w:rsid w:val="009176EA"/>
    <w:rsid w:val="00920B97"/>
    <w:rsid w:val="00923EEF"/>
    <w:rsid w:val="00927F01"/>
    <w:rsid w:val="009400CB"/>
    <w:rsid w:val="009419F9"/>
    <w:rsid w:val="00953B74"/>
    <w:rsid w:val="00955BDB"/>
    <w:rsid w:val="0095685E"/>
    <w:rsid w:val="00961B09"/>
    <w:rsid w:val="00965334"/>
    <w:rsid w:val="0097093E"/>
    <w:rsid w:val="009A07C6"/>
    <w:rsid w:val="009A0DFA"/>
    <w:rsid w:val="009A29D2"/>
    <w:rsid w:val="009B2D26"/>
    <w:rsid w:val="009B2D59"/>
    <w:rsid w:val="009C0195"/>
    <w:rsid w:val="009C71FA"/>
    <w:rsid w:val="009C72E7"/>
    <w:rsid w:val="009D033D"/>
    <w:rsid w:val="009D3058"/>
    <w:rsid w:val="009E616E"/>
    <w:rsid w:val="009F37DE"/>
    <w:rsid w:val="009F3A13"/>
    <w:rsid w:val="009F7E44"/>
    <w:rsid w:val="00A04E81"/>
    <w:rsid w:val="00A122D3"/>
    <w:rsid w:val="00A17F13"/>
    <w:rsid w:val="00A20739"/>
    <w:rsid w:val="00A226DC"/>
    <w:rsid w:val="00A33C78"/>
    <w:rsid w:val="00A56383"/>
    <w:rsid w:val="00A74908"/>
    <w:rsid w:val="00A8612E"/>
    <w:rsid w:val="00A87689"/>
    <w:rsid w:val="00A95A1D"/>
    <w:rsid w:val="00AB0ADB"/>
    <w:rsid w:val="00AB41F0"/>
    <w:rsid w:val="00AD50FC"/>
    <w:rsid w:val="00AD5FC2"/>
    <w:rsid w:val="00AE3797"/>
    <w:rsid w:val="00AE691D"/>
    <w:rsid w:val="00AE6EE5"/>
    <w:rsid w:val="00AF5450"/>
    <w:rsid w:val="00B01B1A"/>
    <w:rsid w:val="00B050ED"/>
    <w:rsid w:val="00B10C4B"/>
    <w:rsid w:val="00B25021"/>
    <w:rsid w:val="00B72CD3"/>
    <w:rsid w:val="00B72FFF"/>
    <w:rsid w:val="00B85ED4"/>
    <w:rsid w:val="00B92B25"/>
    <w:rsid w:val="00BA270E"/>
    <w:rsid w:val="00BB1431"/>
    <w:rsid w:val="00BC375C"/>
    <w:rsid w:val="00BC3D36"/>
    <w:rsid w:val="00BC42C1"/>
    <w:rsid w:val="00BD35CE"/>
    <w:rsid w:val="00BD7F72"/>
    <w:rsid w:val="00BF0869"/>
    <w:rsid w:val="00BF4AB6"/>
    <w:rsid w:val="00C04FB3"/>
    <w:rsid w:val="00C10751"/>
    <w:rsid w:val="00C20CB3"/>
    <w:rsid w:val="00C2518D"/>
    <w:rsid w:val="00C2550F"/>
    <w:rsid w:val="00C3305B"/>
    <w:rsid w:val="00C330EB"/>
    <w:rsid w:val="00C7148B"/>
    <w:rsid w:val="00C7385D"/>
    <w:rsid w:val="00C754BE"/>
    <w:rsid w:val="00C76B1C"/>
    <w:rsid w:val="00C81F21"/>
    <w:rsid w:val="00C83959"/>
    <w:rsid w:val="00C97D1B"/>
    <w:rsid w:val="00CA6D53"/>
    <w:rsid w:val="00CB290C"/>
    <w:rsid w:val="00CB6058"/>
    <w:rsid w:val="00CB6357"/>
    <w:rsid w:val="00CC04B5"/>
    <w:rsid w:val="00CC1B26"/>
    <w:rsid w:val="00CE2A74"/>
    <w:rsid w:val="00CF2301"/>
    <w:rsid w:val="00CF61B1"/>
    <w:rsid w:val="00D06E32"/>
    <w:rsid w:val="00D11BE7"/>
    <w:rsid w:val="00D201ED"/>
    <w:rsid w:val="00D244D1"/>
    <w:rsid w:val="00D33BAF"/>
    <w:rsid w:val="00D423A2"/>
    <w:rsid w:val="00D520D8"/>
    <w:rsid w:val="00D53E7A"/>
    <w:rsid w:val="00D5493A"/>
    <w:rsid w:val="00D6144C"/>
    <w:rsid w:val="00D61ED5"/>
    <w:rsid w:val="00D63281"/>
    <w:rsid w:val="00D63AC2"/>
    <w:rsid w:val="00D6508B"/>
    <w:rsid w:val="00D735EA"/>
    <w:rsid w:val="00D7383B"/>
    <w:rsid w:val="00DA079A"/>
    <w:rsid w:val="00DA231B"/>
    <w:rsid w:val="00DA23A0"/>
    <w:rsid w:val="00DC1919"/>
    <w:rsid w:val="00DC39FC"/>
    <w:rsid w:val="00DD230F"/>
    <w:rsid w:val="00DD5BF1"/>
    <w:rsid w:val="00DE18B7"/>
    <w:rsid w:val="00DF3B2A"/>
    <w:rsid w:val="00DF5254"/>
    <w:rsid w:val="00E107E4"/>
    <w:rsid w:val="00E11A11"/>
    <w:rsid w:val="00E15B0C"/>
    <w:rsid w:val="00E16408"/>
    <w:rsid w:val="00E20894"/>
    <w:rsid w:val="00E2291E"/>
    <w:rsid w:val="00E245AB"/>
    <w:rsid w:val="00E2764C"/>
    <w:rsid w:val="00E27F2E"/>
    <w:rsid w:val="00E413EA"/>
    <w:rsid w:val="00E50AFE"/>
    <w:rsid w:val="00E52F24"/>
    <w:rsid w:val="00E547F7"/>
    <w:rsid w:val="00E56BF5"/>
    <w:rsid w:val="00E753B8"/>
    <w:rsid w:val="00E75C92"/>
    <w:rsid w:val="00E771DC"/>
    <w:rsid w:val="00E8772A"/>
    <w:rsid w:val="00E90F6B"/>
    <w:rsid w:val="00E92C27"/>
    <w:rsid w:val="00EA0E3D"/>
    <w:rsid w:val="00EA5BDD"/>
    <w:rsid w:val="00EA7C98"/>
    <w:rsid w:val="00EB0DF7"/>
    <w:rsid w:val="00EB1572"/>
    <w:rsid w:val="00EC38A7"/>
    <w:rsid w:val="00EC396C"/>
    <w:rsid w:val="00ED0E58"/>
    <w:rsid w:val="00ED1331"/>
    <w:rsid w:val="00EE1AA8"/>
    <w:rsid w:val="00EF6E64"/>
    <w:rsid w:val="00F25024"/>
    <w:rsid w:val="00F31EDC"/>
    <w:rsid w:val="00F327C7"/>
    <w:rsid w:val="00F425E2"/>
    <w:rsid w:val="00F462B3"/>
    <w:rsid w:val="00F55DE4"/>
    <w:rsid w:val="00F5664F"/>
    <w:rsid w:val="00F602D5"/>
    <w:rsid w:val="00F64E84"/>
    <w:rsid w:val="00F658D7"/>
    <w:rsid w:val="00F65CE2"/>
    <w:rsid w:val="00F666C4"/>
    <w:rsid w:val="00F706EF"/>
    <w:rsid w:val="00F752BF"/>
    <w:rsid w:val="00F75E1A"/>
    <w:rsid w:val="00F76AFC"/>
    <w:rsid w:val="00F77648"/>
    <w:rsid w:val="00F77708"/>
    <w:rsid w:val="00FA3DAB"/>
    <w:rsid w:val="00FA47C0"/>
    <w:rsid w:val="00FA6947"/>
    <w:rsid w:val="00FB5DD1"/>
    <w:rsid w:val="00FC2B5D"/>
    <w:rsid w:val="00FF1449"/>
    <w:rsid w:val="0E14686D"/>
    <w:rsid w:val="14BF1EA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1656CAC0-A7F1-EA45-A81A-B712B558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F2E5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2E5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03111">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86223768">
      <w:bodyDiv w:val="1"/>
      <w:marLeft w:val="0"/>
      <w:marRight w:val="0"/>
      <w:marTop w:val="0"/>
      <w:marBottom w:val="0"/>
      <w:divBdr>
        <w:top w:val="none" w:sz="0" w:space="0" w:color="auto"/>
        <w:left w:val="none" w:sz="0" w:space="0" w:color="auto"/>
        <w:bottom w:val="none" w:sz="0" w:space="0" w:color="auto"/>
        <w:right w:val="none" w:sz="0" w:space="0" w:color="auto"/>
      </w:divBdr>
    </w:div>
    <w:div w:id="44146303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143995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7103889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operaciones/EMICRON/bol-EMICRON-Itrim2024.pdf" TargetMode="External"/><Relationship Id="rId1" Type="http://schemas.openxmlformats.org/officeDocument/2006/relationships/hyperlink" Target="https://www.dane.gov.co/index.php/estadisticas-por-tema/comercio-interno/censo-economico-de-colombia/conteo-de-unidades-economicas-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2866CC-4904-48C6-AEC1-E42596A4F899}">
  <ds:schemaRefs>
    <ds:schemaRef ds:uri="http://schemas.openxmlformats.org/officeDocument/2006/bibliography"/>
  </ds:schemaRefs>
</ds:datastoreItem>
</file>

<file path=customXml/itemProps2.xml><?xml version="1.0" encoding="utf-8"?>
<ds:datastoreItem xmlns:ds="http://schemas.openxmlformats.org/officeDocument/2006/customXml" ds:itemID="{F396701C-61E0-471C-B2E4-DCDC4655CC8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6328</Words>
  <Characters>34810</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41056</CharactersWithSpaces>
  <SharedDoc>false</SharedDoc>
  <HLinks>
    <vt:vector size="30"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393269</vt:i4>
      </vt:variant>
      <vt:variant>
        <vt:i4>0</vt:i4>
      </vt:variant>
      <vt:variant>
        <vt:i4>0</vt:i4>
      </vt:variant>
      <vt:variant>
        <vt:i4>5</vt:i4>
      </vt:variant>
      <vt:variant>
        <vt:lpwstr>mailto:nrueda266@unab.edu.co</vt:lpwstr>
      </vt:variant>
      <vt:variant>
        <vt:lpwstr/>
      </vt:variant>
      <vt:variant>
        <vt:i4>6357024</vt:i4>
      </vt:variant>
      <vt:variant>
        <vt:i4>3</vt:i4>
      </vt:variant>
      <vt:variant>
        <vt:i4>0</vt:i4>
      </vt:variant>
      <vt:variant>
        <vt:i4>5</vt:i4>
      </vt:variant>
      <vt:variant>
        <vt:lpwstr>https://www.dane.gov.co/files/operaciones/EMICRON/bol-EMICRON-Itrim2024.pdf</vt:lpwstr>
      </vt:variant>
      <vt:variant>
        <vt:lpwstr/>
      </vt:variant>
      <vt:variant>
        <vt:i4>4915282</vt:i4>
      </vt:variant>
      <vt:variant>
        <vt:i4>0</vt:i4>
      </vt:variant>
      <vt:variant>
        <vt:i4>0</vt:i4>
      </vt:variant>
      <vt:variant>
        <vt:i4>5</vt:i4>
      </vt:variant>
      <vt:variant>
        <vt:lpwstr>https://www.dane.gov.co/index.php/estadisticas-por-tema/comercio-interno/censo-economico-de-colombia/conteo-de-unidades-economicas-2021</vt:lpwstr>
      </vt:variant>
      <vt:variant>
        <vt:lpwstr>:~:text=*Una%20unidad%20económica%20es%20una,vivienda%20o%20en%20puestos%20móviles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2024-09-28T03:14:00Z</dcterms:created>
  <dcterms:modified xsi:type="dcterms:W3CDTF">2024-09-28T03:14:00Z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