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9003B0" w14:textId="77777777" w:rsidR="00DD5B04" w:rsidRPr="004940E3" w:rsidRDefault="00DD5B04" w:rsidP="00DD5B04">
      <w:pPr>
        <w:jc w:val="right"/>
        <w:rPr>
          <w:rFonts w:ascii="Arial" w:hAnsi="Arial" w:cs="Arial"/>
          <w:b/>
          <w:color w:val="000000" w:themeColor="text1"/>
          <w:sz w:val="16"/>
          <w:szCs w:val="16"/>
          <w:lang w:val="es-ES_tradnl" w:eastAsia="es-ES"/>
        </w:rPr>
      </w:pPr>
      <w:bookmarkStart w:id="0" w:name="_Hlk34141372"/>
      <w:bookmarkStart w:id="1" w:name="_Hlk28946138"/>
      <w:bookmarkStart w:id="2" w:name="_Hlk29548183"/>
      <w:bookmarkEnd w:id="0"/>
      <w:r w:rsidRPr="004940E3">
        <w:rPr>
          <w:rFonts w:ascii="Arial" w:hAnsi="Arial" w:cs="Arial"/>
          <w:b/>
          <w:color w:val="000000" w:themeColor="text1"/>
          <w:sz w:val="16"/>
          <w:szCs w:val="16"/>
          <w:lang w:val="es-ES_tradnl" w:eastAsia="es-ES"/>
        </w:rPr>
        <w:t>CCE-DES-FM-17</w:t>
      </w:r>
    </w:p>
    <w:p w14:paraId="40EA575F" w14:textId="77777777" w:rsidR="00DD5B04" w:rsidRPr="00925EE5" w:rsidRDefault="00DD5B04" w:rsidP="00DD5B04">
      <w:pPr>
        <w:jc w:val="both"/>
        <w:rPr>
          <w:rFonts w:ascii="Arial" w:eastAsia="Calibri" w:hAnsi="Arial" w:cs="Arial"/>
          <w:b/>
          <w:color w:val="000000" w:themeColor="text1"/>
          <w:sz w:val="16"/>
          <w:szCs w:val="16"/>
          <w:lang w:val="es-ES_tradnl"/>
        </w:rPr>
      </w:pPr>
    </w:p>
    <w:bookmarkEnd w:id="1"/>
    <w:bookmarkEnd w:id="2"/>
    <w:p w14:paraId="7926A895" w14:textId="25747921" w:rsidR="00DD5B04" w:rsidRPr="004940E3" w:rsidRDefault="00DD5B04" w:rsidP="00DD5B04">
      <w:pPr>
        <w:jc w:val="both"/>
        <w:rPr>
          <w:rFonts w:ascii="Arial" w:eastAsia="Calibri" w:hAnsi="Arial" w:cs="Arial"/>
          <w:b/>
          <w:bCs/>
          <w:color w:val="000000" w:themeColor="text1"/>
          <w:sz w:val="22"/>
          <w:lang w:val="es-ES_tradnl"/>
        </w:rPr>
      </w:pPr>
      <w:r w:rsidRPr="004940E3">
        <w:rPr>
          <w:rFonts w:ascii="Arial" w:eastAsia="Calibri" w:hAnsi="Arial" w:cs="Arial"/>
          <w:b/>
          <w:bCs/>
          <w:color w:val="000000" w:themeColor="text1"/>
          <w:sz w:val="22"/>
          <w:lang w:val="es-ES_tradnl"/>
        </w:rPr>
        <w:t>SELECCIÓN OBJETIVA ― Noción</w:t>
      </w:r>
      <w:r w:rsidR="009314FA">
        <w:rPr>
          <w:rFonts w:ascii="Arial" w:eastAsia="Calibri" w:hAnsi="Arial" w:cs="Arial"/>
          <w:b/>
          <w:bCs/>
          <w:color w:val="000000" w:themeColor="text1"/>
          <w:sz w:val="22"/>
          <w:lang w:val="es-ES_tradnl"/>
        </w:rPr>
        <w:t xml:space="preserve"> </w:t>
      </w:r>
      <w:r w:rsidR="009314FA" w:rsidRPr="004940E3">
        <w:rPr>
          <w:rFonts w:ascii="Arial" w:eastAsia="Calibri" w:hAnsi="Arial" w:cs="Arial"/>
          <w:b/>
          <w:bCs/>
          <w:color w:val="000000" w:themeColor="text1"/>
          <w:sz w:val="22"/>
          <w:lang w:val="es-ES_tradnl"/>
        </w:rPr>
        <w:t>―</w:t>
      </w:r>
      <w:r w:rsidR="009314FA">
        <w:rPr>
          <w:rFonts w:ascii="Arial" w:eastAsia="Calibri" w:hAnsi="Arial" w:cs="Arial"/>
          <w:b/>
          <w:bCs/>
          <w:color w:val="000000" w:themeColor="text1"/>
          <w:sz w:val="22"/>
          <w:lang w:val="es-ES_tradnl"/>
        </w:rPr>
        <w:t xml:space="preserve"> </w:t>
      </w:r>
      <w:r w:rsidR="001B4AA2">
        <w:rPr>
          <w:rFonts w:ascii="Arial" w:eastAsia="Calibri" w:hAnsi="Arial" w:cs="Arial"/>
          <w:b/>
          <w:bCs/>
          <w:color w:val="000000" w:themeColor="text1"/>
          <w:sz w:val="22"/>
          <w:lang w:val="es-ES_tradnl"/>
        </w:rPr>
        <w:t>Requisitos habilitantes</w:t>
      </w:r>
    </w:p>
    <w:p w14:paraId="5B1E4A7F" w14:textId="77777777" w:rsidR="00DD5B04" w:rsidRPr="004940E3" w:rsidRDefault="00DD5B04" w:rsidP="00DD5B04">
      <w:pPr>
        <w:rPr>
          <w:rFonts w:ascii="Arial" w:eastAsia="Calibri" w:hAnsi="Arial" w:cs="Arial"/>
          <w:b/>
          <w:bCs/>
          <w:color w:val="000000" w:themeColor="text1"/>
          <w:sz w:val="20"/>
          <w:szCs w:val="20"/>
          <w:lang w:val="es-ES_tradnl"/>
        </w:rPr>
      </w:pPr>
    </w:p>
    <w:p w14:paraId="341CD968" w14:textId="29174195" w:rsidR="00DD5B04" w:rsidRPr="004940E3" w:rsidRDefault="00DD5B04" w:rsidP="00DD5B04">
      <w:pPr>
        <w:jc w:val="both"/>
        <w:rPr>
          <w:rFonts w:ascii="Arial" w:eastAsia="Calibri" w:hAnsi="Arial" w:cs="Arial"/>
          <w:color w:val="000000" w:themeColor="text1"/>
          <w:sz w:val="20"/>
          <w:szCs w:val="20"/>
          <w:lang w:val="es-ES_tradnl"/>
        </w:rPr>
      </w:pPr>
      <w:r w:rsidRPr="004940E3">
        <w:rPr>
          <w:rFonts w:ascii="Arial" w:eastAsia="Calibri" w:hAnsi="Arial" w:cs="Arial"/>
          <w:color w:val="000000" w:themeColor="text1"/>
          <w:sz w:val="20"/>
          <w:szCs w:val="20"/>
          <w:lang w:val="es-ES_tradnl"/>
        </w:rPr>
        <w:t xml:space="preserve">El artículo 5 de la Ley 1150 de 2007 establece que se considera «objetiva la selección en la cual la escogencia se haga al ofrecimiento más favorable a la entidad y a los fines que ella busca, sin tener en consideración factores de afecto o de interés y, en general, cualquier clase de motivación subjetiva». […] Los </w:t>
      </w:r>
      <w:r w:rsidR="001B4AA2">
        <w:rPr>
          <w:rFonts w:ascii="Arial" w:eastAsia="Calibri" w:hAnsi="Arial" w:cs="Arial"/>
          <w:color w:val="000000" w:themeColor="text1"/>
          <w:sz w:val="20"/>
          <w:szCs w:val="20"/>
          <w:lang w:val="es-ES_tradnl"/>
        </w:rPr>
        <w:t>requisitos habilitantes</w:t>
      </w:r>
      <w:r w:rsidRPr="004940E3">
        <w:rPr>
          <w:rFonts w:ascii="Arial" w:eastAsia="Calibri" w:hAnsi="Arial" w:cs="Arial"/>
          <w:color w:val="000000" w:themeColor="text1"/>
          <w:sz w:val="20"/>
          <w:szCs w:val="20"/>
          <w:lang w:val="es-ES_tradnl"/>
        </w:rPr>
        <w:t xml:space="preserve"> y </w:t>
      </w:r>
      <w:r w:rsidR="001B4AA2">
        <w:rPr>
          <w:rFonts w:ascii="Arial" w:eastAsia="Calibri" w:hAnsi="Arial" w:cs="Arial"/>
          <w:color w:val="000000" w:themeColor="text1"/>
          <w:sz w:val="20"/>
          <w:szCs w:val="20"/>
          <w:lang w:val="es-ES_tradnl"/>
        </w:rPr>
        <w:t xml:space="preserve">criterios de </w:t>
      </w:r>
      <w:r w:rsidRPr="004940E3">
        <w:rPr>
          <w:rFonts w:ascii="Arial" w:eastAsia="Calibri" w:hAnsi="Arial" w:cs="Arial"/>
          <w:color w:val="000000" w:themeColor="text1"/>
          <w:sz w:val="20"/>
          <w:szCs w:val="20"/>
          <w:lang w:val="es-ES_tradnl"/>
        </w:rPr>
        <w:t xml:space="preserve">calificación que establezcan las entidades en los pliegos de condiciones o sus equivalentes, deberán tener en cuenta, entre otras </w:t>
      </w:r>
      <w:r w:rsidR="00A5351D">
        <w:rPr>
          <w:rFonts w:ascii="Arial" w:eastAsia="Calibri" w:hAnsi="Arial" w:cs="Arial"/>
          <w:color w:val="000000" w:themeColor="text1"/>
          <w:sz w:val="20"/>
          <w:szCs w:val="20"/>
          <w:lang w:val="es-ES_tradnl"/>
        </w:rPr>
        <w:t>exigencias</w:t>
      </w:r>
      <w:r w:rsidRPr="004940E3">
        <w:rPr>
          <w:rFonts w:ascii="Arial" w:eastAsia="Calibri" w:hAnsi="Arial" w:cs="Arial"/>
          <w:color w:val="000000" w:themeColor="text1"/>
          <w:sz w:val="20"/>
          <w:szCs w:val="20"/>
          <w:lang w:val="es-ES_tradnl"/>
        </w:rPr>
        <w:t xml:space="preserve">, los criterios establecidos en </w:t>
      </w:r>
      <w:r w:rsidR="00A5351D">
        <w:rPr>
          <w:rFonts w:ascii="Arial" w:eastAsia="Calibri" w:hAnsi="Arial" w:cs="Arial"/>
          <w:color w:val="000000" w:themeColor="text1"/>
          <w:sz w:val="20"/>
          <w:szCs w:val="20"/>
          <w:lang w:val="es-ES_tradnl"/>
        </w:rPr>
        <w:t>dicho artículo</w:t>
      </w:r>
      <w:r w:rsidRPr="004940E3">
        <w:rPr>
          <w:rFonts w:ascii="Arial" w:eastAsia="Calibri" w:hAnsi="Arial" w:cs="Arial"/>
          <w:color w:val="000000" w:themeColor="text1"/>
          <w:sz w:val="20"/>
          <w:szCs w:val="20"/>
          <w:lang w:val="es-ES_tradnl"/>
        </w:rPr>
        <w:t xml:space="preserve">. Específicamente, el numeral 1º de la disposición en comento establece que en los procesos de selección de contratistas serán objeto de verificación, como requisitos habilitantes, los siguientes: i) la capacidad jurídica; </w:t>
      </w:r>
      <w:proofErr w:type="spellStart"/>
      <w:r w:rsidRPr="004940E3">
        <w:rPr>
          <w:rFonts w:ascii="Arial" w:eastAsia="Calibri" w:hAnsi="Arial" w:cs="Arial"/>
          <w:color w:val="000000" w:themeColor="text1"/>
          <w:sz w:val="20"/>
          <w:szCs w:val="20"/>
          <w:lang w:val="es-ES_tradnl"/>
        </w:rPr>
        <w:t>ii</w:t>
      </w:r>
      <w:proofErr w:type="spellEnd"/>
      <w:r w:rsidRPr="004940E3">
        <w:rPr>
          <w:rFonts w:ascii="Arial" w:eastAsia="Calibri" w:hAnsi="Arial" w:cs="Arial"/>
          <w:color w:val="000000" w:themeColor="text1"/>
          <w:sz w:val="20"/>
          <w:szCs w:val="20"/>
          <w:lang w:val="es-ES_tradnl"/>
        </w:rPr>
        <w:t xml:space="preserve">) la experiencia; </w:t>
      </w:r>
      <w:proofErr w:type="spellStart"/>
      <w:r w:rsidRPr="004940E3">
        <w:rPr>
          <w:rFonts w:ascii="Arial" w:eastAsia="Calibri" w:hAnsi="Arial" w:cs="Arial"/>
          <w:color w:val="000000" w:themeColor="text1"/>
          <w:sz w:val="20"/>
          <w:szCs w:val="20"/>
          <w:lang w:val="es-ES_tradnl"/>
        </w:rPr>
        <w:t>iii</w:t>
      </w:r>
      <w:proofErr w:type="spellEnd"/>
      <w:r w:rsidRPr="004940E3">
        <w:rPr>
          <w:rFonts w:ascii="Arial" w:eastAsia="Calibri" w:hAnsi="Arial" w:cs="Arial"/>
          <w:color w:val="000000" w:themeColor="text1"/>
          <w:sz w:val="20"/>
          <w:szCs w:val="20"/>
          <w:lang w:val="es-ES_tradnl"/>
        </w:rPr>
        <w:t xml:space="preserve">) la capacidad financiera y </w:t>
      </w:r>
      <w:proofErr w:type="spellStart"/>
      <w:r w:rsidRPr="004940E3">
        <w:rPr>
          <w:rFonts w:ascii="Arial" w:eastAsia="Calibri" w:hAnsi="Arial" w:cs="Arial"/>
          <w:color w:val="000000" w:themeColor="text1"/>
          <w:sz w:val="20"/>
          <w:szCs w:val="20"/>
          <w:lang w:val="es-ES_tradnl"/>
        </w:rPr>
        <w:t>iv</w:t>
      </w:r>
      <w:proofErr w:type="spellEnd"/>
      <w:r w:rsidRPr="004940E3">
        <w:rPr>
          <w:rFonts w:ascii="Arial" w:eastAsia="Calibri" w:hAnsi="Arial" w:cs="Arial"/>
          <w:color w:val="000000" w:themeColor="text1"/>
          <w:sz w:val="20"/>
          <w:szCs w:val="20"/>
          <w:lang w:val="es-ES_tradnl"/>
        </w:rPr>
        <w:t>) la capacidad de organización.</w:t>
      </w:r>
    </w:p>
    <w:p w14:paraId="51CD3A81" w14:textId="77777777" w:rsidR="00DD5B04" w:rsidRPr="004940E3" w:rsidRDefault="00DD5B04" w:rsidP="00DD5B04">
      <w:pPr>
        <w:jc w:val="both"/>
        <w:rPr>
          <w:rFonts w:ascii="Arial" w:eastAsia="Calibri" w:hAnsi="Arial" w:cs="Arial"/>
          <w:color w:val="000000" w:themeColor="text1"/>
          <w:sz w:val="20"/>
          <w:szCs w:val="20"/>
          <w:lang w:val="es-ES_tradnl"/>
        </w:rPr>
      </w:pPr>
    </w:p>
    <w:p w14:paraId="283BE6BC" w14:textId="14DE3881" w:rsidR="00E634E6" w:rsidRDefault="00E634E6" w:rsidP="0BE3D232">
      <w:pPr>
        <w:jc w:val="both"/>
        <w:rPr>
          <w:rFonts w:ascii="Arial" w:eastAsia="Calibri" w:hAnsi="Arial" w:cs="Arial"/>
          <w:b/>
          <w:bCs/>
          <w:color w:val="000000" w:themeColor="text1"/>
          <w:sz w:val="22"/>
          <w:lang w:val="es-ES"/>
        </w:rPr>
      </w:pPr>
      <w:r w:rsidRPr="0BE3D232">
        <w:rPr>
          <w:rFonts w:ascii="Arial" w:eastAsia="Calibri" w:hAnsi="Arial" w:cs="Arial"/>
          <w:b/>
          <w:bCs/>
          <w:color w:val="000000" w:themeColor="text1"/>
          <w:sz w:val="22"/>
          <w:lang w:val="es-ES"/>
        </w:rPr>
        <w:t>REQUISITOS HABILITANTES</w:t>
      </w:r>
      <w:r w:rsidR="00534EFB" w:rsidRPr="0BE3D232">
        <w:rPr>
          <w:rFonts w:ascii="Arial" w:eastAsia="Calibri" w:hAnsi="Arial" w:cs="Arial"/>
          <w:b/>
          <w:bCs/>
          <w:color w:val="000000" w:themeColor="text1"/>
          <w:sz w:val="22"/>
          <w:lang w:val="es-ES"/>
        </w:rPr>
        <w:t xml:space="preserve"> ― Definición ― Diferencia </w:t>
      </w:r>
      <w:r w:rsidR="0085100B" w:rsidRPr="0BE3D232">
        <w:rPr>
          <w:rFonts w:ascii="Arial" w:eastAsia="Calibri" w:hAnsi="Arial" w:cs="Arial"/>
          <w:b/>
          <w:bCs/>
          <w:color w:val="000000" w:themeColor="text1"/>
          <w:sz w:val="22"/>
          <w:lang w:val="es-ES"/>
        </w:rPr>
        <w:t xml:space="preserve">― </w:t>
      </w:r>
      <w:r w:rsidR="7F8A9F55" w:rsidRPr="0BE3D232">
        <w:rPr>
          <w:rFonts w:ascii="Arial" w:eastAsia="Calibri" w:hAnsi="Arial" w:cs="Arial"/>
          <w:b/>
          <w:bCs/>
          <w:color w:val="000000" w:themeColor="text1"/>
          <w:sz w:val="22"/>
          <w:lang w:val="es-ES"/>
        </w:rPr>
        <w:t>C</w:t>
      </w:r>
      <w:r w:rsidR="00534EFB" w:rsidRPr="0BE3D232">
        <w:rPr>
          <w:rFonts w:ascii="Arial" w:eastAsia="Calibri" w:hAnsi="Arial" w:cs="Arial"/>
          <w:b/>
          <w:bCs/>
          <w:color w:val="000000" w:themeColor="text1"/>
          <w:sz w:val="22"/>
          <w:lang w:val="es-ES"/>
        </w:rPr>
        <w:t>riterios de calificación</w:t>
      </w:r>
    </w:p>
    <w:p w14:paraId="7637BC7A" w14:textId="5346793F" w:rsidR="00E634E6" w:rsidRPr="00925EE5" w:rsidRDefault="00E634E6" w:rsidP="00DD5B04">
      <w:pPr>
        <w:jc w:val="both"/>
        <w:rPr>
          <w:rFonts w:ascii="Arial" w:eastAsia="Calibri" w:hAnsi="Arial" w:cs="Arial"/>
          <w:b/>
          <w:bCs/>
          <w:color w:val="000000" w:themeColor="text1"/>
          <w:sz w:val="20"/>
          <w:szCs w:val="20"/>
          <w:lang w:val="es-ES_tradnl"/>
        </w:rPr>
      </w:pPr>
    </w:p>
    <w:p w14:paraId="51A65980" w14:textId="79538D9F" w:rsidR="00E634E6" w:rsidRPr="00534EFB" w:rsidRDefault="00E634E6" w:rsidP="00DD5B04">
      <w:pPr>
        <w:jc w:val="both"/>
        <w:rPr>
          <w:rFonts w:ascii="Arial" w:eastAsia="Calibri" w:hAnsi="Arial" w:cs="Arial"/>
          <w:color w:val="000000" w:themeColor="text1"/>
          <w:sz w:val="20"/>
          <w:szCs w:val="20"/>
          <w:lang w:val="es-ES_tradnl"/>
        </w:rPr>
      </w:pPr>
      <w:r w:rsidRPr="00534EFB">
        <w:rPr>
          <w:rFonts w:ascii="Arial" w:eastAsia="Calibri" w:hAnsi="Arial" w:cs="Arial"/>
          <w:color w:val="000000" w:themeColor="text1"/>
          <w:sz w:val="20"/>
          <w:szCs w:val="20"/>
          <w:lang w:val="es-ES_tradnl"/>
        </w:rPr>
        <w:t xml:space="preserve">Los </w:t>
      </w:r>
      <w:r w:rsidRPr="00534EFB">
        <w:rPr>
          <w:rFonts w:ascii="Arial" w:eastAsia="Calibri" w:hAnsi="Arial" w:cs="Arial"/>
          <w:i/>
          <w:iCs/>
          <w:color w:val="000000" w:themeColor="text1"/>
          <w:sz w:val="20"/>
          <w:szCs w:val="20"/>
          <w:lang w:val="es-ES_tradnl"/>
        </w:rPr>
        <w:t>requisitos habilitantes</w:t>
      </w:r>
      <w:r w:rsidRPr="00534EFB">
        <w:rPr>
          <w:rFonts w:ascii="Arial" w:eastAsia="Calibri" w:hAnsi="Arial" w:cs="Arial"/>
          <w:color w:val="000000" w:themeColor="text1"/>
          <w:sz w:val="20"/>
          <w:szCs w:val="20"/>
          <w:lang w:val="es-ES_tradnl"/>
        </w:rPr>
        <w:t xml:space="preserve"> se definen como exigencias de participación en </w:t>
      </w:r>
      <w:r w:rsidR="00572539">
        <w:rPr>
          <w:rFonts w:ascii="Arial" w:eastAsia="Calibri" w:hAnsi="Arial" w:cs="Arial"/>
          <w:color w:val="000000" w:themeColor="text1"/>
          <w:sz w:val="20"/>
          <w:szCs w:val="20"/>
          <w:lang w:val="es-ES_tradnl"/>
        </w:rPr>
        <w:t xml:space="preserve">los </w:t>
      </w:r>
      <w:r w:rsidRPr="00534EFB">
        <w:rPr>
          <w:rFonts w:ascii="Arial" w:eastAsia="Calibri" w:hAnsi="Arial" w:cs="Arial"/>
          <w:color w:val="000000" w:themeColor="text1"/>
          <w:sz w:val="20"/>
          <w:szCs w:val="20"/>
          <w:lang w:val="es-ES_tradnl"/>
        </w:rPr>
        <w:t xml:space="preserve">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534EFB">
        <w:rPr>
          <w:rFonts w:ascii="Arial" w:eastAsia="Calibri" w:hAnsi="Arial" w:cs="Arial"/>
          <w:i/>
          <w:iCs/>
          <w:color w:val="000000" w:themeColor="text1"/>
          <w:sz w:val="20"/>
          <w:szCs w:val="20"/>
          <w:lang w:val="es-ES_tradnl"/>
        </w:rPr>
        <w:t>criterios de evaluación</w:t>
      </w:r>
      <w:r w:rsidRPr="00534EFB">
        <w:rPr>
          <w:rFonts w:ascii="Arial" w:eastAsia="Calibri" w:hAnsi="Arial" w:cs="Arial"/>
          <w:color w:val="000000" w:themeColor="text1"/>
          <w:sz w:val="20"/>
          <w:szCs w:val="20"/>
          <w:lang w:val="es-ES_tradnl"/>
        </w:rPr>
        <w:t xml:space="preserve"> –también conocidos como </w:t>
      </w:r>
      <w:r w:rsidRPr="00534EFB">
        <w:rPr>
          <w:rFonts w:ascii="Arial" w:eastAsia="Calibri" w:hAnsi="Arial" w:cs="Arial"/>
          <w:i/>
          <w:iCs/>
          <w:color w:val="000000" w:themeColor="text1"/>
          <w:sz w:val="20"/>
          <w:szCs w:val="20"/>
          <w:lang w:val="es-ES_tradnl"/>
        </w:rPr>
        <w:t>criterios de calificación</w:t>
      </w:r>
      <w:r w:rsidRPr="00534EFB">
        <w:rPr>
          <w:rFonts w:ascii="Arial" w:eastAsia="Calibri" w:hAnsi="Arial" w:cs="Arial"/>
          <w:color w:val="000000" w:themeColor="text1"/>
          <w:sz w:val="20"/>
          <w:szCs w:val="20"/>
          <w:lang w:val="es-ES_tradnl"/>
        </w:rPr>
        <w:t>– en que estos son los factores definidos por la entidad estatal para la asignación de puntaje en el momento de la comparación de las ofertas, y que, a partir de su ponderación, permiten establecer el orden de elegibilidad y, a la postre, la propuesta ganadora. A partir de lo dicho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ello sin perjuicio del derecho que tienen los oferentes de subsanar los defectos que se presenten en la prueba de tales requisitos, de conformidad con el artículo 5, parágrafos 1º al 4º, de la Ley 1150 de 2007.</w:t>
      </w:r>
    </w:p>
    <w:p w14:paraId="45B8210E" w14:textId="77777777" w:rsidR="00534EFB" w:rsidRPr="00925EE5" w:rsidRDefault="00534EFB" w:rsidP="00DD5B04">
      <w:pPr>
        <w:jc w:val="both"/>
        <w:rPr>
          <w:rFonts w:ascii="Arial" w:eastAsia="Calibri" w:hAnsi="Arial" w:cs="Arial"/>
          <w:b/>
          <w:bCs/>
          <w:color w:val="000000" w:themeColor="text1"/>
          <w:sz w:val="20"/>
          <w:szCs w:val="20"/>
          <w:lang w:val="es-ES_tradnl"/>
        </w:rPr>
      </w:pPr>
    </w:p>
    <w:p w14:paraId="494A4AE4" w14:textId="1D0F7CE9" w:rsidR="00DD5B04" w:rsidRPr="004940E3" w:rsidRDefault="00DD5B04" w:rsidP="00DD5B04">
      <w:pPr>
        <w:jc w:val="both"/>
        <w:rPr>
          <w:rFonts w:ascii="Arial" w:eastAsia="Calibri" w:hAnsi="Arial" w:cs="Arial"/>
          <w:b/>
          <w:bCs/>
          <w:color w:val="000000" w:themeColor="text1"/>
          <w:sz w:val="22"/>
          <w:lang w:val="es-ES_tradnl"/>
        </w:rPr>
      </w:pPr>
      <w:r w:rsidRPr="004940E3">
        <w:rPr>
          <w:rFonts w:ascii="Arial" w:eastAsia="Calibri" w:hAnsi="Arial" w:cs="Arial"/>
          <w:b/>
          <w:bCs/>
          <w:color w:val="000000" w:themeColor="text1"/>
          <w:sz w:val="22"/>
          <w:lang w:val="es-ES_tradnl"/>
        </w:rPr>
        <w:t>REQUISITOS HABILITANTES ― Capacidad jurídica</w:t>
      </w:r>
    </w:p>
    <w:p w14:paraId="4227F979" w14:textId="77777777" w:rsidR="00DD5B04" w:rsidRPr="00925EE5" w:rsidRDefault="00DD5B04" w:rsidP="00DD5B04">
      <w:pPr>
        <w:rPr>
          <w:rFonts w:ascii="Arial" w:eastAsia="Calibri" w:hAnsi="Arial" w:cs="Arial"/>
          <w:b/>
          <w:bCs/>
          <w:color w:val="000000" w:themeColor="text1"/>
          <w:sz w:val="20"/>
          <w:szCs w:val="20"/>
          <w:lang w:val="es-ES_tradnl"/>
        </w:rPr>
      </w:pPr>
    </w:p>
    <w:p w14:paraId="4C13BAB1" w14:textId="26DD5C6F" w:rsidR="00DD5B04" w:rsidRPr="004940E3" w:rsidRDefault="009D604F" w:rsidP="00DD5B04">
      <w:pPr>
        <w:jc w:val="both"/>
        <w:rPr>
          <w:rFonts w:ascii="Arial" w:eastAsia="Calibri" w:hAnsi="Arial" w:cs="Arial"/>
          <w:b/>
          <w:bCs/>
          <w:color w:val="000000" w:themeColor="text1"/>
          <w:sz w:val="20"/>
          <w:szCs w:val="20"/>
          <w:lang w:val="es-ES_tradnl"/>
        </w:rPr>
      </w:pPr>
      <w:r w:rsidRPr="009D604F">
        <w:rPr>
          <w:rFonts w:ascii="Arial" w:eastAsia="Calibri" w:hAnsi="Arial" w:cs="Arial"/>
          <w:color w:val="000000" w:themeColor="text1"/>
          <w:sz w:val="20"/>
          <w:szCs w:val="20"/>
          <w:lang w:val="es-ES_tradnl"/>
        </w:rPr>
        <w:t>La capacidad jurídica es la aptitud que recae en los sujetos activos o pasivos de las relaciones jurídicas. Para efectos de la contratación estatal, es la facultad que tiene una persona natural o jurídica o una forma asociativa sin personería jurídica para celebrar contratos con una entidad pública. En ese ámbito, la capacidad jurídica se manifiesta en la facultad que alguien tiene para participar en procedimientos de selección o celebrar el contrato, en la inexistencia de inhabilidades o incompatibilidades, en su inscripción en el Registro Único de Proponentes (RUP), cuando esta sea exigible, y en general, en el cumplimiento de los requisitos jurídicos establecidos en el ordenamiento para concurrir en procedimientos de selección y celebrar contratos estatales.</w:t>
      </w:r>
    </w:p>
    <w:p w14:paraId="0D3B6D3E" w14:textId="77777777" w:rsidR="009D604F" w:rsidRPr="00925EE5" w:rsidRDefault="009D604F" w:rsidP="00DD5B04">
      <w:pPr>
        <w:jc w:val="both"/>
        <w:rPr>
          <w:rFonts w:ascii="Arial" w:eastAsia="Calibri" w:hAnsi="Arial" w:cs="Arial"/>
          <w:b/>
          <w:bCs/>
          <w:color w:val="000000" w:themeColor="text1"/>
          <w:sz w:val="20"/>
          <w:szCs w:val="20"/>
          <w:lang w:val="es-ES_tradnl"/>
        </w:rPr>
      </w:pPr>
    </w:p>
    <w:p w14:paraId="2BEDF7D6" w14:textId="5DA13A03" w:rsidR="00DD5B04" w:rsidRPr="004940E3" w:rsidRDefault="00DD5B04" w:rsidP="00DD5B04">
      <w:pPr>
        <w:jc w:val="both"/>
        <w:rPr>
          <w:rFonts w:ascii="Arial" w:eastAsia="Calibri" w:hAnsi="Arial" w:cs="Arial"/>
          <w:b/>
          <w:bCs/>
          <w:color w:val="000000" w:themeColor="text1"/>
          <w:sz w:val="22"/>
          <w:lang w:val="es-ES_tradnl"/>
        </w:rPr>
      </w:pPr>
      <w:r w:rsidRPr="004940E3">
        <w:rPr>
          <w:rFonts w:ascii="Arial" w:eastAsia="Calibri" w:hAnsi="Arial" w:cs="Arial"/>
          <w:b/>
          <w:bCs/>
          <w:color w:val="000000" w:themeColor="text1"/>
          <w:sz w:val="22"/>
          <w:lang w:val="es-ES_tradnl"/>
        </w:rPr>
        <w:t>CAPACIDAD PARA CONTRATAR ― Titularidad</w:t>
      </w:r>
    </w:p>
    <w:p w14:paraId="634996EB" w14:textId="77777777" w:rsidR="00DD5B04" w:rsidRPr="004940E3" w:rsidRDefault="00DD5B04" w:rsidP="00DD5B04">
      <w:pPr>
        <w:rPr>
          <w:rFonts w:ascii="Arial" w:eastAsia="Calibri" w:hAnsi="Arial" w:cs="Arial"/>
          <w:b/>
          <w:bCs/>
          <w:color w:val="000000" w:themeColor="text1"/>
          <w:sz w:val="20"/>
          <w:szCs w:val="20"/>
          <w:lang w:val="es-ES_tradnl"/>
        </w:rPr>
      </w:pPr>
    </w:p>
    <w:p w14:paraId="192FAED5" w14:textId="77777777" w:rsidR="00DD5B04" w:rsidRPr="004940E3" w:rsidRDefault="00DD5B04" w:rsidP="00DD5B04">
      <w:pPr>
        <w:jc w:val="both"/>
        <w:rPr>
          <w:rFonts w:ascii="Arial" w:eastAsia="Calibri" w:hAnsi="Arial" w:cs="Arial"/>
          <w:color w:val="000000" w:themeColor="text1"/>
          <w:sz w:val="20"/>
          <w:szCs w:val="20"/>
          <w:lang w:val="es-ES_tradnl"/>
        </w:rPr>
      </w:pPr>
      <w:r w:rsidRPr="004940E3">
        <w:rPr>
          <w:rFonts w:ascii="Arial" w:eastAsia="Calibri" w:hAnsi="Arial" w:cs="Arial"/>
          <w:color w:val="000000" w:themeColor="text1"/>
          <w:sz w:val="20"/>
          <w:szCs w:val="20"/>
          <w:lang w:val="es-ES_tradnl"/>
        </w:rPr>
        <w:t xml:space="preserve">La capacidad para contratar la tienen las personas consideradas legalmente capaces, según lo que establece el artículo 6 de la Ley 80 de 1993. Por un lado, las personas naturales tienen capacidad jurídica cuando alcanzan la mayoría de edad, claro está, siempre que su capacidad no haya sido limitada –ej. interdicción judicial–, y siempre que no estén incursas en inhabilidades, incompatibilidades o prohibiciones para contratar. Por otro lado, la capacidad de las personas jurídicas se traduce en la posibilidad que tienen estas para adelantar actividades en el marco de su </w:t>
      </w:r>
      <w:r w:rsidRPr="004940E3">
        <w:rPr>
          <w:rFonts w:ascii="Arial" w:eastAsia="Calibri" w:hAnsi="Arial" w:cs="Arial"/>
          <w:color w:val="000000" w:themeColor="text1"/>
          <w:sz w:val="20"/>
          <w:szCs w:val="20"/>
          <w:lang w:val="es-ES_tradnl"/>
        </w:rPr>
        <w:lastRenderedPageBreak/>
        <w:t>objeto social, en las facultades que le han sido otorgadas al representante legal y en la ausencia de inhabilidades, incompatibilidades o prohibiciones para contratar, bien sea los socios individualmente considerados o de la empresa como tal.</w:t>
      </w:r>
    </w:p>
    <w:p w14:paraId="5552E5B6" w14:textId="77777777" w:rsidR="00DD5B04" w:rsidRPr="004940E3" w:rsidRDefault="00DD5B04" w:rsidP="00DD5B04">
      <w:pPr>
        <w:jc w:val="both"/>
        <w:rPr>
          <w:rFonts w:ascii="Arial" w:eastAsia="Calibri" w:hAnsi="Arial" w:cs="Arial"/>
          <w:color w:val="000000" w:themeColor="text1"/>
          <w:sz w:val="20"/>
          <w:szCs w:val="20"/>
          <w:lang w:val="es-ES_tradnl"/>
        </w:rPr>
      </w:pPr>
    </w:p>
    <w:p w14:paraId="68436A21" w14:textId="77777777" w:rsidR="00DD5B04" w:rsidRPr="004940E3" w:rsidRDefault="00DD5B04" w:rsidP="00DD5B04">
      <w:pPr>
        <w:jc w:val="both"/>
        <w:rPr>
          <w:rFonts w:ascii="Arial" w:eastAsia="Calibri" w:hAnsi="Arial" w:cs="Arial"/>
          <w:b/>
          <w:bCs/>
          <w:color w:val="000000" w:themeColor="text1"/>
          <w:sz w:val="22"/>
          <w:lang w:val="es-ES_tradnl"/>
        </w:rPr>
      </w:pPr>
      <w:r w:rsidRPr="004940E3">
        <w:rPr>
          <w:rFonts w:ascii="Arial" w:eastAsia="Calibri" w:hAnsi="Arial" w:cs="Arial"/>
          <w:b/>
          <w:bCs/>
          <w:color w:val="000000" w:themeColor="text1"/>
          <w:sz w:val="22"/>
          <w:lang w:val="es-ES_tradnl"/>
        </w:rPr>
        <w:t>REQUISITOS HABILITANTES ― Experiencia</w:t>
      </w:r>
    </w:p>
    <w:p w14:paraId="7D4B6D38" w14:textId="77777777" w:rsidR="00DD5B04" w:rsidRPr="00925EE5" w:rsidRDefault="00DD5B04" w:rsidP="00DD5B04">
      <w:pPr>
        <w:rPr>
          <w:rFonts w:ascii="Arial" w:eastAsia="Calibri" w:hAnsi="Arial" w:cs="Arial"/>
          <w:b/>
          <w:bCs/>
          <w:color w:val="000000" w:themeColor="text1"/>
          <w:sz w:val="20"/>
          <w:szCs w:val="20"/>
          <w:lang w:val="es-ES_tradnl"/>
        </w:rPr>
      </w:pPr>
    </w:p>
    <w:p w14:paraId="00D57C98" w14:textId="662A64A6" w:rsidR="00DD5B04" w:rsidRPr="004940E3" w:rsidRDefault="00003C5C" w:rsidP="00DD5B04">
      <w:pPr>
        <w:jc w:val="both"/>
        <w:rPr>
          <w:rFonts w:ascii="Arial" w:eastAsia="Calibri" w:hAnsi="Arial" w:cs="Arial"/>
          <w:color w:val="000000" w:themeColor="text1"/>
          <w:sz w:val="20"/>
          <w:szCs w:val="20"/>
          <w:lang w:val="es-ES_tradnl"/>
        </w:rPr>
      </w:pPr>
      <w:r w:rsidRPr="00003C5C">
        <w:rPr>
          <w:rFonts w:ascii="Arial" w:eastAsia="Calibri" w:hAnsi="Arial" w:cs="Arial"/>
          <w:color w:val="000000" w:themeColor="text1"/>
          <w:sz w:val="20"/>
          <w:szCs w:val="20"/>
          <w:lang w:val="es-ES_tradnl"/>
        </w:rPr>
        <w:t>La experiencia como requisito habilitante, según las consideraciones expuestas en el concepto C-002 del 12 de febrero de 2020 –radicado No. 2202013000000921–, tiene como propósito que las entidades fijen unos requisitos mínimos de idoneidad técnica que deben acreditar los proponentes, para que puedan verificar su aptitud para participar en el proceso de selección y, eventualmente, ejecutar el contrato estatal. La entidad, como responsable de la estructuración del proceso de contratación, en principio, es autónoma para requerir la experiencia necesaria para el objeto contractual, para lo cual, de acuerdo con el artículo 2.2.1.1.1.6.2. del Decreto 1082 de 2015, debe tener en cuenta el estudio del sector y sus diferentes componentes, tales como la identificación de riesgos, el mercado y el precio del bien, obra o servicio a contratar.</w:t>
      </w:r>
    </w:p>
    <w:p w14:paraId="03260E48" w14:textId="77777777" w:rsidR="00DD5B04" w:rsidRPr="004940E3" w:rsidRDefault="00DD5B04" w:rsidP="00DD5B04">
      <w:pPr>
        <w:jc w:val="both"/>
        <w:rPr>
          <w:rFonts w:ascii="Arial" w:eastAsia="Calibri" w:hAnsi="Arial" w:cs="Arial"/>
          <w:color w:val="000000" w:themeColor="text1"/>
          <w:sz w:val="20"/>
          <w:szCs w:val="20"/>
          <w:lang w:val="es-ES_tradnl"/>
        </w:rPr>
      </w:pPr>
    </w:p>
    <w:p w14:paraId="65FE8FC5" w14:textId="77777777" w:rsidR="00DD5B04" w:rsidRPr="004940E3" w:rsidRDefault="00DD5B04" w:rsidP="00DD5B04">
      <w:pPr>
        <w:jc w:val="both"/>
        <w:rPr>
          <w:rFonts w:ascii="Arial" w:eastAsia="Calibri" w:hAnsi="Arial" w:cs="Arial"/>
          <w:b/>
          <w:bCs/>
          <w:color w:val="000000" w:themeColor="text1"/>
          <w:sz w:val="22"/>
          <w:lang w:val="es-ES_tradnl"/>
        </w:rPr>
      </w:pPr>
      <w:r w:rsidRPr="004940E3">
        <w:rPr>
          <w:rFonts w:ascii="Arial" w:eastAsia="Calibri" w:hAnsi="Arial" w:cs="Arial"/>
          <w:b/>
          <w:bCs/>
          <w:color w:val="000000" w:themeColor="text1"/>
          <w:sz w:val="22"/>
          <w:lang w:val="es-ES_tradnl"/>
        </w:rPr>
        <w:t>EXPERIENCIA ― Verificación</w:t>
      </w:r>
    </w:p>
    <w:p w14:paraId="71DE762F" w14:textId="77777777" w:rsidR="00DD5B04" w:rsidRPr="004940E3" w:rsidRDefault="00DD5B04" w:rsidP="00DD5B04">
      <w:pPr>
        <w:rPr>
          <w:rFonts w:ascii="Arial" w:eastAsia="Calibri" w:hAnsi="Arial" w:cs="Arial"/>
          <w:b/>
          <w:bCs/>
          <w:color w:val="000000" w:themeColor="text1"/>
          <w:sz w:val="20"/>
          <w:szCs w:val="20"/>
          <w:lang w:val="es-ES_tradnl"/>
        </w:rPr>
      </w:pPr>
    </w:p>
    <w:p w14:paraId="179993B0" w14:textId="072DE970" w:rsidR="00DD5B04" w:rsidRPr="004940E3" w:rsidRDefault="00003C5C" w:rsidP="00DD5B04">
      <w:pPr>
        <w:jc w:val="both"/>
        <w:rPr>
          <w:rFonts w:ascii="Arial" w:hAnsi="Arial" w:cs="Arial"/>
          <w:color w:val="000000" w:themeColor="text1"/>
          <w:sz w:val="20"/>
          <w:szCs w:val="20"/>
          <w:lang w:val="es-ES_tradnl"/>
        </w:rPr>
      </w:pPr>
      <w:r w:rsidRPr="00003C5C">
        <w:rPr>
          <w:rFonts w:ascii="Arial" w:eastAsia="Calibri" w:hAnsi="Arial" w:cs="Arial"/>
          <w:color w:val="000000" w:themeColor="text1"/>
          <w:sz w:val="20"/>
          <w:szCs w:val="20"/>
          <w:lang w:val="es-ES_tradnl"/>
        </w:rPr>
        <w:t>La experiencia que se deriva de la ejecución de los contratos que el proponente ha celebrado y ejecutado con diferentes contratantes, sin importar la naturaleza de estos últimos, se verifica con el Registro Único de Proponentes (RUP), claro está, cuando este certificado sea exigible. Allí constan únicamente los requisitos habilitantes que se evalúan con este documento, de los cuales el mismo es plena prueba, sin que le sea posible a la entidad o al proponente solicitar o aportar documentación distinta, sin perjuicio de lo establecido en el numeral 3.5.5. del «Documento Base» en los «Pliegos Tipo», el cual se relaciona con «los documentos válidos para acreditar la experiencia requerida».</w:t>
      </w:r>
    </w:p>
    <w:p w14:paraId="3D5DEC1A" w14:textId="77777777" w:rsidR="00003C5C" w:rsidRDefault="00003C5C" w:rsidP="00DD5B04">
      <w:pPr>
        <w:jc w:val="both"/>
        <w:rPr>
          <w:rFonts w:ascii="Arial" w:eastAsia="Calibri" w:hAnsi="Arial" w:cs="Arial"/>
          <w:b/>
          <w:bCs/>
          <w:color w:val="000000" w:themeColor="text1"/>
          <w:sz w:val="22"/>
          <w:lang w:val="es-ES_tradnl"/>
        </w:rPr>
      </w:pPr>
    </w:p>
    <w:p w14:paraId="79C37803" w14:textId="50ED5EE2" w:rsidR="00DD5B04" w:rsidRPr="004940E3" w:rsidRDefault="00DD5B04" w:rsidP="00DD5B04">
      <w:pPr>
        <w:jc w:val="both"/>
        <w:rPr>
          <w:rFonts w:ascii="Arial" w:eastAsia="Calibri" w:hAnsi="Arial" w:cs="Arial"/>
          <w:b/>
          <w:bCs/>
          <w:color w:val="000000" w:themeColor="text1"/>
          <w:sz w:val="22"/>
          <w:lang w:val="es-ES_tradnl"/>
        </w:rPr>
      </w:pPr>
      <w:r w:rsidRPr="004940E3">
        <w:rPr>
          <w:rFonts w:ascii="Arial" w:eastAsia="Calibri" w:hAnsi="Arial" w:cs="Arial"/>
          <w:b/>
          <w:bCs/>
          <w:color w:val="000000" w:themeColor="text1"/>
          <w:sz w:val="22"/>
          <w:lang w:val="es-ES_tradnl"/>
        </w:rPr>
        <w:t>EXPERIENCIA ― Acreditación</w:t>
      </w:r>
    </w:p>
    <w:p w14:paraId="5AE00A51" w14:textId="77777777" w:rsidR="00DD5B04" w:rsidRPr="004940E3" w:rsidRDefault="00DD5B04" w:rsidP="00DD5B04">
      <w:pPr>
        <w:rPr>
          <w:rFonts w:ascii="Arial" w:eastAsia="Calibri" w:hAnsi="Arial" w:cs="Arial"/>
          <w:b/>
          <w:bCs/>
          <w:color w:val="000000" w:themeColor="text1"/>
          <w:sz w:val="20"/>
          <w:szCs w:val="20"/>
          <w:lang w:val="es-ES_tradnl"/>
        </w:rPr>
      </w:pPr>
    </w:p>
    <w:p w14:paraId="627B28EC" w14:textId="28A5A520" w:rsidR="00DD5B04" w:rsidRPr="004940E3" w:rsidRDefault="00003C5C" w:rsidP="00DD5B04">
      <w:pPr>
        <w:jc w:val="both"/>
        <w:rPr>
          <w:rFonts w:ascii="Arial" w:eastAsia="Calibri" w:hAnsi="Arial" w:cs="Arial"/>
          <w:color w:val="000000" w:themeColor="text1"/>
          <w:sz w:val="20"/>
          <w:szCs w:val="20"/>
          <w:lang w:val="es-ES_tradnl"/>
        </w:rPr>
      </w:pPr>
      <w:r w:rsidRPr="00003C5C">
        <w:rPr>
          <w:rFonts w:ascii="Arial" w:eastAsia="Calibri" w:hAnsi="Arial" w:cs="Arial"/>
          <w:color w:val="000000" w:themeColor="text1"/>
          <w:sz w:val="20"/>
          <w:szCs w:val="20"/>
          <w:lang w:val="es-ES_tradnl"/>
        </w:rPr>
        <w:t xml:space="preserve">Colombia Compra Eficiente considera que no es posible tener experiencia si en la práctica no se ha ejercido o ejecutado lo que se ofrece a otros contratantes. Precisamente, de esa experiencia es que se deriva el conocimiento que tiene el proponente, el cual es importante para la contratación pública, en la medida en que garantiza que no existirán improvisación o mayores costos por errores o dificultades originadas en realizar una actividad por primera vez. Adicionalmente, se entiende que la experiencia puede ser obtenida directamente o por participar asociado con otra persona, como es el caso de proponentes plurales como consorcios o uniones temporales, caso en el cual, aunque la experiencia no deja de ser personal, es compartida por tratarse de esquemas asociativos. Por otra parte, la Agencia recomienda que la experiencia que se solicite sea proporcional y no igual al objeto que se va a contratar, ya que esto puede limitar la participación de los proveedores por no haber ejecutado un objeto igual, aunque sí hubieran ejecutado uno similar, afectando con eso la pluralidad de oferentes. </w:t>
      </w:r>
    </w:p>
    <w:p w14:paraId="40AAF7DE" w14:textId="77777777" w:rsidR="00DD5B04" w:rsidRPr="004940E3" w:rsidRDefault="00DD5B04" w:rsidP="00DD5B04">
      <w:pPr>
        <w:jc w:val="both"/>
        <w:rPr>
          <w:rFonts w:ascii="Arial" w:eastAsia="Calibri" w:hAnsi="Arial" w:cs="Arial"/>
          <w:color w:val="000000" w:themeColor="text1"/>
          <w:sz w:val="20"/>
          <w:szCs w:val="20"/>
          <w:lang w:val="es-ES_tradnl"/>
        </w:rPr>
      </w:pPr>
    </w:p>
    <w:p w14:paraId="79F3D510" w14:textId="77777777" w:rsidR="00DD5B04" w:rsidRPr="004940E3" w:rsidRDefault="00DD5B04" w:rsidP="00DD5B04">
      <w:pPr>
        <w:jc w:val="both"/>
        <w:rPr>
          <w:rFonts w:ascii="Arial" w:eastAsia="Calibri" w:hAnsi="Arial" w:cs="Arial"/>
          <w:b/>
          <w:bCs/>
          <w:color w:val="000000" w:themeColor="text1"/>
          <w:sz w:val="22"/>
          <w:lang w:val="es-ES_tradnl"/>
        </w:rPr>
      </w:pPr>
      <w:r w:rsidRPr="004940E3">
        <w:rPr>
          <w:rFonts w:ascii="Arial" w:eastAsia="Calibri" w:hAnsi="Arial" w:cs="Arial"/>
          <w:b/>
          <w:bCs/>
          <w:color w:val="000000" w:themeColor="text1"/>
          <w:sz w:val="22"/>
          <w:lang w:val="es-ES_tradnl"/>
        </w:rPr>
        <w:t>REQUISITOS HABILITANTES ― Capacidad financiera</w:t>
      </w:r>
    </w:p>
    <w:p w14:paraId="1A41C9B7" w14:textId="77777777" w:rsidR="00DD5B04" w:rsidRPr="004940E3" w:rsidRDefault="00DD5B04" w:rsidP="00DD5B04">
      <w:pPr>
        <w:rPr>
          <w:rFonts w:ascii="Arial" w:eastAsia="Calibri" w:hAnsi="Arial" w:cs="Arial"/>
          <w:b/>
          <w:bCs/>
          <w:color w:val="000000" w:themeColor="text1"/>
          <w:sz w:val="22"/>
          <w:lang w:val="es-ES_tradnl"/>
        </w:rPr>
      </w:pPr>
    </w:p>
    <w:p w14:paraId="154D86F4" w14:textId="2CB0F2B8" w:rsidR="00DD5B04" w:rsidRPr="004940E3" w:rsidRDefault="00003C5C" w:rsidP="00DD5B04">
      <w:pPr>
        <w:jc w:val="both"/>
        <w:rPr>
          <w:rFonts w:ascii="Arial" w:hAnsi="Arial" w:cs="Arial"/>
          <w:color w:val="000000" w:themeColor="text1"/>
          <w:sz w:val="20"/>
          <w:szCs w:val="20"/>
          <w:lang w:val="es-ES_tradnl"/>
        </w:rPr>
      </w:pPr>
      <w:r w:rsidRPr="00003C5C">
        <w:rPr>
          <w:rFonts w:ascii="Arial" w:eastAsia="Calibri" w:hAnsi="Arial" w:cs="Arial"/>
          <w:color w:val="000000" w:themeColor="text1"/>
          <w:sz w:val="20"/>
          <w:szCs w:val="20"/>
          <w:lang w:val="es-ES_tradnl"/>
        </w:rPr>
        <w:t>La capacidad financiera se determina a través de la liquidez y el endeudamiento de los proponentes. Busca establecer condiciones mínimas en relación con la «salud financiera» de estos últimos, particularmente, demostrar su aptitud para cumplir oportuna y cabalmente el objeto del contrato. En ese sentido, la capacidad financiera que la entidad requiera para un proceso de contratación debe ser adecuada y proporcional a la naturaleza y al valor del contrato. Además, los requisitos de capacidad financiera deben ser establecidos con fundamento en los Estudios del Sector, los cuales pueden ser elaborados según la «Guía para la Elaboración de Estudios de Sector», de esta Agencia.</w:t>
      </w:r>
    </w:p>
    <w:p w14:paraId="5A3EEFDE" w14:textId="1B5C3784" w:rsidR="00DD5B04" w:rsidRPr="004940E3" w:rsidRDefault="00DD5B04" w:rsidP="00DD5B04">
      <w:pPr>
        <w:jc w:val="both"/>
        <w:rPr>
          <w:rFonts w:ascii="Arial" w:eastAsia="Calibri" w:hAnsi="Arial" w:cs="Arial"/>
          <w:b/>
          <w:bCs/>
          <w:color w:val="000000" w:themeColor="text1"/>
          <w:sz w:val="22"/>
          <w:lang w:val="es-ES_tradnl"/>
        </w:rPr>
      </w:pPr>
      <w:r w:rsidRPr="004940E3">
        <w:rPr>
          <w:rFonts w:ascii="Arial" w:eastAsia="Calibri" w:hAnsi="Arial" w:cs="Arial"/>
          <w:b/>
          <w:bCs/>
          <w:color w:val="000000" w:themeColor="text1"/>
          <w:sz w:val="22"/>
          <w:lang w:val="es-ES_tradnl"/>
        </w:rPr>
        <w:lastRenderedPageBreak/>
        <w:t>CAPACIDAD FINANCIERA ― Indicadores</w:t>
      </w:r>
    </w:p>
    <w:p w14:paraId="3B84FE73" w14:textId="77777777" w:rsidR="00DD5B04" w:rsidRPr="004940E3" w:rsidRDefault="00DD5B04" w:rsidP="00DD5B04">
      <w:pPr>
        <w:rPr>
          <w:rFonts w:ascii="Arial" w:eastAsia="Calibri" w:hAnsi="Arial" w:cs="Arial"/>
          <w:b/>
          <w:bCs/>
          <w:color w:val="000000" w:themeColor="text1"/>
          <w:sz w:val="20"/>
          <w:szCs w:val="20"/>
          <w:lang w:val="es-ES_tradnl"/>
        </w:rPr>
      </w:pPr>
    </w:p>
    <w:p w14:paraId="5A58001A" w14:textId="49960D53" w:rsidR="00DD5B04" w:rsidRPr="004940E3" w:rsidRDefault="00003C5C" w:rsidP="00DD5B04">
      <w:pPr>
        <w:jc w:val="both"/>
        <w:rPr>
          <w:rFonts w:ascii="Arial" w:hAnsi="Arial" w:cs="Arial"/>
          <w:color w:val="000000" w:themeColor="text1"/>
          <w:sz w:val="20"/>
          <w:szCs w:val="20"/>
          <w:lang w:val="es-ES_tradnl"/>
        </w:rPr>
      </w:pPr>
      <w:r w:rsidRPr="00003C5C">
        <w:rPr>
          <w:rFonts w:ascii="Arial" w:eastAsia="Calibri" w:hAnsi="Arial" w:cs="Arial"/>
          <w:color w:val="000000" w:themeColor="text1"/>
          <w:sz w:val="20"/>
          <w:szCs w:val="20"/>
          <w:lang w:val="es-ES_tradnl"/>
        </w:rPr>
        <w:t xml:space="preserve">Según el artículo 2.2.1.1.1.5.3. del Decreto 1082 de 2015, son indicadores de la capacidad financiera los siguientes: i) el índice de liquidez, que corresponde a la división entre el activo corriente y el pasivo corriente, y que determina la capacidad que tiene el proponente para cumplir con sus obligaciones de corto plazo; </w:t>
      </w:r>
      <w:proofErr w:type="spellStart"/>
      <w:r w:rsidRPr="00003C5C">
        <w:rPr>
          <w:rFonts w:ascii="Arial" w:eastAsia="Calibri" w:hAnsi="Arial" w:cs="Arial"/>
          <w:color w:val="000000" w:themeColor="text1"/>
          <w:sz w:val="20"/>
          <w:szCs w:val="20"/>
          <w:lang w:val="es-ES_tradnl"/>
        </w:rPr>
        <w:t>ii</w:t>
      </w:r>
      <w:proofErr w:type="spellEnd"/>
      <w:r w:rsidRPr="00003C5C">
        <w:rPr>
          <w:rFonts w:ascii="Arial" w:eastAsia="Calibri" w:hAnsi="Arial" w:cs="Arial"/>
          <w:color w:val="000000" w:themeColor="text1"/>
          <w:sz w:val="20"/>
          <w:szCs w:val="20"/>
          <w:lang w:val="es-ES_tradnl"/>
        </w:rPr>
        <w:t xml:space="preserve">) el índice de endeudamiento, que se calcula dividiendo el pasivo total por el activo total, el cual determina el grado de endeudamiento en la estructura de financiación del proponente; y </w:t>
      </w:r>
      <w:proofErr w:type="spellStart"/>
      <w:r w:rsidRPr="00003C5C">
        <w:rPr>
          <w:rFonts w:ascii="Arial" w:eastAsia="Calibri" w:hAnsi="Arial" w:cs="Arial"/>
          <w:color w:val="000000" w:themeColor="text1"/>
          <w:sz w:val="20"/>
          <w:szCs w:val="20"/>
          <w:lang w:val="es-ES_tradnl"/>
        </w:rPr>
        <w:t>iii</w:t>
      </w:r>
      <w:proofErr w:type="spellEnd"/>
      <w:r w:rsidRPr="00003C5C">
        <w:rPr>
          <w:rFonts w:ascii="Arial" w:eastAsia="Calibri" w:hAnsi="Arial" w:cs="Arial"/>
          <w:color w:val="000000" w:themeColor="text1"/>
          <w:sz w:val="20"/>
          <w:szCs w:val="20"/>
          <w:lang w:val="es-ES_tradnl"/>
        </w:rPr>
        <w:t>) la razón de cobertura de intereses, que es igual a la utilidad operacional, sobre los gastos de intereses, y que refleja la capacidad del proponente para cumplir con sus obligaciones financieras. Adicionalmente, Colombia Compra Eficiente recomienda valorar otro tipo de indicadores como el capital de trabajo, la razón de efectivo, la denominada prueba ácida, la concentración de endeudamiento a corto y a largo plazo y el patrimonio.</w:t>
      </w:r>
    </w:p>
    <w:p w14:paraId="3C349DC9" w14:textId="77777777" w:rsidR="00003C5C" w:rsidRDefault="00003C5C" w:rsidP="00DD5B04">
      <w:pPr>
        <w:jc w:val="both"/>
        <w:rPr>
          <w:rFonts w:ascii="Arial" w:eastAsia="Calibri" w:hAnsi="Arial" w:cs="Arial"/>
          <w:b/>
          <w:bCs/>
          <w:color w:val="000000" w:themeColor="text1"/>
          <w:sz w:val="22"/>
          <w:lang w:val="es-ES_tradnl"/>
        </w:rPr>
      </w:pPr>
    </w:p>
    <w:p w14:paraId="7D08CE44" w14:textId="39D5052F" w:rsidR="00DD5B04" w:rsidRPr="004940E3" w:rsidRDefault="00DD5B04" w:rsidP="00DD5B04">
      <w:pPr>
        <w:jc w:val="both"/>
        <w:rPr>
          <w:rFonts w:ascii="Arial" w:eastAsia="Calibri" w:hAnsi="Arial" w:cs="Arial"/>
          <w:b/>
          <w:bCs/>
          <w:color w:val="000000" w:themeColor="text1"/>
          <w:sz w:val="22"/>
          <w:lang w:val="es-ES_tradnl"/>
        </w:rPr>
      </w:pPr>
      <w:r w:rsidRPr="004940E3">
        <w:rPr>
          <w:rFonts w:ascii="Arial" w:eastAsia="Calibri" w:hAnsi="Arial" w:cs="Arial"/>
          <w:b/>
          <w:bCs/>
          <w:color w:val="000000" w:themeColor="text1"/>
          <w:sz w:val="22"/>
          <w:lang w:val="es-ES_tradnl"/>
        </w:rPr>
        <w:t>REQUISITOS HABILITANTES ― Capacidad de organización</w:t>
      </w:r>
    </w:p>
    <w:p w14:paraId="55DE0B53" w14:textId="77777777" w:rsidR="00DD5B04" w:rsidRPr="004940E3" w:rsidRDefault="00DD5B04" w:rsidP="00DD5B04">
      <w:pPr>
        <w:rPr>
          <w:rFonts w:ascii="Arial" w:eastAsia="Calibri" w:hAnsi="Arial" w:cs="Arial"/>
          <w:b/>
          <w:bCs/>
          <w:color w:val="000000" w:themeColor="text1"/>
          <w:sz w:val="20"/>
          <w:szCs w:val="20"/>
          <w:lang w:val="es-ES_tradnl"/>
        </w:rPr>
      </w:pPr>
    </w:p>
    <w:p w14:paraId="45996852" w14:textId="7C4D9DEC" w:rsidR="00DD5B04" w:rsidRPr="004940E3" w:rsidRDefault="00003C5C" w:rsidP="00DD5B04">
      <w:pPr>
        <w:jc w:val="both"/>
        <w:rPr>
          <w:rFonts w:ascii="Arial" w:hAnsi="Arial" w:cs="Arial"/>
          <w:color w:val="000000" w:themeColor="text1"/>
          <w:sz w:val="20"/>
          <w:szCs w:val="20"/>
          <w:lang w:val="es-ES_tradnl"/>
        </w:rPr>
      </w:pPr>
      <w:r w:rsidRPr="00003C5C">
        <w:rPr>
          <w:rFonts w:ascii="Arial" w:eastAsia="Calibri" w:hAnsi="Arial" w:cs="Arial"/>
          <w:color w:val="000000" w:themeColor="text1"/>
          <w:sz w:val="20"/>
          <w:szCs w:val="20"/>
          <w:lang w:val="es-ES_tradnl"/>
        </w:rPr>
        <w:t>La capacidad de organización, según el «Manual para determinar y verificar los requisitos habilitantes en los Procesos de Contratación», elaborado por la Agencia Nacional de Contratación Pública, es «la aptitud de un proponente para cumplir oportuna y cabalmente el objeto del contrato en función de su organización interna». Según el artículo 2.2.1.1.1.5.3., numeral 4, del Decreto 1082 de 2015, los indicadores para medir la capacidad organizacional de un proponente son: por un lado, la rentabilidad del patrimonio, que corresponde a la utilidad operacional dividida por el patrimonio, y que determina la rentabilidad del patrimonio del proponente, es decir, la capacidad de generación de utilidad operacional por cada peso invertido en el patrimonio, del tal forma que, a mayor rentabilidad sobre el patrimonio, mayor es la rentabilidad de los accionistas y mejor la capacidad organizacional del proponente. Por el otro, la rentabilidad del activo, que se calcula al dividir la utilidad operacional por el activo total, y que mide la rentabilidad de los activos del proponente, esto es, la capacidad de generación de utilidad operacional por cada peso invertido en el activo, de tal manera que, a mayor rentabilidad sobre activos, mayor es la rentabilidad del negocio y mejor la capacidad organizacional del proponente. Este último indicador debe ser, en todo caso, menor o igual que el referido indicador de rentabilidad sobre patrimonio.</w:t>
      </w:r>
    </w:p>
    <w:p w14:paraId="33B18831" w14:textId="77777777" w:rsidR="00003C5C" w:rsidRDefault="00003C5C" w:rsidP="00DD5B04">
      <w:pPr>
        <w:jc w:val="both"/>
        <w:rPr>
          <w:rFonts w:ascii="Arial" w:eastAsia="Calibri" w:hAnsi="Arial" w:cs="Arial"/>
          <w:b/>
          <w:bCs/>
          <w:color w:val="000000" w:themeColor="text1"/>
          <w:sz w:val="22"/>
          <w:lang w:val="es-ES_tradnl"/>
        </w:rPr>
      </w:pPr>
    </w:p>
    <w:p w14:paraId="2943EDE1" w14:textId="48B06F7A" w:rsidR="00DD5B04" w:rsidRPr="004940E3" w:rsidRDefault="00DD5B04" w:rsidP="00DD5B04">
      <w:pPr>
        <w:jc w:val="both"/>
        <w:rPr>
          <w:rFonts w:ascii="Arial" w:eastAsia="Calibri" w:hAnsi="Arial" w:cs="Arial"/>
          <w:b/>
          <w:bCs/>
          <w:color w:val="000000" w:themeColor="text1"/>
          <w:sz w:val="22"/>
          <w:lang w:val="es-ES_tradnl"/>
        </w:rPr>
      </w:pPr>
      <w:r w:rsidRPr="004940E3">
        <w:rPr>
          <w:rFonts w:ascii="Arial" w:eastAsia="Calibri" w:hAnsi="Arial" w:cs="Arial"/>
          <w:b/>
          <w:bCs/>
          <w:color w:val="000000" w:themeColor="text1"/>
          <w:sz w:val="22"/>
          <w:lang w:val="es-ES_tradnl"/>
        </w:rPr>
        <w:t>REQUISITOS HABILITANTES</w:t>
      </w:r>
      <w:r w:rsidR="009314FA">
        <w:rPr>
          <w:rFonts w:ascii="Arial" w:eastAsia="Calibri" w:hAnsi="Arial" w:cs="Arial"/>
          <w:b/>
          <w:bCs/>
          <w:color w:val="000000" w:themeColor="text1"/>
          <w:sz w:val="22"/>
          <w:lang w:val="es-ES_tradnl"/>
        </w:rPr>
        <w:t xml:space="preserve"> </w:t>
      </w:r>
      <w:r w:rsidR="009314FA" w:rsidRPr="004940E3">
        <w:rPr>
          <w:rFonts w:ascii="Arial" w:eastAsia="Calibri" w:hAnsi="Arial" w:cs="Arial"/>
          <w:b/>
          <w:bCs/>
          <w:color w:val="000000" w:themeColor="text1"/>
          <w:sz w:val="22"/>
          <w:lang w:val="es-ES_tradnl"/>
        </w:rPr>
        <w:t>―</w:t>
      </w:r>
      <w:r w:rsidR="009314FA">
        <w:rPr>
          <w:rFonts w:ascii="Arial" w:eastAsia="Calibri" w:hAnsi="Arial" w:cs="Arial"/>
          <w:b/>
          <w:bCs/>
          <w:color w:val="000000" w:themeColor="text1"/>
          <w:sz w:val="22"/>
          <w:lang w:val="es-ES_tradnl"/>
        </w:rPr>
        <w:t xml:space="preserve"> </w:t>
      </w:r>
      <w:r w:rsidRPr="004940E3">
        <w:rPr>
          <w:rFonts w:ascii="Arial" w:eastAsia="Calibri" w:hAnsi="Arial" w:cs="Arial"/>
          <w:b/>
          <w:bCs/>
          <w:color w:val="000000" w:themeColor="text1"/>
          <w:sz w:val="22"/>
          <w:lang w:val="es-ES_tradnl"/>
        </w:rPr>
        <w:t>L</w:t>
      </w:r>
      <w:r w:rsidR="009314FA">
        <w:rPr>
          <w:rFonts w:ascii="Arial" w:eastAsia="Calibri" w:hAnsi="Arial" w:cs="Arial"/>
          <w:b/>
          <w:bCs/>
          <w:color w:val="000000" w:themeColor="text1"/>
          <w:sz w:val="22"/>
          <w:lang w:val="es-ES_tradnl"/>
        </w:rPr>
        <w:t>ey</w:t>
      </w:r>
      <w:r w:rsidRPr="004940E3">
        <w:rPr>
          <w:rFonts w:ascii="Arial" w:eastAsia="Calibri" w:hAnsi="Arial" w:cs="Arial"/>
          <w:b/>
          <w:bCs/>
          <w:color w:val="000000" w:themeColor="text1"/>
          <w:sz w:val="22"/>
          <w:lang w:val="es-ES_tradnl"/>
        </w:rPr>
        <w:t xml:space="preserve"> 1150 DE 2007 ― Carácter enunciativo</w:t>
      </w:r>
    </w:p>
    <w:p w14:paraId="2E098D48" w14:textId="77777777" w:rsidR="00DD5B04" w:rsidRPr="004940E3" w:rsidRDefault="00DD5B04" w:rsidP="00DD5B04">
      <w:pPr>
        <w:rPr>
          <w:rFonts w:ascii="Arial" w:eastAsia="Calibri" w:hAnsi="Arial" w:cs="Arial"/>
          <w:b/>
          <w:bCs/>
          <w:color w:val="000000" w:themeColor="text1"/>
          <w:sz w:val="20"/>
          <w:szCs w:val="20"/>
          <w:lang w:val="es-ES_tradnl"/>
        </w:rPr>
      </w:pPr>
    </w:p>
    <w:p w14:paraId="593B03D4" w14:textId="1DC09C9C" w:rsidR="00DD5B04" w:rsidRPr="004940E3" w:rsidRDefault="00003C5C" w:rsidP="00DD5B04">
      <w:pPr>
        <w:jc w:val="both"/>
        <w:rPr>
          <w:rFonts w:ascii="Arial" w:eastAsia="Calibri" w:hAnsi="Arial" w:cs="Arial"/>
          <w:b/>
          <w:bCs/>
          <w:color w:val="000000" w:themeColor="text1"/>
          <w:sz w:val="20"/>
          <w:szCs w:val="20"/>
          <w:lang w:val="es-ES_tradnl"/>
        </w:rPr>
      </w:pPr>
      <w:r w:rsidRPr="0BE3D232">
        <w:rPr>
          <w:rFonts w:ascii="Arial" w:eastAsia="Calibri" w:hAnsi="Arial" w:cs="Arial"/>
          <w:color w:val="000000" w:themeColor="text1"/>
          <w:sz w:val="20"/>
          <w:szCs w:val="20"/>
          <w:lang w:val="es-ES"/>
        </w:rPr>
        <w:t>Ahora bien, en este punto vale la pena preguntarse si los cuatro requisitos habilitantes establecidos en el artículo 5, numeral 1, de la Ley 1150 de 2007, cuyo alcance fue explicado previamente, son taxativos, esto es, si son los únicos requisitos habilitantes que puede exigirles una entidad a los proponentes. Esta pregunta tiene, al menos, dos respuestas posibles. Por un lado, que sí lo son, ya que la norma no hace referencia a otros diferentes y, por el otro, que no lo son, pues esta no contiene una expresión como «únicamente» o «solo»,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 norma que establece que «para poder participar en los procesos de selección de los contratos de obra, la capacidad residual del proponente o K de contratación deberá ser igual o superior al que la entidad haya establecido para el efecto en los pliegos de condiciones». Esta segunda respuesta contiene la interpretación legal que comparte la Agencia Nacional de Contratación Pública.</w:t>
      </w:r>
    </w:p>
    <w:p w14:paraId="484D113C" w14:textId="086199C7" w:rsidR="0BE3D232" w:rsidRDefault="0BE3D232" w:rsidP="0BE3D232">
      <w:pPr>
        <w:jc w:val="both"/>
        <w:rPr>
          <w:rFonts w:ascii="Arial" w:eastAsia="Calibri" w:hAnsi="Arial" w:cs="Arial"/>
          <w:color w:val="000000" w:themeColor="text1"/>
          <w:sz w:val="20"/>
          <w:szCs w:val="20"/>
          <w:lang w:val="es-ES"/>
        </w:rPr>
      </w:pPr>
    </w:p>
    <w:p w14:paraId="480EB135" w14:textId="127828E2" w:rsidR="00DD5B04" w:rsidRPr="004940E3" w:rsidRDefault="00DD5B04" w:rsidP="0BE3D232">
      <w:pPr>
        <w:jc w:val="both"/>
        <w:rPr>
          <w:rFonts w:ascii="Arial" w:eastAsia="Calibri" w:hAnsi="Arial" w:cs="Arial"/>
          <w:b/>
          <w:bCs/>
          <w:color w:val="000000" w:themeColor="text1"/>
          <w:sz w:val="22"/>
          <w:lang w:val="es-ES"/>
        </w:rPr>
      </w:pPr>
      <w:r w:rsidRPr="0BE3D232">
        <w:rPr>
          <w:rFonts w:ascii="Arial" w:eastAsia="Calibri" w:hAnsi="Arial" w:cs="Arial"/>
          <w:b/>
          <w:bCs/>
          <w:color w:val="000000" w:themeColor="text1"/>
          <w:sz w:val="22"/>
          <w:lang w:val="es-ES"/>
        </w:rPr>
        <w:t xml:space="preserve">REQUISITOS HABILITANTES ― Competencia </w:t>
      </w:r>
      <w:r w:rsidR="115E4981" w:rsidRPr="0BE3D232">
        <w:rPr>
          <w:rFonts w:ascii="Arial" w:eastAsia="Calibri" w:hAnsi="Arial" w:cs="Arial"/>
          <w:b/>
          <w:bCs/>
          <w:color w:val="000000" w:themeColor="text1"/>
          <w:sz w:val="22"/>
          <w:lang w:val="es-ES"/>
        </w:rPr>
        <w:t xml:space="preserve">― Determinación </w:t>
      </w:r>
    </w:p>
    <w:p w14:paraId="76B12C3F" w14:textId="77777777" w:rsidR="00DD5B04" w:rsidRPr="004940E3" w:rsidRDefault="00DD5B04" w:rsidP="00DD5B04">
      <w:pPr>
        <w:rPr>
          <w:rFonts w:ascii="Arial" w:eastAsia="Calibri" w:hAnsi="Arial" w:cs="Arial"/>
          <w:b/>
          <w:bCs/>
          <w:color w:val="000000" w:themeColor="text1"/>
          <w:sz w:val="20"/>
          <w:szCs w:val="20"/>
          <w:lang w:val="es-ES_tradnl"/>
        </w:rPr>
      </w:pPr>
    </w:p>
    <w:p w14:paraId="178F7462" w14:textId="3B159C87" w:rsidR="00DD5B04" w:rsidRPr="004940E3" w:rsidRDefault="00003C5C" w:rsidP="00DD5B04">
      <w:pPr>
        <w:jc w:val="both"/>
        <w:rPr>
          <w:rFonts w:ascii="Arial" w:hAnsi="Arial" w:cs="Arial"/>
          <w:color w:val="000000" w:themeColor="text1"/>
          <w:sz w:val="20"/>
          <w:szCs w:val="20"/>
          <w:lang w:val="es-ES_tradnl"/>
        </w:rPr>
      </w:pPr>
      <w:r>
        <w:rPr>
          <w:rFonts w:ascii="Arial" w:eastAsia="Calibri" w:hAnsi="Arial" w:cs="Arial"/>
          <w:color w:val="000000" w:themeColor="text1"/>
          <w:sz w:val="20"/>
          <w:szCs w:val="20"/>
          <w:lang w:val="es-ES_tradnl"/>
        </w:rPr>
        <w:lastRenderedPageBreak/>
        <w:t>C</w:t>
      </w:r>
      <w:r w:rsidRPr="00003C5C">
        <w:rPr>
          <w:rFonts w:ascii="Arial" w:eastAsia="Calibri" w:hAnsi="Arial" w:cs="Arial"/>
          <w:color w:val="000000" w:themeColor="text1"/>
          <w:sz w:val="20"/>
          <w:szCs w:val="20"/>
          <w:lang w:val="es-ES_tradnl"/>
        </w:rPr>
        <w:t>orresponde a las entidades estatales, durante la etapa de planeación del contrato estatal, estudiar y determinar los requisitos habilitantes que establecerán en los pliegos de condiciones, los cuales deben fijarse de forma adecuada y proporcional. Esto último, según se deriva de la lectura del artículo 2.2.1.1.1.6.2 del Decreto 1082 de 2015, debe hacerse de acuerdo con la naturaleza, el valor del contrato, la forma de pago, los riesgos asociados al contrato, el plazo y la complejidad de ejecución del objeto. Todo porque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como, por ejemplo, el que estable el artículo 5, parágrafo 2, de la Ley 1150 de 2007, relacionado con la prohibición de exigir certificaciones de sistemas de gestión de calidad como requisito habilitante.</w:t>
      </w:r>
    </w:p>
    <w:p w14:paraId="370ED05C" w14:textId="3CC305B9" w:rsidR="00DD5B04" w:rsidRPr="00925EE5" w:rsidRDefault="00DD5B04" w:rsidP="00DD5B04">
      <w:pPr>
        <w:rPr>
          <w:rFonts w:ascii="Arial" w:hAnsi="Arial" w:cs="Arial"/>
          <w:color w:val="000000" w:themeColor="text1"/>
          <w:sz w:val="20"/>
          <w:szCs w:val="20"/>
          <w:lang w:val="es-ES_tradnl"/>
        </w:rPr>
      </w:pPr>
    </w:p>
    <w:p w14:paraId="3D8B0100" w14:textId="77777777" w:rsidR="00CE607F" w:rsidRPr="00925EE5" w:rsidRDefault="00CE607F" w:rsidP="00CE607F">
      <w:pPr>
        <w:autoSpaceDE w:val="0"/>
        <w:autoSpaceDN w:val="0"/>
        <w:adjustRightInd w:val="0"/>
        <w:rPr>
          <w:rFonts w:ascii="Arial" w:hAnsi="Arial" w:cs="Arial"/>
          <w:color w:val="000000"/>
          <w:sz w:val="20"/>
          <w:szCs w:val="20"/>
          <w:lang w:val="es-CO"/>
        </w:rPr>
      </w:pPr>
    </w:p>
    <w:p w14:paraId="18B23318" w14:textId="235015F0" w:rsidR="00CE607F" w:rsidRPr="00CE607F" w:rsidRDefault="00CE607F" w:rsidP="00CE607F">
      <w:pPr>
        <w:autoSpaceDE w:val="0"/>
        <w:autoSpaceDN w:val="0"/>
        <w:adjustRightInd w:val="0"/>
        <w:rPr>
          <w:rFonts w:ascii="Arial" w:hAnsi="Arial" w:cs="Arial"/>
          <w:color w:val="000000"/>
          <w:sz w:val="22"/>
          <w:lang w:val="es-CO"/>
        </w:rPr>
      </w:pPr>
      <w:r w:rsidRPr="00CE607F">
        <w:rPr>
          <w:rFonts w:ascii="Arial" w:hAnsi="Arial" w:cs="Arial"/>
          <w:color w:val="000000"/>
          <w:sz w:val="22"/>
          <w:lang w:val="es-CO"/>
        </w:rPr>
        <w:t xml:space="preserve">Bogotá D.C., </w:t>
      </w:r>
      <w:r w:rsidRPr="00CE607F">
        <w:rPr>
          <w:rFonts w:ascii="Arial" w:hAnsi="Arial" w:cs="Arial"/>
          <w:b/>
          <w:bCs/>
          <w:color w:val="000000"/>
          <w:sz w:val="22"/>
          <w:lang w:val="es-CO"/>
        </w:rPr>
        <w:t xml:space="preserve">16/07/2020 Hora 9:48:18s </w:t>
      </w:r>
    </w:p>
    <w:p w14:paraId="33BD7B68" w14:textId="075EEE3F" w:rsidR="00DD5B04" w:rsidRPr="004940E3" w:rsidRDefault="00CE607F" w:rsidP="00CE607F">
      <w:pPr>
        <w:jc w:val="right"/>
        <w:rPr>
          <w:rFonts w:ascii="Arial" w:hAnsi="Arial" w:cs="Arial"/>
          <w:b/>
          <w:color w:val="000000" w:themeColor="text1"/>
          <w:sz w:val="22"/>
          <w:lang w:val="es-ES_tradnl"/>
        </w:rPr>
      </w:pPr>
      <w:proofErr w:type="spellStart"/>
      <w:r w:rsidRPr="00CE607F">
        <w:rPr>
          <w:rFonts w:ascii="Arial" w:hAnsi="Arial" w:cs="Arial"/>
          <w:b/>
          <w:bCs/>
          <w:color w:val="000000"/>
          <w:sz w:val="22"/>
          <w:lang w:val="es-CO"/>
        </w:rPr>
        <w:t>N°</w:t>
      </w:r>
      <w:proofErr w:type="spellEnd"/>
      <w:r w:rsidRPr="00CE607F">
        <w:rPr>
          <w:rFonts w:ascii="Arial" w:hAnsi="Arial" w:cs="Arial"/>
          <w:b/>
          <w:bCs/>
          <w:color w:val="000000"/>
          <w:sz w:val="22"/>
          <w:lang w:val="es-CO"/>
        </w:rPr>
        <w:t xml:space="preserve"> Radicado: 2202013000006340</w:t>
      </w:r>
    </w:p>
    <w:p w14:paraId="073418B4" w14:textId="77777777" w:rsidR="00DD5B04" w:rsidRPr="004940E3" w:rsidRDefault="00DD5B04" w:rsidP="00DD5B04">
      <w:pPr>
        <w:rPr>
          <w:rFonts w:ascii="Arial" w:eastAsia="Calibri" w:hAnsi="Arial" w:cs="Arial"/>
          <w:color w:val="000000" w:themeColor="text1"/>
          <w:sz w:val="22"/>
          <w:lang w:val="es-ES_tradnl"/>
        </w:rPr>
      </w:pPr>
    </w:p>
    <w:p w14:paraId="74A475A6" w14:textId="77777777" w:rsidR="00DD5B04" w:rsidRPr="004940E3" w:rsidRDefault="00DD5B04" w:rsidP="00DD5B04">
      <w:pPr>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 xml:space="preserve">Señor </w:t>
      </w:r>
    </w:p>
    <w:p w14:paraId="64424D59" w14:textId="77777777" w:rsidR="00DD5B04" w:rsidRPr="004940E3" w:rsidRDefault="00DD5B04" w:rsidP="00DD5B04">
      <w:pPr>
        <w:rPr>
          <w:rFonts w:ascii="Arial" w:eastAsia="Calibri" w:hAnsi="Arial" w:cs="Arial"/>
          <w:b/>
          <w:color w:val="000000" w:themeColor="text1"/>
          <w:sz w:val="22"/>
          <w:lang w:val="es-ES_tradnl"/>
        </w:rPr>
      </w:pPr>
      <w:r w:rsidRPr="004940E3">
        <w:rPr>
          <w:rFonts w:ascii="Arial" w:eastAsia="Calibri" w:hAnsi="Arial" w:cs="Arial"/>
          <w:b/>
          <w:color w:val="000000" w:themeColor="text1"/>
          <w:sz w:val="22"/>
          <w:lang w:val="es-ES_tradnl"/>
        </w:rPr>
        <w:t>Francisco Javier Fajardo Angarita</w:t>
      </w:r>
    </w:p>
    <w:p w14:paraId="5E9E4CD6" w14:textId="77777777" w:rsidR="00DD5B04" w:rsidRPr="004940E3" w:rsidRDefault="00DD5B04" w:rsidP="00DD5B04">
      <w:pPr>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Ciudad</w:t>
      </w:r>
    </w:p>
    <w:p w14:paraId="79F69118" w14:textId="77777777" w:rsidR="00DD5B04" w:rsidRPr="004940E3" w:rsidRDefault="00DD5B04" w:rsidP="00DD5B04">
      <w:pPr>
        <w:rPr>
          <w:rFonts w:ascii="Arial" w:eastAsia="Calibri" w:hAnsi="Arial" w:cs="Arial"/>
          <w:color w:val="000000" w:themeColor="text1"/>
          <w:sz w:val="22"/>
          <w:lang w:val="es-ES_tradnl"/>
        </w:rPr>
      </w:pPr>
    </w:p>
    <w:p w14:paraId="03294061" w14:textId="77777777" w:rsidR="00DD5B04" w:rsidRPr="004940E3" w:rsidRDefault="00DD5B04" w:rsidP="00DD5B04">
      <w:pPr>
        <w:rPr>
          <w:rFonts w:ascii="Arial" w:eastAsia="Calibri" w:hAnsi="Arial" w:cs="Arial"/>
          <w:color w:val="000000" w:themeColor="text1"/>
          <w:sz w:val="22"/>
          <w:lang w:val="es-ES_tradnl"/>
        </w:rPr>
      </w:pPr>
    </w:p>
    <w:p w14:paraId="60978A0D" w14:textId="77777777" w:rsidR="00DD5B04" w:rsidRPr="004940E3" w:rsidRDefault="00DD5B04" w:rsidP="00DD5B04">
      <w:pPr>
        <w:jc w:val="center"/>
        <w:rPr>
          <w:rFonts w:ascii="Arial" w:eastAsia="Calibri" w:hAnsi="Arial" w:cs="Arial"/>
          <w:b/>
          <w:bCs/>
          <w:color w:val="000000" w:themeColor="text1"/>
          <w:sz w:val="22"/>
          <w:lang w:val="es-ES_tradnl"/>
        </w:rPr>
      </w:pPr>
      <w:r w:rsidRPr="004940E3">
        <w:rPr>
          <w:rFonts w:ascii="Arial" w:eastAsia="Calibri" w:hAnsi="Arial" w:cs="Arial"/>
          <w:b/>
          <w:bCs/>
          <w:color w:val="000000" w:themeColor="text1"/>
          <w:sz w:val="22"/>
          <w:lang w:val="es-ES_tradnl"/>
        </w:rPr>
        <w:t>Concepto C‒ 396 de 2020</w:t>
      </w:r>
    </w:p>
    <w:p w14:paraId="3097F323" w14:textId="77777777" w:rsidR="00DD5B04" w:rsidRPr="004940E3" w:rsidRDefault="00DD5B04" w:rsidP="00DD5B04">
      <w:pPr>
        <w:rPr>
          <w:rFonts w:ascii="Arial" w:eastAsia="Calibri" w:hAnsi="Arial" w:cs="Arial"/>
          <w:color w:val="000000" w:themeColor="text1"/>
          <w:sz w:val="22"/>
          <w:lang w:val="es-ES_tradnl"/>
        </w:rPr>
      </w:pPr>
    </w:p>
    <w:p w14:paraId="50574B19" w14:textId="77777777" w:rsidR="00DD5B04" w:rsidRPr="004940E3" w:rsidRDefault="00DD5B04" w:rsidP="00DD5B04">
      <w:pPr>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5B04" w:rsidRPr="004940E3" w14:paraId="10318206" w14:textId="77777777" w:rsidTr="00083F1B">
        <w:tc>
          <w:tcPr>
            <w:tcW w:w="2689" w:type="dxa"/>
          </w:tcPr>
          <w:p w14:paraId="3FE8DF90" w14:textId="77777777" w:rsidR="00DD5B04" w:rsidRPr="004940E3" w:rsidRDefault="00DD5B04" w:rsidP="00083F1B">
            <w:pPr>
              <w:rPr>
                <w:rFonts w:ascii="Arial" w:eastAsia="Calibri" w:hAnsi="Arial" w:cs="Arial"/>
                <w:color w:val="000000" w:themeColor="text1"/>
                <w:sz w:val="22"/>
                <w:lang w:val="es-ES_tradnl"/>
              </w:rPr>
            </w:pPr>
            <w:r w:rsidRPr="004940E3">
              <w:rPr>
                <w:rFonts w:ascii="Arial" w:eastAsia="Calibri" w:hAnsi="Arial" w:cs="Arial"/>
                <w:b/>
                <w:color w:val="000000" w:themeColor="text1"/>
                <w:sz w:val="22"/>
                <w:lang w:val="es-ES_tradnl"/>
              </w:rPr>
              <w:t>Temas:</w:t>
            </w:r>
            <w:r w:rsidRPr="004940E3">
              <w:rPr>
                <w:rFonts w:ascii="Arial" w:eastAsia="Calibri" w:hAnsi="Arial" w:cs="Arial"/>
                <w:color w:val="000000" w:themeColor="text1"/>
                <w:sz w:val="22"/>
                <w:lang w:val="es-ES_tradnl"/>
              </w:rPr>
              <w:t xml:space="preserve">                                      </w:t>
            </w:r>
          </w:p>
        </w:tc>
        <w:tc>
          <w:tcPr>
            <w:tcW w:w="6237" w:type="dxa"/>
          </w:tcPr>
          <w:p w14:paraId="63D57D37" w14:textId="77777777" w:rsidR="00DD5B04" w:rsidRPr="004940E3" w:rsidRDefault="00DD5B04" w:rsidP="00083F1B">
            <w:pPr>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 xml:space="preserve">SELECCIÓN OBJETIVA ― Noción y factores de escogencia / REQUISITOS HABILITANTES ― Capacidad jurídica / CAPACIDAD PARA CONTRATAR ― Titularidad / REQUISITOS HABILITANTES ― Experiencia / EXPERIENCIA ― Verificación / EXPERIENCIA ― Acreditación / EXPERIENCIA ― Características / REQUISITOS HABILITANTES ― Capacidad financiera / CAPACIDAD FINANCIERA ― Indicadores / REQUISITOS HABILITANTES ― Capacidad de organización / REQUISITOS HABILITANTES DE LA LEY 1150 DE 2007 ― Carácter enunciativo / REQUISITOS HABILITANTES ― Competencia para establecerlos / REQUISITOS HABILITANTES ― </w:t>
            </w:r>
            <w:proofErr w:type="spellStart"/>
            <w:r w:rsidRPr="004940E3">
              <w:rPr>
                <w:rFonts w:ascii="Arial" w:eastAsia="Calibri" w:hAnsi="Arial" w:cs="Arial"/>
                <w:color w:val="000000" w:themeColor="text1"/>
                <w:sz w:val="22"/>
                <w:lang w:val="es-ES_tradnl"/>
              </w:rPr>
              <w:t>Subsanabilidad</w:t>
            </w:r>
            <w:proofErr w:type="spellEnd"/>
            <w:r w:rsidRPr="004940E3">
              <w:rPr>
                <w:rFonts w:ascii="Arial" w:eastAsia="Calibri" w:hAnsi="Arial" w:cs="Arial"/>
                <w:color w:val="000000" w:themeColor="text1"/>
                <w:sz w:val="22"/>
                <w:lang w:val="es-ES_tradnl"/>
              </w:rPr>
              <w:t xml:space="preserve"> </w:t>
            </w:r>
          </w:p>
        </w:tc>
      </w:tr>
      <w:tr w:rsidR="00DD5B04" w:rsidRPr="004940E3" w14:paraId="60E06E0C" w14:textId="77777777" w:rsidTr="00083F1B">
        <w:tc>
          <w:tcPr>
            <w:tcW w:w="2689" w:type="dxa"/>
          </w:tcPr>
          <w:p w14:paraId="5655C7E4" w14:textId="77777777" w:rsidR="00DD5B04" w:rsidRPr="004940E3" w:rsidRDefault="00DD5B04" w:rsidP="00083F1B">
            <w:pPr>
              <w:spacing w:before="120"/>
              <w:rPr>
                <w:rFonts w:ascii="Arial" w:eastAsia="Calibri" w:hAnsi="Arial" w:cs="Arial"/>
                <w:b/>
                <w:color w:val="000000" w:themeColor="text1"/>
                <w:sz w:val="22"/>
                <w:lang w:val="es-ES_tradnl"/>
              </w:rPr>
            </w:pPr>
            <w:r w:rsidRPr="004940E3">
              <w:rPr>
                <w:rFonts w:ascii="Arial" w:eastAsia="Calibri" w:hAnsi="Arial" w:cs="Arial"/>
                <w:b/>
                <w:color w:val="000000" w:themeColor="text1"/>
                <w:sz w:val="22"/>
                <w:lang w:val="es-ES_tradnl"/>
              </w:rPr>
              <w:t>Radicación:</w:t>
            </w:r>
            <w:r w:rsidRPr="004940E3">
              <w:rPr>
                <w:rFonts w:ascii="Arial" w:eastAsia="Calibri" w:hAnsi="Arial" w:cs="Arial"/>
                <w:color w:val="000000" w:themeColor="text1"/>
                <w:sz w:val="22"/>
                <w:lang w:val="es-ES_tradnl"/>
              </w:rPr>
              <w:t xml:space="preserve">                              </w:t>
            </w:r>
          </w:p>
        </w:tc>
        <w:tc>
          <w:tcPr>
            <w:tcW w:w="6237" w:type="dxa"/>
          </w:tcPr>
          <w:p w14:paraId="33E25A02" w14:textId="4F1A4E12" w:rsidR="00DD5B04" w:rsidRPr="004940E3" w:rsidRDefault="00DD5B04" w:rsidP="00083F1B">
            <w:pPr>
              <w:spacing w:before="120"/>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Respuesta</w:t>
            </w:r>
            <w:r w:rsidR="008100F7">
              <w:rPr>
                <w:rFonts w:ascii="Arial" w:eastAsia="Calibri" w:hAnsi="Arial" w:cs="Arial"/>
                <w:color w:val="000000" w:themeColor="text1"/>
                <w:sz w:val="22"/>
                <w:lang w:val="es-ES_tradnl"/>
              </w:rPr>
              <w:t xml:space="preserve"> </w:t>
            </w:r>
            <w:r w:rsidR="00CA5812">
              <w:rPr>
                <w:rFonts w:ascii="Arial" w:eastAsia="Calibri" w:hAnsi="Arial" w:cs="Arial"/>
                <w:color w:val="000000" w:themeColor="text1"/>
                <w:sz w:val="22"/>
                <w:lang w:val="es-ES_tradnl"/>
              </w:rPr>
              <w:t xml:space="preserve">a </w:t>
            </w:r>
            <w:r w:rsidRPr="004940E3">
              <w:rPr>
                <w:rFonts w:ascii="Arial" w:eastAsia="Calibri" w:hAnsi="Arial" w:cs="Arial"/>
                <w:color w:val="000000" w:themeColor="text1"/>
                <w:sz w:val="22"/>
                <w:lang w:val="es-ES_tradnl"/>
              </w:rPr>
              <w:t>consulta</w:t>
            </w:r>
            <w:r w:rsidR="00CA5812">
              <w:rPr>
                <w:rFonts w:ascii="Arial" w:eastAsia="Calibri" w:hAnsi="Arial" w:cs="Arial"/>
                <w:color w:val="000000" w:themeColor="text1"/>
                <w:sz w:val="22"/>
                <w:lang w:val="es-ES_tradnl"/>
              </w:rPr>
              <w:t>s</w:t>
            </w:r>
            <w:r w:rsidR="008100F7">
              <w:rPr>
                <w:rFonts w:ascii="Arial" w:eastAsia="Calibri" w:hAnsi="Arial" w:cs="Arial"/>
                <w:color w:val="000000" w:themeColor="text1"/>
                <w:sz w:val="22"/>
                <w:lang w:val="es-ES_tradnl"/>
              </w:rPr>
              <w:t xml:space="preserve"> acumuladas</w:t>
            </w:r>
            <w:r w:rsidRPr="004940E3">
              <w:rPr>
                <w:rFonts w:ascii="Arial" w:eastAsia="Calibri" w:hAnsi="Arial" w:cs="Arial"/>
                <w:color w:val="000000" w:themeColor="text1"/>
                <w:sz w:val="22"/>
                <w:lang w:val="es-ES_tradnl"/>
              </w:rPr>
              <w:t xml:space="preserve"> # 4202013000004424</w:t>
            </w:r>
            <w:r w:rsidR="00CA5812">
              <w:rPr>
                <w:rFonts w:ascii="Arial" w:eastAsia="Calibri" w:hAnsi="Arial" w:cs="Arial"/>
                <w:color w:val="000000" w:themeColor="text1"/>
                <w:sz w:val="22"/>
                <w:lang w:val="es-ES_tradnl"/>
              </w:rPr>
              <w:t xml:space="preserve"> y</w:t>
            </w:r>
            <w:r w:rsidRPr="004940E3">
              <w:rPr>
                <w:rFonts w:ascii="Arial" w:eastAsia="Calibri" w:hAnsi="Arial" w:cs="Arial"/>
                <w:color w:val="000000" w:themeColor="text1"/>
                <w:sz w:val="22"/>
                <w:lang w:val="es-ES_tradnl"/>
              </w:rPr>
              <w:t xml:space="preserve"> 4202013000004597</w:t>
            </w:r>
          </w:p>
          <w:p w14:paraId="0DA3D2F3" w14:textId="77777777" w:rsidR="00DD5B04" w:rsidRPr="004940E3" w:rsidRDefault="00DD5B04" w:rsidP="00083F1B">
            <w:pPr>
              <w:spacing w:before="120"/>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 xml:space="preserve"> </w:t>
            </w:r>
          </w:p>
        </w:tc>
      </w:tr>
    </w:tbl>
    <w:p w14:paraId="6FB93F39" w14:textId="77777777" w:rsidR="00DD5B04" w:rsidRPr="004940E3" w:rsidRDefault="00DD5B04" w:rsidP="00DD5B04">
      <w:pPr>
        <w:jc w:val="both"/>
        <w:rPr>
          <w:rFonts w:ascii="Arial" w:eastAsia="Calibri" w:hAnsi="Arial" w:cs="Arial"/>
          <w:color w:val="000000" w:themeColor="text1"/>
          <w:sz w:val="22"/>
          <w:lang w:val="es-ES_tradnl"/>
        </w:rPr>
      </w:pPr>
    </w:p>
    <w:p w14:paraId="30BB5B67" w14:textId="780F06A1" w:rsidR="00DD5B04" w:rsidRPr="004940E3" w:rsidRDefault="00DD5B04" w:rsidP="00DD5B04">
      <w:pPr>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 xml:space="preserve">Estimado señor </w:t>
      </w:r>
      <w:r w:rsidR="00337CA8" w:rsidRPr="004940E3">
        <w:rPr>
          <w:rFonts w:ascii="Arial" w:eastAsia="Calibri" w:hAnsi="Arial" w:cs="Arial"/>
          <w:color w:val="000000" w:themeColor="text1"/>
          <w:sz w:val="22"/>
          <w:lang w:val="es-ES_tradnl"/>
        </w:rPr>
        <w:t>Fajardo</w:t>
      </w:r>
      <w:r w:rsidRPr="004940E3">
        <w:rPr>
          <w:rFonts w:ascii="Arial" w:eastAsia="Calibri" w:hAnsi="Arial" w:cs="Arial"/>
          <w:color w:val="000000" w:themeColor="text1"/>
          <w:sz w:val="22"/>
          <w:lang w:val="es-ES_tradnl"/>
        </w:rPr>
        <w:t>:</w:t>
      </w:r>
    </w:p>
    <w:p w14:paraId="1EAE5543" w14:textId="77777777" w:rsidR="00DD5B04" w:rsidRPr="004940E3" w:rsidRDefault="00DD5B04" w:rsidP="00DD5B04">
      <w:pPr>
        <w:rPr>
          <w:rFonts w:ascii="Arial" w:eastAsia="Calibri" w:hAnsi="Arial" w:cs="Arial"/>
          <w:color w:val="000000" w:themeColor="text1"/>
          <w:sz w:val="22"/>
          <w:lang w:val="es-ES_tradnl"/>
        </w:rPr>
      </w:pPr>
    </w:p>
    <w:p w14:paraId="2109B2D3" w14:textId="2A896864" w:rsidR="00DD5B04" w:rsidRPr="004940E3" w:rsidRDefault="00DD5B04" w:rsidP="00DD5B04">
      <w:pPr>
        <w:spacing w:line="276" w:lineRule="auto"/>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 responde su</w:t>
      </w:r>
      <w:r w:rsidR="007E74BF" w:rsidRPr="004940E3">
        <w:rPr>
          <w:rFonts w:ascii="Arial" w:eastAsia="Calibri" w:hAnsi="Arial" w:cs="Arial"/>
          <w:color w:val="000000" w:themeColor="text1"/>
          <w:sz w:val="22"/>
          <w:lang w:val="es-ES_tradnl"/>
        </w:rPr>
        <w:t>s</w:t>
      </w:r>
      <w:r w:rsidRPr="004940E3">
        <w:rPr>
          <w:rFonts w:ascii="Arial" w:eastAsia="Calibri" w:hAnsi="Arial" w:cs="Arial"/>
          <w:color w:val="000000" w:themeColor="text1"/>
          <w:sz w:val="22"/>
          <w:lang w:val="es-ES_tradnl"/>
        </w:rPr>
        <w:t xml:space="preserve"> consulta</w:t>
      </w:r>
      <w:r w:rsidR="007E74BF" w:rsidRPr="004940E3">
        <w:rPr>
          <w:rFonts w:ascii="Arial" w:eastAsia="Calibri" w:hAnsi="Arial" w:cs="Arial"/>
          <w:color w:val="000000" w:themeColor="text1"/>
          <w:sz w:val="22"/>
          <w:lang w:val="es-ES_tradnl"/>
        </w:rPr>
        <w:t>s</w:t>
      </w:r>
      <w:r w:rsidRPr="004940E3">
        <w:rPr>
          <w:rFonts w:ascii="Arial" w:eastAsia="Calibri" w:hAnsi="Arial" w:cs="Arial"/>
          <w:color w:val="000000" w:themeColor="text1"/>
          <w:sz w:val="22"/>
          <w:lang w:val="es-ES_tradnl"/>
        </w:rPr>
        <w:t xml:space="preserve"> del 2 </w:t>
      </w:r>
      <w:r w:rsidR="007E74BF" w:rsidRPr="004940E3">
        <w:rPr>
          <w:rFonts w:ascii="Arial" w:eastAsia="Calibri" w:hAnsi="Arial" w:cs="Arial"/>
          <w:color w:val="000000" w:themeColor="text1"/>
          <w:sz w:val="22"/>
          <w:lang w:val="es-ES_tradnl"/>
        </w:rPr>
        <w:t xml:space="preserve">y del 4 </w:t>
      </w:r>
      <w:r w:rsidRPr="004940E3">
        <w:rPr>
          <w:rFonts w:ascii="Arial" w:eastAsia="Calibri" w:hAnsi="Arial" w:cs="Arial"/>
          <w:color w:val="000000" w:themeColor="text1"/>
          <w:sz w:val="22"/>
          <w:lang w:val="es-ES_tradnl"/>
        </w:rPr>
        <w:t xml:space="preserve">de </w:t>
      </w:r>
      <w:r w:rsidR="007E74BF" w:rsidRPr="004940E3">
        <w:rPr>
          <w:rFonts w:ascii="Arial" w:eastAsia="Calibri" w:hAnsi="Arial" w:cs="Arial"/>
          <w:color w:val="000000" w:themeColor="text1"/>
          <w:sz w:val="22"/>
          <w:lang w:val="es-ES_tradnl"/>
        </w:rPr>
        <w:t>junio</w:t>
      </w:r>
      <w:r w:rsidRPr="004940E3">
        <w:rPr>
          <w:rFonts w:ascii="Arial" w:eastAsia="Calibri" w:hAnsi="Arial" w:cs="Arial"/>
          <w:color w:val="000000" w:themeColor="text1"/>
          <w:sz w:val="22"/>
          <w:lang w:val="es-ES_tradnl"/>
        </w:rPr>
        <w:t xml:space="preserve"> del</w:t>
      </w:r>
      <w:r w:rsidR="007E74BF" w:rsidRPr="004940E3">
        <w:rPr>
          <w:rFonts w:ascii="Arial" w:eastAsia="Calibri" w:hAnsi="Arial" w:cs="Arial"/>
          <w:color w:val="000000" w:themeColor="text1"/>
          <w:sz w:val="22"/>
          <w:lang w:val="es-ES_tradnl"/>
        </w:rPr>
        <w:t xml:space="preserve"> </w:t>
      </w:r>
      <w:r w:rsidRPr="004940E3">
        <w:rPr>
          <w:rFonts w:ascii="Arial" w:eastAsia="Calibri" w:hAnsi="Arial" w:cs="Arial"/>
          <w:color w:val="000000" w:themeColor="text1"/>
          <w:sz w:val="22"/>
          <w:lang w:val="es-ES_tradnl"/>
        </w:rPr>
        <w:t>2020</w:t>
      </w:r>
      <w:r w:rsidR="007E74BF" w:rsidRPr="004940E3">
        <w:rPr>
          <w:rFonts w:ascii="Arial" w:eastAsia="Calibri" w:hAnsi="Arial" w:cs="Arial"/>
          <w:color w:val="000000" w:themeColor="text1"/>
          <w:sz w:val="22"/>
          <w:lang w:val="es-ES_tradnl"/>
        </w:rPr>
        <w:t>, esta última remitida</w:t>
      </w:r>
      <w:r w:rsidR="003C1CB8" w:rsidRPr="004940E3">
        <w:rPr>
          <w:rFonts w:ascii="Arial" w:eastAsia="Calibri" w:hAnsi="Arial" w:cs="Arial"/>
          <w:color w:val="000000" w:themeColor="text1"/>
          <w:sz w:val="22"/>
          <w:lang w:val="es-ES_tradnl"/>
        </w:rPr>
        <w:t xml:space="preserve"> a </w:t>
      </w:r>
      <w:r w:rsidR="00634122" w:rsidRPr="004940E3">
        <w:rPr>
          <w:rFonts w:ascii="Arial" w:eastAsia="Calibri" w:hAnsi="Arial" w:cs="Arial"/>
          <w:color w:val="000000" w:themeColor="text1"/>
          <w:sz w:val="22"/>
          <w:lang w:val="es-ES_tradnl"/>
        </w:rPr>
        <w:t>esta Agencia,</w:t>
      </w:r>
      <w:r w:rsidR="003C1CB8" w:rsidRPr="004940E3">
        <w:rPr>
          <w:rFonts w:ascii="Arial" w:eastAsia="Calibri" w:hAnsi="Arial" w:cs="Arial"/>
          <w:color w:val="000000" w:themeColor="text1"/>
          <w:sz w:val="22"/>
          <w:lang w:val="es-ES_tradnl"/>
        </w:rPr>
        <w:t xml:space="preserve"> por falta de competencia</w:t>
      </w:r>
      <w:r w:rsidR="00634122" w:rsidRPr="004940E3">
        <w:rPr>
          <w:rFonts w:ascii="Arial" w:eastAsia="Calibri" w:hAnsi="Arial" w:cs="Arial"/>
          <w:color w:val="000000" w:themeColor="text1"/>
          <w:sz w:val="22"/>
          <w:lang w:val="es-ES_tradnl"/>
        </w:rPr>
        <w:t>,</w:t>
      </w:r>
      <w:r w:rsidR="003C1CB8" w:rsidRPr="004940E3">
        <w:rPr>
          <w:rFonts w:ascii="Arial" w:eastAsia="Calibri" w:hAnsi="Arial" w:cs="Arial"/>
          <w:color w:val="000000" w:themeColor="text1"/>
          <w:sz w:val="22"/>
          <w:lang w:val="es-ES_tradnl"/>
        </w:rPr>
        <w:t xml:space="preserve"> por parte del Departamento </w:t>
      </w:r>
      <w:r w:rsidR="003C1CB8" w:rsidRPr="004940E3">
        <w:rPr>
          <w:rFonts w:ascii="Arial" w:eastAsia="Calibri" w:hAnsi="Arial" w:cs="Arial"/>
          <w:color w:val="000000" w:themeColor="text1"/>
          <w:sz w:val="22"/>
          <w:lang w:val="es-ES_tradnl"/>
        </w:rPr>
        <w:lastRenderedPageBreak/>
        <w:t>Administrativo de Planeación</w:t>
      </w:r>
      <w:r w:rsidR="00652E70" w:rsidRPr="004940E3">
        <w:rPr>
          <w:rFonts w:ascii="Arial" w:eastAsia="Calibri" w:hAnsi="Arial" w:cs="Arial"/>
          <w:color w:val="000000" w:themeColor="text1"/>
          <w:sz w:val="22"/>
          <w:lang w:val="es-ES_tradnl"/>
        </w:rPr>
        <w:t>,</w:t>
      </w:r>
      <w:r w:rsidR="00815DA5" w:rsidRPr="004940E3">
        <w:rPr>
          <w:rFonts w:ascii="Arial" w:eastAsia="Calibri" w:hAnsi="Arial" w:cs="Arial"/>
          <w:color w:val="000000" w:themeColor="text1"/>
          <w:sz w:val="22"/>
          <w:lang w:val="es-ES_tradnl"/>
        </w:rPr>
        <w:t xml:space="preserve"> el día 4 de junio de 2020. Por versar sobre el mismo objeto, ambas consultas se resolverán mediante el presente concepto.</w:t>
      </w:r>
      <w:r w:rsidRPr="004940E3">
        <w:rPr>
          <w:rFonts w:ascii="Arial" w:eastAsia="Calibri" w:hAnsi="Arial" w:cs="Arial"/>
          <w:color w:val="000000" w:themeColor="text1"/>
          <w:sz w:val="22"/>
          <w:lang w:val="es-ES_tradnl"/>
        </w:rPr>
        <w:t xml:space="preserve"> </w:t>
      </w:r>
    </w:p>
    <w:p w14:paraId="0C1E0712" w14:textId="77777777" w:rsidR="00DD5B04" w:rsidRPr="004940E3" w:rsidRDefault="00DD5B04" w:rsidP="00DD5B04">
      <w:pPr>
        <w:spacing w:line="276" w:lineRule="auto"/>
        <w:jc w:val="both"/>
        <w:rPr>
          <w:rFonts w:ascii="Arial" w:eastAsia="Calibri" w:hAnsi="Arial" w:cs="Arial"/>
          <w:b/>
          <w:color w:val="000000" w:themeColor="text1"/>
          <w:sz w:val="22"/>
          <w:lang w:val="es-ES_tradnl"/>
        </w:rPr>
      </w:pPr>
    </w:p>
    <w:p w14:paraId="7701FCC7" w14:textId="77777777" w:rsidR="00DD5B04" w:rsidRPr="004940E3" w:rsidRDefault="00DD5B04" w:rsidP="00DD5B04">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4940E3">
        <w:rPr>
          <w:rFonts w:ascii="Arial" w:eastAsia="Calibri" w:hAnsi="Arial" w:cs="Arial"/>
          <w:b/>
          <w:color w:val="000000" w:themeColor="text1"/>
          <w:sz w:val="22"/>
          <w:lang w:val="es-ES_tradnl"/>
        </w:rPr>
        <w:t xml:space="preserve">Problema planteado </w:t>
      </w:r>
    </w:p>
    <w:p w14:paraId="224B43D3" w14:textId="77777777" w:rsidR="00DD5B04" w:rsidRPr="004940E3" w:rsidRDefault="00DD5B04" w:rsidP="00DD5B04">
      <w:pPr>
        <w:tabs>
          <w:tab w:val="left" w:pos="426"/>
        </w:tabs>
        <w:spacing w:line="276" w:lineRule="auto"/>
        <w:jc w:val="both"/>
        <w:rPr>
          <w:rFonts w:ascii="Arial" w:eastAsia="Calibri" w:hAnsi="Arial" w:cs="Arial"/>
          <w:b/>
          <w:color w:val="000000" w:themeColor="text1"/>
          <w:sz w:val="22"/>
          <w:lang w:val="es-ES_tradnl"/>
        </w:rPr>
      </w:pPr>
    </w:p>
    <w:p w14:paraId="3C75ADED" w14:textId="6BDC6CA2" w:rsidR="00DD5B04" w:rsidRPr="004940E3" w:rsidRDefault="00DD5B04" w:rsidP="00DD5B04">
      <w:pPr>
        <w:spacing w:line="276" w:lineRule="auto"/>
        <w:jc w:val="both"/>
        <w:rPr>
          <w:rFonts w:ascii="Arial" w:hAnsi="Arial" w:cs="Arial"/>
          <w:color w:val="000000" w:themeColor="text1"/>
          <w:sz w:val="22"/>
          <w:lang w:val="es-ES_tradnl"/>
        </w:rPr>
      </w:pPr>
      <w:r w:rsidRPr="004940E3">
        <w:rPr>
          <w:rFonts w:ascii="Arial" w:hAnsi="Arial" w:cs="Arial"/>
          <w:color w:val="000000" w:themeColor="text1"/>
          <w:sz w:val="22"/>
          <w:lang w:val="es-ES_tradnl"/>
        </w:rPr>
        <w:t>Usted realiza la</w:t>
      </w:r>
      <w:r w:rsidR="00D64B57" w:rsidRPr="004940E3">
        <w:rPr>
          <w:rFonts w:ascii="Arial" w:hAnsi="Arial" w:cs="Arial"/>
          <w:color w:val="000000" w:themeColor="text1"/>
          <w:sz w:val="22"/>
          <w:lang w:val="es-ES_tradnl"/>
        </w:rPr>
        <w:t>s</w:t>
      </w:r>
      <w:r w:rsidRPr="004940E3">
        <w:rPr>
          <w:rFonts w:ascii="Arial" w:hAnsi="Arial" w:cs="Arial"/>
          <w:color w:val="000000" w:themeColor="text1"/>
          <w:sz w:val="22"/>
          <w:lang w:val="es-ES_tradnl"/>
        </w:rPr>
        <w:t xml:space="preserve"> siguiente</w:t>
      </w:r>
      <w:r w:rsidR="00D64B57" w:rsidRPr="004940E3">
        <w:rPr>
          <w:rFonts w:ascii="Arial" w:hAnsi="Arial" w:cs="Arial"/>
          <w:color w:val="000000" w:themeColor="text1"/>
          <w:sz w:val="22"/>
          <w:lang w:val="es-ES_tradnl"/>
        </w:rPr>
        <w:t>s</w:t>
      </w:r>
      <w:r w:rsidRPr="004940E3">
        <w:rPr>
          <w:rFonts w:ascii="Arial" w:hAnsi="Arial" w:cs="Arial"/>
          <w:color w:val="000000" w:themeColor="text1"/>
          <w:sz w:val="22"/>
          <w:lang w:val="es-ES_tradnl"/>
        </w:rPr>
        <w:t xml:space="preserve"> pregunta</w:t>
      </w:r>
      <w:r w:rsidR="00D64B57" w:rsidRPr="004940E3">
        <w:rPr>
          <w:rFonts w:ascii="Arial" w:hAnsi="Arial" w:cs="Arial"/>
          <w:color w:val="000000" w:themeColor="text1"/>
          <w:sz w:val="22"/>
          <w:lang w:val="es-ES_tradnl"/>
        </w:rPr>
        <w:t>s</w:t>
      </w:r>
      <w:r w:rsidRPr="004940E3">
        <w:rPr>
          <w:rFonts w:ascii="Arial" w:hAnsi="Arial" w:cs="Arial"/>
          <w:color w:val="000000" w:themeColor="text1"/>
          <w:sz w:val="22"/>
          <w:lang w:val="es-ES_tradnl"/>
        </w:rPr>
        <w:t>:</w:t>
      </w:r>
    </w:p>
    <w:p w14:paraId="32C406D7" w14:textId="254747BD" w:rsidR="008A2A23" w:rsidRPr="004940E3" w:rsidRDefault="008A2A23" w:rsidP="00DD5B04">
      <w:pPr>
        <w:spacing w:line="276" w:lineRule="auto"/>
        <w:jc w:val="both"/>
        <w:rPr>
          <w:rFonts w:ascii="Arial" w:hAnsi="Arial" w:cs="Arial"/>
          <w:color w:val="000000" w:themeColor="text1"/>
          <w:sz w:val="22"/>
          <w:lang w:val="es-ES_tradnl"/>
        </w:rPr>
      </w:pPr>
    </w:p>
    <w:p w14:paraId="3A97EB23" w14:textId="00065CB6" w:rsidR="008A2A23" w:rsidRPr="004940E3" w:rsidRDefault="008A2A23" w:rsidP="00F624A7">
      <w:pPr>
        <w:ind w:left="709" w:right="709"/>
        <w:jc w:val="both"/>
        <w:rPr>
          <w:rFonts w:ascii="Arial" w:hAnsi="Arial" w:cs="Arial"/>
          <w:color w:val="000000" w:themeColor="text1"/>
          <w:sz w:val="21"/>
          <w:szCs w:val="21"/>
          <w:lang w:val="es-ES_tradnl"/>
        </w:rPr>
      </w:pPr>
      <w:r w:rsidRPr="004940E3">
        <w:rPr>
          <w:rFonts w:ascii="Arial" w:hAnsi="Arial" w:cs="Arial"/>
          <w:color w:val="000000" w:themeColor="text1"/>
          <w:sz w:val="21"/>
          <w:szCs w:val="21"/>
          <w:lang w:val="es-ES_tradnl"/>
        </w:rPr>
        <w:t>1. ¿Los requisitos habilitantes son los establecidos en el numeral 1</w:t>
      </w:r>
      <w:r w:rsidR="00083EDC" w:rsidRPr="004940E3">
        <w:rPr>
          <w:rFonts w:ascii="Arial" w:hAnsi="Arial" w:cs="Arial"/>
          <w:color w:val="000000" w:themeColor="text1"/>
          <w:sz w:val="21"/>
          <w:szCs w:val="21"/>
          <w:lang w:val="es-ES_tradnl"/>
        </w:rPr>
        <w:t xml:space="preserve"> del artículo 5 de la Ley 1150 de 2007</w:t>
      </w:r>
      <w:r w:rsidR="00735DA7">
        <w:rPr>
          <w:rFonts w:ascii="Arial" w:hAnsi="Arial" w:cs="Arial"/>
          <w:color w:val="000000" w:themeColor="text1"/>
          <w:sz w:val="21"/>
          <w:szCs w:val="21"/>
          <w:lang w:val="es-ES_tradnl"/>
        </w:rPr>
        <w:t>?</w:t>
      </w:r>
    </w:p>
    <w:p w14:paraId="3453C1F6" w14:textId="0C44D63C" w:rsidR="00083EDC" w:rsidRPr="004940E3" w:rsidRDefault="00083EDC" w:rsidP="00F624A7">
      <w:pPr>
        <w:ind w:left="709" w:right="709"/>
        <w:jc w:val="both"/>
        <w:rPr>
          <w:rFonts w:ascii="Arial" w:hAnsi="Arial" w:cs="Arial"/>
          <w:color w:val="000000" w:themeColor="text1"/>
          <w:sz w:val="21"/>
          <w:szCs w:val="21"/>
          <w:lang w:val="es-ES_tradnl"/>
        </w:rPr>
      </w:pPr>
    </w:p>
    <w:p w14:paraId="47DB636F" w14:textId="5F893C70" w:rsidR="00083EDC" w:rsidRPr="004940E3" w:rsidRDefault="00083EDC" w:rsidP="00F624A7">
      <w:pPr>
        <w:ind w:left="709" w:right="709"/>
        <w:jc w:val="both"/>
        <w:rPr>
          <w:rFonts w:ascii="Arial" w:hAnsi="Arial" w:cs="Arial"/>
          <w:color w:val="000000" w:themeColor="text1"/>
          <w:sz w:val="21"/>
          <w:szCs w:val="21"/>
          <w:lang w:val="es-ES_tradnl"/>
        </w:rPr>
      </w:pPr>
      <w:r w:rsidRPr="004940E3">
        <w:rPr>
          <w:rFonts w:ascii="Arial" w:hAnsi="Arial" w:cs="Arial"/>
          <w:color w:val="000000" w:themeColor="text1"/>
          <w:sz w:val="21"/>
          <w:szCs w:val="21"/>
          <w:lang w:val="es-ES_tradnl"/>
        </w:rPr>
        <w:t xml:space="preserve">2. </w:t>
      </w:r>
      <w:r w:rsidR="0008510E" w:rsidRPr="004940E3">
        <w:rPr>
          <w:rFonts w:ascii="Arial" w:hAnsi="Arial" w:cs="Arial"/>
          <w:color w:val="000000" w:themeColor="text1"/>
          <w:sz w:val="21"/>
          <w:szCs w:val="21"/>
          <w:lang w:val="es-ES_tradnl"/>
        </w:rPr>
        <w:t>¿</w:t>
      </w:r>
      <w:r w:rsidRPr="004940E3">
        <w:rPr>
          <w:rFonts w:ascii="Arial" w:hAnsi="Arial" w:cs="Arial"/>
          <w:color w:val="000000" w:themeColor="text1"/>
          <w:sz w:val="21"/>
          <w:szCs w:val="21"/>
          <w:lang w:val="es-ES_tradnl"/>
        </w:rPr>
        <w:t>Puede una entidad</w:t>
      </w:r>
      <w:r w:rsidR="00E5733B" w:rsidRPr="004940E3">
        <w:rPr>
          <w:rFonts w:ascii="Arial" w:hAnsi="Arial" w:cs="Arial"/>
          <w:color w:val="000000" w:themeColor="text1"/>
          <w:sz w:val="21"/>
          <w:szCs w:val="21"/>
          <w:lang w:val="es-ES_tradnl"/>
        </w:rPr>
        <w:t xml:space="preserve"> estatal, en el desarrollo de un proceso de contratación establecer requisitos diferentes a los establecidos en la Ley</w:t>
      </w:r>
      <w:r w:rsidR="0008510E" w:rsidRPr="004940E3">
        <w:rPr>
          <w:rFonts w:ascii="Arial" w:hAnsi="Arial" w:cs="Arial"/>
          <w:color w:val="000000" w:themeColor="text1"/>
          <w:sz w:val="21"/>
          <w:szCs w:val="21"/>
          <w:lang w:val="es-ES_tradnl"/>
        </w:rPr>
        <w:t>?</w:t>
      </w:r>
    </w:p>
    <w:p w14:paraId="766DB657" w14:textId="69F93046" w:rsidR="00727DDC" w:rsidRPr="004940E3" w:rsidRDefault="00727DDC" w:rsidP="00F624A7">
      <w:pPr>
        <w:ind w:left="709" w:right="709"/>
        <w:jc w:val="both"/>
        <w:rPr>
          <w:rFonts w:ascii="Arial" w:hAnsi="Arial" w:cs="Arial"/>
          <w:color w:val="000000" w:themeColor="text1"/>
          <w:sz w:val="21"/>
          <w:szCs w:val="21"/>
          <w:lang w:val="es-ES_tradnl"/>
        </w:rPr>
      </w:pPr>
    </w:p>
    <w:p w14:paraId="17BDD343" w14:textId="0D62DE3F" w:rsidR="00727DDC" w:rsidRPr="004940E3" w:rsidRDefault="00727DDC" w:rsidP="00F624A7">
      <w:pPr>
        <w:ind w:left="709" w:right="709"/>
        <w:jc w:val="both"/>
        <w:rPr>
          <w:rFonts w:ascii="Arial" w:hAnsi="Arial" w:cs="Arial"/>
          <w:color w:val="000000" w:themeColor="text1"/>
          <w:sz w:val="21"/>
          <w:szCs w:val="21"/>
          <w:lang w:val="es-ES_tradnl"/>
        </w:rPr>
      </w:pPr>
      <w:r w:rsidRPr="004940E3">
        <w:rPr>
          <w:rFonts w:ascii="Arial" w:hAnsi="Arial" w:cs="Arial"/>
          <w:color w:val="000000" w:themeColor="text1"/>
          <w:sz w:val="21"/>
          <w:szCs w:val="21"/>
          <w:lang w:val="es-ES_tradnl"/>
        </w:rPr>
        <w:t>3. ¿Pueden los requisitos habilitantes ser otros y/o diferentes</w:t>
      </w:r>
      <w:r w:rsidR="00131B5A" w:rsidRPr="004940E3">
        <w:rPr>
          <w:rFonts w:ascii="Arial" w:hAnsi="Arial" w:cs="Arial"/>
          <w:color w:val="000000" w:themeColor="text1"/>
          <w:sz w:val="21"/>
          <w:szCs w:val="21"/>
          <w:lang w:val="es-ES_tradnl"/>
        </w:rPr>
        <w:t xml:space="preserve"> a los establecidos en 1 del artículo 5 de la Ley 1150 de 2007? (sic).</w:t>
      </w:r>
    </w:p>
    <w:p w14:paraId="24F4C86B" w14:textId="5DB966D1" w:rsidR="00131B5A" w:rsidRPr="004940E3" w:rsidRDefault="00131B5A" w:rsidP="00F624A7">
      <w:pPr>
        <w:ind w:left="709" w:right="709"/>
        <w:jc w:val="both"/>
        <w:rPr>
          <w:rFonts w:ascii="Arial" w:hAnsi="Arial" w:cs="Arial"/>
          <w:color w:val="000000" w:themeColor="text1"/>
          <w:sz w:val="21"/>
          <w:szCs w:val="21"/>
          <w:lang w:val="es-ES_tradnl"/>
        </w:rPr>
      </w:pPr>
    </w:p>
    <w:p w14:paraId="2CAA57BD" w14:textId="07695900" w:rsidR="00131B5A" w:rsidRPr="004940E3" w:rsidRDefault="00131B5A" w:rsidP="00F624A7">
      <w:pPr>
        <w:ind w:left="709" w:right="709"/>
        <w:jc w:val="both"/>
        <w:rPr>
          <w:rFonts w:ascii="Arial" w:hAnsi="Arial" w:cs="Arial"/>
          <w:color w:val="000000" w:themeColor="text1"/>
          <w:sz w:val="21"/>
          <w:szCs w:val="21"/>
          <w:lang w:val="es-ES_tradnl"/>
        </w:rPr>
      </w:pPr>
      <w:r w:rsidRPr="004940E3">
        <w:rPr>
          <w:rFonts w:ascii="Arial" w:hAnsi="Arial" w:cs="Arial"/>
          <w:color w:val="000000" w:themeColor="text1"/>
          <w:sz w:val="21"/>
          <w:szCs w:val="21"/>
          <w:lang w:val="es-ES_tradnl"/>
        </w:rPr>
        <w:t>4. ¿</w:t>
      </w:r>
      <w:r w:rsidR="00CE65A7" w:rsidRPr="004940E3">
        <w:rPr>
          <w:rFonts w:ascii="Arial" w:hAnsi="Arial" w:cs="Arial"/>
          <w:color w:val="000000" w:themeColor="text1"/>
          <w:sz w:val="21"/>
          <w:szCs w:val="21"/>
          <w:lang w:val="es-ES_tradnl"/>
        </w:rPr>
        <w:t>De ser afirmativa su respuesta</w:t>
      </w:r>
      <w:r w:rsidR="009410E0" w:rsidRPr="004940E3">
        <w:rPr>
          <w:rFonts w:ascii="Arial" w:hAnsi="Arial" w:cs="Arial"/>
          <w:color w:val="000000" w:themeColor="text1"/>
          <w:sz w:val="21"/>
          <w:szCs w:val="21"/>
          <w:lang w:val="es-ES_tradnl"/>
        </w:rPr>
        <w:t>, ¿De qué manera</w:t>
      </w:r>
      <w:r w:rsidR="00974B58" w:rsidRPr="004940E3">
        <w:rPr>
          <w:rFonts w:ascii="Arial" w:hAnsi="Arial" w:cs="Arial"/>
          <w:color w:val="000000" w:themeColor="text1"/>
          <w:sz w:val="21"/>
          <w:szCs w:val="21"/>
          <w:lang w:val="es-ES_tradnl"/>
        </w:rPr>
        <w:t xml:space="preserve"> y cuando pueden las entidades establecer requisitos habilitantes distintos a los establecidos en la norma?</w:t>
      </w:r>
    </w:p>
    <w:p w14:paraId="099E2063" w14:textId="77777777" w:rsidR="00DD5B04" w:rsidRPr="004940E3" w:rsidRDefault="00DD5B04" w:rsidP="00DD5B04">
      <w:pPr>
        <w:tabs>
          <w:tab w:val="left" w:pos="426"/>
        </w:tabs>
        <w:spacing w:line="276" w:lineRule="auto"/>
        <w:jc w:val="both"/>
        <w:rPr>
          <w:rFonts w:ascii="Arial" w:eastAsia="Calibri" w:hAnsi="Arial" w:cs="Arial"/>
          <w:color w:val="000000" w:themeColor="text1"/>
          <w:sz w:val="22"/>
          <w:lang w:val="es-ES_tradnl"/>
        </w:rPr>
      </w:pPr>
    </w:p>
    <w:p w14:paraId="124D2DCA" w14:textId="77777777" w:rsidR="00DD5B04" w:rsidRPr="004940E3" w:rsidRDefault="00DD5B04" w:rsidP="00DD5B04">
      <w:pPr>
        <w:pStyle w:val="Prrafodelista"/>
        <w:numPr>
          <w:ilvl w:val="0"/>
          <w:numId w:val="8"/>
        </w:numPr>
        <w:tabs>
          <w:tab w:val="left" w:pos="0"/>
          <w:tab w:val="left" w:pos="284"/>
        </w:tabs>
        <w:ind w:left="0" w:firstLine="0"/>
        <w:rPr>
          <w:rFonts w:ascii="Arial" w:eastAsia="Calibri" w:hAnsi="Arial" w:cs="Arial"/>
          <w:b/>
          <w:color w:val="000000" w:themeColor="text1"/>
          <w:sz w:val="22"/>
          <w:lang w:val="es-ES_tradnl"/>
        </w:rPr>
      </w:pPr>
      <w:r w:rsidRPr="004940E3">
        <w:rPr>
          <w:rFonts w:ascii="Arial" w:eastAsia="Calibri" w:hAnsi="Arial" w:cs="Arial"/>
          <w:b/>
          <w:color w:val="000000" w:themeColor="text1"/>
          <w:sz w:val="22"/>
          <w:lang w:val="es-ES_tradnl"/>
        </w:rPr>
        <w:t>Consideraciones</w:t>
      </w:r>
    </w:p>
    <w:p w14:paraId="35E25E39" w14:textId="77777777" w:rsidR="00DD5B04" w:rsidRPr="004940E3" w:rsidRDefault="00DD5B04" w:rsidP="00DD5B04">
      <w:pPr>
        <w:spacing w:line="276" w:lineRule="auto"/>
        <w:jc w:val="both"/>
        <w:rPr>
          <w:rFonts w:ascii="Arial" w:eastAsia="Calibri" w:hAnsi="Arial" w:cs="Arial"/>
          <w:color w:val="000000" w:themeColor="text1"/>
          <w:sz w:val="20"/>
          <w:szCs w:val="20"/>
          <w:lang w:val="es-ES_tradnl"/>
        </w:rPr>
      </w:pPr>
    </w:p>
    <w:p w14:paraId="1E8326F9" w14:textId="2499D05B" w:rsidR="00C833B4" w:rsidRPr="004940E3" w:rsidRDefault="00DD5B04" w:rsidP="00A53037">
      <w:pPr>
        <w:spacing w:line="276" w:lineRule="auto"/>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 xml:space="preserve">Para resolver </w:t>
      </w:r>
      <w:r w:rsidR="00E97A3F" w:rsidRPr="004940E3">
        <w:rPr>
          <w:rFonts w:ascii="Arial" w:eastAsia="Calibri" w:hAnsi="Arial" w:cs="Arial"/>
          <w:color w:val="000000" w:themeColor="text1"/>
          <w:sz w:val="22"/>
          <w:lang w:val="es-ES_tradnl"/>
        </w:rPr>
        <w:t>su</w:t>
      </w:r>
      <w:r w:rsidR="004E2A35">
        <w:rPr>
          <w:rFonts w:ascii="Arial" w:eastAsia="Calibri" w:hAnsi="Arial" w:cs="Arial"/>
          <w:color w:val="000000" w:themeColor="text1"/>
          <w:sz w:val="22"/>
          <w:lang w:val="es-ES_tradnl"/>
        </w:rPr>
        <w:t>s</w:t>
      </w:r>
      <w:r w:rsidR="00E97A3F" w:rsidRPr="004940E3">
        <w:rPr>
          <w:rFonts w:ascii="Arial" w:eastAsia="Calibri" w:hAnsi="Arial" w:cs="Arial"/>
          <w:color w:val="000000" w:themeColor="text1"/>
          <w:sz w:val="22"/>
          <w:lang w:val="es-ES_tradnl"/>
        </w:rPr>
        <w:t xml:space="preserve"> consulta</w:t>
      </w:r>
      <w:r w:rsidR="004E2A35">
        <w:rPr>
          <w:rFonts w:ascii="Arial" w:eastAsia="Calibri" w:hAnsi="Arial" w:cs="Arial"/>
          <w:color w:val="000000" w:themeColor="text1"/>
          <w:sz w:val="22"/>
          <w:lang w:val="es-ES_tradnl"/>
        </w:rPr>
        <w:t>s</w:t>
      </w:r>
      <w:r w:rsidR="00E97A3F" w:rsidRPr="004940E3">
        <w:rPr>
          <w:rFonts w:ascii="Arial" w:eastAsia="Calibri" w:hAnsi="Arial" w:cs="Arial"/>
          <w:color w:val="000000" w:themeColor="text1"/>
          <w:sz w:val="22"/>
          <w:lang w:val="es-ES_tradnl"/>
        </w:rPr>
        <w:t>, se analizarán los siguientes temas:</w:t>
      </w:r>
      <w:r w:rsidR="004E2A35">
        <w:rPr>
          <w:rFonts w:ascii="Arial" w:eastAsia="Calibri" w:hAnsi="Arial" w:cs="Arial"/>
          <w:color w:val="000000" w:themeColor="text1"/>
          <w:sz w:val="22"/>
          <w:lang w:val="es-ES_tradnl"/>
        </w:rPr>
        <w:t xml:space="preserve"> </w:t>
      </w:r>
      <w:r w:rsidR="00803D9D" w:rsidRPr="004940E3">
        <w:rPr>
          <w:rFonts w:ascii="Arial" w:eastAsia="Calibri" w:hAnsi="Arial" w:cs="Arial"/>
          <w:color w:val="000000" w:themeColor="text1"/>
          <w:sz w:val="22"/>
          <w:lang w:val="es-ES_tradnl"/>
        </w:rPr>
        <w:t xml:space="preserve">i) </w:t>
      </w:r>
      <w:r w:rsidR="00724635" w:rsidRPr="004940E3">
        <w:rPr>
          <w:rFonts w:ascii="Arial" w:eastAsia="Calibri" w:hAnsi="Arial" w:cs="Arial"/>
          <w:color w:val="000000" w:themeColor="text1"/>
          <w:sz w:val="22"/>
          <w:lang w:val="es-ES_tradnl"/>
        </w:rPr>
        <w:t>definición</w:t>
      </w:r>
      <w:r w:rsidR="00803D9D" w:rsidRPr="004940E3">
        <w:rPr>
          <w:rFonts w:ascii="Arial" w:eastAsia="Calibri" w:hAnsi="Arial" w:cs="Arial"/>
          <w:color w:val="000000" w:themeColor="text1"/>
          <w:sz w:val="22"/>
          <w:lang w:val="es-ES_tradnl"/>
        </w:rPr>
        <w:t xml:space="preserve"> de</w:t>
      </w:r>
      <w:r w:rsidR="00724635" w:rsidRPr="004940E3">
        <w:rPr>
          <w:rFonts w:ascii="Arial" w:eastAsia="Calibri" w:hAnsi="Arial" w:cs="Arial"/>
          <w:color w:val="000000" w:themeColor="text1"/>
          <w:sz w:val="22"/>
          <w:lang w:val="es-ES_tradnl"/>
        </w:rPr>
        <w:t xml:space="preserve"> los</w:t>
      </w:r>
      <w:r w:rsidR="00803D9D" w:rsidRPr="004940E3">
        <w:rPr>
          <w:rFonts w:ascii="Arial" w:eastAsia="Calibri" w:hAnsi="Arial" w:cs="Arial"/>
          <w:color w:val="000000" w:themeColor="text1"/>
          <w:sz w:val="22"/>
          <w:lang w:val="es-ES_tradnl"/>
        </w:rPr>
        <w:t xml:space="preserve"> </w:t>
      </w:r>
      <w:r w:rsidR="00D8044C" w:rsidRPr="004940E3">
        <w:rPr>
          <w:rFonts w:ascii="Arial" w:eastAsia="Calibri" w:hAnsi="Arial" w:cs="Arial"/>
          <w:color w:val="000000" w:themeColor="text1"/>
          <w:sz w:val="22"/>
          <w:lang w:val="es-ES_tradnl"/>
        </w:rPr>
        <w:t>«</w:t>
      </w:r>
      <w:r w:rsidR="00803D9D" w:rsidRPr="004940E3">
        <w:rPr>
          <w:rFonts w:ascii="Arial" w:eastAsia="Calibri" w:hAnsi="Arial" w:cs="Arial"/>
          <w:color w:val="000000" w:themeColor="text1"/>
          <w:sz w:val="22"/>
          <w:lang w:val="es-ES_tradnl"/>
        </w:rPr>
        <w:t>requisito</w:t>
      </w:r>
      <w:r w:rsidR="00D8044C" w:rsidRPr="004940E3">
        <w:rPr>
          <w:rFonts w:ascii="Arial" w:eastAsia="Calibri" w:hAnsi="Arial" w:cs="Arial"/>
          <w:color w:val="000000" w:themeColor="text1"/>
          <w:sz w:val="22"/>
          <w:lang w:val="es-ES_tradnl"/>
        </w:rPr>
        <w:t>s</w:t>
      </w:r>
      <w:r w:rsidR="00803D9D" w:rsidRPr="004940E3">
        <w:rPr>
          <w:rFonts w:ascii="Arial" w:eastAsia="Calibri" w:hAnsi="Arial" w:cs="Arial"/>
          <w:color w:val="000000" w:themeColor="text1"/>
          <w:sz w:val="22"/>
          <w:lang w:val="es-ES_tradnl"/>
        </w:rPr>
        <w:t xml:space="preserve"> habilitante</w:t>
      </w:r>
      <w:r w:rsidR="00724635" w:rsidRPr="004940E3">
        <w:rPr>
          <w:rFonts w:ascii="Arial" w:eastAsia="Calibri" w:hAnsi="Arial" w:cs="Arial"/>
          <w:color w:val="000000" w:themeColor="text1"/>
          <w:sz w:val="22"/>
          <w:lang w:val="es-ES_tradnl"/>
        </w:rPr>
        <w:t>s</w:t>
      </w:r>
      <w:r w:rsidR="00D8044C" w:rsidRPr="004940E3">
        <w:rPr>
          <w:rFonts w:ascii="Arial" w:eastAsia="Calibri" w:hAnsi="Arial" w:cs="Arial"/>
          <w:color w:val="000000" w:themeColor="text1"/>
          <w:sz w:val="22"/>
          <w:lang w:val="es-ES_tradnl"/>
        </w:rPr>
        <w:t>»</w:t>
      </w:r>
      <w:r w:rsidR="00803D9D" w:rsidRPr="004940E3">
        <w:rPr>
          <w:rFonts w:ascii="Arial" w:eastAsia="Calibri" w:hAnsi="Arial" w:cs="Arial"/>
          <w:color w:val="000000" w:themeColor="text1"/>
          <w:sz w:val="22"/>
          <w:lang w:val="es-ES_tradnl"/>
        </w:rPr>
        <w:t xml:space="preserve"> y su diferencia con </w:t>
      </w:r>
      <w:r w:rsidR="00D8044C" w:rsidRPr="004940E3">
        <w:rPr>
          <w:rFonts w:ascii="Arial" w:eastAsia="Calibri" w:hAnsi="Arial" w:cs="Arial"/>
          <w:color w:val="000000" w:themeColor="text1"/>
          <w:sz w:val="22"/>
          <w:lang w:val="es-ES_tradnl"/>
        </w:rPr>
        <w:t>los criterios de calificación</w:t>
      </w:r>
      <w:r w:rsidR="00710668">
        <w:rPr>
          <w:rFonts w:ascii="Arial" w:eastAsia="Calibri" w:hAnsi="Arial" w:cs="Arial"/>
          <w:color w:val="000000" w:themeColor="text1"/>
          <w:sz w:val="22"/>
          <w:lang w:val="es-ES_tradnl"/>
        </w:rPr>
        <w:t xml:space="preserve"> y </w:t>
      </w:r>
      <w:proofErr w:type="spellStart"/>
      <w:r w:rsidR="00D8044C" w:rsidRPr="004940E3">
        <w:rPr>
          <w:rFonts w:ascii="Arial" w:eastAsia="Calibri" w:hAnsi="Arial" w:cs="Arial"/>
          <w:color w:val="000000" w:themeColor="text1"/>
          <w:sz w:val="22"/>
          <w:lang w:val="es-ES_tradnl"/>
        </w:rPr>
        <w:t>ii</w:t>
      </w:r>
      <w:proofErr w:type="spellEnd"/>
      <w:r w:rsidR="00D8044C" w:rsidRPr="004940E3">
        <w:rPr>
          <w:rFonts w:ascii="Arial" w:eastAsia="Calibri" w:hAnsi="Arial" w:cs="Arial"/>
          <w:color w:val="000000" w:themeColor="text1"/>
          <w:sz w:val="22"/>
          <w:lang w:val="es-ES_tradnl"/>
        </w:rPr>
        <w:t xml:space="preserve">) carácter enunciativo de los requisitos habilitantes mencionados en el artículo 5, </w:t>
      </w:r>
      <w:r w:rsidR="00C833B4" w:rsidRPr="004940E3">
        <w:rPr>
          <w:rFonts w:ascii="Arial" w:eastAsia="Calibri" w:hAnsi="Arial" w:cs="Arial"/>
          <w:color w:val="000000" w:themeColor="text1"/>
          <w:sz w:val="22"/>
          <w:lang w:val="es-ES_tradnl"/>
        </w:rPr>
        <w:t>numeral 1, de la Ley 1150 de 2007 y autonomía de la voluntad de las entidades estatales para establecer</w:t>
      </w:r>
      <w:r w:rsidR="00B24F94">
        <w:rPr>
          <w:rFonts w:ascii="Arial" w:eastAsia="Calibri" w:hAnsi="Arial" w:cs="Arial"/>
          <w:color w:val="000000" w:themeColor="text1"/>
          <w:sz w:val="22"/>
          <w:lang w:val="es-ES_tradnl"/>
        </w:rPr>
        <w:t>los</w:t>
      </w:r>
      <w:r w:rsidR="00C833B4" w:rsidRPr="004940E3">
        <w:rPr>
          <w:rFonts w:ascii="Arial" w:eastAsia="Calibri" w:hAnsi="Arial" w:cs="Arial"/>
          <w:color w:val="000000" w:themeColor="text1"/>
          <w:sz w:val="22"/>
          <w:lang w:val="es-ES_tradnl"/>
        </w:rPr>
        <w:t>.</w:t>
      </w:r>
    </w:p>
    <w:p w14:paraId="2D7C7E92" w14:textId="146A68B0" w:rsidR="00DD5B04" w:rsidRPr="004E2A35" w:rsidRDefault="00C833B4" w:rsidP="004E2A35">
      <w:pPr>
        <w:spacing w:before="120" w:line="276" w:lineRule="auto"/>
        <w:ind w:firstLine="709"/>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Al respecto, conviene indicar que l</w:t>
      </w:r>
      <w:r w:rsidR="00DD5B04" w:rsidRPr="004940E3">
        <w:rPr>
          <w:rFonts w:ascii="Arial" w:eastAsia="Calibri" w:hAnsi="Arial" w:cs="Arial"/>
          <w:color w:val="000000" w:themeColor="text1"/>
          <w:sz w:val="22"/>
          <w:lang w:val="es-ES_tradnl"/>
        </w:rPr>
        <w:t>a Agencia Nacional de Contratación Pública ― Colombia Compra Eficiente, en los conceptos del 15 de noviembre</w:t>
      </w:r>
      <w:r w:rsidR="005D5A9D" w:rsidRPr="004940E3">
        <w:rPr>
          <w:rFonts w:ascii="Arial" w:eastAsia="Calibri" w:hAnsi="Arial" w:cs="Arial"/>
          <w:color w:val="000000" w:themeColor="text1"/>
          <w:sz w:val="22"/>
          <w:lang w:val="es-ES_tradnl"/>
        </w:rPr>
        <w:t xml:space="preserve">, </w:t>
      </w:r>
      <w:r w:rsidR="0086633B" w:rsidRPr="004940E3">
        <w:rPr>
          <w:rFonts w:ascii="Arial" w:eastAsia="Calibri" w:hAnsi="Arial" w:cs="Arial"/>
          <w:color w:val="000000" w:themeColor="text1"/>
          <w:sz w:val="22"/>
          <w:lang w:val="es-ES_tradnl"/>
        </w:rPr>
        <w:t xml:space="preserve">del 28 de noviembre, </w:t>
      </w:r>
      <w:r w:rsidR="00DD5B04" w:rsidRPr="004940E3">
        <w:rPr>
          <w:rFonts w:ascii="Arial" w:eastAsia="Calibri" w:hAnsi="Arial" w:cs="Arial"/>
          <w:color w:val="000000" w:themeColor="text1"/>
          <w:sz w:val="22"/>
          <w:lang w:val="es-ES_tradnl"/>
        </w:rPr>
        <w:t>16 de diciembre de 2019 –radicados No. 2201913000008520</w:t>
      </w:r>
      <w:r w:rsidR="0086633B" w:rsidRPr="004940E3">
        <w:rPr>
          <w:rFonts w:ascii="Arial" w:eastAsia="Calibri" w:hAnsi="Arial" w:cs="Arial"/>
          <w:color w:val="000000" w:themeColor="text1"/>
          <w:sz w:val="22"/>
          <w:lang w:val="es-ES_tradnl"/>
        </w:rPr>
        <w:t xml:space="preserve">, 4201912000007329 </w:t>
      </w:r>
      <w:r w:rsidR="00DD5B04" w:rsidRPr="004940E3">
        <w:rPr>
          <w:rFonts w:ascii="Arial" w:eastAsia="Calibri" w:hAnsi="Arial" w:cs="Arial"/>
          <w:color w:val="000000" w:themeColor="text1"/>
          <w:sz w:val="22"/>
          <w:lang w:val="es-ES_tradnl"/>
        </w:rPr>
        <w:t>y 2201913000009295–,</w:t>
      </w:r>
      <w:r w:rsidR="007F7E36" w:rsidRPr="004940E3">
        <w:rPr>
          <w:rFonts w:ascii="Arial" w:eastAsia="Calibri" w:hAnsi="Arial" w:cs="Arial"/>
          <w:color w:val="000000" w:themeColor="text1"/>
          <w:sz w:val="22"/>
          <w:lang w:val="es-ES_tradnl"/>
        </w:rPr>
        <w:t xml:space="preserve"> así como en </w:t>
      </w:r>
      <w:r w:rsidR="00666C72" w:rsidRPr="004940E3">
        <w:rPr>
          <w:rFonts w:ascii="Arial" w:eastAsia="Calibri" w:hAnsi="Arial" w:cs="Arial"/>
          <w:color w:val="000000" w:themeColor="text1"/>
          <w:sz w:val="22"/>
          <w:lang w:val="es-ES_tradnl"/>
        </w:rPr>
        <w:t>los</w:t>
      </w:r>
      <w:r w:rsidR="007F7E36" w:rsidRPr="004940E3">
        <w:rPr>
          <w:rFonts w:ascii="Arial" w:eastAsia="Calibri" w:hAnsi="Arial" w:cs="Arial"/>
          <w:color w:val="000000" w:themeColor="text1"/>
          <w:sz w:val="22"/>
          <w:lang w:val="es-ES_tradnl"/>
        </w:rPr>
        <w:t xml:space="preserve"> concepto</w:t>
      </w:r>
      <w:r w:rsidR="00666C72" w:rsidRPr="004940E3">
        <w:rPr>
          <w:rFonts w:ascii="Arial" w:eastAsia="Calibri" w:hAnsi="Arial" w:cs="Arial"/>
          <w:color w:val="000000" w:themeColor="text1"/>
          <w:sz w:val="22"/>
          <w:lang w:val="es-ES_tradnl"/>
        </w:rPr>
        <w:t>s</w:t>
      </w:r>
      <w:r w:rsidR="00530522" w:rsidRPr="004940E3">
        <w:rPr>
          <w:rFonts w:ascii="Arial" w:eastAsia="Calibri" w:hAnsi="Arial" w:cs="Arial"/>
          <w:color w:val="000000" w:themeColor="text1"/>
          <w:sz w:val="22"/>
          <w:lang w:val="es-ES_tradnl"/>
        </w:rPr>
        <w:t xml:space="preserve"> </w:t>
      </w:r>
      <w:r w:rsidR="00285832" w:rsidRPr="004940E3">
        <w:rPr>
          <w:rFonts w:ascii="Arial" w:eastAsia="Calibri" w:hAnsi="Arial" w:cs="Arial"/>
          <w:color w:val="000000" w:themeColor="text1"/>
          <w:sz w:val="22"/>
          <w:lang w:val="es-ES_tradnl"/>
        </w:rPr>
        <w:t xml:space="preserve">C-120 del 3 de marzo de 2020, </w:t>
      </w:r>
      <w:r w:rsidR="00FF5214" w:rsidRPr="004940E3">
        <w:rPr>
          <w:rFonts w:ascii="Arial" w:eastAsia="Calibri" w:hAnsi="Arial" w:cs="Arial"/>
          <w:color w:val="000000" w:themeColor="text1"/>
          <w:sz w:val="22"/>
          <w:lang w:val="es-ES_tradnl"/>
        </w:rPr>
        <w:t>C-204 del 31 de marzo de 2020</w:t>
      </w:r>
      <w:r w:rsidR="00AA5779" w:rsidRPr="004940E3">
        <w:rPr>
          <w:rFonts w:ascii="Arial" w:eastAsia="Calibri" w:hAnsi="Arial" w:cs="Arial"/>
          <w:color w:val="000000" w:themeColor="text1"/>
          <w:sz w:val="22"/>
          <w:lang w:val="es-ES_tradnl"/>
        </w:rPr>
        <w:t>, C-</w:t>
      </w:r>
      <w:r w:rsidR="00530522" w:rsidRPr="004940E3">
        <w:rPr>
          <w:rFonts w:ascii="Arial" w:eastAsia="Calibri" w:hAnsi="Arial" w:cs="Arial"/>
          <w:color w:val="000000" w:themeColor="text1"/>
          <w:sz w:val="22"/>
          <w:lang w:val="es-ES_tradnl"/>
        </w:rPr>
        <w:t xml:space="preserve">099 del 6 de abril  de 2020, </w:t>
      </w:r>
      <w:r w:rsidR="00AA5779" w:rsidRPr="004940E3">
        <w:rPr>
          <w:rFonts w:ascii="Arial" w:eastAsia="Calibri" w:hAnsi="Arial" w:cs="Arial"/>
          <w:color w:val="000000" w:themeColor="text1"/>
          <w:sz w:val="22"/>
          <w:lang w:val="es-ES_tradnl"/>
        </w:rPr>
        <w:t>C</w:t>
      </w:r>
      <w:r w:rsidR="00285832" w:rsidRPr="004940E3">
        <w:rPr>
          <w:rFonts w:ascii="Arial" w:eastAsia="Calibri" w:hAnsi="Arial" w:cs="Arial"/>
          <w:color w:val="000000" w:themeColor="text1"/>
          <w:sz w:val="22"/>
          <w:lang w:val="es-ES_tradnl"/>
        </w:rPr>
        <w:t>-</w:t>
      </w:r>
      <w:r w:rsidR="00AA5779" w:rsidRPr="004940E3">
        <w:rPr>
          <w:rFonts w:ascii="Arial" w:eastAsia="Calibri" w:hAnsi="Arial" w:cs="Arial"/>
          <w:color w:val="000000" w:themeColor="text1"/>
          <w:sz w:val="22"/>
          <w:lang w:val="es-ES_tradnl"/>
        </w:rPr>
        <w:t>195 del 13</w:t>
      </w:r>
      <w:r w:rsidR="00285832" w:rsidRPr="004940E3">
        <w:rPr>
          <w:rFonts w:ascii="Arial" w:eastAsia="Calibri" w:hAnsi="Arial" w:cs="Arial"/>
          <w:color w:val="000000" w:themeColor="text1"/>
          <w:sz w:val="22"/>
          <w:lang w:val="es-ES_tradnl"/>
        </w:rPr>
        <w:t xml:space="preserve"> de abril de </w:t>
      </w:r>
      <w:r w:rsidR="00AA5779" w:rsidRPr="004940E3">
        <w:rPr>
          <w:rFonts w:ascii="Arial" w:eastAsia="Calibri" w:hAnsi="Arial" w:cs="Arial"/>
          <w:color w:val="000000" w:themeColor="text1"/>
          <w:sz w:val="22"/>
          <w:lang w:val="es-ES_tradnl"/>
        </w:rPr>
        <w:t>2020</w:t>
      </w:r>
      <w:r w:rsidR="00285832" w:rsidRPr="004940E3">
        <w:rPr>
          <w:rFonts w:ascii="Arial" w:eastAsia="Calibri" w:hAnsi="Arial" w:cs="Arial"/>
          <w:color w:val="000000" w:themeColor="text1"/>
          <w:sz w:val="22"/>
          <w:lang w:val="es-ES_tradnl"/>
        </w:rPr>
        <w:t xml:space="preserve">, </w:t>
      </w:r>
      <w:r w:rsidR="007F7E36" w:rsidRPr="004940E3">
        <w:rPr>
          <w:rFonts w:ascii="Arial" w:eastAsia="Calibri" w:hAnsi="Arial" w:cs="Arial"/>
          <w:color w:val="000000" w:themeColor="text1"/>
          <w:sz w:val="22"/>
          <w:lang w:val="es-ES_tradnl"/>
        </w:rPr>
        <w:t>C-013 del 17 de abril de 2020</w:t>
      </w:r>
      <w:r w:rsidR="001E1D38" w:rsidRPr="004940E3">
        <w:rPr>
          <w:rFonts w:ascii="Arial" w:eastAsia="Calibri" w:hAnsi="Arial" w:cs="Arial"/>
          <w:color w:val="000000" w:themeColor="text1"/>
          <w:sz w:val="22"/>
          <w:lang w:val="es-ES_tradnl"/>
        </w:rPr>
        <w:t xml:space="preserve"> y C-330 del 27 de mayo de 2020</w:t>
      </w:r>
      <w:r w:rsidR="007F7E36" w:rsidRPr="004940E3">
        <w:rPr>
          <w:rFonts w:ascii="Arial" w:eastAsia="Calibri" w:hAnsi="Arial" w:cs="Arial"/>
          <w:color w:val="000000" w:themeColor="text1"/>
          <w:sz w:val="22"/>
          <w:lang w:val="es-ES_tradnl"/>
        </w:rPr>
        <w:t xml:space="preserve">, </w:t>
      </w:r>
      <w:r w:rsidR="00DD5B04" w:rsidRPr="004940E3">
        <w:rPr>
          <w:rFonts w:ascii="Arial" w:eastAsia="Calibri" w:hAnsi="Arial" w:cs="Arial"/>
          <w:color w:val="000000" w:themeColor="text1"/>
          <w:sz w:val="22"/>
          <w:lang w:val="es-ES_tradnl"/>
        </w:rPr>
        <w:t>analizó la naturaleza de los requisitos habilitantes</w:t>
      </w:r>
      <w:r w:rsidR="00BE48C7" w:rsidRPr="004940E3">
        <w:rPr>
          <w:rFonts w:ascii="Arial" w:eastAsia="Calibri" w:hAnsi="Arial" w:cs="Arial"/>
          <w:color w:val="000000" w:themeColor="text1"/>
          <w:sz w:val="22"/>
          <w:lang w:val="es-ES_tradnl"/>
        </w:rPr>
        <w:t xml:space="preserve"> y su carácter </w:t>
      </w:r>
      <w:r w:rsidR="00BE48C7" w:rsidRPr="00A53037">
        <w:rPr>
          <w:rFonts w:ascii="Arial" w:eastAsia="Calibri" w:hAnsi="Arial" w:cs="Arial"/>
          <w:i/>
          <w:iCs/>
          <w:color w:val="000000" w:themeColor="text1"/>
          <w:sz w:val="22"/>
          <w:lang w:val="es-ES_tradnl"/>
        </w:rPr>
        <w:t>enunciativo</w:t>
      </w:r>
      <w:r w:rsidR="006D04DA" w:rsidRPr="004940E3">
        <w:rPr>
          <w:rFonts w:ascii="Arial" w:eastAsia="Calibri" w:hAnsi="Arial" w:cs="Arial"/>
          <w:color w:val="000000" w:themeColor="text1"/>
          <w:sz w:val="22"/>
          <w:lang w:val="es-ES_tradnl"/>
        </w:rPr>
        <w:t xml:space="preserve"> en el artículo 5, numeral 1, de la Ley 1150 de 2007</w:t>
      </w:r>
      <w:r w:rsidR="00DD5B04" w:rsidRPr="004940E3">
        <w:rPr>
          <w:rFonts w:ascii="Arial" w:eastAsia="Calibri" w:hAnsi="Arial" w:cs="Arial"/>
          <w:color w:val="000000" w:themeColor="text1"/>
          <w:sz w:val="22"/>
          <w:lang w:val="es-ES_tradnl"/>
        </w:rPr>
        <w:t xml:space="preserve">. </w:t>
      </w:r>
      <w:r w:rsidR="00DD5B04" w:rsidRPr="004940E3">
        <w:rPr>
          <w:rFonts w:ascii="Arial" w:hAnsi="Arial" w:cs="Arial"/>
          <w:color w:val="000000" w:themeColor="text1"/>
          <w:sz w:val="22"/>
          <w:lang w:val="es-ES_tradnl"/>
        </w:rPr>
        <w:t>Las tesis propuestas se exponen a continuación</w:t>
      </w:r>
      <w:r w:rsidR="00D96EE0">
        <w:rPr>
          <w:rFonts w:ascii="Arial" w:hAnsi="Arial" w:cs="Arial"/>
          <w:color w:val="000000" w:themeColor="text1"/>
          <w:sz w:val="22"/>
          <w:lang w:val="es-ES_tradnl"/>
        </w:rPr>
        <w:t>:</w:t>
      </w:r>
    </w:p>
    <w:p w14:paraId="6DB0F97E" w14:textId="77777777" w:rsidR="004E2A35" w:rsidRDefault="004E2A35" w:rsidP="004E2A35">
      <w:pPr>
        <w:spacing w:line="276" w:lineRule="auto"/>
        <w:jc w:val="both"/>
        <w:rPr>
          <w:rFonts w:ascii="Arial" w:hAnsi="Arial" w:cs="Arial"/>
          <w:b/>
          <w:bCs/>
          <w:color w:val="000000" w:themeColor="text1"/>
          <w:sz w:val="22"/>
          <w:lang w:val="es-ES_tradnl"/>
        </w:rPr>
      </w:pPr>
    </w:p>
    <w:p w14:paraId="1C10665B" w14:textId="2D4360A1" w:rsidR="00DD5B04" w:rsidRPr="004940E3" w:rsidRDefault="00DD5B04" w:rsidP="004E2A35">
      <w:pPr>
        <w:spacing w:line="276" w:lineRule="auto"/>
        <w:jc w:val="both"/>
        <w:rPr>
          <w:rFonts w:ascii="Arial" w:hAnsi="Arial" w:cs="Arial"/>
          <w:b/>
          <w:bCs/>
          <w:color w:val="000000" w:themeColor="text1"/>
          <w:sz w:val="22"/>
          <w:lang w:val="es-ES_tradnl"/>
        </w:rPr>
      </w:pPr>
      <w:r w:rsidRPr="004940E3">
        <w:rPr>
          <w:rFonts w:ascii="Arial" w:hAnsi="Arial" w:cs="Arial"/>
          <w:b/>
          <w:bCs/>
          <w:color w:val="000000" w:themeColor="text1"/>
          <w:sz w:val="22"/>
          <w:lang w:val="es-ES_tradnl"/>
        </w:rPr>
        <w:t>2.1.</w:t>
      </w:r>
      <w:r w:rsidR="004E2A35">
        <w:rPr>
          <w:rFonts w:ascii="Arial" w:hAnsi="Arial" w:cs="Arial"/>
          <w:b/>
          <w:bCs/>
          <w:color w:val="000000" w:themeColor="text1"/>
          <w:sz w:val="22"/>
          <w:lang w:val="es-ES_tradnl"/>
        </w:rPr>
        <w:t xml:space="preserve"> </w:t>
      </w:r>
      <w:r w:rsidR="00724635" w:rsidRPr="004940E3">
        <w:rPr>
          <w:rFonts w:ascii="Arial" w:hAnsi="Arial" w:cs="Arial"/>
          <w:b/>
          <w:bCs/>
          <w:color w:val="000000" w:themeColor="text1"/>
          <w:sz w:val="22"/>
          <w:lang w:val="es-ES_tradnl"/>
        </w:rPr>
        <w:t>Requisitos habilitantes:</w:t>
      </w:r>
      <w:r w:rsidR="00A53037">
        <w:rPr>
          <w:rFonts w:ascii="Arial" w:hAnsi="Arial" w:cs="Arial"/>
          <w:b/>
          <w:bCs/>
          <w:color w:val="000000" w:themeColor="text1"/>
          <w:sz w:val="22"/>
          <w:lang w:val="es-ES_tradnl"/>
        </w:rPr>
        <w:t xml:space="preserve"> </w:t>
      </w:r>
      <w:r w:rsidR="00CC2514" w:rsidRPr="004940E3">
        <w:rPr>
          <w:rFonts w:ascii="Arial" w:hAnsi="Arial" w:cs="Arial"/>
          <w:b/>
          <w:bCs/>
          <w:color w:val="000000" w:themeColor="text1"/>
          <w:sz w:val="22"/>
          <w:lang w:val="es-ES_tradnl"/>
        </w:rPr>
        <w:t>criterios obligatorios para participar en los procedimientos de selección contractual</w:t>
      </w:r>
    </w:p>
    <w:p w14:paraId="3C337731" w14:textId="77777777" w:rsidR="00DD5B04" w:rsidRPr="004940E3" w:rsidRDefault="00DD5B04" w:rsidP="00DD5B04">
      <w:pPr>
        <w:spacing w:line="276" w:lineRule="auto"/>
        <w:jc w:val="both"/>
        <w:rPr>
          <w:rFonts w:ascii="Arial" w:hAnsi="Arial" w:cs="Arial"/>
          <w:color w:val="000000" w:themeColor="text1"/>
          <w:sz w:val="22"/>
          <w:lang w:val="es-ES_tradnl"/>
        </w:rPr>
      </w:pPr>
    </w:p>
    <w:p w14:paraId="1D706D3E" w14:textId="18C0F682" w:rsidR="00DD5B04" w:rsidRPr="004940E3" w:rsidRDefault="00DD5B04" w:rsidP="00016651">
      <w:pPr>
        <w:spacing w:before="120" w:line="276" w:lineRule="auto"/>
        <w:ind w:firstLine="709"/>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 xml:space="preserve">El artículo </w:t>
      </w:r>
      <w:r w:rsidR="00517612">
        <w:rPr>
          <w:rFonts w:ascii="Arial" w:eastAsia="Calibri" w:hAnsi="Arial" w:cs="Arial"/>
          <w:color w:val="000000" w:themeColor="text1"/>
          <w:sz w:val="22"/>
          <w:lang w:val="es-ES_tradnl"/>
        </w:rPr>
        <w:t xml:space="preserve">5 de la Ley 1150 de 2007 </w:t>
      </w:r>
      <w:r w:rsidRPr="004940E3">
        <w:rPr>
          <w:rFonts w:ascii="Arial" w:eastAsia="Calibri" w:hAnsi="Arial" w:cs="Arial"/>
          <w:color w:val="000000" w:themeColor="text1"/>
          <w:sz w:val="22"/>
          <w:lang w:val="es-ES_tradnl"/>
        </w:rPr>
        <w:t xml:space="preserve">establece que se considera «objetiva la selección en la cual la escogencia se haga al ofrecimiento más favorable a la entidad y a los fines que ella busca, sin tener en consideración factores de afecto o de interés y, en general, cualquier clase de motivación subjetiva». En ese contexto, los factores de </w:t>
      </w:r>
      <w:r w:rsidRPr="004940E3">
        <w:rPr>
          <w:rFonts w:ascii="Arial" w:eastAsia="Calibri" w:hAnsi="Arial" w:cs="Arial"/>
          <w:color w:val="000000" w:themeColor="text1"/>
          <w:sz w:val="22"/>
          <w:lang w:val="es-ES_tradnl"/>
        </w:rPr>
        <w:lastRenderedPageBreak/>
        <w:t xml:space="preserve">escogencia y calificación que establezcan las entidades en los pliegos de condiciones o sus </w:t>
      </w:r>
      <w:r w:rsidR="003E4C48">
        <w:rPr>
          <w:rFonts w:ascii="Arial" w:eastAsia="Calibri" w:hAnsi="Arial" w:cs="Arial"/>
          <w:color w:val="000000" w:themeColor="text1"/>
          <w:sz w:val="22"/>
          <w:lang w:val="es-ES_tradnl"/>
        </w:rPr>
        <w:t xml:space="preserve">documentos </w:t>
      </w:r>
      <w:r w:rsidRPr="004940E3">
        <w:rPr>
          <w:rFonts w:ascii="Arial" w:eastAsia="Calibri" w:hAnsi="Arial" w:cs="Arial"/>
          <w:color w:val="000000" w:themeColor="text1"/>
          <w:sz w:val="22"/>
          <w:lang w:val="es-ES_tradnl"/>
        </w:rPr>
        <w:t>equivalentes</w:t>
      </w:r>
      <w:r w:rsidR="003E4C48">
        <w:rPr>
          <w:rFonts w:ascii="Arial" w:eastAsia="Calibri" w:hAnsi="Arial" w:cs="Arial"/>
          <w:color w:val="000000" w:themeColor="text1"/>
          <w:sz w:val="22"/>
          <w:lang w:val="es-ES_tradnl"/>
        </w:rPr>
        <w:t xml:space="preserve"> </w:t>
      </w:r>
      <w:r w:rsidRPr="004940E3">
        <w:rPr>
          <w:rFonts w:ascii="Arial" w:eastAsia="Calibri" w:hAnsi="Arial" w:cs="Arial"/>
          <w:color w:val="000000" w:themeColor="text1"/>
          <w:sz w:val="22"/>
          <w:lang w:val="es-ES_tradnl"/>
        </w:rPr>
        <w:t xml:space="preserve">deberán tener en cuenta, entre otras cuestiones, los criterios establecidos en </w:t>
      </w:r>
      <w:r w:rsidR="00BF020D">
        <w:rPr>
          <w:rFonts w:ascii="Arial" w:eastAsia="Calibri" w:hAnsi="Arial" w:cs="Arial"/>
          <w:color w:val="000000" w:themeColor="text1"/>
          <w:sz w:val="22"/>
          <w:lang w:val="es-ES_tradnl"/>
        </w:rPr>
        <w:t>dicha disposición</w:t>
      </w:r>
      <w:r w:rsidRPr="004940E3">
        <w:rPr>
          <w:rFonts w:ascii="Arial" w:eastAsia="Calibri" w:hAnsi="Arial" w:cs="Arial"/>
          <w:color w:val="000000" w:themeColor="text1"/>
          <w:sz w:val="22"/>
          <w:lang w:val="es-ES_tradnl"/>
        </w:rPr>
        <w:t xml:space="preserve">. </w:t>
      </w:r>
    </w:p>
    <w:p w14:paraId="7D1BA036" w14:textId="77CDEB1A" w:rsidR="00DD5B04" w:rsidRPr="004940E3" w:rsidRDefault="00DD5B04" w:rsidP="00DD5B04">
      <w:pPr>
        <w:spacing w:before="120" w:line="276" w:lineRule="auto"/>
        <w:ind w:firstLine="709"/>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Específicamente, el numeral 1º de</w:t>
      </w:r>
      <w:r w:rsidR="00BF020D">
        <w:rPr>
          <w:rFonts w:ascii="Arial" w:eastAsia="Calibri" w:hAnsi="Arial" w:cs="Arial"/>
          <w:color w:val="000000" w:themeColor="text1"/>
          <w:sz w:val="22"/>
          <w:lang w:val="es-ES_tradnl"/>
        </w:rPr>
        <w:t xml:space="preserve">l artículo referido </w:t>
      </w:r>
      <w:r w:rsidRPr="004940E3">
        <w:rPr>
          <w:rFonts w:ascii="Arial" w:eastAsia="Calibri" w:hAnsi="Arial" w:cs="Arial"/>
          <w:color w:val="000000" w:themeColor="text1"/>
          <w:sz w:val="22"/>
          <w:lang w:val="es-ES_tradnl"/>
        </w:rPr>
        <w:t xml:space="preserve">establece que en los procesos de selección de contratistas serán objeto de verificación, como requisitos habilitantes, </w:t>
      </w:r>
      <w:r w:rsidR="00B31423" w:rsidRPr="00BF020D">
        <w:rPr>
          <w:rFonts w:ascii="Arial" w:eastAsia="Calibri" w:hAnsi="Arial" w:cs="Arial"/>
          <w:i/>
          <w:iCs/>
          <w:color w:val="000000" w:themeColor="text1"/>
          <w:sz w:val="22"/>
          <w:lang w:val="es-ES_tradnl"/>
        </w:rPr>
        <w:t>entre otros</w:t>
      </w:r>
      <w:r w:rsidR="00B31423">
        <w:rPr>
          <w:rFonts w:ascii="Arial" w:eastAsia="Calibri" w:hAnsi="Arial" w:cs="Arial"/>
          <w:color w:val="000000" w:themeColor="text1"/>
          <w:sz w:val="22"/>
          <w:lang w:val="es-ES_tradnl"/>
        </w:rPr>
        <w:t xml:space="preserve">, </w:t>
      </w:r>
      <w:r w:rsidRPr="004940E3">
        <w:rPr>
          <w:rFonts w:ascii="Arial" w:eastAsia="Calibri" w:hAnsi="Arial" w:cs="Arial"/>
          <w:color w:val="000000" w:themeColor="text1"/>
          <w:sz w:val="22"/>
          <w:lang w:val="es-ES_tradnl"/>
        </w:rPr>
        <w:t xml:space="preserve">los siguientes: i) la capacidad jurídica; </w:t>
      </w:r>
      <w:proofErr w:type="spellStart"/>
      <w:r w:rsidRPr="004940E3">
        <w:rPr>
          <w:rFonts w:ascii="Arial" w:eastAsia="Calibri" w:hAnsi="Arial" w:cs="Arial"/>
          <w:color w:val="000000" w:themeColor="text1"/>
          <w:sz w:val="22"/>
          <w:lang w:val="es-ES_tradnl"/>
        </w:rPr>
        <w:t>ii</w:t>
      </w:r>
      <w:proofErr w:type="spellEnd"/>
      <w:r w:rsidRPr="004940E3">
        <w:rPr>
          <w:rFonts w:ascii="Arial" w:eastAsia="Calibri" w:hAnsi="Arial" w:cs="Arial"/>
          <w:color w:val="000000" w:themeColor="text1"/>
          <w:sz w:val="22"/>
          <w:lang w:val="es-ES_tradnl"/>
        </w:rPr>
        <w:t xml:space="preserve">) la experiencia; </w:t>
      </w:r>
      <w:proofErr w:type="spellStart"/>
      <w:r w:rsidRPr="004940E3">
        <w:rPr>
          <w:rFonts w:ascii="Arial" w:eastAsia="Calibri" w:hAnsi="Arial" w:cs="Arial"/>
          <w:color w:val="000000" w:themeColor="text1"/>
          <w:sz w:val="22"/>
          <w:lang w:val="es-ES_tradnl"/>
        </w:rPr>
        <w:t>iii</w:t>
      </w:r>
      <w:proofErr w:type="spellEnd"/>
      <w:r w:rsidRPr="004940E3">
        <w:rPr>
          <w:rFonts w:ascii="Arial" w:eastAsia="Calibri" w:hAnsi="Arial" w:cs="Arial"/>
          <w:color w:val="000000" w:themeColor="text1"/>
          <w:sz w:val="22"/>
          <w:lang w:val="es-ES_tradnl"/>
        </w:rPr>
        <w:t xml:space="preserve">) la capacidad financiera y </w:t>
      </w:r>
      <w:proofErr w:type="spellStart"/>
      <w:r w:rsidRPr="004940E3">
        <w:rPr>
          <w:rFonts w:ascii="Arial" w:eastAsia="Calibri" w:hAnsi="Arial" w:cs="Arial"/>
          <w:color w:val="000000" w:themeColor="text1"/>
          <w:sz w:val="22"/>
          <w:lang w:val="es-ES_tradnl"/>
        </w:rPr>
        <w:t>iv</w:t>
      </w:r>
      <w:proofErr w:type="spellEnd"/>
      <w:r w:rsidRPr="004940E3">
        <w:rPr>
          <w:rFonts w:ascii="Arial" w:eastAsia="Calibri" w:hAnsi="Arial" w:cs="Arial"/>
          <w:color w:val="000000" w:themeColor="text1"/>
          <w:sz w:val="22"/>
          <w:lang w:val="es-ES_tradnl"/>
        </w:rPr>
        <w:t xml:space="preserve">) la capacidad de organización. En efecto, la normativa </w:t>
      </w:r>
      <w:proofErr w:type="gramStart"/>
      <w:r w:rsidRPr="004940E3">
        <w:rPr>
          <w:rFonts w:ascii="Arial" w:eastAsia="Calibri" w:hAnsi="Arial" w:cs="Arial"/>
          <w:i/>
          <w:iCs/>
          <w:color w:val="000000" w:themeColor="text1"/>
          <w:sz w:val="22"/>
          <w:lang w:val="es-ES_tradnl"/>
        </w:rPr>
        <w:t>sub</w:t>
      </w:r>
      <w:r w:rsidR="00D766C7">
        <w:rPr>
          <w:rFonts w:ascii="Arial" w:eastAsia="Calibri" w:hAnsi="Arial" w:cs="Arial"/>
          <w:i/>
          <w:iCs/>
          <w:color w:val="000000" w:themeColor="text1"/>
          <w:sz w:val="22"/>
          <w:lang w:val="es-ES_tradnl"/>
        </w:rPr>
        <w:t xml:space="preserve"> </w:t>
      </w:r>
      <w:r w:rsidRPr="004940E3">
        <w:rPr>
          <w:rFonts w:ascii="Arial" w:eastAsia="Calibri" w:hAnsi="Arial" w:cs="Arial"/>
          <w:i/>
          <w:iCs/>
          <w:color w:val="000000" w:themeColor="text1"/>
          <w:sz w:val="22"/>
          <w:lang w:val="es-ES_tradnl"/>
        </w:rPr>
        <w:t>lite</w:t>
      </w:r>
      <w:proofErr w:type="gramEnd"/>
      <w:r w:rsidRPr="004940E3">
        <w:rPr>
          <w:rFonts w:ascii="Arial" w:eastAsia="Calibri" w:hAnsi="Arial" w:cs="Arial"/>
          <w:color w:val="000000" w:themeColor="text1"/>
          <w:sz w:val="22"/>
          <w:lang w:val="es-ES_tradnl"/>
        </w:rPr>
        <w:t xml:space="preserve"> dispone: </w:t>
      </w:r>
    </w:p>
    <w:p w14:paraId="27DE3CC4" w14:textId="77777777" w:rsidR="00DD5B04" w:rsidRPr="004940E3" w:rsidRDefault="00DD5B04" w:rsidP="00DD5B04">
      <w:pPr>
        <w:jc w:val="both"/>
        <w:rPr>
          <w:rFonts w:ascii="Arial" w:eastAsia="Calibri" w:hAnsi="Arial" w:cs="Arial"/>
          <w:color w:val="000000" w:themeColor="text1"/>
          <w:sz w:val="22"/>
          <w:lang w:val="es-ES_tradnl"/>
        </w:rPr>
      </w:pPr>
    </w:p>
    <w:p w14:paraId="13CDFC81" w14:textId="77777777" w:rsidR="00DD5B04" w:rsidRPr="004940E3" w:rsidRDefault="00DD5B04" w:rsidP="00DD5B04">
      <w:pPr>
        <w:ind w:left="709" w:right="709"/>
        <w:jc w:val="both"/>
        <w:rPr>
          <w:rFonts w:ascii="Arial" w:eastAsia="Calibri" w:hAnsi="Arial" w:cs="Arial"/>
          <w:color w:val="000000" w:themeColor="text1"/>
          <w:sz w:val="21"/>
          <w:szCs w:val="21"/>
          <w:lang w:val="es-ES_tradnl"/>
        </w:rPr>
      </w:pPr>
      <w:r w:rsidRPr="004940E3">
        <w:rPr>
          <w:rFonts w:ascii="Arial" w:eastAsia="Calibri" w:hAnsi="Arial" w:cs="Arial"/>
          <w:color w:val="000000" w:themeColor="text1"/>
          <w:sz w:val="21"/>
          <w:szCs w:val="21"/>
          <w:lang w:val="es-ES_tradnl"/>
        </w:rPr>
        <w:t xml:space="preserve">Artículo 5. De la Selección Objetiva. </w:t>
      </w:r>
    </w:p>
    <w:p w14:paraId="605C9769" w14:textId="77777777" w:rsidR="00DD5B04" w:rsidRPr="004940E3" w:rsidRDefault="00DD5B04" w:rsidP="00DD5B04">
      <w:pPr>
        <w:ind w:left="709" w:right="709"/>
        <w:jc w:val="both"/>
        <w:rPr>
          <w:rFonts w:ascii="Arial" w:eastAsia="Calibri" w:hAnsi="Arial" w:cs="Arial"/>
          <w:color w:val="000000" w:themeColor="text1"/>
          <w:sz w:val="21"/>
          <w:szCs w:val="21"/>
          <w:lang w:val="es-ES_tradnl"/>
        </w:rPr>
      </w:pPr>
      <w:r w:rsidRPr="004940E3">
        <w:rPr>
          <w:rFonts w:ascii="Arial" w:eastAsia="Calibri" w:hAnsi="Arial" w:cs="Arial"/>
          <w:color w:val="000000" w:themeColor="text1"/>
          <w:sz w:val="21"/>
          <w:szCs w:val="21"/>
          <w:lang w:val="es-ES_tradnl"/>
        </w:rPr>
        <w:t>[…]</w:t>
      </w:r>
    </w:p>
    <w:p w14:paraId="5B2979F9" w14:textId="77777777" w:rsidR="00DD5B04" w:rsidRPr="004940E3" w:rsidRDefault="00DD5B04" w:rsidP="00DD5B04">
      <w:pPr>
        <w:ind w:left="709" w:right="709"/>
        <w:jc w:val="both"/>
        <w:rPr>
          <w:rFonts w:ascii="Arial" w:eastAsia="Calibri" w:hAnsi="Arial" w:cs="Arial"/>
          <w:color w:val="000000" w:themeColor="text1"/>
          <w:sz w:val="21"/>
          <w:szCs w:val="21"/>
          <w:lang w:val="es-ES_tradnl"/>
        </w:rPr>
      </w:pPr>
    </w:p>
    <w:p w14:paraId="613935B3" w14:textId="77777777" w:rsidR="00DD5B04" w:rsidRPr="004940E3" w:rsidRDefault="00DD5B04" w:rsidP="00DD5B04">
      <w:pPr>
        <w:ind w:left="709" w:right="709"/>
        <w:jc w:val="both"/>
        <w:rPr>
          <w:rFonts w:ascii="Arial" w:eastAsia="Calibri" w:hAnsi="Arial" w:cs="Arial"/>
          <w:color w:val="000000" w:themeColor="text1"/>
          <w:sz w:val="21"/>
          <w:szCs w:val="21"/>
          <w:lang w:val="es-ES_tradnl"/>
        </w:rPr>
      </w:pPr>
      <w:r w:rsidRPr="004940E3">
        <w:rPr>
          <w:rFonts w:ascii="Arial" w:eastAsia="Calibri" w:hAnsi="Arial" w:cs="Arial"/>
          <w:color w:val="000000" w:themeColor="text1"/>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6ACDF19C" w14:textId="77777777" w:rsidR="00DD5B04" w:rsidRPr="004940E3" w:rsidRDefault="00DD5B04" w:rsidP="00DD5B04">
      <w:pPr>
        <w:spacing w:line="276" w:lineRule="auto"/>
        <w:jc w:val="both"/>
        <w:rPr>
          <w:rFonts w:ascii="Arial" w:eastAsia="Calibri" w:hAnsi="Arial" w:cs="Arial"/>
          <w:color w:val="000000" w:themeColor="text1"/>
          <w:sz w:val="22"/>
          <w:lang w:val="es-ES_tradnl"/>
        </w:rPr>
      </w:pPr>
    </w:p>
    <w:p w14:paraId="79BAE8DA" w14:textId="77777777" w:rsidR="00DD5B04" w:rsidRPr="004940E3" w:rsidRDefault="00DD5B04" w:rsidP="00F07AA1">
      <w:pPr>
        <w:spacing w:line="276" w:lineRule="auto"/>
        <w:ind w:firstLine="709"/>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 xml:space="preserve">A continuación, se explicará el alcance de los requisitos habilitantes previamente referidos. </w:t>
      </w:r>
    </w:p>
    <w:p w14:paraId="1283E4B7" w14:textId="684BF2C1" w:rsidR="00DD5B04" w:rsidRPr="004940E3" w:rsidRDefault="00DD5B04" w:rsidP="00F07AA1">
      <w:pPr>
        <w:spacing w:before="120" w:after="120" w:line="276" w:lineRule="auto"/>
        <w:ind w:firstLine="709"/>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 xml:space="preserve">La </w:t>
      </w:r>
      <w:r w:rsidRPr="004940E3">
        <w:rPr>
          <w:rFonts w:ascii="Arial" w:eastAsia="Calibri" w:hAnsi="Arial" w:cs="Arial"/>
          <w:bCs/>
          <w:i/>
          <w:iCs/>
          <w:color w:val="000000" w:themeColor="text1"/>
          <w:sz w:val="22"/>
          <w:lang w:val="es-ES_tradnl"/>
        </w:rPr>
        <w:t>capacidad jurídica</w:t>
      </w:r>
      <w:r w:rsidRPr="004940E3">
        <w:rPr>
          <w:rFonts w:ascii="Arial" w:eastAsia="Calibri" w:hAnsi="Arial" w:cs="Arial"/>
          <w:color w:val="000000" w:themeColor="text1"/>
          <w:sz w:val="22"/>
          <w:lang w:val="es-ES_tradnl"/>
        </w:rPr>
        <w:t xml:space="preserve"> es la aptitud que recae en los sujetos activos o pasivos de las relaciones jurídicas</w:t>
      </w:r>
      <w:r w:rsidRPr="004940E3">
        <w:rPr>
          <w:rStyle w:val="Refdenotaalpie"/>
          <w:rFonts w:ascii="Arial" w:eastAsia="Calibri" w:hAnsi="Arial" w:cs="Arial"/>
          <w:color w:val="000000" w:themeColor="text1"/>
          <w:sz w:val="22"/>
          <w:lang w:val="es-ES_tradnl"/>
        </w:rPr>
        <w:footnoteReference w:id="2"/>
      </w:r>
      <w:r w:rsidRPr="004940E3">
        <w:rPr>
          <w:rFonts w:ascii="Arial" w:eastAsia="Calibri" w:hAnsi="Arial" w:cs="Arial"/>
          <w:color w:val="000000" w:themeColor="text1"/>
          <w:sz w:val="22"/>
          <w:lang w:val="es-ES_tradnl"/>
        </w:rPr>
        <w:t>. Para efectos de la contratación estatal, es la facultad que tiene una persona natural o jurídica o una forma asociativa sin personería jurídica para celebrar contratos con una entidad pública. En ese ámbito, la capacidad jurídica</w:t>
      </w:r>
      <w:r w:rsidR="00275BB1">
        <w:rPr>
          <w:rFonts w:ascii="Arial" w:eastAsia="Calibri" w:hAnsi="Arial" w:cs="Arial"/>
          <w:color w:val="000000" w:themeColor="text1"/>
          <w:sz w:val="22"/>
          <w:lang w:val="es-ES_tradnl"/>
        </w:rPr>
        <w:t xml:space="preserve"> se manifiesta </w:t>
      </w:r>
      <w:r w:rsidRPr="004940E3">
        <w:rPr>
          <w:rFonts w:ascii="Arial" w:eastAsia="Calibri" w:hAnsi="Arial" w:cs="Arial"/>
          <w:color w:val="000000" w:themeColor="text1"/>
          <w:sz w:val="22"/>
          <w:lang w:val="es-ES_tradnl"/>
        </w:rPr>
        <w:t xml:space="preserve">en la facultad que alguien tiene para </w:t>
      </w:r>
      <w:r w:rsidR="008B0862">
        <w:rPr>
          <w:rFonts w:ascii="Arial" w:eastAsia="Calibri" w:hAnsi="Arial" w:cs="Arial"/>
          <w:color w:val="000000" w:themeColor="text1"/>
          <w:sz w:val="22"/>
          <w:lang w:val="es-ES_tradnl"/>
        </w:rPr>
        <w:t>participar en procedimientos de selección o celebrar el contrato</w:t>
      </w:r>
      <w:r w:rsidR="00275BB1">
        <w:rPr>
          <w:rFonts w:ascii="Arial" w:eastAsia="Calibri" w:hAnsi="Arial" w:cs="Arial"/>
          <w:color w:val="000000" w:themeColor="text1"/>
          <w:sz w:val="22"/>
          <w:lang w:val="es-ES_tradnl"/>
        </w:rPr>
        <w:t xml:space="preserve">, en la inexistencia de </w:t>
      </w:r>
      <w:r w:rsidRPr="004940E3">
        <w:rPr>
          <w:rFonts w:ascii="Arial" w:eastAsia="Calibri" w:hAnsi="Arial" w:cs="Arial"/>
          <w:color w:val="000000" w:themeColor="text1"/>
          <w:sz w:val="22"/>
          <w:lang w:val="es-ES_tradnl"/>
        </w:rPr>
        <w:t>inhabilidades o incompatibilidades</w:t>
      </w:r>
      <w:r w:rsidR="00275BB1">
        <w:rPr>
          <w:rFonts w:ascii="Arial" w:eastAsia="Calibri" w:hAnsi="Arial" w:cs="Arial"/>
          <w:color w:val="000000" w:themeColor="text1"/>
          <w:sz w:val="22"/>
          <w:lang w:val="es-ES_tradnl"/>
        </w:rPr>
        <w:t>, en su inscripción en el Registro Único de Proponentes (RUP)</w:t>
      </w:r>
      <w:r w:rsidR="005C1C0B">
        <w:rPr>
          <w:rFonts w:ascii="Arial" w:eastAsia="Calibri" w:hAnsi="Arial" w:cs="Arial"/>
          <w:color w:val="000000" w:themeColor="text1"/>
          <w:sz w:val="22"/>
          <w:lang w:val="es-ES_tradnl"/>
        </w:rPr>
        <w:t>, cuando esta sea exigible, y en general</w:t>
      </w:r>
      <w:r w:rsidR="0072554B">
        <w:rPr>
          <w:rFonts w:ascii="Arial" w:eastAsia="Calibri" w:hAnsi="Arial" w:cs="Arial"/>
          <w:color w:val="000000" w:themeColor="text1"/>
          <w:sz w:val="22"/>
          <w:lang w:val="es-ES_tradnl"/>
        </w:rPr>
        <w:t>,</w:t>
      </w:r>
      <w:r w:rsidR="005C1C0B">
        <w:rPr>
          <w:rFonts w:ascii="Arial" w:eastAsia="Calibri" w:hAnsi="Arial" w:cs="Arial"/>
          <w:color w:val="000000" w:themeColor="text1"/>
          <w:sz w:val="22"/>
          <w:lang w:val="es-ES_tradnl"/>
        </w:rPr>
        <w:t xml:space="preserve"> en el cumplimiento de los requisitos jurídicos establecidos en el ordenamiento para</w:t>
      </w:r>
      <w:r w:rsidR="0072554B">
        <w:rPr>
          <w:rFonts w:ascii="Arial" w:eastAsia="Calibri" w:hAnsi="Arial" w:cs="Arial"/>
          <w:color w:val="000000" w:themeColor="text1"/>
          <w:sz w:val="22"/>
          <w:lang w:val="es-ES_tradnl"/>
        </w:rPr>
        <w:t xml:space="preserve"> concurrir en </w:t>
      </w:r>
      <w:r w:rsidR="009E0703">
        <w:rPr>
          <w:rFonts w:ascii="Arial" w:eastAsia="Calibri" w:hAnsi="Arial" w:cs="Arial"/>
          <w:color w:val="000000" w:themeColor="text1"/>
          <w:sz w:val="22"/>
          <w:lang w:val="es-ES_tradnl"/>
        </w:rPr>
        <w:t xml:space="preserve">procedimientos de selección y </w:t>
      </w:r>
      <w:r w:rsidR="005C1C0B">
        <w:rPr>
          <w:rFonts w:ascii="Arial" w:eastAsia="Calibri" w:hAnsi="Arial" w:cs="Arial"/>
          <w:color w:val="000000" w:themeColor="text1"/>
          <w:sz w:val="22"/>
          <w:lang w:val="es-ES_tradnl"/>
        </w:rPr>
        <w:t>celebrar contratos estatales.</w:t>
      </w:r>
      <w:r w:rsidRPr="004940E3">
        <w:rPr>
          <w:rFonts w:ascii="Arial" w:eastAsia="Calibri" w:hAnsi="Arial" w:cs="Arial"/>
          <w:color w:val="000000" w:themeColor="text1"/>
          <w:sz w:val="22"/>
          <w:lang w:val="es-ES_tradnl"/>
        </w:rPr>
        <w:t xml:space="preserve"> </w:t>
      </w:r>
    </w:p>
    <w:p w14:paraId="55EFB003" w14:textId="2867CBD6" w:rsidR="00DD5B04" w:rsidRPr="004940E3" w:rsidRDefault="00DD5B04" w:rsidP="00F07AA1">
      <w:pPr>
        <w:spacing w:line="276" w:lineRule="auto"/>
        <w:ind w:firstLine="709"/>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Para efectos del Estatuto General de Contratación de la Administración Pública, la capacidad para contratar la tienen las personas consideradas legalmente capaces, según lo que establece el artículo 6 de la Ley 80 de 1993</w:t>
      </w:r>
      <w:r w:rsidRPr="004940E3">
        <w:rPr>
          <w:rStyle w:val="Refdenotaalpie"/>
          <w:rFonts w:ascii="Arial" w:eastAsia="Calibri" w:hAnsi="Arial" w:cs="Arial"/>
          <w:color w:val="000000" w:themeColor="text1"/>
          <w:sz w:val="22"/>
          <w:lang w:val="es-ES_tradnl"/>
        </w:rPr>
        <w:footnoteReference w:id="3"/>
      </w:r>
      <w:r w:rsidRPr="004940E3">
        <w:rPr>
          <w:rFonts w:ascii="Arial" w:eastAsia="Calibri" w:hAnsi="Arial" w:cs="Arial"/>
          <w:color w:val="000000" w:themeColor="text1"/>
          <w:sz w:val="22"/>
          <w:lang w:val="es-ES_tradnl"/>
        </w:rPr>
        <w:t xml:space="preserve">. Por un lado, las personas naturales tienen capacidad jurídica cuando alcanzan la mayoría de edad, claro está, siempre que su </w:t>
      </w:r>
      <w:r w:rsidRPr="004940E3">
        <w:rPr>
          <w:rFonts w:ascii="Arial" w:eastAsia="Calibri" w:hAnsi="Arial" w:cs="Arial"/>
          <w:color w:val="000000" w:themeColor="text1"/>
          <w:sz w:val="22"/>
          <w:lang w:val="es-ES_tradnl"/>
        </w:rPr>
        <w:lastRenderedPageBreak/>
        <w:t>capacidad no haya sido limitada –ej. interdicción judicial–, y siempre que no estén incursas en inhabilidades, incompatibilidades o prohibiciones para contratar. Por otro lado,</w:t>
      </w:r>
      <w:r w:rsidR="00436F40">
        <w:rPr>
          <w:rFonts w:ascii="Arial" w:eastAsia="Calibri" w:hAnsi="Arial" w:cs="Arial"/>
          <w:color w:val="000000" w:themeColor="text1"/>
          <w:sz w:val="22"/>
          <w:lang w:val="es-ES_tradnl"/>
        </w:rPr>
        <w:t xml:space="preserve"> </w:t>
      </w:r>
      <w:r w:rsidRPr="004940E3">
        <w:rPr>
          <w:rFonts w:ascii="Arial" w:eastAsia="Calibri" w:hAnsi="Arial" w:cs="Arial"/>
          <w:color w:val="000000" w:themeColor="text1"/>
          <w:sz w:val="22"/>
          <w:lang w:val="es-ES_tradnl"/>
        </w:rPr>
        <w:t xml:space="preserve">la capacidad de las personas jurídicas se traduce en la posibilidad que tienen estas para adelantar actividades en el marco de su objeto social, en las facultades que le han sido otorgadas al representante legal y en la ausencia de inhabilidades, incompatibilidades o prohibiciones para contratar, bien sea de los socios individualmente considerados o de la </w:t>
      </w:r>
      <w:r w:rsidR="00786FAD">
        <w:rPr>
          <w:rFonts w:ascii="Arial" w:eastAsia="Calibri" w:hAnsi="Arial" w:cs="Arial"/>
          <w:color w:val="000000" w:themeColor="text1"/>
          <w:sz w:val="22"/>
          <w:lang w:val="es-ES_tradnl"/>
        </w:rPr>
        <w:t>sociedad</w:t>
      </w:r>
      <w:r w:rsidRPr="004940E3">
        <w:rPr>
          <w:rFonts w:ascii="Arial" w:eastAsia="Calibri" w:hAnsi="Arial" w:cs="Arial"/>
          <w:color w:val="000000" w:themeColor="text1"/>
          <w:sz w:val="22"/>
          <w:lang w:val="es-ES_tradnl"/>
        </w:rPr>
        <w:t xml:space="preserve"> como tal.</w:t>
      </w:r>
      <w:r w:rsidR="00B35046">
        <w:rPr>
          <w:rFonts w:ascii="Arial" w:eastAsia="Calibri" w:hAnsi="Arial" w:cs="Arial"/>
          <w:color w:val="000000" w:themeColor="text1"/>
          <w:sz w:val="22"/>
          <w:lang w:val="es-ES_tradnl"/>
        </w:rPr>
        <w:t xml:space="preserve"> </w:t>
      </w:r>
      <w:r w:rsidRPr="004940E3">
        <w:rPr>
          <w:rFonts w:ascii="Arial" w:eastAsia="Calibri" w:hAnsi="Arial" w:cs="Arial"/>
          <w:color w:val="000000" w:themeColor="text1"/>
          <w:sz w:val="22"/>
          <w:lang w:val="es-ES_tradnl"/>
        </w:rPr>
        <w:t>En el marco de los proce</w:t>
      </w:r>
      <w:r w:rsidR="00F42121">
        <w:rPr>
          <w:rFonts w:ascii="Arial" w:eastAsia="Calibri" w:hAnsi="Arial" w:cs="Arial"/>
          <w:color w:val="000000" w:themeColor="text1"/>
          <w:sz w:val="22"/>
          <w:lang w:val="es-ES_tradnl"/>
        </w:rPr>
        <w:t>dimientos</w:t>
      </w:r>
      <w:r w:rsidRPr="004940E3">
        <w:rPr>
          <w:rFonts w:ascii="Arial" w:eastAsia="Calibri" w:hAnsi="Arial" w:cs="Arial"/>
          <w:color w:val="000000" w:themeColor="text1"/>
          <w:sz w:val="22"/>
          <w:lang w:val="es-ES_tradnl"/>
        </w:rPr>
        <w:t xml:space="preserve"> de selección de contratistas, las entidades deben solicitar a los proponentes toda la información necesaria para conocer su idoneidad</w:t>
      </w:r>
      <w:r w:rsidR="00BA778B">
        <w:rPr>
          <w:rFonts w:ascii="Arial" w:eastAsia="Calibri" w:hAnsi="Arial" w:cs="Arial"/>
          <w:color w:val="000000" w:themeColor="text1"/>
          <w:sz w:val="22"/>
          <w:lang w:val="es-ES_tradnl"/>
        </w:rPr>
        <w:t xml:space="preserve"> jurídica</w:t>
      </w:r>
      <w:r w:rsidRPr="004940E3">
        <w:rPr>
          <w:rFonts w:ascii="Arial" w:eastAsia="Calibri" w:hAnsi="Arial" w:cs="Arial"/>
          <w:color w:val="000000" w:themeColor="text1"/>
          <w:sz w:val="22"/>
          <w:lang w:val="es-ES_tradnl"/>
        </w:rPr>
        <w:t xml:space="preserve"> en relación con el contrato a celebrar</w:t>
      </w:r>
      <w:r w:rsidRPr="004940E3">
        <w:rPr>
          <w:rStyle w:val="Refdenotaalpie"/>
          <w:rFonts w:ascii="Arial" w:eastAsia="Calibri" w:hAnsi="Arial" w:cs="Arial"/>
          <w:color w:val="000000" w:themeColor="text1"/>
          <w:sz w:val="22"/>
          <w:lang w:val="es-ES_tradnl"/>
        </w:rPr>
        <w:footnoteReference w:id="4"/>
      </w:r>
      <w:r w:rsidR="00B35046">
        <w:rPr>
          <w:rFonts w:ascii="Arial" w:eastAsia="Calibri" w:hAnsi="Arial" w:cs="Arial"/>
          <w:color w:val="000000" w:themeColor="text1"/>
          <w:sz w:val="22"/>
          <w:lang w:val="es-ES_tradnl"/>
        </w:rPr>
        <w:t>.</w:t>
      </w:r>
      <w:r w:rsidRPr="004940E3">
        <w:rPr>
          <w:rFonts w:ascii="Arial" w:eastAsia="Calibri" w:hAnsi="Arial" w:cs="Arial"/>
          <w:color w:val="000000" w:themeColor="text1"/>
          <w:sz w:val="22"/>
          <w:lang w:val="es-ES_tradnl"/>
        </w:rPr>
        <w:t xml:space="preserve"> </w:t>
      </w:r>
    </w:p>
    <w:p w14:paraId="26404A34" w14:textId="7AF4853F" w:rsidR="00DD5B04" w:rsidRPr="004940E3" w:rsidRDefault="00DD5B04" w:rsidP="00F07AA1">
      <w:pPr>
        <w:spacing w:before="120" w:line="276" w:lineRule="auto"/>
        <w:ind w:firstLine="709"/>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ab/>
        <w:t xml:space="preserve">La </w:t>
      </w:r>
      <w:r w:rsidRPr="004940E3">
        <w:rPr>
          <w:rFonts w:ascii="Arial" w:eastAsia="Calibri" w:hAnsi="Arial" w:cs="Arial"/>
          <w:bCs/>
          <w:i/>
          <w:iCs/>
          <w:color w:val="000000" w:themeColor="text1"/>
          <w:sz w:val="22"/>
          <w:lang w:val="es-ES_tradnl"/>
        </w:rPr>
        <w:t>experiencia</w:t>
      </w:r>
      <w:r w:rsidRPr="004940E3">
        <w:rPr>
          <w:rFonts w:ascii="Arial" w:eastAsia="Calibri" w:hAnsi="Arial" w:cs="Arial"/>
          <w:i/>
          <w:iCs/>
          <w:color w:val="000000" w:themeColor="text1"/>
          <w:sz w:val="22"/>
          <w:lang w:val="es-ES_tradnl"/>
        </w:rPr>
        <w:t xml:space="preserve"> </w:t>
      </w:r>
      <w:r w:rsidRPr="004940E3">
        <w:rPr>
          <w:rFonts w:ascii="Arial" w:eastAsia="Calibri" w:hAnsi="Arial" w:cs="Arial"/>
          <w:color w:val="000000" w:themeColor="text1"/>
          <w:sz w:val="22"/>
          <w:lang w:val="es-ES_tradnl"/>
        </w:rPr>
        <w:t xml:space="preserve">como requisito habilitante, según las consideraciones expuestas en el concepto C-002 del 12 de febrero de 2020 –radicado No. 2202013000000921–, tiene como propósito que </w:t>
      </w:r>
      <w:r w:rsidRPr="004940E3">
        <w:rPr>
          <w:rStyle w:val="normaltextrun"/>
          <w:rFonts w:ascii="Arial" w:hAnsi="Arial" w:cs="Arial"/>
          <w:color w:val="000000" w:themeColor="text1"/>
          <w:sz w:val="22"/>
          <w:lang w:val="es-ES_tradnl"/>
        </w:rPr>
        <w:t>las entidades fijen unos requisitos mínimos</w:t>
      </w:r>
      <w:r w:rsidR="002B2A7F">
        <w:rPr>
          <w:rStyle w:val="normaltextrun"/>
          <w:rFonts w:ascii="Arial" w:hAnsi="Arial" w:cs="Arial"/>
          <w:color w:val="000000" w:themeColor="text1"/>
          <w:sz w:val="22"/>
          <w:lang w:val="es-ES_tradnl"/>
        </w:rPr>
        <w:t xml:space="preserve"> de idoneidad técnica</w:t>
      </w:r>
      <w:r w:rsidRPr="004940E3">
        <w:rPr>
          <w:rStyle w:val="normaltextrun"/>
          <w:rFonts w:ascii="Arial" w:hAnsi="Arial" w:cs="Arial"/>
          <w:color w:val="000000" w:themeColor="text1"/>
          <w:sz w:val="22"/>
          <w:lang w:val="es-ES_tradnl"/>
        </w:rPr>
        <w:t xml:space="preserve"> que deben acreditar los proponentes, para que puedan verificar su aptitud para participar en el proceso de selección y, eventualmente, ejecutar el contrato estatal</w:t>
      </w:r>
      <w:r w:rsidRPr="004940E3">
        <w:rPr>
          <w:rStyle w:val="Refdenotaalpie"/>
          <w:rFonts w:ascii="Arial" w:hAnsi="Arial" w:cs="Arial"/>
          <w:color w:val="000000" w:themeColor="text1"/>
          <w:sz w:val="22"/>
          <w:lang w:val="es-ES_tradnl"/>
        </w:rPr>
        <w:footnoteReference w:id="5"/>
      </w:r>
      <w:r w:rsidRPr="004940E3">
        <w:rPr>
          <w:rStyle w:val="normaltextrun"/>
          <w:rFonts w:ascii="Arial" w:hAnsi="Arial" w:cs="Arial"/>
          <w:color w:val="000000" w:themeColor="text1"/>
          <w:sz w:val="22"/>
          <w:lang w:val="es-ES_tradnl"/>
        </w:rPr>
        <w:t xml:space="preserve">. La entidad, como responsable de la estructuración del proceso de contratación, </w:t>
      </w:r>
      <w:r w:rsidR="002B2A7F">
        <w:rPr>
          <w:rStyle w:val="normaltextrun"/>
          <w:rFonts w:ascii="Arial" w:hAnsi="Arial" w:cs="Arial"/>
          <w:color w:val="000000" w:themeColor="text1"/>
          <w:sz w:val="22"/>
          <w:lang w:val="es-ES_tradnl"/>
        </w:rPr>
        <w:t xml:space="preserve">en principio, </w:t>
      </w:r>
      <w:r w:rsidRPr="004940E3">
        <w:rPr>
          <w:rStyle w:val="normaltextrun"/>
          <w:rFonts w:ascii="Arial" w:hAnsi="Arial" w:cs="Arial"/>
          <w:color w:val="000000" w:themeColor="text1"/>
          <w:sz w:val="22"/>
          <w:lang w:val="es-ES_tradnl"/>
        </w:rPr>
        <w:t>es autónoma para requerir la experiencia necesaria para el objeto contractual, para lo cual, de acuerdo con el artículo 2.2.1.1.1.6.2. del Decreto 1082 de 2015, debe tener en cuenta el estudio del sector y sus diferentes componentes, tales como la identificación de riesgos, el mercado y el precio del bien, obra o servicio a contratar</w:t>
      </w:r>
      <w:r w:rsidRPr="004940E3">
        <w:rPr>
          <w:rStyle w:val="Refdenotaalpie"/>
          <w:rFonts w:ascii="Arial" w:hAnsi="Arial" w:cs="Arial"/>
          <w:color w:val="000000" w:themeColor="text1"/>
          <w:sz w:val="22"/>
          <w:lang w:val="es-ES_tradnl"/>
        </w:rPr>
        <w:footnoteReference w:id="6"/>
      </w:r>
      <w:r w:rsidRPr="004940E3">
        <w:rPr>
          <w:rStyle w:val="normaltextrun"/>
          <w:rFonts w:ascii="Arial" w:hAnsi="Arial" w:cs="Arial"/>
          <w:color w:val="000000" w:themeColor="text1"/>
          <w:sz w:val="22"/>
          <w:lang w:val="es-ES_tradnl"/>
        </w:rPr>
        <w:t>.</w:t>
      </w:r>
    </w:p>
    <w:p w14:paraId="0B6B7B7E" w14:textId="407F9B89" w:rsidR="00DD5B04" w:rsidRPr="004940E3" w:rsidRDefault="00DD5B04" w:rsidP="00F07AA1">
      <w:pPr>
        <w:pStyle w:val="paragraph"/>
        <w:spacing w:before="120" w:beforeAutospacing="0" w:after="0" w:afterAutospacing="0" w:line="276" w:lineRule="auto"/>
        <w:ind w:firstLine="709"/>
        <w:jc w:val="both"/>
        <w:textAlignment w:val="baseline"/>
        <w:rPr>
          <w:rFonts w:ascii="Arial" w:hAnsi="Arial" w:cs="Arial"/>
          <w:color w:val="000000" w:themeColor="text1"/>
          <w:sz w:val="22"/>
          <w:szCs w:val="22"/>
          <w:lang w:val="es-ES_tradnl"/>
        </w:rPr>
      </w:pPr>
      <w:r w:rsidRPr="004940E3">
        <w:rPr>
          <w:rStyle w:val="normaltextrun"/>
          <w:rFonts w:ascii="Arial" w:hAnsi="Arial" w:cs="Arial"/>
          <w:color w:val="000000" w:themeColor="text1"/>
          <w:sz w:val="22"/>
          <w:szCs w:val="22"/>
          <w:lang w:val="es-ES_tradnl"/>
        </w:rPr>
        <w:t xml:space="preserve">La experiencia que se deriva de la ejecución de los contratos que el proponente ha celebrado y ejecutado con diferentes contratantes, sin importar la naturaleza de estos </w:t>
      </w:r>
      <w:r w:rsidRPr="004940E3">
        <w:rPr>
          <w:rStyle w:val="normaltextrun"/>
          <w:rFonts w:ascii="Arial" w:hAnsi="Arial" w:cs="Arial"/>
          <w:color w:val="000000" w:themeColor="text1"/>
          <w:sz w:val="22"/>
          <w:szCs w:val="22"/>
          <w:lang w:val="es-ES_tradnl"/>
        </w:rPr>
        <w:lastRenderedPageBreak/>
        <w:t xml:space="preserve">últimos, se verifica con el Registro Único de Proponentes </w:t>
      </w:r>
      <w:r w:rsidR="00B92618">
        <w:rPr>
          <w:rStyle w:val="normaltextrun"/>
          <w:rFonts w:ascii="Arial" w:hAnsi="Arial" w:cs="Arial"/>
          <w:color w:val="000000" w:themeColor="text1"/>
          <w:sz w:val="22"/>
          <w:szCs w:val="22"/>
          <w:lang w:val="es-ES_tradnl"/>
        </w:rPr>
        <w:t>(</w:t>
      </w:r>
      <w:r w:rsidRPr="004940E3">
        <w:rPr>
          <w:rStyle w:val="normaltextrun"/>
          <w:rFonts w:ascii="Arial" w:hAnsi="Arial" w:cs="Arial"/>
          <w:color w:val="000000" w:themeColor="text1"/>
          <w:sz w:val="22"/>
          <w:szCs w:val="22"/>
          <w:lang w:val="es-ES_tradnl"/>
        </w:rPr>
        <w:t>RUP</w:t>
      </w:r>
      <w:r w:rsidR="00B92618">
        <w:rPr>
          <w:rStyle w:val="normaltextrun"/>
          <w:rFonts w:ascii="Arial" w:hAnsi="Arial" w:cs="Arial"/>
          <w:color w:val="000000" w:themeColor="text1"/>
          <w:sz w:val="22"/>
          <w:szCs w:val="22"/>
          <w:lang w:val="es-ES_tradnl"/>
        </w:rPr>
        <w:t>)</w:t>
      </w:r>
      <w:r w:rsidRPr="004940E3">
        <w:rPr>
          <w:rStyle w:val="Refdenotaalpie"/>
          <w:rFonts w:ascii="Arial" w:hAnsi="Arial" w:cs="Arial"/>
          <w:color w:val="000000" w:themeColor="text1"/>
          <w:sz w:val="22"/>
          <w:szCs w:val="22"/>
          <w:lang w:val="es-ES_tradnl"/>
        </w:rPr>
        <w:footnoteReference w:id="7"/>
      </w:r>
      <w:r w:rsidRPr="004940E3">
        <w:rPr>
          <w:rStyle w:val="normaltextrun"/>
          <w:rFonts w:ascii="Arial" w:hAnsi="Arial" w:cs="Arial"/>
          <w:color w:val="000000" w:themeColor="text1"/>
          <w:sz w:val="22"/>
          <w:szCs w:val="22"/>
          <w:lang w:val="es-ES_tradnl"/>
        </w:rPr>
        <w:t>, claro está, cuando este certificado sea exigible. Allí constan únicamente los requisitos habilitantes que se evalúan con este documento, de los cuales el mismo es plena prueba, sin que le sea posible a la entidad o al proponente solicitar o aportar documentación distinta</w:t>
      </w:r>
      <w:r w:rsidRPr="004940E3">
        <w:rPr>
          <w:rStyle w:val="Refdenotaalpie"/>
          <w:rFonts w:ascii="Arial" w:hAnsi="Arial" w:cs="Arial"/>
          <w:color w:val="000000" w:themeColor="text1"/>
          <w:sz w:val="22"/>
          <w:szCs w:val="22"/>
          <w:lang w:val="es-ES_tradnl"/>
        </w:rPr>
        <w:footnoteReference w:id="8"/>
      </w:r>
      <w:r w:rsidRPr="004940E3">
        <w:rPr>
          <w:rStyle w:val="normaltextrun"/>
          <w:rFonts w:ascii="Arial" w:hAnsi="Arial" w:cs="Arial"/>
          <w:color w:val="000000" w:themeColor="text1"/>
          <w:sz w:val="22"/>
          <w:szCs w:val="22"/>
          <w:lang w:val="es-ES_tradnl"/>
        </w:rPr>
        <w:t>, sin perjuicio de lo establecido en el numeral 3.5.5. del «Documento Base» en los «Pliegos Tipo», el cual se relaciona con «los documentos válidos para acreditar la experiencia requerida».</w:t>
      </w:r>
    </w:p>
    <w:p w14:paraId="3EFC5919" w14:textId="142DDF31" w:rsidR="00DD5B04" w:rsidRPr="004940E3" w:rsidRDefault="00DD5B04" w:rsidP="00F07AA1">
      <w:pPr>
        <w:pStyle w:val="paragraph"/>
        <w:spacing w:before="120" w:beforeAutospacing="0" w:after="0" w:afterAutospacing="0" w:line="276" w:lineRule="auto"/>
        <w:ind w:firstLine="709"/>
        <w:jc w:val="both"/>
        <w:textAlignment w:val="baseline"/>
        <w:rPr>
          <w:rFonts w:ascii="Arial" w:hAnsi="Arial" w:cs="Arial"/>
          <w:color w:val="000000" w:themeColor="text1"/>
          <w:sz w:val="22"/>
          <w:szCs w:val="22"/>
          <w:lang w:val="es-ES_tradnl"/>
        </w:rPr>
      </w:pPr>
      <w:r w:rsidRPr="004940E3">
        <w:rPr>
          <w:rStyle w:val="normaltextrun"/>
          <w:rFonts w:ascii="Arial" w:hAnsi="Arial" w:cs="Arial"/>
          <w:color w:val="000000" w:themeColor="text1"/>
          <w:sz w:val="22"/>
          <w:szCs w:val="22"/>
          <w:lang w:val="es-ES_tradnl"/>
        </w:rPr>
        <w:t>La experiencia debe inscribirse, renovarse o actualizarse en el RUP</w:t>
      </w:r>
      <w:r w:rsidR="00CE2761">
        <w:rPr>
          <w:rStyle w:val="normaltextrun"/>
          <w:rFonts w:ascii="Arial" w:hAnsi="Arial" w:cs="Arial"/>
          <w:color w:val="000000" w:themeColor="text1"/>
          <w:sz w:val="22"/>
          <w:szCs w:val="22"/>
          <w:lang w:val="es-ES_tradnl"/>
        </w:rPr>
        <w:t xml:space="preserve"> </w:t>
      </w:r>
      <w:r w:rsidRPr="004940E3">
        <w:rPr>
          <w:rStyle w:val="normaltextrun"/>
          <w:rFonts w:ascii="Arial" w:hAnsi="Arial" w:cs="Arial"/>
          <w:color w:val="000000" w:themeColor="text1"/>
          <w:sz w:val="22"/>
          <w:szCs w:val="22"/>
          <w:lang w:val="es-ES_tradnl"/>
        </w:rPr>
        <w:t>con copia de los contratos o con certificados de los contratos celebrados por el proponente con diferentes contratantes, quienes los expiden dando cuenta del contrato ejecutado y de que recibieron los bienes, obras o servicios de parte del proponente. Estos documentos deben codificarse de acuerdo con el clasificador de bienes y servicios en el tercer nivel</w:t>
      </w:r>
      <w:r w:rsidRPr="004940E3">
        <w:rPr>
          <w:rStyle w:val="Refdenotaalpie"/>
          <w:rFonts w:ascii="Arial" w:hAnsi="Arial" w:cs="Arial"/>
          <w:color w:val="000000" w:themeColor="text1"/>
          <w:sz w:val="22"/>
          <w:szCs w:val="22"/>
          <w:lang w:val="es-ES_tradnl"/>
        </w:rPr>
        <w:footnoteReference w:id="9"/>
      </w:r>
      <w:r w:rsidRPr="004940E3">
        <w:rPr>
          <w:rStyle w:val="normaltextrun"/>
          <w:rFonts w:ascii="Arial" w:hAnsi="Arial" w:cs="Arial"/>
          <w:color w:val="000000" w:themeColor="text1"/>
          <w:sz w:val="22"/>
          <w:szCs w:val="22"/>
          <w:lang w:val="es-ES_tradnl"/>
        </w:rPr>
        <w:t xml:space="preserve">. De esta manera, lo </w:t>
      </w:r>
      <w:r w:rsidRPr="004940E3">
        <w:rPr>
          <w:rStyle w:val="normaltextrun"/>
          <w:rFonts w:ascii="Arial" w:hAnsi="Arial" w:cs="Arial"/>
          <w:color w:val="000000" w:themeColor="text1"/>
          <w:sz w:val="22"/>
          <w:szCs w:val="22"/>
          <w:lang w:val="es-ES_tradnl"/>
        </w:rPr>
        <w:lastRenderedPageBreak/>
        <w:t>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totalmente idéntico.</w:t>
      </w:r>
      <w:r w:rsidR="00112B2E">
        <w:rPr>
          <w:rStyle w:val="normaltextrun"/>
          <w:rFonts w:ascii="Arial" w:hAnsi="Arial" w:cs="Arial"/>
          <w:color w:val="000000" w:themeColor="text1"/>
          <w:sz w:val="22"/>
          <w:szCs w:val="22"/>
          <w:lang w:val="es-ES_tradnl"/>
        </w:rPr>
        <w:t xml:space="preserve"> </w:t>
      </w:r>
      <w:r w:rsidRPr="004940E3">
        <w:rPr>
          <w:rStyle w:val="normaltextrun"/>
          <w:rFonts w:ascii="Arial" w:hAnsi="Arial" w:cs="Arial"/>
          <w:color w:val="000000" w:themeColor="text1"/>
          <w:sz w:val="22"/>
          <w:szCs w:val="22"/>
          <w:lang w:val="es-ES_tradnl"/>
        </w:rPr>
        <w:t>Es pertinente aclarar que los códigos del clasificador de bienes y servicios ayudan a que exista un lenguaje común en la denominación de los bienes, obras o servicios que los proveedores ofrecen y que las entidades solicita</w:t>
      </w:r>
      <w:r w:rsidR="00112B2E">
        <w:rPr>
          <w:rStyle w:val="normaltextrun"/>
          <w:rFonts w:ascii="Arial" w:hAnsi="Arial" w:cs="Arial"/>
          <w:color w:val="000000" w:themeColor="text1"/>
          <w:sz w:val="22"/>
          <w:szCs w:val="22"/>
          <w:lang w:val="es-ES_tradnl"/>
        </w:rPr>
        <w:t>n.</w:t>
      </w:r>
      <w:r w:rsidRPr="004940E3">
        <w:rPr>
          <w:rStyle w:val="eop"/>
          <w:rFonts w:ascii="Arial" w:hAnsi="Arial" w:cs="Arial"/>
          <w:color w:val="000000" w:themeColor="text1"/>
          <w:sz w:val="22"/>
          <w:szCs w:val="22"/>
          <w:lang w:val="es-ES_tradnl"/>
        </w:rPr>
        <w:t> </w:t>
      </w:r>
    </w:p>
    <w:p w14:paraId="71F2F6D6" w14:textId="42781ABF" w:rsidR="00DD5B04" w:rsidRPr="004940E3" w:rsidRDefault="00DD5B04" w:rsidP="00F07AA1">
      <w:pPr>
        <w:pStyle w:val="paragraph"/>
        <w:spacing w:before="120" w:beforeAutospacing="0" w:after="0" w:afterAutospacing="0" w:line="276" w:lineRule="auto"/>
        <w:ind w:firstLine="709"/>
        <w:jc w:val="both"/>
        <w:textAlignment w:val="baseline"/>
        <w:rPr>
          <w:rFonts w:ascii="Arial" w:hAnsi="Arial" w:cs="Arial"/>
          <w:color w:val="000000" w:themeColor="text1"/>
          <w:sz w:val="22"/>
          <w:szCs w:val="22"/>
          <w:lang w:val="es-ES_tradnl"/>
        </w:rPr>
      </w:pPr>
      <w:r w:rsidRPr="004940E3">
        <w:rPr>
          <w:rStyle w:val="normaltextrun"/>
          <w:rFonts w:ascii="Arial" w:hAnsi="Arial" w:cs="Arial"/>
          <w:color w:val="000000" w:themeColor="text1"/>
          <w:sz w:val="22"/>
          <w:szCs w:val="22"/>
          <w:lang w:val="es-ES_tradnl"/>
        </w:rPr>
        <w:t>Colombia Compra Eficiente considera que no es posible tener experiencia si en la práctica no se ha ejercido o ejecutado lo que se ofrece a otros contratantes. Precisamente</w:t>
      </w:r>
      <w:r w:rsidR="00112B2E">
        <w:rPr>
          <w:rStyle w:val="normaltextrun"/>
          <w:rFonts w:ascii="Arial" w:hAnsi="Arial" w:cs="Arial"/>
          <w:color w:val="000000" w:themeColor="text1"/>
          <w:sz w:val="22"/>
          <w:szCs w:val="22"/>
          <w:lang w:val="es-ES_tradnl"/>
        </w:rPr>
        <w:t>,</w:t>
      </w:r>
      <w:r w:rsidRPr="004940E3">
        <w:rPr>
          <w:rStyle w:val="normaltextrun"/>
          <w:rFonts w:ascii="Arial" w:hAnsi="Arial" w:cs="Arial"/>
          <w:color w:val="000000" w:themeColor="text1"/>
          <w:sz w:val="22"/>
          <w:szCs w:val="22"/>
          <w:lang w:val="es-ES_tradnl"/>
        </w:rPr>
        <w:t xml:space="preserve"> de esa experiencia es que se deriva el conocimiento que tiene el proponente, el cual es importante para la contratación pública, en la medida en que garantiza que no existirá</w:t>
      </w:r>
      <w:r w:rsidR="0067064C">
        <w:rPr>
          <w:rStyle w:val="normaltextrun"/>
          <w:rFonts w:ascii="Arial" w:hAnsi="Arial" w:cs="Arial"/>
          <w:color w:val="000000" w:themeColor="text1"/>
          <w:sz w:val="22"/>
          <w:szCs w:val="22"/>
          <w:lang w:val="es-ES_tradnl"/>
        </w:rPr>
        <w:t>n</w:t>
      </w:r>
      <w:r w:rsidRPr="004940E3">
        <w:rPr>
          <w:rStyle w:val="normaltextrun"/>
          <w:rFonts w:ascii="Arial" w:hAnsi="Arial" w:cs="Arial"/>
          <w:color w:val="000000" w:themeColor="text1"/>
          <w:sz w:val="22"/>
          <w:szCs w:val="22"/>
          <w:lang w:val="es-ES_tradnl"/>
        </w:rPr>
        <w:t xml:space="preserve"> improvisación o mayores costos por errores o dificultades originadas en realizar una actividad por primera vez. Adicionalmente, se entiende que la experiencia puede ser obtenida directamente o por participar asociado con otra persona, como es el caso de proponentes plurales como consorcios o uniones temporales, caso en el cual, aunque la experiencia no deja de ser personal, es compartida por tratarse de esquemas asociativos. Por otra parte, la Agencia recomienda que la experiencia que se solicite sea proporcional y no igual al objeto que se va a contratar, ya que esto puede limitar la participación de los proveedores por no haber ejecutado un objeto igual, aunque sí hubieran ejecutado uno similar, afectando con eso la pluralidad de oferentes. Igualmente, es importante resaltar que:</w:t>
      </w:r>
    </w:p>
    <w:p w14:paraId="10F45905" w14:textId="77777777" w:rsidR="00DD5B04" w:rsidRPr="004940E3" w:rsidRDefault="00DD5B04" w:rsidP="00F07AA1">
      <w:pPr>
        <w:pStyle w:val="paragraph"/>
        <w:spacing w:before="120" w:beforeAutospacing="0" w:after="0" w:afterAutospacing="0" w:line="276" w:lineRule="auto"/>
        <w:ind w:firstLine="709"/>
        <w:jc w:val="both"/>
        <w:textAlignment w:val="baseline"/>
        <w:rPr>
          <w:rFonts w:ascii="Arial" w:hAnsi="Arial" w:cs="Arial"/>
          <w:color w:val="000000" w:themeColor="text1"/>
          <w:sz w:val="22"/>
          <w:szCs w:val="22"/>
          <w:lang w:val="es-ES_tradnl"/>
        </w:rPr>
      </w:pPr>
      <w:r w:rsidRPr="004940E3">
        <w:rPr>
          <w:rStyle w:val="normaltextrun"/>
          <w:rFonts w:ascii="Arial" w:hAnsi="Arial" w:cs="Arial"/>
          <w:color w:val="000000" w:themeColor="text1"/>
          <w:sz w:val="22"/>
          <w:szCs w:val="22"/>
          <w:lang w:val="es-ES_tradnl"/>
        </w:rPr>
        <w:t>i) La experiencia es personal, esto es, se adquiere participando, directa o indirectamente, sin que sea posible no participar y tener una experiencia que no es propia.</w:t>
      </w:r>
    </w:p>
    <w:p w14:paraId="0907D03D" w14:textId="692A40B1" w:rsidR="00DD5B04" w:rsidRPr="004940E3" w:rsidRDefault="00DD5B04" w:rsidP="00F07AA1">
      <w:pPr>
        <w:pStyle w:val="paragraph"/>
        <w:spacing w:before="120" w:beforeAutospacing="0" w:after="0" w:afterAutospacing="0" w:line="276" w:lineRule="auto"/>
        <w:ind w:firstLine="709"/>
        <w:jc w:val="both"/>
        <w:textAlignment w:val="baseline"/>
        <w:rPr>
          <w:rFonts w:ascii="Arial" w:hAnsi="Arial" w:cs="Arial"/>
          <w:color w:val="000000" w:themeColor="text1"/>
          <w:sz w:val="22"/>
          <w:szCs w:val="22"/>
          <w:lang w:val="es-ES_tradnl"/>
        </w:rPr>
      </w:pPr>
      <w:proofErr w:type="spellStart"/>
      <w:r w:rsidRPr="004940E3">
        <w:rPr>
          <w:rStyle w:val="spellingerror"/>
          <w:rFonts w:ascii="Arial" w:hAnsi="Arial" w:cs="Arial"/>
          <w:color w:val="000000" w:themeColor="text1"/>
          <w:sz w:val="22"/>
          <w:szCs w:val="22"/>
          <w:lang w:val="es-ES_tradnl"/>
        </w:rPr>
        <w:t>ii</w:t>
      </w:r>
      <w:proofErr w:type="spellEnd"/>
      <w:r w:rsidRPr="004940E3">
        <w:rPr>
          <w:rStyle w:val="normaltextrun"/>
          <w:rFonts w:ascii="Arial" w:hAnsi="Arial" w:cs="Arial"/>
          <w:color w:val="000000" w:themeColor="text1"/>
          <w:sz w:val="22"/>
          <w:szCs w:val="22"/>
          <w:lang w:val="es-ES_tradnl"/>
        </w:rPr>
        <w:t xml:space="preserve">) La experiencia se puede compartir, sin que implique que la que </w:t>
      </w:r>
      <w:r w:rsidR="005F6CE2">
        <w:rPr>
          <w:rStyle w:val="normaltextrun"/>
          <w:rFonts w:ascii="Arial" w:hAnsi="Arial" w:cs="Arial"/>
          <w:color w:val="000000" w:themeColor="text1"/>
          <w:sz w:val="22"/>
          <w:szCs w:val="22"/>
          <w:lang w:val="es-ES_tradnl"/>
        </w:rPr>
        <w:t xml:space="preserve">se </w:t>
      </w:r>
      <w:r w:rsidRPr="004940E3">
        <w:rPr>
          <w:rStyle w:val="normaltextrun"/>
          <w:rFonts w:ascii="Arial" w:hAnsi="Arial" w:cs="Arial"/>
          <w:color w:val="000000" w:themeColor="text1"/>
          <w:sz w:val="22"/>
          <w:szCs w:val="22"/>
          <w:lang w:val="es-ES_tradnl"/>
        </w:rPr>
        <w:t>haya compartido a una persona se entienda suya, ya que dentro del procedimiento contractual se reflejará que esa persona tiene la experiencia de otra, como es el caso de la que le aportan los socios a las sociedades con menos de 3 años de constitución, lo cual constará en el RUP; o el de las figuras asociativas –consorcios y uniones temporales–, evento</w:t>
      </w:r>
      <w:r w:rsidR="003125E0">
        <w:rPr>
          <w:rStyle w:val="normaltextrun"/>
          <w:rFonts w:ascii="Arial" w:hAnsi="Arial" w:cs="Arial"/>
          <w:color w:val="000000" w:themeColor="text1"/>
          <w:sz w:val="22"/>
          <w:szCs w:val="22"/>
          <w:lang w:val="es-ES_tradnl"/>
        </w:rPr>
        <w:t xml:space="preserve"> </w:t>
      </w:r>
      <w:r w:rsidRPr="004940E3">
        <w:rPr>
          <w:rStyle w:val="normaltextrun"/>
          <w:rFonts w:ascii="Arial" w:hAnsi="Arial" w:cs="Arial"/>
          <w:color w:val="000000" w:themeColor="text1"/>
          <w:sz w:val="22"/>
          <w:szCs w:val="22"/>
          <w:lang w:val="es-ES_tradnl"/>
        </w:rPr>
        <w:t>que se verificará en el correspondiente documento privado de constitución.</w:t>
      </w:r>
    </w:p>
    <w:p w14:paraId="0BCC6937" w14:textId="77777777" w:rsidR="00DD5B04" w:rsidRPr="004940E3" w:rsidRDefault="00DD5B04" w:rsidP="00F07AA1">
      <w:pPr>
        <w:pStyle w:val="paragraph"/>
        <w:spacing w:before="120" w:beforeAutospacing="0" w:after="0" w:afterAutospacing="0" w:line="276" w:lineRule="auto"/>
        <w:ind w:firstLine="709"/>
        <w:jc w:val="both"/>
        <w:textAlignment w:val="baseline"/>
        <w:rPr>
          <w:rFonts w:ascii="Arial" w:hAnsi="Arial" w:cs="Arial"/>
          <w:color w:val="000000" w:themeColor="text1"/>
          <w:sz w:val="22"/>
          <w:szCs w:val="22"/>
          <w:lang w:val="es-ES_tradnl"/>
        </w:rPr>
      </w:pPr>
      <w:proofErr w:type="spellStart"/>
      <w:r w:rsidRPr="004940E3">
        <w:rPr>
          <w:rStyle w:val="spellingerror"/>
          <w:rFonts w:ascii="Arial" w:hAnsi="Arial" w:cs="Arial"/>
          <w:color w:val="000000" w:themeColor="text1"/>
          <w:sz w:val="22"/>
          <w:szCs w:val="22"/>
          <w:lang w:val="es-ES_tradnl"/>
        </w:rPr>
        <w:t>iii</w:t>
      </w:r>
      <w:proofErr w:type="spellEnd"/>
      <w:r w:rsidRPr="004940E3">
        <w:rPr>
          <w:rStyle w:val="normaltextrun"/>
          <w:rFonts w:ascii="Arial" w:hAnsi="Arial" w:cs="Arial"/>
          <w:color w:val="000000" w:themeColor="text1"/>
          <w:sz w:val="22"/>
          <w:szCs w:val="22"/>
          <w:lang w:val="es-ES_tradnl"/>
        </w:rPr>
        <w:t>) La experiencia se puede transferir y esto es diferente a compartirla, puesto que implica que la experiencia de una persona se traslada a otra, y esta última acredita esa experiencia como propia.</w:t>
      </w:r>
      <w:r w:rsidRPr="004940E3">
        <w:rPr>
          <w:rStyle w:val="eop"/>
          <w:rFonts w:ascii="Arial" w:hAnsi="Arial" w:cs="Arial"/>
          <w:color w:val="000000" w:themeColor="text1"/>
          <w:sz w:val="22"/>
          <w:szCs w:val="22"/>
          <w:lang w:val="es-ES_tradnl"/>
        </w:rPr>
        <w:t> </w:t>
      </w:r>
    </w:p>
    <w:p w14:paraId="3BED072C" w14:textId="77777777" w:rsidR="00DD5B04" w:rsidRPr="004940E3" w:rsidRDefault="00DD5B04" w:rsidP="00F07AA1">
      <w:pPr>
        <w:pStyle w:val="paragraph"/>
        <w:spacing w:before="120" w:beforeAutospacing="0" w:after="0" w:afterAutospacing="0" w:line="276" w:lineRule="auto"/>
        <w:ind w:firstLine="709"/>
        <w:jc w:val="both"/>
        <w:textAlignment w:val="baseline"/>
        <w:rPr>
          <w:rFonts w:ascii="Arial" w:hAnsi="Arial" w:cs="Arial"/>
          <w:color w:val="000000" w:themeColor="text1"/>
          <w:sz w:val="22"/>
          <w:szCs w:val="22"/>
          <w:lang w:val="es-ES_tradnl"/>
        </w:rPr>
      </w:pPr>
      <w:proofErr w:type="spellStart"/>
      <w:r w:rsidRPr="004940E3">
        <w:rPr>
          <w:rStyle w:val="spellingerror"/>
          <w:rFonts w:ascii="Arial" w:hAnsi="Arial" w:cs="Arial"/>
          <w:color w:val="000000" w:themeColor="text1"/>
          <w:sz w:val="22"/>
          <w:szCs w:val="22"/>
          <w:lang w:val="es-ES_tradnl"/>
        </w:rPr>
        <w:lastRenderedPageBreak/>
        <w:t>iv</w:t>
      </w:r>
      <w:proofErr w:type="spellEnd"/>
      <w:r w:rsidRPr="004940E3">
        <w:rPr>
          <w:rStyle w:val="normaltextrun"/>
          <w:rFonts w:ascii="Arial" w:hAnsi="Arial" w:cs="Arial"/>
          <w:color w:val="000000" w:themeColor="text1"/>
          <w:sz w:val="22"/>
          <w:szCs w:val="22"/>
          <w:lang w:val="es-ES_tradnl"/>
        </w:rPr>
        <w:t>) Cuando la persona que adquirió la experiencia desaparece o se liquida, no es posible que comparta o transfiera su experiencia, porque al ser personal sigue la suerte de quien la adquirió.</w:t>
      </w:r>
    </w:p>
    <w:p w14:paraId="0F38F290" w14:textId="4E510ABE" w:rsidR="00DD5B04" w:rsidRPr="004940E3" w:rsidRDefault="00DD5B04" w:rsidP="003125E0">
      <w:pPr>
        <w:spacing w:before="120" w:line="276" w:lineRule="auto"/>
        <w:ind w:firstLine="709"/>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 xml:space="preserve">La </w:t>
      </w:r>
      <w:r w:rsidRPr="004940E3">
        <w:rPr>
          <w:rFonts w:ascii="Arial" w:eastAsia="Calibri" w:hAnsi="Arial" w:cs="Arial"/>
          <w:bCs/>
          <w:i/>
          <w:iCs/>
          <w:color w:val="000000" w:themeColor="text1"/>
          <w:sz w:val="22"/>
          <w:lang w:val="es-ES_tradnl"/>
        </w:rPr>
        <w:t>capacidad financiera</w:t>
      </w:r>
      <w:r w:rsidRPr="004940E3">
        <w:rPr>
          <w:rFonts w:ascii="Arial" w:eastAsia="Calibri" w:hAnsi="Arial" w:cs="Arial"/>
          <w:i/>
          <w:iCs/>
          <w:color w:val="000000" w:themeColor="text1"/>
          <w:sz w:val="22"/>
          <w:lang w:val="es-ES_tradnl"/>
        </w:rPr>
        <w:t xml:space="preserve"> </w:t>
      </w:r>
      <w:r w:rsidRPr="004940E3">
        <w:rPr>
          <w:rFonts w:ascii="Arial" w:eastAsia="Calibri" w:hAnsi="Arial" w:cs="Arial"/>
          <w:color w:val="000000" w:themeColor="text1"/>
          <w:sz w:val="22"/>
          <w:lang w:val="es-ES_tradnl"/>
        </w:rPr>
        <w:t>se determina a través de la liquidez y el endeudamiento de los proponentes.</w:t>
      </w:r>
      <w:r w:rsidR="003125E0">
        <w:rPr>
          <w:rFonts w:ascii="Arial" w:eastAsia="Calibri" w:hAnsi="Arial" w:cs="Arial"/>
          <w:color w:val="000000" w:themeColor="text1"/>
          <w:sz w:val="22"/>
          <w:lang w:val="es-ES_tradnl"/>
        </w:rPr>
        <w:t xml:space="preserve"> </w:t>
      </w:r>
      <w:r w:rsidRPr="004940E3">
        <w:rPr>
          <w:rFonts w:ascii="Arial" w:eastAsia="Calibri" w:hAnsi="Arial" w:cs="Arial"/>
          <w:color w:val="000000" w:themeColor="text1"/>
          <w:sz w:val="22"/>
          <w:lang w:val="es-ES_tradnl"/>
        </w:rPr>
        <w:t>Busca establecer condiciones mínimas en relación con la «salud financiera» de estos últimos, particularmente</w:t>
      </w:r>
      <w:r w:rsidR="003125E0">
        <w:rPr>
          <w:rFonts w:ascii="Arial" w:eastAsia="Calibri" w:hAnsi="Arial" w:cs="Arial"/>
          <w:color w:val="000000" w:themeColor="text1"/>
          <w:sz w:val="22"/>
          <w:lang w:val="es-ES_tradnl"/>
        </w:rPr>
        <w:t>,</w:t>
      </w:r>
      <w:r w:rsidRPr="004940E3">
        <w:rPr>
          <w:rFonts w:ascii="Arial" w:eastAsia="Calibri" w:hAnsi="Arial" w:cs="Arial"/>
          <w:color w:val="000000" w:themeColor="text1"/>
          <w:sz w:val="22"/>
          <w:lang w:val="es-ES_tradnl"/>
        </w:rPr>
        <w:t xml:space="preserve"> demostrar su aptitud para cumplir oportuna y cabalmente el objeto del contrato. En ese sentido, la capacidad financiera que la entidad requiera para un proceso de contratación debe ser adecuada y proporcional a la naturaleza y al valor del contrato. Además, los requisitos de capacidad financiera deben ser establecidos con fundamento en los Estudios del Sector, los cuales pueden ser elaborados según la «Guía para la Elaboración de Estudios de Sector», de esta Agencia.</w:t>
      </w:r>
    </w:p>
    <w:p w14:paraId="16BE2E0B" w14:textId="4F249581" w:rsidR="00DD5B04" w:rsidRPr="004940E3" w:rsidRDefault="00DD5B04" w:rsidP="00F07AA1">
      <w:pPr>
        <w:spacing w:before="120" w:line="276" w:lineRule="auto"/>
        <w:ind w:firstLine="709"/>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 xml:space="preserve">En atención a la naturaleza del contrato a suscribir y su valor, plazo y forma de pago, la entidad debe </w:t>
      </w:r>
      <w:r w:rsidR="002834E9">
        <w:rPr>
          <w:rFonts w:ascii="Arial" w:eastAsia="Calibri" w:hAnsi="Arial" w:cs="Arial"/>
          <w:color w:val="000000" w:themeColor="text1"/>
          <w:sz w:val="22"/>
          <w:lang w:val="es-ES_tradnl"/>
        </w:rPr>
        <w:t>usar</w:t>
      </w:r>
      <w:r w:rsidRPr="004940E3">
        <w:rPr>
          <w:rFonts w:ascii="Arial" w:eastAsia="Calibri" w:hAnsi="Arial" w:cs="Arial"/>
          <w:color w:val="000000" w:themeColor="text1"/>
          <w:sz w:val="22"/>
          <w:lang w:val="es-ES_tradnl"/>
        </w:rPr>
        <w:t xml:space="preserve"> los indicadores que considere adecuados respecto del objeto del proceso de contratación, para lo cual no es suficiente la aplicación mecánica de fórmulas financieras,</w:t>
      </w:r>
      <w:r w:rsidR="002834E9">
        <w:rPr>
          <w:rFonts w:ascii="Arial" w:eastAsia="Calibri" w:hAnsi="Arial" w:cs="Arial"/>
          <w:color w:val="000000" w:themeColor="text1"/>
          <w:sz w:val="22"/>
          <w:lang w:val="es-ES_tradnl"/>
        </w:rPr>
        <w:t xml:space="preserve"> </w:t>
      </w:r>
      <w:r w:rsidRPr="004940E3">
        <w:rPr>
          <w:rFonts w:ascii="Arial" w:eastAsia="Calibri" w:hAnsi="Arial" w:cs="Arial"/>
          <w:color w:val="000000" w:themeColor="text1"/>
          <w:sz w:val="22"/>
          <w:lang w:val="es-ES_tradnl"/>
        </w:rPr>
        <w:t xml:space="preserve">pues deben conocer cada indicador, sus fórmulas de cálculo y su interpretación. Según el artículo 2.2.1.1.1.5.3. del Decreto 1082 de 2015, son indicadores de la capacidad financiera los siguientes: i) el </w:t>
      </w:r>
      <w:r w:rsidR="00524FD2">
        <w:rPr>
          <w:rFonts w:ascii="Arial" w:eastAsia="Calibri" w:hAnsi="Arial" w:cs="Arial"/>
          <w:i/>
          <w:iCs/>
          <w:color w:val="000000" w:themeColor="text1"/>
          <w:sz w:val="22"/>
          <w:lang w:val="es-ES_tradnl"/>
        </w:rPr>
        <w:t>í</w:t>
      </w:r>
      <w:r w:rsidRPr="004940E3">
        <w:rPr>
          <w:rFonts w:ascii="Arial" w:eastAsia="Calibri" w:hAnsi="Arial" w:cs="Arial"/>
          <w:i/>
          <w:iCs/>
          <w:color w:val="000000" w:themeColor="text1"/>
          <w:sz w:val="22"/>
          <w:lang w:val="es-ES_tradnl"/>
        </w:rPr>
        <w:t xml:space="preserve">ndice de </w:t>
      </w:r>
      <w:r w:rsidR="00524FD2">
        <w:rPr>
          <w:rFonts w:ascii="Arial" w:eastAsia="Calibri" w:hAnsi="Arial" w:cs="Arial"/>
          <w:i/>
          <w:iCs/>
          <w:color w:val="000000" w:themeColor="text1"/>
          <w:sz w:val="22"/>
          <w:lang w:val="es-ES_tradnl"/>
        </w:rPr>
        <w:t>l</w:t>
      </w:r>
      <w:r w:rsidRPr="004940E3">
        <w:rPr>
          <w:rFonts w:ascii="Arial" w:eastAsia="Calibri" w:hAnsi="Arial" w:cs="Arial"/>
          <w:i/>
          <w:iCs/>
          <w:color w:val="000000" w:themeColor="text1"/>
          <w:sz w:val="22"/>
          <w:lang w:val="es-ES_tradnl"/>
        </w:rPr>
        <w:t>iquidez</w:t>
      </w:r>
      <w:r w:rsidRPr="004940E3">
        <w:rPr>
          <w:rFonts w:ascii="Arial" w:eastAsia="Calibri" w:hAnsi="Arial" w:cs="Arial"/>
          <w:color w:val="000000" w:themeColor="text1"/>
          <w:sz w:val="22"/>
          <w:lang w:val="es-ES_tradnl"/>
        </w:rPr>
        <w:t xml:space="preserve">, que corresponde a la división entre el activo corriente y el pasivo corriente, y que determina la capacidad que tiene el proponente para cumplir con sus obligaciones de corto plazo; </w:t>
      </w:r>
      <w:proofErr w:type="spellStart"/>
      <w:r w:rsidRPr="004940E3">
        <w:rPr>
          <w:rFonts w:ascii="Arial" w:eastAsia="Calibri" w:hAnsi="Arial" w:cs="Arial"/>
          <w:color w:val="000000" w:themeColor="text1"/>
          <w:sz w:val="22"/>
          <w:lang w:val="es-ES_tradnl"/>
        </w:rPr>
        <w:t>ii</w:t>
      </w:r>
      <w:proofErr w:type="spellEnd"/>
      <w:r w:rsidRPr="004940E3">
        <w:rPr>
          <w:rFonts w:ascii="Arial" w:eastAsia="Calibri" w:hAnsi="Arial" w:cs="Arial"/>
          <w:color w:val="000000" w:themeColor="text1"/>
          <w:sz w:val="22"/>
          <w:lang w:val="es-ES_tradnl"/>
        </w:rPr>
        <w:t xml:space="preserve">) el </w:t>
      </w:r>
      <w:r w:rsidR="00524FD2">
        <w:rPr>
          <w:rFonts w:ascii="Arial" w:eastAsia="Calibri" w:hAnsi="Arial" w:cs="Arial"/>
          <w:i/>
          <w:iCs/>
          <w:color w:val="000000" w:themeColor="text1"/>
          <w:sz w:val="22"/>
          <w:lang w:val="es-ES_tradnl"/>
        </w:rPr>
        <w:t>í</w:t>
      </w:r>
      <w:r w:rsidRPr="004940E3">
        <w:rPr>
          <w:rFonts w:ascii="Arial" w:eastAsia="Calibri" w:hAnsi="Arial" w:cs="Arial"/>
          <w:i/>
          <w:iCs/>
          <w:color w:val="000000" w:themeColor="text1"/>
          <w:sz w:val="22"/>
          <w:lang w:val="es-ES_tradnl"/>
        </w:rPr>
        <w:t xml:space="preserve">ndice de </w:t>
      </w:r>
      <w:r w:rsidR="00524FD2">
        <w:rPr>
          <w:rFonts w:ascii="Arial" w:eastAsia="Calibri" w:hAnsi="Arial" w:cs="Arial"/>
          <w:i/>
          <w:iCs/>
          <w:color w:val="000000" w:themeColor="text1"/>
          <w:sz w:val="22"/>
          <w:lang w:val="es-ES_tradnl"/>
        </w:rPr>
        <w:t>e</w:t>
      </w:r>
      <w:r w:rsidRPr="004940E3">
        <w:rPr>
          <w:rFonts w:ascii="Arial" w:eastAsia="Calibri" w:hAnsi="Arial" w:cs="Arial"/>
          <w:i/>
          <w:iCs/>
          <w:color w:val="000000" w:themeColor="text1"/>
          <w:sz w:val="22"/>
          <w:lang w:val="es-ES_tradnl"/>
        </w:rPr>
        <w:t>ndeudamiento</w:t>
      </w:r>
      <w:r w:rsidRPr="004940E3">
        <w:rPr>
          <w:rFonts w:ascii="Arial" w:eastAsia="Calibri" w:hAnsi="Arial" w:cs="Arial"/>
          <w:color w:val="000000" w:themeColor="text1"/>
          <w:sz w:val="22"/>
          <w:lang w:val="es-ES_tradnl"/>
        </w:rPr>
        <w:t xml:space="preserve">, que se calcula dividiendo el pasivo total por el activo total, el cual determina el grado de endeudamiento en la estructura de financiación del proponente; y </w:t>
      </w:r>
      <w:proofErr w:type="spellStart"/>
      <w:r w:rsidRPr="004940E3">
        <w:rPr>
          <w:rFonts w:ascii="Arial" w:eastAsia="Calibri" w:hAnsi="Arial" w:cs="Arial"/>
          <w:color w:val="000000" w:themeColor="text1"/>
          <w:sz w:val="22"/>
          <w:lang w:val="es-ES_tradnl"/>
        </w:rPr>
        <w:t>iii</w:t>
      </w:r>
      <w:proofErr w:type="spellEnd"/>
      <w:r w:rsidRPr="004940E3">
        <w:rPr>
          <w:rFonts w:ascii="Arial" w:eastAsia="Calibri" w:hAnsi="Arial" w:cs="Arial"/>
          <w:color w:val="000000" w:themeColor="text1"/>
          <w:sz w:val="22"/>
          <w:lang w:val="es-ES_tradnl"/>
        </w:rPr>
        <w:t xml:space="preserve">) la </w:t>
      </w:r>
      <w:r w:rsidR="00524FD2">
        <w:rPr>
          <w:rFonts w:ascii="Arial" w:eastAsia="Calibri" w:hAnsi="Arial" w:cs="Arial"/>
          <w:i/>
          <w:iCs/>
          <w:color w:val="000000" w:themeColor="text1"/>
          <w:sz w:val="22"/>
          <w:lang w:val="es-ES_tradnl"/>
        </w:rPr>
        <w:t>r</w:t>
      </w:r>
      <w:r w:rsidRPr="004940E3">
        <w:rPr>
          <w:rFonts w:ascii="Arial" w:eastAsia="Calibri" w:hAnsi="Arial" w:cs="Arial"/>
          <w:i/>
          <w:iCs/>
          <w:color w:val="000000" w:themeColor="text1"/>
          <w:sz w:val="22"/>
          <w:lang w:val="es-ES_tradnl"/>
        </w:rPr>
        <w:t xml:space="preserve">azón de </w:t>
      </w:r>
      <w:r w:rsidR="00524FD2">
        <w:rPr>
          <w:rFonts w:ascii="Arial" w:eastAsia="Calibri" w:hAnsi="Arial" w:cs="Arial"/>
          <w:i/>
          <w:iCs/>
          <w:color w:val="000000" w:themeColor="text1"/>
          <w:sz w:val="22"/>
          <w:lang w:val="es-ES_tradnl"/>
        </w:rPr>
        <w:t>c</w:t>
      </w:r>
      <w:r w:rsidRPr="004940E3">
        <w:rPr>
          <w:rFonts w:ascii="Arial" w:eastAsia="Calibri" w:hAnsi="Arial" w:cs="Arial"/>
          <w:i/>
          <w:iCs/>
          <w:color w:val="000000" w:themeColor="text1"/>
          <w:sz w:val="22"/>
          <w:lang w:val="es-ES_tradnl"/>
        </w:rPr>
        <w:t xml:space="preserve">obertura de </w:t>
      </w:r>
      <w:r w:rsidR="00524FD2">
        <w:rPr>
          <w:rFonts w:ascii="Arial" w:eastAsia="Calibri" w:hAnsi="Arial" w:cs="Arial"/>
          <w:i/>
          <w:iCs/>
          <w:color w:val="000000" w:themeColor="text1"/>
          <w:sz w:val="22"/>
          <w:lang w:val="es-ES_tradnl"/>
        </w:rPr>
        <w:t>i</w:t>
      </w:r>
      <w:r w:rsidRPr="004940E3">
        <w:rPr>
          <w:rFonts w:ascii="Arial" w:eastAsia="Calibri" w:hAnsi="Arial" w:cs="Arial"/>
          <w:i/>
          <w:iCs/>
          <w:color w:val="000000" w:themeColor="text1"/>
          <w:sz w:val="22"/>
          <w:lang w:val="es-ES_tradnl"/>
        </w:rPr>
        <w:t>ntereses</w:t>
      </w:r>
      <w:r w:rsidRPr="004940E3">
        <w:rPr>
          <w:rFonts w:ascii="Arial" w:eastAsia="Calibri" w:hAnsi="Arial" w:cs="Arial"/>
          <w:color w:val="000000" w:themeColor="text1"/>
          <w:sz w:val="22"/>
          <w:lang w:val="es-ES_tradnl"/>
        </w:rPr>
        <w:t xml:space="preserve">, que es igual a la utilidad operacional, sobre los gastos de intereses, y que refleja la capacidad del proponente </w:t>
      </w:r>
      <w:r w:rsidR="00006081">
        <w:rPr>
          <w:rFonts w:ascii="Arial" w:eastAsia="Calibri" w:hAnsi="Arial" w:cs="Arial"/>
          <w:color w:val="000000" w:themeColor="text1"/>
          <w:sz w:val="22"/>
          <w:lang w:val="es-ES_tradnl"/>
        </w:rPr>
        <w:t>para</w:t>
      </w:r>
      <w:r w:rsidRPr="004940E3">
        <w:rPr>
          <w:rFonts w:ascii="Arial" w:eastAsia="Calibri" w:hAnsi="Arial" w:cs="Arial"/>
          <w:color w:val="000000" w:themeColor="text1"/>
          <w:sz w:val="22"/>
          <w:lang w:val="es-ES_tradnl"/>
        </w:rPr>
        <w:t xml:space="preserve"> cumplir con sus obligaciones financieras. Adicionalmente, Colombia Compra Eficiente recomienda valorar otro tipo de indicadores como el </w:t>
      </w:r>
      <w:r w:rsidRPr="004940E3">
        <w:rPr>
          <w:rFonts w:ascii="Arial" w:eastAsia="Calibri" w:hAnsi="Arial" w:cs="Arial"/>
          <w:i/>
          <w:iCs/>
          <w:color w:val="000000" w:themeColor="text1"/>
          <w:sz w:val="22"/>
          <w:lang w:val="es-ES_tradnl"/>
        </w:rPr>
        <w:t>capital de trabajo</w:t>
      </w:r>
      <w:r w:rsidRPr="004940E3">
        <w:rPr>
          <w:rFonts w:ascii="Arial" w:eastAsia="Calibri" w:hAnsi="Arial" w:cs="Arial"/>
          <w:color w:val="000000" w:themeColor="text1"/>
          <w:sz w:val="22"/>
          <w:lang w:val="es-ES_tradnl"/>
        </w:rPr>
        <w:t xml:space="preserve">, la </w:t>
      </w:r>
      <w:r w:rsidRPr="004940E3">
        <w:rPr>
          <w:rFonts w:ascii="Arial" w:eastAsia="Calibri" w:hAnsi="Arial" w:cs="Arial"/>
          <w:i/>
          <w:iCs/>
          <w:color w:val="000000" w:themeColor="text1"/>
          <w:sz w:val="22"/>
          <w:lang w:val="es-ES_tradnl"/>
        </w:rPr>
        <w:t>razón de efectivo</w:t>
      </w:r>
      <w:r w:rsidRPr="004940E3">
        <w:rPr>
          <w:rFonts w:ascii="Arial" w:eastAsia="Calibri" w:hAnsi="Arial" w:cs="Arial"/>
          <w:color w:val="000000" w:themeColor="text1"/>
          <w:sz w:val="22"/>
          <w:lang w:val="es-ES_tradnl"/>
        </w:rPr>
        <w:t xml:space="preserve">, la denominada </w:t>
      </w:r>
      <w:r w:rsidRPr="004940E3">
        <w:rPr>
          <w:rFonts w:ascii="Arial" w:eastAsia="Calibri" w:hAnsi="Arial" w:cs="Arial"/>
          <w:i/>
          <w:iCs/>
          <w:color w:val="000000" w:themeColor="text1"/>
          <w:sz w:val="22"/>
          <w:lang w:val="es-ES_tradnl"/>
        </w:rPr>
        <w:t>prueba ácida</w:t>
      </w:r>
      <w:r w:rsidRPr="004940E3">
        <w:rPr>
          <w:rStyle w:val="Refdenotaalpie"/>
          <w:rFonts w:ascii="Arial" w:eastAsia="Calibri" w:hAnsi="Arial" w:cs="Arial"/>
          <w:color w:val="000000" w:themeColor="text1"/>
          <w:sz w:val="22"/>
          <w:lang w:val="es-ES_tradnl"/>
        </w:rPr>
        <w:footnoteReference w:id="10"/>
      </w:r>
      <w:r w:rsidRPr="004940E3">
        <w:rPr>
          <w:rFonts w:ascii="Arial" w:eastAsia="Calibri" w:hAnsi="Arial" w:cs="Arial"/>
          <w:color w:val="000000" w:themeColor="text1"/>
          <w:sz w:val="22"/>
          <w:lang w:val="es-ES_tradnl"/>
        </w:rPr>
        <w:t xml:space="preserve">, la </w:t>
      </w:r>
      <w:r w:rsidRPr="004940E3">
        <w:rPr>
          <w:rFonts w:ascii="Arial" w:eastAsia="Calibri" w:hAnsi="Arial" w:cs="Arial"/>
          <w:i/>
          <w:iCs/>
          <w:color w:val="000000" w:themeColor="text1"/>
          <w:sz w:val="22"/>
          <w:lang w:val="es-ES_tradnl"/>
        </w:rPr>
        <w:t xml:space="preserve">concentración de endeudamiento a corto </w:t>
      </w:r>
      <w:r w:rsidRPr="004940E3">
        <w:rPr>
          <w:rFonts w:ascii="Arial" w:eastAsia="Calibri" w:hAnsi="Arial" w:cs="Arial"/>
          <w:color w:val="000000" w:themeColor="text1"/>
          <w:sz w:val="22"/>
          <w:lang w:val="es-ES_tradnl"/>
        </w:rPr>
        <w:t>y</w:t>
      </w:r>
      <w:r w:rsidRPr="004940E3">
        <w:rPr>
          <w:rFonts w:ascii="Arial" w:eastAsia="Calibri" w:hAnsi="Arial" w:cs="Arial"/>
          <w:i/>
          <w:iCs/>
          <w:color w:val="000000" w:themeColor="text1"/>
          <w:sz w:val="22"/>
          <w:lang w:val="es-ES_tradnl"/>
        </w:rPr>
        <w:t xml:space="preserve"> a largo plazo</w:t>
      </w:r>
      <w:r w:rsidRPr="004940E3">
        <w:rPr>
          <w:rFonts w:ascii="Arial" w:eastAsia="Calibri" w:hAnsi="Arial" w:cs="Arial"/>
          <w:color w:val="000000" w:themeColor="text1"/>
          <w:sz w:val="22"/>
          <w:lang w:val="es-ES_tradnl"/>
        </w:rPr>
        <w:t xml:space="preserve"> y el </w:t>
      </w:r>
      <w:r w:rsidRPr="004940E3">
        <w:rPr>
          <w:rFonts w:ascii="Arial" w:eastAsia="Calibri" w:hAnsi="Arial" w:cs="Arial"/>
          <w:i/>
          <w:iCs/>
          <w:color w:val="000000" w:themeColor="text1"/>
          <w:sz w:val="22"/>
          <w:lang w:val="es-ES_tradnl"/>
        </w:rPr>
        <w:t>patrimonio</w:t>
      </w:r>
      <w:r w:rsidRPr="004940E3">
        <w:rPr>
          <w:rFonts w:ascii="Arial" w:eastAsia="Calibri" w:hAnsi="Arial" w:cs="Arial"/>
          <w:color w:val="000000" w:themeColor="text1"/>
          <w:sz w:val="22"/>
          <w:lang w:val="es-ES_tradnl"/>
        </w:rPr>
        <w:t>.</w:t>
      </w:r>
    </w:p>
    <w:p w14:paraId="18F92A86" w14:textId="77777777" w:rsidR="00DD5B04" w:rsidRPr="004940E3" w:rsidRDefault="00DD5B04" w:rsidP="00F07AA1">
      <w:pPr>
        <w:spacing w:before="120" w:line="276" w:lineRule="auto"/>
        <w:ind w:firstLine="709"/>
        <w:jc w:val="both"/>
        <w:rPr>
          <w:rFonts w:ascii="Arial" w:eastAsia="Calibri" w:hAnsi="Arial" w:cs="Arial"/>
          <w:color w:val="000000" w:themeColor="text1"/>
          <w:sz w:val="22"/>
          <w:lang w:val="es-ES_tradnl"/>
        </w:rPr>
      </w:pPr>
      <w:r w:rsidRPr="004940E3">
        <w:rPr>
          <w:rFonts w:ascii="Arial" w:hAnsi="Arial" w:cs="Arial"/>
          <w:color w:val="000000" w:themeColor="text1"/>
          <w:sz w:val="22"/>
          <w:lang w:val="es-ES_tradnl"/>
        </w:rPr>
        <w:t>L</w:t>
      </w:r>
      <w:r w:rsidRPr="004940E3">
        <w:rPr>
          <w:rFonts w:ascii="Arial" w:eastAsia="Calibri" w:hAnsi="Arial" w:cs="Arial"/>
          <w:color w:val="000000" w:themeColor="text1"/>
          <w:sz w:val="22"/>
          <w:lang w:val="es-ES_tradnl"/>
        </w:rPr>
        <w:t xml:space="preserve">a </w:t>
      </w:r>
      <w:r w:rsidRPr="004940E3">
        <w:rPr>
          <w:rFonts w:ascii="Arial" w:eastAsia="Calibri" w:hAnsi="Arial" w:cs="Arial"/>
          <w:bCs/>
          <w:i/>
          <w:iCs/>
          <w:color w:val="000000" w:themeColor="text1"/>
          <w:sz w:val="22"/>
          <w:lang w:val="es-ES_tradnl"/>
        </w:rPr>
        <w:t>capacidad de organización</w:t>
      </w:r>
      <w:r w:rsidRPr="004940E3">
        <w:rPr>
          <w:rFonts w:ascii="Arial" w:eastAsia="Calibri" w:hAnsi="Arial" w:cs="Arial"/>
          <w:color w:val="000000" w:themeColor="text1"/>
          <w:sz w:val="22"/>
          <w:lang w:val="es-ES_tradnl"/>
        </w:rPr>
        <w:t>, s</w:t>
      </w:r>
      <w:r w:rsidRPr="004940E3">
        <w:rPr>
          <w:rFonts w:ascii="Arial" w:hAnsi="Arial" w:cs="Arial"/>
          <w:color w:val="000000" w:themeColor="text1"/>
          <w:sz w:val="22"/>
          <w:lang w:val="es-ES_tradnl"/>
        </w:rPr>
        <w:t xml:space="preserve">egún el «Manual para determinar y verificar los requisitos habilitantes en los Procesos de Contratación», elaborado por la Agencia Nacional de Contratación Pública, </w:t>
      </w:r>
      <w:r w:rsidRPr="004940E3">
        <w:rPr>
          <w:rFonts w:ascii="Arial" w:eastAsia="Calibri" w:hAnsi="Arial" w:cs="Arial"/>
          <w:color w:val="000000" w:themeColor="text1"/>
          <w:sz w:val="22"/>
          <w:lang w:val="es-ES_tradnl"/>
        </w:rPr>
        <w:t xml:space="preserve">es «la aptitud de un proponente para cumplir oportuna y cabalmente el objeto del contrato en función de su organización interna». Según el artículo 2.2.1.1.1.5.3., numeral 4, del Decreto 1082 de 2015, los indicadores para medir la capacidad organizacional de un proponente son: por un lado, la </w:t>
      </w:r>
      <w:r w:rsidRPr="004940E3">
        <w:rPr>
          <w:rFonts w:ascii="Arial" w:eastAsia="Calibri" w:hAnsi="Arial" w:cs="Arial"/>
          <w:i/>
          <w:iCs/>
          <w:color w:val="000000" w:themeColor="text1"/>
          <w:sz w:val="22"/>
          <w:lang w:val="es-ES_tradnl"/>
        </w:rPr>
        <w:t>rentabilidad del patrimonio</w:t>
      </w:r>
      <w:r w:rsidRPr="004940E3">
        <w:rPr>
          <w:rFonts w:ascii="Arial" w:eastAsia="Calibri" w:hAnsi="Arial" w:cs="Arial"/>
          <w:color w:val="000000" w:themeColor="text1"/>
          <w:sz w:val="22"/>
          <w:lang w:val="es-ES_tradnl"/>
        </w:rPr>
        <w:t xml:space="preserve">, que corresponde a la utilidad operacional dividida por el patrimonio, y que determina la rentabilidad del patrimonio del proponente, es decir, la capacidad de generación de utilidad operacional por cada peso invertido en el patrimonio, del tal forma que, a mayor rentabilidad </w:t>
      </w:r>
      <w:r w:rsidRPr="004940E3">
        <w:rPr>
          <w:rFonts w:ascii="Arial" w:eastAsia="Calibri" w:hAnsi="Arial" w:cs="Arial"/>
          <w:color w:val="000000" w:themeColor="text1"/>
          <w:sz w:val="22"/>
          <w:lang w:val="es-ES_tradnl"/>
        </w:rPr>
        <w:lastRenderedPageBreak/>
        <w:t xml:space="preserve">sobre el patrimonio, mayor es la rentabilidad de los accionistas y mejor la capacidad organizacional del proponente. Por el otro, la </w:t>
      </w:r>
      <w:r w:rsidRPr="004940E3">
        <w:rPr>
          <w:rFonts w:ascii="Arial" w:eastAsia="Calibri" w:hAnsi="Arial" w:cs="Arial"/>
          <w:i/>
          <w:iCs/>
          <w:color w:val="000000" w:themeColor="text1"/>
          <w:sz w:val="22"/>
          <w:lang w:val="es-ES_tradnl"/>
        </w:rPr>
        <w:t>rentabilidad del activo</w:t>
      </w:r>
      <w:r w:rsidRPr="004940E3">
        <w:rPr>
          <w:rFonts w:ascii="Arial" w:eastAsia="Calibri" w:hAnsi="Arial" w:cs="Arial"/>
          <w:color w:val="000000" w:themeColor="text1"/>
          <w:sz w:val="22"/>
          <w:lang w:val="es-ES_tradnl"/>
        </w:rPr>
        <w:t>, que se calcula al dividir la utilidad operacional por el activo total, y que mide la rentabilidad de los activos del proponente, esto es, la capacidad de generación de utilidad operacional por cada peso invertido en el activo, de tal manera que, a mayor rentabilidad sobre activos, mayor es la rentabilidad del negocio y mejor la capacidad organizacional del proponente. Este último indicador debe ser, en todo caso, menor o igual que el referido indicador de rentabilidad sobre patrimonio.</w:t>
      </w:r>
    </w:p>
    <w:p w14:paraId="29E117F2" w14:textId="2849E17A" w:rsidR="00DD5B04" w:rsidRPr="004940E3" w:rsidRDefault="00DD5B04" w:rsidP="00F07AA1">
      <w:pPr>
        <w:spacing w:before="120" w:line="276" w:lineRule="auto"/>
        <w:ind w:firstLine="709"/>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A juicio de esta Agencia, también son relevantes los siguientes indicadores</w:t>
      </w:r>
      <w:r w:rsidRPr="004940E3">
        <w:rPr>
          <w:rFonts w:ascii="Arial" w:hAnsi="Arial" w:cs="Arial"/>
          <w:color w:val="000000" w:themeColor="text1"/>
          <w:sz w:val="22"/>
          <w:lang w:val="es-ES_tradnl"/>
        </w:rPr>
        <w:t xml:space="preserve">, pero únicamente </w:t>
      </w:r>
      <w:r w:rsidRPr="004940E3">
        <w:rPr>
          <w:rFonts w:ascii="Arial" w:eastAsia="Calibri" w:hAnsi="Arial" w:cs="Arial"/>
          <w:color w:val="000000" w:themeColor="text1"/>
          <w:sz w:val="22"/>
          <w:lang w:val="es-ES_tradnl"/>
        </w:rPr>
        <w:t xml:space="preserve">en aquellos casos en los que, por las características del objeto a contratar, la naturaleza o </w:t>
      </w:r>
      <w:r w:rsidR="002A3D94">
        <w:rPr>
          <w:rFonts w:ascii="Arial" w:eastAsia="Calibri" w:hAnsi="Arial" w:cs="Arial"/>
          <w:color w:val="000000" w:themeColor="text1"/>
          <w:sz w:val="22"/>
          <w:lang w:val="es-ES_tradnl"/>
        </w:rPr>
        <w:t xml:space="preserve">la </w:t>
      </w:r>
      <w:r w:rsidRPr="004940E3">
        <w:rPr>
          <w:rFonts w:ascii="Arial" w:eastAsia="Calibri" w:hAnsi="Arial" w:cs="Arial"/>
          <w:color w:val="000000" w:themeColor="text1"/>
          <w:sz w:val="22"/>
          <w:lang w:val="es-ES_tradnl"/>
        </w:rPr>
        <w:t>complejidad del proceso de contratación, se requiera</w:t>
      </w:r>
      <w:r w:rsidR="007963F6">
        <w:rPr>
          <w:rFonts w:ascii="Arial" w:eastAsia="Calibri" w:hAnsi="Arial" w:cs="Arial"/>
          <w:color w:val="000000" w:themeColor="text1"/>
          <w:sz w:val="22"/>
          <w:lang w:val="es-ES_tradnl"/>
        </w:rPr>
        <w:t>n</w:t>
      </w:r>
      <w:r w:rsidRPr="004940E3">
        <w:rPr>
          <w:rFonts w:ascii="Arial" w:eastAsia="Calibri" w:hAnsi="Arial" w:cs="Arial"/>
          <w:color w:val="000000" w:themeColor="text1"/>
          <w:sz w:val="22"/>
          <w:lang w:val="es-ES_tradnl"/>
        </w:rPr>
        <w:t xml:space="preserve">: i) margen bruto; </w:t>
      </w:r>
      <w:proofErr w:type="spellStart"/>
      <w:r w:rsidRPr="004940E3">
        <w:rPr>
          <w:rFonts w:ascii="Arial" w:eastAsia="Calibri" w:hAnsi="Arial" w:cs="Arial"/>
          <w:color w:val="000000" w:themeColor="text1"/>
          <w:sz w:val="22"/>
          <w:lang w:val="es-ES_tradnl"/>
        </w:rPr>
        <w:t>ii</w:t>
      </w:r>
      <w:proofErr w:type="spellEnd"/>
      <w:r w:rsidRPr="004940E3">
        <w:rPr>
          <w:rFonts w:ascii="Arial" w:eastAsia="Calibri" w:hAnsi="Arial" w:cs="Arial"/>
          <w:color w:val="000000" w:themeColor="text1"/>
          <w:sz w:val="22"/>
          <w:lang w:val="es-ES_tradnl"/>
        </w:rPr>
        <w:t xml:space="preserve">) margen operacional; </w:t>
      </w:r>
      <w:proofErr w:type="spellStart"/>
      <w:r w:rsidRPr="004940E3">
        <w:rPr>
          <w:rFonts w:ascii="Arial" w:eastAsia="Calibri" w:hAnsi="Arial" w:cs="Arial"/>
          <w:color w:val="000000" w:themeColor="text1"/>
          <w:sz w:val="22"/>
          <w:lang w:val="es-ES_tradnl"/>
        </w:rPr>
        <w:t>iii</w:t>
      </w:r>
      <w:proofErr w:type="spellEnd"/>
      <w:r w:rsidRPr="004940E3">
        <w:rPr>
          <w:rFonts w:ascii="Arial" w:eastAsia="Calibri" w:hAnsi="Arial" w:cs="Arial"/>
          <w:color w:val="000000" w:themeColor="text1"/>
          <w:sz w:val="22"/>
          <w:lang w:val="es-ES_tradnl"/>
        </w:rPr>
        <w:t xml:space="preserve">) margen neto; </w:t>
      </w:r>
      <w:proofErr w:type="spellStart"/>
      <w:r w:rsidRPr="004940E3">
        <w:rPr>
          <w:rFonts w:ascii="Arial" w:eastAsia="Calibri" w:hAnsi="Arial" w:cs="Arial"/>
          <w:color w:val="000000" w:themeColor="text1"/>
          <w:sz w:val="22"/>
          <w:lang w:val="es-ES_tradnl"/>
        </w:rPr>
        <w:t>iv</w:t>
      </w:r>
      <w:proofErr w:type="spellEnd"/>
      <w:r w:rsidRPr="004940E3">
        <w:rPr>
          <w:rFonts w:ascii="Arial" w:eastAsia="Calibri" w:hAnsi="Arial" w:cs="Arial"/>
          <w:color w:val="000000" w:themeColor="text1"/>
          <w:sz w:val="22"/>
          <w:lang w:val="es-ES_tradnl"/>
        </w:rPr>
        <w:t xml:space="preserve">) retorno sobre capital invertido; v) rotación de activos totales; vi) rotación de activos fijos; y </w:t>
      </w:r>
      <w:proofErr w:type="spellStart"/>
      <w:r w:rsidRPr="004940E3">
        <w:rPr>
          <w:rFonts w:ascii="Arial" w:eastAsia="Calibri" w:hAnsi="Arial" w:cs="Arial"/>
          <w:color w:val="000000" w:themeColor="text1"/>
          <w:sz w:val="22"/>
          <w:lang w:val="es-ES_tradnl"/>
        </w:rPr>
        <w:t>vii</w:t>
      </w:r>
      <w:proofErr w:type="spellEnd"/>
      <w:r w:rsidRPr="004940E3">
        <w:rPr>
          <w:rFonts w:ascii="Arial" w:eastAsia="Calibri" w:hAnsi="Arial" w:cs="Arial"/>
          <w:color w:val="000000" w:themeColor="text1"/>
          <w:sz w:val="22"/>
          <w:lang w:val="es-ES_tradnl"/>
        </w:rPr>
        <w:t>) rotación de inventarios.</w:t>
      </w:r>
    </w:p>
    <w:p w14:paraId="1FA51619" w14:textId="77777777" w:rsidR="00EF2547" w:rsidRDefault="00EF2547" w:rsidP="00EF2547">
      <w:pPr>
        <w:tabs>
          <w:tab w:val="left" w:pos="0"/>
        </w:tabs>
        <w:spacing w:line="276" w:lineRule="auto"/>
        <w:jc w:val="both"/>
        <w:rPr>
          <w:rFonts w:ascii="Arial" w:eastAsia="Calibri" w:hAnsi="Arial" w:cs="Arial"/>
          <w:b/>
          <w:color w:val="000000" w:themeColor="text1"/>
          <w:sz w:val="22"/>
          <w:lang w:val="es-ES_tradnl"/>
        </w:rPr>
      </w:pPr>
    </w:p>
    <w:p w14:paraId="3684E785" w14:textId="7A2B2613" w:rsidR="00EF2547" w:rsidRPr="004940E3" w:rsidRDefault="00EF2547" w:rsidP="00EF2547">
      <w:pPr>
        <w:tabs>
          <w:tab w:val="left" w:pos="0"/>
        </w:tabs>
        <w:spacing w:line="276" w:lineRule="auto"/>
        <w:jc w:val="both"/>
        <w:rPr>
          <w:rFonts w:ascii="Arial" w:eastAsia="Calibri" w:hAnsi="Arial" w:cs="Arial"/>
          <w:b/>
          <w:color w:val="000000" w:themeColor="text1"/>
          <w:sz w:val="22"/>
          <w:lang w:val="es-ES_tradnl"/>
        </w:rPr>
      </w:pPr>
      <w:r w:rsidRPr="004940E3">
        <w:rPr>
          <w:rFonts w:ascii="Arial" w:eastAsia="Calibri" w:hAnsi="Arial" w:cs="Arial"/>
          <w:b/>
          <w:color w:val="000000" w:themeColor="text1"/>
          <w:sz w:val="22"/>
          <w:lang w:val="es-ES_tradnl"/>
        </w:rPr>
        <w:t>2.2. Carácter enunciativo de los requisitos habilitantes previstos en el artículo 5, numeral 1, de la Ley 1150 de 2007</w:t>
      </w:r>
      <w:r w:rsidR="00710668">
        <w:rPr>
          <w:rFonts w:ascii="Arial" w:eastAsia="Calibri" w:hAnsi="Arial" w:cs="Arial"/>
          <w:b/>
          <w:color w:val="000000" w:themeColor="text1"/>
          <w:sz w:val="22"/>
          <w:lang w:val="es-ES_tradnl"/>
        </w:rPr>
        <w:t xml:space="preserve"> y </w:t>
      </w:r>
      <w:r w:rsidR="00710668" w:rsidRPr="00710668">
        <w:rPr>
          <w:rFonts w:ascii="Arial" w:eastAsia="Calibri" w:hAnsi="Arial" w:cs="Arial"/>
          <w:b/>
          <w:color w:val="000000" w:themeColor="text1"/>
          <w:sz w:val="22"/>
          <w:lang w:val="es-ES_tradnl"/>
        </w:rPr>
        <w:t>autonomía de la voluntad de las entidades estatales para establece</w:t>
      </w:r>
      <w:r w:rsidR="00B24F94">
        <w:rPr>
          <w:rFonts w:ascii="Arial" w:eastAsia="Calibri" w:hAnsi="Arial" w:cs="Arial"/>
          <w:b/>
          <w:color w:val="000000" w:themeColor="text1"/>
          <w:sz w:val="22"/>
          <w:lang w:val="es-ES_tradnl"/>
        </w:rPr>
        <w:t>rlos</w:t>
      </w:r>
    </w:p>
    <w:p w14:paraId="06B59AAD" w14:textId="77777777" w:rsidR="00EF2547" w:rsidRDefault="00EF2547" w:rsidP="00EF2547">
      <w:pPr>
        <w:spacing w:line="276" w:lineRule="auto"/>
        <w:jc w:val="both"/>
        <w:rPr>
          <w:rFonts w:ascii="Arial" w:hAnsi="Arial" w:cs="Arial"/>
          <w:color w:val="000000" w:themeColor="text1"/>
          <w:sz w:val="22"/>
          <w:lang w:val="es-ES_tradnl"/>
        </w:rPr>
      </w:pPr>
    </w:p>
    <w:p w14:paraId="3B605A68" w14:textId="6C34057F" w:rsidR="00DD5B04" w:rsidRPr="004940E3" w:rsidRDefault="005D7F92" w:rsidP="002A3D94">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V</w:t>
      </w:r>
      <w:r w:rsidR="00DD5B04" w:rsidRPr="004940E3">
        <w:rPr>
          <w:rFonts w:ascii="Arial" w:hAnsi="Arial" w:cs="Arial"/>
          <w:color w:val="000000" w:themeColor="text1"/>
          <w:sz w:val="22"/>
          <w:lang w:val="es-ES_tradnl"/>
        </w:rPr>
        <w:t>ale la pena preguntarse si los cuatro requisitos habilitantes establecidos en el artículo 5, numeral 1, de la Ley 1150 de 2007, cuyo alcance fue explicado previamente, son taxativos, esto es, si son los únicos requisitos habilitantes que puede exigirle</w:t>
      </w:r>
      <w:r w:rsidR="00EF2547">
        <w:rPr>
          <w:rFonts w:ascii="Arial" w:hAnsi="Arial" w:cs="Arial"/>
          <w:color w:val="000000" w:themeColor="text1"/>
          <w:sz w:val="22"/>
          <w:lang w:val="es-ES_tradnl"/>
        </w:rPr>
        <w:t>s</w:t>
      </w:r>
      <w:r w:rsidR="00DD5B04" w:rsidRPr="004940E3">
        <w:rPr>
          <w:rFonts w:ascii="Arial" w:hAnsi="Arial" w:cs="Arial"/>
          <w:color w:val="000000" w:themeColor="text1"/>
          <w:sz w:val="22"/>
          <w:lang w:val="es-ES_tradnl"/>
        </w:rPr>
        <w:t xml:space="preserve"> una entidad a los proponentes. Esta pregunta tiene, al menos, dos respuestas </w:t>
      </w:r>
      <w:r w:rsidR="009533E2">
        <w:rPr>
          <w:rFonts w:ascii="Arial" w:hAnsi="Arial" w:cs="Arial"/>
          <w:color w:val="000000" w:themeColor="text1"/>
          <w:sz w:val="22"/>
          <w:lang w:val="es-ES_tradnl"/>
        </w:rPr>
        <w:t>posibles</w:t>
      </w:r>
      <w:r w:rsidR="00DD5B04" w:rsidRPr="004940E3">
        <w:rPr>
          <w:rFonts w:ascii="Arial" w:hAnsi="Arial" w:cs="Arial"/>
          <w:color w:val="000000" w:themeColor="text1"/>
          <w:sz w:val="22"/>
          <w:lang w:val="es-ES_tradnl"/>
        </w:rPr>
        <w:t xml:space="preserve">. Por un lado, que sí lo son, </w:t>
      </w:r>
      <w:r w:rsidR="00232E15">
        <w:rPr>
          <w:rFonts w:ascii="Arial" w:hAnsi="Arial" w:cs="Arial"/>
          <w:color w:val="000000" w:themeColor="text1"/>
          <w:sz w:val="22"/>
          <w:lang w:val="es-ES_tradnl"/>
        </w:rPr>
        <w:t>ya</w:t>
      </w:r>
      <w:r w:rsidR="00DD5B04" w:rsidRPr="004940E3">
        <w:rPr>
          <w:rFonts w:ascii="Arial" w:hAnsi="Arial" w:cs="Arial"/>
          <w:color w:val="000000" w:themeColor="text1"/>
          <w:sz w:val="22"/>
          <w:lang w:val="es-ES_tradnl"/>
        </w:rPr>
        <w:t xml:space="preserve"> que la norma no hace referencia a otros diferentes y, por el otro, que no lo son, pues esta no contiene una expresión como «únicamente» o «solo»</w:t>
      </w:r>
      <w:r w:rsidR="00A70C5C">
        <w:rPr>
          <w:rFonts w:ascii="Arial" w:hAnsi="Arial" w:cs="Arial"/>
          <w:color w:val="000000" w:themeColor="text1"/>
          <w:sz w:val="22"/>
          <w:lang w:val="es-ES_tradnl"/>
        </w:rPr>
        <w:t>,</w:t>
      </w:r>
      <w:r w:rsidR="00DD5B04" w:rsidRPr="004940E3">
        <w:rPr>
          <w:rFonts w:ascii="Arial" w:hAnsi="Arial" w:cs="Arial"/>
          <w:color w:val="000000" w:themeColor="text1"/>
          <w:sz w:val="22"/>
          <w:lang w:val="es-ES_tradnl"/>
        </w:rPr>
        <w:t xml:space="preserve"> al referirse a los requisitos habilitantes y, además, debido a que la lectura </w:t>
      </w:r>
      <w:r w:rsidR="00A70C5C">
        <w:rPr>
          <w:rFonts w:ascii="Arial" w:hAnsi="Arial" w:cs="Arial"/>
          <w:color w:val="000000" w:themeColor="text1"/>
          <w:sz w:val="22"/>
          <w:lang w:val="es-ES_tradnl"/>
        </w:rPr>
        <w:t>i</w:t>
      </w:r>
      <w:r w:rsidR="00DD5B04" w:rsidRPr="004940E3">
        <w:rPr>
          <w:rFonts w:ascii="Arial" w:hAnsi="Arial" w:cs="Arial"/>
          <w:color w:val="000000" w:themeColor="text1"/>
          <w:sz w:val="22"/>
          <w:lang w:val="es-ES_tradnl"/>
        </w:rPr>
        <w:t>ntegra</w:t>
      </w:r>
      <w:r w:rsidR="00A70C5C">
        <w:rPr>
          <w:rFonts w:ascii="Arial" w:hAnsi="Arial" w:cs="Arial"/>
          <w:color w:val="000000" w:themeColor="text1"/>
          <w:sz w:val="22"/>
          <w:lang w:val="es-ES_tradnl"/>
        </w:rPr>
        <w:t>l</w:t>
      </w:r>
      <w:r w:rsidR="00DD5B04" w:rsidRPr="004940E3">
        <w:rPr>
          <w:rFonts w:ascii="Arial" w:hAnsi="Arial" w:cs="Arial"/>
          <w:color w:val="000000" w:themeColor="text1"/>
          <w:sz w:val="22"/>
          <w:lang w:val="es-ES_tradnl"/>
        </w:rPr>
        <w:t xml:space="preserve">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 norma que establece que «para poder participar en los procesos de selección de los contratos de obra, la capacidad residual del proponente o K de contratación deberá ser igual o superior al que la entidad haya establecido para el efecto en los pliegos de condiciones». Esta segunda respuesta contiene la interpretación legal que comparte la Agencia Nacional de Contratación Pública. </w:t>
      </w:r>
    </w:p>
    <w:p w14:paraId="7A792A29" w14:textId="525BFC1B" w:rsidR="00DD5B04" w:rsidRPr="004940E3" w:rsidRDefault="00DD5B04" w:rsidP="00DD5B04">
      <w:pPr>
        <w:spacing w:before="120" w:line="276" w:lineRule="auto"/>
        <w:ind w:firstLine="709"/>
        <w:jc w:val="both"/>
        <w:rPr>
          <w:rFonts w:ascii="Arial" w:hAnsi="Arial" w:cs="Arial"/>
          <w:color w:val="000000" w:themeColor="text1"/>
          <w:sz w:val="22"/>
          <w:lang w:val="es-ES_tradnl"/>
        </w:rPr>
      </w:pPr>
      <w:r w:rsidRPr="004940E3">
        <w:rPr>
          <w:rFonts w:ascii="Arial" w:hAnsi="Arial" w:cs="Arial"/>
          <w:color w:val="000000" w:themeColor="text1"/>
          <w:sz w:val="22"/>
          <w:lang w:val="es-ES_tradnl"/>
        </w:rPr>
        <w:lastRenderedPageBreak/>
        <w:t xml:space="preserve">Hay otros argumentos que sustentan </w:t>
      </w:r>
      <w:r w:rsidR="00105AEF">
        <w:rPr>
          <w:rFonts w:ascii="Arial" w:hAnsi="Arial" w:cs="Arial"/>
          <w:color w:val="000000" w:themeColor="text1"/>
          <w:sz w:val="22"/>
          <w:lang w:val="es-ES_tradnl"/>
        </w:rPr>
        <w:t>dich</w:t>
      </w:r>
      <w:r w:rsidR="00253B81">
        <w:rPr>
          <w:rFonts w:ascii="Arial" w:hAnsi="Arial" w:cs="Arial"/>
          <w:color w:val="000000" w:themeColor="text1"/>
          <w:sz w:val="22"/>
          <w:lang w:val="es-ES_tradnl"/>
        </w:rPr>
        <w:t>a</w:t>
      </w:r>
      <w:r w:rsidRPr="004940E3">
        <w:rPr>
          <w:rFonts w:ascii="Arial" w:hAnsi="Arial" w:cs="Arial"/>
          <w:color w:val="000000" w:themeColor="text1"/>
          <w:sz w:val="22"/>
          <w:lang w:val="es-ES_tradnl"/>
        </w:rPr>
        <w:t xml:space="preserve"> elección interpretativa. </w:t>
      </w:r>
      <w:r w:rsidR="00253B81">
        <w:rPr>
          <w:rFonts w:ascii="Arial" w:hAnsi="Arial" w:cs="Arial"/>
          <w:color w:val="000000" w:themeColor="text1"/>
          <w:sz w:val="22"/>
          <w:lang w:val="es-ES_tradnl"/>
        </w:rPr>
        <w:t>C</w:t>
      </w:r>
      <w:r w:rsidRPr="004940E3">
        <w:rPr>
          <w:rFonts w:ascii="Arial" w:hAnsi="Arial" w:cs="Arial"/>
          <w:color w:val="000000" w:themeColor="text1"/>
          <w:sz w:val="22"/>
          <w:lang w:val="es-ES_tradnl"/>
        </w:rPr>
        <w:t>omo lo han considerado la Corte Constituciona</w:t>
      </w:r>
      <w:r w:rsidR="005B501D">
        <w:rPr>
          <w:rFonts w:ascii="Arial" w:hAnsi="Arial" w:cs="Arial"/>
          <w:color w:val="000000" w:themeColor="text1"/>
          <w:sz w:val="22"/>
          <w:lang w:val="es-ES_tradnl"/>
        </w:rPr>
        <w:t>l</w:t>
      </w:r>
      <w:r w:rsidR="00B10109" w:rsidRPr="004940E3">
        <w:rPr>
          <w:rStyle w:val="Refdenotaalpie"/>
          <w:rFonts w:ascii="Arial" w:hAnsi="Arial" w:cs="Arial"/>
          <w:color w:val="000000" w:themeColor="text1"/>
          <w:sz w:val="22"/>
          <w:lang w:val="es-ES_tradnl"/>
        </w:rPr>
        <w:footnoteReference w:id="11"/>
      </w:r>
      <w:r w:rsidR="005B501D">
        <w:rPr>
          <w:rFonts w:ascii="Arial" w:hAnsi="Arial" w:cs="Arial"/>
          <w:color w:val="000000" w:themeColor="text1"/>
          <w:sz w:val="22"/>
          <w:lang w:val="es-ES_tradnl"/>
        </w:rPr>
        <w:t xml:space="preserve"> </w:t>
      </w:r>
      <w:r w:rsidRPr="004940E3">
        <w:rPr>
          <w:rFonts w:ascii="Arial" w:hAnsi="Arial" w:cs="Arial"/>
          <w:color w:val="000000" w:themeColor="text1"/>
          <w:sz w:val="22"/>
          <w:lang w:val="es-ES_tradnl"/>
        </w:rPr>
        <w:t>y el Consejo de Estado</w:t>
      </w:r>
      <w:r w:rsidR="00B10109" w:rsidRPr="004940E3">
        <w:rPr>
          <w:rStyle w:val="Refdenotaalpie"/>
          <w:rFonts w:ascii="Arial" w:hAnsi="Arial" w:cs="Arial"/>
          <w:color w:val="000000" w:themeColor="text1"/>
          <w:sz w:val="22"/>
          <w:lang w:val="es-ES_tradnl"/>
        </w:rPr>
        <w:footnoteReference w:id="12"/>
      </w:r>
      <w:r w:rsidRPr="004940E3">
        <w:rPr>
          <w:rFonts w:ascii="Arial" w:hAnsi="Arial" w:cs="Arial"/>
          <w:color w:val="000000" w:themeColor="text1"/>
          <w:sz w:val="22"/>
          <w:lang w:val="es-ES_tradnl"/>
        </w:rPr>
        <w:t>, en virtud del «principio del efecto útil», el texto de una norma debe ser interpretado de manera que todo cuanto ella prescribe produzca consecuencias jurídicas. En ese contexto, surge la inquietud en relación con los efectos del parágrafo 2 del mismo artículo 5 de la Ley 1150 de 2007, pues si la intención del legislador era que solo fueran requisitos habilitantes los cuatro que contiene el numeral 1 de dicha disposición, ¿cómo se explica que el referido parágrafo aclare que «</w:t>
      </w:r>
      <w:r w:rsidRPr="004940E3">
        <w:rPr>
          <w:rFonts w:ascii="Arial" w:hAnsi="Arial" w:cs="Arial"/>
          <w:color w:val="000000" w:themeColor="text1"/>
          <w:lang w:val="es-ES_tradnl"/>
        </w:rPr>
        <w:t>l</w:t>
      </w:r>
      <w:r w:rsidRPr="004940E3">
        <w:rPr>
          <w:rFonts w:ascii="Arial" w:hAnsi="Arial" w:cs="Arial"/>
          <w:color w:val="000000" w:themeColor="text1"/>
          <w:sz w:val="22"/>
          <w:lang w:val="es-ES_tradnl"/>
        </w:rPr>
        <w:t xml:space="preserve">as certificaciones de sistemas de gestión de calidad no serán objeto de calificación, ni podrán establecerse como documento habilitante para participar en licitaciones o concursos»? Si se interpreta que solo son cuatro los requisitos habilitantes, el parágrafo 2 carecería de efectos jurídicos y, por ende, no tendría ninguna consecuencia normativa que en el mismo artículo se aclare que una exigencia no puede ser considera como requisito habilitante. </w:t>
      </w:r>
    </w:p>
    <w:p w14:paraId="155353B1" w14:textId="45E60564" w:rsidR="00DD5B04" w:rsidRPr="004940E3" w:rsidRDefault="00DD5B04" w:rsidP="00DD5B04">
      <w:pPr>
        <w:spacing w:before="120" w:line="276" w:lineRule="auto"/>
        <w:ind w:firstLine="709"/>
        <w:jc w:val="both"/>
        <w:rPr>
          <w:rFonts w:ascii="Arial" w:hAnsi="Arial" w:cs="Arial"/>
          <w:color w:val="000000" w:themeColor="text1"/>
          <w:sz w:val="22"/>
          <w:lang w:val="es-ES_tradnl"/>
        </w:rPr>
      </w:pPr>
      <w:r w:rsidRPr="004940E3">
        <w:rPr>
          <w:rFonts w:ascii="Arial" w:hAnsi="Arial" w:cs="Arial"/>
          <w:color w:val="000000" w:themeColor="text1"/>
          <w:sz w:val="22"/>
          <w:lang w:val="es-ES_tradnl"/>
        </w:rPr>
        <w:t xml:space="preserve">La intención del legislador, de la cual dan cuenta los antecedentes legislativos de la norma </w:t>
      </w:r>
      <w:r w:rsidRPr="004940E3">
        <w:rPr>
          <w:rFonts w:ascii="Arial" w:hAnsi="Arial" w:cs="Arial"/>
          <w:i/>
          <w:iCs/>
          <w:color w:val="000000" w:themeColor="text1"/>
          <w:sz w:val="22"/>
          <w:lang w:val="es-ES_tradnl"/>
        </w:rPr>
        <w:t>sub examine</w:t>
      </w:r>
      <w:r w:rsidRPr="004940E3">
        <w:rPr>
          <w:rFonts w:ascii="Arial" w:hAnsi="Arial" w:cs="Arial"/>
          <w:color w:val="000000" w:themeColor="text1"/>
          <w:sz w:val="22"/>
          <w:lang w:val="es-ES_tradnl"/>
        </w:rPr>
        <w:t>, también justifica la interpretación propuesta por esta Agencia, ya que fue hasta el cuarto debate parlamentario en donde se incluyó el parágrafo comentando anteriormente</w:t>
      </w:r>
      <w:r w:rsidRPr="004940E3">
        <w:rPr>
          <w:rStyle w:val="Refdenotaalpie"/>
          <w:rFonts w:ascii="Arial" w:hAnsi="Arial" w:cs="Arial"/>
          <w:color w:val="000000" w:themeColor="text1"/>
          <w:sz w:val="22"/>
          <w:lang w:val="es-ES_tradnl"/>
        </w:rPr>
        <w:footnoteReference w:id="13"/>
      </w:r>
      <w:r w:rsidRPr="004940E3">
        <w:rPr>
          <w:rFonts w:ascii="Arial" w:hAnsi="Arial" w:cs="Arial"/>
          <w:color w:val="000000" w:themeColor="text1"/>
          <w:sz w:val="22"/>
          <w:lang w:val="es-ES_tradnl"/>
        </w:rPr>
        <w:t>, lo que deja ver la necesidad que tenía el Congreso de aclarar que unos documentos no podrían ser tenidos como requisitos habilitantes, lo que da cuenta, a su vez, de</w:t>
      </w:r>
      <w:r w:rsidR="00790A24">
        <w:rPr>
          <w:rFonts w:ascii="Arial" w:hAnsi="Arial" w:cs="Arial"/>
          <w:color w:val="000000" w:themeColor="text1"/>
          <w:sz w:val="22"/>
          <w:lang w:val="es-ES_tradnl"/>
        </w:rPr>
        <w:t>l</w:t>
      </w:r>
      <w:r w:rsidRPr="004940E3">
        <w:rPr>
          <w:rFonts w:ascii="Arial" w:hAnsi="Arial" w:cs="Arial"/>
          <w:color w:val="000000" w:themeColor="text1"/>
          <w:sz w:val="22"/>
          <w:lang w:val="es-ES_tradnl"/>
        </w:rPr>
        <w:t xml:space="preserve"> reconocimiento tácito de la existencia de otros requisitos habilitantes, distintos a los cuatro que establece el artículo 5, parágrafo 1, de la Ley 1150 de 2007.</w:t>
      </w:r>
    </w:p>
    <w:p w14:paraId="38BE7D40" w14:textId="136B7DA9" w:rsidR="00DD5B04" w:rsidRPr="004940E3" w:rsidRDefault="00DD5B04" w:rsidP="00DD5B04">
      <w:pPr>
        <w:spacing w:before="120" w:line="276" w:lineRule="auto"/>
        <w:ind w:firstLine="709"/>
        <w:jc w:val="both"/>
        <w:rPr>
          <w:rFonts w:ascii="Arial" w:hAnsi="Arial" w:cs="Arial"/>
          <w:color w:val="000000" w:themeColor="text1"/>
          <w:sz w:val="22"/>
          <w:lang w:val="es-ES_tradnl"/>
        </w:rPr>
      </w:pPr>
      <w:r w:rsidRPr="004940E3">
        <w:rPr>
          <w:rFonts w:ascii="Arial" w:hAnsi="Arial" w:cs="Arial"/>
          <w:color w:val="000000" w:themeColor="text1"/>
          <w:sz w:val="22"/>
          <w:lang w:val="es-ES_tradnl"/>
        </w:rPr>
        <w:t xml:space="preserve">Por otro lado, en el referido «Manual para determinar y verificar los requisitos habilitantes en los Procesos de Contratación» se determinaron los parámetros para </w:t>
      </w:r>
      <w:r w:rsidRPr="004940E3">
        <w:rPr>
          <w:rFonts w:ascii="Arial" w:hAnsi="Arial" w:cs="Arial"/>
          <w:i/>
          <w:iCs/>
          <w:color w:val="000000" w:themeColor="text1"/>
          <w:sz w:val="22"/>
          <w:lang w:val="es-ES_tradnl"/>
        </w:rPr>
        <w:t>establecer</w:t>
      </w:r>
      <w:r w:rsidRPr="004940E3">
        <w:rPr>
          <w:rFonts w:ascii="Arial" w:hAnsi="Arial" w:cs="Arial"/>
          <w:color w:val="000000" w:themeColor="text1"/>
          <w:sz w:val="22"/>
          <w:lang w:val="es-ES_tradnl"/>
        </w:rPr>
        <w:t xml:space="preserve">, </w:t>
      </w:r>
      <w:r w:rsidRPr="004940E3">
        <w:rPr>
          <w:rFonts w:ascii="Arial" w:hAnsi="Arial" w:cs="Arial"/>
          <w:i/>
          <w:iCs/>
          <w:color w:val="000000" w:themeColor="text1"/>
          <w:sz w:val="22"/>
          <w:lang w:val="es-ES_tradnl"/>
        </w:rPr>
        <w:t>acreditar</w:t>
      </w:r>
      <w:r w:rsidRPr="004940E3">
        <w:rPr>
          <w:rFonts w:ascii="Arial" w:hAnsi="Arial" w:cs="Arial"/>
          <w:color w:val="000000" w:themeColor="text1"/>
          <w:sz w:val="22"/>
          <w:lang w:val="es-ES_tradnl"/>
        </w:rPr>
        <w:t xml:space="preserve"> y </w:t>
      </w:r>
      <w:r w:rsidRPr="004940E3">
        <w:rPr>
          <w:rFonts w:ascii="Arial" w:hAnsi="Arial" w:cs="Arial"/>
          <w:i/>
          <w:iCs/>
          <w:color w:val="000000" w:themeColor="text1"/>
          <w:sz w:val="22"/>
          <w:lang w:val="es-ES_tradnl"/>
        </w:rPr>
        <w:t>subsanar</w:t>
      </w:r>
      <w:r w:rsidRPr="004940E3">
        <w:rPr>
          <w:rFonts w:ascii="Arial" w:hAnsi="Arial" w:cs="Arial"/>
          <w:color w:val="000000" w:themeColor="text1"/>
          <w:sz w:val="22"/>
          <w:lang w:val="es-ES_tradnl"/>
        </w:rPr>
        <w:t xml:space="preserve"> los requisitos habilitantes estudiados en los párrafos precedentes. Allí también se precisó que los requisitos habilitantes tienen como fin primordial medir «la aptitud del proponente para participar en un Proceso de Contratación como oferente y están referidos a su capacidad jurídica, financiera, organizacional y su experiencia». Su propósito es, según el Manual, «establecer unas condiciones mínimas para los proponentes de tal manera que la Entidad Estatal sólo evalúe las ofertas de aquellos que están en condiciones de cumplir con el objeto del Proceso de Contratación».</w:t>
      </w:r>
      <w:r w:rsidR="00DF752F">
        <w:rPr>
          <w:rFonts w:ascii="Arial" w:hAnsi="Arial" w:cs="Arial"/>
          <w:color w:val="000000" w:themeColor="text1"/>
          <w:sz w:val="22"/>
          <w:lang w:val="es-ES_tradnl"/>
        </w:rPr>
        <w:t xml:space="preserve"> En otras palabras, al tratarse de condiciones mínimas, significa que las entidades podrían </w:t>
      </w:r>
      <w:r w:rsidR="003A1D25">
        <w:rPr>
          <w:rFonts w:ascii="Arial" w:hAnsi="Arial" w:cs="Arial"/>
          <w:color w:val="000000" w:themeColor="text1"/>
          <w:sz w:val="22"/>
          <w:lang w:val="es-ES_tradnl"/>
        </w:rPr>
        <w:lastRenderedPageBreak/>
        <w:t xml:space="preserve">establecer otras, según su autonomía de la voluntad, y teniendo en cuenta el objeto del contrato, los riesgos </w:t>
      </w:r>
      <w:r w:rsidR="00440FAD">
        <w:rPr>
          <w:rFonts w:ascii="Arial" w:hAnsi="Arial" w:cs="Arial"/>
          <w:color w:val="000000" w:themeColor="text1"/>
          <w:sz w:val="22"/>
          <w:lang w:val="es-ES_tradnl"/>
        </w:rPr>
        <w:t>detectados en los estudios previos, el presupuesto oficial, entre otros factores.</w:t>
      </w:r>
    </w:p>
    <w:p w14:paraId="7ED7D2D1" w14:textId="052C78FC" w:rsidR="00DD5B04" w:rsidRPr="004940E3" w:rsidRDefault="0053277C" w:rsidP="00DD5B04">
      <w:pPr>
        <w:spacing w:before="120" w:line="276" w:lineRule="auto"/>
        <w:ind w:firstLine="709"/>
        <w:jc w:val="both"/>
        <w:rPr>
          <w:rFonts w:ascii="Arial" w:hAnsi="Arial" w:cs="Arial"/>
          <w:color w:val="000000" w:themeColor="text1"/>
          <w:sz w:val="22"/>
          <w:lang w:val="es-ES_tradnl"/>
        </w:rPr>
      </w:pPr>
      <w:bookmarkStart w:id="3" w:name="_Hlk34917473"/>
      <w:r>
        <w:rPr>
          <w:rFonts w:ascii="Arial" w:hAnsi="Arial" w:cs="Arial"/>
          <w:color w:val="000000" w:themeColor="text1"/>
          <w:sz w:val="22"/>
          <w:lang w:val="es-ES_tradnl"/>
        </w:rPr>
        <w:t>En consecuencia, c</w:t>
      </w:r>
      <w:r w:rsidR="00DD5B04" w:rsidRPr="004940E3">
        <w:rPr>
          <w:rFonts w:ascii="Arial" w:hAnsi="Arial" w:cs="Arial"/>
          <w:color w:val="000000" w:themeColor="text1"/>
          <w:sz w:val="22"/>
          <w:lang w:val="es-ES_tradnl"/>
        </w:rPr>
        <w:t>orresponde a las entidades estatales, durante la etapa de planeación del contrato estatal</w:t>
      </w:r>
      <w:r>
        <w:rPr>
          <w:rFonts w:ascii="Arial" w:hAnsi="Arial" w:cs="Arial"/>
          <w:color w:val="000000" w:themeColor="text1"/>
          <w:sz w:val="22"/>
          <w:lang w:val="es-ES_tradnl"/>
        </w:rPr>
        <w:t xml:space="preserve">, </w:t>
      </w:r>
      <w:r w:rsidR="00DD5B04" w:rsidRPr="004940E3">
        <w:rPr>
          <w:rFonts w:ascii="Arial" w:hAnsi="Arial" w:cs="Arial"/>
          <w:color w:val="000000" w:themeColor="text1"/>
          <w:sz w:val="22"/>
          <w:lang w:val="es-ES_tradnl"/>
        </w:rPr>
        <w:t xml:space="preserve">estudiar y </w:t>
      </w:r>
      <w:r w:rsidR="00DD5B04" w:rsidRPr="004940E3">
        <w:rPr>
          <w:rFonts w:ascii="Arial" w:hAnsi="Arial" w:cs="Arial"/>
          <w:bCs/>
          <w:iCs/>
          <w:color w:val="000000" w:themeColor="text1"/>
          <w:sz w:val="22"/>
          <w:lang w:val="es-ES_tradnl"/>
        </w:rPr>
        <w:t>determinar</w:t>
      </w:r>
      <w:r w:rsidR="00DD5B04" w:rsidRPr="004940E3">
        <w:rPr>
          <w:rFonts w:ascii="Arial" w:hAnsi="Arial" w:cs="Arial"/>
          <w:color w:val="000000" w:themeColor="text1"/>
          <w:sz w:val="22"/>
          <w:lang w:val="es-ES_tradnl"/>
        </w:rPr>
        <w:t xml:space="preserve"> los requisitos habilitantes que establecerán en los pliegos de condiciones, los cuales deben fijarse de forma adecuada y proporcional. Esto último, según se deriva de la lectura del artículo 2.2.1.1.1.6.2 del Decreto 1082 de 2015, debe hacerse de acuerdo con la naturaleza, el valor del contrato, la forma de pago, los </w:t>
      </w:r>
      <w:r w:rsidR="00DD5B04" w:rsidRPr="004940E3">
        <w:rPr>
          <w:rFonts w:ascii="Arial" w:hAnsi="Arial" w:cs="Arial"/>
          <w:i/>
          <w:iCs/>
          <w:color w:val="000000" w:themeColor="text1"/>
          <w:sz w:val="22"/>
          <w:lang w:val="es-ES_tradnl"/>
        </w:rPr>
        <w:t>riesgos</w:t>
      </w:r>
      <w:r w:rsidR="00DD5B04" w:rsidRPr="004940E3">
        <w:rPr>
          <w:rFonts w:ascii="Arial" w:hAnsi="Arial" w:cs="Arial"/>
          <w:color w:val="000000" w:themeColor="text1"/>
          <w:sz w:val="22"/>
          <w:lang w:val="es-ES_tradnl"/>
        </w:rPr>
        <w:t xml:space="preserve"> </w:t>
      </w:r>
      <w:r w:rsidR="00DD5B04" w:rsidRPr="004940E3">
        <w:rPr>
          <w:rFonts w:ascii="Arial" w:hAnsi="Arial" w:cs="Arial"/>
          <w:i/>
          <w:iCs/>
          <w:color w:val="000000" w:themeColor="text1"/>
          <w:sz w:val="22"/>
          <w:lang w:val="es-ES_tradnl"/>
        </w:rPr>
        <w:t>asociados al contrato</w:t>
      </w:r>
      <w:r w:rsidR="00DD5B04" w:rsidRPr="004940E3">
        <w:rPr>
          <w:rFonts w:ascii="Arial" w:hAnsi="Arial" w:cs="Arial"/>
          <w:color w:val="000000" w:themeColor="text1"/>
          <w:sz w:val="22"/>
          <w:lang w:val="es-ES_tradnl"/>
        </w:rPr>
        <w:t xml:space="preserve">, el plazo y la complejidad de ejecución del objeto. Todo porque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w:t>
      </w:r>
      <w:r w:rsidR="000F6578" w:rsidRPr="004940E3">
        <w:rPr>
          <w:rFonts w:ascii="Arial" w:hAnsi="Arial" w:cs="Arial"/>
          <w:color w:val="000000" w:themeColor="text1"/>
          <w:sz w:val="22"/>
          <w:lang w:val="es-ES_tradnl"/>
        </w:rPr>
        <w:t>como</w:t>
      </w:r>
      <w:r w:rsidR="000F6578">
        <w:rPr>
          <w:rFonts w:ascii="Arial" w:hAnsi="Arial" w:cs="Arial"/>
          <w:color w:val="000000" w:themeColor="text1"/>
          <w:sz w:val="22"/>
          <w:lang w:val="es-ES_tradnl"/>
        </w:rPr>
        <w:t xml:space="preserve">, </w:t>
      </w:r>
      <w:r w:rsidR="00DD5B04" w:rsidRPr="004940E3">
        <w:rPr>
          <w:rFonts w:ascii="Arial" w:hAnsi="Arial" w:cs="Arial"/>
          <w:color w:val="000000" w:themeColor="text1"/>
          <w:sz w:val="22"/>
          <w:lang w:val="es-ES_tradnl"/>
        </w:rPr>
        <w:t xml:space="preserve">por ejemplo, el que estable el artículo 5, parágrafo 2, de la Ley 1150 de 2007, relacionado con la prohibición de exigir certificaciones de sistemas de gestión de calidad como requisito habilitante. </w:t>
      </w:r>
    </w:p>
    <w:bookmarkEnd w:id="3"/>
    <w:p w14:paraId="38BFA293" w14:textId="77777777" w:rsidR="00DD5B04" w:rsidRPr="004940E3" w:rsidRDefault="00DD5B04" w:rsidP="00DD5B04">
      <w:pPr>
        <w:spacing w:before="120" w:line="276" w:lineRule="auto"/>
        <w:ind w:firstLine="709"/>
        <w:jc w:val="both"/>
        <w:rPr>
          <w:rFonts w:ascii="Arial" w:hAnsi="Arial" w:cs="Arial"/>
          <w:color w:val="000000" w:themeColor="text1"/>
          <w:sz w:val="22"/>
          <w:lang w:val="es-ES_tradnl"/>
        </w:rPr>
      </w:pPr>
      <w:r w:rsidRPr="004940E3">
        <w:rPr>
          <w:rFonts w:ascii="Arial" w:hAnsi="Arial" w:cs="Arial"/>
          <w:color w:val="000000" w:themeColor="text1"/>
          <w:sz w:val="22"/>
          <w:lang w:val="es-ES_tradnl"/>
        </w:rPr>
        <w:t>Al respecto,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2ACCA49D" w14:textId="7BD49C99" w:rsidR="00DD5B04" w:rsidRDefault="00DD5B04" w:rsidP="00DD5B04">
      <w:pPr>
        <w:spacing w:before="120" w:line="276" w:lineRule="auto"/>
        <w:ind w:firstLine="709"/>
        <w:jc w:val="both"/>
        <w:rPr>
          <w:rFonts w:ascii="Arial" w:hAnsi="Arial" w:cs="Arial"/>
          <w:color w:val="000000" w:themeColor="text1"/>
          <w:sz w:val="22"/>
          <w:lang w:val="es-ES_tradnl"/>
        </w:rPr>
      </w:pPr>
      <w:r w:rsidRPr="004940E3">
        <w:rPr>
          <w:rFonts w:ascii="Arial" w:hAnsi="Arial" w:cs="Arial"/>
          <w:color w:val="000000" w:themeColor="text1"/>
          <w:sz w:val="22"/>
          <w:lang w:val="es-ES_tradnl"/>
        </w:rPr>
        <w:t>De todos modos, como se dijo antes, para la configuración de los requisitos habilitantes, la entidad no está limitada a los cuatro que enuncia el artículo 5, numeral 1, de la Ley 1150 de 2007, pues, se insiste, estos son solo enunciativos y no taxativos.</w:t>
      </w:r>
      <w:r w:rsidR="002345B6">
        <w:rPr>
          <w:rFonts w:ascii="Arial" w:hAnsi="Arial" w:cs="Arial"/>
          <w:color w:val="000000" w:themeColor="text1"/>
          <w:sz w:val="22"/>
          <w:lang w:val="es-ES_tradnl"/>
        </w:rPr>
        <w:t xml:space="preserve"> Es más, ni siquiera tienen que concurrir. Podría presentarse el caso en el que una entidad estatal no considere necesario, por ejemplo, exigir </w:t>
      </w:r>
      <w:r w:rsidR="00861310">
        <w:rPr>
          <w:rFonts w:ascii="Arial" w:hAnsi="Arial" w:cs="Arial"/>
          <w:color w:val="000000" w:themeColor="text1"/>
          <w:sz w:val="22"/>
          <w:lang w:val="es-ES_tradnl"/>
        </w:rPr>
        <w:t>capacidad financiera</w:t>
      </w:r>
      <w:r w:rsidR="004E0C64">
        <w:rPr>
          <w:rFonts w:ascii="Arial" w:hAnsi="Arial" w:cs="Arial"/>
          <w:color w:val="000000" w:themeColor="text1"/>
          <w:sz w:val="22"/>
          <w:lang w:val="es-ES_tradnl"/>
        </w:rPr>
        <w:t xml:space="preserve"> y de organización, pues la complejidad y nivel de inversión de recursos por parte del contratista no lo justifique. </w:t>
      </w:r>
      <w:r w:rsidR="00000559">
        <w:rPr>
          <w:rFonts w:ascii="Arial" w:hAnsi="Arial" w:cs="Arial"/>
          <w:color w:val="000000" w:themeColor="text1"/>
          <w:sz w:val="22"/>
          <w:lang w:val="es-ES_tradnl"/>
        </w:rPr>
        <w:t xml:space="preserve">Y también puede darse la circunstancia en que la entidad </w:t>
      </w:r>
      <w:r w:rsidR="003B65D7">
        <w:rPr>
          <w:rFonts w:ascii="Arial" w:hAnsi="Arial" w:cs="Arial"/>
          <w:color w:val="000000" w:themeColor="text1"/>
          <w:sz w:val="22"/>
          <w:lang w:val="es-ES_tradnl"/>
        </w:rPr>
        <w:t>incluya como requisitos habilitantes otros no mencionados en el artículo 5, numeral 1º, de la Ley 1150 de 2007,</w:t>
      </w:r>
      <w:r w:rsidR="00705F62">
        <w:rPr>
          <w:rFonts w:ascii="Arial" w:hAnsi="Arial" w:cs="Arial"/>
          <w:color w:val="000000" w:themeColor="text1"/>
          <w:sz w:val="22"/>
          <w:lang w:val="es-ES_tradnl"/>
        </w:rPr>
        <w:t xml:space="preserve"> </w:t>
      </w:r>
      <w:proofErr w:type="gramStart"/>
      <w:r w:rsidR="003B65D7">
        <w:rPr>
          <w:rFonts w:ascii="Arial" w:hAnsi="Arial" w:cs="Arial"/>
          <w:color w:val="000000" w:themeColor="text1"/>
          <w:sz w:val="22"/>
          <w:lang w:val="es-ES_tradnl"/>
        </w:rPr>
        <w:t>como</w:t>
      </w:r>
      <w:proofErr w:type="gramEnd"/>
      <w:r w:rsidR="003B65D7">
        <w:rPr>
          <w:rFonts w:ascii="Arial" w:hAnsi="Arial" w:cs="Arial"/>
          <w:color w:val="000000" w:themeColor="text1"/>
          <w:sz w:val="22"/>
          <w:lang w:val="es-ES_tradnl"/>
        </w:rPr>
        <w:t xml:space="preserve"> por ejemplo, </w:t>
      </w:r>
      <w:r w:rsidR="00251A9F">
        <w:rPr>
          <w:rFonts w:ascii="Arial" w:hAnsi="Arial" w:cs="Arial"/>
          <w:color w:val="000000" w:themeColor="text1"/>
          <w:sz w:val="22"/>
          <w:lang w:val="es-ES_tradnl"/>
        </w:rPr>
        <w:t xml:space="preserve">la visita al sitio de la obra, </w:t>
      </w:r>
      <w:r w:rsidR="00705F62">
        <w:rPr>
          <w:rFonts w:ascii="Arial" w:hAnsi="Arial" w:cs="Arial"/>
          <w:color w:val="000000" w:themeColor="text1"/>
          <w:sz w:val="22"/>
          <w:lang w:val="es-ES_tradnl"/>
        </w:rPr>
        <w:t>condiciones de calidad mínima, una propuesta metodológica, etc. Así lo admitió esta Subdirección en concepto</w:t>
      </w:r>
      <w:r w:rsidR="00AD2FBF">
        <w:rPr>
          <w:rFonts w:ascii="Arial" w:hAnsi="Arial" w:cs="Arial"/>
          <w:color w:val="000000" w:themeColor="text1"/>
          <w:sz w:val="22"/>
          <w:lang w:val="es-ES_tradnl"/>
        </w:rPr>
        <w:t xml:space="preserve"> C-013 de</w:t>
      </w:r>
      <w:r w:rsidR="00086ED2">
        <w:rPr>
          <w:rFonts w:ascii="Arial" w:hAnsi="Arial" w:cs="Arial"/>
          <w:color w:val="000000" w:themeColor="text1"/>
          <w:sz w:val="22"/>
          <w:lang w:val="es-ES_tradnl"/>
        </w:rPr>
        <w:t xml:space="preserve">l 17 de abril de 2020, al considerar que las entidades estatales pueden incluir </w:t>
      </w:r>
      <w:r w:rsidR="001F1349">
        <w:rPr>
          <w:rFonts w:ascii="Arial" w:hAnsi="Arial" w:cs="Arial"/>
          <w:color w:val="000000" w:themeColor="text1"/>
          <w:sz w:val="22"/>
          <w:lang w:val="es-ES_tradnl"/>
        </w:rPr>
        <w:t xml:space="preserve">solicitudes de muestras </w:t>
      </w:r>
      <w:r w:rsidR="00086ED2">
        <w:rPr>
          <w:rFonts w:ascii="Arial" w:hAnsi="Arial" w:cs="Arial"/>
          <w:color w:val="000000" w:themeColor="text1"/>
          <w:sz w:val="22"/>
          <w:lang w:val="es-ES_tradnl"/>
        </w:rPr>
        <w:t>dentro de los requisitos habilitantes.</w:t>
      </w:r>
      <w:r w:rsidR="00604A55">
        <w:rPr>
          <w:rFonts w:ascii="Arial" w:hAnsi="Arial" w:cs="Arial"/>
          <w:color w:val="000000" w:themeColor="text1"/>
          <w:sz w:val="22"/>
          <w:lang w:val="es-ES_tradnl"/>
        </w:rPr>
        <w:t xml:space="preserve"> </w:t>
      </w:r>
      <w:r w:rsidR="001F1349">
        <w:rPr>
          <w:rFonts w:ascii="Arial" w:hAnsi="Arial" w:cs="Arial"/>
          <w:color w:val="000000" w:themeColor="text1"/>
          <w:sz w:val="22"/>
          <w:lang w:val="es-ES_tradnl"/>
        </w:rPr>
        <w:t xml:space="preserve">Los argumentos fueron los siguientes: </w:t>
      </w:r>
    </w:p>
    <w:p w14:paraId="75DE9994" w14:textId="77777777" w:rsidR="003E7A8B" w:rsidRDefault="003E7A8B" w:rsidP="003E7A8B">
      <w:pPr>
        <w:ind w:left="709" w:right="709"/>
        <w:jc w:val="both"/>
        <w:rPr>
          <w:rFonts w:ascii="Arial" w:hAnsi="Arial" w:cs="Arial"/>
          <w:color w:val="000000" w:themeColor="text1"/>
          <w:sz w:val="22"/>
          <w:lang w:val="es-ES_tradnl"/>
        </w:rPr>
      </w:pPr>
    </w:p>
    <w:p w14:paraId="3EEB7BFE" w14:textId="6E9C1BAC" w:rsidR="00C500F0" w:rsidRPr="003E7A8B" w:rsidRDefault="00C500F0" w:rsidP="003E7A8B">
      <w:pPr>
        <w:ind w:left="709" w:right="709"/>
        <w:jc w:val="both"/>
        <w:rPr>
          <w:rFonts w:ascii="Arial" w:hAnsi="Arial" w:cs="Arial"/>
          <w:color w:val="000000" w:themeColor="text1"/>
          <w:sz w:val="21"/>
          <w:szCs w:val="21"/>
          <w:lang w:val="es-ES_tradnl"/>
        </w:rPr>
      </w:pPr>
      <w:r w:rsidRPr="003E7A8B">
        <w:rPr>
          <w:rFonts w:ascii="Arial" w:hAnsi="Arial" w:cs="Arial"/>
          <w:color w:val="000000" w:themeColor="text1"/>
          <w:sz w:val="21"/>
          <w:szCs w:val="21"/>
          <w:lang w:val="es-ES_tradnl"/>
        </w:rPr>
        <w:t xml:space="preserve">Para la celebración de contratos como la compraventa y el suministro, es usual que en el sector privado se soliciten muestras para determinar las características técnicas de los bienes requeridos. Se trata de un proceso dinámico previo al perfeccionamiento del contrato, pues –a través de la comparación entre diferentes especificaciones– se determinan las características que mejor </w:t>
      </w:r>
      <w:r w:rsidRPr="003E7A8B">
        <w:rPr>
          <w:rFonts w:ascii="Arial" w:hAnsi="Arial" w:cs="Arial"/>
          <w:color w:val="000000" w:themeColor="text1"/>
          <w:sz w:val="21"/>
          <w:szCs w:val="21"/>
          <w:lang w:val="es-ES_tradnl"/>
        </w:rPr>
        <w:lastRenderedPageBreak/>
        <w:t>satisfacen las necesidades del adquirente, permitiendo –posteriormente– la formación del consentimiento a través del acuerdo sobre el objeto y el precio.</w:t>
      </w:r>
    </w:p>
    <w:p w14:paraId="37D85FF6" w14:textId="77777777" w:rsidR="003E7A8B" w:rsidRDefault="003E7A8B" w:rsidP="003E7A8B">
      <w:pPr>
        <w:ind w:left="709" w:right="709"/>
        <w:jc w:val="both"/>
        <w:rPr>
          <w:rFonts w:ascii="Arial" w:hAnsi="Arial" w:cs="Arial"/>
          <w:color w:val="000000" w:themeColor="text1"/>
          <w:sz w:val="21"/>
          <w:szCs w:val="21"/>
          <w:lang w:val="es-ES_tradnl"/>
        </w:rPr>
      </w:pPr>
    </w:p>
    <w:p w14:paraId="78751675" w14:textId="3E17F32A" w:rsidR="00C500F0" w:rsidRPr="003E7A8B" w:rsidRDefault="00C500F0" w:rsidP="003E7A8B">
      <w:pPr>
        <w:ind w:left="709" w:right="709"/>
        <w:jc w:val="both"/>
        <w:rPr>
          <w:rFonts w:ascii="Arial" w:hAnsi="Arial" w:cs="Arial"/>
          <w:color w:val="000000" w:themeColor="text1"/>
          <w:sz w:val="21"/>
          <w:szCs w:val="21"/>
          <w:lang w:val="es-ES_tradnl"/>
        </w:rPr>
      </w:pPr>
      <w:r w:rsidRPr="003E7A8B">
        <w:rPr>
          <w:rFonts w:ascii="Arial" w:hAnsi="Arial" w:cs="Arial"/>
          <w:color w:val="000000" w:themeColor="text1"/>
          <w:sz w:val="21"/>
          <w:szCs w:val="21"/>
          <w:lang w:val="es-ES_tradnl"/>
        </w:rPr>
        <w:t>En esta medida, la solicitud de muestras también es posible en la contratación pública, pues –conforme al artículo 32 de la Ley 80 de 1993– la Administración puede celebrar todos los actos jurídicos previstos en el derecho privado, en disposiciones especiales o derivados del ejercicio de la autonomía de la voluntad; razón por la cual, en la medida en que esta práctica no está expresamente prohibida por el Estatuto General de Contratación, se encuentra permitida. No obstante, esta autonomía para requerirlas no es ilimitada y, sin perjuicio de las restricciones para algunos procesos de selección, se sujeta a principios como la planeación y la selección objetiva.</w:t>
      </w:r>
    </w:p>
    <w:p w14:paraId="38ECC595" w14:textId="77777777" w:rsidR="003E7A8B" w:rsidRDefault="003E7A8B" w:rsidP="003E7A8B">
      <w:pPr>
        <w:spacing w:line="276" w:lineRule="auto"/>
        <w:ind w:firstLine="709"/>
        <w:jc w:val="both"/>
        <w:rPr>
          <w:rFonts w:ascii="Arial" w:hAnsi="Arial" w:cs="Arial"/>
          <w:color w:val="000000" w:themeColor="text1"/>
          <w:sz w:val="22"/>
          <w:lang w:val="es-ES_tradnl"/>
        </w:rPr>
      </w:pPr>
    </w:p>
    <w:p w14:paraId="317EE0E7" w14:textId="0EF46730" w:rsidR="00874B89" w:rsidRDefault="00EE7C88" w:rsidP="00874B89">
      <w:pPr>
        <w:spacing w:line="276" w:lineRule="auto"/>
        <w:ind w:firstLine="709"/>
        <w:jc w:val="both"/>
        <w:rPr>
          <w:rFonts w:ascii="Arial" w:hAnsi="Arial" w:cs="Arial"/>
          <w:color w:val="000000" w:themeColor="text1"/>
          <w:sz w:val="22"/>
          <w:lang w:val="es-ES_tradnl"/>
        </w:rPr>
      </w:pPr>
      <w:r>
        <w:rPr>
          <w:rFonts w:ascii="Arial" w:hAnsi="Arial" w:cs="Arial"/>
          <w:color w:val="000000" w:themeColor="text1"/>
          <w:sz w:val="22"/>
          <w:lang w:val="es-ES_tradnl"/>
        </w:rPr>
        <w:t xml:space="preserve">El </w:t>
      </w:r>
      <w:r w:rsidRPr="00B37B07">
        <w:rPr>
          <w:rFonts w:ascii="Arial" w:hAnsi="Arial" w:cs="Arial"/>
          <w:i/>
          <w:iCs/>
          <w:color w:val="000000" w:themeColor="text1"/>
          <w:sz w:val="22"/>
          <w:lang w:val="es-ES_tradnl"/>
        </w:rPr>
        <w:t>principio de autonomía de la voluntad</w:t>
      </w:r>
      <w:r>
        <w:rPr>
          <w:rFonts w:ascii="Arial" w:hAnsi="Arial" w:cs="Arial"/>
          <w:color w:val="000000" w:themeColor="text1"/>
          <w:sz w:val="22"/>
          <w:lang w:val="es-ES_tradnl"/>
        </w:rPr>
        <w:t>, reconocido e</w:t>
      </w:r>
      <w:r w:rsidR="00874B89">
        <w:rPr>
          <w:rFonts w:ascii="Arial" w:hAnsi="Arial" w:cs="Arial"/>
          <w:color w:val="000000" w:themeColor="text1"/>
          <w:sz w:val="22"/>
          <w:lang w:val="es-ES_tradnl"/>
        </w:rPr>
        <w:t xml:space="preserve">n los artículos 13, </w:t>
      </w:r>
      <w:r w:rsidR="008650BE">
        <w:rPr>
          <w:rFonts w:ascii="Arial" w:hAnsi="Arial" w:cs="Arial"/>
          <w:color w:val="000000" w:themeColor="text1"/>
          <w:sz w:val="22"/>
          <w:lang w:val="es-ES_tradnl"/>
        </w:rPr>
        <w:t>32</w:t>
      </w:r>
      <w:r w:rsidR="00874B89">
        <w:rPr>
          <w:rFonts w:ascii="Arial" w:hAnsi="Arial" w:cs="Arial"/>
          <w:color w:val="000000" w:themeColor="text1"/>
          <w:sz w:val="22"/>
          <w:lang w:val="es-ES_tradnl"/>
        </w:rPr>
        <w:t xml:space="preserve"> y 40 de la Ley 80 de 1993 para las entidades sometidas a esta, y en el artículo 1</w:t>
      </w:r>
      <w:r w:rsidR="00B37B07">
        <w:rPr>
          <w:rFonts w:ascii="Arial" w:hAnsi="Arial" w:cs="Arial"/>
          <w:color w:val="000000" w:themeColor="text1"/>
          <w:sz w:val="22"/>
          <w:lang w:val="es-ES_tradnl"/>
        </w:rPr>
        <w:t>.</w:t>
      </w:r>
      <w:r w:rsidR="00874B89">
        <w:rPr>
          <w:rFonts w:ascii="Arial" w:hAnsi="Arial" w:cs="Arial"/>
          <w:color w:val="000000" w:themeColor="text1"/>
          <w:sz w:val="22"/>
          <w:lang w:val="es-ES_tradnl"/>
        </w:rPr>
        <w:t>602 del Código Civil, para las exceptuadas de aquella,</w:t>
      </w:r>
      <w:r w:rsidR="00B37B07">
        <w:rPr>
          <w:rFonts w:ascii="Arial" w:hAnsi="Arial" w:cs="Arial"/>
          <w:color w:val="000000" w:themeColor="text1"/>
          <w:sz w:val="22"/>
          <w:lang w:val="es-ES_tradnl"/>
        </w:rPr>
        <w:t xml:space="preserve"> actúa entonces como el fundamento normativo que otorga a las entidades estatales competencia para que puedan solicitar requisitos habilitantes adicionales o diferentes </w:t>
      </w:r>
      <w:r w:rsidR="008650BE">
        <w:rPr>
          <w:rFonts w:ascii="Arial" w:hAnsi="Arial" w:cs="Arial"/>
          <w:color w:val="000000" w:themeColor="text1"/>
          <w:sz w:val="22"/>
          <w:lang w:val="es-ES_tradnl"/>
        </w:rPr>
        <w:t>a</w:t>
      </w:r>
      <w:r w:rsidR="00B37B07">
        <w:rPr>
          <w:rFonts w:ascii="Arial" w:hAnsi="Arial" w:cs="Arial"/>
          <w:color w:val="000000" w:themeColor="text1"/>
          <w:sz w:val="22"/>
          <w:lang w:val="es-ES_tradnl"/>
        </w:rPr>
        <w:t xml:space="preserve"> los establecidos en el numeral 1º del artículo 5 de la Ley 1150 de 2007</w:t>
      </w:r>
      <w:r w:rsidR="00E84A71">
        <w:rPr>
          <w:rFonts w:ascii="Arial" w:hAnsi="Arial" w:cs="Arial"/>
          <w:color w:val="000000" w:themeColor="text1"/>
          <w:sz w:val="22"/>
          <w:lang w:val="es-ES_tradnl"/>
        </w:rPr>
        <w:t>.</w:t>
      </w:r>
      <w:r w:rsidR="00C672F1">
        <w:rPr>
          <w:rFonts w:ascii="Arial" w:hAnsi="Arial" w:cs="Arial"/>
          <w:color w:val="000000" w:themeColor="text1"/>
          <w:sz w:val="22"/>
          <w:lang w:val="es-ES_tradnl"/>
        </w:rPr>
        <w:t xml:space="preserve"> </w:t>
      </w:r>
      <w:r w:rsidR="00E84A71">
        <w:rPr>
          <w:rFonts w:ascii="Arial" w:hAnsi="Arial" w:cs="Arial"/>
          <w:color w:val="000000" w:themeColor="text1"/>
          <w:sz w:val="22"/>
          <w:lang w:val="es-ES_tradnl"/>
        </w:rPr>
        <w:t xml:space="preserve">En realidad, lo que este numeral establece es una limitación a la discrecionalidad administrativa para la estipulación de los requisitos de participación, </w:t>
      </w:r>
      <w:r w:rsidR="00735B78">
        <w:rPr>
          <w:rFonts w:ascii="Arial" w:hAnsi="Arial" w:cs="Arial"/>
          <w:color w:val="000000" w:themeColor="text1"/>
          <w:sz w:val="22"/>
          <w:lang w:val="es-ES_tradnl"/>
        </w:rPr>
        <w:t xml:space="preserve">bajo la óptica </w:t>
      </w:r>
      <w:r w:rsidR="00E84A71">
        <w:rPr>
          <w:rFonts w:ascii="Arial" w:hAnsi="Arial" w:cs="Arial"/>
          <w:color w:val="000000" w:themeColor="text1"/>
          <w:sz w:val="22"/>
          <w:lang w:val="es-ES_tradnl"/>
        </w:rPr>
        <w:t>de que</w:t>
      </w:r>
      <w:r w:rsidR="00C672F1">
        <w:rPr>
          <w:rFonts w:ascii="Arial" w:hAnsi="Arial" w:cs="Arial"/>
          <w:color w:val="000000" w:themeColor="text1"/>
          <w:sz w:val="22"/>
          <w:lang w:val="es-ES_tradnl"/>
        </w:rPr>
        <w:t xml:space="preserve"> </w:t>
      </w:r>
      <w:r w:rsidR="00E84A71">
        <w:rPr>
          <w:rFonts w:ascii="Arial" w:hAnsi="Arial" w:cs="Arial"/>
          <w:color w:val="000000" w:themeColor="text1"/>
          <w:sz w:val="22"/>
          <w:lang w:val="es-ES_tradnl"/>
        </w:rPr>
        <w:t xml:space="preserve">si se incluyen los que </w:t>
      </w:r>
      <w:r w:rsidR="001F58AA">
        <w:rPr>
          <w:rFonts w:ascii="Arial" w:hAnsi="Arial" w:cs="Arial"/>
          <w:color w:val="000000" w:themeColor="text1"/>
          <w:sz w:val="22"/>
          <w:lang w:val="es-ES_tradnl"/>
        </w:rPr>
        <w:t>aquel prevé</w:t>
      </w:r>
      <w:r w:rsidR="00C672F1">
        <w:rPr>
          <w:rFonts w:ascii="Arial" w:hAnsi="Arial" w:cs="Arial"/>
          <w:color w:val="000000" w:themeColor="text1"/>
          <w:sz w:val="22"/>
          <w:lang w:val="es-ES_tradnl"/>
        </w:rPr>
        <w:t xml:space="preserve">, </w:t>
      </w:r>
      <w:r w:rsidR="001F58AA">
        <w:rPr>
          <w:rFonts w:ascii="Arial" w:hAnsi="Arial" w:cs="Arial"/>
          <w:color w:val="000000" w:themeColor="text1"/>
          <w:sz w:val="22"/>
          <w:lang w:val="es-ES_tradnl"/>
        </w:rPr>
        <w:t>por regla general</w:t>
      </w:r>
      <w:r w:rsidR="00C672F1">
        <w:rPr>
          <w:rFonts w:ascii="Arial" w:hAnsi="Arial" w:cs="Arial"/>
          <w:color w:val="000000" w:themeColor="text1"/>
          <w:sz w:val="22"/>
          <w:lang w:val="es-ES_tradnl"/>
        </w:rPr>
        <w:t>,</w:t>
      </w:r>
      <w:r w:rsidR="001F58AA">
        <w:rPr>
          <w:rFonts w:ascii="Arial" w:hAnsi="Arial" w:cs="Arial"/>
          <w:color w:val="000000" w:themeColor="text1"/>
          <w:sz w:val="22"/>
          <w:lang w:val="es-ES_tradnl"/>
        </w:rPr>
        <w:t xml:space="preserve"> no otorgan puntaje; pero tal enunciado no </w:t>
      </w:r>
      <w:r w:rsidR="0007254F">
        <w:rPr>
          <w:rFonts w:ascii="Arial" w:hAnsi="Arial" w:cs="Arial"/>
          <w:color w:val="000000" w:themeColor="text1"/>
          <w:sz w:val="22"/>
          <w:lang w:val="es-ES_tradnl"/>
        </w:rPr>
        <w:t>ha de</w:t>
      </w:r>
      <w:r w:rsidR="001F58AA">
        <w:rPr>
          <w:rFonts w:ascii="Arial" w:hAnsi="Arial" w:cs="Arial"/>
          <w:color w:val="000000" w:themeColor="text1"/>
          <w:sz w:val="22"/>
          <w:lang w:val="es-ES_tradnl"/>
        </w:rPr>
        <w:t xml:space="preserve"> interpretarse </w:t>
      </w:r>
      <w:r w:rsidR="0007254F">
        <w:rPr>
          <w:rFonts w:ascii="Arial" w:hAnsi="Arial" w:cs="Arial"/>
          <w:color w:val="000000" w:themeColor="text1"/>
          <w:sz w:val="22"/>
          <w:lang w:val="es-ES_tradnl"/>
        </w:rPr>
        <w:t>en el sentido de</w:t>
      </w:r>
      <w:r w:rsidR="001F58AA">
        <w:rPr>
          <w:rFonts w:ascii="Arial" w:hAnsi="Arial" w:cs="Arial"/>
          <w:color w:val="000000" w:themeColor="text1"/>
          <w:sz w:val="22"/>
          <w:lang w:val="es-ES_tradnl"/>
        </w:rPr>
        <w:t xml:space="preserve"> que las entidades solo pueden exigir</w:t>
      </w:r>
      <w:r w:rsidR="00716CAD">
        <w:rPr>
          <w:rFonts w:ascii="Arial" w:hAnsi="Arial" w:cs="Arial"/>
          <w:color w:val="000000" w:themeColor="text1"/>
          <w:sz w:val="22"/>
          <w:lang w:val="es-ES_tradnl"/>
        </w:rPr>
        <w:t xml:space="preserve">, única y exclusivamente, </w:t>
      </w:r>
      <w:r w:rsidR="00A96C60">
        <w:rPr>
          <w:rFonts w:ascii="Arial" w:hAnsi="Arial" w:cs="Arial"/>
          <w:color w:val="000000" w:themeColor="text1"/>
          <w:sz w:val="22"/>
          <w:lang w:val="es-ES_tradnl"/>
        </w:rPr>
        <w:t>dichos</w:t>
      </w:r>
      <w:r w:rsidR="00C245EE">
        <w:rPr>
          <w:rFonts w:ascii="Arial" w:hAnsi="Arial" w:cs="Arial"/>
          <w:color w:val="000000" w:themeColor="text1"/>
          <w:sz w:val="22"/>
          <w:lang w:val="es-ES_tradnl"/>
        </w:rPr>
        <w:t xml:space="preserve"> requisitos habilitantes</w:t>
      </w:r>
      <w:r w:rsidR="0007254F">
        <w:rPr>
          <w:rFonts w:ascii="Arial" w:hAnsi="Arial" w:cs="Arial"/>
          <w:color w:val="000000" w:themeColor="text1"/>
          <w:sz w:val="22"/>
          <w:lang w:val="es-ES_tradnl"/>
        </w:rPr>
        <w:t>, pues</w:t>
      </w:r>
      <w:r w:rsidR="00716CAD">
        <w:rPr>
          <w:rFonts w:ascii="Arial" w:hAnsi="Arial" w:cs="Arial"/>
          <w:color w:val="000000" w:themeColor="text1"/>
          <w:sz w:val="22"/>
          <w:lang w:val="es-ES_tradnl"/>
        </w:rPr>
        <w:t>, además de los argumentos que ya se han planteado,</w:t>
      </w:r>
      <w:r w:rsidR="0007254F">
        <w:rPr>
          <w:rFonts w:ascii="Arial" w:hAnsi="Arial" w:cs="Arial"/>
          <w:color w:val="000000" w:themeColor="text1"/>
          <w:sz w:val="22"/>
          <w:lang w:val="es-ES_tradnl"/>
        </w:rPr>
        <w:t xml:space="preserve"> </w:t>
      </w:r>
      <w:r w:rsidR="00A96C60">
        <w:rPr>
          <w:rFonts w:ascii="Arial" w:hAnsi="Arial" w:cs="Arial"/>
          <w:color w:val="000000" w:themeColor="text1"/>
          <w:sz w:val="22"/>
          <w:lang w:val="es-ES_tradnl"/>
        </w:rPr>
        <w:t>es</w:t>
      </w:r>
      <w:r w:rsidR="00D8223C">
        <w:rPr>
          <w:rFonts w:ascii="Arial" w:hAnsi="Arial" w:cs="Arial"/>
          <w:color w:val="000000" w:themeColor="text1"/>
          <w:sz w:val="22"/>
          <w:lang w:val="es-ES_tradnl"/>
        </w:rPr>
        <w:t>a</w:t>
      </w:r>
      <w:r w:rsidR="0007254F">
        <w:rPr>
          <w:rFonts w:ascii="Arial" w:hAnsi="Arial" w:cs="Arial"/>
          <w:color w:val="000000" w:themeColor="text1"/>
          <w:sz w:val="22"/>
          <w:lang w:val="es-ES_tradnl"/>
        </w:rPr>
        <w:t xml:space="preserve"> lectura </w:t>
      </w:r>
      <w:r w:rsidR="00D8223C">
        <w:rPr>
          <w:rFonts w:ascii="Arial" w:hAnsi="Arial" w:cs="Arial"/>
          <w:color w:val="000000" w:themeColor="text1"/>
          <w:sz w:val="22"/>
          <w:lang w:val="es-ES_tradnl"/>
        </w:rPr>
        <w:t>negaría</w:t>
      </w:r>
      <w:r w:rsidR="00537B77">
        <w:rPr>
          <w:rFonts w:ascii="Arial" w:hAnsi="Arial" w:cs="Arial"/>
          <w:color w:val="000000" w:themeColor="text1"/>
          <w:sz w:val="22"/>
          <w:lang w:val="es-ES_tradnl"/>
        </w:rPr>
        <w:t xml:space="preserve"> la autonomía </w:t>
      </w:r>
      <w:r w:rsidR="00D8223C">
        <w:rPr>
          <w:rFonts w:ascii="Arial" w:hAnsi="Arial" w:cs="Arial"/>
          <w:color w:val="000000" w:themeColor="text1"/>
          <w:sz w:val="22"/>
          <w:lang w:val="es-ES_tradnl"/>
        </w:rPr>
        <w:t xml:space="preserve">reconocida en el Estatuto General de Contratación de la Administración Pública a </w:t>
      </w:r>
      <w:r w:rsidR="00735B78">
        <w:rPr>
          <w:rFonts w:ascii="Arial" w:hAnsi="Arial" w:cs="Arial"/>
          <w:color w:val="000000" w:themeColor="text1"/>
          <w:sz w:val="22"/>
          <w:lang w:val="es-ES_tradnl"/>
        </w:rPr>
        <w:t>los órganos del Estado</w:t>
      </w:r>
      <w:r w:rsidR="00D8223C">
        <w:rPr>
          <w:rFonts w:ascii="Arial" w:hAnsi="Arial" w:cs="Arial"/>
          <w:color w:val="000000" w:themeColor="text1"/>
          <w:sz w:val="22"/>
          <w:lang w:val="es-ES_tradnl"/>
        </w:rPr>
        <w:t xml:space="preserve"> para </w:t>
      </w:r>
      <w:r w:rsidR="00940876">
        <w:rPr>
          <w:rFonts w:ascii="Arial" w:hAnsi="Arial" w:cs="Arial"/>
          <w:color w:val="000000" w:themeColor="text1"/>
          <w:sz w:val="22"/>
          <w:lang w:val="es-ES_tradnl"/>
        </w:rPr>
        <w:t>confeccionar el pliego de condiciones</w:t>
      </w:r>
      <w:r w:rsidR="00735B78">
        <w:rPr>
          <w:rFonts w:ascii="Arial" w:hAnsi="Arial" w:cs="Arial"/>
          <w:color w:val="000000" w:themeColor="text1"/>
          <w:sz w:val="22"/>
          <w:lang w:val="es-ES_tradnl"/>
        </w:rPr>
        <w:t xml:space="preserve"> o </w:t>
      </w:r>
      <w:r w:rsidR="00A06754">
        <w:rPr>
          <w:rFonts w:ascii="Arial" w:hAnsi="Arial" w:cs="Arial"/>
          <w:color w:val="000000" w:themeColor="text1"/>
          <w:sz w:val="22"/>
          <w:lang w:val="es-ES_tradnl"/>
        </w:rPr>
        <w:t xml:space="preserve">los </w:t>
      </w:r>
      <w:r w:rsidR="00735B78">
        <w:rPr>
          <w:rFonts w:ascii="Arial" w:hAnsi="Arial" w:cs="Arial"/>
          <w:color w:val="000000" w:themeColor="text1"/>
          <w:sz w:val="22"/>
          <w:lang w:val="es-ES_tradnl"/>
        </w:rPr>
        <w:t>documentos equivalentes</w:t>
      </w:r>
      <w:r w:rsidR="00940876">
        <w:rPr>
          <w:rFonts w:ascii="Arial" w:hAnsi="Arial" w:cs="Arial"/>
          <w:color w:val="000000" w:themeColor="text1"/>
          <w:sz w:val="22"/>
          <w:lang w:val="es-ES_tradnl"/>
        </w:rPr>
        <w:t xml:space="preserve"> y, específicamente, </w:t>
      </w:r>
      <w:r w:rsidR="00A06754">
        <w:rPr>
          <w:rFonts w:ascii="Arial" w:hAnsi="Arial" w:cs="Arial"/>
          <w:color w:val="000000" w:themeColor="text1"/>
          <w:sz w:val="22"/>
          <w:lang w:val="es-ES_tradnl"/>
        </w:rPr>
        <w:t xml:space="preserve">para definir </w:t>
      </w:r>
      <w:r w:rsidR="00940876">
        <w:rPr>
          <w:rFonts w:ascii="Arial" w:hAnsi="Arial" w:cs="Arial"/>
          <w:color w:val="000000" w:themeColor="text1"/>
          <w:sz w:val="22"/>
          <w:lang w:val="es-ES_tradnl"/>
        </w:rPr>
        <w:t>los requisitos que deben reunir los oferentes, según los factores</w:t>
      </w:r>
      <w:r w:rsidR="00916FC8">
        <w:rPr>
          <w:rFonts w:ascii="Arial" w:hAnsi="Arial" w:cs="Arial"/>
          <w:color w:val="000000" w:themeColor="text1"/>
          <w:sz w:val="22"/>
          <w:lang w:val="es-ES_tradnl"/>
        </w:rPr>
        <w:t xml:space="preserve"> advertidos durante los estudios previos</w:t>
      </w:r>
      <w:r w:rsidR="00A06754">
        <w:rPr>
          <w:rFonts w:ascii="Arial" w:hAnsi="Arial" w:cs="Arial"/>
          <w:color w:val="000000" w:themeColor="text1"/>
          <w:sz w:val="22"/>
          <w:lang w:val="es-ES_tradnl"/>
        </w:rPr>
        <w:t>, en armonía con los principios de legalidad y proporcionalidad.</w:t>
      </w:r>
    </w:p>
    <w:p w14:paraId="02976187" w14:textId="5DD2B71A" w:rsidR="00DD5B04" w:rsidRPr="004940E3" w:rsidRDefault="00DD5B04" w:rsidP="00DD5B04">
      <w:pPr>
        <w:spacing w:before="120" w:line="276" w:lineRule="auto"/>
        <w:ind w:firstLine="709"/>
        <w:jc w:val="both"/>
        <w:rPr>
          <w:rFonts w:ascii="Arial" w:hAnsi="Arial" w:cs="Arial"/>
          <w:color w:val="000000" w:themeColor="text1"/>
          <w:sz w:val="22"/>
          <w:lang w:val="es-ES_tradnl"/>
        </w:rPr>
      </w:pPr>
      <w:r w:rsidRPr="004940E3">
        <w:rPr>
          <w:rFonts w:ascii="Arial" w:hAnsi="Arial" w:cs="Arial"/>
          <w:color w:val="000000" w:themeColor="text1"/>
          <w:sz w:val="22"/>
          <w:lang w:val="es-ES_tradnl"/>
        </w:rPr>
        <w:t xml:space="preserve">Una vez fijados los requisitos </w:t>
      </w:r>
      <w:r w:rsidR="007A38A1">
        <w:rPr>
          <w:rFonts w:ascii="Arial" w:hAnsi="Arial" w:cs="Arial"/>
          <w:color w:val="000000" w:themeColor="text1"/>
          <w:sz w:val="22"/>
          <w:lang w:val="es-ES_tradnl"/>
        </w:rPr>
        <w:t>habilitantes</w:t>
      </w:r>
      <w:r w:rsidRPr="004940E3">
        <w:rPr>
          <w:rFonts w:ascii="Arial" w:hAnsi="Arial" w:cs="Arial"/>
          <w:color w:val="000000" w:themeColor="text1"/>
          <w:sz w:val="22"/>
          <w:lang w:val="es-ES_tradnl"/>
        </w:rPr>
        <w:t xml:space="preserve"> por la entidad estatal, quienes presenten ofertas deben </w:t>
      </w:r>
      <w:r w:rsidRPr="004940E3">
        <w:rPr>
          <w:rFonts w:ascii="Arial" w:hAnsi="Arial" w:cs="Arial"/>
          <w:bCs/>
          <w:i/>
          <w:iCs/>
          <w:color w:val="000000" w:themeColor="text1"/>
          <w:sz w:val="22"/>
          <w:lang w:val="es-ES_tradnl"/>
        </w:rPr>
        <w:t>acreditar</w:t>
      </w:r>
      <w:r w:rsidRPr="004940E3">
        <w:rPr>
          <w:rFonts w:ascii="Arial" w:hAnsi="Arial" w:cs="Arial"/>
          <w:color w:val="000000" w:themeColor="text1"/>
          <w:sz w:val="22"/>
          <w:lang w:val="es-ES_tradnl"/>
        </w:rPr>
        <w:t xml:space="preserve"> que cumplen con los mismos, pues, en el evento contrario, las propuestas deberán ser rechazadas. Lo anterior, sin perjuicio de la posibilidad de </w:t>
      </w:r>
      <w:r w:rsidRPr="004940E3">
        <w:rPr>
          <w:rFonts w:ascii="Arial" w:hAnsi="Arial" w:cs="Arial"/>
          <w:bCs/>
          <w:i/>
          <w:iCs/>
          <w:color w:val="000000" w:themeColor="text1"/>
          <w:sz w:val="22"/>
          <w:lang w:val="es-ES_tradnl"/>
        </w:rPr>
        <w:t>subsanar</w:t>
      </w:r>
      <w:r w:rsidRPr="004940E3">
        <w:rPr>
          <w:rFonts w:ascii="Arial" w:hAnsi="Arial" w:cs="Arial"/>
          <w:color w:val="000000" w:themeColor="text1"/>
          <w:sz w:val="22"/>
          <w:lang w:val="es-ES_tradnl"/>
        </w:rPr>
        <w:t xml:space="preserve">, </w:t>
      </w:r>
      <w:r w:rsidR="00BA2F30">
        <w:rPr>
          <w:rFonts w:ascii="Arial" w:hAnsi="Arial" w:cs="Arial"/>
          <w:color w:val="000000" w:themeColor="text1"/>
          <w:sz w:val="22"/>
          <w:lang w:val="es-ES_tradnl"/>
        </w:rPr>
        <w:t>prevista en</w:t>
      </w:r>
      <w:r w:rsidRPr="004940E3">
        <w:rPr>
          <w:rFonts w:ascii="Arial" w:hAnsi="Arial" w:cs="Arial"/>
          <w:color w:val="000000" w:themeColor="text1"/>
          <w:sz w:val="22"/>
          <w:lang w:val="es-ES_tradnl"/>
        </w:rPr>
        <w:t xml:space="preserve"> el artículo 5 de la Ley 1882 de 2018, que modificó el parágrafo 1º del artículo 5 de la Ley 1150 de 2007, en los siguientes términos:</w:t>
      </w:r>
    </w:p>
    <w:p w14:paraId="0485271A" w14:textId="77777777" w:rsidR="00DD5B04" w:rsidRPr="004940E3" w:rsidRDefault="00DD5B04" w:rsidP="00DD5B04">
      <w:pPr>
        <w:spacing w:line="276" w:lineRule="auto"/>
        <w:jc w:val="both"/>
        <w:rPr>
          <w:rFonts w:ascii="Arial" w:hAnsi="Arial" w:cs="Arial"/>
          <w:color w:val="000000" w:themeColor="text1"/>
          <w:sz w:val="22"/>
          <w:lang w:val="es-ES_tradnl"/>
        </w:rPr>
      </w:pPr>
    </w:p>
    <w:p w14:paraId="0339C6A0" w14:textId="77777777" w:rsidR="00DD5B04" w:rsidRPr="004940E3" w:rsidRDefault="00DD5B04" w:rsidP="00DD5B04">
      <w:pPr>
        <w:ind w:left="703" w:right="760"/>
        <w:jc w:val="both"/>
        <w:rPr>
          <w:rFonts w:ascii="Arial" w:hAnsi="Arial" w:cs="Arial"/>
          <w:color w:val="000000" w:themeColor="text1"/>
          <w:sz w:val="21"/>
          <w:szCs w:val="21"/>
          <w:lang w:val="es-ES_tradnl"/>
        </w:rPr>
      </w:pPr>
      <w:r w:rsidRPr="004940E3">
        <w:rPr>
          <w:rFonts w:ascii="Arial" w:hAnsi="Arial" w:cs="Arial"/>
          <w:color w:val="000000" w:themeColor="text1"/>
          <w:sz w:val="21"/>
          <w:szCs w:val="21"/>
          <w:lang w:val="es-ES_tradnl"/>
        </w:rPr>
        <w:t xml:space="preserve">Artículo 5°. De la selección objetiva. </w:t>
      </w:r>
    </w:p>
    <w:p w14:paraId="5A8598BE" w14:textId="77777777" w:rsidR="00DD5B04" w:rsidRPr="004940E3" w:rsidRDefault="00DD5B04" w:rsidP="00DD5B04">
      <w:pPr>
        <w:ind w:left="703" w:right="760"/>
        <w:jc w:val="both"/>
        <w:rPr>
          <w:rFonts w:ascii="Arial" w:hAnsi="Arial" w:cs="Arial"/>
          <w:color w:val="000000" w:themeColor="text1"/>
          <w:sz w:val="21"/>
          <w:szCs w:val="21"/>
          <w:lang w:val="es-ES_tradnl"/>
        </w:rPr>
      </w:pPr>
      <w:r w:rsidRPr="004940E3">
        <w:rPr>
          <w:rFonts w:ascii="Arial" w:hAnsi="Arial" w:cs="Arial"/>
          <w:color w:val="000000" w:themeColor="text1"/>
          <w:sz w:val="21"/>
          <w:szCs w:val="21"/>
          <w:lang w:val="es-ES_tradnl"/>
        </w:rPr>
        <w:t xml:space="preserve">[... ] </w:t>
      </w:r>
    </w:p>
    <w:p w14:paraId="52419D8D" w14:textId="77777777" w:rsidR="00DD5B04" w:rsidRPr="004940E3" w:rsidRDefault="00DD5B04" w:rsidP="00DD5B04">
      <w:pPr>
        <w:ind w:left="703" w:right="760"/>
        <w:jc w:val="both"/>
        <w:rPr>
          <w:rFonts w:ascii="Arial" w:hAnsi="Arial" w:cs="Arial"/>
          <w:color w:val="000000" w:themeColor="text1"/>
          <w:sz w:val="21"/>
          <w:szCs w:val="21"/>
          <w:lang w:val="es-ES_tradnl"/>
        </w:rPr>
      </w:pPr>
    </w:p>
    <w:p w14:paraId="3A45FCB8" w14:textId="77777777" w:rsidR="00DD5B04" w:rsidRPr="004940E3" w:rsidRDefault="00DD5B04" w:rsidP="00DD5B04">
      <w:pPr>
        <w:ind w:left="703" w:right="760"/>
        <w:jc w:val="both"/>
        <w:rPr>
          <w:rFonts w:ascii="Arial" w:hAnsi="Arial" w:cs="Arial"/>
          <w:color w:val="000000" w:themeColor="text1"/>
          <w:sz w:val="21"/>
          <w:szCs w:val="21"/>
          <w:lang w:val="es-ES_tradnl"/>
        </w:rPr>
      </w:pPr>
      <w:r w:rsidRPr="004940E3">
        <w:rPr>
          <w:rFonts w:ascii="Arial" w:hAnsi="Arial" w:cs="Arial"/>
          <w:color w:val="000000" w:themeColor="text1"/>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4940E3">
        <w:rPr>
          <w:rFonts w:ascii="Arial" w:hAnsi="Arial" w:cs="Arial"/>
          <w:color w:val="000000" w:themeColor="text1"/>
          <w:sz w:val="21"/>
          <w:szCs w:val="21"/>
          <w:lang w:val="es-ES_tradnl"/>
        </w:rPr>
        <w:t>puntaje,</w:t>
      </w:r>
      <w:proofErr w:type="gramEnd"/>
      <w:r w:rsidRPr="004940E3">
        <w:rPr>
          <w:rFonts w:ascii="Arial" w:hAnsi="Arial" w:cs="Arial"/>
          <w:color w:val="000000" w:themeColor="text1"/>
          <w:sz w:val="21"/>
          <w:szCs w:val="21"/>
          <w:lang w:val="es-ES_tradnl"/>
        </w:rPr>
        <w:t xml:space="preserve"> deberán ser solicitados por las entidades </w:t>
      </w:r>
      <w:r w:rsidRPr="004940E3">
        <w:rPr>
          <w:rFonts w:ascii="Arial" w:hAnsi="Arial" w:cs="Arial"/>
          <w:color w:val="000000" w:themeColor="text1"/>
          <w:sz w:val="21"/>
          <w:szCs w:val="21"/>
          <w:lang w:val="es-ES_tradnl"/>
        </w:rPr>
        <w:lastRenderedPageBreak/>
        <w:t xml:space="preserve">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29FCF829" w14:textId="77777777" w:rsidR="00DD5B04" w:rsidRPr="004940E3" w:rsidRDefault="00DD5B04" w:rsidP="00DD5B04">
      <w:pPr>
        <w:spacing w:line="276" w:lineRule="auto"/>
        <w:jc w:val="both"/>
        <w:rPr>
          <w:rFonts w:ascii="Arial" w:hAnsi="Arial" w:cs="Arial"/>
          <w:b/>
          <w:color w:val="000000" w:themeColor="text1"/>
          <w:sz w:val="22"/>
          <w:lang w:val="es-ES_tradnl"/>
        </w:rPr>
      </w:pPr>
    </w:p>
    <w:p w14:paraId="68C90426" w14:textId="4D112B46" w:rsidR="00DD5B04" w:rsidRPr="004940E3" w:rsidRDefault="00DD5B04" w:rsidP="00DD5B04">
      <w:pPr>
        <w:spacing w:line="276" w:lineRule="auto"/>
        <w:ind w:firstLine="709"/>
        <w:jc w:val="both"/>
        <w:rPr>
          <w:rFonts w:ascii="Arial" w:eastAsia="Calibri" w:hAnsi="Arial" w:cs="Arial"/>
          <w:color w:val="000000" w:themeColor="text1"/>
          <w:sz w:val="22"/>
          <w:lang w:val="es-ES_tradnl"/>
        </w:rPr>
      </w:pPr>
      <w:r w:rsidRPr="004940E3">
        <w:rPr>
          <w:rFonts w:ascii="Arial" w:hAnsi="Arial" w:cs="Arial"/>
          <w:color w:val="000000" w:themeColor="text1"/>
          <w:sz w:val="22"/>
          <w:lang w:val="es-ES_tradnl"/>
        </w:rPr>
        <w:t>Esta norma,</w:t>
      </w:r>
      <w:r w:rsidR="00537672">
        <w:rPr>
          <w:rFonts w:ascii="Arial" w:hAnsi="Arial" w:cs="Arial"/>
          <w:color w:val="000000" w:themeColor="text1"/>
          <w:sz w:val="22"/>
          <w:lang w:val="es-ES_tradnl"/>
        </w:rPr>
        <w:t xml:space="preserve"> como lo indicó esta Subdirección en el Concepto CU-060 de 2020,</w:t>
      </w:r>
      <w:r w:rsidRPr="004940E3">
        <w:rPr>
          <w:rFonts w:ascii="Arial" w:hAnsi="Arial" w:cs="Arial"/>
          <w:color w:val="000000" w:themeColor="text1"/>
          <w:sz w:val="22"/>
          <w:lang w:val="es-ES_tradnl"/>
        </w:rPr>
        <w:t xml:space="preserve"> por un lado, mantiene el criterio de la Ley 80 de 1993, relativo a que todo lo que no sea necesario para la comparación de propuestas no es título suficiente para su rechazo y, por el otro, </w:t>
      </w:r>
      <w:r w:rsidR="00537672">
        <w:rPr>
          <w:rFonts w:ascii="Arial" w:hAnsi="Arial" w:cs="Arial"/>
          <w:color w:val="000000" w:themeColor="text1"/>
          <w:sz w:val="22"/>
          <w:lang w:val="es-ES_tradnl"/>
        </w:rPr>
        <w:t>conserva la idea aclaratoria</w:t>
      </w:r>
      <w:r w:rsidRPr="004940E3">
        <w:rPr>
          <w:rFonts w:ascii="Arial" w:hAnsi="Arial" w:cs="Arial"/>
          <w:color w:val="000000" w:themeColor="text1"/>
          <w:sz w:val="22"/>
          <w:lang w:val="es-ES_tradnl"/>
        </w:rPr>
        <w:t xml:space="preserve"> de la Ley 1150 de 2007, según el cual todo lo que no afecte la asignación de puntaje puede subsanarse. También introduce modificaciones en relación con: i) el ámbito temporal para ejercer la facultad de subsanar la oferta; </w:t>
      </w:r>
      <w:proofErr w:type="spellStart"/>
      <w:r w:rsidRPr="004940E3">
        <w:rPr>
          <w:rFonts w:ascii="Arial" w:hAnsi="Arial" w:cs="Arial"/>
          <w:color w:val="000000" w:themeColor="text1"/>
          <w:sz w:val="22"/>
          <w:lang w:val="es-ES_tradnl"/>
        </w:rPr>
        <w:t>ii</w:t>
      </w:r>
      <w:proofErr w:type="spellEnd"/>
      <w:r w:rsidRPr="004940E3">
        <w:rPr>
          <w:rFonts w:ascii="Arial" w:hAnsi="Arial" w:cs="Arial"/>
          <w:color w:val="000000" w:themeColor="text1"/>
          <w:sz w:val="22"/>
          <w:lang w:val="es-ES_tradnl"/>
        </w:rPr>
        <w:t xml:space="preserve">) </w:t>
      </w:r>
      <w:r w:rsidRPr="004940E3">
        <w:rPr>
          <w:rFonts w:ascii="Arial" w:eastAsia="Calibri" w:hAnsi="Arial" w:cs="Arial"/>
          <w:color w:val="000000" w:themeColor="text1"/>
          <w:sz w:val="22"/>
          <w:lang w:val="es-ES_tradnl"/>
        </w:rPr>
        <w:t xml:space="preserve">la </w:t>
      </w:r>
      <w:r w:rsidR="003E5B9F">
        <w:rPr>
          <w:rFonts w:ascii="Arial" w:eastAsia="Calibri" w:hAnsi="Arial" w:cs="Arial"/>
          <w:color w:val="000000" w:themeColor="text1"/>
          <w:sz w:val="22"/>
          <w:lang w:val="es-ES_tradnl"/>
        </w:rPr>
        <w:t>consagración</w:t>
      </w:r>
      <w:r w:rsidRPr="004940E3">
        <w:rPr>
          <w:rFonts w:ascii="Arial" w:eastAsia="Calibri" w:hAnsi="Arial" w:cs="Arial"/>
          <w:color w:val="000000" w:themeColor="text1"/>
          <w:sz w:val="22"/>
          <w:lang w:val="es-ES_tradnl"/>
        </w:rPr>
        <w:t xml:space="preserve"> de un criterio material, directamente relacionado con los aspectos subsanables: «</w:t>
      </w:r>
      <w:r w:rsidRPr="004940E3">
        <w:rPr>
          <w:rFonts w:ascii="Arial" w:hAnsi="Arial" w:cs="Arial"/>
          <w:i/>
          <w:color w:val="000000" w:themeColor="text1"/>
          <w:sz w:val="22"/>
          <w:lang w:val="es-ES_tradnl"/>
        </w:rPr>
        <w:t>los proponentes no podrán acreditar circunstancias ocurridas con posterioridad al cierre del proceso</w:t>
      </w:r>
      <w:r w:rsidRPr="004940E3">
        <w:rPr>
          <w:rFonts w:ascii="Arial" w:hAnsi="Arial" w:cs="Arial"/>
          <w:color w:val="000000" w:themeColor="text1"/>
          <w:sz w:val="22"/>
          <w:lang w:val="es-ES_tradnl"/>
        </w:rPr>
        <w:t xml:space="preserve">»; y </w:t>
      </w:r>
      <w:proofErr w:type="spellStart"/>
      <w:r w:rsidRPr="004940E3">
        <w:rPr>
          <w:rFonts w:ascii="Arial" w:hAnsi="Arial" w:cs="Arial"/>
          <w:color w:val="000000" w:themeColor="text1"/>
          <w:sz w:val="22"/>
          <w:lang w:val="es-ES_tradnl"/>
        </w:rPr>
        <w:t>iii</w:t>
      </w:r>
      <w:proofErr w:type="spellEnd"/>
      <w:r w:rsidRPr="004940E3">
        <w:rPr>
          <w:rFonts w:ascii="Arial" w:hAnsi="Arial" w:cs="Arial"/>
          <w:color w:val="000000" w:themeColor="text1"/>
          <w:sz w:val="22"/>
          <w:lang w:val="es-ES_tradnl"/>
        </w:rPr>
        <w:t xml:space="preserve">) la determinación </w:t>
      </w:r>
      <w:r w:rsidRPr="004940E3">
        <w:rPr>
          <w:rFonts w:ascii="Arial" w:eastAsia="Calibri" w:hAnsi="Arial" w:cs="Arial"/>
          <w:color w:val="000000" w:themeColor="text1"/>
          <w:sz w:val="22"/>
          <w:lang w:val="es-ES_tradnl"/>
        </w:rPr>
        <w:t>expresa de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02B11C0C" w14:textId="51F22FCE" w:rsidR="00DD5B04" w:rsidRPr="004940E3" w:rsidRDefault="00DD5B04" w:rsidP="00DD5B04">
      <w:pPr>
        <w:spacing w:before="120" w:line="276" w:lineRule="auto"/>
        <w:ind w:firstLine="709"/>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 xml:space="preserve">Como conclusión de lo anterior, puede decirse que aunque la Ley 1150 de 2007 estableció unos requisitos habilitantes para los proponentes: la capacidad jurídica, las condiciones de experiencia, la capacidad financiera y la capacidad de organización, lo cierto es que los mismos no son taxativos; que los requisitos habilitantes deben ser establecidos por la entidad en cada proceso contractual de acuerdo con los parámetros fijados en el Decreto 1082 de 2015; y que una vez establecidos los requisitos </w:t>
      </w:r>
      <w:r w:rsidR="00EF510C">
        <w:rPr>
          <w:rFonts w:ascii="Arial" w:eastAsia="Calibri" w:hAnsi="Arial" w:cs="Arial"/>
          <w:color w:val="000000" w:themeColor="text1"/>
          <w:sz w:val="22"/>
          <w:lang w:val="es-ES_tradnl"/>
        </w:rPr>
        <w:t>habilitantes</w:t>
      </w:r>
      <w:r w:rsidRPr="004940E3">
        <w:rPr>
          <w:rFonts w:ascii="Arial" w:eastAsia="Calibri" w:hAnsi="Arial" w:cs="Arial"/>
          <w:color w:val="000000" w:themeColor="text1"/>
          <w:sz w:val="22"/>
          <w:lang w:val="es-ES_tradnl"/>
        </w:rPr>
        <w:t>, quienes presenten ofertas deben acreditar que cumplen con ellos, so pena de que sus propuestas sean rechazadas, claro está, sin perjuicio de la posibilidad de subsanarlas, cuando a ello haya lugar. Todo, dentro de los parámetros explicados en las consideraciones anteriores.</w:t>
      </w:r>
    </w:p>
    <w:p w14:paraId="3792448A" w14:textId="538AFEDE" w:rsidR="00CC2514" w:rsidRPr="00B34A28" w:rsidRDefault="00DD5B04" w:rsidP="00B34A28">
      <w:pPr>
        <w:spacing w:before="120" w:line="276" w:lineRule="auto"/>
        <w:ind w:firstLine="709"/>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 xml:space="preserve">Lo dicho, claro está, sin perjuicio de las prohibiciones legales. Por ejemplo, en el caso de los requisitos habilitantes, el artículo 5, parágrafo 2, de la Ley 1150 de 2007 establece que las «certificaciones de sistemas de gestión de calidad no serán objeto de calificación, ni podrán establecerse como documento habilitante para participar en licitaciones o concursos». Es del caso precisar que, a juicio de la Agencia Nacional de Contratación Pública, tal prohibición no se restringe a la exigencia de la certificación o </w:t>
      </w:r>
      <w:r w:rsidR="0071130F">
        <w:rPr>
          <w:rFonts w:ascii="Arial" w:eastAsia="Calibri" w:hAnsi="Arial" w:cs="Arial"/>
          <w:color w:val="000000" w:themeColor="text1"/>
          <w:sz w:val="22"/>
          <w:lang w:val="es-ES_tradnl"/>
        </w:rPr>
        <w:t>d</w:t>
      </w:r>
      <w:r w:rsidRPr="004940E3">
        <w:rPr>
          <w:rFonts w:ascii="Arial" w:eastAsia="Calibri" w:hAnsi="Arial" w:cs="Arial"/>
          <w:color w:val="000000" w:themeColor="text1"/>
          <w:sz w:val="22"/>
          <w:lang w:val="es-ES_tradnl"/>
        </w:rPr>
        <w:t xml:space="preserve">el documento como tal, sino que debe entenderse en relación con la implementación de un sistema de gestión de calidad en sí mismo. En ese sentido, lo que prohíbe el legislador es que la entidad les exija a los proponentes, a título de requisito habilitante o calificable, la </w:t>
      </w:r>
      <w:r w:rsidRPr="004940E3">
        <w:rPr>
          <w:rFonts w:ascii="Arial" w:eastAsia="Calibri" w:hAnsi="Arial" w:cs="Arial"/>
          <w:color w:val="000000" w:themeColor="text1"/>
          <w:sz w:val="22"/>
          <w:lang w:val="es-ES_tradnl"/>
        </w:rPr>
        <w:lastRenderedPageBreak/>
        <w:t xml:space="preserve">implementación de un sistema de gestión de </w:t>
      </w:r>
      <w:r w:rsidR="003670B8">
        <w:rPr>
          <w:rFonts w:ascii="Arial" w:eastAsia="Calibri" w:hAnsi="Arial" w:cs="Arial"/>
          <w:color w:val="000000" w:themeColor="text1"/>
          <w:sz w:val="22"/>
          <w:lang w:val="es-ES_tradnl"/>
        </w:rPr>
        <w:t xml:space="preserve">la </w:t>
      </w:r>
      <w:r w:rsidRPr="004940E3">
        <w:rPr>
          <w:rFonts w:ascii="Arial" w:eastAsia="Calibri" w:hAnsi="Arial" w:cs="Arial"/>
          <w:color w:val="000000" w:themeColor="text1"/>
          <w:sz w:val="22"/>
          <w:lang w:val="es-ES_tradnl"/>
        </w:rPr>
        <w:t xml:space="preserve">calidad. Ese es el efecto útil de la norma </w:t>
      </w:r>
      <w:r w:rsidRPr="004940E3">
        <w:rPr>
          <w:rFonts w:ascii="Arial" w:eastAsia="Calibri" w:hAnsi="Arial" w:cs="Arial"/>
          <w:i/>
          <w:iCs/>
          <w:color w:val="000000" w:themeColor="text1"/>
          <w:sz w:val="22"/>
          <w:lang w:val="es-ES_tradnl"/>
        </w:rPr>
        <w:t>sub examine</w:t>
      </w:r>
      <w:r w:rsidRPr="004940E3">
        <w:rPr>
          <w:rFonts w:ascii="Arial" w:eastAsia="Calibri" w:hAnsi="Arial" w:cs="Arial"/>
          <w:color w:val="000000" w:themeColor="text1"/>
          <w:sz w:val="22"/>
          <w:lang w:val="es-ES_tradnl"/>
        </w:rPr>
        <w:t>, pues, aceptar una lectura exegética del parágrafo, implicaría asumir que una entidad está autorizada para exigir como requisito habilitante el cumplimiento de normas que hacen parte de sistemas de gestión de la calidad, verbi gracia ISO o ICONTEC, entre otras, sin pedir expresamente el documento o certificado que se expide al verificar estos estándares de calidad, lo cual, por un lado, le resta efectos prácticos a la prohibición establecida por el legislador y, por el otro, desconoce la finalidad perseguida por la norma.</w:t>
      </w:r>
    </w:p>
    <w:p w14:paraId="59CDB8A8" w14:textId="77777777" w:rsidR="005075CA" w:rsidRPr="004940E3" w:rsidRDefault="005075CA" w:rsidP="00DD5B04">
      <w:pPr>
        <w:tabs>
          <w:tab w:val="left" w:pos="0"/>
        </w:tabs>
        <w:spacing w:line="276" w:lineRule="auto"/>
        <w:jc w:val="both"/>
        <w:rPr>
          <w:rFonts w:ascii="Arial" w:eastAsia="Calibri" w:hAnsi="Arial" w:cs="Arial"/>
          <w:b/>
          <w:color w:val="000000" w:themeColor="text1"/>
          <w:sz w:val="22"/>
          <w:lang w:val="es-ES_tradnl"/>
        </w:rPr>
      </w:pPr>
    </w:p>
    <w:p w14:paraId="37CA9805" w14:textId="713B3B2C" w:rsidR="00DD5B04" w:rsidRPr="004940E3" w:rsidRDefault="00DD5B04" w:rsidP="00DD5B04">
      <w:pPr>
        <w:pStyle w:val="Prrafodelista"/>
        <w:numPr>
          <w:ilvl w:val="0"/>
          <w:numId w:val="8"/>
        </w:numPr>
        <w:tabs>
          <w:tab w:val="left" w:pos="0"/>
        </w:tabs>
        <w:spacing w:line="276" w:lineRule="auto"/>
        <w:ind w:left="360"/>
        <w:jc w:val="both"/>
        <w:rPr>
          <w:rFonts w:ascii="Arial" w:eastAsia="Calibri" w:hAnsi="Arial" w:cs="Arial"/>
          <w:b/>
          <w:color w:val="000000" w:themeColor="text1"/>
          <w:sz w:val="22"/>
          <w:lang w:val="es-ES_tradnl"/>
        </w:rPr>
      </w:pPr>
      <w:r w:rsidRPr="004940E3">
        <w:rPr>
          <w:rFonts w:ascii="Arial" w:eastAsia="Calibri" w:hAnsi="Arial" w:cs="Arial"/>
          <w:b/>
          <w:color w:val="000000" w:themeColor="text1"/>
          <w:sz w:val="22"/>
          <w:lang w:val="es-ES_tradnl"/>
        </w:rPr>
        <w:t xml:space="preserve"> Respuesta</w:t>
      </w:r>
      <w:r w:rsidR="004638E2">
        <w:rPr>
          <w:rFonts w:ascii="Arial" w:eastAsia="Calibri" w:hAnsi="Arial" w:cs="Arial"/>
          <w:b/>
          <w:color w:val="000000" w:themeColor="text1"/>
          <w:sz w:val="22"/>
          <w:lang w:val="es-ES_tradnl"/>
        </w:rPr>
        <w:t>s</w:t>
      </w:r>
      <w:r w:rsidRPr="004940E3">
        <w:rPr>
          <w:rFonts w:ascii="Arial" w:eastAsia="Calibri" w:hAnsi="Arial" w:cs="Arial"/>
          <w:b/>
          <w:color w:val="000000" w:themeColor="text1"/>
          <w:sz w:val="22"/>
          <w:lang w:val="es-ES_tradnl"/>
        </w:rPr>
        <w:t xml:space="preserve"> </w:t>
      </w:r>
    </w:p>
    <w:p w14:paraId="7236C2F7" w14:textId="77777777" w:rsidR="00DD5B04" w:rsidRPr="004940E3" w:rsidRDefault="00DD5B04" w:rsidP="00DD5B04">
      <w:pPr>
        <w:tabs>
          <w:tab w:val="left" w:pos="0"/>
        </w:tabs>
        <w:spacing w:line="276" w:lineRule="auto"/>
        <w:jc w:val="both"/>
        <w:rPr>
          <w:rFonts w:ascii="Arial" w:eastAsia="Calibri" w:hAnsi="Arial" w:cs="Arial"/>
          <w:color w:val="000000" w:themeColor="text1"/>
          <w:sz w:val="22"/>
          <w:lang w:val="es-ES_tradnl"/>
        </w:rPr>
      </w:pPr>
    </w:p>
    <w:p w14:paraId="39E2850D" w14:textId="0F1F7302" w:rsidR="00DD5B04" w:rsidRPr="004940E3" w:rsidRDefault="00DD5B04" w:rsidP="004940E3">
      <w:pPr>
        <w:tabs>
          <w:tab w:val="left" w:pos="426"/>
        </w:tabs>
        <w:ind w:left="709" w:right="709"/>
        <w:jc w:val="both"/>
        <w:rPr>
          <w:rFonts w:ascii="Arial" w:eastAsia="Calibri" w:hAnsi="Arial" w:cs="Arial"/>
          <w:color w:val="000000" w:themeColor="text1"/>
          <w:sz w:val="22"/>
          <w:lang w:val="es-ES_tradnl"/>
        </w:rPr>
      </w:pPr>
      <w:r w:rsidRPr="004940E3">
        <w:rPr>
          <w:rFonts w:ascii="Arial" w:eastAsia="Calibri" w:hAnsi="Arial" w:cs="Arial"/>
          <w:color w:val="000000" w:themeColor="text1"/>
          <w:sz w:val="22"/>
          <w:lang w:val="es-ES_tradnl"/>
        </w:rPr>
        <w:t>«</w:t>
      </w:r>
      <w:r w:rsidR="004940E3" w:rsidRPr="004940E3">
        <w:rPr>
          <w:rFonts w:ascii="Arial" w:eastAsia="Calibri" w:hAnsi="Arial" w:cs="Arial"/>
          <w:color w:val="000000" w:themeColor="text1"/>
          <w:sz w:val="22"/>
          <w:lang w:val="es-ES_tradnl"/>
        </w:rPr>
        <w:t>1. ¿Los requisitos habilitantes son los establecidos en el numeral 1 del artículo 5 de la Ley 1150 de 2007</w:t>
      </w:r>
      <w:r w:rsidR="00735DA7">
        <w:rPr>
          <w:rFonts w:ascii="Arial" w:eastAsia="Calibri" w:hAnsi="Arial" w:cs="Arial"/>
          <w:color w:val="000000" w:themeColor="text1"/>
          <w:sz w:val="22"/>
          <w:lang w:val="es-ES_tradnl"/>
        </w:rPr>
        <w:t>?</w:t>
      </w:r>
      <w:r w:rsidRPr="004940E3">
        <w:rPr>
          <w:rFonts w:ascii="Arial" w:eastAsia="Calibri" w:hAnsi="Arial" w:cs="Arial"/>
          <w:color w:val="000000" w:themeColor="text1"/>
          <w:sz w:val="22"/>
          <w:lang w:val="es-ES_tradnl"/>
        </w:rPr>
        <w:t>».</w:t>
      </w:r>
    </w:p>
    <w:p w14:paraId="50433399" w14:textId="77777777" w:rsidR="004638E2" w:rsidRDefault="004638E2" w:rsidP="004638E2">
      <w:pPr>
        <w:spacing w:line="276" w:lineRule="auto"/>
        <w:jc w:val="both"/>
        <w:rPr>
          <w:rFonts w:ascii="Arial" w:hAnsi="Arial" w:cs="Arial"/>
          <w:color w:val="000000" w:themeColor="text1"/>
          <w:sz w:val="22"/>
          <w:lang w:val="es-ES_tradnl"/>
        </w:rPr>
      </w:pPr>
    </w:p>
    <w:p w14:paraId="3D35C7E0" w14:textId="19B8567D" w:rsidR="004940E3" w:rsidRPr="00FB691B" w:rsidRDefault="00685E7B" w:rsidP="00FB691B">
      <w:pPr>
        <w:spacing w:line="276" w:lineRule="auto"/>
        <w:jc w:val="both"/>
        <w:rPr>
          <w:rFonts w:ascii="Arial" w:hAnsi="Arial" w:cs="Arial"/>
          <w:color w:val="000000" w:themeColor="text1"/>
          <w:sz w:val="22"/>
          <w:lang w:val="es-CO"/>
        </w:rPr>
      </w:pPr>
      <w:r>
        <w:rPr>
          <w:rFonts w:ascii="Arial" w:hAnsi="Arial" w:cs="Arial"/>
          <w:color w:val="000000" w:themeColor="text1"/>
          <w:sz w:val="22"/>
          <w:lang w:val="es-ES_tradnl"/>
        </w:rPr>
        <w:t>L</w:t>
      </w:r>
      <w:r w:rsidR="004B2197">
        <w:rPr>
          <w:rFonts w:ascii="Arial" w:hAnsi="Arial" w:cs="Arial"/>
          <w:color w:val="000000" w:themeColor="text1"/>
          <w:sz w:val="22"/>
          <w:lang w:val="es-ES_tradnl"/>
        </w:rPr>
        <w:t xml:space="preserve">os requisitos habilitantes no son solo los que </w:t>
      </w:r>
      <w:r w:rsidR="00D8184D">
        <w:rPr>
          <w:rFonts w:ascii="Arial" w:hAnsi="Arial" w:cs="Arial"/>
          <w:color w:val="000000" w:themeColor="text1"/>
          <w:sz w:val="22"/>
          <w:lang w:val="es-ES_tradnl"/>
        </w:rPr>
        <w:t>establece</w:t>
      </w:r>
      <w:r w:rsidR="004B2197">
        <w:rPr>
          <w:rFonts w:ascii="Arial" w:hAnsi="Arial" w:cs="Arial"/>
          <w:color w:val="000000" w:themeColor="text1"/>
          <w:sz w:val="22"/>
          <w:lang w:val="es-ES_tradnl"/>
        </w:rPr>
        <w:t xml:space="preserve"> el numeral 1 del artículo 5 de la Ley 1150 de 2007, </w:t>
      </w:r>
      <w:r w:rsidR="00F04ECA">
        <w:rPr>
          <w:rFonts w:ascii="Arial" w:hAnsi="Arial" w:cs="Arial"/>
          <w:color w:val="000000" w:themeColor="text1"/>
          <w:sz w:val="22"/>
          <w:lang w:val="es-ES_tradnl"/>
        </w:rPr>
        <w:t xml:space="preserve">pues las entidades estatales, en ejercicio de su autonomía de la voluntad, pueden definir </w:t>
      </w:r>
      <w:r w:rsidR="004E023F">
        <w:rPr>
          <w:rFonts w:ascii="Arial" w:hAnsi="Arial" w:cs="Arial"/>
          <w:color w:val="000000" w:themeColor="text1"/>
          <w:sz w:val="22"/>
          <w:lang w:val="es-ES_tradnl"/>
        </w:rPr>
        <w:t xml:space="preserve">requisitos de participación </w:t>
      </w:r>
      <w:r w:rsidR="00EC05E2">
        <w:rPr>
          <w:rFonts w:ascii="Arial" w:hAnsi="Arial" w:cs="Arial"/>
          <w:color w:val="000000" w:themeColor="text1"/>
          <w:sz w:val="22"/>
          <w:lang w:val="es-ES_tradnl"/>
        </w:rPr>
        <w:t xml:space="preserve">distintitos, </w:t>
      </w:r>
      <w:r w:rsidR="004E023F">
        <w:rPr>
          <w:rFonts w:ascii="Arial" w:hAnsi="Arial" w:cs="Arial"/>
          <w:color w:val="000000" w:themeColor="text1"/>
          <w:sz w:val="22"/>
          <w:lang w:val="es-ES_tradnl"/>
        </w:rPr>
        <w:t xml:space="preserve">adicionales o incluso </w:t>
      </w:r>
      <w:r w:rsidR="00EC05E2">
        <w:rPr>
          <w:rFonts w:ascii="Arial" w:hAnsi="Arial" w:cs="Arial"/>
          <w:color w:val="000000" w:themeColor="text1"/>
          <w:sz w:val="22"/>
          <w:lang w:val="es-ES_tradnl"/>
        </w:rPr>
        <w:t>menos</w:t>
      </w:r>
      <w:r w:rsidR="004E023F">
        <w:rPr>
          <w:rFonts w:ascii="Arial" w:hAnsi="Arial" w:cs="Arial"/>
          <w:color w:val="000000" w:themeColor="text1"/>
          <w:sz w:val="22"/>
          <w:lang w:val="es-ES_tradnl"/>
        </w:rPr>
        <w:t xml:space="preserve"> </w:t>
      </w:r>
      <w:r w:rsidR="00EC05E2">
        <w:rPr>
          <w:rFonts w:ascii="Arial" w:hAnsi="Arial" w:cs="Arial"/>
          <w:color w:val="000000" w:themeColor="text1"/>
          <w:sz w:val="22"/>
          <w:lang w:val="es-ES_tradnl"/>
        </w:rPr>
        <w:t>de</w:t>
      </w:r>
      <w:r w:rsidR="004E023F">
        <w:rPr>
          <w:rFonts w:ascii="Arial" w:hAnsi="Arial" w:cs="Arial"/>
          <w:color w:val="000000" w:themeColor="text1"/>
          <w:sz w:val="22"/>
          <w:lang w:val="es-ES_tradnl"/>
        </w:rPr>
        <w:t xml:space="preserve"> los indicados en aquella norma, cumpliendo lo dispuesto en el artículo</w:t>
      </w:r>
      <w:r w:rsidR="00D8184D">
        <w:rPr>
          <w:rFonts w:ascii="Arial" w:hAnsi="Arial" w:cs="Arial"/>
          <w:color w:val="000000" w:themeColor="text1"/>
          <w:sz w:val="22"/>
          <w:lang w:val="es-ES_tradnl"/>
        </w:rPr>
        <w:t xml:space="preserve"> </w:t>
      </w:r>
      <w:r w:rsidR="00D8184D" w:rsidRPr="00D8184D">
        <w:rPr>
          <w:rFonts w:ascii="Arial" w:hAnsi="Arial" w:cs="Arial"/>
          <w:color w:val="000000" w:themeColor="text1"/>
          <w:sz w:val="22"/>
          <w:lang w:val="es-ES_tradnl"/>
        </w:rPr>
        <w:t>2.2.1.1.1.6.2.</w:t>
      </w:r>
      <w:r w:rsidR="00FB691B">
        <w:rPr>
          <w:rFonts w:ascii="Arial" w:hAnsi="Arial" w:cs="Arial"/>
          <w:color w:val="000000" w:themeColor="text1"/>
          <w:sz w:val="22"/>
          <w:lang w:val="es-ES_tradnl"/>
        </w:rPr>
        <w:t xml:space="preserve"> </w:t>
      </w:r>
      <w:r w:rsidR="004E023F">
        <w:rPr>
          <w:rFonts w:ascii="Arial" w:hAnsi="Arial" w:cs="Arial"/>
          <w:color w:val="000000" w:themeColor="text1"/>
          <w:sz w:val="22"/>
          <w:lang w:val="es-ES_tradnl"/>
        </w:rPr>
        <w:t>del Decreto 1082 de 2015, es decir «</w:t>
      </w:r>
      <w:r w:rsidR="004E023F" w:rsidRPr="004E023F">
        <w:rPr>
          <w:rFonts w:ascii="Arial" w:hAnsi="Arial" w:cs="Arial"/>
          <w:color w:val="000000" w:themeColor="text1"/>
          <w:sz w:val="22"/>
          <w:lang w:val="es-ES_tradnl"/>
        </w:rPr>
        <w:t>teniendo en cuenta: (a) el Riesgo del Proceso de Contratación; (b) el valor del contrato objeto del Proceso de Contratación; (c) el análisis del sector económico respectivo; y (d) el conocimiento de fondo de los posibles oferentes desde la perspectiva comercial</w:t>
      </w:r>
      <w:r w:rsidR="00FB691B">
        <w:rPr>
          <w:rFonts w:ascii="Arial" w:hAnsi="Arial" w:cs="Arial"/>
          <w:color w:val="000000" w:themeColor="text1"/>
          <w:sz w:val="22"/>
          <w:lang w:val="es-ES_tradnl"/>
        </w:rPr>
        <w:t>»</w:t>
      </w:r>
      <w:r w:rsidR="004E023F" w:rsidRPr="004E023F">
        <w:rPr>
          <w:rFonts w:ascii="Arial" w:hAnsi="Arial" w:cs="Arial"/>
          <w:color w:val="000000" w:themeColor="text1"/>
          <w:sz w:val="22"/>
          <w:lang w:val="es-ES_tradnl"/>
        </w:rPr>
        <w:t>.</w:t>
      </w:r>
      <w:r w:rsidR="00FB691B">
        <w:rPr>
          <w:rFonts w:ascii="Arial" w:hAnsi="Arial" w:cs="Arial"/>
          <w:color w:val="000000" w:themeColor="text1"/>
          <w:sz w:val="22"/>
          <w:lang w:val="es-ES_tradnl"/>
        </w:rPr>
        <w:t xml:space="preserve"> Así pues, el numeral 1 del artículo 5 de la Ley 1150 de 2007 no establece un listado taxativo, sino enunciativo. </w:t>
      </w:r>
    </w:p>
    <w:p w14:paraId="5AD5B0FA" w14:textId="77777777" w:rsidR="00FB691B" w:rsidRDefault="00FB691B" w:rsidP="008F4DA6">
      <w:pPr>
        <w:tabs>
          <w:tab w:val="left" w:pos="426"/>
        </w:tabs>
        <w:ind w:left="709" w:right="709"/>
        <w:jc w:val="both"/>
        <w:rPr>
          <w:rFonts w:ascii="Arial" w:eastAsia="Calibri" w:hAnsi="Arial" w:cs="Arial"/>
          <w:color w:val="000000" w:themeColor="text1"/>
          <w:sz w:val="21"/>
          <w:szCs w:val="21"/>
          <w:lang w:val="es-ES_tradnl"/>
        </w:rPr>
      </w:pPr>
    </w:p>
    <w:p w14:paraId="63B101A9" w14:textId="5B9AC072" w:rsidR="008F4DA6" w:rsidRPr="008F4DA6" w:rsidRDefault="008F4DA6" w:rsidP="008F4DA6">
      <w:pPr>
        <w:tabs>
          <w:tab w:val="left" w:pos="426"/>
        </w:tabs>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Pr="008F4DA6">
        <w:rPr>
          <w:rFonts w:ascii="Arial" w:eastAsia="Calibri" w:hAnsi="Arial" w:cs="Arial"/>
          <w:color w:val="000000" w:themeColor="text1"/>
          <w:sz w:val="21"/>
          <w:szCs w:val="21"/>
          <w:lang w:val="es-ES_tradnl"/>
        </w:rPr>
        <w:t>2. ¿Puede una entidad estatal, en el desarrollo de un proceso de contratación establecer requisitos diferentes a los establecidos en la Ley?</w:t>
      </w:r>
      <w:r>
        <w:rPr>
          <w:rFonts w:ascii="Arial" w:eastAsia="Calibri" w:hAnsi="Arial" w:cs="Arial"/>
          <w:color w:val="000000" w:themeColor="text1"/>
          <w:sz w:val="21"/>
          <w:szCs w:val="21"/>
          <w:lang w:val="es-ES_tradnl"/>
        </w:rPr>
        <w:t>»</w:t>
      </w:r>
    </w:p>
    <w:p w14:paraId="1899AD27" w14:textId="77777777" w:rsidR="008F4DA6" w:rsidRPr="008F4DA6" w:rsidRDefault="008F4DA6" w:rsidP="008F4DA6">
      <w:pPr>
        <w:tabs>
          <w:tab w:val="left" w:pos="426"/>
        </w:tabs>
        <w:ind w:left="709" w:right="709"/>
        <w:jc w:val="both"/>
        <w:rPr>
          <w:rFonts w:ascii="Arial" w:eastAsia="Calibri" w:hAnsi="Arial" w:cs="Arial"/>
          <w:color w:val="000000" w:themeColor="text1"/>
          <w:sz w:val="21"/>
          <w:szCs w:val="21"/>
          <w:lang w:val="es-ES_tradnl"/>
        </w:rPr>
      </w:pPr>
    </w:p>
    <w:p w14:paraId="5A947534" w14:textId="1CB9CE7F" w:rsidR="008F4DA6" w:rsidRPr="008F4DA6" w:rsidRDefault="008F4DA6" w:rsidP="008F4DA6">
      <w:pPr>
        <w:tabs>
          <w:tab w:val="left" w:pos="426"/>
        </w:tabs>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t>«</w:t>
      </w:r>
      <w:r w:rsidRPr="008F4DA6">
        <w:rPr>
          <w:rFonts w:ascii="Arial" w:eastAsia="Calibri" w:hAnsi="Arial" w:cs="Arial"/>
          <w:color w:val="000000" w:themeColor="text1"/>
          <w:sz w:val="21"/>
          <w:szCs w:val="21"/>
          <w:lang w:val="es-ES_tradnl"/>
        </w:rPr>
        <w:t>3. ¿Pueden los requisitos habilitantes ser otros y/o diferentes a los establecidos en 1 del artículo 5 de la Ley 1150 de 2007? (sic)</w:t>
      </w:r>
      <w:r>
        <w:rPr>
          <w:rFonts w:ascii="Arial" w:eastAsia="Calibri" w:hAnsi="Arial" w:cs="Arial"/>
          <w:color w:val="000000" w:themeColor="text1"/>
          <w:sz w:val="21"/>
          <w:szCs w:val="21"/>
          <w:lang w:val="es-ES_tradnl"/>
        </w:rPr>
        <w:t>»</w:t>
      </w:r>
      <w:r w:rsidRPr="008F4DA6">
        <w:rPr>
          <w:rFonts w:ascii="Arial" w:eastAsia="Calibri" w:hAnsi="Arial" w:cs="Arial"/>
          <w:color w:val="000000" w:themeColor="text1"/>
          <w:sz w:val="21"/>
          <w:szCs w:val="21"/>
          <w:lang w:val="es-ES_tradnl"/>
        </w:rPr>
        <w:t>.</w:t>
      </w:r>
    </w:p>
    <w:p w14:paraId="776F6A32" w14:textId="77777777" w:rsidR="00FB691B" w:rsidRDefault="00FB691B" w:rsidP="00FB691B">
      <w:pPr>
        <w:spacing w:line="276" w:lineRule="auto"/>
        <w:jc w:val="both"/>
        <w:rPr>
          <w:rFonts w:ascii="Arial" w:hAnsi="Arial" w:cs="Arial"/>
          <w:color w:val="000000" w:themeColor="text1"/>
          <w:sz w:val="22"/>
          <w:lang w:val="es-ES_tradnl"/>
        </w:rPr>
      </w:pPr>
    </w:p>
    <w:p w14:paraId="4C408EBF" w14:textId="1BD1C899" w:rsidR="008F4DA6" w:rsidRDefault="00C439BE" w:rsidP="00FB691B">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U</w:t>
      </w:r>
      <w:r w:rsidR="00FC3EF4">
        <w:rPr>
          <w:rFonts w:ascii="Arial" w:hAnsi="Arial" w:cs="Arial"/>
          <w:color w:val="000000" w:themeColor="text1"/>
          <w:sz w:val="22"/>
          <w:lang w:val="es-ES_tradnl"/>
        </w:rPr>
        <w:t>na entidad estatal, en efecto, puede establecer en un procedimiento de selección requisitos habilitantes distintos a los indicados</w:t>
      </w:r>
      <w:r w:rsidR="00F51CB4">
        <w:rPr>
          <w:rFonts w:ascii="Arial" w:hAnsi="Arial" w:cs="Arial"/>
          <w:color w:val="000000" w:themeColor="text1"/>
          <w:sz w:val="22"/>
          <w:lang w:val="es-ES_tradnl"/>
        </w:rPr>
        <w:t xml:space="preserve"> en el numeral 1 del artículo 5 de la Ley 1150 de 2007, </w:t>
      </w:r>
      <w:r w:rsidR="00DF0263">
        <w:rPr>
          <w:rFonts w:ascii="Arial" w:hAnsi="Arial" w:cs="Arial"/>
          <w:color w:val="000000" w:themeColor="text1"/>
          <w:sz w:val="22"/>
          <w:lang w:val="es-ES_tradnl"/>
        </w:rPr>
        <w:t xml:space="preserve">porque esta disposición no consagra una lista cerrada </w:t>
      </w:r>
      <w:r w:rsidR="008935CF">
        <w:rPr>
          <w:rFonts w:ascii="Arial" w:hAnsi="Arial" w:cs="Arial"/>
          <w:color w:val="000000" w:themeColor="text1"/>
          <w:sz w:val="22"/>
          <w:lang w:val="es-ES_tradnl"/>
        </w:rPr>
        <w:t>de los mencionados requisitos, sino que actúa como un límite a la discrecionalidad administrativa, aunque conservándola, pues los artículos 13, 32 y 40 de la Ley 80 de 1993 dispone</w:t>
      </w:r>
      <w:r w:rsidR="008F7989">
        <w:rPr>
          <w:rFonts w:ascii="Arial" w:hAnsi="Arial" w:cs="Arial"/>
          <w:color w:val="000000" w:themeColor="text1"/>
          <w:sz w:val="22"/>
          <w:lang w:val="es-ES_tradnl"/>
        </w:rPr>
        <w:t>n</w:t>
      </w:r>
      <w:r w:rsidR="008935CF">
        <w:rPr>
          <w:rFonts w:ascii="Arial" w:hAnsi="Arial" w:cs="Arial"/>
          <w:color w:val="000000" w:themeColor="text1"/>
          <w:sz w:val="22"/>
          <w:lang w:val="es-ES_tradnl"/>
        </w:rPr>
        <w:t xml:space="preserve"> que </w:t>
      </w:r>
      <w:r w:rsidR="00A02B88">
        <w:rPr>
          <w:rFonts w:ascii="Arial" w:hAnsi="Arial" w:cs="Arial"/>
          <w:color w:val="000000" w:themeColor="text1"/>
          <w:sz w:val="22"/>
          <w:lang w:val="es-ES_tradnl"/>
        </w:rPr>
        <w:t>las entidades estatales cuentan con autonomía de la voluntad; principio que se expresa, entre otras manifestaciones, en la confección del pliego de condiciones o el documento equivalente, en el que se indican los requisitos de participación</w:t>
      </w:r>
      <w:r w:rsidR="000D7541">
        <w:rPr>
          <w:rFonts w:ascii="Arial" w:hAnsi="Arial" w:cs="Arial"/>
          <w:color w:val="000000" w:themeColor="text1"/>
          <w:sz w:val="22"/>
          <w:lang w:val="es-ES_tradnl"/>
        </w:rPr>
        <w:t>; exigencias que deben en todo caso respetar los principios de proporcionalidad, planeación, selección objetiva y</w:t>
      </w:r>
      <w:r w:rsidR="008F7989">
        <w:rPr>
          <w:rFonts w:ascii="Arial" w:hAnsi="Arial" w:cs="Arial"/>
          <w:color w:val="000000" w:themeColor="text1"/>
          <w:sz w:val="22"/>
          <w:lang w:val="es-ES_tradnl"/>
        </w:rPr>
        <w:t>,</w:t>
      </w:r>
      <w:r w:rsidR="000D7541">
        <w:rPr>
          <w:rFonts w:ascii="Arial" w:hAnsi="Arial" w:cs="Arial"/>
          <w:color w:val="000000" w:themeColor="text1"/>
          <w:sz w:val="22"/>
          <w:lang w:val="es-ES_tradnl"/>
        </w:rPr>
        <w:t xml:space="preserve"> en general</w:t>
      </w:r>
      <w:r w:rsidR="008F7989">
        <w:rPr>
          <w:rFonts w:ascii="Arial" w:hAnsi="Arial" w:cs="Arial"/>
          <w:color w:val="000000" w:themeColor="text1"/>
          <w:sz w:val="22"/>
          <w:lang w:val="es-ES_tradnl"/>
        </w:rPr>
        <w:t>,</w:t>
      </w:r>
      <w:r w:rsidR="000D7541">
        <w:rPr>
          <w:rFonts w:ascii="Arial" w:hAnsi="Arial" w:cs="Arial"/>
          <w:color w:val="000000" w:themeColor="text1"/>
          <w:sz w:val="22"/>
          <w:lang w:val="es-ES_tradnl"/>
        </w:rPr>
        <w:t xml:space="preserve"> los </w:t>
      </w:r>
      <w:r w:rsidR="00EF57BC">
        <w:rPr>
          <w:rFonts w:ascii="Arial" w:hAnsi="Arial" w:cs="Arial"/>
          <w:color w:val="000000" w:themeColor="text1"/>
          <w:sz w:val="22"/>
          <w:lang w:val="es-ES_tradnl"/>
        </w:rPr>
        <w:t>límites normativos establecidos en las disposiciones que regulan la actividad contractual.</w:t>
      </w:r>
    </w:p>
    <w:p w14:paraId="522D261D" w14:textId="291C0339" w:rsidR="008F4DA6" w:rsidRDefault="008F4DA6" w:rsidP="008F7989">
      <w:pPr>
        <w:spacing w:line="276" w:lineRule="auto"/>
        <w:jc w:val="both"/>
        <w:rPr>
          <w:rFonts w:ascii="Arial" w:hAnsi="Arial" w:cs="Arial"/>
          <w:color w:val="000000" w:themeColor="text1"/>
          <w:sz w:val="22"/>
          <w:lang w:val="es-ES_tradnl"/>
        </w:rPr>
      </w:pPr>
    </w:p>
    <w:p w14:paraId="4F2B7018" w14:textId="7819C871" w:rsidR="008F4DA6" w:rsidRPr="008F4DA6" w:rsidRDefault="008F4DA6" w:rsidP="008F4DA6">
      <w:pPr>
        <w:tabs>
          <w:tab w:val="left" w:pos="426"/>
        </w:tabs>
        <w:ind w:left="709" w:right="709"/>
        <w:jc w:val="both"/>
        <w:rPr>
          <w:rFonts w:ascii="Arial" w:eastAsia="Calibri" w:hAnsi="Arial" w:cs="Arial"/>
          <w:color w:val="000000" w:themeColor="text1"/>
          <w:sz w:val="21"/>
          <w:szCs w:val="21"/>
          <w:lang w:val="es-ES_tradnl"/>
        </w:rPr>
      </w:pPr>
      <w:r>
        <w:rPr>
          <w:rFonts w:ascii="Arial" w:eastAsia="Calibri" w:hAnsi="Arial" w:cs="Arial"/>
          <w:color w:val="000000" w:themeColor="text1"/>
          <w:sz w:val="21"/>
          <w:szCs w:val="21"/>
          <w:lang w:val="es-ES_tradnl"/>
        </w:rPr>
        <w:lastRenderedPageBreak/>
        <w:t>«</w:t>
      </w:r>
      <w:r w:rsidRPr="008F4DA6">
        <w:rPr>
          <w:rFonts w:ascii="Arial" w:eastAsia="Calibri" w:hAnsi="Arial" w:cs="Arial"/>
          <w:color w:val="000000" w:themeColor="text1"/>
          <w:sz w:val="21"/>
          <w:szCs w:val="21"/>
          <w:lang w:val="es-ES_tradnl"/>
        </w:rPr>
        <w:t>4. ¿De ser afirmativa su respuesta, ¿De qué manera y cuando pueden las entidades establecer requisitos habilitantes distintos a los establecidos en la norma?</w:t>
      </w:r>
      <w:r>
        <w:rPr>
          <w:rFonts w:ascii="Arial" w:eastAsia="Calibri" w:hAnsi="Arial" w:cs="Arial"/>
          <w:color w:val="000000" w:themeColor="text1"/>
          <w:sz w:val="21"/>
          <w:szCs w:val="21"/>
          <w:lang w:val="es-ES_tradnl"/>
        </w:rPr>
        <w:t>»</w:t>
      </w:r>
    </w:p>
    <w:p w14:paraId="75C52C03" w14:textId="77777777" w:rsidR="008F7989" w:rsidRDefault="008F7989" w:rsidP="008F7989">
      <w:pPr>
        <w:spacing w:line="276" w:lineRule="auto"/>
        <w:jc w:val="both"/>
        <w:rPr>
          <w:rFonts w:ascii="Arial" w:hAnsi="Arial" w:cs="Arial"/>
          <w:color w:val="000000" w:themeColor="text1"/>
          <w:sz w:val="22"/>
          <w:lang w:val="es-ES_tradnl"/>
        </w:rPr>
      </w:pPr>
    </w:p>
    <w:p w14:paraId="1C8A9B8D" w14:textId="003A334E" w:rsidR="004940E3" w:rsidRPr="004940E3" w:rsidRDefault="008F7989" w:rsidP="008F7989">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 xml:space="preserve">Las entidades estatales </w:t>
      </w:r>
      <w:r w:rsidR="006D1544">
        <w:rPr>
          <w:rFonts w:ascii="Arial" w:hAnsi="Arial" w:cs="Arial"/>
          <w:color w:val="000000" w:themeColor="text1"/>
          <w:sz w:val="22"/>
          <w:lang w:val="es-ES_tradnl"/>
        </w:rPr>
        <w:t xml:space="preserve">deben establecer los requisitos habilitantes </w:t>
      </w:r>
      <w:r w:rsidR="000C128D">
        <w:rPr>
          <w:rFonts w:ascii="Arial" w:hAnsi="Arial" w:cs="Arial"/>
          <w:color w:val="000000" w:themeColor="text1"/>
          <w:sz w:val="22"/>
          <w:lang w:val="es-ES_tradnl"/>
        </w:rPr>
        <w:t xml:space="preserve">como </w:t>
      </w:r>
      <w:r w:rsidR="00861F53">
        <w:rPr>
          <w:rFonts w:ascii="Arial" w:hAnsi="Arial" w:cs="Arial"/>
          <w:color w:val="000000" w:themeColor="text1"/>
          <w:sz w:val="22"/>
          <w:lang w:val="es-ES_tradnl"/>
        </w:rPr>
        <w:t>parte</w:t>
      </w:r>
      <w:r w:rsidR="000C128D">
        <w:rPr>
          <w:rFonts w:ascii="Arial" w:hAnsi="Arial" w:cs="Arial"/>
          <w:color w:val="000000" w:themeColor="text1"/>
          <w:sz w:val="22"/>
          <w:lang w:val="es-ES_tradnl"/>
        </w:rPr>
        <w:t xml:space="preserve"> de la realización de los estudios previos y teniendo en cuenta «</w:t>
      </w:r>
      <w:r w:rsidR="000C128D" w:rsidRPr="004E023F">
        <w:rPr>
          <w:rFonts w:ascii="Arial" w:hAnsi="Arial" w:cs="Arial"/>
          <w:color w:val="000000" w:themeColor="text1"/>
          <w:sz w:val="22"/>
          <w:lang w:val="es-ES_tradnl"/>
        </w:rPr>
        <w:t>(a) el Riesgo del Proceso de Contratación; (b) el valor del contrato objeto del Proceso de Contratación; (c) el análisis del sector económico respectivo; y (d) el conocimiento de fondo de los posibles oferentes desde la perspectiva comercial</w:t>
      </w:r>
      <w:r w:rsidR="000C128D">
        <w:rPr>
          <w:rFonts w:ascii="Arial" w:hAnsi="Arial" w:cs="Arial"/>
          <w:color w:val="000000" w:themeColor="text1"/>
          <w:sz w:val="22"/>
          <w:lang w:val="es-ES_tradnl"/>
        </w:rPr>
        <w:t xml:space="preserve">», según lo prevé el artículo </w:t>
      </w:r>
      <w:r w:rsidR="000C128D" w:rsidRPr="00D8184D">
        <w:rPr>
          <w:rFonts w:ascii="Arial" w:hAnsi="Arial" w:cs="Arial"/>
          <w:color w:val="000000" w:themeColor="text1"/>
          <w:sz w:val="22"/>
          <w:lang w:val="es-ES_tradnl"/>
        </w:rPr>
        <w:t>2.2.1.1.1.6.2.</w:t>
      </w:r>
      <w:r w:rsidR="000C128D">
        <w:rPr>
          <w:rFonts w:ascii="Arial" w:hAnsi="Arial" w:cs="Arial"/>
          <w:color w:val="000000" w:themeColor="text1"/>
          <w:sz w:val="22"/>
          <w:lang w:val="es-ES_tradnl"/>
        </w:rPr>
        <w:t xml:space="preserve"> del Decreto 1082 de 2015. </w:t>
      </w:r>
      <w:r w:rsidR="009E5E56">
        <w:rPr>
          <w:rFonts w:ascii="Arial" w:hAnsi="Arial" w:cs="Arial"/>
          <w:color w:val="000000" w:themeColor="text1"/>
          <w:sz w:val="22"/>
          <w:lang w:val="es-ES_tradnl"/>
        </w:rPr>
        <w:t xml:space="preserve">En consecuencia, puede que luego de analizar dichos factores se concluya </w:t>
      </w:r>
      <w:r w:rsidR="00344760">
        <w:rPr>
          <w:rFonts w:ascii="Arial" w:hAnsi="Arial" w:cs="Arial"/>
          <w:color w:val="000000" w:themeColor="text1"/>
          <w:sz w:val="22"/>
          <w:lang w:val="es-ES_tradnl"/>
        </w:rPr>
        <w:t>que es razonable y necesario</w:t>
      </w:r>
      <w:r w:rsidR="009E5E56">
        <w:rPr>
          <w:rFonts w:ascii="Arial" w:hAnsi="Arial" w:cs="Arial"/>
          <w:color w:val="000000" w:themeColor="text1"/>
          <w:sz w:val="22"/>
          <w:lang w:val="es-ES_tradnl"/>
        </w:rPr>
        <w:t xml:space="preserve"> exigir condiciones de participación distintas a las establecidas</w:t>
      </w:r>
      <w:r w:rsidR="00344760">
        <w:rPr>
          <w:rFonts w:ascii="Arial" w:hAnsi="Arial" w:cs="Arial"/>
          <w:color w:val="000000" w:themeColor="text1"/>
          <w:sz w:val="22"/>
          <w:lang w:val="es-ES_tradnl"/>
        </w:rPr>
        <w:t xml:space="preserve"> en el numeral 1 del artículo 5 de la Ley 1150 de 2007</w:t>
      </w:r>
      <w:r w:rsidR="00782D2C">
        <w:rPr>
          <w:rFonts w:ascii="Arial" w:hAnsi="Arial" w:cs="Arial"/>
          <w:color w:val="000000" w:themeColor="text1"/>
          <w:sz w:val="22"/>
          <w:lang w:val="es-ES_tradnl"/>
        </w:rPr>
        <w:t>; lo que se aviene, como se ha dicho, con la autonomía de la voluntad con que cuentan las entidades estatales</w:t>
      </w:r>
      <w:r w:rsidR="009314FA">
        <w:rPr>
          <w:rFonts w:ascii="Arial" w:hAnsi="Arial" w:cs="Arial"/>
          <w:color w:val="000000" w:themeColor="text1"/>
          <w:sz w:val="22"/>
          <w:lang w:val="es-ES_tradnl"/>
        </w:rPr>
        <w:t>.</w:t>
      </w:r>
      <w:r w:rsidR="009E5E56">
        <w:rPr>
          <w:rFonts w:ascii="Arial" w:hAnsi="Arial" w:cs="Arial"/>
          <w:color w:val="000000" w:themeColor="text1"/>
          <w:sz w:val="22"/>
          <w:lang w:val="es-ES_tradnl"/>
        </w:rPr>
        <w:t xml:space="preserve"> </w:t>
      </w:r>
    </w:p>
    <w:p w14:paraId="156D2B10" w14:textId="77777777" w:rsidR="001174C9" w:rsidRDefault="001174C9" w:rsidP="00344760">
      <w:pPr>
        <w:spacing w:line="276" w:lineRule="auto"/>
        <w:jc w:val="both"/>
        <w:rPr>
          <w:rFonts w:ascii="Arial" w:hAnsi="Arial" w:cs="Arial"/>
          <w:color w:val="000000" w:themeColor="text1"/>
          <w:sz w:val="22"/>
          <w:lang w:val="es-ES_tradnl"/>
        </w:rPr>
      </w:pPr>
    </w:p>
    <w:p w14:paraId="7B2C921D" w14:textId="0DC9E544" w:rsidR="00DD5B04" w:rsidRPr="004940E3" w:rsidRDefault="00DD5B04" w:rsidP="00344760">
      <w:pPr>
        <w:spacing w:line="276" w:lineRule="auto"/>
        <w:jc w:val="both"/>
        <w:rPr>
          <w:rFonts w:ascii="Arial" w:hAnsi="Arial" w:cs="Arial"/>
          <w:color w:val="000000" w:themeColor="text1"/>
          <w:sz w:val="22"/>
          <w:lang w:val="es-ES_tradnl"/>
        </w:rPr>
      </w:pPr>
      <w:r w:rsidRPr="004940E3">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4940E3" w:rsidRDefault="00DD5B04" w:rsidP="00DD5B04">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7777777" w:rsidR="00DD5B04" w:rsidRPr="004940E3" w:rsidRDefault="00DD5B04" w:rsidP="00DD5B04">
      <w:pPr>
        <w:pStyle w:val="NormalWeb"/>
        <w:spacing w:before="0" w:beforeAutospacing="0" w:after="0" w:afterAutospacing="0" w:line="276" w:lineRule="auto"/>
        <w:jc w:val="both"/>
        <w:rPr>
          <w:rFonts w:ascii="Arial" w:hAnsi="Arial" w:cs="Arial"/>
          <w:color w:val="000000" w:themeColor="text1"/>
          <w:sz w:val="22"/>
          <w:szCs w:val="22"/>
          <w:lang w:val="es-ES_tradnl"/>
        </w:rPr>
      </w:pPr>
      <w:r w:rsidRPr="004940E3">
        <w:rPr>
          <w:rFonts w:ascii="Arial" w:hAnsi="Arial" w:cs="Arial"/>
          <w:color w:val="000000" w:themeColor="text1"/>
          <w:sz w:val="22"/>
          <w:szCs w:val="22"/>
          <w:lang w:val="es-ES_tradnl"/>
        </w:rPr>
        <w:t>Atentamente,</w:t>
      </w:r>
    </w:p>
    <w:p w14:paraId="49730030" w14:textId="24012B97" w:rsidR="00DD5B04" w:rsidRDefault="00D0742C" w:rsidP="00DD5B04">
      <w:pPr>
        <w:jc w:val="center"/>
        <w:rPr>
          <w:rFonts w:ascii="Arial" w:eastAsia="Times New Roman" w:hAnsi="Arial" w:cs="Arial"/>
          <w:color w:val="000000" w:themeColor="text1"/>
          <w:sz w:val="18"/>
          <w:szCs w:val="20"/>
          <w:lang w:val="es-ES_tradnl" w:eastAsia="es-CO"/>
        </w:rPr>
      </w:pPr>
      <w:r>
        <w:rPr>
          <w:noProof/>
        </w:rPr>
        <w:drawing>
          <wp:inline distT="0" distB="0" distL="0" distR="0" wp14:anchorId="2177670D" wp14:editId="79D74585">
            <wp:extent cx="2773045" cy="988695"/>
            <wp:effectExtent l="0" t="0" r="0" b="0"/>
            <wp:docPr id="855111165"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5BF200AB" w14:textId="77777777" w:rsidR="00D0742C" w:rsidRPr="004940E3" w:rsidRDefault="00D0742C" w:rsidP="00DD5B04">
      <w:pPr>
        <w:jc w:val="center"/>
        <w:rPr>
          <w:rFonts w:ascii="Arial" w:eastAsia="Times New Roman"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4940E3" w14:paraId="0C7DC5F7" w14:textId="77777777" w:rsidTr="00083F1B">
        <w:trPr>
          <w:trHeight w:val="315"/>
        </w:trPr>
        <w:tc>
          <w:tcPr>
            <w:tcW w:w="812" w:type="dxa"/>
            <w:vAlign w:val="center"/>
            <w:hideMark/>
          </w:tcPr>
          <w:p w14:paraId="5BDB1AC9" w14:textId="77777777" w:rsidR="00DD5B04" w:rsidRPr="004940E3" w:rsidRDefault="00DD5B04" w:rsidP="00083F1B">
            <w:pPr>
              <w:rPr>
                <w:rFonts w:ascii="Arial" w:eastAsia="Times New Roman" w:hAnsi="Arial" w:cs="Arial"/>
                <w:color w:val="000000" w:themeColor="text1"/>
                <w:sz w:val="16"/>
                <w:szCs w:val="16"/>
                <w:lang w:val="es-ES_tradnl" w:eastAsia="es-ES"/>
              </w:rPr>
            </w:pPr>
            <w:r w:rsidRPr="004940E3">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4940E3" w:rsidRDefault="00DD5B04" w:rsidP="00083F1B">
            <w:pPr>
              <w:rPr>
                <w:rFonts w:ascii="Arial" w:eastAsia="Times New Roman" w:hAnsi="Arial" w:cs="Arial"/>
                <w:color w:val="000000" w:themeColor="text1"/>
                <w:sz w:val="16"/>
                <w:szCs w:val="16"/>
                <w:lang w:val="es-ES_tradnl" w:eastAsia="es-ES"/>
              </w:rPr>
            </w:pPr>
            <w:r w:rsidRPr="004940E3">
              <w:rPr>
                <w:rFonts w:ascii="Arial" w:eastAsia="Times New Roman" w:hAnsi="Arial" w:cs="Arial"/>
                <w:color w:val="000000" w:themeColor="text1"/>
                <w:sz w:val="16"/>
                <w:szCs w:val="16"/>
                <w:lang w:val="es-ES_tradnl" w:eastAsia="es-ES"/>
              </w:rPr>
              <w:t>Cristian Andrés Díaz Díez</w:t>
            </w:r>
          </w:p>
          <w:p w14:paraId="240C71FD" w14:textId="77777777" w:rsidR="00DD5B04" w:rsidRPr="004940E3" w:rsidRDefault="00DD5B04" w:rsidP="00083F1B">
            <w:pPr>
              <w:rPr>
                <w:rFonts w:ascii="Arial" w:eastAsia="Times New Roman" w:hAnsi="Arial" w:cs="Arial"/>
                <w:color w:val="000000" w:themeColor="text1"/>
                <w:sz w:val="16"/>
                <w:szCs w:val="16"/>
                <w:lang w:val="es-ES_tradnl" w:eastAsia="es-ES"/>
              </w:rPr>
            </w:pPr>
            <w:r w:rsidRPr="004940E3">
              <w:rPr>
                <w:rFonts w:ascii="Arial" w:eastAsia="Times New Roman" w:hAnsi="Arial" w:cs="Arial"/>
                <w:color w:val="000000" w:themeColor="text1"/>
                <w:sz w:val="16"/>
                <w:szCs w:val="16"/>
                <w:lang w:val="es-ES_tradnl" w:eastAsia="es-ES"/>
              </w:rPr>
              <w:t>Contratista, Subdirección de Gestión Contractual</w:t>
            </w:r>
          </w:p>
        </w:tc>
      </w:tr>
      <w:tr w:rsidR="00DD5B04" w:rsidRPr="004940E3" w14:paraId="2F8FD650" w14:textId="77777777" w:rsidTr="00083F1B">
        <w:trPr>
          <w:trHeight w:val="330"/>
        </w:trPr>
        <w:tc>
          <w:tcPr>
            <w:tcW w:w="812" w:type="dxa"/>
            <w:vAlign w:val="center"/>
            <w:hideMark/>
          </w:tcPr>
          <w:p w14:paraId="50203A0B" w14:textId="77777777" w:rsidR="00DD5B04" w:rsidRPr="004940E3" w:rsidRDefault="00DD5B04" w:rsidP="00083F1B">
            <w:pPr>
              <w:rPr>
                <w:rFonts w:ascii="Arial" w:eastAsia="Times New Roman" w:hAnsi="Arial" w:cs="Arial"/>
                <w:color w:val="000000" w:themeColor="text1"/>
                <w:sz w:val="16"/>
                <w:szCs w:val="16"/>
                <w:lang w:val="es-ES_tradnl" w:eastAsia="es-ES"/>
              </w:rPr>
            </w:pPr>
            <w:r w:rsidRPr="004940E3">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F5FA35D" w14:textId="77777777" w:rsidR="00DD5B04" w:rsidRPr="004940E3" w:rsidRDefault="00DD5B04" w:rsidP="00083F1B">
            <w:pPr>
              <w:rPr>
                <w:rFonts w:ascii="Arial" w:eastAsia="Times New Roman" w:hAnsi="Arial" w:cs="Arial"/>
                <w:color w:val="000000" w:themeColor="text1"/>
                <w:sz w:val="16"/>
                <w:szCs w:val="16"/>
                <w:lang w:val="es-ES_tradnl" w:eastAsia="es-ES"/>
              </w:rPr>
            </w:pPr>
            <w:r w:rsidRPr="004940E3">
              <w:rPr>
                <w:rFonts w:ascii="Arial" w:eastAsia="Times New Roman" w:hAnsi="Arial" w:cs="Arial"/>
                <w:color w:val="000000" w:themeColor="text1"/>
                <w:sz w:val="16"/>
                <w:szCs w:val="16"/>
                <w:lang w:val="es-ES_tradnl" w:eastAsia="es-ES"/>
              </w:rPr>
              <w:t>Fabián Gonzalo Marín Cortés</w:t>
            </w:r>
          </w:p>
          <w:p w14:paraId="130B3228" w14:textId="77777777" w:rsidR="00DD5B04" w:rsidRPr="004940E3" w:rsidRDefault="00DD5B04" w:rsidP="00083F1B">
            <w:pPr>
              <w:rPr>
                <w:rFonts w:ascii="Arial" w:eastAsia="Times New Roman" w:hAnsi="Arial" w:cs="Arial"/>
                <w:color w:val="000000" w:themeColor="text1"/>
                <w:sz w:val="16"/>
                <w:szCs w:val="16"/>
                <w:lang w:val="es-ES_tradnl" w:eastAsia="es-ES"/>
              </w:rPr>
            </w:pPr>
            <w:r w:rsidRPr="004940E3">
              <w:rPr>
                <w:rFonts w:ascii="Arial" w:eastAsia="Times New Roman" w:hAnsi="Arial" w:cs="Arial"/>
                <w:color w:val="000000" w:themeColor="text1"/>
                <w:sz w:val="16"/>
                <w:szCs w:val="16"/>
                <w:lang w:val="es-ES_tradnl" w:eastAsia="es-ES"/>
              </w:rPr>
              <w:t>Subdirector de Gestión Contractual</w:t>
            </w:r>
          </w:p>
        </w:tc>
      </w:tr>
      <w:tr w:rsidR="00DD5B04" w:rsidRPr="004940E3" w14:paraId="0FCBCA4A" w14:textId="77777777" w:rsidTr="00083F1B">
        <w:trPr>
          <w:trHeight w:val="300"/>
        </w:trPr>
        <w:tc>
          <w:tcPr>
            <w:tcW w:w="812" w:type="dxa"/>
            <w:vAlign w:val="center"/>
            <w:hideMark/>
          </w:tcPr>
          <w:p w14:paraId="3C1D943A" w14:textId="77777777" w:rsidR="00DD5B04" w:rsidRPr="004940E3" w:rsidRDefault="00DD5B04" w:rsidP="00083F1B">
            <w:pPr>
              <w:rPr>
                <w:rFonts w:ascii="Arial" w:eastAsia="Times New Roman" w:hAnsi="Arial" w:cs="Arial"/>
                <w:color w:val="000000" w:themeColor="text1"/>
                <w:sz w:val="16"/>
                <w:szCs w:val="16"/>
                <w:lang w:val="es-ES_tradnl" w:eastAsia="es-ES"/>
              </w:rPr>
            </w:pPr>
            <w:r w:rsidRPr="004940E3">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5CC54C1" w14:textId="77777777" w:rsidR="00DD5B04" w:rsidRPr="004940E3" w:rsidRDefault="00DD5B04" w:rsidP="00083F1B">
            <w:pPr>
              <w:rPr>
                <w:rFonts w:ascii="Arial" w:eastAsia="Times New Roman" w:hAnsi="Arial" w:cs="Arial"/>
                <w:color w:val="000000" w:themeColor="text1"/>
                <w:sz w:val="16"/>
                <w:szCs w:val="16"/>
                <w:lang w:val="es-ES_tradnl" w:eastAsia="es-ES"/>
              </w:rPr>
            </w:pPr>
            <w:r w:rsidRPr="004940E3">
              <w:rPr>
                <w:rFonts w:ascii="Arial" w:eastAsia="Times New Roman" w:hAnsi="Arial" w:cs="Arial"/>
                <w:color w:val="000000" w:themeColor="text1"/>
                <w:sz w:val="16"/>
                <w:szCs w:val="16"/>
                <w:lang w:val="es-ES_tradnl" w:eastAsia="es-ES"/>
              </w:rPr>
              <w:t>Fabián Gonzalo Marín Cortés</w:t>
            </w:r>
          </w:p>
          <w:p w14:paraId="1ADC483B" w14:textId="77777777" w:rsidR="00DD5B04" w:rsidRPr="004940E3" w:rsidRDefault="00DD5B04" w:rsidP="00083F1B">
            <w:pPr>
              <w:rPr>
                <w:rFonts w:ascii="Arial" w:eastAsia="Times New Roman" w:hAnsi="Arial" w:cs="Arial"/>
                <w:color w:val="000000" w:themeColor="text1"/>
                <w:sz w:val="16"/>
                <w:szCs w:val="16"/>
                <w:lang w:val="es-ES_tradnl" w:eastAsia="es-ES"/>
              </w:rPr>
            </w:pPr>
            <w:r w:rsidRPr="004940E3">
              <w:rPr>
                <w:rFonts w:ascii="Arial" w:eastAsia="Times New Roman" w:hAnsi="Arial" w:cs="Arial"/>
                <w:color w:val="000000" w:themeColor="text1"/>
                <w:sz w:val="16"/>
                <w:szCs w:val="16"/>
                <w:lang w:val="es-ES_tradnl" w:eastAsia="es-ES"/>
              </w:rPr>
              <w:t>Subdirector de Gestión Contractual</w:t>
            </w:r>
          </w:p>
        </w:tc>
      </w:tr>
    </w:tbl>
    <w:p w14:paraId="35B56F46" w14:textId="77777777" w:rsidR="00746E08" w:rsidRPr="004940E3" w:rsidRDefault="00746E08" w:rsidP="00DD5B04">
      <w:pPr>
        <w:rPr>
          <w:lang w:val="es-ES_tradnl"/>
        </w:rPr>
      </w:pPr>
    </w:p>
    <w:sectPr w:rsidR="00746E08" w:rsidRPr="004940E3" w:rsidSect="005D791B">
      <w:headerReference w:type="even" r:id="rId12"/>
      <w:headerReference w:type="default" r:id="rId13"/>
      <w:footerReference w:type="even" r:id="rId14"/>
      <w:footerReference w:type="default" r:id="rId15"/>
      <w:headerReference w:type="first" r:id="rId16"/>
      <w:footerReference w:type="firs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A6A70E" w14:textId="77777777" w:rsidR="00B76BFB" w:rsidRDefault="00B76BFB">
      <w:r>
        <w:separator/>
      </w:r>
    </w:p>
  </w:endnote>
  <w:endnote w:type="continuationSeparator" w:id="0">
    <w:p w14:paraId="7DE5D5DC" w14:textId="77777777" w:rsidR="00B76BFB" w:rsidRDefault="00B76BFB">
      <w:r>
        <w:continuationSeparator/>
      </w:r>
    </w:p>
  </w:endnote>
  <w:endnote w:type="continuationNotice" w:id="1">
    <w:p w14:paraId="3EDA02ED" w14:textId="77777777" w:rsidR="00B76BFB" w:rsidRDefault="00B76B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4C4ECC" w14:textId="77777777" w:rsidR="00C82298" w:rsidRDefault="00C8229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BE3D232" w:rsidP="00322937">
    <w:pPr>
      <w:pStyle w:val="Piedepgina"/>
      <w:jc w:val="center"/>
      <w:rPr>
        <w:lang w:val="es-ES"/>
      </w:rPr>
    </w:pPr>
    <w:r>
      <w:rPr>
        <w:noProof/>
      </w:rPr>
      <w:drawing>
        <wp:inline distT="0" distB="0" distL="0" distR="0" wp14:anchorId="608B196D" wp14:editId="33214B07">
          <wp:extent cx="3700130" cy="519139"/>
          <wp:effectExtent l="0" t="0" r="0" b="0"/>
          <wp:docPr id="109585377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C239A0" w14:textId="77777777" w:rsidR="00C82298" w:rsidRDefault="00C8229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356BF8" w14:textId="77777777" w:rsidR="00B76BFB" w:rsidRDefault="00B76BFB">
      <w:r>
        <w:separator/>
      </w:r>
    </w:p>
  </w:footnote>
  <w:footnote w:type="continuationSeparator" w:id="0">
    <w:p w14:paraId="62CEA4B3" w14:textId="77777777" w:rsidR="00B76BFB" w:rsidRDefault="00B76BFB">
      <w:r>
        <w:continuationSeparator/>
      </w:r>
    </w:p>
  </w:footnote>
  <w:footnote w:type="continuationNotice" w:id="1">
    <w:p w14:paraId="5CBA0793" w14:textId="77777777" w:rsidR="00B76BFB" w:rsidRDefault="00B76BFB"/>
  </w:footnote>
  <w:footnote w:id="2">
    <w:p w14:paraId="3843990C" w14:textId="77777777" w:rsidR="00DD5B04" w:rsidRPr="00970615" w:rsidRDefault="00DD5B04" w:rsidP="00DD5B04">
      <w:pPr>
        <w:pStyle w:val="Textonotapie"/>
        <w:ind w:firstLine="708"/>
        <w:jc w:val="both"/>
        <w:rPr>
          <w:rFonts w:ascii="Arial" w:hAnsi="Arial" w:cs="Arial"/>
          <w:sz w:val="19"/>
          <w:szCs w:val="19"/>
        </w:rPr>
      </w:pPr>
      <w:r w:rsidRPr="00970615">
        <w:rPr>
          <w:rStyle w:val="Refdenotaalpie"/>
          <w:rFonts w:ascii="Arial" w:hAnsi="Arial" w:cs="Arial"/>
          <w:sz w:val="19"/>
          <w:szCs w:val="19"/>
        </w:rPr>
        <w:footnoteRef/>
      </w:r>
      <w:r w:rsidRPr="00970615">
        <w:rPr>
          <w:rFonts w:ascii="Arial" w:hAnsi="Arial" w:cs="Arial"/>
          <w:sz w:val="19"/>
          <w:szCs w:val="19"/>
        </w:rPr>
        <w:t xml:space="preserve"> </w:t>
      </w:r>
      <w:r w:rsidRPr="00970615">
        <w:rPr>
          <w:rFonts w:ascii="Arial" w:eastAsia="Calibri" w:hAnsi="Arial" w:cs="Arial"/>
          <w:sz w:val="19"/>
          <w:szCs w:val="19"/>
        </w:rPr>
        <w:t>Corte Constitucional. Sentencia C 178 de 1996. M. P. Antonio Barrera Carbonell.</w:t>
      </w:r>
      <w:r w:rsidRPr="00970615">
        <w:rPr>
          <w:rFonts w:ascii="Arial" w:hAnsi="Arial" w:cs="Arial"/>
          <w:sz w:val="19"/>
          <w:szCs w:val="19"/>
        </w:rPr>
        <w:t xml:space="preserve"> </w:t>
      </w:r>
    </w:p>
    <w:p w14:paraId="14533D86" w14:textId="77777777" w:rsidR="00DD5B04" w:rsidRPr="00970615" w:rsidRDefault="00DD5B04" w:rsidP="00DD5B04">
      <w:pPr>
        <w:pStyle w:val="Textonotapie"/>
        <w:ind w:firstLine="708"/>
        <w:jc w:val="both"/>
        <w:rPr>
          <w:rFonts w:ascii="Arial" w:hAnsi="Arial" w:cs="Arial"/>
          <w:sz w:val="19"/>
          <w:szCs w:val="19"/>
          <w:lang w:val="es-CO"/>
        </w:rPr>
      </w:pPr>
    </w:p>
  </w:footnote>
  <w:footnote w:id="3">
    <w:p w14:paraId="5753F1E2" w14:textId="77777777" w:rsidR="00DD5B04" w:rsidRPr="00970615" w:rsidRDefault="00DD5B04" w:rsidP="00DD5B04">
      <w:pPr>
        <w:pStyle w:val="Textonotapie"/>
        <w:ind w:firstLine="708"/>
        <w:jc w:val="both"/>
        <w:rPr>
          <w:rFonts w:ascii="Arial" w:eastAsia="Calibri" w:hAnsi="Arial" w:cs="Arial"/>
          <w:sz w:val="19"/>
          <w:szCs w:val="19"/>
        </w:rPr>
      </w:pPr>
      <w:r w:rsidRPr="00970615">
        <w:rPr>
          <w:rStyle w:val="Refdenotaalpie"/>
          <w:rFonts w:ascii="Arial" w:hAnsi="Arial" w:cs="Arial"/>
          <w:sz w:val="19"/>
          <w:szCs w:val="19"/>
        </w:rPr>
        <w:footnoteRef/>
      </w:r>
      <w:r w:rsidRPr="00970615">
        <w:rPr>
          <w:rFonts w:ascii="Arial" w:hAnsi="Arial" w:cs="Arial"/>
          <w:sz w:val="19"/>
          <w:szCs w:val="19"/>
        </w:rPr>
        <w:t xml:space="preserve"> </w:t>
      </w:r>
      <w:r w:rsidRPr="00970615">
        <w:rPr>
          <w:rFonts w:ascii="Arial" w:eastAsia="Calibri" w:hAnsi="Arial" w:cs="Arial"/>
          <w:sz w:val="19"/>
          <w:szCs w:val="19"/>
        </w:rPr>
        <w:t>«Artículo 6o. De la capacidad para contratar. Pueden celebrar contratos con las entidades estatales las personas consideradas legalmente capaces en las disposiciones vigentes».</w:t>
      </w:r>
    </w:p>
    <w:p w14:paraId="4A733CC6" w14:textId="77777777" w:rsidR="00DD5B04" w:rsidRPr="00970615" w:rsidRDefault="00DD5B04" w:rsidP="00DD5B04">
      <w:pPr>
        <w:pStyle w:val="Textonotapie"/>
        <w:ind w:firstLine="708"/>
        <w:jc w:val="both"/>
        <w:rPr>
          <w:rFonts w:ascii="Arial" w:hAnsi="Arial" w:cs="Arial"/>
          <w:sz w:val="19"/>
          <w:szCs w:val="19"/>
          <w:lang w:val="es-CO"/>
        </w:rPr>
      </w:pPr>
    </w:p>
  </w:footnote>
  <w:footnote w:id="4">
    <w:p w14:paraId="41EF5152" w14:textId="77777777" w:rsidR="00DD5B04" w:rsidRPr="00970615" w:rsidRDefault="00DD5B04" w:rsidP="00DD5B04">
      <w:pPr>
        <w:pStyle w:val="Textonotapie"/>
        <w:ind w:firstLine="708"/>
        <w:jc w:val="both"/>
        <w:rPr>
          <w:rFonts w:ascii="Arial" w:eastAsia="Calibri" w:hAnsi="Arial" w:cs="Arial"/>
          <w:sz w:val="19"/>
          <w:szCs w:val="19"/>
        </w:rPr>
      </w:pPr>
      <w:r w:rsidRPr="00970615">
        <w:rPr>
          <w:rStyle w:val="Refdenotaalpie"/>
          <w:rFonts w:ascii="Arial" w:hAnsi="Arial" w:cs="Arial"/>
          <w:sz w:val="19"/>
          <w:szCs w:val="19"/>
        </w:rPr>
        <w:footnoteRef/>
      </w:r>
      <w:r w:rsidRPr="00970615">
        <w:rPr>
          <w:rFonts w:ascii="Arial" w:hAnsi="Arial" w:cs="Arial"/>
          <w:sz w:val="19"/>
          <w:szCs w:val="19"/>
        </w:rPr>
        <w:t xml:space="preserve"> </w:t>
      </w:r>
      <w:r w:rsidRPr="00970615">
        <w:rPr>
          <w:rFonts w:ascii="Arial" w:eastAsia="Calibri" w:hAnsi="Arial" w:cs="Arial"/>
          <w:sz w:val="19"/>
          <w:szCs w:val="19"/>
        </w:rPr>
        <w:t xml:space="preserve">Consejo de Estado. Sala de Consulta y Servicio Civil. Concepto del 10 de agosto de 2015. Expediente: 11001-03-06-000-2015-00118-00 (2.260). C. P. Álvaro Namén Vargas. </w:t>
      </w:r>
    </w:p>
    <w:p w14:paraId="150F8504" w14:textId="77777777" w:rsidR="00DD5B04" w:rsidRPr="00970615" w:rsidRDefault="00DD5B04" w:rsidP="00DD5B04">
      <w:pPr>
        <w:pStyle w:val="Textonotapie"/>
        <w:ind w:firstLine="708"/>
        <w:jc w:val="both"/>
        <w:rPr>
          <w:rFonts w:ascii="Arial" w:hAnsi="Arial" w:cs="Arial"/>
          <w:sz w:val="19"/>
          <w:szCs w:val="19"/>
          <w:lang w:val="es-CO"/>
        </w:rPr>
      </w:pPr>
    </w:p>
  </w:footnote>
  <w:footnote w:id="5">
    <w:p w14:paraId="2550DB3C" w14:textId="11C66444" w:rsidR="00DD5B04" w:rsidRPr="00970615" w:rsidRDefault="00DD5B04" w:rsidP="002B6416">
      <w:pPr>
        <w:pStyle w:val="Textonotapie"/>
        <w:ind w:firstLine="708"/>
        <w:jc w:val="both"/>
        <w:rPr>
          <w:rFonts w:ascii="Arial" w:eastAsia="Calibri" w:hAnsi="Arial" w:cs="Arial"/>
          <w:sz w:val="19"/>
          <w:szCs w:val="19"/>
        </w:rPr>
      </w:pPr>
      <w:r w:rsidRPr="00970615">
        <w:rPr>
          <w:rStyle w:val="Refdenotaalpie"/>
          <w:rFonts w:ascii="Arial" w:hAnsi="Arial" w:cs="Arial"/>
          <w:sz w:val="19"/>
          <w:szCs w:val="19"/>
        </w:rPr>
        <w:footnoteRef/>
      </w:r>
      <w:r w:rsidRPr="00970615">
        <w:rPr>
          <w:rFonts w:ascii="Arial" w:hAnsi="Arial" w:cs="Arial"/>
          <w:sz w:val="19"/>
          <w:szCs w:val="19"/>
        </w:rPr>
        <w:t xml:space="preserve"> </w:t>
      </w:r>
      <w:r w:rsidRPr="00970615">
        <w:rPr>
          <w:rFonts w:ascii="Arial" w:eastAsia="Calibri" w:hAnsi="Arial" w:cs="Arial"/>
          <w:sz w:val="19"/>
          <w:szCs w:val="19"/>
        </w:rPr>
        <w:t>Consejo de Estado. Sección Tercera. Subsección B. Providencia del 5 de diciembre de 2016. Expediente: 05001-23-31-000-2003-03663-01 (41.333). C. P. Ramiro Pazos Guerrero. Allí se dijo que «es deber de los servidores evitar que prevalezca el interés particular sobre el general, de manera que para garantizar tal propósito el legislador ha establecido toda una reglamentación para propender por la transparencia en la adopción de decisiones, la cual no solo está contenida en la Ley 80 de 1993 o en los régimen especiales de contratación estatal, sino en otro tipo de normas, verbigracia en los ordenamientos disciplinarios,</w:t>
      </w:r>
      <w:r w:rsidR="002B6416">
        <w:rPr>
          <w:rFonts w:ascii="Arial" w:eastAsia="Calibri" w:hAnsi="Arial" w:cs="Arial"/>
          <w:sz w:val="19"/>
          <w:szCs w:val="19"/>
        </w:rPr>
        <w:t xml:space="preserve"> </w:t>
      </w:r>
      <w:r w:rsidRPr="00970615">
        <w:rPr>
          <w:rFonts w:ascii="Arial" w:eastAsia="Calibri" w:hAnsi="Arial" w:cs="Arial"/>
          <w:sz w:val="19"/>
          <w:szCs w:val="19"/>
        </w:rPr>
        <w:t>los que regulan el funcionamiento de los entes territoriales  o la actividad de la administración, etc.</w:t>
      </w:r>
      <w:r w:rsidRPr="00970615">
        <w:rPr>
          <w:rFonts w:ascii="Arial" w:eastAsia="Calibri" w:hAnsi="Arial" w:cs="Arial"/>
          <w:sz w:val="19"/>
          <w:szCs w:val="19"/>
        </w:rPr>
        <w:tab/>
      </w:r>
    </w:p>
    <w:p w14:paraId="29F74751" w14:textId="77777777" w:rsidR="00DD5B04" w:rsidRPr="00970615" w:rsidRDefault="00DD5B04" w:rsidP="00DD5B04">
      <w:pPr>
        <w:pStyle w:val="Textonotapie"/>
        <w:ind w:firstLine="708"/>
        <w:jc w:val="both"/>
        <w:rPr>
          <w:rFonts w:ascii="Arial" w:eastAsia="Calibri" w:hAnsi="Arial" w:cs="Arial"/>
          <w:sz w:val="19"/>
          <w:szCs w:val="19"/>
        </w:rPr>
      </w:pPr>
      <w:r w:rsidRPr="00970615">
        <w:rPr>
          <w:rFonts w:ascii="Arial" w:eastAsia="Calibri" w:hAnsi="Arial" w:cs="Arial"/>
          <w:sz w:val="19"/>
          <w:szCs w:val="19"/>
        </w:rPr>
        <w:t>»27.6. No sobra decir que con toda razón, el Consejo de Estado ha considerado que el régimen de inhabilidades e incompatibilidades se justifica en la prevalencia de los intereses estatales y en los principios y valores de igualdad, moralidad, ética, corrección, probidad, trasparencia e imparcialidad».</w:t>
      </w:r>
    </w:p>
    <w:p w14:paraId="0E77C2F3" w14:textId="77777777" w:rsidR="00DD5B04" w:rsidRPr="00970615" w:rsidRDefault="00DD5B04" w:rsidP="00DD5B04">
      <w:pPr>
        <w:pStyle w:val="Textonotapie"/>
        <w:ind w:firstLine="708"/>
        <w:jc w:val="both"/>
        <w:rPr>
          <w:rFonts w:ascii="Arial" w:eastAsia="Calibri" w:hAnsi="Arial" w:cs="Arial"/>
          <w:sz w:val="19"/>
          <w:szCs w:val="19"/>
        </w:rPr>
      </w:pPr>
      <w:r w:rsidRPr="00970615">
        <w:rPr>
          <w:rFonts w:ascii="Arial" w:eastAsia="Calibri" w:hAnsi="Arial" w:cs="Arial"/>
          <w:sz w:val="19"/>
          <w:szCs w:val="19"/>
        </w:rPr>
        <w:t xml:space="preserve"> </w:t>
      </w:r>
    </w:p>
  </w:footnote>
  <w:footnote w:id="6">
    <w:p w14:paraId="237E938F" w14:textId="77777777" w:rsidR="00DD5B04" w:rsidRPr="00970615" w:rsidRDefault="00DD5B04" w:rsidP="00DD5B04">
      <w:pPr>
        <w:pStyle w:val="Textonotapie"/>
        <w:ind w:firstLine="708"/>
        <w:jc w:val="both"/>
        <w:rPr>
          <w:rFonts w:ascii="Arial" w:hAnsi="Arial" w:cs="Arial"/>
          <w:sz w:val="19"/>
          <w:szCs w:val="19"/>
          <w:lang w:val="es-ES"/>
        </w:rPr>
      </w:pPr>
      <w:r w:rsidRPr="00970615">
        <w:rPr>
          <w:rStyle w:val="Refdenotaalpie"/>
          <w:rFonts w:ascii="Arial" w:hAnsi="Arial" w:cs="Arial"/>
          <w:sz w:val="19"/>
          <w:szCs w:val="19"/>
        </w:rPr>
        <w:footnoteRef/>
      </w:r>
      <w:r w:rsidRPr="00970615">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7">
    <w:p w14:paraId="49EFA007" w14:textId="77777777" w:rsidR="00DD5B04" w:rsidRPr="00970615" w:rsidRDefault="00DD5B04" w:rsidP="00DD5B04">
      <w:pPr>
        <w:pStyle w:val="Textonotapie"/>
        <w:ind w:firstLine="708"/>
        <w:jc w:val="both"/>
        <w:rPr>
          <w:rFonts w:ascii="Arial" w:hAnsi="Arial" w:cs="Arial"/>
          <w:sz w:val="19"/>
          <w:szCs w:val="19"/>
        </w:rPr>
      </w:pPr>
    </w:p>
    <w:p w14:paraId="08DB0689" w14:textId="77777777" w:rsidR="00DD5B04" w:rsidRPr="00970615" w:rsidRDefault="00DD5B04" w:rsidP="00DD5B04">
      <w:pPr>
        <w:pStyle w:val="Textonotapie"/>
        <w:ind w:firstLine="708"/>
        <w:jc w:val="both"/>
        <w:rPr>
          <w:rFonts w:ascii="Arial" w:hAnsi="Arial" w:cs="Arial"/>
          <w:sz w:val="19"/>
          <w:szCs w:val="19"/>
        </w:rPr>
      </w:pPr>
      <w:r w:rsidRPr="00970615">
        <w:rPr>
          <w:rStyle w:val="Refdenotaalpie"/>
          <w:rFonts w:ascii="Arial" w:hAnsi="Arial" w:cs="Arial"/>
          <w:sz w:val="19"/>
          <w:szCs w:val="19"/>
        </w:rPr>
        <w:footnoteRef/>
      </w:r>
      <w:r w:rsidRPr="00970615">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55966F04" w14:textId="77777777" w:rsidR="00DD5B04" w:rsidRPr="00970615" w:rsidRDefault="00DD5B04" w:rsidP="00DD5B04">
      <w:pPr>
        <w:pStyle w:val="Textonotapie"/>
        <w:ind w:firstLine="708"/>
        <w:jc w:val="both"/>
        <w:rPr>
          <w:rFonts w:ascii="Arial" w:hAnsi="Arial" w:cs="Arial"/>
          <w:sz w:val="19"/>
          <w:szCs w:val="19"/>
          <w:lang w:val="es-ES"/>
        </w:rPr>
      </w:pPr>
      <w:r w:rsidRPr="00970615">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 […]».</w:t>
      </w:r>
    </w:p>
  </w:footnote>
  <w:footnote w:id="8">
    <w:p w14:paraId="072DBD9B" w14:textId="77777777" w:rsidR="00DD5B04" w:rsidRPr="00970615" w:rsidRDefault="00DD5B04" w:rsidP="00DD5B04">
      <w:pPr>
        <w:pStyle w:val="Textonotapie"/>
        <w:ind w:firstLine="708"/>
        <w:jc w:val="both"/>
        <w:rPr>
          <w:rFonts w:ascii="Arial" w:hAnsi="Arial" w:cs="Arial"/>
          <w:sz w:val="19"/>
          <w:szCs w:val="19"/>
        </w:rPr>
      </w:pPr>
    </w:p>
    <w:p w14:paraId="00CF8BED" w14:textId="77777777" w:rsidR="00DD5B04" w:rsidRPr="00970615" w:rsidRDefault="00DD5B04" w:rsidP="00DD5B04">
      <w:pPr>
        <w:pStyle w:val="Textonotapie"/>
        <w:ind w:firstLine="708"/>
        <w:jc w:val="both"/>
        <w:rPr>
          <w:rFonts w:ascii="Arial" w:hAnsi="Arial" w:cs="Arial"/>
          <w:sz w:val="19"/>
          <w:szCs w:val="19"/>
        </w:rPr>
      </w:pPr>
      <w:r w:rsidRPr="00970615">
        <w:rPr>
          <w:rStyle w:val="Refdenotaalpie"/>
          <w:rFonts w:ascii="Arial" w:hAnsi="Arial" w:cs="Arial"/>
          <w:sz w:val="19"/>
          <w:szCs w:val="19"/>
        </w:rPr>
        <w:footnoteRef/>
      </w:r>
      <w:r w:rsidRPr="00970615">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537A172" w14:textId="422B19EB" w:rsidR="00DD5B04" w:rsidRPr="00970615" w:rsidRDefault="00E16E75" w:rsidP="00DD5B04">
      <w:pPr>
        <w:pStyle w:val="Textonotapie"/>
        <w:ind w:firstLine="708"/>
        <w:jc w:val="both"/>
        <w:rPr>
          <w:rFonts w:ascii="Arial" w:hAnsi="Arial" w:cs="Arial"/>
          <w:sz w:val="19"/>
          <w:szCs w:val="19"/>
        </w:rPr>
      </w:pPr>
      <w:r>
        <w:rPr>
          <w:rFonts w:ascii="Arial" w:hAnsi="Arial" w:cs="Arial"/>
          <w:sz w:val="19"/>
          <w:szCs w:val="19"/>
        </w:rPr>
        <w:t>»</w:t>
      </w:r>
      <w:r w:rsidR="00DD5B04" w:rsidRPr="00970615">
        <w:rPr>
          <w:rFonts w:ascii="Arial" w:hAnsi="Arial" w:cs="Arial"/>
          <w:sz w:val="19"/>
          <w:szCs w:val="19"/>
        </w:rPr>
        <w:t>[...]</w:t>
      </w:r>
    </w:p>
    <w:p w14:paraId="32395B8C" w14:textId="77777777" w:rsidR="00DD5B04" w:rsidRPr="00970615" w:rsidRDefault="00DD5B04" w:rsidP="00DD5B04">
      <w:pPr>
        <w:pStyle w:val="Textonotapie"/>
        <w:ind w:firstLine="708"/>
        <w:jc w:val="both"/>
        <w:rPr>
          <w:rFonts w:ascii="Arial" w:hAnsi="Arial" w:cs="Arial"/>
          <w:sz w:val="19"/>
          <w:szCs w:val="19"/>
        </w:rPr>
      </w:pPr>
      <w:r w:rsidRPr="00970615">
        <w:rPr>
          <w:rFonts w:ascii="Arial" w:hAnsi="Arial" w:cs="Arial"/>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5D79D3A0" w14:textId="77777777" w:rsidR="00DD5B04" w:rsidRPr="00970615" w:rsidRDefault="00DD5B04" w:rsidP="00DD5B04">
      <w:pPr>
        <w:pStyle w:val="Textonotapie"/>
        <w:ind w:firstLine="708"/>
        <w:jc w:val="both"/>
        <w:rPr>
          <w:rFonts w:ascii="Arial" w:hAnsi="Arial" w:cs="Arial"/>
          <w:sz w:val="19"/>
          <w:szCs w:val="19"/>
          <w:lang w:val="es-ES"/>
        </w:rPr>
      </w:pPr>
      <w:r w:rsidRPr="00970615">
        <w:rPr>
          <w:rFonts w:ascii="Arial" w:hAnsi="Arial" w:cs="Arial"/>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9">
    <w:p w14:paraId="25B88771" w14:textId="77777777" w:rsidR="00DD5B04" w:rsidRPr="00970615" w:rsidRDefault="00DD5B04" w:rsidP="00DD5B04">
      <w:pPr>
        <w:pStyle w:val="Textonotapie"/>
        <w:ind w:firstLine="708"/>
        <w:jc w:val="both"/>
        <w:rPr>
          <w:rFonts w:ascii="Arial" w:hAnsi="Arial" w:cs="Arial"/>
          <w:sz w:val="19"/>
          <w:szCs w:val="19"/>
        </w:rPr>
      </w:pPr>
    </w:p>
    <w:p w14:paraId="3330C1D5" w14:textId="77777777" w:rsidR="00DD5B04" w:rsidRPr="00970615" w:rsidRDefault="00DD5B04" w:rsidP="00DD5B04">
      <w:pPr>
        <w:pStyle w:val="Textonotapie"/>
        <w:ind w:firstLine="708"/>
        <w:jc w:val="both"/>
        <w:rPr>
          <w:rFonts w:ascii="Arial" w:hAnsi="Arial" w:cs="Arial"/>
          <w:sz w:val="19"/>
          <w:szCs w:val="19"/>
        </w:rPr>
      </w:pPr>
      <w:r w:rsidRPr="00970615">
        <w:rPr>
          <w:rStyle w:val="Refdenotaalpie"/>
          <w:rFonts w:ascii="Arial" w:hAnsi="Arial" w:cs="Arial"/>
          <w:sz w:val="19"/>
          <w:szCs w:val="19"/>
        </w:rPr>
        <w:footnoteRef/>
      </w:r>
      <w:r w:rsidRPr="00970615">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7088E2AA" w14:textId="06EDCE30" w:rsidR="00DD5B04" w:rsidRPr="00970615" w:rsidRDefault="00DD5B04" w:rsidP="00DD5B04">
      <w:pPr>
        <w:pStyle w:val="Textonotapie"/>
        <w:ind w:firstLine="709"/>
        <w:jc w:val="both"/>
        <w:rPr>
          <w:rFonts w:ascii="Arial" w:hAnsi="Arial" w:cs="Arial"/>
          <w:sz w:val="19"/>
          <w:szCs w:val="19"/>
        </w:rPr>
      </w:pPr>
      <w:r w:rsidRPr="00970615">
        <w:rPr>
          <w:rFonts w:ascii="Arial" w:hAnsi="Arial" w:cs="Arial"/>
          <w:sz w:val="19"/>
          <w:szCs w:val="19"/>
        </w:rPr>
        <w:t>»1.</w:t>
      </w:r>
      <w:r w:rsidR="00835143">
        <w:rPr>
          <w:rFonts w:ascii="Arial" w:hAnsi="Arial" w:cs="Arial"/>
          <w:sz w:val="19"/>
          <w:szCs w:val="19"/>
        </w:rPr>
        <w:t xml:space="preserve"> </w:t>
      </w:r>
      <w:r w:rsidRPr="00970615">
        <w:rPr>
          <w:rFonts w:ascii="Arial" w:hAnsi="Arial" w:cs="Arial"/>
          <w:sz w:val="19"/>
          <w:szCs w:val="19"/>
        </w:rPr>
        <w:t>Si es una persona natural:</w:t>
      </w:r>
    </w:p>
    <w:p w14:paraId="4E6C8F3D" w14:textId="77777777" w:rsidR="00DD5B04" w:rsidRPr="00970615" w:rsidRDefault="00DD5B04" w:rsidP="00DD5B04">
      <w:pPr>
        <w:pStyle w:val="Textonotapie"/>
        <w:ind w:firstLine="709"/>
        <w:jc w:val="both"/>
        <w:rPr>
          <w:rFonts w:ascii="Arial" w:hAnsi="Arial" w:cs="Arial"/>
          <w:sz w:val="19"/>
          <w:szCs w:val="19"/>
        </w:rPr>
      </w:pPr>
      <w:r>
        <w:rPr>
          <w:rFonts w:ascii="Arial" w:hAnsi="Arial" w:cs="Arial"/>
          <w:sz w:val="19"/>
          <w:szCs w:val="19"/>
        </w:rPr>
        <w:t>»</w:t>
      </w:r>
      <w:r w:rsidRPr="00970615">
        <w:rPr>
          <w:rFonts w:ascii="Arial" w:hAnsi="Arial" w:cs="Arial"/>
          <w:sz w:val="19"/>
          <w:szCs w:val="19"/>
        </w:rPr>
        <w:t>1.1. Bienes, obras y servicios que ofrecerá a las Entidades Estatales, identificados con el Clasificador de Bienes y Servicios en el tercer nivel.</w:t>
      </w:r>
    </w:p>
    <w:p w14:paraId="35BFFE30" w14:textId="40EB137D" w:rsidR="00DD5B04" w:rsidRPr="00970615" w:rsidRDefault="00DD5B04" w:rsidP="00DD5B04">
      <w:pPr>
        <w:pStyle w:val="Textonotapie"/>
        <w:ind w:firstLine="709"/>
        <w:jc w:val="both"/>
        <w:rPr>
          <w:rFonts w:ascii="Arial" w:hAnsi="Arial" w:cs="Arial"/>
          <w:sz w:val="19"/>
          <w:szCs w:val="19"/>
        </w:rPr>
      </w:pPr>
      <w:r>
        <w:rPr>
          <w:rFonts w:ascii="Arial" w:hAnsi="Arial" w:cs="Arial"/>
          <w:sz w:val="19"/>
          <w:szCs w:val="19"/>
        </w:rPr>
        <w:t>»</w:t>
      </w:r>
      <w:r w:rsidRPr="00970615">
        <w:rPr>
          <w:rFonts w:ascii="Arial" w:hAnsi="Arial" w:cs="Arial"/>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218747EA" w14:textId="77777777" w:rsidR="00DD5B04" w:rsidRPr="00970615" w:rsidRDefault="00DD5B04" w:rsidP="00DD5B04">
      <w:pPr>
        <w:pStyle w:val="Textonotapie"/>
        <w:jc w:val="both"/>
        <w:rPr>
          <w:rFonts w:ascii="Arial" w:hAnsi="Arial" w:cs="Arial"/>
          <w:sz w:val="19"/>
          <w:szCs w:val="19"/>
        </w:rPr>
      </w:pPr>
    </w:p>
    <w:p w14:paraId="5DDE92A1" w14:textId="77777777" w:rsidR="00DD5B04" w:rsidRPr="00970615" w:rsidRDefault="00DD5B04" w:rsidP="00DD5B04">
      <w:pPr>
        <w:pStyle w:val="Textonotapie"/>
        <w:ind w:firstLine="708"/>
        <w:jc w:val="both"/>
        <w:rPr>
          <w:rFonts w:ascii="Arial" w:hAnsi="Arial" w:cs="Arial"/>
          <w:sz w:val="19"/>
          <w:szCs w:val="19"/>
          <w:lang w:val="es-ES"/>
        </w:rPr>
      </w:pPr>
      <w:r w:rsidRPr="00970615">
        <w:rPr>
          <w:rFonts w:ascii="Arial" w:hAnsi="Arial" w:cs="Arial"/>
          <w:sz w:val="19"/>
          <w:szCs w:val="19"/>
        </w:rPr>
        <w:t xml:space="preserve"> </w:t>
      </w:r>
    </w:p>
  </w:footnote>
  <w:footnote w:id="10">
    <w:p w14:paraId="3EAC144A" w14:textId="3DDE0262" w:rsidR="00DD5B04" w:rsidRPr="00970615" w:rsidRDefault="00DD5B04" w:rsidP="00DD5B04">
      <w:pPr>
        <w:pStyle w:val="Textonotapie"/>
        <w:ind w:firstLine="708"/>
        <w:jc w:val="both"/>
        <w:rPr>
          <w:rFonts w:ascii="Arial" w:hAnsi="Arial" w:cs="Arial"/>
          <w:sz w:val="19"/>
          <w:szCs w:val="19"/>
          <w:lang w:val="es-ES"/>
        </w:rPr>
      </w:pPr>
      <w:r w:rsidRPr="00970615">
        <w:rPr>
          <w:rStyle w:val="Refdenotaalpie"/>
          <w:rFonts w:ascii="Arial" w:hAnsi="Arial" w:cs="Arial"/>
          <w:sz w:val="19"/>
          <w:szCs w:val="19"/>
        </w:rPr>
        <w:footnoteRef/>
      </w:r>
      <w:r w:rsidRPr="00970615">
        <w:rPr>
          <w:rFonts w:ascii="Arial" w:hAnsi="Arial" w:cs="Arial"/>
          <w:sz w:val="19"/>
          <w:szCs w:val="19"/>
        </w:rPr>
        <w:t xml:space="preserve"> Mide la liquidez del proponente de manera más estricta que el índice de liquidez</w:t>
      </w:r>
      <w:r w:rsidR="00AF5C9B">
        <w:rPr>
          <w:rFonts w:ascii="Arial" w:hAnsi="Arial" w:cs="Arial"/>
          <w:sz w:val="19"/>
          <w:szCs w:val="19"/>
        </w:rPr>
        <w:t>,</w:t>
      </w:r>
      <w:r w:rsidRPr="00970615">
        <w:rPr>
          <w:rFonts w:ascii="Arial" w:hAnsi="Arial" w:cs="Arial"/>
          <w:sz w:val="19"/>
          <w:szCs w:val="19"/>
        </w:rPr>
        <w:t xml:space="preserve"> pues no tiene en cuenta su inventario. El inventario es excluido</w:t>
      </w:r>
      <w:r w:rsidR="00AF5C9B">
        <w:rPr>
          <w:rFonts w:ascii="Arial" w:hAnsi="Arial" w:cs="Arial"/>
          <w:sz w:val="19"/>
          <w:szCs w:val="19"/>
        </w:rPr>
        <w:t>,</w:t>
      </w:r>
      <w:r w:rsidRPr="00970615">
        <w:rPr>
          <w:rFonts w:ascii="Arial" w:hAnsi="Arial" w:cs="Arial"/>
          <w:sz w:val="19"/>
          <w:szCs w:val="19"/>
        </w:rPr>
        <w:t xml:space="preserve"> teniendo en cuenta que es la cuenta menos líquida del activo corriente y no debe ser usada para pagar las obligaciones de corto plazo.</w:t>
      </w:r>
    </w:p>
  </w:footnote>
  <w:footnote w:id="11">
    <w:p w14:paraId="7ECC5873" w14:textId="77777777" w:rsidR="00B10109" w:rsidRPr="00970615" w:rsidRDefault="00B10109" w:rsidP="00B10109">
      <w:pPr>
        <w:pStyle w:val="Textonotapie"/>
        <w:ind w:firstLine="708"/>
        <w:jc w:val="both"/>
        <w:rPr>
          <w:rFonts w:ascii="Arial" w:hAnsi="Arial" w:cs="Arial"/>
          <w:sz w:val="19"/>
          <w:szCs w:val="19"/>
        </w:rPr>
      </w:pPr>
      <w:r w:rsidRPr="00970615">
        <w:rPr>
          <w:rStyle w:val="Refdenotaalpie"/>
          <w:rFonts w:ascii="Arial" w:hAnsi="Arial" w:cs="Arial"/>
          <w:sz w:val="19"/>
          <w:szCs w:val="19"/>
        </w:rPr>
        <w:footnoteRef/>
      </w:r>
      <w:r w:rsidRPr="00970615">
        <w:rPr>
          <w:rFonts w:ascii="Arial" w:hAnsi="Arial" w:cs="Arial"/>
          <w:sz w:val="19"/>
          <w:szCs w:val="19"/>
        </w:rPr>
        <w:t xml:space="preserve"> Cfr. Corte Constitucional. Sentencia C-569 de 2004. M.P. Rodrigo Uprimny Yepes.</w:t>
      </w:r>
    </w:p>
    <w:p w14:paraId="006A1FE7" w14:textId="77777777" w:rsidR="00B10109" w:rsidRPr="00970615" w:rsidRDefault="00B10109" w:rsidP="00B10109">
      <w:pPr>
        <w:pStyle w:val="Textonotapie"/>
        <w:ind w:firstLine="708"/>
        <w:jc w:val="both"/>
        <w:rPr>
          <w:rFonts w:ascii="Arial" w:hAnsi="Arial" w:cs="Arial"/>
          <w:sz w:val="19"/>
          <w:szCs w:val="19"/>
          <w:lang w:val="es-ES"/>
        </w:rPr>
      </w:pPr>
    </w:p>
  </w:footnote>
  <w:footnote w:id="12">
    <w:p w14:paraId="54ED6FEB" w14:textId="77777777" w:rsidR="00B10109" w:rsidRPr="00970615" w:rsidRDefault="00B10109" w:rsidP="00B10109">
      <w:pPr>
        <w:pStyle w:val="Textonotapie"/>
        <w:ind w:firstLine="708"/>
        <w:jc w:val="both"/>
        <w:rPr>
          <w:rFonts w:ascii="Arial" w:hAnsi="Arial" w:cs="Arial"/>
          <w:sz w:val="19"/>
          <w:szCs w:val="19"/>
        </w:rPr>
      </w:pPr>
      <w:r w:rsidRPr="00970615">
        <w:rPr>
          <w:rStyle w:val="Refdenotaalpie"/>
          <w:rFonts w:ascii="Arial" w:hAnsi="Arial" w:cs="Arial"/>
          <w:sz w:val="19"/>
          <w:szCs w:val="19"/>
        </w:rPr>
        <w:footnoteRef/>
      </w:r>
      <w:r w:rsidRPr="00970615">
        <w:rPr>
          <w:rFonts w:ascii="Arial" w:hAnsi="Arial" w:cs="Arial"/>
          <w:sz w:val="19"/>
          <w:szCs w:val="19"/>
        </w:rPr>
        <w:t xml:space="preserve"> Cfr. Consejo de Estado. Sección Tercera. Providencias del 11 de diciembre de 2002, dictada dentro del expediente AG-1683, y del 18 de octubre de 2001, proferida dentro del plenario AG-021.</w:t>
      </w:r>
    </w:p>
    <w:p w14:paraId="33EB7944" w14:textId="77777777" w:rsidR="00B10109" w:rsidRPr="00970615" w:rsidRDefault="00B10109" w:rsidP="00B10109">
      <w:pPr>
        <w:pStyle w:val="Textonotapie"/>
        <w:ind w:firstLine="708"/>
        <w:jc w:val="both"/>
        <w:rPr>
          <w:rFonts w:ascii="Arial" w:hAnsi="Arial" w:cs="Arial"/>
          <w:sz w:val="19"/>
          <w:szCs w:val="19"/>
          <w:lang w:val="es-ES"/>
        </w:rPr>
      </w:pPr>
    </w:p>
  </w:footnote>
  <w:footnote w:id="13">
    <w:p w14:paraId="37F751D8" w14:textId="77777777" w:rsidR="00DD5B04" w:rsidRPr="00970615" w:rsidRDefault="00DD5B04" w:rsidP="00DD5B04">
      <w:pPr>
        <w:pStyle w:val="Textonotapie"/>
        <w:ind w:firstLine="708"/>
        <w:jc w:val="both"/>
        <w:rPr>
          <w:rFonts w:ascii="Arial" w:hAnsi="Arial" w:cs="Arial"/>
          <w:sz w:val="19"/>
          <w:szCs w:val="19"/>
          <w:lang w:val="es-ES"/>
        </w:rPr>
      </w:pPr>
      <w:r w:rsidRPr="00970615">
        <w:rPr>
          <w:rStyle w:val="Refdenotaalpie"/>
          <w:rFonts w:ascii="Arial" w:hAnsi="Arial" w:cs="Arial"/>
          <w:sz w:val="19"/>
          <w:szCs w:val="19"/>
        </w:rPr>
        <w:footnoteRef/>
      </w:r>
      <w:r w:rsidRPr="00970615">
        <w:rPr>
          <w:rFonts w:ascii="Arial" w:hAnsi="Arial" w:cs="Arial"/>
          <w:sz w:val="19"/>
          <w:szCs w:val="19"/>
        </w:rPr>
        <w:t xml:space="preserve"> Gaceta 096 de 2007. Pág. 9. Allí se lee: «Parágrafo 2°. Nuevo. Se adiciona un parágrafo nuevo para </w:t>
      </w:r>
      <w:r w:rsidRPr="00970615">
        <w:rPr>
          <w:rFonts w:ascii="Arial" w:hAnsi="Arial" w:cs="Arial"/>
          <w:i/>
          <w:iCs/>
          <w:sz w:val="19"/>
          <w:szCs w:val="19"/>
        </w:rPr>
        <w:t>establecer de manera concreta</w:t>
      </w:r>
      <w:r w:rsidRPr="00970615">
        <w:rPr>
          <w:rFonts w:ascii="Arial" w:hAnsi="Arial" w:cs="Arial"/>
          <w:sz w:val="19"/>
          <w:szCs w:val="19"/>
        </w:rPr>
        <w:t xml:space="preserve">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w:t>
      </w:r>
      <w:r>
        <w:rPr>
          <w:rFonts w:ascii="Arial" w:hAnsi="Arial" w:cs="Arial"/>
          <w:sz w:val="19"/>
          <w:szCs w:val="19"/>
        </w:rPr>
        <w:t xml:space="preserve"> (Cursivas propias)</w:t>
      </w:r>
      <w:r w:rsidRPr="00970615">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AB500C" w14:textId="77777777" w:rsidR="00C82298" w:rsidRDefault="00C8229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984426" w14:textId="77777777" w:rsidR="00C82298" w:rsidRDefault="00C8229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9"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7"/>
  </w:num>
  <w:num w:numId="2">
    <w:abstractNumId w:val="5"/>
  </w:num>
  <w:num w:numId="3">
    <w:abstractNumId w:val="10"/>
  </w:num>
  <w:num w:numId="4">
    <w:abstractNumId w:val="12"/>
  </w:num>
  <w:num w:numId="5">
    <w:abstractNumId w:val="1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0"/>
  </w:num>
  <w:num w:numId="9">
    <w:abstractNumId w:val="3"/>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9"/>
  </w:num>
  <w:num w:numId="14">
    <w:abstractNumId w:val="4"/>
  </w:num>
  <w:num w:numId="15">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1"/>
  </w:num>
  <w:num w:numId="19">
    <w:abstractNumId w:val="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3C5C"/>
    <w:rsid w:val="000059D3"/>
    <w:rsid w:val="00006081"/>
    <w:rsid w:val="00007750"/>
    <w:rsid w:val="00007E37"/>
    <w:rsid w:val="00012B9E"/>
    <w:rsid w:val="00013C6B"/>
    <w:rsid w:val="000165AC"/>
    <w:rsid w:val="00016651"/>
    <w:rsid w:val="000171A2"/>
    <w:rsid w:val="0007254F"/>
    <w:rsid w:val="00075B3E"/>
    <w:rsid w:val="00076456"/>
    <w:rsid w:val="00080ACD"/>
    <w:rsid w:val="00083099"/>
    <w:rsid w:val="00083EDC"/>
    <w:rsid w:val="00084B97"/>
    <w:rsid w:val="0008510E"/>
    <w:rsid w:val="00085F17"/>
    <w:rsid w:val="00086ED2"/>
    <w:rsid w:val="00091569"/>
    <w:rsid w:val="000942EB"/>
    <w:rsid w:val="00095B70"/>
    <w:rsid w:val="000B103F"/>
    <w:rsid w:val="000B419B"/>
    <w:rsid w:val="000C128D"/>
    <w:rsid w:val="000C639D"/>
    <w:rsid w:val="000C7476"/>
    <w:rsid w:val="000D0ED2"/>
    <w:rsid w:val="000D2563"/>
    <w:rsid w:val="000D7541"/>
    <w:rsid w:val="000E3E11"/>
    <w:rsid w:val="000E4596"/>
    <w:rsid w:val="000F14E8"/>
    <w:rsid w:val="000F1BBD"/>
    <w:rsid w:val="000F6578"/>
    <w:rsid w:val="001000FB"/>
    <w:rsid w:val="00103915"/>
    <w:rsid w:val="001051E5"/>
    <w:rsid w:val="00105AEF"/>
    <w:rsid w:val="00112B2E"/>
    <w:rsid w:val="00113705"/>
    <w:rsid w:val="001174C9"/>
    <w:rsid w:val="00122B23"/>
    <w:rsid w:val="00125BED"/>
    <w:rsid w:val="00125C59"/>
    <w:rsid w:val="00127AF2"/>
    <w:rsid w:val="00131B5A"/>
    <w:rsid w:val="00136BF7"/>
    <w:rsid w:val="00137FFA"/>
    <w:rsid w:val="0014029B"/>
    <w:rsid w:val="0014502F"/>
    <w:rsid w:val="00155D08"/>
    <w:rsid w:val="00160401"/>
    <w:rsid w:val="00161F1C"/>
    <w:rsid w:val="0016200B"/>
    <w:rsid w:val="001734E3"/>
    <w:rsid w:val="001742BF"/>
    <w:rsid w:val="00191E63"/>
    <w:rsid w:val="0019388B"/>
    <w:rsid w:val="001A18D5"/>
    <w:rsid w:val="001A66DF"/>
    <w:rsid w:val="001B0444"/>
    <w:rsid w:val="001B2456"/>
    <w:rsid w:val="001B4AA2"/>
    <w:rsid w:val="001C3E30"/>
    <w:rsid w:val="001C3E5C"/>
    <w:rsid w:val="001D56E9"/>
    <w:rsid w:val="001D7A84"/>
    <w:rsid w:val="001E1D38"/>
    <w:rsid w:val="001F1349"/>
    <w:rsid w:val="001F2356"/>
    <w:rsid w:val="001F4773"/>
    <w:rsid w:val="001F56AA"/>
    <w:rsid w:val="001F58AA"/>
    <w:rsid w:val="001F5EF6"/>
    <w:rsid w:val="0020632A"/>
    <w:rsid w:val="002110EB"/>
    <w:rsid w:val="00211338"/>
    <w:rsid w:val="00211388"/>
    <w:rsid w:val="0021148C"/>
    <w:rsid w:val="00213A1F"/>
    <w:rsid w:val="00216264"/>
    <w:rsid w:val="00232E15"/>
    <w:rsid w:val="002345B6"/>
    <w:rsid w:val="00234B84"/>
    <w:rsid w:val="00247712"/>
    <w:rsid w:val="00251A9F"/>
    <w:rsid w:val="00252B35"/>
    <w:rsid w:val="00253A02"/>
    <w:rsid w:val="00253B81"/>
    <w:rsid w:val="00256ECF"/>
    <w:rsid w:val="00275BB1"/>
    <w:rsid w:val="00277F8D"/>
    <w:rsid w:val="0028106A"/>
    <w:rsid w:val="002834E9"/>
    <w:rsid w:val="00285832"/>
    <w:rsid w:val="002A3D94"/>
    <w:rsid w:val="002B27C8"/>
    <w:rsid w:val="002B2A7F"/>
    <w:rsid w:val="002B330B"/>
    <w:rsid w:val="002B6416"/>
    <w:rsid w:val="002C2B3A"/>
    <w:rsid w:val="002C2B87"/>
    <w:rsid w:val="002C4C0C"/>
    <w:rsid w:val="002C5016"/>
    <w:rsid w:val="002C704D"/>
    <w:rsid w:val="002D0933"/>
    <w:rsid w:val="002D5A1B"/>
    <w:rsid w:val="002E055C"/>
    <w:rsid w:val="002E1050"/>
    <w:rsid w:val="002E48EC"/>
    <w:rsid w:val="002F3601"/>
    <w:rsid w:val="002F45F6"/>
    <w:rsid w:val="003033BA"/>
    <w:rsid w:val="00305FCB"/>
    <w:rsid w:val="00306B44"/>
    <w:rsid w:val="00311376"/>
    <w:rsid w:val="00311B47"/>
    <w:rsid w:val="003125E0"/>
    <w:rsid w:val="0031720A"/>
    <w:rsid w:val="00321FA3"/>
    <w:rsid w:val="00322937"/>
    <w:rsid w:val="00327A5C"/>
    <w:rsid w:val="0033092C"/>
    <w:rsid w:val="00331932"/>
    <w:rsid w:val="00336729"/>
    <w:rsid w:val="00337CA8"/>
    <w:rsid w:val="0034177C"/>
    <w:rsid w:val="003432C8"/>
    <w:rsid w:val="00344760"/>
    <w:rsid w:val="0034680A"/>
    <w:rsid w:val="003501E2"/>
    <w:rsid w:val="00353DD5"/>
    <w:rsid w:val="003670B8"/>
    <w:rsid w:val="00386456"/>
    <w:rsid w:val="003865A9"/>
    <w:rsid w:val="00397FF0"/>
    <w:rsid w:val="003A0878"/>
    <w:rsid w:val="003A1D25"/>
    <w:rsid w:val="003A2447"/>
    <w:rsid w:val="003A581E"/>
    <w:rsid w:val="003A6160"/>
    <w:rsid w:val="003B65D7"/>
    <w:rsid w:val="003C1AF4"/>
    <w:rsid w:val="003C1CB8"/>
    <w:rsid w:val="003C287F"/>
    <w:rsid w:val="003C622C"/>
    <w:rsid w:val="003D0DE5"/>
    <w:rsid w:val="003D1351"/>
    <w:rsid w:val="003D6B8F"/>
    <w:rsid w:val="003E34DB"/>
    <w:rsid w:val="003E4C48"/>
    <w:rsid w:val="003E5B9F"/>
    <w:rsid w:val="003E6072"/>
    <w:rsid w:val="003E7A8B"/>
    <w:rsid w:val="003F4599"/>
    <w:rsid w:val="00402DE1"/>
    <w:rsid w:val="00407ABC"/>
    <w:rsid w:val="00413FFA"/>
    <w:rsid w:val="004170D7"/>
    <w:rsid w:val="00423F9F"/>
    <w:rsid w:val="004273FA"/>
    <w:rsid w:val="00434787"/>
    <w:rsid w:val="00436F40"/>
    <w:rsid w:val="00440FAD"/>
    <w:rsid w:val="004422D6"/>
    <w:rsid w:val="0044642F"/>
    <w:rsid w:val="0045271D"/>
    <w:rsid w:val="00452803"/>
    <w:rsid w:val="00454717"/>
    <w:rsid w:val="00455354"/>
    <w:rsid w:val="00462B10"/>
    <w:rsid w:val="004638E2"/>
    <w:rsid w:val="00464030"/>
    <w:rsid w:val="00466A0C"/>
    <w:rsid w:val="00475C5A"/>
    <w:rsid w:val="0047773C"/>
    <w:rsid w:val="00480050"/>
    <w:rsid w:val="004808DE"/>
    <w:rsid w:val="00481DC1"/>
    <w:rsid w:val="004861B4"/>
    <w:rsid w:val="0049241A"/>
    <w:rsid w:val="004940E3"/>
    <w:rsid w:val="00496786"/>
    <w:rsid w:val="004A054C"/>
    <w:rsid w:val="004A08D1"/>
    <w:rsid w:val="004A34D2"/>
    <w:rsid w:val="004B2197"/>
    <w:rsid w:val="004B578D"/>
    <w:rsid w:val="004B788E"/>
    <w:rsid w:val="004C22F7"/>
    <w:rsid w:val="004C7226"/>
    <w:rsid w:val="004C7D70"/>
    <w:rsid w:val="004D4BA1"/>
    <w:rsid w:val="004D584D"/>
    <w:rsid w:val="004E023F"/>
    <w:rsid w:val="004E0742"/>
    <w:rsid w:val="004E0C64"/>
    <w:rsid w:val="004E2A35"/>
    <w:rsid w:val="004F66BC"/>
    <w:rsid w:val="005075CA"/>
    <w:rsid w:val="0051074C"/>
    <w:rsid w:val="00512C4F"/>
    <w:rsid w:val="00513AF2"/>
    <w:rsid w:val="00514575"/>
    <w:rsid w:val="00517612"/>
    <w:rsid w:val="00517CFB"/>
    <w:rsid w:val="00520899"/>
    <w:rsid w:val="00523903"/>
    <w:rsid w:val="00524FD2"/>
    <w:rsid w:val="00526431"/>
    <w:rsid w:val="00530522"/>
    <w:rsid w:val="0053277C"/>
    <w:rsid w:val="00533101"/>
    <w:rsid w:val="00534EFB"/>
    <w:rsid w:val="00537672"/>
    <w:rsid w:val="00537B77"/>
    <w:rsid w:val="0054413A"/>
    <w:rsid w:val="00551598"/>
    <w:rsid w:val="005551AA"/>
    <w:rsid w:val="005564CA"/>
    <w:rsid w:val="00557140"/>
    <w:rsid w:val="0056182B"/>
    <w:rsid w:val="005657A8"/>
    <w:rsid w:val="00567AB8"/>
    <w:rsid w:val="00570A26"/>
    <w:rsid w:val="00572539"/>
    <w:rsid w:val="005756AA"/>
    <w:rsid w:val="005813DE"/>
    <w:rsid w:val="00581B45"/>
    <w:rsid w:val="00593F75"/>
    <w:rsid w:val="005940A0"/>
    <w:rsid w:val="005A1976"/>
    <w:rsid w:val="005A3B35"/>
    <w:rsid w:val="005A3C4B"/>
    <w:rsid w:val="005A3E5A"/>
    <w:rsid w:val="005A5A3D"/>
    <w:rsid w:val="005B4948"/>
    <w:rsid w:val="005B501D"/>
    <w:rsid w:val="005B54CC"/>
    <w:rsid w:val="005B74AD"/>
    <w:rsid w:val="005C1C0B"/>
    <w:rsid w:val="005C5C52"/>
    <w:rsid w:val="005D2F48"/>
    <w:rsid w:val="005D49F0"/>
    <w:rsid w:val="005D51FA"/>
    <w:rsid w:val="005D5A9D"/>
    <w:rsid w:val="005D691D"/>
    <w:rsid w:val="005D791B"/>
    <w:rsid w:val="005D7F92"/>
    <w:rsid w:val="005E1595"/>
    <w:rsid w:val="005F305B"/>
    <w:rsid w:val="005F4481"/>
    <w:rsid w:val="005F6CE2"/>
    <w:rsid w:val="00604A55"/>
    <w:rsid w:val="00606908"/>
    <w:rsid w:val="00614817"/>
    <w:rsid w:val="006178D1"/>
    <w:rsid w:val="00620719"/>
    <w:rsid w:val="00623AC2"/>
    <w:rsid w:val="00631DD0"/>
    <w:rsid w:val="00633DBF"/>
    <w:rsid w:val="00634122"/>
    <w:rsid w:val="00646D0F"/>
    <w:rsid w:val="00652E70"/>
    <w:rsid w:val="00653469"/>
    <w:rsid w:val="00655371"/>
    <w:rsid w:val="00661029"/>
    <w:rsid w:val="0066272D"/>
    <w:rsid w:val="00666C72"/>
    <w:rsid w:val="0067064C"/>
    <w:rsid w:val="00670B20"/>
    <w:rsid w:val="00672E80"/>
    <w:rsid w:val="006739E4"/>
    <w:rsid w:val="0067426B"/>
    <w:rsid w:val="006754F8"/>
    <w:rsid w:val="00676127"/>
    <w:rsid w:val="006811C9"/>
    <w:rsid w:val="006812CE"/>
    <w:rsid w:val="00685E7B"/>
    <w:rsid w:val="006908DB"/>
    <w:rsid w:val="00697665"/>
    <w:rsid w:val="00697C9A"/>
    <w:rsid w:val="006A59DE"/>
    <w:rsid w:val="006A7CB5"/>
    <w:rsid w:val="006A7FD0"/>
    <w:rsid w:val="006C37CA"/>
    <w:rsid w:val="006D04DA"/>
    <w:rsid w:val="006D1544"/>
    <w:rsid w:val="006D1688"/>
    <w:rsid w:val="006D1FF3"/>
    <w:rsid w:val="006D360E"/>
    <w:rsid w:val="006D39D2"/>
    <w:rsid w:val="006D7687"/>
    <w:rsid w:val="006E0572"/>
    <w:rsid w:val="006E39D1"/>
    <w:rsid w:val="006E602F"/>
    <w:rsid w:val="006F15CC"/>
    <w:rsid w:val="006F4147"/>
    <w:rsid w:val="007030D4"/>
    <w:rsid w:val="00703E11"/>
    <w:rsid w:val="00705631"/>
    <w:rsid w:val="00705F62"/>
    <w:rsid w:val="00710668"/>
    <w:rsid w:val="007112B1"/>
    <w:rsid w:val="0071130F"/>
    <w:rsid w:val="00712714"/>
    <w:rsid w:val="00715C29"/>
    <w:rsid w:val="00715EAA"/>
    <w:rsid w:val="00716CAD"/>
    <w:rsid w:val="00717ACB"/>
    <w:rsid w:val="00724635"/>
    <w:rsid w:val="0072554B"/>
    <w:rsid w:val="00725AFD"/>
    <w:rsid w:val="00726603"/>
    <w:rsid w:val="00727DDC"/>
    <w:rsid w:val="00730CD6"/>
    <w:rsid w:val="00735B78"/>
    <w:rsid w:val="00735DA7"/>
    <w:rsid w:val="00742DD2"/>
    <w:rsid w:val="007441A2"/>
    <w:rsid w:val="00745035"/>
    <w:rsid w:val="00746E08"/>
    <w:rsid w:val="007473B9"/>
    <w:rsid w:val="00747C96"/>
    <w:rsid w:val="00750075"/>
    <w:rsid w:val="00750382"/>
    <w:rsid w:val="0075094E"/>
    <w:rsid w:val="00750FB5"/>
    <w:rsid w:val="007522E8"/>
    <w:rsid w:val="0075647A"/>
    <w:rsid w:val="00760EB6"/>
    <w:rsid w:val="007616DB"/>
    <w:rsid w:val="007634AD"/>
    <w:rsid w:val="00773BC8"/>
    <w:rsid w:val="0077466F"/>
    <w:rsid w:val="007774E7"/>
    <w:rsid w:val="00780F32"/>
    <w:rsid w:val="0078122E"/>
    <w:rsid w:val="00782D2C"/>
    <w:rsid w:val="00786FAD"/>
    <w:rsid w:val="00790A24"/>
    <w:rsid w:val="0079381F"/>
    <w:rsid w:val="00795647"/>
    <w:rsid w:val="007963F6"/>
    <w:rsid w:val="007979AD"/>
    <w:rsid w:val="007A38A1"/>
    <w:rsid w:val="007B0854"/>
    <w:rsid w:val="007B3659"/>
    <w:rsid w:val="007B4828"/>
    <w:rsid w:val="007B6C64"/>
    <w:rsid w:val="007B6EC8"/>
    <w:rsid w:val="007B7EA2"/>
    <w:rsid w:val="007C6339"/>
    <w:rsid w:val="007D481A"/>
    <w:rsid w:val="007E74BF"/>
    <w:rsid w:val="007F1E28"/>
    <w:rsid w:val="007F22A0"/>
    <w:rsid w:val="007F3AC1"/>
    <w:rsid w:val="007F616E"/>
    <w:rsid w:val="007F6B46"/>
    <w:rsid w:val="007F72CB"/>
    <w:rsid w:val="007F785F"/>
    <w:rsid w:val="007F7E36"/>
    <w:rsid w:val="00803D9D"/>
    <w:rsid w:val="00807C35"/>
    <w:rsid w:val="008100F7"/>
    <w:rsid w:val="00813A7B"/>
    <w:rsid w:val="00815DA5"/>
    <w:rsid w:val="0081766B"/>
    <w:rsid w:val="00821489"/>
    <w:rsid w:val="008217B7"/>
    <w:rsid w:val="0082239B"/>
    <w:rsid w:val="0082348D"/>
    <w:rsid w:val="008236BE"/>
    <w:rsid w:val="0083119B"/>
    <w:rsid w:val="00831BAE"/>
    <w:rsid w:val="00835143"/>
    <w:rsid w:val="00836E74"/>
    <w:rsid w:val="00836EAB"/>
    <w:rsid w:val="00837937"/>
    <w:rsid w:val="00843615"/>
    <w:rsid w:val="00844D4F"/>
    <w:rsid w:val="0085092D"/>
    <w:rsid w:val="00850F79"/>
    <w:rsid w:val="0085100B"/>
    <w:rsid w:val="00861310"/>
    <w:rsid w:val="00861F53"/>
    <w:rsid w:val="00864241"/>
    <w:rsid w:val="008650BE"/>
    <w:rsid w:val="0086633B"/>
    <w:rsid w:val="00867512"/>
    <w:rsid w:val="00874B89"/>
    <w:rsid w:val="0088106B"/>
    <w:rsid w:val="0088107D"/>
    <w:rsid w:val="00882E39"/>
    <w:rsid w:val="008850EB"/>
    <w:rsid w:val="008919CF"/>
    <w:rsid w:val="008935CF"/>
    <w:rsid w:val="0089774F"/>
    <w:rsid w:val="008A2A23"/>
    <w:rsid w:val="008A796E"/>
    <w:rsid w:val="008B0862"/>
    <w:rsid w:val="008B088C"/>
    <w:rsid w:val="008B263F"/>
    <w:rsid w:val="008B47A6"/>
    <w:rsid w:val="008B672C"/>
    <w:rsid w:val="008C11F0"/>
    <w:rsid w:val="008C45BD"/>
    <w:rsid w:val="008D66CA"/>
    <w:rsid w:val="008D69B1"/>
    <w:rsid w:val="008E1C15"/>
    <w:rsid w:val="008E7D6E"/>
    <w:rsid w:val="008F4DA6"/>
    <w:rsid w:val="008F538E"/>
    <w:rsid w:val="008F7989"/>
    <w:rsid w:val="00902E5C"/>
    <w:rsid w:val="009047C5"/>
    <w:rsid w:val="00914B9A"/>
    <w:rsid w:val="00914C3F"/>
    <w:rsid w:val="00916FC8"/>
    <w:rsid w:val="00925EE5"/>
    <w:rsid w:val="009314FA"/>
    <w:rsid w:val="00933333"/>
    <w:rsid w:val="00937401"/>
    <w:rsid w:val="00940876"/>
    <w:rsid w:val="00940F3C"/>
    <w:rsid w:val="009410E0"/>
    <w:rsid w:val="009533E2"/>
    <w:rsid w:val="0095385A"/>
    <w:rsid w:val="0095780A"/>
    <w:rsid w:val="00960BDB"/>
    <w:rsid w:val="0096147D"/>
    <w:rsid w:val="00971441"/>
    <w:rsid w:val="009715D4"/>
    <w:rsid w:val="00974B58"/>
    <w:rsid w:val="0098427D"/>
    <w:rsid w:val="00984567"/>
    <w:rsid w:val="009865D5"/>
    <w:rsid w:val="00987C77"/>
    <w:rsid w:val="00990345"/>
    <w:rsid w:val="009953AD"/>
    <w:rsid w:val="009A01E4"/>
    <w:rsid w:val="009D1FA0"/>
    <w:rsid w:val="009D604F"/>
    <w:rsid w:val="009D6DF9"/>
    <w:rsid w:val="009E0703"/>
    <w:rsid w:val="009E2391"/>
    <w:rsid w:val="009E5E56"/>
    <w:rsid w:val="009E61EA"/>
    <w:rsid w:val="009F59C2"/>
    <w:rsid w:val="00A0188B"/>
    <w:rsid w:val="00A01E73"/>
    <w:rsid w:val="00A02B88"/>
    <w:rsid w:val="00A03160"/>
    <w:rsid w:val="00A041BC"/>
    <w:rsid w:val="00A06754"/>
    <w:rsid w:val="00A1069F"/>
    <w:rsid w:val="00A10ACA"/>
    <w:rsid w:val="00A127D2"/>
    <w:rsid w:val="00A20264"/>
    <w:rsid w:val="00A20997"/>
    <w:rsid w:val="00A22498"/>
    <w:rsid w:val="00A24560"/>
    <w:rsid w:val="00A31C3E"/>
    <w:rsid w:val="00A34538"/>
    <w:rsid w:val="00A37FB6"/>
    <w:rsid w:val="00A41081"/>
    <w:rsid w:val="00A426F3"/>
    <w:rsid w:val="00A431FE"/>
    <w:rsid w:val="00A439E5"/>
    <w:rsid w:val="00A44F54"/>
    <w:rsid w:val="00A53037"/>
    <w:rsid w:val="00A5351D"/>
    <w:rsid w:val="00A53E79"/>
    <w:rsid w:val="00A56DE7"/>
    <w:rsid w:val="00A60B1F"/>
    <w:rsid w:val="00A668BA"/>
    <w:rsid w:val="00A70C5C"/>
    <w:rsid w:val="00A77168"/>
    <w:rsid w:val="00A8043B"/>
    <w:rsid w:val="00A96C60"/>
    <w:rsid w:val="00A9766C"/>
    <w:rsid w:val="00A977F8"/>
    <w:rsid w:val="00AA08E7"/>
    <w:rsid w:val="00AA42A0"/>
    <w:rsid w:val="00AA442B"/>
    <w:rsid w:val="00AA46A4"/>
    <w:rsid w:val="00AA5779"/>
    <w:rsid w:val="00AA61C7"/>
    <w:rsid w:val="00AA669D"/>
    <w:rsid w:val="00AA7416"/>
    <w:rsid w:val="00AB358D"/>
    <w:rsid w:val="00AC2A0B"/>
    <w:rsid w:val="00AD1EFA"/>
    <w:rsid w:val="00AD2FBF"/>
    <w:rsid w:val="00AD463C"/>
    <w:rsid w:val="00AD6236"/>
    <w:rsid w:val="00AD7770"/>
    <w:rsid w:val="00AE25E8"/>
    <w:rsid w:val="00AE6582"/>
    <w:rsid w:val="00AF26CF"/>
    <w:rsid w:val="00AF5C9B"/>
    <w:rsid w:val="00AF5D53"/>
    <w:rsid w:val="00AF7796"/>
    <w:rsid w:val="00B04400"/>
    <w:rsid w:val="00B05A55"/>
    <w:rsid w:val="00B06595"/>
    <w:rsid w:val="00B10109"/>
    <w:rsid w:val="00B13EC0"/>
    <w:rsid w:val="00B14D32"/>
    <w:rsid w:val="00B1666A"/>
    <w:rsid w:val="00B1771D"/>
    <w:rsid w:val="00B20209"/>
    <w:rsid w:val="00B203C9"/>
    <w:rsid w:val="00B22E22"/>
    <w:rsid w:val="00B245D5"/>
    <w:rsid w:val="00B24F94"/>
    <w:rsid w:val="00B30EEB"/>
    <w:rsid w:val="00B31423"/>
    <w:rsid w:val="00B3346C"/>
    <w:rsid w:val="00B345B4"/>
    <w:rsid w:val="00B34A28"/>
    <w:rsid w:val="00B35046"/>
    <w:rsid w:val="00B37B07"/>
    <w:rsid w:val="00B525CB"/>
    <w:rsid w:val="00B54D8F"/>
    <w:rsid w:val="00B572F7"/>
    <w:rsid w:val="00B614F8"/>
    <w:rsid w:val="00B63872"/>
    <w:rsid w:val="00B63CB2"/>
    <w:rsid w:val="00B64EDB"/>
    <w:rsid w:val="00B65938"/>
    <w:rsid w:val="00B66349"/>
    <w:rsid w:val="00B7315F"/>
    <w:rsid w:val="00B76BFB"/>
    <w:rsid w:val="00B86877"/>
    <w:rsid w:val="00B8695D"/>
    <w:rsid w:val="00B91B8E"/>
    <w:rsid w:val="00B92618"/>
    <w:rsid w:val="00B9691F"/>
    <w:rsid w:val="00BA1382"/>
    <w:rsid w:val="00BA20D8"/>
    <w:rsid w:val="00BA22FC"/>
    <w:rsid w:val="00BA2F30"/>
    <w:rsid w:val="00BA4771"/>
    <w:rsid w:val="00BA778B"/>
    <w:rsid w:val="00BB0E9B"/>
    <w:rsid w:val="00BC2898"/>
    <w:rsid w:val="00BD52FE"/>
    <w:rsid w:val="00BD78FE"/>
    <w:rsid w:val="00BE18DA"/>
    <w:rsid w:val="00BE48C7"/>
    <w:rsid w:val="00BE7257"/>
    <w:rsid w:val="00BF020D"/>
    <w:rsid w:val="00BF23A3"/>
    <w:rsid w:val="00BF7C52"/>
    <w:rsid w:val="00C00713"/>
    <w:rsid w:val="00C165FC"/>
    <w:rsid w:val="00C2082C"/>
    <w:rsid w:val="00C22DDE"/>
    <w:rsid w:val="00C245EE"/>
    <w:rsid w:val="00C32017"/>
    <w:rsid w:val="00C3322E"/>
    <w:rsid w:val="00C36785"/>
    <w:rsid w:val="00C37256"/>
    <w:rsid w:val="00C419E3"/>
    <w:rsid w:val="00C41E6A"/>
    <w:rsid w:val="00C439BE"/>
    <w:rsid w:val="00C45466"/>
    <w:rsid w:val="00C500F0"/>
    <w:rsid w:val="00C56CC2"/>
    <w:rsid w:val="00C63E99"/>
    <w:rsid w:val="00C672F1"/>
    <w:rsid w:val="00C733BA"/>
    <w:rsid w:val="00C82298"/>
    <w:rsid w:val="00C833B4"/>
    <w:rsid w:val="00C9005E"/>
    <w:rsid w:val="00C920E2"/>
    <w:rsid w:val="00C93D8C"/>
    <w:rsid w:val="00CA5812"/>
    <w:rsid w:val="00CA5BD4"/>
    <w:rsid w:val="00CA7E7B"/>
    <w:rsid w:val="00CB4137"/>
    <w:rsid w:val="00CB52D0"/>
    <w:rsid w:val="00CC00CD"/>
    <w:rsid w:val="00CC0AF3"/>
    <w:rsid w:val="00CC2514"/>
    <w:rsid w:val="00CC315F"/>
    <w:rsid w:val="00CC40C3"/>
    <w:rsid w:val="00CD205D"/>
    <w:rsid w:val="00CE0566"/>
    <w:rsid w:val="00CE2761"/>
    <w:rsid w:val="00CE3E14"/>
    <w:rsid w:val="00CE607F"/>
    <w:rsid w:val="00CE65A7"/>
    <w:rsid w:val="00CE7F26"/>
    <w:rsid w:val="00CF1E1D"/>
    <w:rsid w:val="00CF35D0"/>
    <w:rsid w:val="00D012BF"/>
    <w:rsid w:val="00D01760"/>
    <w:rsid w:val="00D0401A"/>
    <w:rsid w:val="00D058E9"/>
    <w:rsid w:val="00D0742C"/>
    <w:rsid w:val="00D10E7C"/>
    <w:rsid w:val="00D16E39"/>
    <w:rsid w:val="00D21BB5"/>
    <w:rsid w:val="00D223B6"/>
    <w:rsid w:val="00D22DC8"/>
    <w:rsid w:val="00D2531C"/>
    <w:rsid w:val="00D31C6A"/>
    <w:rsid w:val="00D32256"/>
    <w:rsid w:val="00D401BE"/>
    <w:rsid w:val="00D422DB"/>
    <w:rsid w:val="00D52E2F"/>
    <w:rsid w:val="00D57940"/>
    <w:rsid w:val="00D60327"/>
    <w:rsid w:val="00D64B57"/>
    <w:rsid w:val="00D70E00"/>
    <w:rsid w:val="00D72E9D"/>
    <w:rsid w:val="00D73419"/>
    <w:rsid w:val="00D75E99"/>
    <w:rsid w:val="00D766C7"/>
    <w:rsid w:val="00D8044C"/>
    <w:rsid w:val="00D8184D"/>
    <w:rsid w:val="00D8223C"/>
    <w:rsid w:val="00D82CE5"/>
    <w:rsid w:val="00D8342C"/>
    <w:rsid w:val="00D93726"/>
    <w:rsid w:val="00D967CB"/>
    <w:rsid w:val="00D96EE0"/>
    <w:rsid w:val="00DA5989"/>
    <w:rsid w:val="00DA5AB1"/>
    <w:rsid w:val="00DB1AFF"/>
    <w:rsid w:val="00DC0954"/>
    <w:rsid w:val="00DC1A68"/>
    <w:rsid w:val="00DC30B8"/>
    <w:rsid w:val="00DC62E5"/>
    <w:rsid w:val="00DD3885"/>
    <w:rsid w:val="00DD5B04"/>
    <w:rsid w:val="00DD5EC6"/>
    <w:rsid w:val="00DD605F"/>
    <w:rsid w:val="00DD735D"/>
    <w:rsid w:val="00DE3119"/>
    <w:rsid w:val="00DE4105"/>
    <w:rsid w:val="00DE5189"/>
    <w:rsid w:val="00DF0263"/>
    <w:rsid w:val="00DF236B"/>
    <w:rsid w:val="00DF4451"/>
    <w:rsid w:val="00DF752F"/>
    <w:rsid w:val="00E027C5"/>
    <w:rsid w:val="00E109DD"/>
    <w:rsid w:val="00E13AB8"/>
    <w:rsid w:val="00E1482E"/>
    <w:rsid w:val="00E16E75"/>
    <w:rsid w:val="00E257C3"/>
    <w:rsid w:val="00E25CB3"/>
    <w:rsid w:val="00E26FCF"/>
    <w:rsid w:val="00E33B62"/>
    <w:rsid w:val="00E3403D"/>
    <w:rsid w:val="00E34E6C"/>
    <w:rsid w:val="00E36CEB"/>
    <w:rsid w:val="00E4143A"/>
    <w:rsid w:val="00E457CB"/>
    <w:rsid w:val="00E56090"/>
    <w:rsid w:val="00E565B9"/>
    <w:rsid w:val="00E5733B"/>
    <w:rsid w:val="00E613AE"/>
    <w:rsid w:val="00E630C0"/>
    <w:rsid w:val="00E634E6"/>
    <w:rsid w:val="00E65074"/>
    <w:rsid w:val="00E84A71"/>
    <w:rsid w:val="00E97A3F"/>
    <w:rsid w:val="00E97F0A"/>
    <w:rsid w:val="00EA3DC2"/>
    <w:rsid w:val="00EB1910"/>
    <w:rsid w:val="00EB5779"/>
    <w:rsid w:val="00EC05E2"/>
    <w:rsid w:val="00EC1CE7"/>
    <w:rsid w:val="00EC6014"/>
    <w:rsid w:val="00ED053A"/>
    <w:rsid w:val="00ED3347"/>
    <w:rsid w:val="00ED587F"/>
    <w:rsid w:val="00EE0253"/>
    <w:rsid w:val="00EE59B5"/>
    <w:rsid w:val="00EE7C88"/>
    <w:rsid w:val="00EF2547"/>
    <w:rsid w:val="00EF326A"/>
    <w:rsid w:val="00EF45DF"/>
    <w:rsid w:val="00EF510C"/>
    <w:rsid w:val="00EF57BC"/>
    <w:rsid w:val="00EF6784"/>
    <w:rsid w:val="00F00674"/>
    <w:rsid w:val="00F04ECA"/>
    <w:rsid w:val="00F07AA1"/>
    <w:rsid w:val="00F1108B"/>
    <w:rsid w:val="00F24644"/>
    <w:rsid w:val="00F368FF"/>
    <w:rsid w:val="00F42121"/>
    <w:rsid w:val="00F4345D"/>
    <w:rsid w:val="00F45B91"/>
    <w:rsid w:val="00F51A51"/>
    <w:rsid w:val="00F51CB4"/>
    <w:rsid w:val="00F561E3"/>
    <w:rsid w:val="00F624A7"/>
    <w:rsid w:val="00F843DF"/>
    <w:rsid w:val="00F84899"/>
    <w:rsid w:val="00F859F0"/>
    <w:rsid w:val="00F87E29"/>
    <w:rsid w:val="00FA015F"/>
    <w:rsid w:val="00FA1DA2"/>
    <w:rsid w:val="00FA7A30"/>
    <w:rsid w:val="00FB27B7"/>
    <w:rsid w:val="00FB630E"/>
    <w:rsid w:val="00FB6738"/>
    <w:rsid w:val="00FB691B"/>
    <w:rsid w:val="00FC1196"/>
    <w:rsid w:val="00FC18DC"/>
    <w:rsid w:val="00FC3AE1"/>
    <w:rsid w:val="00FC3EF4"/>
    <w:rsid w:val="00FE141E"/>
    <w:rsid w:val="00FE35D0"/>
    <w:rsid w:val="00FE42ED"/>
    <w:rsid w:val="00FE55A7"/>
    <w:rsid w:val="00FE5C5A"/>
    <w:rsid w:val="00FF045F"/>
    <w:rsid w:val="00FF4D11"/>
    <w:rsid w:val="00FF5214"/>
    <w:rsid w:val="00FF6553"/>
    <w:rsid w:val="0BE3D232"/>
    <w:rsid w:val="115E4981"/>
    <w:rsid w:val="7F8A9F5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DD6ECF9B-B006-4A90-BCF5-56A376DCDDD5}">
  <ds:schemaRefs>
    <ds:schemaRef ds:uri="http://schemas.openxmlformats.org/officeDocument/2006/bibliography"/>
  </ds:schemaRefs>
</ds:datastoreItem>
</file>

<file path=customXml/itemProps2.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17</Pages>
  <Words>6978</Words>
  <Characters>38379</Characters>
  <Application>Microsoft Office Word</Application>
  <DocSecurity>0</DocSecurity>
  <Lines>319</Lines>
  <Paragraphs>90</Paragraphs>
  <ScaleCrop>false</ScaleCrop>
  <Company/>
  <LinksUpToDate>false</LinksUpToDate>
  <CharactersWithSpaces>45267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231</cp:revision>
  <cp:lastPrinted>2020-01-30T15:05:00Z</cp:lastPrinted>
  <dcterms:created xsi:type="dcterms:W3CDTF">2020-07-01T14:16:00Z</dcterms:created>
  <dcterms:modified xsi:type="dcterms:W3CDTF">2020-08-06T18:50:00Z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