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0831" w14:textId="00EB739E" w:rsidR="002D7E6B" w:rsidRPr="00DA1F59" w:rsidRDefault="002D7E6B" w:rsidP="002D7E6B">
      <w:pPr>
        <w:spacing w:after="0" w:line="240" w:lineRule="auto"/>
        <w:jc w:val="both"/>
        <w:rPr>
          <w:rFonts w:ascii="Verdana" w:eastAsia="Calibri" w:hAnsi="Verdana" w:cs="Arial"/>
          <w:b/>
          <w:bCs/>
          <w:lang w:val="es-ES" w:eastAsia="es-ES"/>
        </w:rPr>
      </w:pPr>
      <w:bookmarkStart w:id="0" w:name="_Hlk143780582"/>
      <w:r w:rsidRPr="00DA1F59">
        <w:rPr>
          <w:rFonts w:ascii="Verdana" w:eastAsia="Calibri" w:hAnsi="Verdana" w:cs="Arial"/>
          <w:b/>
          <w:bCs/>
          <w:lang w:val="es-ES" w:eastAsia="es-ES"/>
        </w:rPr>
        <w:t>INHABILIDADES E INCOMPATIBILIDADES ― Límites a la capacidad ― Régimen</w:t>
      </w:r>
    </w:p>
    <w:p w14:paraId="719D3C54" w14:textId="77777777" w:rsidR="002D7E6B" w:rsidRPr="00DA1F59" w:rsidRDefault="002D7E6B" w:rsidP="002D7E6B">
      <w:pPr>
        <w:spacing w:after="0" w:line="240" w:lineRule="auto"/>
        <w:rPr>
          <w:rFonts w:ascii="Verdana" w:eastAsia="Calibri" w:hAnsi="Verdana" w:cs="Arial"/>
          <w:b/>
          <w:bCs/>
          <w:sz w:val="20"/>
          <w:szCs w:val="20"/>
          <w:lang w:val="es-ES" w:eastAsia="es-ES"/>
        </w:rPr>
      </w:pPr>
    </w:p>
    <w:p w14:paraId="38205E5F" w14:textId="77777777" w:rsidR="002D7E6B" w:rsidRPr="00DA1F59" w:rsidRDefault="002D7E6B" w:rsidP="002D7E6B">
      <w:pPr>
        <w:spacing w:line="240" w:lineRule="auto"/>
        <w:jc w:val="both"/>
        <w:rPr>
          <w:rFonts w:ascii="Verdana" w:eastAsia="Calibri" w:hAnsi="Verdana" w:cs="Arial"/>
          <w:sz w:val="20"/>
          <w:szCs w:val="20"/>
          <w:lang w:val="es-ES"/>
        </w:rPr>
      </w:pPr>
      <w:r w:rsidRPr="00DA1F59">
        <w:rPr>
          <w:rFonts w:ascii="Verdana" w:eastAsia="Calibri" w:hAnsi="Verdana" w:cs="Arial"/>
          <w:sz w:val="20"/>
          <w:szCs w:val="20"/>
          <w:lang w:val="es-ES"/>
        </w:rPr>
        <w:t>[…]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4CD14617" w14:textId="77777777" w:rsidR="002D7E6B" w:rsidRPr="00DA1F59" w:rsidRDefault="002D7E6B" w:rsidP="002D7E6B">
      <w:pPr>
        <w:spacing w:after="0" w:line="276" w:lineRule="auto"/>
        <w:jc w:val="both"/>
        <w:rPr>
          <w:rFonts w:ascii="Verdana" w:eastAsia="Calibri" w:hAnsi="Verdana" w:cs="Arial"/>
          <w:sz w:val="20"/>
          <w:szCs w:val="20"/>
          <w:lang w:val="es-ES"/>
        </w:rPr>
      </w:pPr>
    </w:p>
    <w:p w14:paraId="137AC98F" w14:textId="77777777" w:rsidR="002D7E6B" w:rsidRPr="00DA1F59" w:rsidRDefault="002D7E6B" w:rsidP="002D7E6B">
      <w:pPr>
        <w:spacing w:after="0" w:line="276" w:lineRule="auto"/>
        <w:jc w:val="both"/>
        <w:rPr>
          <w:rFonts w:ascii="Verdana" w:eastAsia="Calibri" w:hAnsi="Verdana" w:cs="Arial"/>
          <w:b/>
          <w:bCs/>
        </w:rPr>
      </w:pPr>
      <w:r w:rsidRPr="00DA1F59">
        <w:rPr>
          <w:rFonts w:ascii="Verdana" w:eastAsia="Calibri" w:hAnsi="Verdana" w:cs="Arial"/>
          <w:b/>
          <w:bCs/>
          <w:lang w:val="es-ES" w:eastAsia="es-ES"/>
        </w:rPr>
        <w:t xml:space="preserve">INHABILIDADES E INCOMPATIBILIDADES ― Concepto </w:t>
      </w:r>
    </w:p>
    <w:p w14:paraId="68932752" w14:textId="77777777" w:rsidR="002D7E6B" w:rsidRPr="00DA1F59" w:rsidRDefault="002D7E6B" w:rsidP="002D7E6B">
      <w:pPr>
        <w:spacing w:after="0" w:line="240" w:lineRule="auto"/>
        <w:rPr>
          <w:rFonts w:ascii="Verdana" w:eastAsia="Geomanist Light" w:hAnsi="Verdana" w:cs="Arial"/>
          <w:b/>
          <w:bCs/>
          <w:sz w:val="20"/>
          <w:szCs w:val="20"/>
          <w:lang w:val="es-ES"/>
        </w:rPr>
      </w:pPr>
    </w:p>
    <w:p w14:paraId="705873B7" w14:textId="77777777" w:rsidR="002D7E6B" w:rsidRPr="00DA1F59" w:rsidRDefault="002D7E6B" w:rsidP="002D7E6B">
      <w:pPr>
        <w:spacing w:after="0" w:line="240" w:lineRule="auto"/>
        <w:jc w:val="both"/>
        <w:rPr>
          <w:rFonts w:ascii="Verdana" w:eastAsia="Calibri" w:hAnsi="Verdana" w:cs="Arial"/>
          <w:sz w:val="20"/>
          <w:szCs w:val="20"/>
          <w:lang w:val="es-ES"/>
        </w:rPr>
      </w:pPr>
      <w:r w:rsidRPr="00DA1F59">
        <w:rPr>
          <w:rFonts w:ascii="Verdana" w:eastAsia="Calibri" w:hAnsi="Verdana" w:cs="Arial"/>
          <w:sz w:val="20"/>
          <w:szCs w:val="20"/>
          <w:lang w:val="es-ES"/>
        </w:rPr>
        <w:t>[…]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0C5C2826" w14:textId="77777777" w:rsidR="002D7E6B" w:rsidRPr="00DA1F59" w:rsidRDefault="002D7E6B" w:rsidP="002D7E6B">
      <w:pPr>
        <w:spacing w:after="0" w:line="240" w:lineRule="auto"/>
        <w:jc w:val="both"/>
        <w:rPr>
          <w:rFonts w:ascii="Verdana" w:eastAsia="Geomanist Light" w:hAnsi="Verdana" w:cs="Arial"/>
          <w:b/>
          <w:bCs/>
          <w:sz w:val="20"/>
          <w:szCs w:val="20"/>
          <w:lang w:val="es-ES"/>
        </w:rPr>
      </w:pPr>
    </w:p>
    <w:p w14:paraId="467CE63D" w14:textId="77777777" w:rsidR="002D7E6B" w:rsidRPr="00DA1F59" w:rsidRDefault="002D7E6B" w:rsidP="002D7E6B">
      <w:pPr>
        <w:spacing w:after="0" w:line="240" w:lineRule="auto"/>
        <w:rPr>
          <w:rFonts w:ascii="Verdana" w:eastAsia="Geomanist Light" w:hAnsi="Verdana" w:cs="Arial"/>
          <w:sz w:val="20"/>
          <w:szCs w:val="20"/>
          <w:lang w:val="es-MX"/>
        </w:rPr>
      </w:pPr>
    </w:p>
    <w:p w14:paraId="409980FC" w14:textId="77777777" w:rsidR="002D7E6B" w:rsidRPr="00DA1F59" w:rsidRDefault="002D7E6B" w:rsidP="002D7E6B">
      <w:pPr>
        <w:spacing w:after="0" w:line="240" w:lineRule="auto"/>
        <w:jc w:val="both"/>
        <w:rPr>
          <w:rFonts w:ascii="Verdana" w:eastAsia="Calibri" w:hAnsi="Verdana" w:cs="Arial"/>
          <w:b/>
          <w:bCs/>
          <w:lang w:val="es-ES" w:eastAsia="es-ES"/>
        </w:rPr>
      </w:pPr>
      <w:r w:rsidRPr="00DA1F59">
        <w:rPr>
          <w:rFonts w:ascii="Verdana" w:eastAsia="Calibri" w:hAnsi="Verdana" w:cs="Arial"/>
          <w:b/>
          <w:bCs/>
          <w:lang w:val="es-ES" w:eastAsia="es-ES"/>
        </w:rPr>
        <w:t xml:space="preserve">INHABILIDADES E INCOMPATIBILIDADES ― Interpretación restrictiva ― Principio pro </w:t>
      </w:r>
      <w:proofErr w:type="spellStart"/>
      <w:r w:rsidRPr="00DA1F59">
        <w:rPr>
          <w:rFonts w:ascii="Verdana" w:eastAsia="Calibri" w:hAnsi="Verdana" w:cs="Arial"/>
          <w:b/>
          <w:bCs/>
          <w:lang w:val="es-ES" w:eastAsia="es-ES"/>
        </w:rPr>
        <w:t>libertate</w:t>
      </w:r>
      <w:proofErr w:type="spellEnd"/>
    </w:p>
    <w:p w14:paraId="5BF620AE" w14:textId="77777777" w:rsidR="002D7E6B" w:rsidRPr="00DA1F59" w:rsidRDefault="002D7E6B" w:rsidP="002D7E6B">
      <w:pPr>
        <w:spacing w:after="0" w:line="240" w:lineRule="auto"/>
        <w:rPr>
          <w:rFonts w:ascii="Verdana" w:eastAsia="Geomanist Light" w:hAnsi="Verdana" w:cs="Arial"/>
          <w:b/>
          <w:bCs/>
          <w:sz w:val="20"/>
          <w:szCs w:val="20"/>
          <w:lang w:val="es-ES"/>
        </w:rPr>
      </w:pPr>
    </w:p>
    <w:p w14:paraId="0C50AAF3" w14:textId="77777777" w:rsidR="002D7E6B" w:rsidRPr="00DA1F59" w:rsidRDefault="002D7E6B" w:rsidP="002D7E6B">
      <w:pPr>
        <w:spacing w:after="0" w:line="240" w:lineRule="auto"/>
        <w:jc w:val="both"/>
        <w:rPr>
          <w:rFonts w:ascii="Verdana" w:eastAsia="Calibri" w:hAnsi="Verdana" w:cs="Arial"/>
          <w:sz w:val="20"/>
          <w:szCs w:val="20"/>
          <w:lang w:val="es-ES"/>
        </w:rPr>
      </w:pPr>
      <w:r w:rsidRPr="00DA1F59">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0DBAE9CC" w14:textId="77777777" w:rsidR="002D7E6B" w:rsidRPr="00DA1F59" w:rsidRDefault="002D7E6B" w:rsidP="002D7E6B">
      <w:pPr>
        <w:spacing w:after="0" w:line="240" w:lineRule="auto"/>
        <w:jc w:val="both"/>
        <w:rPr>
          <w:rFonts w:ascii="Verdana" w:eastAsia="Calibri" w:hAnsi="Verdana" w:cs="Arial"/>
          <w:sz w:val="20"/>
          <w:szCs w:val="20"/>
          <w:lang w:val="es-ES"/>
        </w:rPr>
      </w:pPr>
    </w:p>
    <w:p w14:paraId="56A7EF74" w14:textId="77777777" w:rsidR="002D7E6B" w:rsidRPr="00DA1F59" w:rsidRDefault="002D7E6B" w:rsidP="002D7E6B">
      <w:pPr>
        <w:spacing w:after="0" w:line="240" w:lineRule="auto"/>
        <w:jc w:val="both"/>
        <w:rPr>
          <w:rFonts w:ascii="Verdana" w:eastAsia="Calibri" w:hAnsi="Verdana" w:cs="Arial"/>
          <w:sz w:val="20"/>
          <w:szCs w:val="20"/>
          <w:lang w:val="es-ES"/>
        </w:rPr>
      </w:pPr>
      <w:r w:rsidRPr="00DA1F59">
        <w:rPr>
          <w:rFonts w:ascii="Verdana" w:eastAsia="Calibri" w:hAnsi="Verdana" w:cs="Arial"/>
          <w:sz w:val="20"/>
          <w:szCs w:val="20"/>
          <w:lang w:val="es-ES"/>
        </w:rPr>
        <w:t xml:space="preserve">[…] el principio pro </w:t>
      </w:r>
      <w:proofErr w:type="spellStart"/>
      <w:r w:rsidRPr="00DA1F59">
        <w:rPr>
          <w:rFonts w:ascii="Verdana" w:eastAsia="Calibri" w:hAnsi="Verdana" w:cs="Arial"/>
          <w:sz w:val="20"/>
          <w:szCs w:val="20"/>
          <w:lang w:val="es-ES"/>
        </w:rPr>
        <w:t>libertate</w:t>
      </w:r>
      <w:proofErr w:type="spellEnd"/>
      <w:r w:rsidRPr="00DA1F59">
        <w:rPr>
          <w:rFonts w:ascii="Verdana" w:eastAsia="Calibri" w:hAnsi="Verdana" w:cs="Arial"/>
          <w:sz w:val="20"/>
          <w:szCs w:val="20"/>
          <w:lang w:val="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01BF46A3" w14:textId="77777777" w:rsidR="002D7E6B" w:rsidRPr="00DA1F59" w:rsidRDefault="002D7E6B" w:rsidP="30821638">
      <w:pPr>
        <w:spacing w:after="0"/>
        <w:rPr>
          <w:rFonts w:ascii="Verdana" w:eastAsia="Verdana" w:hAnsi="Verdana" w:cs="Verdana"/>
          <w:lang w:val="es-ES"/>
        </w:rPr>
      </w:pPr>
    </w:p>
    <w:p w14:paraId="20583418" w14:textId="77777777" w:rsidR="0084111E" w:rsidRPr="00DA1F59" w:rsidRDefault="0084111E" w:rsidP="0084111E">
      <w:pPr>
        <w:spacing w:after="0" w:line="240" w:lineRule="auto"/>
        <w:jc w:val="both"/>
        <w:rPr>
          <w:rFonts w:ascii="Verdana" w:eastAsia="Calibri" w:hAnsi="Verdana" w:cs="Arial"/>
          <w:b/>
          <w:color w:val="000000"/>
          <w:kern w:val="2"/>
          <w14:ligatures w14:val="standardContextual"/>
        </w:rPr>
      </w:pPr>
      <w:r w:rsidRPr="00DA1F59">
        <w:rPr>
          <w:rFonts w:ascii="Verdana" w:eastAsia="Calibri" w:hAnsi="Verdana" w:cs="Arial"/>
          <w:b/>
          <w:color w:val="000000"/>
          <w:kern w:val="2"/>
          <w14:ligatures w14:val="standardContextual"/>
        </w:rPr>
        <w:t>DOCENTE DE HORA CÁTEDRA – Naturaleza jurídica de vinculación – Calidad de servidor público – Pronunciamientos jurisprudenciales y doctrinales</w:t>
      </w:r>
    </w:p>
    <w:p w14:paraId="72D34732" w14:textId="77777777" w:rsidR="0084111E" w:rsidRPr="00DA1F59" w:rsidRDefault="0084111E" w:rsidP="0084111E">
      <w:pPr>
        <w:spacing w:after="0" w:line="240" w:lineRule="auto"/>
        <w:jc w:val="both"/>
        <w:rPr>
          <w:rFonts w:ascii="Verdana" w:eastAsia="Calibri" w:hAnsi="Verdana" w:cs="Arial"/>
          <w:b/>
          <w:color w:val="000000"/>
          <w:kern w:val="2"/>
          <w14:ligatures w14:val="standardContextual"/>
        </w:rPr>
      </w:pPr>
    </w:p>
    <w:p w14:paraId="2E5F3822" w14:textId="77777777" w:rsidR="0084111E" w:rsidRPr="00DA1F59" w:rsidRDefault="0084111E" w:rsidP="0084111E">
      <w:pPr>
        <w:spacing w:after="0" w:line="240" w:lineRule="auto"/>
        <w:jc w:val="both"/>
        <w:rPr>
          <w:rFonts w:ascii="Verdana" w:eastAsia="Calibri" w:hAnsi="Verdana" w:cs="Arial"/>
          <w:color w:val="000000"/>
          <w:kern w:val="2"/>
          <w:sz w:val="20"/>
          <w:szCs w:val="20"/>
          <w14:ligatures w14:val="standardContextual"/>
        </w:rPr>
      </w:pPr>
      <w:r w:rsidRPr="00DA1F59">
        <w:rPr>
          <w:rFonts w:ascii="Verdana" w:eastAsia="Calibri" w:hAnsi="Verdana" w:cs="Arial"/>
          <w:color w:val="000000"/>
          <w:kern w:val="2"/>
          <w:sz w:val="20"/>
          <w:szCs w:val="20"/>
          <w14:ligatures w14:val="standardContextual"/>
        </w:rPr>
        <w:lastRenderedPageBreak/>
        <w:t>Con fundamento en la jurisprudencia constitucional, se puede colegir que los docentes ocasionales y, para el caso que nos ocupa, los docentes de cátedra, no son empleados públicos, así como tampoco pertenecen a la carrera profesoral, pero sí adquieren la connotación de servidores públicos, sin que su vinculación pueda efectuarse a través de contratos de prestación de servicios; lo que permite concluir que no son contratistas del Estado, en la medida en que se vinculan mediante acto administrativo en el cual se determinarán las modalidades y efectos de su relación jurídica de acuerdo con la ley.</w:t>
      </w:r>
    </w:p>
    <w:p w14:paraId="15F94AA5" w14:textId="77777777" w:rsidR="0084111E" w:rsidRPr="00DA1F59" w:rsidRDefault="0084111E" w:rsidP="0084111E">
      <w:pPr>
        <w:spacing w:after="0" w:line="240" w:lineRule="auto"/>
        <w:jc w:val="both"/>
        <w:rPr>
          <w:rFonts w:ascii="Verdana" w:eastAsia="Calibri" w:hAnsi="Verdana" w:cs="Arial"/>
          <w:color w:val="000000"/>
          <w:kern w:val="2"/>
          <w:sz w:val="20"/>
          <w:szCs w:val="20"/>
          <w14:ligatures w14:val="standardContextual"/>
        </w:rPr>
      </w:pPr>
    </w:p>
    <w:p w14:paraId="17B14AB3" w14:textId="77777777" w:rsidR="0084111E" w:rsidRPr="00DA1F59" w:rsidRDefault="0084111E" w:rsidP="0084111E">
      <w:pPr>
        <w:spacing w:after="0" w:line="240" w:lineRule="auto"/>
        <w:jc w:val="both"/>
        <w:rPr>
          <w:rFonts w:ascii="Verdana" w:eastAsia="Calibri" w:hAnsi="Verdana" w:cs="Arial"/>
          <w:color w:val="000000"/>
          <w:kern w:val="2"/>
          <w:sz w:val="20"/>
          <w:szCs w:val="20"/>
          <w14:ligatures w14:val="standardContextual"/>
        </w:rPr>
      </w:pPr>
      <w:r w:rsidRPr="00DA1F59">
        <w:rPr>
          <w:rFonts w:ascii="Verdana" w:eastAsia="Calibri" w:hAnsi="Verdana" w:cs="Arial"/>
          <w:color w:val="000000"/>
          <w:kern w:val="2"/>
          <w:sz w:val="20"/>
          <w:szCs w:val="20"/>
          <w14:ligatures w14:val="standardContextual"/>
        </w:rPr>
        <w:t>Esta misma tesis la sostiene en varios de los recientes conceptos que emitió el Departamento Administrativo de la Función Pública – DAFP al referirse al régimen de inhabilidades e incompatibilidades del servidor público, dentro de los que se destaca el Concepto 047311 de 2023 […]</w:t>
      </w:r>
    </w:p>
    <w:p w14:paraId="546E2397" w14:textId="77777777" w:rsidR="0084111E" w:rsidRPr="00DA1F59" w:rsidRDefault="0084111E" w:rsidP="30821638">
      <w:pPr>
        <w:spacing w:after="0"/>
        <w:rPr>
          <w:rFonts w:ascii="Verdana" w:eastAsia="Verdana" w:hAnsi="Verdana" w:cs="Verdana"/>
        </w:rPr>
      </w:pPr>
    </w:p>
    <w:p w14:paraId="0B3713EE" w14:textId="6CED1ED7" w:rsidR="00ED7EB9" w:rsidRPr="00DA1F59" w:rsidRDefault="00ED7EB9" w:rsidP="00ED7EB9">
      <w:pPr>
        <w:spacing w:after="0" w:line="240" w:lineRule="auto"/>
        <w:jc w:val="both"/>
        <w:rPr>
          <w:rFonts w:ascii="Verdana" w:eastAsia="Calibri" w:hAnsi="Verdana" w:cs="Arial"/>
          <w:b/>
          <w:color w:val="000000"/>
          <w:kern w:val="2"/>
          <w14:ligatures w14:val="standardContextual"/>
        </w:rPr>
      </w:pPr>
      <w:r w:rsidRPr="00DA1F59">
        <w:rPr>
          <w:rFonts w:ascii="Verdana" w:eastAsia="Calibri" w:hAnsi="Verdana" w:cs="Arial"/>
          <w:b/>
          <w:color w:val="000000"/>
          <w:kern w:val="2"/>
          <w14:ligatures w14:val="standardContextual"/>
        </w:rPr>
        <w:t xml:space="preserve">INHABILIDADES E INCOMPATIBILIDADES – Ley 80 de 1993 – </w:t>
      </w:r>
      <w:r w:rsidR="00DA4DDB" w:rsidRPr="00DA1F59">
        <w:rPr>
          <w:rFonts w:ascii="Verdana" w:eastAsia="Calibri" w:hAnsi="Verdana" w:cs="Arial"/>
          <w:b/>
          <w:color w:val="000000"/>
          <w:kern w:val="2"/>
          <w14:ligatures w14:val="standardContextual"/>
        </w:rPr>
        <w:t xml:space="preserve">Artículo 8 </w:t>
      </w:r>
      <w:r w:rsidRPr="00DA1F59">
        <w:rPr>
          <w:rFonts w:ascii="Verdana" w:eastAsia="Calibri" w:hAnsi="Verdana" w:cs="Arial"/>
          <w:b/>
          <w:color w:val="000000"/>
          <w:kern w:val="2"/>
          <w14:ligatures w14:val="standardContextual"/>
        </w:rPr>
        <w:t>Numeral 1, literal f) – Servidor público – Concordancia artículo 127 superior</w:t>
      </w:r>
    </w:p>
    <w:p w14:paraId="3DEC8AC1" w14:textId="77777777" w:rsidR="002D7E6B" w:rsidRPr="00DA1F59" w:rsidRDefault="002D7E6B" w:rsidP="30821638">
      <w:pPr>
        <w:spacing w:after="0"/>
        <w:rPr>
          <w:rFonts w:ascii="Verdana" w:eastAsia="Verdana" w:hAnsi="Verdana" w:cs="Verdana"/>
        </w:rPr>
      </w:pPr>
    </w:p>
    <w:p w14:paraId="10A50014" w14:textId="67A51318" w:rsidR="001954F5" w:rsidRPr="00DA1F59" w:rsidRDefault="001954F5" w:rsidP="001954F5">
      <w:pPr>
        <w:spacing w:after="0" w:line="240" w:lineRule="auto"/>
        <w:jc w:val="both"/>
        <w:rPr>
          <w:rFonts w:ascii="Verdana" w:eastAsia="Calibri" w:hAnsi="Verdana" w:cs="Arial"/>
          <w:color w:val="000000"/>
          <w:kern w:val="2"/>
          <w:sz w:val="20"/>
          <w:szCs w:val="20"/>
          <w14:ligatures w14:val="standardContextual"/>
        </w:rPr>
      </w:pPr>
      <w:r w:rsidRPr="00DA1F59">
        <w:rPr>
          <w:rFonts w:ascii="Verdana" w:eastAsia="Calibri" w:hAnsi="Verdana" w:cs="Arial"/>
          <w:color w:val="000000"/>
          <w:kern w:val="2"/>
          <w:sz w:val="20"/>
          <w:szCs w:val="20"/>
          <w14:ligatures w14:val="standardContextual"/>
        </w:rPr>
        <w:t xml:space="preserve">En ese sentido, si la vinculación como docente de cátedra en institución educativa de naturaleza estatal le otorga la naturaleza de servidor público, (examen que le corresponderá a cada entidad estatal contratante efectuar para cada caso concreto), podría configurarse la inhabilidad consagrada en el literal f) del numeral 1 del artículo 8 de la Ley 80 de 1993, en concordancia con el artículo 127 de la Constitución Política de Colombia de 1991, que prohíbe a los servidores públicos celebrar contratos con entidades estatales. </w:t>
      </w:r>
    </w:p>
    <w:p w14:paraId="52B53A8E" w14:textId="77777777" w:rsidR="00DC41A7" w:rsidRPr="00DA1F59" w:rsidRDefault="00DC41A7" w:rsidP="001954F5">
      <w:pPr>
        <w:spacing w:after="0" w:line="240" w:lineRule="auto"/>
        <w:jc w:val="both"/>
        <w:rPr>
          <w:rFonts w:ascii="Verdana" w:eastAsia="Calibri" w:hAnsi="Verdana" w:cs="Arial"/>
          <w:color w:val="000000"/>
          <w:kern w:val="2"/>
          <w:sz w:val="20"/>
          <w:szCs w:val="20"/>
          <w14:ligatures w14:val="standardContextual"/>
        </w:rPr>
      </w:pPr>
    </w:p>
    <w:p w14:paraId="081E5E70" w14:textId="77777777" w:rsidR="00DC41A7" w:rsidRPr="00DA1F59" w:rsidRDefault="00DC41A7" w:rsidP="001954F5">
      <w:pPr>
        <w:spacing w:after="0" w:line="240" w:lineRule="auto"/>
        <w:jc w:val="both"/>
        <w:rPr>
          <w:rFonts w:ascii="Verdana" w:eastAsia="Calibri" w:hAnsi="Verdana" w:cs="Arial"/>
          <w:color w:val="000000"/>
          <w:kern w:val="2"/>
          <w:sz w:val="20"/>
          <w:szCs w:val="20"/>
          <w14:ligatures w14:val="standardContextual"/>
        </w:rPr>
      </w:pPr>
    </w:p>
    <w:p w14:paraId="4868832F" w14:textId="77777777" w:rsidR="002D7E6B" w:rsidRPr="00DA1F59" w:rsidRDefault="002D7E6B" w:rsidP="30821638">
      <w:pPr>
        <w:spacing w:after="0"/>
        <w:rPr>
          <w:rFonts w:ascii="Verdana" w:eastAsia="Verdana" w:hAnsi="Verdana" w:cs="Verdana"/>
        </w:rPr>
      </w:pPr>
    </w:p>
    <w:p w14:paraId="2635641A" w14:textId="77777777" w:rsidR="002D7E6B" w:rsidRPr="00DA1F59" w:rsidRDefault="002D7E6B" w:rsidP="30821638">
      <w:pPr>
        <w:spacing w:after="0"/>
        <w:rPr>
          <w:rFonts w:ascii="Verdana" w:eastAsia="Verdana" w:hAnsi="Verdana" w:cs="Verdana"/>
        </w:rPr>
      </w:pPr>
    </w:p>
    <w:p w14:paraId="150789F2" w14:textId="77777777" w:rsidR="001954F5" w:rsidRPr="00DA1F59" w:rsidRDefault="001954F5" w:rsidP="30821638">
      <w:pPr>
        <w:spacing w:after="0"/>
        <w:rPr>
          <w:rFonts w:ascii="Verdana" w:eastAsia="Verdana" w:hAnsi="Verdana" w:cs="Verdana"/>
        </w:rPr>
      </w:pPr>
    </w:p>
    <w:p w14:paraId="0B6E10B1" w14:textId="77777777" w:rsidR="001954F5" w:rsidRPr="00DA1F59" w:rsidRDefault="001954F5" w:rsidP="30821638">
      <w:pPr>
        <w:spacing w:after="0"/>
        <w:rPr>
          <w:rFonts w:ascii="Verdana" w:eastAsia="Verdana" w:hAnsi="Verdana" w:cs="Verdana"/>
        </w:rPr>
      </w:pPr>
    </w:p>
    <w:p w14:paraId="77909826" w14:textId="77777777" w:rsidR="001954F5" w:rsidRPr="00DA1F59" w:rsidRDefault="001954F5" w:rsidP="30821638">
      <w:pPr>
        <w:spacing w:after="0"/>
        <w:rPr>
          <w:rFonts w:ascii="Verdana" w:eastAsia="Verdana" w:hAnsi="Verdana" w:cs="Verdana"/>
        </w:rPr>
      </w:pPr>
    </w:p>
    <w:p w14:paraId="40259EEC" w14:textId="77777777" w:rsidR="001954F5" w:rsidRPr="00DA1F59" w:rsidRDefault="001954F5" w:rsidP="30821638">
      <w:pPr>
        <w:spacing w:after="0"/>
        <w:rPr>
          <w:rFonts w:ascii="Verdana" w:eastAsia="Verdana" w:hAnsi="Verdana" w:cs="Verdana"/>
        </w:rPr>
      </w:pPr>
    </w:p>
    <w:p w14:paraId="2850956E" w14:textId="77777777" w:rsidR="001954F5" w:rsidRPr="00DA1F59" w:rsidRDefault="001954F5" w:rsidP="30821638">
      <w:pPr>
        <w:spacing w:after="0"/>
        <w:rPr>
          <w:rFonts w:ascii="Verdana" w:eastAsia="Verdana" w:hAnsi="Verdana" w:cs="Verdana"/>
        </w:rPr>
      </w:pPr>
    </w:p>
    <w:p w14:paraId="1BE6141E" w14:textId="77777777" w:rsidR="001954F5" w:rsidRPr="00DA1F59" w:rsidRDefault="001954F5" w:rsidP="30821638">
      <w:pPr>
        <w:spacing w:after="0"/>
        <w:rPr>
          <w:rFonts w:ascii="Verdana" w:eastAsia="Verdana" w:hAnsi="Verdana" w:cs="Verdana"/>
        </w:rPr>
      </w:pPr>
    </w:p>
    <w:p w14:paraId="312130AA" w14:textId="77777777" w:rsidR="001954F5" w:rsidRPr="00DA1F59" w:rsidRDefault="001954F5" w:rsidP="30821638">
      <w:pPr>
        <w:spacing w:after="0"/>
        <w:rPr>
          <w:rFonts w:ascii="Verdana" w:eastAsia="Verdana" w:hAnsi="Verdana" w:cs="Verdana"/>
        </w:rPr>
      </w:pPr>
    </w:p>
    <w:p w14:paraId="0AFAA09A" w14:textId="77777777" w:rsidR="001954F5" w:rsidRPr="00DA1F59" w:rsidRDefault="001954F5" w:rsidP="30821638">
      <w:pPr>
        <w:spacing w:after="0"/>
        <w:rPr>
          <w:rFonts w:ascii="Verdana" w:eastAsia="Verdana" w:hAnsi="Verdana" w:cs="Verdana"/>
        </w:rPr>
      </w:pPr>
    </w:p>
    <w:p w14:paraId="50E6855E" w14:textId="77777777" w:rsidR="001954F5" w:rsidRPr="00DA1F59" w:rsidRDefault="001954F5" w:rsidP="30821638">
      <w:pPr>
        <w:spacing w:after="0"/>
        <w:rPr>
          <w:rFonts w:ascii="Verdana" w:eastAsia="Verdana" w:hAnsi="Verdana" w:cs="Verdana"/>
        </w:rPr>
      </w:pPr>
    </w:p>
    <w:p w14:paraId="63827D22" w14:textId="77777777" w:rsidR="001954F5" w:rsidRPr="00DA1F59" w:rsidRDefault="001954F5" w:rsidP="30821638">
      <w:pPr>
        <w:spacing w:after="0"/>
        <w:rPr>
          <w:rFonts w:ascii="Verdana" w:eastAsia="Verdana" w:hAnsi="Verdana" w:cs="Verdana"/>
        </w:rPr>
      </w:pPr>
    </w:p>
    <w:p w14:paraId="56DA661B" w14:textId="77777777" w:rsidR="001954F5" w:rsidRPr="00DA1F59" w:rsidRDefault="001954F5" w:rsidP="30821638">
      <w:pPr>
        <w:spacing w:after="0"/>
        <w:rPr>
          <w:rFonts w:ascii="Verdana" w:eastAsia="Verdana" w:hAnsi="Verdana" w:cs="Verdana"/>
        </w:rPr>
      </w:pPr>
    </w:p>
    <w:p w14:paraId="7F47C859" w14:textId="77777777" w:rsidR="001954F5" w:rsidRPr="00DA1F59" w:rsidRDefault="001954F5" w:rsidP="30821638">
      <w:pPr>
        <w:spacing w:after="0"/>
        <w:rPr>
          <w:rFonts w:ascii="Verdana" w:eastAsia="Verdana" w:hAnsi="Verdana" w:cs="Verdana"/>
        </w:rPr>
      </w:pPr>
    </w:p>
    <w:p w14:paraId="002A7A29" w14:textId="77777777" w:rsidR="001954F5" w:rsidRPr="00DA1F59" w:rsidRDefault="001954F5" w:rsidP="30821638">
      <w:pPr>
        <w:spacing w:after="0"/>
        <w:rPr>
          <w:rFonts w:ascii="Verdana" w:eastAsia="Verdana" w:hAnsi="Verdana" w:cs="Verdana"/>
        </w:rPr>
      </w:pPr>
    </w:p>
    <w:p w14:paraId="4229FC45" w14:textId="77777777" w:rsidR="001954F5" w:rsidRPr="00DA1F59" w:rsidRDefault="001954F5" w:rsidP="30821638">
      <w:pPr>
        <w:spacing w:after="0"/>
        <w:rPr>
          <w:rFonts w:ascii="Verdana" w:eastAsia="Verdana" w:hAnsi="Verdana" w:cs="Verdana"/>
        </w:rPr>
      </w:pPr>
    </w:p>
    <w:p w14:paraId="47D9993D" w14:textId="6EE75DA5" w:rsidR="0017196E" w:rsidRPr="00DA1F59" w:rsidRDefault="00C15139" w:rsidP="0017196E">
      <w:pPr>
        <w:spacing w:after="0"/>
        <w:rPr>
          <w:rFonts w:ascii="Verdana" w:eastAsia="Calibri" w:hAnsi="Verdana" w:cs="Arial"/>
          <w:color w:val="000000" w:themeColor="text1"/>
          <w:lang w:val="es-ES" w:eastAsia="es-ES"/>
        </w:rPr>
      </w:pPr>
      <w:r w:rsidRPr="00DA1F59">
        <w:rPr>
          <w:rFonts w:ascii="Verdana" w:eastAsia="Verdana" w:hAnsi="Verdana" w:cs="Verdana"/>
        </w:rPr>
        <w:lastRenderedPageBreak/>
        <w:t xml:space="preserve">Bogotá D.C., </w:t>
      </w:r>
      <w:r w:rsidR="00BD08A8">
        <w:rPr>
          <w:rFonts w:ascii="Verdana" w:eastAsia="Verdana" w:hAnsi="Verdana" w:cs="Verdana"/>
        </w:rPr>
        <w:t>23 de abril del 2026</w:t>
      </w:r>
    </w:p>
    <w:p w14:paraId="7B42A1F8" w14:textId="77777777" w:rsidR="0073085A" w:rsidRDefault="0073085A" w:rsidP="0017196E">
      <w:pPr>
        <w:spacing w:after="0"/>
        <w:rPr>
          <w:rFonts w:ascii="Verdana" w:eastAsia="Calibri" w:hAnsi="Verdana" w:cs="Arial"/>
          <w:color w:val="000000" w:themeColor="text1"/>
          <w:lang w:val="es-ES" w:eastAsia="es-ES"/>
        </w:rPr>
      </w:pPr>
    </w:p>
    <w:p w14:paraId="66C3F654" w14:textId="2E424198" w:rsidR="00B63A76" w:rsidRPr="00DA1F59" w:rsidRDefault="00B63A76" w:rsidP="00B63A76">
      <w:pPr>
        <w:spacing w:after="0"/>
        <w:jc w:val="right"/>
        <w:rPr>
          <w:rFonts w:ascii="Verdana" w:eastAsia="Calibri" w:hAnsi="Verdana" w:cs="Arial"/>
          <w:color w:val="000000" w:themeColor="text1"/>
          <w:lang w:val="es-ES" w:eastAsia="es-ES"/>
        </w:rPr>
      </w:pPr>
      <w:r w:rsidRPr="00B63A76">
        <w:rPr>
          <w:rFonts w:ascii="Verdana" w:eastAsia="Calibri" w:hAnsi="Verdana" w:cs="Arial"/>
          <w:color w:val="000000" w:themeColor="text1"/>
          <w:lang w:val="es-ES" w:eastAsia="es-ES"/>
        </w:rPr>
        <w:drawing>
          <wp:inline distT="0" distB="0" distL="0" distR="0" wp14:anchorId="3EDB415B" wp14:editId="752BE2BA">
            <wp:extent cx="2926080" cy="923925"/>
            <wp:effectExtent l="0" t="0" r="7620" b="9525"/>
            <wp:docPr id="7377419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41927" name=""/>
                    <pic:cNvPicPr/>
                  </pic:nvPicPr>
                  <pic:blipFill>
                    <a:blip r:embed="rId11"/>
                    <a:stretch>
                      <a:fillRect/>
                    </a:stretch>
                  </pic:blipFill>
                  <pic:spPr>
                    <a:xfrm>
                      <a:off x="0" y="0"/>
                      <a:ext cx="2926080" cy="923925"/>
                    </a:xfrm>
                    <a:prstGeom prst="rect">
                      <a:avLst/>
                    </a:prstGeom>
                  </pic:spPr>
                </pic:pic>
              </a:graphicData>
            </a:graphic>
          </wp:inline>
        </w:drawing>
      </w:r>
    </w:p>
    <w:p w14:paraId="42D8214B" w14:textId="154635BD" w:rsidR="0017196E" w:rsidRPr="00DA1F59" w:rsidRDefault="0017196E" w:rsidP="0017196E">
      <w:pPr>
        <w:spacing w:after="0"/>
        <w:rPr>
          <w:rFonts w:ascii="Verdana" w:hAnsi="Verdana"/>
        </w:rPr>
      </w:pPr>
      <w:r w:rsidRPr="00DA1F59">
        <w:rPr>
          <w:rFonts w:ascii="Verdana" w:eastAsia="Calibri" w:hAnsi="Verdana" w:cs="Arial"/>
          <w:color w:val="000000" w:themeColor="text1"/>
          <w:lang w:val="es-ES" w:eastAsia="es-ES"/>
        </w:rPr>
        <w:t>Señor:</w:t>
      </w:r>
    </w:p>
    <w:p w14:paraId="78821009" w14:textId="3E3891AF" w:rsidR="0017196E" w:rsidRPr="00DA1F59" w:rsidRDefault="00B66142" w:rsidP="0017196E">
      <w:pPr>
        <w:spacing w:after="0" w:line="240" w:lineRule="auto"/>
        <w:jc w:val="both"/>
        <w:rPr>
          <w:rFonts w:ascii="Verdana" w:eastAsia="Calibri" w:hAnsi="Verdana" w:cs="Arial"/>
          <w:b/>
          <w:bCs/>
          <w:color w:val="000000" w:themeColor="text1"/>
          <w:lang w:eastAsia="es-ES"/>
        </w:rPr>
      </w:pPr>
      <w:r w:rsidRPr="00DA1F59">
        <w:rPr>
          <w:rFonts w:ascii="Verdana" w:eastAsia="Calibri" w:hAnsi="Verdana" w:cs="Arial"/>
          <w:b/>
          <w:bCs/>
          <w:color w:val="000000" w:themeColor="text1"/>
          <w:lang w:eastAsia="es-ES"/>
        </w:rPr>
        <w:t>Pablo Cesar Peña</w:t>
      </w:r>
    </w:p>
    <w:p w14:paraId="0F97CB34" w14:textId="2BDE28E5" w:rsidR="00B66142" w:rsidRPr="00DA1F59" w:rsidRDefault="00B66142" w:rsidP="0017196E">
      <w:pPr>
        <w:spacing w:after="0" w:line="240" w:lineRule="auto"/>
        <w:jc w:val="both"/>
        <w:rPr>
          <w:rFonts w:ascii="Verdana" w:eastAsia="Calibri" w:hAnsi="Verdana" w:cs="Arial"/>
          <w:color w:val="000000" w:themeColor="text1"/>
          <w:lang w:eastAsia="es-ES"/>
        </w:rPr>
      </w:pPr>
      <w:r w:rsidRPr="00DA1F59">
        <w:rPr>
          <w:rFonts w:ascii="Verdana" w:eastAsia="Calibri" w:hAnsi="Verdana" w:cs="Arial"/>
          <w:color w:val="000000" w:themeColor="text1"/>
          <w:lang w:eastAsia="es-ES"/>
        </w:rPr>
        <w:t xml:space="preserve">Alcaldía de Buenos Aires </w:t>
      </w:r>
    </w:p>
    <w:p w14:paraId="655CAA14" w14:textId="0A11913A" w:rsidR="00481A61" w:rsidRPr="00DA1F59" w:rsidRDefault="00481A61" w:rsidP="0017196E">
      <w:pPr>
        <w:spacing w:after="0" w:line="240" w:lineRule="auto"/>
        <w:rPr>
          <w:rFonts w:ascii="Verdana" w:hAnsi="Verdana"/>
        </w:rPr>
      </w:pPr>
      <w:hyperlink r:id="rId12" w:history="1">
        <w:r w:rsidRPr="00DA1F59">
          <w:rPr>
            <w:rStyle w:val="Hipervnculo"/>
            <w:rFonts w:ascii="Verdana" w:hAnsi="Verdana"/>
          </w:rPr>
          <w:t>secplaneacion@buenosaires-cauca.gov.co</w:t>
        </w:r>
      </w:hyperlink>
    </w:p>
    <w:p w14:paraId="245A3A0E" w14:textId="07FDDA28" w:rsidR="0017196E" w:rsidRPr="00DA1F59" w:rsidRDefault="000923C2" w:rsidP="0017196E">
      <w:pPr>
        <w:spacing w:after="0" w:line="240" w:lineRule="auto"/>
        <w:rPr>
          <w:rFonts w:ascii="Verdana" w:eastAsia="Calibri" w:hAnsi="Verdana" w:cs="Arial"/>
          <w:b/>
          <w:bCs/>
          <w:color w:val="000000" w:themeColor="text1"/>
          <w:lang w:val="es-ES_tradnl" w:eastAsia="es-ES"/>
        </w:rPr>
      </w:pPr>
      <w:r w:rsidRPr="00DA1F59">
        <w:rPr>
          <w:rFonts w:ascii="Verdana" w:eastAsia="Calibri" w:hAnsi="Verdana" w:cs="Arial"/>
          <w:color w:val="000000" w:themeColor="text1"/>
          <w:lang w:val="es-ES_tradnl" w:eastAsia="es-ES"/>
        </w:rPr>
        <w:t>Buenos Aires</w:t>
      </w:r>
      <w:r w:rsidR="0017196E" w:rsidRPr="00DA1F59">
        <w:rPr>
          <w:rFonts w:ascii="Verdana" w:eastAsia="Calibri" w:hAnsi="Verdana" w:cs="Arial"/>
          <w:color w:val="000000" w:themeColor="text1"/>
          <w:lang w:val="es-ES_tradnl" w:eastAsia="es-ES"/>
        </w:rPr>
        <w:t xml:space="preserve">, </w:t>
      </w:r>
      <w:r w:rsidRPr="00DA1F59">
        <w:rPr>
          <w:rFonts w:ascii="Verdana" w:eastAsia="Calibri" w:hAnsi="Verdana" w:cs="Arial"/>
          <w:color w:val="000000" w:themeColor="text1"/>
          <w:lang w:val="es-ES_tradnl" w:eastAsia="es-ES"/>
        </w:rPr>
        <w:t>Cauca</w:t>
      </w:r>
      <w:r w:rsidR="0017196E" w:rsidRPr="00DA1F59">
        <w:rPr>
          <w:rFonts w:ascii="Verdana" w:eastAsia="Calibri" w:hAnsi="Verdana" w:cs="Arial"/>
          <w:color w:val="000000" w:themeColor="text1"/>
          <w:lang w:val="es-ES_tradnl" w:eastAsia="es-ES"/>
        </w:rPr>
        <w:t xml:space="preserve"> </w:t>
      </w:r>
    </w:p>
    <w:p w14:paraId="6CB196FD" w14:textId="77777777" w:rsidR="0017196E" w:rsidRPr="00DA1F59" w:rsidRDefault="0017196E" w:rsidP="0017196E">
      <w:pPr>
        <w:spacing w:after="0" w:line="240" w:lineRule="auto"/>
        <w:rPr>
          <w:rFonts w:ascii="Verdana" w:eastAsia="Calibri" w:hAnsi="Verdana" w:cs="Arial"/>
          <w:b/>
          <w:bCs/>
          <w:color w:val="000000" w:themeColor="text1"/>
          <w:highlight w:val="cyan"/>
          <w:lang w:val="es-ES_tradnl" w:eastAsia="es-ES_tradnl"/>
        </w:rPr>
      </w:pPr>
    </w:p>
    <w:p w14:paraId="02D821AC" w14:textId="77777777" w:rsidR="0073085A" w:rsidRPr="00DA1F59" w:rsidRDefault="0073085A" w:rsidP="0017196E">
      <w:pPr>
        <w:spacing w:after="0" w:line="240" w:lineRule="auto"/>
        <w:rPr>
          <w:rFonts w:ascii="Verdana" w:eastAsia="Calibri" w:hAnsi="Verdana" w:cs="Arial"/>
          <w:b/>
          <w:bCs/>
          <w:color w:val="000000" w:themeColor="text1"/>
          <w:highlight w:val="cyan"/>
          <w:lang w:val="es-ES_tradnl" w:eastAsia="es-ES_tradnl"/>
        </w:rPr>
      </w:pPr>
    </w:p>
    <w:p w14:paraId="106E20BC" w14:textId="1E7784AD" w:rsidR="0017196E" w:rsidRDefault="0017196E" w:rsidP="0017196E">
      <w:pPr>
        <w:spacing w:after="0" w:line="240" w:lineRule="auto"/>
        <w:rPr>
          <w:rFonts w:ascii="Verdana" w:eastAsia="Calibri" w:hAnsi="Verdana" w:cs="Arial"/>
          <w:b/>
          <w:bCs/>
          <w:color w:val="000000" w:themeColor="text1"/>
          <w:lang w:val="es-ES_tradnl" w:eastAsia="es-ES_tradnl"/>
        </w:rPr>
      </w:pPr>
      <w:r w:rsidRPr="00DA1F59">
        <w:rPr>
          <w:rFonts w:ascii="Verdana" w:eastAsia="Calibri" w:hAnsi="Verdana" w:cs="Arial"/>
          <w:b/>
          <w:bCs/>
          <w:color w:val="000000" w:themeColor="text1"/>
          <w:lang w:val="es-ES_tradnl" w:eastAsia="es-ES_tradnl"/>
        </w:rPr>
        <w:t xml:space="preserve">                                   Concepto </w:t>
      </w:r>
      <w:r w:rsidR="00C826F8" w:rsidRPr="00DA1F59">
        <w:rPr>
          <w:rFonts w:ascii="Verdana" w:eastAsia="Calibri" w:hAnsi="Verdana" w:cs="Arial"/>
          <w:b/>
          <w:bCs/>
          <w:color w:val="000000" w:themeColor="text1"/>
          <w:lang w:val="es-ES_tradnl" w:eastAsia="es-ES_tradnl"/>
        </w:rPr>
        <w:t xml:space="preserve">C-396 </w:t>
      </w:r>
      <w:r w:rsidRPr="00DA1F59">
        <w:rPr>
          <w:rFonts w:ascii="Verdana" w:eastAsia="Calibri" w:hAnsi="Verdana" w:cs="Arial"/>
          <w:b/>
          <w:bCs/>
          <w:color w:val="000000" w:themeColor="text1"/>
          <w:lang w:val="es-ES_tradnl" w:eastAsia="es-ES_tradnl"/>
        </w:rPr>
        <w:t xml:space="preserve">del </w:t>
      </w:r>
      <w:r w:rsidR="00C826F8" w:rsidRPr="00DA1F59">
        <w:rPr>
          <w:rFonts w:ascii="Verdana" w:eastAsia="Calibri" w:hAnsi="Verdana" w:cs="Arial"/>
          <w:b/>
          <w:bCs/>
          <w:color w:val="000000" w:themeColor="text1"/>
          <w:lang w:val="es-ES_tradnl" w:eastAsia="es-ES_tradnl"/>
        </w:rPr>
        <w:t>2026</w:t>
      </w:r>
    </w:p>
    <w:p w14:paraId="78221E6A" w14:textId="77777777" w:rsidR="00142206" w:rsidRPr="00DA1F59" w:rsidRDefault="00142206" w:rsidP="0017196E">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7196E" w:rsidRPr="00DA1F59" w14:paraId="2895F3CF" w14:textId="77777777" w:rsidTr="004F19D0">
        <w:trPr>
          <w:trHeight w:val="884"/>
        </w:trPr>
        <w:tc>
          <w:tcPr>
            <w:tcW w:w="2689" w:type="dxa"/>
          </w:tcPr>
          <w:p w14:paraId="1C802371" w14:textId="77777777" w:rsidR="0017196E" w:rsidRPr="00DA1F59" w:rsidRDefault="0017196E" w:rsidP="004F19D0">
            <w:pPr>
              <w:jc w:val="both"/>
              <w:rPr>
                <w:rFonts w:ascii="Verdana" w:eastAsia="Calibri" w:hAnsi="Verdana" w:cs="Arial"/>
                <w:color w:val="000000" w:themeColor="text1"/>
                <w:highlight w:val="cyan"/>
                <w:lang w:val="es-ES_tradnl" w:eastAsia="es-ES_tradnl"/>
              </w:rPr>
            </w:pPr>
            <w:r w:rsidRPr="00DA1F59">
              <w:rPr>
                <w:rFonts w:ascii="Verdana" w:eastAsia="Calibri" w:hAnsi="Verdana" w:cs="Arial"/>
                <w:b/>
                <w:color w:val="000000" w:themeColor="text1"/>
                <w:lang w:val="es-ES_tradnl" w:eastAsia="es-ES_tradnl"/>
              </w:rPr>
              <w:t>Temas:</w:t>
            </w:r>
            <w:r w:rsidRPr="00DA1F59">
              <w:rPr>
                <w:rFonts w:ascii="Verdana" w:eastAsia="Calibri" w:hAnsi="Verdana" w:cs="Arial"/>
                <w:color w:val="000000" w:themeColor="text1"/>
                <w:lang w:val="es-ES_tradnl" w:eastAsia="es-ES_tradnl"/>
              </w:rPr>
              <w:t xml:space="preserve">                   </w:t>
            </w:r>
          </w:p>
        </w:tc>
        <w:tc>
          <w:tcPr>
            <w:tcW w:w="6100" w:type="dxa"/>
          </w:tcPr>
          <w:p w14:paraId="112BF69F" w14:textId="4C5A504E" w:rsidR="0017196E" w:rsidRPr="00DA1F59" w:rsidRDefault="00527643" w:rsidP="004F19D0">
            <w:pPr>
              <w:spacing w:line="276" w:lineRule="auto"/>
              <w:jc w:val="both"/>
              <w:rPr>
                <w:rFonts w:ascii="Verdana" w:hAnsi="Verdana" w:cs="Arial"/>
              </w:rPr>
            </w:pPr>
            <w:r w:rsidRPr="00DA1F59">
              <w:rPr>
                <w:rFonts w:ascii="Verdana" w:hAnsi="Verdana" w:cs="Arial"/>
                <w:lang w:val="es-ES"/>
              </w:rPr>
              <w:t xml:space="preserve">INHABILIDADES E INCOMPATIBILIDADES – Límites a la capacidad – Régimen / INHABILIDADES E INCOMPATIBILIDADES – Concepto / INHABILIDADES E INCOMPATIBILIDADES – Interpretación restrictiva – Principio </w:t>
            </w:r>
            <w:r w:rsidRPr="00DA1F59">
              <w:rPr>
                <w:rFonts w:ascii="Verdana" w:hAnsi="Verdana" w:cs="Arial"/>
                <w:i/>
                <w:lang w:val="es-ES"/>
              </w:rPr>
              <w:t xml:space="preserve">pro </w:t>
            </w:r>
            <w:proofErr w:type="spellStart"/>
            <w:r w:rsidRPr="00DA1F59">
              <w:rPr>
                <w:rFonts w:ascii="Verdana" w:hAnsi="Verdana" w:cs="Arial"/>
                <w:i/>
                <w:lang w:val="es-ES"/>
              </w:rPr>
              <w:t>libertate</w:t>
            </w:r>
            <w:proofErr w:type="spellEnd"/>
            <w:r w:rsidRPr="00DA1F59">
              <w:rPr>
                <w:rFonts w:ascii="Verdana" w:hAnsi="Verdana" w:cs="Arial"/>
                <w:lang w:val="es-ES"/>
              </w:rPr>
              <w:t xml:space="preserve"> </w:t>
            </w:r>
            <w:r w:rsidR="001954F5" w:rsidRPr="00DA1F59">
              <w:rPr>
                <w:rFonts w:ascii="Verdana" w:hAnsi="Verdana" w:cs="Arial"/>
                <w:lang w:val="es-ES"/>
              </w:rPr>
              <w:t xml:space="preserve">/ DOCENTE DE HORA CÁTEDRA – Naturaleza jurídica de vinculación – Calidad de servidor público – Pronunciamientos jurisprudenciales y doctrinales / </w:t>
            </w:r>
            <w:r w:rsidR="00DA4DDB" w:rsidRPr="00DA1F59">
              <w:rPr>
                <w:rFonts w:ascii="Verdana" w:hAnsi="Verdana" w:cs="Arial"/>
                <w:lang w:val="es-ES"/>
              </w:rPr>
              <w:t>INHABILIDADES E INCOMPATIBILIDADES – Ley 80 de 1993 – Artículo 8 Numeral 1, literal f) – Servidor público – Concordancia artículo 127 superior</w:t>
            </w:r>
          </w:p>
          <w:p w14:paraId="72EA7BA2" w14:textId="322BF0ED" w:rsidR="00527643" w:rsidRPr="00DA1F59" w:rsidRDefault="00527643" w:rsidP="004F19D0">
            <w:pPr>
              <w:spacing w:line="276" w:lineRule="auto"/>
              <w:jc w:val="both"/>
              <w:rPr>
                <w:rFonts w:ascii="Verdana" w:hAnsi="Verdana" w:cs="Arial"/>
                <w:bCs/>
                <w:color w:val="000000" w:themeColor="text1"/>
                <w:highlight w:val="cyan"/>
              </w:rPr>
            </w:pPr>
          </w:p>
        </w:tc>
      </w:tr>
      <w:tr w:rsidR="0017196E" w:rsidRPr="00DA1F59" w14:paraId="670C0824" w14:textId="77777777" w:rsidTr="004F19D0">
        <w:tc>
          <w:tcPr>
            <w:tcW w:w="2689" w:type="dxa"/>
          </w:tcPr>
          <w:p w14:paraId="1BB70CB7" w14:textId="77777777" w:rsidR="0017196E" w:rsidRPr="00DA1F59" w:rsidRDefault="0017196E" w:rsidP="004F19D0">
            <w:pPr>
              <w:jc w:val="both"/>
              <w:rPr>
                <w:rFonts w:ascii="Verdana" w:eastAsia="Calibri" w:hAnsi="Verdana" w:cs="Arial"/>
                <w:b/>
                <w:color w:val="000000" w:themeColor="text1"/>
                <w:lang w:val="es-ES_tradnl" w:eastAsia="es-ES_tradnl"/>
              </w:rPr>
            </w:pPr>
            <w:r w:rsidRPr="00DA1F59">
              <w:rPr>
                <w:rFonts w:ascii="Verdana" w:eastAsia="Calibri" w:hAnsi="Verdana" w:cs="Arial"/>
                <w:b/>
                <w:color w:val="000000" w:themeColor="text1"/>
                <w:lang w:val="es-ES_tradnl" w:eastAsia="es-ES_tradnl"/>
              </w:rPr>
              <w:t>Radicación:</w:t>
            </w:r>
            <w:r w:rsidRPr="00DA1F59">
              <w:rPr>
                <w:rFonts w:ascii="Verdana" w:eastAsia="Calibri" w:hAnsi="Verdana" w:cs="Arial"/>
                <w:color w:val="000000" w:themeColor="text1"/>
                <w:lang w:val="es-ES_tradnl" w:eastAsia="es-ES_tradnl"/>
              </w:rPr>
              <w:t xml:space="preserve">               </w:t>
            </w:r>
          </w:p>
        </w:tc>
        <w:tc>
          <w:tcPr>
            <w:tcW w:w="6100" w:type="dxa"/>
          </w:tcPr>
          <w:p w14:paraId="6DF4E542" w14:textId="72396E59" w:rsidR="0017196E" w:rsidRPr="00B63A76" w:rsidRDefault="0017196E" w:rsidP="004F19D0">
            <w:pPr>
              <w:jc w:val="both"/>
              <w:rPr>
                <w:rFonts w:ascii="Verdana" w:eastAsia="Calibri" w:hAnsi="Verdana" w:cs="Arial"/>
                <w:color w:val="000000" w:themeColor="text1"/>
                <w:lang w:eastAsia="es-ES_tradnl"/>
              </w:rPr>
            </w:pPr>
            <w:r w:rsidRPr="00DA1F59">
              <w:rPr>
                <w:rFonts w:ascii="Verdana" w:eastAsia="Calibri" w:hAnsi="Verdana" w:cs="Arial"/>
                <w:color w:val="000000" w:themeColor="text1"/>
                <w:lang w:val="es-ES_tradnl" w:eastAsia="es-ES_tradnl"/>
              </w:rPr>
              <w:t>Respuesta a consulta con radicado No.</w:t>
            </w:r>
            <w:r w:rsidRPr="00DA1F59">
              <w:rPr>
                <w:rFonts w:ascii="Verdana" w:hAnsi="Verdana"/>
              </w:rPr>
              <w:t xml:space="preserve"> </w:t>
            </w:r>
            <w:r w:rsidR="00D86D36" w:rsidRPr="00DA1F59">
              <w:rPr>
                <w:rFonts w:ascii="Verdana" w:eastAsia="Calibri" w:hAnsi="Verdana" w:cs="Arial"/>
                <w:color w:val="000000" w:themeColor="text1"/>
                <w:lang w:eastAsia="es-ES_tradnl"/>
              </w:rPr>
              <w:t>1_2026_03_11_003415</w:t>
            </w:r>
          </w:p>
        </w:tc>
      </w:tr>
    </w:tbl>
    <w:p w14:paraId="7F6B877D" w14:textId="77777777" w:rsidR="00B63A76" w:rsidRDefault="00B63A76" w:rsidP="0017196E">
      <w:pPr>
        <w:spacing w:after="0" w:line="276" w:lineRule="auto"/>
        <w:jc w:val="both"/>
        <w:rPr>
          <w:rFonts w:ascii="Verdana" w:eastAsia="Calibri" w:hAnsi="Verdana" w:cs="Arial"/>
          <w:color w:val="000000" w:themeColor="text1"/>
          <w:lang w:val="es-ES" w:eastAsia="es-ES"/>
        </w:rPr>
      </w:pPr>
    </w:p>
    <w:p w14:paraId="53A12DF6" w14:textId="204B2F8A" w:rsidR="0017196E" w:rsidRPr="00DA1F59" w:rsidRDefault="0017196E" w:rsidP="0017196E">
      <w:pPr>
        <w:spacing w:after="0" w:line="276" w:lineRule="auto"/>
        <w:jc w:val="both"/>
        <w:rPr>
          <w:rFonts w:ascii="Verdana" w:eastAsia="Calibri" w:hAnsi="Verdana" w:cs="Arial"/>
          <w:color w:val="000000" w:themeColor="text1"/>
          <w:lang w:val="es-ES" w:eastAsia="es-ES"/>
        </w:rPr>
      </w:pPr>
      <w:r w:rsidRPr="00DA1F59">
        <w:rPr>
          <w:rFonts w:ascii="Verdana" w:eastAsia="Calibri" w:hAnsi="Verdana" w:cs="Arial"/>
          <w:color w:val="000000" w:themeColor="text1"/>
          <w:lang w:val="es-ES" w:eastAsia="es-ES"/>
        </w:rPr>
        <w:t>Estimad</w:t>
      </w:r>
      <w:r w:rsidR="00B66142" w:rsidRPr="00DA1F59">
        <w:rPr>
          <w:rFonts w:ascii="Verdana" w:eastAsia="Calibri" w:hAnsi="Verdana" w:cs="Arial"/>
          <w:color w:val="000000" w:themeColor="text1"/>
          <w:lang w:val="es-ES" w:eastAsia="es-ES"/>
        </w:rPr>
        <w:t>o</w:t>
      </w:r>
      <w:r w:rsidRPr="00DA1F59">
        <w:rPr>
          <w:rFonts w:ascii="Verdana" w:eastAsia="Calibri" w:hAnsi="Verdana" w:cs="Arial"/>
          <w:color w:val="000000" w:themeColor="text1"/>
          <w:lang w:val="es-ES" w:eastAsia="es-ES"/>
        </w:rPr>
        <w:t xml:space="preserve"> señor </w:t>
      </w:r>
      <w:r w:rsidR="00B66142" w:rsidRPr="00DA1F59">
        <w:rPr>
          <w:rFonts w:ascii="Verdana" w:eastAsia="Calibri" w:hAnsi="Verdana" w:cs="Arial"/>
          <w:color w:val="000000" w:themeColor="text1"/>
          <w:lang w:val="es-ES" w:eastAsia="es-ES"/>
        </w:rPr>
        <w:t>Peña</w:t>
      </w:r>
      <w:r w:rsidRPr="00DA1F59">
        <w:rPr>
          <w:rFonts w:ascii="Verdana" w:eastAsia="Calibri" w:hAnsi="Verdana" w:cs="Arial"/>
          <w:color w:val="000000" w:themeColor="text1"/>
          <w:lang w:val="es-ES" w:eastAsia="es-ES"/>
        </w:rPr>
        <w:t xml:space="preserve">: </w:t>
      </w:r>
    </w:p>
    <w:p w14:paraId="696D0AE2" w14:textId="77777777" w:rsidR="0017196E" w:rsidRPr="00DA1F59" w:rsidRDefault="0017196E" w:rsidP="0017196E">
      <w:pPr>
        <w:spacing w:after="0"/>
        <w:rPr>
          <w:rFonts w:ascii="Verdana" w:eastAsia="Times New Roman" w:hAnsi="Verdana" w:cs="Segoe UI"/>
          <w:highlight w:val="cyan"/>
          <w:lang w:eastAsia="es-CO"/>
        </w:rPr>
      </w:pPr>
    </w:p>
    <w:p w14:paraId="17477C1C" w14:textId="0CA58A34" w:rsidR="0017196E" w:rsidRPr="00DA1F59" w:rsidRDefault="0017196E" w:rsidP="0017196E">
      <w:pPr>
        <w:spacing w:after="0" w:line="276" w:lineRule="auto"/>
        <w:jc w:val="both"/>
        <w:rPr>
          <w:rFonts w:ascii="Verdana" w:eastAsia="Calibri" w:hAnsi="Verdana" w:cs="Arial"/>
          <w:lang w:val="es-ES" w:eastAsia="es-ES"/>
        </w:rPr>
      </w:pPr>
      <w:r w:rsidRPr="00DA1F59">
        <w:rPr>
          <w:rFonts w:ascii="Verdana" w:eastAsia="Calibri" w:hAnsi="Verdana" w:cs="Arial"/>
          <w:lang w:val="es-ES" w:eastAsia="es-ES"/>
        </w:rPr>
        <w:t>En ejercicio de la competencia otorgada por los artículos 3, numeral 5º, y 11, numeral 8º, del Decreto Ley 4170 de 2011,</w:t>
      </w:r>
      <w:r w:rsidRPr="00DA1F59">
        <w:rPr>
          <w:rFonts w:ascii="Verdana" w:eastAsia="Arial MT" w:hAnsi="Verdana" w:cs="Arial"/>
          <w:lang w:val="es-ES" w:eastAsia="es-ES"/>
        </w:rPr>
        <w:t xml:space="preserve"> </w:t>
      </w:r>
      <w:r w:rsidRPr="00DA1F59">
        <w:rPr>
          <w:rFonts w:ascii="Verdana" w:hAnsi="Verdana" w:cs="Arial"/>
        </w:rPr>
        <w:t xml:space="preserve">así como lo establecido en el artículo 4 de la Resolución 1707 de 2018 expedida por esta Entidad, </w:t>
      </w:r>
      <w:r w:rsidRPr="00DA1F59">
        <w:rPr>
          <w:rFonts w:ascii="Verdana" w:eastAsia="Calibri" w:hAnsi="Verdana" w:cs="Arial"/>
          <w:lang w:val="es-ES" w:eastAsia="es-ES"/>
        </w:rPr>
        <w:t xml:space="preserve">la Agencia Nacional de Contratación Pública – Colombia Compra Eficiente– responde su solicitud del </w:t>
      </w:r>
      <w:r w:rsidR="00CC5E3D" w:rsidRPr="00DA1F59">
        <w:rPr>
          <w:rFonts w:ascii="Verdana" w:eastAsia="Calibri" w:hAnsi="Verdana" w:cs="Arial"/>
          <w:lang w:val="es-ES" w:eastAsia="es-ES"/>
        </w:rPr>
        <w:t>11 de marzo del 2026</w:t>
      </w:r>
      <w:r w:rsidRPr="00DA1F59">
        <w:rPr>
          <w:rFonts w:ascii="Verdana" w:eastAsia="Calibri" w:hAnsi="Verdana" w:cs="Arial"/>
          <w:lang w:val="es-ES" w:eastAsia="es-ES"/>
        </w:rPr>
        <w:t xml:space="preserve">, en la cual manifiesta lo siguiente: </w:t>
      </w:r>
    </w:p>
    <w:p w14:paraId="2C710940" w14:textId="77777777" w:rsidR="0017196E" w:rsidRPr="00DA1F59" w:rsidRDefault="0017196E" w:rsidP="0017196E">
      <w:pPr>
        <w:spacing w:after="0" w:line="276" w:lineRule="auto"/>
        <w:jc w:val="both"/>
        <w:rPr>
          <w:rFonts w:ascii="Verdana" w:eastAsia="Calibri" w:hAnsi="Verdana" w:cs="Arial"/>
          <w:highlight w:val="cyan"/>
          <w:lang w:val="es-ES" w:eastAsia="es-ES"/>
        </w:rPr>
      </w:pPr>
    </w:p>
    <w:p w14:paraId="73E453B6" w14:textId="0FD79A26" w:rsidR="0017196E" w:rsidRPr="00DA1F59" w:rsidRDefault="0017196E" w:rsidP="000923C2">
      <w:pPr>
        <w:spacing w:after="0" w:line="240" w:lineRule="auto"/>
        <w:ind w:left="709" w:right="709"/>
        <w:jc w:val="both"/>
        <w:rPr>
          <w:rFonts w:ascii="Verdana" w:hAnsi="Verdana" w:cs="Arial"/>
          <w:sz w:val="20"/>
          <w:szCs w:val="20"/>
          <w:lang w:val="es-ES"/>
        </w:rPr>
      </w:pPr>
      <w:r w:rsidRPr="00DA1F59">
        <w:rPr>
          <w:rFonts w:ascii="Verdana" w:eastAsia="Century Gothic" w:hAnsi="Verdana" w:cs="Arial"/>
          <w:sz w:val="20"/>
          <w:szCs w:val="20"/>
          <w:lang w:val="es-ES"/>
        </w:rPr>
        <w:lastRenderedPageBreak/>
        <w:t>“[…]</w:t>
      </w:r>
      <w:r w:rsidR="000923C2" w:rsidRPr="00DA1F59">
        <w:rPr>
          <w:rFonts w:ascii="Verdana" w:hAnsi="Verdana" w:cs="Arial"/>
          <w:sz w:val="20"/>
          <w:szCs w:val="20"/>
        </w:rPr>
        <w:t>De manera respetuosa solicito consultar lo siguiente: Un gobernador Indígena quien es el representante legal de un resguardo indígena actualmente ejerce simultáneamente como DOCENTE nombrado por el Departamento del Cauca, tiene la calidad de servidor público. se quiere firmar un contrato con dicho cabildo indígena, es pertinente que el delegue la firma del contrato o convenio a uno de los directivos del resguardo igualmente el seguirá siendo el representante legal del resguardo. que función cumple la inscripción de los representantes legales indígenas ante el ministerio del interior en temas de contratación estatal? se puede firmar el convenio o contrato con la delegación realizada por la junta directiva del resguardo sin que esta esté inscrita en el ministerio del interior en asuntos indígenas? muchas gracias quedamos atentos a sus respuestas</w:t>
      </w:r>
      <w:r w:rsidRPr="00DA1F59">
        <w:rPr>
          <w:rFonts w:ascii="Verdana" w:eastAsia="Century Gothic" w:hAnsi="Verdana" w:cs="Arial"/>
          <w:sz w:val="20"/>
          <w:szCs w:val="20"/>
        </w:rPr>
        <w:t>.</w:t>
      </w:r>
      <w:r w:rsidR="000923C2" w:rsidRPr="00DA1F59">
        <w:rPr>
          <w:rFonts w:ascii="Verdana" w:eastAsia="Century Gothic" w:hAnsi="Verdana" w:cs="Arial"/>
          <w:sz w:val="20"/>
          <w:szCs w:val="20"/>
          <w:lang w:val="es-ES"/>
        </w:rPr>
        <w:t xml:space="preserve"> </w:t>
      </w:r>
      <w:r w:rsidRPr="00DA1F59">
        <w:rPr>
          <w:rFonts w:ascii="Verdana" w:eastAsia="Century Gothic" w:hAnsi="Verdana" w:cs="Arial"/>
          <w:sz w:val="20"/>
          <w:szCs w:val="20"/>
          <w:lang w:val="es-ES"/>
        </w:rPr>
        <w:t>[…]”</w:t>
      </w:r>
    </w:p>
    <w:p w14:paraId="196C6275" w14:textId="77777777" w:rsidR="0017196E" w:rsidRPr="00DA1F59" w:rsidRDefault="0017196E" w:rsidP="0017196E">
      <w:pPr>
        <w:spacing w:after="0"/>
        <w:jc w:val="both"/>
        <w:rPr>
          <w:rFonts w:ascii="Verdana" w:hAnsi="Verdana" w:cs="Arial"/>
          <w:highlight w:val="cyan"/>
          <w:lang w:val="es-ES"/>
        </w:rPr>
      </w:pPr>
    </w:p>
    <w:p w14:paraId="6E09E75C" w14:textId="77777777" w:rsidR="0017196E" w:rsidRPr="00DA1F59" w:rsidRDefault="0017196E" w:rsidP="0017196E">
      <w:pPr>
        <w:spacing w:after="120" w:line="276" w:lineRule="auto"/>
        <w:ind w:firstLine="709"/>
        <w:jc w:val="both"/>
        <w:rPr>
          <w:rFonts w:ascii="Verdana" w:eastAsia="Calibri" w:hAnsi="Verdana" w:cs="Arial"/>
          <w:color w:val="000000"/>
          <w:lang w:val="es-ES_tradnl" w:eastAsia="es-ES_tradnl"/>
        </w:rPr>
      </w:pPr>
      <w:r w:rsidRPr="00DA1F59">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CFDB1DB" w14:textId="77777777" w:rsidR="0017196E" w:rsidRPr="00DA1F59" w:rsidRDefault="0017196E" w:rsidP="0017196E">
      <w:pPr>
        <w:spacing w:after="0" w:line="276" w:lineRule="auto"/>
        <w:ind w:firstLine="709"/>
        <w:jc w:val="both"/>
        <w:rPr>
          <w:rFonts w:ascii="Verdana" w:eastAsia="Calibri" w:hAnsi="Verdana" w:cs="Arial"/>
          <w:color w:val="000000"/>
          <w:lang w:val="es-ES" w:eastAsia="es-ES"/>
        </w:rPr>
      </w:pPr>
      <w:r w:rsidRPr="00DA1F59">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B9CD4BA" w14:textId="77777777" w:rsidR="0017196E" w:rsidRPr="00DA1F59" w:rsidRDefault="0017196E" w:rsidP="0017196E">
      <w:pPr>
        <w:spacing w:after="0"/>
        <w:jc w:val="both"/>
        <w:rPr>
          <w:rStyle w:val="Hipervnculo"/>
          <w:rFonts w:ascii="Verdana" w:hAnsi="Verdana"/>
          <w:lang w:val="es-ES"/>
        </w:rPr>
      </w:pPr>
    </w:p>
    <w:p w14:paraId="4A99F049" w14:textId="77777777" w:rsidR="0017196E" w:rsidRPr="00DA1F59" w:rsidRDefault="0017196E" w:rsidP="0017196E">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DA1F59">
        <w:rPr>
          <w:rFonts w:ascii="Verdana" w:eastAsia="Century Gothic" w:hAnsi="Verdana" w:cs="Arial"/>
          <w:b/>
          <w:bCs/>
        </w:rPr>
        <w:t>Problema planteado:</w:t>
      </w:r>
    </w:p>
    <w:p w14:paraId="0EA3FF28" w14:textId="77777777" w:rsidR="0017196E" w:rsidRPr="00DA1F59" w:rsidRDefault="0017196E" w:rsidP="0017196E">
      <w:pPr>
        <w:spacing w:after="0"/>
        <w:jc w:val="both"/>
        <w:rPr>
          <w:rStyle w:val="Hipervnculo"/>
          <w:rFonts w:ascii="Verdana" w:hAnsi="Verdana" w:cs="Arial"/>
          <w:highlight w:val="cyan"/>
        </w:rPr>
      </w:pPr>
    </w:p>
    <w:p w14:paraId="448064D1" w14:textId="48DB9AC5" w:rsidR="0017196E" w:rsidRPr="00DA1F59" w:rsidRDefault="0017196E" w:rsidP="0017196E">
      <w:pPr>
        <w:spacing w:after="0" w:line="276" w:lineRule="auto"/>
        <w:jc w:val="both"/>
        <w:rPr>
          <w:rFonts w:ascii="Verdana" w:eastAsia="Verdana" w:hAnsi="Verdana" w:cs="Verdana"/>
        </w:rPr>
      </w:pPr>
      <w:r w:rsidRPr="00DA1F59">
        <w:rPr>
          <w:rFonts w:ascii="Verdana" w:eastAsia="Century Gothic" w:hAnsi="Verdana" w:cs="Arial"/>
        </w:rPr>
        <w:t xml:space="preserve">De acuerdo con el contenido de su solicitud, esta Agencia resolverá el siguiente problema jurídico: </w:t>
      </w:r>
      <w:r w:rsidR="00020581" w:rsidRPr="00DA1F59">
        <w:rPr>
          <w:rFonts w:ascii="Verdana" w:eastAsia="Verdana" w:hAnsi="Verdana" w:cs="Verdana"/>
        </w:rPr>
        <w:t>¿Existe alguna inhabilidad o incompatibilidad que limite la capacidad de un docente, en calidad de servidor público, para suscribir contratos estatales?</w:t>
      </w:r>
    </w:p>
    <w:p w14:paraId="0CA8841D" w14:textId="77777777" w:rsidR="0017196E" w:rsidRPr="00DA1F59" w:rsidRDefault="0017196E" w:rsidP="0017196E">
      <w:pPr>
        <w:spacing w:after="0" w:line="276" w:lineRule="auto"/>
        <w:jc w:val="both"/>
        <w:rPr>
          <w:rStyle w:val="Hipervnculo"/>
          <w:rFonts w:ascii="Verdana" w:hAnsi="Verdana" w:cs="Arial"/>
          <w:lang w:val="es-ES"/>
        </w:rPr>
      </w:pPr>
    </w:p>
    <w:p w14:paraId="37E10C60" w14:textId="77777777" w:rsidR="0017196E" w:rsidRPr="00DA1F59" w:rsidRDefault="0017196E" w:rsidP="0017196E">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DA1F59">
        <w:rPr>
          <w:rFonts w:ascii="Verdana" w:eastAsia="Arial" w:hAnsi="Verdana" w:cs="Arial"/>
          <w:b/>
          <w:bCs/>
        </w:rPr>
        <w:lastRenderedPageBreak/>
        <w:t>Respuesta:</w:t>
      </w:r>
    </w:p>
    <w:p w14:paraId="4FA48F6C" w14:textId="77777777" w:rsidR="0017196E" w:rsidRPr="00DA1F59" w:rsidRDefault="0017196E" w:rsidP="0017196E">
      <w:pPr>
        <w:spacing w:after="0"/>
        <w:rPr>
          <w:rFonts w:ascii="Verdana" w:eastAsia="Times New Roman" w:hAnsi="Verdana" w:cs="Segoe UI"/>
          <w:lang w:eastAsia="es-CO"/>
        </w:rPr>
      </w:pPr>
    </w:p>
    <w:p w14:paraId="771F0630" w14:textId="77777777" w:rsidR="0017196E" w:rsidRPr="00DA1F59" w:rsidRDefault="0017196E" w:rsidP="0017196E">
      <w:pPr>
        <w:spacing w:after="0"/>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7196E" w:rsidRPr="00DA1F59" w14:paraId="094A8625" w14:textId="77777777" w:rsidTr="004F19D0">
        <w:tc>
          <w:tcPr>
            <w:tcW w:w="8828" w:type="dxa"/>
          </w:tcPr>
          <w:p w14:paraId="7C3D451D" w14:textId="77777777" w:rsidR="0017196E" w:rsidRPr="00DA1F59" w:rsidRDefault="0017196E" w:rsidP="004F19D0">
            <w:pPr>
              <w:spacing w:after="120" w:line="276" w:lineRule="auto"/>
              <w:jc w:val="both"/>
              <w:rPr>
                <w:rFonts w:ascii="Verdana" w:hAnsi="Verdana" w:cs="Arial"/>
                <w:color w:val="000000" w:themeColor="text1"/>
              </w:rPr>
            </w:pPr>
            <w:bookmarkStart w:id="1" w:name="_Hlk171067516"/>
            <w:r w:rsidRPr="00DA1F59">
              <w:rPr>
                <w:rFonts w:ascii="Verdana" w:hAnsi="Verdana" w:cs="Arial"/>
                <w:color w:val="000000" w:themeColor="text1"/>
              </w:rPr>
              <w:t>En respuesta al problema antes planteado esta Subdirección manifiesta lo siguiente:</w:t>
            </w:r>
          </w:p>
          <w:p w14:paraId="1B205002" w14:textId="77777777" w:rsidR="008B38E8" w:rsidRPr="00DA1F59" w:rsidRDefault="0017196E" w:rsidP="008B38E8">
            <w:pPr>
              <w:spacing w:after="120" w:line="276" w:lineRule="auto"/>
              <w:ind w:firstLine="708"/>
              <w:jc w:val="both"/>
              <w:rPr>
                <w:rFonts w:ascii="Verdana" w:eastAsia="Calibri" w:hAnsi="Verdana" w:cs="Arial"/>
              </w:rPr>
            </w:pPr>
            <w:r w:rsidRPr="00DA1F59">
              <w:rPr>
                <w:rFonts w:ascii="Verdana" w:eastAsia="Calibri" w:hAnsi="Verdana" w:cs="Arial"/>
                <w:lang w:val="es-ES"/>
              </w:rPr>
              <w:t xml:space="preserve">En </w:t>
            </w:r>
            <w:r w:rsidRPr="00DA1F59">
              <w:rPr>
                <w:rFonts w:ascii="Verdana" w:eastAsia="Calibri" w:hAnsi="Verdana" w:cs="Arial"/>
                <w:i/>
                <w:iCs/>
              </w:rPr>
              <w:t xml:space="preserve">primer lugar, </w:t>
            </w:r>
            <w:r w:rsidRPr="00DA1F59">
              <w:rPr>
                <w:rFonts w:ascii="Verdana" w:eastAsia="Calibri" w:hAnsi="Verdana" w:cs="Arial"/>
              </w:rPr>
              <w:t xml:space="preserve">debe advertirse que el régimen de inhabilidades e incompatibilidades se constituye como un conjunto de restricciones establecidas por el constituyente o por el legislador que afectan directamente la capacidad de las personas para establecer relaciones contractuales con el Estado. Sobre el particular, el artículo 8 de la ley 80 de 1993, determina de manera expresa las inhabilidades para participar en los procesos de contratación o para suscribir contratos con las Entidades Estatales. </w:t>
            </w:r>
          </w:p>
          <w:p w14:paraId="37642839" w14:textId="6D63434B" w:rsidR="008B38E8" w:rsidRPr="00DA1F59" w:rsidRDefault="008B38E8" w:rsidP="008B38E8">
            <w:pPr>
              <w:spacing w:after="120" w:line="276" w:lineRule="auto"/>
              <w:ind w:firstLine="708"/>
              <w:jc w:val="both"/>
              <w:rPr>
                <w:rFonts w:ascii="Verdana" w:hAnsi="Verdana"/>
              </w:rPr>
            </w:pPr>
            <w:r w:rsidRPr="00DA1F59">
              <w:rPr>
                <w:rFonts w:ascii="Verdana" w:hAnsi="Verdana"/>
              </w:rPr>
              <w:t xml:space="preserve">En lo que respecta al objeto de la presente consulta, debe señalarse que, conforme a lo dispuesto en el literal f) del numeral 1 del artículo 8 de la Ley 80 de 1993, los servidores públicos se encuentran inhabilitados para participar en licitaciones o concursos y para celebrar contratos con las entidades estatales. En consecuencia, tratándose de docentes que ostentan la calidad de servidores públicos, resulta aplicable la inhabilidad prevista en dicha disposición, en concordancia con el artículo 127 de la Constitución Política de 1991, el cual prohíbe a los servidores públicos celebrar contratos con </w:t>
            </w:r>
            <w:r w:rsidR="0057733F" w:rsidRPr="00DA1F59">
              <w:rPr>
                <w:rFonts w:ascii="Verdana" w:hAnsi="Verdana"/>
              </w:rPr>
              <w:t>E</w:t>
            </w:r>
            <w:r w:rsidRPr="00DA1F59">
              <w:rPr>
                <w:rFonts w:ascii="Verdana" w:hAnsi="Verdana"/>
              </w:rPr>
              <w:t xml:space="preserve">ntidades </w:t>
            </w:r>
            <w:r w:rsidR="0057733F" w:rsidRPr="00DA1F59">
              <w:rPr>
                <w:rFonts w:ascii="Verdana" w:hAnsi="Verdana"/>
              </w:rPr>
              <w:t>E</w:t>
            </w:r>
            <w:r w:rsidRPr="00DA1F59">
              <w:rPr>
                <w:rFonts w:ascii="Verdana" w:hAnsi="Verdana"/>
              </w:rPr>
              <w:t xml:space="preserve">statales, salvo las excepciones expresamente contempladas en la ley. </w:t>
            </w:r>
          </w:p>
          <w:p w14:paraId="06669287" w14:textId="41AA2542" w:rsidR="0017196E" w:rsidRPr="00DA1F59" w:rsidRDefault="0017196E" w:rsidP="008B38E8">
            <w:pPr>
              <w:spacing w:after="120" w:line="276" w:lineRule="auto"/>
              <w:ind w:firstLine="708"/>
              <w:jc w:val="both"/>
              <w:rPr>
                <w:rFonts w:ascii="Verdana" w:eastAsia="Calibri" w:hAnsi="Verdana" w:cs="Arial"/>
              </w:rPr>
            </w:pPr>
            <w:r w:rsidRPr="00DA1F59">
              <w:rPr>
                <w:rFonts w:ascii="Verdana" w:eastAsia="Calibri" w:hAnsi="Verdana" w:cs="Arial"/>
                <w:lang w:eastAsia="es-ES"/>
              </w:rPr>
              <w:t>Finalmente</w:t>
            </w:r>
            <w:r w:rsidRPr="00DA1F59">
              <w:rPr>
                <w:rFonts w:ascii="Verdana" w:eastAsia="Calibri" w:hAnsi="Verdana" w:cs="Times New Roman"/>
              </w:rPr>
              <w:t>, debe manifestarse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DA1F59">
              <w:rPr>
                <w:rFonts w:ascii="Verdana" w:hAnsi="Verdana"/>
              </w:rPr>
              <w:t xml:space="preserve"> </w:t>
            </w:r>
          </w:p>
          <w:p w14:paraId="281002DC" w14:textId="77777777" w:rsidR="0017196E" w:rsidRPr="00DA1F59" w:rsidRDefault="0017196E" w:rsidP="004F19D0">
            <w:pPr>
              <w:spacing w:after="120" w:line="276" w:lineRule="auto"/>
              <w:jc w:val="both"/>
              <w:rPr>
                <w:rFonts w:ascii="Verdana" w:hAnsi="Verdana"/>
              </w:rPr>
            </w:pPr>
            <w:r w:rsidRPr="00DA1F59">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w:t>
            </w:r>
            <w:r w:rsidRPr="00DA1F59">
              <w:rPr>
                <w:rFonts w:ascii="Verdana" w:eastAsia="Calibri" w:hAnsi="Verdana" w:cs="Times New Roman"/>
                <w:lang w:val="es-ES"/>
              </w:rPr>
              <w:lastRenderedPageBreak/>
              <w:t>juridicidad. Así cada entidad definirá la forma de adelantar su gestión contractual, sin que sea atribución de la Agencia Nacional de Contratación Pública – Colombia Compra Eficiente, validar sus actuaciones.</w:t>
            </w:r>
          </w:p>
        </w:tc>
      </w:tr>
      <w:bookmarkEnd w:id="1"/>
    </w:tbl>
    <w:p w14:paraId="0B08F337" w14:textId="77777777" w:rsidR="0017196E" w:rsidRPr="00DA1F59" w:rsidRDefault="0017196E" w:rsidP="0017196E">
      <w:pPr>
        <w:widowControl w:val="0"/>
        <w:autoSpaceDE w:val="0"/>
        <w:autoSpaceDN w:val="0"/>
        <w:spacing w:before="1" w:after="0" w:line="240" w:lineRule="auto"/>
        <w:ind w:left="360" w:hanging="360"/>
        <w:outlineLvl w:val="0"/>
        <w:rPr>
          <w:rFonts w:ascii="Verdana" w:eastAsia="Arial" w:hAnsi="Verdana" w:cs="Arial"/>
          <w:b/>
          <w:bCs/>
          <w:lang w:val="es-ES"/>
        </w:rPr>
      </w:pPr>
    </w:p>
    <w:p w14:paraId="71673A2D" w14:textId="77777777" w:rsidR="0017196E" w:rsidRPr="00DA1F59" w:rsidRDefault="0017196E" w:rsidP="0017196E">
      <w:pPr>
        <w:widowControl w:val="0"/>
        <w:autoSpaceDE w:val="0"/>
        <w:autoSpaceDN w:val="0"/>
        <w:spacing w:before="1" w:after="0" w:line="240" w:lineRule="auto"/>
        <w:ind w:left="360" w:hanging="360"/>
        <w:outlineLvl w:val="0"/>
        <w:rPr>
          <w:rFonts w:ascii="Verdana" w:eastAsia="Arial" w:hAnsi="Verdana" w:cs="Arial"/>
          <w:b/>
          <w:bCs/>
          <w:lang w:val="es-ES"/>
        </w:rPr>
      </w:pPr>
      <w:r w:rsidRPr="00DA1F59">
        <w:rPr>
          <w:rFonts w:ascii="Verdana" w:eastAsia="Arial" w:hAnsi="Verdana" w:cs="Arial"/>
          <w:b/>
          <w:bCs/>
          <w:lang w:val="es-ES"/>
        </w:rPr>
        <w:t>3. Razones de la respuesta:</w:t>
      </w:r>
    </w:p>
    <w:p w14:paraId="202FCF34" w14:textId="77777777" w:rsidR="0017196E" w:rsidRPr="00DA1F59" w:rsidRDefault="0017196E" w:rsidP="0017196E">
      <w:pPr>
        <w:spacing w:after="0" w:line="276" w:lineRule="auto"/>
        <w:jc w:val="both"/>
        <w:rPr>
          <w:rFonts w:ascii="Verdana" w:eastAsia="Calibri" w:hAnsi="Verdana" w:cs="Arial"/>
          <w:lang w:val="es-ES"/>
        </w:rPr>
      </w:pPr>
    </w:p>
    <w:p w14:paraId="652CC54C" w14:textId="77777777" w:rsidR="0017196E" w:rsidRPr="00DA1F59" w:rsidRDefault="0017196E" w:rsidP="0017196E">
      <w:pPr>
        <w:spacing w:after="0" w:line="276" w:lineRule="auto"/>
        <w:jc w:val="both"/>
        <w:rPr>
          <w:rFonts w:ascii="Verdana" w:eastAsia="Calibri" w:hAnsi="Verdana" w:cs="Arial"/>
          <w:lang w:val="es-ES"/>
        </w:rPr>
      </w:pPr>
      <w:r w:rsidRPr="00DA1F59">
        <w:rPr>
          <w:rFonts w:ascii="Verdana" w:eastAsia="Calibri" w:hAnsi="Verdana" w:cs="Arial"/>
          <w:lang w:val="es-ES"/>
        </w:rPr>
        <w:t xml:space="preserve">La respuesta anterior se sustenta en las siguientes consideraciones: </w:t>
      </w:r>
    </w:p>
    <w:p w14:paraId="12443EE0" w14:textId="77777777" w:rsidR="00C15139" w:rsidRPr="00DA1F59" w:rsidRDefault="00C15139" w:rsidP="30821638">
      <w:pPr>
        <w:spacing w:after="0"/>
        <w:rPr>
          <w:rFonts w:ascii="Verdana" w:eastAsia="Verdana" w:hAnsi="Verdana" w:cs="Verdana"/>
          <w:lang w:val="es-ES"/>
        </w:rPr>
      </w:pPr>
    </w:p>
    <w:p w14:paraId="7A6CB0A4" w14:textId="77777777" w:rsidR="00642229" w:rsidRPr="00DA1F59" w:rsidRDefault="00642229" w:rsidP="00642229">
      <w:pPr>
        <w:spacing w:after="120" w:line="276" w:lineRule="auto"/>
        <w:jc w:val="both"/>
        <w:rPr>
          <w:rFonts w:ascii="Verdana" w:eastAsia="Aptos" w:hAnsi="Verdana" w:cs="Arial"/>
        </w:rPr>
      </w:pPr>
      <w:r w:rsidRPr="00DA1F59">
        <w:rPr>
          <w:rFonts w:ascii="Verdana" w:eastAsia="Calibri" w:hAnsi="Verdana" w:cs="Arial"/>
        </w:rPr>
        <w:t xml:space="preserve">En </w:t>
      </w:r>
      <w:r w:rsidRPr="00DA1F59">
        <w:rPr>
          <w:rFonts w:ascii="Verdana" w:eastAsia="Calibri" w:hAnsi="Verdana" w:cs="Arial"/>
          <w:i/>
          <w:iCs/>
        </w:rPr>
        <w:t>primer lugar</w:t>
      </w:r>
      <w:r w:rsidRPr="00DA1F59">
        <w:rPr>
          <w:rFonts w:ascii="Verdana" w:eastAsia="Calibri" w:hAnsi="Verdana" w:cs="Arial"/>
        </w:rPr>
        <w:t>, debe advertirse que,</w:t>
      </w:r>
      <w:r w:rsidRPr="00DA1F59">
        <w:rPr>
          <w:rFonts w:ascii="Verdana" w:eastAsia="Calibri" w:hAnsi="Verdana" w:cs="Arial"/>
          <w:lang w:val="es-ES_tradnl" w:eastAsia="es-ES_tradnl"/>
        </w:rPr>
        <w:t xml:space="preserve"> e</w:t>
      </w:r>
      <w:r w:rsidRPr="00DA1F59">
        <w:rPr>
          <w:rFonts w:ascii="Verdana" w:eastAsia="Aptos" w:hAnsi="Verdana" w:cs="Arial"/>
          <w:lang w:val="es-MX"/>
        </w:rPr>
        <w:t xml:space="preserve">l régimen de </w:t>
      </w:r>
      <w:bookmarkStart w:id="2" w:name="_Hlk173850721"/>
      <w:r w:rsidRPr="00DA1F59">
        <w:rPr>
          <w:rFonts w:ascii="Verdana" w:eastAsia="Aptos" w:hAnsi="Verdana" w:cs="Arial"/>
          <w:lang w:val="es-MX"/>
        </w:rPr>
        <w:t>inhabilidades para contratar con el Estado es un conjunto de restricciones establecidas por el constituyente o por el legislador que afectan directamente la capacidad de las personas para establecer relaciones contractuales con el Estado</w:t>
      </w:r>
      <w:bookmarkEnd w:id="2"/>
      <w:r w:rsidRPr="00DA1F59">
        <w:rPr>
          <w:rFonts w:ascii="Verdana" w:eastAsia="Aptos" w:hAnsi="Verdana" w:cs="Arial"/>
          <w:lang w:val="es-MX"/>
        </w:rPr>
        <w:t xml:space="preserve">, que pueden resultar de condenas, sanciones o situaciones previamente </w:t>
      </w:r>
      <w:r w:rsidRPr="00DA1F59">
        <w:rPr>
          <w:rFonts w:ascii="Verdana" w:eastAsia="Aptos" w:hAnsi="Verdana" w:cs="Arial"/>
        </w:rPr>
        <w:t>consagradas</w:t>
      </w:r>
      <w:r w:rsidRPr="00DA1F59">
        <w:rPr>
          <w:rFonts w:ascii="Verdana" w:eastAsia="Aptos" w:hAnsi="Verdana" w:cs="Arial"/>
          <w:lang w:val="es-MX"/>
        </w:rPr>
        <w:t xml:space="preserve"> por el ordenamiento jurídico</w:t>
      </w:r>
      <w:r w:rsidRPr="00DA1F59">
        <w:rPr>
          <w:rFonts w:ascii="Verdana" w:eastAsia="Aptos" w:hAnsi="Verdana" w:cs="Arial"/>
        </w:rPr>
        <w:t>. Sobre el particular, la</w:t>
      </w:r>
      <w:r w:rsidRPr="00DA1F59">
        <w:rPr>
          <w:rFonts w:ascii="Verdana" w:eastAsia="Aptos" w:hAnsi="Verdana" w:cs="Arial"/>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DA1F59">
        <w:rPr>
          <w:rFonts w:ascii="Verdana" w:hAnsi="Verdana"/>
          <w:vertAlign w:val="superscript"/>
        </w:rPr>
        <w:footnoteReference w:id="1"/>
      </w:r>
      <w:r w:rsidRPr="00DA1F59">
        <w:rPr>
          <w:rFonts w:ascii="Verdana" w:eastAsia="Aptos" w:hAnsi="Verdana" w:cs="Arial"/>
          <w:lang w:val="es-MX"/>
        </w:rPr>
        <w:t xml:space="preserve">. </w:t>
      </w:r>
    </w:p>
    <w:p w14:paraId="36C18AAD" w14:textId="77777777" w:rsidR="00642229" w:rsidRPr="00DA1F59" w:rsidRDefault="00642229" w:rsidP="00642229">
      <w:pPr>
        <w:spacing w:after="0" w:line="276" w:lineRule="auto"/>
        <w:ind w:firstLine="708"/>
        <w:jc w:val="both"/>
        <w:rPr>
          <w:rFonts w:ascii="Verdana" w:eastAsia="Aptos" w:hAnsi="Verdana" w:cs="Arial"/>
          <w:lang w:val="es-MX"/>
        </w:rPr>
      </w:pPr>
      <w:r w:rsidRPr="00DA1F59">
        <w:rPr>
          <w:rFonts w:ascii="Verdana" w:eastAsia="Aptos" w:hAnsi="Verdana" w:cs="Arial"/>
          <w:lang w:val="es-MX"/>
        </w:rPr>
        <w:t xml:space="preserve">Así las cosas, 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39F1D581" w14:textId="77777777" w:rsidR="00642229" w:rsidRPr="00DA1F59" w:rsidRDefault="00642229" w:rsidP="00642229">
      <w:pPr>
        <w:spacing w:after="0" w:line="276" w:lineRule="auto"/>
        <w:ind w:firstLine="709"/>
        <w:jc w:val="both"/>
        <w:rPr>
          <w:rFonts w:ascii="Verdana" w:eastAsia="Aptos" w:hAnsi="Verdana" w:cs="Arial"/>
          <w:lang w:val="es-MX"/>
        </w:rPr>
      </w:pPr>
    </w:p>
    <w:p w14:paraId="0D989AB8" w14:textId="77777777" w:rsidR="00642229" w:rsidRPr="00DA1F59" w:rsidRDefault="00642229" w:rsidP="00642229">
      <w:pPr>
        <w:shd w:val="clear" w:color="auto" w:fill="FFFFFF"/>
        <w:spacing w:after="0" w:line="240" w:lineRule="auto"/>
        <w:ind w:left="709" w:right="709"/>
        <w:contextualSpacing/>
        <w:jc w:val="both"/>
        <w:rPr>
          <w:rFonts w:ascii="Verdana" w:eastAsia="Aptos" w:hAnsi="Verdana" w:cs="Arial"/>
          <w:sz w:val="20"/>
          <w:szCs w:val="20"/>
          <w:lang w:val="es-ES"/>
        </w:rPr>
      </w:pPr>
      <w:r w:rsidRPr="00DA1F59">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32744B0D" w14:textId="77777777" w:rsidR="00642229" w:rsidRPr="00DA1F59" w:rsidRDefault="00642229" w:rsidP="00642229">
      <w:pPr>
        <w:shd w:val="clear" w:color="auto" w:fill="FFFFFF"/>
        <w:spacing w:after="0" w:line="240" w:lineRule="auto"/>
        <w:ind w:left="709" w:right="709"/>
        <w:contextualSpacing/>
        <w:jc w:val="both"/>
        <w:rPr>
          <w:rFonts w:ascii="Verdana" w:eastAsia="Aptos" w:hAnsi="Verdana" w:cs="Arial"/>
          <w:sz w:val="20"/>
          <w:szCs w:val="20"/>
          <w:lang w:val="es-ES"/>
        </w:rPr>
      </w:pPr>
    </w:p>
    <w:p w14:paraId="32701321" w14:textId="77777777" w:rsidR="00642229" w:rsidRPr="00DA1F59" w:rsidRDefault="00642229" w:rsidP="00642229">
      <w:pPr>
        <w:shd w:val="clear" w:color="auto" w:fill="FFFFFF"/>
        <w:spacing w:after="0" w:line="240" w:lineRule="auto"/>
        <w:ind w:left="709" w:right="709"/>
        <w:contextualSpacing/>
        <w:jc w:val="both"/>
        <w:rPr>
          <w:rFonts w:ascii="Verdana" w:eastAsia="Aptos" w:hAnsi="Verdana" w:cs="Arial"/>
          <w:sz w:val="20"/>
          <w:szCs w:val="20"/>
          <w:lang w:val="es-ES"/>
        </w:rPr>
      </w:pPr>
      <w:r w:rsidRPr="00DA1F59">
        <w:rPr>
          <w:rFonts w:ascii="Verdana" w:eastAsia="Aptos" w:hAnsi="Verdana" w:cs="Arial"/>
          <w:sz w:val="20"/>
          <w:szCs w:val="20"/>
          <w:lang w:val="es-ES"/>
        </w:rPr>
        <w:t xml:space="preserve">Adicionalmente, toda vez que la Jurisprudencia Constitucional se ha referido a la protección del Interés General como causa que legitima la estructuración legal de las incompatibilidades e inhabilidades, se puede </w:t>
      </w:r>
      <w:r w:rsidRPr="00DA1F59">
        <w:rPr>
          <w:rFonts w:ascii="Verdana" w:eastAsia="Aptos" w:hAnsi="Verdana" w:cs="Arial"/>
          <w:sz w:val="20"/>
          <w:szCs w:val="20"/>
          <w:lang w:val="es-ES"/>
        </w:rPr>
        <w:lastRenderedPageBreak/>
        <w:t>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DA1F59">
        <w:rPr>
          <w:rFonts w:ascii="Verdana" w:eastAsia="Aptos" w:hAnsi="Verdana" w:cs="Arial"/>
          <w:sz w:val="20"/>
          <w:szCs w:val="20"/>
          <w:vertAlign w:val="superscript"/>
          <w:lang w:val="es-ES"/>
        </w:rPr>
        <w:footnoteReference w:id="2"/>
      </w:r>
      <w:r w:rsidRPr="00DA1F59">
        <w:rPr>
          <w:rFonts w:ascii="Verdana" w:eastAsia="Aptos" w:hAnsi="Verdana" w:cs="Arial"/>
          <w:sz w:val="20"/>
          <w:szCs w:val="20"/>
          <w:lang w:val="es-ES"/>
        </w:rPr>
        <w:t xml:space="preserve"> </w:t>
      </w:r>
    </w:p>
    <w:p w14:paraId="109AB7ED" w14:textId="77777777" w:rsidR="00642229" w:rsidRPr="00DA1F59" w:rsidRDefault="00642229" w:rsidP="00642229">
      <w:pPr>
        <w:spacing w:after="0" w:line="276" w:lineRule="auto"/>
        <w:jc w:val="both"/>
        <w:rPr>
          <w:rFonts w:ascii="Verdana" w:eastAsia="Aptos" w:hAnsi="Verdana" w:cs="Arial"/>
          <w:lang w:val="es-MX"/>
        </w:rPr>
      </w:pPr>
    </w:p>
    <w:p w14:paraId="1A8EB7E5" w14:textId="77777777" w:rsidR="00642229" w:rsidRPr="00DA1F59" w:rsidRDefault="00642229" w:rsidP="00642229">
      <w:pPr>
        <w:spacing w:after="120" w:line="276" w:lineRule="auto"/>
        <w:ind w:firstLine="709"/>
        <w:jc w:val="both"/>
        <w:rPr>
          <w:rFonts w:ascii="Verdana" w:eastAsia="Aptos" w:hAnsi="Verdana" w:cs="Arial"/>
          <w:lang w:val="es-MX"/>
        </w:rPr>
      </w:pPr>
      <w:r w:rsidRPr="00DA1F59">
        <w:rPr>
          <w:rFonts w:ascii="Verdana" w:eastAsia="Aptos" w:hAnsi="Verdana" w:cs="Arial"/>
          <w:lang w:val="es-MX"/>
        </w:rPr>
        <w:t xml:space="preserve">Por lo expuesto, 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703199E4" w14:textId="77777777" w:rsidR="00642229" w:rsidRPr="00DA1F59" w:rsidRDefault="00642229" w:rsidP="00642229">
      <w:pPr>
        <w:spacing w:after="120" w:line="276" w:lineRule="auto"/>
        <w:ind w:firstLine="709"/>
        <w:jc w:val="both"/>
        <w:rPr>
          <w:rFonts w:ascii="Verdana" w:eastAsia="Aptos" w:hAnsi="Verdana" w:cs="Arial"/>
        </w:rPr>
      </w:pPr>
      <w:r w:rsidRPr="00DA1F59">
        <w:rPr>
          <w:rFonts w:ascii="Verdana" w:eastAsia="Times New Roman" w:hAnsi="Verdana" w:cs="Arial"/>
          <w:lang w:eastAsia="es-MX"/>
        </w:rPr>
        <w:t>Además, la Corte Constitucional señala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r w:rsidRPr="00DA1F59">
        <w:rPr>
          <w:rFonts w:ascii="Verdana" w:hAnsi="Verdana"/>
          <w:vertAlign w:val="superscript"/>
          <w:lang w:eastAsia="es-MX"/>
        </w:rPr>
        <w:footnoteReference w:id="3"/>
      </w:r>
    </w:p>
    <w:p w14:paraId="39E9A788" w14:textId="77777777" w:rsidR="00642229" w:rsidRPr="00DA1F59" w:rsidRDefault="00642229" w:rsidP="00642229">
      <w:pPr>
        <w:spacing w:after="120" w:line="276" w:lineRule="auto"/>
        <w:ind w:firstLine="709"/>
        <w:jc w:val="both"/>
        <w:rPr>
          <w:rFonts w:ascii="Verdana" w:eastAsia="Aptos" w:hAnsi="Verdana" w:cs="Arial"/>
        </w:rPr>
      </w:pPr>
      <w:r w:rsidRPr="00DA1F59">
        <w:rPr>
          <w:rFonts w:ascii="Verdana" w:eastAsia="Times New Roman" w:hAnsi="Verdana" w:cs="Arial"/>
          <w:lang w:eastAsia="es-MX"/>
        </w:rPr>
        <w:t xml:space="preserve">Ahora bien, conviene también distinguir las fuentes de las inhabilidades, las cuales han sido clasificadas en dos (2) grupos: i) inhabilidades-sanción y </w:t>
      </w:r>
      <w:proofErr w:type="spellStart"/>
      <w:r w:rsidRPr="00DA1F59">
        <w:rPr>
          <w:rFonts w:ascii="Verdana" w:eastAsia="Times New Roman" w:hAnsi="Verdana" w:cs="Arial"/>
          <w:lang w:eastAsia="es-MX"/>
        </w:rPr>
        <w:t>ii</w:t>
      </w:r>
      <w:proofErr w:type="spellEnd"/>
      <w:r w:rsidRPr="00DA1F59">
        <w:rPr>
          <w:rFonts w:ascii="Verdana" w:eastAsia="Times New Roman" w:hAnsi="Verdana" w:cs="Arial"/>
          <w:lang w:eastAsia="es-MX"/>
        </w:rPr>
        <w:t xml:space="preserve">) inhabilidades-requisito. En el </w:t>
      </w:r>
      <w:r w:rsidRPr="00DA1F59">
        <w:rPr>
          <w:rFonts w:ascii="Verdana" w:eastAsia="Times New Roman" w:hAnsi="Verdana" w:cs="Arial"/>
          <w:i/>
          <w:iCs/>
          <w:lang w:eastAsia="es-MX"/>
        </w:rPr>
        <w:t>primer</w:t>
      </w:r>
      <w:r w:rsidRPr="00DA1F59">
        <w:rPr>
          <w:rFonts w:ascii="Verdana" w:eastAsia="Times New Roman" w:hAnsi="Verdana" w:cs="Arial"/>
          <w:lang w:eastAsia="es-MX"/>
        </w:rPr>
        <w:t xml:space="preserve"> grupo se encuentran las inhabilidades que surgen como consecuencia de un proceso sancionatorio, en los ámbitos penal, disciplinario, contravencional o de pérdida de investidura. En el </w:t>
      </w:r>
      <w:r w:rsidRPr="00DA1F59">
        <w:rPr>
          <w:rFonts w:ascii="Verdana" w:eastAsia="Times New Roman" w:hAnsi="Verdana" w:cs="Arial"/>
          <w:i/>
          <w:iCs/>
          <w:lang w:eastAsia="es-MX"/>
        </w:rPr>
        <w:t>segundo</w:t>
      </w:r>
      <w:r w:rsidRPr="00DA1F59">
        <w:rPr>
          <w:rFonts w:ascii="Verdana" w:eastAsia="Times New Roman" w:hAnsi="Verdana" w:cs="Arial"/>
          <w:lang w:eastAsia="es-MX"/>
        </w:rPr>
        <w:t xml:space="preserve"> grupo están aquellas que no devienen de un proceso sancionatorio, sino de condiciones propias de la persona y garantizan la moralidad, la imparcialidad, la eficacia y la transparencia</w:t>
      </w:r>
      <w:r w:rsidRPr="00DA1F59">
        <w:rPr>
          <w:rFonts w:ascii="Verdana" w:hAnsi="Verdana"/>
          <w:vertAlign w:val="superscript"/>
          <w:lang w:eastAsia="es-MX"/>
        </w:rPr>
        <w:footnoteReference w:id="4"/>
      </w:r>
      <w:r w:rsidRPr="00DA1F59">
        <w:rPr>
          <w:rFonts w:ascii="Verdana" w:eastAsia="Times New Roman" w:hAnsi="Verdana" w:cs="Arial"/>
          <w:lang w:eastAsia="es-MX"/>
        </w:rPr>
        <w:t xml:space="preserve">. </w:t>
      </w:r>
    </w:p>
    <w:p w14:paraId="53CCCEDE" w14:textId="77777777" w:rsidR="00642229" w:rsidRPr="00DA1F59" w:rsidRDefault="00642229" w:rsidP="00642229">
      <w:pPr>
        <w:spacing w:after="120" w:line="276" w:lineRule="auto"/>
        <w:ind w:firstLine="709"/>
        <w:jc w:val="both"/>
        <w:rPr>
          <w:rFonts w:ascii="Verdana" w:eastAsia="Aptos" w:hAnsi="Verdana" w:cs="Arial"/>
        </w:rPr>
      </w:pPr>
      <w:r w:rsidRPr="00DA1F59">
        <w:rPr>
          <w:rFonts w:ascii="Verdana" w:eastAsia="Times New Roman" w:hAnsi="Verdana" w:cs="Arial"/>
          <w:lang w:eastAsia="es-MX"/>
        </w:rPr>
        <w:lastRenderedPageBreak/>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7328F8E8" w14:textId="77777777" w:rsidR="00642229" w:rsidRPr="00DA1F59" w:rsidRDefault="00642229" w:rsidP="00642229">
      <w:pPr>
        <w:spacing w:after="120" w:line="276" w:lineRule="auto"/>
        <w:ind w:firstLine="709"/>
        <w:jc w:val="both"/>
        <w:rPr>
          <w:rFonts w:ascii="Verdana" w:eastAsia="Aptos" w:hAnsi="Verdana" w:cs="Arial"/>
          <w:lang w:val="es-ES_tradnl"/>
        </w:rPr>
      </w:pPr>
      <w:r w:rsidRPr="00DA1F59">
        <w:rPr>
          <w:rFonts w:ascii="Verdana" w:eastAsia="Calibri" w:hAnsi="Verdana" w:cs="Arial"/>
          <w:color w:val="000000"/>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DA1F59">
        <w:rPr>
          <w:rFonts w:ascii="Verdana" w:eastAsia="Calibri" w:hAnsi="Verdana" w:cs="Arial"/>
          <w:i/>
          <w:iCs/>
          <w:color w:val="000000"/>
          <w:lang w:val="es-ES_tradnl" w:eastAsia="es-ES_tradnl"/>
        </w:rPr>
        <w:t>restrictiva</w:t>
      </w:r>
      <w:r w:rsidRPr="00DA1F59">
        <w:rPr>
          <w:rFonts w:ascii="Verdana" w:eastAsia="Aptos" w:hAnsi="Verdana" w:cs="Times New Roman"/>
          <w:vertAlign w:val="superscript"/>
        </w:rPr>
        <w:footnoteReference w:id="5"/>
      </w:r>
      <w:r w:rsidRPr="00DA1F59">
        <w:rPr>
          <w:rFonts w:ascii="Verdana" w:eastAsia="Calibri" w:hAnsi="Verdana" w:cs="Arial"/>
          <w:color w:val="000000"/>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05E1C975" w14:textId="77777777" w:rsidR="00642229" w:rsidRPr="00DA1F59" w:rsidRDefault="00642229" w:rsidP="00642229">
      <w:pPr>
        <w:spacing w:after="120" w:line="276" w:lineRule="auto"/>
        <w:ind w:firstLine="709"/>
        <w:jc w:val="both"/>
        <w:rPr>
          <w:rFonts w:ascii="Verdana" w:eastAsia="Aptos" w:hAnsi="Verdana" w:cs="Arial"/>
          <w:lang w:val="es-ES_tradnl"/>
        </w:rPr>
      </w:pPr>
      <w:r w:rsidRPr="00DA1F59">
        <w:rPr>
          <w:rFonts w:ascii="Verdana" w:eastAsia="Calibri" w:hAnsi="Verdana" w:cs="Arial"/>
          <w:color w:val="000000"/>
          <w:lang w:val="es-ES_tradnl" w:eastAsia="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DA1F59">
        <w:rPr>
          <w:rFonts w:ascii="Verdana" w:eastAsia="Aptos" w:hAnsi="Verdana" w:cs="Times New Roman"/>
          <w:vertAlign w:val="superscript"/>
        </w:rPr>
        <w:footnoteReference w:id="6"/>
      </w:r>
      <w:r w:rsidRPr="00DA1F59">
        <w:rPr>
          <w:rFonts w:ascii="Verdana" w:eastAsia="Calibri" w:hAnsi="Verdana" w:cs="Arial"/>
          <w:color w:val="000000"/>
          <w:lang w:val="es-ES_tradnl" w:eastAsia="es-ES_tradnl"/>
        </w:rPr>
        <w:t xml:space="preserve">. Por su parte, el Consejo de Estado ha acogido también este criterio, considerando –como expresa la Sala de Consulta y Servicio Civil– que “La interpretación restrictiva de las normas que establecen inhabilidades constituye una aplicación </w:t>
      </w:r>
      <w:r w:rsidRPr="00DA1F59">
        <w:rPr>
          <w:rFonts w:ascii="Verdana" w:eastAsia="Calibri" w:hAnsi="Verdana" w:cs="Arial"/>
          <w:color w:val="000000"/>
          <w:lang w:val="es-ES_tradnl" w:eastAsia="es-ES_tradnl"/>
        </w:rPr>
        <w:lastRenderedPageBreak/>
        <w:t>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DA1F59">
        <w:rPr>
          <w:rFonts w:ascii="Verdana" w:eastAsia="Aptos" w:hAnsi="Verdana" w:cs="Times New Roman"/>
          <w:vertAlign w:val="superscript"/>
        </w:rPr>
        <w:footnoteReference w:id="7"/>
      </w:r>
      <w:r w:rsidRPr="00DA1F59">
        <w:rPr>
          <w:rFonts w:ascii="Verdana" w:eastAsia="Calibri" w:hAnsi="Verdana" w:cs="Arial"/>
          <w:color w:val="000000"/>
          <w:lang w:val="es-ES_tradnl" w:eastAsia="es-ES_tradnl"/>
        </w:rPr>
        <w:t xml:space="preserve">. </w:t>
      </w:r>
    </w:p>
    <w:p w14:paraId="42AA0F29" w14:textId="77777777" w:rsidR="00D313CF" w:rsidRPr="00DA1F59" w:rsidRDefault="00642229" w:rsidP="00D313CF">
      <w:pPr>
        <w:spacing w:after="120" w:line="276" w:lineRule="auto"/>
        <w:ind w:firstLine="709"/>
        <w:jc w:val="both"/>
        <w:rPr>
          <w:rFonts w:ascii="Verdana" w:eastAsia="Aptos" w:hAnsi="Verdana" w:cs="Arial"/>
        </w:rPr>
      </w:pPr>
      <w:r w:rsidRPr="00DA1F59">
        <w:rPr>
          <w:rFonts w:ascii="Verdana" w:eastAsia="Calibri" w:hAnsi="Verdana" w:cs="Arial"/>
          <w:color w:val="000000"/>
          <w:kern w:val="2"/>
          <w:lang w:eastAsia="es-ES"/>
        </w:rPr>
        <w:t xml:space="preserve">Como se aprecia, el principio pro </w:t>
      </w:r>
      <w:proofErr w:type="spellStart"/>
      <w:r w:rsidRPr="00DA1F59">
        <w:rPr>
          <w:rFonts w:ascii="Verdana" w:eastAsia="Calibri" w:hAnsi="Verdana" w:cs="Arial"/>
          <w:color w:val="000000"/>
          <w:kern w:val="2"/>
          <w:lang w:eastAsia="es-ES"/>
        </w:rPr>
        <w:t>libertate</w:t>
      </w:r>
      <w:proofErr w:type="spellEnd"/>
      <w:r w:rsidRPr="00DA1F59">
        <w:rPr>
          <w:rFonts w:ascii="Verdana" w:eastAsia="Calibri" w:hAnsi="Verdana" w:cs="Arial"/>
          <w:color w:val="000000"/>
          <w:kern w:val="2"/>
          <w:lang w:eastAsia="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27F08783" w14:textId="1E6BD8FC" w:rsidR="00B0300E" w:rsidRPr="00DA1F59" w:rsidRDefault="00D313CF" w:rsidP="000F2564">
      <w:pPr>
        <w:spacing w:after="120" w:line="276" w:lineRule="auto"/>
        <w:ind w:firstLine="709"/>
        <w:jc w:val="both"/>
        <w:rPr>
          <w:rFonts w:ascii="Verdana" w:eastAsia="Aptos" w:hAnsi="Verdana" w:cs="Arial"/>
        </w:rPr>
      </w:pPr>
      <w:r w:rsidRPr="00DA1F59">
        <w:rPr>
          <w:rFonts w:ascii="Verdana" w:eastAsia="Aptos" w:hAnsi="Verdana" w:cs="Arial"/>
        </w:rPr>
        <w:t xml:space="preserve">En </w:t>
      </w:r>
      <w:r w:rsidRPr="00DA1F59">
        <w:rPr>
          <w:rFonts w:ascii="Verdana" w:eastAsia="Aptos" w:hAnsi="Verdana" w:cs="Arial"/>
          <w:i/>
          <w:iCs/>
        </w:rPr>
        <w:t>segundo lugar,</w:t>
      </w:r>
      <w:r w:rsidRPr="00DA1F59">
        <w:rPr>
          <w:rFonts w:ascii="Verdana" w:eastAsia="Aptos" w:hAnsi="Verdana" w:cs="Arial"/>
        </w:rPr>
        <w:t xml:space="preserve"> teniendo en cuenta el objeto de la consulta, es menester indicar que,</w:t>
      </w:r>
      <w:r w:rsidR="000F2564" w:rsidRPr="00DA1F59">
        <w:rPr>
          <w:rFonts w:ascii="Verdana" w:eastAsia="Aptos" w:hAnsi="Verdana" w:cs="Arial"/>
        </w:rPr>
        <w:t xml:space="preserve"> el literal f) del numeral 1° del artículo 8° de la Ley 80 de 1993</w:t>
      </w:r>
      <w:r w:rsidR="00CC68FA" w:rsidRPr="00DA1F59">
        <w:rPr>
          <w:rFonts w:ascii="Verdana" w:eastAsia="Aptos" w:hAnsi="Verdana" w:cs="Arial"/>
        </w:rPr>
        <w:t xml:space="preserve"> </w:t>
      </w:r>
      <w:r w:rsidR="000F2564" w:rsidRPr="00DA1F59">
        <w:rPr>
          <w:rFonts w:ascii="Verdana" w:eastAsia="Aptos" w:hAnsi="Verdana" w:cs="Arial"/>
        </w:rPr>
        <w:t xml:space="preserve">establece como causal de inhabilidad para celebrar contratos con </w:t>
      </w:r>
      <w:r w:rsidR="00CC68FA" w:rsidRPr="00DA1F59">
        <w:rPr>
          <w:rFonts w:ascii="Verdana" w:eastAsia="Aptos" w:hAnsi="Verdana" w:cs="Arial"/>
        </w:rPr>
        <w:t>E</w:t>
      </w:r>
      <w:r w:rsidR="000F2564" w:rsidRPr="00DA1F59">
        <w:rPr>
          <w:rFonts w:ascii="Verdana" w:eastAsia="Aptos" w:hAnsi="Verdana" w:cs="Arial"/>
        </w:rPr>
        <w:t xml:space="preserve">ntidades </w:t>
      </w:r>
      <w:r w:rsidR="00CC68FA" w:rsidRPr="00DA1F59">
        <w:rPr>
          <w:rFonts w:ascii="Verdana" w:eastAsia="Aptos" w:hAnsi="Verdana" w:cs="Arial"/>
        </w:rPr>
        <w:t>E</w:t>
      </w:r>
      <w:r w:rsidR="000F2564" w:rsidRPr="00DA1F59">
        <w:rPr>
          <w:rFonts w:ascii="Verdana" w:eastAsia="Aptos" w:hAnsi="Verdana" w:cs="Arial"/>
        </w:rPr>
        <w:t xml:space="preserve">statales el hecho de que una persona tenga la calidad de servidor público. Esta disposición tiene una finalidad clara </w:t>
      </w:r>
      <w:r w:rsidR="00504E1C" w:rsidRPr="00DA1F59">
        <w:rPr>
          <w:rFonts w:ascii="Verdana" w:eastAsia="Aptos" w:hAnsi="Verdana" w:cs="Arial"/>
        </w:rPr>
        <w:t>la cual es</w:t>
      </w:r>
      <w:r w:rsidR="000F2564" w:rsidRPr="00DA1F59">
        <w:rPr>
          <w:rFonts w:ascii="Verdana" w:eastAsia="Aptos" w:hAnsi="Verdana" w:cs="Arial"/>
        </w:rPr>
        <w:t xml:space="preserve"> preservar la moralidad administrativa</w:t>
      </w:r>
      <w:r w:rsidR="00416C04" w:rsidRPr="00DA1F59">
        <w:rPr>
          <w:rStyle w:val="Refdenotaalpie"/>
          <w:rFonts w:ascii="Verdana" w:eastAsia="Aptos" w:hAnsi="Verdana" w:cs="Arial"/>
        </w:rPr>
        <w:footnoteReference w:id="8"/>
      </w:r>
      <w:r w:rsidR="000F2564" w:rsidRPr="00DA1F59">
        <w:rPr>
          <w:rFonts w:ascii="Verdana" w:eastAsia="Aptos" w:hAnsi="Verdana" w:cs="Arial"/>
        </w:rPr>
        <w:t xml:space="preserve">, la imparcialidad en el ejercicio de la función pública y la transparencia en los procesos de contratación estatal. En efecto, el legislador consideró que quien ostenta la condición de servidor público se encuentra en una posición de privilegio frente al Estado, </w:t>
      </w:r>
      <w:r w:rsidR="00653F44" w:rsidRPr="00DA1F59">
        <w:rPr>
          <w:rFonts w:ascii="Verdana" w:eastAsia="Aptos" w:hAnsi="Verdana" w:cs="Arial"/>
        </w:rPr>
        <w:t>lo que le permite</w:t>
      </w:r>
      <w:r w:rsidR="000F2564" w:rsidRPr="00DA1F59">
        <w:rPr>
          <w:rFonts w:ascii="Verdana" w:eastAsia="Aptos" w:hAnsi="Verdana" w:cs="Arial"/>
        </w:rPr>
        <w:t xml:space="preserve"> obtener ventajas indebidas o generar conflictos de interés al participar, simultáneamente, como contratista o representante de un contratista frente a las entidades del sector público. De allí que la restricción no sea meramente formal, sino que responde a una concepción material de probidad en el ejercicio de lo público.</w:t>
      </w:r>
    </w:p>
    <w:p w14:paraId="5FAE0037" w14:textId="0A2C9016" w:rsidR="008824A8" w:rsidRPr="00DA1F59" w:rsidRDefault="00FC31F0" w:rsidP="000F2564">
      <w:pPr>
        <w:spacing w:after="120" w:line="276" w:lineRule="auto"/>
        <w:ind w:firstLine="709"/>
        <w:jc w:val="both"/>
        <w:rPr>
          <w:rFonts w:ascii="Verdana" w:eastAsia="Aptos" w:hAnsi="Verdana" w:cs="Arial"/>
        </w:rPr>
      </w:pPr>
      <w:r w:rsidRPr="00DA1F59">
        <w:rPr>
          <w:rFonts w:ascii="Verdana" w:eastAsia="Aptos" w:hAnsi="Verdana" w:cs="Arial"/>
        </w:rPr>
        <w:t>En armonía con lo expuesto al inicio del presente concepto e</w:t>
      </w:r>
      <w:r w:rsidR="008824A8" w:rsidRPr="00DA1F59">
        <w:rPr>
          <w:rFonts w:ascii="Verdana" w:eastAsia="Aptos" w:hAnsi="Verdana" w:cs="Arial"/>
        </w:rPr>
        <w:t xml:space="preserve">l alcance de esta inhabilidad es amplio y no admite interpretación restrictiva. </w:t>
      </w:r>
      <w:r w:rsidR="00D235E2" w:rsidRPr="00DA1F59">
        <w:rPr>
          <w:rFonts w:ascii="Verdana" w:eastAsia="Aptos" w:hAnsi="Verdana" w:cs="Arial"/>
        </w:rPr>
        <w:t>Así las cosas, l</w:t>
      </w:r>
      <w:r w:rsidR="008824A8" w:rsidRPr="00DA1F59">
        <w:rPr>
          <w:rFonts w:ascii="Verdana" w:eastAsia="Aptos" w:hAnsi="Verdana" w:cs="Arial"/>
        </w:rPr>
        <w:t xml:space="preserve">a norma no distingue entre servidores públicos de distintas ramas del poder público, ni entre quienes ejercen funciones de contratación directa y quienes desempeñan otros roles al interior de la administración. Basta que la persona reúna la condición de servidor público en los términos del artículo 123 de la Constitución Política —esto es, que sea miembro de corporación pública, </w:t>
      </w:r>
      <w:r w:rsidR="008824A8" w:rsidRPr="00DA1F59">
        <w:rPr>
          <w:rFonts w:ascii="Verdana" w:eastAsia="Aptos" w:hAnsi="Verdana" w:cs="Arial"/>
        </w:rPr>
        <w:lastRenderedPageBreak/>
        <w:t>empleado o trabajador del Estado— para que opere la inhabilidad. Esta interpretación ha sido reiterada por el Consejo de Estado, que ha precisado que la inhabilidad no exige una relación directa entre el cargo del servidor y la entidad contratante, sino que se configura por la sola concurrencia de la condición subjetiva prevista en la norma</w:t>
      </w:r>
      <w:r w:rsidR="0039601A" w:rsidRPr="00DA1F59">
        <w:rPr>
          <w:rStyle w:val="Refdenotaalpie"/>
          <w:rFonts w:ascii="Verdana" w:eastAsia="Aptos" w:hAnsi="Verdana" w:cs="Arial"/>
        </w:rPr>
        <w:footnoteReference w:id="9"/>
      </w:r>
      <w:r w:rsidR="008824A8" w:rsidRPr="00DA1F59">
        <w:rPr>
          <w:rFonts w:ascii="Verdana" w:eastAsia="Aptos" w:hAnsi="Verdana" w:cs="Arial"/>
        </w:rPr>
        <w:t>. Así las cosas, el campo de aplicación del literal f) cubre a todo servidor público que pretenda celebrar, directa o indirectamente, un contrato estatal, salvo las excepciones taxativamente señaladas en la ley.</w:t>
      </w:r>
    </w:p>
    <w:p w14:paraId="0DC0B32F" w14:textId="77777777" w:rsidR="001905F3" w:rsidRPr="00DA1F59" w:rsidRDefault="00B524D4" w:rsidP="001905F3">
      <w:pPr>
        <w:spacing w:after="120" w:line="276" w:lineRule="auto"/>
        <w:ind w:firstLine="709"/>
        <w:jc w:val="both"/>
        <w:rPr>
          <w:rFonts w:ascii="Verdana" w:eastAsia="Calibri" w:hAnsi="Verdana" w:cs="Arial"/>
          <w:bCs/>
          <w:color w:val="000000" w:themeColor="text1"/>
        </w:rPr>
      </w:pPr>
      <w:r w:rsidRPr="00DA1F59">
        <w:rPr>
          <w:rFonts w:ascii="Verdana" w:eastAsia="Calibri" w:hAnsi="Verdana" w:cs="Arial"/>
          <w:bCs/>
          <w:color w:val="000000" w:themeColor="text1"/>
        </w:rPr>
        <w:t>Ahora bien, en lo que respecta a la calidad de los docentes, resulta necesario evaluar en cada caso concreto la naturaleza de la vinculación de los docentes de cátedra en las instituciones de educación superior, con el fin de establecer si, en virtud de dicha vinculación, puede configurarse alguna de las causales de inhabilidad o incompatibilidad en la ejecución de contratos estatales. Esta valoración debe realizarse más allá de los pronunciamientos generales sobre las inhabilidades e incompatibilidades aplicables a los servidores públicos, pues corresponde a las autoridades competentes resolver las situaciones particulares: al Departamento Administrativo de la Función Pública – DAFP, en lo relativo al régimen de inhabilidades e incompatibilidades, y a la Procuraduría General de la Nación – PGN, en lo concerniente al ámbito del derecho disciplinario.</w:t>
      </w:r>
    </w:p>
    <w:p w14:paraId="482A4813" w14:textId="1461FA01" w:rsidR="00A81107" w:rsidRPr="00DA1F59" w:rsidRDefault="001905F3" w:rsidP="001905F3">
      <w:pPr>
        <w:spacing w:after="120" w:line="276" w:lineRule="auto"/>
        <w:ind w:firstLine="709"/>
        <w:jc w:val="both"/>
        <w:rPr>
          <w:rFonts w:ascii="Verdana" w:eastAsia="Calibri" w:hAnsi="Verdana" w:cs="Arial"/>
          <w:bCs/>
          <w:color w:val="000000" w:themeColor="text1"/>
        </w:rPr>
      </w:pPr>
      <w:r w:rsidRPr="00DA1F59">
        <w:rPr>
          <w:rFonts w:ascii="Verdana" w:eastAsia="Calibri" w:hAnsi="Verdana" w:cs="Arial"/>
          <w:bCs/>
          <w:color w:val="000000" w:themeColor="text1"/>
        </w:rPr>
        <w:t xml:space="preserve">Sin embargo, para efectos de realizar consideraciones generales sobre la materia, conviene señalar que la Ley 30 de 1992, “por la cual se organiza el servicio público de la Educación Superior”, fundamentada en el principio constitucional de autonomía universitaria consagrado en el artículo 69 de la Constitución Política de 1991, reguló en su Capítulo Tercero lo relativo al personal de las instituciones de educación superior. En lo que interesa a la presente consulta, dicha norma estableció tres categorías de docentes según la forma de vinculación: i) los profesores que adquieren la calidad de empleados públicos, designados por libre nombramiento y remoción, quienes ingresan mediante concurso de méritos y se encuentran sujetos a un régimen especial; </w:t>
      </w:r>
      <w:proofErr w:type="spellStart"/>
      <w:r w:rsidRPr="00DA1F59">
        <w:rPr>
          <w:rFonts w:ascii="Verdana" w:eastAsia="Calibri" w:hAnsi="Verdana" w:cs="Arial"/>
          <w:bCs/>
          <w:color w:val="000000" w:themeColor="text1"/>
        </w:rPr>
        <w:t>ii</w:t>
      </w:r>
      <w:proofErr w:type="spellEnd"/>
      <w:r w:rsidRPr="00DA1F59">
        <w:rPr>
          <w:rFonts w:ascii="Verdana" w:eastAsia="Calibri" w:hAnsi="Verdana" w:cs="Arial"/>
          <w:bCs/>
          <w:color w:val="000000" w:themeColor="text1"/>
        </w:rPr>
        <w:t xml:space="preserve">) los profesores de cátedra, que antes del pronunciamiento de la Corte Constitucional sobre la </w:t>
      </w:r>
      <w:proofErr w:type="spellStart"/>
      <w:r w:rsidRPr="00DA1F59">
        <w:rPr>
          <w:rFonts w:ascii="Verdana" w:eastAsia="Calibri" w:hAnsi="Verdana" w:cs="Arial"/>
          <w:bCs/>
          <w:color w:val="000000" w:themeColor="text1"/>
        </w:rPr>
        <w:t>exequibilidad</w:t>
      </w:r>
      <w:proofErr w:type="spellEnd"/>
      <w:r w:rsidRPr="00DA1F59">
        <w:rPr>
          <w:rFonts w:ascii="Verdana" w:eastAsia="Calibri" w:hAnsi="Verdana" w:cs="Arial"/>
          <w:bCs/>
          <w:color w:val="000000" w:themeColor="text1"/>
        </w:rPr>
        <w:t xml:space="preserve"> del artículo 73 se vinculaban mediante contratos de prestación de servicios celebrados por períodos académicos; y </w:t>
      </w:r>
      <w:proofErr w:type="spellStart"/>
      <w:r w:rsidRPr="00DA1F59">
        <w:rPr>
          <w:rFonts w:ascii="Verdana" w:eastAsia="Calibri" w:hAnsi="Verdana" w:cs="Arial"/>
          <w:bCs/>
          <w:color w:val="000000" w:themeColor="text1"/>
        </w:rPr>
        <w:t>iii</w:t>
      </w:r>
      <w:proofErr w:type="spellEnd"/>
      <w:r w:rsidRPr="00DA1F59">
        <w:rPr>
          <w:rFonts w:ascii="Verdana" w:eastAsia="Calibri" w:hAnsi="Verdana" w:cs="Arial"/>
          <w:bCs/>
          <w:color w:val="000000" w:themeColor="text1"/>
        </w:rPr>
        <w:t xml:space="preserve">) </w:t>
      </w:r>
      <w:r w:rsidRPr="00DA1F59">
        <w:rPr>
          <w:rFonts w:ascii="Verdana" w:eastAsia="Calibri" w:hAnsi="Verdana" w:cs="Arial"/>
          <w:bCs/>
          <w:color w:val="000000" w:themeColor="text1"/>
        </w:rPr>
        <w:lastRenderedPageBreak/>
        <w:t>los profesores ocasionales, definidos en el artículo 74, cuya vinculación tiene carácter transitorio.</w:t>
      </w:r>
    </w:p>
    <w:p w14:paraId="5D5B746B" w14:textId="4F09D906" w:rsidR="00A81107" w:rsidRPr="00DA1F59" w:rsidRDefault="00345746" w:rsidP="000F2564">
      <w:pPr>
        <w:spacing w:after="120" w:line="276" w:lineRule="auto"/>
        <w:ind w:firstLine="709"/>
        <w:jc w:val="both"/>
        <w:rPr>
          <w:rFonts w:ascii="Verdana" w:eastAsia="Calibri" w:hAnsi="Verdana" w:cs="Arial"/>
          <w:bCs/>
          <w:color w:val="000000" w:themeColor="text1"/>
        </w:rPr>
      </w:pPr>
      <w:r w:rsidRPr="00DA1F59">
        <w:rPr>
          <w:rFonts w:ascii="Verdana" w:eastAsia="Calibri" w:hAnsi="Verdana" w:cs="Arial"/>
          <w:bCs/>
          <w:color w:val="000000" w:themeColor="text1"/>
        </w:rPr>
        <w:t>En conclusión, debe resaltarse que el literal f) del numeral 1 del artículo 8 de la Ley 80 de 1993 establece una inhabilidad expresa para los servidores públicos, consistente en la prohibición de participar en licitaciones o concursos y de celebrar contratos con entidades estatales. En consecuencia, tratándose de docentes que ostentan la calidad de servidores públicos, dicha restricción resulta plenamente aplicable, en armonía con lo dispuesto en el artículo 127 de la Constitución Política de 1991, que consagra la prohibición general de contratar con el Estado, salvo las excepciones previstas en la ley. De esta manera, la normativa busca preservar la transparencia y la imparcialidad en la contratación pública, evitando posibles conflictos de interés derivados de la doble condición de servidor y contratista estatal.</w:t>
      </w:r>
    </w:p>
    <w:p w14:paraId="1C4AFE4A" w14:textId="43597F49" w:rsidR="00A81107" w:rsidRPr="00DA1F59" w:rsidRDefault="00364798" w:rsidP="00364798">
      <w:pPr>
        <w:spacing w:after="240" w:line="276" w:lineRule="auto"/>
        <w:jc w:val="both"/>
        <w:rPr>
          <w:rFonts w:ascii="Verdana" w:eastAsia="Calibri" w:hAnsi="Verdana" w:cs="Times New Roman"/>
        </w:rPr>
      </w:pPr>
      <w:r w:rsidRPr="00DA1F59">
        <w:rPr>
          <w:rFonts w:ascii="Verdana" w:hAnsi="Verdana"/>
        </w:rPr>
        <w:tab/>
      </w:r>
      <w:r w:rsidRPr="00DA1F59">
        <w:rPr>
          <w:rFonts w:ascii="Verdana" w:eastAsia="Calibri" w:hAnsi="Verdana" w:cs="Arial"/>
          <w:lang w:eastAsia="es-ES"/>
        </w:rPr>
        <w:t>Finalmente</w:t>
      </w:r>
      <w:r w:rsidRPr="00DA1F59">
        <w:rPr>
          <w:rFonts w:ascii="Verdana" w:eastAsia="Calibri" w:hAnsi="Verdana" w:cs="Times New Roman"/>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18B7B0A" w14:textId="77777777" w:rsidR="00B0300E" w:rsidRPr="00DA1F59" w:rsidRDefault="00B0300E" w:rsidP="00B0300E">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DA1F59">
        <w:rPr>
          <w:rFonts w:ascii="Verdana" w:eastAsia="Century Gothic" w:hAnsi="Verdana" w:cs="Century Gothic"/>
          <w:b/>
          <w:bCs/>
        </w:rPr>
        <w:t>Referencias normativas, jurisprudenciales y otras fuentes:</w:t>
      </w:r>
    </w:p>
    <w:p w14:paraId="6EFC0F4A" w14:textId="77777777" w:rsidR="00B0300E" w:rsidRPr="00DA1F59" w:rsidRDefault="00B0300E" w:rsidP="00B0300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300E" w:rsidRPr="00DA1F59" w14:paraId="1DC5303D" w14:textId="77777777" w:rsidTr="004F19D0">
        <w:trPr>
          <w:trHeight w:val="870"/>
        </w:trPr>
        <w:tc>
          <w:tcPr>
            <w:tcW w:w="8647" w:type="dxa"/>
          </w:tcPr>
          <w:p w14:paraId="56E36FDC" w14:textId="7C17093C" w:rsidR="00B0300E" w:rsidRPr="00DA1F59" w:rsidRDefault="00B0300E" w:rsidP="00B0300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DA1F59">
              <w:rPr>
                <w:rFonts w:ascii="Verdana" w:hAnsi="Verdana" w:cs="Arial"/>
              </w:rPr>
              <w:t xml:space="preserve">Constitución Política de 1991, artículos </w:t>
            </w:r>
            <w:r w:rsidR="00E56328" w:rsidRPr="00DA1F59">
              <w:rPr>
                <w:rFonts w:ascii="Verdana" w:hAnsi="Verdana" w:cs="Arial"/>
              </w:rPr>
              <w:t>123, 209.</w:t>
            </w:r>
          </w:p>
          <w:p w14:paraId="7C42A3FE" w14:textId="2A9126ED" w:rsidR="00FD3253" w:rsidRPr="00DA1F59" w:rsidRDefault="00B0300E" w:rsidP="00FD325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DA1F59">
              <w:rPr>
                <w:rFonts w:ascii="Verdana" w:hAnsi="Verdana" w:cs="Arial"/>
              </w:rPr>
              <w:t>Ley 80 de 1993</w:t>
            </w:r>
            <w:r w:rsidR="00E56328" w:rsidRPr="00DA1F59">
              <w:rPr>
                <w:rFonts w:ascii="Verdana" w:hAnsi="Verdana" w:cs="Arial"/>
              </w:rPr>
              <w:t>. Artículo 8.</w:t>
            </w:r>
            <w:r w:rsidR="00FD3253" w:rsidRPr="00DA1F59">
              <w:rPr>
                <w:rFonts w:ascii="Verdana" w:eastAsia="Calibri" w:hAnsi="Verdana" w:cs="Arial"/>
                <w:bCs/>
                <w:color w:val="000000" w:themeColor="text1"/>
                <w:lang w:val="es-CO"/>
              </w:rPr>
              <w:t xml:space="preserve"> literal f) del numeral 1.</w:t>
            </w:r>
          </w:p>
          <w:p w14:paraId="0AAA8E89" w14:textId="3C3FF263" w:rsidR="00FD3253" w:rsidRPr="00DA1F59" w:rsidRDefault="00FD3253" w:rsidP="00FD325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DA1F59">
              <w:rPr>
                <w:rFonts w:ascii="Verdana" w:hAnsi="Verdana" w:cs="Arial"/>
              </w:rPr>
              <w:t>Ley 30 de 1992</w:t>
            </w:r>
          </w:p>
          <w:p w14:paraId="4ED5B197" w14:textId="54B088C6" w:rsidR="006B4E22" w:rsidRPr="00DA1F59" w:rsidRDefault="006B4E22" w:rsidP="00FD3253">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DA1F59">
              <w:rPr>
                <w:rFonts w:ascii="Verdana" w:hAnsi="Verdana" w:cs="Arial"/>
              </w:rPr>
              <w:t>Corte Constitucional, Sentencia C-415 de 1994. Magistrado Ponente Eduardo Cifuentes Muñoz.</w:t>
            </w:r>
          </w:p>
          <w:p w14:paraId="12D96320" w14:textId="2FD24018" w:rsidR="005276FA" w:rsidRPr="00DA1F59" w:rsidRDefault="005276FA"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lang w:val="es-CO"/>
              </w:rPr>
            </w:pPr>
            <w:r w:rsidRPr="00DA1F59">
              <w:rPr>
                <w:rFonts w:ascii="Verdana" w:hAnsi="Verdana" w:cs="Arial"/>
              </w:rPr>
              <w:t xml:space="preserve">Corte Constitucional. Sentencia C-1016 de 2012. </w:t>
            </w:r>
            <w:r w:rsidR="006B4E22" w:rsidRPr="00DA1F59">
              <w:rPr>
                <w:rFonts w:ascii="Verdana" w:hAnsi="Verdana" w:cs="Arial"/>
              </w:rPr>
              <w:t xml:space="preserve">Magistrado Ponente </w:t>
            </w:r>
            <w:r w:rsidRPr="00DA1F59">
              <w:rPr>
                <w:rFonts w:ascii="Verdana" w:hAnsi="Verdana" w:cs="Arial"/>
              </w:rPr>
              <w:t xml:space="preserve">Jorge Iván Palacio. </w:t>
            </w:r>
          </w:p>
          <w:p w14:paraId="48F20195" w14:textId="14D5B9C2" w:rsidR="00664E42" w:rsidRPr="00DA1F59" w:rsidRDefault="00664E42"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lang w:val="es-CO"/>
              </w:rPr>
            </w:pPr>
            <w:r w:rsidRPr="00DA1F59">
              <w:rPr>
                <w:rFonts w:ascii="Verdana" w:hAnsi="Verdana" w:cs="Arial"/>
              </w:rPr>
              <w:t xml:space="preserve">Corte Constitucional. Sentencia C-780 de 2001. </w:t>
            </w:r>
            <w:r w:rsidR="006B4E22" w:rsidRPr="00DA1F59">
              <w:rPr>
                <w:rFonts w:ascii="Verdana" w:hAnsi="Verdana" w:cs="Arial"/>
              </w:rPr>
              <w:t xml:space="preserve">Magistrado Ponente </w:t>
            </w:r>
            <w:r w:rsidRPr="00DA1F59">
              <w:rPr>
                <w:rFonts w:ascii="Verdana" w:hAnsi="Verdana" w:cs="Arial"/>
              </w:rPr>
              <w:t>Jaime Córdoba Triviño</w:t>
            </w:r>
          </w:p>
          <w:p w14:paraId="67828E06" w14:textId="64E38253" w:rsidR="00664E42" w:rsidRPr="00DA1F59" w:rsidRDefault="00664E42"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lang w:val="es-CO"/>
              </w:rPr>
            </w:pPr>
            <w:r w:rsidRPr="00DA1F59">
              <w:rPr>
                <w:rFonts w:ascii="Verdana" w:hAnsi="Verdana" w:cs="Arial"/>
              </w:rPr>
              <w:lastRenderedPageBreak/>
              <w:t>Corte Constitucional. Sentencia T-1039 de 2006. Magistrado Ponente: Humberto Sierra Porto</w:t>
            </w:r>
          </w:p>
          <w:p w14:paraId="1A62F7B3" w14:textId="17DAD61B" w:rsidR="00664E42" w:rsidRPr="00DA1F59" w:rsidRDefault="00664E42"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lang w:val="es-CO"/>
              </w:rPr>
            </w:pPr>
            <w:r w:rsidRPr="00DA1F59">
              <w:rPr>
                <w:rFonts w:ascii="Verdana" w:hAnsi="Verdana" w:cs="Arial"/>
                <w:lang w:val="es-CO"/>
              </w:rPr>
              <w:t>Consejo de Estado. Sala de Consulta y Servicio Civil. Concepto del 30 de abril de 2015. Expediente: 2.251. Consejero Ponente: Álvaro Namén Vargas</w:t>
            </w:r>
          </w:p>
          <w:p w14:paraId="7A414513" w14:textId="71424EED" w:rsidR="00B0300E" w:rsidRPr="00DA1F59" w:rsidRDefault="00664E42"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1F59">
              <w:rPr>
                <w:rFonts w:ascii="Verdana" w:hAnsi="Verdana" w:cs="Arial"/>
                <w:lang w:val="es-CO"/>
              </w:rPr>
              <w:t>Consejo de Estado. Sección Segunda. Subsección A. Sentencia 31 de enero del 2019. CP. Gerardo Pérez Meneses</w:t>
            </w:r>
          </w:p>
          <w:p w14:paraId="0A15FDC3" w14:textId="77777777" w:rsidR="00664E42" w:rsidRPr="00DA1F59" w:rsidRDefault="00664E42"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1F59">
              <w:rPr>
                <w:rFonts w:ascii="Verdana" w:hAnsi="Verdana" w:cs="Arial"/>
              </w:rPr>
              <w:t>Consejo De Estado. Sección Tercera. Subsección A. Sentencia del 13 de noviembre de 2013. Rad. 25.646. C.P. Mauricio Fajardo Gómez</w:t>
            </w:r>
          </w:p>
          <w:p w14:paraId="2BB8E164" w14:textId="77777777" w:rsidR="003D68E9" w:rsidRPr="00DA1F59" w:rsidRDefault="003D68E9"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1F59">
              <w:rPr>
                <w:rFonts w:ascii="Verdana" w:hAnsi="Verdana" w:cs="Arial"/>
                <w:lang w:val="es-CO"/>
              </w:rPr>
              <w:t>Consejo de Estado, Sala de Consulta y Servicio Civil, Concepto Rad. 867 del 20 de agosto de 1996, M.P. Luis Camilo Osorio</w:t>
            </w:r>
          </w:p>
          <w:p w14:paraId="3D7A741C" w14:textId="1CB9C35D" w:rsidR="00E11776" w:rsidRPr="00DA1F59" w:rsidRDefault="00E11776" w:rsidP="00B0300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1F59">
              <w:rPr>
                <w:rFonts w:ascii="Verdana" w:hAnsi="Verdana" w:cs="Arial"/>
                <w:lang w:val="es-CO"/>
              </w:rPr>
              <w:t>Departamento Administrativo de la Función Pública, Concepto Rad. 20239000004482 del 12 de enero de 2023</w:t>
            </w:r>
          </w:p>
        </w:tc>
      </w:tr>
    </w:tbl>
    <w:p w14:paraId="30D85460" w14:textId="77777777" w:rsidR="00B0300E" w:rsidRPr="00DA1F59" w:rsidRDefault="00B0300E" w:rsidP="00B0300E">
      <w:pPr>
        <w:widowControl w:val="0"/>
        <w:autoSpaceDE w:val="0"/>
        <w:autoSpaceDN w:val="0"/>
        <w:spacing w:after="0" w:line="276" w:lineRule="auto"/>
        <w:jc w:val="both"/>
        <w:rPr>
          <w:rFonts w:ascii="Verdana" w:hAnsi="Verdana" w:cs="Arial"/>
        </w:rPr>
      </w:pPr>
    </w:p>
    <w:p w14:paraId="7629B3E6" w14:textId="77777777" w:rsidR="00B0300E" w:rsidRPr="00DA1F59" w:rsidRDefault="00B0300E" w:rsidP="00B0300E">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DA1F59">
        <w:rPr>
          <w:rFonts w:ascii="Verdana" w:eastAsia="Century Gothic" w:hAnsi="Verdana" w:cs="Arial"/>
          <w:b/>
          <w:bCs/>
        </w:rPr>
        <w:t>Doctrina de la Agencia Nacional de Contratación Pública:</w:t>
      </w:r>
    </w:p>
    <w:p w14:paraId="38E77445" w14:textId="77777777" w:rsidR="00B0300E" w:rsidRPr="00DA1F59" w:rsidRDefault="00B0300E" w:rsidP="00B0300E">
      <w:pPr>
        <w:widowControl w:val="0"/>
        <w:autoSpaceDE w:val="0"/>
        <w:autoSpaceDN w:val="0"/>
        <w:spacing w:after="0" w:line="276" w:lineRule="auto"/>
        <w:jc w:val="both"/>
        <w:rPr>
          <w:rFonts w:ascii="Verdana" w:hAnsi="Verdana" w:cs="Arial"/>
        </w:rPr>
      </w:pPr>
    </w:p>
    <w:p w14:paraId="22643C55" w14:textId="5507051E" w:rsidR="00B0300E" w:rsidRPr="00DA1F59" w:rsidRDefault="00792CFB" w:rsidP="00B0300E">
      <w:pPr>
        <w:widowControl w:val="0"/>
        <w:autoSpaceDE w:val="0"/>
        <w:autoSpaceDN w:val="0"/>
        <w:spacing w:after="0" w:line="276" w:lineRule="auto"/>
        <w:jc w:val="both"/>
        <w:rPr>
          <w:rFonts w:ascii="Verdana" w:hAnsi="Verdana" w:cs="Arial"/>
          <w:shd w:val="clear" w:color="auto" w:fill="FFFFFF"/>
        </w:rPr>
      </w:pPr>
      <w:r w:rsidRPr="00DA1F59">
        <w:rPr>
          <w:rFonts w:ascii="Verdana" w:hAnsi="Verdana" w:cs="Arial"/>
          <w:shd w:val="clear" w:color="auto" w:fill="FFFFFF"/>
          <w:lang w:val="es-ES"/>
        </w:rPr>
        <w:t xml:space="preserve">Esta Subdirección se ha pronunciado sobre las inhabilidades e incompatibilidades </w:t>
      </w:r>
      <w:r w:rsidR="00B0300E" w:rsidRPr="00DA1F59">
        <w:rPr>
          <w:rFonts w:ascii="Verdana" w:hAnsi="Verdana" w:cs="Arial"/>
          <w:shd w:val="clear" w:color="auto" w:fill="FFFFFF"/>
        </w:rPr>
        <w:t>se ha pronunciado en los conceptos</w:t>
      </w:r>
      <w:r w:rsidR="008E611F" w:rsidRPr="00DA1F59">
        <w:rPr>
          <w:rFonts w:ascii="Verdana" w:eastAsia="Calibri" w:hAnsi="Verdana" w:cs="Arial"/>
        </w:rPr>
        <w:t xml:space="preserve"> C−234 del 5 de julio de 2023, C−010 del 31 de enero de 2024 y C-039 del 23 de abril de 2024</w:t>
      </w:r>
      <w:r w:rsidR="008E611F" w:rsidRPr="00DA1F59">
        <w:rPr>
          <w:rFonts w:ascii="Verdana" w:hAnsi="Verdana" w:cs="Arial"/>
        </w:rPr>
        <w:t>. También se ha pronunciado sobre el conflicto de interés en los conceptos C-229 del 16 de abril de 2020, C-815 del 18 de febrero de 2021, C-449 del 31 de agosto de 2021, C-288 del 14 de julio de 2023, C-651 del 22 de octubre de 2024</w:t>
      </w:r>
      <w:r w:rsidR="008E611F" w:rsidRPr="00DA1F59">
        <w:rPr>
          <w:rFonts w:ascii="Verdana" w:hAnsi="Verdana" w:cs="Arial"/>
          <w:shd w:val="clear" w:color="auto" w:fill="FFFFFF"/>
        </w:rPr>
        <w:t xml:space="preserve">, </w:t>
      </w:r>
      <w:r w:rsidR="00447708" w:rsidRPr="00DA1F59">
        <w:rPr>
          <w:rFonts w:ascii="Verdana" w:hAnsi="Verdana" w:cs="Arial"/>
          <w:shd w:val="clear" w:color="auto" w:fill="FFFFFF"/>
        </w:rPr>
        <w:t xml:space="preserve">C-061 del 25 de febrero del 2025, </w:t>
      </w:r>
      <w:r w:rsidR="00014669" w:rsidRPr="00DA1F59">
        <w:rPr>
          <w:rFonts w:ascii="Verdana" w:hAnsi="Verdana" w:cs="Arial"/>
          <w:shd w:val="clear" w:color="auto" w:fill="FFFFFF"/>
        </w:rPr>
        <w:t xml:space="preserve">C-281 del </w:t>
      </w:r>
      <w:r w:rsidR="00923BB9" w:rsidRPr="00DA1F59">
        <w:rPr>
          <w:rFonts w:ascii="Verdana" w:hAnsi="Verdana" w:cs="Arial"/>
          <w:shd w:val="clear" w:color="auto" w:fill="FFFFFF"/>
        </w:rPr>
        <w:t xml:space="preserve">10 de abril del 2025, C-552 del 26 de mayo del 2025, </w:t>
      </w:r>
      <w:r w:rsidR="004950F9" w:rsidRPr="00DA1F59">
        <w:rPr>
          <w:rFonts w:ascii="Verdana" w:hAnsi="Verdana" w:cs="Arial"/>
          <w:shd w:val="clear" w:color="auto" w:fill="FFFFFF"/>
        </w:rPr>
        <w:t>C-669 del 07 de julio del 2025, C-1086 del 16 de septiembre del 2025</w:t>
      </w:r>
      <w:r w:rsidR="00061C94" w:rsidRPr="00DA1F59">
        <w:rPr>
          <w:rFonts w:ascii="Verdana" w:hAnsi="Verdana" w:cs="Arial"/>
          <w:shd w:val="clear" w:color="auto" w:fill="FFFFFF"/>
        </w:rPr>
        <w:t xml:space="preserve">, C-1630 del 16 de diciembre del 2025 </w:t>
      </w:r>
      <w:r w:rsidR="004950F9" w:rsidRPr="00DA1F59">
        <w:rPr>
          <w:rFonts w:ascii="Verdana" w:hAnsi="Verdana" w:cs="Arial"/>
          <w:shd w:val="clear" w:color="auto" w:fill="FFFFFF"/>
        </w:rPr>
        <w:t xml:space="preserve">y </w:t>
      </w:r>
      <w:r w:rsidR="0066170B" w:rsidRPr="00DA1F59">
        <w:rPr>
          <w:rFonts w:ascii="Verdana" w:hAnsi="Verdana" w:cs="Arial"/>
          <w:shd w:val="clear" w:color="auto" w:fill="FFFFFF"/>
        </w:rPr>
        <w:t>C-116</w:t>
      </w:r>
      <w:r w:rsidR="00A23FDC" w:rsidRPr="00DA1F59">
        <w:rPr>
          <w:rFonts w:ascii="Verdana" w:hAnsi="Verdana" w:cs="Arial"/>
          <w:shd w:val="clear" w:color="auto" w:fill="FFFFFF"/>
        </w:rPr>
        <w:t xml:space="preserve"> del 13 de febrero del 2026</w:t>
      </w:r>
      <w:r w:rsidR="00B0300E" w:rsidRPr="00DA1F59">
        <w:rPr>
          <w:rFonts w:ascii="Verdana" w:hAnsi="Verdana" w:cs="Arial"/>
          <w:shd w:val="clear" w:color="auto" w:fill="FFFFFF"/>
        </w:rPr>
        <w:t xml:space="preserve">, entre otros. </w:t>
      </w:r>
      <w:r w:rsidR="00B0300E" w:rsidRPr="00DA1F59">
        <w:rPr>
          <w:rFonts w:ascii="Verdana" w:hAnsi="Verdana" w:cs="Arial"/>
        </w:rPr>
        <w:t>Estos y otros conceptos se encuentran disponibles para consulta en el Sistema de relatoría de la Agencia, al cual se puede acceder a través del siguiente enlace:</w:t>
      </w:r>
      <w:r w:rsidR="00B0300E" w:rsidRPr="00DA1F59">
        <w:rPr>
          <w:rFonts w:ascii="Verdana" w:hAnsi="Verdana" w:cs="Arial"/>
          <w:shd w:val="clear" w:color="auto" w:fill="FFFFFF"/>
        </w:rPr>
        <w:t xml:space="preserve"> </w:t>
      </w:r>
      <w:hyperlink r:id="rId13" w:history="1">
        <w:r w:rsidR="00B0300E" w:rsidRPr="00DA1F59">
          <w:rPr>
            <w:rStyle w:val="Hipervnculo"/>
            <w:rFonts w:ascii="Verdana" w:hAnsi="Verdana" w:cs="Arial"/>
            <w:shd w:val="clear" w:color="auto" w:fill="FFFFFF"/>
          </w:rPr>
          <w:t>https://relatoria.colombiacompra.gov.co/busqueda/conceptos</w:t>
        </w:r>
      </w:hyperlink>
      <w:r w:rsidR="00B0300E" w:rsidRPr="00DA1F59">
        <w:rPr>
          <w:rFonts w:ascii="Verdana" w:hAnsi="Verdana" w:cs="Arial"/>
          <w:shd w:val="clear" w:color="auto" w:fill="FFFFFF"/>
        </w:rPr>
        <w:t>.</w:t>
      </w:r>
      <w:r w:rsidR="00B0300E" w:rsidRPr="00DA1F59">
        <w:rPr>
          <w:rFonts w:ascii="Verdana" w:hAnsi="Verdana" w:cs="Arial"/>
          <w:color w:val="FF0000"/>
          <w:shd w:val="clear" w:color="auto" w:fill="FFFFFF"/>
        </w:rPr>
        <w:t xml:space="preserve"> </w:t>
      </w:r>
      <w:r w:rsidR="00B0300E" w:rsidRPr="00DA1F59">
        <w:rPr>
          <w:rFonts w:ascii="Verdana" w:hAnsi="Verdana" w:cs="Arial"/>
          <w:color w:val="000000" w:themeColor="text1"/>
          <w:shd w:val="clear" w:color="auto" w:fill="FFFFFF"/>
        </w:rPr>
        <w:t>  </w:t>
      </w:r>
    </w:p>
    <w:p w14:paraId="7A6B445E" w14:textId="77777777" w:rsidR="00B0300E" w:rsidRPr="00DA1F59" w:rsidRDefault="00B0300E" w:rsidP="00B0300E">
      <w:pPr>
        <w:spacing w:after="0" w:line="276" w:lineRule="auto"/>
        <w:jc w:val="both"/>
        <w:rPr>
          <w:rFonts w:ascii="Verdana" w:hAnsi="Verdana" w:cs="Arial"/>
        </w:rPr>
      </w:pPr>
    </w:p>
    <w:p w14:paraId="002AD2E6" w14:textId="77777777" w:rsidR="00B0300E" w:rsidRPr="00DA1F59" w:rsidRDefault="00B0300E" w:rsidP="00B0300E">
      <w:pPr>
        <w:spacing w:after="0" w:line="276" w:lineRule="auto"/>
        <w:jc w:val="both"/>
        <w:rPr>
          <w:rFonts w:ascii="Verdana" w:hAnsi="Verdana" w:cs="Arial"/>
        </w:rPr>
      </w:pPr>
      <w:r w:rsidRPr="00DA1F59">
        <w:rPr>
          <w:rFonts w:ascii="Verdana" w:hAnsi="Verdana" w:cs="Arial"/>
        </w:rPr>
        <w:t xml:space="preserve">La sostenibilidad no es una opción, es una obligación. Por ello, la Agencia Nacional de Contratación Pública –Colombia Compra Eficiente– te invita a realizar el </w:t>
      </w:r>
      <w:r w:rsidRPr="00DA1F59">
        <w:rPr>
          <w:rFonts w:ascii="Verdana" w:hAnsi="Verdana" w:cs="Arial"/>
          <w:b/>
          <w:bCs/>
        </w:rPr>
        <w:t>Curso de Contratación Pública Sostenible y Socialmente Responsable</w:t>
      </w:r>
      <w:r w:rsidRPr="00DA1F59">
        <w:rPr>
          <w:rFonts w:ascii="Verdana" w:hAnsi="Verdana" w:cs="Arial"/>
        </w:rPr>
        <w:t xml:space="preserve">, una herramienta clave para fortalecer las capacidades de todos </w:t>
      </w:r>
      <w:r w:rsidRPr="00DA1F59">
        <w:rPr>
          <w:rFonts w:ascii="Verdana" w:hAnsi="Verdana" w:cs="Arial"/>
        </w:rPr>
        <w:lastRenderedPageBreak/>
        <w:t>los compradores públicos, proveedores, servidores públicos v para generar mayor valor público. Accede al curso y aprende como implementar criterios sociales y ambientales en las diferentes etapas del proceso de contratación:</w:t>
      </w:r>
      <w:r w:rsidRPr="00DA1F59">
        <w:rPr>
          <w:rFonts w:ascii="Verdana" w:hAnsi="Verdana" w:cs="Arial"/>
        </w:rPr>
        <w:br/>
      </w:r>
      <w:hyperlink r:id="rId14" w:tgtFrame="_new" w:history="1">
        <w:r w:rsidRPr="00DA1F59">
          <w:rPr>
            <w:rStyle w:val="Hipervnculo"/>
            <w:rFonts w:ascii="Verdana" w:hAnsi="Verdana" w:cs="Arial"/>
          </w:rPr>
          <w:t>https://formacionvirtual.colombiacompra.gov.co/mod/page/view.php?id=3718</w:t>
        </w:r>
      </w:hyperlink>
    </w:p>
    <w:p w14:paraId="05E961B4" w14:textId="77777777" w:rsidR="00B0300E" w:rsidRPr="00DA1F59" w:rsidRDefault="00B0300E" w:rsidP="00B0300E">
      <w:pPr>
        <w:spacing w:after="0" w:line="276" w:lineRule="auto"/>
        <w:jc w:val="both"/>
        <w:rPr>
          <w:rFonts w:ascii="Verdana" w:hAnsi="Verdana" w:cs="Arial"/>
        </w:rPr>
      </w:pPr>
    </w:p>
    <w:p w14:paraId="6555E6F2" w14:textId="77777777" w:rsidR="00B0300E" w:rsidRPr="00DA1F59" w:rsidRDefault="00B0300E" w:rsidP="00B0300E">
      <w:pPr>
        <w:spacing w:after="0" w:line="276" w:lineRule="auto"/>
        <w:jc w:val="both"/>
        <w:rPr>
          <w:rFonts w:ascii="Verdana" w:hAnsi="Verdana" w:cs="Arial"/>
        </w:rPr>
      </w:pPr>
      <w:r w:rsidRPr="00DA1F59">
        <w:rPr>
          <w:rFonts w:ascii="Verdana" w:hAnsi="Verdana" w:cs="Arial"/>
        </w:rPr>
        <w:t xml:space="preserve">De otro lado, te contamos que esta Agencia ha da un paso decisivo en la estandarización y modernización del </w:t>
      </w:r>
      <w:r w:rsidRPr="00DA1F59">
        <w:rPr>
          <w:rFonts w:ascii="Verdana" w:hAnsi="Verdana" w:cs="Arial"/>
          <w:b/>
          <w:bCs/>
        </w:rPr>
        <w:t>sector  social</w:t>
      </w:r>
      <w:r w:rsidRPr="00DA1F59">
        <w:rPr>
          <w:rFonts w:ascii="Verdana" w:hAnsi="Verdana" w:cs="Arial"/>
        </w:rPr>
        <w:t xml:space="preserve"> con la expedición de las </w:t>
      </w:r>
      <w:r w:rsidRPr="00DA1F59">
        <w:rPr>
          <w:rFonts w:ascii="Verdana" w:hAnsi="Verdana" w:cs="Arial"/>
          <w:b/>
          <w:bCs/>
        </w:rPr>
        <w:t>Resoluciones 539, 540, 541, 952 y 953 de 2025</w:t>
      </w:r>
      <w:r w:rsidRPr="00DA1F59">
        <w:rPr>
          <w:rFonts w:ascii="Verdana" w:hAnsi="Verdana" w:cs="Arial"/>
        </w:rPr>
        <w:t xml:space="preserve">, </w:t>
      </w:r>
      <w:r w:rsidRPr="00DA1F59">
        <w:rPr>
          <w:rFonts w:ascii="Verdana" w:hAnsi="Verdana" w:cs="Arial"/>
          <w:b/>
          <w:bCs/>
        </w:rPr>
        <w:t>mediante las cuales adoptó Documentos Tipo</w:t>
      </w:r>
      <w:r w:rsidRPr="00DA1F59">
        <w:rPr>
          <w:rFonts w:ascii="Verdana" w:hAnsi="Verdana" w:cs="Arial"/>
        </w:rPr>
        <w:t xml:space="preserve"> para las modalidades de selección de</w:t>
      </w:r>
      <w:r w:rsidRPr="00DA1F59">
        <w:rPr>
          <w:rFonts w:ascii="Verdana" w:hAnsi="Verdana" w:cs="Arial"/>
          <w:b/>
          <w:bCs/>
        </w:rPr>
        <w:t xml:space="preserve"> licitación pública (versión 2), selección abreviada de menor cuantía, mínima cuantía, consultoría e interventoría</w:t>
      </w:r>
      <w:r w:rsidRPr="00DA1F59">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DA1F59">
          <w:rPr>
            <w:rStyle w:val="Hipervnculo"/>
            <w:rFonts w:ascii="Verdana" w:hAnsi="Verdana" w:cs="Arial"/>
          </w:rPr>
          <w:t>https://www.colombiacompra.gov.co/normativa-y-relatoria/documentos-tipo</w:t>
        </w:r>
      </w:hyperlink>
    </w:p>
    <w:p w14:paraId="2B89AEBD" w14:textId="77777777" w:rsidR="00B0300E" w:rsidRPr="00DA1F59" w:rsidRDefault="00B0300E" w:rsidP="00B0300E">
      <w:pPr>
        <w:spacing w:after="0" w:line="276" w:lineRule="auto"/>
        <w:jc w:val="both"/>
        <w:rPr>
          <w:rFonts w:ascii="Verdana" w:hAnsi="Verdana" w:cs="Arial"/>
        </w:rPr>
      </w:pPr>
    </w:p>
    <w:p w14:paraId="5C014DAB" w14:textId="77777777" w:rsidR="00B0300E" w:rsidRPr="00DA1F59" w:rsidRDefault="00B0300E" w:rsidP="00B0300E">
      <w:pPr>
        <w:spacing w:after="0" w:line="276" w:lineRule="auto"/>
        <w:jc w:val="both"/>
        <w:rPr>
          <w:rFonts w:ascii="Verdana" w:hAnsi="Verdana" w:cs="Arial"/>
        </w:rPr>
      </w:pPr>
      <w:r w:rsidRPr="00DA1F59">
        <w:rPr>
          <w:rFonts w:ascii="Verdana" w:hAnsi="Verdana" w:cs="Arial"/>
        </w:rPr>
        <w:t xml:space="preserve">Si quieres conocer más sobre la aplicación de Documentos Tipo puedes consultar la última versión de la </w:t>
      </w:r>
      <w:r w:rsidRPr="00DA1F59">
        <w:rPr>
          <w:rFonts w:ascii="Verdana" w:hAnsi="Verdana" w:cs="Arial"/>
          <w:b/>
          <w:bCs/>
        </w:rPr>
        <w:t>Guía para la comprensión e implementación de los Documentos Tipo de obra pública de infraestructura de transporte</w:t>
      </w:r>
      <w:r w:rsidRPr="00DA1F59">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DA1F59">
        <w:rPr>
          <w:rFonts w:ascii="Verdana" w:hAnsi="Verdana" w:cs="Arial"/>
        </w:rPr>
        <w:br/>
      </w:r>
      <w:hyperlink r:id="rId16" w:tgtFrame="_new" w:history="1">
        <w:r w:rsidRPr="00DA1F59">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390D7E20" w14:textId="77777777" w:rsidR="00B0300E" w:rsidRPr="00DA1F59" w:rsidRDefault="00B0300E" w:rsidP="00B0300E">
      <w:pPr>
        <w:spacing w:after="0" w:line="276" w:lineRule="auto"/>
        <w:jc w:val="both"/>
        <w:rPr>
          <w:rFonts w:ascii="Verdana" w:hAnsi="Verdana" w:cs="Arial"/>
        </w:rPr>
      </w:pPr>
    </w:p>
    <w:p w14:paraId="55AC65C5" w14:textId="77777777" w:rsidR="00B0300E" w:rsidRPr="00DA1F59" w:rsidRDefault="00B0300E" w:rsidP="00B0300E">
      <w:pPr>
        <w:spacing w:after="0" w:line="276" w:lineRule="auto"/>
        <w:jc w:val="both"/>
        <w:rPr>
          <w:rFonts w:ascii="Verdana" w:hAnsi="Verdana" w:cs="Arial"/>
        </w:rPr>
      </w:pPr>
      <w:r w:rsidRPr="00DA1F59">
        <w:rPr>
          <w:rFonts w:ascii="Verdana" w:hAnsi="Verdana" w:cs="Arial"/>
        </w:rPr>
        <w:t xml:space="preserve">Por último, lo invitamos a seguirnos en las redes sociales en las cuales se difunde información institucional: </w:t>
      </w:r>
    </w:p>
    <w:p w14:paraId="51C90FBB" w14:textId="77777777" w:rsidR="00B0300E" w:rsidRPr="00DA1F59" w:rsidRDefault="00B0300E" w:rsidP="00B0300E">
      <w:pPr>
        <w:spacing w:after="0" w:line="276" w:lineRule="auto"/>
        <w:jc w:val="both"/>
        <w:rPr>
          <w:rFonts w:ascii="Verdana" w:hAnsi="Verdana" w:cs="Arial"/>
        </w:rPr>
      </w:pPr>
    </w:p>
    <w:p w14:paraId="296D589E" w14:textId="77777777" w:rsidR="00B0300E" w:rsidRPr="00DA1F59" w:rsidRDefault="00B0300E" w:rsidP="00B0300E">
      <w:pPr>
        <w:spacing w:after="0" w:line="276" w:lineRule="auto"/>
        <w:jc w:val="both"/>
        <w:rPr>
          <w:rFonts w:ascii="Verdana" w:hAnsi="Verdana" w:cs="Arial"/>
        </w:rPr>
      </w:pPr>
      <w:r w:rsidRPr="00DA1F59">
        <w:rPr>
          <w:rFonts w:ascii="Verdana" w:hAnsi="Verdana" w:cs="Arial"/>
        </w:rPr>
        <w:t xml:space="preserve">Twitter: </w:t>
      </w:r>
      <w:r w:rsidRPr="00DA1F59">
        <w:rPr>
          <w:rStyle w:val="Hipervnculo"/>
          <w:rFonts w:ascii="Verdana" w:hAnsi="Verdana" w:cs="Arial"/>
          <w:color w:val="4472C4" w:themeColor="accent1"/>
        </w:rPr>
        <w:t>@colombiacompra</w:t>
      </w:r>
      <w:r w:rsidRPr="00DA1F59">
        <w:rPr>
          <w:rFonts w:ascii="Verdana" w:hAnsi="Verdana" w:cs="Arial"/>
          <w:color w:val="4472C4" w:themeColor="accent1"/>
        </w:rPr>
        <w:t xml:space="preserve"> </w:t>
      </w:r>
    </w:p>
    <w:p w14:paraId="62ED7D83" w14:textId="77777777" w:rsidR="00B0300E" w:rsidRPr="00DA1F59" w:rsidRDefault="00B0300E" w:rsidP="00B0300E">
      <w:pPr>
        <w:spacing w:after="0" w:line="276" w:lineRule="auto"/>
        <w:jc w:val="both"/>
        <w:rPr>
          <w:rFonts w:ascii="Verdana" w:hAnsi="Verdana" w:cs="Arial"/>
        </w:rPr>
      </w:pPr>
      <w:r w:rsidRPr="00DA1F59">
        <w:rPr>
          <w:rFonts w:ascii="Verdana" w:hAnsi="Verdana" w:cs="Arial"/>
        </w:rPr>
        <w:t xml:space="preserve">Facebook: </w:t>
      </w:r>
      <w:proofErr w:type="spellStart"/>
      <w:r w:rsidRPr="00DA1F59">
        <w:rPr>
          <w:rStyle w:val="Hipervnculo"/>
          <w:rFonts w:ascii="Verdana" w:hAnsi="Verdana" w:cs="Arial"/>
          <w:color w:val="4472C4" w:themeColor="accent1"/>
        </w:rPr>
        <w:t>ColombiaCompraEficiente</w:t>
      </w:r>
      <w:proofErr w:type="spellEnd"/>
    </w:p>
    <w:p w14:paraId="4BF4FBCE" w14:textId="77777777" w:rsidR="00B0300E" w:rsidRPr="00DA1F59" w:rsidRDefault="00B0300E" w:rsidP="00B0300E">
      <w:pPr>
        <w:spacing w:after="0" w:line="276" w:lineRule="auto"/>
        <w:jc w:val="both"/>
        <w:rPr>
          <w:rStyle w:val="Hipervnculo"/>
          <w:rFonts w:ascii="Verdana" w:hAnsi="Verdana" w:cs="Arial"/>
          <w:color w:val="4472C4" w:themeColor="accent1"/>
        </w:rPr>
      </w:pPr>
      <w:r w:rsidRPr="00DA1F59">
        <w:rPr>
          <w:rFonts w:ascii="Verdana" w:hAnsi="Verdana" w:cs="Arial"/>
        </w:rPr>
        <w:lastRenderedPageBreak/>
        <w:t xml:space="preserve">LinkedIn: </w:t>
      </w:r>
      <w:r w:rsidRPr="00DA1F59">
        <w:rPr>
          <w:rStyle w:val="Hipervnculo"/>
          <w:rFonts w:ascii="Verdana" w:hAnsi="Verdana" w:cs="Arial"/>
          <w:color w:val="4472C4" w:themeColor="accent1"/>
        </w:rPr>
        <w:t>Agencia Nacional de Contratación Pública - Colombia Compra Eficiente</w:t>
      </w:r>
      <w:r w:rsidRPr="00DA1F59">
        <w:rPr>
          <w:rFonts w:ascii="Verdana" w:hAnsi="Verdana" w:cs="Arial"/>
          <w:color w:val="4472C4" w:themeColor="accent1"/>
        </w:rPr>
        <w:t xml:space="preserve"> </w:t>
      </w:r>
      <w:r w:rsidRPr="00DA1F59">
        <w:rPr>
          <w:rFonts w:ascii="Verdana" w:hAnsi="Verdana" w:cs="Arial"/>
        </w:rPr>
        <w:t xml:space="preserve">Instagram: </w:t>
      </w:r>
      <w:r w:rsidRPr="00DA1F59">
        <w:rPr>
          <w:rStyle w:val="Hipervnculo"/>
          <w:rFonts w:ascii="Verdana" w:hAnsi="Verdana" w:cs="Arial"/>
          <w:color w:val="4472C4" w:themeColor="accent1"/>
        </w:rPr>
        <w:t>@colombiacompraeficiente_cce</w:t>
      </w:r>
    </w:p>
    <w:p w14:paraId="106CF949" w14:textId="77777777" w:rsidR="00B0300E" w:rsidRPr="00DA1F59" w:rsidRDefault="00B0300E" w:rsidP="00B0300E">
      <w:pPr>
        <w:spacing w:after="0" w:line="276" w:lineRule="auto"/>
        <w:jc w:val="both"/>
        <w:rPr>
          <w:rStyle w:val="Hipervnculo"/>
          <w:rFonts w:ascii="Verdana" w:hAnsi="Verdana" w:cs="Arial"/>
          <w:color w:val="4472C4" w:themeColor="accent1"/>
        </w:rPr>
      </w:pPr>
    </w:p>
    <w:p w14:paraId="3FA42B21" w14:textId="77777777" w:rsidR="00B0300E" w:rsidRPr="00DA1F59" w:rsidRDefault="00B0300E" w:rsidP="00B0300E">
      <w:pPr>
        <w:widowControl w:val="0"/>
        <w:autoSpaceDE w:val="0"/>
        <w:autoSpaceDN w:val="0"/>
        <w:spacing w:after="0" w:line="276" w:lineRule="auto"/>
        <w:jc w:val="both"/>
        <w:rPr>
          <w:rFonts w:ascii="Verdana" w:hAnsi="Verdana" w:cs="Arial"/>
          <w:lang w:val="es-ES_tradnl"/>
        </w:rPr>
      </w:pPr>
      <w:r w:rsidRPr="00DA1F59">
        <w:rPr>
          <w:rFonts w:ascii="Verdana" w:hAnsi="Verdana" w:cs="Arial"/>
        </w:rPr>
        <w:t xml:space="preserve">Este concepto tiene el alcance previsto en el artículo 28 del Código de Procedimiento Administrativo y de lo Contencioso Administrativo </w:t>
      </w:r>
      <w:r w:rsidRPr="00DA1F59">
        <w:rPr>
          <w:rFonts w:ascii="Verdana" w:hAnsi="Verdana" w:cs="Arial"/>
          <w:lang w:val="es-ES_tradnl"/>
        </w:rPr>
        <w:t>y las expresiones aquí utilizadas con mayúscula inicial deben ser entendidas con el significado que les otorga el artículo 2.2.1.1.1.3.1. del Decreto 1082 de 2015.</w:t>
      </w:r>
    </w:p>
    <w:p w14:paraId="18176104" w14:textId="77777777" w:rsidR="00B0300E" w:rsidRPr="00DA1F59" w:rsidRDefault="00B0300E" w:rsidP="00B0300E">
      <w:pPr>
        <w:widowControl w:val="0"/>
        <w:autoSpaceDE w:val="0"/>
        <w:autoSpaceDN w:val="0"/>
        <w:spacing w:after="0" w:line="276" w:lineRule="auto"/>
        <w:jc w:val="both"/>
        <w:rPr>
          <w:rFonts w:ascii="Verdana" w:hAnsi="Verdana" w:cs="Arial"/>
        </w:rPr>
      </w:pPr>
    </w:p>
    <w:p w14:paraId="53F189A1" w14:textId="77777777" w:rsidR="00B0300E" w:rsidRPr="00DA1F59" w:rsidRDefault="00B0300E" w:rsidP="00B0300E">
      <w:pPr>
        <w:spacing w:after="0" w:line="276" w:lineRule="auto"/>
        <w:jc w:val="both"/>
        <w:rPr>
          <w:rFonts w:ascii="Verdana" w:hAnsi="Verdana" w:cs="Arial"/>
          <w:lang w:eastAsia="es-CO"/>
        </w:rPr>
      </w:pPr>
      <w:r w:rsidRPr="00DA1F59">
        <w:rPr>
          <w:rFonts w:ascii="Verdana" w:eastAsia="Times New Roman" w:hAnsi="Verdana" w:cs="Arial"/>
          <w:lang w:eastAsia="es-CO"/>
        </w:rPr>
        <w:t>Atentamente,</w:t>
      </w:r>
      <w:r w:rsidRPr="00DA1F59">
        <w:rPr>
          <w:rFonts w:ascii="Verdana" w:hAnsi="Verdana" w:cs="Arial"/>
          <w:lang w:eastAsia="es-CO"/>
        </w:rPr>
        <w:t xml:space="preserve"> </w:t>
      </w:r>
    </w:p>
    <w:p w14:paraId="7439C1A6" w14:textId="0C8F71E9" w:rsidR="00B0300E" w:rsidRPr="00DA1F59" w:rsidRDefault="002377F1" w:rsidP="00B0300E">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7611BCF3" wp14:editId="218AB72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0300E" w:rsidRPr="00DA1F59" w14:paraId="6FB4CC9A" w14:textId="77777777" w:rsidTr="004F19D0">
        <w:trPr>
          <w:trHeight w:val="315"/>
        </w:trPr>
        <w:tc>
          <w:tcPr>
            <w:tcW w:w="893" w:type="dxa"/>
            <w:vAlign w:val="center"/>
            <w:hideMark/>
          </w:tcPr>
          <w:p w14:paraId="66C6E72D" w14:textId="77777777" w:rsidR="00B0300E" w:rsidRPr="00DA1F59" w:rsidRDefault="00B0300E" w:rsidP="004F19D0">
            <w:pPr>
              <w:contextualSpacing/>
              <w:rPr>
                <w:rFonts w:ascii="Verdana" w:hAnsi="Verdana" w:cs="Arial"/>
                <w:sz w:val="16"/>
                <w:szCs w:val="16"/>
                <w:lang w:val="es-ES" w:eastAsia="es-ES"/>
              </w:rPr>
            </w:pPr>
            <w:r w:rsidRPr="00DA1F5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79F9C82" w14:textId="77777777" w:rsidR="00B0300E" w:rsidRPr="00DA1F59" w:rsidRDefault="00B0300E" w:rsidP="004F19D0">
            <w:pPr>
              <w:contextualSpacing/>
              <w:rPr>
                <w:rFonts w:ascii="Verdana" w:eastAsia="Arial" w:hAnsi="Verdana" w:cs="Arial"/>
                <w:sz w:val="16"/>
                <w:szCs w:val="16"/>
              </w:rPr>
            </w:pPr>
            <w:r w:rsidRPr="00DA1F59">
              <w:rPr>
                <w:rFonts w:ascii="Verdana" w:eastAsia="Arial" w:hAnsi="Verdana" w:cs="Arial"/>
                <w:sz w:val="16"/>
                <w:szCs w:val="16"/>
              </w:rPr>
              <w:t>Ana María Ortiz Ballesteros</w:t>
            </w:r>
          </w:p>
          <w:p w14:paraId="41442E66" w14:textId="77777777" w:rsidR="00B0300E" w:rsidRPr="00DA1F59" w:rsidRDefault="00B0300E" w:rsidP="004F19D0">
            <w:pPr>
              <w:contextualSpacing/>
              <w:rPr>
                <w:rFonts w:ascii="Verdana" w:eastAsia="Arial" w:hAnsi="Verdana" w:cs="Arial"/>
                <w:sz w:val="16"/>
                <w:szCs w:val="16"/>
              </w:rPr>
            </w:pPr>
            <w:r w:rsidRPr="00DA1F59">
              <w:rPr>
                <w:rStyle w:val="normaltextrun"/>
                <w:rFonts w:ascii="Verdana" w:eastAsia="Arial" w:hAnsi="Verdana" w:cs="Arial"/>
                <w:sz w:val="16"/>
                <w:szCs w:val="16"/>
              </w:rPr>
              <w:t>C</w:t>
            </w:r>
            <w:r w:rsidRPr="00DA1F59">
              <w:rPr>
                <w:rStyle w:val="normaltextrun"/>
                <w:rFonts w:ascii="Verdana" w:hAnsi="Verdana"/>
                <w:sz w:val="16"/>
                <w:szCs w:val="16"/>
              </w:rPr>
              <w:t>ontratista</w:t>
            </w:r>
            <w:r w:rsidRPr="00DA1F59">
              <w:rPr>
                <w:rStyle w:val="normaltextrun"/>
                <w:rFonts w:ascii="Verdana" w:eastAsia="Arial" w:hAnsi="Verdana" w:cs="Arial"/>
                <w:sz w:val="16"/>
                <w:szCs w:val="16"/>
              </w:rPr>
              <w:t xml:space="preserve"> de la Subdirección de Gestión Contractual</w:t>
            </w:r>
          </w:p>
        </w:tc>
      </w:tr>
      <w:tr w:rsidR="00B0300E" w:rsidRPr="00DA1F59" w14:paraId="3AE05FEC" w14:textId="77777777" w:rsidTr="004F19D0">
        <w:trPr>
          <w:trHeight w:val="330"/>
        </w:trPr>
        <w:tc>
          <w:tcPr>
            <w:tcW w:w="893" w:type="dxa"/>
            <w:vAlign w:val="center"/>
            <w:hideMark/>
          </w:tcPr>
          <w:p w14:paraId="061A3014" w14:textId="77777777" w:rsidR="00B0300E" w:rsidRPr="00DA1F59" w:rsidRDefault="00B0300E" w:rsidP="004F19D0">
            <w:pPr>
              <w:contextualSpacing/>
              <w:rPr>
                <w:rFonts w:ascii="Verdana" w:hAnsi="Verdana" w:cs="Arial"/>
                <w:sz w:val="16"/>
                <w:szCs w:val="16"/>
                <w:lang w:val="es-ES" w:eastAsia="es-ES"/>
              </w:rPr>
            </w:pPr>
            <w:r w:rsidRPr="00DA1F5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FC76E4" w14:textId="42DDE158" w:rsidR="00C21403" w:rsidRPr="00DA1F59" w:rsidRDefault="00C21403" w:rsidP="004F19D0">
            <w:pPr>
              <w:pStyle w:val="paragraph"/>
              <w:spacing w:before="0" w:beforeAutospacing="0" w:after="0" w:afterAutospacing="0"/>
              <w:contextualSpacing/>
              <w:textAlignment w:val="baseline"/>
              <w:rPr>
                <w:rFonts w:ascii="Verdana" w:hAnsi="Verdana" w:cs="Arial"/>
                <w:sz w:val="16"/>
                <w:szCs w:val="16"/>
              </w:rPr>
            </w:pPr>
            <w:r w:rsidRPr="00DA1F59">
              <w:rPr>
                <w:rFonts w:ascii="Verdana" w:hAnsi="Verdana" w:cs="Arial"/>
                <w:sz w:val="16"/>
                <w:szCs w:val="16"/>
              </w:rPr>
              <w:t xml:space="preserve">Adriana </w:t>
            </w:r>
            <w:proofErr w:type="spellStart"/>
            <w:r w:rsidRPr="00DA1F59">
              <w:rPr>
                <w:rFonts w:ascii="Verdana" w:hAnsi="Verdana" w:cs="Arial"/>
                <w:sz w:val="16"/>
                <w:szCs w:val="16"/>
              </w:rPr>
              <w:t>Katerine</w:t>
            </w:r>
            <w:proofErr w:type="spellEnd"/>
            <w:r w:rsidRPr="00DA1F59">
              <w:rPr>
                <w:rFonts w:ascii="Verdana" w:hAnsi="Verdana" w:cs="Arial"/>
                <w:sz w:val="16"/>
                <w:szCs w:val="16"/>
              </w:rPr>
              <w:t xml:space="preserve"> López Rodríguez</w:t>
            </w:r>
          </w:p>
          <w:p w14:paraId="3209BE90" w14:textId="78580D20" w:rsidR="00B0300E" w:rsidRPr="00DA1F59" w:rsidRDefault="00B0300E" w:rsidP="004F19D0">
            <w:pPr>
              <w:pStyle w:val="paragraph"/>
              <w:spacing w:before="0" w:beforeAutospacing="0" w:after="0" w:afterAutospacing="0"/>
              <w:contextualSpacing/>
              <w:textAlignment w:val="baseline"/>
              <w:rPr>
                <w:rFonts w:ascii="Verdana" w:hAnsi="Verdana" w:cs="Arial"/>
                <w:sz w:val="16"/>
                <w:szCs w:val="16"/>
              </w:rPr>
            </w:pPr>
            <w:r w:rsidRPr="00DA1F59">
              <w:rPr>
                <w:rStyle w:val="normaltextrun"/>
                <w:rFonts w:ascii="Verdana" w:eastAsia="Arial" w:hAnsi="Verdana" w:cs="Arial"/>
                <w:sz w:val="16"/>
                <w:szCs w:val="16"/>
              </w:rPr>
              <w:t>C</w:t>
            </w:r>
            <w:r w:rsidRPr="00DA1F59">
              <w:rPr>
                <w:rStyle w:val="normaltextrun"/>
                <w:rFonts w:ascii="Verdana" w:hAnsi="Verdana"/>
                <w:sz w:val="16"/>
                <w:szCs w:val="16"/>
              </w:rPr>
              <w:t>ontratista</w:t>
            </w:r>
            <w:r w:rsidRPr="00DA1F59">
              <w:rPr>
                <w:rStyle w:val="normaltextrun"/>
                <w:rFonts w:ascii="Verdana" w:eastAsia="Arial" w:hAnsi="Verdana" w:cs="Arial"/>
                <w:sz w:val="16"/>
                <w:szCs w:val="16"/>
              </w:rPr>
              <w:t xml:space="preserve"> de la Subdirección de Gestión Contractual</w:t>
            </w:r>
          </w:p>
        </w:tc>
      </w:tr>
      <w:tr w:rsidR="00B0300E" w:rsidRPr="00DA1F59" w14:paraId="430BADE9" w14:textId="77777777" w:rsidTr="004F19D0">
        <w:trPr>
          <w:trHeight w:val="300"/>
        </w:trPr>
        <w:tc>
          <w:tcPr>
            <w:tcW w:w="893" w:type="dxa"/>
            <w:vAlign w:val="center"/>
          </w:tcPr>
          <w:p w14:paraId="4CCCB0C2" w14:textId="77777777" w:rsidR="00B0300E" w:rsidRPr="00DA1F59" w:rsidRDefault="00B0300E" w:rsidP="004F19D0">
            <w:pPr>
              <w:contextualSpacing/>
              <w:rPr>
                <w:rFonts w:ascii="Verdana" w:hAnsi="Verdana" w:cs="Arial"/>
                <w:sz w:val="16"/>
                <w:szCs w:val="16"/>
                <w:lang w:val="es-ES" w:eastAsia="es-ES"/>
              </w:rPr>
            </w:pPr>
            <w:r w:rsidRPr="00DA1F5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A5DC04" w14:textId="77777777" w:rsidR="00B0300E" w:rsidRPr="00DA1F59" w:rsidRDefault="00B0300E" w:rsidP="004F19D0">
            <w:pPr>
              <w:contextualSpacing/>
              <w:rPr>
                <w:rFonts w:ascii="Verdana" w:eastAsia="Calibri" w:hAnsi="Verdana" w:cs="Arial"/>
                <w:sz w:val="16"/>
                <w:szCs w:val="16"/>
                <w:lang w:val="pt-BR" w:eastAsia="es-ES"/>
              </w:rPr>
            </w:pPr>
            <w:r w:rsidRPr="00DA1F59">
              <w:rPr>
                <w:rFonts w:ascii="Verdana" w:eastAsia="Calibri" w:hAnsi="Verdana" w:cs="Arial"/>
                <w:sz w:val="16"/>
                <w:szCs w:val="16"/>
                <w:lang w:val="pt-BR" w:eastAsia="es-ES"/>
              </w:rPr>
              <w:t xml:space="preserve">Carolina Quintero </w:t>
            </w:r>
            <w:proofErr w:type="spellStart"/>
            <w:r w:rsidRPr="00DA1F59">
              <w:rPr>
                <w:rFonts w:ascii="Verdana" w:eastAsia="Calibri" w:hAnsi="Verdana" w:cs="Arial"/>
                <w:sz w:val="16"/>
                <w:szCs w:val="16"/>
                <w:lang w:val="pt-BR" w:eastAsia="es-ES"/>
              </w:rPr>
              <w:t>Gacharná</w:t>
            </w:r>
            <w:proofErr w:type="spellEnd"/>
          </w:p>
          <w:p w14:paraId="6CF6619D" w14:textId="77777777" w:rsidR="00B0300E" w:rsidRPr="00DA1F59" w:rsidRDefault="00B0300E" w:rsidP="004F19D0">
            <w:pPr>
              <w:contextualSpacing/>
              <w:rPr>
                <w:rFonts w:ascii="Verdana" w:eastAsia="Calibri" w:hAnsi="Verdana" w:cs="Arial"/>
                <w:sz w:val="16"/>
                <w:szCs w:val="16"/>
                <w:lang w:val="pt-BR" w:eastAsia="es-ES"/>
              </w:rPr>
            </w:pPr>
            <w:r w:rsidRPr="00DA1F59">
              <w:rPr>
                <w:rFonts w:ascii="Verdana" w:eastAsia="Calibri" w:hAnsi="Verdana" w:cs="Arial"/>
                <w:sz w:val="16"/>
                <w:szCs w:val="16"/>
                <w:lang w:eastAsia="es-ES"/>
              </w:rPr>
              <w:t>Subdirectora</w:t>
            </w:r>
            <w:r w:rsidRPr="00DA1F59">
              <w:rPr>
                <w:rFonts w:ascii="Verdana" w:eastAsia="Calibri" w:hAnsi="Verdana" w:cs="Arial"/>
                <w:sz w:val="16"/>
                <w:szCs w:val="16"/>
                <w:lang w:val="pt-BR" w:eastAsia="es-ES"/>
              </w:rPr>
              <w:t xml:space="preserve"> de Gestión Contractual ANCP – CCE</w:t>
            </w:r>
          </w:p>
        </w:tc>
      </w:tr>
    </w:tbl>
    <w:p w14:paraId="321B9072" w14:textId="77777777" w:rsidR="00B0300E" w:rsidRPr="00DA1F59" w:rsidRDefault="00B0300E" w:rsidP="00B0300E">
      <w:pPr>
        <w:spacing w:after="0" w:line="240" w:lineRule="auto"/>
        <w:jc w:val="both"/>
        <w:rPr>
          <w:rFonts w:ascii="Verdana" w:eastAsia="Verdana" w:hAnsi="Verdana" w:cs="Verdana"/>
        </w:rPr>
      </w:pPr>
    </w:p>
    <w:p w14:paraId="66814638" w14:textId="3D8011CC" w:rsidR="00B0300E" w:rsidRPr="00DA1F59" w:rsidRDefault="00B0300E" w:rsidP="00B0300E">
      <w:pPr>
        <w:spacing w:after="0" w:line="240" w:lineRule="auto"/>
        <w:jc w:val="both"/>
        <w:rPr>
          <w:rFonts w:ascii="Verdana" w:eastAsia="Verdana" w:hAnsi="Verdana" w:cs="Verdana"/>
          <w:lang w:val="es-MX"/>
        </w:rPr>
      </w:pPr>
    </w:p>
    <w:p w14:paraId="0E4D56E4" w14:textId="77777777" w:rsidR="00B0300E" w:rsidRPr="00DA1F59" w:rsidRDefault="00B0300E" w:rsidP="30821638">
      <w:pPr>
        <w:spacing w:after="0"/>
        <w:rPr>
          <w:rFonts w:ascii="Verdana" w:eastAsia="Verdana" w:hAnsi="Verdana" w:cs="Verdana"/>
          <w:lang w:val="es-MX"/>
        </w:rPr>
      </w:pPr>
    </w:p>
    <w:bookmarkEnd w:id="0"/>
    <w:p w14:paraId="69BC4D14" w14:textId="56A088BD" w:rsidR="00C15139" w:rsidRPr="00DA1F59" w:rsidRDefault="00C15139" w:rsidP="30821638">
      <w:pPr>
        <w:spacing w:after="0" w:line="240" w:lineRule="auto"/>
        <w:textAlignment w:val="baseline"/>
        <w:rPr>
          <w:rFonts w:ascii="Verdana" w:eastAsia="Verdana" w:hAnsi="Verdana" w:cs="Verdana"/>
          <w:lang w:eastAsia="es-CO"/>
        </w:rPr>
      </w:pPr>
    </w:p>
    <w:sectPr w:rsidR="00C15139" w:rsidRPr="00DA1F5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CADD4" w14:textId="77777777" w:rsidR="002F2F2E" w:rsidRDefault="002F2F2E" w:rsidP="004A1847">
      <w:pPr>
        <w:spacing w:after="0" w:line="240" w:lineRule="auto"/>
      </w:pPr>
      <w:r>
        <w:separator/>
      </w:r>
    </w:p>
  </w:endnote>
  <w:endnote w:type="continuationSeparator" w:id="0">
    <w:p w14:paraId="6288DB20" w14:textId="77777777" w:rsidR="002F2F2E" w:rsidRDefault="002F2F2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CF37F" w14:textId="77777777" w:rsidR="002F2F2E" w:rsidRDefault="002F2F2E" w:rsidP="004A1847">
      <w:pPr>
        <w:spacing w:after="0" w:line="240" w:lineRule="auto"/>
      </w:pPr>
      <w:r>
        <w:separator/>
      </w:r>
    </w:p>
  </w:footnote>
  <w:footnote w:type="continuationSeparator" w:id="0">
    <w:p w14:paraId="490C6D00" w14:textId="77777777" w:rsidR="002F2F2E" w:rsidRDefault="002F2F2E" w:rsidP="004A1847">
      <w:pPr>
        <w:spacing w:after="0" w:line="240" w:lineRule="auto"/>
      </w:pPr>
      <w:r>
        <w:continuationSeparator/>
      </w:r>
    </w:p>
  </w:footnote>
  <w:footnote w:id="1">
    <w:p w14:paraId="369C05E0" w14:textId="77777777" w:rsidR="00642229" w:rsidRDefault="00642229" w:rsidP="00642229">
      <w:pPr>
        <w:pStyle w:val="Textonotapie"/>
        <w:ind w:firstLine="708"/>
        <w:jc w:val="both"/>
        <w:rPr>
          <w:rFonts w:ascii="Verdana" w:hAnsi="Verdana" w:cs="Arial"/>
          <w:sz w:val="18"/>
          <w:szCs w:val="18"/>
          <w:lang w:val="pt-BR"/>
        </w:rPr>
      </w:pPr>
      <w:r w:rsidRPr="009D512D">
        <w:rPr>
          <w:rStyle w:val="Refdenotaalpie"/>
          <w:rFonts w:ascii="Verdana" w:hAnsi="Verdana" w:cs="Arial"/>
          <w:sz w:val="18"/>
          <w:szCs w:val="18"/>
        </w:rPr>
        <w:footnoteRef/>
      </w:r>
      <w:r w:rsidRPr="009D512D">
        <w:rPr>
          <w:rFonts w:ascii="Verdana" w:hAnsi="Verdana" w:cs="Arial"/>
          <w:sz w:val="18"/>
          <w:szCs w:val="18"/>
          <w:lang w:val="pt-BR"/>
        </w:rPr>
        <w:t xml:space="preserve"> Corte Constitucional. Sentencia C-1016 de 2012. M.P. Jorge Iván Palacio. </w:t>
      </w:r>
    </w:p>
    <w:p w14:paraId="1A9A406A" w14:textId="77777777" w:rsidR="00642229" w:rsidRPr="009D512D" w:rsidRDefault="00642229" w:rsidP="00642229">
      <w:pPr>
        <w:pStyle w:val="Textonotapie"/>
        <w:ind w:firstLine="708"/>
        <w:jc w:val="both"/>
        <w:rPr>
          <w:rFonts w:ascii="Verdana" w:hAnsi="Verdana" w:cs="Arial"/>
          <w:sz w:val="18"/>
          <w:szCs w:val="18"/>
          <w:lang w:val="pt-BR"/>
        </w:rPr>
      </w:pPr>
    </w:p>
  </w:footnote>
  <w:footnote w:id="2">
    <w:p w14:paraId="2AA5D469" w14:textId="77777777" w:rsidR="00642229" w:rsidRDefault="00642229" w:rsidP="00642229">
      <w:pPr>
        <w:pStyle w:val="Textonotapie"/>
        <w:ind w:firstLine="708"/>
        <w:jc w:val="both"/>
        <w:rPr>
          <w:rFonts w:ascii="Verdana" w:hAnsi="Verdana" w:cs="Arial"/>
          <w:sz w:val="18"/>
          <w:szCs w:val="18"/>
          <w:lang w:val="pt-BR"/>
        </w:rPr>
      </w:pPr>
      <w:r w:rsidRPr="009D512D">
        <w:rPr>
          <w:rStyle w:val="Refdenotaalpie"/>
          <w:rFonts w:ascii="Verdana" w:hAnsi="Verdana" w:cs="Arial"/>
          <w:sz w:val="18"/>
          <w:szCs w:val="18"/>
        </w:rPr>
        <w:footnoteRef/>
      </w:r>
      <w:r w:rsidRPr="009D512D">
        <w:rPr>
          <w:rFonts w:ascii="Verdana" w:hAnsi="Verdana" w:cs="Arial"/>
          <w:sz w:val="18"/>
          <w:szCs w:val="18"/>
        </w:rPr>
        <w:t xml:space="preserve"> Consejo De Estado. Sección Tercera. Subsección A. Sentencia del 13 de noviembre de 2013. </w:t>
      </w:r>
      <w:r w:rsidRPr="009D512D">
        <w:rPr>
          <w:rFonts w:ascii="Verdana" w:hAnsi="Verdana" w:cs="Arial"/>
          <w:sz w:val="18"/>
          <w:szCs w:val="18"/>
          <w:lang w:val="pt-BR"/>
        </w:rPr>
        <w:t xml:space="preserve">Rad. 25.646. C.P. Mauricio Fajardo Gómez.  </w:t>
      </w:r>
    </w:p>
    <w:p w14:paraId="36D298EF" w14:textId="77777777" w:rsidR="00642229" w:rsidRPr="009D512D" w:rsidRDefault="00642229" w:rsidP="00642229">
      <w:pPr>
        <w:pStyle w:val="Textonotapie"/>
        <w:ind w:firstLine="708"/>
        <w:jc w:val="both"/>
        <w:rPr>
          <w:rFonts w:ascii="Verdana" w:hAnsi="Verdana" w:cs="Arial"/>
          <w:sz w:val="18"/>
          <w:szCs w:val="18"/>
          <w:lang w:val="pt-BR"/>
        </w:rPr>
      </w:pPr>
    </w:p>
  </w:footnote>
  <w:footnote w:id="3">
    <w:p w14:paraId="4841EC07" w14:textId="77777777" w:rsidR="00642229" w:rsidRPr="009D512D" w:rsidRDefault="00642229" w:rsidP="00642229">
      <w:pPr>
        <w:pStyle w:val="Textonotapie"/>
        <w:ind w:firstLine="708"/>
        <w:jc w:val="both"/>
        <w:rPr>
          <w:rFonts w:ascii="Verdana" w:hAnsi="Verdana" w:cs="Arial"/>
          <w:sz w:val="18"/>
          <w:szCs w:val="18"/>
          <w:lang w:val="pt-BR"/>
        </w:rPr>
      </w:pPr>
      <w:r w:rsidRPr="009D512D">
        <w:rPr>
          <w:rStyle w:val="Refdenotaalpie"/>
          <w:rFonts w:ascii="Verdana" w:hAnsi="Verdana" w:cs="Arial"/>
          <w:sz w:val="18"/>
          <w:szCs w:val="18"/>
        </w:rPr>
        <w:footnoteRef/>
      </w:r>
      <w:r w:rsidRPr="009D512D">
        <w:rPr>
          <w:rFonts w:ascii="Verdana" w:hAnsi="Verdana" w:cs="Arial"/>
          <w:sz w:val="18"/>
          <w:szCs w:val="18"/>
          <w:lang w:val="pt-BR"/>
        </w:rPr>
        <w:t xml:space="preserve"> Ibidem. </w:t>
      </w:r>
    </w:p>
    <w:p w14:paraId="2408B544" w14:textId="77777777" w:rsidR="00642229" w:rsidRPr="009D512D" w:rsidRDefault="00642229" w:rsidP="00642229">
      <w:pPr>
        <w:pStyle w:val="Textonotapie"/>
        <w:ind w:firstLine="708"/>
        <w:jc w:val="both"/>
        <w:rPr>
          <w:rFonts w:ascii="Verdana" w:hAnsi="Verdana" w:cs="Arial"/>
          <w:sz w:val="18"/>
          <w:szCs w:val="18"/>
          <w:lang w:val="pt-BR"/>
        </w:rPr>
      </w:pPr>
    </w:p>
  </w:footnote>
  <w:footnote w:id="4">
    <w:p w14:paraId="7D1EBAAE" w14:textId="77777777" w:rsidR="00642229" w:rsidRPr="009D512D" w:rsidRDefault="00642229" w:rsidP="00642229">
      <w:pPr>
        <w:pStyle w:val="Textonotapie"/>
        <w:ind w:firstLine="708"/>
        <w:jc w:val="both"/>
        <w:rPr>
          <w:rFonts w:ascii="Verdana" w:hAnsi="Verdana" w:cs="Arial"/>
          <w:sz w:val="18"/>
          <w:szCs w:val="18"/>
        </w:rPr>
      </w:pPr>
      <w:r w:rsidRPr="009D512D">
        <w:rPr>
          <w:rStyle w:val="Refdenotaalpie"/>
          <w:rFonts w:ascii="Verdana" w:hAnsi="Verdana" w:cs="Arial"/>
          <w:sz w:val="18"/>
          <w:szCs w:val="18"/>
        </w:rPr>
        <w:footnoteRef/>
      </w:r>
      <w:r w:rsidRPr="009D512D">
        <w:rPr>
          <w:rFonts w:ascii="Verdana" w:hAnsi="Verdana" w:cs="Arial"/>
          <w:sz w:val="18"/>
          <w:szCs w:val="18"/>
          <w:lang w:val="pt-BR"/>
        </w:rPr>
        <w:t xml:space="preserve"> Corte Constitucional. </w:t>
      </w:r>
      <w:r w:rsidRPr="009D512D">
        <w:rPr>
          <w:rFonts w:ascii="Verdana" w:hAnsi="Verdana" w:cs="Arial"/>
          <w:sz w:val="18"/>
          <w:szCs w:val="18"/>
        </w:rPr>
        <w:t xml:space="preserve">Sentencia C-780 de 2001. M.P. Jaime Córdoba Triviño. </w:t>
      </w:r>
    </w:p>
    <w:p w14:paraId="1EECA245" w14:textId="77777777" w:rsidR="00642229" w:rsidRPr="009D512D" w:rsidRDefault="00642229" w:rsidP="00642229">
      <w:pPr>
        <w:pStyle w:val="Textonotapie"/>
        <w:ind w:firstLine="708"/>
        <w:jc w:val="both"/>
        <w:rPr>
          <w:rFonts w:ascii="Verdana" w:hAnsi="Verdana" w:cs="Arial"/>
          <w:sz w:val="18"/>
          <w:szCs w:val="18"/>
        </w:rPr>
      </w:pPr>
    </w:p>
  </w:footnote>
  <w:footnote w:id="5">
    <w:p w14:paraId="7719EAAF" w14:textId="77777777" w:rsidR="00642229" w:rsidRDefault="00642229" w:rsidP="00642229">
      <w:pPr>
        <w:pStyle w:val="Textonotapie"/>
        <w:ind w:firstLine="709"/>
        <w:jc w:val="both"/>
        <w:rPr>
          <w:rFonts w:ascii="Verdana" w:hAnsi="Verdana" w:cs="Arial"/>
          <w:color w:val="000000"/>
          <w:sz w:val="18"/>
          <w:szCs w:val="18"/>
          <w:lang w:val="es-ES"/>
        </w:rPr>
      </w:pPr>
      <w:r w:rsidRPr="009D512D">
        <w:rPr>
          <w:rStyle w:val="Refdenotaalpie"/>
          <w:rFonts w:ascii="Verdana" w:hAnsi="Verdana"/>
          <w:sz w:val="18"/>
          <w:szCs w:val="18"/>
        </w:rPr>
        <w:footnoteRef/>
      </w:r>
      <w:r w:rsidRPr="009D512D">
        <w:rPr>
          <w:rFonts w:ascii="Verdana" w:hAnsi="Verdana" w:cs="Arial"/>
          <w:color w:val="000000"/>
          <w:sz w:val="18"/>
          <w:szCs w:val="18"/>
        </w:rPr>
        <w:t xml:space="preserve"> </w:t>
      </w:r>
      <w:r w:rsidRPr="009D512D">
        <w:rPr>
          <w:rFonts w:ascii="Verdana" w:hAnsi="Verdana" w:cs="Arial"/>
          <w:sz w:val="18"/>
          <w:szCs w:val="18"/>
          <w:lang w:val="pt-BR"/>
        </w:rPr>
        <w:t>Ibidem</w:t>
      </w:r>
      <w:r w:rsidRPr="009D512D">
        <w:rPr>
          <w:rFonts w:ascii="Verdana" w:hAnsi="Verdana" w:cs="Arial"/>
          <w:color w:val="000000"/>
          <w:sz w:val="18"/>
          <w:szCs w:val="18"/>
          <w:lang w:val="es-ES"/>
        </w:rPr>
        <w:t>. Página 69.</w:t>
      </w:r>
    </w:p>
    <w:p w14:paraId="384D2F90" w14:textId="77777777" w:rsidR="00642229" w:rsidRPr="009D512D" w:rsidRDefault="00642229" w:rsidP="00642229">
      <w:pPr>
        <w:pStyle w:val="Textonotapie"/>
        <w:ind w:firstLine="709"/>
        <w:jc w:val="both"/>
        <w:rPr>
          <w:rFonts w:ascii="Verdana" w:hAnsi="Verdana" w:cs="Arial"/>
          <w:color w:val="000000"/>
          <w:sz w:val="18"/>
          <w:szCs w:val="18"/>
          <w:lang w:val="es-ES"/>
        </w:rPr>
      </w:pPr>
    </w:p>
  </w:footnote>
  <w:footnote w:id="6">
    <w:p w14:paraId="0426880D" w14:textId="77777777" w:rsidR="00642229" w:rsidRPr="009D512D" w:rsidRDefault="00642229" w:rsidP="00642229">
      <w:pPr>
        <w:pStyle w:val="Textonotapie"/>
        <w:ind w:firstLine="709"/>
        <w:jc w:val="both"/>
        <w:rPr>
          <w:rFonts w:ascii="Verdana" w:hAnsi="Verdana" w:cs="Arial"/>
          <w:color w:val="000000"/>
          <w:sz w:val="18"/>
          <w:szCs w:val="18"/>
          <w:lang w:val="es-ES"/>
        </w:rPr>
      </w:pPr>
      <w:r w:rsidRPr="009D512D">
        <w:rPr>
          <w:rStyle w:val="Refdenotaalpie"/>
          <w:rFonts w:ascii="Verdana" w:hAnsi="Verdana"/>
          <w:sz w:val="18"/>
          <w:szCs w:val="18"/>
        </w:rPr>
        <w:footnoteRef/>
      </w:r>
      <w:r w:rsidRPr="009D512D">
        <w:rPr>
          <w:rFonts w:ascii="Verdana" w:hAnsi="Verdana" w:cs="Arial"/>
          <w:color w:val="000000"/>
          <w:sz w:val="18"/>
          <w:szCs w:val="18"/>
        </w:rPr>
        <w:t xml:space="preserve"> </w:t>
      </w:r>
      <w:r w:rsidRPr="009D512D">
        <w:rPr>
          <w:rFonts w:ascii="Verdana" w:hAnsi="Verdana" w:cs="Arial"/>
          <w:color w:val="000000"/>
          <w:sz w:val="18"/>
          <w:szCs w:val="18"/>
          <w:lang w:val="es-ES"/>
        </w:rPr>
        <w:t xml:space="preserve">Corte Constitucional. Sentencia T-1039 de 2006. </w:t>
      </w:r>
      <w:r w:rsidRPr="009D512D">
        <w:rPr>
          <w:rFonts w:ascii="Verdana" w:hAnsi="Verdana" w:cs="Arial"/>
          <w:color w:val="000000"/>
          <w:sz w:val="18"/>
          <w:szCs w:val="18"/>
          <w:lang w:val="it-IT"/>
        </w:rPr>
        <w:t xml:space="preserve">Magistrado Ponente: Humberto Sierra Porto. </w:t>
      </w:r>
      <w:r w:rsidRPr="009D512D">
        <w:rPr>
          <w:rFonts w:ascii="Verdana" w:hAnsi="Verdana" w:cs="Arial"/>
          <w:color w:val="000000"/>
          <w:sz w:val="18"/>
          <w:szCs w:val="18"/>
          <w:lang w:val="es-ES"/>
        </w:rPr>
        <w:t xml:space="preserve">La Corte ha mantenido este criterio en las sentencias: C-903 de 2008. Magistrado Ponente: Jaime Araujo Rentería; C-101 de 2018. Magistrada Ponente Gloria Stella Ortiz Delgado; entre otras. </w:t>
      </w:r>
    </w:p>
    <w:p w14:paraId="553DFAF1" w14:textId="77777777" w:rsidR="00642229" w:rsidRPr="009D512D" w:rsidRDefault="00642229" w:rsidP="00642229">
      <w:pPr>
        <w:pStyle w:val="Textonotapie"/>
        <w:ind w:firstLine="709"/>
        <w:jc w:val="both"/>
        <w:rPr>
          <w:rFonts w:ascii="Verdana" w:hAnsi="Verdana" w:cs="Arial"/>
          <w:color w:val="000000"/>
          <w:sz w:val="18"/>
          <w:szCs w:val="18"/>
          <w:lang w:val="es-ES"/>
        </w:rPr>
      </w:pPr>
    </w:p>
  </w:footnote>
  <w:footnote w:id="7">
    <w:p w14:paraId="45D0CD70" w14:textId="77777777" w:rsidR="00642229" w:rsidRDefault="00642229" w:rsidP="00642229">
      <w:pPr>
        <w:pStyle w:val="Textonotapie"/>
        <w:ind w:firstLine="709"/>
        <w:jc w:val="both"/>
        <w:rPr>
          <w:rFonts w:ascii="Verdana" w:hAnsi="Verdana" w:cs="Arial"/>
          <w:color w:val="000000"/>
          <w:sz w:val="18"/>
          <w:szCs w:val="18"/>
          <w:lang w:val="es-ES"/>
        </w:rPr>
      </w:pPr>
      <w:r w:rsidRPr="009D512D">
        <w:rPr>
          <w:rStyle w:val="Refdenotaalpie"/>
          <w:rFonts w:ascii="Verdana" w:hAnsi="Verdana"/>
          <w:sz w:val="18"/>
          <w:szCs w:val="18"/>
        </w:rPr>
        <w:footnoteRef/>
      </w:r>
      <w:r w:rsidRPr="009D512D">
        <w:rPr>
          <w:rFonts w:ascii="Verdana" w:hAnsi="Verdana" w:cs="Arial"/>
          <w:color w:val="000000"/>
          <w:sz w:val="18"/>
          <w:szCs w:val="18"/>
        </w:rPr>
        <w:t xml:space="preserve"> </w:t>
      </w:r>
      <w:r w:rsidRPr="009D512D">
        <w:rPr>
          <w:rFonts w:ascii="Verdana" w:hAnsi="Verdana" w:cs="Arial"/>
          <w:color w:val="000000"/>
          <w:sz w:val="18"/>
          <w:szCs w:val="18"/>
          <w:lang w:val="es-ES"/>
        </w:rPr>
        <w:t>Consejo de Estado. Sala de Consulta y Servicio Civil. Concepto del 30 de abril de 2015. Expediente: 2.251. Consejero Ponente: Álvaro Namén Vargas.</w:t>
      </w:r>
    </w:p>
    <w:p w14:paraId="76660C03" w14:textId="77777777" w:rsidR="00642229" w:rsidRPr="009D512D" w:rsidRDefault="00642229" w:rsidP="00642229">
      <w:pPr>
        <w:pStyle w:val="Textonotapie"/>
        <w:ind w:firstLine="709"/>
        <w:jc w:val="both"/>
        <w:rPr>
          <w:rFonts w:ascii="Verdana" w:hAnsi="Verdana" w:cs="Arial"/>
          <w:color w:val="000000"/>
          <w:sz w:val="18"/>
          <w:szCs w:val="18"/>
          <w:lang w:val="es-ES"/>
        </w:rPr>
      </w:pPr>
    </w:p>
  </w:footnote>
  <w:footnote w:id="8">
    <w:p w14:paraId="2A700102" w14:textId="6CABEB70" w:rsidR="00416C04" w:rsidRPr="003D68E9" w:rsidRDefault="00416C04" w:rsidP="00E37833">
      <w:pPr>
        <w:pStyle w:val="Textonotapie"/>
        <w:ind w:firstLine="708"/>
        <w:jc w:val="both"/>
        <w:rPr>
          <w:rFonts w:ascii="Verdana" w:hAnsi="Verdana"/>
          <w:sz w:val="18"/>
          <w:szCs w:val="18"/>
          <w:lang w:val="es-ES"/>
        </w:rPr>
      </w:pPr>
      <w:r w:rsidRPr="003D68E9">
        <w:rPr>
          <w:rStyle w:val="Refdenotaalpie"/>
          <w:rFonts w:ascii="Verdana" w:hAnsi="Verdana"/>
          <w:sz w:val="18"/>
          <w:szCs w:val="18"/>
        </w:rPr>
        <w:footnoteRef/>
      </w:r>
      <w:r w:rsidRPr="003D68E9">
        <w:rPr>
          <w:rFonts w:ascii="Verdana" w:hAnsi="Verdana"/>
          <w:sz w:val="18"/>
          <w:szCs w:val="18"/>
        </w:rPr>
        <w:t xml:space="preserve"> </w:t>
      </w:r>
      <w:r w:rsidR="003D68E9" w:rsidRPr="003D68E9">
        <w:rPr>
          <w:rFonts w:ascii="Verdana" w:hAnsi="Verdana"/>
          <w:sz w:val="18"/>
          <w:szCs w:val="18"/>
        </w:rPr>
        <w:t>Corte Constitucional, Sentencia C-415 de 1994</w:t>
      </w:r>
      <w:r w:rsidR="00E11776">
        <w:rPr>
          <w:rFonts w:ascii="Verdana" w:hAnsi="Verdana"/>
          <w:sz w:val="18"/>
          <w:szCs w:val="18"/>
        </w:rPr>
        <w:t xml:space="preserve">. </w:t>
      </w:r>
      <w:r w:rsidR="00E37833">
        <w:rPr>
          <w:rFonts w:ascii="Verdana" w:hAnsi="Verdana"/>
          <w:sz w:val="18"/>
          <w:szCs w:val="18"/>
        </w:rPr>
        <w:t xml:space="preserve">22 de septiembre del 1994. M.P. Eduardo Cifuentes Muñoz. </w:t>
      </w:r>
    </w:p>
  </w:footnote>
  <w:footnote w:id="9">
    <w:p w14:paraId="6AA064AC" w14:textId="2EDF896B" w:rsidR="0039601A" w:rsidRPr="0039601A" w:rsidRDefault="0039601A" w:rsidP="0039601A">
      <w:pPr>
        <w:pStyle w:val="Textonotapie"/>
        <w:ind w:firstLine="709"/>
        <w:jc w:val="both"/>
        <w:rPr>
          <w:rFonts w:ascii="Verdana" w:hAnsi="Verdana" w:cs="Arial"/>
          <w:color w:val="000000"/>
          <w:sz w:val="18"/>
          <w:szCs w:val="18"/>
          <w:lang w:val="es-ES"/>
        </w:rPr>
      </w:pPr>
      <w:r w:rsidRPr="008B6F45">
        <w:rPr>
          <w:rStyle w:val="Refdenotaalpie"/>
        </w:rPr>
        <w:footnoteRef/>
      </w:r>
      <w:r w:rsidRPr="008B6F45">
        <w:t xml:space="preserve"> </w:t>
      </w:r>
      <w:r w:rsidRPr="008B6F45">
        <w:rPr>
          <w:rFonts w:ascii="Verdana" w:hAnsi="Verdana" w:cs="Arial"/>
          <w:color w:val="000000"/>
          <w:sz w:val="18"/>
          <w:szCs w:val="18"/>
          <w:lang w:val="es-ES"/>
        </w:rPr>
        <w:t xml:space="preserve">Consejo de Estado. </w:t>
      </w:r>
      <w:r w:rsidR="008B6F45">
        <w:rPr>
          <w:rFonts w:ascii="Verdana" w:hAnsi="Verdana" w:cs="Arial"/>
          <w:color w:val="000000"/>
          <w:sz w:val="18"/>
          <w:szCs w:val="18"/>
          <w:lang w:val="es-ES"/>
        </w:rPr>
        <w:t>Se</w:t>
      </w:r>
      <w:r w:rsidR="005C1145">
        <w:rPr>
          <w:rFonts w:ascii="Verdana" w:hAnsi="Verdana" w:cs="Arial"/>
          <w:color w:val="000000"/>
          <w:sz w:val="18"/>
          <w:szCs w:val="18"/>
          <w:lang w:val="es-ES"/>
        </w:rPr>
        <w:t xml:space="preserve">cción Segunda. Subsección A. Sentencia 31 de enero del 2019. CP. </w:t>
      </w:r>
      <w:r w:rsidR="005C1145" w:rsidRPr="005C1145">
        <w:rPr>
          <w:rFonts w:ascii="Verdana" w:hAnsi="Verdana" w:cs="Arial"/>
          <w:color w:val="000000"/>
          <w:sz w:val="18"/>
          <w:szCs w:val="18"/>
          <w:lang w:val="es-ES"/>
        </w:rPr>
        <w:t>GERARDO PÉREZ MENESES</w:t>
      </w:r>
      <w:r w:rsidR="008B6F45">
        <w:rPr>
          <w:rFonts w:ascii="Verdana" w:hAnsi="Verdana" w:cs="Arial"/>
          <w:color w:val="000000"/>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542086715">
    <w:abstractNumId w:val="9"/>
  </w:num>
  <w:num w:numId="18" w16cid:durableId="1723482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669"/>
    <w:rsid w:val="00016F78"/>
    <w:rsid w:val="00020581"/>
    <w:rsid w:val="00046945"/>
    <w:rsid w:val="00061B2A"/>
    <w:rsid w:val="00061C94"/>
    <w:rsid w:val="00082362"/>
    <w:rsid w:val="000923C2"/>
    <w:rsid w:val="000A683E"/>
    <w:rsid w:val="000B19B9"/>
    <w:rsid w:val="000D0334"/>
    <w:rsid w:val="000D5DA7"/>
    <w:rsid w:val="000F2564"/>
    <w:rsid w:val="000F6486"/>
    <w:rsid w:val="00116940"/>
    <w:rsid w:val="00125105"/>
    <w:rsid w:val="00127233"/>
    <w:rsid w:val="00142206"/>
    <w:rsid w:val="0015699B"/>
    <w:rsid w:val="0017196E"/>
    <w:rsid w:val="001762C2"/>
    <w:rsid w:val="001905F3"/>
    <w:rsid w:val="001954F5"/>
    <w:rsid w:val="00195A84"/>
    <w:rsid w:val="001968CB"/>
    <w:rsid w:val="001A247B"/>
    <w:rsid w:val="001A33BF"/>
    <w:rsid w:val="001C21B9"/>
    <w:rsid w:val="001E4177"/>
    <w:rsid w:val="001F0B24"/>
    <w:rsid w:val="001F7DC6"/>
    <w:rsid w:val="0022400B"/>
    <w:rsid w:val="002377F1"/>
    <w:rsid w:val="002421BB"/>
    <w:rsid w:val="00243BD4"/>
    <w:rsid w:val="0025796E"/>
    <w:rsid w:val="002707A2"/>
    <w:rsid w:val="002951A0"/>
    <w:rsid w:val="002962BC"/>
    <w:rsid w:val="002A093D"/>
    <w:rsid w:val="002A0DD0"/>
    <w:rsid w:val="002A49AC"/>
    <w:rsid w:val="002A64FD"/>
    <w:rsid w:val="002C7A84"/>
    <w:rsid w:val="002D7E6B"/>
    <w:rsid w:val="002E2BF8"/>
    <w:rsid w:val="002E4FD9"/>
    <w:rsid w:val="002F2F2E"/>
    <w:rsid w:val="0030657A"/>
    <w:rsid w:val="00322A85"/>
    <w:rsid w:val="00324168"/>
    <w:rsid w:val="00330834"/>
    <w:rsid w:val="003448F4"/>
    <w:rsid w:val="00345746"/>
    <w:rsid w:val="00364798"/>
    <w:rsid w:val="00364A05"/>
    <w:rsid w:val="00374F5E"/>
    <w:rsid w:val="00377E3E"/>
    <w:rsid w:val="0039601A"/>
    <w:rsid w:val="003A779E"/>
    <w:rsid w:val="003B754E"/>
    <w:rsid w:val="003D0F4D"/>
    <w:rsid w:val="003D1A82"/>
    <w:rsid w:val="003D5B0D"/>
    <w:rsid w:val="003D68E9"/>
    <w:rsid w:val="003E0499"/>
    <w:rsid w:val="003E4229"/>
    <w:rsid w:val="003E4F80"/>
    <w:rsid w:val="003E6439"/>
    <w:rsid w:val="003F0BA4"/>
    <w:rsid w:val="003F3941"/>
    <w:rsid w:val="003F3C65"/>
    <w:rsid w:val="00406575"/>
    <w:rsid w:val="00414C74"/>
    <w:rsid w:val="00416C04"/>
    <w:rsid w:val="0042722E"/>
    <w:rsid w:val="0044528D"/>
    <w:rsid w:val="00447708"/>
    <w:rsid w:val="00466E39"/>
    <w:rsid w:val="00481A61"/>
    <w:rsid w:val="00494376"/>
    <w:rsid w:val="004950F9"/>
    <w:rsid w:val="004A1847"/>
    <w:rsid w:val="004A305D"/>
    <w:rsid w:val="004B104C"/>
    <w:rsid w:val="004D57EF"/>
    <w:rsid w:val="004F21C4"/>
    <w:rsid w:val="004F685F"/>
    <w:rsid w:val="00504E1C"/>
    <w:rsid w:val="00510BA8"/>
    <w:rsid w:val="00522D98"/>
    <w:rsid w:val="00527643"/>
    <w:rsid w:val="005276FA"/>
    <w:rsid w:val="005566E8"/>
    <w:rsid w:val="00565229"/>
    <w:rsid w:val="00574867"/>
    <w:rsid w:val="0057733F"/>
    <w:rsid w:val="00591460"/>
    <w:rsid w:val="005A65E0"/>
    <w:rsid w:val="005C1145"/>
    <w:rsid w:val="005C3777"/>
    <w:rsid w:val="005C5CDC"/>
    <w:rsid w:val="005D476C"/>
    <w:rsid w:val="005E54EC"/>
    <w:rsid w:val="005F5066"/>
    <w:rsid w:val="006200BF"/>
    <w:rsid w:val="006219F8"/>
    <w:rsid w:val="00626E5A"/>
    <w:rsid w:val="006302F7"/>
    <w:rsid w:val="00642229"/>
    <w:rsid w:val="00646B9F"/>
    <w:rsid w:val="00653F44"/>
    <w:rsid w:val="0066170B"/>
    <w:rsid w:val="00664028"/>
    <w:rsid w:val="00664E42"/>
    <w:rsid w:val="00665D70"/>
    <w:rsid w:val="006900D9"/>
    <w:rsid w:val="006B4E22"/>
    <w:rsid w:val="00706C16"/>
    <w:rsid w:val="00730000"/>
    <w:rsid w:val="0073085A"/>
    <w:rsid w:val="007340C3"/>
    <w:rsid w:val="0075235A"/>
    <w:rsid w:val="00756841"/>
    <w:rsid w:val="007649AB"/>
    <w:rsid w:val="00771D0C"/>
    <w:rsid w:val="007833AC"/>
    <w:rsid w:val="00792CFB"/>
    <w:rsid w:val="007A4C28"/>
    <w:rsid w:val="007B268C"/>
    <w:rsid w:val="007B6BD2"/>
    <w:rsid w:val="007B7171"/>
    <w:rsid w:val="007C0C0F"/>
    <w:rsid w:val="007C3DC2"/>
    <w:rsid w:val="007E5497"/>
    <w:rsid w:val="00806F5F"/>
    <w:rsid w:val="00811024"/>
    <w:rsid w:val="00820278"/>
    <w:rsid w:val="00821890"/>
    <w:rsid w:val="008258C9"/>
    <w:rsid w:val="0084111E"/>
    <w:rsid w:val="00841F2B"/>
    <w:rsid w:val="00844AE9"/>
    <w:rsid w:val="00867F95"/>
    <w:rsid w:val="0087358B"/>
    <w:rsid w:val="008824A8"/>
    <w:rsid w:val="008843B6"/>
    <w:rsid w:val="00891928"/>
    <w:rsid w:val="008A446D"/>
    <w:rsid w:val="008B25F1"/>
    <w:rsid w:val="008B38E8"/>
    <w:rsid w:val="008B6F45"/>
    <w:rsid w:val="008D180B"/>
    <w:rsid w:val="008E611F"/>
    <w:rsid w:val="008F0EA7"/>
    <w:rsid w:val="00905123"/>
    <w:rsid w:val="00923BB9"/>
    <w:rsid w:val="00923EEF"/>
    <w:rsid w:val="009419F9"/>
    <w:rsid w:val="0095685E"/>
    <w:rsid w:val="00961B09"/>
    <w:rsid w:val="00965334"/>
    <w:rsid w:val="0097093E"/>
    <w:rsid w:val="00985555"/>
    <w:rsid w:val="009A0DFA"/>
    <w:rsid w:val="009A1C6F"/>
    <w:rsid w:val="009B2D26"/>
    <w:rsid w:val="009C71FA"/>
    <w:rsid w:val="009C72E7"/>
    <w:rsid w:val="009C7F7E"/>
    <w:rsid w:val="009D3058"/>
    <w:rsid w:val="009E154E"/>
    <w:rsid w:val="009F3A13"/>
    <w:rsid w:val="009F55D1"/>
    <w:rsid w:val="00A122D3"/>
    <w:rsid w:val="00A14468"/>
    <w:rsid w:val="00A17F13"/>
    <w:rsid w:val="00A20739"/>
    <w:rsid w:val="00A21697"/>
    <w:rsid w:val="00A23AF9"/>
    <w:rsid w:val="00A23FDC"/>
    <w:rsid w:val="00A33C78"/>
    <w:rsid w:val="00A81107"/>
    <w:rsid w:val="00AB0ADB"/>
    <w:rsid w:val="00B00C0E"/>
    <w:rsid w:val="00B01B1A"/>
    <w:rsid w:val="00B0300E"/>
    <w:rsid w:val="00B0381D"/>
    <w:rsid w:val="00B44A47"/>
    <w:rsid w:val="00B51662"/>
    <w:rsid w:val="00B524D4"/>
    <w:rsid w:val="00B57149"/>
    <w:rsid w:val="00B63A76"/>
    <w:rsid w:val="00B66142"/>
    <w:rsid w:val="00B72CD3"/>
    <w:rsid w:val="00B72FFF"/>
    <w:rsid w:val="00B74DA5"/>
    <w:rsid w:val="00BC2668"/>
    <w:rsid w:val="00BC3D36"/>
    <w:rsid w:val="00BD08A8"/>
    <w:rsid w:val="00BD15A9"/>
    <w:rsid w:val="00BD54A6"/>
    <w:rsid w:val="00BD7F72"/>
    <w:rsid w:val="00BF7425"/>
    <w:rsid w:val="00C04FB3"/>
    <w:rsid w:val="00C11D8B"/>
    <w:rsid w:val="00C15139"/>
    <w:rsid w:val="00C21403"/>
    <w:rsid w:val="00C330EB"/>
    <w:rsid w:val="00C50D69"/>
    <w:rsid w:val="00C5365C"/>
    <w:rsid w:val="00C754BE"/>
    <w:rsid w:val="00C76B1C"/>
    <w:rsid w:val="00C826F8"/>
    <w:rsid w:val="00C925AC"/>
    <w:rsid w:val="00CB6357"/>
    <w:rsid w:val="00CC1B26"/>
    <w:rsid w:val="00CC5E3D"/>
    <w:rsid w:val="00CC68FA"/>
    <w:rsid w:val="00D07990"/>
    <w:rsid w:val="00D235E2"/>
    <w:rsid w:val="00D27CE1"/>
    <w:rsid w:val="00D313CF"/>
    <w:rsid w:val="00D361FD"/>
    <w:rsid w:val="00D423A2"/>
    <w:rsid w:val="00D44E26"/>
    <w:rsid w:val="00D45A28"/>
    <w:rsid w:val="00D520D8"/>
    <w:rsid w:val="00D63AC2"/>
    <w:rsid w:val="00D7383B"/>
    <w:rsid w:val="00D7788A"/>
    <w:rsid w:val="00D85244"/>
    <w:rsid w:val="00D86D36"/>
    <w:rsid w:val="00DA1F59"/>
    <w:rsid w:val="00DA231B"/>
    <w:rsid w:val="00DA4DDB"/>
    <w:rsid w:val="00DC39FC"/>
    <w:rsid w:val="00DC41A7"/>
    <w:rsid w:val="00DF5254"/>
    <w:rsid w:val="00E02524"/>
    <w:rsid w:val="00E11776"/>
    <w:rsid w:val="00E16408"/>
    <w:rsid w:val="00E20894"/>
    <w:rsid w:val="00E245AB"/>
    <w:rsid w:val="00E2764C"/>
    <w:rsid w:val="00E27F2E"/>
    <w:rsid w:val="00E37833"/>
    <w:rsid w:val="00E50AFE"/>
    <w:rsid w:val="00E50E33"/>
    <w:rsid w:val="00E56328"/>
    <w:rsid w:val="00E75C92"/>
    <w:rsid w:val="00E771DC"/>
    <w:rsid w:val="00E8772A"/>
    <w:rsid w:val="00E90F6B"/>
    <w:rsid w:val="00E92C27"/>
    <w:rsid w:val="00EA0E3D"/>
    <w:rsid w:val="00EC38A7"/>
    <w:rsid w:val="00EC6C45"/>
    <w:rsid w:val="00ED495C"/>
    <w:rsid w:val="00ED7EB9"/>
    <w:rsid w:val="00EE1AA8"/>
    <w:rsid w:val="00F07002"/>
    <w:rsid w:val="00F11CB7"/>
    <w:rsid w:val="00F23FEA"/>
    <w:rsid w:val="00F25B0C"/>
    <w:rsid w:val="00F31EDC"/>
    <w:rsid w:val="00F462B3"/>
    <w:rsid w:val="00F5664F"/>
    <w:rsid w:val="00F666C4"/>
    <w:rsid w:val="00F76AFC"/>
    <w:rsid w:val="00FA47C0"/>
    <w:rsid w:val="00FB5DD1"/>
    <w:rsid w:val="00FC2B5D"/>
    <w:rsid w:val="00FC31F0"/>
    <w:rsid w:val="00FD3253"/>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7196E"/>
    <w:rPr>
      <w:rFonts w:ascii="Geomanist Light" w:hAnsi="Geomanist Light"/>
      <w:lang w:val="es-ES"/>
    </w:rPr>
  </w:style>
  <w:style w:type="paragraph" w:customStyle="1" w:styleId="Appelnotedebasde">
    <w:name w:val="Appel note de bas de..."/>
    <w:basedOn w:val="Normal"/>
    <w:link w:val="Refdenotaalpie"/>
    <w:rsid w:val="00D45A2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16507">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62229062">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4684990">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54453307">
      <w:marLeft w:val="0"/>
      <w:marRight w:val="0"/>
      <w:marTop w:val="0"/>
      <w:marBottom w:val="0"/>
      <w:divBdr>
        <w:top w:val="none" w:sz="0" w:space="0" w:color="auto"/>
        <w:left w:val="none" w:sz="0" w:space="0" w:color="auto"/>
        <w:bottom w:val="none" w:sz="0" w:space="0" w:color="auto"/>
        <w:right w:val="none" w:sz="0" w:space="0" w:color="auto"/>
      </w:divBdr>
    </w:div>
    <w:div w:id="1726105406">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ecplaneacion@buenosaires-cauc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4C0389-5CE3-45A5-BB13-43F3CAACB6C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5358D8F-B8FE-4101-9945-8808582AA73D}">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14</Pages>
  <Words>4405</Words>
  <Characters>24228</Characters>
  <Application>Microsoft Office Word</Application>
  <DocSecurity>0</DocSecurity>
  <Lines>201</Lines>
  <Paragraphs>57</Paragraphs>
  <ScaleCrop>false</ScaleCrop>
  <Company/>
  <LinksUpToDate>false</LinksUpToDate>
  <CharactersWithSpaces>28576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15</cp:revision>
  <cp:lastPrinted>2023-01-10T21:18:00Z</cp:lastPrinted>
  <dcterms:created xsi:type="dcterms:W3CDTF">2026-04-23T16:09:00Z</dcterms:created>
  <dcterms:modified xsi:type="dcterms:W3CDTF">2026-04-23T17:47:00Z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