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A572F4" w:rsidRDefault="00B55C69" w:rsidP="001A4314">
      <w:pPr>
        <w:jc w:val="right"/>
        <w:rPr>
          <w:rFonts w:ascii="Arial" w:eastAsia="Calibri" w:hAnsi="Arial" w:cs="Arial"/>
          <w:b/>
          <w:sz w:val="20"/>
          <w:szCs w:val="20"/>
          <w:lang w:val="es-ES_tradnl"/>
        </w:rPr>
      </w:pPr>
      <w:bookmarkStart w:id="0" w:name="_Hlk28946138"/>
      <w:bookmarkStart w:id="1" w:name="_Hlk29548183"/>
      <w:r w:rsidRPr="00A572F4">
        <w:rPr>
          <w:rFonts w:ascii="Arial" w:hAnsi="Arial" w:cs="Arial"/>
          <w:bCs/>
          <w:sz w:val="16"/>
          <w:szCs w:val="16"/>
          <w:lang w:val="es-ES_tradnl" w:eastAsia="es-ES"/>
        </w:rPr>
        <w:t>CCE-DES-FM-17</w:t>
      </w:r>
      <w:bookmarkEnd w:id="0"/>
      <w:bookmarkEnd w:id="1"/>
    </w:p>
    <w:p w14:paraId="55FBD910" w14:textId="77777777" w:rsidR="008536BB" w:rsidRPr="00A572F4" w:rsidRDefault="008536BB" w:rsidP="00B95C30">
      <w:pPr>
        <w:spacing w:line="276" w:lineRule="auto"/>
        <w:jc w:val="both"/>
        <w:rPr>
          <w:rFonts w:ascii="Arial" w:hAnsi="Arial" w:cs="Arial"/>
          <w:noProof/>
          <w:sz w:val="22"/>
          <w:lang w:val="es-ES_tradnl"/>
        </w:rPr>
      </w:pPr>
    </w:p>
    <w:p w14:paraId="6A9E6ADF" w14:textId="169A7A08" w:rsidR="00EC224E" w:rsidRPr="00A572F4" w:rsidRDefault="00EC224E" w:rsidP="00EC224E">
      <w:pPr>
        <w:jc w:val="both"/>
        <w:rPr>
          <w:rFonts w:ascii="Arial" w:eastAsia="Calibri" w:hAnsi="Arial" w:cs="Arial"/>
          <w:b/>
          <w:sz w:val="22"/>
          <w:lang w:val="es-ES_tradnl"/>
        </w:rPr>
      </w:pPr>
      <w:r w:rsidRPr="00A572F4">
        <w:rPr>
          <w:rFonts w:ascii="Arial" w:eastAsia="Calibri" w:hAnsi="Arial" w:cs="Arial"/>
          <w:b/>
          <w:sz w:val="22"/>
          <w:lang w:val="es-ES_tradnl"/>
        </w:rPr>
        <w:t xml:space="preserve">LEY DE EMPRENDIMIENTO – Ley </w:t>
      </w:r>
      <w:r w:rsidR="001F0325" w:rsidRPr="00A572F4">
        <w:rPr>
          <w:rFonts w:ascii="Arial" w:eastAsia="Calibri" w:hAnsi="Arial" w:cs="Arial"/>
          <w:b/>
          <w:sz w:val="22"/>
          <w:lang w:val="es-ES_tradnl"/>
        </w:rPr>
        <w:t>2069</w:t>
      </w:r>
      <w:r w:rsidRPr="00A572F4">
        <w:rPr>
          <w:rFonts w:ascii="Arial" w:eastAsia="Calibri" w:hAnsi="Arial" w:cs="Arial"/>
          <w:b/>
          <w:sz w:val="22"/>
          <w:lang w:val="es-ES_tradnl"/>
        </w:rPr>
        <w:t xml:space="preserve"> de 2020 – Vigencia </w:t>
      </w:r>
    </w:p>
    <w:p w14:paraId="5A76D430" w14:textId="77777777" w:rsidR="00EC224E" w:rsidRPr="00A572F4" w:rsidRDefault="00EC224E" w:rsidP="00EC224E">
      <w:pPr>
        <w:jc w:val="both"/>
        <w:rPr>
          <w:rFonts w:ascii="Arial" w:eastAsia="Calibri" w:hAnsi="Arial" w:cs="Arial"/>
          <w:b/>
          <w:sz w:val="22"/>
          <w:lang w:val="es-ES_tradnl"/>
        </w:rPr>
      </w:pPr>
    </w:p>
    <w:p w14:paraId="0D9471D6" w14:textId="77777777" w:rsidR="00C167F7" w:rsidRPr="00A572F4" w:rsidRDefault="00C167F7" w:rsidP="00C167F7">
      <w:pPr>
        <w:jc w:val="both"/>
        <w:rPr>
          <w:rFonts w:ascii="Arial" w:eastAsia="Calibri" w:hAnsi="Arial" w:cs="Arial"/>
          <w:sz w:val="20"/>
          <w:szCs w:val="20"/>
          <w:lang w:val="es-ES_tradnl"/>
        </w:rPr>
      </w:pPr>
      <w:r w:rsidRPr="00A572F4">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2DFC6D5" w14:textId="77777777" w:rsidR="00C167F7" w:rsidRPr="00A572F4" w:rsidRDefault="00C167F7" w:rsidP="00C167F7">
      <w:pPr>
        <w:jc w:val="both"/>
        <w:rPr>
          <w:rFonts w:ascii="Arial" w:eastAsia="Calibri" w:hAnsi="Arial" w:cs="Arial"/>
          <w:sz w:val="20"/>
          <w:szCs w:val="20"/>
          <w:lang w:val="es-ES_tradnl"/>
        </w:rPr>
      </w:pPr>
    </w:p>
    <w:p w14:paraId="2DDB93AD" w14:textId="77777777" w:rsidR="00C167F7" w:rsidRPr="00A572F4" w:rsidRDefault="00C167F7" w:rsidP="00C167F7">
      <w:pPr>
        <w:jc w:val="both"/>
        <w:rPr>
          <w:rFonts w:ascii="Arial" w:eastAsia="Calibri" w:hAnsi="Arial" w:cs="Arial"/>
          <w:sz w:val="20"/>
          <w:szCs w:val="20"/>
          <w:lang w:val="es-ES_tradnl"/>
        </w:rPr>
      </w:pPr>
      <w:r w:rsidRPr="00A572F4">
        <w:rPr>
          <w:rFonts w:ascii="Arial" w:eastAsia="Calibri" w:hAnsi="Arial" w:cs="Arial"/>
          <w:sz w:val="20"/>
          <w:szCs w:val="20"/>
          <w:lang w:val="es-ES_tradnl"/>
        </w:rPr>
        <w:t xml:space="preserve">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A572F4">
        <w:rPr>
          <w:rFonts w:ascii="Arial" w:eastAsia="Calibri" w:hAnsi="Arial" w:cs="Arial"/>
          <w:sz w:val="20"/>
          <w:szCs w:val="20"/>
          <w:lang w:val="es-ES_tradnl"/>
        </w:rPr>
        <w:t>de acuerdo a</w:t>
      </w:r>
      <w:proofErr w:type="gramEnd"/>
      <w:r w:rsidRPr="00A572F4">
        <w:rPr>
          <w:rFonts w:ascii="Arial" w:eastAsia="Calibri" w:hAnsi="Arial" w:cs="Arial"/>
          <w:sz w:val="20"/>
          <w:szCs w:val="20"/>
          <w:lang w:val="es-ES_tradnl"/>
        </w:rPr>
        <w:t xml:space="preserve"> las realidades socioeconómicas de cada región». En desarrollo de esta finalidad, se establecen medidas de apoyo para las micro, pequeñas y medianas empresas –«</w:t>
      </w:r>
      <w:proofErr w:type="spellStart"/>
      <w:r w:rsidRPr="00A572F4">
        <w:rPr>
          <w:rFonts w:ascii="Arial" w:eastAsia="Calibri" w:hAnsi="Arial" w:cs="Arial"/>
          <w:sz w:val="20"/>
          <w:szCs w:val="20"/>
          <w:lang w:val="es-ES_tradnl"/>
        </w:rPr>
        <w:t>mipymes</w:t>
      </w:r>
      <w:proofErr w:type="spellEnd"/>
      <w:r w:rsidRPr="00A572F4">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9641C5C" w14:textId="2925DEE5" w:rsidR="00EC224E" w:rsidRPr="00A572F4" w:rsidRDefault="00EC224E" w:rsidP="00EC224E">
      <w:pPr>
        <w:jc w:val="both"/>
        <w:rPr>
          <w:rFonts w:ascii="Arial" w:eastAsia="Calibri" w:hAnsi="Arial" w:cs="Arial"/>
          <w:sz w:val="20"/>
          <w:szCs w:val="20"/>
          <w:lang w:val="es-ES_tradnl"/>
        </w:rPr>
      </w:pPr>
    </w:p>
    <w:p w14:paraId="337472BC" w14:textId="2B1758B1" w:rsidR="0038484C" w:rsidRPr="00A572F4" w:rsidRDefault="005E04C5" w:rsidP="00EC224E">
      <w:pPr>
        <w:jc w:val="both"/>
        <w:rPr>
          <w:rFonts w:ascii="Arial" w:eastAsia="Calibri" w:hAnsi="Arial" w:cs="Arial"/>
          <w:b/>
          <w:bCs/>
          <w:sz w:val="22"/>
          <w:szCs w:val="22"/>
          <w:lang w:val="es-ES_tradnl"/>
        </w:rPr>
      </w:pPr>
      <w:r w:rsidRPr="00A572F4">
        <w:rPr>
          <w:rFonts w:ascii="Arial" w:eastAsia="Calibri" w:hAnsi="Arial" w:cs="Arial"/>
          <w:b/>
          <w:bCs/>
          <w:sz w:val="22"/>
          <w:szCs w:val="22"/>
          <w:lang w:val="es-ES_tradnl"/>
        </w:rPr>
        <w:t xml:space="preserve">INTERVENCIÓN DEL REGLAMENTO </w:t>
      </w:r>
      <w:r w:rsidRPr="00A572F4">
        <w:rPr>
          <w:rFonts w:ascii="Arial" w:eastAsia="Calibri" w:hAnsi="Arial" w:cs="Arial"/>
          <w:b/>
          <w:bCs/>
          <w:sz w:val="22"/>
          <w:szCs w:val="22"/>
          <w:lang w:val="es-ES_tradnl"/>
        </w:rPr>
        <w:softHyphen/>
        <w:t xml:space="preserve">– Ley 2069 de 2020 </w:t>
      </w:r>
      <w:r w:rsidRPr="00A572F4">
        <w:rPr>
          <w:rFonts w:ascii="Arial" w:eastAsia="Calibri" w:hAnsi="Arial" w:cs="Arial"/>
          <w:b/>
          <w:bCs/>
          <w:sz w:val="22"/>
          <w:szCs w:val="22"/>
          <w:lang w:val="es-ES_tradnl"/>
        </w:rPr>
        <w:softHyphen/>
      </w:r>
      <w:r w:rsidRPr="00A572F4">
        <w:rPr>
          <w:rFonts w:ascii="Arial" w:eastAsia="Calibri" w:hAnsi="Arial" w:cs="Arial"/>
          <w:b/>
          <w:bCs/>
          <w:sz w:val="22"/>
          <w:szCs w:val="22"/>
          <w:lang w:val="es-ES_tradnl"/>
        </w:rPr>
        <w:softHyphen/>
        <w:t>–</w:t>
      </w:r>
      <w:r w:rsidR="00681C78" w:rsidRPr="00A572F4">
        <w:rPr>
          <w:rFonts w:ascii="Arial" w:eastAsia="Calibri" w:hAnsi="Arial" w:cs="Arial"/>
          <w:b/>
          <w:bCs/>
          <w:sz w:val="22"/>
          <w:szCs w:val="22"/>
          <w:lang w:val="es-ES_tradnl"/>
        </w:rPr>
        <w:t xml:space="preserve"> </w:t>
      </w:r>
      <w:r w:rsidRPr="00A572F4">
        <w:rPr>
          <w:rFonts w:ascii="Arial" w:eastAsia="Calibri" w:hAnsi="Arial" w:cs="Arial"/>
          <w:b/>
          <w:bCs/>
          <w:sz w:val="22"/>
          <w:szCs w:val="22"/>
          <w:lang w:val="es-ES_tradnl"/>
        </w:rPr>
        <w:t>Aplicación directa</w:t>
      </w:r>
    </w:p>
    <w:p w14:paraId="18CC6427" w14:textId="77777777" w:rsidR="005E04C5" w:rsidRPr="00A572F4" w:rsidRDefault="005E04C5" w:rsidP="00EC224E">
      <w:pPr>
        <w:jc w:val="both"/>
        <w:rPr>
          <w:rFonts w:ascii="Arial" w:eastAsia="Calibri" w:hAnsi="Arial" w:cs="Arial"/>
          <w:sz w:val="20"/>
          <w:szCs w:val="20"/>
          <w:lang w:val="es-ES_tradnl"/>
        </w:rPr>
      </w:pPr>
    </w:p>
    <w:p w14:paraId="12BA5048" w14:textId="77777777" w:rsidR="00681C78" w:rsidRPr="00A572F4" w:rsidRDefault="00681C78" w:rsidP="00681C78">
      <w:pPr>
        <w:jc w:val="both"/>
        <w:rPr>
          <w:rFonts w:ascii="Arial" w:eastAsia="Calibri" w:hAnsi="Arial" w:cs="Arial"/>
          <w:sz w:val="20"/>
          <w:szCs w:val="20"/>
          <w:lang w:val="es-ES_tradnl"/>
        </w:rPr>
      </w:pPr>
      <w:r w:rsidRPr="00A572F4">
        <w:rPr>
          <w:rFonts w:ascii="Arial" w:eastAsia="Calibri" w:hAnsi="Arial" w:cs="Arial"/>
          <w:sz w:val="20"/>
          <w:szCs w:val="20"/>
          <w:lang w:val="es-ES_tradnl"/>
        </w:rPr>
        <w:t xml:space="preserve">En la Ley 2069 de 2020 la exigencia de reglamentación como condición de eficacia de su articulado es diversa, o sea, no es similar frente a todos sus enunciados normativos. Verbigracia, los artículos 31, 32, 34 y 36 de la Ley 2069 de 2020 disponen que el gobierno nacional reglamentará i) los criterios diferenciales para </w:t>
      </w:r>
      <w:proofErr w:type="spellStart"/>
      <w:r w:rsidRPr="00A572F4">
        <w:rPr>
          <w:rFonts w:ascii="Arial" w:eastAsia="Calibri" w:hAnsi="Arial" w:cs="Arial"/>
          <w:sz w:val="20"/>
          <w:szCs w:val="20"/>
          <w:lang w:val="es-ES_tradnl"/>
        </w:rPr>
        <w:t>mipymes</w:t>
      </w:r>
      <w:proofErr w:type="spellEnd"/>
      <w:r w:rsidRPr="00A572F4">
        <w:rPr>
          <w:rFonts w:ascii="Arial" w:eastAsia="Calibri" w:hAnsi="Arial" w:cs="Arial"/>
          <w:sz w:val="20"/>
          <w:szCs w:val="20"/>
          <w:lang w:val="es-ES_tradnl"/>
        </w:rPr>
        <w:t xml:space="preserve">, </w:t>
      </w:r>
      <w:proofErr w:type="spellStart"/>
      <w:r w:rsidRPr="00A572F4">
        <w:rPr>
          <w:rFonts w:ascii="Arial" w:eastAsia="Calibri" w:hAnsi="Arial" w:cs="Arial"/>
          <w:sz w:val="20"/>
          <w:szCs w:val="20"/>
          <w:lang w:val="es-ES_tradnl"/>
        </w:rPr>
        <w:t>ii</w:t>
      </w:r>
      <w:proofErr w:type="spellEnd"/>
      <w:r w:rsidRPr="00A572F4">
        <w:rPr>
          <w:rFonts w:ascii="Arial" w:eastAsia="Calibri" w:hAnsi="Arial" w:cs="Arial"/>
          <w:sz w:val="20"/>
          <w:szCs w:val="20"/>
          <w:lang w:val="es-ES_tradnl"/>
        </w:rPr>
        <w:t xml:space="preserve">) la definición de «emprendimientos y empresas de mujeres», </w:t>
      </w:r>
      <w:proofErr w:type="spellStart"/>
      <w:r w:rsidRPr="00A572F4">
        <w:rPr>
          <w:rFonts w:ascii="Arial" w:eastAsia="Calibri" w:hAnsi="Arial" w:cs="Arial"/>
          <w:sz w:val="20"/>
          <w:szCs w:val="20"/>
          <w:lang w:val="es-ES_tradnl"/>
        </w:rPr>
        <w:t>iii</w:t>
      </w:r>
      <w:proofErr w:type="spellEnd"/>
      <w:r w:rsidRPr="00A572F4">
        <w:rPr>
          <w:rFonts w:ascii="Arial" w:eastAsia="Calibri" w:hAnsi="Arial" w:cs="Arial"/>
          <w:sz w:val="20"/>
          <w:szCs w:val="20"/>
          <w:lang w:val="es-ES_tradnl"/>
        </w:rPr>
        <w:t xml:space="preserve">) las convocatorias limitadas a </w:t>
      </w:r>
      <w:proofErr w:type="spellStart"/>
      <w:r w:rsidRPr="00A572F4">
        <w:rPr>
          <w:rFonts w:ascii="Arial" w:eastAsia="Calibri" w:hAnsi="Arial" w:cs="Arial"/>
          <w:sz w:val="20"/>
          <w:szCs w:val="20"/>
          <w:lang w:val="es-ES_tradnl"/>
        </w:rPr>
        <w:t>mipymes</w:t>
      </w:r>
      <w:proofErr w:type="spellEnd"/>
      <w:r w:rsidRPr="00A572F4">
        <w:rPr>
          <w:rFonts w:ascii="Arial" w:eastAsia="Calibri" w:hAnsi="Arial" w:cs="Arial"/>
          <w:sz w:val="20"/>
          <w:szCs w:val="20"/>
          <w:lang w:val="es-ES_tradnl"/>
        </w:rPr>
        <w:t xml:space="preserve"> y el fomento en la ejecución de los contratos estatales por parte de sujetos de especial protección, así como </w:t>
      </w:r>
      <w:proofErr w:type="spellStart"/>
      <w:r w:rsidRPr="00A572F4">
        <w:rPr>
          <w:rFonts w:ascii="Arial" w:eastAsia="Calibri" w:hAnsi="Arial" w:cs="Arial"/>
          <w:sz w:val="20"/>
          <w:szCs w:val="20"/>
          <w:lang w:val="es-ES_tradnl"/>
        </w:rPr>
        <w:t>iv</w:t>
      </w:r>
      <w:proofErr w:type="spellEnd"/>
      <w:r w:rsidRPr="00A572F4">
        <w:rPr>
          <w:rFonts w:ascii="Arial" w:eastAsia="Calibri" w:hAnsi="Arial" w:cs="Arial"/>
          <w:sz w:val="20"/>
          <w:szCs w:val="20"/>
          <w:lang w:val="es-ES_tradnl"/>
        </w:rPr>
        <w:t xml:space="preserve">) la promoción de las compras públicas de tecnología e innovación. En este contexto, es necesario analizar si las entidades pueden aplicar directamente las normas citadas o, por el contrario, si su efectividad está condicionada a la expedición del reglamento correspondiente. </w:t>
      </w:r>
    </w:p>
    <w:p w14:paraId="020767D2" w14:textId="77777777" w:rsidR="00681C78" w:rsidRPr="00A572F4" w:rsidRDefault="00681C78" w:rsidP="00681C78">
      <w:pPr>
        <w:jc w:val="both"/>
        <w:rPr>
          <w:rFonts w:ascii="Arial" w:eastAsia="Calibri" w:hAnsi="Arial" w:cs="Arial"/>
          <w:sz w:val="20"/>
          <w:szCs w:val="20"/>
          <w:lang w:val="es-ES_tradnl"/>
        </w:rPr>
      </w:pPr>
    </w:p>
    <w:p w14:paraId="3B89D168" w14:textId="31DE7B58" w:rsidR="00681C78" w:rsidRPr="00A572F4" w:rsidRDefault="00681C78" w:rsidP="00681C78">
      <w:pPr>
        <w:jc w:val="both"/>
        <w:rPr>
          <w:rFonts w:ascii="Arial" w:eastAsia="Calibri" w:hAnsi="Arial" w:cs="Arial"/>
          <w:sz w:val="20"/>
          <w:szCs w:val="20"/>
          <w:lang w:val="es-ES_tradnl"/>
        </w:rPr>
      </w:pPr>
      <w:r w:rsidRPr="00A572F4">
        <w:rPr>
          <w:rFonts w:ascii="Arial" w:eastAsia="Calibri" w:hAnsi="Arial" w:cs="Arial"/>
          <w:sz w:val="20"/>
          <w:szCs w:val="20"/>
          <w:lang w:val="es-ES_tradnl"/>
        </w:rPr>
        <w:t xml:space="preserve">La respuesta a la inquietud planteada en el párrafo precedente es de enorme importancia por los efectos prácticos de ambas posiciones. Por un lado, quien opte por la tesis de la aplicación directa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w:t>
      </w:r>
      <w:proofErr w:type="gramStart"/>
      <w:r w:rsidRPr="00A572F4">
        <w:rPr>
          <w:rFonts w:ascii="Arial" w:eastAsia="Calibri" w:hAnsi="Arial" w:cs="Arial"/>
          <w:sz w:val="20"/>
          <w:szCs w:val="20"/>
          <w:lang w:val="es-ES_tradnl"/>
        </w:rPr>
        <w:t>discrecional .</w:t>
      </w:r>
      <w:proofErr w:type="gramEnd"/>
      <w:r w:rsidRPr="00A572F4">
        <w:rPr>
          <w:rFonts w:ascii="Arial" w:eastAsia="Calibri" w:hAnsi="Arial" w:cs="Arial"/>
          <w:sz w:val="20"/>
          <w:szCs w:val="20"/>
          <w:lang w:val="es-ES_tradnl"/>
        </w:rPr>
        <w:t xml:space="preserve"> En este contexto, si la expedición de reglamentos no es obligatoria, la ausencia de estos no excusa la inaplicación de la ley, pues contiene unos elementos mínimos que vinculan directamente a los destinatarios.</w:t>
      </w:r>
    </w:p>
    <w:p w14:paraId="186CC8D8" w14:textId="77777777" w:rsidR="00681C78" w:rsidRPr="00A572F4" w:rsidRDefault="00681C78" w:rsidP="00681C78">
      <w:pPr>
        <w:spacing w:line="276" w:lineRule="auto"/>
        <w:jc w:val="both"/>
        <w:rPr>
          <w:rFonts w:ascii="Arial" w:eastAsia="Calibri" w:hAnsi="Arial" w:cs="Arial"/>
          <w:sz w:val="20"/>
          <w:szCs w:val="20"/>
          <w:lang w:val="es-ES_tradnl"/>
        </w:rPr>
      </w:pPr>
    </w:p>
    <w:p w14:paraId="01978866" w14:textId="77777777" w:rsidR="00681C78" w:rsidRPr="00A572F4" w:rsidRDefault="00681C78" w:rsidP="00681C78">
      <w:pPr>
        <w:jc w:val="both"/>
        <w:rPr>
          <w:rFonts w:ascii="Arial" w:eastAsia="Calibri" w:hAnsi="Arial" w:cs="Arial"/>
          <w:b/>
          <w:sz w:val="22"/>
          <w:lang w:val="es-ES_tradnl"/>
        </w:rPr>
      </w:pPr>
      <w:r w:rsidRPr="00A572F4">
        <w:rPr>
          <w:rFonts w:ascii="Arial" w:eastAsia="Calibri" w:hAnsi="Arial" w:cs="Arial"/>
          <w:b/>
          <w:sz w:val="22"/>
          <w:lang w:val="es-ES_tradnl"/>
        </w:rPr>
        <w:lastRenderedPageBreak/>
        <w:t>MIPYMES – Ley 2069 – Artículo 34 – Convocatorias limitadas – Vigencia</w:t>
      </w:r>
    </w:p>
    <w:p w14:paraId="2D5867FB" w14:textId="77777777" w:rsidR="00681C78" w:rsidRPr="00A572F4" w:rsidRDefault="00681C78" w:rsidP="00681C78">
      <w:pPr>
        <w:jc w:val="both"/>
        <w:rPr>
          <w:rFonts w:ascii="Arial" w:eastAsia="Calibri" w:hAnsi="Arial" w:cs="Arial"/>
          <w:sz w:val="20"/>
          <w:szCs w:val="20"/>
          <w:lang w:val="es-ES_tradnl"/>
        </w:rPr>
      </w:pPr>
    </w:p>
    <w:p w14:paraId="3399C122" w14:textId="77777777" w:rsidR="00681C78" w:rsidRPr="00A572F4" w:rsidRDefault="00681C78" w:rsidP="00681C78">
      <w:pPr>
        <w:jc w:val="both"/>
        <w:rPr>
          <w:rFonts w:ascii="Arial" w:eastAsia="Calibri" w:hAnsi="Arial" w:cs="Arial"/>
          <w:sz w:val="20"/>
          <w:szCs w:val="20"/>
          <w:lang w:val="es-ES_tradnl"/>
        </w:rPr>
      </w:pPr>
      <w:r w:rsidRPr="00A572F4">
        <w:rPr>
          <w:rFonts w:ascii="Arial" w:eastAsia="Calibri" w:hAnsi="Arial" w:cs="Arial"/>
          <w:sz w:val="20"/>
          <w:szCs w:val="20"/>
          <w:lang w:val="es-ES_tradnl"/>
        </w:rPr>
        <w:t xml:space="preserv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w:t>
      </w:r>
      <w:proofErr w:type="spellStart"/>
      <w:r w:rsidRPr="00A572F4">
        <w:rPr>
          <w:rFonts w:ascii="Arial" w:eastAsia="Calibri" w:hAnsi="Arial" w:cs="Arial"/>
          <w:sz w:val="20"/>
          <w:szCs w:val="20"/>
          <w:lang w:val="es-ES_tradnl"/>
        </w:rPr>
        <w:t>esta</w:t>
      </w:r>
      <w:proofErr w:type="spellEnd"/>
      <w:r w:rsidRPr="00A572F4">
        <w:rPr>
          <w:rFonts w:ascii="Arial" w:eastAsia="Calibri" w:hAnsi="Arial" w:cs="Arial"/>
          <w:sz w:val="20"/>
          <w:szCs w:val="20"/>
          <w:lang w:val="es-ES_tradnl"/>
        </w:rPr>
        <w:t xml:space="preserve"> «deroga […] todas las disposiciones que le sean contrarias». Por lo anterior, puede afirmarse que, además del decaimiento del artículo 2.2.1.2.4.2.2. del Decreto 1082 de 2015, debe entenderse derogado.</w:t>
      </w:r>
    </w:p>
    <w:p w14:paraId="2C92F621" w14:textId="77777777" w:rsidR="00681C78" w:rsidRPr="00A572F4" w:rsidRDefault="00681C78" w:rsidP="00681C78">
      <w:pPr>
        <w:jc w:val="both"/>
        <w:rPr>
          <w:rFonts w:ascii="Arial" w:eastAsia="Calibri" w:hAnsi="Arial" w:cs="Arial"/>
          <w:sz w:val="20"/>
          <w:szCs w:val="20"/>
          <w:lang w:val="es-ES_tradnl"/>
        </w:rPr>
      </w:pPr>
    </w:p>
    <w:p w14:paraId="1CF917BC" w14:textId="77777777" w:rsidR="00681C78" w:rsidRPr="00A572F4" w:rsidRDefault="00681C78" w:rsidP="00681C78">
      <w:pPr>
        <w:jc w:val="both"/>
        <w:rPr>
          <w:rFonts w:ascii="Arial" w:eastAsia="Calibri" w:hAnsi="Arial" w:cs="Arial"/>
          <w:b/>
          <w:sz w:val="22"/>
          <w:lang w:val="es-ES_tradnl"/>
        </w:rPr>
      </w:pPr>
      <w:r w:rsidRPr="00A572F4">
        <w:rPr>
          <w:rFonts w:ascii="Arial" w:eastAsia="Calibri" w:hAnsi="Arial" w:cs="Arial"/>
          <w:sz w:val="20"/>
          <w:szCs w:val="20"/>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w:t>
      </w:r>
      <w:proofErr w:type="spellStart"/>
      <w:r w:rsidRPr="00A572F4">
        <w:rPr>
          <w:rFonts w:ascii="Arial" w:eastAsia="Calibri" w:hAnsi="Arial" w:cs="Arial"/>
          <w:sz w:val="20"/>
          <w:szCs w:val="20"/>
          <w:lang w:val="es-ES_tradnl"/>
        </w:rPr>
        <w:t>mipymes</w:t>
      </w:r>
      <w:proofErr w:type="spellEnd"/>
      <w:r w:rsidRPr="00A572F4">
        <w:rPr>
          <w:rFonts w:ascii="Arial" w:eastAsia="Calibri" w:hAnsi="Arial" w:cs="Arial"/>
          <w:sz w:val="20"/>
          <w:szCs w:val="20"/>
          <w:lang w:val="es-ES_tradnl"/>
        </w:rPr>
        <w:t xml:space="preserve">, lo cual demuestra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A572F4">
        <w:rPr>
          <w:rFonts w:ascii="Arial" w:eastAsia="Calibri" w:hAnsi="Arial" w:cs="Arial"/>
          <w:sz w:val="20"/>
          <w:szCs w:val="20"/>
          <w:lang w:val="es-ES_tradnl"/>
        </w:rPr>
        <w:t>mipymes</w:t>
      </w:r>
      <w:proofErr w:type="spellEnd"/>
      <w:r w:rsidRPr="00A572F4">
        <w:rPr>
          <w:rFonts w:ascii="Arial" w:eastAsia="Calibri" w:hAnsi="Arial" w:cs="Arial"/>
          <w:sz w:val="20"/>
          <w:szCs w:val="20"/>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A572F4">
        <w:rPr>
          <w:rFonts w:ascii="Arial" w:eastAsia="Calibri" w:hAnsi="Arial" w:cs="Arial"/>
          <w:sz w:val="20"/>
          <w:szCs w:val="20"/>
          <w:lang w:val="es-ES_tradnl"/>
        </w:rPr>
        <w:t>mipymes</w:t>
      </w:r>
      <w:proofErr w:type="spellEnd"/>
      <w:r w:rsidRPr="00A572F4">
        <w:rPr>
          <w:rFonts w:ascii="Arial" w:eastAsia="Calibri" w:hAnsi="Arial" w:cs="Arial"/>
          <w:sz w:val="20"/>
          <w:szCs w:val="20"/>
          <w:lang w:val="es-ES_tradnl"/>
        </w:rPr>
        <w:t xml:space="preserve">, pues al tenor del artículo 34 de la Ley 2069 de 2020, la eficacia de esta norma quedó condicionada a la expedición del decreto reglamentario que fije las condiciones de su operatividad.    </w:t>
      </w:r>
    </w:p>
    <w:p w14:paraId="5B1703BB" w14:textId="77777777" w:rsidR="00681C78" w:rsidRPr="00A572F4" w:rsidRDefault="00681C78" w:rsidP="00681C78">
      <w:pPr>
        <w:jc w:val="both"/>
        <w:rPr>
          <w:rFonts w:ascii="Arial" w:eastAsia="Calibri" w:hAnsi="Arial" w:cs="Arial"/>
          <w:b/>
          <w:sz w:val="22"/>
          <w:lang w:val="es-ES_tradnl"/>
        </w:rPr>
      </w:pPr>
    </w:p>
    <w:p w14:paraId="1CF703C6" w14:textId="77777777" w:rsidR="00681C78" w:rsidRPr="00A572F4" w:rsidRDefault="00681C78" w:rsidP="00681C78">
      <w:pPr>
        <w:jc w:val="both"/>
        <w:rPr>
          <w:rFonts w:ascii="Arial" w:eastAsia="Calibri" w:hAnsi="Arial" w:cs="Arial"/>
          <w:b/>
          <w:sz w:val="22"/>
          <w:lang w:val="es-ES_tradnl"/>
        </w:rPr>
      </w:pPr>
      <w:r w:rsidRPr="00A572F4">
        <w:rPr>
          <w:rFonts w:ascii="Arial" w:eastAsia="Calibri" w:hAnsi="Arial" w:cs="Arial"/>
          <w:b/>
          <w:sz w:val="22"/>
          <w:lang w:val="es-ES_tradnl"/>
        </w:rPr>
        <w:t xml:space="preserve">PROMOCIÓN DEL DESARROLLO – Contratación estatal – Ley 2069 – Artículo 34 – Subrogación </w:t>
      </w:r>
    </w:p>
    <w:p w14:paraId="4B589533" w14:textId="77777777" w:rsidR="00681C78" w:rsidRPr="00A572F4" w:rsidRDefault="00681C78" w:rsidP="00681C78">
      <w:pPr>
        <w:jc w:val="both"/>
        <w:rPr>
          <w:rFonts w:ascii="Arial" w:eastAsia="Calibri" w:hAnsi="Arial" w:cs="Arial"/>
          <w:sz w:val="20"/>
          <w:szCs w:val="20"/>
          <w:lang w:val="es-ES_tradnl"/>
        </w:rPr>
      </w:pPr>
    </w:p>
    <w:p w14:paraId="2060B04D" w14:textId="77777777" w:rsidR="00681C78" w:rsidRPr="00A572F4" w:rsidRDefault="00681C78" w:rsidP="00681C78">
      <w:pPr>
        <w:jc w:val="both"/>
        <w:rPr>
          <w:rFonts w:ascii="Arial" w:eastAsia="Calibri" w:hAnsi="Arial" w:cs="Arial"/>
          <w:sz w:val="20"/>
          <w:szCs w:val="20"/>
          <w:lang w:val="es-ES_tradnl"/>
        </w:rPr>
      </w:pPr>
      <w:r w:rsidRPr="00A572F4">
        <w:rPr>
          <w:rFonts w:ascii="Arial" w:eastAsia="Calibri" w:hAnsi="Arial" w:cs="Arial"/>
          <w:sz w:val="20"/>
          <w:szCs w:val="20"/>
          <w:lang w:val="es-ES_tradnl"/>
        </w:rPr>
        <w:t>La subrogación es, […],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38584D98" w14:textId="77777777" w:rsidR="00681C78" w:rsidRPr="00A572F4" w:rsidRDefault="00681C78" w:rsidP="00681C78">
      <w:pPr>
        <w:jc w:val="both"/>
        <w:rPr>
          <w:rFonts w:ascii="Arial" w:eastAsia="Calibri" w:hAnsi="Arial" w:cs="Arial"/>
          <w:sz w:val="20"/>
          <w:szCs w:val="20"/>
          <w:lang w:val="es-ES_tradnl"/>
        </w:rPr>
      </w:pPr>
    </w:p>
    <w:p w14:paraId="2EA58EF8" w14:textId="77777777" w:rsidR="00681C78" w:rsidRPr="00A572F4" w:rsidRDefault="00681C78" w:rsidP="00681C78">
      <w:pPr>
        <w:jc w:val="both"/>
        <w:rPr>
          <w:rFonts w:ascii="Arial" w:eastAsia="Calibri" w:hAnsi="Arial" w:cs="Arial"/>
          <w:sz w:val="20"/>
          <w:szCs w:val="20"/>
          <w:lang w:val="es-ES_tradnl"/>
        </w:rPr>
      </w:pPr>
      <w:r w:rsidRPr="00A572F4">
        <w:rPr>
          <w:rFonts w:ascii="Arial" w:eastAsia="Calibri" w:hAnsi="Arial" w:cs="Arial"/>
          <w:sz w:val="20"/>
          <w:szCs w:val="20"/>
          <w:lang w:val="es-ES_tradnl"/>
        </w:rPr>
        <w:t>El artículo 12 de la Ley 1150 de 2007 fue subrogado por el artículo 34 de la Ley 2069 de 2020, porque este contiene una regulación diferente de la promoción del desarrollo en la contratación estatal. Además, en el primer inciso del artículo 34 de la Ley 2069 de 2020 se lee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6CC52CFE" w14:textId="4FB998BF" w:rsidR="00C61863" w:rsidRPr="00A572F4" w:rsidRDefault="005E04C5" w:rsidP="00C61863">
      <w:pPr>
        <w:tabs>
          <w:tab w:val="left" w:pos="709"/>
        </w:tabs>
        <w:spacing w:line="276" w:lineRule="auto"/>
        <w:jc w:val="both"/>
        <w:rPr>
          <w:rFonts w:ascii="Arial" w:eastAsia="Calibri" w:hAnsi="Arial" w:cs="Arial"/>
          <w:sz w:val="22"/>
          <w:szCs w:val="22"/>
          <w:lang w:val="es-ES_tradnl"/>
        </w:rPr>
      </w:pPr>
      <w:r w:rsidRPr="00A572F4">
        <w:rPr>
          <w:rFonts w:ascii="Arial" w:eastAsia="Calibri" w:hAnsi="Arial" w:cs="Arial"/>
          <w:sz w:val="22"/>
          <w:szCs w:val="22"/>
          <w:lang w:val="es-ES_tradnl"/>
        </w:rPr>
        <w:tab/>
      </w:r>
    </w:p>
    <w:p w14:paraId="5A5F7171" w14:textId="196287D6" w:rsidR="00C61863" w:rsidRPr="00A572F4" w:rsidRDefault="00C61863" w:rsidP="00C61863">
      <w:pPr>
        <w:spacing w:line="276" w:lineRule="auto"/>
        <w:jc w:val="both"/>
        <w:rPr>
          <w:rFonts w:ascii="Arial" w:hAnsi="Arial" w:cs="Arial"/>
          <w:b/>
          <w:bCs/>
          <w:noProof/>
          <w:sz w:val="22"/>
          <w:lang w:val="es-ES_tradnl"/>
        </w:rPr>
      </w:pPr>
      <w:r w:rsidRPr="00A572F4">
        <w:rPr>
          <w:rFonts w:ascii="Arial" w:hAnsi="Arial" w:cs="Arial"/>
          <w:b/>
          <w:bCs/>
          <w:noProof/>
          <w:sz w:val="22"/>
          <w:lang w:val="es-ES_tradnl"/>
        </w:rPr>
        <w:t xml:space="preserve">FACTORES DE DESEMPATE </w:t>
      </w:r>
      <w:r w:rsidRPr="00A572F4">
        <w:rPr>
          <w:rFonts w:ascii="Arial" w:hAnsi="Arial" w:cs="Arial"/>
          <w:b/>
          <w:bCs/>
          <w:noProof/>
          <w:sz w:val="22"/>
          <w:lang w:val="es-ES_tradnl"/>
        </w:rPr>
        <w:softHyphen/>
        <w:t>– Mínima cuantía –</w:t>
      </w:r>
      <w:r w:rsidR="00681C78" w:rsidRPr="00A572F4">
        <w:rPr>
          <w:rFonts w:ascii="Arial" w:hAnsi="Arial" w:cs="Arial"/>
          <w:b/>
          <w:bCs/>
          <w:noProof/>
          <w:sz w:val="22"/>
          <w:lang w:val="es-ES_tradnl"/>
        </w:rPr>
        <w:t xml:space="preserve"> </w:t>
      </w:r>
      <w:r w:rsidR="005416CA" w:rsidRPr="00A572F4">
        <w:rPr>
          <w:rFonts w:ascii="Arial" w:hAnsi="Arial" w:cs="Arial"/>
          <w:b/>
          <w:bCs/>
          <w:noProof/>
          <w:sz w:val="22"/>
          <w:lang w:val="es-ES_tradnl"/>
        </w:rPr>
        <w:t xml:space="preserve">Subasta inversa – </w:t>
      </w:r>
      <w:r w:rsidRPr="00A572F4">
        <w:rPr>
          <w:rFonts w:ascii="Arial" w:hAnsi="Arial" w:cs="Arial"/>
          <w:b/>
          <w:bCs/>
          <w:noProof/>
          <w:sz w:val="22"/>
          <w:lang w:val="es-ES_tradnl"/>
        </w:rPr>
        <w:t xml:space="preserve">Ley 2069 de 2020 – Factores de desempate – Aplicación – Puntaje </w:t>
      </w:r>
    </w:p>
    <w:p w14:paraId="5AC533C2" w14:textId="77777777" w:rsidR="00C61863" w:rsidRPr="00A572F4" w:rsidRDefault="00C61863" w:rsidP="00C61863">
      <w:pPr>
        <w:tabs>
          <w:tab w:val="left" w:pos="709"/>
        </w:tabs>
        <w:spacing w:line="276" w:lineRule="auto"/>
        <w:jc w:val="both"/>
        <w:rPr>
          <w:rFonts w:ascii="Arial" w:eastAsia="Calibri" w:hAnsi="Arial" w:cs="Arial"/>
          <w:sz w:val="22"/>
          <w:szCs w:val="22"/>
          <w:lang w:val="es-ES_tradnl"/>
        </w:rPr>
      </w:pPr>
    </w:p>
    <w:p w14:paraId="55F1A991" w14:textId="7ED37FA5" w:rsidR="005416CA" w:rsidRPr="00A572F4" w:rsidRDefault="005416CA" w:rsidP="005416CA">
      <w:pPr>
        <w:tabs>
          <w:tab w:val="left" w:pos="709"/>
        </w:tabs>
        <w:jc w:val="both"/>
        <w:rPr>
          <w:rFonts w:ascii="Arial" w:eastAsia="Calibri" w:hAnsi="Arial" w:cs="Arial"/>
          <w:sz w:val="20"/>
          <w:szCs w:val="20"/>
          <w:lang w:val="es-ES_tradnl"/>
        </w:rPr>
      </w:pPr>
      <w:r w:rsidRPr="00A572F4">
        <w:rPr>
          <w:rFonts w:ascii="Arial" w:eastAsia="Calibri" w:hAnsi="Arial" w:cs="Arial"/>
          <w:sz w:val="20"/>
          <w:szCs w:val="20"/>
          <w:lang w:val="es-ES_tradnl"/>
        </w:rPr>
        <w:t xml:space="preserve">El artículo 35 de la Ley 2069 de 2020, que modifica el régimen de los factores de desempate en la contratación estatal, se encuentra vigente y goza de aplicación directa desde la fecha de su promulgación, es decir, no requiere de una reglamentación previa como presupuesto para su eficacia. Estos criterios de desempate actualmente son aplicables a todas las entidades estatales, </w:t>
      </w:r>
      <w:r w:rsidRPr="00A572F4">
        <w:rPr>
          <w:rFonts w:ascii="Arial" w:eastAsia="Calibri" w:hAnsi="Arial" w:cs="Arial"/>
          <w:sz w:val="20"/>
          <w:szCs w:val="20"/>
          <w:lang w:val="es-ES_tradnl"/>
        </w:rPr>
        <w:lastRenderedPageBreak/>
        <w:t xml:space="preserve">independientemente de su régimen de contratación. Ahora bien, hasta la promulgación de la Ley 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de esta Ley dice que «rige a partir del momento de su promulgación», es decir, desde el 31 de diciembre de 2020, sino además porque la misma disposición señala que la Ley 2069 de 2020 deroga «[…] todas las disposiciones que le sean contrarias». 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A572F4">
        <w:rPr>
          <w:rFonts w:ascii="Arial" w:eastAsia="Calibri" w:hAnsi="Arial" w:cs="Arial"/>
          <w:sz w:val="20"/>
          <w:szCs w:val="20"/>
          <w:lang w:val="es-ES_tradnl"/>
        </w:rPr>
        <w:t>secundum</w:t>
      </w:r>
      <w:proofErr w:type="spellEnd"/>
      <w:r w:rsidRPr="00A572F4">
        <w:rPr>
          <w:rFonts w:ascii="Arial" w:eastAsia="Calibri" w:hAnsi="Arial" w:cs="Arial"/>
          <w:sz w:val="20"/>
          <w:szCs w:val="20"/>
          <w:lang w:val="es-ES_tradnl"/>
        </w:rPr>
        <w:t xml:space="preserve"> </w:t>
      </w:r>
      <w:proofErr w:type="spellStart"/>
      <w:r w:rsidRPr="00A572F4">
        <w:rPr>
          <w:rFonts w:ascii="Arial" w:eastAsia="Calibri" w:hAnsi="Arial" w:cs="Arial"/>
          <w:sz w:val="20"/>
          <w:szCs w:val="20"/>
          <w:lang w:val="es-ES_tradnl"/>
        </w:rPr>
        <w:t>legem</w:t>
      </w:r>
      <w:proofErr w:type="spellEnd"/>
      <w:r w:rsidRPr="00A572F4">
        <w:rPr>
          <w:rFonts w:ascii="Arial" w:eastAsia="Calibri" w:hAnsi="Arial" w:cs="Arial"/>
          <w:sz w:val="20"/>
          <w:szCs w:val="20"/>
          <w:lang w:val="es-ES_tradnl"/>
        </w:rPr>
        <w:t xml:space="preserve"> –es decir, que desarrolla una norma de mayor jerarquía–, la expedición de una ley en sentido formal –es decir, una fuente que condiciona el contenido de este último–, hace que la disposición reglamentaria decaiga.  </w:t>
      </w:r>
    </w:p>
    <w:p w14:paraId="4CCD1553" w14:textId="77777777" w:rsidR="005416CA" w:rsidRPr="00A572F4" w:rsidRDefault="005416CA" w:rsidP="005416CA">
      <w:pPr>
        <w:tabs>
          <w:tab w:val="left" w:pos="709"/>
        </w:tabs>
        <w:jc w:val="both"/>
        <w:rPr>
          <w:rFonts w:ascii="Arial" w:eastAsia="Calibri" w:hAnsi="Arial" w:cs="Arial"/>
          <w:sz w:val="20"/>
          <w:szCs w:val="20"/>
          <w:lang w:val="es-ES_tradnl"/>
        </w:rPr>
      </w:pPr>
    </w:p>
    <w:p w14:paraId="5BF0DB7F" w14:textId="22D304EF" w:rsidR="00C61863" w:rsidRPr="00A572F4" w:rsidRDefault="005416CA" w:rsidP="005416CA">
      <w:pPr>
        <w:tabs>
          <w:tab w:val="left" w:pos="709"/>
        </w:tabs>
        <w:jc w:val="both"/>
        <w:rPr>
          <w:rFonts w:ascii="Arial" w:hAnsi="Arial" w:cs="Arial"/>
          <w:sz w:val="22"/>
          <w:szCs w:val="22"/>
          <w:lang w:val="es-ES_tradnl"/>
        </w:rPr>
      </w:pPr>
      <w:r w:rsidRPr="00A572F4">
        <w:rPr>
          <w:rFonts w:ascii="Arial" w:eastAsia="Calibri" w:hAnsi="Arial" w:cs="Arial"/>
          <w:sz w:val="20"/>
          <w:szCs w:val="20"/>
          <w:lang w:val="es-ES_tradnl"/>
        </w:rPr>
        <w:t xml:space="preserve">Lo explicado en los párrafos precedentes también aplica mutatis mutandis a los factores de desempate previstos en el Decreto Único Reglamentario del Sector Administrativo de Planeación Nacional para los procedimientos de subasta inversa–adelantados en el marco de la modalidad de selección abreviada– y mínima cuantía. A pesar de que numeral 9 del artículo 2.2.1.2.1.2.2 y el 7 del artículo 2.2.1.2.1.5.2 del Decreto 1082 de 2015 establecían unas reglas especiales para el desempate entre ofertas para los referidos procedimientos, ya que el primer inciso del artículo 35 de la Ley 2069 de 2020 no distingue modalidades de selección y regula la institución de los factores de desempate en los procesos de contratación estatal de manera integral. En consecuencia, por tratarse de una norma transversal al sistema de compras y contratación pública, el artículo 35 de la Ley 2069 de 2020 es aplicable a los procedimientos de procedimientos de subasta inversa y mínima cuantía, presentándose tanto la derogación como el decaimiento de los criterios de desempate previstos en los numerales 9 del artículo 2.2.1.2.1.2.2 y 7 del artículo 2.2.1.2.1.5.2 del Decreto 1082 de 2015, para estos procedimientos de selección.             </w:t>
      </w:r>
    </w:p>
    <w:p w14:paraId="666856BF" w14:textId="17495162" w:rsidR="00004173" w:rsidRPr="00A572F4" w:rsidRDefault="00004173" w:rsidP="005E04C5">
      <w:pPr>
        <w:jc w:val="both"/>
        <w:rPr>
          <w:rFonts w:ascii="Arial" w:hAnsi="Arial" w:cs="Arial"/>
          <w:noProof/>
          <w:sz w:val="22"/>
          <w:lang w:val="es-ES_tradnl"/>
        </w:rPr>
      </w:pPr>
    </w:p>
    <w:p w14:paraId="559444FF" w14:textId="3427D45D" w:rsidR="006D58F2" w:rsidRPr="00A572F4" w:rsidRDefault="006D58F2" w:rsidP="00B95C30">
      <w:pPr>
        <w:spacing w:line="276" w:lineRule="auto"/>
        <w:jc w:val="both"/>
        <w:rPr>
          <w:rFonts w:ascii="Arial" w:hAnsi="Arial" w:cs="Arial"/>
          <w:noProof/>
          <w:sz w:val="22"/>
          <w:lang w:val="es-ES_tradnl"/>
        </w:rPr>
      </w:pPr>
    </w:p>
    <w:p w14:paraId="770AB292" w14:textId="7071937B" w:rsidR="006D58F2" w:rsidRPr="00A572F4" w:rsidRDefault="006D58F2" w:rsidP="00B95C30">
      <w:pPr>
        <w:spacing w:line="276" w:lineRule="auto"/>
        <w:jc w:val="both"/>
        <w:rPr>
          <w:rFonts w:ascii="Arial" w:hAnsi="Arial" w:cs="Arial"/>
          <w:noProof/>
          <w:sz w:val="22"/>
          <w:lang w:val="es-ES_tradnl"/>
        </w:rPr>
      </w:pPr>
    </w:p>
    <w:p w14:paraId="5033CD0B" w14:textId="6E4E0678" w:rsidR="006D58F2" w:rsidRPr="00A572F4" w:rsidRDefault="006D58F2" w:rsidP="00B95C30">
      <w:pPr>
        <w:spacing w:line="276" w:lineRule="auto"/>
        <w:jc w:val="both"/>
        <w:rPr>
          <w:rFonts w:ascii="Arial" w:hAnsi="Arial" w:cs="Arial"/>
          <w:noProof/>
          <w:sz w:val="22"/>
          <w:lang w:val="es-ES_tradnl"/>
        </w:rPr>
      </w:pPr>
    </w:p>
    <w:p w14:paraId="425B23E0" w14:textId="77777777" w:rsidR="006D58F2" w:rsidRPr="00A572F4" w:rsidRDefault="006D58F2" w:rsidP="00B95C30">
      <w:pPr>
        <w:spacing w:line="276" w:lineRule="auto"/>
        <w:jc w:val="both"/>
        <w:rPr>
          <w:rFonts w:ascii="Arial" w:hAnsi="Arial" w:cs="Arial"/>
          <w:noProof/>
          <w:sz w:val="22"/>
          <w:lang w:val="es-ES_tradnl"/>
        </w:rPr>
      </w:pPr>
    </w:p>
    <w:p w14:paraId="24A88D3F" w14:textId="692A56A9" w:rsidR="00F53F4F" w:rsidRPr="00A572F4" w:rsidRDefault="00F53F4F" w:rsidP="00B95C30">
      <w:pPr>
        <w:jc w:val="both"/>
        <w:rPr>
          <w:rFonts w:ascii="Arial" w:hAnsi="Arial" w:cs="Arial"/>
          <w:b/>
          <w:sz w:val="22"/>
          <w:lang w:val="es-ES_tradnl"/>
        </w:rPr>
      </w:pPr>
    </w:p>
    <w:p w14:paraId="184B7488" w14:textId="6DBCC181" w:rsidR="00097F53" w:rsidRPr="00A572F4" w:rsidRDefault="00097F53" w:rsidP="00B95C30">
      <w:pPr>
        <w:jc w:val="both"/>
        <w:rPr>
          <w:rFonts w:ascii="Arial" w:hAnsi="Arial" w:cs="Arial"/>
          <w:b/>
          <w:sz w:val="22"/>
          <w:lang w:val="es-ES_tradnl"/>
        </w:rPr>
      </w:pPr>
    </w:p>
    <w:p w14:paraId="7D585357" w14:textId="40823CF2" w:rsidR="00BE3700" w:rsidRPr="00A572F4" w:rsidRDefault="00BE3700" w:rsidP="00B95C30">
      <w:pPr>
        <w:jc w:val="both"/>
        <w:rPr>
          <w:rFonts w:ascii="Arial" w:hAnsi="Arial" w:cs="Arial"/>
          <w:b/>
          <w:sz w:val="22"/>
          <w:lang w:val="es-ES_tradnl"/>
        </w:rPr>
      </w:pPr>
    </w:p>
    <w:p w14:paraId="5F68F1FE" w14:textId="5818948F" w:rsidR="00BE3700" w:rsidRPr="00A572F4" w:rsidRDefault="00BE3700" w:rsidP="00B95C30">
      <w:pPr>
        <w:jc w:val="both"/>
        <w:rPr>
          <w:rFonts w:ascii="Arial" w:hAnsi="Arial" w:cs="Arial"/>
          <w:b/>
          <w:sz w:val="22"/>
          <w:lang w:val="es-ES_tradnl"/>
        </w:rPr>
      </w:pPr>
    </w:p>
    <w:p w14:paraId="42081262" w14:textId="4AB60AAC" w:rsidR="00BE3700" w:rsidRPr="00A572F4" w:rsidRDefault="00BE3700" w:rsidP="00B95C30">
      <w:pPr>
        <w:jc w:val="both"/>
        <w:rPr>
          <w:rFonts w:ascii="Arial" w:hAnsi="Arial" w:cs="Arial"/>
          <w:b/>
          <w:sz w:val="22"/>
          <w:lang w:val="es-ES_tradnl"/>
        </w:rPr>
      </w:pPr>
    </w:p>
    <w:p w14:paraId="44C456DB" w14:textId="3B44D864" w:rsidR="00BE3700" w:rsidRPr="00A572F4" w:rsidRDefault="00BE3700" w:rsidP="00B95C30">
      <w:pPr>
        <w:jc w:val="both"/>
        <w:rPr>
          <w:rFonts w:ascii="Arial" w:hAnsi="Arial" w:cs="Arial"/>
          <w:b/>
          <w:sz w:val="22"/>
          <w:lang w:val="es-ES_tradnl"/>
        </w:rPr>
      </w:pPr>
    </w:p>
    <w:p w14:paraId="5B2E3D15" w14:textId="17EA36C8" w:rsidR="00BE3700" w:rsidRPr="00A572F4" w:rsidRDefault="00BE3700" w:rsidP="00B95C30">
      <w:pPr>
        <w:jc w:val="both"/>
        <w:rPr>
          <w:rFonts w:ascii="Arial" w:hAnsi="Arial" w:cs="Arial"/>
          <w:b/>
          <w:sz w:val="22"/>
          <w:lang w:val="es-ES_tradnl"/>
        </w:rPr>
      </w:pPr>
    </w:p>
    <w:p w14:paraId="0F445C91" w14:textId="4C9FEC35" w:rsidR="00BE3700" w:rsidRPr="00A572F4" w:rsidRDefault="00BE3700" w:rsidP="00B95C30">
      <w:pPr>
        <w:jc w:val="both"/>
        <w:rPr>
          <w:rFonts w:ascii="Arial" w:hAnsi="Arial" w:cs="Arial"/>
          <w:b/>
          <w:sz w:val="22"/>
          <w:lang w:val="es-ES_tradnl"/>
        </w:rPr>
      </w:pPr>
    </w:p>
    <w:p w14:paraId="2E359CAC" w14:textId="59C85025" w:rsidR="00BE3700" w:rsidRPr="00A572F4" w:rsidRDefault="00BE3700" w:rsidP="00B95C30">
      <w:pPr>
        <w:jc w:val="both"/>
        <w:rPr>
          <w:rFonts w:ascii="Arial" w:hAnsi="Arial" w:cs="Arial"/>
          <w:b/>
          <w:sz w:val="22"/>
          <w:lang w:val="es-ES_tradnl"/>
        </w:rPr>
      </w:pPr>
    </w:p>
    <w:p w14:paraId="74B7773A" w14:textId="3D65D977" w:rsidR="00BE3700" w:rsidRPr="00A572F4" w:rsidRDefault="00BE3700" w:rsidP="00B95C30">
      <w:pPr>
        <w:jc w:val="both"/>
        <w:rPr>
          <w:rFonts w:ascii="Arial" w:hAnsi="Arial" w:cs="Arial"/>
          <w:b/>
          <w:sz w:val="22"/>
          <w:lang w:val="es-ES_tradnl"/>
        </w:rPr>
      </w:pPr>
    </w:p>
    <w:p w14:paraId="07548B91" w14:textId="517AEB47" w:rsidR="00BE3700" w:rsidRPr="00A572F4" w:rsidRDefault="00BE3700" w:rsidP="00B95C30">
      <w:pPr>
        <w:jc w:val="both"/>
        <w:rPr>
          <w:rFonts w:ascii="Arial" w:hAnsi="Arial" w:cs="Arial"/>
          <w:b/>
          <w:sz w:val="22"/>
          <w:lang w:val="es-ES_tradnl"/>
        </w:rPr>
      </w:pPr>
    </w:p>
    <w:p w14:paraId="73A0E612" w14:textId="7EA7343A" w:rsidR="00BE3700" w:rsidRPr="00A572F4" w:rsidRDefault="00BE3700" w:rsidP="00B95C30">
      <w:pPr>
        <w:jc w:val="both"/>
        <w:rPr>
          <w:rFonts w:ascii="Arial" w:hAnsi="Arial" w:cs="Arial"/>
          <w:b/>
          <w:sz w:val="22"/>
          <w:lang w:val="es-ES_tradnl"/>
        </w:rPr>
      </w:pPr>
    </w:p>
    <w:p w14:paraId="6F8B804A" w14:textId="55C59463" w:rsidR="00BE3700" w:rsidRPr="00A572F4" w:rsidRDefault="00BE3700" w:rsidP="00B95C30">
      <w:pPr>
        <w:jc w:val="both"/>
        <w:rPr>
          <w:rFonts w:ascii="Arial" w:hAnsi="Arial" w:cs="Arial"/>
          <w:b/>
          <w:sz w:val="22"/>
          <w:lang w:val="es-ES_tradnl"/>
        </w:rPr>
      </w:pPr>
    </w:p>
    <w:p w14:paraId="17DA7D66" w14:textId="340966F5" w:rsidR="00BE3700" w:rsidRPr="00A572F4" w:rsidRDefault="00BE3700" w:rsidP="00B95C30">
      <w:pPr>
        <w:jc w:val="both"/>
        <w:rPr>
          <w:rFonts w:ascii="Arial" w:hAnsi="Arial" w:cs="Arial"/>
          <w:b/>
          <w:sz w:val="22"/>
          <w:lang w:val="es-ES_tradnl"/>
        </w:rPr>
      </w:pPr>
    </w:p>
    <w:p w14:paraId="67BF819E" w14:textId="38DC8894" w:rsidR="00BE3700" w:rsidRPr="00A572F4" w:rsidRDefault="00BE3700" w:rsidP="00B95C30">
      <w:pPr>
        <w:jc w:val="both"/>
        <w:rPr>
          <w:rFonts w:ascii="Arial" w:hAnsi="Arial" w:cs="Arial"/>
          <w:b/>
          <w:sz w:val="22"/>
          <w:lang w:val="es-ES_tradnl"/>
        </w:rPr>
      </w:pPr>
    </w:p>
    <w:p w14:paraId="7F706B1B" w14:textId="16C9E6BE" w:rsidR="00BE3700" w:rsidRPr="00A572F4" w:rsidRDefault="00BE3700" w:rsidP="00B95C30">
      <w:pPr>
        <w:jc w:val="both"/>
        <w:rPr>
          <w:rFonts w:ascii="Arial" w:hAnsi="Arial" w:cs="Arial"/>
          <w:b/>
          <w:sz w:val="22"/>
          <w:lang w:val="es-ES_tradnl"/>
        </w:rPr>
      </w:pPr>
    </w:p>
    <w:p w14:paraId="5AA5CB48" w14:textId="25747534" w:rsidR="00BE3700" w:rsidRPr="00A572F4" w:rsidRDefault="00BE3700" w:rsidP="00B95C30">
      <w:pPr>
        <w:jc w:val="both"/>
        <w:rPr>
          <w:rFonts w:ascii="Arial" w:hAnsi="Arial" w:cs="Arial"/>
          <w:b/>
          <w:sz w:val="22"/>
          <w:lang w:val="es-ES_tradnl"/>
        </w:rPr>
      </w:pPr>
    </w:p>
    <w:p w14:paraId="7FC122E1" w14:textId="275FCD2C" w:rsidR="00BE3700" w:rsidRDefault="00BE3700" w:rsidP="00B95C30">
      <w:pPr>
        <w:jc w:val="both"/>
        <w:rPr>
          <w:rFonts w:ascii="Arial" w:hAnsi="Arial" w:cs="Arial"/>
          <w:b/>
          <w:sz w:val="22"/>
          <w:lang w:val="es-ES_tradnl"/>
        </w:rPr>
      </w:pPr>
    </w:p>
    <w:p w14:paraId="214ECFB4" w14:textId="6782E123" w:rsidR="00CC1821" w:rsidRDefault="00CC1821" w:rsidP="00B95C30">
      <w:pPr>
        <w:jc w:val="both"/>
        <w:rPr>
          <w:rFonts w:ascii="Arial" w:hAnsi="Arial" w:cs="Arial"/>
          <w:b/>
          <w:sz w:val="22"/>
          <w:lang w:val="es-ES_tradnl"/>
        </w:rPr>
      </w:pPr>
    </w:p>
    <w:p w14:paraId="2303F720" w14:textId="33CF682E" w:rsidR="00CC1821" w:rsidRPr="00A572F4" w:rsidRDefault="00CC1821" w:rsidP="00CC1821">
      <w:pPr>
        <w:jc w:val="right"/>
        <w:rPr>
          <w:rFonts w:ascii="Arial" w:hAnsi="Arial" w:cs="Arial"/>
          <w:b/>
          <w:sz w:val="22"/>
          <w:lang w:val="es-ES_tradnl"/>
        </w:rPr>
      </w:pPr>
      <w:r w:rsidRPr="00CC1821">
        <w:rPr>
          <w:rFonts w:ascii="Arial" w:hAnsi="Arial" w:cs="Arial"/>
          <w:b/>
          <w:sz w:val="22"/>
          <w:lang w:val="es-ES_tradnl"/>
        </w:rPr>
        <w:drawing>
          <wp:inline distT="0" distB="0" distL="0" distR="0" wp14:anchorId="36DC8B7F" wp14:editId="006CEDBD">
            <wp:extent cx="3150618" cy="834914"/>
            <wp:effectExtent l="0" t="0" r="0" b="381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3182340" cy="843320"/>
                    </a:xfrm>
                    <a:prstGeom prst="rect">
                      <a:avLst/>
                    </a:prstGeom>
                  </pic:spPr>
                </pic:pic>
              </a:graphicData>
            </a:graphic>
          </wp:inline>
        </w:drawing>
      </w:r>
    </w:p>
    <w:p w14:paraId="1DD9E0DB" w14:textId="4A93ED20" w:rsidR="00C61863" w:rsidRPr="00A572F4" w:rsidRDefault="00C61863" w:rsidP="00B95C30">
      <w:pPr>
        <w:jc w:val="both"/>
        <w:rPr>
          <w:rFonts w:ascii="Arial" w:hAnsi="Arial" w:cs="Arial"/>
          <w:b/>
          <w:sz w:val="22"/>
          <w:lang w:val="es-ES_tradnl"/>
        </w:rPr>
      </w:pPr>
    </w:p>
    <w:p w14:paraId="5F5AE9EF" w14:textId="6CB2CA6C" w:rsidR="00B95C30" w:rsidRPr="00A572F4" w:rsidRDefault="007D24F0" w:rsidP="00EB2ED0">
      <w:pPr>
        <w:jc w:val="both"/>
        <w:rPr>
          <w:rFonts w:ascii="Arial" w:eastAsia="Calibri" w:hAnsi="Arial" w:cs="Arial"/>
          <w:sz w:val="22"/>
          <w:lang w:val="es-ES_tradnl"/>
        </w:rPr>
      </w:pPr>
      <w:bookmarkStart w:id="2" w:name="_Hlk79395594"/>
      <w:r w:rsidRPr="00A572F4">
        <w:rPr>
          <w:rFonts w:ascii="Arial" w:eastAsia="Calibri" w:hAnsi="Arial" w:cs="Arial"/>
          <w:sz w:val="22"/>
          <w:lang w:val="es-ES_tradnl"/>
        </w:rPr>
        <w:t>Doctor</w:t>
      </w:r>
    </w:p>
    <w:p w14:paraId="7AF5E572" w14:textId="294905E3" w:rsidR="00940DBD" w:rsidRPr="00A572F4" w:rsidRDefault="00940DBD" w:rsidP="00940DBD">
      <w:pPr>
        <w:jc w:val="both"/>
        <w:rPr>
          <w:rFonts w:ascii="Arial" w:eastAsia="Calibri" w:hAnsi="Arial" w:cs="Arial"/>
          <w:b/>
          <w:sz w:val="22"/>
          <w:lang w:val="es-ES_tradnl"/>
        </w:rPr>
      </w:pPr>
      <w:r w:rsidRPr="00A572F4">
        <w:rPr>
          <w:rFonts w:ascii="Arial" w:eastAsia="Calibri" w:hAnsi="Arial" w:cs="Arial"/>
          <w:b/>
          <w:sz w:val="22"/>
          <w:lang w:val="es-ES_tradnl"/>
        </w:rPr>
        <w:t>Winston Andrés Martínez Acosta</w:t>
      </w:r>
    </w:p>
    <w:p w14:paraId="23B5F9C9" w14:textId="7BD7A9AB" w:rsidR="00940DBD" w:rsidRPr="00A572F4" w:rsidRDefault="00940DBD" w:rsidP="00940DBD">
      <w:pPr>
        <w:jc w:val="both"/>
        <w:rPr>
          <w:rFonts w:ascii="Arial" w:eastAsia="Calibri" w:hAnsi="Arial" w:cs="Arial"/>
          <w:bCs/>
          <w:sz w:val="22"/>
          <w:lang w:val="es-ES_tradnl"/>
        </w:rPr>
      </w:pPr>
      <w:r w:rsidRPr="00A572F4">
        <w:rPr>
          <w:rFonts w:ascii="Arial" w:eastAsia="Calibri" w:hAnsi="Arial" w:cs="Arial"/>
          <w:bCs/>
          <w:sz w:val="22"/>
          <w:lang w:val="es-ES_tradnl"/>
        </w:rPr>
        <w:t>Secretario General</w:t>
      </w:r>
    </w:p>
    <w:p w14:paraId="10EF67AD" w14:textId="6B924DFE" w:rsidR="007D24F0" w:rsidRPr="00A572F4" w:rsidRDefault="00940DBD" w:rsidP="00940DBD">
      <w:pPr>
        <w:jc w:val="both"/>
        <w:rPr>
          <w:rFonts w:ascii="Arial" w:eastAsia="Calibri" w:hAnsi="Arial" w:cs="Arial"/>
          <w:sz w:val="22"/>
          <w:lang w:val="es-ES_tradnl"/>
        </w:rPr>
      </w:pPr>
      <w:r w:rsidRPr="00A572F4">
        <w:rPr>
          <w:rFonts w:ascii="Arial" w:eastAsia="Calibri" w:hAnsi="Arial" w:cs="Arial"/>
          <w:sz w:val="22"/>
          <w:lang w:val="es-ES_tradnl"/>
        </w:rPr>
        <w:t>Unidad Administrativa Especial Migración Colombia</w:t>
      </w:r>
    </w:p>
    <w:p w14:paraId="09D4AEA8" w14:textId="62B1A724" w:rsidR="00B95C30" w:rsidRPr="00A572F4" w:rsidRDefault="00903679" w:rsidP="00EB2ED0">
      <w:pPr>
        <w:jc w:val="both"/>
        <w:rPr>
          <w:rFonts w:ascii="Arial" w:eastAsia="Calibri" w:hAnsi="Arial" w:cs="Arial"/>
          <w:sz w:val="22"/>
          <w:lang w:val="es-ES_tradnl"/>
        </w:rPr>
      </w:pPr>
      <w:r w:rsidRPr="00A572F4">
        <w:rPr>
          <w:rFonts w:ascii="Arial" w:eastAsia="Calibri" w:hAnsi="Arial" w:cs="Arial"/>
          <w:sz w:val="22"/>
          <w:lang w:val="es-ES_tradnl"/>
        </w:rPr>
        <w:t>Bogotá D.C.</w:t>
      </w:r>
    </w:p>
    <w:p w14:paraId="48E36FCF" w14:textId="26F8F950" w:rsidR="00F53F4F" w:rsidRDefault="00F53F4F" w:rsidP="00EB2ED0">
      <w:pPr>
        <w:jc w:val="both"/>
        <w:rPr>
          <w:rFonts w:ascii="Arial" w:eastAsia="Calibri" w:hAnsi="Arial" w:cs="Arial"/>
          <w:sz w:val="22"/>
          <w:lang w:val="es-ES_tradnl"/>
        </w:rPr>
      </w:pPr>
    </w:p>
    <w:p w14:paraId="38813101" w14:textId="77777777" w:rsidR="00D274C5" w:rsidRPr="00A572F4" w:rsidRDefault="00D274C5" w:rsidP="00EB2ED0">
      <w:pPr>
        <w:jc w:val="both"/>
        <w:rPr>
          <w:rFonts w:ascii="Arial" w:eastAsia="Calibri" w:hAnsi="Arial" w:cs="Arial"/>
          <w:sz w:val="22"/>
          <w:lang w:val="es-ES_tradnl"/>
        </w:rPr>
      </w:pPr>
    </w:p>
    <w:p w14:paraId="12E66182" w14:textId="6B3FF6DF" w:rsidR="00B95C30" w:rsidRPr="00A572F4" w:rsidRDefault="00F53F4F" w:rsidP="00EB2ED0">
      <w:pPr>
        <w:rPr>
          <w:rFonts w:ascii="Arial" w:eastAsia="Calibri" w:hAnsi="Arial" w:cs="Arial"/>
          <w:b/>
          <w:bCs/>
          <w:sz w:val="22"/>
          <w:lang w:val="es-ES_tradnl"/>
        </w:rPr>
      </w:pPr>
      <w:r w:rsidRPr="00A572F4">
        <w:rPr>
          <w:rFonts w:ascii="Arial" w:eastAsia="Calibri" w:hAnsi="Arial" w:cs="Arial"/>
          <w:b/>
          <w:bCs/>
          <w:sz w:val="22"/>
          <w:lang w:val="es-ES_tradnl"/>
        </w:rPr>
        <w:t xml:space="preserve">                                            </w:t>
      </w:r>
      <w:r w:rsidR="00B95C30" w:rsidRPr="00A572F4">
        <w:rPr>
          <w:rFonts w:ascii="Arial" w:eastAsia="Calibri" w:hAnsi="Arial" w:cs="Arial"/>
          <w:b/>
          <w:bCs/>
          <w:sz w:val="22"/>
          <w:lang w:val="es-ES_tradnl"/>
        </w:rPr>
        <w:t xml:space="preserve">Concepto C ‒ </w:t>
      </w:r>
      <w:r w:rsidR="00940DBD" w:rsidRPr="00A572F4">
        <w:rPr>
          <w:rFonts w:ascii="Arial" w:eastAsia="Calibri" w:hAnsi="Arial" w:cs="Arial"/>
          <w:b/>
          <w:bCs/>
          <w:sz w:val="22"/>
          <w:lang w:val="es-ES_tradnl"/>
        </w:rPr>
        <w:t>397</w:t>
      </w:r>
      <w:r w:rsidR="00B95C30" w:rsidRPr="00A572F4">
        <w:rPr>
          <w:rFonts w:ascii="Arial" w:eastAsia="Calibri" w:hAnsi="Arial" w:cs="Arial"/>
          <w:b/>
          <w:bCs/>
          <w:sz w:val="22"/>
          <w:lang w:val="es-ES_tradnl"/>
        </w:rPr>
        <w:t xml:space="preserve"> de 202</w:t>
      </w:r>
      <w:r w:rsidR="005E781C" w:rsidRPr="00A572F4">
        <w:rPr>
          <w:rFonts w:ascii="Arial" w:eastAsia="Calibri" w:hAnsi="Arial" w:cs="Arial"/>
          <w:b/>
          <w:bCs/>
          <w:sz w:val="22"/>
          <w:lang w:val="es-ES_tradnl"/>
        </w:rPr>
        <w:t>1</w:t>
      </w:r>
    </w:p>
    <w:p w14:paraId="1BD594F9" w14:textId="77777777" w:rsidR="00B95C30" w:rsidRPr="00A572F4" w:rsidRDefault="00B95C30" w:rsidP="00EB2ED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572F4" w:rsidRPr="00A572F4" w14:paraId="19DFC051" w14:textId="77777777" w:rsidTr="008F4163">
        <w:tc>
          <w:tcPr>
            <w:tcW w:w="2689" w:type="dxa"/>
          </w:tcPr>
          <w:p w14:paraId="6BC0D1AC" w14:textId="77777777" w:rsidR="00B95C30" w:rsidRPr="00A572F4" w:rsidRDefault="00B95C30" w:rsidP="00EB2ED0">
            <w:pPr>
              <w:jc w:val="both"/>
              <w:rPr>
                <w:rFonts w:ascii="Arial" w:eastAsia="Calibri" w:hAnsi="Arial" w:cs="Arial"/>
                <w:sz w:val="22"/>
                <w:lang w:val="es-ES_tradnl"/>
              </w:rPr>
            </w:pPr>
            <w:r w:rsidRPr="00A572F4">
              <w:rPr>
                <w:rFonts w:ascii="Arial" w:eastAsia="Calibri" w:hAnsi="Arial" w:cs="Arial"/>
                <w:b/>
                <w:sz w:val="22"/>
                <w:lang w:val="es-ES_tradnl"/>
              </w:rPr>
              <w:t>Temas:</w:t>
            </w:r>
            <w:r w:rsidRPr="00A572F4">
              <w:rPr>
                <w:rFonts w:ascii="Arial" w:eastAsia="Calibri" w:hAnsi="Arial" w:cs="Arial"/>
                <w:sz w:val="22"/>
                <w:lang w:val="es-ES_tradnl"/>
              </w:rPr>
              <w:t xml:space="preserve">                                      </w:t>
            </w:r>
          </w:p>
        </w:tc>
        <w:tc>
          <w:tcPr>
            <w:tcW w:w="6237" w:type="dxa"/>
          </w:tcPr>
          <w:p w14:paraId="5F389CAF" w14:textId="3023F78F" w:rsidR="00B95C30" w:rsidRPr="00A572F4" w:rsidRDefault="00681C78" w:rsidP="00EB2ED0">
            <w:pPr>
              <w:jc w:val="both"/>
              <w:rPr>
                <w:rFonts w:ascii="Arial" w:eastAsia="Calibri" w:hAnsi="Arial" w:cs="Arial"/>
                <w:sz w:val="22"/>
                <w:lang w:val="es-ES_tradnl"/>
              </w:rPr>
            </w:pPr>
            <w:r w:rsidRPr="00A572F4">
              <w:rPr>
                <w:rFonts w:ascii="Arial" w:eastAsia="Calibri" w:hAnsi="Arial" w:cs="Arial"/>
                <w:bCs/>
                <w:sz w:val="22"/>
                <w:lang w:val="es-ES_tradnl"/>
              </w:rPr>
              <w:t>LEY DE EMPRENDIMIENTO – Ley 2069 de 2020 – Vigencia / INTERVENCIÓN DEL REGLAMENTO – Ley 2069 de 2020 – Aplicación directa / MIPYMES – Ley 2069 – Artículo 34 – Convocatorias limitadas – Vigencia / PROMOCIÓN DEL DESARROLLO – Contratación estatal – Ley 2069 – Artículo 34 – Subrogación / FACTORES DE DESEMPATE ¬– Mínima cuantía – Subasta inversa – Ley 2069 de 2020 – Factores de desempate – Aplicación – Puntaje</w:t>
            </w:r>
          </w:p>
        </w:tc>
      </w:tr>
      <w:tr w:rsidR="00A572F4" w:rsidRPr="00A572F4" w14:paraId="27CD52AB" w14:textId="77777777" w:rsidTr="008F4163">
        <w:tc>
          <w:tcPr>
            <w:tcW w:w="2689" w:type="dxa"/>
          </w:tcPr>
          <w:p w14:paraId="37E195A1" w14:textId="1BA218D5" w:rsidR="00B95C30" w:rsidRPr="00A572F4" w:rsidRDefault="00B95C30" w:rsidP="00EB2ED0">
            <w:pPr>
              <w:spacing w:before="120"/>
              <w:jc w:val="both"/>
              <w:rPr>
                <w:rFonts w:ascii="Arial" w:eastAsia="Calibri" w:hAnsi="Arial" w:cs="Arial"/>
                <w:b/>
                <w:sz w:val="22"/>
                <w:lang w:val="es-ES_tradnl"/>
              </w:rPr>
            </w:pPr>
            <w:r w:rsidRPr="00A572F4">
              <w:rPr>
                <w:rFonts w:ascii="Arial" w:eastAsia="Calibri" w:hAnsi="Arial" w:cs="Arial"/>
                <w:b/>
                <w:sz w:val="22"/>
                <w:lang w:val="es-ES_tradnl"/>
              </w:rPr>
              <w:t>Radicación:</w:t>
            </w:r>
            <w:r w:rsidRPr="00A572F4">
              <w:rPr>
                <w:rFonts w:ascii="Arial" w:eastAsia="Calibri" w:hAnsi="Arial" w:cs="Arial"/>
                <w:sz w:val="22"/>
                <w:lang w:val="es-ES_tradnl"/>
              </w:rPr>
              <w:t xml:space="preserve">                              </w:t>
            </w:r>
          </w:p>
        </w:tc>
        <w:tc>
          <w:tcPr>
            <w:tcW w:w="6237" w:type="dxa"/>
          </w:tcPr>
          <w:p w14:paraId="09088B1B" w14:textId="729FF600" w:rsidR="00B95C30" w:rsidRPr="00A572F4" w:rsidRDefault="00B95C30" w:rsidP="00EB2ED0">
            <w:pPr>
              <w:spacing w:before="120"/>
              <w:jc w:val="both"/>
              <w:rPr>
                <w:rFonts w:ascii="Arial" w:eastAsia="Calibri" w:hAnsi="Arial" w:cs="Arial"/>
                <w:sz w:val="22"/>
                <w:lang w:val="es-ES_tradnl"/>
              </w:rPr>
            </w:pPr>
            <w:r w:rsidRPr="00A572F4">
              <w:rPr>
                <w:rFonts w:ascii="Arial" w:eastAsia="Calibri" w:hAnsi="Arial" w:cs="Arial"/>
                <w:sz w:val="22"/>
                <w:lang w:val="es-ES_tradnl"/>
              </w:rPr>
              <w:t xml:space="preserve">Respuesta a consulta # </w:t>
            </w:r>
            <w:r w:rsidR="00940DBD" w:rsidRPr="00A572F4">
              <w:rPr>
                <w:rFonts w:ascii="Arial" w:eastAsia="Calibri" w:hAnsi="Arial" w:cs="Arial"/>
                <w:sz w:val="22"/>
                <w:lang w:val="es-ES_tradnl"/>
              </w:rPr>
              <w:t>P20210624005547</w:t>
            </w:r>
          </w:p>
        </w:tc>
      </w:tr>
    </w:tbl>
    <w:p w14:paraId="61B55CA4" w14:textId="77777777" w:rsidR="00716BB0" w:rsidRPr="00A572F4" w:rsidRDefault="00716BB0" w:rsidP="00EB2ED0">
      <w:pPr>
        <w:jc w:val="both"/>
        <w:rPr>
          <w:rFonts w:ascii="Arial" w:eastAsia="Calibri" w:hAnsi="Arial" w:cs="Arial"/>
          <w:sz w:val="22"/>
          <w:lang w:val="es-ES_tradnl"/>
        </w:rPr>
      </w:pPr>
    </w:p>
    <w:p w14:paraId="4B9B5156" w14:textId="77777777" w:rsidR="00716BB0" w:rsidRPr="00A572F4" w:rsidRDefault="00716BB0" w:rsidP="00EB2ED0">
      <w:pPr>
        <w:jc w:val="both"/>
        <w:rPr>
          <w:rFonts w:ascii="Arial" w:eastAsia="Calibri" w:hAnsi="Arial" w:cs="Arial"/>
          <w:sz w:val="22"/>
          <w:lang w:val="es-ES_tradnl"/>
        </w:rPr>
      </w:pPr>
    </w:p>
    <w:p w14:paraId="1CF4AEA0" w14:textId="2EA29038" w:rsidR="003C3339" w:rsidRPr="00A572F4" w:rsidRDefault="003C3339" w:rsidP="00EB2ED0">
      <w:pPr>
        <w:jc w:val="both"/>
        <w:rPr>
          <w:rFonts w:ascii="Arial" w:eastAsia="Calibri" w:hAnsi="Arial" w:cs="Arial"/>
          <w:sz w:val="22"/>
          <w:lang w:val="es-ES_tradnl"/>
        </w:rPr>
      </w:pPr>
      <w:r w:rsidRPr="00A572F4">
        <w:rPr>
          <w:rFonts w:ascii="Arial" w:eastAsia="Calibri" w:hAnsi="Arial" w:cs="Arial"/>
          <w:sz w:val="22"/>
          <w:lang w:val="es-ES_tradnl"/>
        </w:rPr>
        <w:t>Estimad</w:t>
      </w:r>
      <w:r w:rsidR="00940DBD" w:rsidRPr="00A572F4">
        <w:rPr>
          <w:rFonts w:ascii="Arial" w:eastAsia="Calibri" w:hAnsi="Arial" w:cs="Arial"/>
          <w:sz w:val="22"/>
          <w:lang w:val="es-ES_tradnl"/>
        </w:rPr>
        <w:t>o</w:t>
      </w:r>
      <w:r w:rsidRPr="00A572F4">
        <w:rPr>
          <w:rFonts w:ascii="Arial" w:eastAsia="Calibri" w:hAnsi="Arial" w:cs="Arial"/>
          <w:sz w:val="22"/>
          <w:lang w:val="es-ES_tradnl"/>
        </w:rPr>
        <w:t xml:space="preserve"> </w:t>
      </w:r>
      <w:r w:rsidR="009D23D3" w:rsidRPr="00A572F4">
        <w:rPr>
          <w:rFonts w:ascii="Arial" w:eastAsia="Calibri" w:hAnsi="Arial" w:cs="Arial"/>
          <w:sz w:val="22"/>
          <w:lang w:val="es-ES_tradnl"/>
        </w:rPr>
        <w:t>Doctor</w:t>
      </w:r>
      <w:r w:rsidR="00BE4FBF" w:rsidRPr="00A572F4">
        <w:rPr>
          <w:rFonts w:ascii="Arial" w:eastAsia="Calibri" w:hAnsi="Arial" w:cs="Arial"/>
          <w:sz w:val="22"/>
          <w:lang w:val="es-ES_tradnl"/>
        </w:rPr>
        <w:t xml:space="preserve"> </w:t>
      </w:r>
      <w:r w:rsidR="00940DBD" w:rsidRPr="00A572F4">
        <w:rPr>
          <w:rFonts w:ascii="Arial" w:eastAsia="Calibri" w:hAnsi="Arial" w:cs="Arial"/>
          <w:sz w:val="22"/>
          <w:lang w:val="es-ES_tradnl"/>
        </w:rPr>
        <w:t>Martínez</w:t>
      </w:r>
      <w:r w:rsidRPr="00A572F4">
        <w:rPr>
          <w:rFonts w:ascii="Arial" w:eastAsia="Calibri" w:hAnsi="Arial" w:cs="Arial"/>
          <w:sz w:val="22"/>
          <w:lang w:val="es-ES_tradnl"/>
        </w:rPr>
        <w:t>:</w:t>
      </w:r>
    </w:p>
    <w:p w14:paraId="1EAE5543" w14:textId="77777777" w:rsidR="00DD5B04" w:rsidRPr="00A572F4" w:rsidRDefault="00DD5B04" w:rsidP="00EB2ED0">
      <w:pPr>
        <w:jc w:val="both"/>
        <w:rPr>
          <w:rFonts w:ascii="Arial" w:eastAsia="Calibri" w:hAnsi="Arial" w:cs="Arial"/>
          <w:sz w:val="22"/>
          <w:lang w:val="es-ES_tradnl"/>
        </w:rPr>
      </w:pPr>
    </w:p>
    <w:p w14:paraId="2109B2D3" w14:textId="763ABE65" w:rsidR="00DD5B04" w:rsidRPr="00A572F4" w:rsidRDefault="00DD5B04" w:rsidP="00EB2ED0">
      <w:pPr>
        <w:spacing w:line="276" w:lineRule="auto"/>
        <w:jc w:val="both"/>
        <w:rPr>
          <w:rFonts w:ascii="Arial" w:eastAsia="Calibri" w:hAnsi="Arial" w:cs="Arial"/>
          <w:sz w:val="22"/>
          <w:lang w:val="es-ES_tradnl"/>
        </w:rPr>
      </w:pPr>
      <w:r w:rsidRPr="00A572F4">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A572F4">
        <w:rPr>
          <w:rFonts w:ascii="Arial" w:eastAsia="Calibri" w:hAnsi="Arial" w:cs="Arial"/>
          <w:sz w:val="22"/>
          <w:lang w:val="es-ES_tradnl"/>
        </w:rPr>
        <w:t xml:space="preserve"> </w:t>
      </w:r>
      <w:r w:rsidRPr="00A572F4">
        <w:rPr>
          <w:rFonts w:ascii="Arial" w:eastAsia="Calibri" w:hAnsi="Arial" w:cs="Arial"/>
          <w:sz w:val="22"/>
          <w:lang w:val="es-ES_tradnl"/>
        </w:rPr>
        <w:t xml:space="preserve">responde su consulta del </w:t>
      </w:r>
      <w:r w:rsidR="00940DBD" w:rsidRPr="00A572F4">
        <w:rPr>
          <w:rFonts w:ascii="Arial" w:eastAsia="Calibri" w:hAnsi="Arial" w:cs="Arial"/>
          <w:sz w:val="22"/>
          <w:lang w:val="es-ES_tradnl"/>
        </w:rPr>
        <w:t xml:space="preserve">24 </w:t>
      </w:r>
      <w:r w:rsidR="00FD4AF3" w:rsidRPr="00A572F4">
        <w:rPr>
          <w:rFonts w:ascii="Arial" w:eastAsia="Calibri" w:hAnsi="Arial" w:cs="Arial"/>
          <w:sz w:val="22"/>
          <w:lang w:val="es-ES_tradnl"/>
        </w:rPr>
        <w:t xml:space="preserve">de </w:t>
      </w:r>
      <w:r w:rsidR="00940DBD" w:rsidRPr="00A572F4">
        <w:rPr>
          <w:rFonts w:ascii="Arial" w:eastAsia="Calibri" w:hAnsi="Arial" w:cs="Arial"/>
          <w:sz w:val="22"/>
          <w:lang w:val="es-ES_tradnl"/>
        </w:rPr>
        <w:t>junio</w:t>
      </w:r>
      <w:r w:rsidRPr="00A572F4">
        <w:rPr>
          <w:rFonts w:ascii="Arial" w:eastAsia="Calibri" w:hAnsi="Arial" w:cs="Arial"/>
          <w:sz w:val="22"/>
          <w:lang w:val="es-ES_tradnl"/>
        </w:rPr>
        <w:t xml:space="preserve"> de</w:t>
      </w:r>
      <w:r w:rsidR="007E74BF" w:rsidRPr="00A572F4">
        <w:rPr>
          <w:rFonts w:ascii="Arial" w:eastAsia="Calibri" w:hAnsi="Arial" w:cs="Arial"/>
          <w:sz w:val="22"/>
          <w:lang w:val="es-ES_tradnl"/>
        </w:rPr>
        <w:t xml:space="preserve"> </w:t>
      </w:r>
      <w:r w:rsidRPr="00A572F4">
        <w:rPr>
          <w:rFonts w:ascii="Arial" w:eastAsia="Calibri" w:hAnsi="Arial" w:cs="Arial"/>
          <w:sz w:val="22"/>
          <w:lang w:val="es-ES_tradnl"/>
        </w:rPr>
        <w:t>202</w:t>
      </w:r>
      <w:r w:rsidR="00FB0880" w:rsidRPr="00A572F4">
        <w:rPr>
          <w:rFonts w:ascii="Arial" w:eastAsia="Calibri" w:hAnsi="Arial" w:cs="Arial"/>
          <w:sz w:val="22"/>
          <w:lang w:val="es-ES_tradnl"/>
        </w:rPr>
        <w:t>1</w:t>
      </w:r>
      <w:r w:rsidR="008C3C57" w:rsidRPr="00A572F4">
        <w:rPr>
          <w:rFonts w:ascii="Arial" w:eastAsia="Calibri" w:hAnsi="Arial" w:cs="Arial"/>
          <w:sz w:val="22"/>
          <w:lang w:val="es-ES_tradnl"/>
        </w:rPr>
        <w:t>.</w:t>
      </w:r>
      <w:r w:rsidR="009013B8" w:rsidRPr="00A572F4">
        <w:rPr>
          <w:rFonts w:ascii="Arial" w:eastAsia="Calibri" w:hAnsi="Arial" w:cs="Arial"/>
          <w:sz w:val="22"/>
          <w:lang w:val="es-ES_tradnl"/>
        </w:rPr>
        <w:t xml:space="preserve"> </w:t>
      </w:r>
    </w:p>
    <w:p w14:paraId="0C1E0712" w14:textId="77777777" w:rsidR="00DD5B04" w:rsidRPr="00A572F4" w:rsidRDefault="00DD5B04" w:rsidP="00EB2ED0">
      <w:pPr>
        <w:jc w:val="both"/>
        <w:rPr>
          <w:rFonts w:ascii="Arial" w:eastAsia="Calibri" w:hAnsi="Arial" w:cs="Arial"/>
          <w:bCs/>
          <w:sz w:val="22"/>
          <w:lang w:val="es-ES_tradnl"/>
        </w:rPr>
      </w:pPr>
    </w:p>
    <w:p w14:paraId="7701FCC7" w14:textId="77777777" w:rsidR="00DD5B04" w:rsidRPr="00A572F4" w:rsidRDefault="00DD5B04" w:rsidP="00EB2ED0">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A572F4">
        <w:rPr>
          <w:rFonts w:ascii="Arial" w:eastAsia="Calibri" w:hAnsi="Arial" w:cs="Arial"/>
          <w:b/>
          <w:sz w:val="22"/>
          <w:lang w:val="es-ES_tradnl"/>
        </w:rPr>
        <w:t xml:space="preserve">Problema planteado </w:t>
      </w:r>
    </w:p>
    <w:p w14:paraId="224B43D3" w14:textId="77777777" w:rsidR="00DD5B04" w:rsidRPr="00A572F4" w:rsidRDefault="00DD5B04" w:rsidP="00EB2ED0">
      <w:pPr>
        <w:tabs>
          <w:tab w:val="left" w:pos="426"/>
        </w:tabs>
        <w:jc w:val="both"/>
        <w:rPr>
          <w:rFonts w:ascii="Arial" w:eastAsia="Calibri" w:hAnsi="Arial" w:cs="Arial"/>
          <w:bCs/>
          <w:sz w:val="22"/>
          <w:lang w:val="es-ES_tradnl"/>
        </w:rPr>
      </w:pPr>
    </w:p>
    <w:p w14:paraId="61BDE6CD" w14:textId="05905506" w:rsidR="009E2103" w:rsidRPr="00A572F4" w:rsidRDefault="00D03AD6" w:rsidP="00EB2ED0">
      <w:pPr>
        <w:autoSpaceDE w:val="0"/>
        <w:autoSpaceDN w:val="0"/>
        <w:adjustRightInd w:val="0"/>
        <w:jc w:val="both"/>
        <w:rPr>
          <w:rFonts w:ascii="Arial" w:hAnsi="Arial" w:cs="Arial"/>
          <w:sz w:val="22"/>
          <w:szCs w:val="22"/>
          <w:lang w:val="es-ES_tradnl"/>
        </w:rPr>
      </w:pPr>
      <w:r>
        <w:rPr>
          <w:rFonts w:ascii="Arial" w:hAnsi="Arial" w:cs="Arial"/>
          <w:sz w:val="22"/>
          <w:szCs w:val="22"/>
          <w:lang w:val="es-ES_tradnl"/>
        </w:rPr>
        <w:t>Respecto a la</w:t>
      </w:r>
      <w:r w:rsidR="00940DBD" w:rsidRPr="00A572F4">
        <w:rPr>
          <w:rFonts w:ascii="Arial" w:hAnsi="Arial" w:cs="Arial"/>
          <w:sz w:val="22"/>
          <w:szCs w:val="22"/>
          <w:lang w:val="es-ES_tradnl"/>
        </w:rPr>
        <w:t xml:space="preserve"> Ley 2069 de 2020</w:t>
      </w:r>
      <w:r>
        <w:rPr>
          <w:rFonts w:ascii="Arial" w:hAnsi="Arial" w:cs="Arial"/>
          <w:sz w:val="22"/>
          <w:szCs w:val="22"/>
          <w:lang w:val="es-ES_tradnl"/>
        </w:rPr>
        <w:t>, usted realiza la siguiente pregunta</w:t>
      </w:r>
      <w:r w:rsidR="00B422C0" w:rsidRPr="00A572F4">
        <w:rPr>
          <w:rFonts w:ascii="Arial" w:hAnsi="Arial" w:cs="Arial"/>
          <w:sz w:val="22"/>
          <w:szCs w:val="22"/>
          <w:lang w:val="es-ES_tradnl"/>
        </w:rPr>
        <w:t>:</w:t>
      </w:r>
      <w:r w:rsidR="000B56F9" w:rsidRPr="00A572F4">
        <w:rPr>
          <w:rFonts w:ascii="Arial" w:hAnsi="Arial" w:cs="Arial"/>
          <w:sz w:val="22"/>
          <w:szCs w:val="22"/>
          <w:lang w:val="es-ES_tradnl"/>
        </w:rPr>
        <w:t xml:space="preserve"> </w:t>
      </w:r>
    </w:p>
    <w:p w14:paraId="7D52454A" w14:textId="77777777" w:rsidR="009E2103" w:rsidRPr="00A572F4" w:rsidRDefault="009E2103" w:rsidP="00EB2ED0">
      <w:pPr>
        <w:autoSpaceDE w:val="0"/>
        <w:autoSpaceDN w:val="0"/>
        <w:adjustRightInd w:val="0"/>
        <w:jc w:val="both"/>
        <w:rPr>
          <w:rFonts w:ascii="Arial" w:hAnsi="Arial" w:cs="Arial"/>
          <w:sz w:val="22"/>
          <w:szCs w:val="22"/>
          <w:lang w:val="es-ES_tradnl"/>
        </w:rPr>
      </w:pPr>
    </w:p>
    <w:p w14:paraId="07FC3B51" w14:textId="0D1A6B86" w:rsidR="00940DBD" w:rsidRPr="00940DBD" w:rsidRDefault="000B56F9" w:rsidP="00940DBD">
      <w:pPr>
        <w:pStyle w:val="Default"/>
        <w:ind w:left="709" w:right="709"/>
        <w:jc w:val="both"/>
        <w:rPr>
          <w:color w:val="auto"/>
          <w:sz w:val="21"/>
          <w:szCs w:val="21"/>
        </w:rPr>
      </w:pPr>
      <w:r w:rsidRPr="00A572F4">
        <w:rPr>
          <w:color w:val="auto"/>
          <w:sz w:val="21"/>
          <w:szCs w:val="21"/>
          <w:lang w:val="es-ES_tradnl"/>
        </w:rPr>
        <w:t>«</w:t>
      </w:r>
      <w:r w:rsidR="00940DBD" w:rsidRPr="00A572F4">
        <w:rPr>
          <w:color w:val="auto"/>
          <w:sz w:val="21"/>
          <w:szCs w:val="21"/>
          <w:lang w:val="es-ES_tradnl"/>
        </w:rPr>
        <w:t>[…]</w:t>
      </w:r>
      <w:r w:rsidR="00940DBD" w:rsidRPr="00A572F4">
        <w:rPr>
          <w:color w:val="auto"/>
          <w:sz w:val="21"/>
          <w:szCs w:val="21"/>
        </w:rPr>
        <w:t xml:space="preserve"> </w:t>
      </w:r>
      <w:r w:rsidR="00940DBD" w:rsidRPr="00940DBD">
        <w:rPr>
          <w:color w:val="auto"/>
          <w:sz w:val="21"/>
          <w:szCs w:val="21"/>
        </w:rPr>
        <w:t xml:space="preserve">1. Tratándose de procesos en los cuales por su naturaleza son susceptibles de ser limitados a </w:t>
      </w:r>
      <w:proofErr w:type="spellStart"/>
      <w:r w:rsidR="00940DBD" w:rsidRPr="00940DBD">
        <w:rPr>
          <w:color w:val="auto"/>
          <w:sz w:val="21"/>
          <w:szCs w:val="21"/>
        </w:rPr>
        <w:t>Mipymes</w:t>
      </w:r>
      <w:proofErr w:type="spellEnd"/>
      <w:r w:rsidR="00940DBD" w:rsidRPr="00940DBD">
        <w:rPr>
          <w:color w:val="auto"/>
          <w:sz w:val="21"/>
          <w:szCs w:val="21"/>
        </w:rPr>
        <w:t xml:space="preserve"> y de acuerdo a la cuantía de la contratación establecida por el Ministerio de Comercio </w:t>
      </w:r>
      <w:proofErr w:type="gramStart"/>
      <w:r w:rsidR="00940DBD" w:rsidRPr="00940DBD">
        <w:rPr>
          <w:color w:val="auto"/>
          <w:sz w:val="21"/>
          <w:szCs w:val="21"/>
        </w:rPr>
        <w:t>¿Se debe aplicar lo dispuesto en el artículo 2</w:t>
      </w:r>
      <w:r w:rsidR="00FD0865">
        <w:rPr>
          <w:color w:val="auto"/>
          <w:sz w:val="21"/>
          <w:szCs w:val="21"/>
        </w:rPr>
        <w:t>.</w:t>
      </w:r>
      <w:proofErr w:type="gramEnd"/>
      <w:r w:rsidR="00940DBD" w:rsidRPr="00940DBD">
        <w:rPr>
          <w:color w:val="auto"/>
          <w:sz w:val="21"/>
          <w:szCs w:val="21"/>
        </w:rPr>
        <w:t xml:space="preserve">2.1.2.4.2.2. del Decreto 1082 del 2015, o a lo dispuesto por la ley 2069 del 2020? </w:t>
      </w:r>
      <w:proofErr w:type="gramStart"/>
      <w:r w:rsidR="00940DBD" w:rsidRPr="00940DBD">
        <w:rPr>
          <w:color w:val="auto"/>
          <w:sz w:val="21"/>
          <w:szCs w:val="21"/>
        </w:rPr>
        <w:t>¿Qué sucede con la vigencia del artículo 2.</w:t>
      </w:r>
      <w:proofErr w:type="gramEnd"/>
      <w:r w:rsidR="00940DBD" w:rsidRPr="00940DBD">
        <w:rPr>
          <w:color w:val="auto"/>
          <w:sz w:val="21"/>
          <w:szCs w:val="21"/>
        </w:rPr>
        <w:t xml:space="preserve">2.1.2.4.2.2. del Decreto 1082 de 2015? </w:t>
      </w:r>
    </w:p>
    <w:p w14:paraId="727C3916" w14:textId="77777777" w:rsidR="00940DBD" w:rsidRPr="00940DBD" w:rsidRDefault="00940DBD" w:rsidP="00940DBD">
      <w:pPr>
        <w:autoSpaceDE w:val="0"/>
        <w:autoSpaceDN w:val="0"/>
        <w:adjustRightInd w:val="0"/>
        <w:ind w:left="709" w:right="709"/>
        <w:jc w:val="both"/>
        <w:rPr>
          <w:rFonts w:ascii="Arial" w:eastAsiaTheme="minorHAnsi" w:hAnsi="Arial" w:cs="Arial"/>
          <w:sz w:val="21"/>
          <w:szCs w:val="21"/>
          <w:lang w:eastAsia="en-US"/>
        </w:rPr>
      </w:pPr>
    </w:p>
    <w:p w14:paraId="79D0132C" w14:textId="1C05F8BD" w:rsidR="004275A7" w:rsidRPr="00A572F4" w:rsidRDefault="00940DBD" w:rsidP="00940DBD">
      <w:pPr>
        <w:autoSpaceDE w:val="0"/>
        <w:autoSpaceDN w:val="0"/>
        <w:adjustRightInd w:val="0"/>
        <w:ind w:left="709" w:right="709"/>
        <w:jc w:val="both"/>
        <w:rPr>
          <w:rFonts w:ascii="Arial" w:hAnsi="Arial" w:cs="Arial"/>
          <w:sz w:val="21"/>
          <w:szCs w:val="21"/>
          <w:lang w:val="es-ES_tradnl"/>
        </w:rPr>
      </w:pPr>
      <w:r w:rsidRPr="00940DBD">
        <w:rPr>
          <w:rFonts w:ascii="Arial" w:eastAsiaTheme="minorHAnsi" w:hAnsi="Arial" w:cs="Arial"/>
          <w:sz w:val="21"/>
          <w:szCs w:val="21"/>
          <w:lang w:eastAsia="en-US"/>
        </w:rPr>
        <w:lastRenderedPageBreak/>
        <w:t>2. En los procesos de contratación a los cuales no le son aplicables el factor de puntaje (mínima cuantía y selección abreviada de subasta inversa), ¿son susceptibles de incorporar dentro de la correspondiente invitación y pliego de condiciones, respectivamente, los factores de desempate contenido en el artículo 35 de la ley 2069 de 2020?, o si por con contrario, al no ser procesos que cuenten con factor de puntaje, ¿El mecanismo de desempate se sigue conservando de acuerdo a los criterios de desempate que se venían manejando antes de la entrega en vigencia de la ley 2069 de 2020?</w:t>
      </w:r>
      <w:r w:rsidRPr="00A572F4">
        <w:rPr>
          <w:rFonts w:ascii="Arial" w:eastAsiaTheme="minorHAnsi" w:hAnsi="Arial" w:cs="Arial"/>
          <w:sz w:val="21"/>
          <w:szCs w:val="21"/>
          <w:lang w:eastAsia="en-US"/>
        </w:rPr>
        <w:t xml:space="preserve">» </w:t>
      </w:r>
      <w:r w:rsidR="00055A41" w:rsidRPr="00A572F4">
        <w:rPr>
          <w:rFonts w:ascii="Arial" w:eastAsiaTheme="minorHAnsi" w:hAnsi="Arial" w:cs="Arial"/>
          <w:sz w:val="21"/>
          <w:szCs w:val="21"/>
          <w:lang w:eastAsia="en-US"/>
        </w:rPr>
        <w:t>[sic].</w:t>
      </w:r>
    </w:p>
    <w:p w14:paraId="3830C92C" w14:textId="77777777" w:rsidR="00507066" w:rsidRPr="00A572F4" w:rsidRDefault="00507066" w:rsidP="00EB2ED0">
      <w:pPr>
        <w:spacing w:line="276" w:lineRule="auto"/>
        <w:ind w:left="709" w:right="709"/>
        <w:jc w:val="both"/>
        <w:rPr>
          <w:rFonts w:ascii="Arial" w:hAnsi="Arial" w:cs="Arial"/>
          <w:sz w:val="22"/>
          <w:szCs w:val="22"/>
          <w:lang w:val="es-ES_tradnl"/>
        </w:rPr>
      </w:pPr>
    </w:p>
    <w:p w14:paraId="124D2DCA" w14:textId="77777777" w:rsidR="00DD5B04" w:rsidRPr="00A572F4" w:rsidRDefault="00DD5B04" w:rsidP="00EB2ED0">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A572F4">
        <w:rPr>
          <w:rFonts w:ascii="Arial" w:eastAsia="Calibri" w:hAnsi="Arial" w:cs="Arial"/>
          <w:b/>
          <w:sz w:val="22"/>
          <w:lang w:val="es-ES_tradnl"/>
        </w:rPr>
        <w:t>Consideraciones</w:t>
      </w:r>
    </w:p>
    <w:p w14:paraId="7D050D2E" w14:textId="77777777" w:rsidR="00435703" w:rsidRPr="00A572F4" w:rsidRDefault="00435703" w:rsidP="00EB2ED0">
      <w:pPr>
        <w:jc w:val="both"/>
        <w:rPr>
          <w:rFonts w:ascii="Arial" w:eastAsia="Calibri" w:hAnsi="Arial" w:cs="Arial"/>
          <w:sz w:val="22"/>
          <w:szCs w:val="22"/>
          <w:lang w:val="es-ES_tradnl"/>
        </w:rPr>
      </w:pPr>
    </w:p>
    <w:p w14:paraId="79515D69" w14:textId="1971D9EF" w:rsidR="00212BC8" w:rsidRPr="00A572F4" w:rsidRDefault="008E30C4" w:rsidP="00EB2ED0">
      <w:pPr>
        <w:spacing w:line="276" w:lineRule="auto"/>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La Subdirección de Gestión Contractual responderá </w:t>
      </w:r>
      <w:r w:rsidR="00271230" w:rsidRPr="00A572F4">
        <w:rPr>
          <w:rFonts w:ascii="Arial" w:eastAsia="Calibri" w:hAnsi="Arial" w:cs="Arial"/>
          <w:sz w:val="22"/>
          <w:szCs w:val="22"/>
          <w:lang w:val="es-ES_tradnl"/>
        </w:rPr>
        <w:t>la consulta</w:t>
      </w:r>
      <w:r w:rsidRPr="00A572F4">
        <w:rPr>
          <w:rFonts w:ascii="Arial" w:eastAsia="Calibri" w:hAnsi="Arial" w:cs="Arial"/>
          <w:sz w:val="22"/>
          <w:szCs w:val="22"/>
          <w:lang w:val="es-ES_tradnl"/>
        </w:rPr>
        <w:t xml:space="preserve">, </w:t>
      </w:r>
      <w:r w:rsidR="00271230" w:rsidRPr="00A572F4">
        <w:rPr>
          <w:rFonts w:ascii="Arial" w:eastAsia="Calibri" w:hAnsi="Arial" w:cs="Arial"/>
          <w:sz w:val="22"/>
          <w:szCs w:val="22"/>
          <w:lang w:val="es-ES_tradnl"/>
        </w:rPr>
        <w:t>luego de analizar los</w:t>
      </w:r>
      <w:r w:rsidR="00822EC4" w:rsidRPr="00A572F4">
        <w:rPr>
          <w:rFonts w:ascii="Arial" w:eastAsia="Calibri" w:hAnsi="Arial" w:cs="Arial"/>
          <w:sz w:val="22"/>
          <w:szCs w:val="22"/>
          <w:lang w:val="es-ES_tradnl"/>
        </w:rPr>
        <w:t xml:space="preserve"> siguientes temas: </w:t>
      </w:r>
      <w:r w:rsidR="00833ADA" w:rsidRPr="00A572F4">
        <w:rPr>
          <w:rFonts w:ascii="Arial" w:eastAsia="Calibri" w:hAnsi="Arial" w:cs="Arial"/>
          <w:sz w:val="22"/>
          <w:szCs w:val="22"/>
          <w:lang w:val="es-ES_tradnl"/>
        </w:rPr>
        <w:t>i)</w:t>
      </w:r>
      <w:r w:rsidR="008F40DC" w:rsidRPr="00A572F4">
        <w:rPr>
          <w:rFonts w:ascii="Arial" w:eastAsia="Calibri" w:hAnsi="Arial" w:cs="Arial"/>
          <w:sz w:val="22"/>
          <w:szCs w:val="22"/>
          <w:lang w:val="es-ES_tradnl"/>
        </w:rPr>
        <w:t xml:space="preserve"> </w:t>
      </w:r>
      <w:r w:rsidR="00212BC8" w:rsidRPr="00A572F4">
        <w:rPr>
          <w:rFonts w:ascii="Arial" w:eastAsia="Calibri" w:hAnsi="Arial" w:cs="Arial"/>
          <w:sz w:val="22"/>
          <w:szCs w:val="22"/>
          <w:lang w:val="es-ES_tradnl"/>
        </w:rPr>
        <w:t xml:space="preserve">vigencia y ámbito de aplicación de la Ley 2069 de 2020: impacto sobre la contratación estatal; </w:t>
      </w:r>
      <w:proofErr w:type="spellStart"/>
      <w:r w:rsidR="00055A41" w:rsidRPr="00A572F4">
        <w:rPr>
          <w:rFonts w:ascii="Arial" w:eastAsia="Calibri" w:hAnsi="Arial" w:cs="Arial"/>
          <w:sz w:val="22"/>
          <w:szCs w:val="22"/>
          <w:lang w:val="es-ES_tradnl"/>
        </w:rPr>
        <w:t>ii</w:t>
      </w:r>
      <w:proofErr w:type="spellEnd"/>
      <w:r w:rsidR="00055A41" w:rsidRPr="00A572F4">
        <w:rPr>
          <w:rFonts w:ascii="Arial" w:eastAsia="Calibri" w:hAnsi="Arial" w:cs="Arial"/>
          <w:sz w:val="22"/>
          <w:szCs w:val="22"/>
          <w:lang w:val="es-ES_tradnl"/>
        </w:rPr>
        <w:t xml:space="preserve">) </w:t>
      </w:r>
      <w:r w:rsidR="00212BC8" w:rsidRPr="00A572F4">
        <w:rPr>
          <w:rFonts w:ascii="Arial" w:eastAsia="Calibri" w:hAnsi="Arial" w:cs="Arial"/>
          <w:sz w:val="22"/>
          <w:szCs w:val="22"/>
          <w:lang w:val="es-ES_tradnl"/>
        </w:rPr>
        <w:t xml:space="preserve">intervención del reglamento para la efectividad de la Ley 2069 de 2020 en el sistema de compras públicas: la conclusión no es la misma frente a todos los artículos; </w:t>
      </w:r>
      <w:proofErr w:type="spellStart"/>
      <w:r w:rsidR="00212BC8" w:rsidRPr="00A572F4">
        <w:rPr>
          <w:rFonts w:ascii="Arial" w:eastAsia="Calibri" w:hAnsi="Arial" w:cs="Arial"/>
          <w:sz w:val="22"/>
          <w:szCs w:val="22"/>
          <w:lang w:val="es-ES_tradnl"/>
        </w:rPr>
        <w:t>iii</w:t>
      </w:r>
      <w:proofErr w:type="spellEnd"/>
      <w:r w:rsidR="00DA565E" w:rsidRPr="00A572F4">
        <w:rPr>
          <w:rFonts w:ascii="Arial" w:eastAsia="Calibri" w:hAnsi="Arial" w:cs="Arial"/>
          <w:sz w:val="22"/>
          <w:szCs w:val="22"/>
          <w:lang w:val="es-ES_tradnl"/>
        </w:rPr>
        <w:t xml:space="preserve">) nueva regulación de las convocatorias limitadas a </w:t>
      </w:r>
      <w:proofErr w:type="spellStart"/>
      <w:r w:rsidR="00DA565E" w:rsidRPr="00A572F4">
        <w:rPr>
          <w:rFonts w:ascii="Arial" w:eastAsia="Calibri" w:hAnsi="Arial" w:cs="Arial"/>
          <w:sz w:val="22"/>
          <w:szCs w:val="22"/>
          <w:lang w:val="es-ES_tradnl"/>
        </w:rPr>
        <w:t>mipymes</w:t>
      </w:r>
      <w:proofErr w:type="spellEnd"/>
      <w:r w:rsidR="00DA565E" w:rsidRPr="00A572F4">
        <w:rPr>
          <w:rFonts w:ascii="Arial" w:eastAsia="Calibri" w:hAnsi="Arial" w:cs="Arial"/>
          <w:sz w:val="22"/>
          <w:szCs w:val="22"/>
          <w:lang w:val="es-ES_tradnl"/>
        </w:rPr>
        <w:t>: eficacia y alcance de la potestad reglamentaria</w:t>
      </w:r>
      <w:r w:rsidR="00940DBD" w:rsidRPr="00A572F4">
        <w:rPr>
          <w:rFonts w:ascii="Arial" w:eastAsia="Calibri" w:hAnsi="Arial" w:cs="Arial"/>
          <w:sz w:val="22"/>
          <w:szCs w:val="22"/>
          <w:lang w:val="es-ES_tradnl"/>
        </w:rPr>
        <w:t>; y</w:t>
      </w:r>
      <w:r w:rsidR="00212BC8" w:rsidRPr="00A572F4">
        <w:rPr>
          <w:rFonts w:ascii="Arial" w:eastAsia="Calibri" w:hAnsi="Arial" w:cs="Arial"/>
          <w:sz w:val="22"/>
          <w:szCs w:val="22"/>
          <w:lang w:val="es-ES_tradnl"/>
        </w:rPr>
        <w:t xml:space="preserve"> </w:t>
      </w:r>
      <w:r w:rsidR="00940DBD" w:rsidRPr="00A572F4">
        <w:rPr>
          <w:rFonts w:ascii="Arial" w:eastAsia="Calibri" w:hAnsi="Arial" w:cs="Arial"/>
          <w:sz w:val="22"/>
          <w:szCs w:val="22"/>
          <w:lang w:val="es-ES_tradnl"/>
        </w:rPr>
        <w:t xml:space="preserve">v) </w:t>
      </w:r>
      <w:r w:rsidR="00212BC8" w:rsidRPr="00A572F4">
        <w:rPr>
          <w:rFonts w:ascii="Arial" w:eastAsia="Calibri" w:hAnsi="Arial" w:cs="Arial"/>
          <w:sz w:val="22"/>
          <w:szCs w:val="22"/>
          <w:lang w:val="es-ES_tradnl"/>
        </w:rPr>
        <w:t xml:space="preserve">aplicabilidad de los factores de desempate del artículo 35 de la Ley 2069 de 2015 </w:t>
      </w:r>
      <w:r w:rsidR="00940DBD" w:rsidRPr="00A572F4">
        <w:rPr>
          <w:rFonts w:ascii="Arial" w:eastAsia="Calibri" w:hAnsi="Arial" w:cs="Arial"/>
          <w:sz w:val="22"/>
          <w:szCs w:val="22"/>
          <w:lang w:val="es-ES_tradnl"/>
        </w:rPr>
        <w:t>en las modalidades de</w:t>
      </w:r>
      <w:r w:rsidR="00212BC8" w:rsidRPr="00A572F4">
        <w:rPr>
          <w:rFonts w:ascii="Arial" w:eastAsia="Calibri" w:hAnsi="Arial" w:cs="Arial"/>
          <w:sz w:val="22"/>
          <w:szCs w:val="22"/>
          <w:lang w:val="es-ES_tradnl"/>
        </w:rPr>
        <w:t xml:space="preserve"> </w:t>
      </w:r>
      <w:r w:rsidR="00940DBD" w:rsidRPr="00A572F4">
        <w:rPr>
          <w:rFonts w:ascii="Arial" w:eastAsia="Calibri" w:hAnsi="Arial" w:cs="Arial"/>
          <w:sz w:val="22"/>
          <w:szCs w:val="22"/>
          <w:lang w:val="es-ES_tradnl"/>
        </w:rPr>
        <w:t>subasta inversa y</w:t>
      </w:r>
      <w:r w:rsidR="00212BC8" w:rsidRPr="00A572F4">
        <w:rPr>
          <w:rFonts w:ascii="Arial" w:eastAsia="Calibri" w:hAnsi="Arial" w:cs="Arial"/>
          <w:sz w:val="22"/>
          <w:szCs w:val="22"/>
          <w:lang w:val="es-ES_tradnl"/>
        </w:rPr>
        <w:t xml:space="preserve"> mínima cuantía</w:t>
      </w:r>
      <w:r w:rsidR="00940DBD" w:rsidRPr="00A572F4">
        <w:rPr>
          <w:rFonts w:ascii="Arial" w:eastAsia="Calibri" w:hAnsi="Arial" w:cs="Arial"/>
          <w:sz w:val="22"/>
          <w:szCs w:val="22"/>
          <w:lang w:val="es-ES_tradnl"/>
        </w:rPr>
        <w:t>.</w:t>
      </w:r>
    </w:p>
    <w:p w14:paraId="75DCEC5B" w14:textId="7A23D906" w:rsidR="002638F4" w:rsidRPr="00A572F4" w:rsidRDefault="002638F4" w:rsidP="00EB2ED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Es importante destacar que la Agencia Nacional de Contratación Pública – Colombia Compra Eficiente 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y C-306 del 28 de junio de 2021.</w:t>
      </w:r>
    </w:p>
    <w:p w14:paraId="78B9C34C" w14:textId="5BBD7D49" w:rsidR="002638F4" w:rsidRPr="00A572F4" w:rsidRDefault="00E9109D" w:rsidP="002638F4">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Po otro lado, </w:t>
      </w:r>
      <w:r w:rsidR="002638F4" w:rsidRPr="00A572F4">
        <w:rPr>
          <w:rFonts w:ascii="Arial" w:eastAsia="Calibri" w:hAnsi="Arial" w:cs="Arial"/>
          <w:sz w:val="22"/>
          <w:szCs w:val="22"/>
          <w:lang w:val="es-ES_tradnl"/>
        </w:rPr>
        <w:t xml:space="preserve">esta Agencia ha estudiado, en términos generales,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w:t>
      </w:r>
      <w:r w:rsidR="002638F4" w:rsidRPr="00A572F4">
        <w:rPr>
          <w:rFonts w:ascii="Arial" w:eastAsia="Calibri" w:hAnsi="Arial" w:cs="Arial"/>
          <w:sz w:val="22"/>
          <w:szCs w:val="22"/>
          <w:lang w:val="es-ES_tradnl"/>
        </w:rPr>
        <w:lastRenderedPageBreak/>
        <w:t>25 de mayo de 2021, C-338 del 12 de julio de 2021, entre otros</w:t>
      </w:r>
      <w:r w:rsidR="002638F4" w:rsidRPr="00A572F4">
        <w:rPr>
          <w:rStyle w:val="Refdenotaalpie"/>
          <w:rFonts w:ascii="Arial" w:eastAsia="Calibri" w:hAnsi="Arial" w:cs="Arial"/>
          <w:sz w:val="22"/>
          <w:szCs w:val="22"/>
          <w:lang w:val="es-ES_tradnl"/>
        </w:rPr>
        <w:footnoteReference w:id="2"/>
      </w:r>
      <w:r w:rsidR="002638F4" w:rsidRPr="00A572F4">
        <w:rPr>
          <w:rFonts w:ascii="Arial" w:eastAsia="Calibri" w:hAnsi="Arial" w:cs="Arial"/>
          <w:sz w:val="22"/>
          <w:szCs w:val="22"/>
          <w:lang w:val="es-ES_tradnl"/>
        </w:rPr>
        <w:t>. Algunas de las consideraciones de estos conceptos se reiteran a continuación.</w:t>
      </w:r>
    </w:p>
    <w:p w14:paraId="05E36770" w14:textId="77777777" w:rsidR="0099308E" w:rsidRPr="00A572F4" w:rsidRDefault="0099308E" w:rsidP="00EB2ED0">
      <w:pPr>
        <w:spacing w:line="276" w:lineRule="auto"/>
        <w:jc w:val="both"/>
        <w:rPr>
          <w:rFonts w:ascii="Arial" w:eastAsia="Calibri" w:hAnsi="Arial" w:cs="Arial"/>
          <w:b/>
          <w:bCs/>
          <w:sz w:val="22"/>
          <w:szCs w:val="22"/>
          <w:lang w:val="es-ES_tradnl"/>
        </w:rPr>
      </w:pPr>
      <w:r w:rsidRPr="00A572F4">
        <w:rPr>
          <w:rFonts w:ascii="Arial" w:eastAsia="Calibri" w:hAnsi="Arial" w:cs="Arial"/>
          <w:b/>
          <w:bCs/>
          <w:sz w:val="22"/>
          <w:szCs w:val="22"/>
          <w:lang w:val="es-ES_tradnl"/>
        </w:rPr>
        <w:t>2.1. Vigencia y ámbito de aplicación de la Ley 2069 de 2020: impacto sobre la contratación estatal</w:t>
      </w:r>
    </w:p>
    <w:p w14:paraId="0003E020" w14:textId="77777777" w:rsidR="0099308E" w:rsidRPr="00A572F4" w:rsidRDefault="0099308E" w:rsidP="00EB2ED0">
      <w:pPr>
        <w:spacing w:line="276" w:lineRule="auto"/>
        <w:jc w:val="both"/>
        <w:rPr>
          <w:rFonts w:ascii="Arial" w:eastAsia="Calibri" w:hAnsi="Arial" w:cs="Arial"/>
          <w:sz w:val="22"/>
          <w:szCs w:val="22"/>
          <w:lang w:val="es-ES_tradnl"/>
        </w:rPr>
      </w:pPr>
    </w:p>
    <w:p w14:paraId="2FB9D416" w14:textId="6D603F2B" w:rsidR="0099308E" w:rsidRPr="00A572F4" w:rsidRDefault="0099308E" w:rsidP="00EB2ED0">
      <w:pPr>
        <w:spacing w:line="276" w:lineRule="auto"/>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w:t>
      </w:r>
      <w:r w:rsidR="002E1BD8">
        <w:rPr>
          <w:rFonts w:ascii="Arial" w:eastAsia="Calibri" w:hAnsi="Arial" w:cs="Arial"/>
          <w:sz w:val="22"/>
          <w:szCs w:val="22"/>
          <w:lang w:val="es-ES_tradnl"/>
        </w:rPr>
        <w:t>d</w:t>
      </w:r>
      <w:r w:rsidRPr="00A572F4">
        <w:rPr>
          <w:rFonts w:ascii="Arial" w:eastAsia="Calibri" w:hAnsi="Arial" w:cs="Arial"/>
          <w:sz w:val="22"/>
          <w:szCs w:val="22"/>
          <w:lang w:val="es-ES_tradnl"/>
        </w:rPr>
        <w:t>el artículo 189</w:t>
      </w:r>
      <w:r w:rsidR="002E1BD8">
        <w:rPr>
          <w:rFonts w:ascii="Arial" w:eastAsia="Calibri" w:hAnsi="Arial" w:cs="Arial"/>
          <w:sz w:val="22"/>
          <w:szCs w:val="22"/>
          <w:lang w:val="es-ES_tradnl"/>
        </w:rPr>
        <w:t>.</w:t>
      </w:r>
      <w:r w:rsidRPr="00A572F4">
        <w:rPr>
          <w:rFonts w:ascii="Arial" w:eastAsia="Calibri" w:hAnsi="Arial" w:cs="Arial"/>
          <w:sz w:val="22"/>
          <w:szCs w:val="22"/>
          <w:lang w:val="es-ES_tradnl"/>
        </w:rPr>
        <w:t>11 de la Constitución Política, expida el decreto correspondiente que permita la cumplida ejecución de esta Ley.</w:t>
      </w:r>
    </w:p>
    <w:p w14:paraId="070A2D22" w14:textId="2064581F" w:rsidR="0099308E" w:rsidRPr="00A572F4" w:rsidRDefault="0099308E" w:rsidP="00EB2ED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A572F4">
        <w:rPr>
          <w:rFonts w:ascii="Arial" w:eastAsia="Calibri" w:hAnsi="Arial" w:cs="Arial"/>
          <w:sz w:val="22"/>
          <w:szCs w:val="22"/>
          <w:lang w:val="es-ES_tradnl"/>
        </w:rPr>
        <w:t>de acuerdo a</w:t>
      </w:r>
      <w:proofErr w:type="gramEnd"/>
      <w:r w:rsidRPr="00A572F4">
        <w:rPr>
          <w:rFonts w:ascii="Arial" w:eastAsia="Calibri" w:hAnsi="Arial" w:cs="Arial"/>
          <w:sz w:val="22"/>
          <w:szCs w:val="22"/>
          <w:lang w:val="es-ES_tradnl"/>
        </w:rPr>
        <w:t xml:space="preserve"> las realidades socioeconómicas de cada región». En desarrollo de esta finalidad, se establecen medidas de apoyo para las micro, pequeñas y medianas empresas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mediante la racionalización y simplificación de los trámites y tarifas</w:t>
      </w:r>
      <w:r w:rsidRPr="00A572F4">
        <w:rPr>
          <w:rStyle w:val="Refdenotaalpie"/>
          <w:rFonts w:ascii="Arial" w:eastAsia="Calibri" w:hAnsi="Arial" w:cs="Arial"/>
          <w:sz w:val="22"/>
          <w:szCs w:val="22"/>
          <w:lang w:val="es-ES_tradnl"/>
        </w:rPr>
        <w:footnoteReference w:id="3"/>
      </w:r>
      <w:r w:rsidRPr="00A572F4">
        <w:rPr>
          <w:rFonts w:ascii="Arial" w:eastAsia="Calibri" w:hAnsi="Arial" w:cs="Arial"/>
          <w:sz w:val="22"/>
          <w:szCs w:val="22"/>
          <w:lang w:val="es-ES_tradnl"/>
        </w:rPr>
        <w:t>, así como incentivos a favor de aquellas dentro del sistema de compras y contratación pública</w:t>
      </w:r>
      <w:r w:rsidRPr="00A572F4">
        <w:rPr>
          <w:rStyle w:val="Refdenotaalpie"/>
          <w:rFonts w:ascii="Arial" w:eastAsia="Calibri" w:hAnsi="Arial" w:cs="Arial"/>
          <w:sz w:val="22"/>
          <w:szCs w:val="22"/>
          <w:lang w:val="es-ES_tradnl"/>
        </w:rPr>
        <w:footnoteReference w:id="4"/>
      </w:r>
      <w:r w:rsidRPr="00A572F4">
        <w:rPr>
          <w:rFonts w:ascii="Arial" w:eastAsia="Calibri" w:hAnsi="Arial" w:cs="Arial"/>
          <w:sz w:val="22"/>
          <w:szCs w:val="22"/>
          <w:lang w:val="es-ES_tradnl"/>
        </w:rPr>
        <w:t>. También se consagran mecanismos de acceso al financiamiento</w:t>
      </w:r>
      <w:r w:rsidRPr="00A572F4">
        <w:rPr>
          <w:rStyle w:val="Refdenotaalpie"/>
          <w:rFonts w:ascii="Arial" w:eastAsia="Calibri" w:hAnsi="Arial" w:cs="Arial"/>
          <w:sz w:val="22"/>
          <w:szCs w:val="22"/>
          <w:lang w:val="es-ES_tradnl"/>
        </w:rPr>
        <w:footnoteReference w:id="5"/>
      </w:r>
      <w:r w:rsidRPr="00A572F4">
        <w:rPr>
          <w:rFonts w:ascii="Arial" w:eastAsia="Calibri" w:hAnsi="Arial" w:cs="Arial"/>
          <w:sz w:val="22"/>
          <w:szCs w:val="22"/>
          <w:lang w:val="es-ES_tradnl"/>
        </w:rPr>
        <w:t>, se unifican las fuentes de emprendimiento y de desarrollo empresarial, para fortalecer y promover los distintos sectores de la economía</w:t>
      </w:r>
      <w:r w:rsidRPr="00A572F4">
        <w:rPr>
          <w:rStyle w:val="Refdenotaalpie"/>
          <w:rFonts w:ascii="Arial" w:eastAsia="Calibri" w:hAnsi="Arial" w:cs="Arial"/>
          <w:sz w:val="22"/>
          <w:szCs w:val="22"/>
          <w:lang w:val="es-ES_tradnl"/>
        </w:rPr>
        <w:footnoteReference w:id="6"/>
      </w:r>
      <w:r w:rsidRPr="00A572F4">
        <w:rPr>
          <w:rFonts w:ascii="Arial" w:eastAsia="Calibri" w:hAnsi="Arial" w:cs="Arial"/>
          <w:sz w:val="22"/>
          <w:szCs w:val="22"/>
          <w:lang w:val="es-ES_tradnl"/>
        </w:rPr>
        <w:t xml:space="preserve"> y se prevén medidas de educación para el emprendimiento y la innovación</w:t>
      </w:r>
      <w:r w:rsidRPr="00A572F4">
        <w:rPr>
          <w:rStyle w:val="Refdenotaalpie"/>
          <w:rFonts w:ascii="Arial" w:eastAsia="Calibri" w:hAnsi="Arial" w:cs="Arial"/>
          <w:sz w:val="22"/>
          <w:szCs w:val="22"/>
          <w:lang w:val="es-ES_tradnl"/>
        </w:rPr>
        <w:footnoteReference w:id="7"/>
      </w:r>
      <w:r w:rsidRPr="00A572F4">
        <w:rPr>
          <w:rFonts w:ascii="Arial" w:eastAsia="Calibri" w:hAnsi="Arial" w:cs="Arial"/>
          <w:sz w:val="22"/>
          <w:szCs w:val="22"/>
          <w:lang w:val="es-ES_tradnl"/>
        </w:rPr>
        <w:t>.</w:t>
      </w:r>
    </w:p>
    <w:p w14:paraId="2C722A30" w14:textId="44956EB5" w:rsidR="0099308E" w:rsidRPr="00A572F4" w:rsidRDefault="0099308E" w:rsidP="00EB2ED0">
      <w:pPr>
        <w:spacing w:before="120" w:line="276" w:lineRule="auto"/>
        <w:ind w:firstLine="709"/>
        <w:jc w:val="both"/>
        <w:rPr>
          <w:rFonts w:ascii="Arial" w:eastAsia="Calibri" w:hAnsi="Arial" w:cs="Arial"/>
          <w:sz w:val="22"/>
          <w:szCs w:val="22"/>
          <w:lang w:val="es-ES_tradnl"/>
        </w:rPr>
      </w:pPr>
      <w:bookmarkStart w:id="3" w:name="_Hlk63883948"/>
      <w:r w:rsidRPr="00A572F4">
        <w:rPr>
          <w:rFonts w:ascii="Arial" w:eastAsia="Calibri" w:hAnsi="Arial" w:cs="Arial"/>
          <w:sz w:val="22"/>
          <w:szCs w:val="22"/>
          <w:lang w:val="es-ES_tradnl"/>
        </w:rPr>
        <w:lastRenderedPageBreak/>
        <w:t xml:space="preserve">La Ley 2069 de 2020 guarda </w:t>
      </w:r>
      <w:r w:rsidRPr="00A572F4">
        <w:rPr>
          <w:rFonts w:ascii="Arial" w:eastAsia="Calibri" w:hAnsi="Arial" w:cs="Arial"/>
          <w:bCs/>
          <w:sz w:val="22"/>
        </w:rPr>
        <w:t xml:space="preserve">congruencia con el «Pacto por el emprendimiento, la formalización y la productividad»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w:t>
      </w:r>
      <w:bookmarkStart w:id="4" w:name="_Hlk63692496"/>
      <w:r w:rsidRPr="00A572F4">
        <w:rPr>
          <w:rFonts w:ascii="Arial" w:eastAsia="Calibri" w:hAnsi="Arial" w:cs="Arial"/>
          <w:bCs/>
          <w:sz w:val="22"/>
        </w:rPr>
        <w:t>«Política de formalización empresarial»</w:t>
      </w:r>
      <w:bookmarkEnd w:id="4"/>
      <w:r w:rsidRPr="00A572F4">
        <w:rPr>
          <w:rFonts w:ascii="Arial" w:eastAsia="Calibri" w:hAnsi="Arial" w:cs="Arial"/>
          <w:bCs/>
          <w:sz w:val="22"/>
        </w:rPr>
        <w:t xml:space="preserve"> del Documento CONPES 3956 del 8 de enero de 2019</w:t>
      </w:r>
      <w:r w:rsidRPr="00A572F4">
        <w:rPr>
          <w:rStyle w:val="Refdenotaalpie"/>
          <w:rFonts w:ascii="Arial" w:eastAsia="Calibri" w:hAnsi="Arial" w:cs="Arial"/>
          <w:bCs/>
          <w:sz w:val="22"/>
        </w:rPr>
        <w:footnoteReference w:id="8"/>
      </w:r>
      <w:r w:rsidRPr="00A572F4">
        <w:rPr>
          <w:rFonts w:ascii="Arial" w:eastAsia="Calibri" w:hAnsi="Arial" w:cs="Arial"/>
          <w:bCs/>
          <w:sz w:val="22"/>
        </w:rPr>
        <w:t>.</w:t>
      </w:r>
      <w:bookmarkEnd w:id="3"/>
    </w:p>
    <w:p w14:paraId="32C93171" w14:textId="5E78045C" w:rsidR="0099308E" w:rsidRPr="00A572F4" w:rsidRDefault="0099308E" w:rsidP="00EB2ED0">
      <w:pPr>
        <w:tabs>
          <w:tab w:val="left" w:pos="709"/>
        </w:tabs>
        <w:spacing w:before="120" w:after="120" w:line="276" w:lineRule="auto"/>
        <w:jc w:val="both"/>
        <w:rPr>
          <w:rFonts w:ascii="Arial" w:eastAsia="Calibri" w:hAnsi="Arial" w:cs="Arial"/>
          <w:bCs/>
          <w:sz w:val="22"/>
        </w:rPr>
      </w:pPr>
      <w:r w:rsidRPr="00A572F4">
        <w:rPr>
          <w:rFonts w:ascii="Arial" w:eastAsia="Calibri" w:hAnsi="Arial" w:cs="Arial"/>
          <w:bCs/>
          <w:sz w:val="22"/>
        </w:rPr>
        <w:tab/>
      </w:r>
      <w:r w:rsidR="00F10E78">
        <w:rPr>
          <w:rFonts w:ascii="Arial" w:eastAsia="Calibri" w:hAnsi="Arial" w:cs="Arial"/>
          <w:bCs/>
          <w:sz w:val="22"/>
        </w:rPr>
        <w:t>De esta manera</w:t>
      </w:r>
      <w:r w:rsidRPr="00A572F4">
        <w:rPr>
          <w:rFonts w:ascii="Arial" w:eastAsia="Calibri" w:hAnsi="Arial" w:cs="Arial"/>
          <w:bCs/>
          <w:sz w:val="22"/>
        </w:rPr>
        <w:t xml:space="preserve">, la ley impulsa medidas para i) reducir cargas y trámites para los emprendedores del país, </w:t>
      </w:r>
      <w:proofErr w:type="spellStart"/>
      <w:r w:rsidRPr="00A572F4">
        <w:rPr>
          <w:rFonts w:ascii="Arial" w:eastAsia="Calibri" w:hAnsi="Arial" w:cs="Arial"/>
          <w:bCs/>
          <w:sz w:val="22"/>
        </w:rPr>
        <w:t>ii</w:t>
      </w:r>
      <w:proofErr w:type="spellEnd"/>
      <w:r w:rsidRPr="00A572F4">
        <w:rPr>
          <w:rFonts w:ascii="Arial" w:eastAsia="Calibri" w:hAnsi="Arial" w:cs="Arial"/>
          <w:bCs/>
          <w:sz w:val="22"/>
        </w:rPr>
        <w:t xml:space="preserve">) facilitar su acceso al sistema de compras y contratación pública, </w:t>
      </w:r>
      <w:proofErr w:type="spellStart"/>
      <w:r w:rsidRPr="00A572F4">
        <w:rPr>
          <w:rFonts w:ascii="Arial" w:eastAsia="Calibri" w:hAnsi="Arial" w:cs="Arial"/>
          <w:bCs/>
          <w:sz w:val="22"/>
        </w:rPr>
        <w:t>iii</w:t>
      </w:r>
      <w:proofErr w:type="spellEnd"/>
      <w:r w:rsidRPr="00A572F4">
        <w:rPr>
          <w:rFonts w:ascii="Arial" w:eastAsia="Calibri" w:hAnsi="Arial" w:cs="Arial"/>
          <w:bCs/>
          <w:sz w:val="22"/>
        </w:rPr>
        <w:t xml:space="preserve">) incentivar el crecimiento económico con la llegada de más actores al ecosistema de inversión y financiación, </w:t>
      </w:r>
      <w:proofErr w:type="spellStart"/>
      <w:r w:rsidRPr="00A572F4">
        <w:rPr>
          <w:rFonts w:ascii="Arial" w:eastAsia="Calibri" w:hAnsi="Arial" w:cs="Arial"/>
          <w:bCs/>
          <w:sz w:val="22"/>
        </w:rPr>
        <w:t>iv</w:t>
      </w:r>
      <w:proofErr w:type="spellEnd"/>
      <w:r w:rsidRPr="00A572F4">
        <w:rPr>
          <w:rFonts w:ascii="Arial" w:eastAsia="Calibri" w:hAnsi="Arial" w:cs="Arial"/>
          <w:bCs/>
          <w:sz w:val="22"/>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A572F4">
        <w:rPr>
          <w:rStyle w:val="Refdenotaalpie"/>
          <w:rFonts w:ascii="Arial" w:eastAsia="Calibri" w:hAnsi="Arial" w:cs="Arial"/>
          <w:bCs/>
          <w:sz w:val="22"/>
        </w:rPr>
        <w:footnoteReference w:id="9"/>
      </w:r>
      <w:r w:rsidRPr="00A572F4">
        <w:rPr>
          <w:rFonts w:ascii="Arial" w:eastAsia="Calibri" w:hAnsi="Arial" w:cs="Arial"/>
          <w:bCs/>
          <w:sz w:val="22"/>
        </w:rPr>
        <w:t>.</w:t>
      </w:r>
    </w:p>
    <w:p w14:paraId="6B7A8E82" w14:textId="3D4C1BC2" w:rsidR="0099308E" w:rsidRPr="00A572F4" w:rsidRDefault="0099308E" w:rsidP="00EB2ED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Además,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en el procedimiento de mínima cuantía, </w:t>
      </w:r>
      <w:proofErr w:type="spellStart"/>
      <w:r w:rsidRPr="00A572F4">
        <w:rPr>
          <w:rFonts w:ascii="Arial" w:eastAsia="Calibri" w:hAnsi="Arial" w:cs="Arial"/>
          <w:sz w:val="22"/>
          <w:szCs w:val="22"/>
          <w:lang w:val="es-ES_tradnl"/>
        </w:rPr>
        <w:t>ii</w:t>
      </w:r>
      <w:proofErr w:type="spellEnd"/>
      <w:r w:rsidRPr="00A572F4">
        <w:rPr>
          <w:rFonts w:ascii="Arial" w:eastAsia="Calibri" w:hAnsi="Arial" w:cs="Arial"/>
          <w:sz w:val="22"/>
          <w:szCs w:val="22"/>
          <w:lang w:val="es-ES_tradnl"/>
        </w:rPr>
        <w:t xml:space="preserve">) criterios diferenciales para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en el sistema de compras públicas, </w:t>
      </w:r>
      <w:proofErr w:type="spellStart"/>
      <w:r w:rsidRPr="00A572F4">
        <w:rPr>
          <w:rFonts w:ascii="Arial" w:eastAsia="Calibri" w:hAnsi="Arial" w:cs="Arial"/>
          <w:sz w:val="22"/>
          <w:szCs w:val="22"/>
          <w:lang w:val="es-ES_tradnl"/>
        </w:rPr>
        <w:t>iii</w:t>
      </w:r>
      <w:proofErr w:type="spellEnd"/>
      <w:r w:rsidRPr="00A572F4">
        <w:rPr>
          <w:rFonts w:ascii="Arial" w:eastAsia="Calibri" w:hAnsi="Arial" w:cs="Arial"/>
          <w:sz w:val="22"/>
          <w:szCs w:val="22"/>
          <w:lang w:val="es-ES_tradnl"/>
        </w:rPr>
        <w:t xml:space="preserve">) criterios diferenciales para emprendimientos y empresas de mujeres en el sistema de compras públicas, </w:t>
      </w:r>
      <w:proofErr w:type="spellStart"/>
      <w:r w:rsidRPr="00A572F4">
        <w:rPr>
          <w:rFonts w:ascii="Arial" w:eastAsia="Calibri" w:hAnsi="Arial" w:cs="Arial"/>
          <w:sz w:val="22"/>
          <w:szCs w:val="22"/>
          <w:lang w:val="es-ES_tradnl"/>
        </w:rPr>
        <w:t>iv</w:t>
      </w:r>
      <w:proofErr w:type="spellEnd"/>
      <w:r w:rsidRPr="00A572F4">
        <w:rPr>
          <w:rFonts w:ascii="Arial" w:eastAsia="Calibri" w:hAnsi="Arial" w:cs="Arial"/>
          <w:sz w:val="22"/>
          <w:szCs w:val="22"/>
          <w:lang w:val="es-ES_tradnl"/>
        </w:rPr>
        <w:t xml:space="preserve">) promoción del acceso de las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al mercado de compras públicas, v) </w:t>
      </w:r>
      <w:r w:rsidRPr="00A572F4">
        <w:rPr>
          <w:rFonts w:ascii="Arial" w:eastAsia="Calibri" w:hAnsi="Arial" w:cs="Arial"/>
          <w:sz w:val="22"/>
          <w:szCs w:val="22"/>
          <w:lang w:val="es-ES_tradnl"/>
        </w:rPr>
        <w:lastRenderedPageBreak/>
        <w:t xml:space="preserve">promoción del desarrollo en la contratación pública, vi) un nuevo régimen de factores de desempate y vi) un llamado a las entidades estatales para que promuevan compras públicas en el marco de la tecnología y la innovación. </w:t>
      </w:r>
    </w:p>
    <w:p w14:paraId="14C1D2B3" w14:textId="2BD1AF41" w:rsidR="0099308E" w:rsidRPr="00A572F4" w:rsidRDefault="0099308E" w:rsidP="00EB2ED0">
      <w:pPr>
        <w:tabs>
          <w:tab w:val="left" w:pos="709"/>
        </w:tabs>
        <w:spacing w:line="276" w:lineRule="auto"/>
        <w:jc w:val="both"/>
        <w:rPr>
          <w:rFonts w:ascii="Arial" w:eastAsia="Calibri" w:hAnsi="Arial" w:cs="Arial"/>
          <w:b/>
          <w:sz w:val="22"/>
        </w:rPr>
      </w:pPr>
      <w:r w:rsidRPr="00A572F4">
        <w:rPr>
          <w:rFonts w:ascii="Arial" w:eastAsia="Calibri" w:hAnsi="Arial" w:cs="Arial"/>
          <w:b/>
          <w:sz w:val="22"/>
        </w:rPr>
        <w:t xml:space="preserve">2.2. Intervención del reglamento para la efectividad de la Ley 2069 de 2020 en el </w:t>
      </w:r>
      <w:bookmarkStart w:id="6" w:name="_Hlk63693402"/>
      <w:r w:rsidRPr="00A572F4">
        <w:rPr>
          <w:rFonts w:ascii="Arial" w:eastAsia="Calibri" w:hAnsi="Arial" w:cs="Arial"/>
          <w:b/>
          <w:sz w:val="22"/>
        </w:rPr>
        <w:t>sistema de compras pública</w:t>
      </w:r>
      <w:bookmarkEnd w:id="6"/>
      <w:r w:rsidRPr="00A572F4">
        <w:rPr>
          <w:rFonts w:ascii="Arial" w:eastAsia="Calibri" w:hAnsi="Arial" w:cs="Arial"/>
          <w:b/>
          <w:sz w:val="22"/>
        </w:rPr>
        <w:t>s</w:t>
      </w:r>
    </w:p>
    <w:p w14:paraId="6ABCDD04" w14:textId="77777777" w:rsidR="0099308E" w:rsidRPr="00A572F4" w:rsidRDefault="0099308E" w:rsidP="00EB2ED0">
      <w:pPr>
        <w:tabs>
          <w:tab w:val="left" w:pos="709"/>
        </w:tabs>
        <w:spacing w:line="276" w:lineRule="auto"/>
        <w:jc w:val="both"/>
        <w:rPr>
          <w:rFonts w:ascii="Arial" w:eastAsia="Calibri" w:hAnsi="Arial" w:cs="Arial"/>
          <w:bCs/>
          <w:sz w:val="22"/>
        </w:rPr>
      </w:pPr>
    </w:p>
    <w:p w14:paraId="6A77C0EF" w14:textId="10F1D414" w:rsidR="0099308E" w:rsidRPr="00A572F4" w:rsidRDefault="0099308E" w:rsidP="00EB2ED0">
      <w:pPr>
        <w:tabs>
          <w:tab w:val="left" w:pos="709"/>
        </w:tabs>
        <w:spacing w:after="120" w:line="276" w:lineRule="auto"/>
        <w:jc w:val="both"/>
        <w:rPr>
          <w:rFonts w:ascii="Arial" w:eastAsia="Calibri" w:hAnsi="Arial" w:cs="Arial"/>
          <w:bCs/>
          <w:sz w:val="22"/>
        </w:rPr>
      </w:pPr>
      <w:r w:rsidRPr="00A572F4">
        <w:rPr>
          <w:rFonts w:ascii="Arial" w:eastAsia="Calibri" w:hAnsi="Arial" w:cs="Arial"/>
          <w:sz w:val="22"/>
          <w:lang w:val="es-ES_tradnl"/>
        </w:rPr>
        <w:t xml:space="preserve">En la Ley 2069 de 2020 la exigencia de reglamentación como condición de eficacia de su articulado no es similar frente a todos sus enunciados normativos. </w:t>
      </w:r>
      <w:r w:rsidR="00D35C22">
        <w:rPr>
          <w:rFonts w:ascii="Arial" w:eastAsia="Calibri" w:hAnsi="Arial" w:cs="Arial"/>
          <w:sz w:val="22"/>
          <w:lang w:val="es-ES_tradnl"/>
        </w:rPr>
        <w:t>Por ejemplo</w:t>
      </w:r>
      <w:r w:rsidRPr="00A572F4">
        <w:rPr>
          <w:rFonts w:ascii="Arial" w:eastAsia="Calibri" w:hAnsi="Arial" w:cs="Arial"/>
          <w:sz w:val="22"/>
          <w:lang w:val="es-ES_tradnl"/>
        </w:rPr>
        <w:t>, los artículos 31, 32, 34 y 36 de la Ley 2069 de 2020</w:t>
      </w:r>
      <w:r w:rsidRPr="00A572F4">
        <w:rPr>
          <w:rFonts w:ascii="Arial" w:eastAsia="Calibri" w:hAnsi="Arial" w:cs="Arial"/>
          <w:bCs/>
          <w:sz w:val="22"/>
        </w:rPr>
        <w:t xml:space="preserve"> disponen que el gobierno nacional reglamentará i) los criterios diferenciales para </w:t>
      </w:r>
      <w:proofErr w:type="spellStart"/>
      <w:r w:rsidRPr="00A572F4">
        <w:rPr>
          <w:rFonts w:ascii="Arial" w:eastAsia="Calibri" w:hAnsi="Arial" w:cs="Arial"/>
          <w:bCs/>
          <w:sz w:val="22"/>
        </w:rPr>
        <w:t>mipymes</w:t>
      </w:r>
      <w:proofErr w:type="spellEnd"/>
      <w:r w:rsidRPr="00A572F4">
        <w:rPr>
          <w:rFonts w:ascii="Arial" w:eastAsia="Calibri" w:hAnsi="Arial" w:cs="Arial"/>
          <w:bCs/>
          <w:sz w:val="22"/>
        </w:rPr>
        <w:t xml:space="preserve">, </w:t>
      </w:r>
      <w:proofErr w:type="spellStart"/>
      <w:r w:rsidRPr="00A572F4">
        <w:rPr>
          <w:rFonts w:ascii="Arial" w:eastAsia="Calibri" w:hAnsi="Arial" w:cs="Arial"/>
          <w:bCs/>
          <w:sz w:val="22"/>
        </w:rPr>
        <w:t>ii</w:t>
      </w:r>
      <w:proofErr w:type="spellEnd"/>
      <w:r w:rsidRPr="00A572F4">
        <w:rPr>
          <w:rFonts w:ascii="Arial" w:eastAsia="Calibri" w:hAnsi="Arial" w:cs="Arial"/>
          <w:bCs/>
          <w:sz w:val="22"/>
        </w:rPr>
        <w:t xml:space="preserve">) la definición de «emprendimientos y empresas de mujeres», </w:t>
      </w:r>
      <w:proofErr w:type="spellStart"/>
      <w:r w:rsidRPr="00A572F4">
        <w:rPr>
          <w:rFonts w:ascii="Arial" w:eastAsia="Calibri" w:hAnsi="Arial" w:cs="Arial"/>
          <w:bCs/>
          <w:sz w:val="22"/>
        </w:rPr>
        <w:t>iii</w:t>
      </w:r>
      <w:proofErr w:type="spellEnd"/>
      <w:r w:rsidRPr="00A572F4">
        <w:rPr>
          <w:rFonts w:ascii="Arial" w:eastAsia="Calibri" w:hAnsi="Arial" w:cs="Arial"/>
          <w:bCs/>
          <w:sz w:val="22"/>
        </w:rPr>
        <w:t xml:space="preserve">) las convocatorias limitadas a </w:t>
      </w:r>
      <w:proofErr w:type="spellStart"/>
      <w:r w:rsidRPr="00A572F4">
        <w:rPr>
          <w:rFonts w:ascii="Arial" w:eastAsia="Calibri" w:hAnsi="Arial" w:cs="Arial"/>
          <w:bCs/>
          <w:sz w:val="22"/>
        </w:rPr>
        <w:t>mipymes</w:t>
      </w:r>
      <w:proofErr w:type="spellEnd"/>
      <w:r w:rsidRPr="00A572F4">
        <w:rPr>
          <w:rFonts w:ascii="Arial" w:eastAsia="Calibri" w:hAnsi="Arial" w:cs="Arial"/>
          <w:bCs/>
          <w:sz w:val="22"/>
        </w:rPr>
        <w:t xml:space="preserve"> y el fomento en la ejecución de los contratos estatales por parte de sujetos de especial protección, así como </w:t>
      </w:r>
      <w:proofErr w:type="spellStart"/>
      <w:r w:rsidRPr="00A572F4">
        <w:rPr>
          <w:rFonts w:ascii="Arial" w:eastAsia="Calibri" w:hAnsi="Arial" w:cs="Arial"/>
          <w:bCs/>
          <w:sz w:val="22"/>
        </w:rPr>
        <w:t>iv</w:t>
      </w:r>
      <w:proofErr w:type="spellEnd"/>
      <w:r w:rsidRPr="00A572F4">
        <w:rPr>
          <w:rFonts w:ascii="Arial" w:eastAsia="Calibri" w:hAnsi="Arial" w:cs="Arial"/>
          <w:bCs/>
          <w:sz w:val="22"/>
        </w:rPr>
        <w:t xml:space="preserve">) la promoción de las compras públicas de tecnología e innovación. En este contexto, es necesario analizar si las entidades pueden aplicar directamente las normas citadas o, por el contrario, si su efectividad está condicionada a la expedición del reglamento correspondiente. </w:t>
      </w:r>
    </w:p>
    <w:p w14:paraId="0F3192E7" w14:textId="4864606B" w:rsidR="0099308E" w:rsidRPr="00A572F4" w:rsidRDefault="0099308E" w:rsidP="00EB2ED0">
      <w:pPr>
        <w:tabs>
          <w:tab w:val="left" w:pos="709"/>
        </w:tabs>
        <w:spacing w:after="120" w:line="276" w:lineRule="auto"/>
        <w:jc w:val="both"/>
        <w:rPr>
          <w:rFonts w:ascii="Arial" w:eastAsia="Calibri" w:hAnsi="Arial" w:cs="Arial"/>
          <w:bCs/>
          <w:sz w:val="22"/>
        </w:rPr>
      </w:pPr>
      <w:r w:rsidRPr="00A572F4">
        <w:rPr>
          <w:rFonts w:ascii="Arial" w:eastAsia="Calibri" w:hAnsi="Arial" w:cs="Arial"/>
          <w:bCs/>
          <w:sz w:val="22"/>
        </w:rPr>
        <w:tab/>
        <w:t>La respuesta a la inquietud planteada en el párrafo precedente es importan</w:t>
      </w:r>
      <w:r w:rsidR="002C6D52">
        <w:rPr>
          <w:rFonts w:ascii="Arial" w:eastAsia="Calibri" w:hAnsi="Arial" w:cs="Arial"/>
          <w:bCs/>
          <w:sz w:val="22"/>
        </w:rPr>
        <w:t>te</w:t>
      </w:r>
      <w:r w:rsidRPr="00A572F4">
        <w:rPr>
          <w:rFonts w:ascii="Arial" w:eastAsia="Calibri" w:hAnsi="Arial" w:cs="Arial"/>
          <w:bCs/>
          <w:sz w:val="22"/>
        </w:rPr>
        <w:t xml:space="preserve"> por los efectos prácticos de ambas posiciones. Por un lado, </w:t>
      </w:r>
      <w:bookmarkStart w:id="7" w:name="_Hlk63884320"/>
      <w:r w:rsidRPr="00A572F4">
        <w:rPr>
          <w:rFonts w:ascii="Arial" w:eastAsia="Calibri" w:hAnsi="Arial" w:cs="Arial"/>
          <w:bCs/>
          <w:sz w:val="22"/>
        </w:rPr>
        <w:t xml:space="preserve">quien opte por la </w:t>
      </w:r>
      <w:r w:rsidRPr="00A572F4">
        <w:rPr>
          <w:rFonts w:ascii="Arial" w:eastAsia="Calibri" w:hAnsi="Arial" w:cs="Arial"/>
          <w:bCs/>
          <w:i/>
          <w:iCs/>
          <w:sz w:val="22"/>
        </w:rPr>
        <w:t>tesis de la aplicación directa</w:t>
      </w:r>
      <w:r w:rsidRPr="00A572F4">
        <w:rPr>
          <w:rFonts w:ascii="Arial" w:eastAsia="Calibri" w:hAnsi="Arial" w:cs="Arial"/>
          <w:bCs/>
          <w:sz w:val="22"/>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w:t>
      </w:r>
      <w:bookmarkEnd w:id="7"/>
    </w:p>
    <w:p w14:paraId="7BDD67FA" w14:textId="77777777" w:rsidR="0099308E" w:rsidRPr="00A572F4" w:rsidRDefault="0099308E" w:rsidP="00EB2ED0">
      <w:pPr>
        <w:tabs>
          <w:tab w:val="left" w:pos="709"/>
        </w:tabs>
        <w:spacing w:after="120" w:line="276" w:lineRule="auto"/>
        <w:jc w:val="both"/>
        <w:rPr>
          <w:rFonts w:ascii="Arial" w:eastAsia="Calibri" w:hAnsi="Arial" w:cs="Arial"/>
          <w:bCs/>
          <w:sz w:val="22"/>
        </w:rPr>
      </w:pPr>
      <w:r w:rsidRPr="00A572F4">
        <w:rPr>
          <w:rFonts w:ascii="Arial" w:eastAsia="Calibri" w:hAnsi="Arial" w:cs="Arial"/>
          <w:bCs/>
          <w:sz w:val="22"/>
        </w:rPr>
        <w:tab/>
        <w:t>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discrecional</w:t>
      </w:r>
      <w:r w:rsidRPr="00A572F4">
        <w:rPr>
          <w:rStyle w:val="Refdenotaalpie"/>
          <w:rFonts w:ascii="Arial" w:eastAsia="Calibri" w:hAnsi="Arial" w:cs="Arial"/>
          <w:bCs/>
          <w:sz w:val="22"/>
        </w:rPr>
        <w:footnoteReference w:id="10"/>
      </w:r>
      <w:r w:rsidRPr="00A572F4">
        <w:rPr>
          <w:rFonts w:ascii="Arial" w:eastAsia="Calibri" w:hAnsi="Arial" w:cs="Arial"/>
          <w:bCs/>
          <w:sz w:val="22"/>
        </w:rPr>
        <w:t>. En este contexto, si la expedición de reglamentos no es obligatoria, la ausencia de estos no excusa la inaplicación de la ley, pues contiene unos elementos mínimos que vinculan directamente a los destinatarios.</w:t>
      </w:r>
    </w:p>
    <w:p w14:paraId="77EAEDA2" w14:textId="77777777" w:rsidR="0099308E" w:rsidRPr="00A572F4" w:rsidRDefault="0099308E" w:rsidP="00EB2ED0">
      <w:pPr>
        <w:tabs>
          <w:tab w:val="left" w:pos="709"/>
        </w:tabs>
        <w:spacing w:after="120" w:line="276" w:lineRule="auto"/>
        <w:jc w:val="both"/>
        <w:rPr>
          <w:rFonts w:ascii="Arial" w:eastAsia="Calibri" w:hAnsi="Arial" w:cs="Arial"/>
          <w:bCs/>
          <w:sz w:val="22"/>
        </w:rPr>
      </w:pPr>
      <w:r w:rsidRPr="00A572F4">
        <w:rPr>
          <w:rFonts w:ascii="Arial" w:eastAsia="Calibri" w:hAnsi="Arial" w:cs="Arial"/>
          <w:bCs/>
          <w:sz w:val="22"/>
        </w:rPr>
        <w:tab/>
        <w:t xml:space="preserve">Este es el caso de lo previsto en los artículos 30, 33 y 35 de la Ley de Emprendimiento. En relación con las </w:t>
      </w:r>
      <w:proofErr w:type="spellStart"/>
      <w:r w:rsidRPr="00A572F4">
        <w:rPr>
          <w:rFonts w:ascii="Arial" w:eastAsia="Calibri" w:hAnsi="Arial" w:cs="Arial"/>
          <w:bCs/>
          <w:sz w:val="22"/>
        </w:rPr>
        <w:t>mipymes</w:t>
      </w:r>
      <w:proofErr w:type="spellEnd"/>
      <w:r w:rsidRPr="00A572F4">
        <w:rPr>
          <w:rFonts w:ascii="Arial" w:eastAsia="Calibri" w:hAnsi="Arial" w:cs="Arial"/>
          <w:bCs/>
          <w:sz w:val="22"/>
        </w:rPr>
        <w:t xml:space="preserve"> y mínima cuantía, </w:t>
      </w:r>
      <w:r w:rsidRPr="00A572F4">
        <w:rPr>
          <w:rFonts w:ascii="Arial" w:eastAsia="Calibri" w:hAnsi="Arial" w:cs="Arial"/>
          <w:bCs/>
          <w:sz w:val="22"/>
          <w:lang w:val="es-ES_tradnl"/>
        </w:rPr>
        <w:t xml:space="preserve">dado que el artículo 30 de la Ley 2069 de 2020 regula aspectos como i) el término mínimo para publicar la invitación, </w:t>
      </w:r>
      <w:proofErr w:type="spellStart"/>
      <w:r w:rsidRPr="00A572F4">
        <w:rPr>
          <w:rFonts w:ascii="Arial" w:eastAsia="Calibri" w:hAnsi="Arial" w:cs="Arial"/>
          <w:bCs/>
          <w:sz w:val="22"/>
          <w:lang w:val="es-ES_tradnl"/>
        </w:rPr>
        <w:t>ii</w:t>
      </w:r>
      <w:proofErr w:type="spellEnd"/>
      <w:r w:rsidRPr="00A572F4">
        <w:rPr>
          <w:rFonts w:ascii="Arial" w:eastAsia="Calibri" w:hAnsi="Arial" w:cs="Arial"/>
          <w:bCs/>
          <w:sz w:val="22"/>
          <w:lang w:val="es-ES_tradnl"/>
        </w:rPr>
        <w:t xml:space="preserve">) el plazo mínimo de recepción de las ofertas, </w:t>
      </w:r>
      <w:proofErr w:type="spellStart"/>
      <w:r w:rsidRPr="00A572F4">
        <w:rPr>
          <w:rFonts w:ascii="Arial" w:eastAsia="Calibri" w:hAnsi="Arial" w:cs="Arial"/>
          <w:bCs/>
          <w:sz w:val="22"/>
          <w:lang w:val="es-ES_tradnl"/>
        </w:rPr>
        <w:t>iii</w:t>
      </w:r>
      <w:proofErr w:type="spellEnd"/>
      <w:r w:rsidRPr="00A572F4">
        <w:rPr>
          <w:rFonts w:ascii="Arial" w:eastAsia="Calibri" w:hAnsi="Arial" w:cs="Arial"/>
          <w:bCs/>
          <w:sz w:val="22"/>
          <w:lang w:val="es-ES_tradnl"/>
        </w:rPr>
        <w:t xml:space="preserve">) el factor de evaluación que define la selección del proponente y </w:t>
      </w:r>
      <w:proofErr w:type="spellStart"/>
      <w:r w:rsidRPr="00A572F4">
        <w:rPr>
          <w:rFonts w:ascii="Arial" w:eastAsia="Calibri" w:hAnsi="Arial" w:cs="Arial"/>
          <w:bCs/>
          <w:sz w:val="22"/>
          <w:lang w:val="es-ES_tradnl"/>
        </w:rPr>
        <w:t>iv</w:t>
      </w:r>
      <w:proofErr w:type="spellEnd"/>
      <w:r w:rsidRPr="00A572F4">
        <w:rPr>
          <w:rFonts w:ascii="Arial" w:eastAsia="Calibri" w:hAnsi="Arial" w:cs="Arial"/>
          <w:bCs/>
          <w:sz w:val="22"/>
          <w:lang w:val="es-ES_tradnl"/>
        </w:rPr>
        <w:t xml:space="preserve">) el perfeccionamiento del contrato, las entidades deben estructurar sus procedimientos de selección de acuerdo con estos parámetros, los cuales </w:t>
      </w:r>
      <w:r w:rsidRPr="00A572F4">
        <w:rPr>
          <w:rFonts w:ascii="Arial" w:eastAsia="Calibri" w:hAnsi="Arial" w:cs="Arial"/>
          <w:bCs/>
          <w:sz w:val="22"/>
          <w:lang w:val="es-ES_tradnl"/>
        </w:rPr>
        <w:lastRenderedPageBreak/>
        <w:t xml:space="preserve">tienen una aplicación inmediata sin que el reglamento condicione la vigencia de la mínima cuantía. Esto </w:t>
      </w:r>
      <w:r w:rsidRPr="00A572F4">
        <w:rPr>
          <w:rFonts w:ascii="Arial" w:eastAsia="Calibri" w:hAnsi="Arial" w:cs="Arial"/>
          <w:bCs/>
          <w:sz w:val="22"/>
        </w:rPr>
        <w:t xml:space="preserve">sin perjuicio de que el Gobierno Nacional, conforme a lo dispuesto en el parágrafo 1 </w:t>
      </w:r>
      <w:r w:rsidRPr="00A572F4">
        <w:rPr>
          <w:rFonts w:ascii="Arial" w:eastAsia="Calibri" w:hAnsi="Arial" w:cs="Arial"/>
          <w:bCs/>
          <w:i/>
          <w:iCs/>
          <w:sz w:val="22"/>
        </w:rPr>
        <w:t>ibidem</w:t>
      </w:r>
      <w:r w:rsidRPr="00A572F4">
        <w:rPr>
          <w:rFonts w:ascii="Arial" w:eastAsia="Calibri" w:hAnsi="Arial" w:cs="Arial"/>
          <w:bCs/>
          <w:sz w:val="22"/>
        </w:rPr>
        <w:t xml:space="preserve">, ejerza la potestad reglamentaria para </w:t>
      </w:r>
      <w:r w:rsidRPr="00A572F4">
        <w:rPr>
          <w:rFonts w:ascii="Arial" w:eastAsia="Calibri" w:hAnsi="Arial" w:cs="Arial"/>
          <w:bCs/>
          <w:sz w:val="22"/>
          <w:lang w:val="es-ES_tradnl"/>
        </w:rPr>
        <w:t xml:space="preserve">regular tanto las particularidades del procedimiento de selección como la posibilidad de realizar estas adquisiciones a </w:t>
      </w:r>
      <w:proofErr w:type="spellStart"/>
      <w:r w:rsidRPr="00A572F4">
        <w:rPr>
          <w:rFonts w:ascii="Arial" w:eastAsia="Calibri" w:hAnsi="Arial" w:cs="Arial"/>
          <w:bCs/>
          <w:sz w:val="22"/>
          <w:lang w:val="es-ES_tradnl"/>
        </w:rPr>
        <w:t>mipymes</w:t>
      </w:r>
      <w:proofErr w:type="spellEnd"/>
      <w:r w:rsidRPr="00A572F4">
        <w:rPr>
          <w:rFonts w:ascii="Arial" w:eastAsia="Calibri" w:hAnsi="Arial" w:cs="Arial"/>
          <w:bCs/>
          <w:sz w:val="22"/>
          <w:lang w:val="es-ES_tradnl"/>
        </w:rPr>
        <w:t xml:space="preserve"> o establecimientos que correspondan a la definición de «gran almacén».</w:t>
      </w:r>
    </w:p>
    <w:p w14:paraId="0AAB5DF6" w14:textId="301EB3F0" w:rsidR="0099308E" w:rsidRPr="00A572F4" w:rsidRDefault="0099308E" w:rsidP="00EB2ED0">
      <w:pPr>
        <w:tabs>
          <w:tab w:val="left" w:pos="709"/>
        </w:tabs>
        <w:spacing w:after="120" w:line="276" w:lineRule="auto"/>
        <w:jc w:val="both"/>
        <w:rPr>
          <w:rFonts w:ascii="Arial" w:eastAsia="Calibri" w:hAnsi="Arial" w:cs="Arial"/>
          <w:bCs/>
          <w:sz w:val="22"/>
        </w:rPr>
      </w:pPr>
      <w:r w:rsidRPr="00A572F4">
        <w:rPr>
          <w:rFonts w:ascii="Arial" w:eastAsia="Calibri" w:hAnsi="Arial" w:cs="Arial"/>
          <w:bCs/>
          <w:sz w:val="22"/>
        </w:rPr>
        <w:tab/>
        <w:t xml:space="preserve">En lo que se refiere a la promoción del acceso de las </w:t>
      </w:r>
      <w:proofErr w:type="spellStart"/>
      <w:r w:rsidRPr="00A572F4">
        <w:rPr>
          <w:rFonts w:ascii="Arial" w:eastAsia="Calibri" w:hAnsi="Arial" w:cs="Arial"/>
          <w:bCs/>
          <w:sz w:val="22"/>
        </w:rPr>
        <w:t>mipymes</w:t>
      </w:r>
      <w:proofErr w:type="spellEnd"/>
      <w:r w:rsidRPr="00A572F4">
        <w:rPr>
          <w:rFonts w:ascii="Arial" w:eastAsia="Calibri" w:hAnsi="Arial" w:cs="Arial"/>
          <w:bCs/>
          <w:sz w:val="22"/>
        </w:rPr>
        <w:t xml:space="preserve"> al mercado de compras públicas, la legislación consagra una serie de deberes que deben cumplir los destinatarios en su gestión contractual. Aunque el alcance de estas obligaciones puede delimitarse por otras leyes o reglamentos, lo importante es que el artículo 33 consagra elementos mínimos que las entidades deben acatar so pena de una causal de mala conducta.</w:t>
      </w:r>
      <w:r w:rsidR="00A97AE8" w:rsidRPr="00A572F4">
        <w:rPr>
          <w:rFonts w:ascii="Arial" w:eastAsia="Calibri" w:hAnsi="Arial" w:cs="Arial"/>
          <w:bCs/>
          <w:sz w:val="22"/>
        </w:rPr>
        <w:t xml:space="preserve"> </w:t>
      </w:r>
      <w:r w:rsidR="00A97AE8" w:rsidRPr="00A572F4">
        <w:rPr>
          <w:rFonts w:ascii="Arial" w:hAnsi="Arial" w:cs="Arial"/>
          <w:sz w:val="22"/>
        </w:rPr>
        <w:t xml:space="preserve">Por tanto, conforme al marco normativo que regule el acceso de las </w:t>
      </w:r>
      <w:proofErr w:type="spellStart"/>
      <w:r w:rsidR="00A97AE8" w:rsidRPr="00A572F4">
        <w:rPr>
          <w:rFonts w:ascii="Arial" w:hAnsi="Arial" w:cs="Arial"/>
          <w:sz w:val="22"/>
        </w:rPr>
        <w:t>mipymes</w:t>
      </w:r>
      <w:proofErr w:type="spellEnd"/>
      <w:r w:rsidR="00A97AE8" w:rsidRPr="00A572F4">
        <w:rPr>
          <w:rFonts w:ascii="Arial" w:hAnsi="Arial" w:cs="Arial"/>
          <w:sz w:val="22"/>
        </w:rPr>
        <w:t xml:space="preserve"> al mercado de compras públicas, las entidades deberán adoptar las medidas necesarias para el acatamiento de esta disposición.</w:t>
      </w:r>
    </w:p>
    <w:p w14:paraId="6B404E74" w14:textId="77777777" w:rsidR="0099308E" w:rsidRPr="00A572F4" w:rsidRDefault="0099308E" w:rsidP="00EB2ED0">
      <w:pPr>
        <w:tabs>
          <w:tab w:val="left" w:pos="709"/>
        </w:tabs>
        <w:spacing w:after="120" w:line="276" w:lineRule="auto"/>
        <w:jc w:val="both"/>
        <w:rPr>
          <w:rFonts w:ascii="Arial" w:eastAsia="Calibri" w:hAnsi="Arial" w:cs="Arial"/>
          <w:bCs/>
          <w:sz w:val="22"/>
        </w:rPr>
      </w:pPr>
      <w:r w:rsidRPr="00A572F4">
        <w:rPr>
          <w:rFonts w:ascii="Arial" w:eastAsia="Calibri" w:hAnsi="Arial" w:cs="Arial"/>
          <w:bCs/>
          <w:sz w:val="22"/>
        </w:rPr>
        <w:tab/>
        <w:t xml:space="preserve">Igualmente, respecto a los factores de desempate, se encuentra que los mismos se elevaron a rango de ley, por lo que ni el reglamento ni el pliego de condiciones pueden modificarlos, adicionarlos o suprimirlos. En este sentido, las causales del artículo 35 son obligatorias en los procedimientos de selección de las entidades sometidas al Estatuto General, las entidades exceptuadas de la Ley 80 de 1993 y los patrimonios autónomos. De esta manera, sin perjuicio de lo dispuesto en el parágrafo 3 para los casos en que concurren dos o más de los factores de desempate, no requiere de una reglamentación previa para su exigibilidad. </w:t>
      </w:r>
    </w:p>
    <w:p w14:paraId="1D0E98CD" w14:textId="77777777" w:rsidR="0099308E" w:rsidRPr="00A572F4" w:rsidRDefault="0099308E" w:rsidP="00EB2ED0">
      <w:pPr>
        <w:tabs>
          <w:tab w:val="left" w:pos="709"/>
        </w:tabs>
        <w:spacing w:after="120" w:line="276" w:lineRule="auto"/>
        <w:jc w:val="both"/>
        <w:rPr>
          <w:rFonts w:ascii="Arial" w:eastAsia="Calibri" w:hAnsi="Arial" w:cs="Arial"/>
          <w:bCs/>
          <w:sz w:val="22"/>
        </w:rPr>
      </w:pPr>
      <w:r w:rsidRPr="00A572F4">
        <w:rPr>
          <w:rFonts w:ascii="Arial" w:eastAsia="Calibri" w:hAnsi="Arial" w:cs="Arial"/>
          <w:bCs/>
          <w:sz w:val="22"/>
        </w:rPr>
        <w:tab/>
        <w:t xml:space="preserve">Sin perjuicio de los anterior, es necesario considerar que el artículo 35 de la Ley 2069 de 2020 no establece un medio específico para acreditar las circunstancias a las que se refiere cada causal. Por lo tanto, conforme a lo explicado por esta Agencia en los Conceptos C-012, C-015 y C-016 del 4 de febrero de 2021,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5408B03C" w14:textId="77777777" w:rsidR="0099308E" w:rsidRPr="00A572F4" w:rsidRDefault="0099308E" w:rsidP="00EB2ED0">
      <w:pPr>
        <w:tabs>
          <w:tab w:val="left" w:pos="709"/>
        </w:tabs>
        <w:spacing w:after="120" w:line="276" w:lineRule="auto"/>
        <w:jc w:val="both"/>
        <w:rPr>
          <w:rFonts w:ascii="Arial" w:eastAsia="Calibri" w:hAnsi="Arial" w:cs="Arial"/>
          <w:bCs/>
          <w:sz w:val="22"/>
        </w:rPr>
      </w:pPr>
      <w:r w:rsidRPr="00A572F4">
        <w:rPr>
          <w:rFonts w:ascii="Arial" w:eastAsia="Calibri" w:hAnsi="Arial" w:cs="Arial"/>
          <w:bCs/>
          <w:sz w:val="22"/>
        </w:rPr>
        <w:tab/>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en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6C5DDDBD" w14:textId="77777777" w:rsidR="0099308E" w:rsidRPr="00A572F4" w:rsidRDefault="0099308E" w:rsidP="00EB2ED0">
      <w:pPr>
        <w:tabs>
          <w:tab w:val="left" w:pos="709"/>
        </w:tabs>
        <w:spacing w:after="120" w:line="276" w:lineRule="auto"/>
        <w:jc w:val="both"/>
        <w:rPr>
          <w:rFonts w:ascii="Arial" w:eastAsia="Calibri" w:hAnsi="Arial" w:cs="Arial"/>
          <w:bCs/>
          <w:sz w:val="22"/>
        </w:rPr>
      </w:pPr>
      <w:r w:rsidRPr="00A572F4">
        <w:rPr>
          <w:rFonts w:ascii="Arial" w:eastAsia="Calibri" w:hAnsi="Arial" w:cs="Arial"/>
          <w:bCs/>
          <w:sz w:val="22"/>
        </w:rPr>
        <w:lastRenderedPageBreak/>
        <w:tab/>
      </w:r>
      <w:bookmarkStart w:id="8" w:name="_Hlk63884375"/>
      <w:r w:rsidRPr="00A572F4">
        <w:rPr>
          <w:rFonts w:ascii="Arial" w:eastAsia="Calibri" w:hAnsi="Arial" w:cs="Arial"/>
          <w:bCs/>
          <w:sz w:val="22"/>
        </w:rPr>
        <w:t xml:space="preserve">Ahora bien, la relación entre estas dos (2) fuentes del derecho es totalmente diferente en la </w:t>
      </w:r>
      <w:r w:rsidRPr="00A572F4">
        <w:rPr>
          <w:rFonts w:ascii="Arial" w:eastAsia="Calibri" w:hAnsi="Arial" w:cs="Arial"/>
          <w:bCs/>
          <w:i/>
          <w:iCs/>
          <w:sz w:val="22"/>
        </w:rPr>
        <w:t>tesis de la reglamentación</w:t>
      </w:r>
      <w:r w:rsidRPr="00A572F4">
        <w:rPr>
          <w:rFonts w:ascii="Arial" w:eastAsia="Calibri" w:hAnsi="Arial" w:cs="Arial"/>
          <w:bCs/>
          <w:sz w:val="22"/>
        </w:rPr>
        <w:t>.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w:t>
      </w:r>
      <w:bookmarkEnd w:id="8"/>
      <w:r w:rsidRPr="00A572F4">
        <w:rPr>
          <w:rFonts w:ascii="Arial" w:eastAsia="Calibri" w:hAnsi="Arial" w:cs="Arial"/>
          <w:bCs/>
          <w:sz w:val="22"/>
        </w:rPr>
        <w:t>. Este el caso de los</w:t>
      </w:r>
      <w:r w:rsidRPr="00A572F4">
        <w:rPr>
          <w:rFonts w:ascii="Arial" w:eastAsia="Calibri" w:hAnsi="Arial" w:cs="Arial"/>
          <w:sz w:val="22"/>
          <w:lang w:val="es-ES_tradnl"/>
        </w:rPr>
        <w:t xml:space="preserve"> artículos 31, 32, 34 y 36 de la Ley de Emprendimiento</w:t>
      </w:r>
      <w:r w:rsidRPr="00A572F4">
        <w:rPr>
          <w:rFonts w:ascii="Arial" w:eastAsia="Calibri" w:hAnsi="Arial" w:cs="Arial"/>
          <w:bCs/>
          <w:sz w:val="22"/>
        </w:rPr>
        <w:t xml:space="preserve">. </w:t>
      </w:r>
    </w:p>
    <w:p w14:paraId="681083BC" w14:textId="77777777" w:rsidR="0099308E" w:rsidRPr="00A572F4" w:rsidRDefault="0099308E" w:rsidP="00EB2ED0">
      <w:pPr>
        <w:tabs>
          <w:tab w:val="left" w:pos="709"/>
        </w:tabs>
        <w:spacing w:after="120" w:line="276" w:lineRule="auto"/>
        <w:jc w:val="both"/>
        <w:rPr>
          <w:rFonts w:ascii="Arial" w:eastAsia="Calibri" w:hAnsi="Arial" w:cs="Arial"/>
          <w:bCs/>
          <w:sz w:val="22"/>
        </w:rPr>
      </w:pPr>
      <w:r w:rsidRPr="00A572F4">
        <w:rPr>
          <w:rFonts w:ascii="Arial" w:eastAsia="Calibri" w:hAnsi="Arial" w:cs="Arial"/>
          <w:bCs/>
          <w:sz w:val="22"/>
        </w:rPr>
        <w:tab/>
        <w:t>En efecto, estas disposiciones contienen un mandato de reglamentación que debe acatar el Gobierno Nacional</w:t>
      </w:r>
      <w:r w:rsidRPr="00A572F4">
        <w:rPr>
          <w:rStyle w:val="Refdenotaalpie"/>
          <w:rFonts w:ascii="Arial" w:eastAsia="Calibri" w:hAnsi="Arial" w:cs="Arial"/>
          <w:bCs/>
          <w:sz w:val="22"/>
        </w:rPr>
        <w:footnoteReference w:id="11"/>
      </w:r>
      <w:r w:rsidRPr="00A572F4">
        <w:rPr>
          <w:rFonts w:ascii="Arial" w:eastAsia="Calibri" w:hAnsi="Arial" w:cs="Arial"/>
          <w:bCs/>
          <w:sz w:val="22"/>
        </w:rPr>
        <w:t xml:space="preserve">. Sin el decreto la ley es inaplicable, porque delega en una fuente de inferior jerarquía la definición de los aspectos relevantes para efectividad de los mandatos contenidos en la misma. En estos casos, la omisión reglamentaria genera una </w:t>
      </w:r>
      <w:r w:rsidRPr="00A572F4">
        <w:rPr>
          <w:rFonts w:ascii="Arial" w:eastAsia="Calibri" w:hAnsi="Arial" w:cs="Arial"/>
          <w:bCs/>
          <w:i/>
          <w:iCs/>
          <w:sz w:val="22"/>
        </w:rPr>
        <w:t>laguna técnica</w:t>
      </w:r>
      <w:r w:rsidRPr="00A572F4">
        <w:rPr>
          <w:rFonts w:ascii="Arial" w:eastAsia="Calibri" w:hAnsi="Arial" w:cs="Arial"/>
          <w:bCs/>
          <w:sz w:val="22"/>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A572F4">
        <w:rPr>
          <w:rStyle w:val="Refdenotaalpie"/>
          <w:rFonts w:ascii="Arial" w:eastAsia="Calibri" w:hAnsi="Arial" w:cs="Arial"/>
          <w:bCs/>
          <w:sz w:val="22"/>
        </w:rPr>
        <w:footnoteReference w:id="12"/>
      </w:r>
      <w:r w:rsidRPr="00A572F4">
        <w:rPr>
          <w:rFonts w:ascii="Arial" w:eastAsia="Calibri" w:hAnsi="Arial" w:cs="Arial"/>
          <w:bCs/>
          <w:sz w:val="22"/>
        </w:rPr>
        <w:t>.</w:t>
      </w:r>
    </w:p>
    <w:p w14:paraId="5C9AA8AC" w14:textId="77777777" w:rsidR="0099308E" w:rsidRPr="00A572F4" w:rsidRDefault="0099308E" w:rsidP="00EB2ED0">
      <w:pPr>
        <w:tabs>
          <w:tab w:val="left" w:pos="709"/>
        </w:tabs>
        <w:spacing w:after="120" w:line="276" w:lineRule="auto"/>
        <w:jc w:val="both"/>
        <w:rPr>
          <w:rFonts w:ascii="Arial" w:eastAsia="Calibri" w:hAnsi="Arial" w:cs="Arial"/>
          <w:bCs/>
          <w:sz w:val="22"/>
        </w:rPr>
      </w:pPr>
      <w:r w:rsidRPr="00A572F4">
        <w:rPr>
          <w:rFonts w:ascii="Arial" w:eastAsia="Calibri" w:hAnsi="Arial" w:cs="Arial"/>
          <w:bCs/>
          <w:sz w:val="22"/>
        </w:rPr>
        <w:tab/>
        <w:t xml:space="preserve">Este tipo de lagunas no son ajenas a la contratación estatal, ya que –conforme a los antecedentes de la consulta– el procedimiento para la cesión unilateral del contrato del artículo 9 de la Ley 2014 de 2019 también estaba condicionado por su reglamentación previa en los términos del parágrafo 2 </w:t>
      </w:r>
      <w:r w:rsidRPr="00A572F4">
        <w:rPr>
          <w:rFonts w:ascii="Arial" w:eastAsia="Calibri" w:hAnsi="Arial" w:cs="Arial"/>
          <w:bCs/>
          <w:i/>
          <w:iCs/>
          <w:sz w:val="22"/>
        </w:rPr>
        <w:t>ibidem</w:t>
      </w:r>
      <w:r w:rsidRPr="00A572F4">
        <w:rPr>
          <w:rFonts w:ascii="Arial" w:eastAsia="Calibri" w:hAnsi="Arial" w:cs="Arial"/>
          <w:bCs/>
          <w:sz w:val="22"/>
        </w:rPr>
        <w:t xml:space="preserve"> antes de su declaratoria de inconstitucionalidad</w:t>
      </w:r>
      <w:r w:rsidRPr="00A572F4">
        <w:rPr>
          <w:rStyle w:val="Refdenotaalpie"/>
          <w:rFonts w:ascii="Arial" w:eastAsia="Calibri" w:hAnsi="Arial" w:cs="Arial"/>
          <w:bCs/>
          <w:sz w:val="22"/>
        </w:rPr>
        <w:footnoteReference w:id="13"/>
      </w:r>
      <w:r w:rsidRPr="00A572F4">
        <w:rPr>
          <w:rFonts w:ascii="Arial" w:eastAsia="Calibri" w:hAnsi="Arial" w:cs="Arial"/>
          <w:bCs/>
          <w:sz w:val="22"/>
        </w:rPr>
        <w:t xml:space="preserve">. Para llegar a esta conclusión, es necesario tener en cuenta que las </w:t>
      </w:r>
      <w:r w:rsidRPr="00A572F4">
        <w:rPr>
          <w:rFonts w:ascii="Arial" w:eastAsia="Calibri" w:hAnsi="Arial" w:cs="Arial"/>
          <w:bCs/>
          <w:sz w:val="22"/>
        </w:rPr>
        <w:lastRenderedPageBreak/>
        <w:t>normas jurídicas, por regla general, producen efectos a partir de su promulgación o publicación. De allí se derivan principios tales como la irretroactividad de la ley y su efecto general inmediato</w:t>
      </w:r>
      <w:r w:rsidRPr="00A572F4">
        <w:rPr>
          <w:rStyle w:val="Refdenotaalpie"/>
          <w:rFonts w:ascii="Arial" w:eastAsia="Calibri" w:hAnsi="Arial" w:cs="Arial"/>
          <w:bCs/>
          <w:sz w:val="22"/>
        </w:rPr>
        <w:footnoteReference w:id="14"/>
      </w:r>
      <w:r w:rsidRPr="00A572F4">
        <w:rPr>
          <w:rFonts w:ascii="Arial" w:eastAsia="Calibri" w:hAnsi="Arial" w:cs="Arial"/>
          <w:bCs/>
          <w:sz w:val="22"/>
        </w:rPr>
        <w:t xml:space="preserve">. </w:t>
      </w:r>
    </w:p>
    <w:p w14:paraId="3445C579" w14:textId="77777777" w:rsidR="0099308E" w:rsidRPr="00A572F4" w:rsidRDefault="0099308E" w:rsidP="00EB2ED0">
      <w:pPr>
        <w:spacing w:after="120" w:line="276" w:lineRule="auto"/>
        <w:ind w:firstLine="709"/>
        <w:jc w:val="both"/>
        <w:rPr>
          <w:rFonts w:ascii="Arial" w:eastAsia="Calibri" w:hAnsi="Arial" w:cs="Arial"/>
          <w:sz w:val="22"/>
          <w:lang w:val="es-ES"/>
        </w:rPr>
      </w:pPr>
      <w:r w:rsidRPr="00A572F4">
        <w:rPr>
          <w:rFonts w:ascii="Arial" w:eastAsia="Calibri" w:hAnsi="Arial" w:cs="Arial"/>
          <w:sz w:val="22"/>
          <w:lang w:val="es-ES"/>
        </w:rPr>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73B57783" w14:textId="77777777" w:rsidR="0099308E" w:rsidRPr="00A572F4" w:rsidRDefault="0099308E" w:rsidP="00EB2ED0">
      <w:pPr>
        <w:spacing w:line="276" w:lineRule="auto"/>
        <w:ind w:firstLine="709"/>
        <w:jc w:val="both"/>
        <w:rPr>
          <w:rFonts w:ascii="Arial" w:eastAsia="Calibri" w:hAnsi="Arial" w:cs="Arial"/>
          <w:sz w:val="22"/>
          <w:lang w:val="es-ES"/>
        </w:rPr>
      </w:pPr>
      <w:r w:rsidRPr="00A572F4">
        <w:rPr>
          <w:rFonts w:ascii="Arial" w:eastAsia="Calibri" w:hAnsi="Arial" w:cs="Arial"/>
          <w:sz w:val="22"/>
          <w:lang w:val="es-ES"/>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 pero esas normas no podían aplicarse hasta que no se cumpliera la condición: la expedición del reglamento. Sobre este asunto, es preciso llamar la atención sobre la jurisprudencia. Al respecto, el Consejo de Estado considera que: </w:t>
      </w:r>
    </w:p>
    <w:p w14:paraId="13B6E483" w14:textId="77777777" w:rsidR="0099308E" w:rsidRPr="00A572F4" w:rsidRDefault="0099308E" w:rsidP="00EB2ED0">
      <w:pPr>
        <w:spacing w:line="276" w:lineRule="auto"/>
        <w:ind w:left="709" w:right="760"/>
        <w:jc w:val="both"/>
        <w:rPr>
          <w:rFonts w:ascii="Arial" w:eastAsia="Calibri" w:hAnsi="Arial" w:cs="Arial"/>
          <w:sz w:val="22"/>
          <w:lang w:val="es-ES"/>
        </w:rPr>
      </w:pPr>
    </w:p>
    <w:p w14:paraId="6A693C3F" w14:textId="77777777" w:rsidR="0099308E" w:rsidRPr="00A572F4" w:rsidRDefault="0099308E" w:rsidP="00EB2ED0">
      <w:pPr>
        <w:ind w:left="709" w:right="760"/>
        <w:jc w:val="both"/>
        <w:rPr>
          <w:rFonts w:ascii="Arial" w:eastAsia="Calibri" w:hAnsi="Arial" w:cs="Arial"/>
          <w:sz w:val="21"/>
          <w:szCs w:val="21"/>
          <w:lang w:val="es-ES"/>
        </w:rPr>
      </w:pPr>
      <w:r w:rsidRPr="00A572F4">
        <w:rPr>
          <w:rFonts w:ascii="Arial" w:eastAsia="Calibri" w:hAnsi="Arial" w:cs="Arial"/>
          <w:sz w:val="21"/>
          <w:szCs w:val="21"/>
          <w:lang w:val="es-E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A572F4">
        <w:rPr>
          <w:rStyle w:val="Refdenotaalpie"/>
          <w:rFonts w:ascii="Arial" w:eastAsia="Calibri" w:hAnsi="Arial" w:cs="Arial"/>
          <w:sz w:val="21"/>
          <w:szCs w:val="21"/>
          <w:lang w:val="es-ES"/>
        </w:rPr>
        <w:footnoteReference w:id="15"/>
      </w:r>
      <w:r w:rsidRPr="00A572F4">
        <w:rPr>
          <w:rFonts w:ascii="Arial" w:eastAsia="Calibri" w:hAnsi="Arial" w:cs="Arial"/>
          <w:sz w:val="21"/>
          <w:szCs w:val="21"/>
          <w:lang w:val="es-ES"/>
        </w:rPr>
        <w:t>.</w:t>
      </w:r>
    </w:p>
    <w:p w14:paraId="623921BD" w14:textId="77777777" w:rsidR="0099308E" w:rsidRPr="00A572F4" w:rsidRDefault="0099308E" w:rsidP="00EB2ED0">
      <w:pPr>
        <w:spacing w:line="276" w:lineRule="auto"/>
        <w:ind w:left="709" w:right="760"/>
        <w:jc w:val="both"/>
        <w:rPr>
          <w:rFonts w:ascii="Arial" w:eastAsia="Calibri" w:hAnsi="Arial" w:cs="Arial"/>
          <w:sz w:val="22"/>
          <w:lang w:val="es-ES"/>
        </w:rPr>
      </w:pPr>
    </w:p>
    <w:p w14:paraId="44D03C3B" w14:textId="4DD3C70E" w:rsidR="0099308E" w:rsidRPr="00A572F4" w:rsidRDefault="0099308E" w:rsidP="00EB2ED0">
      <w:pPr>
        <w:spacing w:after="120" w:line="276" w:lineRule="auto"/>
        <w:ind w:right="51" w:firstLine="709"/>
        <w:jc w:val="both"/>
        <w:rPr>
          <w:rFonts w:ascii="Arial" w:eastAsia="Calibri" w:hAnsi="Arial" w:cs="Arial"/>
          <w:sz w:val="22"/>
          <w:lang w:val="es-ES"/>
        </w:rPr>
      </w:pPr>
      <w:bookmarkStart w:id="9" w:name="_Hlk63884655"/>
      <w:r w:rsidRPr="00A572F4">
        <w:rPr>
          <w:rFonts w:ascii="Arial" w:eastAsia="Calibri" w:hAnsi="Arial" w:cs="Arial"/>
          <w:sz w:val="22"/>
          <w:lang w:val="es-ES"/>
        </w:rPr>
        <w:t xml:space="preserve">La referencia hecha en una ley a que el gobierno nacional reglamentará la materia indica que el reglamento es indispensable para el cumplimiento de </w:t>
      </w:r>
      <w:r w:rsidR="0021480C" w:rsidRPr="00A572F4">
        <w:rPr>
          <w:rFonts w:ascii="Arial" w:eastAsia="Calibri" w:hAnsi="Arial" w:cs="Arial"/>
          <w:sz w:val="22"/>
          <w:lang w:val="es-ES"/>
        </w:rPr>
        <w:t>esta</w:t>
      </w:r>
      <w:r w:rsidRPr="00A572F4">
        <w:rPr>
          <w:rFonts w:ascii="Arial" w:eastAsia="Calibri" w:hAnsi="Arial" w:cs="Arial"/>
          <w:sz w:val="22"/>
          <w:lang w:val="es-ES"/>
        </w:rPr>
        <w:t xml:space="preserve">. Naturalmente, este reconocimiento no siempre implica que la ley está sometida a condición para </w:t>
      </w:r>
      <w:proofErr w:type="gramStart"/>
      <w:r w:rsidRPr="00A572F4">
        <w:rPr>
          <w:rFonts w:ascii="Arial" w:eastAsia="Calibri" w:hAnsi="Arial" w:cs="Arial"/>
          <w:sz w:val="22"/>
          <w:lang w:val="es-ES"/>
        </w:rPr>
        <w:t xml:space="preserve">entrar en </w:t>
      </w:r>
      <w:r w:rsidRPr="00A572F4">
        <w:rPr>
          <w:rFonts w:ascii="Arial" w:eastAsia="Calibri" w:hAnsi="Arial" w:cs="Arial"/>
          <w:sz w:val="22"/>
          <w:lang w:val="es-ES"/>
        </w:rPr>
        <w:lastRenderedPageBreak/>
        <w:t>vigencia</w:t>
      </w:r>
      <w:proofErr w:type="gramEnd"/>
      <w:r w:rsidRPr="00A572F4">
        <w:rPr>
          <w:rFonts w:ascii="Arial" w:eastAsia="Calibri" w:hAnsi="Arial" w:cs="Arial"/>
          <w:sz w:val="22"/>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p>
    <w:bookmarkEnd w:id="9"/>
    <w:p w14:paraId="03A384D8" w14:textId="77777777" w:rsidR="0099308E" w:rsidRPr="00A572F4" w:rsidRDefault="0099308E" w:rsidP="00EB2ED0">
      <w:pPr>
        <w:spacing w:after="120" w:line="276" w:lineRule="auto"/>
        <w:ind w:right="51" w:firstLine="709"/>
        <w:jc w:val="both"/>
        <w:rPr>
          <w:rFonts w:ascii="Arial" w:eastAsia="Calibri" w:hAnsi="Arial" w:cs="Arial"/>
          <w:bCs/>
          <w:sz w:val="22"/>
        </w:rPr>
      </w:pPr>
      <w:r w:rsidRPr="00A572F4">
        <w:rPr>
          <w:rFonts w:ascii="Arial" w:eastAsia="Calibri" w:hAnsi="Arial" w:cs="Arial"/>
          <w:sz w:val="22"/>
          <w:lang w:val="es-ES"/>
        </w:rPr>
        <w:t xml:space="preserve">En tal sentido, el Congreso de la República dispuso la expedición de un decreto reglamentario para detallar el contenido </w:t>
      </w:r>
      <w:r w:rsidRPr="00A572F4">
        <w:rPr>
          <w:rFonts w:ascii="Arial" w:eastAsia="Calibri" w:hAnsi="Arial" w:cs="Arial"/>
          <w:sz w:val="22"/>
          <w:lang w:val="es-ES_tradnl"/>
        </w:rPr>
        <w:t>los artículos 31, 32, 34 y 36 de la Ley 2069 de 2020</w:t>
      </w:r>
      <w:r w:rsidRPr="00A572F4">
        <w:rPr>
          <w:rFonts w:ascii="Arial" w:eastAsia="Calibri" w:hAnsi="Arial" w:cs="Arial"/>
          <w:sz w:val="22"/>
          <w:lang w:val="es-ES"/>
        </w:rPr>
        <w:t xml:space="preserve">. Por ello, en ausencia de desarrollo normativo posterior existe una </w:t>
      </w:r>
      <w:r w:rsidRPr="00A572F4">
        <w:rPr>
          <w:rFonts w:ascii="Arial" w:eastAsia="Calibri" w:hAnsi="Arial" w:cs="Arial"/>
          <w:i/>
          <w:iCs/>
          <w:sz w:val="22"/>
          <w:lang w:val="es-ES"/>
        </w:rPr>
        <w:t>laguna técnica</w:t>
      </w:r>
      <w:r w:rsidRPr="00A572F4">
        <w:rPr>
          <w:rFonts w:ascii="Arial" w:eastAsia="Calibri" w:hAnsi="Arial" w:cs="Arial"/>
          <w:sz w:val="22"/>
          <w:lang w:val="es-ES"/>
        </w:rPr>
        <w:t xml:space="preserve"> que impide aplicar estas disposiciones</w:t>
      </w:r>
      <w:r w:rsidRPr="00A572F4">
        <w:rPr>
          <w:rFonts w:ascii="Arial" w:eastAsia="Calibri" w:hAnsi="Arial" w:cs="Arial"/>
          <w:bCs/>
          <w:sz w:val="22"/>
        </w:rPr>
        <w:t xml:space="preserve">. En este caso, la necesidad de la reglamentación previa también deriva de los antecedentes legislativos. En lo pertinente, el texto inicial de los artículos 15 y 17 del Proyecto de Ley No. 122 de 2020 disponía que la necesidad del reglamento en lo relacionado con i) los criterios diferenciales para </w:t>
      </w:r>
      <w:proofErr w:type="spellStart"/>
      <w:r w:rsidRPr="00A572F4">
        <w:rPr>
          <w:rFonts w:ascii="Arial" w:eastAsia="Calibri" w:hAnsi="Arial" w:cs="Arial"/>
          <w:bCs/>
          <w:sz w:val="22"/>
        </w:rPr>
        <w:t>mipymes</w:t>
      </w:r>
      <w:proofErr w:type="spellEnd"/>
      <w:r w:rsidRPr="00A572F4">
        <w:rPr>
          <w:rFonts w:ascii="Arial" w:eastAsia="Calibri" w:hAnsi="Arial" w:cs="Arial"/>
          <w:bCs/>
          <w:sz w:val="22"/>
        </w:rPr>
        <w:t xml:space="preserve"> y </w:t>
      </w:r>
      <w:proofErr w:type="spellStart"/>
      <w:r w:rsidRPr="00A572F4">
        <w:rPr>
          <w:rFonts w:ascii="Arial" w:eastAsia="Calibri" w:hAnsi="Arial" w:cs="Arial"/>
          <w:bCs/>
          <w:sz w:val="22"/>
        </w:rPr>
        <w:t>ii</w:t>
      </w:r>
      <w:proofErr w:type="spellEnd"/>
      <w:r w:rsidRPr="00A572F4">
        <w:rPr>
          <w:rFonts w:ascii="Arial" w:eastAsia="Calibri" w:hAnsi="Arial" w:cs="Arial"/>
          <w:bCs/>
          <w:sz w:val="22"/>
        </w:rPr>
        <w:t xml:space="preserve">) las convocatorias limitadas a </w:t>
      </w:r>
      <w:proofErr w:type="spellStart"/>
      <w:r w:rsidRPr="00A572F4">
        <w:rPr>
          <w:rFonts w:ascii="Arial" w:eastAsia="Calibri" w:hAnsi="Arial" w:cs="Arial"/>
          <w:bCs/>
          <w:sz w:val="22"/>
        </w:rPr>
        <w:t>mipymes</w:t>
      </w:r>
      <w:proofErr w:type="spellEnd"/>
      <w:r w:rsidRPr="00A572F4">
        <w:rPr>
          <w:rFonts w:ascii="Arial" w:eastAsia="Calibri" w:hAnsi="Arial" w:cs="Arial"/>
          <w:bCs/>
          <w:sz w:val="22"/>
        </w:rPr>
        <w:t>, así como el fomento en la ejecución de los contratos estatales por parte de sujetos de especial protección</w:t>
      </w:r>
      <w:r w:rsidRPr="00A572F4">
        <w:rPr>
          <w:rStyle w:val="Refdenotaalpie"/>
          <w:rFonts w:ascii="Arial" w:eastAsia="Calibri" w:hAnsi="Arial" w:cs="Arial"/>
          <w:bCs/>
          <w:sz w:val="22"/>
        </w:rPr>
        <w:footnoteReference w:id="16"/>
      </w:r>
      <w:r w:rsidRPr="00A572F4">
        <w:rPr>
          <w:rFonts w:ascii="Arial" w:eastAsia="Calibri" w:hAnsi="Arial" w:cs="Arial"/>
          <w:bCs/>
          <w:sz w:val="22"/>
        </w:rPr>
        <w:t xml:space="preserve">. </w:t>
      </w:r>
    </w:p>
    <w:p w14:paraId="332C0B0A" w14:textId="77777777" w:rsidR="0099308E" w:rsidRPr="00A572F4" w:rsidRDefault="0099308E" w:rsidP="00EB2ED0">
      <w:pPr>
        <w:spacing w:after="120" w:line="276" w:lineRule="auto"/>
        <w:ind w:right="51" w:firstLine="709"/>
        <w:jc w:val="both"/>
        <w:rPr>
          <w:rFonts w:ascii="Arial" w:eastAsia="Calibri" w:hAnsi="Arial" w:cs="Arial"/>
          <w:bCs/>
          <w:sz w:val="22"/>
        </w:rPr>
      </w:pPr>
      <w:r w:rsidRPr="00A572F4">
        <w:rPr>
          <w:rFonts w:ascii="Arial" w:eastAsia="Calibri" w:hAnsi="Arial" w:cs="Arial"/>
          <w:bCs/>
          <w:sz w:val="22"/>
        </w:rPr>
        <w:t xml:space="preserve">Como puede verificarse en las Gacetas del Congreso No. 1334 del 18 de noviembre de 2020 y 1389 de 14 de diciembre de 2020, además de que –para el segundo debate– el artículo 24 dispuso que la definición de «emprendimientos y empresas de mujeres» correspondería al reglamento, el artículo 36 del texto conciliado incluye lo propio para las compras públicas de tecnología e innovación. Incluso, tratándose de </w:t>
      </w:r>
      <w:r w:rsidRPr="00A572F4">
        <w:rPr>
          <w:rFonts w:ascii="Arial" w:eastAsia="Calibri" w:hAnsi="Arial" w:cs="Arial"/>
          <w:sz w:val="22"/>
          <w:lang w:val="es-ES_tradnl"/>
        </w:rPr>
        <w:t>los artículos 31, 32, 34 y 36 de la Ley 2069 de 2020</w:t>
      </w:r>
      <w:r w:rsidRPr="00A572F4">
        <w:rPr>
          <w:rFonts w:ascii="Arial" w:eastAsia="Calibri" w:hAnsi="Arial" w:cs="Arial"/>
          <w:bCs/>
          <w:sz w:val="22"/>
        </w:rPr>
        <w:t xml:space="preserve"> la remisión al reglamento es razonable y está justificada, pues si eventualmente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    </w:t>
      </w:r>
    </w:p>
    <w:p w14:paraId="3BB05DCB" w14:textId="77777777" w:rsidR="0099308E" w:rsidRPr="00A572F4" w:rsidRDefault="0099308E" w:rsidP="00EB2ED0">
      <w:pPr>
        <w:spacing w:after="120" w:line="276" w:lineRule="auto"/>
        <w:ind w:right="51" w:firstLine="709"/>
        <w:jc w:val="both"/>
        <w:rPr>
          <w:rFonts w:ascii="Arial" w:eastAsia="Calibri" w:hAnsi="Arial" w:cs="Arial"/>
          <w:bCs/>
          <w:sz w:val="22"/>
        </w:rPr>
      </w:pPr>
      <w:r w:rsidRPr="00A572F4">
        <w:rPr>
          <w:rFonts w:ascii="Arial" w:eastAsia="Calibri" w:hAnsi="Arial" w:cs="Arial"/>
          <w:bCs/>
          <w:sz w:val="22"/>
        </w:rPr>
        <w:t xml:space="preserve">Por tanto, </w:t>
      </w:r>
      <w:bookmarkStart w:id="10" w:name="_Hlk51668471"/>
      <w:r w:rsidRPr="00A572F4">
        <w:rPr>
          <w:rFonts w:ascii="Arial" w:eastAsia="Calibri" w:hAnsi="Arial" w:cs="Arial"/>
          <w:bCs/>
          <w:sz w:val="22"/>
        </w:rPr>
        <w:t>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w:t>
      </w:r>
      <w:r w:rsidRPr="00A572F4">
        <w:rPr>
          <w:rStyle w:val="Refdenotaalpie"/>
          <w:rFonts w:ascii="Arial" w:eastAsia="Calibri" w:hAnsi="Arial" w:cs="Arial"/>
          <w:bCs/>
          <w:sz w:val="22"/>
        </w:rPr>
        <w:footnoteReference w:id="17"/>
      </w:r>
      <w:r w:rsidRPr="00A572F4">
        <w:rPr>
          <w:rFonts w:ascii="Arial" w:eastAsia="Calibri" w:hAnsi="Arial" w:cs="Arial"/>
          <w:bCs/>
          <w:sz w:val="22"/>
        </w:rPr>
        <w:t>. En este tipo de situaciones, «[…] las autoridades no tienen -ni tuvieron- la posibilidad de escoger entre expedir el acto o dejar de hacerlo. Es decir, se trata de una potestad reglada, desde el punto de vista de la necesidad de la actuación»</w:t>
      </w:r>
      <w:r w:rsidRPr="00A572F4">
        <w:rPr>
          <w:rStyle w:val="Refdenotaalpie"/>
          <w:rFonts w:ascii="Arial" w:eastAsia="Calibri" w:hAnsi="Arial" w:cs="Arial"/>
          <w:bCs/>
          <w:sz w:val="22"/>
        </w:rPr>
        <w:footnoteReference w:id="18"/>
      </w:r>
      <w:r w:rsidRPr="00A572F4">
        <w:rPr>
          <w:rFonts w:ascii="Arial" w:eastAsia="Calibri" w:hAnsi="Arial" w:cs="Arial"/>
          <w:bCs/>
          <w:sz w:val="22"/>
        </w:rPr>
        <w:t>.</w:t>
      </w:r>
    </w:p>
    <w:p w14:paraId="780B0272" w14:textId="77777777" w:rsidR="0099308E" w:rsidRPr="00A572F4" w:rsidRDefault="0099308E" w:rsidP="00EB2ED0">
      <w:pPr>
        <w:spacing w:line="276" w:lineRule="auto"/>
        <w:ind w:right="51" w:firstLine="709"/>
        <w:jc w:val="both"/>
        <w:rPr>
          <w:rFonts w:ascii="Arial" w:eastAsia="Calibri" w:hAnsi="Arial" w:cs="Arial"/>
          <w:bCs/>
          <w:sz w:val="22"/>
        </w:rPr>
      </w:pPr>
      <w:r w:rsidRPr="00A572F4">
        <w:rPr>
          <w:rFonts w:ascii="Arial" w:eastAsia="Calibri" w:hAnsi="Arial" w:cs="Arial"/>
          <w:bCs/>
          <w:sz w:val="22"/>
        </w:rPr>
        <w:t>En ese orden de ideas, es posible afirmar que</w:t>
      </w:r>
      <w:bookmarkEnd w:id="10"/>
      <w:r w:rsidRPr="00A572F4">
        <w:rPr>
          <w:rFonts w:ascii="Arial" w:eastAsia="Calibri" w:hAnsi="Arial" w:cs="Arial"/>
          <w:bCs/>
          <w:sz w:val="22"/>
        </w:rPr>
        <w:t xml:space="preserve">, </w:t>
      </w:r>
      <w:bookmarkStart w:id="11" w:name="_Hlk63884107"/>
      <w:r w:rsidRPr="00A572F4">
        <w:rPr>
          <w:rFonts w:ascii="Arial" w:eastAsia="Calibri" w:hAnsi="Arial" w:cs="Arial"/>
          <w:bCs/>
          <w:sz w:val="22"/>
        </w:rPr>
        <w:t xml:space="preserve">en </w:t>
      </w:r>
      <w:r w:rsidRPr="00A572F4">
        <w:rPr>
          <w:rFonts w:ascii="Arial" w:eastAsia="Calibri" w:hAnsi="Arial" w:cs="Arial"/>
          <w:sz w:val="22"/>
          <w:lang w:val="es-ES_tradnl"/>
        </w:rPr>
        <w:t>los artículos 31, 32, 34 y 36</w:t>
      </w:r>
      <w:r w:rsidRPr="00A572F4">
        <w:rPr>
          <w:rFonts w:ascii="Arial" w:eastAsia="Calibri" w:hAnsi="Arial" w:cs="Arial"/>
          <w:bCs/>
          <w:sz w:val="22"/>
        </w:rPr>
        <w:t xml:space="preserve">, el Congreso de la República reconoce la necesidad de un reglamento para el efectivo cumplimiento de la </w:t>
      </w:r>
      <w:r w:rsidRPr="00A572F4">
        <w:rPr>
          <w:rFonts w:ascii="Arial" w:eastAsia="Calibri" w:hAnsi="Arial" w:cs="Arial"/>
          <w:sz w:val="22"/>
          <w:lang w:val="es-ES_tradnl"/>
        </w:rPr>
        <w:t>Ley 2069 de 2020</w:t>
      </w:r>
      <w:r w:rsidRPr="00A572F4">
        <w:rPr>
          <w:rFonts w:ascii="Arial" w:eastAsia="Calibri" w:hAnsi="Arial" w:cs="Arial"/>
          <w:bCs/>
          <w:sz w:val="22"/>
        </w:rPr>
        <w:t xml:space="preserve">, lo que demuestra, para el caso concreto, una </w:t>
      </w:r>
      <w:r w:rsidRPr="00A572F4">
        <w:rPr>
          <w:rFonts w:ascii="Arial" w:eastAsia="Calibri" w:hAnsi="Arial" w:cs="Arial"/>
          <w:bCs/>
          <w:sz w:val="22"/>
        </w:rPr>
        <w:lastRenderedPageBreak/>
        <w:t xml:space="preserve">vigencia sometida a condición para los temas regulados en estas normas. Esta conclusión se ajusta no solo a los antecedentes del proyecto de ley, sino también a la necesidad de claridad que debe introducir el reglamento en relación con i) los criterios diferenciales para </w:t>
      </w:r>
      <w:proofErr w:type="spellStart"/>
      <w:r w:rsidRPr="00A572F4">
        <w:rPr>
          <w:rFonts w:ascii="Arial" w:eastAsia="Calibri" w:hAnsi="Arial" w:cs="Arial"/>
          <w:bCs/>
          <w:sz w:val="22"/>
        </w:rPr>
        <w:t>mipymes</w:t>
      </w:r>
      <w:proofErr w:type="spellEnd"/>
      <w:r w:rsidRPr="00A572F4">
        <w:rPr>
          <w:rFonts w:ascii="Arial" w:eastAsia="Calibri" w:hAnsi="Arial" w:cs="Arial"/>
          <w:bCs/>
          <w:sz w:val="22"/>
        </w:rPr>
        <w:t xml:space="preserve">, </w:t>
      </w:r>
      <w:proofErr w:type="spellStart"/>
      <w:r w:rsidRPr="00A572F4">
        <w:rPr>
          <w:rFonts w:ascii="Arial" w:eastAsia="Calibri" w:hAnsi="Arial" w:cs="Arial"/>
          <w:bCs/>
          <w:sz w:val="22"/>
        </w:rPr>
        <w:t>ii</w:t>
      </w:r>
      <w:proofErr w:type="spellEnd"/>
      <w:r w:rsidRPr="00A572F4">
        <w:rPr>
          <w:rFonts w:ascii="Arial" w:eastAsia="Calibri" w:hAnsi="Arial" w:cs="Arial"/>
          <w:bCs/>
          <w:sz w:val="22"/>
        </w:rPr>
        <w:t xml:space="preserve">) la definición de «emprendimientos y empresas de mujeres», </w:t>
      </w:r>
      <w:proofErr w:type="spellStart"/>
      <w:r w:rsidRPr="00A572F4">
        <w:rPr>
          <w:rFonts w:ascii="Arial" w:eastAsia="Calibri" w:hAnsi="Arial" w:cs="Arial"/>
          <w:bCs/>
          <w:sz w:val="22"/>
        </w:rPr>
        <w:t>iii</w:t>
      </w:r>
      <w:proofErr w:type="spellEnd"/>
      <w:r w:rsidRPr="00A572F4">
        <w:rPr>
          <w:rFonts w:ascii="Arial" w:eastAsia="Calibri" w:hAnsi="Arial" w:cs="Arial"/>
          <w:bCs/>
          <w:sz w:val="22"/>
        </w:rPr>
        <w:t xml:space="preserve">) las convocatorias limitadas a </w:t>
      </w:r>
      <w:proofErr w:type="spellStart"/>
      <w:r w:rsidRPr="00A572F4">
        <w:rPr>
          <w:rFonts w:ascii="Arial" w:eastAsia="Calibri" w:hAnsi="Arial" w:cs="Arial"/>
          <w:bCs/>
          <w:sz w:val="22"/>
        </w:rPr>
        <w:t>mipymes</w:t>
      </w:r>
      <w:proofErr w:type="spellEnd"/>
      <w:r w:rsidRPr="00A572F4">
        <w:rPr>
          <w:rFonts w:ascii="Arial" w:eastAsia="Calibri" w:hAnsi="Arial" w:cs="Arial"/>
          <w:bCs/>
          <w:sz w:val="22"/>
        </w:rPr>
        <w:t xml:space="preserve"> y el fomento en la ejecución de los contratos estatales por parte de sujetos de especial protección, así como </w:t>
      </w:r>
      <w:proofErr w:type="spellStart"/>
      <w:r w:rsidRPr="00A572F4">
        <w:rPr>
          <w:rFonts w:ascii="Arial" w:eastAsia="Calibri" w:hAnsi="Arial" w:cs="Arial"/>
          <w:bCs/>
          <w:sz w:val="22"/>
        </w:rPr>
        <w:t>iv</w:t>
      </w:r>
      <w:proofErr w:type="spellEnd"/>
      <w:r w:rsidRPr="00A572F4">
        <w:rPr>
          <w:rFonts w:ascii="Arial" w:eastAsia="Calibri" w:hAnsi="Arial" w:cs="Arial"/>
          <w:bCs/>
          <w:sz w:val="22"/>
        </w:rPr>
        <w:t>) la promoción de las compras públicas de tecnología e innovación. A similar conclusión no se llega en relación con el artículo 30 de la Ley 2069 de 2020, porque, como se explicará a continuación, esta norma goza de eficacia directa, sin perjuicio de que el gobierno nacional la reglamente.</w:t>
      </w:r>
    </w:p>
    <w:p w14:paraId="01BB7CA6" w14:textId="77777777" w:rsidR="00AD1B10" w:rsidRPr="00A572F4" w:rsidRDefault="00AD1B10" w:rsidP="00AD1B10">
      <w:pPr>
        <w:spacing w:line="276" w:lineRule="auto"/>
        <w:jc w:val="both"/>
        <w:rPr>
          <w:rFonts w:ascii="Arial" w:eastAsia="Calibri" w:hAnsi="Arial" w:cs="Arial"/>
          <w:sz w:val="22"/>
          <w:szCs w:val="22"/>
          <w:lang w:val="es-ES_tradnl"/>
        </w:rPr>
      </w:pPr>
      <w:bookmarkStart w:id="12" w:name="_Hlk64292850"/>
      <w:bookmarkEnd w:id="11"/>
    </w:p>
    <w:p w14:paraId="10A9A8B3" w14:textId="65B1639C" w:rsidR="00AD1B10" w:rsidRPr="00A572F4" w:rsidRDefault="00AD1B10" w:rsidP="00AD1B10">
      <w:pPr>
        <w:spacing w:line="276" w:lineRule="auto"/>
        <w:jc w:val="both"/>
        <w:rPr>
          <w:rFonts w:ascii="Arial" w:eastAsia="Calibri" w:hAnsi="Arial" w:cs="Arial"/>
          <w:b/>
          <w:bCs/>
          <w:sz w:val="22"/>
          <w:szCs w:val="22"/>
          <w:lang w:val="es-ES_tradnl"/>
        </w:rPr>
      </w:pPr>
      <w:r w:rsidRPr="00A572F4">
        <w:rPr>
          <w:rFonts w:ascii="Arial" w:eastAsia="Calibri" w:hAnsi="Arial" w:cs="Arial"/>
          <w:b/>
          <w:bCs/>
          <w:sz w:val="22"/>
          <w:szCs w:val="22"/>
          <w:lang w:val="es-ES_tradnl"/>
        </w:rPr>
        <w:t>2.</w:t>
      </w:r>
      <w:r w:rsidR="007D12EC" w:rsidRPr="00A572F4">
        <w:rPr>
          <w:rFonts w:ascii="Arial" w:eastAsia="Calibri" w:hAnsi="Arial" w:cs="Arial"/>
          <w:b/>
          <w:bCs/>
          <w:sz w:val="22"/>
          <w:szCs w:val="22"/>
          <w:lang w:val="es-ES_tradnl"/>
        </w:rPr>
        <w:t>3</w:t>
      </w:r>
      <w:r w:rsidRPr="00A572F4">
        <w:rPr>
          <w:rFonts w:ascii="Arial" w:eastAsia="Calibri" w:hAnsi="Arial" w:cs="Arial"/>
          <w:b/>
          <w:bCs/>
          <w:sz w:val="22"/>
          <w:szCs w:val="22"/>
          <w:lang w:val="es-ES_tradnl"/>
        </w:rPr>
        <w:t xml:space="preserve">. Nueva regulación de la promoción del desarrollo en la contratación estatal en el artículo 34 de la Ley 2069 de 2020. Regulación de las convocatorias limitadas a </w:t>
      </w:r>
      <w:proofErr w:type="spellStart"/>
      <w:r w:rsidRPr="00A572F4">
        <w:rPr>
          <w:rFonts w:ascii="Arial" w:eastAsia="Calibri" w:hAnsi="Arial" w:cs="Arial"/>
          <w:b/>
          <w:bCs/>
          <w:sz w:val="22"/>
          <w:szCs w:val="22"/>
          <w:lang w:val="es-ES_tradnl"/>
        </w:rPr>
        <w:t>mipymes</w:t>
      </w:r>
      <w:proofErr w:type="spellEnd"/>
      <w:r w:rsidRPr="00A572F4">
        <w:rPr>
          <w:rFonts w:ascii="Arial" w:eastAsia="Calibri" w:hAnsi="Arial" w:cs="Arial"/>
          <w:b/>
          <w:bCs/>
          <w:sz w:val="22"/>
          <w:szCs w:val="22"/>
          <w:lang w:val="es-ES_tradnl"/>
        </w:rPr>
        <w:t>: eficacia y alcance de la potestad reglamentaria</w:t>
      </w:r>
    </w:p>
    <w:p w14:paraId="678FD9A5" w14:textId="77777777" w:rsidR="00DA565E" w:rsidRPr="00A572F4" w:rsidRDefault="00DA565E" w:rsidP="00AD1B10">
      <w:pPr>
        <w:spacing w:line="276" w:lineRule="auto"/>
        <w:jc w:val="both"/>
        <w:rPr>
          <w:rFonts w:ascii="Arial" w:eastAsia="Calibri" w:hAnsi="Arial" w:cs="Arial"/>
          <w:sz w:val="22"/>
          <w:szCs w:val="22"/>
          <w:lang w:val="es-ES_tradnl"/>
        </w:rPr>
      </w:pPr>
    </w:p>
    <w:p w14:paraId="06ECF8E7" w14:textId="10F6CFD5" w:rsidR="00AD1B10" w:rsidRPr="00A572F4" w:rsidRDefault="00AD1B10" w:rsidP="00AD1B10">
      <w:pPr>
        <w:spacing w:line="276" w:lineRule="auto"/>
        <w:jc w:val="both"/>
        <w:rPr>
          <w:rFonts w:ascii="Arial" w:eastAsia="Calibri" w:hAnsi="Arial" w:cs="Arial"/>
          <w:sz w:val="22"/>
          <w:szCs w:val="22"/>
          <w:lang w:val="es-ES_tradnl"/>
        </w:rPr>
      </w:pPr>
      <w:r w:rsidRPr="00A572F4">
        <w:rPr>
          <w:rFonts w:ascii="Arial" w:eastAsia="Calibri" w:hAnsi="Arial" w:cs="Arial"/>
          <w:sz w:val="22"/>
          <w:szCs w:val="22"/>
          <w:lang w:val="es-ES_tradnl"/>
        </w:rPr>
        <w:t>El artículo 34 de la Ley 2069 de 2020 dispone nuevas reglas sobre la promoción al desarrollo en la contratación estatal. Concretamente, modifica el contenido del artículo 12 de la Ley 1150 de 2007</w:t>
      </w:r>
      <w:r w:rsidRPr="00A572F4">
        <w:rPr>
          <w:rStyle w:val="Refdenotaalpie"/>
          <w:rFonts w:ascii="Arial" w:eastAsia="Calibri" w:hAnsi="Arial" w:cs="Arial"/>
          <w:sz w:val="22"/>
          <w:szCs w:val="22"/>
          <w:lang w:val="es-ES_tradnl"/>
        </w:rPr>
        <w:footnoteReference w:id="19"/>
      </w:r>
      <w:r w:rsidRPr="00A572F4">
        <w:rPr>
          <w:rFonts w:ascii="Arial" w:eastAsia="Calibri" w:hAnsi="Arial" w:cs="Arial"/>
          <w:sz w:val="22"/>
          <w:szCs w:val="22"/>
          <w:lang w:val="es-ES_tradnl"/>
        </w:rPr>
        <w:t>, regulación que se resume en los siguientes aspectos:</w:t>
      </w:r>
    </w:p>
    <w:p w14:paraId="4C155AEF" w14:textId="0EAB6710"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en los procesos de contratación. Además, agrega que estas convocatorias se pueden realizar también en el ámbito municipal o departamental en el que se ejecute el contrato. </w:t>
      </w:r>
    </w:p>
    <w:p w14:paraId="6A4E5252" w14:textId="77777777" w:rsidR="00AD1B10" w:rsidRPr="00A572F4" w:rsidRDefault="00AD1B10" w:rsidP="00AD1B10">
      <w:pPr>
        <w:spacing w:before="120" w:line="276" w:lineRule="auto"/>
        <w:ind w:firstLine="709"/>
        <w:jc w:val="both"/>
        <w:rPr>
          <w:rFonts w:ascii="Arial" w:eastAsia="Calibri" w:hAnsi="Arial" w:cs="Arial"/>
          <w:sz w:val="22"/>
          <w:szCs w:val="22"/>
          <w:lang w:val="es-ES_tradnl"/>
        </w:rPr>
      </w:pPr>
      <w:proofErr w:type="spellStart"/>
      <w:r w:rsidRPr="00A572F4">
        <w:rPr>
          <w:rFonts w:ascii="Arial" w:eastAsia="Calibri" w:hAnsi="Arial" w:cs="Arial"/>
          <w:sz w:val="22"/>
          <w:szCs w:val="22"/>
          <w:lang w:val="es-ES_tradnl"/>
        </w:rPr>
        <w:t>ii</w:t>
      </w:r>
      <w:proofErr w:type="spellEnd"/>
      <w:r w:rsidRPr="00A572F4">
        <w:rPr>
          <w:rFonts w:ascii="Arial" w:eastAsia="Calibri" w:hAnsi="Arial" w:cs="Arial"/>
          <w:sz w:val="22"/>
          <w:szCs w:val="22"/>
          <w:lang w:val="es-ES_tradnl"/>
        </w:rPr>
        <w:t xml:space="preserve">) Indica que dichas convocatorias se deben efectuar –y así lo deberá reglamentar el gobierno nacional– siempre y cuando, antes del acto administrativo de apertura del proceso de selección, por lo menos dos (2)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hayan manifestado su interés.</w:t>
      </w:r>
    </w:p>
    <w:p w14:paraId="59B90946" w14:textId="77777777" w:rsidR="00AD1B10" w:rsidRPr="00A572F4" w:rsidRDefault="00AD1B10" w:rsidP="00AD1B10">
      <w:pPr>
        <w:spacing w:before="120" w:line="276" w:lineRule="auto"/>
        <w:ind w:firstLine="709"/>
        <w:jc w:val="both"/>
        <w:rPr>
          <w:rFonts w:ascii="Arial" w:eastAsia="Calibri" w:hAnsi="Arial" w:cs="Arial"/>
          <w:sz w:val="22"/>
          <w:szCs w:val="22"/>
          <w:lang w:val="es-ES_tradnl"/>
        </w:rPr>
      </w:pPr>
      <w:proofErr w:type="spellStart"/>
      <w:r w:rsidRPr="00A572F4">
        <w:rPr>
          <w:rFonts w:ascii="Arial" w:eastAsia="Calibri" w:hAnsi="Arial" w:cs="Arial"/>
          <w:sz w:val="22"/>
          <w:szCs w:val="22"/>
          <w:lang w:val="es-ES_tradnl"/>
        </w:rPr>
        <w:t>iii</w:t>
      </w:r>
      <w:proofErr w:type="spellEnd"/>
      <w:r w:rsidRPr="00A572F4">
        <w:rPr>
          <w:rFonts w:ascii="Arial" w:eastAsia="Calibri" w:hAnsi="Arial" w:cs="Arial"/>
          <w:sz w:val="22"/>
          <w:szCs w:val="22"/>
          <w:lang w:val="es-ES_tradnl"/>
        </w:rPr>
        <w:t>)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2AA5BB71" w14:textId="77777777" w:rsidR="00AD1B10" w:rsidRPr="00A572F4" w:rsidRDefault="00AD1B10" w:rsidP="00AD1B10">
      <w:pPr>
        <w:spacing w:before="120" w:line="276" w:lineRule="auto"/>
        <w:ind w:firstLine="709"/>
        <w:jc w:val="both"/>
        <w:rPr>
          <w:rFonts w:ascii="Arial" w:eastAsia="Calibri" w:hAnsi="Arial" w:cs="Arial"/>
          <w:sz w:val="22"/>
          <w:szCs w:val="22"/>
          <w:lang w:val="es-ES_tradnl"/>
        </w:rPr>
      </w:pPr>
      <w:proofErr w:type="spellStart"/>
      <w:r w:rsidRPr="00A572F4">
        <w:rPr>
          <w:rFonts w:ascii="Arial" w:eastAsia="Calibri" w:hAnsi="Arial" w:cs="Arial"/>
          <w:sz w:val="22"/>
          <w:szCs w:val="22"/>
          <w:lang w:val="es-ES_tradnl"/>
        </w:rPr>
        <w:t>iv</w:t>
      </w:r>
      <w:proofErr w:type="spellEnd"/>
      <w:r w:rsidRPr="00A572F4">
        <w:rPr>
          <w:rFonts w:ascii="Arial" w:eastAsia="Calibri" w:hAnsi="Arial" w:cs="Arial"/>
          <w:sz w:val="22"/>
          <w:szCs w:val="22"/>
          <w:lang w:val="es-ES_tradnl"/>
        </w:rPr>
        <w:t xml:space="preserve">) Establece que, en el reglamento, el gobierno nacional podría establecer condiciones preferenciales para los bienes y servicios producidos por las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sin perjuicio de los compromisos internacionales vigentes.</w:t>
      </w:r>
    </w:p>
    <w:p w14:paraId="33149EF1" w14:textId="77777777"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v)  Aclara que tanto las convocatorias limitadas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como las condiciones preferenciales a favor de los bienes y servicios producidos por estas, no es óbice para que deban cumplir las exigencias técnicas y económicas del proceso de selección.</w:t>
      </w:r>
    </w:p>
    <w:p w14:paraId="39224291" w14:textId="77777777"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vi) Señala que el reglamento que expida el gobierno nacional, además de las convocatorias limitadas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7260854C" w14:textId="77777777" w:rsidR="00AD1B10" w:rsidRPr="00A572F4" w:rsidRDefault="00AD1B10" w:rsidP="00AD1B10">
      <w:pPr>
        <w:spacing w:before="120" w:line="276" w:lineRule="auto"/>
        <w:ind w:firstLine="709"/>
        <w:jc w:val="both"/>
        <w:rPr>
          <w:rFonts w:ascii="Arial" w:eastAsia="Calibri" w:hAnsi="Arial" w:cs="Arial"/>
          <w:sz w:val="22"/>
          <w:szCs w:val="22"/>
          <w:lang w:val="es-ES_tradnl"/>
        </w:rPr>
      </w:pPr>
      <w:proofErr w:type="spellStart"/>
      <w:r w:rsidRPr="00A572F4">
        <w:rPr>
          <w:rFonts w:ascii="Arial" w:eastAsia="Calibri" w:hAnsi="Arial" w:cs="Arial"/>
          <w:sz w:val="22"/>
          <w:szCs w:val="22"/>
          <w:lang w:val="es-ES_tradnl"/>
        </w:rPr>
        <w:t>vii</w:t>
      </w:r>
      <w:proofErr w:type="spellEnd"/>
      <w:r w:rsidRPr="00A572F4">
        <w:rPr>
          <w:rFonts w:ascii="Arial" w:eastAsia="Calibri" w:hAnsi="Arial" w:cs="Arial"/>
          <w:sz w:val="22"/>
          <w:szCs w:val="22"/>
          <w:lang w:val="es-ES_tradnl"/>
        </w:rPr>
        <w:t xml:space="preserve">) Precisa que la posibilidad de participar en convocatorias limitadas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se encuentra condicionada a que estas acrediten como mínimo un año de existencia, con el certificado expedido por la cámara de comercio respectiva o por la autoridad que sea competente para ello.</w:t>
      </w:r>
    </w:p>
    <w:p w14:paraId="7BE69F87" w14:textId="77777777" w:rsidR="00AD1B10" w:rsidRPr="00A572F4" w:rsidRDefault="00AD1B10" w:rsidP="00AD1B10">
      <w:pPr>
        <w:spacing w:before="120" w:line="276" w:lineRule="auto"/>
        <w:ind w:firstLine="709"/>
        <w:jc w:val="both"/>
        <w:rPr>
          <w:rFonts w:ascii="Arial" w:eastAsia="Calibri" w:hAnsi="Arial" w:cs="Arial"/>
          <w:sz w:val="22"/>
          <w:szCs w:val="22"/>
          <w:lang w:val="es-ES_tradnl"/>
        </w:rPr>
      </w:pPr>
      <w:proofErr w:type="spellStart"/>
      <w:r w:rsidRPr="00A572F4">
        <w:rPr>
          <w:rFonts w:ascii="Arial" w:eastAsia="Calibri" w:hAnsi="Arial" w:cs="Arial"/>
          <w:sz w:val="22"/>
          <w:szCs w:val="22"/>
          <w:lang w:val="es-ES_tradnl"/>
        </w:rPr>
        <w:t>viii</w:t>
      </w:r>
      <w:proofErr w:type="spellEnd"/>
      <w:r w:rsidRPr="00A572F4">
        <w:rPr>
          <w:rFonts w:ascii="Arial" w:eastAsia="Calibri" w:hAnsi="Arial" w:cs="Arial"/>
          <w:sz w:val="22"/>
          <w:szCs w:val="22"/>
          <w:lang w:val="es-ES_tradnl"/>
        </w:rPr>
        <w:t>)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59830609" w14:textId="77777777"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A partir de lo anterior, el artículo 34 de la Ley 2069 de 2020 sustituyó íntegramente el contenido del artículo 12 de la Ley 1150 de 2007. En este sentido, frente a esta última </w:t>
      </w:r>
      <w:r w:rsidRPr="00A572F4">
        <w:rPr>
          <w:rFonts w:ascii="Arial" w:eastAsia="Calibri" w:hAnsi="Arial" w:cs="Arial"/>
          <w:sz w:val="22"/>
          <w:szCs w:val="22"/>
          <w:lang w:val="es-ES_tradnl"/>
        </w:rPr>
        <w:lastRenderedPageBreak/>
        <w:t xml:space="preserve">norma se produjo el fenómeno de la subrogación, el cual explica la Corte Constitucional en los siguientes términos: </w:t>
      </w:r>
    </w:p>
    <w:p w14:paraId="128B7B30" w14:textId="77777777" w:rsidR="00AD1B10" w:rsidRPr="00A572F4" w:rsidRDefault="00AD1B10" w:rsidP="00AD1B10">
      <w:pPr>
        <w:spacing w:line="276" w:lineRule="auto"/>
        <w:ind w:left="709" w:right="709"/>
        <w:jc w:val="both"/>
        <w:rPr>
          <w:rFonts w:ascii="Arial" w:eastAsia="Calibri" w:hAnsi="Arial" w:cs="Arial"/>
          <w:sz w:val="21"/>
          <w:szCs w:val="21"/>
          <w:lang w:val="es-ES_tradnl"/>
        </w:rPr>
      </w:pPr>
    </w:p>
    <w:p w14:paraId="0C0193D8" w14:textId="77777777" w:rsidR="00AD1B10" w:rsidRPr="00A572F4" w:rsidRDefault="00AD1B10" w:rsidP="00AD1B10">
      <w:pPr>
        <w:ind w:left="709" w:right="709"/>
        <w:jc w:val="both"/>
        <w:rPr>
          <w:rFonts w:ascii="Arial" w:eastAsia="Calibri" w:hAnsi="Arial" w:cs="Arial"/>
          <w:sz w:val="21"/>
          <w:szCs w:val="21"/>
          <w:lang w:val="es-ES_tradnl"/>
        </w:rPr>
      </w:pPr>
      <w:r w:rsidRPr="00A572F4">
        <w:rPr>
          <w:rFonts w:ascii="Arial" w:eastAsia="Calibri" w:hAnsi="Arial" w:cs="Arial"/>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A572F4">
        <w:rPr>
          <w:rStyle w:val="Refdenotaalpie"/>
          <w:rFonts w:ascii="Arial" w:eastAsia="Calibri" w:hAnsi="Arial" w:cs="Arial"/>
          <w:sz w:val="21"/>
          <w:szCs w:val="21"/>
          <w:lang w:val="es-ES_tradnl"/>
        </w:rPr>
        <w:footnoteReference w:id="20"/>
      </w:r>
      <w:r w:rsidRPr="00A572F4">
        <w:rPr>
          <w:rFonts w:ascii="Arial" w:eastAsia="Calibri" w:hAnsi="Arial" w:cs="Arial"/>
          <w:sz w:val="21"/>
          <w:szCs w:val="21"/>
          <w:lang w:val="es-ES_tradnl"/>
        </w:rPr>
        <w:t>.</w:t>
      </w:r>
    </w:p>
    <w:p w14:paraId="339169CF" w14:textId="77777777" w:rsidR="00AD1B10" w:rsidRPr="00A572F4" w:rsidRDefault="00AD1B10" w:rsidP="00AD1B10">
      <w:pPr>
        <w:spacing w:line="276" w:lineRule="auto"/>
        <w:ind w:firstLine="709"/>
        <w:jc w:val="both"/>
        <w:rPr>
          <w:rFonts w:ascii="Arial" w:eastAsia="Calibri" w:hAnsi="Arial" w:cs="Arial"/>
          <w:sz w:val="22"/>
          <w:szCs w:val="22"/>
          <w:lang w:val="es-ES_tradnl"/>
        </w:rPr>
      </w:pPr>
    </w:p>
    <w:p w14:paraId="6C9507B5" w14:textId="77777777" w:rsidR="00AD1B10" w:rsidRPr="00A572F4" w:rsidRDefault="00AD1B10" w:rsidP="00AD1B10">
      <w:pPr>
        <w:spacing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2C559EF8" w14:textId="77777777"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El artículo 12 de la Ley 1150 de 2007 fue subrogado por el artículo 34 de la Ley 2069 de 2020, porque este contiene una regulación diferente de la promoción del desarrollo en la contratación estatal. Además, en el primer inciso del artículo 34 de la Ley 2069 de 2020 dispone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6BC05F71" w14:textId="77777777"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En este orden de ideas, aunque el artículo 12 de la Ley 1150 de 2007 había sido modificado parcialmente por el artículo 3 de la Ley 2040 de 2020, que le había adicionado un parágrafo, también dicho parágrafo ha perdido su vigencia. En efecto, el artículo 3 de la Ley 2040 de 2020 dispuso: </w:t>
      </w:r>
    </w:p>
    <w:p w14:paraId="4E1A599A" w14:textId="77777777" w:rsidR="00AD1B10" w:rsidRPr="00A572F4" w:rsidRDefault="00AD1B10" w:rsidP="00AD1B10">
      <w:pPr>
        <w:ind w:left="709" w:right="709"/>
        <w:jc w:val="both"/>
        <w:rPr>
          <w:rFonts w:ascii="Arial" w:eastAsia="Calibri" w:hAnsi="Arial" w:cs="Arial"/>
          <w:sz w:val="21"/>
          <w:szCs w:val="21"/>
          <w:lang w:val="es-ES_tradnl"/>
        </w:rPr>
      </w:pPr>
    </w:p>
    <w:p w14:paraId="63EC43FB" w14:textId="77777777" w:rsidR="00AD1B10" w:rsidRPr="00A572F4" w:rsidRDefault="00AD1B10" w:rsidP="00AD1B10">
      <w:pPr>
        <w:ind w:left="709" w:right="709"/>
        <w:jc w:val="both"/>
        <w:rPr>
          <w:rFonts w:ascii="Arial" w:eastAsia="Calibri" w:hAnsi="Arial" w:cs="Arial"/>
          <w:sz w:val="21"/>
          <w:szCs w:val="21"/>
          <w:lang w:val="es-ES_tradnl"/>
        </w:rPr>
      </w:pPr>
      <w:r w:rsidRPr="00A572F4">
        <w:rPr>
          <w:rFonts w:ascii="Arial" w:eastAsia="Calibri" w:hAnsi="Arial" w:cs="Arial"/>
          <w:sz w:val="21"/>
          <w:szCs w:val="21"/>
          <w:lang w:val="es-ES_tradnl"/>
        </w:rPr>
        <w:t>Adiciónese un parágrafo al artículo 12 de la Ley 1150 de 2007:</w:t>
      </w:r>
    </w:p>
    <w:p w14:paraId="79F8E89E" w14:textId="77777777" w:rsidR="00AD1B10" w:rsidRPr="00A572F4" w:rsidRDefault="00AD1B10" w:rsidP="00AD1B10">
      <w:pPr>
        <w:ind w:right="709"/>
        <w:jc w:val="both"/>
        <w:rPr>
          <w:rFonts w:ascii="Arial" w:eastAsia="Calibri" w:hAnsi="Arial" w:cs="Arial"/>
          <w:sz w:val="21"/>
          <w:szCs w:val="21"/>
          <w:lang w:val="es-ES_tradnl"/>
        </w:rPr>
      </w:pPr>
    </w:p>
    <w:p w14:paraId="5D00FFF0" w14:textId="77777777" w:rsidR="00AD1B10" w:rsidRPr="00A572F4" w:rsidRDefault="00AD1B10" w:rsidP="00AD1B10">
      <w:pPr>
        <w:spacing w:after="120"/>
        <w:ind w:left="709" w:right="709"/>
        <w:jc w:val="both"/>
        <w:rPr>
          <w:rFonts w:ascii="Arial" w:eastAsia="Calibri" w:hAnsi="Arial" w:cs="Arial"/>
          <w:sz w:val="21"/>
          <w:szCs w:val="21"/>
          <w:lang w:val="es-ES_tradnl"/>
        </w:rPr>
      </w:pPr>
      <w:r w:rsidRPr="00A572F4">
        <w:rPr>
          <w:rFonts w:ascii="Arial" w:eastAsia="Calibri" w:hAnsi="Arial" w:cs="Arial"/>
          <w:sz w:val="21"/>
          <w:szCs w:val="21"/>
          <w:lang w:val="es-ES_tradnl"/>
        </w:rPr>
        <w:t xml:space="preserve">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w:t>
      </w:r>
      <w:r w:rsidRPr="00A572F4">
        <w:rPr>
          <w:rFonts w:ascii="Arial" w:eastAsia="Calibri" w:hAnsi="Arial" w:cs="Arial"/>
          <w:sz w:val="21"/>
          <w:szCs w:val="21"/>
          <w:lang w:val="es-ES_tradnl"/>
        </w:rPr>
        <w:lastRenderedPageBreak/>
        <w:t>sobrevivencia y que hayan cumplido el requisito de edad de pensión establecido en la Ley.</w:t>
      </w:r>
    </w:p>
    <w:p w14:paraId="0A6794D9" w14:textId="77777777" w:rsidR="00AD1B10" w:rsidRPr="00A572F4" w:rsidRDefault="00AD1B10" w:rsidP="00AD1B10">
      <w:pPr>
        <w:spacing w:after="120"/>
        <w:ind w:left="709" w:right="709"/>
        <w:jc w:val="both"/>
        <w:rPr>
          <w:rFonts w:ascii="Arial" w:eastAsia="Calibri" w:hAnsi="Arial" w:cs="Arial"/>
          <w:sz w:val="21"/>
          <w:szCs w:val="21"/>
          <w:lang w:val="es-ES_tradnl"/>
        </w:rPr>
      </w:pPr>
      <w:r w:rsidRPr="00A572F4">
        <w:rPr>
          <w:rFonts w:ascii="Arial" w:eastAsia="Calibri" w:hAnsi="Arial" w:cs="Arial"/>
          <w:sz w:val="21"/>
          <w:szCs w:val="21"/>
          <w:lang w:val="es-ES_tradnl"/>
        </w:rPr>
        <w:t xml:space="preserve">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w:t>
      </w:r>
      <w:proofErr w:type="gramStart"/>
      <w:r w:rsidRPr="00A572F4">
        <w:rPr>
          <w:rFonts w:ascii="Arial" w:eastAsia="Calibri" w:hAnsi="Arial" w:cs="Arial"/>
          <w:sz w:val="21"/>
          <w:szCs w:val="21"/>
          <w:lang w:val="es-ES_tradnl"/>
        </w:rPr>
        <w:t>la misma</w:t>
      </w:r>
      <w:proofErr w:type="gramEnd"/>
      <w:r w:rsidRPr="00A572F4">
        <w:rPr>
          <w:rFonts w:ascii="Arial" w:eastAsia="Calibri" w:hAnsi="Arial" w:cs="Arial"/>
          <w:sz w:val="21"/>
          <w:szCs w:val="21"/>
          <w:lang w:val="es-ES_tradnl"/>
        </w:rPr>
        <w:t>.</w:t>
      </w:r>
    </w:p>
    <w:p w14:paraId="42C60992" w14:textId="77777777" w:rsidR="00AD1B10" w:rsidRPr="00A572F4" w:rsidRDefault="00AD1B10" w:rsidP="00AD1B10">
      <w:pPr>
        <w:spacing w:after="120"/>
        <w:ind w:left="709" w:right="709"/>
        <w:jc w:val="both"/>
        <w:rPr>
          <w:rFonts w:ascii="Arial" w:eastAsia="Calibri" w:hAnsi="Arial" w:cs="Arial"/>
          <w:sz w:val="21"/>
          <w:szCs w:val="21"/>
          <w:lang w:val="es-ES_tradnl"/>
        </w:rPr>
      </w:pPr>
      <w:r w:rsidRPr="00A572F4">
        <w:rPr>
          <w:rFonts w:ascii="Arial" w:eastAsia="Calibri" w:hAnsi="Arial" w:cs="Arial"/>
          <w:sz w:val="21"/>
          <w:szCs w:val="21"/>
          <w:lang w:val="es-ES_tradnl"/>
        </w:rPr>
        <w:t>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w:t>
      </w:r>
    </w:p>
    <w:p w14:paraId="4269FD7B" w14:textId="77777777" w:rsidR="00AD1B10" w:rsidRPr="00A572F4" w:rsidRDefault="00AD1B10" w:rsidP="00AD1B10">
      <w:pPr>
        <w:ind w:left="709" w:right="709"/>
        <w:jc w:val="both"/>
        <w:rPr>
          <w:rFonts w:ascii="Arial" w:eastAsia="Calibri" w:hAnsi="Arial" w:cs="Arial"/>
          <w:sz w:val="21"/>
          <w:szCs w:val="21"/>
          <w:lang w:val="es-ES_tradnl"/>
        </w:rPr>
      </w:pPr>
      <w:r w:rsidRPr="00A572F4">
        <w:rPr>
          <w:rFonts w:ascii="Arial" w:eastAsia="Calibri" w:hAnsi="Arial" w:cs="Arial"/>
          <w:sz w:val="21"/>
          <w:szCs w:val="21"/>
          <w:lang w:val="es-ES_tradnl"/>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772E308C" w14:textId="77777777" w:rsidR="00AD1B10" w:rsidRPr="00A572F4" w:rsidRDefault="00AD1B10" w:rsidP="00AD1B10">
      <w:pPr>
        <w:spacing w:line="276" w:lineRule="auto"/>
        <w:ind w:firstLine="709"/>
        <w:jc w:val="both"/>
        <w:rPr>
          <w:rFonts w:ascii="Arial" w:eastAsia="Calibri" w:hAnsi="Arial" w:cs="Arial"/>
          <w:sz w:val="22"/>
          <w:szCs w:val="22"/>
          <w:lang w:val="es-ES_tradnl"/>
        </w:rPr>
      </w:pPr>
    </w:p>
    <w:p w14:paraId="42095508" w14:textId="77777777" w:rsidR="00AD1B10" w:rsidRPr="00A572F4" w:rsidRDefault="00AD1B10" w:rsidP="00AD1B10">
      <w:pPr>
        <w:spacing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El anterior texto, que según se indicó fue agregado al artículo 12 de la Ley 1150 de 2007 como parágrafo 4, también se ve afectado por el efecto de la subrogación producida por el artículo 34 de la Ley 2069 de 2020, porque en este artículo no dispone que se mantiene vigente el parágrafo citado. En otras palabras,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pues no está vigente.</w:t>
      </w:r>
    </w:p>
    <w:p w14:paraId="1ED32131" w14:textId="77777777"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Luego de explicar las reglas incluidas en la nueva regulación de la promoción del desarrollo en la contratación estatal, previstas en el artículo 34 de la Ley 2069 de 2020, y después de aclarar que dicha norma modificó el artículo 12 de la Ley 1150 de 2007, conviene preguntarse qué sucede con la vigencia del artículo 2.2.1.2.4.2.2 del Decreto 1082 de 2015, que, hasta la expedición de la Ley 2069 de 2020, regulaba las convocatorias limitadas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En opinión de esta Agencia, el artículo citado del Decreto reglamentario carece de vigencia, porque su contenido es contrario al del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24AD207B" w14:textId="77777777"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lastRenderedPageBreak/>
        <w:t xml:space="preserve">Si los decretos reglamentarios que profiere el </w:t>
      </w:r>
      <w:proofErr w:type="gramStart"/>
      <w:r w:rsidRPr="00A572F4">
        <w:rPr>
          <w:rFonts w:ascii="Arial" w:eastAsia="Calibri" w:hAnsi="Arial" w:cs="Arial"/>
          <w:sz w:val="22"/>
          <w:szCs w:val="22"/>
          <w:lang w:val="es-ES_tradnl"/>
        </w:rPr>
        <w:t>Presidente</w:t>
      </w:r>
      <w:proofErr w:type="gramEnd"/>
      <w:r w:rsidRPr="00A572F4">
        <w:rPr>
          <w:rFonts w:ascii="Arial" w:eastAsia="Calibri" w:hAnsi="Arial" w:cs="Arial"/>
          <w:sz w:val="22"/>
          <w:szCs w:val="22"/>
          <w:lang w:val="es-ES_tradnl"/>
        </w:rPr>
        <w:t xml:space="preserve"> de la República en ejercicio de la potestad que le confiere el artículo 189, numeral 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20C3D3B2" w14:textId="5D43050A"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Además de que el artículo 2.2.1.2.4.2.2 del Decreto 1082 de 2015 perdió el fundamento legal, su contenido es contrario al del nuevo artículo 12 de la Ley 1150 de 2007, modificado por el artículo 34 de la Ley 2069 de 2020. En efecto, este último artículo no consagra las mismas exigencias para las convocatorias limitadas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Concretamente, no incluye todos los requisitos que, hasta la </w:t>
      </w:r>
      <w:proofErr w:type="gramStart"/>
      <w:r w:rsidRPr="00A572F4">
        <w:rPr>
          <w:rFonts w:ascii="Arial" w:eastAsia="Calibri" w:hAnsi="Arial" w:cs="Arial"/>
          <w:sz w:val="22"/>
          <w:szCs w:val="22"/>
          <w:lang w:val="es-ES_tradnl"/>
        </w:rPr>
        <w:t>entrada en vigencia</w:t>
      </w:r>
      <w:proofErr w:type="gramEnd"/>
      <w:r w:rsidRPr="00A572F4">
        <w:rPr>
          <w:rFonts w:ascii="Arial" w:eastAsia="Calibri" w:hAnsi="Arial" w:cs="Arial"/>
          <w:sz w:val="22"/>
          <w:szCs w:val="22"/>
          <w:lang w:val="es-ES_tradnl"/>
        </w:rPr>
        <w:t xml:space="preserve"> de la Ley 2069 de 2020, establecía el artículo 2.2.1.2.4.2.2 del Decreto 1082 de 2015. Esta norma indicaba en su primer inciso que la entidad estatal solo podía limitar la convocatoria a las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nacionales si se trataba de procesos de selección de licitación pública, selección abreviada y concursos de méritos. Por su parte, tal restricción no se encuentra en el artículo 34 de la Ley 2069 de 2020.</w:t>
      </w:r>
    </w:p>
    <w:p w14:paraId="139D124F" w14:textId="6F2540DF"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Adicionalmente, el numeral 1 del artículo 2.2.1.2.4.2.2 del Decreto 1082 de 2015 exigía que el valor del proceso de contratación en el que pretendiera limitarse la convocatoria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fuera «[…] menor a ciento veinticinco mil dólares de los Estados Unidos de América (US$125.000), liquidados con la tasa de cambio que para el efecto determina cada dos años el Ministerio de Comercio, Industria y Turismo». Este requisito tampoco se observa en el artículo 34 de la Ley 2069 de 2020.</w:t>
      </w:r>
    </w:p>
    <w:p w14:paraId="0BD40E7C" w14:textId="0336AEF7"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A lo anterior debe agregarse que mientras la nueva disposición legal indica que la convocatoria limitada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debe hacerse cuando por lo menos </w:t>
      </w:r>
      <w:r w:rsidRPr="00A572F4">
        <w:rPr>
          <w:rFonts w:ascii="Arial" w:eastAsia="Calibri" w:hAnsi="Arial" w:cs="Arial"/>
          <w:i/>
          <w:iCs/>
          <w:sz w:val="22"/>
          <w:szCs w:val="22"/>
          <w:lang w:val="es-ES_tradnl"/>
        </w:rPr>
        <w:t>dos (2)</w:t>
      </w:r>
      <w:r w:rsidRPr="00A572F4">
        <w:rPr>
          <w:rFonts w:ascii="Arial" w:eastAsia="Calibri" w:hAnsi="Arial" w:cs="Arial"/>
          <w:sz w:val="22"/>
          <w:szCs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A572F4">
        <w:rPr>
          <w:rFonts w:ascii="Arial" w:eastAsia="Calibri" w:hAnsi="Arial" w:cs="Arial"/>
          <w:i/>
          <w:iCs/>
          <w:sz w:val="22"/>
          <w:szCs w:val="22"/>
          <w:lang w:val="es-ES_tradnl"/>
        </w:rPr>
        <w:t>tres (3)</w:t>
      </w:r>
      <w:r w:rsidRPr="00A572F4">
        <w:rPr>
          <w:rFonts w:ascii="Arial" w:eastAsia="Calibri" w:hAnsi="Arial" w:cs="Arial"/>
          <w:sz w:val="22"/>
          <w:szCs w:val="22"/>
          <w:lang w:val="es-ES_tradnl"/>
        </w:rPr>
        <w:t xml:space="preserve">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a más tardar un día hábil antes de la apertura del proceso de selección.</w:t>
      </w:r>
    </w:p>
    <w:p w14:paraId="613C5DD9" w14:textId="63E2E842"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Las diferencias evidenciadas son suficientes para </w:t>
      </w:r>
      <w:r w:rsidR="00EC76EA">
        <w:rPr>
          <w:rFonts w:ascii="Arial" w:eastAsia="Calibri" w:hAnsi="Arial" w:cs="Arial"/>
          <w:sz w:val="22"/>
          <w:szCs w:val="22"/>
          <w:lang w:val="es-ES_tradnl"/>
        </w:rPr>
        <w:t>de</w:t>
      </w:r>
      <w:r w:rsidRPr="00A572F4">
        <w:rPr>
          <w:rFonts w:ascii="Arial" w:eastAsia="Calibri" w:hAnsi="Arial" w:cs="Arial"/>
          <w:sz w:val="22"/>
          <w:szCs w:val="22"/>
          <w:lang w:val="es-ES_tradnl"/>
        </w:rPr>
        <w:t xml:space="preserve">mostrar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debe </w:t>
      </w:r>
      <w:r w:rsidRPr="00A572F4">
        <w:rPr>
          <w:rFonts w:ascii="Arial" w:eastAsia="Calibri" w:hAnsi="Arial" w:cs="Arial"/>
          <w:sz w:val="22"/>
          <w:szCs w:val="22"/>
          <w:lang w:val="es-ES_tradnl"/>
        </w:rPr>
        <w:lastRenderedPageBreak/>
        <w:t xml:space="preserve">aplicarse la consecuencia jurídica prevista en el artículo 84 de la Ley 2069 de 2020, según la cual </w:t>
      </w:r>
      <w:proofErr w:type="spellStart"/>
      <w:r w:rsidRPr="00A572F4">
        <w:rPr>
          <w:rFonts w:ascii="Arial" w:eastAsia="Calibri" w:hAnsi="Arial" w:cs="Arial"/>
          <w:sz w:val="22"/>
          <w:szCs w:val="22"/>
          <w:lang w:val="es-ES_tradnl"/>
        </w:rPr>
        <w:t>esta</w:t>
      </w:r>
      <w:proofErr w:type="spellEnd"/>
      <w:r w:rsidRPr="00A572F4">
        <w:rPr>
          <w:rFonts w:ascii="Arial" w:eastAsia="Calibri" w:hAnsi="Arial" w:cs="Arial"/>
          <w:sz w:val="22"/>
          <w:szCs w:val="22"/>
          <w:lang w:val="es-ES_tradnl"/>
        </w:rPr>
        <w:t xml:space="preserve"> «deroga […] todas las disposiciones que le sean contrarias». Entonces, además del decaimiento del artículo 2.2.1.2.4.2.2. del Decreto 1082 de 2015, debe entenderse que esta norma está derogada.</w:t>
      </w:r>
    </w:p>
    <w:p w14:paraId="63E92D83" w14:textId="6184B6B4" w:rsidR="00AD1B10" w:rsidRPr="00A572F4" w:rsidRDefault="00AD1B10" w:rsidP="00AD1B10">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Por último, no es válido </w:t>
      </w:r>
      <w:r w:rsidR="00F13417">
        <w:rPr>
          <w:rFonts w:ascii="Arial" w:eastAsia="Calibri" w:hAnsi="Arial" w:cs="Arial"/>
          <w:sz w:val="22"/>
          <w:szCs w:val="22"/>
          <w:lang w:val="es-ES_tradnl"/>
        </w:rPr>
        <w:t>argumentar</w:t>
      </w:r>
      <w:r w:rsidR="00F13417" w:rsidRPr="00A572F4">
        <w:rPr>
          <w:rFonts w:ascii="Arial" w:eastAsia="Calibri" w:hAnsi="Arial" w:cs="Arial"/>
          <w:sz w:val="22"/>
          <w:szCs w:val="22"/>
          <w:lang w:val="es-ES_tradnl"/>
        </w:rPr>
        <w:t xml:space="preserve"> </w:t>
      </w:r>
      <w:r w:rsidRPr="00A572F4">
        <w:rPr>
          <w:rFonts w:ascii="Arial" w:eastAsia="Calibri" w:hAnsi="Arial" w:cs="Arial"/>
          <w:sz w:val="22"/>
          <w:szCs w:val="22"/>
          <w:lang w:val="es-ES_tradnl"/>
        </w:rPr>
        <w:t xml:space="preserve">que los apartados normativos del artículo 2.2.1.2.4.2.2. del Decreto 1082 de 2015 que, en su texto, no sean contrarios a la nueva regulación contenida en el artículo 34 de la Ley 2069 de 2020 pueden seguirse aplicando. Esta afirmación no es admisible, porque el artículo 34, reiteradamente, </w:t>
      </w:r>
      <w:r w:rsidR="00755732">
        <w:rPr>
          <w:rFonts w:ascii="Arial" w:eastAsia="Calibri" w:hAnsi="Arial" w:cs="Arial"/>
          <w:sz w:val="22"/>
          <w:szCs w:val="22"/>
          <w:lang w:val="es-ES_tradnl"/>
        </w:rPr>
        <w:t>dispone</w:t>
      </w:r>
      <w:r w:rsidR="00755732" w:rsidRPr="00A572F4">
        <w:rPr>
          <w:rFonts w:ascii="Arial" w:eastAsia="Calibri" w:hAnsi="Arial" w:cs="Arial"/>
          <w:sz w:val="22"/>
          <w:szCs w:val="22"/>
          <w:lang w:val="es-ES_tradnl"/>
        </w:rPr>
        <w:t xml:space="preserve"> </w:t>
      </w:r>
      <w:r w:rsidRPr="00A572F4">
        <w:rPr>
          <w:rFonts w:ascii="Arial" w:eastAsia="Calibri" w:hAnsi="Arial" w:cs="Arial"/>
          <w:sz w:val="22"/>
          <w:szCs w:val="22"/>
          <w:lang w:val="es-ES_tradnl"/>
        </w:rPr>
        <w:t xml:space="preserve">que el gobierno nacional debe definir las condiciones para la aplicación de las reglas recientemente expedidas, que permitan llevar a cabo las convocatorias limitadas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lo cual demuestra la voluntad legislativa de establecer la necesidad de una nueva reglamentación de la materia. En tal sentido, el gobierno nacional podría, mediante el decreto reglamentario que expida, definir nuevas condiciones y montos para las convocatorias limitadas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pues al tenor del artículo 34 de la Ley 2069 de 2020, la eficacia de esta norma quedó condicionada a la expedición del decreto reglamentario que fije las condiciones de su operatividad.    </w:t>
      </w:r>
    </w:p>
    <w:p w14:paraId="4712F150" w14:textId="77777777" w:rsidR="00AD1B10" w:rsidRPr="00A572F4" w:rsidRDefault="00AD1B10" w:rsidP="00EB2ED0">
      <w:pPr>
        <w:tabs>
          <w:tab w:val="left" w:pos="709"/>
        </w:tabs>
        <w:spacing w:line="276" w:lineRule="auto"/>
        <w:jc w:val="both"/>
        <w:rPr>
          <w:rFonts w:ascii="Arial" w:eastAsia="Calibri" w:hAnsi="Arial" w:cs="Arial"/>
          <w:b/>
          <w:sz w:val="22"/>
        </w:rPr>
      </w:pPr>
    </w:p>
    <w:bookmarkEnd w:id="12"/>
    <w:p w14:paraId="0B4D89AB" w14:textId="05D582A6" w:rsidR="00DF071C" w:rsidRPr="00A572F4" w:rsidRDefault="00DF071C" w:rsidP="00EB2ED0">
      <w:pPr>
        <w:pStyle w:val="NormalWeb"/>
        <w:spacing w:before="0" w:beforeAutospacing="0" w:after="0" w:afterAutospacing="0" w:line="276" w:lineRule="auto"/>
        <w:jc w:val="both"/>
        <w:rPr>
          <w:rFonts w:ascii="Arial" w:eastAsia="Calibri" w:hAnsi="Arial" w:cs="Arial"/>
          <w:sz w:val="22"/>
          <w:szCs w:val="22"/>
          <w:lang w:val="es-ES_tradnl"/>
        </w:rPr>
      </w:pPr>
      <w:r w:rsidRPr="00A572F4">
        <w:rPr>
          <w:rFonts w:ascii="Arial" w:eastAsia="Calibri" w:hAnsi="Arial" w:cs="Arial"/>
          <w:b/>
          <w:bCs/>
          <w:sz w:val="22"/>
          <w:szCs w:val="22"/>
          <w:lang w:val="es-ES_tradnl"/>
        </w:rPr>
        <w:t>2.</w:t>
      </w:r>
      <w:r w:rsidR="007D12EC" w:rsidRPr="00A572F4">
        <w:rPr>
          <w:rFonts w:ascii="Arial" w:eastAsia="Calibri" w:hAnsi="Arial" w:cs="Arial"/>
          <w:b/>
          <w:bCs/>
          <w:sz w:val="22"/>
          <w:szCs w:val="22"/>
          <w:lang w:val="es-ES_tradnl"/>
        </w:rPr>
        <w:t>4</w:t>
      </w:r>
      <w:r w:rsidRPr="00A572F4">
        <w:rPr>
          <w:rFonts w:ascii="Arial" w:eastAsia="Calibri" w:hAnsi="Arial" w:cs="Arial"/>
          <w:b/>
          <w:bCs/>
          <w:sz w:val="22"/>
          <w:szCs w:val="22"/>
          <w:lang w:val="es-ES_tradnl"/>
        </w:rPr>
        <w:t>.</w:t>
      </w:r>
      <w:r w:rsidR="004B3152" w:rsidRPr="00A572F4">
        <w:rPr>
          <w:rFonts w:ascii="Arial" w:eastAsia="Calibri" w:hAnsi="Arial" w:cs="Arial"/>
          <w:sz w:val="22"/>
          <w:szCs w:val="22"/>
          <w:lang w:val="es-ES_tradnl"/>
        </w:rPr>
        <w:t xml:space="preserve"> </w:t>
      </w:r>
      <w:r w:rsidR="00F64CE7" w:rsidRPr="00A572F4">
        <w:rPr>
          <w:rFonts w:ascii="Arial" w:eastAsia="Calibri" w:hAnsi="Arial" w:cs="Arial"/>
          <w:b/>
          <w:bCs/>
          <w:sz w:val="22"/>
          <w:szCs w:val="22"/>
          <w:lang w:val="es-ES_tradnl"/>
        </w:rPr>
        <w:t>Aplicabilidad de los factores de desempate del artículo 35 de la Ley 2069 de 2015 a</w:t>
      </w:r>
      <w:r w:rsidR="00175DC6" w:rsidRPr="00A572F4">
        <w:rPr>
          <w:rFonts w:ascii="Arial" w:eastAsia="Calibri" w:hAnsi="Arial" w:cs="Arial"/>
          <w:b/>
          <w:bCs/>
          <w:sz w:val="22"/>
          <w:szCs w:val="22"/>
          <w:lang w:val="es-ES_tradnl"/>
        </w:rPr>
        <w:t xml:space="preserve"> </w:t>
      </w:r>
      <w:r w:rsidR="00F64CE7" w:rsidRPr="00A572F4">
        <w:rPr>
          <w:rFonts w:ascii="Arial" w:eastAsia="Calibri" w:hAnsi="Arial" w:cs="Arial"/>
          <w:b/>
          <w:bCs/>
          <w:sz w:val="22"/>
          <w:szCs w:val="22"/>
          <w:lang w:val="es-ES_tradnl"/>
        </w:rPr>
        <w:t>l</w:t>
      </w:r>
      <w:r w:rsidR="00175DC6" w:rsidRPr="00A572F4">
        <w:rPr>
          <w:rFonts w:ascii="Arial" w:eastAsia="Calibri" w:hAnsi="Arial" w:cs="Arial"/>
          <w:b/>
          <w:bCs/>
          <w:sz w:val="22"/>
          <w:szCs w:val="22"/>
          <w:lang w:val="es-ES_tradnl"/>
        </w:rPr>
        <w:t>os</w:t>
      </w:r>
      <w:r w:rsidR="00F64CE7" w:rsidRPr="00A572F4">
        <w:rPr>
          <w:rFonts w:ascii="Arial" w:eastAsia="Calibri" w:hAnsi="Arial" w:cs="Arial"/>
          <w:b/>
          <w:bCs/>
          <w:sz w:val="22"/>
          <w:szCs w:val="22"/>
          <w:lang w:val="es-ES_tradnl"/>
        </w:rPr>
        <w:t xml:space="preserve"> </w:t>
      </w:r>
      <w:r w:rsidR="00FA4B97" w:rsidRPr="00A572F4">
        <w:rPr>
          <w:rFonts w:ascii="Arial" w:eastAsia="Calibri" w:hAnsi="Arial" w:cs="Arial"/>
          <w:b/>
          <w:bCs/>
          <w:sz w:val="22"/>
          <w:szCs w:val="22"/>
          <w:lang w:val="es-ES_tradnl"/>
        </w:rPr>
        <w:t>procedimiento</w:t>
      </w:r>
      <w:r w:rsidR="00175DC6" w:rsidRPr="00A572F4">
        <w:rPr>
          <w:rFonts w:ascii="Arial" w:eastAsia="Calibri" w:hAnsi="Arial" w:cs="Arial"/>
          <w:b/>
          <w:bCs/>
          <w:sz w:val="22"/>
          <w:szCs w:val="22"/>
          <w:lang w:val="es-ES_tradnl"/>
        </w:rPr>
        <w:t>s</w:t>
      </w:r>
      <w:r w:rsidR="00FA4B97" w:rsidRPr="00A572F4">
        <w:rPr>
          <w:rFonts w:ascii="Arial" w:eastAsia="Calibri" w:hAnsi="Arial" w:cs="Arial"/>
          <w:b/>
          <w:bCs/>
          <w:sz w:val="22"/>
          <w:szCs w:val="22"/>
          <w:lang w:val="es-ES_tradnl"/>
        </w:rPr>
        <w:t xml:space="preserve"> de</w:t>
      </w:r>
      <w:r w:rsidR="00175DC6" w:rsidRPr="00A572F4">
        <w:rPr>
          <w:rFonts w:ascii="Arial" w:eastAsia="Calibri" w:hAnsi="Arial" w:cs="Arial"/>
          <w:b/>
          <w:bCs/>
          <w:sz w:val="22"/>
          <w:szCs w:val="22"/>
          <w:lang w:val="es-ES_tradnl"/>
        </w:rPr>
        <w:t xml:space="preserve"> subasta inversa y</w:t>
      </w:r>
      <w:r w:rsidR="00FA4B97" w:rsidRPr="00A572F4">
        <w:rPr>
          <w:rFonts w:ascii="Arial" w:eastAsia="Calibri" w:hAnsi="Arial" w:cs="Arial"/>
          <w:b/>
          <w:bCs/>
          <w:sz w:val="22"/>
          <w:szCs w:val="22"/>
          <w:lang w:val="es-ES_tradnl"/>
        </w:rPr>
        <w:t xml:space="preserve"> mínima cuantía</w:t>
      </w:r>
      <w:r w:rsidR="00175DC6" w:rsidRPr="00A572F4">
        <w:rPr>
          <w:rFonts w:ascii="Arial" w:eastAsia="Calibri" w:hAnsi="Arial" w:cs="Arial"/>
          <w:b/>
          <w:bCs/>
          <w:sz w:val="22"/>
          <w:szCs w:val="22"/>
          <w:lang w:val="es-ES_tradnl"/>
        </w:rPr>
        <w:t>.</w:t>
      </w:r>
      <w:r w:rsidR="005502B3" w:rsidRPr="00A572F4">
        <w:rPr>
          <w:rFonts w:ascii="Arial" w:eastAsia="Calibri" w:hAnsi="Arial" w:cs="Arial"/>
          <w:b/>
          <w:bCs/>
          <w:sz w:val="22"/>
          <w:szCs w:val="22"/>
          <w:lang w:val="es-ES_tradnl"/>
        </w:rPr>
        <w:t xml:space="preserve"> </w:t>
      </w:r>
    </w:p>
    <w:p w14:paraId="3ED00351" w14:textId="7B8ECDBB" w:rsidR="00682314" w:rsidRPr="00A572F4" w:rsidRDefault="00682314" w:rsidP="00EB2ED0">
      <w:pPr>
        <w:pStyle w:val="NormalWeb"/>
        <w:spacing w:before="0" w:beforeAutospacing="0" w:after="0" w:afterAutospacing="0" w:line="276" w:lineRule="auto"/>
        <w:jc w:val="both"/>
        <w:rPr>
          <w:rFonts w:ascii="Arial" w:eastAsia="Calibri" w:hAnsi="Arial" w:cs="Arial"/>
          <w:sz w:val="22"/>
          <w:szCs w:val="22"/>
          <w:lang w:val="es-ES_tradnl"/>
        </w:rPr>
      </w:pPr>
    </w:p>
    <w:p w14:paraId="6341A596" w14:textId="5D1C9913" w:rsidR="00A62B6D" w:rsidRPr="00A572F4" w:rsidRDefault="007D12EC" w:rsidP="00B97B5E">
      <w:pPr>
        <w:spacing w:line="276" w:lineRule="auto"/>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El artículo 2.2.1.2.1.2.2 del Decreto 1082 de 2015 regulan el procedimiento aplicable para el mecanismo de subasta inversa, en el marco de la modalidad de selección abreviada para la </w:t>
      </w:r>
      <w:r w:rsidRPr="00A572F4">
        <w:rPr>
          <w:rFonts w:ascii="Arial" w:eastAsia="Calibri" w:hAnsi="Arial" w:cs="Arial"/>
          <w:sz w:val="22"/>
          <w:szCs w:val="22"/>
          <w:lang w:val="es-ES_tradnl" w:eastAsia="es-CO"/>
        </w:rPr>
        <w:t>adquisición de bienes y servicios de características técnicas uniformes, regulando en su numeral 9 un factor de desempate aplicable a este procedimiento, según el cual debe preferirse al oferente que presentó el menor precio inicial</w:t>
      </w:r>
      <w:r w:rsidR="00B97B5E" w:rsidRPr="00A572F4">
        <w:rPr>
          <w:rFonts w:ascii="Arial" w:eastAsia="Calibri" w:hAnsi="Arial" w:cs="Arial"/>
          <w:sz w:val="22"/>
          <w:szCs w:val="22"/>
          <w:lang w:val="es-ES_tradnl" w:eastAsia="es-CO"/>
        </w:rPr>
        <w:t xml:space="preserve">, y de persistir el empate se deben aplicarse los factores de desempate de los numerales 1 a 5 del artículo 2.2.1.1.2.2.9 del Decreto 1082 de 2015. Por su parte, </w:t>
      </w:r>
      <w:r w:rsidR="00B97B5E" w:rsidRPr="00A572F4">
        <w:rPr>
          <w:rFonts w:ascii="Arial" w:eastAsia="Calibri" w:hAnsi="Arial" w:cs="Arial"/>
          <w:sz w:val="22"/>
          <w:szCs w:val="22"/>
          <w:lang w:val="es-ES_tradnl"/>
        </w:rPr>
        <w:t>e</w:t>
      </w:r>
      <w:r w:rsidR="000C1D5C" w:rsidRPr="00A572F4">
        <w:rPr>
          <w:rFonts w:ascii="Arial" w:eastAsia="Calibri" w:hAnsi="Arial" w:cs="Arial"/>
          <w:sz w:val="22"/>
          <w:szCs w:val="22"/>
          <w:lang w:val="es-ES_tradnl"/>
        </w:rPr>
        <w:t>l numeral 7 del artículo 2.2.1.2.1.5.2 del Decreto 1082 de 2015</w:t>
      </w:r>
      <w:r w:rsidR="00B97B5E" w:rsidRPr="00A572F4">
        <w:rPr>
          <w:rFonts w:ascii="Arial" w:eastAsia="Calibri" w:hAnsi="Arial" w:cs="Arial"/>
          <w:sz w:val="22"/>
          <w:szCs w:val="22"/>
          <w:lang w:val="es-ES_tradnl"/>
        </w:rPr>
        <w:t>,</w:t>
      </w:r>
      <w:r w:rsidR="000C1D5C" w:rsidRPr="00A572F4">
        <w:rPr>
          <w:rFonts w:ascii="Arial" w:eastAsia="Calibri" w:hAnsi="Arial" w:cs="Arial"/>
          <w:sz w:val="22"/>
          <w:szCs w:val="22"/>
          <w:lang w:val="es-ES_tradnl"/>
        </w:rPr>
        <w:t xml:space="preserve"> consagra un criterio de desempate especial para la modalidad de selección de mínima cuantía, </w:t>
      </w:r>
      <w:r w:rsidR="001E2452" w:rsidRPr="00A572F4">
        <w:rPr>
          <w:rFonts w:ascii="Arial" w:eastAsia="Calibri" w:hAnsi="Arial" w:cs="Arial"/>
          <w:sz w:val="22"/>
          <w:szCs w:val="22"/>
          <w:lang w:val="es-ES_tradnl"/>
        </w:rPr>
        <w:t xml:space="preserve">el cual </w:t>
      </w:r>
      <w:r w:rsidR="000C1D5C" w:rsidRPr="00A572F4">
        <w:rPr>
          <w:rFonts w:ascii="Arial" w:eastAsia="Calibri" w:hAnsi="Arial" w:cs="Arial"/>
          <w:sz w:val="22"/>
          <w:szCs w:val="22"/>
          <w:lang w:val="es-ES_tradnl"/>
        </w:rPr>
        <w:t>consiste en el deber de preferir</w:t>
      </w:r>
      <w:r w:rsidR="001E2452" w:rsidRPr="00A572F4">
        <w:rPr>
          <w:rFonts w:ascii="Arial" w:eastAsia="Calibri" w:hAnsi="Arial" w:cs="Arial"/>
          <w:sz w:val="22"/>
          <w:szCs w:val="22"/>
          <w:lang w:val="es-ES_tradnl"/>
        </w:rPr>
        <w:t xml:space="preserve"> </w:t>
      </w:r>
      <w:r w:rsidR="000C1D5C" w:rsidRPr="00A572F4">
        <w:rPr>
          <w:rFonts w:ascii="Arial" w:eastAsia="Calibri" w:hAnsi="Arial" w:cs="Arial"/>
          <w:sz w:val="22"/>
          <w:szCs w:val="22"/>
          <w:lang w:val="es-ES_tradnl"/>
        </w:rPr>
        <w:t xml:space="preserve">la oferta </w:t>
      </w:r>
      <w:r w:rsidR="00C7541F" w:rsidRPr="00A572F4">
        <w:rPr>
          <w:rFonts w:ascii="Arial" w:eastAsia="Calibri" w:hAnsi="Arial" w:cs="Arial"/>
          <w:sz w:val="22"/>
          <w:szCs w:val="22"/>
          <w:lang w:val="es-ES_tradnl"/>
        </w:rPr>
        <w:t>que presentada primero en el tiempo</w:t>
      </w:r>
      <w:r w:rsidR="000C1D5C" w:rsidRPr="00A572F4">
        <w:rPr>
          <w:rFonts w:ascii="Arial" w:eastAsia="Calibri" w:hAnsi="Arial" w:cs="Arial"/>
          <w:sz w:val="22"/>
          <w:szCs w:val="22"/>
          <w:lang w:val="es-ES_tradnl"/>
        </w:rPr>
        <w:t>.</w:t>
      </w:r>
      <w:r w:rsidR="00A62B6D" w:rsidRPr="00A572F4">
        <w:rPr>
          <w:rFonts w:ascii="Arial" w:eastAsia="Calibri" w:hAnsi="Arial" w:cs="Arial"/>
          <w:sz w:val="22"/>
          <w:szCs w:val="22"/>
          <w:lang w:val="es-ES_tradnl"/>
        </w:rPr>
        <w:t xml:space="preserve"> </w:t>
      </w:r>
      <w:r w:rsidR="00465F67" w:rsidRPr="00A572F4">
        <w:rPr>
          <w:rFonts w:ascii="Arial" w:eastAsia="Calibri" w:hAnsi="Arial" w:cs="Arial"/>
          <w:sz w:val="22"/>
          <w:szCs w:val="22"/>
          <w:lang w:val="es-ES_tradnl"/>
        </w:rPr>
        <w:t xml:space="preserve">Para </w:t>
      </w:r>
      <w:r w:rsidR="00C7541F" w:rsidRPr="00A572F4">
        <w:rPr>
          <w:rFonts w:ascii="Arial" w:eastAsia="Calibri" w:hAnsi="Arial" w:cs="Arial"/>
          <w:sz w:val="22"/>
          <w:szCs w:val="22"/>
          <w:lang w:val="es-ES_tradnl"/>
        </w:rPr>
        <w:t>determinar si está</w:t>
      </w:r>
      <w:r w:rsidR="00170D2F">
        <w:rPr>
          <w:rFonts w:ascii="Arial" w:eastAsia="Calibri" w:hAnsi="Arial" w:cs="Arial"/>
          <w:sz w:val="22"/>
          <w:szCs w:val="22"/>
          <w:lang w:val="es-ES_tradnl"/>
        </w:rPr>
        <w:t>n</w:t>
      </w:r>
      <w:r w:rsidR="00C7541F" w:rsidRPr="00A572F4">
        <w:rPr>
          <w:rFonts w:ascii="Arial" w:eastAsia="Calibri" w:hAnsi="Arial" w:cs="Arial"/>
          <w:sz w:val="22"/>
          <w:szCs w:val="22"/>
          <w:lang w:val="es-ES_tradnl"/>
        </w:rPr>
        <w:t xml:space="preserve"> vigente</w:t>
      </w:r>
      <w:r w:rsidR="00170D2F">
        <w:rPr>
          <w:rFonts w:ascii="Arial" w:eastAsia="Calibri" w:hAnsi="Arial" w:cs="Arial"/>
          <w:sz w:val="22"/>
          <w:szCs w:val="22"/>
          <w:lang w:val="es-ES_tradnl"/>
        </w:rPr>
        <w:t>s</w:t>
      </w:r>
      <w:r w:rsidR="00C7541F" w:rsidRPr="00A572F4">
        <w:rPr>
          <w:rFonts w:ascii="Arial" w:eastAsia="Calibri" w:hAnsi="Arial" w:cs="Arial"/>
          <w:sz w:val="22"/>
          <w:szCs w:val="22"/>
          <w:lang w:val="es-ES_tradnl"/>
        </w:rPr>
        <w:t xml:space="preserve"> est</w:t>
      </w:r>
      <w:r w:rsidR="00170D2F">
        <w:rPr>
          <w:rFonts w:ascii="Arial" w:eastAsia="Calibri" w:hAnsi="Arial" w:cs="Arial"/>
          <w:sz w:val="22"/>
          <w:szCs w:val="22"/>
          <w:lang w:val="es-ES_tradnl"/>
        </w:rPr>
        <w:t>os</w:t>
      </w:r>
      <w:r w:rsidR="00465F67" w:rsidRPr="00A572F4">
        <w:rPr>
          <w:rFonts w:ascii="Arial" w:eastAsia="Calibri" w:hAnsi="Arial" w:cs="Arial"/>
          <w:sz w:val="22"/>
          <w:szCs w:val="22"/>
          <w:lang w:val="es-ES_tradnl"/>
        </w:rPr>
        <w:t xml:space="preserve"> numeral</w:t>
      </w:r>
      <w:r w:rsidR="00170D2F">
        <w:rPr>
          <w:rFonts w:ascii="Arial" w:eastAsia="Calibri" w:hAnsi="Arial" w:cs="Arial"/>
          <w:sz w:val="22"/>
          <w:szCs w:val="22"/>
          <w:lang w:val="es-ES_tradnl"/>
        </w:rPr>
        <w:t>es</w:t>
      </w:r>
      <w:r w:rsidR="00465F67" w:rsidRPr="00A572F4">
        <w:rPr>
          <w:rFonts w:ascii="Arial" w:eastAsia="Calibri" w:hAnsi="Arial" w:cs="Arial"/>
          <w:sz w:val="22"/>
          <w:szCs w:val="22"/>
          <w:lang w:val="es-ES_tradnl"/>
        </w:rPr>
        <w:t xml:space="preserve">, es indispensable </w:t>
      </w:r>
      <w:r w:rsidR="0081082C" w:rsidRPr="00A572F4">
        <w:rPr>
          <w:rFonts w:ascii="Arial" w:eastAsia="Calibri" w:hAnsi="Arial" w:cs="Arial"/>
          <w:sz w:val="22"/>
          <w:szCs w:val="22"/>
          <w:lang w:val="es-ES_tradnl"/>
        </w:rPr>
        <w:t>considerar</w:t>
      </w:r>
      <w:r w:rsidR="00465F67" w:rsidRPr="00A572F4">
        <w:rPr>
          <w:rFonts w:ascii="Arial" w:eastAsia="Calibri" w:hAnsi="Arial" w:cs="Arial"/>
          <w:sz w:val="22"/>
          <w:szCs w:val="22"/>
          <w:lang w:val="es-ES_tradnl"/>
        </w:rPr>
        <w:t xml:space="preserve"> </w:t>
      </w:r>
      <w:r w:rsidR="00466C74" w:rsidRPr="00A572F4">
        <w:rPr>
          <w:rFonts w:ascii="Arial" w:eastAsia="Calibri" w:hAnsi="Arial" w:cs="Arial"/>
          <w:sz w:val="22"/>
          <w:szCs w:val="22"/>
          <w:lang w:val="es-ES_tradnl"/>
        </w:rPr>
        <w:t xml:space="preserve">que el artículo 35 de la Ley 2069 de 2020 </w:t>
      </w:r>
      <w:r w:rsidR="00C7541F" w:rsidRPr="00A572F4">
        <w:rPr>
          <w:rFonts w:ascii="Arial" w:eastAsia="Calibri" w:hAnsi="Arial" w:cs="Arial"/>
          <w:sz w:val="22"/>
          <w:szCs w:val="22"/>
          <w:lang w:val="es-ES_tradnl"/>
        </w:rPr>
        <w:t>regula</w:t>
      </w:r>
      <w:r w:rsidR="00466C74" w:rsidRPr="00A572F4">
        <w:rPr>
          <w:rFonts w:ascii="Arial" w:eastAsia="Calibri" w:hAnsi="Arial" w:cs="Arial"/>
          <w:sz w:val="22"/>
          <w:szCs w:val="22"/>
          <w:lang w:val="es-ES_tradnl"/>
        </w:rPr>
        <w:t xml:space="preserve"> nuevos criterios de desempate</w:t>
      </w:r>
      <w:r w:rsidR="007E0D49" w:rsidRPr="00A572F4">
        <w:rPr>
          <w:rFonts w:ascii="Arial" w:eastAsia="Calibri" w:hAnsi="Arial" w:cs="Arial"/>
          <w:sz w:val="22"/>
          <w:szCs w:val="22"/>
          <w:lang w:val="es-ES_tradnl"/>
        </w:rPr>
        <w:t xml:space="preserve"> aplicables</w:t>
      </w:r>
      <w:r w:rsidR="00AE6188" w:rsidRPr="00A572F4">
        <w:rPr>
          <w:rFonts w:ascii="Arial" w:eastAsia="Calibri" w:hAnsi="Arial" w:cs="Arial"/>
          <w:sz w:val="22"/>
          <w:szCs w:val="22"/>
          <w:lang w:val="es-ES_tradnl"/>
        </w:rPr>
        <w:t xml:space="preserve"> en la</w:t>
      </w:r>
      <w:r w:rsidR="007E0D49" w:rsidRPr="00A572F4">
        <w:rPr>
          <w:rFonts w:ascii="Arial" w:eastAsia="Calibri" w:hAnsi="Arial" w:cs="Arial"/>
          <w:sz w:val="22"/>
          <w:szCs w:val="22"/>
          <w:lang w:val="es-ES_tradnl"/>
        </w:rPr>
        <w:t xml:space="preserve"> contratación estatal</w:t>
      </w:r>
      <w:r w:rsidR="00A54895" w:rsidRPr="00A572F4">
        <w:rPr>
          <w:rFonts w:ascii="Arial" w:eastAsia="Calibri" w:hAnsi="Arial" w:cs="Arial"/>
          <w:sz w:val="22"/>
          <w:szCs w:val="22"/>
          <w:lang w:val="es-ES_tradnl"/>
        </w:rPr>
        <w:t xml:space="preserve">. </w:t>
      </w:r>
    </w:p>
    <w:p w14:paraId="0F59547C" w14:textId="2D296497" w:rsidR="007D7CCB" w:rsidRPr="00A572F4" w:rsidRDefault="00A54895" w:rsidP="00EB2ED0">
      <w:pPr>
        <w:pStyle w:val="NormalWeb"/>
        <w:spacing w:before="0" w:beforeAutospacing="0" w:after="120" w:afterAutospacing="0" w:line="276" w:lineRule="auto"/>
        <w:ind w:firstLine="708"/>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Como </w:t>
      </w:r>
      <w:r w:rsidR="005D30AE" w:rsidRPr="00A572F4">
        <w:rPr>
          <w:rFonts w:ascii="Arial" w:eastAsia="Calibri" w:hAnsi="Arial" w:cs="Arial"/>
          <w:sz w:val="22"/>
          <w:szCs w:val="22"/>
          <w:lang w:val="es-ES_tradnl"/>
        </w:rPr>
        <w:t>se precisó</w:t>
      </w:r>
      <w:r w:rsidRPr="00A572F4">
        <w:rPr>
          <w:rFonts w:ascii="Arial" w:eastAsia="Calibri" w:hAnsi="Arial" w:cs="Arial"/>
          <w:sz w:val="22"/>
          <w:szCs w:val="22"/>
          <w:lang w:val="es-ES_tradnl"/>
        </w:rPr>
        <w:t xml:space="preserve"> en el numeral </w:t>
      </w:r>
      <w:r w:rsidR="00906D34" w:rsidRPr="00A572F4">
        <w:rPr>
          <w:rFonts w:ascii="Arial" w:eastAsia="Calibri" w:hAnsi="Arial" w:cs="Arial"/>
          <w:sz w:val="22"/>
          <w:szCs w:val="22"/>
          <w:lang w:val="es-ES_tradnl"/>
        </w:rPr>
        <w:t>2.</w:t>
      </w:r>
      <w:r w:rsidR="005D30AE" w:rsidRPr="00A572F4">
        <w:rPr>
          <w:rFonts w:ascii="Arial" w:eastAsia="Calibri" w:hAnsi="Arial" w:cs="Arial"/>
          <w:sz w:val="22"/>
          <w:szCs w:val="22"/>
          <w:lang w:val="es-ES_tradnl"/>
        </w:rPr>
        <w:t>2</w:t>
      </w:r>
      <w:r w:rsidR="00906D34" w:rsidRPr="00A572F4">
        <w:rPr>
          <w:rFonts w:ascii="Arial" w:eastAsia="Calibri" w:hAnsi="Arial" w:cs="Arial"/>
          <w:sz w:val="22"/>
          <w:szCs w:val="22"/>
          <w:lang w:val="es-ES_tradnl"/>
        </w:rPr>
        <w:t xml:space="preserve"> del presente concepto</w:t>
      </w:r>
      <w:r w:rsidRPr="00A572F4">
        <w:rPr>
          <w:rFonts w:ascii="Arial" w:eastAsia="Calibri" w:hAnsi="Arial" w:cs="Arial"/>
          <w:sz w:val="22"/>
          <w:szCs w:val="22"/>
          <w:lang w:val="es-ES_tradnl"/>
        </w:rPr>
        <w:t>, los factores de desempate del artículo 35</w:t>
      </w:r>
      <w:r w:rsidR="005D30AE" w:rsidRPr="00A572F4">
        <w:rPr>
          <w:rFonts w:ascii="Arial" w:eastAsia="Calibri" w:hAnsi="Arial" w:cs="Arial"/>
          <w:sz w:val="22"/>
          <w:szCs w:val="22"/>
          <w:lang w:val="es-ES_tradnl"/>
        </w:rPr>
        <w:t xml:space="preserve"> de la Ley de Emprendimiento</w:t>
      </w:r>
      <w:r w:rsidRPr="00A572F4">
        <w:rPr>
          <w:rFonts w:ascii="Arial" w:eastAsia="Calibri" w:hAnsi="Arial" w:cs="Arial"/>
          <w:i/>
          <w:iCs/>
          <w:sz w:val="22"/>
          <w:szCs w:val="22"/>
          <w:lang w:val="es-ES_tradnl"/>
        </w:rPr>
        <w:t xml:space="preserve"> </w:t>
      </w:r>
      <w:r w:rsidRPr="00A572F4">
        <w:rPr>
          <w:rFonts w:ascii="Arial" w:eastAsia="Calibri" w:hAnsi="Arial" w:cs="Arial"/>
          <w:sz w:val="22"/>
          <w:szCs w:val="22"/>
          <w:lang w:val="es-ES_tradnl"/>
        </w:rPr>
        <w:t xml:space="preserve">no solo son aplicables a la contratación de las entidades regidas por el EGCAP, sino también </w:t>
      </w:r>
      <w:r w:rsidR="00DF41DD" w:rsidRPr="00A572F4">
        <w:rPr>
          <w:rFonts w:ascii="Arial" w:eastAsia="Calibri" w:hAnsi="Arial" w:cs="Arial"/>
          <w:sz w:val="22"/>
          <w:szCs w:val="22"/>
          <w:lang w:val="es-ES_tradnl"/>
        </w:rPr>
        <w:t>a los procesos de selección de las entidades exceptuadas</w:t>
      </w:r>
      <w:r w:rsidR="00CA137B" w:rsidRPr="00A572F4">
        <w:rPr>
          <w:rFonts w:ascii="Arial" w:eastAsia="Calibri" w:hAnsi="Arial" w:cs="Arial"/>
          <w:sz w:val="22"/>
          <w:szCs w:val="22"/>
          <w:lang w:val="es-ES_tradnl"/>
        </w:rPr>
        <w:t xml:space="preserve">, </w:t>
      </w:r>
      <w:r w:rsidR="00AC51DF" w:rsidRPr="00A572F4">
        <w:rPr>
          <w:rFonts w:ascii="Arial" w:eastAsia="Calibri" w:hAnsi="Arial" w:cs="Arial"/>
          <w:sz w:val="22"/>
          <w:szCs w:val="22"/>
          <w:lang w:val="es-ES_tradnl"/>
        </w:rPr>
        <w:t>a los que realicen l</w:t>
      </w:r>
      <w:r w:rsidR="00906007" w:rsidRPr="00A572F4">
        <w:rPr>
          <w:rFonts w:ascii="Arial" w:eastAsia="Calibri" w:hAnsi="Arial" w:cs="Arial"/>
          <w:sz w:val="22"/>
          <w:szCs w:val="22"/>
          <w:lang w:val="es-ES_tradnl"/>
        </w:rPr>
        <w:t>o</w:t>
      </w:r>
      <w:r w:rsidR="00AC51DF" w:rsidRPr="00A572F4">
        <w:rPr>
          <w:rFonts w:ascii="Arial" w:eastAsia="Calibri" w:hAnsi="Arial" w:cs="Arial"/>
          <w:sz w:val="22"/>
          <w:szCs w:val="22"/>
          <w:lang w:val="es-ES_tradnl"/>
        </w:rPr>
        <w:t xml:space="preserve">s patrimonios autónomos </w:t>
      </w:r>
      <w:r w:rsidR="001F5EF9" w:rsidRPr="00A572F4">
        <w:rPr>
          <w:rFonts w:ascii="Arial" w:eastAsia="Calibri" w:hAnsi="Arial" w:cs="Arial"/>
          <w:sz w:val="22"/>
          <w:szCs w:val="22"/>
          <w:lang w:val="es-ES_tradnl"/>
        </w:rPr>
        <w:t xml:space="preserve">constituidos por entidades estatales, y en general, en los procesos de selección </w:t>
      </w:r>
      <w:r w:rsidR="004D1653" w:rsidRPr="00A572F4">
        <w:rPr>
          <w:rFonts w:ascii="Arial" w:eastAsia="Calibri" w:hAnsi="Arial" w:cs="Arial"/>
          <w:sz w:val="22"/>
          <w:szCs w:val="22"/>
          <w:lang w:val="es-ES_tradnl"/>
        </w:rPr>
        <w:t xml:space="preserve">realizados con cargo a recursos públicos. </w:t>
      </w:r>
      <w:r w:rsidR="00906D34" w:rsidRPr="00A572F4">
        <w:rPr>
          <w:rFonts w:ascii="Arial" w:eastAsia="Calibri" w:hAnsi="Arial" w:cs="Arial"/>
          <w:sz w:val="22"/>
          <w:szCs w:val="22"/>
          <w:lang w:val="es-ES_tradnl"/>
        </w:rPr>
        <w:t>Debido a que la norma no distingue</w:t>
      </w:r>
      <w:r w:rsidR="00762705" w:rsidRPr="00A572F4">
        <w:rPr>
          <w:rFonts w:ascii="Arial" w:eastAsia="Calibri" w:hAnsi="Arial" w:cs="Arial"/>
          <w:sz w:val="22"/>
          <w:szCs w:val="22"/>
          <w:lang w:val="es-ES_tradnl"/>
        </w:rPr>
        <w:t xml:space="preserve"> entre modalidades o </w:t>
      </w:r>
      <w:r w:rsidR="00762705" w:rsidRPr="00A572F4">
        <w:rPr>
          <w:rFonts w:ascii="Arial" w:eastAsia="Calibri" w:hAnsi="Arial" w:cs="Arial"/>
          <w:sz w:val="22"/>
          <w:szCs w:val="22"/>
          <w:lang w:val="es-ES_tradnl"/>
        </w:rPr>
        <w:lastRenderedPageBreak/>
        <w:t xml:space="preserve">procedimientos, </w:t>
      </w:r>
      <w:r w:rsidR="00353801" w:rsidRPr="00A572F4">
        <w:rPr>
          <w:rFonts w:ascii="Arial" w:eastAsia="Calibri" w:hAnsi="Arial" w:cs="Arial"/>
          <w:sz w:val="22"/>
          <w:szCs w:val="22"/>
          <w:lang w:val="es-ES_tradnl"/>
        </w:rPr>
        <w:t xml:space="preserve">los factores de desempate son aplicables </w:t>
      </w:r>
      <w:r w:rsidR="006E765A" w:rsidRPr="00A572F4">
        <w:rPr>
          <w:rFonts w:ascii="Arial" w:eastAsia="Calibri" w:hAnsi="Arial" w:cs="Arial"/>
          <w:sz w:val="22"/>
          <w:szCs w:val="22"/>
          <w:lang w:val="es-ES_tradnl"/>
        </w:rPr>
        <w:t>en todos los procesos de selección que celebren los sujetos mencionados</w:t>
      </w:r>
      <w:r w:rsidR="007E118A" w:rsidRPr="00A572F4">
        <w:rPr>
          <w:rFonts w:ascii="Arial" w:eastAsia="Calibri" w:hAnsi="Arial" w:cs="Arial"/>
          <w:sz w:val="22"/>
          <w:szCs w:val="22"/>
          <w:lang w:val="es-ES_tradnl"/>
        </w:rPr>
        <w:t>.</w:t>
      </w:r>
    </w:p>
    <w:p w14:paraId="404706C3" w14:textId="118F7AAC" w:rsidR="006B78F2" w:rsidRPr="00A572F4" w:rsidRDefault="00A35E91" w:rsidP="00EB2ED0">
      <w:pPr>
        <w:tabs>
          <w:tab w:val="left" w:pos="0"/>
        </w:tabs>
        <w:spacing w:after="120" w:line="276" w:lineRule="auto"/>
        <w:jc w:val="both"/>
        <w:rPr>
          <w:rFonts w:ascii="Arial" w:hAnsi="Arial" w:cs="Arial"/>
          <w:sz w:val="22"/>
          <w:szCs w:val="22"/>
          <w:lang w:val="es-ES_tradnl"/>
        </w:rPr>
      </w:pPr>
      <w:r w:rsidRPr="00A572F4">
        <w:rPr>
          <w:rFonts w:ascii="Arial" w:eastAsia="Calibri" w:hAnsi="Arial" w:cs="Arial"/>
          <w:sz w:val="22"/>
          <w:szCs w:val="22"/>
          <w:lang w:val="es-ES_tradnl"/>
        </w:rPr>
        <w:tab/>
      </w:r>
      <w:r w:rsidR="002B5392" w:rsidRPr="00A572F4">
        <w:rPr>
          <w:rFonts w:ascii="Arial" w:eastAsia="Calibri" w:hAnsi="Arial" w:cs="Arial"/>
          <w:sz w:val="22"/>
          <w:szCs w:val="22"/>
          <w:lang w:val="es-ES_tradnl"/>
        </w:rPr>
        <w:t xml:space="preserve">En ese sentido, </w:t>
      </w:r>
      <w:r w:rsidR="0037256F" w:rsidRPr="00A572F4">
        <w:rPr>
          <w:rFonts w:ascii="Arial" w:eastAsia="Calibri" w:hAnsi="Arial" w:cs="Arial"/>
          <w:sz w:val="22"/>
          <w:szCs w:val="22"/>
          <w:lang w:val="es-ES_tradnl"/>
        </w:rPr>
        <w:t>la</w:t>
      </w:r>
      <w:r w:rsidR="002B5392" w:rsidRPr="00A572F4">
        <w:rPr>
          <w:rFonts w:ascii="Arial" w:eastAsia="Calibri" w:hAnsi="Arial" w:cs="Arial"/>
          <w:sz w:val="22"/>
          <w:szCs w:val="22"/>
          <w:lang w:val="es-ES_tradnl"/>
        </w:rPr>
        <w:t xml:space="preserve"> Agencia ha estimado que la aplicación del artículo 35 de la Ley 2069 de 2020</w:t>
      </w:r>
      <w:r w:rsidR="00B1498E" w:rsidRPr="00A572F4">
        <w:rPr>
          <w:rFonts w:ascii="Arial" w:eastAsiaTheme="minorHAnsi" w:hAnsi="Arial" w:cs="Arial"/>
          <w:sz w:val="22"/>
          <w:szCs w:val="22"/>
          <w:lang w:eastAsia="en-US"/>
        </w:rPr>
        <w:t xml:space="preserve"> </w:t>
      </w:r>
      <w:r w:rsidR="00B74409" w:rsidRPr="00A572F4">
        <w:rPr>
          <w:rFonts w:ascii="Arial" w:eastAsiaTheme="minorHAnsi" w:hAnsi="Arial" w:cs="Arial"/>
          <w:sz w:val="22"/>
          <w:szCs w:val="22"/>
          <w:lang w:eastAsia="en-US"/>
        </w:rPr>
        <w:t xml:space="preserve">es </w:t>
      </w:r>
      <w:r w:rsidR="00B1498E" w:rsidRPr="00A572F4">
        <w:rPr>
          <w:rFonts w:ascii="Arial" w:eastAsiaTheme="minorHAnsi" w:hAnsi="Arial" w:cs="Arial"/>
          <w:sz w:val="22"/>
          <w:szCs w:val="22"/>
          <w:lang w:eastAsia="en-US"/>
        </w:rPr>
        <w:t>transversal a</w:t>
      </w:r>
      <w:r w:rsidR="00722495" w:rsidRPr="00A572F4">
        <w:rPr>
          <w:rFonts w:ascii="Arial" w:eastAsiaTheme="minorHAnsi" w:hAnsi="Arial" w:cs="Arial"/>
          <w:sz w:val="22"/>
          <w:szCs w:val="22"/>
          <w:lang w:eastAsia="en-US"/>
        </w:rPr>
        <w:t xml:space="preserve"> las distintas modalidades </w:t>
      </w:r>
      <w:r w:rsidR="003C2FB1" w:rsidRPr="00A572F4">
        <w:rPr>
          <w:rFonts w:ascii="Arial" w:eastAsiaTheme="minorHAnsi" w:hAnsi="Arial" w:cs="Arial"/>
          <w:sz w:val="22"/>
          <w:szCs w:val="22"/>
          <w:lang w:eastAsia="en-US"/>
        </w:rPr>
        <w:t>de contratación</w:t>
      </w:r>
      <w:r w:rsidR="00B20E85" w:rsidRPr="00A572F4">
        <w:rPr>
          <w:rFonts w:ascii="Arial" w:eastAsiaTheme="minorHAnsi" w:hAnsi="Arial" w:cs="Arial"/>
          <w:sz w:val="22"/>
          <w:szCs w:val="22"/>
          <w:lang w:eastAsia="en-US"/>
        </w:rPr>
        <w:t xml:space="preserve">. Concretamente, </w:t>
      </w:r>
      <w:r w:rsidR="003C2FB1" w:rsidRPr="00A572F4">
        <w:rPr>
          <w:rFonts w:ascii="Arial" w:eastAsiaTheme="minorHAnsi" w:hAnsi="Arial" w:cs="Arial"/>
          <w:sz w:val="22"/>
          <w:szCs w:val="22"/>
          <w:lang w:eastAsia="en-US"/>
        </w:rPr>
        <w:t>la vigencia de este</w:t>
      </w:r>
      <w:r w:rsidR="005B2C7D" w:rsidRPr="00A572F4">
        <w:rPr>
          <w:rFonts w:ascii="Arial" w:eastAsiaTheme="minorHAnsi" w:hAnsi="Arial" w:cs="Arial"/>
          <w:sz w:val="22"/>
          <w:szCs w:val="22"/>
          <w:lang w:eastAsia="en-US"/>
        </w:rPr>
        <w:t xml:space="preserve"> artículo </w:t>
      </w:r>
      <w:r w:rsidR="007D2DA3" w:rsidRPr="00A572F4">
        <w:rPr>
          <w:rFonts w:ascii="Arial" w:eastAsiaTheme="minorHAnsi" w:hAnsi="Arial" w:cs="Arial"/>
          <w:sz w:val="22"/>
          <w:szCs w:val="22"/>
          <w:lang w:eastAsia="en-US"/>
        </w:rPr>
        <w:t>ha generado la derogatoria</w:t>
      </w:r>
      <w:r w:rsidR="00F064DB" w:rsidRPr="00A572F4">
        <w:rPr>
          <w:rFonts w:ascii="Arial" w:eastAsiaTheme="minorHAnsi" w:hAnsi="Arial" w:cs="Arial"/>
          <w:sz w:val="22"/>
          <w:szCs w:val="22"/>
          <w:lang w:eastAsia="en-US"/>
        </w:rPr>
        <w:t xml:space="preserve"> </w:t>
      </w:r>
      <w:r w:rsidR="007D2DA3" w:rsidRPr="00A572F4">
        <w:rPr>
          <w:rFonts w:ascii="Arial" w:eastAsiaTheme="minorHAnsi" w:hAnsi="Arial" w:cs="Arial"/>
          <w:sz w:val="22"/>
          <w:szCs w:val="22"/>
          <w:lang w:eastAsia="en-US"/>
        </w:rPr>
        <w:t xml:space="preserve">del artículo </w:t>
      </w:r>
      <w:r w:rsidR="00F064DB" w:rsidRPr="00A572F4">
        <w:rPr>
          <w:rFonts w:ascii="Arial" w:eastAsiaTheme="minorHAnsi" w:hAnsi="Arial" w:cs="Arial"/>
          <w:sz w:val="22"/>
          <w:szCs w:val="22"/>
          <w:lang w:eastAsia="en-US"/>
        </w:rPr>
        <w:t>2.2.1.1.2.2.9 del Decreto 1082 de 2015</w:t>
      </w:r>
      <w:r w:rsidR="00207FCD" w:rsidRPr="00A572F4">
        <w:rPr>
          <w:rFonts w:ascii="Arial" w:eastAsiaTheme="minorHAnsi" w:hAnsi="Arial" w:cs="Arial"/>
          <w:sz w:val="22"/>
          <w:szCs w:val="22"/>
          <w:lang w:eastAsia="en-US"/>
        </w:rPr>
        <w:t xml:space="preserve">, conforme a lo dispuesto en artículo 84 de la Ley 2069 de 2020. </w:t>
      </w:r>
      <w:r w:rsidR="00A25833" w:rsidRPr="00A572F4">
        <w:rPr>
          <w:rFonts w:ascii="Arial" w:hAnsi="Arial" w:cs="Arial"/>
          <w:sz w:val="22"/>
          <w:szCs w:val="22"/>
          <w:lang w:val="es-ES_tradnl"/>
        </w:rPr>
        <w:t>Como argumento adicional</w:t>
      </w:r>
      <w:r w:rsidR="00207FCD" w:rsidRPr="00A572F4">
        <w:rPr>
          <w:rFonts w:ascii="Arial" w:hAnsi="Arial" w:cs="Arial"/>
          <w:sz w:val="22"/>
          <w:szCs w:val="22"/>
          <w:lang w:val="es-ES_tradnl"/>
        </w:rPr>
        <w:t xml:space="preserve">, </w:t>
      </w:r>
      <w:r w:rsidR="005B61AD" w:rsidRPr="00A572F4">
        <w:rPr>
          <w:rFonts w:ascii="Arial" w:hAnsi="Arial" w:cs="Arial"/>
          <w:sz w:val="22"/>
          <w:szCs w:val="22"/>
          <w:lang w:val="es-ES_tradnl"/>
        </w:rPr>
        <w:t>se ha sostenido</w:t>
      </w:r>
      <w:r w:rsidR="00A25833" w:rsidRPr="00A572F4">
        <w:rPr>
          <w:rFonts w:ascii="Arial" w:hAnsi="Arial" w:cs="Arial"/>
          <w:sz w:val="22"/>
          <w:szCs w:val="22"/>
          <w:lang w:val="es-ES_tradnl"/>
        </w:rPr>
        <w:t xml:space="preserve"> </w:t>
      </w:r>
      <w:r w:rsidR="000105D9" w:rsidRPr="00A572F4">
        <w:rPr>
          <w:rFonts w:ascii="Arial" w:hAnsi="Arial" w:cs="Arial"/>
          <w:sz w:val="22"/>
          <w:szCs w:val="22"/>
          <w:lang w:val="es-ES_tradnl"/>
        </w:rPr>
        <w:t>la configuración del</w:t>
      </w:r>
      <w:r w:rsidR="00A25833" w:rsidRPr="00A572F4">
        <w:rPr>
          <w:rFonts w:ascii="Arial" w:hAnsi="Arial" w:cs="Arial"/>
          <w:sz w:val="22"/>
          <w:szCs w:val="22"/>
          <w:lang w:val="es-ES_tradnl"/>
        </w:rPr>
        <w:t xml:space="preserve"> fenómeno de la pérdida de fuerza ejecutoria –o decaimiento– de los actos administrativos, </w:t>
      </w:r>
      <w:r w:rsidR="00700CA2" w:rsidRPr="00A572F4">
        <w:rPr>
          <w:rFonts w:ascii="Arial" w:hAnsi="Arial" w:cs="Arial"/>
          <w:sz w:val="22"/>
          <w:szCs w:val="22"/>
          <w:lang w:val="es-ES_tradnl"/>
        </w:rPr>
        <w:t xml:space="preserve">en virtud </w:t>
      </w:r>
      <w:r w:rsidR="00001CC9" w:rsidRPr="00A572F4">
        <w:rPr>
          <w:rFonts w:ascii="Arial" w:hAnsi="Arial" w:cs="Arial"/>
          <w:sz w:val="22"/>
          <w:szCs w:val="22"/>
          <w:lang w:val="es-ES_tradnl"/>
        </w:rPr>
        <w:t>d</w:t>
      </w:r>
      <w:r w:rsidR="00A25833" w:rsidRPr="00A572F4">
        <w:rPr>
          <w:rFonts w:ascii="Arial" w:hAnsi="Arial" w:cs="Arial"/>
          <w:sz w:val="22"/>
          <w:szCs w:val="22"/>
          <w:lang w:val="es-ES_tradnl"/>
        </w:rPr>
        <w:t>el numeral 2 del artículo 91 de la Ley 1437 de 2011</w:t>
      </w:r>
      <w:r w:rsidR="005B61AD" w:rsidRPr="00A572F4">
        <w:rPr>
          <w:rFonts w:ascii="Arial" w:hAnsi="Arial" w:cs="Arial"/>
          <w:sz w:val="22"/>
          <w:szCs w:val="22"/>
          <w:lang w:val="es-ES_tradnl"/>
        </w:rPr>
        <w:t>,</w:t>
      </w:r>
      <w:r w:rsidR="00A25833" w:rsidRPr="00A572F4">
        <w:rPr>
          <w:rFonts w:ascii="Arial" w:hAnsi="Arial" w:cs="Arial"/>
          <w:sz w:val="22"/>
          <w:szCs w:val="22"/>
          <w:lang w:val="es-ES_tradnl"/>
        </w:rPr>
        <w:t xml:space="preserve"> </w:t>
      </w:r>
      <w:r w:rsidR="00101129" w:rsidRPr="00A572F4">
        <w:rPr>
          <w:rFonts w:ascii="Arial" w:hAnsi="Arial" w:cs="Arial"/>
          <w:sz w:val="22"/>
          <w:szCs w:val="22"/>
          <w:lang w:val="es-ES_tradnl"/>
        </w:rPr>
        <w:t xml:space="preserve">considerando que esta última </w:t>
      </w:r>
      <w:r w:rsidR="00A25833" w:rsidRPr="00A572F4">
        <w:rPr>
          <w:rFonts w:ascii="Arial" w:hAnsi="Arial" w:cs="Arial"/>
          <w:sz w:val="22"/>
          <w:szCs w:val="22"/>
          <w:lang w:val="es-ES_tradnl"/>
        </w:rPr>
        <w:t xml:space="preserve">norma señala que los actos administrativos pierden fuerza ejecutoria «Cuando desaparezcan sus fundamentos de hecho o de derecho». </w:t>
      </w:r>
    </w:p>
    <w:p w14:paraId="161D180D" w14:textId="77777777" w:rsidR="00343B9E" w:rsidRPr="00A572F4" w:rsidRDefault="006B78F2" w:rsidP="00343B9E">
      <w:pPr>
        <w:tabs>
          <w:tab w:val="left" w:pos="0"/>
        </w:tabs>
        <w:spacing w:after="120" w:line="276" w:lineRule="auto"/>
        <w:jc w:val="both"/>
        <w:rPr>
          <w:rFonts w:ascii="Arial" w:eastAsiaTheme="minorHAnsi" w:hAnsi="Arial" w:cs="Arial"/>
          <w:sz w:val="22"/>
          <w:szCs w:val="22"/>
          <w:lang w:eastAsia="en-US"/>
        </w:rPr>
      </w:pPr>
      <w:r w:rsidRPr="00A572F4">
        <w:rPr>
          <w:rFonts w:ascii="Arial" w:hAnsi="Arial" w:cs="Arial"/>
          <w:sz w:val="22"/>
          <w:szCs w:val="22"/>
          <w:lang w:val="es-ES_tradnl"/>
        </w:rPr>
        <w:tab/>
      </w:r>
      <w:r w:rsidR="00A25833" w:rsidRPr="00A572F4">
        <w:rPr>
          <w:rFonts w:ascii="Arial" w:hAnsi="Arial" w:cs="Arial"/>
          <w:sz w:val="22"/>
          <w:szCs w:val="22"/>
          <w:lang w:val="es-ES_tradnl"/>
        </w:rPr>
        <w:t xml:space="preserve">Dado que el Decreto 1082 de 2015 es un reglamento </w:t>
      </w:r>
      <w:proofErr w:type="spellStart"/>
      <w:r w:rsidR="00A25833" w:rsidRPr="00A572F4">
        <w:rPr>
          <w:rFonts w:ascii="Arial" w:hAnsi="Arial" w:cs="Arial"/>
          <w:i/>
          <w:iCs/>
          <w:sz w:val="22"/>
          <w:szCs w:val="22"/>
          <w:lang w:val="es-ES_tradnl"/>
        </w:rPr>
        <w:t>secundum</w:t>
      </w:r>
      <w:proofErr w:type="spellEnd"/>
      <w:r w:rsidR="00A25833" w:rsidRPr="00A572F4">
        <w:rPr>
          <w:rFonts w:ascii="Arial" w:hAnsi="Arial" w:cs="Arial"/>
          <w:i/>
          <w:iCs/>
          <w:sz w:val="22"/>
          <w:szCs w:val="22"/>
          <w:lang w:val="es-ES_tradnl"/>
        </w:rPr>
        <w:t xml:space="preserve"> </w:t>
      </w:r>
      <w:proofErr w:type="spellStart"/>
      <w:r w:rsidR="00A25833" w:rsidRPr="00A572F4">
        <w:rPr>
          <w:rFonts w:ascii="Arial" w:hAnsi="Arial" w:cs="Arial"/>
          <w:i/>
          <w:iCs/>
          <w:sz w:val="22"/>
          <w:szCs w:val="22"/>
          <w:lang w:val="es-ES_tradnl"/>
        </w:rPr>
        <w:t>legem</w:t>
      </w:r>
      <w:proofErr w:type="spellEnd"/>
      <w:r w:rsidR="00A25833" w:rsidRPr="00A572F4">
        <w:rPr>
          <w:rFonts w:ascii="Arial" w:hAnsi="Arial" w:cs="Arial"/>
          <w:sz w:val="22"/>
          <w:szCs w:val="22"/>
          <w:lang w:val="es-ES_tradnl"/>
        </w:rPr>
        <w:t xml:space="preserve"> –es decir, que desarrolla una norma de mayor jerarquía–,</w:t>
      </w:r>
      <w:r w:rsidR="00B5534B" w:rsidRPr="00A572F4">
        <w:rPr>
          <w:rFonts w:ascii="Arial" w:hAnsi="Arial" w:cs="Arial"/>
          <w:sz w:val="22"/>
          <w:szCs w:val="22"/>
          <w:lang w:val="es-ES_tradnl"/>
        </w:rPr>
        <w:t xml:space="preserve"> por lo que</w:t>
      </w:r>
      <w:r w:rsidR="00A25833" w:rsidRPr="00A572F4">
        <w:rPr>
          <w:rFonts w:ascii="Arial" w:hAnsi="Arial" w:cs="Arial"/>
          <w:sz w:val="22"/>
          <w:szCs w:val="22"/>
          <w:lang w:val="es-ES_tradnl"/>
        </w:rPr>
        <w:t xml:space="preserve"> la expedición de una ley en sentido formal –es decir, una fuente que condiciona el contenido de este último–, hace que la </w:t>
      </w:r>
      <w:r w:rsidR="00101129" w:rsidRPr="00A572F4">
        <w:rPr>
          <w:rFonts w:ascii="Arial" w:hAnsi="Arial" w:cs="Arial"/>
          <w:sz w:val="22"/>
          <w:szCs w:val="22"/>
          <w:lang w:val="es-ES_tradnl"/>
        </w:rPr>
        <w:t xml:space="preserve">mencionada </w:t>
      </w:r>
      <w:r w:rsidR="00A25833" w:rsidRPr="00A572F4">
        <w:rPr>
          <w:rFonts w:ascii="Arial" w:hAnsi="Arial" w:cs="Arial"/>
          <w:sz w:val="22"/>
          <w:szCs w:val="22"/>
          <w:lang w:val="es-ES_tradnl"/>
        </w:rPr>
        <w:t>disposición reglamentaria decaiga</w:t>
      </w:r>
      <w:r w:rsidR="00735D76" w:rsidRPr="00A572F4">
        <w:rPr>
          <w:rFonts w:ascii="Arial" w:hAnsi="Arial" w:cs="Arial"/>
          <w:sz w:val="22"/>
          <w:szCs w:val="22"/>
          <w:lang w:val="es-ES_tradnl"/>
        </w:rPr>
        <w:t>.</w:t>
      </w:r>
      <w:r w:rsidR="00A25833" w:rsidRPr="00A572F4">
        <w:rPr>
          <w:rFonts w:ascii="Arial" w:hAnsi="Arial" w:cs="Arial"/>
          <w:sz w:val="22"/>
          <w:szCs w:val="22"/>
          <w:lang w:val="es-ES_tradnl"/>
        </w:rPr>
        <w:t xml:space="preserve"> </w:t>
      </w:r>
      <w:r w:rsidR="00845B36" w:rsidRPr="00A572F4">
        <w:rPr>
          <w:rFonts w:ascii="Arial" w:eastAsiaTheme="minorHAnsi" w:hAnsi="Arial" w:cs="Arial"/>
          <w:sz w:val="22"/>
          <w:szCs w:val="22"/>
          <w:lang w:eastAsia="en-US"/>
        </w:rPr>
        <w:t xml:space="preserve"> </w:t>
      </w:r>
      <w:r w:rsidR="00CC7597" w:rsidRPr="00A572F4">
        <w:rPr>
          <w:rFonts w:ascii="Arial" w:eastAsiaTheme="minorHAnsi" w:hAnsi="Arial" w:cs="Arial"/>
          <w:sz w:val="22"/>
          <w:szCs w:val="22"/>
          <w:lang w:eastAsia="en-US"/>
        </w:rPr>
        <w:t xml:space="preserve">Esta </w:t>
      </w:r>
      <w:r w:rsidR="00BB2236" w:rsidRPr="00A572F4">
        <w:rPr>
          <w:rFonts w:ascii="Arial" w:eastAsiaTheme="minorHAnsi" w:hAnsi="Arial" w:cs="Arial"/>
          <w:sz w:val="22"/>
          <w:szCs w:val="22"/>
          <w:lang w:eastAsia="en-US"/>
        </w:rPr>
        <w:t>Agencia ha determinado que</w:t>
      </w:r>
      <w:r w:rsidR="001870F5" w:rsidRPr="00A572F4">
        <w:rPr>
          <w:rFonts w:ascii="Arial" w:eastAsiaTheme="minorHAnsi" w:hAnsi="Arial" w:cs="Arial"/>
          <w:sz w:val="22"/>
          <w:szCs w:val="22"/>
          <w:lang w:eastAsia="en-US"/>
        </w:rPr>
        <w:t xml:space="preserve"> estos </w:t>
      </w:r>
      <w:r w:rsidR="00845B36" w:rsidRPr="00A572F4">
        <w:rPr>
          <w:rFonts w:ascii="Arial" w:eastAsiaTheme="minorHAnsi" w:hAnsi="Arial" w:cs="Arial"/>
          <w:sz w:val="22"/>
          <w:szCs w:val="22"/>
          <w:lang w:eastAsia="en-US"/>
        </w:rPr>
        <w:t xml:space="preserve">argumentos </w:t>
      </w:r>
      <w:r w:rsidR="00B97B5E" w:rsidRPr="00A572F4">
        <w:rPr>
          <w:rFonts w:ascii="Arial" w:eastAsiaTheme="minorHAnsi" w:hAnsi="Arial" w:cs="Arial"/>
          <w:sz w:val="22"/>
          <w:szCs w:val="22"/>
          <w:lang w:eastAsia="en-US"/>
        </w:rPr>
        <w:t xml:space="preserve">no solo </w:t>
      </w:r>
      <w:r w:rsidR="001870F5" w:rsidRPr="00A572F4">
        <w:rPr>
          <w:rFonts w:ascii="Arial" w:eastAsiaTheme="minorHAnsi" w:hAnsi="Arial" w:cs="Arial"/>
          <w:sz w:val="22"/>
          <w:szCs w:val="22"/>
          <w:lang w:eastAsia="en-US"/>
        </w:rPr>
        <w:t xml:space="preserve">son predicables del </w:t>
      </w:r>
      <w:r w:rsidR="00B97B5E" w:rsidRPr="00A572F4">
        <w:rPr>
          <w:rFonts w:ascii="Arial" w:eastAsiaTheme="minorHAnsi" w:hAnsi="Arial" w:cs="Arial"/>
          <w:sz w:val="22"/>
          <w:szCs w:val="22"/>
          <w:lang w:eastAsia="en-US"/>
        </w:rPr>
        <w:t>artículo 2.2.1.1.2.2.9 del Decreto 1082 de 2015, en el que se reglamentaban de manera general los factores de desempate, sino también de otros artículos de dicho reglamento en el que se establecían factores de desempate para algunas modalidades de selección. Este es el caso del numeral 9</w:t>
      </w:r>
      <w:r w:rsidR="00AD0617" w:rsidRPr="00A572F4">
        <w:rPr>
          <w:rFonts w:ascii="Arial" w:eastAsiaTheme="minorHAnsi" w:hAnsi="Arial" w:cs="Arial"/>
          <w:sz w:val="22"/>
          <w:szCs w:val="22"/>
          <w:lang w:eastAsia="en-US"/>
        </w:rPr>
        <w:t xml:space="preserve"> del artículo </w:t>
      </w:r>
      <w:r w:rsidR="00AD0617" w:rsidRPr="00A572F4">
        <w:rPr>
          <w:rFonts w:ascii="Arial" w:eastAsia="Calibri" w:hAnsi="Arial" w:cs="Arial"/>
          <w:sz w:val="22"/>
          <w:szCs w:val="22"/>
          <w:lang w:val="es-ES_tradnl"/>
        </w:rPr>
        <w:t>2.2.1.2.1.2.2, referente al factor de desempate en procedimientos de subasta inversa</w:t>
      </w:r>
      <w:r w:rsidR="00AD0617" w:rsidRPr="00A572F4">
        <w:rPr>
          <w:rStyle w:val="Refdenotaalpie"/>
          <w:rFonts w:ascii="Arial" w:eastAsia="Calibri" w:hAnsi="Arial" w:cs="Arial"/>
          <w:sz w:val="22"/>
          <w:szCs w:val="22"/>
          <w:lang w:val="es-ES_tradnl"/>
        </w:rPr>
        <w:footnoteReference w:id="21"/>
      </w:r>
      <w:r w:rsidR="00AD0617" w:rsidRPr="00A572F4">
        <w:rPr>
          <w:rFonts w:ascii="Arial" w:eastAsia="Calibri" w:hAnsi="Arial" w:cs="Arial"/>
          <w:sz w:val="22"/>
          <w:szCs w:val="22"/>
          <w:lang w:val="es-ES_tradnl"/>
        </w:rPr>
        <w:t xml:space="preserve">, al igual que </w:t>
      </w:r>
      <w:r w:rsidR="00A91C08" w:rsidRPr="00A572F4">
        <w:rPr>
          <w:rFonts w:ascii="Arial" w:eastAsiaTheme="minorHAnsi" w:hAnsi="Arial" w:cs="Arial"/>
          <w:sz w:val="22"/>
          <w:szCs w:val="22"/>
          <w:lang w:eastAsia="en-US"/>
        </w:rPr>
        <w:t xml:space="preserve">el </w:t>
      </w:r>
      <w:r w:rsidR="00AD0617" w:rsidRPr="00A572F4">
        <w:rPr>
          <w:rFonts w:ascii="Arial" w:eastAsiaTheme="minorHAnsi" w:hAnsi="Arial" w:cs="Arial"/>
          <w:sz w:val="22"/>
          <w:szCs w:val="22"/>
          <w:lang w:eastAsia="en-US"/>
        </w:rPr>
        <w:t xml:space="preserve">del </w:t>
      </w:r>
      <w:r w:rsidR="00A91C08" w:rsidRPr="00A572F4">
        <w:rPr>
          <w:rFonts w:ascii="Arial" w:eastAsiaTheme="minorHAnsi" w:hAnsi="Arial" w:cs="Arial"/>
          <w:sz w:val="22"/>
          <w:szCs w:val="22"/>
          <w:lang w:eastAsia="en-US"/>
        </w:rPr>
        <w:t>numeral 7</w:t>
      </w:r>
      <w:r w:rsidR="00CC7597" w:rsidRPr="00A572F4">
        <w:rPr>
          <w:rFonts w:ascii="Arial" w:eastAsiaTheme="minorHAnsi" w:hAnsi="Arial" w:cs="Arial"/>
          <w:sz w:val="22"/>
          <w:szCs w:val="22"/>
          <w:lang w:eastAsia="en-US"/>
        </w:rPr>
        <w:t xml:space="preserve"> del artículo </w:t>
      </w:r>
      <w:r w:rsidR="00CC7597" w:rsidRPr="00A572F4">
        <w:rPr>
          <w:rFonts w:ascii="Arial" w:eastAsia="Calibri" w:hAnsi="Arial" w:cs="Arial"/>
          <w:sz w:val="22"/>
          <w:szCs w:val="22"/>
          <w:lang w:val="es-ES_tradnl"/>
        </w:rPr>
        <w:t>2.2.1.2.1.5.2</w:t>
      </w:r>
      <w:r w:rsidR="004518B0" w:rsidRPr="00A572F4">
        <w:rPr>
          <w:rFonts w:ascii="Arial" w:eastAsiaTheme="minorHAnsi" w:hAnsi="Arial" w:cs="Arial"/>
          <w:sz w:val="22"/>
          <w:szCs w:val="22"/>
          <w:lang w:eastAsia="en-US"/>
        </w:rPr>
        <w:t xml:space="preserve">, </w:t>
      </w:r>
      <w:r w:rsidR="00001CC9" w:rsidRPr="00A572F4">
        <w:rPr>
          <w:rFonts w:ascii="Arial" w:eastAsiaTheme="minorHAnsi" w:hAnsi="Arial" w:cs="Arial"/>
          <w:sz w:val="22"/>
          <w:szCs w:val="22"/>
          <w:lang w:eastAsia="en-US"/>
        </w:rPr>
        <w:t xml:space="preserve">precisando </w:t>
      </w:r>
      <w:r w:rsidR="003D6E60" w:rsidRPr="00A572F4">
        <w:rPr>
          <w:rFonts w:ascii="Arial" w:eastAsiaTheme="minorHAnsi" w:hAnsi="Arial" w:cs="Arial"/>
          <w:sz w:val="22"/>
          <w:szCs w:val="22"/>
          <w:lang w:eastAsia="en-US"/>
        </w:rPr>
        <w:t>que</w:t>
      </w:r>
      <w:r w:rsidR="00AD0617" w:rsidRPr="00A572F4">
        <w:rPr>
          <w:rFonts w:ascii="Arial" w:eastAsiaTheme="minorHAnsi" w:hAnsi="Arial" w:cs="Arial"/>
          <w:sz w:val="22"/>
          <w:szCs w:val="22"/>
          <w:lang w:eastAsia="en-US"/>
        </w:rPr>
        <w:t xml:space="preserve"> ambos casos</w:t>
      </w:r>
      <w:r w:rsidR="003D6E60" w:rsidRPr="00A572F4">
        <w:rPr>
          <w:rFonts w:ascii="Arial" w:eastAsiaTheme="minorHAnsi" w:hAnsi="Arial" w:cs="Arial"/>
          <w:sz w:val="22"/>
          <w:szCs w:val="22"/>
          <w:lang w:eastAsia="en-US"/>
        </w:rPr>
        <w:t xml:space="preserve"> se</w:t>
      </w:r>
      <w:r w:rsidR="001E5C3A" w:rsidRPr="00A572F4">
        <w:rPr>
          <w:rFonts w:ascii="Arial" w:eastAsiaTheme="minorHAnsi" w:hAnsi="Arial" w:cs="Arial"/>
          <w:sz w:val="22"/>
          <w:szCs w:val="22"/>
          <w:lang w:eastAsia="en-US"/>
        </w:rPr>
        <w:t xml:space="preserve"> presenta tanto </w:t>
      </w:r>
      <w:r w:rsidR="004053EC" w:rsidRPr="00A572F4">
        <w:rPr>
          <w:rFonts w:ascii="Arial" w:eastAsiaTheme="minorHAnsi" w:hAnsi="Arial" w:cs="Arial"/>
          <w:sz w:val="22"/>
          <w:szCs w:val="22"/>
          <w:lang w:eastAsia="en-US"/>
        </w:rPr>
        <w:t xml:space="preserve">la </w:t>
      </w:r>
      <w:r w:rsidR="001E5C3A" w:rsidRPr="00A572F4">
        <w:rPr>
          <w:rFonts w:ascii="Arial" w:eastAsiaTheme="minorHAnsi" w:hAnsi="Arial" w:cs="Arial"/>
          <w:sz w:val="22"/>
          <w:szCs w:val="22"/>
          <w:lang w:eastAsia="en-US"/>
        </w:rPr>
        <w:t>derogación como decaimiento</w:t>
      </w:r>
      <w:r w:rsidR="00B97B5E" w:rsidRPr="00A572F4">
        <w:rPr>
          <w:rStyle w:val="Refdenotaalpie"/>
          <w:rFonts w:ascii="Arial" w:eastAsiaTheme="minorHAnsi" w:hAnsi="Arial" w:cs="Arial"/>
          <w:sz w:val="22"/>
          <w:szCs w:val="22"/>
          <w:lang w:eastAsia="en-US"/>
        </w:rPr>
        <w:footnoteReference w:id="22"/>
      </w:r>
      <w:r w:rsidR="001E5C3A" w:rsidRPr="00A572F4">
        <w:rPr>
          <w:rFonts w:ascii="Arial" w:eastAsiaTheme="minorHAnsi" w:hAnsi="Arial" w:cs="Arial"/>
          <w:sz w:val="22"/>
          <w:szCs w:val="22"/>
          <w:lang w:eastAsia="en-US"/>
        </w:rPr>
        <w:t xml:space="preserve">. </w:t>
      </w:r>
    </w:p>
    <w:p w14:paraId="3D8BAC6A" w14:textId="67106544" w:rsidR="005651C7" w:rsidRPr="00A572F4" w:rsidRDefault="001E5C3A" w:rsidP="00EB2ED0">
      <w:pPr>
        <w:tabs>
          <w:tab w:val="left" w:pos="0"/>
        </w:tabs>
        <w:spacing w:after="120" w:line="276" w:lineRule="auto"/>
        <w:jc w:val="both"/>
        <w:rPr>
          <w:rFonts w:ascii="Arial" w:eastAsia="Calibri" w:hAnsi="Arial" w:cs="Arial"/>
          <w:sz w:val="22"/>
          <w:szCs w:val="22"/>
          <w:lang w:val="es-ES_tradnl"/>
        </w:rPr>
      </w:pPr>
      <w:r w:rsidRPr="00A572F4">
        <w:rPr>
          <w:rFonts w:ascii="Arial" w:eastAsiaTheme="minorHAnsi" w:hAnsi="Arial" w:cs="Arial"/>
          <w:sz w:val="22"/>
          <w:szCs w:val="22"/>
          <w:lang w:eastAsia="en-US"/>
        </w:rPr>
        <w:tab/>
        <w:t>Conforme a lo anterior,</w:t>
      </w:r>
      <w:r w:rsidR="0006791B" w:rsidRPr="00A572F4">
        <w:rPr>
          <w:rFonts w:ascii="Arial" w:eastAsiaTheme="minorHAnsi" w:hAnsi="Arial" w:cs="Arial"/>
          <w:sz w:val="22"/>
          <w:szCs w:val="22"/>
          <w:lang w:eastAsia="en-US"/>
        </w:rPr>
        <w:t xml:space="preserve"> </w:t>
      </w:r>
      <w:r w:rsidR="0093110D" w:rsidRPr="00A572F4">
        <w:rPr>
          <w:rFonts w:ascii="Arial" w:eastAsiaTheme="minorHAnsi" w:hAnsi="Arial" w:cs="Arial"/>
          <w:sz w:val="22"/>
          <w:szCs w:val="22"/>
          <w:lang w:eastAsia="en-US"/>
        </w:rPr>
        <w:t>la aplicación del</w:t>
      </w:r>
      <w:r w:rsidR="00316AD8" w:rsidRPr="00A572F4">
        <w:rPr>
          <w:rFonts w:ascii="Arial" w:eastAsiaTheme="minorHAnsi" w:hAnsi="Arial" w:cs="Arial"/>
          <w:sz w:val="22"/>
          <w:szCs w:val="22"/>
          <w:lang w:eastAsia="en-US"/>
        </w:rPr>
        <w:t xml:space="preserve"> artículo 35 de la Ley 2069 de 2020</w:t>
      </w:r>
      <w:r w:rsidR="0093110D" w:rsidRPr="00A572F4">
        <w:rPr>
          <w:rFonts w:ascii="Arial" w:eastAsiaTheme="minorHAnsi" w:hAnsi="Arial" w:cs="Arial"/>
          <w:sz w:val="22"/>
          <w:szCs w:val="22"/>
          <w:lang w:eastAsia="en-US"/>
        </w:rPr>
        <w:t xml:space="preserve"> es transversal a los diferentes actores del sistema de compras públicas, quienes </w:t>
      </w:r>
      <w:r w:rsidR="006B722F" w:rsidRPr="00A572F4">
        <w:rPr>
          <w:rFonts w:ascii="Arial" w:eastAsiaTheme="minorHAnsi" w:hAnsi="Arial" w:cs="Arial"/>
          <w:sz w:val="22"/>
          <w:szCs w:val="22"/>
          <w:lang w:eastAsia="en-US"/>
        </w:rPr>
        <w:t>–</w:t>
      </w:r>
      <w:r w:rsidR="0093110D" w:rsidRPr="00A572F4">
        <w:rPr>
          <w:rFonts w:ascii="Arial" w:eastAsiaTheme="minorHAnsi" w:hAnsi="Arial" w:cs="Arial"/>
          <w:sz w:val="22"/>
          <w:szCs w:val="22"/>
          <w:lang w:eastAsia="en-US"/>
        </w:rPr>
        <w:t>indistintamente de</w:t>
      </w:r>
      <w:r w:rsidR="006B722F" w:rsidRPr="00A572F4">
        <w:rPr>
          <w:rFonts w:ascii="Arial" w:eastAsiaTheme="minorHAnsi" w:hAnsi="Arial" w:cs="Arial"/>
          <w:sz w:val="22"/>
          <w:szCs w:val="22"/>
          <w:lang w:eastAsia="en-US"/>
        </w:rPr>
        <w:t>l</w:t>
      </w:r>
      <w:r w:rsidR="00BF4154" w:rsidRPr="00A572F4">
        <w:rPr>
          <w:rFonts w:ascii="Arial" w:eastAsiaTheme="minorHAnsi" w:hAnsi="Arial" w:cs="Arial"/>
          <w:sz w:val="22"/>
          <w:szCs w:val="22"/>
          <w:lang w:eastAsia="en-US"/>
        </w:rPr>
        <w:t xml:space="preserve"> régimen de </w:t>
      </w:r>
      <w:r w:rsidR="006B722F" w:rsidRPr="00A572F4">
        <w:rPr>
          <w:rFonts w:ascii="Arial" w:eastAsiaTheme="minorHAnsi" w:hAnsi="Arial" w:cs="Arial"/>
          <w:sz w:val="22"/>
          <w:szCs w:val="22"/>
          <w:lang w:eastAsia="en-US"/>
        </w:rPr>
        <w:t>contractual y</w:t>
      </w:r>
      <w:r w:rsidR="003821F1" w:rsidRPr="00A572F4">
        <w:rPr>
          <w:rFonts w:ascii="Arial" w:eastAsiaTheme="minorHAnsi" w:hAnsi="Arial" w:cs="Arial"/>
          <w:sz w:val="22"/>
          <w:szCs w:val="22"/>
          <w:lang w:eastAsia="en-US"/>
        </w:rPr>
        <w:t xml:space="preserve"> el proceso de selección</w:t>
      </w:r>
      <w:r w:rsidR="006B722F" w:rsidRPr="00A572F4">
        <w:rPr>
          <w:rFonts w:ascii="Arial" w:eastAsiaTheme="minorHAnsi" w:hAnsi="Arial" w:cs="Arial"/>
          <w:sz w:val="22"/>
          <w:szCs w:val="22"/>
          <w:lang w:eastAsia="en-US"/>
        </w:rPr>
        <w:t>–</w:t>
      </w:r>
      <w:r w:rsidR="003821F1" w:rsidRPr="00A572F4">
        <w:rPr>
          <w:rFonts w:ascii="Arial" w:eastAsiaTheme="minorHAnsi" w:hAnsi="Arial" w:cs="Arial"/>
          <w:sz w:val="22"/>
          <w:szCs w:val="22"/>
          <w:lang w:eastAsia="en-US"/>
        </w:rPr>
        <w:t xml:space="preserve"> deben aplicar los criterios de desempate de </w:t>
      </w:r>
      <w:r w:rsidR="006B722F" w:rsidRPr="00A572F4">
        <w:rPr>
          <w:rFonts w:ascii="Arial" w:eastAsiaTheme="minorHAnsi" w:hAnsi="Arial" w:cs="Arial"/>
          <w:sz w:val="22"/>
          <w:szCs w:val="22"/>
          <w:lang w:eastAsia="en-US"/>
        </w:rPr>
        <w:t xml:space="preserve">esta </w:t>
      </w:r>
      <w:r w:rsidR="003821F1" w:rsidRPr="00A572F4">
        <w:rPr>
          <w:rFonts w:ascii="Arial" w:eastAsiaTheme="minorHAnsi" w:hAnsi="Arial" w:cs="Arial"/>
          <w:sz w:val="22"/>
          <w:szCs w:val="22"/>
          <w:lang w:eastAsia="en-US"/>
        </w:rPr>
        <w:t>norma, lo cual</w:t>
      </w:r>
      <w:r w:rsidR="00C37BD9" w:rsidRPr="00A572F4">
        <w:rPr>
          <w:rFonts w:ascii="Arial" w:eastAsiaTheme="minorHAnsi" w:hAnsi="Arial" w:cs="Arial"/>
          <w:sz w:val="22"/>
          <w:szCs w:val="22"/>
          <w:lang w:eastAsia="en-US"/>
        </w:rPr>
        <w:t xml:space="preserve"> aplica a</w:t>
      </w:r>
      <w:r w:rsidR="00B97B5E" w:rsidRPr="00A572F4">
        <w:rPr>
          <w:rFonts w:ascii="Arial" w:eastAsiaTheme="minorHAnsi" w:hAnsi="Arial" w:cs="Arial"/>
          <w:sz w:val="22"/>
          <w:szCs w:val="22"/>
          <w:lang w:eastAsia="en-US"/>
        </w:rPr>
        <w:t xml:space="preserve"> los</w:t>
      </w:r>
      <w:r w:rsidR="00C37BD9" w:rsidRPr="00A572F4">
        <w:rPr>
          <w:rFonts w:ascii="Arial" w:eastAsiaTheme="minorHAnsi" w:hAnsi="Arial" w:cs="Arial"/>
          <w:sz w:val="22"/>
          <w:szCs w:val="22"/>
          <w:lang w:eastAsia="en-US"/>
        </w:rPr>
        <w:t xml:space="preserve"> procedimiento</w:t>
      </w:r>
      <w:r w:rsidR="00B97B5E" w:rsidRPr="00A572F4">
        <w:rPr>
          <w:rFonts w:ascii="Arial" w:eastAsiaTheme="minorHAnsi" w:hAnsi="Arial" w:cs="Arial"/>
          <w:sz w:val="22"/>
          <w:szCs w:val="22"/>
          <w:lang w:eastAsia="en-US"/>
        </w:rPr>
        <w:t>s de subasta inversa y</w:t>
      </w:r>
      <w:r w:rsidR="00C37BD9" w:rsidRPr="00A572F4">
        <w:rPr>
          <w:rFonts w:ascii="Arial" w:eastAsiaTheme="minorHAnsi" w:hAnsi="Arial" w:cs="Arial"/>
          <w:sz w:val="22"/>
          <w:szCs w:val="22"/>
          <w:lang w:eastAsia="en-US"/>
        </w:rPr>
        <w:t xml:space="preserve"> de mínima cuantía. </w:t>
      </w:r>
      <w:r w:rsidR="00495553" w:rsidRPr="00A572F4">
        <w:rPr>
          <w:rFonts w:ascii="Arial" w:eastAsiaTheme="minorHAnsi" w:hAnsi="Arial" w:cs="Arial"/>
          <w:sz w:val="22"/>
          <w:szCs w:val="22"/>
          <w:lang w:eastAsia="en-US"/>
        </w:rPr>
        <w:t>Conforme al</w:t>
      </w:r>
      <w:r w:rsidR="00C37BD9" w:rsidRPr="00A572F4">
        <w:rPr>
          <w:rFonts w:ascii="Arial" w:eastAsiaTheme="minorHAnsi" w:hAnsi="Arial" w:cs="Arial"/>
          <w:sz w:val="22"/>
          <w:szCs w:val="22"/>
          <w:lang w:eastAsia="en-US"/>
        </w:rPr>
        <w:t xml:space="preserve"> ámbito de aplicación, </w:t>
      </w:r>
      <w:r w:rsidR="005474DA" w:rsidRPr="00A572F4">
        <w:rPr>
          <w:rFonts w:ascii="Arial" w:eastAsiaTheme="minorHAnsi" w:hAnsi="Arial" w:cs="Arial"/>
          <w:sz w:val="22"/>
          <w:szCs w:val="22"/>
          <w:lang w:eastAsia="en-US"/>
        </w:rPr>
        <w:t>la regulación de</w:t>
      </w:r>
      <w:r w:rsidR="003D2E69" w:rsidRPr="00A572F4">
        <w:rPr>
          <w:rFonts w:ascii="Arial" w:eastAsiaTheme="minorHAnsi" w:hAnsi="Arial" w:cs="Arial"/>
          <w:sz w:val="22"/>
          <w:szCs w:val="22"/>
          <w:lang w:eastAsia="en-US"/>
        </w:rPr>
        <w:t>l tema en la Ley de Emprendimiento</w:t>
      </w:r>
      <w:r w:rsidR="00C37BD9" w:rsidRPr="00A572F4">
        <w:rPr>
          <w:rFonts w:ascii="Arial" w:eastAsiaTheme="minorHAnsi" w:hAnsi="Arial" w:cs="Arial"/>
          <w:sz w:val="22"/>
          <w:szCs w:val="22"/>
          <w:lang w:eastAsia="en-US"/>
        </w:rPr>
        <w:t xml:space="preserve"> ha generado la derogatoria y decaimiento </w:t>
      </w:r>
      <w:r w:rsidR="005357FA" w:rsidRPr="00A572F4">
        <w:rPr>
          <w:rFonts w:ascii="Arial" w:eastAsiaTheme="minorHAnsi" w:hAnsi="Arial" w:cs="Arial"/>
          <w:sz w:val="22"/>
          <w:szCs w:val="22"/>
          <w:lang w:eastAsia="en-US"/>
        </w:rPr>
        <w:t>del numeral</w:t>
      </w:r>
      <w:r w:rsidR="00B97B5E" w:rsidRPr="00A572F4">
        <w:rPr>
          <w:rFonts w:ascii="Arial" w:eastAsiaTheme="minorHAnsi" w:hAnsi="Arial" w:cs="Arial"/>
          <w:sz w:val="22"/>
          <w:szCs w:val="22"/>
          <w:lang w:eastAsia="en-US"/>
        </w:rPr>
        <w:t xml:space="preserve"> 9 del artículo </w:t>
      </w:r>
      <w:r w:rsidR="00B97B5E" w:rsidRPr="00A572F4">
        <w:rPr>
          <w:rFonts w:ascii="Arial" w:eastAsia="Calibri" w:hAnsi="Arial" w:cs="Arial"/>
          <w:sz w:val="22"/>
          <w:szCs w:val="22"/>
          <w:lang w:val="es-ES_tradnl"/>
        </w:rPr>
        <w:t xml:space="preserve">2.2.1.2.1.2.2, y del </w:t>
      </w:r>
      <w:r w:rsidR="005357FA" w:rsidRPr="00A572F4">
        <w:rPr>
          <w:rFonts w:ascii="Arial" w:eastAsiaTheme="minorHAnsi" w:hAnsi="Arial" w:cs="Arial"/>
          <w:sz w:val="22"/>
          <w:szCs w:val="22"/>
          <w:lang w:eastAsia="en-US"/>
        </w:rPr>
        <w:t>7 del artículo</w:t>
      </w:r>
      <w:r w:rsidR="002A725A" w:rsidRPr="00A572F4">
        <w:rPr>
          <w:rFonts w:ascii="Arial" w:eastAsiaTheme="minorHAnsi" w:hAnsi="Arial" w:cs="Arial"/>
          <w:sz w:val="22"/>
          <w:szCs w:val="22"/>
          <w:lang w:eastAsia="en-US"/>
        </w:rPr>
        <w:t xml:space="preserve"> </w:t>
      </w:r>
      <w:r w:rsidR="002A725A" w:rsidRPr="00A572F4">
        <w:rPr>
          <w:rFonts w:ascii="Arial" w:eastAsia="Calibri" w:hAnsi="Arial" w:cs="Arial"/>
          <w:sz w:val="22"/>
          <w:szCs w:val="22"/>
          <w:lang w:val="es-ES_tradnl"/>
        </w:rPr>
        <w:t>2.2.1.2.1.5.2</w:t>
      </w:r>
      <w:r w:rsidR="00463B3C" w:rsidRPr="00A572F4">
        <w:rPr>
          <w:rFonts w:ascii="Arial" w:eastAsia="Calibri" w:hAnsi="Arial" w:cs="Arial"/>
          <w:sz w:val="22"/>
          <w:szCs w:val="22"/>
          <w:lang w:val="es-ES_tradnl"/>
        </w:rPr>
        <w:t xml:space="preserve"> del Decreto 1082 de 2015</w:t>
      </w:r>
      <w:r w:rsidR="00127278" w:rsidRPr="00A572F4">
        <w:rPr>
          <w:rFonts w:ascii="Arial" w:eastAsia="Calibri" w:hAnsi="Arial" w:cs="Arial"/>
          <w:sz w:val="22"/>
          <w:szCs w:val="22"/>
          <w:lang w:val="es-ES_tradnl"/>
        </w:rPr>
        <w:t>.</w:t>
      </w:r>
      <w:r w:rsidR="00E47EFD" w:rsidRPr="00A572F4">
        <w:rPr>
          <w:rFonts w:ascii="Arial" w:eastAsia="Calibri" w:hAnsi="Arial" w:cs="Arial"/>
          <w:sz w:val="22"/>
          <w:szCs w:val="22"/>
          <w:lang w:val="es-ES_tradnl"/>
        </w:rPr>
        <w:t xml:space="preserve"> Esto</w:t>
      </w:r>
      <w:r w:rsidR="0067645B" w:rsidRPr="00A572F4">
        <w:rPr>
          <w:rFonts w:ascii="Arial" w:eastAsia="Calibri" w:hAnsi="Arial" w:cs="Arial"/>
          <w:sz w:val="22"/>
          <w:szCs w:val="22"/>
          <w:lang w:val="es-ES_tradnl"/>
        </w:rPr>
        <w:t xml:space="preserve"> significa que</w:t>
      </w:r>
      <w:r w:rsidR="00EC1F36" w:rsidRPr="00A572F4">
        <w:rPr>
          <w:rFonts w:ascii="Arial" w:eastAsia="Calibri" w:hAnsi="Arial" w:cs="Arial"/>
          <w:sz w:val="22"/>
          <w:szCs w:val="22"/>
          <w:lang w:val="es-ES_tradnl"/>
        </w:rPr>
        <w:t>, con excepción de</w:t>
      </w:r>
      <w:r w:rsidR="00343B9E" w:rsidRPr="00A572F4">
        <w:rPr>
          <w:rFonts w:ascii="Arial" w:eastAsia="Calibri" w:hAnsi="Arial" w:cs="Arial"/>
          <w:sz w:val="22"/>
          <w:szCs w:val="22"/>
          <w:lang w:val="es-ES_tradnl"/>
        </w:rPr>
        <w:t xml:space="preserve"> </w:t>
      </w:r>
      <w:r w:rsidR="00EC1F36" w:rsidRPr="00A572F4">
        <w:rPr>
          <w:rFonts w:ascii="Arial" w:eastAsia="Calibri" w:hAnsi="Arial" w:cs="Arial"/>
          <w:sz w:val="22"/>
          <w:szCs w:val="22"/>
          <w:lang w:val="es-ES_tradnl"/>
        </w:rPr>
        <w:t>l</w:t>
      </w:r>
      <w:r w:rsidR="00343B9E" w:rsidRPr="00A572F4">
        <w:rPr>
          <w:rFonts w:ascii="Arial" w:eastAsia="Calibri" w:hAnsi="Arial" w:cs="Arial"/>
          <w:sz w:val="22"/>
          <w:szCs w:val="22"/>
          <w:lang w:val="es-ES_tradnl"/>
        </w:rPr>
        <w:t>os</w:t>
      </w:r>
      <w:r w:rsidR="00EC1F36" w:rsidRPr="00A572F4">
        <w:rPr>
          <w:rFonts w:ascii="Arial" w:eastAsia="Calibri" w:hAnsi="Arial" w:cs="Arial"/>
          <w:sz w:val="22"/>
          <w:szCs w:val="22"/>
          <w:lang w:val="es-ES_tradnl"/>
        </w:rPr>
        <w:t xml:space="preserve"> numeral</w:t>
      </w:r>
      <w:r w:rsidR="00343B9E" w:rsidRPr="00A572F4">
        <w:rPr>
          <w:rFonts w:ascii="Arial" w:eastAsia="Calibri" w:hAnsi="Arial" w:cs="Arial"/>
          <w:sz w:val="22"/>
          <w:szCs w:val="22"/>
          <w:lang w:val="es-ES_tradnl"/>
        </w:rPr>
        <w:t>es</w:t>
      </w:r>
      <w:r w:rsidR="00EC1F36" w:rsidRPr="00A572F4">
        <w:rPr>
          <w:rFonts w:ascii="Arial" w:eastAsia="Calibri" w:hAnsi="Arial" w:cs="Arial"/>
          <w:sz w:val="22"/>
          <w:szCs w:val="22"/>
          <w:lang w:val="es-ES_tradnl"/>
        </w:rPr>
        <w:t xml:space="preserve"> citado</w:t>
      </w:r>
      <w:r w:rsidR="00343B9E" w:rsidRPr="00A572F4">
        <w:rPr>
          <w:rFonts w:ascii="Arial" w:eastAsia="Calibri" w:hAnsi="Arial" w:cs="Arial"/>
          <w:sz w:val="22"/>
          <w:szCs w:val="22"/>
          <w:lang w:val="es-ES_tradnl"/>
        </w:rPr>
        <w:t>s</w:t>
      </w:r>
      <w:r w:rsidR="00EC1F36" w:rsidRPr="00A572F4">
        <w:rPr>
          <w:rFonts w:ascii="Arial" w:eastAsia="Calibri" w:hAnsi="Arial" w:cs="Arial"/>
          <w:sz w:val="22"/>
          <w:szCs w:val="22"/>
          <w:lang w:val="es-ES_tradnl"/>
        </w:rPr>
        <w:t>,</w:t>
      </w:r>
      <w:r w:rsidR="003D2E69" w:rsidRPr="00A572F4">
        <w:rPr>
          <w:rFonts w:ascii="Arial" w:eastAsia="Calibri" w:hAnsi="Arial" w:cs="Arial"/>
          <w:sz w:val="22"/>
          <w:szCs w:val="22"/>
          <w:lang w:val="es-ES_tradnl"/>
        </w:rPr>
        <w:t xml:space="preserve"> es posible</w:t>
      </w:r>
      <w:r w:rsidR="00303629" w:rsidRPr="00A572F4">
        <w:rPr>
          <w:rFonts w:ascii="Arial" w:eastAsia="Calibri" w:hAnsi="Arial" w:cs="Arial"/>
          <w:sz w:val="22"/>
          <w:szCs w:val="22"/>
          <w:lang w:val="es-ES_tradnl"/>
        </w:rPr>
        <w:t xml:space="preserve"> adelantar procesos de </w:t>
      </w:r>
      <w:r w:rsidR="00303629" w:rsidRPr="00A572F4">
        <w:rPr>
          <w:rFonts w:ascii="Arial" w:eastAsia="Calibri" w:hAnsi="Arial" w:cs="Arial"/>
          <w:sz w:val="22"/>
          <w:szCs w:val="22"/>
          <w:lang w:val="es-ES_tradnl"/>
        </w:rPr>
        <w:lastRenderedPageBreak/>
        <w:t>selección</w:t>
      </w:r>
      <w:r w:rsidR="00343B9E" w:rsidRPr="00A572F4">
        <w:rPr>
          <w:rFonts w:ascii="Arial" w:eastAsia="Calibri" w:hAnsi="Arial" w:cs="Arial"/>
          <w:sz w:val="22"/>
          <w:szCs w:val="22"/>
          <w:lang w:val="es-ES_tradnl"/>
        </w:rPr>
        <w:t xml:space="preserve"> mediante el mecanismo de subasta inversa, al igual que en la modalidad </w:t>
      </w:r>
      <w:r w:rsidR="008414F0" w:rsidRPr="00A572F4">
        <w:rPr>
          <w:rFonts w:ascii="Arial" w:eastAsia="Calibri" w:hAnsi="Arial" w:cs="Arial"/>
          <w:sz w:val="22"/>
          <w:szCs w:val="22"/>
          <w:lang w:val="es-ES_tradnl"/>
        </w:rPr>
        <w:t>de mínima</w:t>
      </w:r>
      <w:r w:rsidR="00E32279" w:rsidRPr="00A572F4">
        <w:rPr>
          <w:rFonts w:ascii="Arial" w:eastAsia="Calibri" w:hAnsi="Arial" w:cs="Arial"/>
          <w:sz w:val="22"/>
          <w:szCs w:val="22"/>
          <w:lang w:val="es-ES_tradnl"/>
        </w:rPr>
        <w:t xml:space="preserve"> cuantía</w:t>
      </w:r>
      <w:r w:rsidR="00343B9E" w:rsidRPr="00A572F4">
        <w:rPr>
          <w:rFonts w:ascii="Arial" w:eastAsia="Calibri" w:hAnsi="Arial" w:cs="Arial"/>
          <w:sz w:val="22"/>
          <w:szCs w:val="22"/>
          <w:lang w:val="es-ES_tradnl"/>
        </w:rPr>
        <w:t>,</w:t>
      </w:r>
      <w:r w:rsidR="00E31FCF" w:rsidRPr="00A572F4">
        <w:rPr>
          <w:rFonts w:ascii="Arial" w:eastAsia="Calibri" w:hAnsi="Arial" w:cs="Arial"/>
          <w:sz w:val="22"/>
          <w:szCs w:val="22"/>
          <w:lang w:val="es-ES_tradnl"/>
        </w:rPr>
        <w:t xml:space="preserve"> </w:t>
      </w:r>
      <w:r w:rsidR="00343B9E" w:rsidRPr="00A572F4">
        <w:rPr>
          <w:rFonts w:ascii="Arial" w:eastAsia="Calibri" w:hAnsi="Arial" w:cs="Arial"/>
          <w:sz w:val="22"/>
          <w:szCs w:val="22"/>
          <w:lang w:val="es-ES_tradnl"/>
        </w:rPr>
        <w:t>siguiendo los</w:t>
      </w:r>
      <w:r w:rsidR="00E32279" w:rsidRPr="00A572F4">
        <w:rPr>
          <w:rFonts w:ascii="Arial" w:eastAsia="Calibri" w:hAnsi="Arial" w:cs="Arial"/>
          <w:sz w:val="22"/>
          <w:szCs w:val="22"/>
          <w:lang w:val="es-ES_tradnl"/>
        </w:rPr>
        <w:t xml:space="preserve"> procedimiento</w:t>
      </w:r>
      <w:r w:rsidR="00343B9E" w:rsidRPr="00A572F4">
        <w:rPr>
          <w:rFonts w:ascii="Arial" w:eastAsia="Calibri" w:hAnsi="Arial" w:cs="Arial"/>
          <w:sz w:val="22"/>
          <w:szCs w:val="22"/>
          <w:lang w:val="es-ES_tradnl"/>
        </w:rPr>
        <w:t>s de los artículos 2.2.1.2.1.2.2 y</w:t>
      </w:r>
      <w:r w:rsidR="00652E9C">
        <w:rPr>
          <w:rFonts w:ascii="Arial" w:eastAsia="Calibri" w:hAnsi="Arial" w:cs="Arial"/>
          <w:sz w:val="22"/>
          <w:szCs w:val="22"/>
          <w:lang w:val="es-ES_tradnl"/>
        </w:rPr>
        <w:t xml:space="preserve"> </w:t>
      </w:r>
      <w:r w:rsidR="00343B9E" w:rsidRPr="00A572F4">
        <w:rPr>
          <w:rFonts w:ascii="Arial" w:eastAsia="Calibri" w:hAnsi="Arial" w:cs="Arial"/>
          <w:sz w:val="22"/>
          <w:szCs w:val="22"/>
          <w:lang w:val="es-ES_tradnl"/>
        </w:rPr>
        <w:t>2.2.1.2.1.5.2</w:t>
      </w:r>
      <w:r w:rsidR="009B48F8" w:rsidRPr="00A572F4">
        <w:rPr>
          <w:rFonts w:ascii="Arial" w:eastAsia="Calibri" w:hAnsi="Arial" w:cs="Arial"/>
          <w:sz w:val="22"/>
          <w:szCs w:val="22"/>
          <w:lang w:val="es-ES_tradnl"/>
        </w:rPr>
        <w:t>,</w:t>
      </w:r>
      <w:r w:rsidR="00343B9E" w:rsidRPr="00A572F4">
        <w:rPr>
          <w:rFonts w:ascii="Arial" w:eastAsia="Calibri" w:hAnsi="Arial" w:cs="Arial"/>
          <w:sz w:val="22"/>
          <w:szCs w:val="22"/>
          <w:lang w:val="es-ES_tradnl"/>
        </w:rPr>
        <w:t xml:space="preserve"> respectivamente,</w:t>
      </w:r>
      <w:r w:rsidR="009B48F8" w:rsidRPr="00A572F4">
        <w:rPr>
          <w:rFonts w:ascii="Arial" w:eastAsia="Calibri" w:hAnsi="Arial" w:cs="Arial"/>
          <w:sz w:val="22"/>
          <w:szCs w:val="22"/>
          <w:lang w:val="es-ES_tradnl"/>
        </w:rPr>
        <w:t xml:space="preserve"> </w:t>
      </w:r>
      <w:r w:rsidR="00E31FCF" w:rsidRPr="00A572F4">
        <w:rPr>
          <w:rFonts w:ascii="Arial" w:eastAsia="Calibri" w:hAnsi="Arial" w:cs="Arial"/>
          <w:sz w:val="22"/>
          <w:szCs w:val="22"/>
          <w:lang w:val="es-ES_tradnl"/>
        </w:rPr>
        <w:t>para lo</w:t>
      </w:r>
      <w:r w:rsidR="009B48F8" w:rsidRPr="00A572F4">
        <w:rPr>
          <w:rFonts w:ascii="Arial" w:eastAsia="Calibri" w:hAnsi="Arial" w:cs="Arial"/>
          <w:sz w:val="22"/>
          <w:szCs w:val="22"/>
          <w:lang w:val="es-ES_tradnl"/>
        </w:rPr>
        <w:t xml:space="preserve"> cual </w:t>
      </w:r>
      <w:r w:rsidR="00E31FCF" w:rsidRPr="00A572F4">
        <w:rPr>
          <w:rFonts w:ascii="Arial" w:eastAsia="Calibri" w:hAnsi="Arial" w:cs="Arial"/>
          <w:sz w:val="22"/>
          <w:szCs w:val="22"/>
          <w:lang w:val="es-ES_tradnl"/>
        </w:rPr>
        <w:t xml:space="preserve">–en caso de empate– </w:t>
      </w:r>
      <w:r w:rsidR="009B48F8" w:rsidRPr="00A572F4">
        <w:rPr>
          <w:rFonts w:ascii="Arial" w:eastAsia="Calibri" w:hAnsi="Arial" w:cs="Arial"/>
          <w:sz w:val="22"/>
          <w:szCs w:val="22"/>
          <w:lang w:val="es-ES_tradnl"/>
        </w:rPr>
        <w:t>debe</w:t>
      </w:r>
      <w:r w:rsidR="00343B9E" w:rsidRPr="00A572F4">
        <w:rPr>
          <w:rFonts w:ascii="Arial" w:eastAsia="Calibri" w:hAnsi="Arial" w:cs="Arial"/>
          <w:sz w:val="22"/>
          <w:szCs w:val="22"/>
          <w:lang w:val="es-ES_tradnl"/>
        </w:rPr>
        <w:t>rá</w:t>
      </w:r>
      <w:r w:rsidR="009B48F8" w:rsidRPr="00A572F4">
        <w:rPr>
          <w:rFonts w:ascii="Arial" w:eastAsia="Calibri" w:hAnsi="Arial" w:cs="Arial"/>
          <w:sz w:val="22"/>
          <w:szCs w:val="22"/>
          <w:lang w:val="es-ES_tradnl"/>
        </w:rPr>
        <w:t xml:space="preserve"> aplicar</w:t>
      </w:r>
      <w:r w:rsidR="008D3FFE" w:rsidRPr="00A572F4">
        <w:rPr>
          <w:rFonts w:ascii="Arial" w:eastAsia="Calibri" w:hAnsi="Arial" w:cs="Arial"/>
          <w:sz w:val="22"/>
          <w:szCs w:val="22"/>
          <w:lang w:val="es-ES_tradnl"/>
        </w:rPr>
        <w:t>se</w:t>
      </w:r>
      <w:r w:rsidR="009B48F8" w:rsidRPr="00A572F4">
        <w:rPr>
          <w:rFonts w:ascii="Arial" w:eastAsia="Calibri" w:hAnsi="Arial" w:cs="Arial"/>
          <w:sz w:val="22"/>
          <w:szCs w:val="22"/>
          <w:lang w:val="es-ES_tradnl"/>
        </w:rPr>
        <w:t xml:space="preserve"> el artículo 35 de la Ley 2069 de 2020</w:t>
      </w:r>
      <w:r w:rsidR="00540048">
        <w:rPr>
          <w:rFonts w:ascii="Arial" w:eastAsia="Calibri" w:hAnsi="Arial" w:cs="Arial"/>
          <w:sz w:val="22"/>
          <w:szCs w:val="22"/>
          <w:lang w:val="es-ES_tradnl"/>
        </w:rPr>
        <w:t xml:space="preserve"> </w:t>
      </w:r>
      <w:r w:rsidR="00540048" w:rsidRPr="00A572F4">
        <w:rPr>
          <w:rFonts w:ascii="Arial" w:eastAsia="Calibri" w:hAnsi="Arial" w:cs="Arial"/>
          <w:sz w:val="22"/>
          <w:szCs w:val="22"/>
          <w:lang w:val="es-ES_tradnl"/>
        </w:rPr>
        <w:t>en ambos casos</w:t>
      </w:r>
      <w:r w:rsidR="008D3FFE" w:rsidRPr="00A572F4">
        <w:rPr>
          <w:rFonts w:ascii="Arial" w:eastAsia="Calibri" w:hAnsi="Arial" w:cs="Arial"/>
          <w:sz w:val="22"/>
          <w:szCs w:val="22"/>
          <w:lang w:val="es-ES_tradnl"/>
        </w:rPr>
        <w:t>.</w:t>
      </w:r>
    </w:p>
    <w:p w14:paraId="4E673C3B" w14:textId="5D17AF7B" w:rsidR="007E7E0E" w:rsidRPr="00A572F4" w:rsidRDefault="00127278" w:rsidP="00522759">
      <w:pPr>
        <w:tabs>
          <w:tab w:val="left" w:pos="0"/>
        </w:tabs>
        <w:spacing w:after="120" w:line="276" w:lineRule="auto"/>
        <w:jc w:val="both"/>
        <w:rPr>
          <w:rFonts w:ascii="Arial" w:eastAsia="Calibri" w:hAnsi="Arial" w:cs="Arial"/>
          <w:bCs/>
          <w:sz w:val="22"/>
          <w:szCs w:val="22"/>
        </w:rPr>
      </w:pPr>
      <w:r w:rsidRPr="00A572F4">
        <w:rPr>
          <w:rFonts w:ascii="Arial" w:eastAsia="Calibri" w:hAnsi="Arial" w:cs="Arial"/>
          <w:sz w:val="22"/>
          <w:szCs w:val="22"/>
          <w:lang w:val="es-ES_tradnl"/>
        </w:rPr>
        <w:tab/>
      </w:r>
      <w:r w:rsidR="00343B9E" w:rsidRPr="00A572F4">
        <w:rPr>
          <w:rFonts w:ascii="Arial" w:eastAsia="Calibri" w:hAnsi="Arial" w:cs="Arial"/>
          <w:sz w:val="22"/>
          <w:szCs w:val="22"/>
          <w:lang w:val="es-ES_tradnl"/>
        </w:rPr>
        <w:t>El hecho de que en estos procedimientos la determinación de la oferta más favorable no esté mediada por el uso de «puntaje»</w:t>
      </w:r>
      <w:r w:rsidR="00522759" w:rsidRPr="00A572F4">
        <w:rPr>
          <w:rFonts w:ascii="Arial" w:eastAsia="Calibri" w:hAnsi="Arial" w:cs="Arial"/>
          <w:sz w:val="22"/>
          <w:szCs w:val="22"/>
          <w:lang w:val="es-ES_tradnl"/>
        </w:rPr>
        <w:t>, y que el artículo 35 de la Ley 2069 de 2020 sea aplicable en «</w:t>
      </w:r>
      <w:r w:rsidR="00522759" w:rsidRPr="00A572F4">
        <w:rPr>
          <w:rFonts w:ascii="Arial" w:hAnsi="Arial" w:cs="Arial"/>
          <w:sz w:val="22"/>
          <w:szCs w:val="22"/>
        </w:rPr>
        <w:t>[..] caso de empate en el puntaje total de dos o más ofertas […]»,</w:t>
      </w:r>
      <w:r w:rsidR="00522759" w:rsidRPr="00A572F4">
        <w:rPr>
          <w:rFonts w:ascii="Arial" w:eastAsia="Calibri" w:hAnsi="Arial" w:cs="Arial"/>
          <w:sz w:val="22"/>
          <w:szCs w:val="22"/>
          <w:lang w:val="es-ES_tradnl"/>
        </w:rPr>
        <w:t xml:space="preserve"> no significa que dicha noma no deba aplica</w:t>
      </w:r>
      <w:r w:rsidR="00CF40C1">
        <w:rPr>
          <w:rFonts w:ascii="Arial" w:eastAsia="Calibri" w:hAnsi="Arial" w:cs="Arial"/>
          <w:sz w:val="22"/>
          <w:szCs w:val="22"/>
          <w:lang w:val="es-ES_tradnl"/>
        </w:rPr>
        <w:t>rse</w:t>
      </w:r>
      <w:r w:rsidR="00522759" w:rsidRPr="00A572F4">
        <w:rPr>
          <w:rFonts w:ascii="Arial" w:eastAsia="Calibri" w:hAnsi="Arial" w:cs="Arial"/>
          <w:sz w:val="22"/>
          <w:szCs w:val="22"/>
          <w:lang w:val="es-ES_tradnl"/>
        </w:rPr>
        <w:t xml:space="preserve"> en los referidos procedimientos</w:t>
      </w:r>
      <w:r w:rsidR="00E92C2D" w:rsidRPr="00A572F4">
        <w:rPr>
          <w:rFonts w:ascii="Arial" w:eastAsia="Calibri" w:hAnsi="Arial" w:cs="Arial"/>
          <w:bCs/>
          <w:sz w:val="22"/>
          <w:szCs w:val="22"/>
        </w:rPr>
        <w:t>.</w:t>
      </w:r>
      <w:r w:rsidR="00522759" w:rsidRPr="00A572F4">
        <w:rPr>
          <w:rFonts w:ascii="Arial" w:eastAsia="Calibri" w:hAnsi="Arial" w:cs="Arial"/>
          <w:bCs/>
          <w:sz w:val="22"/>
          <w:szCs w:val="22"/>
        </w:rPr>
        <w:t xml:space="preserve"> </w:t>
      </w:r>
      <w:r w:rsidR="00522759" w:rsidRPr="00A572F4">
        <w:rPr>
          <w:rFonts w:ascii="Arial" w:eastAsia="Calibri" w:hAnsi="Arial" w:cs="Arial"/>
          <w:sz w:val="22"/>
          <w:szCs w:val="22"/>
          <w:lang w:val="es-ES_tradnl"/>
        </w:rPr>
        <w:t xml:space="preserve">Esto </w:t>
      </w:r>
      <w:r w:rsidR="00DA4265">
        <w:rPr>
          <w:rFonts w:ascii="Arial" w:eastAsia="Calibri" w:hAnsi="Arial" w:cs="Arial"/>
          <w:sz w:val="22"/>
          <w:szCs w:val="22"/>
          <w:lang w:val="es-ES_tradnl"/>
        </w:rPr>
        <w:t>dado</w:t>
      </w:r>
      <w:r w:rsidR="00DA4265" w:rsidRPr="00A572F4">
        <w:rPr>
          <w:rFonts w:ascii="Arial" w:eastAsia="Calibri" w:hAnsi="Arial" w:cs="Arial"/>
          <w:sz w:val="22"/>
          <w:szCs w:val="22"/>
          <w:lang w:val="es-ES_tradnl"/>
        </w:rPr>
        <w:t xml:space="preserve"> </w:t>
      </w:r>
      <w:r w:rsidR="00522759" w:rsidRPr="00A572F4">
        <w:rPr>
          <w:rFonts w:ascii="Arial" w:eastAsia="Calibri" w:hAnsi="Arial" w:cs="Arial"/>
          <w:sz w:val="22"/>
          <w:szCs w:val="22"/>
          <w:lang w:val="es-ES_tradnl"/>
        </w:rPr>
        <w:t>que una interpretación exegética del artículo 35, según la cual este solo es aplicable en los procedimientos en los que se use el «puntaje» como mecanismo de evaluación,</w:t>
      </w:r>
      <w:r w:rsidR="004076A7" w:rsidRPr="00A572F4">
        <w:rPr>
          <w:rFonts w:ascii="Arial" w:eastAsia="Calibri" w:hAnsi="Arial" w:cs="Arial"/>
          <w:sz w:val="22"/>
          <w:szCs w:val="22"/>
          <w:lang w:val="es-ES_tradnl"/>
        </w:rPr>
        <w:t xml:space="preserve"> </w:t>
      </w:r>
      <w:r w:rsidR="006333F8" w:rsidRPr="00A572F4">
        <w:rPr>
          <w:rFonts w:ascii="Arial" w:eastAsia="Calibri" w:hAnsi="Arial" w:cs="Arial"/>
          <w:sz w:val="22"/>
          <w:szCs w:val="22"/>
          <w:lang w:val="es-ES_tradnl"/>
        </w:rPr>
        <w:t xml:space="preserve">no corresponde con la finalidad transversal de </w:t>
      </w:r>
      <w:r w:rsidR="00EB6A67" w:rsidRPr="00A572F4">
        <w:rPr>
          <w:rFonts w:ascii="Arial" w:eastAsia="Calibri" w:hAnsi="Arial" w:cs="Arial"/>
          <w:sz w:val="22"/>
          <w:szCs w:val="22"/>
          <w:lang w:val="es-ES_tradnl"/>
        </w:rPr>
        <w:t xml:space="preserve">la </w:t>
      </w:r>
      <w:r w:rsidR="00522759" w:rsidRPr="00A572F4">
        <w:rPr>
          <w:rFonts w:ascii="Arial" w:eastAsia="Calibri" w:hAnsi="Arial" w:cs="Arial"/>
          <w:sz w:val="22"/>
          <w:szCs w:val="22"/>
          <w:lang w:val="es-ES_tradnl"/>
        </w:rPr>
        <w:t>noma</w:t>
      </w:r>
      <w:r w:rsidR="00F60CFE" w:rsidRPr="00A572F4">
        <w:rPr>
          <w:rFonts w:ascii="Arial" w:eastAsia="Calibri" w:hAnsi="Arial" w:cs="Arial"/>
          <w:sz w:val="22"/>
          <w:szCs w:val="22"/>
          <w:lang w:val="es-ES_tradnl"/>
        </w:rPr>
        <w:t>. E</w:t>
      </w:r>
      <w:r w:rsidR="00522759" w:rsidRPr="00A572F4">
        <w:rPr>
          <w:rFonts w:ascii="Arial" w:eastAsia="Calibri" w:hAnsi="Arial" w:cs="Arial"/>
          <w:sz w:val="22"/>
          <w:szCs w:val="22"/>
          <w:lang w:val="es-ES_tradnl"/>
        </w:rPr>
        <w:t>llo</w:t>
      </w:r>
      <w:r w:rsidR="00F60CFE" w:rsidRPr="00A572F4">
        <w:rPr>
          <w:rFonts w:ascii="Arial" w:eastAsia="Calibri" w:hAnsi="Arial" w:cs="Arial"/>
          <w:sz w:val="22"/>
          <w:szCs w:val="22"/>
          <w:lang w:val="es-ES_tradnl"/>
        </w:rPr>
        <w:t xml:space="preserve"> en la medida</w:t>
      </w:r>
      <w:r w:rsidR="00522759" w:rsidRPr="00A572F4">
        <w:rPr>
          <w:rFonts w:ascii="Arial" w:eastAsia="Calibri" w:hAnsi="Arial" w:cs="Arial"/>
          <w:sz w:val="22"/>
          <w:szCs w:val="22"/>
          <w:lang w:val="es-ES_tradnl"/>
        </w:rPr>
        <w:t xml:space="preserve"> en</w:t>
      </w:r>
      <w:r w:rsidR="00F60CFE" w:rsidRPr="00A572F4">
        <w:rPr>
          <w:rFonts w:ascii="Arial" w:eastAsia="Calibri" w:hAnsi="Arial" w:cs="Arial"/>
          <w:sz w:val="22"/>
          <w:szCs w:val="22"/>
          <w:lang w:val="es-ES_tradnl"/>
        </w:rPr>
        <w:t xml:space="preserve"> que</w:t>
      </w:r>
      <w:r w:rsidR="007D1774" w:rsidRPr="00A572F4">
        <w:rPr>
          <w:rFonts w:ascii="Arial" w:eastAsia="Calibri" w:hAnsi="Arial" w:cs="Arial"/>
          <w:sz w:val="22"/>
          <w:szCs w:val="22"/>
          <w:lang w:val="es-ES_tradnl"/>
        </w:rPr>
        <w:t xml:space="preserve"> </w:t>
      </w:r>
      <w:r w:rsidR="00225CDE" w:rsidRPr="00A572F4">
        <w:rPr>
          <w:rFonts w:ascii="Arial" w:eastAsia="Calibri" w:hAnsi="Arial" w:cs="Arial"/>
          <w:sz w:val="22"/>
          <w:szCs w:val="22"/>
          <w:lang w:val="es-ES_tradnl"/>
        </w:rPr>
        <w:t>los factores de desempate de la Ley de Emprendimiento</w:t>
      </w:r>
      <w:r w:rsidR="00BB2FC4" w:rsidRPr="00A572F4">
        <w:rPr>
          <w:rFonts w:ascii="Arial" w:eastAsia="Calibri" w:hAnsi="Arial" w:cs="Arial"/>
          <w:sz w:val="22"/>
          <w:szCs w:val="22"/>
          <w:lang w:val="es-ES_tradnl"/>
        </w:rPr>
        <w:t xml:space="preserve"> </w:t>
      </w:r>
      <w:r w:rsidR="00F60CFE" w:rsidRPr="00A572F4">
        <w:rPr>
          <w:rFonts w:ascii="Arial" w:eastAsia="Calibri" w:hAnsi="Arial" w:cs="Arial"/>
          <w:sz w:val="22"/>
          <w:szCs w:val="22"/>
          <w:lang w:val="es-ES_tradnl"/>
        </w:rPr>
        <w:t>están concebidos para</w:t>
      </w:r>
      <w:r w:rsidR="002649F3" w:rsidRPr="00A572F4">
        <w:rPr>
          <w:rFonts w:ascii="Arial" w:eastAsia="Calibri" w:hAnsi="Arial" w:cs="Arial"/>
          <w:sz w:val="22"/>
          <w:szCs w:val="22"/>
          <w:lang w:val="es-ES_tradnl"/>
        </w:rPr>
        <w:t xml:space="preserve"> </w:t>
      </w:r>
      <w:r w:rsidR="002649F3" w:rsidRPr="00A572F4">
        <w:rPr>
          <w:rFonts w:ascii="Arial" w:eastAsia="Calibri" w:hAnsi="Arial" w:cs="Arial"/>
          <w:bCs/>
          <w:sz w:val="22"/>
          <w:szCs w:val="22"/>
        </w:rPr>
        <w:t>«[…]</w:t>
      </w:r>
      <w:r w:rsidR="002649F3" w:rsidRPr="00A572F4">
        <w:rPr>
          <w:rFonts w:ascii="Arial" w:hAnsi="Arial" w:cs="Arial"/>
          <w:sz w:val="22"/>
          <w:szCs w:val="22"/>
        </w:rPr>
        <w:t xml:space="preserve">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00BB12EA" w:rsidRPr="00A572F4">
        <w:rPr>
          <w:rFonts w:ascii="Arial" w:hAnsi="Arial" w:cs="Arial"/>
          <w:sz w:val="22"/>
          <w:szCs w:val="22"/>
        </w:rPr>
        <w:t xml:space="preserve"> </w:t>
      </w:r>
      <w:r w:rsidR="002649F3" w:rsidRPr="00A572F4">
        <w:rPr>
          <w:rFonts w:ascii="Arial" w:hAnsi="Arial" w:cs="Arial"/>
          <w:sz w:val="22"/>
          <w:szCs w:val="22"/>
        </w:rPr>
        <w:t>[…]</w:t>
      </w:r>
      <w:r w:rsidR="002649F3" w:rsidRPr="00A572F4">
        <w:rPr>
          <w:rFonts w:ascii="Arial" w:eastAsia="Calibri" w:hAnsi="Arial" w:cs="Arial"/>
          <w:bCs/>
          <w:sz w:val="22"/>
          <w:szCs w:val="22"/>
        </w:rPr>
        <w:t>»</w:t>
      </w:r>
      <w:r w:rsidR="007D1774" w:rsidRPr="00A572F4">
        <w:rPr>
          <w:rFonts w:ascii="Arial" w:eastAsia="Calibri" w:hAnsi="Arial" w:cs="Arial"/>
          <w:bCs/>
          <w:sz w:val="22"/>
          <w:szCs w:val="22"/>
        </w:rPr>
        <w:t>.</w:t>
      </w:r>
    </w:p>
    <w:p w14:paraId="0B672F1C" w14:textId="23D5FE1A" w:rsidR="00D82C77" w:rsidRPr="00A572F4" w:rsidRDefault="00D82C77" w:rsidP="00EB2ED0">
      <w:pPr>
        <w:tabs>
          <w:tab w:val="left" w:pos="0"/>
        </w:tabs>
        <w:spacing w:after="120" w:line="276" w:lineRule="auto"/>
        <w:jc w:val="both"/>
        <w:rPr>
          <w:rFonts w:ascii="Arial" w:eastAsia="Calibri" w:hAnsi="Arial" w:cs="Arial"/>
          <w:bCs/>
          <w:sz w:val="22"/>
          <w:szCs w:val="22"/>
        </w:rPr>
      </w:pPr>
      <w:r w:rsidRPr="00A572F4">
        <w:rPr>
          <w:rFonts w:ascii="Arial" w:eastAsia="Calibri" w:hAnsi="Arial" w:cs="Arial"/>
          <w:bCs/>
          <w:sz w:val="22"/>
          <w:szCs w:val="22"/>
        </w:rPr>
        <w:tab/>
      </w:r>
      <w:r w:rsidR="00F60CFE" w:rsidRPr="00A572F4">
        <w:rPr>
          <w:rFonts w:ascii="Arial" w:eastAsia="Calibri" w:hAnsi="Arial" w:cs="Arial"/>
          <w:bCs/>
          <w:sz w:val="22"/>
          <w:szCs w:val="22"/>
        </w:rPr>
        <w:t>Por lo anterior</w:t>
      </w:r>
      <w:r w:rsidR="0020797E" w:rsidRPr="00A572F4">
        <w:rPr>
          <w:rFonts w:ascii="Arial" w:eastAsia="Calibri" w:hAnsi="Arial" w:cs="Arial"/>
          <w:bCs/>
          <w:sz w:val="22"/>
          <w:szCs w:val="22"/>
        </w:rPr>
        <w:t xml:space="preserve">, se considera que el alcance de la expresión </w:t>
      </w:r>
      <w:r w:rsidR="0020797E" w:rsidRPr="00A572F4">
        <w:rPr>
          <w:rFonts w:ascii="Arial" w:eastAsia="Calibri" w:hAnsi="Arial" w:cs="Arial"/>
          <w:bCs/>
          <w:i/>
          <w:iCs/>
          <w:sz w:val="22"/>
          <w:szCs w:val="22"/>
        </w:rPr>
        <w:t xml:space="preserve">puntaje total, </w:t>
      </w:r>
      <w:r w:rsidR="0020797E" w:rsidRPr="00A572F4">
        <w:rPr>
          <w:rFonts w:ascii="Arial" w:eastAsia="Calibri" w:hAnsi="Arial" w:cs="Arial"/>
          <w:bCs/>
          <w:sz w:val="22"/>
          <w:szCs w:val="22"/>
        </w:rPr>
        <w:t>contenida en el artículo 35</w:t>
      </w:r>
      <w:r w:rsidR="000E54A9" w:rsidRPr="00A572F4">
        <w:rPr>
          <w:rFonts w:ascii="Arial" w:eastAsia="Calibri" w:hAnsi="Arial" w:cs="Arial"/>
          <w:bCs/>
          <w:sz w:val="22"/>
          <w:szCs w:val="22"/>
        </w:rPr>
        <w:t xml:space="preserve"> de la Ley 2069 de 2020, </w:t>
      </w:r>
      <w:r w:rsidR="00091957" w:rsidRPr="00A572F4">
        <w:rPr>
          <w:rFonts w:ascii="Arial" w:eastAsia="Calibri" w:hAnsi="Arial" w:cs="Arial"/>
          <w:bCs/>
          <w:sz w:val="22"/>
          <w:szCs w:val="22"/>
        </w:rPr>
        <w:t>debe interpretarse sistemáticamente</w:t>
      </w:r>
      <w:r w:rsidR="00BE7CE9" w:rsidRPr="00A572F4">
        <w:rPr>
          <w:rFonts w:ascii="Arial" w:eastAsia="Calibri" w:hAnsi="Arial" w:cs="Arial"/>
          <w:bCs/>
          <w:sz w:val="22"/>
          <w:szCs w:val="22"/>
        </w:rPr>
        <w:t xml:space="preserve">, </w:t>
      </w:r>
      <w:r w:rsidR="00091957" w:rsidRPr="00A572F4">
        <w:rPr>
          <w:rFonts w:ascii="Arial" w:eastAsia="Calibri" w:hAnsi="Arial" w:cs="Arial"/>
          <w:bCs/>
          <w:sz w:val="22"/>
          <w:szCs w:val="22"/>
        </w:rPr>
        <w:t>propiciando</w:t>
      </w:r>
      <w:r w:rsidR="00460B4F" w:rsidRPr="00A572F4">
        <w:rPr>
          <w:rFonts w:ascii="Arial" w:eastAsia="Calibri" w:hAnsi="Arial" w:cs="Arial"/>
          <w:bCs/>
          <w:sz w:val="22"/>
          <w:szCs w:val="22"/>
        </w:rPr>
        <w:t xml:space="preserve"> u</w:t>
      </w:r>
      <w:r w:rsidR="007E526E" w:rsidRPr="00A572F4">
        <w:rPr>
          <w:rFonts w:ascii="Arial" w:eastAsia="Calibri" w:hAnsi="Arial" w:cs="Arial"/>
          <w:bCs/>
          <w:sz w:val="22"/>
          <w:szCs w:val="22"/>
        </w:rPr>
        <w:t xml:space="preserve">na aplicación normativa </w:t>
      </w:r>
      <w:r w:rsidR="00460B4F" w:rsidRPr="00A572F4">
        <w:rPr>
          <w:rFonts w:ascii="Arial" w:eastAsia="Calibri" w:hAnsi="Arial" w:cs="Arial"/>
          <w:bCs/>
          <w:sz w:val="22"/>
          <w:szCs w:val="22"/>
        </w:rPr>
        <w:t xml:space="preserve">coherente </w:t>
      </w:r>
      <w:r w:rsidR="000829AE" w:rsidRPr="00A572F4">
        <w:rPr>
          <w:rFonts w:ascii="Arial" w:eastAsia="Calibri" w:hAnsi="Arial" w:cs="Arial"/>
          <w:bCs/>
          <w:sz w:val="22"/>
          <w:szCs w:val="22"/>
        </w:rPr>
        <w:t>con</w:t>
      </w:r>
      <w:r w:rsidR="00BE7CE9" w:rsidRPr="00A572F4">
        <w:rPr>
          <w:rFonts w:ascii="Arial" w:eastAsia="Calibri" w:hAnsi="Arial" w:cs="Arial"/>
          <w:bCs/>
          <w:sz w:val="22"/>
          <w:szCs w:val="22"/>
        </w:rPr>
        <w:t xml:space="preserve"> otras</w:t>
      </w:r>
      <w:r w:rsidR="000829AE" w:rsidRPr="00A572F4">
        <w:rPr>
          <w:rFonts w:ascii="Arial" w:eastAsia="Calibri" w:hAnsi="Arial" w:cs="Arial"/>
          <w:bCs/>
          <w:sz w:val="22"/>
          <w:szCs w:val="22"/>
        </w:rPr>
        <w:t xml:space="preserve"> disposiciones d</w:t>
      </w:r>
      <w:r w:rsidR="00BE7CE9" w:rsidRPr="00A572F4">
        <w:rPr>
          <w:rFonts w:ascii="Arial" w:eastAsia="Calibri" w:hAnsi="Arial" w:cs="Arial"/>
          <w:bCs/>
          <w:sz w:val="22"/>
          <w:szCs w:val="22"/>
        </w:rPr>
        <w:t>el sistema de compra pública</w:t>
      </w:r>
      <w:r w:rsidR="00B06530" w:rsidRPr="00A572F4">
        <w:rPr>
          <w:rFonts w:ascii="Arial" w:eastAsia="Calibri" w:hAnsi="Arial" w:cs="Arial"/>
          <w:bCs/>
          <w:sz w:val="22"/>
          <w:szCs w:val="22"/>
        </w:rPr>
        <w:t xml:space="preserve"> y</w:t>
      </w:r>
      <w:r w:rsidR="00BB401E" w:rsidRPr="00A572F4">
        <w:rPr>
          <w:rFonts w:ascii="Arial" w:eastAsia="Calibri" w:hAnsi="Arial" w:cs="Arial"/>
          <w:bCs/>
          <w:sz w:val="22"/>
          <w:szCs w:val="22"/>
        </w:rPr>
        <w:t xml:space="preserve"> que satisfaga</w:t>
      </w:r>
      <w:r w:rsidR="00B06530" w:rsidRPr="00A572F4">
        <w:rPr>
          <w:rFonts w:ascii="Arial" w:eastAsia="Calibri" w:hAnsi="Arial" w:cs="Arial"/>
          <w:bCs/>
          <w:sz w:val="22"/>
          <w:szCs w:val="22"/>
        </w:rPr>
        <w:t>n</w:t>
      </w:r>
      <w:r w:rsidR="00BB401E" w:rsidRPr="00A572F4">
        <w:rPr>
          <w:rFonts w:ascii="Arial" w:eastAsia="Calibri" w:hAnsi="Arial" w:cs="Arial"/>
          <w:bCs/>
          <w:sz w:val="22"/>
          <w:szCs w:val="22"/>
        </w:rPr>
        <w:t xml:space="preserve"> </w:t>
      </w:r>
      <w:r w:rsidR="00185C79" w:rsidRPr="00A572F4">
        <w:rPr>
          <w:rFonts w:ascii="Arial" w:eastAsia="Calibri" w:hAnsi="Arial" w:cs="Arial"/>
          <w:bCs/>
          <w:sz w:val="22"/>
          <w:szCs w:val="22"/>
        </w:rPr>
        <w:t xml:space="preserve">la </w:t>
      </w:r>
      <w:r w:rsidR="00BB401E" w:rsidRPr="00A572F4">
        <w:rPr>
          <w:rFonts w:ascii="Arial" w:eastAsia="Calibri" w:hAnsi="Arial" w:cs="Arial"/>
          <w:bCs/>
          <w:sz w:val="22"/>
          <w:szCs w:val="22"/>
        </w:rPr>
        <w:t>finalidad transversal</w:t>
      </w:r>
      <w:r w:rsidR="00B06530" w:rsidRPr="00A572F4">
        <w:rPr>
          <w:rFonts w:ascii="Arial" w:eastAsia="Calibri" w:hAnsi="Arial" w:cs="Arial"/>
          <w:bCs/>
          <w:sz w:val="22"/>
          <w:szCs w:val="22"/>
        </w:rPr>
        <w:t xml:space="preserve"> de la norma</w:t>
      </w:r>
      <w:r w:rsidR="00BB401E" w:rsidRPr="00A572F4">
        <w:rPr>
          <w:rFonts w:ascii="Arial" w:eastAsia="Calibri" w:hAnsi="Arial" w:cs="Arial"/>
          <w:bCs/>
          <w:sz w:val="22"/>
          <w:szCs w:val="22"/>
        </w:rPr>
        <w:t xml:space="preserve">. </w:t>
      </w:r>
      <w:r w:rsidR="00B06530" w:rsidRPr="00A572F4">
        <w:rPr>
          <w:rFonts w:ascii="Arial" w:eastAsia="Calibri" w:hAnsi="Arial" w:cs="Arial"/>
          <w:bCs/>
          <w:sz w:val="22"/>
          <w:szCs w:val="22"/>
        </w:rPr>
        <w:t>Con este</w:t>
      </w:r>
      <w:r w:rsidR="00B2306B" w:rsidRPr="00A572F4">
        <w:rPr>
          <w:rFonts w:ascii="Arial" w:eastAsia="Calibri" w:hAnsi="Arial" w:cs="Arial"/>
          <w:bCs/>
          <w:sz w:val="22"/>
          <w:szCs w:val="22"/>
        </w:rPr>
        <w:t xml:space="preserve"> propósito, es necesario acudir al artículo 5 de la Ley 1150 de 2007, el cual regula</w:t>
      </w:r>
      <w:r w:rsidR="00AE7388" w:rsidRPr="00A572F4">
        <w:rPr>
          <w:rFonts w:ascii="Arial" w:eastAsia="Calibri" w:hAnsi="Arial" w:cs="Arial"/>
          <w:bCs/>
          <w:sz w:val="22"/>
          <w:szCs w:val="22"/>
        </w:rPr>
        <w:t xml:space="preserve"> el deber de selección objetiva</w:t>
      </w:r>
      <w:r w:rsidR="00CE1641" w:rsidRPr="00A572F4">
        <w:rPr>
          <w:rFonts w:ascii="Arial" w:eastAsia="Calibri" w:hAnsi="Arial" w:cs="Arial"/>
          <w:bCs/>
          <w:sz w:val="22"/>
          <w:szCs w:val="22"/>
        </w:rPr>
        <w:t>, conforme al cual debe</w:t>
      </w:r>
      <w:r w:rsidR="00185C79" w:rsidRPr="00A572F4">
        <w:rPr>
          <w:rFonts w:ascii="Arial" w:eastAsia="Calibri" w:hAnsi="Arial" w:cs="Arial"/>
          <w:bCs/>
          <w:sz w:val="22"/>
          <w:szCs w:val="22"/>
        </w:rPr>
        <w:t xml:space="preserve"> determinarse cu</w:t>
      </w:r>
      <w:r w:rsidR="00CE48E7" w:rsidRPr="00A572F4">
        <w:rPr>
          <w:rFonts w:ascii="Arial" w:eastAsia="Calibri" w:hAnsi="Arial" w:cs="Arial"/>
          <w:bCs/>
          <w:sz w:val="22"/>
          <w:szCs w:val="22"/>
        </w:rPr>
        <w:t>á</w:t>
      </w:r>
      <w:r w:rsidR="00185C79" w:rsidRPr="00A572F4">
        <w:rPr>
          <w:rFonts w:ascii="Arial" w:eastAsia="Calibri" w:hAnsi="Arial" w:cs="Arial"/>
          <w:bCs/>
          <w:sz w:val="22"/>
          <w:szCs w:val="22"/>
        </w:rPr>
        <w:t>l e</w:t>
      </w:r>
      <w:r w:rsidR="00512BC0" w:rsidRPr="00A572F4">
        <w:rPr>
          <w:rFonts w:ascii="Arial" w:eastAsia="Calibri" w:hAnsi="Arial" w:cs="Arial"/>
          <w:bCs/>
          <w:sz w:val="22"/>
          <w:szCs w:val="22"/>
        </w:rPr>
        <w:t>s</w:t>
      </w:r>
      <w:r w:rsidR="00185C79" w:rsidRPr="00A572F4">
        <w:rPr>
          <w:rFonts w:ascii="Arial" w:eastAsia="Calibri" w:hAnsi="Arial" w:cs="Arial"/>
          <w:bCs/>
          <w:sz w:val="22"/>
          <w:szCs w:val="22"/>
        </w:rPr>
        <w:t xml:space="preserve"> la oferta más favorable para la entidad y los fines de </w:t>
      </w:r>
      <w:r w:rsidR="00512BC0" w:rsidRPr="00A572F4">
        <w:rPr>
          <w:rFonts w:ascii="Arial" w:eastAsia="Calibri" w:hAnsi="Arial" w:cs="Arial"/>
          <w:bCs/>
          <w:sz w:val="22"/>
          <w:szCs w:val="22"/>
        </w:rPr>
        <w:t>la contratación.</w:t>
      </w:r>
    </w:p>
    <w:p w14:paraId="6C13F6AD" w14:textId="70B3ED21" w:rsidR="00CE1641" w:rsidRPr="00A572F4" w:rsidRDefault="00CE1641" w:rsidP="00EB2ED0">
      <w:pPr>
        <w:tabs>
          <w:tab w:val="left" w:pos="0"/>
        </w:tabs>
        <w:spacing w:after="120" w:line="276" w:lineRule="auto"/>
        <w:jc w:val="both"/>
        <w:rPr>
          <w:rFonts w:ascii="Arial" w:eastAsia="Calibri" w:hAnsi="Arial" w:cs="Arial"/>
          <w:bCs/>
          <w:sz w:val="22"/>
          <w:szCs w:val="22"/>
        </w:rPr>
      </w:pPr>
      <w:r w:rsidRPr="00A572F4">
        <w:rPr>
          <w:rFonts w:ascii="Arial" w:eastAsia="Calibri" w:hAnsi="Arial" w:cs="Arial"/>
          <w:bCs/>
          <w:sz w:val="22"/>
          <w:szCs w:val="22"/>
        </w:rPr>
        <w:tab/>
      </w:r>
      <w:r w:rsidR="00310439" w:rsidRPr="00A572F4">
        <w:rPr>
          <w:rFonts w:ascii="Arial" w:eastAsia="Calibri" w:hAnsi="Arial" w:cs="Arial"/>
          <w:bCs/>
          <w:sz w:val="22"/>
          <w:szCs w:val="22"/>
        </w:rPr>
        <w:t>De acuerdo con el</w:t>
      </w:r>
      <w:r w:rsidRPr="00A572F4">
        <w:rPr>
          <w:rFonts w:ascii="Arial" w:eastAsia="Calibri" w:hAnsi="Arial" w:cs="Arial"/>
          <w:bCs/>
          <w:sz w:val="22"/>
          <w:szCs w:val="22"/>
        </w:rPr>
        <w:t xml:space="preserve"> artículo 5</w:t>
      </w:r>
      <w:r w:rsidR="002A0BC3" w:rsidRPr="00A572F4">
        <w:rPr>
          <w:rFonts w:ascii="Arial" w:eastAsia="Calibri" w:hAnsi="Arial" w:cs="Arial"/>
          <w:bCs/>
          <w:sz w:val="22"/>
          <w:szCs w:val="22"/>
        </w:rPr>
        <w:t xml:space="preserve"> de la Ley 1150 de 2007, </w:t>
      </w:r>
      <w:r w:rsidR="00310439" w:rsidRPr="00A572F4">
        <w:rPr>
          <w:rFonts w:ascii="Arial" w:eastAsia="Calibri" w:hAnsi="Arial" w:cs="Arial"/>
          <w:bCs/>
          <w:sz w:val="22"/>
          <w:szCs w:val="22"/>
        </w:rPr>
        <w:t>el deber de selección objetiva supone que las entidades escojan en los procesos de selección</w:t>
      </w:r>
      <w:r w:rsidR="00083480" w:rsidRPr="00A572F4">
        <w:rPr>
          <w:rFonts w:ascii="Arial" w:eastAsia="Calibri" w:hAnsi="Arial" w:cs="Arial"/>
          <w:bCs/>
          <w:sz w:val="22"/>
          <w:szCs w:val="22"/>
        </w:rPr>
        <w:t xml:space="preserve"> el «[…] ofrecimiento más favorable a la entidad y a los fines que ella busca </w:t>
      </w:r>
      <w:r w:rsidR="00083480" w:rsidRPr="00A572F4">
        <w:rPr>
          <w:rFonts w:ascii="Arial" w:hAnsi="Arial" w:cs="Arial"/>
          <w:sz w:val="22"/>
          <w:szCs w:val="22"/>
        </w:rPr>
        <w:t>[…]</w:t>
      </w:r>
      <w:r w:rsidR="00083480" w:rsidRPr="00A572F4">
        <w:rPr>
          <w:rFonts w:ascii="Arial" w:eastAsia="Calibri" w:hAnsi="Arial" w:cs="Arial"/>
          <w:bCs/>
          <w:sz w:val="22"/>
          <w:szCs w:val="22"/>
        </w:rPr>
        <w:t>»</w:t>
      </w:r>
      <w:r w:rsidR="001679EF" w:rsidRPr="00A572F4">
        <w:rPr>
          <w:rStyle w:val="Refdenotaalpie"/>
          <w:rFonts w:ascii="Arial" w:eastAsia="Calibri" w:hAnsi="Arial" w:cs="Arial"/>
          <w:bCs/>
          <w:sz w:val="22"/>
          <w:szCs w:val="22"/>
        </w:rPr>
        <w:footnoteReference w:id="23"/>
      </w:r>
      <w:r w:rsidR="00083480" w:rsidRPr="00A572F4">
        <w:rPr>
          <w:rFonts w:ascii="Arial" w:eastAsia="Calibri" w:hAnsi="Arial" w:cs="Arial"/>
          <w:bCs/>
          <w:sz w:val="22"/>
          <w:szCs w:val="22"/>
        </w:rPr>
        <w:t>.</w:t>
      </w:r>
      <w:r w:rsidR="00C065A4" w:rsidRPr="00A572F4">
        <w:rPr>
          <w:rFonts w:ascii="Arial" w:eastAsia="Calibri" w:hAnsi="Arial" w:cs="Arial"/>
          <w:bCs/>
          <w:sz w:val="22"/>
          <w:szCs w:val="22"/>
        </w:rPr>
        <w:t xml:space="preserve"> </w:t>
      </w:r>
      <w:r w:rsidR="00853CE0">
        <w:rPr>
          <w:rFonts w:ascii="Arial" w:eastAsia="Calibri" w:hAnsi="Arial" w:cs="Arial"/>
          <w:bCs/>
          <w:sz w:val="22"/>
          <w:szCs w:val="22"/>
        </w:rPr>
        <w:t>Esta</w:t>
      </w:r>
      <w:r w:rsidR="00C065A4" w:rsidRPr="00A572F4">
        <w:rPr>
          <w:rFonts w:ascii="Arial" w:eastAsia="Calibri" w:hAnsi="Arial" w:cs="Arial"/>
          <w:bCs/>
          <w:sz w:val="22"/>
          <w:szCs w:val="22"/>
        </w:rPr>
        <w:t xml:space="preserve"> favorabilidad debe </w:t>
      </w:r>
      <w:r w:rsidR="00367ABB" w:rsidRPr="00A572F4">
        <w:rPr>
          <w:rFonts w:ascii="Arial" w:eastAsia="Calibri" w:hAnsi="Arial" w:cs="Arial"/>
          <w:bCs/>
          <w:sz w:val="22"/>
          <w:szCs w:val="22"/>
        </w:rPr>
        <w:lastRenderedPageBreak/>
        <w:t>determinarse</w:t>
      </w:r>
      <w:r w:rsidR="00C065A4" w:rsidRPr="00A572F4">
        <w:rPr>
          <w:rFonts w:ascii="Arial" w:eastAsia="Calibri" w:hAnsi="Arial" w:cs="Arial"/>
          <w:bCs/>
          <w:sz w:val="22"/>
          <w:szCs w:val="22"/>
        </w:rPr>
        <w:t xml:space="preserve"> a partir</w:t>
      </w:r>
      <w:r w:rsidR="00CE48E7" w:rsidRPr="00A572F4">
        <w:rPr>
          <w:rFonts w:ascii="Arial" w:eastAsia="Calibri" w:hAnsi="Arial" w:cs="Arial"/>
          <w:bCs/>
          <w:sz w:val="22"/>
          <w:szCs w:val="22"/>
        </w:rPr>
        <w:t xml:space="preserve"> de</w:t>
      </w:r>
      <w:r w:rsidR="00C065A4" w:rsidRPr="00A572F4">
        <w:rPr>
          <w:rFonts w:ascii="Arial" w:eastAsia="Calibri" w:hAnsi="Arial" w:cs="Arial"/>
          <w:bCs/>
          <w:sz w:val="22"/>
          <w:szCs w:val="22"/>
        </w:rPr>
        <w:t xml:space="preserve"> criterio</w:t>
      </w:r>
      <w:r w:rsidR="00C025CC" w:rsidRPr="00A572F4">
        <w:rPr>
          <w:rFonts w:ascii="Arial" w:eastAsia="Calibri" w:hAnsi="Arial" w:cs="Arial"/>
          <w:bCs/>
          <w:sz w:val="22"/>
          <w:szCs w:val="22"/>
        </w:rPr>
        <w:t xml:space="preserve">s que pueden variar </w:t>
      </w:r>
      <w:proofErr w:type="gramStart"/>
      <w:r w:rsidR="00C025CC" w:rsidRPr="00A572F4">
        <w:rPr>
          <w:rFonts w:ascii="Arial" w:eastAsia="Calibri" w:hAnsi="Arial" w:cs="Arial"/>
          <w:bCs/>
          <w:sz w:val="22"/>
          <w:szCs w:val="22"/>
        </w:rPr>
        <w:t xml:space="preserve">de acuerdo </w:t>
      </w:r>
      <w:r w:rsidR="00F22F81" w:rsidRPr="00A572F4">
        <w:rPr>
          <w:rFonts w:ascii="Arial" w:eastAsia="Calibri" w:hAnsi="Arial" w:cs="Arial"/>
          <w:bCs/>
          <w:sz w:val="22"/>
          <w:szCs w:val="22"/>
        </w:rPr>
        <w:t>al</w:t>
      </w:r>
      <w:proofErr w:type="gramEnd"/>
      <w:r w:rsidR="00F22F81" w:rsidRPr="00A572F4">
        <w:rPr>
          <w:rFonts w:ascii="Arial" w:eastAsia="Calibri" w:hAnsi="Arial" w:cs="Arial"/>
          <w:bCs/>
          <w:sz w:val="22"/>
          <w:szCs w:val="22"/>
        </w:rPr>
        <w:t xml:space="preserve"> objeto contractual</w:t>
      </w:r>
      <w:r w:rsidR="00C025CC" w:rsidRPr="00A572F4">
        <w:rPr>
          <w:rFonts w:ascii="Arial" w:eastAsia="Calibri" w:hAnsi="Arial" w:cs="Arial"/>
          <w:bCs/>
          <w:sz w:val="22"/>
          <w:szCs w:val="22"/>
        </w:rPr>
        <w:t xml:space="preserve"> o la modalidad de selección aplicable</w:t>
      </w:r>
      <w:r w:rsidR="00D81E3C" w:rsidRPr="00A572F4">
        <w:rPr>
          <w:rFonts w:ascii="Arial" w:eastAsia="Calibri" w:hAnsi="Arial" w:cs="Arial"/>
          <w:bCs/>
          <w:sz w:val="22"/>
          <w:szCs w:val="22"/>
        </w:rPr>
        <w:t>, los cuales, en todo caso, para que la selección sea objetiva, deben estar señalados en el pliego de condiciones o documento equivalente.</w:t>
      </w:r>
      <w:r w:rsidR="009E2C0F" w:rsidRPr="00A572F4">
        <w:rPr>
          <w:rFonts w:ascii="Arial" w:eastAsia="Calibri" w:hAnsi="Arial" w:cs="Arial"/>
          <w:bCs/>
          <w:sz w:val="22"/>
          <w:szCs w:val="22"/>
        </w:rPr>
        <w:t xml:space="preserve"> </w:t>
      </w:r>
    </w:p>
    <w:p w14:paraId="7AE775F5" w14:textId="3DBB0B77" w:rsidR="00F62172" w:rsidRPr="00A572F4" w:rsidRDefault="009E2C0F" w:rsidP="00EB2ED0">
      <w:pPr>
        <w:tabs>
          <w:tab w:val="left" w:pos="0"/>
        </w:tabs>
        <w:spacing w:after="120" w:line="276" w:lineRule="auto"/>
        <w:jc w:val="both"/>
        <w:rPr>
          <w:rFonts w:ascii="Arial" w:eastAsia="Calibri" w:hAnsi="Arial" w:cs="Arial"/>
          <w:bCs/>
          <w:sz w:val="22"/>
          <w:szCs w:val="22"/>
        </w:rPr>
      </w:pPr>
      <w:r w:rsidRPr="00A572F4">
        <w:rPr>
          <w:rFonts w:ascii="Arial" w:eastAsia="Calibri" w:hAnsi="Arial" w:cs="Arial"/>
          <w:bCs/>
          <w:sz w:val="22"/>
          <w:szCs w:val="22"/>
        </w:rPr>
        <w:tab/>
        <w:t xml:space="preserve">Al respecto, el numeral 1 del artículo 5 de la Ley 1150 de 2007 </w:t>
      </w:r>
      <w:r w:rsidR="00AC7356">
        <w:rPr>
          <w:rFonts w:ascii="Arial" w:eastAsia="Calibri" w:hAnsi="Arial" w:cs="Arial"/>
          <w:bCs/>
          <w:sz w:val="22"/>
          <w:szCs w:val="22"/>
        </w:rPr>
        <w:t xml:space="preserve">regula </w:t>
      </w:r>
      <w:r w:rsidR="00894039" w:rsidRPr="00A572F4">
        <w:rPr>
          <w:rFonts w:ascii="Arial" w:eastAsia="Calibri" w:hAnsi="Arial" w:cs="Arial"/>
          <w:bCs/>
          <w:sz w:val="22"/>
          <w:szCs w:val="22"/>
        </w:rPr>
        <w:t xml:space="preserve">los </w:t>
      </w:r>
      <w:r w:rsidR="009A4C64" w:rsidRPr="00A572F4">
        <w:rPr>
          <w:rFonts w:ascii="Arial" w:eastAsia="Calibri" w:hAnsi="Arial" w:cs="Arial"/>
          <w:bCs/>
          <w:sz w:val="22"/>
          <w:szCs w:val="22"/>
        </w:rPr>
        <w:t xml:space="preserve">requisitos </w:t>
      </w:r>
      <w:r w:rsidR="00660B1A" w:rsidRPr="00A572F4">
        <w:rPr>
          <w:rFonts w:ascii="Arial" w:eastAsia="Calibri" w:hAnsi="Arial" w:cs="Arial"/>
          <w:bCs/>
          <w:sz w:val="22"/>
          <w:szCs w:val="22"/>
        </w:rPr>
        <w:t xml:space="preserve">exigibles en la </w:t>
      </w:r>
      <w:r w:rsidR="002F1549" w:rsidRPr="00A572F4">
        <w:rPr>
          <w:rFonts w:ascii="Arial" w:eastAsia="Calibri" w:hAnsi="Arial" w:cs="Arial"/>
          <w:bCs/>
          <w:sz w:val="22"/>
          <w:szCs w:val="22"/>
        </w:rPr>
        <w:t xml:space="preserve">generalidad de procesos de selección adelantados conforme al EGCAP, tales </w:t>
      </w:r>
      <w:r w:rsidR="009A4C64" w:rsidRPr="00A572F4">
        <w:rPr>
          <w:rFonts w:ascii="Arial" w:eastAsia="Calibri" w:hAnsi="Arial" w:cs="Arial"/>
          <w:bCs/>
          <w:sz w:val="22"/>
          <w:szCs w:val="22"/>
        </w:rPr>
        <w:t xml:space="preserve">como </w:t>
      </w:r>
      <w:r w:rsidR="00660B1A" w:rsidRPr="00A572F4">
        <w:rPr>
          <w:rFonts w:ascii="Arial" w:eastAsia="Calibri" w:hAnsi="Arial" w:cs="Arial"/>
          <w:bCs/>
          <w:sz w:val="22"/>
          <w:szCs w:val="22"/>
        </w:rPr>
        <w:t>la capacidad jurídica</w:t>
      </w:r>
      <w:r w:rsidR="002F1549" w:rsidRPr="00A572F4">
        <w:rPr>
          <w:rFonts w:ascii="Arial" w:eastAsia="Calibri" w:hAnsi="Arial" w:cs="Arial"/>
          <w:bCs/>
          <w:sz w:val="22"/>
          <w:szCs w:val="22"/>
        </w:rPr>
        <w:t xml:space="preserve">, </w:t>
      </w:r>
      <w:r w:rsidR="00660B1A" w:rsidRPr="00A572F4">
        <w:rPr>
          <w:rFonts w:ascii="Arial" w:eastAsia="Calibri" w:hAnsi="Arial" w:cs="Arial"/>
          <w:bCs/>
          <w:sz w:val="22"/>
          <w:szCs w:val="22"/>
        </w:rPr>
        <w:t>las condiciones de experiencia,</w:t>
      </w:r>
      <w:r w:rsidR="00865FC6" w:rsidRPr="00A572F4">
        <w:rPr>
          <w:rFonts w:ascii="Arial" w:eastAsia="Calibri" w:hAnsi="Arial" w:cs="Arial"/>
          <w:bCs/>
          <w:sz w:val="22"/>
          <w:szCs w:val="22"/>
        </w:rPr>
        <w:t xml:space="preserve"> la</w:t>
      </w:r>
      <w:r w:rsidR="00660B1A" w:rsidRPr="00A572F4">
        <w:rPr>
          <w:rFonts w:ascii="Arial" w:eastAsia="Calibri" w:hAnsi="Arial" w:cs="Arial"/>
          <w:bCs/>
          <w:sz w:val="22"/>
          <w:szCs w:val="22"/>
        </w:rPr>
        <w:t xml:space="preserve"> capacidad financiera y de organización</w:t>
      </w:r>
      <w:r w:rsidR="00865FC6" w:rsidRPr="00A572F4">
        <w:rPr>
          <w:rFonts w:ascii="Arial" w:eastAsia="Calibri" w:hAnsi="Arial" w:cs="Arial"/>
          <w:bCs/>
          <w:sz w:val="22"/>
          <w:szCs w:val="22"/>
        </w:rPr>
        <w:t>, denomi</w:t>
      </w:r>
      <w:r w:rsidR="00FA4048" w:rsidRPr="00A572F4">
        <w:rPr>
          <w:rFonts w:ascii="Arial" w:eastAsia="Calibri" w:hAnsi="Arial" w:cs="Arial"/>
          <w:bCs/>
          <w:sz w:val="22"/>
          <w:szCs w:val="22"/>
        </w:rPr>
        <w:t>n</w:t>
      </w:r>
      <w:r w:rsidR="00865FC6" w:rsidRPr="00A572F4">
        <w:rPr>
          <w:rFonts w:ascii="Arial" w:eastAsia="Calibri" w:hAnsi="Arial" w:cs="Arial"/>
          <w:bCs/>
          <w:sz w:val="22"/>
          <w:szCs w:val="22"/>
        </w:rPr>
        <w:t>ados requisitos habilitantes,</w:t>
      </w:r>
      <w:r w:rsidR="00894039" w:rsidRPr="00A572F4">
        <w:rPr>
          <w:rFonts w:ascii="Arial" w:eastAsia="Calibri" w:hAnsi="Arial" w:cs="Arial"/>
          <w:bCs/>
          <w:sz w:val="22"/>
          <w:szCs w:val="22"/>
        </w:rPr>
        <w:t xml:space="preserve"> los cuales</w:t>
      </w:r>
      <w:r w:rsidR="00865FC6" w:rsidRPr="00A572F4">
        <w:rPr>
          <w:rFonts w:ascii="Arial" w:eastAsia="Calibri" w:hAnsi="Arial" w:cs="Arial"/>
          <w:bCs/>
          <w:sz w:val="22"/>
          <w:szCs w:val="22"/>
        </w:rPr>
        <w:t xml:space="preserve"> </w:t>
      </w:r>
      <w:r w:rsidR="00894039" w:rsidRPr="00A572F4">
        <w:rPr>
          <w:rFonts w:ascii="Arial" w:eastAsia="Calibri" w:hAnsi="Arial" w:cs="Arial"/>
          <w:bCs/>
          <w:sz w:val="22"/>
          <w:szCs w:val="22"/>
        </w:rPr>
        <w:t>–</w:t>
      </w:r>
      <w:r w:rsidR="00865FC6" w:rsidRPr="00A572F4">
        <w:rPr>
          <w:rFonts w:ascii="Arial" w:eastAsia="Calibri" w:hAnsi="Arial" w:cs="Arial"/>
          <w:bCs/>
          <w:sz w:val="22"/>
          <w:szCs w:val="22"/>
        </w:rPr>
        <w:t>por expresa disposición</w:t>
      </w:r>
      <w:r w:rsidR="00894039" w:rsidRPr="00A572F4">
        <w:rPr>
          <w:rFonts w:ascii="Arial" w:eastAsia="Calibri" w:hAnsi="Arial" w:cs="Arial"/>
          <w:bCs/>
          <w:sz w:val="22"/>
          <w:szCs w:val="22"/>
        </w:rPr>
        <w:t xml:space="preserve"> </w:t>
      </w:r>
      <w:r w:rsidR="00894039" w:rsidRPr="00A572F4">
        <w:rPr>
          <w:rFonts w:ascii="Arial" w:eastAsia="Calibri" w:hAnsi="Arial" w:cs="Arial"/>
          <w:bCs/>
          <w:sz w:val="22"/>
          <w:szCs w:val="22"/>
        </w:rPr>
        <w:lastRenderedPageBreak/>
        <w:t>legal–</w:t>
      </w:r>
      <w:r w:rsidR="00865FC6" w:rsidRPr="00A572F4">
        <w:rPr>
          <w:rFonts w:ascii="Arial" w:eastAsia="Calibri" w:hAnsi="Arial" w:cs="Arial"/>
          <w:bCs/>
          <w:sz w:val="22"/>
          <w:szCs w:val="22"/>
        </w:rPr>
        <w:t xml:space="preserve"> </w:t>
      </w:r>
      <w:r w:rsidR="00FA4048" w:rsidRPr="00A572F4">
        <w:rPr>
          <w:rFonts w:ascii="Arial" w:eastAsia="Calibri" w:hAnsi="Arial" w:cs="Arial"/>
          <w:bCs/>
          <w:sz w:val="22"/>
          <w:szCs w:val="22"/>
        </w:rPr>
        <w:t xml:space="preserve">no otorgan puntaje. </w:t>
      </w:r>
      <w:r w:rsidR="0087267F">
        <w:rPr>
          <w:rFonts w:ascii="Arial" w:eastAsia="Calibri" w:hAnsi="Arial" w:cs="Arial"/>
          <w:bCs/>
          <w:sz w:val="22"/>
          <w:szCs w:val="22"/>
        </w:rPr>
        <w:t>Lo anterior</w:t>
      </w:r>
      <w:r w:rsidR="00306D1E" w:rsidRPr="00A572F4">
        <w:rPr>
          <w:rFonts w:ascii="Arial" w:eastAsia="Calibri" w:hAnsi="Arial" w:cs="Arial"/>
          <w:bCs/>
          <w:sz w:val="22"/>
          <w:szCs w:val="22"/>
        </w:rPr>
        <w:t>,</w:t>
      </w:r>
      <w:r w:rsidR="0087267F">
        <w:rPr>
          <w:rFonts w:ascii="Arial" w:eastAsia="Calibri" w:hAnsi="Arial" w:cs="Arial"/>
          <w:bCs/>
          <w:sz w:val="22"/>
          <w:szCs w:val="22"/>
        </w:rPr>
        <w:t xml:space="preserve"> ya que</w:t>
      </w:r>
      <w:r w:rsidR="00306D1E" w:rsidRPr="00A572F4">
        <w:rPr>
          <w:rFonts w:ascii="Arial" w:eastAsia="Calibri" w:hAnsi="Arial" w:cs="Arial"/>
          <w:bCs/>
          <w:sz w:val="22"/>
          <w:szCs w:val="22"/>
        </w:rPr>
        <w:t xml:space="preserve"> </w:t>
      </w:r>
      <w:r w:rsidR="005E6342" w:rsidRPr="00A572F4">
        <w:rPr>
          <w:rFonts w:ascii="Arial" w:eastAsia="Calibri" w:hAnsi="Arial" w:cs="Arial"/>
          <w:bCs/>
          <w:sz w:val="22"/>
          <w:szCs w:val="22"/>
        </w:rPr>
        <w:t>no se refieren a la oferta</w:t>
      </w:r>
      <w:r w:rsidR="00F62172" w:rsidRPr="00A572F4">
        <w:rPr>
          <w:rFonts w:ascii="Arial" w:eastAsia="Calibri" w:hAnsi="Arial" w:cs="Arial"/>
          <w:bCs/>
          <w:sz w:val="22"/>
          <w:szCs w:val="22"/>
        </w:rPr>
        <w:t xml:space="preserve"> mism</w:t>
      </w:r>
      <w:r w:rsidR="00512BC0" w:rsidRPr="00A572F4">
        <w:rPr>
          <w:rFonts w:ascii="Arial" w:eastAsia="Calibri" w:hAnsi="Arial" w:cs="Arial"/>
          <w:bCs/>
          <w:sz w:val="22"/>
          <w:szCs w:val="22"/>
        </w:rPr>
        <w:t>a</w:t>
      </w:r>
      <w:r w:rsidR="00F62172" w:rsidRPr="00A572F4">
        <w:rPr>
          <w:rFonts w:ascii="Arial" w:eastAsia="Calibri" w:hAnsi="Arial" w:cs="Arial"/>
          <w:bCs/>
          <w:sz w:val="22"/>
          <w:szCs w:val="22"/>
        </w:rPr>
        <w:t xml:space="preserve"> sino </w:t>
      </w:r>
      <w:r w:rsidR="00AF1FBF" w:rsidRPr="00A572F4">
        <w:rPr>
          <w:rFonts w:ascii="Arial" w:eastAsia="Calibri" w:hAnsi="Arial" w:cs="Arial"/>
          <w:bCs/>
          <w:sz w:val="22"/>
          <w:szCs w:val="22"/>
        </w:rPr>
        <w:t>l</w:t>
      </w:r>
      <w:r w:rsidR="00F62172" w:rsidRPr="00A572F4">
        <w:rPr>
          <w:rFonts w:ascii="Arial" w:eastAsia="Calibri" w:hAnsi="Arial" w:cs="Arial"/>
          <w:bCs/>
          <w:sz w:val="22"/>
          <w:szCs w:val="22"/>
        </w:rPr>
        <w:t>a idoneidad del oferente para asumir adecuadamente la ejecución del contrato</w:t>
      </w:r>
      <w:r w:rsidR="00AF1FBF" w:rsidRPr="00A572F4">
        <w:rPr>
          <w:rStyle w:val="Refdenotaalpie"/>
          <w:rFonts w:ascii="Arial" w:eastAsia="Calibri" w:hAnsi="Arial" w:cs="Arial"/>
          <w:bCs/>
          <w:sz w:val="22"/>
          <w:szCs w:val="22"/>
        </w:rPr>
        <w:footnoteReference w:id="24"/>
      </w:r>
      <w:r w:rsidR="00AF1FBF" w:rsidRPr="00A572F4">
        <w:rPr>
          <w:rFonts w:ascii="Arial" w:eastAsia="Calibri" w:hAnsi="Arial" w:cs="Arial"/>
          <w:bCs/>
          <w:sz w:val="22"/>
          <w:szCs w:val="22"/>
        </w:rPr>
        <w:t>.</w:t>
      </w:r>
      <w:r w:rsidR="00A928D0" w:rsidRPr="00A572F4">
        <w:rPr>
          <w:rFonts w:ascii="Arial" w:eastAsia="Calibri" w:hAnsi="Arial" w:cs="Arial"/>
          <w:bCs/>
          <w:sz w:val="22"/>
          <w:szCs w:val="22"/>
        </w:rPr>
        <w:t xml:space="preserve"> Los oferentes </w:t>
      </w:r>
      <w:r w:rsidR="0002504E" w:rsidRPr="00A572F4">
        <w:rPr>
          <w:rFonts w:ascii="Arial" w:eastAsia="Calibri" w:hAnsi="Arial" w:cs="Arial"/>
          <w:bCs/>
          <w:sz w:val="22"/>
          <w:szCs w:val="22"/>
        </w:rPr>
        <w:t xml:space="preserve">que cumplan estos requisitos habilitantes son considerados idóneos para ejecutar el objeto contractual, </w:t>
      </w:r>
      <w:r w:rsidR="001A1766" w:rsidRPr="00A572F4">
        <w:rPr>
          <w:rFonts w:ascii="Arial" w:eastAsia="Calibri" w:hAnsi="Arial" w:cs="Arial"/>
          <w:bCs/>
          <w:sz w:val="22"/>
          <w:szCs w:val="22"/>
        </w:rPr>
        <w:t>de manera</w:t>
      </w:r>
      <w:r w:rsidR="0002504E" w:rsidRPr="00A572F4">
        <w:rPr>
          <w:rFonts w:ascii="Arial" w:eastAsia="Calibri" w:hAnsi="Arial" w:cs="Arial"/>
          <w:bCs/>
          <w:sz w:val="22"/>
          <w:szCs w:val="22"/>
        </w:rPr>
        <w:t xml:space="preserve"> que sus ofertas </w:t>
      </w:r>
      <w:r w:rsidR="002B76F5" w:rsidRPr="00A572F4">
        <w:rPr>
          <w:rFonts w:ascii="Arial" w:eastAsia="Calibri" w:hAnsi="Arial" w:cs="Arial"/>
          <w:bCs/>
          <w:sz w:val="22"/>
          <w:szCs w:val="22"/>
        </w:rPr>
        <w:t xml:space="preserve">pueden ser consideradas en la evaluación dirigida a determinar </w:t>
      </w:r>
      <w:r w:rsidR="001A1766" w:rsidRPr="00A572F4">
        <w:rPr>
          <w:rFonts w:ascii="Arial" w:eastAsia="Calibri" w:hAnsi="Arial" w:cs="Arial"/>
          <w:bCs/>
          <w:sz w:val="22"/>
          <w:szCs w:val="22"/>
        </w:rPr>
        <w:t>cuál</w:t>
      </w:r>
      <w:r w:rsidR="002B76F5" w:rsidRPr="00A572F4">
        <w:rPr>
          <w:rFonts w:ascii="Arial" w:eastAsia="Calibri" w:hAnsi="Arial" w:cs="Arial"/>
          <w:bCs/>
          <w:sz w:val="22"/>
          <w:szCs w:val="22"/>
        </w:rPr>
        <w:t xml:space="preserve"> es la </w:t>
      </w:r>
      <w:r w:rsidR="00512BC0" w:rsidRPr="00A572F4">
        <w:rPr>
          <w:rFonts w:ascii="Arial" w:eastAsia="Calibri" w:hAnsi="Arial" w:cs="Arial"/>
          <w:bCs/>
          <w:sz w:val="22"/>
          <w:szCs w:val="22"/>
        </w:rPr>
        <w:t xml:space="preserve">más </w:t>
      </w:r>
      <w:r w:rsidR="002B76F5" w:rsidRPr="00A572F4">
        <w:rPr>
          <w:rFonts w:ascii="Arial" w:eastAsia="Calibri" w:hAnsi="Arial" w:cs="Arial"/>
          <w:bCs/>
          <w:sz w:val="22"/>
          <w:szCs w:val="22"/>
        </w:rPr>
        <w:t>favorable para la entidad y los fines de la contratación.</w:t>
      </w:r>
    </w:p>
    <w:p w14:paraId="3A672258" w14:textId="4BB3B4BD" w:rsidR="00DB1142" w:rsidRPr="00A572F4" w:rsidRDefault="00871B2E" w:rsidP="00EB2ED0">
      <w:pPr>
        <w:tabs>
          <w:tab w:val="left" w:pos="0"/>
        </w:tabs>
        <w:spacing w:after="120" w:line="276" w:lineRule="auto"/>
        <w:jc w:val="both"/>
        <w:rPr>
          <w:rFonts w:ascii="Arial" w:hAnsi="Arial" w:cs="Arial"/>
          <w:sz w:val="22"/>
          <w:szCs w:val="22"/>
        </w:rPr>
      </w:pPr>
      <w:r w:rsidRPr="00A572F4">
        <w:rPr>
          <w:rFonts w:ascii="Arial" w:eastAsia="Calibri" w:hAnsi="Arial" w:cs="Arial"/>
          <w:bCs/>
          <w:sz w:val="22"/>
          <w:szCs w:val="22"/>
        </w:rPr>
        <w:tab/>
      </w:r>
      <w:r w:rsidR="005107E3" w:rsidRPr="00A572F4">
        <w:rPr>
          <w:rFonts w:ascii="Arial" w:eastAsia="Calibri" w:hAnsi="Arial" w:cs="Arial"/>
          <w:bCs/>
          <w:sz w:val="22"/>
          <w:szCs w:val="22"/>
        </w:rPr>
        <w:t xml:space="preserve">En contraposición </w:t>
      </w:r>
      <w:r w:rsidR="00A50238" w:rsidRPr="00A572F4">
        <w:rPr>
          <w:rFonts w:ascii="Arial" w:eastAsia="Calibri" w:hAnsi="Arial" w:cs="Arial"/>
          <w:bCs/>
          <w:sz w:val="22"/>
          <w:szCs w:val="22"/>
        </w:rPr>
        <w:t>a</w:t>
      </w:r>
      <w:r w:rsidR="005107E3" w:rsidRPr="00A572F4">
        <w:rPr>
          <w:rFonts w:ascii="Arial" w:eastAsia="Calibri" w:hAnsi="Arial" w:cs="Arial"/>
          <w:bCs/>
          <w:sz w:val="22"/>
          <w:szCs w:val="22"/>
        </w:rPr>
        <w:t xml:space="preserve"> </w:t>
      </w:r>
      <w:r w:rsidR="00A50238" w:rsidRPr="00A572F4">
        <w:rPr>
          <w:rFonts w:ascii="Arial" w:eastAsia="Calibri" w:hAnsi="Arial" w:cs="Arial"/>
          <w:bCs/>
          <w:sz w:val="22"/>
          <w:szCs w:val="22"/>
        </w:rPr>
        <w:t>los requisitos habilitantes</w:t>
      </w:r>
      <w:r w:rsidR="005107E3" w:rsidRPr="00A572F4">
        <w:rPr>
          <w:rFonts w:ascii="Arial" w:eastAsia="Calibri" w:hAnsi="Arial" w:cs="Arial"/>
          <w:bCs/>
          <w:sz w:val="22"/>
          <w:szCs w:val="22"/>
        </w:rPr>
        <w:t>, el artículo 5 de la Ley 1150 de 2007</w:t>
      </w:r>
      <w:r w:rsidR="001A1766" w:rsidRPr="00A572F4">
        <w:rPr>
          <w:rFonts w:ascii="Arial" w:eastAsia="Calibri" w:hAnsi="Arial" w:cs="Arial"/>
          <w:bCs/>
          <w:sz w:val="22"/>
          <w:szCs w:val="22"/>
        </w:rPr>
        <w:t xml:space="preserve"> regula los</w:t>
      </w:r>
      <w:r w:rsidR="00A50238" w:rsidRPr="00A572F4">
        <w:rPr>
          <w:rFonts w:ascii="Arial" w:eastAsia="Calibri" w:hAnsi="Arial" w:cs="Arial"/>
          <w:bCs/>
          <w:sz w:val="22"/>
          <w:szCs w:val="22"/>
        </w:rPr>
        <w:t xml:space="preserve"> factores </w:t>
      </w:r>
      <w:r w:rsidR="008641D5" w:rsidRPr="00A572F4">
        <w:rPr>
          <w:rFonts w:ascii="Arial" w:eastAsia="Calibri" w:hAnsi="Arial" w:cs="Arial"/>
          <w:bCs/>
          <w:sz w:val="22"/>
          <w:szCs w:val="22"/>
        </w:rPr>
        <w:t xml:space="preserve">dirigidos a determinar </w:t>
      </w:r>
      <w:r w:rsidR="00C77E99" w:rsidRPr="00A572F4">
        <w:rPr>
          <w:rFonts w:ascii="Arial" w:eastAsia="Calibri" w:hAnsi="Arial" w:cs="Arial"/>
          <w:bCs/>
          <w:sz w:val="22"/>
          <w:szCs w:val="22"/>
        </w:rPr>
        <w:t>cuál</w:t>
      </w:r>
      <w:r w:rsidR="008641D5" w:rsidRPr="00A572F4">
        <w:rPr>
          <w:rFonts w:ascii="Arial" w:eastAsia="Calibri" w:hAnsi="Arial" w:cs="Arial"/>
          <w:bCs/>
          <w:sz w:val="22"/>
          <w:szCs w:val="22"/>
        </w:rPr>
        <w:t xml:space="preserve"> es la propuesta más favorable</w:t>
      </w:r>
      <w:r w:rsidR="00512BC0" w:rsidRPr="00A572F4">
        <w:rPr>
          <w:rFonts w:ascii="Arial" w:eastAsia="Calibri" w:hAnsi="Arial" w:cs="Arial"/>
          <w:bCs/>
          <w:sz w:val="22"/>
          <w:szCs w:val="22"/>
        </w:rPr>
        <w:t>.</w:t>
      </w:r>
      <w:r w:rsidR="008641D5" w:rsidRPr="00A572F4">
        <w:rPr>
          <w:rFonts w:ascii="Arial" w:eastAsia="Calibri" w:hAnsi="Arial" w:cs="Arial"/>
          <w:bCs/>
          <w:sz w:val="22"/>
          <w:szCs w:val="22"/>
        </w:rPr>
        <w:t xml:space="preserve"> En ese sentido, el inciso primero </w:t>
      </w:r>
      <w:r w:rsidR="00A17CA5" w:rsidRPr="00A572F4">
        <w:rPr>
          <w:rFonts w:ascii="Arial" w:eastAsia="Calibri" w:hAnsi="Arial" w:cs="Arial"/>
          <w:bCs/>
          <w:sz w:val="22"/>
          <w:szCs w:val="22"/>
        </w:rPr>
        <w:t>dispone los</w:t>
      </w:r>
      <w:r w:rsidR="008641D5" w:rsidRPr="00A572F4">
        <w:rPr>
          <w:rFonts w:ascii="Arial" w:eastAsia="Calibri" w:hAnsi="Arial" w:cs="Arial"/>
          <w:bCs/>
          <w:sz w:val="22"/>
          <w:szCs w:val="22"/>
        </w:rPr>
        <w:t xml:space="preserve"> </w:t>
      </w:r>
      <w:r w:rsidR="00C77E99" w:rsidRPr="00A572F4">
        <w:rPr>
          <w:rFonts w:ascii="Arial" w:eastAsia="Calibri" w:hAnsi="Arial" w:cs="Arial"/>
          <w:bCs/>
          <w:sz w:val="22"/>
          <w:szCs w:val="22"/>
        </w:rPr>
        <w:t>factores de escogencia y calificación que debe</w:t>
      </w:r>
      <w:r w:rsidR="008E6F19" w:rsidRPr="00A572F4">
        <w:rPr>
          <w:rFonts w:ascii="Arial" w:eastAsia="Calibri" w:hAnsi="Arial" w:cs="Arial"/>
          <w:bCs/>
          <w:sz w:val="22"/>
          <w:szCs w:val="22"/>
        </w:rPr>
        <w:t xml:space="preserve">n </w:t>
      </w:r>
      <w:r w:rsidR="00A17CA5" w:rsidRPr="00A572F4">
        <w:rPr>
          <w:rFonts w:ascii="Arial" w:eastAsia="Calibri" w:hAnsi="Arial" w:cs="Arial"/>
          <w:bCs/>
          <w:sz w:val="22"/>
          <w:szCs w:val="22"/>
        </w:rPr>
        <w:t>indicarse</w:t>
      </w:r>
      <w:r w:rsidR="008E6F19" w:rsidRPr="00A572F4">
        <w:rPr>
          <w:rFonts w:ascii="Arial" w:eastAsia="Calibri" w:hAnsi="Arial" w:cs="Arial"/>
          <w:bCs/>
          <w:sz w:val="22"/>
          <w:szCs w:val="22"/>
        </w:rPr>
        <w:t xml:space="preserve"> en los pliegos de condiciones. </w:t>
      </w:r>
      <w:r w:rsidR="00A17CA5" w:rsidRPr="00A572F4">
        <w:rPr>
          <w:rFonts w:ascii="Arial" w:eastAsia="Calibri" w:hAnsi="Arial" w:cs="Arial"/>
          <w:bCs/>
          <w:sz w:val="22"/>
          <w:szCs w:val="22"/>
        </w:rPr>
        <w:t>E</w:t>
      </w:r>
      <w:r w:rsidR="00793C6A" w:rsidRPr="00A572F4">
        <w:rPr>
          <w:rFonts w:ascii="Arial" w:eastAsia="Calibri" w:hAnsi="Arial" w:cs="Arial"/>
          <w:bCs/>
          <w:sz w:val="22"/>
          <w:szCs w:val="22"/>
        </w:rPr>
        <w:t xml:space="preserve">l numeral 2 de </w:t>
      </w:r>
      <w:r w:rsidR="00DE5716" w:rsidRPr="00A572F4">
        <w:rPr>
          <w:rFonts w:ascii="Arial" w:eastAsia="Calibri" w:hAnsi="Arial" w:cs="Arial"/>
          <w:bCs/>
          <w:sz w:val="22"/>
          <w:szCs w:val="22"/>
        </w:rPr>
        <w:t>esta</w:t>
      </w:r>
      <w:r w:rsidR="00793C6A" w:rsidRPr="00A572F4">
        <w:rPr>
          <w:rFonts w:ascii="Arial" w:eastAsia="Calibri" w:hAnsi="Arial" w:cs="Arial"/>
          <w:bCs/>
          <w:sz w:val="22"/>
          <w:szCs w:val="22"/>
        </w:rPr>
        <w:t xml:space="preserve"> norma</w:t>
      </w:r>
      <w:r w:rsidR="00DE5716" w:rsidRPr="00A572F4">
        <w:rPr>
          <w:rFonts w:ascii="Arial" w:eastAsia="Calibri" w:hAnsi="Arial" w:cs="Arial"/>
          <w:bCs/>
          <w:sz w:val="22"/>
          <w:szCs w:val="22"/>
        </w:rPr>
        <w:t xml:space="preserve"> </w:t>
      </w:r>
      <w:r w:rsidR="00793C6A" w:rsidRPr="00A572F4">
        <w:rPr>
          <w:rFonts w:ascii="Arial" w:eastAsia="Calibri" w:hAnsi="Arial" w:cs="Arial"/>
          <w:bCs/>
          <w:sz w:val="22"/>
          <w:szCs w:val="22"/>
        </w:rPr>
        <w:t>establece que la oferta más favorable</w:t>
      </w:r>
      <w:r w:rsidR="00FF5914" w:rsidRPr="00A572F4">
        <w:rPr>
          <w:rFonts w:ascii="Arial" w:eastAsia="Calibri" w:hAnsi="Arial" w:cs="Arial"/>
          <w:bCs/>
          <w:sz w:val="22"/>
          <w:szCs w:val="22"/>
        </w:rPr>
        <w:t xml:space="preserve"> es aquella que</w:t>
      </w:r>
      <w:r w:rsidR="00C144E4" w:rsidRPr="00A572F4">
        <w:rPr>
          <w:rFonts w:ascii="Arial" w:eastAsia="Calibri" w:hAnsi="Arial" w:cs="Arial"/>
          <w:bCs/>
          <w:sz w:val="22"/>
          <w:szCs w:val="22"/>
        </w:rPr>
        <w:t xml:space="preserve"> resulte ser la más ventajosa para la entidad, </w:t>
      </w:r>
      <w:r w:rsidR="00B50C5B" w:rsidRPr="00A572F4">
        <w:rPr>
          <w:rFonts w:ascii="Arial" w:eastAsia="Calibri" w:hAnsi="Arial" w:cs="Arial"/>
          <w:bCs/>
          <w:sz w:val="22"/>
          <w:szCs w:val="22"/>
        </w:rPr>
        <w:t>una vez se realice</w:t>
      </w:r>
      <w:r w:rsidR="00C144E4" w:rsidRPr="00A572F4">
        <w:rPr>
          <w:rFonts w:ascii="Arial" w:eastAsia="Calibri" w:hAnsi="Arial" w:cs="Arial"/>
          <w:bCs/>
          <w:sz w:val="22"/>
          <w:szCs w:val="22"/>
        </w:rPr>
        <w:t xml:space="preserve"> la ponderación</w:t>
      </w:r>
      <w:r w:rsidR="00FF5914" w:rsidRPr="00A572F4">
        <w:rPr>
          <w:rFonts w:ascii="Arial" w:eastAsia="Calibri" w:hAnsi="Arial" w:cs="Arial"/>
          <w:bCs/>
          <w:sz w:val="22"/>
          <w:szCs w:val="22"/>
        </w:rPr>
        <w:t xml:space="preserve"> precisa y detallada </w:t>
      </w:r>
      <w:r w:rsidR="00C144E4" w:rsidRPr="00A572F4">
        <w:rPr>
          <w:rFonts w:ascii="Arial" w:eastAsia="Calibri" w:hAnsi="Arial" w:cs="Arial"/>
          <w:bCs/>
          <w:sz w:val="22"/>
          <w:szCs w:val="22"/>
        </w:rPr>
        <w:t xml:space="preserve">de </w:t>
      </w:r>
      <w:r w:rsidR="00793C6A" w:rsidRPr="00A572F4">
        <w:rPr>
          <w:rFonts w:ascii="Arial" w:hAnsi="Arial" w:cs="Arial"/>
          <w:sz w:val="22"/>
          <w:szCs w:val="22"/>
        </w:rPr>
        <w:t>los factores técnicos y económicos de escogencia</w:t>
      </w:r>
      <w:r w:rsidR="00FB47C3" w:rsidRPr="00A572F4">
        <w:rPr>
          <w:rFonts w:ascii="Arial" w:hAnsi="Arial" w:cs="Arial"/>
          <w:sz w:val="22"/>
          <w:szCs w:val="22"/>
        </w:rPr>
        <w:t xml:space="preserve">, </w:t>
      </w:r>
      <w:r w:rsidR="00C144E4" w:rsidRPr="00A572F4">
        <w:rPr>
          <w:rFonts w:ascii="Arial" w:hAnsi="Arial" w:cs="Arial"/>
          <w:sz w:val="22"/>
          <w:szCs w:val="22"/>
        </w:rPr>
        <w:t>de acuerdo con</w:t>
      </w:r>
      <w:r w:rsidR="000D6B6C" w:rsidRPr="00A572F4">
        <w:rPr>
          <w:rFonts w:ascii="Arial" w:hAnsi="Arial" w:cs="Arial"/>
          <w:sz w:val="22"/>
          <w:szCs w:val="22"/>
        </w:rPr>
        <w:t xml:space="preserve"> los</w:t>
      </w:r>
      <w:r w:rsidR="00C144E4" w:rsidRPr="00A572F4">
        <w:rPr>
          <w:rFonts w:ascii="Arial" w:hAnsi="Arial" w:cs="Arial"/>
          <w:sz w:val="22"/>
          <w:szCs w:val="22"/>
        </w:rPr>
        <w:t xml:space="preserve"> parámetros establecidos en los pliegos de condiciones o equivalentes</w:t>
      </w:r>
      <w:r w:rsidR="000D6B6C" w:rsidRPr="00A572F4">
        <w:rPr>
          <w:rFonts w:ascii="Arial" w:hAnsi="Arial" w:cs="Arial"/>
          <w:sz w:val="22"/>
          <w:szCs w:val="22"/>
        </w:rPr>
        <w:t xml:space="preserve"> que permiten la comparación de ofertas.</w:t>
      </w:r>
      <w:r w:rsidR="00BD2640" w:rsidRPr="00A572F4">
        <w:rPr>
          <w:rFonts w:ascii="Arial" w:hAnsi="Arial" w:cs="Arial"/>
          <w:sz w:val="22"/>
          <w:szCs w:val="22"/>
        </w:rPr>
        <w:t xml:space="preserve"> </w:t>
      </w:r>
      <w:r w:rsidR="00512BC0" w:rsidRPr="00A572F4">
        <w:rPr>
          <w:rFonts w:ascii="Arial" w:hAnsi="Arial" w:cs="Arial"/>
          <w:sz w:val="22"/>
          <w:szCs w:val="22"/>
        </w:rPr>
        <w:t xml:space="preserve"> Este</w:t>
      </w:r>
      <w:r w:rsidR="004622A6" w:rsidRPr="00A572F4">
        <w:rPr>
          <w:rFonts w:ascii="Arial" w:hAnsi="Arial" w:cs="Arial"/>
          <w:sz w:val="22"/>
          <w:szCs w:val="22"/>
        </w:rPr>
        <w:t xml:space="preserve"> numeral </w:t>
      </w:r>
      <w:r w:rsidR="00BE5487" w:rsidRPr="00A572F4">
        <w:rPr>
          <w:rFonts w:ascii="Arial" w:hAnsi="Arial" w:cs="Arial"/>
          <w:sz w:val="22"/>
          <w:szCs w:val="22"/>
        </w:rPr>
        <w:t>2</w:t>
      </w:r>
      <w:r w:rsidR="004622A6" w:rsidRPr="00A572F4">
        <w:rPr>
          <w:rFonts w:ascii="Arial" w:hAnsi="Arial" w:cs="Arial"/>
          <w:sz w:val="22"/>
          <w:szCs w:val="22"/>
        </w:rPr>
        <w:t xml:space="preserve"> </w:t>
      </w:r>
      <w:r w:rsidR="00DE5716" w:rsidRPr="00A572F4">
        <w:rPr>
          <w:rFonts w:ascii="Arial" w:hAnsi="Arial" w:cs="Arial"/>
          <w:sz w:val="22"/>
          <w:szCs w:val="22"/>
        </w:rPr>
        <w:t>se divide</w:t>
      </w:r>
      <w:r w:rsidR="004622A6" w:rsidRPr="00A572F4">
        <w:rPr>
          <w:rFonts w:ascii="Arial" w:hAnsi="Arial" w:cs="Arial"/>
          <w:sz w:val="22"/>
          <w:szCs w:val="22"/>
        </w:rPr>
        <w:t xml:space="preserve"> en dos </w:t>
      </w:r>
      <w:r w:rsidR="00BE5487" w:rsidRPr="00A572F4">
        <w:rPr>
          <w:rFonts w:ascii="Arial" w:hAnsi="Arial" w:cs="Arial"/>
          <w:sz w:val="22"/>
          <w:szCs w:val="22"/>
        </w:rPr>
        <w:t>literales, cada uno de los cuales</w:t>
      </w:r>
      <w:r w:rsidR="002113CF" w:rsidRPr="00A572F4">
        <w:rPr>
          <w:rFonts w:ascii="Arial" w:hAnsi="Arial" w:cs="Arial"/>
          <w:sz w:val="22"/>
          <w:szCs w:val="22"/>
        </w:rPr>
        <w:t xml:space="preserve"> </w:t>
      </w:r>
      <w:r w:rsidR="00F246FF" w:rsidRPr="00A572F4">
        <w:rPr>
          <w:rFonts w:ascii="Arial" w:hAnsi="Arial" w:cs="Arial"/>
          <w:sz w:val="22"/>
          <w:szCs w:val="22"/>
        </w:rPr>
        <w:t>hace referencia a los mecanismos por los que pueden optar las entidades para ponderar los</w:t>
      </w:r>
      <w:r w:rsidR="009512EA" w:rsidRPr="00A572F4">
        <w:rPr>
          <w:rFonts w:ascii="Arial" w:hAnsi="Arial" w:cs="Arial"/>
          <w:sz w:val="22"/>
          <w:szCs w:val="22"/>
        </w:rPr>
        <w:t xml:space="preserve"> elementos de calidad y preci</w:t>
      </w:r>
      <w:r w:rsidR="00B32D71" w:rsidRPr="00A572F4">
        <w:rPr>
          <w:rFonts w:ascii="Arial" w:hAnsi="Arial" w:cs="Arial"/>
          <w:sz w:val="22"/>
          <w:szCs w:val="22"/>
        </w:rPr>
        <w:t>o</w:t>
      </w:r>
      <w:r w:rsidR="00F246FF" w:rsidRPr="00A572F4">
        <w:rPr>
          <w:rFonts w:ascii="Arial" w:hAnsi="Arial" w:cs="Arial"/>
          <w:sz w:val="22"/>
          <w:szCs w:val="22"/>
        </w:rPr>
        <w:t xml:space="preserve"> de las ofertas</w:t>
      </w:r>
      <w:r w:rsidR="00B32D71" w:rsidRPr="00A572F4">
        <w:rPr>
          <w:rFonts w:ascii="Arial" w:hAnsi="Arial" w:cs="Arial"/>
          <w:sz w:val="22"/>
          <w:szCs w:val="22"/>
        </w:rPr>
        <w:t xml:space="preserve">. El literal a) </w:t>
      </w:r>
      <w:r w:rsidR="00DE5716" w:rsidRPr="00A572F4">
        <w:rPr>
          <w:rFonts w:ascii="Arial" w:hAnsi="Arial" w:cs="Arial"/>
          <w:sz w:val="22"/>
          <w:szCs w:val="22"/>
        </w:rPr>
        <w:t>alude</w:t>
      </w:r>
      <w:r w:rsidR="00B32D71" w:rsidRPr="00A572F4">
        <w:rPr>
          <w:rFonts w:ascii="Arial" w:hAnsi="Arial" w:cs="Arial"/>
          <w:sz w:val="22"/>
          <w:szCs w:val="22"/>
        </w:rPr>
        <w:t xml:space="preserve"> a la po</w:t>
      </w:r>
      <w:r w:rsidR="00C205EF" w:rsidRPr="00A572F4">
        <w:rPr>
          <w:rFonts w:ascii="Arial" w:hAnsi="Arial" w:cs="Arial"/>
          <w:sz w:val="22"/>
          <w:szCs w:val="22"/>
        </w:rPr>
        <w:t>n</w:t>
      </w:r>
      <w:r w:rsidR="00B32D71" w:rsidRPr="00A572F4">
        <w:rPr>
          <w:rFonts w:ascii="Arial" w:hAnsi="Arial" w:cs="Arial"/>
          <w:sz w:val="22"/>
          <w:szCs w:val="22"/>
        </w:rPr>
        <w:t>deración de lo</w:t>
      </w:r>
      <w:r w:rsidR="00C205EF" w:rsidRPr="00A572F4">
        <w:rPr>
          <w:rFonts w:ascii="Arial" w:hAnsi="Arial" w:cs="Arial"/>
          <w:sz w:val="22"/>
          <w:szCs w:val="22"/>
        </w:rPr>
        <w:t xml:space="preserve">s referidos elementos mediante puntajes </w:t>
      </w:r>
      <w:r w:rsidR="00906166" w:rsidRPr="00A572F4">
        <w:rPr>
          <w:rFonts w:ascii="Arial" w:hAnsi="Arial" w:cs="Arial"/>
          <w:sz w:val="22"/>
          <w:szCs w:val="22"/>
        </w:rPr>
        <w:t>o</w:t>
      </w:r>
      <w:r w:rsidR="00C205EF" w:rsidRPr="00A572F4">
        <w:rPr>
          <w:rFonts w:ascii="Arial" w:hAnsi="Arial" w:cs="Arial"/>
          <w:sz w:val="22"/>
          <w:szCs w:val="22"/>
        </w:rPr>
        <w:t xml:space="preserve"> f</w:t>
      </w:r>
      <w:r w:rsidR="00DE5716" w:rsidRPr="00A572F4">
        <w:rPr>
          <w:rFonts w:ascii="Arial" w:hAnsi="Arial" w:cs="Arial"/>
          <w:sz w:val="22"/>
          <w:szCs w:val="22"/>
        </w:rPr>
        <w:t>ó</w:t>
      </w:r>
      <w:r w:rsidR="00C205EF" w:rsidRPr="00A572F4">
        <w:rPr>
          <w:rFonts w:ascii="Arial" w:hAnsi="Arial" w:cs="Arial"/>
          <w:sz w:val="22"/>
          <w:szCs w:val="22"/>
        </w:rPr>
        <w:t>rmulas</w:t>
      </w:r>
      <w:r w:rsidR="00DE5716" w:rsidRPr="00A572F4">
        <w:rPr>
          <w:rFonts w:ascii="Arial" w:hAnsi="Arial" w:cs="Arial"/>
          <w:sz w:val="22"/>
          <w:szCs w:val="22"/>
        </w:rPr>
        <w:t>,</w:t>
      </w:r>
      <w:r w:rsidR="00C205EF" w:rsidRPr="00A572F4">
        <w:rPr>
          <w:rFonts w:ascii="Arial" w:hAnsi="Arial" w:cs="Arial"/>
          <w:sz w:val="22"/>
          <w:szCs w:val="22"/>
        </w:rPr>
        <w:t xml:space="preserve"> </w:t>
      </w:r>
      <w:r w:rsidR="00F246FF" w:rsidRPr="00A572F4">
        <w:rPr>
          <w:rFonts w:ascii="Arial" w:hAnsi="Arial" w:cs="Arial"/>
          <w:sz w:val="22"/>
          <w:szCs w:val="22"/>
        </w:rPr>
        <w:t>mientras que el literal</w:t>
      </w:r>
      <w:r w:rsidR="00C205EF" w:rsidRPr="00A572F4">
        <w:rPr>
          <w:rFonts w:ascii="Arial" w:hAnsi="Arial" w:cs="Arial"/>
          <w:sz w:val="22"/>
          <w:szCs w:val="22"/>
        </w:rPr>
        <w:t xml:space="preserve"> b)</w:t>
      </w:r>
      <w:r w:rsidR="00F246FF" w:rsidRPr="00A572F4">
        <w:rPr>
          <w:rFonts w:ascii="Arial" w:hAnsi="Arial" w:cs="Arial"/>
          <w:sz w:val="22"/>
          <w:szCs w:val="22"/>
        </w:rPr>
        <w:t xml:space="preserve"> se refie</w:t>
      </w:r>
      <w:r w:rsidR="00C403CD" w:rsidRPr="00A572F4">
        <w:rPr>
          <w:rFonts w:ascii="Arial" w:hAnsi="Arial" w:cs="Arial"/>
          <w:sz w:val="22"/>
          <w:szCs w:val="22"/>
        </w:rPr>
        <w:t>re</w:t>
      </w:r>
      <w:r w:rsidR="00C205EF" w:rsidRPr="00A572F4">
        <w:rPr>
          <w:rFonts w:ascii="Arial" w:hAnsi="Arial" w:cs="Arial"/>
          <w:sz w:val="22"/>
          <w:szCs w:val="22"/>
        </w:rPr>
        <w:t xml:space="preserve"> </w:t>
      </w:r>
      <w:r w:rsidR="0061512C" w:rsidRPr="00A572F4">
        <w:rPr>
          <w:rFonts w:ascii="Arial" w:hAnsi="Arial" w:cs="Arial"/>
          <w:sz w:val="22"/>
          <w:szCs w:val="22"/>
        </w:rPr>
        <w:t xml:space="preserve">la elección de la oferta </w:t>
      </w:r>
      <w:r w:rsidR="006A0ADE" w:rsidRPr="00A572F4">
        <w:rPr>
          <w:rFonts w:ascii="Arial" w:hAnsi="Arial" w:cs="Arial"/>
          <w:sz w:val="22"/>
          <w:szCs w:val="22"/>
        </w:rPr>
        <w:t>que represent</w:t>
      </w:r>
      <w:r w:rsidR="00C403CD" w:rsidRPr="00A572F4">
        <w:rPr>
          <w:rFonts w:ascii="Arial" w:hAnsi="Arial" w:cs="Arial"/>
          <w:sz w:val="22"/>
          <w:szCs w:val="22"/>
        </w:rPr>
        <w:t>e</w:t>
      </w:r>
      <w:r w:rsidR="006A0ADE" w:rsidRPr="00A572F4">
        <w:rPr>
          <w:rFonts w:ascii="Arial" w:hAnsi="Arial" w:cs="Arial"/>
          <w:sz w:val="22"/>
          <w:szCs w:val="22"/>
        </w:rPr>
        <w:t xml:space="preserve"> la mejor relación costo</w:t>
      </w:r>
      <w:r w:rsidR="000D241E">
        <w:rPr>
          <w:rFonts w:ascii="Arial" w:hAnsi="Arial" w:cs="Arial"/>
          <w:sz w:val="22"/>
          <w:szCs w:val="22"/>
        </w:rPr>
        <w:t>-</w:t>
      </w:r>
      <w:r w:rsidR="006A0ADE" w:rsidRPr="00A572F4">
        <w:rPr>
          <w:rFonts w:ascii="Arial" w:hAnsi="Arial" w:cs="Arial"/>
          <w:sz w:val="22"/>
          <w:szCs w:val="22"/>
        </w:rPr>
        <w:t>benefici</w:t>
      </w:r>
      <w:r w:rsidR="00C403CD" w:rsidRPr="00A572F4">
        <w:rPr>
          <w:rFonts w:ascii="Arial" w:hAnsi="Arial" w:cs="Arial"/>
          <w:sz w:val="22"/>
          <w:szCs w:val="22"/>
        </w:rPr>
        <w:t>o</w:t>
      </w:r>
      <w:r w:rsidR="00B86C04" w:rsidRPr="00A572F4">
        <w:rPr>
          <w:rFonts w:ascii="Arial" w:hAnsi="Arial" w:cs="Arial"/>
          <w:sz w:val="22"/>
          <w:szCs w:val="22"/>
        </w:rPr>
        <w:t xml:space="preserve"> para la entidad</w:t>
      </w:r>
      <w:r w:rsidR="00280754" w:rsidRPr="00A572F4">
        <w:rPr>
          <w:rFonts w:ascii="Arial" w:hAnsi="Arial" w:cs="Arial"/>
          <w:sz w:val="22"/>
          <w:szCs w:val="22"/>
        </w:rPr>
        <w:t xml:space="preserve">. </w:t>
      </w:r>
    </w:p>
    <w:p w14:paraId="00F9FBC5" w14:textId="2FF33BD5" w:rsidR="00E8617F" w:rsidRPr="00A572F4" w:rsidRDefault="00DB1142" w:rsidP="00EB2ED0">
      <w:pPr>
        <w:tabs>
          <w:tab w:val="left" w:pos="0"/>
        </w:tabs>
        <w:spacing w:after="120" w:line="276" w:lineRule="auto"/>
        <w:jc w:val="both"/>
        <w:rPr>
          <w:rFonts w:ascii="Arial" w:hAnsi="Arial" w:cs="Arial"/>
          <w:sz w:val="22"/>
          <w:szCs w:val="22"/>
        </w:rPr>
      </w:pPr>
      <w:r w:rsidRPr="00A572F4">
        <w:rPr>
          <w:rFonts w:ascii="Arial" w:hAnsi="Arial" w:cs="Arial"/>
          <w:sz w:val="22"/>
          <w:szCs w:val="22"/>
        </w:rPr>
        <w:tab/>
      </w:r>
      <w:r w:rsidR="002F6FF9" w:rsidRPr="00A572F4">
        <w:rPr>
          <w:rFonts w:ascii="Arial" w:hAnsi="Arial" w:cs="Arial"/>
          <w:sz w:val="22"/>
          <w:szCs w:val="22"/>
        </w:rPr>
        <w:t>Por su parte, el numeral 3 establece que en los procesos de selección</w:t>
      </w:r>
      <w:r w:rsidR="00133ED2" w:rsidRPr="00A572F4">
        <w:rPr>
          <w:rFonts w:ascii="Arial" w:hAnsi="Arial" w:cs="Arial"/>
          <w:sz w:val="22"/>
          <w:szCs w:val="22"/>
        </w:rPr>
        <w:t xml:space="preserve"> de bienes y servicios de características técnicas uniformes y de común utilización</w:t>
      </w:r>
      <w:r w:rsidR="009767BE" w:rsidRPr="00A572F4">
        <w:rPr>
          <w:rFonts w:ascii="Arial" w:hAnsi="Arial" w:cs="Arial"/>
          <w:sz w:val="22"/>
          <w:szCs w:val="22"/>
        </w:rPr>
        <w:t xml:space="preserve"> el único factor de evaluación</w:t>
      </w:r>
      <w:r w:rsidR="00245B9E" w:rsidRPr="00A572F4">
        <w:rPr>
          <w:rFonts w:ascii="Arial" w:hAnsi="Arial" w:cs="Arial"/>
          <w:sz w:val="22"/>
          <w:szCs w:val="22"/>
        </w:rPr>
        <w:t xml:space="preserve"> </w:t>
      </w:r>
      <w:r w:rsidR="005C514F" w:rsidRPr="00A572F4">
        <w:rPr>
          <w:rFonts w:ascii="Arial" w:hAnsi="Arial" w:cs="Arial"/>
          <w:sz w:val="22"/>
          <w:szCs w:val="22"/>
        </w:rPr>
        <w:t>consiste en</w:t>
      </w:r>
      <w:r w:rsidR="00245B9E" w:rsidRPr="00A572F4">
        <w:rPr>
          <w:rFonts w:ascii="Arial" w:hAnsi="Arial" w:cs="Arial"/>
          <w:sz w:val="22"/>
          <w:szCs w:val="22"/>
        </w:rPr>
        <w:t xml:space="preserve"> el menor precio.</w:t>
      </w:r>
      <w:r w:rsidR="00C403CD" w:rsidRPr="00A572F4">
        <w:rPr>
          <w:rFonts w:ascii="Arial" w:hAnsi="Arial" w:cs="Arial"/>
          <w:sz w:val="22"/>
          <w:szCs w:val="22"/>
        </w:rPr>
        <w:t xml:space="preserve"> Por último, el numeral </w:t>
      </w:r>
      <w:r w:rsidR="00604622" w:rsidRPr="00A572F4">
        <w:rPr>
          <w:rFonts w:ascii="Arial" w:hAnsi="Arial" w:cs="Arial"/>
          <w:sz w:val="22"/>
          <w:szCs w:val="22"/>
        </w:rPr>
        <w:t>4</w:t>
      </w:r>
      <w:r w:rsidR="00601055" w:rsidRPr="00A572F4">
        <w:rPr>
          <w:rFonts w:ascii="Arial" w:hAnsi="Arial" w:cs="Arial"/>
          <w:sz w:val="22"/>
          <w:szCs w:val="22"/>
        </w:rPr>
        <w:t>, referente a procedimientos para selección de consultores,</w:t>
      </w:r>
      <w:r w:rsidR="00CA424D" w:rsidRPr="00A572F4">
        <w:rPr>
          <w:rFonts w:ascii="Arial" w:hAnsi="Arial" w:cs="Arial"/>
          <w:sz w:val="22"/>
          <w:szCs w:val="22"/>
        </w:rPr>
        <w:t xml:space="preserve"> </w:t>
      </w:r>
      <w:r w:rsidR="00966948" w:rsidRPr="00A572F4">
        <w:rPr>
          <w:rFonts w:ascii="Arial" w:hAnsi="Arial" w:cs="Arial"/>
          <w:sz w:val="22"/>
          <w:szCs w:val="22"/>
        </w:rPr>
        <w:t>señala que debe hacer</w:t>
      </w:r>
      <w:r w:rsidR="00EC6044" w:rsidRPr="00A572F4">
        <w:rPr>
          <w:rFonts w:ascii="Arial" w:hAnsi="Arial" w:cs="Arial"/>
          <w:sz w:val="22"/>
          <w:szCs w:val="22"/>
        </w:rPr>
        <w:t>se</w:t>
      </w:r>
      <w:r w:rsidR="00966948" w:rsidRPr="00A572F4">
        <w:rPr>
          <w:rFonts w:ascii="Arial" w:hAnsi="Arial" w:cs="Arial"/>
          <w:sz w:val="22"/>
          <w:szCs w:val="22"/>
        </w:rPr>
        <w:t xml:space="preserve"> uso de factores </w:t>
      </w:r>
      <w:r w:rsidR="002B645D" w:rsidRPr="00A572F4">
        <w:rPr>
          <w:rFonts w:ascii="Arial" w:hAnsi="Arial" w:cs="Arial"/>
          <w:sz w:val="22"/>
          <w:szCs w:val="22"/>
        </w:rPr>
        <w:t xml:space="preserve">de </w:t>
      </w:r>
      <w:r w:rsidR="00966948" w:rsidRPr="00A572F4">
        <w:rPr>
          <w:rFonts w:ascii="Arial" w:hAnsi="Arial" w:cs="Arial"/>
          <w:sz w:val="22"/>
          <w:szCs w:val="22"/>
        </w:rPr>
        <w:t>calificación, para</w:t>
      </w:r>
      <w:r w:rsidR="00601055" w:rsidRPr="00A572F4">
        <w:rPr>
          <w:rFonts w:ascii="Arial" w:hAnsi="Arial" w:cs="Arial"/>
          <w:sz w:val="22"/>
          <w:szCs w:val="22"/>
        </w:rPr>
        <w:t xml:space="preserve"> valorar los aspectos técnicos de la oferta</w:t>
      </w:r>
      <w:r w:rsidR="00EC6044" w:rsidRPr="00A572F4">
        <w:rPr>
          <w:rFonts w:ascii="Arial" w:hAnsi="Arial" w:cs="Arial"/>
          <w:sz w:val="22"/>
          <w:szCs w:val="22"/>
        </w:rPr>
        <w:t xml:space="preserve">, permitiendo que entre ellos se </w:t>
      </w:r>
      <w:r w:rsidR="005C514F" w:rsidRPr="00A572F4">
        <w:rPr>
          <w:rFonts w:ascii="Arial" w:hAnsi="Arial" w:cs="Arial"/>
          <w:sz w:val="22"/>
          <w:szCs w:val="22"/>
        </w:rPr>
        <w:t xml:space="preserve">pondere </w:t>
      </w:r>
      <w:r w:rsidR="00EC6044" w:rsidRPr="00A572F4">
        <w:rPr>
          <w:rFonts w:ascii="Arial" w:hAnsi="Arial" w:cs="Arial"/>
          <w:sz w:val="22"/>
          <w:szCs w:val="22"/>
        </w:rPr>
        <w:t>la experiencia.</w:t>
      </w:r>
    </w:p>
    <w:p w14:paraId="36E6F7E3" w14:textId="4952FC03" w:rsidR="000F4141" w:rsidRPr="00A572F4" w:rsidRDefault="008C3F27" w:rsidP="00EB2ED0">
      <w:pPr>
        <w:tabs>
          <w:tab w:val="left" w:pos="0"/>
        </w:tabs>
        <w:spacing w:line="276" w:lineRule="auto"/>
        <w:jc w:val="both"/>
        <w:rPr>
          <w:rFonts w:ascii="Arial" w:eastAsiaTheme="minorHAnsi" w:hAnsi="Arial" w:cs="Arial"/>
          <w:sz w:val="22"/>
          <w:szCs w:val="22"/>
          <w:lang w:eastAsia="en-US"/>
        </w:rPr>
      </w:pPr>
      <w:r w:rsidRPr="00A572F4">
        <w:rPr>
          <w:rFonts w:ascii="Arial" w:hAnsi="Arial" w:cs="Arial"/>
          <w:sz w:val="22"/>
          <w:szCs w:val="22"/>
        </w:rPr>
        <w:tab/>
        <w:t>Conform</w:t>
      </w:r>
      <w:r w:rsidR="001D6F14" w:rsidRPr="00A572F4">
        <w:rPr>
          <w:rFonts w:ascii="Arial" w:hAnsi="Arial" w:cs="Arial"/>
          <w:sz w:val="22"/>
          <w:szCs w:val="22"/>
        </w:rPr>
        <w:t>e a</w:t>
      </w:r>
      <w:r w:rsidRPr="00A572F4">
        <w:rPr>
          <w:rFonts w:ascii="Arial" w:hAnsi="Arial" w:cs="Arial"/>
          <w:sz w:val="22"/>
          <w:szCs w:val="22"/>
        </w:rPr>
        <w:t xml:space="preserve"> lo anterior, el artículo 5 de la Ley 1150 de 2007, alude a diferentes conceptos como </w:t>
      </w:r>
      <w:r w:rsidR="001D3F00" w:rsidRPr="00A572F4">
        <w:rPr>
          <w:rFonts w:ascii="Arial" w:hAnsi="Arial" w:cs="Arial"/>
          <w:sz w:val="22"/>
          <w:szCs w:val="22"/>
        </w:rPr>
        <w:t>factores de escogencia</w:t>
      </w:r>
      <w:r w:rsidR="00DB1142" w:rsidRPr="00A572F4">
        <w:rPr>
          <w:rFonts w:ascii="Arial" w:hAnsi="Arial" w:cs="Arial"/>
          <w:sz w:val="22"/>
          <w:szCs w:val="22"/>
        </w:rPr>
        <w:t>,</w:t>
      </w:r>
      <w:r w:rsidR="00A622EA" w:rsidRPr="00A572F4">
        <w:rPr>
          <w:rFonts w:ascii="Arial" w:hAnsi="Arial" w:cs="Arial"/>
          <w:sz w:val="22"/>
          <w:szCs w:val="22"/>
        </w:rPr>
        <w:t xml:space="preserve"> de</w:t>
      </w:r>
      <w:r w:rsidR="0048478C" w:rsidRPr="00A572F4">
        <w:rPr>
          <w:rFonts w:ascii="Arial" w:hAnsi="Arial" w:cs="Arial"/>
          <w:sz w:val="22"/>
          <w:szCs w:val="22"/>
        </w:rPr>
        <w:t xml:space="preserve"> calificación</w:t>
      </w:r>
      <w:r w:rsidR="001D3F00" w:rsidRPr="00A572F4">
        <w:rPr>
          <w:rFonts w:ascii="Arial" w:hAnsi="Arial" w:cs="Arial"/>
          <w:sz w:val="22"/>
          <w:szCs w:val="22"/>
        </w:rPr>
        <w:t>,</w:t>
      </w:r>
      <w:r w:rsidR="003F051D" w:rsidRPr="00A572F4">
        <w:rPr>
          <w:rFonts w:ascii="Arial" w:hAnsi="Arial" w:cs="Arial"/>
          <w:sz w:val="22"/>
          <w:szCs w:val="22"/>
        </w:rPr>
        <w:t xml:space="preserve"> </w:t>
      </w:r>
      <w:r w:rsidR="0048478C" w:rsidRPr="00A572F4">
        <w:rPr>
          <w:rFonts w:ascii="Arial" w:hAnsi="Arial" w:cs="Arial"/>
          <w:sz w:val="22"/>
          <w:szCs w:val="22"/>
        </w:rPr>
        <w:t>técnicos y económicos</w:t>
      </w:r>
      <w:r w:rsidR="00FD72E7" w:rsidRPr="00A572F4">
        <w:rPr>
          <w:rFonts w:ascii="Arial" w:hAnsi="Arial" w:cs="Arial"/>
          <w:sz w:val="22"/>
          <w:szCs w:val="22"/>
        </w:rPr>
        <w:t xml:space="preserve"> de escogencia</w:t>
      </w:r>
      <w:r w:rsidR="00DB732A" w:rsidRPr="00A572F4">
        <w:rPr>
          <w:rFonts w:ascii="Arial" w:hAnsi="Arial" w:cs="Arial"/>
          <w:sz w:val="22"/>
          <w:szCs w:val="22"/>
        </w:rPr>
        <w:t xml:space="preserve">, </w:t>
      </w:r>
      <w:r w:rsidR="00274522" w:rsidRPr="00A572F4">
        <w:rPr>
          <w:rFonts w:ascii="Arial" w:hAnsi="Arial" w:cs="Arial"/>
          <w:sz w:val="22"/>
          <w:szCs w:val="22"/>
        </w:rPr>
        <w:t>de evaluación</w:t>
      </w:r>
      <w:r w:rsidR="00996851" w:rsidRPr="00A572F4">
        <w:rPr>
          <w:rFonts w:ascii="Arial" w:hAnsi="Arial" w:cs="Arial"/>
          <w:sz w:val="22"/>
          <w:szCs w:val="22"/>
        </w:rPr>
        <w:t xml:space="preserve"> y calificación. </w:t>
      </w:r>
      <w:r w:rsidR="00906166" w:rsidRPr="00A572F4">
        <w:rPr>
          <w:rFonts w:ascii="Arial" w:hAnsi="Arial" w:cs="Arial"/>
          <w:sz w:val="22"/>
          <w:szCs w:val="22"/>
        </w:rPr>
        <w:t>Además</w:t>
      </w:r>
      <w:r w:rsidR="00996851" w:rsidRPr="00A572F4">
        <w:rPr>
          <w:rFonts w:ascii="Arial" w:hAnsi="Arial" w:cs="Arial"/>
          <w:sz w:val="22"/>
          <w:szCs w:val="22"/>
        </w:rPr>
        <w:t xml:space="preserve">, el </w:t>
      </w:r>
      <w:r w:rsidR="00B94017" w:rsidRPr="00A572F4">
        <w:rPr>
          <w:rFonts w:ascii="Arial" w:hAnsi="Arial" w:cs="Arial"/>
          <w:sz w:val="22"/>
          <w:szCs w:val="22"/>
        </w:rPr>
        <w:t xml:space="preserve">artículo </w:t>
      </w:r>
      <w:r w:rsidR="00666D4B" w:rsidRPr="00A572F4">
        <w:rPr>
          <w:rFonts w:ascii="Arial" w:hAnsi="Arial" w:cs="Arial"/>
          <w:sz w:val="22"/>
          <w:szCs w:val="22"/>
        </w:rPr>
        <w:t>alude a</w:t>
      </w:r>
      <w:r w:rsidR="00B94017" w:rsidRPr="00A572F4">
        <w:rPr>
          <w:rFonts w:ascii="Arial" w:hAnsi="Arial" w:cs="Arial"/>
          <w:sz w:val="22"/>
          <w:szCs w:val="22"/>
        </w:rPr>
        <w:t xml:space="preserve"> unos factores que no otorgan puntaje </w:t>
      </w:r>
      <w:r w:rsidR="003945C3" w:rsidRPr="00A572F4">
        <w:rPr>
          <w:rFonts w:ascii="Arial" w:hAnsi="Arial" w:cs="Arial"/>
          <w:sz w:val="22"/>
          <w:szCs w:val="22"/>
        </w:rPr>
        <w:t xml:space="preserve">y de </w:t>
      </w:r>
      <w:r w:rsidR="00666D4B" w:rsidRPr="00A572F4">
        <w:rPr>
          <w:rFonts w:ascii="Arial" w:hAnsi="Arial" w:cs="Arial"/>
          <w:sz w:val="22"/>
          <w:szCs w:val="22"/>
        </w:rPr>
        <w:t>otros</w:t>
      </w:r>
      <w:r w:rsidR="003945C3" w:rsidRPr="00A572F4">
        <w:rPr>
          <w:rFonts w:ascii="Arial" w:hAnsi="Arial" w:cs="Arial"/>
          <w:sz w:val="22"/>
          <w:szCs w:val="22"/>
        </w:rPr>
        <w:t xml:space="preserve"> que inciden en la comparación de ofertas. </w:t>
      </w:r>
      <w:r w:rsidR="00A622EA" w:rsidRPr="00A572F4">
        <w:rPr>
          <w:rFonts w:ascii="Arial" w:hAnsi="Arial" w:cs="Arial"/>
          <w:sz w:val="22"/>
          <w:szCs w:val="22"/>
        </w:rPr>
        <w:t>En línea con esto</w:t>
      </w:r>
      <w:r w:rsidR="00581FDB" w:rsidRPr="00A572F4">
        <w:rPr>
          <w:rFonts w:ascii="Arial" w:hAnsi="Arial" w:cs="Arial"/>
          <w:sz w:val="22"/>
          <w:szCs w:val="22"/>
        </w:rPr>
        <w:t xml:space="preserve"> último</w:t>
      </w:r>
      <w:r w:rsidR="00A622EA" w:rsidRPr="00A572F4">
        <w:rPr>
          <w:rFonts w:ascii="Arial" w:hAnsi="Arial" w:cs="Arial"/>
          <w:sz w:val="22"/>
          <w:szCs w:val="22"/>
        </w:rPr>
        <w:t>,</w:t>
      </w:r>
      <w:r w:rsidR="000572DE" w:rsidRPr="00A572F4">
        <w:rPr>
          <w:rFonts w:ascii="Arial" w:hAnsi="Arial" w:cs="Arial"/>
          <w:sz w:val="22"/>
          <w:szCs w:val="22"/>
        </w:rPr>
        <w:t xml:space="preserve"> la doctrina </w:t>
      </w:r>
      <w:r w:rsidR="00666D4B" w:rsidRPr="00A572F4">
        <w:rPr>
          <w:rFonts w:ascii="Arial" w:hAnsi="Arial" w:cs="Arial"/>
          <w:sz w:val="22"/>
          <w:szCs w:val="22"/>
        </w:rPr>
        <w:t>define los</w:t>
      </w:r>
      <w:r w:rsidR="000F4141" w:rsidRPr="00A572F4">
        <w:rPr>
          <w:rFonts w:ascii="Arial" w:hAnsi="Arial" w:cs="Arial"/>
          <w:sz w:val="22"/>
          <w:szCs w:val="22"/>
        </w:rPr>
        <w:t xml:space="preserve"> requisitos o factores ponderables</w:t>
      </w:r>
      <w:r w:rsidR="0024790F" w:rsidRPr="00A572F4">
        <w:rPr>
          <w:rFonts w:ascii="Arial" w:hAnsi="Arial" w:cs="Arial"/>
          <w:sz w:val="22"/>
          <w:szCs w:val="22"/>
        </w:rPr>
        <w:t xml:space="preserve"> como </w:t>
      </w:r>
      <w:r w:rsidR="0024790F" w:rsidRPr="00A572F4">
        <w:rPr>
          <w:rFonts w:ascii="Arial" w:hAnsi="Arial" w:cs="Arial"/>
          <w:sz w:val="22"/>
          <w:szCs w:val="22"/>
          <w:lang w:val="es-ES_tradnl"/>
        </w:rPr>
        <w:t>«[…]</w:t>
      </w:r>
      <w:r w:rsidR="0024790F" w:rsidRPr="00A572F4">
        <w:rPr>
          <w:rFonts w:ascii="Arial" w:eastAsiaTheme="minorHAnsi" w:hAnsi="Arial" w:cs="Arial"/>
          <w:sz w:val="22"/>
          <w:szCs w:val="22"/>
          <w:lang w:eastAsia="en-US"/>
        </w:rPr>
        <w:t xml:space="preserve"> </w:t>
      </w:r>
      <w:r w:rsidR="0024790F" w:rsidRPr="00A572F4">
        <w:rPr>
          <w:rFonts w:ascii="Arial" w:hAnsi="Arial" w:cs="Arial"/>
          <w:sz w:val="22"/>
          <w:szCs w:val="22"/>
        </w:rPr>
        <w:t xml:space="preserve">aquellas condiciones de la oferta y no de quien la presenta, que sí entrarán a ser evaluadas por la Administración y </w:t>
      </w:r>
      <w:proofErr w:type="gramStart"/>
      <w:r w:rsidR="0024790F" w:rsidRPr="00A572F4">
        <w:rPr>
          <w:rFonts w:ascii="Arial" w:hAnsi="Arial" w:cs="Arial"/>
          <w:sz w:val="22"/>
          <w:szCs w:val="22"/>
        </w:rPr>
        <w:t>que</w:t>
      </w:r>
      <w:proofErr w:type="gramEnd"/>
      <w:r w:rsidR="0024790F" w:rsidRPr="00A572F4">
        <w:rPr>
          <w:rFonts w:ascii="Arial" w:hAnsi="Arial" w:cs="Arial"/>
          <w:sz w:val="22"/>
          <w:szCs w:val="22"/>
        </w:rPr>
        <w:t xml:space="preserve"> en consecuencia, darán lugar a la escogencia objetiva de la mejor propuesta para la entidad</w:t>
      </w:r>
      <w:r w:rsidR="0024790F" w:rsidRPr="00A572F4">
        <w:rPr>
          <w:rFonts w:ascii="Arial" w:eastAsiaTheme="minorHAnsi" w:hAnsi="Arial" w:cs="Arial"/>
          <w:sz w:val="22"/>
          <w:szCs w:val="22"/>
          <w:lang w:eastAsia="en-US"/>
        </w:rPr>
        <w:t>»</w:t>
      </w:r>
      <w:r w:rsidR="000D2C93" w:rsidRPr="00A572F4">
        <w:rPr>
          <w:rStyle w:val="Refdenotaalpie"/>
          <w:rFonts w:ascii="Arial" w:hAnsi="Arial" w:cs="Arial"/>
          <w:sz w:val="22"/>
          <w:szCs w:val="22"/>
        </w:rPr>
        <w:footnoteReference w:id="25"/>
      </w:r>
      <w:r w:rsidR="0024790F" w:rsidRPr="00A572F4">
        <w:rPr>
          <w:rFonts w:ascii="Arial" w:eastAsiaTheme="minorHAnsi" w:hAnsi="Arial" w:cs="Arial"/>
          <w:sz w:val="22"/>
          <w:szCs w:val="22"/>
          <w:lang w:eastAsia="en-US"/>
        </w:rPr>
        <w:t>.</w:t>
      </w:r>
      <w:r w:rsidR="000374FB" w:rsidRPr="00A572F4">
        <w:rPr>
          <w:rFonts w:ascii="Arial" w:eastAsiaTheme="minorHAnsi" w:hAnsi="Arial" w:cs="Arial"/>
          <w:sz w:val="22"/>
          <w:szCs w:val="22"/>
          <w:lang w:eastAsia="en-US"/>
        </w:rPr>
        <w:t xml:space="preserve"> Todas estas categorías designa</w:t>
      </w:r>
      <w:r w:rsidR="00420547" w:rsidRPr="00A572F4">
        <w:rPr>
          <w:rFonts w:ascii="Arial" w:eastAsiaTheme="minorHAnsi" w:hAnsi="Arial" w:cs="Arial"/>
          <w:sz w:val="22"/>
          <w:szCs w:val="22"/>
          <w:lang w:eastAsia="en-US"/>
        </w:rPr>
        <w:t>n los</w:t>
      </w:r>
      <w:r w:rsidR="000374FB" w:rsidRPr="00A572F4">
        <w:rPr>
          <w:rFonts w:ascii="Arial" w:eastAsiaTheme="minorHAnsi" w:hAnsi="Arial" w:cs="Arial"/>
          <w:sz w:val="22"/>
          <w:szCs w:val="22"/>
          <w:lang w:eastAsia="en-US"/>
        </w:rPr>
        <w:t xml:space="preserve"> </w:t>
      </w:r>
      <w:r w:rsidR="00371563" w:rsidRPr="00A572F4">
        <w:rPr>
          <w:rFonts w:ascii="Arial" w:hAnsi="Arial" w:cs="Arial"/>
          <w:sz w:val="22"/>
          <w:szCs w:val="22"/>
          <w:lang w:val="es-ES_tradnl"/>
        </w:rPr>
        <w:t>«[…]</w:t>
      </w:r>
      <w:r w:rsidR="00371563" w:rsidRPr="00A572F4">
        <w:rPr>
          <w:rFonts w:ascii="Arial" w:eastAsiaTheme="minorHAnsi" w:hAnsi="Arial" w:cs="Arial"/>
          <w:sz w:val="22"/>
          <w:szCs w:val="22"/>
          <w:lang w:eastAsia="en-US"/>
        </w:rPr>
        <w:t xml:space="preserve"> </w:t>
      </w:r>
      <w:r w:rsidR="000374FB" w:rsidRPr="00A572F4">
        <w:rPr>
          <w:rFonts w:ascii="Arial" w:eastAsiaTheme="minorHAnsi" w:hAnsi="Arial" w:cs="Arial"/>
          <w:sz w:val="22"/>
          <w:szCs w:val="22"/>
          <w:lang w:eastAsia="en-US"/>
        </w:rPr>
        <w:t xml:space="preserve">factores a los cuales cabe otorgarles puntajes o que pueden ser ponderados, precisamente, pues estos </w:t>
      </w:r>
      <w:r w:rsidR="000374FB" w:rsidRPr="00A572F4">
        <w:rPr>
          <w:rFonts w:ascii="Arial" w:eastAsiaTheme="minorHAnsi" w:hAnsi="Arial" w:cs="Arial"/>
          <w:sz w:val="22"/>
          <w:szCs w:val="22"/>
          <w:lang w:eastAsia="en-US"/>
        </w:rPr>
        <w:lastRenderedPageBreak/>
        <w:t>son los factores que en últimas permiten una comparación de ofertas y una diferenciación entre ellas</w:t>
      </w:r>
      <w:r w:rsidR="00371563" w:rsidRPr="00A572F4">
        <w:rPr>
          <w:rFonts w:ascii="Arial" w:eastAsiaTheme="minorHAnsi" w:hAnsi="Arial" w:cs="Arial"/>
          <w:sz w:val="22"/>
          <w:szCs w:val="22"/>
          <w:lang w:eastAsia="en-US"/>
        </w:rPr>
        <w:t>»</w:t>
      </w:r>
      <w:r w:rsidR="00987E4B" w:rsidRPr="00A572F4">
        <w:rPr>
          <w:rStyle w:val="Refdenotaalpie"/>
          <w:rFonts w:ascii="Arial" w:eastAsiaTheme="minorHAnsi" w:hAnsi="Arial" w:cs="Arial"/>
          <w:sz w:val="22"/>
          <w:szCs w:val="22"/>
          <w:lang w:eastAsia="en-US"/>
        </w:rPr>
        <w:footnoteReference w:id="26"/>
      </w:r>
      <w:r w:rsidR="000374FB" w:rsidRPr="00A572F4">
        <w:rPr>
          <w:rFonts w:ascii="Arial" w:eastAsiaTheme="minorHAnsi" w:hAnsi="Arial" w:cs="Arial"/>
          <w:sz w:val="22"/>
          <w:szCs w:val="22"/>
          <w:lang w:eastAsia="en-US"/>
        </w:rPr>
        <w:t>.</w:t>
      </w:r>
      <w:r w:rsidR="00E26950" w:rsidRPr="00A572F4">
        <w:rPr>
          <w:rFonts w:ascii="Arial" w:eastAsiaTheme="minorHAnsi" w:hAnsi="Arial" w:cs="Arial"/>
          <w:sz w:val="22"/>
          <w:szCs w:val="22"/>
          <w:lang w:eastAsia="en-US"/>
        </w:rPr>
        <w:t xml:space="preserve"> Conforme a esto, </w:t>
      </w:r>
      <w:r w:rsidR="00096D15" w:rsidRPr="00A572F4">
        <w:rPr>
          <w:rFonts w:ascii="Arial" w:eastAsiaTheme="minorHAnsi" w:hAnsi="Arial" w:cs="Arial"/>
          <w:sz w:val="22"/>
          <w:szCs w:val="22"/>
          <w:lang w:eastAsia="en-US"/>
        </w:rPr>
        <w:t>la doctrina explica que</w:t>
      </w:r>
      <w:r w:rsidR="00D30FEA" w:rsidRPr="00A572F4">
        <w:rPr>
          <w:rFonts w:ascii="Arial" w:eastAsiaTheme="minorHAnsi" w:hAnsi="Arial" w:cs="Arial"/>
          <w:sz w:val="22"/>
          <w:szCs w:val="22"/>
          <w:lang w:eastAsia="en-US"/>
        </w:rPr>
        <w:t>:</w:t>
      </w:r>
    </w:p>
    <w:p w14:paraId="601D283A" w14:textId="77777777" w:rsidR="00705806" w:rsidRPr="00A572F4" w:rsidRDefault="00705806" w:rsidP="00EB2ED0">
      <w:pPr>
        <w:tabs>
          <w:tab w:val="left" w:pos="0"/>
        </w:tabs>
        <w:ind w:left="709" w:right="709"/>
        <w:jc w:val="both"/>
        <w:rPr>
          <w:rFonts w:ascii="Arial" w:eastAsia="Calibri" w:hAnsi="Arial" w:cs="Arial"/>
          <w:bCs/>
          <w:sz w:val="21"/>
          <w:szCs w:val="21"/>
        </w:rPr>
      </w:pPr>
    </w:p>
    <w:p w14:paraId="050FBF7A" w14:textId="5A03D55D" w:rsidR="00E26950" w:rsidRPr="00A572F4" w:rsidRDefault="00E26950" w:rsidP="00EB2ED0">
      <w:pPr>
        <w:tabs>
          <w:tab w:val="left" w:pos="0"/>
        </w:tabs>
        <w:spacing w:after="120"/>
        <w:ind w:left="709" w:right="709"/>
        <w:jc w:val="both"/>
        <w:rPr>
          <w:rFonts w:ascii="Arial" w:eastAsia="Calibri" w:hAnsi="Arial" w:cs="Arial"/>
          <w:bCs/>
          <w:sz w:val="21"/>
          <w:szCs w:val="21"/>
        </w:rPr>
      </w:pPr>
      <w:r w:rsidRPr="00A572F4">
        <w:rPr>
          <w:rFonts w:ascii="Arial" w:eastAsia="Calibri" w:hAnsi="Arial" w:cs="Arial"/>
          <w:bCs/>
          <w:sz w:val="21"/>
          <w:szCs w:val="21"/>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0B69612A" w14:textId="77777777" w:rsidR="00493870" w:rsidRPr="00A572F4" w:rsidRDefault="00493870" w:rsidP="00EB2ED0">
      <w:pPr>
        <w:tabs>
          <w:tab w:val="left" w:pos="0"/>
        </w:tabs>
        <w:ind w:left="709" w:right="709"/>
        <w:jc w:val="both"/>
        <w:rPr>
          <w:rFonts w:ascii="Arial" w:eastAsia="Calibri" w:hAnsi="Arial" w:cs="Arial"/>
          <w:bCs/>
          <w:sz w:val="21"/>
          <w:szCs w:val="21"/>
        </w:rPr>
      </w:pPr>
      <w:r w:rsidRPr="00A572F4">
        <w:rPr>
          <w:rFonts w:ascii="Arial" w:eastAsia="Calibri" w:hAnsi="Arial" w:cs="Arial"/>
          <w:bCs/>
          <w:sz w:val="21"/>
          <w:szCs w:val="21"/>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64C14DDD" w14:textId="77777777" w:rsidR="00493870" w:rsidRPr="00A572F4" w:rsidRDefault="00493870" w:rsidP="00EB2ED0">
      <w:pPr>
        <w:tabs>
          <w:tab w:val="left" w:pos="0"/>
        </w:tabs>
        <w:spacing w:after="120"/>
        <w:ind w:left="709" w:right="709"/>
        <w:jc w:val="both"/>
        <w:rPr>
          <w:rFonts w:ascii="Arial" w:eastAsia="Calibri" w:hAnsi="Arial" w:cs="Arial"/>
          <w:bCs/>
          <w:sz w:val="21"/>
          <w:szCs w:val="21"/>
        </w:rPr>
      </w:pPr>
      <w:r w:rsidRPr="00A572F4">
        <w:rPr>
          <w:rFonts w:ascii="Arial" w:eastAsia="Calibri" w:hAnsi="Arial" w:cs="Arial"/>
          <w:bCs/>
          <w:sz w:val="21"/>
          <w:szCs w:val="21"/>
        </w:rPr>
        <w:t>[…]</w:t>
      </w:r>
    </w:p>
    <w:p w14:paraId="66D50DAB" w14:textId="65628AC6" w:rsidR="00493870" w:rsidRPr="00A572F4" w:rsidRDefault="00493870" w:rsidP="00EB2ED0">
      <w:pPr>
        <w:tabs>
          <w:tab w:val="left" w:pos="0"/>
        </w:tabs>
        <w:ind w:left="709" w:right="709"/>
        <w:jc w:val="both"/>
        <w:rPr>
          <w:rFonts w:ascii="Arial" w:eastAsia="Calibri" w:hAnsi="Arial" w:cs="Arial"/>
          <w:bCs/>
          <w:sz w:val="21"/>
          <w:szCs w:val="21"/>
        </w:rPr>
      </w:pPr>
      <w:r w:rsidRPr="00A572F4">
        <w:rPr>
          <w:rFonts w:ascii="Arial" w:eastAsia="Calibri" w:hAnsi="Arial" w:cs="Arial"/>
          <w:bCs/>
          <w:sz w:val="21"/>
          <w:szCs w:val="21"/>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A572F4">
        <w:rPr>
          <w:rStyle w:val="Refdenotaalpie"/>
          <w:rFonts w:ascii="Arial" w:eastAsia="Calibri" w:hAnsi="Arial" w:cs="Arial"/>
          <w:bCs/>
          <w:sz w:val="21"/>
          <w:szCs w:val="21"/>
        </w:rPr>
        <w:footnoteReference w:id="27"/>
      </w:r>
      <w:r w:rsidRPr="00A572F4">
        <w:rPr>
          <w:rFonts w:ascii="Arial" w:eastAsia="Calibri" w:hAnsi="Arial" w:cs="Arial"/>
          <w:bCs/>
          <w:sz w:val="21"/>
          <w:szCs w:val="21"/>
        </w:rPr>
        <w:t>.</w:t>
      </w:r>
    </w:p>
    <w:p w14:paraId="21F59504" w14:textId="77777777" w:rsidR="00493870" w:rsidRPr="00A572F4" w:rsidRDefault="00493870" w:rsidP="00EB2ED0">
      <w:pPr>
        <w:tabs>
          <w:tab w:val="left" w:pos="0"/>
        </w:tabs>
        <w:ind w:left="709" w:right="709"/>
        <w:jc w:val="both"/>
        <w:rPr>
          <w:rFonts w:ascii="Arial" w:eastAsia="Calibri" w:hAnsi="Arial" w:cs="Arial"/>
          <w:bCs/>
          <w:sz w:val="21"/>
          <w:szCs w:val="21"/>
        </w:rPr>
      </w:pPr>
    </w:p>
    <w:p w14:paraId="28AA5F8D" w14:textId="54E3E4C7" w:rsidR="00C71304" w:rsidRPr="00A572F4" w:rsidRDefault="00FB551D" w:rsidP="00EB2ED0">
      <w:pPr>
        <w:tabs>
          <w:tab w:val="left" w:pos="0"/>
        </w:tabs>
        <w:spacing w:after="120" w:line="276" w:lineRule="auto"/>
        <w:jc w:val="both"/>
        <w:rPr>
          <w:rFonts w:ascii="Arial" w:eastAsia="Calibri" w:hAnsi="Arial" w:cs="Arial"/>
          <w:bCs/>
          <w:sz w:val="22"/>
          <w:szCs w:val="22"/>
        </w:rPr>
      </w:pPr>
      <w:r w:rsidRPr="00A572F4">
        <w:rPr>
          <w:rFonts w:ascii="Arial" w:eastAsia="Calibri" w:hAnsi="Arial" w:cs="Arial"/>
          <w:bCs/>
          <w:sz w:val="22"/>
          <w:szCs w:val="22"/>
        </w:rPr>
        <w:tab/>
        <w:t xml:space="preserve">De acuerdo </w:t>
      </w:r>
      <w:r w:rsidR="00FA4E49" w:rsidRPr="00A572F4">
        <w:rPr>
          <w:rFonts w:ascii="Arial" w:eastAsia="Calibri" w:hAnsi="Arial" w:cs="Arial"/>
          <w:bCs/>
          <w:sz w:val="22"/>
          <w:szCs w:val="22"/>
        </w:rPr>
        <w:t>con</w:t>
      </w:r>
      <w:r w:rsidRPr="00A572F4">
        <w:rPr>
          <w:rFonts w:ascii="Arial" w:eastAsia="Calibri" w:hAnsi="Arial" w:cs="Arial"/>
          <w:bCs/>
          <w:sz w:val="22"/>
          <w:szCs w:val="22"/>
        </w:rPr>
        <w:t xml:space="preserve"> lo anterior, es posible asimilar las</w:t>
      </w:r>
      <w:r w:rsidR="00D30041" w:rsidRPr="00A572F4">
        <w:rPr>
          <w:rFonts w:ascii="Arial" w:eastAsia="Calibri" w:hAnsi="Arial" w:cs="Arial"/>
          <w:bCs/>
          <w:sz w:val="22"/>
          <w:szCs w:val="22"/>
        </w:rPr>
        <w:t xml:space="preserve"> diferentes categorí</w:t>
      </w:r>
      <w:r w:rsidR="00BC244D" w:rsidRPr="00A572F4">
        <w:rPr>
          <w:rFonts w:ascii="Arial" w:eastAsia="Calibri" w:hAnsi="Arial" w:cs="Arial"/>
          <w:bCs/>
          <w:sz w:val="22"/>
          <w:szCs w:val="22"/>
        </w:rPr>
        <w:t xml:space="preserve">as a las que hace referencia el artículo 5 de la Ley 1150 de 2007, cuando alude a los factores que, a diferencia de los requisitos habilitantes, determinan la oferta más favorable para la entidad, y que por lo tanto debe </w:t>
      </w:r>
      <w:r w:rsidR="00E17ABB" w:rsidRPr="00A572F4">
        <w:rPr>
          <w:rFonts w:ascii="Arial" w:eastAsia="Calibri" w:hAnsi="Arial" w:cs="Arial"/>
          <w:bCs/>
          <w:sz w:val="22"/>
          <w:szCs w:val="22"/>
        </w:rPr>
        <w:t xml:space="preserve">hacer </w:t>
      </w:r>
      <w:r w:rsidR="00983310" w:rsidRPr="00A572F4">
        <w:rPr>
          <w:rFonts w:ascii="Arial" w:eastAsia="Calibri" w:hAnsi="Arial" w:cs="Arial"/>
          <w:bCs/>
          <w:sz w:val="22"/>
          <w:szCs w:val="22"/>
        </w:rPr>
        <w:t xml:space="preserve">adjudicatario </w:t>
      </w:r>
      <w:r w:rsidR="00E17ABB" w:rsidRPr="00A572F4">
        <w:rPr>
          <w:rFonts w:ascii="Arial" w:eastAsia="Calibri" w:hAnsi="Arial" w:cs="Arial"/>
          <w:bCs/>
          <w:sz w:val="22"/>
          <w:szCs w:val="22"/>
        </w:rPr>
        <w:t>a quien la presentó</w:t>
      </w:r>
      <w:r w:rsidR="00AF6CBB" w:rsidRPr="00A572F4">
        <w:rPr>
          <w:rFonts w:ascii="Arial" w:eastAsia="Calibri" w:hAnsi="Arial" w:cs="Arial"/>
          <w:bCs/>
          <w:sz w:val="22"/>
          <w:szCs w:val="22"/>
        </w:rPr>
        <w:t xml:space="preserve"> en debida forma</w:t>
      </w:r>
      <w:r w:rsidR="00E17ABB" w:rsidRPr="00A572F4">
        <w:rPr>
          <w:rFonts w:ascii="Arial" w:eastAsia="Calibri" w:hAnsi="Arial" w:cs="Arial"/>
          <w:bCs/>
          <w:sz w:val="22"/>
          <w:szCs w:val="22"/>
        </w:rPr>
        <w:t>.</w:t>
      </w:r>
      <w:r w:rsidR="00183515" w:rsidRPr="00A572F4">
        <w:rPr>
          <w:rFonts w:ascii="Arial" w:eastAsia="Calibri" w:hAnsi="Arial" w:cs="Arial"/>
          <w:bCs/>
          <w:sz w:val="22"/>
          <w:szCs w:val="22"/>
        </w:rPr>
        <w:t xml:space="preserve"> Es frente a estos factores que la entidad concibe </w:t>
      </w:r>
      <w:r w:rsidR="001275E8" w:rsidRPr="00A572F4">
        <w:rPr>
          <w:rFonts w:ascii="Arial" w:eastAsia="Calibri" w:hAnsi="Arial" w:cs="Arial"/>
          <w:bCs/>
          <w:sz w:val="22"/>
          <w:szCs w:val="22"/>
        </w:rPr>
        <w:t>el otorgamiento de puntajes, como mecanismos para ponderar y comparar los ofrecimientos</w:t>
      </w:r>
      <w:r w:rsidR="00876BF7" w:rsidRPr="00A572F4">
        <w:rPr>
          <w:rFonts w:ascii="Arial" w:eastAsia="Calibri" w:hAnsi="Arial" w:cs="Arial"/>
          <w:bCs/>
          <w:sz w:val="22"/>
          <w:szCs w:val="22"/>
        </w:rPr>
        <w:t>,</w:t>
      </w:r>
      <w:r w:rsidR="00493870" w:rsidRPr="00A572F4">
        <w:rPr>
          <w:rFonts w:ascii="Arial" w:eastAsia="Calibri" w:hAnsi="Arial" w:cs="Arial"/>
          <w:bCs/>
          <w:sz w:val="22"/>
          <w:szCs w:val="22"/>
        </w:rPr>
        <w:t xml:space="preserve"> </w:t>
      </w:r>
      <w:r w:rsidR="00402ACD" w:rsidRPr="00A572F4">
        <w:rPr>
          <w:rFonts w:ascii="Arial" w:eastAsia="Calibri" w:hAnsi="Arial" w:cs="Arial"/>
          <w:bCs/>
          <w:sz w:val="22"/>
          <w:szCs w:val="22"/>
        </w:rPr>
        <w:t>con el fin de determinar objetivamente</w:t>
      </w:r>
      <w:r w:rsidR="00876BF7" w:rsidRPr="00A572F4">
        <w:rPr>
          <w:rFonts w:ascii="Arial" w:eastAsia="Calibri" w:hAnsi="Arial" w:cs="Arial"/>
          <w:bCs/>
          <w:sz w:val="22"/>
          <w:szCs w:val="22"/>
        </w:rPr>
        <w:t xml:space="preserve"> </w:t>
      </w:r>
      <w:r w:rsidR="00493870" w:rsidRPr="00A572F4">
        <w:rPr>
          <w:rFonts w:ascii="Arial" w:eastAsia="Calibri" w:hAnsi="Arial" w:cs="Arial"/>
          <w:bCs/>
          <w:sz w:val="22"/>
          <w:szCs w:val="22"/>
        </w:rPr>
        <w:t xml:space="preserve">la oferta más favorable, aplicando para ello las reglas establecidas en el pliego </w:t>
      </w:r>
      <w:r w:rsidR="000F0CCE" w:rsidRPr="00A572F4">
        <w:rPr>
          <w:rFonts w:ascii="Arial" w:eastAsia="Calibri" w:hAnsi="Arial" w:cs="Arial"/>
          <w:bCs/>
          <w:sz w:val="22"/>
          <w:szCs w:val="22"/>
        </w:rPr>
        <w:t>o documento equivalente</w:t>
      </w:r>
      <w:r w:rsidR="002B18E0" w:rsidRPr="00A572F4">
        <w:rPr>
          <w:rFonts w:ascii="Arial" w:eastAsia="Calibri" w:hAnsi="Arial" w:cs="Arial"/>
          <w:bCs/>
          <w:sz w:val="22"/>
          <w:szCs w:val="22"/>
        </w:rPr>
        <w:t xml:space="preserve"> para la ponderación de las ofertas. </w:t>
      </w:r>
    </w:p>
    <w:p w14:paraId="75A9DF40" w14:textId="1E0E2DF5" w:rsidR="00B3529F" w:rsidRPr="00A572F4" w:rsidRDefault="00C71304" w:rsidP="00EB2ED0">
      <w:pPr>
        <w:tabs>
          <w:tab w:val="left" w:pos="0"/>
        </w:tabs>
        <w:spacing w:after="120" w:line="276" w:lineRule="auto"/>
        <w:jc w:val="both"/>
        <w:rPr>
          <w:rFonts w:ascii="Arial" w:eastAsia="Calibri" w:hAnsi="Arial" w:cs="Arial"/>
          <w:bCs/>
          <w:sz w:val="22"/>
          <w:szCs w:val="22"/>
        </w:rPr>
      </w:pPr>
      <w:r w:rsidRPr="00A572F4">
        <w:rPr>
          <w:rFonts w:ascii="Arial" w:eastAsia="Calibri" w:hAnsi="Arial" w:cs="Arial"/>
          <w:bCs/>
          <w:sz w:val="22"/>
          <w:szCs w:val="22"/>
        </w:rPr>
        <w:tab/>
      </w:r>
      <w:r w:rsidR="00642D9F" w:rsidRPr="00A572F4">
        <w:rPr>
          <w:rFonts w:ascii="Arial" w:eastAsia="Calibri" w:hAnsi="Arial" w:cs="Arial"/>
          <w:bCs/>
          <w:sz w:val="22"/>
          <w:szCs w:val="22"/>
        </w:rPr>
        <w:t xml:space="preserve">En ese sentido, la asignación de puntaje es </w:t>
      </w:r>
      <w:r w:rsidR="00B94C02" w:rsidRPr="00A572F4">
        <w:rPr>
          <w:rFonts w:ascii="Arial" w:eastAsia="Calibri" w:hAnsi="Arial" w:cs="Arial"/>
          <w:bCs/>
          <w:sz w:val="22"/>
          <w:szCs w:val="22"/>
        </w:rPr>
        <w:t xml:space="preserve">un </w:t>
      </w:r>
      <w:r w:rsidR="00642D9F" w:rsidRPr="00A572F4">
        <w:rPr>
          <w:rFonts w:ascii="Arial" w:eastAsia="Calibri" w:hAnsi="Arial" w:cs="Arial"/>
          <w:bCs/>
          <w:sz w:val="22"/>
          <w:szCs w:val="22"/>
        </w:rPr>
        <w:t>mecanismo</w:t>
      </w:r>
      <w:r w:rsidR="00A13EEC" w:rsidRPr="00A572F4">
        <w:rPr>
          <w:rFonts w:ascii="Arial" w:eastAsia="Calibri" w:hAnsi="Arial" w:cs="Arial"/>
          <w:bCs/>
          <w:sz w:val="22"/>
          <w:szCs w:val="22"/>
        </w:rPr>
        <w:t xml:space="preserve"> </w:t>
      </w:r>
      <w:r w:rsidR="00AF6CBB" w:rsidRPr="00A572F4">
        <w:rPr>
          <w:rFonts w:ascii="Arial" w:eastAsia="Calibri" w:hAnsi="Arial" w:cs="Arial"/>
          <w:bCs/>
          <w:sz w:val="22"/>
          <w:szCs w:val="22"/>
        </w:rPr>
        <w:t xml:space="preserve">mediante </w:t>
      </w:r>
      <w:r w:rsidR="00A13EEC" w:rsidRPr="00A572F4">
        <w:rPr>
          <w:rFonts w:ascii="Arial" w:eastAsia="Calibri" w:hAnsi="Arial" w:cs="Arial"/>
          <w:bCs/>
          <w:sz w:val="22"/>
          <w:szCs w:val="22"/>
        </w:rPr>
        <w:t xml:space="preserve">el cual </w:t>
      </w:r>
      <w:r w:rsidR="00B94C02" w:rsidRPr="00A572F4">
        <w:rPr>
          <w:rFonts w:ascii="Arial" w:eastAsia="Calibri" w:hAnsi="Arial" w:cs="Arial"/>
          <w:bCs/>
          <w:sz w:val="22"/>
          <w:szCs w:val="22"/>
        </w:rPr>
        <w:t>las entidades</w:t>
      </w:r>
      <w:r w:rsidR="00A13EEC" w:rsidRPr="00A572F4">
        <w:rPr>
          <w:rFonts w:ascii="Arial" w:eastAsia="Calibri" w:hAnsi="Arial" w:cs="Arial"/>
          <w:bCs/>
          <w:sz w:val="22"/>
          <w:szCs w:val="22"/>
        </w:rPr>
        <w:t xml:space="preserve"> pondera</w:t>
      </w:r>
      <w:r w:rsidR="000F0CCE" w:rsidRPr="00A572F4">
        <w:rPr>
          <w:rFonts w:ascii="Arial" w:eastAsia="Calibri" w:hAnsi="Arial" w:cs="Arial"/>
          <w:bCs/>
          <w:sz w:val="22"/>
          <w:szCs w:val="22"/>
        </w:rPr>
        <w:t>n</w:t>
      </w:r>
      <w:r w:rsidR="00A13EEC" w:rsidRPr="00A572F4">
        <w:rPr>
          <w:rFonts w:ascii="Arial" w:eastAsia="Calibri" w:hAnsi="Arial" w:cs="Arial"/>
          <w:bCs/>
          <w:sz w:val="22"/>
          <w:szCs w:val="22"/>
        </w:rPr>
        <w:t xml:space="preserve"> los factores de calificación</w:t>
      </w:r>
      <w:r w:rsidR="00B94C02" w:rsidRPr="00A572F4">
        <w:rPr>
          <w:rFonts w:ascii="Arial" w:eastAsia="Calibri" w:hAnsi="Arial" w:cs="Arial"/>
          <w:bCs/>
          <w:sz w:val="22"/>
          <w:szCs w:val="22"/>
        </w:rPr>
        <w:t xml:space="preserve"> </w:t>
      </w:r>
      <w:r w:rsidR="00D37EAD" w:rsidRPr="00A572F4">
        <w:rPr>
          <w:rFonts w:ascii="Arial" w:eastAsia="Calibri" w:hAnsi="Arial" w:cs="Arial"/>
          <w:bCs/>
          <w:sz w:val="22"/>
          <w:szCs w:val="22"/>
        </w:rPr>
        <w:t>ꟷ</w:t>
      </w:r>
      <w:r w:rsidR="00B94C02" w:rsidRPr="00A572F4">
        <w:rPr>
          <w:rFonts w:ascii="Arial" w:eastAsia="Calibri" w:hAnsi="Arial" w:cs="Arial"/>
          <w:bCs/>
          <w:i/>
          <w:iCs/>
          <w:sz w:val="22"/>
          <w:szCs w:val="22"/>
        </w:rPr>
        <w:t>v</w:t>
      </w:r>
      <w:r w:rsidR="002D3E4A" w:rsidRPr="00A572F4">
        <w:rPr>
          <w:rFonts w:ascii="Arial" w:eastAsia="Calibri" w:hAnsi="Arial" w:cs="Arial"/>
          <w:bCs/>
          <w:i/>
          <w:iCs/>
          <w:sz w:val="22"/>
          <w:szCs w:val="22"/>
        </w:rPr>
        <w:t>.g.</w:t>
      </w:r>
      <w:r w:rsidR="002D3E4A" w:rsidRPr="00A572F4">
        <w:rPr>
          <w:rFonts w:ascii="Arial" w:eastAsia="Calibri" w:hAnsi="Arial" w:cs="Arial"/>
          <w:bCs/>
          <w:sz w:val="22"/>
          <w:szCs w:val="22"/>
        </w:rPr>
        <w:t xml:space="preserve"> t</w:t>
      </w:r>
      <w:r w:rsidR="00B94C02" w:rsidRPr="00A572F4">
        <w:rPr>
          <w:rFonts w:ascii="Arial" w:eastAsia="Calibri" w:hAnsi="Arial" w:cs="Arial"/>
          <w:bCs/>
          <w:sz w:val="22"/>
          <w:szCs w:val="22"/>
        </w:rPr>
        <w:t xml:space="preserve">écnicos y económicos, de calidad y </w:t>
      </w:r>
      <w:r w:rsidR="00B94C02" w:rsidRPr="00A572F4">
        <w:rPr>
          <w:rFonts w:ascii="Arial" w:eastAsia="Calibri" w:hAnsi="Arial" w:cs="Arial"/>
          <w:bCs/>
          <w:sz w:val="22"/>
          <w:szCs w:val="22"/>
        </w:rPr>
        <w:lastRenderedPageBreak/>
        <w:t>precio</w:t>
      </w:r>
      <w:r w:rsidR="00B94C02" w:rsidRPr="00A572F4">
        <w:rPr>
          <w:rFonts w:ascii="Arial" w:eastAsia="Calibri" w:hAnsi="Arial" w:cs="Arial"/>
          <w:bCs/>
          <w:sz w:val="22"/>
          <w:szCs w:val="22"/>
        </w:rPr>
        <w:softHyphen/>
      </w:r>
      <w:r w:rsidR="00F540A3" w:rsidRPr="00A572F4">
        <w:rPr>
          <w:rFonts w:ascii="Arial" w:eastAsia="Calibri" w:hAnsi="Arial" w:cs="Arial"/>
          <w:bCs/>
          <w:sz w:val="22"/>
          <w:szCs w:val="22"/>
        </w:rPr>
        <w:t xml:space="preserve">, </w:t>
      </w:r>
      <w:r w:rsidR="000F0CCE" w:rsidRPr="00A572F4">
        <w:rPr>
          <w:rFonts w:ascii="Arial" w:eastAsia="Calibri" w:hAnsi="Arial" w:cs="Arial"/>
          <w:bCs/>
          <w:sz w:val="22"/>
          <w:szCs w:val="22"/>
        </w:rPr>
        <w:t>etc.</w:t>
      </w:r>
      <w:r w:rsidR="00D37EAD" w:rsidRPr="00A572F4">
        <w:rPr>
          <w:rFonts w:ascii="Arial" w:eastAsia="Calibri" w:hAnsi="Arial" w:cs="Arial"/>
          <w:bCs/>
          <w:sz w:val="22"/>
          <w:szCs w:val="22"/>
        </w:rPr>
        <w:t xml:space="preserve">ꟷ </w:t>
      </w:r>
      <w:r w:rsidR="00A13EEC" w:rsidRPr="00A572F4">
        <w:rPr>
          <w:rFonts w:ascii="Arial" w:eastAsia="Calibri" w:hAnsi="Arial" w:cs="Arial"/>
          <w:bCs/>
          <w:sz w:val="22"/>
          <w:szCs w:val="22"/>
        </w:rPr>
        <w:t>en un determinado proceso de selecci</w:t>
      </w:r>
      <w:r w:rsidR="002D3E4A" w:rsidRPr="00A572F4">
        <w:rPr>
          <w:rFonts w:ascii="Arial" w:eastAsia="Calibri" w:hAnsi="Arial" w:cs="Arial"/>
          <w:bCs/>
          <w:sz w:val="22"/>
          <w:szCs w:val="22"/>
        </w:rPr>
        <w:t>ón</w:t>
      </w:r>
      <w:r w:rsidR="008005A1" w:rsidRPr="00A572F4">
        <w:rPr>
          <w:rFonts w:ascii="Arial" w:eastAsia="Calibri" w:hAnsi="Arial" w:cs="Arial"/>
          <w:bCs/>
          <w:sz w:val="22"/>
          <w:szCs w:val="22"/>
        </w:rPr>
        <w:t>, como se desprende del</w:t>
      </w:r>
      <w:r w:rsidR="00687DAD" w:rsidRPr="00A572F4">
        <w:rPr>
          <w:rFonts w:ascii="Arial" w:eastAsia="Calibri" w:hAnsi="Arial" w:cs="Arial"/>
          <w:bCs/>
          <w:sz w:val="22"/>
          <w:szCs w:val="22"/>
        </w:rPr>
        <w:t xml:space="preserve"> literal a) del</w:t>
      </w:r>
      <w:r w:rsidR="008005A1" w:rsidRPr="00A572F4">
        <w:rPr>
          <w:rFonts w:ascii="Arial" w:eastAsia="Calibri" w:hAnsi="Arial" w:cs="Arial"/>
          <w:bCs/>
          <w:sz w:val="22"/>
          <w:szCs w:val="22"/>
        </w:rPr>
        <w:t xml:space="preserve"> </w:t>
      </w:r>
      <w:r w:rsidR="002E7B84" w:rsidRPr="00A572F4">
        <w:rPr>
          <w:rFonts w:ascii="Arial" w:eastAsia="Calibri" w:hAnsi="Arial" w:cs="Arial"/>
          <w:bCs/>
          <w:sz w:val="22"/>
          <w:szCs w:val="22"/>
        </w:rPr>
        <w:t>numeral 2</w:t>
      </w:r>
      <w:r w:rsidR="00C73AC2" w:rsidRPr="00A572F4">
        <w:rPr>
          <w:rFonts w:ascii="Arial" w:eastAsia="Calibri" w:hAnsi="Arial" w:cs="Arial"/>
          <w:bCs/>
          <w:sz w:val="22"/>
          <w:szCs w:val="22"/>
        </w:rPr>
        <w:t xml:space="preserve"> del artículo </w:t>
      </w:r>
      <w:r w:rsidR="002E7B84" w:rsidRPr="00A572F4">
        <w:rPr>
          <w:rFonts w:ascii="Arial" w:eastAsia="Calibri" w:hAnsi="Arial" w:cs="Arial"/>
          <w:bCs/>
          <w:sz w:val="22"/>
          <w:szCs w:val="22"/>
        </w:rPr>
        <w:t>5</w:t>
      </w:r>
      <w:r w:rsidR="00C73AC2" w:rsidRPr="00A572F4">
        <w:rPr>
          <w:rFonts w:ascii="Arial" w:eastAsia="Calibri" w:hAnsi="Arial" w:cs="Arial"/>
          <w:bCs/>
          <w:sz w:val="22"/>
          <w:szCs w:val="22"/>
        </w:rPr>
        <w:t xml:space="preserve"> de la Ley 1150 de 200</w:t>
      </w:r>
      <w:r w:rsidR="00B147B3" w:rsidRPr="00A572F4">
        <w:rPr>
          <w:rFonts w:ascii="Arial" w:eastAsia="Calibri" w:hAnsi="Arial" w:cs="Arial"/>
          <w:bCs/>
          <w:sz w:val="22"/>
          <w:szCs w:val="22"/>
        </w:rPr>
        <w:t xml:space="preserve">7, en el que expresamente se alude al puntaje. </w:t>
      </w:r>
      <w:r w:rsidR="00443259" w:rsidRPr="00A572F4">
        <w:rPr>
          <w:rFonts w:ascii="Arial" w:eastAsia="Calibri" w:hAnsi="Arial" w:cs="Arial"/>
          <w:bCs/>
          <w:sz w:val="22"/>
          <w:szCs w:val="22"/>
        </w:rPr>
        <w:t>Sin embargo</w:t>
      </w:r>
      <w:r w:rsidR="00045D5B" w:rsidRPr="00A572F4">
        <w:rPr>
          <w:rFonts w:ascii="Arial" w:eastAsia="Calibri" w:hAnsi="Arial" w:cs="Arial"/>
          <w:bCs/>
          <w:sz w:val="22"/>
          <w:szCs w:val="22"/>
        </w:rPr>
        <w:t>, no es este el único mecanismo de ponderación que tiene</w:t>
      </w:r>
      <w:r w:rsidR="00FD694E" w:rsidRPr="00A572F4">
        <w:rPr>
          <w:rFonts w:ascii="Arial" w:eastAsia="Calibri" w:hAnsi="Arial" w:cs="Arial"/>
          <w:bCs/>
          <w:sz w:val="22"/>
          <w:szCs w:val="22"/>
        </w:rPr>
        <w:t>n</w:t>
      </w:r>
      <w:r w:rsidR="00045D5B" w:rsidRPr="00A572F4">
        <w:rPr>
          <w:rFonts w:ascii="Arial" w:eastAsia="Calibri" w:hAnsi="Arial" w:cs="Arial"/>
          <w:bCs/>
          <w:sz w:val="22"/>
          <w:szCs w:val="22"/>
        </w:rPr>
        <w:t xml:space="preserve"> </w:t>
      </w:r>
      <w:r w:rsidR="00687DAD" w:rsidRPr="00A572F4">
        <w:rPr>
          <w:rFonts w:ascii="Arial" w:eastAsia="Calibri" w:hAnsi="Arial" w:cs="Arial"/>
          <w:bCs/>
          <w:sz w:val="22"/>
          <w:szCs w:val="22"/>
        </w:rPr>
        <w:t xml:space="preserve">a </w:t>
      </w:r>
      <w:r w:rsidR="00045D5B" w:rsidRPr="00A572F4">
        <w:rPr>
          <w:rFonts w:ascii="Arial" w:eastAsia="Calibri" w:hAnsi="Arial" w:cs="Arial"/>
          <w:bCs/>
          <w:sz w:val="22"/>
          <w:szCs w:val="22"/>
        </w:rPr>
        <w:t>su alcance las entidades estatales para determinar</w:t>
      </w:r>
      <w:r w:rsidR="00572959" w:rsidRPr="00A572F4">
        <w:rPr>
          <w:rFonts w:ascii="Arial" w:eastAsia="Calibri" w:hAnsi="Arial" w:cs="Arial"/>
          <w:bCs/>
          <w:sz w:val="22"/>
          <w:szCs w:val="22"/>
        </w:rPr>
        <w:t xml:space="preserve"> el ofrecimiento más favorable, ya que el propio </w:t>
      </w:r>
      <w:r w:rsidR="00585E80" w:rsidRPr="00A572F4">
        <w:rPr>
          <w:rFonts w:ascii="Arial" w:eastAsia="Calibri" w:hAnsi="Arial" w:cs="Arial"/>
          <w:bCs/>
          <w:sz w:val="22"/>
          <w:szCs w:val="22"/>
        </w:rPr>
        <w:t xml:space="preserve">literal </w:t>
      </w:r>
      <w:r w:rsidRPr="00A572F4">
        <w:rPr>
          <w:rFonts w:ascii="Arial" w:eastAsia="Calibri" w:hAnsi="Arial" w:cs="Arial"/>
          <w:bCs/>
          <w:sz w:val="22"/>
          <w:szCs w:val="22"/>
        </w:rPr>
        <w:t>b</w:t>
      </w:r>
      <w:r w:rsidR="00585E80" w:rsidRPr="00A572F4">
        <w:rPr>
          <w:rFonts w:ascii="Arial" w:eastAsia="Calibri" w:hAnsi="Arial" w:cs="Arial"/>
          <w:bCs/>
          <w:sz w:val="22"/>
          <w:szCs w:val="22"/>
        </w:rPr>
        <w:t>) del</w:t>
      </w:r>
      <w:r w:rsidR="00572959" w:rsidRPr="00A572F4">
        <w:rPr>
          <w:rFonts w:ascii="Arial" w:eastAsia="Calibri" w:hAnsi="Arial" w:cs="Arial"/>
          <w:bCs/>
          <w:sz w:val="22"/>
          <w:szCs w:val="22"/>
        </w:rPr>
        <w:t xml:space="preserve"> artículo 5</w:t>
      </w:r>
      <w:r w:rsidR="00443259" w:rsidRPr="00A572F4">
        <w:rPr>
          <w:rFonts w:ascii="Arial" w:eastAsia="Calibri" w:hAnsi="Arial" w:cs="Arial"/>
          <w:bCs/>
          <w:sz w:val="22"/>
          <w:szCs w:val="22"/>
        </w:rPr>
        <w:t>.</w:t>
      </w:r>
      <w:r w:rsidR="00FD694E" w:rsidRPr="00A572F4">
        <w:rPr>
          <w:rFonts w:ascii="Arial" w:eastAsia="Calibri" w:hAnsi="Arial" w:cs="Arial"/>
          <w:bCs/>
          <w:sz w:val="22"/>
          <w:szCs w:val="22"/>
        </w:rPr>
        <w:t>2</w:t>
      </w:r>
      <w:r w:rsidR="00572959" w:rsidRPr="00A572F4">
        <w:rPr>
          <w:rFonts w:ascii="Arial" w:eastAsia="Calibri" w:hAnsi="Arial" w:cs="Arial"/>
          <w:bCs/>
          <w:sz w:val="22"/>
          <w:szCs w:val="22"/>
        </w:rPr>
        <w:t xml:space="preserve"> </w:t>
      </w:r>
      <w:r w:rsidR="00585E80" w:rsidRPr="00A572F4">
        <w:rPr>
          <w:rFonts w:ascii="Arial" w:eastAsia="Calibri" w:hAnsi="Arial" w:cs="Arial"/>
          <w:bCs/>
          <w:sz w:val="22"/>
          <w:szCs w:val="22"/>
        </w:rPr>
        <w:t xml:space="preserve">posibilita que </w:t>
      </w:r>
      <w:r w:rsidR="00412110" w:rsidRPr="00A572F4">
        <w:rPr>
          <w:rFonts w:ascii="Arial" w:eastAsia="Calibri" w:hAnsi="Arial" w:cs="Arial"/>
          <w:bCs/>
          <w:sz w:val="22"/>
          <w:szCs w:val="22"/>
        </w:rPr>
        <w:t xml:space="preserve">el ofrecimiento más favorable se </w:t>
      </w:r>
      <w:r w:rsidR="00FD694E" w:rsidRPr="00A572F4">
        <w:rPr>
          <w:rFonts w:ascii="Arial" w:eastAsia="Calibri" w:hAnsi="Arial" w:cs="Arial"/>
          <w:bCs/>
          <w:sz w:val="22"/>
          <w:szCs w:val="22"/>
        </w:rPr>
        <w:t xml:space="preserve">determine </w:t>
      </w:r>
      <w:r w:rsidR="00C4330B" w:rsidRPr="00A572F4">
        <w:rPr>
          <w:rFonts w:ascii="Arial" w:eastAsia="Calibri" w:hAnsi="Arial" w:cs="Arial"/>
          <w:bCs/>
          <w:sz w:val="22"/>
          <w:szCs w:val="22"/>
        </w:rPr>
        <w:t>con</w:t>
      </w:r>
      <w:r w:rsidR="00412110" w:rsidRPr="00A572F4">
        <w:rPr>
          <w:rFonts w:ascii="Arial" w:eastAsia="Calibri" w:hAnsi="Arial" w:cs="Arial"/>
          <w:bCs/>
          <w:sz w:val="22"/>
          <w:szCs w:val="22"/>
        </w:rPr>
        <w:t xml:space="preserve"> un</w:t>
      </w:r>
      <w:r w:rsidR="00FD694E" w:rsidRPr="00A572F4">
        <w:rPr>
          <w:rFonts w:ascii="Arial" w:eastAsia="Calibri" w:hAnsi="Arial" w:cs="Arial"/>
          <w:bCs/>
          <w:sz w:val="22"/>
          <w:szCs w:val="22"/>
        </w:rPr>
        <w:t xml:space="preserve"> análisis</w:t>
      </w:r>
      <w:r w:rsidR="00412110" w:rsidRPr="00A572F4">
        <w:rPr>
          <w:rFonts w:ascii="Arial" w:eastAsia="Calibri" w:hAnsi="Arial" w:cs="Arial"/>
          <w:bCs/>
          <w:sz w:val="22"/>
          <w:szCs w:val="22"/>
        </w:rPr>
        <w:t xml:space="preserve"> </w:t>
      </w:r>
      <w:r w:rsidR="00FD694E" w:rsidRPr="00A572F4">
        <w:rPr>
          <w:rFonts w:ascii="Arial" w:eastAsia="Calibri" w:hAnsi="Arial" w:cs="Arial"/>
          <w:bCs/>
          <w:sz w:val="22"/>
          <w:szCs w:val="22"/>
        </w:rPr>
        <w:t xml:space="preserve">de la </w:t>
      </w:r>
      <w:r w:rsidR="00412110" w:rsidRPr="00A572F4">
        <w:rPr>
          <w:rFonts w:ascii="Arial" w:eastAsia="Calibri" w:hAnsi="Arial" w:cs="Arial"/>
          <w:bCs/>
          <w:sz w:val="22"/>
          <w:szCs w:val="22"/>
        </w:rPr>
        <w:t xml:space="preserve">relación </w:t>
      </w:r>
      <w:r w:rsidR="001716D9" w:rsidRPr="00A572F4">
        <w:rPr>
          <w:rFonts w:ascii="Arial" w:eastAsia="Calibri" w:hAnsi="Arial" w:cs="Arial"/>
          <w:bCs/>
          <w:sz w:val="22"/>
          <w:szCs w:val="22"/>
        </w:rPr>
        <w:t>costo</w:t>
      </w:r>
      <w:r w:rsidR="00FD694E" w:rsidRPr="00A572F4">
        <w:rPr>
          <w:rFonts w:ascii="Arial" w:eastAsia="Calibri" w:hAnsi="Arial" w:cs="Arial"/>
          <w:bCs/>
          <w:sz w:val="22"/>
          <w:szCs w:val="22"/>
        </w:rPr>
        <w:t>-</w:t>
      </w:r>
      <w:r w:rsidR="001716D9" w:rsidRPr="00A572F4">
        <w:rPr>
          <w:rFonts w:ascii="Arial" w:eastAsia="Calibri" w:hAnsi="Arial" w:cs="Arial"/>
          <w:bCs/>
          <w:sz w:val="22"/>
          <w:szCs w:val="22"/>
        </w:rPr>
        <w:t xml:space="preserve">beneficio, evento en </w:t>
      </w:r>
      <w:r w:rsidR="00AF6CBB" w:rsidRPr="00A572F4">
        <w:rPr>
          <w:rFonts w:ascii="Arial" w:eastAsia="Calibri" w:hAnsi="Arial" w:cs="Arial"/>
          <w:bCs/>
          <w:sz w:val="22"/>
          <w:szCs w:val="22"/>
        </w:rPr>
        <w:t>e</w:t>
      </w:r>
      <w:r w:rsidR="001716D9" w:rsidRPr="00A572F4">
        <w:rPr>
          <w:rFonts w:ascii="Arial" w:eastAsia="Calibri" w:hAnsi="Arial" w:cs="Arial"/>
          <w:bCs/>
          <w:sz w:val="22"/>
          <w:szCs w:val="22"/>
        </w:rPr>
        <w:t>l no ha</w:t>
      </w:r>
      <w:r w:rsidR="00AF6CBB" w:rsidRPr="00A572F4">
        <w:rPr>
          <w:rFonts w:ascii="Arial" w:eastAsia="Calibri" w:hAnsi="Arial" w:cs="Arial"/>
          <w:bCs/>
          <w:sz w:val="22"/>
          <w:szCs w:val="22"/>
        </w:rPr>
        <w:t xml:space="preserve">bría </w:t>
      </w:r>
      <w:r w:rsidR="001716D9" w:rsidRPr="00A572F4">
        <w:rPr>
          <w:rFonts w:ascii="Arial" w:eastAsia="Calibri" w:hAnsi="Arial" w:cs="Arial"/>
          <w:bCs/>
          <w:sz w:val="22"/>
          <w:szCs w:val="22"/>
        </w:rPr>
        <w:t>necesidad de acudir a sistemas de asignación de puntaje.</w:t>
      </w:r>
      <w:r w:rsidR="00687DAD" w:rsidRPr="00A572F4">
        <w:rPr>
          <w:rFonts w:ascii="Arial" w:eastAsia="Calibri" w:hAnsi="Arial" w:cs="Arial"/>
          <w:bCs/>
          <w:sz w:val="22"/>
          <w:szCs w:val="22"/>
        </w:rPr>
        <w:t xml:space="preserve"> </w:t>
      </w:r>
      <w:r w:rsidR="00FD694E" w:rsidRPr="00A572F4">
        <w:rPr>
          <w:rFonts w:ascii="Arial" w:eastAsia="Calibri" w:hAnsi="Arial" w:cs="Arial"/>
          <w:bCs/>
          <w:sz w:val="22"/>
          <w:szCs w:val="22"/>
        </w:rPr>
        <w:t xml:space="preserve">A estos se suman, los procesos de selección de bienes y servicios de características técnicas uniformes y de común utilización, así como los de mínima cuantía, en los que </w:t>
      </w:r>
      <w:r w:rsidR="00DA0C85" w:rsidRPr="00A572F4">
        <w:rPr>
          <w:rFonts w:ascii="Arial" w:eastAsia="Calibri" w:hAnsi="Arial" w:cs="Arial"/>
          <w:bCs/>
          <w:sz w:val="22"/>
          <w:szCs w:val="22"/>
        </w:rPr>
        <w:t xml:space="preserve">–según los artículos 5.3 y 2.5 de la Ley 1150 de 2007– </w:t>
      </w:r>
      <w:r w:rsidR="00FD694E" w:rsidRPr="00A572F4">
        <w:rPr>
          <w:rFonts w:ascii="Arial" w:eastAsia="Calibri" w:hAnsi="Arial" w:cs="Arial"/>
          <w:bCs/>
          <w:sz w:val="22"/>
          <w:szCs w:val="22"/>
        </w:rPr>
        <w:t>el único factor de selección es el menor precio ofertado, por lo que no hay lugar a ponderación mediante puntajes.</w:t>
      </w:r>
    </w:p>
    <w:p w14:paraId="6DFCF23E" w14:textId="270B9400" w:rsidR="00BC71AD" w:rsidRPr="00A572F4" w:rsidRDefault="00B3529F" w:rsidP="00EB2ED0">
      <w:pPr>
        <w:spacing w:after="120" w:line="276" w:lineRule="auto"/>
        <w:jc w:val="both"/>
        <w:rPr>
          <w:rFonts w:ascii="Arial" w:hAnsi="Arial" w:cs="Arial"/>
          <w:sz w:val="22"/>
          <w:szCs w:val="22"/>
          <w:lang w:eastAsia="es-CO"/>
        </w:rPr>
      </w:pPr>
      <w:r w:rsidRPr="00A572F4">
        <w:rPr>
          <w:rFonts w:ascii="Arial" w:eastAsia="Calibri" w:hAnsi="Arial" w:cs="Arial"/>
          <w:bCs/>
          <w:sz w:val="22"/>
          <w:szCs w:val="22"/>
        </w:rPr>
        <w:tab/>
      </w:r>
      <w:r w:rsidR="00AF20DA" w:rsidRPr="00A572F4">
        <w:rPr>
          <w:rFonts w:ascii="Arial" w:eastAsia="Calibri" w:hAnsi="Arial" w:cs="Arial"/>
          <w:bCs/>
          <w:sz w:val="22"/>
          <w:szCs w:val="22"/>
        </w:rPr>
        <w:t xml:space="preserve">Es necesario destacar, que las reglas para </w:t>
      </w:r>
      <w:r w:rsidR="00FD694E" w:rsidRPr="00A572F4">
        <w:rPr>
          <w:rFonts w:ascii="Arial" w:eastAsia="Calibri" w:hAnsi="Arial" w:cs="Arial"/>
          <w:bCs/>
          <w:sz w:val="22"/>
          <w:szCs w:val="22"/>
        </w:rPr>
        <w:t>establecer</w:t>
      </w:r>
      <w:r w:rsidR="00AF20DA" w:rsidRPr="00A572F4">
        <w:rPr>
          <w:rFonts w:ascii="Arial" w:eastAsia="Calibri" w:hAnsi="Arial" w:cs="Arial"/>
          <w:bCs/>
          <w:sz w:val="22"/>
          <w:szCs w:val="22"/>
        </w:rPr>
        <w:t xml:space="preserve"> </w:t>
      </w:r>
      <w:r w:rsidR="00161AAD" w:rsidRPr="00A572F4">
        <w:rPr>
          <w:rFonts w:ascii="Arial" w:eastAsia="Calibri" w:hAnsi="Arial" w:cs="Arial"/>
          <w:bCs/>
          <w:sz w:val="22"/>
          <w:szCs w:val="22"/>
        </w:rPr>
        <w:t>la oferta más favorable conforme al artículo 5 de la Ley 1150 de 2007, se encuentra</w:t>
      </w:r>
      <w:r w:rsidR="00FD694E" w:rsidRPr="00A572F4">
        <w:rPr>
          <w:rFonts w:ascii="Arial" w:eastAsia="Calibri" w:hAnsi="Arial" w:cs="Arial"/>
          <w:bCs/>
          <w:sz w:val="22"/>
          <w:szCs w:val="22"/>
        </w:rPr>
        <w:t>n</w:t>
      </w:r>
      <w:r w:rsidR="00161AAD" w:rsidRPr="00A572F4">
        <w:rPr>
          <w:rFonts w:ascii="Arial" w:eastAsia="Calibri" w:hAnsi="Arial" w:cs="Arial"/>
          <w:bCs/>
          <w:sz w:val="22"/>
          <w:szCs w:val="22"/>
        </w:rPr>
        <w:t xml:space="preserve"> reglamentad</w:t>
      </w:r>
      <w:r w:rsidR="00FD694E" w:rsidRPr="00A572F4">
        <w:rPr>
          <w:rFonts w:ascii="Arial" w:eastAsia="Calibri" w:hAnsi="Arial" w:cs="Arial"/>
          <w:bCs/>
          <w:sz w:val="22"/>
          <w:szCs w:val="22"/>
        </w:rPr>
        <w:t>a</w:t>
      </w:r>
      <w:r w:rsidR="00161AAD" w:rsidRPr="00A572F4">
        <w:rPr>
          <w:rFonts w:ascii="Arial" w:eastAsia="Calibri" w:hAnsi="Arial" w:cs="Arial"/>
          <w:bCs/>
          <w:sz w:val="22"/>
          <w:szCs w:val="22"/>
        </w:rPr>
        <w:t xml:space="preserve">s en el artículo </w:t>
      </w:r>
      <w:r w:rsidR="00362668" w:rsidRPr="00A572F4">
        <w:rPr>
          <w:rFonts w:ascii="Arial" w:eastAsia="Calibri" w:hAnsi="Arial" w:cs="Arial"/>
          <w:bCs/>
          <w:sz w:val="22"/>
          <w:szCs w:val="22"/>
        </w:rPr>
        <w:t xml:space="preserve">2.2.1.1.2.2.2 del Decreto 1082 de 2015. Este artículo </w:t>
      </w:r>
      <w:r w:rsidR="000E3965" w:rsidRPr="00A572F4">
        <w:rPr>
          <w:rFonts w:ascii="Arial" w:eastAsia="Calibri" w:hAnsi="Arial" w:cs="Arial"/>
          <w:bCs/>
          <w:sz w:val="22"/>
          <w:szCs w:val="22"/>
        </w:rPr>
        <w:t>desarrolla</w:t>
      </w:r>
      <w:r w:rsidR="00A0109F" w:rsidRPr="00A572F4">
        <w:rPr>
          <w:rFonts w:ascii="Arial" w:eastAsia="Calibri" w:hAnsi="Arial" w:cs="Arial"/>
          <w:bCs/>
          <w:sz w:val="22"/>
          <w:szCs w:val="22"/>
        </w:rPr>
        <w:t xml:space="preserve"> los </w:t>
      </w:r>
      <w:r w:rsidR="007B1D33" w:rsidRPr="00A572F4">
        <w:rPr>
          <w:rFonts w:ascii="Arial" w:eastAsia="Calibri" w:hAnsi="Arial" w:cs="Arial"/>
          <w:bCs/>
          <w:sz w:val="22"/>
          <w:szCs w:val="22"/>
        </w:rPr>
        <w:t xml:space="preserve">mecanismos de ponderación </w:t>
      </w:r>
      <w:r w:rsidR="00A0109F" w:rsidRPr="00A572F4">
        <w:rPr>
          <w:rFonts w:ascii="Arial" w:eastAsia="Calibri" w:hAnsi="Arial" w:cs="Arial"/>
          <w:bCs/>
          <w:sz w:val="22"/>
          <w:szCs w:val="22"/>
        </w:rPr>
        <w:t>previstos en</w:t>
      </w:r>
      <w:r w:rsidR="007B1D33" w:rsidRPr="00A572F4">
        <w:rPr>
          <w:rFonts w:ascii="Arial" w:eastAsia="Calibri" w:hAnsi="Arial" w:cs="Arial"/>
          <w:bCs/>
          <w:sz w:val="22"/>
          <w:szCs w:val="22"/>
        </w:rPr>
        <w:t xml:space="preserve"> los literales a) y b) del artículo 5</w:t>
      </w:r>
      <w:r w:rsidR="007B1D33" w:rsidRPr="00A572F4">
        <w:rPr>
          <w:rFonts w:ascii="Arial" w:eastAsia="Calibri" w:hAnsi="Arial" w:cs="Arial"/>
          <w:bCs/>
          <w:sz w:val="22"/>
          <w:szCs w:val="22"/>
        </w:rPr>
        <w:softHyphen/>
      </w:r>
      <w:r w:rsidR="00A0109F" w:rsidRPr="00A572F4">
        <w:rPr>
          <w:rFonts w:ascii="Arial" w:eastAsia="Calibri" w:hAnsi="Arial" w:cs="Arial"/>
          <w:bCs/>
          <w:sz w:val="22"/>
          <w:szCs w:val="22"/>
        </w:rPr>
        <w:t>.</w:t>
      </w:r>
      <w:r w:rsidR="007B1D33" w:rsidRPr="00A572F4">
        <w:rPr>
          <w:rFonts w:ascii="Arial" w:eastAsia="Calibri" w:hAnsi="Arial" w:cs="Arial"/>
          <w:bCs/>
          <w:sz w:val="22"/>
          <w:szCs w:val="22"/>
        </w:rPr>
        <w:t xml:space="preserve">2 de la Ley 1150 de 2007, </w:t>
      </w:r>
      <w:r w:rsidR="00A0109F" w:rsidRPr="00A572F4">
        <w:rPr>
          <w:rFonts w:ascii="Arial" w:eastAsia="Calibri" w:hAnsi="Arial" w:cs="Arial"/>
          <w:bCs/>
          <w:sz w:val="22"/>
          <w:szCs w:val="22"/>
        </w:rPr>
        <w:t xml:space="preserve">disponiendo </w:t>
      </w:r>
      <w:r w:rsidR="007B1D33" w:rsidRPr="00A572F4">
        <w:rPr>
          <w:rFonts w:ascii="Arial" w:eastAsia="Calibri" w:hAnsi="Arial" w:cs="Arial"/>
          <w:bCs/>
          <w:sz w:val="22"/>
          <w:szCs w:val="22"/>
        </w:rPr>
        <w:t xml:space="preserve">unas pautas para </w:t>
      </w:r>
      <w:r w:rsidR="00904782" w:rsidRPr="00A572F4">
        <w:rPr>
          <w:rFonts w:ascii="Arial" w:eastAsia="Calibri" w:hAnsi="Arial" w:cs="Arial"/>
          <w:bCs/>
          <w:sz w:val="22"/>
          <w:szCs w:val="22"/>
        </w:rPr>
        <w:t>la p</w:t>
      </w:r>
      <w:r w:rsidR="00904782" w:rsidRPr="00A572F4">
        <w:rPr>
          <w:rFonts w:ascii="Arial" w:hAnsi="Arial" w:cs="Arial"/>
          <w:sz w:val="22"/>
          <w:szCs w:val="22"/>
        </w:rPr>
        <w:t xml:space="preserve">onderación de los elementos de calidad y precio que representen la mejor relación de costo-beneficio. </w:t>
      </w:r>
      <w:r w:rsidR="004C0BF9" w:rsidRPr="00A572F4">
        <w:rPr>
          <w:rFonts w:ascii="Arial" w:hAnsi="Arial" w:cs="Arial"/>
          <w:sz w:val="22"/>
          <w:szCs w:val="22"/>
        </w:rPr>
        <w:t xml:space="preserve">Conforme a </w:t>
      </w:r>
      <w:r w:rsidR="002D4F3D" w:rsidRPr="00A572F4">
        <w:rPr>
          <w:rFonts w:ascii="Arial" w:hAnsi="Arial" w:cs="Arial"/>
          <w:sz w:val="22"/>
          <w:szCs w:val="22"/>
        </w:rPr>
        <w:t>este</w:t>
      </w:r>
      <w:r w:rsidR="004C0BF9" w:rsidRPr="00A572F4">
        <w:rPr>
          <w:rFonts w:ascii="Arial" w:hAnsi="Arial" w:cs="Arial"/>
          <w:sz w:val="22"/>
          <w:szCs w:val="22"/>
        </w:rPr>
        <w:t xml:space="preserve"> artículo, la oferta más favorable en estos casos debe determinarse </w:t>
      </w:r>
      <w:r w:rsidR="006765DF" w:rsidRPr="00A572F4">
        <w:rPr>
          <w:rFonts w:ascii="Arial" w:hAnsi="Arial" w:cs="Arial"/>
          <w:sz w:val="22"/>
          <w:szCs w:val="22"/>
        </w:rPr>
        <w:t>ponderando</w:t>
      </w:r>
      <w:r w:rsidR="001D50DB" w:rsidRPr="00A572F4">
        <w:rPr>
          <w:rFonts w:ascii="Arial" w:hAnsi="Arial" w:cs="Arial"/>
          <w:sz w:val="22"/>
          <w:szCs w:val="22"/>
        </w:rPr>
        <w:t xml:space="preserve"> en las ofertas:</w:t>
      </w:r>
      <w:r w:rsidR="006765DF" w:rsidRPr="00A572F4">
        <w:rPr>
          <w:rFonts w:ascii="Arial" w:hAnsi="Arial" w:cs="Arial"/>
          <w:sz w:val="22"/>
          <w:szCs w:val="22"/>
        </w:rPr>
        <w:t xml:space="preserve"> i) </w:t>
      </w:r>
      <w:r w:rsidR="001D50DB" w:rsidRPr="00A572F4">
        <w:rPr>
          <w:rFonts w:ascii="Arial" w:hAnsi="Arial" w:cs="Arial"/>
          <w:sz w:val="22"/>
          <w:szCs w:val="22"/>
          <w:lang w:eastAsia="es-CO"/>
        </w:rPr>
        <w:t>l</w:t>
      </w:r>
      <w:r w:rsidR="006765DF" w:rsidRPr="00A572F4">
        <w:rPr>
          <w:rFonts w:ascii="Arial" w:hAnsi="Arial" w:cs="Arial"/>
          <w:sz w:val="22"/>
          <w:szCs w:val="22"/>
          <w:lang w:eastAsia="es-CO"/>
        </w:rPr>
        <w:t>as condiciones técnicas y económicas mínimas</w:t>
      </w:r>
      <w:r w:rsidR="00B541E7">
        <w:rPr>
          <w:rFonts w:ascii="Arial" w:hAnsi="Arial" w:cs="Arial"/>
          <w:sz w:val="22"/>
          <w:szCs w:val="22"/>
          <w:lang w:eastAsia="es-CO"/>
        </w:rPr>
        <w:t>,</w:t>
      </w:r>
      <w:r w:rsidR="006765DF" w:rsidRPr="00A572F4">
        <w:rPr>
          <w:rFonts w:ascii="Arial" w:hAnsi="Arial" w:cs="Arial"/>
          <w:sz w:val="22"/>
          <w:szCs w:val="22"/>
          <w:lang w:eastAsia="es-CO"/>
        </w:rPr>
        <w:t xml:space="preserve"> </w:t>
      </w:r>
      <w:proofErr w:type="spellStart"/>
      <w:r w:rsidR="006765DF" w:rsidRPr="00A572F4">
        <w:rPr>
          <w:rFonts w:ascii="Arial" w:hAnsi="Arial" w:cs="Arial"/>
          <w:sz w:val="22"/>
          <w:szCs w:val="22"/>
          <w:lang w:eastAsia="es-CO"/>
        </w:rPr>
        <w:t>ii</w:t>
      </w:r>
      <w:proofErr w:type="spellEnd"/>
      <w:r w:rsidR="006765DF" w:rsidRPr="00A572F4">
        <w:rPr>
          <w:rFonts w:ascii="Arial" w:hAnsi="Arial" w:cs="Arial"/>
          <w:sz w:val="22"/>
          <w:szCs w:val="22"/>
          <w:lang w:eastAsia="es-CO"/>
        </w:rPr>
        <w:t xml:space="preserve">) </w:t>
      </w:r>
      <w:r w:rsidR="001D50DB" w:rsidRPr="00A572F4">
        <w:rPr>
          <w:rFonts w:ascii="Arial" w:hAnsi="Arial" w:cs="Arial"/>
          <w:sz w:val="22"/>
          <w:szCs w:val="22"/>
          <w:lang w:eastAsia="es-CO"/>
        </w:rPr>
        <w:t>l</w:t>
      </w:r>
      <w:r w:rsidR="006765DF" w:rsidRPr="00A572F4">
        <w:rPr>
          <w:rFonts w:ascii="Arial" w:hAnsi="Arial" w:cs="Arial"/>
          <w:sz w:val="22"/>
          <w:szCs w:val="22"/>
          <w:lang w:eastAsia="es-CO"/>
        </w:rPr>
        <w:t>as condiciones técnicas adicionales que representan ventajas de calidad o de funcionamiento</w:t>
      </w:r>
      <w:r w:rsidR="00B541E7">
        <w:rPr>
          <w:rFonts w:ascii="Arial" w:hAnsi="Arial" w:cs="Arial"/>
          <w:sz w:val="22"/>
          <w:szCs w:val="22"/>
          <w:lang w:eastAsia="es-CO"/>
        </w:rPr>
        <w:t>,</w:t>
      </w:r>
      <w:r w:rsidR="001D50DB" w:rsidRPr="00A572F4">
        <w:rPr>
          <w:rFonts w:ascii="Arial" w:hAnsi="Arial" w:cs="Arial"/>
          <w:sz w:val="22"/>
          <w:szCs w:val="22"/>
          <w:lang w:eastAsia="es-CO"/>
        </w:rPr>
        <w:t xml:space="preserve"> </w:t>
      </w:r>
      <w:proofErr w:type="spellStart"/>
      <w:r w:rsidR="001D50DB" w:rsidRPr="00A572F4">
        <w:rPr>
          <w:rFonts w:ascii="Arial" w:hAnsi="Arial" w:cs="Arial"/>
          <w:sz w:val="22"/>
          <w:szCs w:val="22"/>
          <w:lang w:eastAsia="es-CO"/>
        </w:rPr>
        <w:t>iii</w:t>
      </w:r>
      <w:proofErr w:type="spellEnd"/>
      <w:r w:rsidR="001D50DB" w:rsidRPr="00A572F4">
        <w:rPr>
          <w:rFonts w:ascii="Arial" w:hAnsi="Arial" w:cs="Arial"/>
          <w:sz w:val="22"/>
          <w:szCs w:val="22"/>
          <w:lang w:eastAsia="es-CO"/>
        </w:rPr>
        <w:t>) las condiciones económicas adicionales que representen ventajas en términos de economía, eficiencia y eficacia</w:t>
      </w:r>
      <w:r w:rsidR="00B541E7">
        <w:rPr>
          <w:rFonts w:ascii="Arial" w:hAnsi="Arial" w:cs="Arial"/>
          <w:sz w:val="22"/>
          <w:szCs w:val="22"/>
          <w:lang w:eastAsia="es-CO"/>
        </w:rPr>
        <w:t>,</w:t>
      </w:r>
      <w:r w:rsidR="00312E92" w:rsidRPr="00A572F4">
        <w:rPr>
          <w:rFonts w:ascii="Arial" w:hAnsi="Arial" w:cs="Arial"/>
          <w:sz w:val="22"/>
          <w:szCs w:val="22"/>
          <w:lang w:eastAsia="es-CO"/>
        </w:rPr>
        <w:t xml:space="preserve"> y </w:t>
      </w:r>
      <w:proofErr w:type="spellStart"/>
      <w:r w:rsidR="00312E92" w:rsidRPr="00A572F4">
        <w:rPr>
          <w:rFonts w:ascii="Arial" w:hAnsi="Arial" w:cs="Arial"/>
          <w:sz w:val="22"/>
          <w:szCs w:val="22"/>
          <w:lang w:eastAsia="es-CO"/>
        </w:rPr>
        <w:t>iv</w:t>
      </w:r>
      <w:proofErr w:type="spellEnd"/>
      <w:r w:rsidR="00312E92" w:rsidRPr="00A572F4">
        <w:rPr>
          <w:rFonts w:ascii="Arial" w:hAnsi="Arial" w:cs="Arial"/>
          <w:sz w:val="22"/>
          <w:szCs w:val="22"/>
          <w:lang w:eastAsia="es-CO"/>
        </w:rPr>
        <w:t xml:space="preserve">) el valor en dinero que la </w:t>
      </w:r>
      <w:r w:rsidR="00FD694E" w:rsidRPr="00A572F4">
        <w:rPr>
          <w:rFonts w:ascii="Arial" w:hAnsi="Arial" w:cs="Arial"/>
          <w:sz w:val="22"/>
          <w:szCs w:val="22"/>
          <w:lang w:eastAsia="es-CO"/>
        </w:rPr>
        <w:t>e</w:t>
      </w:r>
      <w:r w:rsidR="00312E92" w:rsidRPr="00A572F4">
        <w:rPr>
          <w:rFonts w:ascii="Arial" w:hAnsi="Arial" w:cs="Arial"/>
          <w:sz w:val="22"/>
          <w:szCs w:val="22"/>
          <w:lang w:eastAsia="es-CO"/>
        </w:rPr>
        <w:t xml:space="preserve">ntidad </w:t>
      </w:r>
      <w:r w:rsidR="00FD694E" w:rsidRPr="00A572F4">
        <w:rPr>
          <w:rFonts w:ascii="Arial" w:hAnsi="Arial" w:cs="Arial"/>
          <w:sz w:val="22"/>
          <w:szCs w:val="22"/>
          <w:lang w:eastAsia="es-CO"/>
        </w:rPr>
        <w:t>e</w:t>
      </w:r>
      <w:r w:rsidR="00312E92" w:rsidRPr="00A572F4">
        <w:rPr>
          <w:rFonts w:ascii="Arial" w:hAnsi="Arial" w:cs="Arial"/>
          <w:sz w:val="22"/>
          <w:szCs w:val="22"/>
          <w:lang w:eastAsia="es-CO"/>
        </w:rPr>
        <w:t>statal asigna a cada ofrecimiento técnico o económico adicional</w:t>
      </w:r>
      <w:r w:rsidR="00BC71AD" w:rsidRPr="00A572F4">
        <w:rPr>
          <w:rFonts w:ascii="Arial" w:hAnsi="Arial" w:cs="Arial"/>
          <w:sz w:val="22"/>
          <w:szCs w:val="22"/>
          <w:lang w:eastAsia="es-CO"/>
        </w:rPr>
        <w:t xml:space="preserve">. Teniendo en cuenta estos elementos, la entidad estatal debe calcular la relación costo-beneficio de cada oferta </w:t>
      </w:r>
      <w:r w:rsidR="00F84A9E" w:rsidRPr="00A572F4">
        <w:rPr>
          <w:rFonts w:ascii="Arial" w:eastAsia="Calibri" w:hAnsi="Arial" w:cs="Arial"/>
          <w:bCs/>
          <w:sz w:val="22"/>
          <w:szCs w:val="22"/>
        </w:rPr>
        <w:t xml:space="preserve">«[…] </w:t>
      </w:r>
      <w:r w:rsidR="00BC71AD" w:rsidRPr="00A572F4">
        <w:rPr>
          <w:rFonts w:ascii="Arial" w:hAnsi="Arial" w:cs="Arial"/>
          <w:sz w:val="22"/>
          <w:szCs w:val="22"/>
          <w:lang w:eastAsia="es-CO"/>
        </w:rPr>
        <w:t>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r w:rsidR="00F84A9E" w:rsidRPr="00A572F4">
        <w:rPr>
          <w:rFonts w:ascii="Arial" w:eastAsia="Calibri" w:hAnsi="Arial" w:cs="Arial"/>
          <w:bCs/>
          <w:sz w:val="22"/>
          <w:szCs w:val="22"/>
        </w:rPr>
        <w:t xml:space="preserve"> </w:t>
      </w:r>
      <w:r w:rsidR="00F84A9E" w:rsidRPr="00A572F4">
        <w:rPr>
          <w:rFonts w:ascii="Arial" w:hAnsi="Arial" w:cs="Arial"/>
          <w:sz w:val="22"/>
          <w:szCs w:val="22"/>
        </w:rPr>
        <w:t>[…]</w:t>
      </w:r>
      <w:r w:rsidR="00F84A9E" w:rsidRPr="00A572F4">
        <w:rPr>
          <w:rFonts w:ascii="Arial" w:eastAsia="Calibri" w:hAnsi="Arial" w:cs="Arial"/>
          <w:bCs/>
          <w:sz w:val="22"/>
          <w:szCs w:val="22"/>
        </w:rPr>
        <w:t>»</w:t>
      </w:r>
      <w:r w:rsidR="000E3965" w:rsidRPr="00A572F4">
        <w:rPr>
          <w:rStyle w:val="Refdenotaalpie"/>
          <w:rFonts w:ascii="Arial" w:hAnsi="Arial" w:cs="Arial"/>
          <w:sz w:val="22"/>
          <w:szCs w:val="22"/>
          <w:lang w:eastAsia="es-CO"/>
        </w:rPr>
        <w:footnoteReference w:id="28"/>
      </w:r>
      <w:r w:rsidR="00F84A9E" w:rsidRPr="00A572F4">
        <w:rPr>
          <w:rFonts w:ascii="Arial" w:eastAsia="Calibri" w:hAnsi="Arial" w:cs="Arial"/>
          <w:bCs/>
          <w:sz w:val="22"/>
          <w:szCs w:val="22"/>
        </w:rPr>
        <w:t>.</w:t>
      </w:r>
    </w:p>
    <w:p w14:paraId="7650568A" w14:textId="0BE3DFAA" w:rsidR="002C0275" w:rsidRPr="00A572F4" w:rsidRDefault="000F6420" w:rsidP="00EB2ED0">
      <w:pPr>
        <w:spacing w:after="120" w:line="276" w:lineRule="auto"/>
        <w:jc w:val="both"/>
        <w:rPr>
          <w:rFonts w:ascii="Arial" w:hAnsi="Arial" w:cs="Arial"/>
          <w:sz w:val="22"/>
          <w:szCs w:val="22"/>
          <w:lang w:eastAsia="es-CO"/>
        </w:rPr>
      </w:pPr>
      <w:r w:rsidRPr="00A572F4">
        <w:rPr>
          <w:rFonts w:ascii="Arial" w:hAnsi="Arial" w:cs="Arial"/>
          <w:sz w:val="22"/>
          <w:szCs w:val="22"/>
          <w:lang w:eastAsia="es-CO"/>
        </w:rPr>
        <w:lastRenderedPageBreak/>
        <w:tab/>
      </w:r>
      <w:r w:rsidR="00FA44B1" w:rsidRPr="00A572F4">
        <w:rPr>
          <w:rFonts w:ascii="Arial" w:hAnsi="Arial" w:cs="Arial"/>
          <w:sz w:val="22"/>
          <w:szCs w:val="22"/>
          <w:lang w:eastAsia="es-CO"/>
        </w:rPr>
        <w:t>Conforme a lo anterior, el deber de selección objetiva está ligado a la determinación de</w:t>
      </w:r>
      <w:r w:rsidR="002E02B7" w:rsidRPr="00A572F4">
        <w:rPr>
          <w:rFonts w:ascii="Arial" w:hAnsi="Arial" w:cs="Arial"/>
          <w:sz w:val="22"/>
          <w:szCs w:val="22"/>
          <w:lang w:eastAsia="es-CO"/>
        </w:rPr>
        <w:t xml:space="preserve">l ofrecimiento más favorable, </w:t>
      </w:r>
      <w:r w:rsidR="009D0AF9" w:rsidRPr="00A572F4">
        <w:rPr>
          <w:rFonts w:ascii="Arial" w:hAnsi="Arial" w:cs="Arial"/>
          <w:sz w:val="22"/>
          <w:szCs w:val="22"/>
          <w:lang w:eastAsia="es-CO"/>
        </w:rPr>
        <w:t>cuyo contenido debe ser precisado a partir de las diferentes alternativas</w:t>
      </w:r>
      <w:r w:rsidR="000323FA" w:rsidRPr="00A572F4">
        <w:rPr>
          <w:rFonts w:ascii="Arial" w:hAnsi="Arial" w:cs="Arial"/>
          <w:sz w:val="22"/>
          <w:szCs w:val="22"/>
          <w:lang w:eastAsia="es-CO"/>
        </w:rPr>
        <w:t xml:space="preserve"> </w:t>
      </w:r>
      <w:r w:rsidR="001910D9" w:rsidRPr="00A572F4">
        <w:rPr>
          <w:rFonts w:ascii="Arial" w:hAnsi="Arial" w:cs="Arial"/>
          <w:sz w:val="22"/>
          <w:szCs w:val="22"/>
          <w:lang w:eastAsia="es-CO"/>
        </w:rPr>
        <w:t>d</w:t>
      </w:r>
      <w:r w:rsidR="009D0AF9" w:rsidRPr="00A572F4">
        <w:rPr>
          <w:rFonts w:ascii="Arial" w:hAnsi="Arial" w:cs="Arial"/>
          <w:sz w:val="22"/>
          <w:szCs w:val="22"/>
          <w:lang w:eastAsia="es-CO"/>
        </w:rPr>
        <w:t>el artículo 5 de la Ley 1150 de 2007</w:t>
      </w:r>
      <w:r w:rsidR="000323FA" w:rsidRPr="00A572F4">
        <w:rPr>
          <w:rFonts w:ascii="Arial" w:hAnsi="Arial" w:cs="Arial"/>
          <w:sz w:val="22"/>
          <w:szCs w:val="22"/>
          <w:lang w:eastAsia="es-CO"/>
        </w:rPr>
        <w:t>, reglamenta</w:t>
      </w:r>
      <w:r w:rsidR="001910D9" w:rsidRPr="00A572F4">
        <w:rPr>
          <w:rFonts w:ascii="Arial" w:hAnsi="Arial" w:cs="Arial"/>
          <w:sz w:val="22"/>
          <w:szCs w:val="22"/>
          <w:lang w:eastAsia="es-CO"/>
        </w:rPr>
        <w:t>do por</w:t>
      </w:r>
      <w:r w:rsidR="000323FA" w:rsidRPr="00A572F4">
        <w:rPr>
          <w:rFonts w:ascii="Arial" w:hAnsi="Arial" w:cs="Arial"/>
          <w:sz w:val="22"/>
          <w:szCs w:val="22"/>
          <w:lang w:eastAsia="es-CO"/>
        </w:rPr>
        <w:t xml:space="preserve"> el artículo 2.2.1.1.2.2.2 del Decreto 1082 de 2015</w:t>
      </w:r>
      <w:r w:rsidR="00C7356F" w:rsidRPr="00A572F4">
        <w:rPr>
          <w:rFonts w:ascii="Arial" w:hAnsi="Arial" w:cs="Arial"/>
          <w:sz w:val="22"/>
          <w:szCs w:val="22"/>
          <w:lang w:eastAsia="es-CO"/>
        </w:rPr>
        <w:t>, que en todo caso deben reflejarse en el pliego de condiciones</w:t>
      </w:r>
      <w:r w:rsidR="001910D9" w:rsidRPr="00A572F4">
        <w:rPr>
          <w:rFonts w:ascii="Arial" w:hAnsi="Arial" w:cs="Arial"/>
          <w:sz w:val="22"/>
          <w:szCs w:val="22"/>
          <w:lang w:eastAsia="es-CO"/>
        </w:rPr>
        <w:t xml:space="preserve"> o documento equivalente</w:t>
      </w:r>
      <w:r w:rsidR="00C7356F" w:rsidRPr="00A572F4">
        <w:rPr>
          <w:rFonts w:ascii="Arial" w:hAnsi="Arial" w:cs="Arial"/>
          <w:sz w:val="22"/>
          <w:szCs w:val="22"/>
          <w:lang w:eastAsia="es-CO"/>
        </w:rPr>
        <w:t xml:space="preserve"> para el respectivo proceso de selección.</w:t>
      </w:r>
      <w:r w:rsidR="00CB3C5E" w:rsidRPr="00A572F4">
        <w:rPr>
          <w:rFonts w:ascii="Arial" w:hAnsi="Arial" w:cs="Arial"/>
          <w:sz w:val="22"/>
          <w:szCs w:val="22"/>
          <w:lang w:eastAsia="es-CO"/>
        </w:rPr>
        <w:t xml:space="preserve"> </w:t>
      </w:r>
      <w:r w:rsidR="00815E70" w:rsidRPr="00A572F4">
        <w:rPr>
          <w:rFonts w:ascii="Arial" w:hAnsi="Arial" w:cs="Arial"/>
          <w:sz w:val="22"/>
          <w:szCs w:val="22"/>
          <w:lang w:eastAsia="es-CO"/>
        </w:rPr>
        <w:t xml:space="preserve">Estas </w:t>
      </w:r>
      <w:r w:rsidR="008D15D4" w:rsidRPr="00A572F4">
        <w:rPr>
          <w:rFonts w:ascii="Arial" w:hAnsi="Arial" w:cs="Arial"/>
          <w:sz w:val="22"/>
          <w:szCs w:val="22"/>
          <w:lang w:eastAsia="es-CO"/>
        </w:rPr>
        <w:t>disposiciones establecen</w:t>
      </w:r>
      <w:r w:rsidR="00FD694E" w:rsidRPr="00A572F4">
        <w:rPr>
          <w:rFonts w:ascii="Arial" w:hAnsi="Arial" w:cs="Arial"/>
          <w:sz w:val="22"/>
          <w:szCs w:val="22"/>
          <w:lang w:eastAsia="es-CO"/>
        </w:rPr>
        <w:t xml:space="preserve"> que en los</w:t>
      </w:r>
      <w:r w:rsidR="00CB3C5E" w:rsidRPr="00A572F4">
        <w:rPr>
          <w:rFonts w:ascii="Arial" w:hAnsi="Arial" w:cs="Arial"/>
          <w:sz w:val="22"/>
          <w:szCs w:val="22"/>
          <w:lang w:eastAsia="es-CO"/>
        </w:rPr>
        <w:t xml:space="preserve"> procesos de selección deben </w:t>
      </w:r>
      <w:r w:rsidR="00075567" w:rsidRPr="00A572F4">
        <w:rPr>
          <w:rFonts w:ascii="Arial" w:hAnsi="Arial" w:cs="Arial"/>
          <w:sz w:val="22"/>
          <w:szCs w:val="22"/>
          <w:lang w:eastAsia="es-CO"/>
        </w:rPr>
        <w:t>evaluarse, fuera de los requisitos habilitantes,</w:t>
      </w:r>
      <w:r w:rsidR="00CB3C5E" w:rsidRPr="00A572F4">
        <w:rPr>
          <w:rFonts w:ascii="Arial" w:hAnsi="Arial" w:cs="Arial"/>
          <w:sz w:val="22"/>
          <w:szCs w:val="22"/>
          <w:lang w:eastAsia="es-CO"/>
        </w:rPr>
        <w:t xml:space="preserve"> </w:t>
      </w:r>
      <w:r w:rsidR="00900861" w:rsidRPr="00A572F4">
        <w:rPr>
          <w:rFonts w:ascii="Arial" w:hAnsi="Arial" w:cs="Arial"/>
          <w:sz w:val="22"/>
          <w:szCs w:val="22"/>
          <w:lang w:eastAsia="es-CO"/>
        </w:rPr>
        <w:t>los</w:t>
      </w:r>
      <w:r w:rsidR="003419D7" w:rsidRPr="00A572F4">
        <w:rPr>
          <w:rFonts w:ascii="Arial" w:hAnsi="Arial" w:cs="Arial"/>
          <w:sz w:val="22"/>
          <w:szCs w:val="22"/>
          <w:lang w:eastAsia="es-CO"/>
        </w:rPr>
        <w:t xml:space="preserve"> factores de calificación, valoración</w:t>
      </w:r>
      <w:r w:rsidR="00337357" w:rsidRPr="00A572F4">
        <w:rPr>
          <w:rFonts w:ascii="Arial" w:hAnsi="Arial" w:cs="Arial"/>
          <w:sz w:val="22"/>
          <w:szCs w:val="22"/>
          <w:lang w:eastAsia="es-CO"/>
        </w:rPr>
        <w:t xml:space="preserve"> o</w:t>
      </w:r>
      <w:r w:rsidR="00075567" w:rsidRPr="00A572F4">
        <w:rPr>
          <w:rFonts w:ascii="Arial" w:hAnsi="Arial" w:cs="Arial"/>
          <w:sz w:val="22"/>
          <w:szCs w:val="22"/>
          <w:lang w:eastAsia="es-CO"/>
        </w:rPr>
        <w:t xml:space="preserve"> evaluación</w:t>
      </w:r>
      <w:r w:rsidR="00A90546" w:rsidRPr="00A572F4">
        <w:rPr>
          <w:rFonts w:ascii="Arial" w:hAnsi="Arial" w:cs="Arial"/>
          <w:sz w:val="22"/>
          <w:szCs w:val="22"/>
          <w:lang w:eastAsia="es-CO"/>
        </w:rPr>
        <w:t xml:space="preserve">. </w:t>
      </w:r>
      <w:r w:rsidR="008D15D4" w:rsidRPr="00A572F4">
        <w:rPr>
          <w:rFonts w:ascii="Arial" w:hAnsi="Arial" w:cs="Arial"/>
          <w:sz w:val="22"/>
          <w:szCs w:val="22"/>
          <w:lang w:eastAsia="es-CO"/>
        </w:rPr>
        <w:t xml:space="preserve">Estos </w:t>
      </w:r>
      <w:r w:rsidR="00900861" w:rsidRPr="00A572F4">
        <w:rPr>
          <w:rFonts w:ascii="Arial" w:hAnsi="Arial" w:cs="Arial"/>
          <w:sz w:val="22"/>
          <w:szCs w:val="22"/>
          <w:lang w:eastAsia="es-CO"/>
        </w:rPr>
        <w:t>pueden pondera</w:t>
      </w:r>
      <w:r w:rsidR="00B47428" w:rsidRPr="00A572F4">
        <w:rPr>
          <w:rFonts w:ascii="Arial" w:hAnsi="Arial" w:cs="Arial"/>
          <w:sz w:val="22"/>
          <w:szCs w:val="22"/>
          <w:lang w:eastAsia="es-CO"/>
        </w:rPr>
        <w:t>r</w:t>
      </w:r>
      <w:r w:rsidR="00900861" w:rsidRPr="00A572F4">
        <w:rPr>
          <w:rFonts w:ascii="Arial" w:hAnsi="Arial" w:cs="Arial"/>
          <w:sz w:val="22"/>
          <w:szCs w:val="22"/>
          <w:lang w:eastAsia="es-CO"/>
        </w:rPr>
        <w:t>s</w:t>
      </w:r>
      <w:r w:rsidR="00B47428" w:rsidRPr="00A572F4">
        <w:rPr>
          <w:rFonts w:ascii="Arial" w:hAnsi="Arial" w:cs="Arial"/>
          <w:sz w:val="22"/>
          <w:szCs w:val="22"/>
          <w:lang w:eastAsia="es-CO"/>
        </w:rPr>
        <w:t>e</w:t>
      </w:r>
      <w:r w:rsidR="00900861" w:rsidRPr="00A572F4">
        <w:rPr>
          <w:rFonts w:ascii="Arial" w:hAnsi="Arial" w:cs="Arial"/>
          <w:sz w:val="22"/>
          <w:szCs w:val="22"/>
          <w:lang w:eastAsia="es-CO"/>
        </w:rPr>
        <w:t xml:space="preserve"> </w:t>
      </w:r>
      <w:r w:rsidR="00476D6A" w:rsidRPr="00A572F4">
        <w:rPr>
          <w:rFonts w:ascii="Arial" w:hAnsi="Arial" w:cs="Arial"/>
          <w:sz w:val="22"/>
          <w:szCs w:val="22"/>
          <w:lang w:eastAsia="es-CO"/>
        </w:rPr>
        <w:t xml:space="preserve">mediante la asignación de puntaje, por lo que la norma </w:t>
      </w:r>
      <w:r w:rsidR="00B47428" w:rsidRPr="00A572F4">
        <w:rPr>
          <w:rFonts w:ascii="Arial" w:hAnsi="Arial" w:cs="Arial"/>
          <w:sz w:val="22"/>
          <w:szCs w:val="22"/>
          <w:lang w:eastAsia="es-CO"/>
        </w:rPr>
        <w:t>se refiere a</w:t>
      </w:r>
      <w:r w:rsidR="00476D6A" w:rsidRPr="00A572F4">
        <w:rPr>
          <w:rFonts w:ascii="Arial" w:hAnsi="Arial" w:cs="Arial"/>
          <w:sz w:val="22"/>
          <w:szCs w:val="22"/>
          <w:lang w:eastAsia="es-CO"/>
        </w:rPr>
        <w:t xml:space="preserve"> factores que no otorgan puntaje</w:t>
      </w:r>
      <w:r w:rsidR="00CF1AE3" w:rsidRPr="00A572F4">
        <w:rPr>
          <w:rFonts w:ascii="Arial" w:hAnsi="Arial" w:cs="Arial"/>
          <w:sz w:val="22"/>
          <w:szCs w:val="22"/>
          <w:lang w:eastAsia="es-CO"/>
        </w:rPr>
        <w:t xml:space="preserve"> para diferenciar los requisitos habilitantes de los mencionados factores de calificación</w:t>
      </w:r>
      <w:r w:rsidR="00A90546" w:rsidRPr="00A572F4">
        <w:rPr>
          <w:rFonts w:ascii="Arial" w:hAnsi="Arial" w:cs="Arial"/>
          <w:sz w:val="22"/>
          <w:szCs w:val="22"/>
          <w:lang w:eastAsia="es-CO"/>
        </w:rPr>
        <w:t>. Lo anterior,</w:t>
      </w:r>
      <w:r w:rsidR="00CF1AE3" w:rsidRPr="00A572F4">
        <w:rPr>
          <w:rFonts w:ascii="Arial" w:hAnsi="Arial" w:cs="Arial"/>
          <w:sz w:val="22"/>
          <w:szCs w:val="22"/>
          <w:lang w:eastAsia="es-CO"/>
        </w:rPr>
        <w:t xml:space="preserve"> </w:t>
      </w:r>
      <w:r w:rsidR="00130635" w:rsidRPr="00A572F4">
        <w:rPr>
          <w:rFonts w:ascii="Arial" w:hAnsi="Arial" w:cs="Arial"/>
          <w:sz w:val="22"/>
          <w:szCs w:val="22"/>
          <w:lang w:eastAsia="es-CO"/>
        </w:rPr>
        <w:t xml:space="preserve">bajo el entendido que son estos últimos los que determinan la oferta más favorable para la entidad </w:t>
      </w:r>
      <w:r w:rsidR="00D74364" w:rsidRPr="00A572F4">
        <w:rPr>
          <w:rFonts w:ascii="Arial" w:hAnsi="Arial" w:cs="Arial"/>
          <w:sz w:val="22"/>
          <w:szCs w:val="22"/>
          <w:lang w:eastAsia="es-CO"/>
        </w:rPr>
        <w:t xml:space="preserve">y </w:t>
      </w:r>
      <w:r w:rsidR="00601624" w:rsidRPr="00A572F4">
        <w:rPr>
          <w:rFonts w:ascii="Arial" w:hAnsi="Arial" w:cs="Arial"/>
          <w:sz w:val="22"/>
          <w:szCs w:val="22"/>
          <w:lang w:eastAsia="es-CO"/>
        </w:rPr>
        <w:t xml:space="preserve">la </w:t>
      </w:r>
      <w:r w:rsidR="00D74364" w:rsidRPr="00A572F4">
        <w:rPr>
          <w:rFonts w:ascii="Arial" w:hAnsi="Arial" w:cs="Arial"/>
          <w:sz w:val="22"/>
          <w:szCs w:val="22"/>
          <w:lang w:eastAsia="es-CO"/>
        </w:rPr>
        <w:t>que en consecuencia debe elegi</w:t>
      </w:r>
      <w:r w:rsidR="00B47428" w:rsidRPr="00A572F4">
        <w:rPr>
          <w:rFonts w:ascii="Arial" w:hAnsi="Arial" w:cs="Arial"/>
          <w:sz w:val="22"/>
          <w:szCs w:val="22"/>
          <w:lang w:eastAsia="es-CO"/>
        </w:rPr>
        <w:t>rse</w:t>
      </w:r>
      <w:r w:rsidR="00D74364" w:rsidRPr="00A572F4">
        <w:rPr>
          <w:rFonts w:ascii="Arial" w:hAnsi="Arial" w:cs="Arial"/>
          <w:sz w:val="22"/>
          <w:szCs w:val="22"/>
          <w:lang w:eastAsia="es-CO"/>
        </w:rPr>
        <w:t xml:space="preserve">. </w:t>
      </w:r>
    </w:p>
    <w:p w14:paraId="7E83BEFA" w14:textId="6413D1F9" w:rsidR="0060009C" w:rsidRPr="00A572F4" w:rsidRDefault="00902CC9" w:rsidP="00EB2ED0">
      <w:pPr>
        <w:tabs>
          <w:tab w:val="left" w:pos="0"/>
        </w:tabs>
        <w:spacing w:after="120" w:line="276" w:lineRule="auto"/>
        <w:jc w:val="both"/>
        <w:rPr>
          <w:rFonts w:ascii="Arial" w:eastAsia="Calibri" w:hAnsi="Arial" w:cs="Arial"/>
          <w:bCs/>
          <w:sz w:val="22"/>
          <w:lang w:val="es-ES_tradnl"/>
        </w:rPr>
      </w:pPr>
      <w:r w:rsidRPr="00A572F4">
        <w:rPr>
          <w:rFonts w:ascii="Arial" w:eastAsia="Calibri" w:hAnsi="Arial" w:cs="Arial"/>
          <w:b/>
          <w:sz w:val="22"/>
          <w:lang w:val="es-ES_tradnl"/>
        </w:rPr>
        <w:tab/>
      </w:r>
      <w:r w:rsidR="003467FE" w:rsidRPr="00A572F4">
        <w:rPr>
          <w:rFonts w:ascii="Arial" w:eastAsia="Calibri" w:hAnsi="Arial" w:cs="Arial"/>
          <w:bCs/>
          <w:sz w:val="22"/>
          <w:lang w:val="es-ES_tradnl"/>
        </w:rPr>
        <w:t xml:space="preserve">Considerando </w:t>
      </w:r>
      <w:r w:rsidR="00B1189E" w:rsidRPr="00A572F4">
        <w:rPr>
          <w:rFonts w:ascii="Arial" w:eastAsia="Calibri" w:hAnsi="Arial" w:cs="Arial"/>
          <w:bCs/>
          <w:sz w:val="22"/>
          <w:lang w:val="es-ES_tradnl"/>
        </w:rPr>
        <w:t>la explicación precedente</w:t>
      </w:r>
      <w:r w:rsidR="003467FE" w:rsidRPr="00A572F4">
        <w:rPr>
          <w:rFonts w:ascii="Arial" w:eastAsia="Calibri" w:hAnsi="Arial" w:cs="Arial"/>
          <w:bCs/>
          <w:sz w:val="22"/>
          <w:lang w:val="es-ES_tradnl"/>
        </w:rPr>
        <w:t>,</w:t>
      </w:r>
      <w:r w:rsidR="00841275" w:rsidRPr="00A572F4">
        <w:rPr>
          <w:rFonts w:ascii="Arial" w:eastAsia="Calibri" w:hAnsi="Arial" w:cs="Arial"/>
          <w:bCs/>
          <w:sz w:val="22"/>
          <w:lang w:val="es-ES_tradnl"/>
        </w:rPr>
        <w:t xml:space="preserve"> </w:t>
      </w:r>
      <w:r w:rsidR="00EF3CD4" w:rsidRPr="00A572F4">
        <w:rPr>
          <w:rFonts w:ascii="Arial" w:eastAsia="Calibri" w:hAnsi="Arial" w:cs="Arial"/>
          <w:bCs/>
          <w:sz w:val="22"/>
          <w:lang w:val="es-ES_tradnl"/>
        </w:rPr>
        <w:t xml:space="preserve">asumir </w:t>
      </w:r>
      <w:r w:rsidR="00B1189E" w:rsidRPr="00A572F4">
        <w:rPr>
          <w:rFonts w:ascii="Arial" w:eastAsia="Calibri" w:hAnsi="Arial" w:cs="Arial"/>
          <w:bCs/>
          <w:sz w:val="22"/>
          <w:lang w:val="es-ES_tradnl"/>
        </w:rPr>
        <w:t>que</w:t>
      </w:r>
      <w:r w:rsidR="00841275" w:rsidRPr="00A572F4">
        <w:rPr>
          <w:rFonts w:ascii="Arial" w:eastAsia="Calibri" w:hAnsi="Arial" w:cs="Arial"/>
          <w:bCs/>
          <w:sz w:val="22"/>
          <w:lang w:val="es-ES_tradnl"/>
        </w:rPr>
        <w:t xml:space="preserve"> </w:t>
      </w:r>
      <w:r w:rsidR="000D2C83" w:rsidRPr="00A572F4">
        <w:rPr>
          <w:rFonts w:ascii="Arial" w:eastAsia="Calibri" w:hAnsi="Arial" w:cs="Arial"/>
          <w:bCs/>
          <w:sz w:val="22"/>
          <w:lang w:val="es-ES_tradnl"/>
        </w:rPr>
        <w:t>los factores de desempate del artículo 35 de la Ley 2069 de 2020</w:t>
      </w:r>
      <w:r w:rsidR="00BB0156" w:rsidRPr="00A572F4">
        <w:rPr>
          <w:rFonts w:ascii="Arial" w:eastAsia="Calibri" w:hAnsi="Arial" w:cs="Arial"/>
          <w:bCs/>
          <w:sz w:val="22"/>
          <w:lang w:val="es-ES_tradnl"/>
        </w:rPr>
        <w:t xml:space="preserve"> </w:t>
      </w:r>
      <w:r w:rsidR="00B1189E" w:rsidRPr="00A572F4">
        <w:rPr>
          <w:rFonts w:ascii="Arial" w:eastAsia="Calibri" w:hAnsi="Arial" w:cs="Arial"/>
          <w:bCs/>
          <w:sz w:val="22"/>
          <w:lang w:val="es-ES_tradnl"/>
        </w:rPr>
        <w:t>únicamente</w:t>
      </w:r>
      <w:r w:rsidR="00BB0156" w:rsidRPr="00A572F4">
        <w:rPr>
          <w:rFonts w:ascii="Arial" w:eastAsia="Calibri" w:hAnsi="Arial" w:cs="Arial"/>
          <w:bCs/>
          <w:sz w:val="22"/>
          <w:lang w:val="es-ES_tradnl"/>
        </w:rPr>
        <w:t xml:space="preserve"> son aplicables a </w:t>
      </w:r>
      <w:r w:rsidR="00D975DD" w:rsidRPr="00A572F4">
        <w:rPr>
          <w:rFonts w:ascii="Arial" w:eastAsia="Calibri" w:hAnsi="Arial" w:cs="Arial"/>
          <w:bCs/>
          <w:sz w:val="22"/>
          <w:lang w:val="es-ES_tradnl"/>
        </w:rPr>
        <w:t xml:space="preserve">los </w:t>
      </w:r>
      <w:r w:rsidR="00BB0156" w:rsidRPr="00A572F4">
        <w:rPr>
          <w:rFonts w:ascii="Arial" w:eastAsia="Calibri" w:hAnsi="Arial" w:cs="Arial"/>
          <w:bCs/>
          <w:sz w:val="22"/>
          <w:lang w:val="es-ES_tradnl"/>
        </w:rPr>
        <w:t>proc</w:t>
      </w:r>
      <w:r w:rsidR="00D975DD" w:rsidRPr="00A572F4">
        <w:rPr>
          <w:rFonts w:ascii="Arial" w:eastAsia="Calibri" w:hAnsi="Arial" w:cs="Arial"/>
          <w:bCs/>
          <w:sz w:val="22"/>
          <w:lang w:val="es-ES_tradnl"/>
        </w:rPr>
        <w:t>esos de selección</w:t>
      </w:r>
      <w:r w:rsidR="00BB0156" w:rsidRPr="00A572F4">
        <w:rPr>
          <w:rFonts w:ascii="Arial" w:eastAsia="Calibri" w:hAnsi="Arial" w:cs="Arial"/>
          <w:bCs/>
          <w:sz w:val="22"/>
          <w:lang w:val="es-ES_tradnl"/>
        </w:rPr>
        <w:t xml:space="preserve"> en los que se empleen sistemas de asignación de puntaje para determinar </w:t>
      </w:r>
      <w:r w:rsidR="00EF3CD4" w:rsidRPr="00A572F4">
        <w:rPr>
          <w:rFonts w:ascii="Arial" w:eastAsia="Calibri" w:hAnsi="Arial" w:cs="Arial"/>
          <w:bCs/>
          <w:sz w:val="22"/>
          <w:lang w:val="es-ES_tradnl"/>
        </w:rPr>
        <w:t>la oferta más favorable</w:t>
      </w:r>
      <w:r w:rsidR="00482157" w:rsidRPr="00A572F4">
        <w:rPr>
          <w:rFonts w:ascii="Arial" w:eastAsia="Calibri" w:hAnsi="Arial" w:cs="Arial"/>
          <w:bCs/>
          <w:sz w:val="22"/>
          <w:lang w:val="es-ES_tradnl"/>
        </w:rPr>
        <w:t>, conduciría a entender que</w:t>
      </w:r>
      <w:r w:rsidR="00BC2BC5" w:rsidRPr="00A572F4">
        <w:rPr>
          <w:rFonts w:ascii="Arial" w:eastAsia="Calibri" w:hAnsi="Arial" w:cs="Arial"/>
          <w:bCs/>
          <w:sz w:val="22"/>
          <w:lang w:val="es-ES_tradnl"/>
        </w:rPr>
        <w:t xml:space="preserve"> estos no </w:t>
      </w:r>
      <w:r w:rsidR="00F311A1" w:rsidRPr="00A572F4">
        <w:rPr>
          <w:rFonts w:ascii="Arial" w:eastAsia="Calibri" w:hAnsi="Arial" w:cs="Arial"/>
          <w:bCs/>
          <w:sz w:val="22"/>
          <w:lang w:val="es-ES_tradnl"/>
        </w:rPr>
        <w:t>rigen</w:t>
      </w:r>
      <w:r w:rsidR="009928AF" w:rsidRPr="00A572F4">
        <w:rPr>
          <w:rFonts w:ascii="Arial" w:eastAsia="Calibri" w:hAnsi="Arial" w:cs="Arial"/>
          <w:bCs/>
          <w:sz w:val="22"/>
          <w:lang w:val="es-ES_tradnl"/>
        </w:rPr>
        <w:t xml:space="preserve"> en otros</w:t>
      </w:r>
      <w:r w:rsidR="00F311A1" w:rsidRPr="00A572F4">
        <w:rPr>
          <w:rFonts w:ascii="Arial" w:eastAsia="Calibri" w:hAnsi="Arial" w:cs="Arial"/>
          <w:bCs/>
          <w:sz w:val="22"/>
          <w:lang w:val="es-ES_tradnl"/>
        </w:rPr>
        <w:t xml:space="preserve"> procedimientos de selección</w:t>
      </w:r>
      <w:r w:rsidR="005A6886" w:rsidRPr="00A572F4">
        <w:rPr>
          <w:rFonts w:ascii="Arial" w:eastAsia="Calibri" w:hAnsi="Arial" w:cs="Arial"/>
          <w:bCs/>
          <w:sz w:val="22"/>
          <w:lang w:val="es-ES_tradnl"/>
        </w:rPr>
        <w:t xml:space="preserve">. Esto </w:t>
      </w:r>
      <w:r w:rsidR="00F311A1" w:rsidRPr="00A572F4">
        <w:rPr>
          <w:rFonts w:ascii="Arial" w:eastAsia="Calibri" w:hAnsi="Arial" w:cs="Arial"/>
          <w:bCs/>
          <w:sz w:val="22"/>
          <w:lang w:val="es-ES_tradnl"/>
        </w:rPr>
        <w:t xml:space="preserve">dado </w:t>
      </w:r>
      <w:r w:rsidR="005A6886" w:rsidRPr="00A572F4">
        <w:rPr>
          <w:rFonts w:ascii="Arial" w:eastAsia="Calibri" w:hAnsi="Arial" w:cs="Arial"/>
          <w:bCs/>
          <w:sz w:val="22"/>
          <w:lang w:val="es-ES_tradnl"/>
        </w:rPr>
        <w:t>que</w:t>
      </w:r>
      <w:r w:rsidR="00F311A1" w:rsidRPr="00A572F4">
        <w:rPr>
          <w:rFonts w:ascii="Arial" w:eastAsia="Calibri" w:hAnsi="Arial" w:cs="Arial"/>
          <w:bCs/>
          <w:sz w:val="22"/>
          <w:lang w:val="es-ES_tradnl"/>
        </w:rPr>
        <w:t xml:space="preserve"> no</w:t>
      </w:r>
      <w:r w:rsidR="00B455BD" w:rsidRPr="00A572F4">
        <w:rPr>
          <w:rFonts w:ascii="Arial" w:eastAsia="Calibri" w:hAnsi="Arial" w:cs="Arial"/>
          <w:bCs/>
          <w:sz w:val="22"/>
          <w:lang w:val="es-ES_tradnl"/>
        </w:rPr>
        <w:t xml:space="preserve"> habría lugar</w:t>
      </w:r>
      <w:r w:rsidR="00BC2BC5" w:rsidRPr="00A572F4">
        <w:rPr>
          <w:rFonts w:ascii="Arial" w:eastAsia="Calibri" w:hAnsi="Arial" w:cs="Arial"/>
          <w:bCs/>
          <w:sz w:val="22"/>
          <w:lang w:val="es-ES_tradnl"/>
        </w:rPr>
        <w:t xml:space="preserve"> </w:t>
      </w:r>
      <w:r w:rsidR="00B455BD" w:rsidRPr="00A572F4">
        <w:rPr>
          <w:rFonts w:ascii="Arial" w:eastAsia="Calibri" w:hAnsi="Arial" w:cs="Arial"/>
          <w:bCs/>
          <w:sz w:val="22"/>
          <w:lang w:val="es-ES_tradnl"/>
        </w:rPr>
        <w:t xml:space="preserve">a aplicar los referidos factores de desempate </w:t>
      </w:r>
      <w:r w:rsidR="00BC2BC5" w:rsidRPr="00A572F4">
        <w:rPr>
          <w:rFonts w:ascii="Arial" w:eastAsia="Calibri" w:hAnsi="Arial" w:cs="Arial"/>
          <w:bCs/>
          <w:sz w:val="22"/>
          <w:lang w:val="es-ES_tradnl"/>
        </w:rPr>
        <w:t xml:space="preserve">en </w:t>
      </w:r>
      <w:r w:rsidR="00810179" w:rsidRPr="00A572F4">
        <w:rPr>
          <w:rFonts w:ascii="Arial" w:eastAsia="Calibri" w:hAnsi="Arial" w:cs="Arial"/>
          <w:bCs/>
          <w:sz w:val="22"/>
          <w:lang w:val="es-ES_tradnl"/>
        </w:rPr>
        <w:t>procedimiento</w:t>
      </w:r>
      <w:r w:rsidR="00B455BD" w:rsidRPr="00A572F4">
        <w:rPr>
          <w:rFonts w:ascii="Arial" w:eastAsia="Calibri" w:hAnsi="Arial" w:cs="Arial"/>
          <w:bCs/>
          <w:sz w:val="22"/>
          <w:lang w:val="es-ES_tradnl"/>
        </w:rPr>
        <w:t>s</w:t>
      </w:r>
      <w:r w:rsidR="00810179" w:rsidRPr="00A572F4">
        <w:rPr>
          <w:rFonts w:ascii="Arial" w:eastAsia="Calibri" w:hAnsi="Arial" w:cs="Arial"/>
          <w:bCs/>
          <w:sz w:val="22"/>
          <w:lang w:val="es-ES_tradnl"/>
        </w:rPr>
        <w:t xml:space="preserve"> en </w:t>
      </w:r>
      <w:r w:rsidR="00B455BD" w:rsidRPr="00A572F4">
        <w:rPr>
          <w:rFonts w:ascii="Arial" w:eastAsia="Calibri" w:hAnsi="Arial" w:cs="Arial"/>
          <w:bCs/>
          <w:sz w:val="22"/>
          <w:lang w:val="es-ES_tradnl"/>
        </w:rPr>
        <w:t>los</w:t>
      </w:r>
      <w:r w:rsidR="00810179" w:rsidRPr="00A572F4">
        <w:rPr>
          <w:rFonts w:ascii="Arial" w:eastAsia="Calibri" w:hAnsi="Arial" w:cs="Arial"/>
          <w:bCs/>
          <w:sz w:val="22"/>
          <w:lang w:val="es-ES_tradnl"/>
        </w:rPr>
        <w:t xml:space="preserve"> que no se comparen las ofertas usando puntajes,</w:t>
      </w:r>
      <w:r w:rsidR="00E15DE3" w:rsidRPr="00A572F4">
        <w:rPr>
          <w:rFonts w:ascii="Arial" w:eastAsia="Calibri" w:hAnsi="Arial" w:cs="Arial"/>
          <w:bCs/>
          <w:sz w:val="22"/>
          <w:lang w:val="es-ES_tradnl"/>
        </w:rPr>
        <w:t xml:space="preserve"> como es el caso de los procesos en los que </w:t>
      </w:r>
      <w:r w:rsidR="00230E35" w:rsidRPr="00A572F4">
        <w:rPr>
          <w:rFonts w:ascii="Arial" w:eastAsia="Calibri" w:hAnsi="Arial" w:cs="Arial"/>
          <w:bCs/>
          <w:sz w:val="22"/>
          <w:lang w:val="es-ES_tradnl"/>
        </w:rPr>
        <w:t xml:space="preserve">ponderan </w:t>
      </w:r>
      <w:r w:rsidR="00E70C98" w:rsidRPr="00A572F4">
        <w:rPr>
          <w:rFonts w:ascii="Arial" w:eastAsia="Calibri" w:hAnsi="Arial" w:cs="Arial"/>
          <w:bCs/>
          <w:sz w:val="22"/>
          <w:lang w:val="es-ES_tradnl"/>
        </w:rPr>
        <w:t xml:space="preserve">condiciones técnicas y económicas </w:t>
      </w:r>
      <w:r w:rsidR="00CD710A" w:rsidRPr="00A572F4">
        <w:rPr>
          <w:rFonts w:ascii="Arial" w:eastAsia="Calibri" w:hAnsi="Arial" w:cs="Arial"/>
          <w:bCs/>
          <w:sz w:val="22"/>
          <w:lang w:val="es-ES_tradnl"/>
        </w:rPr>
        <w:t>mínimas</w:t>
      </w:r>
      <w:r w:rsidR="00E70C98" w:rsidRPr="00A572F4">
        <w:rPr>
          <w:rFonts w:ascii="Arial" w:eastAsia="Calibri" w:hAnsi="Arial" w:cs="Arial"/>
          <w:bCs/>
          <w:sz w:val="22"/>
          <w:lang w:val="es-ES_tradnl"/>
        </w:rPr>
        <w:t xml:space="preserve"> y adicionales para escoger la oferta que represente la mejor relación costo beneficio</w:t>
      </w:r>
      <w:r w:rsidR="00AD5523" w:rsidRPr="00A572F4">
        <w:rPr>
          <w:rFonts w:ascii="Arial" w:eastAsia="Calibri" w:hAnsi="Arial" w:cs="Arial"/>
          <w:bCs/>
          <w:sz w:val="22"/>
          <w:lang w:val="es-ES_tradnl"/>
        </w:rPr>
        <w:t>, procedimientos en los que también es posible que se presenten empate</w:t>
      </w:r>
      <w:r w:rsidR="001971FD" w:rsidRPr="00A572F4">
        <w:rPr>
          <w:rFonts w:ascii="Arial" w:eastAsia="Calibri" w:hAnsi="Arial" w:cs="Arial"/>
          <w:bCs/>
          <w:sz w:val="22"/>
          <w:lang w:val="es-ES_tradnl"/>
        </w:rPr>
        <w:t>s</w:t>
      </w:r>
      <w:r w:rsidR="00AD5523" w:rsidRPr="00A572F4">
        <w:rPr>
          <w:rFonts w:ascii="Arial" w:eastAsia="Calibri" w:hAnsi="Arial" w:cs="Arial"/>
          <w:bCs/>
          <w:sz w:val="22"/>
          <w:lang w:val="es-ES_tradnl"/>
        </w:rPr>
        <w:t>.</w:t>
      </w:r>
      <w:r w:rsidR="00E70C98" w:rsidRPr="00A572F4">
        <w:rPr>
          <w:rFonts w:ascii="Arial" w:eastAsia="Calibri" w:hAnsi="Arial" w:cs="Arial"/>
          <w:bCs/>
          <w:sz w:val="22"/>
          <w:lang w:val="es-ES_tradnl"/>
        </w:rPr>
        <w:t xml:space="preserve"> </w:t>
      </w:r>
    </w:p>
    <w:p w14:paraId="0D1A830E" w14:textId="17EEDE4F" w:rsidR="001E747D" w:rsidRPr="00A572F4" w:rsidRDefault="00AA5E49" w:rsidP="00EB2ED0">
      <w:pPr>
        <w:tabs>
          <w:tab w:val="left" w:pos="0"/>
        </w:tabs>
        <w:spacing w:after="120" w:line="276" w:lineRule="auto"/>
        <w:jc w:val="both"/>
        <w:rPr>
          <w:rFonts w:ascii="Arial" w:eastAsia="Calibri" w:hAnsi="Arial" w:cs="Arial"/>
          <w:bCs/>
          <w:sz w:val="22"/>
          <w:lang w:val="es-ES_tradnl"/>
        </w:rPr>
      </w:pPr>
      <w:r w:rsidRPr="00A572F4">
        <w:rPr>
          <w:rFonts w:ascii="Arial" w:eastAsia="Calibri" w:hAnsi="Arial" w:cs="Arial"/>
          <w:bCs/>
          <w:sz w:val="22"/>
          <w:lang w:val="es-ES_tradnl"/>
        </w:rPr>
        <w:tab/>
      </w:r>
      <w:r w:rsidR="001971FD" w:rsidRPr="00A572F4">
        <w:rPr>
          <w:rFonts w:ascii="Arial" w:eastAsia="Calibri" w:hAnsi="Arial" w:cs="Arial"/>
          <w:bCs/>
          <w:sz w:val="22"/>
          <w:lang w:val="es-ES_tradnl"/>
        </w:rPr>
        <w:t>Lo anterior</w:t>
      </w:r>
      <w:r w:rsidR="00314A22" w:rsidRPr="00A572F4">
        <w:rPr>
          <w:rFonts w:ascii="Arial" w:eastAsia="Calibri" w:hAnsi="Arial" w:cs="Arial"/>
          <w:bCs/>
          <w:sz w:val="22"/>
          <w:lang w:val="es-ES_tradnl"/>
        </w:rPr>
        <w:t xml:space="preserve"> implica que l</w:t>
      </w:r>
      <w:r w:rsidR="00F719FD" w:rsidRPr="00A572F4">
        <w:rPr>
          <w:rFonts w:ascii="Arial" w:eastAsia="Calibri" w:hAnsi="Arial" w:cs="Arial"/>
          <w:bCs/>
          <w:sz w:val="22"/>
          <w:lang w:val="es-ES_tradnl"/>
        </w:rPr>
        <w:t>as entidades estatales</w:t>
      </w:r>
      <w:r w:rsidR="00314A22" w:rsidRPr="00A572F4">
        <w:rPr>
          <w:rFonts w:ascii="Arial" w:eastAsia="Calibri" w:hAnsi="Arial" w:cs="Arial"/>
          <w:bCs/>
          <w:sz w:val="22"/>
          <w:lang w:val="es-ES_tradnl"/>
        </w:rPr>
        <w:t xml:space="preserve"> </w:t>
      </w:r>
      <w:r w:rsidR="008C6754" w:rsidRPr="00A572F4">
        <w:rPr>
          <w:rFonts w:ascii="Arial" w:eastAsia="Calibri" w:hAnsi="Arial" w:cs="Arial"/>
          <w:bCs/>
          <w:sz w:val="22"/>
          <w:lang w:val="es-ES_tradnl"/>
        </w:rPr>
        <w:t xml:space="preserve">tendrían </w:t>
      </w:r>
      <w:r w:rsidR="004F44D8" w:rsidRPr="00A572F4">
        <w:rPr>
          <w:rFonts w:ascii="Arial" w:eastAsia="Calibri" w:hAnsi="Arial" w:cs="Arial"/>
          <w:bCs/>
          <w:sz w:val="22"/>
          <w:lang w:val="es-ES_tradnl"/>
        </w:rPr>
        <w:t>a su alcance la posibilidad de determinar si aplica o no el artículo 35</w:t>
      </w:r>
      <w:r w:rsidR="008C6754" w:rsidRPr="00A572F4">
        <w:rPr>
          <w:rFonts w:ascii="Arial" w:eastAsia="Calibri" w:hAnsi="Arial" w:cs="Arial"/>
          <w:bCs/>
          <w:sz w:val="22"/>
          <w:lang w:val="es-ES_tradnl"/>
        </w:rPr>
        <w:t xml:space="preserve"> de la Ley de Emprendimiento</w:t>
      </w:r>
      <w:r w:rsidR="004F44D8" w:rsidRPr="00A572F4">
        <w:rPr>
          <w:rFonts w:ascii="Arial" w:eastAsia="Calibri" w:hAnsi="Arial" w:cs="Arial"/>
          <w:bCs/>
          <w:sz w:val="22"/>
          <w:lang w:val="es-ES_tradnl"/>
        </w:rPr>
        <w:t xml:space="preserve">, </w:t>
      </w:r>
      <w:r w:rsidR="00812C9E" w:rsidRPr="00A572F4">
        <w:rPr>
          <w:rFonts w:ascii="Arial" w:eastAsia="Calibri" w:hAnsi="Arial" w:cs="Arial"/>
          <w:bCs/>
          <w:sz w:val="22"/>
          <w:lang w:val="es-ES_tradnl"/>
        </w:rPr>
        <w:t xml:space="preserve">ya que al </w:t>
      </w:r>
      <w:r w:rsidR="008D15D4" w:rsidRPr="00A572F4">
        <w:rPr>
          <w:rFonts w:ascii="Arial" w:eastAsia="Calibri" w:hAnsi="Arial" w:cs="Arial"/>
          <w:bCs/>
          <w:sz w:val="22"/>
          <w:lang w:val="es-ES_tradnl"/>
        </w:rPr>
        <w:t>elaborar</w:t>
      </w:r>
      <w:r w:rsidR="00F719FD" w:rsidRPr="00A572F4">
        <w:rPr>
          <w:rFonts w:ascii="Arial" w:eastAsia="Calibri" w:hAnsi="Arial" w:cs="Arial"/>
          <w:bCs/>
          <w:sz w:val="22"/>
          <w:lang w:val="es-ES_tradnl"/>
        </w:rPr>
        <w:t xml:space="preserve"> los pliegos de condiciones </w:t>
      </w:r>
      <w:r w:rsidR="000A03F2" w:rsidRPr="00A572F4">
        <w:rPr>
          <w:rFonts w:ascii="Arial" w:eastAsia="Calibri" w:hAnsi="Arial" w:cs="Arial"/>
          <w:bCs/>
          <w:sz w:val="22"/>
          <w:lang w:val="es-ES_tradnl"/>
        </w:rPr>
        <w:t>est</w:t>
      </w:r>
      <w:r w:rsidR="00812C9E" w:rsidRPr="00A572F4">
        <w:rPr>
          <w:rFonts w:ascii="Arial" w:eastAsia="Calibri" w:hAnsi="Arial" w:cs="Arial"/>
          <w:bCs/>
          <w:sz w:val="22"/>
          <w:lang w:val="es-ES_tradnl"/>
        </w:rPr>
        <w:t>án</w:t>
      </w:r>
      <w:r w:rsidR="000A03F2" w:rsidRPr="00A572F4">
        <w:rPr>
          <w:rFonts w:ascii="Arial" w:eastAsia="Calibri" w:hAnsi="Arial" w:cs="Arial"/>
          <w:bCs/>
          <w:sz w:val="22"/>
          <w:lang w:val="es-ES_tradnl"/>
        </w:rPr>
        <w:t xml:space="preserve"> faculta</w:t>
      </w:r>
      <w:r w:rsidR="002E6A50" w:rsidRPr="00A572F4">
        <w:rPr>
          <w:rFonts w:ascii="Arial" w:eastAsia="Calibri" w:hAnsi="Arial" w:cs="Arial"/>
          <w:bCs/>
          <w:sz w:val="22"/>
          <w:lang w:val="es-ES_tradnl"/>
        </w:rPr>
        <w:t>da</w:t>
      </w:r>
      <w:r w:rsidR="000A03F2" w:rsidRPr="00A572F4">
        <w:rPr>
          <w:rFonts w:ascii="Arial" w:eastAsia="Calibri" w:hAnsi="Arial" w:cs="Arial"/>
          <w:bCs/>
          <w:sz w:val="22"/>
          <w:lang w:val="es-ES_tradnl"/>
        </w:rPr>
        <w:t>s para</w:t>
      </w:r>
      <w:r w:rsidR="00812C9E" w:rsidRPr="00A572F4">
        <w:rPr>
          <w:rFonts w:ascii="Arial" w:eastAsia="Calibri" w:hAnsi="Arial" w:cs="Arial"/>
          <w:bCs/>
          <w:sz w:val="22"/>
          <w:lang w:val="es-ES_tradnl"/>
        </w:rPr>
        <w:t xml:space="preserve"> </w:t>
      </w:r>
      <w:r w:rsidR="0071041A" w:rsidRPr="00A572F4">
        <w:rPr>
          <w:rFonts w:ascii="Arial" w:eastAsia="Calibri" w:hAnsi="Arial" w:cs="Arial"/>
          <w:bCs/>
          <w:sz w:val="22"/>
          <w:lang w:val="es-ES_tradnl"/>
        </w:rPr>
        <w:t>prescindir</w:t>
      </w:r>
      <w:r w:rsidR="00812C9E" w:rsidRPr="00A572F4">
        <w:rPr>
          <w:rFonts w:ascii="Arial" w:eastAsia="Calibri" w:hAnsi="Arial" w:cs="Arial"/>
          <w:bCs/>
          <w:sz w:val="22"/>
          <w:lang w:val="es-ES_tradnl"/>
        </w:rPr>
        <w:t xml:space="preserve"> de la asignación de puntaje,</w:t>
      </w:r>
      <w:r w:rsidR="000A03F2" w:rsidRPr="00A572F4">
        <w:rPr>
          <w:rFonts w:ascii="Arial" w:eastAsia="Calibri" w:hAnsi="Arial" w:cs="Arial"/>
          <w:bCs/>
          <w:sz w:val="22"/>
          <w:lang w:val="es-ES_tradnl"/>
        </w:rPr>
        <w:t xml:space="preserve"> opta</w:t>
      </w:r>
      <w:r w:rsidR="00812C9E" w:rsidRPr="00A572F4">
        <w:rPr>
          <w:rFonts w:ascii="Arial" w:eastAsia="Calibri" w:hAnsi="Arial" w:cs="Arial"/>
          <w:bCs/>
          <w:sz w:val="22"/>
          <w:lang w:val="es-ES_tradnl"/>
        </w:rPr>
        <w:t>ndo</w:t>
      </w:r>
      <w:r w:rsidR="0071041A" w:rsidRPr="00A572F4">
        <w:rPr>
          <w:rFonts w:ascii="Arial" w:eastAsia="Calibri" w:hAnsi="Arial" w:cs="Arial"/>
          <w:bCs/>
          <w:sz w:val="22"/>
          <w:lang w:val="es-ES_tradnl"/>
        </w:rPr>
        <w:t>,</w:t>
      </w:r>
      <w:r w:rsidR="000A03F2" w:rsidRPr="00A572F4">
        <w:rPr>
          <w:rFonts w:ascii="Arial" w:eastAsia="Calibri" w:hAnsi="Arial" w:cs="Arial"/>
          <w:bCs/>
          <w:sz w:val="22"/>
          <w:lang w:val="es-ES_tradnl"/>
        </w:rPr>
        <w:t xml:space="preserve"> por</w:t>
      </w:r>
      <w:r w:rsidR="0071041A" w:rsidRPr="00A572F4">
        <w:rPr>
          <w:rFonts w:ascii="Arial" w:eastAsia="Calibri" w:hAnsi="Arial" w:cs="Arial"/>
          <w:bCs/>
          <w:sz w:val="22"/>
          <w:lang w:val="es-ES_tradnl"/>
        </w:rPr>
        <w:t xml:space="preserve"> ejemplo, por</w:t>
      </w:r>
      <w:r w:rsidR="000A03F2" w:rsidRPr="00A572F4">
        <w:rPr>
          <w:rFonts w:ascii="Arial" w:eastAsia="Calibri" w:hAnsi="Arial" w:cs="Arial"/>
          <w:bCs/>
          <w:sz w:val="22"/>
          <w:lang w:val="es-ES_tradnl"/>
        </w:rPr>
        <w:t xml:space="preserve"> alternativas </w:t>
      </w:r>
      <w:r w:rsidR="00DD65ED" w:rsidRPr="00A572F4">
        <w:rPr>
          <w:rFonts w:ascii="Arial" w:eastAsia="Calibri" w:hAnsi="Arial" w:cs="Arial"/>
          <w:bCs/>
          <w:sz w:val="22"/>
          <w:lang w:val="es-ES_tradnl"/>
        </w:rPr>
        <w:t>en las que se valore la relación costo beneficio</w:t>
      </w:r>
      <w:r w:rsidR="003C4B46" w:rsidRPr="00A572F4">
        <w:rPr>
          <w:rFonts w:ascii="Arial" w:eastAsia="Calibri" w:hAnsi="Arial" w:cs="Arial"/>
          <w:bCs/>
          <w:sz w:val="22"/>
          <w:lang w:val="es-ES_tradnl"/>
        </w:rPr>
        <w:t xml:space="preserve">, lo que relevaría </w:t>
      </w:r>
      <w:r w:rsidR="002E6A50" w:rsidRPr="00A572F4">
        <w:rPr>
          <w:rFonts w:ascii="Arial" w:eastAsia="Calibri" w:hAnsi="Arial" w:cs="Arial"/>
          <w:bCs/>
          <w:sz w:val="22"/>
          <w:lang w:val="es-ES_tradnl"/>
        </w:rPr>
        <w:t xml:space="preserve">a la entidad de aplicar </w:t>
      </w:r>
      <w:r w:rsidR="004C74BD" w:rsidRPr="00A572F4">
        <w:rPr>
          <w:rFonts w:ascii="Arial" w:eastAsia="Calibri" w:hAnsi="Arial" w:cs="Arial"/>
          <w:bCs/>
          <w:sz w:val="22"/>
          <w:lang w:val="es-ES_tradnl"/>
        </w:rPr>
        <w:t>los factores de desempate</w:t>
      </w:r>
      <w:r w:rsidR="00314A22" w:rsidRPr="00A572F4">
        <w:rPr>
          <w:rFonts w:ascii="Arial" w:eastAsia="Calibri" w:hAnsi="Arial" w:cs="Arial"/>
          <w:bCs/>
          <w:sz w:val="22"/>
          <w:lang w:val="es-ES_tradnl"/>
        </w:rPr>
        <w:t>.</w:t>
      </w:r>
      <w:r w:rsidR="00AE7CF1" w:rsidRPr="00A572F4">
        <w:rPr>
          <w:rFonts w:ascii="Arial" w:eastAsia="Calibri" w:hAnsi="Arial" w:cs="Arial"/>
          <w:bCs/>
          <w:sz w:val="22"/>
          <w:lang w:val="es-ES_tradnl"/>
        </w:rPr>
        <w:t xml:space="preserve"> </w:t>
      </w:r>
      <w:r w:rsidR="002B3FBF" w:rsidRPr="00A572F4">
        <w:rPr>
          <w:rFonts w:ascii="Arial" w:eastAsia="Calibri" w:hAnsi="Arial" w:cs="Arial"/>
          <w:bCs/>
          <w:sz w:val="22"/>
          <w:lang w:val="es-ES_tradnl"/>
        </w:rPr>
        <w:t>Esta</w:t>
      </w:r>
      <w:r w:rsidR="00AE7CF1" w:rsidRPr="00A572F4">
        <w:rPr>
          <w:rFonts w:ascii="Arial" w:eastAsia="Calibri" w:hAnsi="Arial" w:cs="Arial"/>
          <w:bCs/>
          <w:sz w:val="22"/>
          <w:lang w:val="es-ES_tradnl"/>
        </w:rPr>
        <w:t xml:space="preserve"> consecuencia también se aprecia </w:t>
      </w:r>
      <w:r w:rsidR="005F5935" w:rsidRPr="00A572F4">
        <w:rPr>
          <w:rFonts w:ascii="Arial" w:eastAsia="Calibri" w:hAnsi="Arial" w:cs="Arial"/>
          <w:bCs/>
          <w:sz w:val="22"/>
          <w:lang w:val="es-ES_tradnl"/>
        </w:rPr>
        <w:t>en caso de las entidades exceptuadas</w:t>
      </w:r>
      <w:r w:rsidR="009C0783" w:rsidRPr="00A572F4">
        <w:rPr>
          <w:rFonts w:ascii="Arial" w:eastAsia="Calibri" w:hAnsi="Arial" w:cs="Arial"/>
          <w:bCs/>
          <w:sz w:val="22"/>
          <w:lang w:val="es-ES_tradnl"/>
        </w:rPr>
        <w:t>, quienes al no estar sujetas al artículo 5 de la Ley 1150 de 2007</w:t>
      </w:r>
      <w:r w:rsidR="005F7112" w:rsidRPr="00A572F4">
        <w:rPr>
          <w:rFonts w:ascii="Arial" w:eastAsia="Calibri" w:hAnsi="Arial" w:cs="Arial"/>
          <w:bCs/>
          <w:sz w:val="22"/>
          <w:lang w:val="es-ES_tradnl"/>
        </w:rPr>
        <w:t xml:space="preserve">, tienen a su alcance </w:t>
      </w:r>
      <w:r w:rsidR="00E85D69" w:rsidRPr="00A572F4">
        <w:rPr>
          <w:rFonts w:ascii="Arial" w:eastAsia="Calibri" w:hAnsi="Arial" w:cs="Arial"/>
          <w:bCs/>
          <w:sz w:val="22"/>
          <w:lang w:val="es-ES_tradnl"/>
        </w:rPr>
        <w:t xml:space="preserve">la posibilidad de </w:t>
      </w:r>
      <w:r w:rsidR="005F7112" w:rsidRPr="00A572F4">
        <w:rPr>
          <w:rFonts w:ascii="Arial" w:eastAsia="Calibri" w:hAnsi="Arial" w:cs="Arial"/>
          <w:bCs/>
          <w:sz w:val="22"/>
          <w:lang w:val="es-ES_tradnl"/>
        </w:rPr>
        <w:t xml:space="preserve">configurar procesos de selección </w:t>
      </w:r>
      <w:r w:rsidR="00057CBB" w:rsidRPr="00A572F4">
        <w:rPr>
          <w:rFonts w:ascii="Arial" w:eastAsia="Calibri" w:hAnsi="Arial" w:cs="Arial"/>
          <w:bCs/>
          <w:sz w:val="22"/>
          <w:lang w:val="es-ES_tradnl"/>
        </w:rPr>
        <w:t>en los que no se utilice</w:t>
      </w:r>
      <w:r w:rsidR="008013FB" w:rsidRPr="00A572F4">
        <w:rPr>
          <w:rFonts w:ascii="Arial" w:eastAsia="Calibri" w:hAnsi="Arial" w:cs="Arial"/>
          <w:bCs/>
          <w:sz w:val="22"/>
          <w:lang w:val="es-ES_tradnl"/>
        </w:rPr>
        <w:t>n</w:t>
      </w:r>
      <w:r w:rsidR="00057CBB" w:rsidRPr="00A572F4">
        <w:rPr>
          <w:rFonts w:ascii="Arial" w:eastAsia="Calibri" w:hAnsi="Arial" w:cs="Arial"/>
          <w:bCs/>
          <w:sz w:val="22"/>
          <w:lang w:val="es-ES_tradnl"/>
        </w:rPr>
        <w:t xml:space="preserve"> puntaje</w:t>
      </w:r>
      <w:r w:rsidR="008013FB" w:rsidRPr="00A572F4">
        <w:rPr>
          <w:rFonts w:ascii="Arial" w:eastAsia="Calibri" w:hAnsi="Arial" w:cs="Arial"/>
          <w:bCs/>
          <w:sz w:val="22"/>
          <w:lang w:val="es-ES_tradnl"/>
        </w:rPr>
        <w:t>s</w:t>
      </w:r>
      <w:r w:rsidR="00057CBB" w:rsidRPr="00A572F4">
        <w:rPr>
          <w:rFonts w:ascii="Arial" w:eastAsia="Calibri" w:hAnsi="Arial" w:cs="Arial"/>
          <w:bCs/>
          <w:sz w:val="22"/>
          <w:lang w:val="es-ES_tradnl"/>
        </w:rPr>
        <w:t xml:space="preserve"> para escoger la oferta ganadora,</w:t>
      </w:r>
      <w:r w:rsidR="001E747D" w:rsidRPr="00A572F4">
        <w:rPr>
          <w:rFonts w:ascii="Arial" w:eastAsia="Calibri" w:hAnsi="Arial" w:cs="Arial"/>
          <w:bCs/>
          <w:sz w:val="22"/>
          <w:lang w:val="es-ES_tradnl"/>
        </w:rPr>
        <w:t xml:space="preserve"> </w:t>
      </w:r>
      <w:r w:rsidR="007363DC" w:rsidRPr="00A572F4">
        <w:rPr>
          <w:rFonts w:ascii="Arial" w:eastAsia="Calibri" w:hAnsi="Arial" w:cs="Arial"/>
          <w:bCs/>
          <w:sz w:val="22"/>
          <w:lang w:val="es-ES_tradnl"/>
        </w:rPr>
        <w:t>inaplicando</w:t>
      </w:r>
      <w:r w:rsidR="001E747D" w:rsidRPr="00A572F4">
        <w:rPr>
          <w:rFonts w:ascii="Arial" w:eastAsia="Calibri" w:hAnsi="Arial" w:cs="Arial"/>
          <w:bCs/>
          <w:sz w:val="22"/>
          <w:lang w:val="es-ES_tradnl"/>
        </w:rPr>
        <w:t xml:space="preserve"> de los factores de desempate del artículo 35</w:t>
      </w:r>
      <w:r w:rsidR="008013FB" w:rsidRPr="00A572F4">
        <w:rPr>
          <w:rFonts w:ascii="Arial" w:eastAsia="Calibri" w:hAnsi="Arial" w:cs="Arial"/>
          <w:bCs/>
          <w:sz w:val="22"/>
          <w:lang w:val="es-ES_tradnl"/>
        </w:rPr>
        <w:t xml:space="preserve"> de la Ley 2069 de 2020.</w:t>
      </w:r>
    </w:p>
    <w:p w14:paraId="1DE74688" w14:textId="0924883F" w:rsidR="00AA5E49" w:rsidRPr="00A572F4" w:rsidRDefault="00A056D2" w:rsidP="00EB2ED0">
      <w:pPr>
        <w:tabs>
          <w:tab w:val="left" w:pos="0"/>
        </w:tabs>
        <w:spacing w:after="120" w:line="276" w:lineRule="auto"/>
        <w:jc w:val="both"/>
        <w:rPr>
          <w:rFonts w:ascii="Arial" w:eastAsia="Calibri" w:hAnsi="Arial" w:cs="Arial"/>
          <w:bCs/>
          <w:sz w:val="22"/>
          <w:lang w:val="es-ES_tradnl"/>
        </w:rPr>
      </w:pPr>
      <w:r w:rsidRPr="00A572F4">
        <w:rPr>
          <w:rFonts w:ascii="Arial" w:eastAsia="Calibri" w:hAnsi="Arial" w:cs="Arial"/>
          <w:bCs/>
          <w:sz w:val="22"/>
          <w:lang w:val="es-ES_tradnl"/>
        </w:rPr>
        <w:lastRenderedPageBreak/>
        <w:tab/>
        <w:t xml:space="preserve">Conforme a estas consideraciones, el entendimiento literal de la expresión </w:t>
      </w:r>
      <w:r w:rsidRPr="00A572F4">
        <w:rPr>
          <w:rFonts w:ascii="Arial" w:eastAsia="Calibri" w:hAnsi="Arial" w:cs="Arial"/>
          <w:bCs/>
          <w:i/>
          <w:iCs/>
          <w:sz w:val="22"/>
          <w:lang w:val="es-ES_tradnl"/>
        </w:rPr>
        <w:t>puntaje total</w:t>
      </w:r>
      <w:r w:rsidR="002036BA" w:rsidRPr="00A572F4">
        <w:rPr>
          <w:rFonts w:ascii="Arial" w:eastAsia="Calibri" w:hAnsi="Arial" w:cs="Arial"/>
          <w:bCs/>
          <w:sz w:val="22"/>
          <w:lang w:val="es-ES_tradnl"/>
        </w:rPr>
        <w:t xml:space="preserve"> contenida en el artículo 35 de la 2069 de 2020, priva </w:t>
      </w:r>
      <w:r w:rsidR="008627DE" w:rsidRPr="00A572F4">
        <w:rPr>
          <w:rFonts w:ascii="Arial" w:eastAsia="Calibri" w:hAnsi="Arial" w:cs="Arial"/>
          <w:bCs/>
          <w:sz w:val="22"/>
          <w:lang w:val="es-ES_tradnl"/>
        </w:rPr>
        <w:t>esta</w:t>
      </w:r>
      <w:r w:rsidR="002036BA" w:rsidRPr="00A572F4">
        <w:rPr>
          <w:rFonts w:ascii="Arial" w:eastAsia="Calibri" w:hAnsi="Arial" w:cs="Arial"/>
          <w:bCs/>
          <w:sz w:val="22"/>
          <w:lang w:val="es-ES_tradnl"/>
        </w:rPr>
        <w:t xml:space="preserve"> norma de un</w:t>
      </w:r>
      <w:r w:rsidR="00290805" w:rsidRPr="00A572F4">
        <w:rPr>
          <w:rFonts w:ascii="Arial" w:eastAsia="Calibri" w:hAnsi="Arial" w:cs="Arial"/>
          <w:bCs/>
          <w:sz w:val="22"/>
          <w:lang w:val="es-ES_tradnl"/>
        </w:rPr>
        <w:t xml:space="preserve">a gran parte de su </w:t>
      </w:r>
      <w:r w:rsidR="00B75628" w:rsidRPr="00A572F4">
        <w:rPr>
          <w:rFonts w:ascii="Arial" w:eastAsia="Calibri" w:hAnsi="Arial" w:cs="Arial"/>
          <w:bCs/>
          <w:sz w:val="22"/>
          <w:lang w:val="es-ES_tradnl"/>
        </w:rPr>
        <w:t>obligatoriedad</w:t>
      </w:r>
      <w:r w:rsidR="00290805" w:rsidRPr="00A572F4">
        <w:rPr>
          <w:rFonts w:ascii="Arial" w:eastAsia="Calibri" w:hAnsi="Arial" w:cs="Arial"/>
          <w:bCs/>
          <w:sz w:val="22"/>
          <w:lang w:val="es-ES_tradnl"/>
        </w:rPr>
        <w:t>,</w:t>
      </w:r>
      <w:r w:rsidR="00F8740F" w:rsidRPr="00A572F4">
        <w:rPr>
          <w:rFonts w:ascii="Arial" w:eastAsia="Calibri" w:hAnsi="Arial" w:cs="Arial"/>
          <w:bCs/>
          <w:sz w:val="22"/>
          <w:lang w:val="es-ES_tradnl"/>
        </w:rPr>
        <w:t xml:space="preserve"> al permitir que</w:t>
      </w:r>
      <w:r w:rsidR="00290805" w:rsidRPr="00A572F4">
        <w:rPr>
          <w:rFonts w:ascii="Arial" w:eastAsia="Calibri" w:hAnsi="Arial" w:cs="Arial"/>
          <w:bCs/>
          <w:sz w:val="22"/>
          <w:lang w:val="es-ES_tradnl"/>
        </w:rPr>
        <w:t xml:space="preserve"> los </w:t>
      </w:r>
      <w:r w:rsidR="00F8740F" w:rsidRPr="00A572F4">
        <w:rPr>
          <w:rFonts w:ascii="Arial" w:eastAsia="Calibri" w:hAnsi="Arial" w:cs="Arial"/>
          <w:bCs/>
          <w:sz w:val="22"/>
          <w:lang w:val="es-ES_tradnl"/>
        </w:rPr>
        <w:t xml:space="preserve">destinatarios </w:t>
      </w:r>
      <w:r w:rsidR="003A3EA0" w:rsidRPr="00A572F4">
        <w:rPr>
          <w:rFonts w:ascii="Arial" w:eastAsia="Calibri" w:hAnsi="Arial" w:cs="Arial"/>
          <w:bCs/>
          <w:sz w:val="22"/>
          <w:lang w:val="es-ES_tradnl"/>
        </w:rPr>
        <w:t>elud</w:t>
      </w:r>
      <w:r w:rsidR="00136DD8" w:rsidRPr="00A572F4">
        <w:rPr>
          <w:rFonts w:ascii="Arial" w:eastAsia="Calibri" w:hAnsi="Arial" w:cs="Arial"/>
          <w:bCs/>
          <w:sz w:val="22"/>
          <w:lang w:val="es-ES_tradnl"/>
        </w:rPr>
        <w:t>an</w:t>
      </w:r>
      <w:r w:rsidR="003A3EA0" w:rsidRPr="00A572F4">
        <w:rPr>
          <w:rFonts w:ascii="Arial" w:eastAsia="Calibri" w:hAnsi="Arial" w:cs="Arial"/>
          <w:bCs/>
          <w:sz w:val="22"/>
          <w:lang w:val="es-ES_tradnl"/>
        </w:rPr>
        <w:t xml:space="preserve"> su aplicación. </w:t>
      </w:r>
      <w:r w:rsidR="0092557B" w:rsidRPr="00A572F4">
        <w:rPr>
          <w:rFonts w:ascii="Arial" w:eastAsia="Calibri" w:hAnsi="Arial" w:cs="Arial"/>
          <w:bCs/>
          <w:sz w:val="22"/>
          <w:lang w:val="es-ES_tradnl"/>
        </w:rPr>
        <w:t xml:space="preserve">Esto </w:t>
      </w:r>
      <w:r w:rsidR="006C5215" w:rsidRPr="00A572F4">
        <w:rPr>
          <w:rFonts w:ascii="Arial" w:eastAsia="Calibri" w:hAnsi="Arial" w:cs="Arial"/>
          <w:bCs/>
          <w:sz w:val="22"/>
          <w:lang w:val="es-ES_tradnl"/>
        </w:rPr>
        <w:t>implica que la</w:t>
      </w:r>
      <w:r w:rsidR="0092557B" w:rsidRPr="00A572F4">
        <w:rPr>
          <w:rFonts w:ascii="Arial" w:eastAsia="Calibri" w:hAnsi="Arial" w:cs="Arial"/>
          <w:bCs/>
          <w:sz w:val="22"/>
          <w:lang w:val="es-ES_tradnl"/>
        </w:rPr>
        <w:t xml:space="preserve"> finalidad transversal del artículo 35 de la Ley 2069 de 2020</w:t>
      </w:r>
      <w:r w:rsidR="00BF6990" w:rsidRPr="00A572F4">
        <w:rPr>
          <w:rFonts w:ascii="Arial" w:eastAsia="Calibri" w:hAnsi="Arial" w:cs="Arial"/>
          <w:bCs/>
          <w:sz w:val="22"/>
          <w:lang w:val="es-ES_tradnl"/>
        </w:rPr>
        <w:t xml:space="preserve"> quedaría cercenada por </w:t>
      </w:r>
      <w:r w:rsidR="0071340B" w:rsidRPr="00A572F4">
        <w:rPr>
          <w:rFonts w:ascii="Arial" w:eastAsia="Calibri" w:hAnsi="Arial" w:cs="Arial"/>
          <w:bCs/>
          <w:sz w:val="22"/>
          <w:lang w:val="es-ES_tradnl"/>
        </w:rPr>
        <w:t xml:space="preserve">su </w:t>
      </w:r>
      <w:r w:rsidR="00BF6990" w:rsidRPr="00A572F4">
        <w:rPr>
          <w:rFonts w:ascii="Arial" w:eastAsia="Calibri" w:hAnsi="Arial" w:cs="Arial"/>
          <w:bCs/>
          <w:sz w:val="22"/>
          <w:lang w:val="es-ES_tradnl"/>
        </w:rPr>
        <w:t xml:space="preserve">interpretación exegética, </w:t>
      </w:r>
      <w:r w:rsidR="00B75628" w:rsidRPr="00A572F4">
        <w:rPr>
          <w:rFonts w:ascii="Arial" w:eastAsia="Calibri" w:hAnsi="Arial" w:cs="Arial"/>
          <w:bCs/>
          <w:sz w:val="22"/>
          <w:lang w:val="es-ES_tradnl"/>
        </w:rPr>
        <w:t>generando consecuencias absurdas como las descritas en el párrafo precedente</w:t>
      </w:r>
      <w:r w:rsidR="009E3BEE" w:rsidRPr="00A572F4">
        <w:rPr>
          <w:rFonts w:ascii="Arial" w:eastAsia="Calibri" w:hAnsi="Arial" w:cs="Arial"/>
          <w:bCs/>
          <w:sz w:val="22"/>
          <w:lang w:val="es-ES_tradnl"/>
        </w:rPr>
        <w:t>.</w:t>
      </w:r>
      <w:r w:rsidR="00511368" w:rsidRPr="00A572F4">
        <w:rPr>
          <w:rFonts w:ascii="Arial" w:eastAsia="Calibri" w:hAnsi="Arial" w:cs="Arial"/>
          <w:bCs/>
          <w:sz w:val="22"/>
          <w:lang w:val="es-ES_tradnl"/>
        </w:rPr>
        <w:t xml:space="preserve">  </w:t>
      </w:r>
    </w:p>
    <w:p w14:paraId="400AE1BF" w14:textId="3D96FCBB" w:rsidR="008D15D4" w:rsidRPr="00A572F4" w:rsidRDefault="009D28E8" w:rsidP="00EB2ED0">
      <w:pPr>
        <w:tabs>
          <w:tab w:val="left" w:pos="0"/>
        </w:tabs>
        <w:spacing w:after="120" w:line="276" w:lineRule="auto"/>
        <w:jc w:val="both"/>
        <w:rPr>
          <w:rFonts w:ascii="Arial" w:hAnsi="Arial" w:cs="Arial"/>
          <w:sz w:val="22"/>
          <w:szCs w:val="22"/>
        </w:rPr>
      </w:pPr>
      <w:r w:rsidRPr="00A572F4">
        <w:rPr>
          <w:rFonts w:ascii="Arial" w:eastAsia="Calibri" w:hAnsi="Arial" w:cs="Arial"/>
          <w:bCs/>
          <w:sz w:val="22"/>
          <w:szCs w:val="22"/>
          <w:lang w:val="es-ES_tradnl"/>
        </w:rPr>
        <w:tab/>
        <w:t xml:space="preserve">En consideración a lo anterior, </w:t>
      </w:r>
      <w:r w:rsidR="00111026" w:rsidRPr="00A572F4">
        <w:rPr>
          <w:rFonts w:ascii="Arial" w:eastAsia="Calibri" w:hAnsi="Arial" w:cs="Arial"/>
          <w:bCs/>
          <w:sz w:val="22"/>
          <w:szCs w:val="22"/>
          <w:lang w:val="es-ES_tradnl"/>
        </w:rPr>
        <w:t>la</w:t>
      </w:r>
      <w:r w:rsidRPr="00A572F4">
        <w:rPr>
          <w:rFonts w:ascii="Arial" w:eastAsia="Calibri" w:hAnsi="Arial" w:cs="Arial"/>
          <w:bCs/>
          <w:sz w:val="22"/>
          <w:szCs w:val="22"/>
          <w:lang w:val="es-ES_tradnl"/>
        </w:rPr>
        <w:t xml:space="preserve"> Agencia</w:t>
      </w:r>
      <w:r w:rsidR="00F5237A" w:rsidRPr="00A572F4">
        <w:rPr>
          <w:rFonts w:ascii="Arial" w:eastAsia="Calibri" w:hAnsi="Arial" w:cs="Arial"/>
          <w:bCs/>
          <w:sz w:val="22"/>
          <w:szCs w:val="22"/>
          <w:lang w:val="es-ES_tradnl"/>
        </w:rPr>
        <w:t xml:space="preserve"> </w:t>
      </w:r>
      <w:r w:rsidR="0085694D" w:rsidRPr="00A572F4">
        <w:rPr>
          <w:rFonts w:ascii="Arial" w:eastAsia="Calibri" w:hAnsi="Arial" w:cs="Arial"/>
          <w:bCs/>
          <w:sz w:val="22"/>
          <w:szCs w:val="22"/>
          <w:lang w:val="es-ES_tradnl"/>
        </w:rPr>
        <w:t xml:space="preserve">no </w:t>
      </w:r>
      <w:r w:rsidR="006C219B" w:rsidRPr="00A572F4">
        <w:rPr>
          <w:rFonts w:ascii="Arial" w:eastAsia="Calibri" w:hAnsi="Arial" w:cs="Arial"/>
          <w:bCs/>
          <w:sz w:val="22"/>
          <w:szCs w:val="22"/>
          <w:lang w:val="es-ES_tradnl"/>
        </w:rPr>
        <w:t>comparte la posición según la cual el artículo 35</w:t>
      </w:r>
      <w:r w:rsidR="00111026" w:rsidRPr="00A572F4">
        <w:rPr>
          <w:rFonts w:ascii="Arial" w:eastAsia="Calibri" w:hAnsi="Arial" w:cs="Arial"/>
          <w:bCs/>
          <w:sz w:val="22"/>
          <w:szCs w:val="22"/>
          <w:lang w:val="es-ES_tradnl"/>
        </w:rPr>
        <w:t xml:space="preserve"> de la Ley de Emprendimiento</w:t>
      </w:r>
      <w:r w:rsidR="0047072B" w:rsidRPr="00A572F4">
        <w:rPr>
          <w:rFonts w:ascii="Arial" w:eastAsia="Calibri" w:hAnsi="Arial" w:cs="Arial"/>
          <w:bCs/>
          <w:i/>
          <w:iCs/>
          <w:sz w:val="22"/>
          <w:szCs w:val="22"/>
          <w:lang w:val="es-ES_tradnl"/>
        </w:rPr>
        <w:t>,</w:t>
      </w:r>
      <w:r w:rsidR="0047072B" w:rsidRPr="00A572F4">
        <w:rPr>
          <w:rFonts w:ascii="Arial" w:eastAsia="Calibri" w:hAnsi="Arial" w:cs="Arial"/>
          <w:bCs/>
          <w:sz w:val="22"/>
          <w:szCs w:val="22"/>
          <w:lang w:val="es-ES_tradnl"/>
        </w:rPr>
        <w:t xml:space="preserve"> solo es aplicable en caso de empate en el puntaje total entre dos o más ofertas.</w:t>
      </w:r>
      <w:r w:rsidR="005E717E" w:rsidRPr="00A572F4">
        <w:rPr>
          <w:rFonts w:ascii="Arial" w:eastAsia="Calibri" w:hAnsi="Arial" w:cs="Arial"/>
          <w:bCs/>
          <w:sz w:val="22"/>
          <w:szCs w:val="22"/>
          <w:lang w:val="es-ES_tradnl"/>
        </w:rPr>
        <w:t xml:space="preserve"> Por el contrario,</w:t>
      </w:r>
      <w:r w:rsidR="00DB3445" w:rsidRPr="00A572F4">
        <w:rPr>
          <w:rFonts w:ascii="Arial" w:eastAsia="Calibri" w:hAnsi="Arial" w:cs="Arial"/>
          <w:bCs/>
          <w:sz w:val="22"/>
          <w:szCs w:val="22"/>
          <w:lang w:val="es-ES_tradnl"/>
        </w:rPr>
        <w:t xml:space="preserve"> </w:t>
      </w:r>
      <w:bookmarkStart w:id="13" w:name="_Hlk69752682"/>
      <w:r w:rsidR="00DB3445" w:rsidRPr="00A572F4">
        <w:rPr>
          <w:rFonts w:ascii="Arial" w:eastAsia="Calibri" w:hAnsi="Arial" w:cs="Arial"/>
          <w:bCs/>
          <w:sz w:val="22"/>
          <w:szCs w:val="22"/>
          <w:lang w:val="es-ES_tradnl"/>
        </w:rPr>
        <w:t>debe interpreta</w:t>
      </w:r>
      <w:r w:rsidR="00111026" w:rsidRPr="00A572F4">
        <w:rPr>
          <w:rFonts w:ascii="Arial" w:eastAsia="Calibri" w:hAnsi="Arial" w:cs="Arial"/>
          <w:bCs/>
          <w:sz w:val="22"/>
          <w:szCs w:val="22"/>
          <w:lang w:val="es-ES_tradnl"/>
        </w:rPr>
        <w:t>rse</w:t>
      </w:r>
      <w:r w:rsidR="00DB3445" w:rsidRPr="00A572F4">
        <w:rPr>
          <w:rFonts w:ascii="Arial" w:eastAsia="Calibri" w:hAnsi="Arial" w:cs="Arial"/>
          <w:bCs/>
          <w:sz w:val="22"/>
          <w:szCs w:val="22"/>
          <w:lang w:val="es-ES_tradnl"/>
        </w:rPr>
        <w:t xml:space="preserve"> de manera sistemática con las demás disposiciones del EGCAP, particularmente, </w:t>
      </w:r>
      <w:r w:rsidR="0079281A" w:rsidRPr="00A572F4">
        <w:rPr>
          <w:rFonts w:ascii="Arial" w:eastAsia="Calibri" w:hAnsi="Arial" w:cs="Arial"/>
          <w:bCs/>
          <w:sz w:val="22"/>
          <w:szCs w:val="22"/>
          <w:lang w:val="es-ES_tradnl"/>
        </w:rPr>
        <w:t xml:space="preserve">con el artículo 5 de la Ley 1150 </w:t>
      </w:r>
      <w:r w:rsidR="00DA565E" w:rsidRPr="00A572F4">
        <w:rPr>
          <w:rFonts w:ascii="Arial" w:eastAsia="Calibri" w:hAnsi="Arial" w:cs="Arial"/>
          <w:bCs/>
          <w:sz w:val="22"/>
          <w:szCs w:val="22"/>
          <w:lang w:val="es-ES_tradnl"/>
        </w:rPr>
        <w:t>de</w:t>
      </w:r>
      <w:r w:rsidR="0079281A" w:rsidRPr="00A572F4">
        <w:rPr>
          <w:rFonts w:ascii="Arial" w:eastAsia="Calibri" w:hAnsi="Arial" w:cs="Arial"/>
          <w:bCs/>
          <w:sz w:val="22"/>
          <w:szCs w:val="22"/>
          <w:lang w:val="es-ES_tradnl"/>
        </w:rPr>
        <w:t xml:space="preserve"> 2007. Conforme </w:t>
      </w:r>
      <w:r w:rsidR="008D15D4" w:rsidRPr="00A572F4">
        <w:rPr>
          <w:rFonts w:ascii="Arial" w:eastAsia="Calibri" w:hAnsi="Arial" w:cs="Arial"/>
          <w:bCs/>
          <w:sz w:val="22"/>
          <w:szCs w:val="22"/>
          <w:lang w:val="es-ES_tradnl"/>
        </w:rPr>
        <w:t xml:space="preserve">a </w:t>
      </w:r>
      <w:r w:rsidR="00C113D8" w:rsidRPr="00A572F4">
        <w:rPr>
          <w:rFonts w:ascii="Arial" w:eastAsia="Calibri" w:hAnsi="Arial" w:cs="Arial"/>
          <w:bCs/>
          <w:sz w:val="22"/>
          <w:szCs w:val="22"/>
          <w:lang w:val="es-ES_tradnl"/>
        </w:rPr>
        <w:t>esta idea</w:t>
      </w:r>
      <w:r w:rsidR="008D15D4" w:rsidRPr="00A572F4">
        <w:rPr>
          <w:rFonts w:ascii="Arial" w:eastAsia="Calibri" w:hAnsi="Arial" w:cs="Arial"/>
          <w:bCs/>
          <w:sz w:val="22"/>
          <w:szCs w:val="22"/>
          <w:lang w:val="es-ES_tradnl"/>
        </w:rPr>
        <w:t xml:space="preserve"> interpretación</w:t>
      </w:r>
      <w:r w:rsidR="0079281A" w:rsidRPr="00A572F4">
        <w:rPr>
          <w:rFonts w:ascii="Arial" w:eastAsia="Calibri" w:hAnsi="Arial" w:cs="Arial"/>
          <w:bCs/>
          <w:sz w:val="22"/>
          <w:szCs w:val="22"/>
          <w:lang w:val="es-ES_tradnl"/>
        </w:rPr>
        <w:t xml:space="preserve">, la expresión </w:t>
      </w:r>
      <w:r w:rsidR="00F1689D" w:rsidRPr="00A572F4">
        <w:rPr>
          <w:rFonts w:ascii="Arial" w:hAnsi="Arial" w:cs="Arial"/>
          <w:i/>
          <w:iCs/>
          <w:sz w:val="22"/>
          <w:szCs w:val="22"/>
        </w:rPr>
        <w:t>empate en el puntaje total</w:t>
      </w:r>
      <w:r w:rsidR="00F1689D" w:rsidRPr="00A572F4">
        <w:rPr>
          <w:rFonts w:ascii="Arial" w:hAnsi="Arial" w:cs="Arial"/>
          <w:sz w:val="22"/>
          <w:szCs w:val="22"/>
        </w:rPr>
        <w:t xml:space="preserve"> </w:t>
      </w:r>
      <w:r w:rsidR="00A832DB" w:rsidRPr="00A572F4">
        <w:rPr>
          <w:rFonts w:ascii="Arial" w:hAnsi="Arial" w:cs="Arial"/>
          <w:sz w:val="22"/>
          <w:szCs w:val="22"/>
        </w:rPr>
        <w:t xml:space="preserve">apunta a </w:t>
      </w:r>
      <w:r w:rsidR="005255D6" w:rsidRPr="00A572F4">
        <w:rPr>
          <w:rFonts w:ascii="Arial" w:hAnsi="Arial" w:cs="Arial"/>
          <w:sz w:val="22"/>
          <w:szCs w:val="22"/>
        </w:rPr>
        <w:t xml:space="preserve">las </w:t>
      </w:r>
      <w:r w:rsidR="00A832DB" w:rsidRPr="00A572F4">
        <w:rPr>
          <w:rFonts w:ascii="Arial" w:hAnsi="Arial" w:cs="Arial"/>
          <w:sz w:val="22"/>
          <w:szCs w:val="22"/>
        </w:rPr>
        <w:t xml:space="preserve">situaciones </w:t>
      </w:r>
      <w:r w:rsidR="002A0928" w:rsidRPr="00A572F4">
        <w:rPr>
          <w:rFonts w:ascii="Arial" w:hAnsi="Arial" w:cs="Arial"/>
          <w:sz w:val="22"/>
          <w:szCs w:val="22"/>
        </w:rPr>
        <w:t>en l</w:t>
      </w:r>
      <w:r w:rsidR="00E04D00" w:rsidRPr="00A572F4">
        <w:rPr>
          <w:rFonts w:ascii="Arial" w:hAnsi="Arial" w:cs="Arial"/>
          <w:sz w:val="22"/>
          <w:szCs w:val="22"/>
        </w:rPr>
        <w:t xml:space="preserve">a evaluación </w:t>
      </w:r>
      <w:r w:rsidR="008B1C27" w:rsidRPr="00A572F4">
        <w:rPr>
          <w:rFonts w:ascii="Arial" w:hAnsi="Arial" w:cs="Arial"/>
          <w:sz w:val="22"/>
          <w:szCs w:val="22"/>
        </w:rPr>
        <w:t>final</w:t>
      </w:r>
      <w:r w:rsidR="007D242C" w:rsidRPr="00A572F4">
        <w:rPr>
          <w:rFonts w:ascii="Arial" w:hAnsi="Arial" w:cs="Arial"/>
          <w:sz w:val="22"/>
          <w:szCs w:val="22"/>
        </w:rPr>
        <w:t xml:space="preserve"> de las ofertas</w:t>
      </w:r>
      <w:r w:rsidR="008B1C27" w:rsidRPr="00A572F4">
        <w:rPr>
          <w:rFonts w:ascii="Arial" w:hAnsi="Arial" w:cs="Arial"/>
          <w:sz w:val="22"/>
          <w:szCs w:val="22"/>
        </w:rPr>
        <w:t xml:space="preserve"> en las que</w:t>
      </w:r>
      <w:r w:rsidR="002A0928" w:rsidRPr="00A572F4">
        <w:rPr>
          <w:rFonts w:ascii="Arial" w:hAnsi="Arial" w:cs="Arial"/>
          <w:sz w:val="22"/>
          <w:szCs w:val="22"/>
        </w:rPr>
        <w:t>,</w:t>
      </w:r>
      <w:r w:rsidR="008B1C27" w:rsidRPr="00A572F4">
        <w:rPr>
          <w:rFonts w:ascii="Arial" w:hAnsi="Arial" w:cs="Arial"/>
          <w:sz w:val="22"/>
          <w:szCs w:val="22"/>
        </w:rPr>
        <w:t xml:space="preserve"> </w:t>
      </w:r>
      <w:r w:rsidR="00C113D8" w:rsidRPr="00A572F4">
        <w:rPr>
          <w:rFonts w:ascii="Arial" w:hAnsi="Arial" w:cs="Arial"/>
          <w:sz w:val="22"/>
          <w:szCs w:val="22"/>
        </w:rPr>
        <w:t>realizándose la</w:t>
      </w:r>
      <w:r w:rsidR="002A0928" w:rsidRPr="00A572F4">
        <w:rPr>
          <w:rFonts w:ascii="Arial" w:hAnsi="Arial" w:cs="Arial"/>
          <w:sz w:val="22"/>
          <w:szCs w:val="22"/>
        </w:rPr>
        <w:t xml:space="preserve"> comparación </w:t>
      </w:r>
      <w:r w:rsidR="00FA4168" w:rsidRPr="00A572F4">
        <w:rPr>
          <w:rFonts w:ascii="Arial" w:hAnsi="Arial" w:cs="Arial"/>
          <w:sz w:val="22"/>
          <w:szCs w:val="22"/>
        </w:rPr>
        <w:t>de acuerdo con</w:t>
      </w:r>
      <w:r w:rsidR="00672E16" w:rsidRPr="00A572F4">
        <w:rPr>
          <w:rFonts w:ascii="Arial" w:hAnsi="Arial" w:cs="Arial"/>
          <w:sz w:val="22"/>
          <w:szCs w:val="22"/>
        </w:rPr>
        <w:t xml:space="preserve"> </w:t>
      </w:r>
      <w:r w:rsidR="008B1C27" w:rsidRPr="00A572F4">
        <w:rPr>
          <w:rFonts w:ascii="Arial" w:hAnsi="Arial" w:cs="Arial"/>
          <w:sz w:val="22"/>
          <w:szCs w:val="22"/>
        </w:rPr>
        <w:t>los factores de calificación, evaluación</w:t>
      </w:r>
      <w:r w:rsidR="00665C4C" w:rsidRPr="00A572F4">
        <w:rPr>
          <w:rFonts w:ascii="Arial" w:hAnsi="Arial" w:cs="Arial"/>
          <w:sz w:val="22"/>
          <w:szCs w:val="22"/>
        </w:rPr>
        <w:t xml:space="preserve"> o</w:t>
      </w:r>
      <w:r w:rsidR="008B1C27" w:rsidRPr="00A572F4">
        <w:rPr>
          <w:rFonts w:ascii="Arial" w:hAnsi="Arial" w:cs="Arial"/>
          <w:sz w:val="22"/>
          <w:szCs w:val="22"/>
        </w:rPr>
        <w:t xml:space="preserve"> ponderación</w:t>
      </w:r>
      <w:r w:rsidR="00BA0A51" w:rsidRPr="00A572F4">
        <w:rPr>
          <w:rFonts w:ascii="Arial" w:hAnsi="Arial" w:cs="Arial"/>
          <w:sz w:val="22"/>
          <w:szCs w:val="22"/>
        </w:rPr>
        <w:t xml:space="preserve"> </w:t>
      </w:r>
      <w:r w:rsidR="00672E16" w:rsidRPr="00A572F4">
        <w:rPr>
          <w:rFonts w:ascii="Arial" w:hAnsi="Arial" w:cs="Arial"/>
          <w:sz w:val="22"/>
          <w:szCs w:val="22"/>
        </w:rPr>
        <w:t xml:space="preserve">aplicables al respectivo procedimiento, se presenta un empate entre </w:t>
      </w:r>
      <w:r w:rsidR="007E327F" w:rsidRPr="00A572F4">
        <w:rPr>
          <w:rFonts w:ascii="Arial" w:hAnsi="Arial" w:cs="Arial"/>
          <w:sz w:val="22"/>
          <w:szCs w:val="22"/>
        </w:rPr>
        <w:t xml:space="preserve">dos o más </w:t>
      </w:r>
      <w:r w:rsidR="00CD614A" w:rsidRPr="00A572F4">
        <w:rPr>
          <w:rFonts w:ascii="Arial" w:hAnsi="Arial" w:cs="Arial"/>
          <w:sz w:val="22"/>
          <w:szCs w:val="22"/>
        </w:rPr>
        <w:t>propuestas</w:t>
      </w:r>
      <w:r w:rsidR="000F045A" w:rsidRPr="00A572F4">
        <w:rPr>
          <w:rFonts w:ascii="Arial" w:hAnsi="Arial" w:cs="Arial"/>
          <w:sz w:val="22"/>
          <w:szCs w:val="22"/>
        </w:rPr>
        <w:t xml:space="preserve">. </w:t>
      </w:r>
    </w:p>
    <w:p w14:paraId="7E9C2098" w14:textId="340E9583" w:rsidR="005F5935" w:rsidRPr="00A572F4" w:rsidRDefault="008D15D4" w:rsidP="00EB2ED0">
      <w:pPr>
        <w:tabs>
          <w:tab w:val="left" w:pos="0"/>
        </w:tabs>
        <w:spacing w:after="120" w:line="276" w:lineRule="auto"/>
        <w:jc w:val="both"/>
        <w:rPr>
          <w:rFonts w:ascii="Arial" w:hAnsi="Arial" w:cs="Arial"/>
          <w:sz w:val="22"/>
          <w:szCs w:val="22"/>
        </w:rPr>
      </w:pPr>
      <w:r w:rsidRPr="00A572F4">
        <w:rPr>
          <w:rFonts w:ascii="Arial" w:hAnsi="Arial" w:cs="Arial"/>
          <w:sz w:val="22"/>
          <w:szCs w:val="22"/>
        </w:rPr>
        <w:tab/>
      </w:r>
      <w:r w:rsidR="006407A5" w:rsidRPr="00A572F4">
        <w:rPr>
          <w:rFonts w:ascii="Arial" w:hAnsi="Arial" w:cs="Arial"/>
          <w:sz w:val="22"/>
          <w:szCs w:val="22"/>
        </w:rPr>
        <w:t xml:space="preserve">En ese entendido, </w:t>
      </w:r>
      <w:r w:rsidR="007969E1" w:rsidRPr="00A572F4">
        <w:rPr>
          <w:rFonts w:ascii="Arial" w:hAnsi="Arial" w:cs="Arial"/>
          <w:sz w:val="22"/>
          <w:szCs w:val="22"/>
        </w:rPr>
        <w:t xml:space="preserve">con independencia </w:t>
      </w:r>
      <w:r w:rsidR="006407A5" w:rsidRPr="00A572F4">
        <w:rPr>
          <w:rFonts w:ascii="Arial" w:hAnsi="Arial" w:cs="Arial"/>
          <w:sz w:val="22"/>
          <w:szCs w:val="22"/>
        </w:rPr>
        <w:t>de que la ponderación emple</w:t>
      </w:r>
      <w:r w:rsidR="00BE2661" w:rsidRPr="00A572F4">
        <w:rPr>
          <w:rFonts w:ascii="Arial" w:hAnsi="Arial" w:cs="Arial"/>
          <w:sz w:val="22"/>
          <w:szCs w:val="22"/>
        </w:rPr>
        <w:t>e</w:t>
      </w:r>
      <w:r w:rsidR="00023A0B" w:rsidRPr="00A572F4">
        <w:rPr>
          <w:rFonts w:ascii="Arial" w:hAnsi="Arial" w:cs="Arial"/>
          <w:sz w:val="22"/>
          <w:szCs w:val="22"/>
        </w:rPr>
        <w:t xml:space="preserve"> </w:t>
      </w:r>
      <w:r w:rsidR="006407A5" w:rsidRPr="00A572F4">
        <w:rPr>
          <w:rFonts w:ascii="Arial" w:hAnsi="Arial" w:cs="Arial"/>
          <w:sz w:val="22"/>
          <w:szCs w:val="22"/>
        </w:rPr>
        <w:t>puntajes</w:t>
      </w:r>
      <w:r w:rsidR="00B24007" w:rsidRPr="00A572F4">
        <w:rPr>
          <w:rFonts w:ascii="Arial" w:hAnsi="Arial" w:cs="Arial"/>
          <w:sz w:val="22"/>
          <w:szCs w:val="22"/>
        </w:rPr>
        <w:t xml:space="preserve">, </w:t>
      </w:r>
      <w:r w:rsidR="006407A5" w:rsidRPr="00A572F4">
        <w:rPr>
          <w:rFonts w:ascii="Arial" w:hAnsi="Arial" w:cs="Arial"/>
          <w:sz w:val="22"/>
          <w:szCs w:val="22"/>
        </w:rPr>
        <w:t xml:space="preserve"> f</w:t>
      </w:r>
      <w:r w:rsidR="00B24007" w:rsidRPr="00A572F4">
        <w:rPr>
          <w:rFonts w:ascii="Arial" w:hAnsi="Arial" w:cs="Arial"/>
          <w:sz w:val="22"/>
          <w:szCs w:val="22"/>
        </w:rPr>
        <w:t>ó</w:t>
      </w:r>
      <w:r w:rsidR="006407A5" w:rsidRPr="00A572F4">
        <w:rPr>
          <w:rFonts w:ascii="Arial" w:hAnsi="Arial" w:cs="Arial"/>
          <w:sz w:val="22"/>
          <w:szCs w:val="22"/>
        </w:rPr>
        <w:t>rmulas</w:t>
      </w:r>
      <w:r w:rsidR="00023A0B" w:rsidRPr="00A572F4">
        <w:rPr>
          <w:rFonts w:ascii="Arial" w:hAnsi="Arial" w:cs="Arial"/>
          <w:sz w:val="22"/>
          <w:szCs w:val="22"/>
        </w:rPr>
        <w:t>,</w:t>
      </w:r>
      <w:r w:rsidR="00B24007" w:rsidRPr="00A572F4">
        <w:rPr>
          <w:rFonts w:ascii="Arial" w:hAnsi="Arial" w:cs="Arial"/>
          <w:sz w:val="22"/>
          <w:szCs w:val="22"/>
        </w:rPr>
        <w:t xml:space="preserve"> criterios de relación co</w:t>
      </w:r>
      <w:r w:rsidR="00D15727" w:rsidRPr="00A572F4">
        <w:rPr>
          <w:rFonts w:ascii="Arial" w:hAnsi="Arial" w:cs="Arial"/>
          <w:sz w:val="22"/>
          <w:szCs w:val="22"/>
        </w:rPr>
        <w:t>s</w:t>
      </w:r>
      <w:r w:rsidR="00B24007" w:rsidRPr="00A572F4">
        <w:rPr>
          <w:rFonts w:ascii="Arial" w:hAnsi="Arial" w:cs="Arial"/>
          <w:sz w:val="22"/>
          <w:szCs w:val="22"/>
        </w:rPr>
        <w:t>to – beneficio</w:t>
      </w:r>
      <w:r w:rsidR="00023A0B" w:rsidRPr="00A572F4">
        <w:rPr>
          <w:rFonts w:ascii="Arial" w:hAnsi="Arial" w:cs="Arial"/>
          <w:sz w:val="22"/>
          <w:szCs w:val="22"/>
        </w:rPr>
        <w:t xml:space="preserve"> o de que el único criterio de evaluación sea el menor precio, </w:t>
      </w:r>
      <w:r w:rsidR="008B36BE" w:rsidRPr="00A572F4">
        <w:rPr>
          <w:rFonts w:ascii="Arial" w:hAnsi="Arial" w:cs="Arial"/>
          <w:sz w:val="22"/>
          <w:szCs w:val="22"/>
        </w:rPr>
        <w:t xml:space="preserve">deben aplicarse los factores de desempate </w:t>
      </w:r>
      <w:r w:rsidR="00F22E8B" w:rsidRPr="00A572F4">
        <w:rPr>
          <w:rFonts w:ascii="Arial" w:hAnsi="Arial" w:cs="Arial"/>
          <w:sz w:val="22"/>
          <w:szCs w:val="22"/>
        </w:rPr>
        <w:t>d</w:t>
      </w:r>
      <w:r w:rsidR="00032C89" w:rsidRPr="00A572F4">
        <w:rPr>
          <w:rFonts w:ascii="Arial" w:hAnsi="Arial" w:cs="Arial"/>
          <w:sz w:val="22"/>
          <w:szCs w:val="22"/>
        </w:rPr>
        <w:t>el artículo 35 de la Ley 2069 de 2020</w:t>
      </w:r>
      <w:r w:rsidR="007969E1" w:rsidRPr="00A572F4">
        <w:rPr>
          <w:rFonts w:ascii="Arial" w:hAnsi="Arial" w:cs="Arial"/>
          <w:sz w:val="22"/>
          <w:szCs w:val="22"/>
        </w:rPr>
        <w:t xml:space="preserve"> </w:t>
      </w:r>
      <w:r w:rsidR="00071CFC" w:rsidRPr="00A572F4">
        <w:rPr>
          <w:rFonts w:ascii="Arial" w:hAnsi="Arial" w:cs="Arial"/>
          <w:sz w:val="22"/>
          <w:szCs w:val="22"/>
        </w:rPr>
        <w:t>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w:t>
      </w:r>
      <w:r w:rsidR="00032C89" w:rsidRPr="00A572F4">
        <w:rPr>
          <w:rFonts w:ascii="Arial" w:hAnsi="Arial" w:cs="Arial"/>
          <w:sz w:val="22"/>
          <w:szCs w:val="22"/>
        </w:rPr>
        <w:t>.</w:t>
      </w:r>
    </w:p>
    <w:bookmarkEnd w:id="13"/>
    <w:p w14:paraId="005DA4CA" w14:textId="1967B850" w:rsidR="000F6420" w:rsidRPr="00A572F4" w:rsidRDefault="00032C89" w:rsidP="00EB2ED0">
      <w:pPr>
        <w:tabs>
          <w:tab w:val="left" w:pos="0"/>
        </w:tabs>
        <w:spacing w:line="276" w:lineRule="auto"/>
        <w:jc w:val="both"/>
        <w:rPr>
          <w:rFonts w:ascii="Arial" w:eastAsia="Calibri" w:hAnsi="Arial" w:cs="Arial"/>
          <w:bCs/>
          <w:sz w:val="22"/>
          <w:lang w:val="es-ES_tradnl"/>
        </w:rPr>
      </w:pPr>
      <w:r w:rsidRPr="00A572F4">
        <w:rPr>
          <w:rFonts w:ascii="Arial" w:eastAsia="Calibri" w:hAnsi="Arial" w:cs="Arial"/>
          <w:bCs/>
          <w:sz w:val="22"/>
          <w:szCs w:val="22"/>
          <w:lang w:val="es-ES_tradnl"/>
        </w:rPr>
        <w:tab/>
      </w:r>
      <w:r w:rsidR="00D827B5" w:rsidRPr="00A572F4">
        <w:rPr>
          <w:rFonts w:ascii="Arial" w:eastAsia="Calibri" w:hAnsi="Arial" w:cs="Arial"/>
          <w:bCs/>
          <w:sz w:val="22"/>
          <w:szCs w:val="22"/>
          <w:lang w:val="es-ES_tradnl"/>
        </w:rPr>
        <w:t>Esta interpretación garantiza que el artículo 35 de la Ley 2069 de 2020</w:t>
      </w:r>
      <w:r w:rsidR="008453BA" w:rsidRPr="00A572F4">
        <w:rPr>
          <w:rFonts w:ascii="Arial" w:eastAsia="Calibri" w:hAnsi="Arial" w:cs="Arial"/>
          <w:bCs/>
          <w:sz w:val="22"/>
          <w:szCs w:val="22"/>
          <w:lang w:val="es-ES_tradnl"/>
        </w:rPr>
        <w:t xml:space="preserve"> cumpla la finalidad transversal con la que fue concebido,</w:t>
      </w:r>
      <w:r w:rsidR="006129AF" w:rsidRPr="00A572F4">
        <w:rPr>
          <w:rFonts w:ascii="Arial" w:eastAsia="Calibri" w:hAnsi="Arial" w:cs="Arial"/>
          <w:bCs/>
          <w:sz w:val="22"/>
          <w:szCs w:val="22"/>
          <w:lang w:val="es-ES_tradnl"/>
        </w:rPr>
        <w:t xml:space="preserve"> </w:t>
      </w:r>
      <w:r w:rsidR="005B6C2A" w:rsidRPr="00A572F4">
        <w:rPr>
          <w:rFonts w:ascii="Arial" w:eastAsia="Calibri" w:hAnsi="Arial" w:cs="Arial"/>
          <w:bCs/>
          <w:sz w:val="22"/>
          <w:szCs w:val="22"/>
          <w:lang w:val="es-ES_tradnl"/>
        </w:rPr>
        <w:t xml:space="preserve">a diferencia de </w:t>
      </w:r>
      <w:r w:rsidR="006129AF" w:rsidRPr="00A572F4">
        <w:rPr>
          <w:rFonts w:ascii="Arial" w:eastAsia="Calibri" w:hAnsi="Arial" w:cs="Arial"/>
          <w:bCs/>
          <w:sz w:val="22"/>
          <w:szCs w:val="22"/>
          <w:lang w:val="es-ES_tradnl"/>
        </w:rPr>
        <w:t>la interpretación literal del mismo, que priva a la nor</w:t>
      </w:r>
      <w:r w:rsidR="005945A4" w:rsidRPr="00A572F4">
        <w:rPr>
          <w:rFonts w:ascii="Arial" w:eastAsia="Calibri" w:hAnsi="Arial" w:cs="Arial"/>
          <w:bCs/>
          <w:sz w:val="22"/>
          <w:szCs w:val="22"/>
          <w:lang w:val="es-ES_tradnl"/>
        </w:rPr>
        <w:t xml:space="preserve">ma de una gran parte de su ámbito aplicación. En ese sentido, la interpretación sistemática </w:t>
      </w:r>
      <w:r w:rsidR="00071CFC" w:rsidRPr="00A572F4">
        <w:rPr>
          <w:rFonts w:ascii="Arial" w:eastAsia="Calibri" w:hAnsi="Arial" w:cs="Arial"/>
          <w:bCs/>
          <w:sz w:val="22"/>
          <w:szCs w:val="22"/>
          <w:lang w:val="es-ES_tradnl"/>
        </w:rPr>
        <w:t>está</w:t>
      </w:r>
      <w:r w:rsidR="00641B12" w:rsidRPr="00A572F4">
        <w:rPr>
          <w:rFonts w:ascii="Arial" w:eastAsia="Calibri" w:hAnsi="Arial" w:cs="Arial"/>
          <w:bCs/>
          <w:sz w:val="22"/>
          <w:szCs w:val="22"/>
          <w:lang w:val="es-ES_tradnl"/>
        </w:rPr>
        <w:t xml:space="preserve"> respalda</w:t>
      </w:r>
      <w:r w:rsidR="00C32A60" w:rsidRPr="00A572F4">
        <w:rPr>
          <w:rFonts w:ascii="Arial" w:eastAsia="Calibri" w:hAnsi="Arial" w:cs="Arial"/>
          <w:bCs/>
          <w:sz w:val="22"/>
          <w:szCs w:val="22"/>
          <w:lang w:val="es-ES_tradnl"/>
        </w:rPr>
        <w:t>da</w:t>
      </w:r>
      <w:r w:rsidR="00641B12" w:rsidRPr="00A572F4">
        <w:rPr>
          <w:rFonts w:ascii="Arial" w:eastAsia="Calibri" w:hAnsi="Arial" w:cs="Arial"/>
          <w:bCs/>
          <w:sz w:val="22"/>
          <w:szCs w:val="22"/>
          <w:lang w:val="es-ES_tradnl"/>
        </w:rPr>
        <w:t xml:space="preserve"> por </w:t>
      </w:r>
      <w:r w:rsidR="000F6787" w:rsidRPr="00A572F4">
        <w:rPr>
          <w:rFonts w:ascii="Arial" w:eastAsia="Calibri" w:hAnsi="Arial" w:cs="Arial"/>
          <w:bCs/>
          <w:sz w:val="22"/>
          <w:szCs w:val="22"/>
          <w:lang w:val="es-ES_tradnl"/>
        </w:rPr>
        <w:t xml:space="preserve">la aplicación del </w:t>
      </w:r>
      <w:r w:rsidR="00641B12" w:rsidRPr="00A572F4">
        <w:rPr>
          <w:rFonts w:ascii="Arial" w:eastAsia="Calibri" w:hAnsi="Arial" w:cs="Arial"/>
          <w:bCs/>
          <w:sz w:val="22"/>
          <w:szCs w:val="22"/>
          <w:lang w:val="es-ES_tradnl"/>
        </w:rPr>
        <w:t xml:space="preserve">principio </w:t>
      </w:r>
      <w:r w:rsidR="00C32A60" w:rsidRPr="00A572F4">
        <w:rPr>
          <w:rFonts w:ascii="Arial" w:eastAsia="Calibri" w:hAnsi="Arial" w:cs="Arial"/>
          <w:bCs/>
          <w:sz w:val="22"/>
          <w:szCs w:val="22"/>
          <w:lang w:val="es-ES_tradnl"/>
        </w:rPr>
        <w:t xml:space="preserve">hermenéutico </w:t>
      </w:r>
      <w:r w:rsidR="00641B12" w:rsidRPr="00A572F4">
        <w:rPr>
          <w:rFonts w:ascii="Arial" w:eastAsia="Calibri" w:hAnsi="Arial" w:cs="Arial"/>
          <w:bCs/>
          <w:sz w:val="22"/>
          <w:szCs w:val="22"/>
          <w:lang w:val="es-ES_tradnl"/>
        </w:rPr>
        <w:t>del</w:t>
      </w:r>
      <w:r w:rsidR="009E6BA8" w:rsidRPr="00A572F4">
        <w:rPr>
          <w:rFonts w:ascii="Arial" w:eastAsia="Calibri" w:hAnsi="Arial" w:cs="Arial"/>
          <w:bCs/>
          <w:i/>
          <w:iCs/>
          <w:sz w:val="22"/>
          <w:szCs w:val="22"/>
          <w:lang w:val="es-ES_tradnl"/>
        </w:rPr>
        <w:t xml:space="preserve"> efecto útil de las normas</w:t>
      </w:r>
      <w:r w:rsidR="009E6BA8" w:rsidRPr="00A572F4">
        <w:rPr>
          <w:rStyle w:val="Refdenotaalpie"/>
          <w:rFonts w:ascii="Arial" w:eastAsiaTheme="minorHAnsi" w:hAnsi="Arial" w:cs="Arial"/>
          <w:sz w:val="22"/>
          <w:szCs w:val="22"/>
          <w:lang w:eastAsia="en-US"/>
        </w:rPr>
        <w:footnoteReference w:id="29"/>
      </w:r>
      <w:r w:rsidR="009E6BA8" w:rsidRPr="00A572F4">
        <w:rPr>
          <w:rFonts w:ascii="Arial" w:eastAsiaTheme="minorHAnsi" w:hAnsi="Arial" w:cs="Arial"/>
          <w:sz w:val="22"/>
          <w:szCs w:val="22"/>
          <w:lang w:eastAsia="en-US"/>
        </w:rPr>
        <w:t>.</w:t>
      </w:r>
      <w:r w:rsidR="001419D7" w:rsidRPr="00A572F4">
        <w:rPr>
          <w:rFonts w:ascii="Arial" w:eastAsia="Calibri" w:hAnsi="Arial" w:cs="Arial"/>
          <w:b/>
          <w:sz w:val="22"/>
          <w:lang w:val="es-ES_tradnl"/>
        </w:rPr>
        <w:t xml:space="preserve"> </w:t>
      </w:r>
      <w:r w:rsidR="00BA5D36" w:rsidRPr="00A572F4">
        <w:rPr>
          <w:rFonts w:ascii="Arial" w:eastAsia="Calibri" w:hAnsi="Arial" w:cs="Arial"/>
          <w:bCs/>
          <w:sz w:val="22"/>
          <w:lang w:val="es-ES_tradnl"/>
        </w:rPr>
        <w:t>Por tanto</w:t>
      </w:r>
      <w:r w:rsidR="009E788D" w:rsidRPr="00A572F4">
        <w:rPr>
          <w:rFonts w:ascii="Arial" w:eastAsia="Calibri" w:hAnsi="Arial" w:cs="Arial"/>
          <w:bCs/>
          <w:sz w:val="22"/>
          <w:lang w:val="es-ES_tradnl"/>
        </w:rPr>
        <w:t>,</w:t>
      </w:r>
      <w:r w:rsidR="00B80F98" w:rsidRPr="00A572F4">
        <w:rPr>
          <w:rFonts w:ascii="Arial" w:eastAsia="Calibri" w:hAnsi="Arial" w:cs="Arial"/>
          <w:bCs/>
          <w:sz w:val="22"/>
          <w:lang w:val="es-ES_tradnl"/>
        </w:rPr>
        <w:t xml:space="preserve"> </w:t>
      </w:r>
      <w:r w:rsidR="005B6C2A" w:rsidRPr="00A572F4">
        <w:rPr>
          <w:rFonts w:ascii="Arial" w:eastAsia="Calibri" w:hAnsi="Arial" w:cs="Arial"/>
          <w:bCs/>
          <w:sz w:val="22"/>
          <w:lang w:val="es-ES_tradnl"/>
        </w:rPr>
        <w:t>los fac</w:t>
      </w:r>
      <w:r w:rsidR="00037510" w:rsidRPr="00A572F4">
        <w:rPr>
          <w:rFonts w:ascii="Arial" w:eastAsia="Calibri" w:hAnsi="Arial" w:cs="Arial"/>
          <w:bCs/>
          <w:sz w:val="22"/>
          <w:lang w:val="es-ES_tradnl"/>
        </w:rPr>
        <w:t xml:space="preserve">tores de desempate </w:t>
      </w:r>
      <w:r w:rsidR="001419D7" w:rsidRPr="00A572F4">
        <w:rPr>
          <w:rFonts w:ascii="Arial" w:eastAsia="Calibri" w:hAnsi="Arial" w:cs="Arial"/>
          <w:bCs/>
          <w:sz w:val="22"/>
          <w:lang w:val="es-ES_tradnl"/>
        </w:rPr>
        <w:t>de la Ley de Emprendimiento aplican</w:t>
      </w:r>
      <w:r w:rsidR="00037510" w:rsidRPr="00A572F4">
        <w:rPr>
          <w:rFonts w:ascii="Arial" w:eastAsia="Calibri" w:hAnsi="Arial" w:cs="Arial"/>
          <w:bCs/>
          <w:sz w:val="22"/>
          <w:lang w:val="es-ES_tradnl"/>
        </w:rPr>
        <w:t xml:space="preserve"> </w:t>
      </w:r>
      <w:r w:rsidR="00BD3EC3" w:rsidRPr="00A572F4">
        <w:rPr>
          <w:rFonts w:ascii="Arial" w:eastAsia="Calibri" w:hAnsi="Arial" w:cs="Arial"/>
          <w:bCs/>
          <w:sz w:val="22"/>
          <w:lang w:val="es-ES_tradnl"/>
        </w:rPr>
        <w:t>a todos los procesos de selección de las entidades estatales</w:t>
      </w:r>
      <w:r w:rsidR="00147FCE" w:rsidRPr="00A572F4">
        <w:rPr>
          <w:rFonts w:ascii="Arial" w:eastAsia="Calibri" w:hAnsi="Arial" w:cs="Arial"/>
          <w:bCs/>
          <w:sz w:val="22"/>
          <w:lang w:val="es-ES_tradnl"/>
        </w:rPr>
        <w:t xml:space="preserve"> </w:t>
      </w:r>
      <w:r w:rsidR="00B76E53" w:rsidRPr="00A572F4">
        <w:rPr>
          <w:rFonts w:ascii="Arial" w:eastAsia="Calibri" w:hAnsi="Arial" w:cs="Arial"/>
          <w:bCs/>
          <w:sz w:val="22"/>
          <w:lang w:val="es-ES_tradnl"/>
        </w:rPr>
        <w:t xml:space="preserve">sin importar su régimen </w:t>
      </w:r>
      <w:r w:rsidR="00FA4408" w:rsidRPr="00A572F4">
        <w:rPr>
          <w:rFonts w:ascii="Arial" w:eastAsia="Calibri" w:hAnsi="Arial" w:cs="Arial"/>
          <w:bCs/>
          <w:sz w:val="22"/>
          <w:lang w:val="es-ES_tradnl"/>
        </w:rPr>
        <w:t>contractual</w:t>
      </w:r>
      <w:r w:rsidR="00BD3EC3" w:rsidRPr="00A572F4">
        <w:rPr>
          <w:rFonts w:ascii="Arial" w:eastAsia="Calibri" w:hAnsi="Arial" w:cs="Arial"/>
          <w:bCs/>
          <w:sz w:val="22"/>
          <w:lang w:val="es-ES_tradnl"/>
        </w:rPr>
        <w:t xml:space="preserve">, en los que </w:t>
      </w:r>
      <w:r w:rsidR="00B77271" w:rsidRPr="00A572F4">
        <w:rPr>
          <w:rFonts w:ascii="Arial" w:eastAsia="Calibri" w:hAnsi="Arial" w:cs="Arial"/>
          <w:bCs/>
          <w:sz w:val="22"/>
          <w:lang w:val="es-ES_tradnl"/>
        </w:rPr>
        <w:t xml:space="preserve">se </w:t>
      </w:r>
      <w:r w:rsidR="00BD3EC3" w:rsidRPr="00A572F4">
        <w:rPr>
          <w:rFonts w:ascii="Arial" w:eastAsia="Calibri" w:hAnsi="Arial" w:cs="Arial"/>
          <w:bCs/>
          <w:sz w:val="22"/>
          <w:lang w:val="es-ES_tradnl"/>
        </w:rPr>
        <w:t>present</w:t>
      </w:r>
      <w:r w:rsidR="00B77271" w:rsidRPr="00A572F4">
        <w:rPr>
          <w:rFonts w:ascii="Arial" w:eastAsia="Calibri" w:hAnsi="Arial" w:cs="Arial"/>
          <w:bCs/>
          <w:sz w:val="22"/>
          <w:lang w:val="es-ES_tradnl"/>
        </w:rPr>
        <w:t>e</w:t>
      </w:r>
      <w:r w:rsidR="00BD3EC3" w:rsidRPr="00A572F4">
        <w:rPr>
          <w:rFonts w:ascii="Arial" w:eastAsia="Calibri" w:hAnsi="Arial" w:cs="Arial"/>
          <w:bCs/>
          <w:sz w:val="22"/>
          <w:lang w:val="es-ES_tradnl"/>
        </w:rPr>
        <w:t xml:space="preserve"> </w:t>
      </w:r>
      <w:r w:rsidR="00151CD6" w:rsidRPr="00A572F4">
        <w:rPr>
          <w:rFonts w:ascii="Arial" w:eastAsia="Calibri" w:hAnsi="Arial" w:cs="Arial"/>
          <w:bCs/>
          <w:sz w:val="22"/>
          <w:lang w:val="es-ES_tradnl"/>
        </w:rPr>
        <w:t>esta situación</w:t>
      </w:r>
      <w:r w:rsidR="00BD3EC3" w:rsidRPr="00A572F4">
        <w:rPr>
          <w:rFonts w:ascii="Arial" w:eastAsia="Calibri" w:hAnsi="Arial" w:cs="Arial"/>
          <w:bCs/>
          <w:sz w:val="22"/>
          <w:lang w:val="es-ES_tradnl"/>
        </w:rPr>
        <w:t xml:space="preserve"> </w:t>
      </w:r>
      <w:r w:rsidR="00147FCE" w:rsidRPr="00A572F4">
        <w:rPr>
          <w:rFonts w:ascii="Arial" w:eastAsia="Calibri" w:hAnsi="Arial" w:cs="Arial"/>
          <w:bCs/>
          <w:sz w:val="22"/>
          <w:lang w:val="es-ES_tradnl"/>
        </w:rPr>
        <w:t>entre varias ofertas</w:t>
      </w:r>
      <w:r w:rsidR="009D3D06" w:rsidRPr="00A572F4">
        <w:rPr>
          <w:rFonts w:ascii="Arial" w:eastAsia="Calibri" w:hAnsi="Arial" w:cs="Arial"/>
          <w:bCs/>
          <w:sz w:val="22"/>
          <w:lang w:val="es-ES_tradnl"/>
        </w:rPr>
        <w:t xml:space="preserve">, una vez comparadas las mismas ponderando los factores de evaluación </w:t>
      </w:r>
      <w:r w:rsidR="00B076C1" w:rsidRPr="00A572F4">
        <w:rPr>
          <w:rFonts w:ascii="Arial" w:eastAsia="Calibri" w:hAnsi="Arial" w:cs="Arial"/>
          <w:bCs/>
          <w:sz w:val="22"/>
          <w:lang w:val="es-ES_tradnl"/>
        </w:rPr>
        <w:t xml:space="preserve">de acuerdo con </w:t>
      </w:r>
      <w:r w:rsidR="009D3D06" w:rsidRPr="00A572F4">
        <w:rPr>
          <w:rFonts w:ascii="Arial" w:eastAsia="Calibri" w:hAnsi="Arial" w:cs="Arial"/>
          <w:bCs/>
          <w:sz w:val="22"/>
          <w:lang w:val="es-ES_tradnl"/>
        </w:rPr>
        <w:t>las reglas establecidas en el pliego de condiciones</w:t>
      </w:r>
      <w:r w:rsidR="00151CD6" w:rsidRPr="00A572F4">
        <w:rPr>
          <w:rFonts w:ascii="Arial" w:eastAsia="Calibri" w:hAnsi="Arial" w:cs="Arial"/>
          <w:bCs/>
          <w:sz w:val="22"/>
          <w:lang w:val="es-ES_tradnl"/>
        </w:rPr>
        <w:t xml:space="preserve"> o documento equivalente</w:t>
      </w:r>
      <w:r w:rsidR="002530E2" w:rsidRPr="00A572F4">
        <w:rPr>
          <w:rFonts w:ascii="Arial" w:eastAsia="Calibri" w:hAnsi="Arial" w:cs="Arial"/>
          <w:bCs/>
          <w:sz w:val="22"/>
          <w:lang w:val="es-ES_tradnl"/>
        </w:rPr>
        <w:t>.</w:t>
      </w:r>
      <w:r w:rsidR="00F82421" w:rsidRPr="00A572F4">
        <w:rPr>
          <w:rFonts w:ascii="Arial" w:eastAsia="Calibri" w:hAnsi="Arial" w:cs="Arial"/>
          <w:bCs/>
          <w:sz w:val="22"/>
          <w:lang w:val="es-ES_tradnl"/>
        </w:rPr>
        <w:t xml:space="preserve"> Bajo este criterio</w:t>
      </w:r>
      <w:r w:rsidR="00151CD6" w:rsidRPr="00A572F4">
        <w:rPr>
          <w:rFonts w:ascii="Arial" w:eastAsia="Calibri" w:hAnsi="Arial" w:cs="Arial"/>
          <w:bCs/>
          <w:sz w:val="22"/>
          <w:lang w:val="es-ES_tradnl"/>
        </w:rPr>
        <w:t>, l</w:t>
      </w:r>
      <w:r w:rsidR="001419D7" w:rsidRPr="00A572F4">
        <w:rPr>
          <w:rFonts w:ascii="Arial" w:eastAsia="Calibri" w:hAnsi="Arial" w:cs="Arial"/>
          <w:bCs/>
          <w:sz w:val="22"/>
          <w:lang w:val="es-ES_tradnl"/>
        </w:rPr>
        <w:t>a norma</w:t>
      </w:r>
      <w:r w:rsidR="00FA4408" w:rsidRPr="00A572F4">
        <w:rPr>
          <w:rFonts w:ascii="Arial" w:eastAsia="Calibri" w:hAnsi="Arial" w:cs="Arial"/>
          <w:bCs/>
          <w:sz w:val="22"/>
          <w:lang w:val="es-ES_tradnl"/>
        </w:rPr>
        <w:t xml:space="preserve"> citada se extiende al</w:t>
      </w:r>
      <w:r w:rsidR="00DA565E" w:rsidRPr="00A572F4">
        <w:rPr>
          <w:rFonts w:ascii="Arial" w:eastAsia="Calibri" w:hAnsi="Arial" w:cs="Arial"/>
          <w:bCs/>
          <w:sz w:val="22"/>
          <w:lang w:val="es-ES_tradnl"/>
        </w:rPr>
        <w:t xml:space="preserve"> mecanismo de subasta inversa, así como al</w:t>
      </w:r>
      <w:r w:rsidR="00FA4408" w:rsidRPr="00A572F4">
        <w:rPr>
          <w:rFonts w:ascii="Arial" w:eastAsia="Calibri" w:hAnsi="Arial" w:cs="Arial"/>
          <w:bCs/>
          <w:sz w:val="22"/>
          <w:lang w:val="es-ES_tradnl"/>
        </w:rPr>
        <w:t xml:space="preserve"> procedimiento de mínima cuantía</w:t>
      </w:r>
      <w:r w:rsidR="00CD7B8B" w:rsidRPr="00A572F4">
        <w:rPr>
          <w:rFonts w:ascii="Arial" w:eastAsia="Calibri" w:hAnsi="Arial" w:cs="Arial"/>
          <w:bCs/>
          <w:sz w:val="22"/>
          <w:lang w:val="es-ES_tradnl"/>
        </w:rPr>
        <w:t>,</w:t>
      </w:r>
      <w:r w:rsidR="00FA4408" w:rsidRPr="00A572F4">
        <w:rPr>
          <w:rFonts w:ascii="Arial" w:eastAsia="Calibri" w:hAnsi="Arial" w:cs="Arial"/>
          <w:bCs/>
          <w:sz w:val="22"/>
          <w:lang w:val="es-ES_tradnl"/>
        </w:rPr>
        <w:t xml:space="preserve"> </w:t>
      </w:r>
      <w:r w:rsidR="00F82421" w:rsidRPr="00A572F4">
        <w:rPr>
          <w:rFonts w:ascii="Arial" w:eastAsia="Calibri" w:hAnsi="Arial" w:cs="Arial"/>
          <w:bCs/>
          <w:sz w:val="22"/>
          <w:lang w:val="es-ES_tradnl"/>
        </w:rPr>
        <w:t xml:space="preserve">por lo que </w:t>
      </w:r>
      <w:r w:rsidR="002012BE" w:rsidRPr="00A572F4">
        <w:rPr>
          <w:rFonts w:ascii="Arial" w:eastAsia="Calibri" w:hAnsi="Arial" w:cs="Arial"/>
          <w:bCs/>
          <w:sz w:val="22"/>
          <w:lang w:val="es-ES_tradnl"/>
        </w:rPr>
        <w:t xml:space="preserve">han perdido vigencia </w:t>
      </w:r>
      <w:r w:rsidR="00DA565E" w:rsidRPr="00A572F4">
        <w:rPr>
          <w:rFonts w:ascii="Arial" w:eastAsia="Calibri" w:hAnsi="Arial" w:cs="Arial"/>
          <w:bCs/>
          <w:sz w:val="22"/>
          <w:lang w:val="es-ES_tradnl"/>
        </w:rPr>
        <w:t>los numerales 9 del artículo</w:t>
      </w:r>
      <w:r w:rsidR="00CD7B8B" w:rsidRPr="00A572F4">
        <w:rPr>
          <w:rFonts w:ascii="Arial" w:eastAsia="Calibri" w:hAnsi="Arial" w:cs="Arial"/>
          <w:bCs/>
          <w:sz w:val="22"/>
          <w:lang w:val="es-ES_tradnl"/>
        </w:rPr>
        <w:t xml:space="preserve"> </w:t>
      </w:r>
      <w:r w:rsidR="00DA565E" w:rsidRPr="00A572F4">
        <w:rPr>
          <w:rFonts w:ascii="Arial" w:eastAsia="Calibri" w:hAnsi="Arial" w:cs="Arial"/>
          <w:sz w:val="22"/>
          <w:szCs w:val="22"/>
          <w:lang w:val="es-ES_tradnl"/>
        </w:rPr>
        <w:t xml:space="preserve">2.2.1.2.1.2.2 y </w:t>
      </w:r>
      <w:r w:rsidR="00CD7B8B" w:rsidRPr="00A572F4">
        <w:rPr>
          <w:rFonts w:ascii="Arial" w:eastAsia="Calibri" w:hAnsi="Arial" w:cs="Arial"/>
          <w:bCs/>
          <w:sz w:val="22"/>
          <w:lang w:val="es-ES_tradnl"/>
        </w:rPr>
        <w:t>7 del artículo 2.2.1.2.1.5.2 del Decreto 1082 de 2015.</w:t>
      </w:r>
      <w:r w:rsidR="00F82421" w:rsidRPr="00A572F4">
        <w:rPr>
          <w:rFonts w:ascii="Arial" w:eastAsia="Calibri" w:hAnsi="Arial" w:cs="Arial"/>
          <w:bCs/>
          <w:sz w:val="22"/>
          <w:lang w:val="es-ES_tradnl"/>
        </w:rPr>
        <w:t xml:space="preserve"> </w:t>
      </w:r>
      <w:r w:rsidR="001419D7" w:rsidRPr="00A572F4">
        <w:rPr>
          <w:rFonts w:ascii="Arial" w:eastAsia="Calibri" w:hAnsi="Arial" w:cs="Arial"/>
          <w:bCs/>
          <w:sz w:val="22"/>
          <w:lang w:val="es-ES_tradnl"/>
        </w:rPr>
        <w:t xml:space="preserve"> </w:t>
      </w:r>
      <w:r w:rsidR="002530E2" w:rsidRPr="00A572F4">
        <w:rPr>
          <w:rFonts w:ascii="Arial" w:eastAsia="Calibri" w:hAnsi="Arial" w:cs="Arial"/>
          <w:bCs/>
          <w:sz w:val="22"/>
          <w:lang w:val="es-ES_tradnl"/>
        </w:rPr>
        <w:t xml:space="preserve"> </w:t>
      </w:r>
    </w:p>
    <w:p w14:paraId="10DEB5EA" w14:textId="77777777" w:rsidR="00681C78" w:rsidRPr="00A572F4" w:rsidRDefault="00681C78" w:rsidP="00EB2ED0">
      <w:pPr>
        <w:tabs>
          <w:tab w:val="left" w:pos="0"/>
        </w:tabs>
        <w:jc w:val="both"/>
        <w:rPr>
          <w:rFonts w:ascii="Arial" w:eastAsia="Calibri" w:hAnsi="Arial" w:cs="Arial"/>
          <w:b/>
          <w:sz w:val="22"/>
          <w:lang w:val="es-ES_tradnl"/>
        </w:rPr>
      </w:pPr>
    </w:p>
    <w:p w14:paraId="37CA9805" w14:textId="122A5ECE" w:rsidR="00DD5B04" w:rsidRPr="00A572F4" w:rsidRDefault="004177A6" w:rsidP="00EB2ED0">
      <w:pPr>
        <w:tabs>
          <w:tab w:val="left" w:pos="0"/>
        </w:tabs>
        <w:jc w:val="both"/>
        <w:rPr>
          <w:rFonts w:ascii="Arial" w:eastAsia="Calibri" w:hAnsi="Arial" w:cs="Arial"/>
          <w:b/>
          <w:sz w:val="22"/>
          <w:lang w:val="es-ES_tradnl"/>
        </w:rPr>
      </w:pPr>
      <w:r w:rsidRPr="00A572F4">
        <w:rPr>
          <w:rFonts w:ascii="Arial" w:eastAsia="Calibri" w:hAnsi="Arial" w:cs="Arial"/>
          <w:b/>
          <w:sz w:val="22"/>
          <w:lang w:val="es-ES_tradnl"/>
        </w:rPr>
        <w:t>3</w:t>
      </w:r>
      <w:r w:rsidR="00B011A9" w:rsidRPr="00A572F4">
        <w:rPr>
          <w:rFonts w:ascii="Arial" w:eastAsia="Calibri" w:hAnsi="Arial" w:cs="Arial"/>
          <w:b/>
          <w:sz w:val="22"/>
          <w:lang w:val="es-ES_tradnl"/>
        </w:rPr>
        <w:t xml:space="preserve">. </w:t>
      </w:r>
      <w:r w:rsidR="00DD5B04" w:rsidRPr="00A572F4">
        <w:rPr>
          <w:rFonts w:ascii="Arial" w:eastAsia="Calibri" w:hAnsi="Arial" w:cs="Arial"/>
          <w:b/>
          <w:sz w:val="22"/>
          <w:lang w:val="es-ES_tradnl"/>
        </w:rPr>
        <w:t>Respuesta</w:t>
      </w:r>
      <w:r w:rsidR="002A7D84" w:rsidRPr="00A572F4">
        <w:rPr>
          <w:rFonts w:ascii="Arial" w:eastAsia="Calibri" w:hAnsi="Arial" w:cs="Arial"/>
          <w:b/>
          <w:sz w:val="22"/>
          <w:lang w:val="es-ES_tradnl"/>
        </w:rPr>
        <w:t>s</w:t>
      </w:r>
    </w:p>
    <w:p w14:paraId="12DCA9F3" w14:textId="77777777" w:rsidR="004B25D8" w:rsidRPr="00A572F4" w:rsidRDefault="004B25D8" w:rsidP="00EB2ED0">
      <w:pPr>
        <w:ind w:right="709"/>
        <w:jc w:val="both"/>
        <w:rPr>
          <w:rFonts w:ascii="Arial" w:hAnsi="Arial" w:cs="Arial"/>
          <w:sz w:val="21"/>
          <w:szCs w:val="21"/>
          <w:lang w:val="es-ES_tradnl"/>
        </w:rPr>
      </w:pPr>
    </w:p>
    <w:p w14:paraId="280E4002" w14:textId="3B16A3D0" w:rsidR="002638F4" w:rsidRPr="00940DBD" w:rsidRDefault="002638F4" w:rsidP="002638F4">
      <w:pPr>
        <w:pStyle w:val="Default"/>
        <w:ind w:left="709" w:right="709"/>
        <w:jc w:val="both"/>
        <w:rPr>
          <w:color w:val="auto"/>
          <w:sz w:val="21"/>
          <w:szCs w:val="21"/>
        </w:rPr>
      </w:pPr>
      <w:r w:rsidRPr="00A572F4">
        <w:rPr>
          <w:color w:val="auto"/>
          <w:sz w:val="21"/>
          <w:szCs w:val="21"/>
          <w:lang w:val="es-ES_tradnl"/>
        </w:rPr>
        <w:t>«[…]</w:t>
      </w:r>
      <w:r w:rsidRPr="00A572F4">
        <w:rPr>
          <w:color w:val="auto"/>
          <w:sz w:val="21"/>
          <w:szCs w:val="21"/>
        </w:rPr>
        <w:t xml:space="preserve"> </w:t>
      </w:r>
      <w:r w:rsidRPr="00940DBD">
        <w:rPr>
          <w:color w:val="auto"/>
          <w:sz w:val="21"/>
          <w:szCs w:val="21"/>
        </w:rPr>
        <w:t xml:space="preserve">1. Tratándose de procesos en los cuales por su naturaleza son susceptibles de ser limitados a </w:t>
      </w:r>
      <w:proofErr w:type="spellStart"/>
      <w:r w:rsidRPr="00940DBD">
        <w:rPr>
          <w:color w:val="auto"/>
          <w:sz w:val="21"/>
          <w:szCs w:val="21"/>
        </w:rPr>
        <w:t>Mipymes</w:t>
      </w:r>
      <w:proofErr w:type="spellEnd"/>
      <w:r w:rsidRPr="00940DBD">
        <w:rPr>
          <w:color w:val="auto"/>
          <w:sz w:val="21"/>
          <w:szCs w:val="21"/>
        </w:rPr>
        <w:t xml:space="preserve"> y de acuerdo a la cuantía de la contratación establecida por el Ministerio de Comercio </w:t>
      </w:r>
      <w:proofErr w:type="gramStart"/>
      <w:r w:rsidRPr="00940DBD">
        <w:rPr>
          <w:color w:val="auto"/>
          <w:sz w:val="21"/>
          <w:szCs w:val="21"/>
        </w:rPr>
        <w:t>¿Se debe aplicar lo dispuesto en el artículo 2</w:t>
      </w:r>
      <w:r w:rsidR="0050459C">
        <w:rPr>
          <w:color w:val="auto"/>
          <w:sz w:val="21"/>
          <w:szCs w:val="21"/>
        </w:rPr>
        <w:t>.</w:t>
      </w:r>
      <w:proofErr w:type="gramEnd"/>
      <w:r w:rsidRPr="00940DBD">
        <w:rPr>
          <w:color w:val="auto"/>
          <w:sz w:val="21"/>
          <w:szCs w:val="21"/>
        </w:rPr>
        <w:t xml:space="preserve">2.1.2.4.2.2. del Decreto 1082 del 2015, o a lo dispuesto por la ley 2069 del 2020? </w:t>
      </w:r>
      <w:proofErr w:type="gramStart"/>
      <w:r w:rsidRPr="00940DBD">
        <w:rPr>
          <w:color w:val="auto"/>
          <w:sz w:val="21"/>
          <w:szCs w:val="21"/>
        </w:rPr>
        <w:t>¿Qué sucede con la vigencia del artículo 2.</w:t>
      </w:r>
      <w:proofErr w:type="gramEnd"/>
      <w:r w:rsidRPr="00940DBD">
        <w:rPr>
          <w:color w:val="auto"/>
          <w:sz w:val="21"/>
          <w:szCs w:val="21"/>
        </w:rPr>
        <w:t xml:space="preserve">2.1.2.4.2.2. del Decreto 1082 de 2015? </w:t>
      </w:r>
      <w:r w:rsidRPr="00A572F4">
        <w:rPr>
          <w:color w:val="auto"/>
          <w:sz w:val="21"/>
          <w:szCs w:val="21"/>
        </w:rPr>
        <w:t>[…]»</w:t>
      </w:r>
      <w:r w:rsidR="0050459C">
        <w:rPr>
          <w:color w:val="auto"/>
          <w:sz w:val="21"/>
          <w:szCs w:val="21"/>
        </w:rPr>
        <w:t>.</w:t>
      </w:r>
    </w:p>
    <w:p w14:paraId="5185BA93" w14:textId="12538BAC" w:rsidR="002638F4" w:rsidRPr="00A572F4" w:rsidRDefault="002638F4" w:rsidP="00EB2ED0">
      <w:pPr>
        <w:spacing w:line="276" w:lineRule="auto"/>
        <w:ind w:left="709" w:right="709"/>
        <w:jc w:val="both"/>
        <w:rPr>
          <w:rFonts w:ascii="Arial" w:hAnsi="Arial" w:cs="Arial"/>
          <w:sz w:val="22"/>
          <w:szCs w:val="22"/>
          <w:lang w:val="es-ES_tradnl"/>
        </w:rPr>
      </w:pPr>
    </w:p>
    <w:p w14:paraId="1B1098C0" w14:textId="219E678D" w:rsidR="002638F4" w:rsidRPr="00A572F4" w:rsidRDefault="002638F4" w:rsidP="00963A67">
      <w:pPr>
        <w:spacing w:line="276" w:lineRule="auto"/>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De las consideraciones </w:t>
      </w:r>
      <w:r w:rsidR="00301BB8">
        <w:rPr>
          <w:rFonts w:ascii="Arial" w:eastAsia="Calibri" w:hAnsi="Arial" w:cs="Arial"/>
          <w:sz w:val="22"/>
          <w:szCs w:val="22"/>
          <w:lang w:val="es-ES_tradnl"/>
        </w:rPr>
        <w:t>anteriores</w:t>
      </w:r>
      <w:r w:rsidRPr="00A572F4">
        <w:rPr>
          <w:rFonts w:ascii="Arial" w:eastAsia="Calibri" w:hAnsi="Arial" w:cs="Arial"/>
          <w:sz w:val="22"/>
          <w:szCs w:val="22"/>
          <w:lang w:val="es-ES_tradnl"/>
        </w:rPr>
        <w:t xml:space="preserve">, puede concluirse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debe aplicarse la consecuencia jurídica prevista en el artículo 84 de la Ley 2069 de 2020, según la cual </w:t>
      </w:r>
      <w:proofErr w:type="spellStart"/>
      <w:r w:rsidRPr="00A572F4">
        <w:rPr>
          <w:rFonts w:ascii="Arial" w:eastAsia="Calibri" w:hAnsi="Arial" w:cs="Arial"/>
          <w:sz w:val="22"/>
          <w:szCs w:val="22"/>
          <w:lang w:val="es-ES_tradnl"/>
        </w:rPr>
        <w:t>esta</w:t>
      </w:r>
      <w:proofErr w:type="spellEnd"/>
      <w:r w:rsidRPr="00A572F4">
        <w:rPr>
          <w:rFonts w:ascii="Arial" w:eastAsia="Calibri" w:hAnsi="Arial" w:cs="Arial"/>
          <w:sz w:val="22"/>
          <w:szCs w:val="22"/>
          <w:lang w:val="es-ES_tradnl"/>
        </w:rPr>
        <w:t xml:space="preserve"> «deroga […] todas las disposiciones que le sean contrarias». Por ello, puede afirmarse que, además del decaimiento del artículo 2.2.1.2.4.2.2. del Decreto 1082 de 2015, debe entenderse derogado.</w:t>
      </w:r>
    </w:p>
    <w:p w14:paraId="66C0C2C2" w14:textId="34E21488" w:rsidR="002638F4" w:rsidRPr="00A572F4" w:rsidRDefault="002638F4" w:rsidP="002638F4">
      <w:pPr>
        <w:spacing w:before="120" w:line="276" w:lineRule="auto"/>
        <w:ind w:firstLine="709"/>
        <w:jc w:val="both"/>
        <w:rPr>
          <w:rFonts w:ascii="Arial" w:eastAsia="Calibri" w:hAnsi="Arial" w:cs="Arial"/>
          <w:sz w:val="22"/>
          <w:szCs w:val="22"/>
          <w:lang w:val="es-ES_tradnl"/>
        </w:rPr>
      </w:pPr>
      <w:r w:rsidRPr="00A572F4">
        <w:rPr>
          <w:rFonts w:ascii="Arial" w:eastAsia="Calibri" w:hAnsi="Arial" w:cs="Arial"/>
          <w:sz w:val="22"/>
          <w:szCs w:val="22"/>
          <w:lang w:val="es-ES_tradnl"/>
        </w:rPr>
        <w:t xml:space="preserve">Además, no es </w:t>
      </w:r>
      <w:r w:rsidR="009177F5">
        <w:rPr>
          <w:rFonts w:ascii="Arial" w:eastAsia="Calibri" w:hAnsi="Arial" w:cs="Arial"/>
          <w:sz w:val="22"/>
          <w:szCs w:val="22"/>
          <w:lang w:val="es-ES_tradnl"/>
        </w:rPr>
        <w:t xml:space="preserve">posible argumentar </w:t>
      </w:r>
      <w:r w:rsidRPr="00A572F4">
        <w:rPr>
          <w:rFonts w:ascii="Arial" w:eastAsia="Calibri" w:hAnsi="Arial" w:cs="Arial"/>
          <w:sz w:val="22"/>
          <w:szCs w:val="22"/>
          <w:lang w:val="es-ES_tradnl"/>
        </w:rPr>
        <w:t xml:space="preserve">que los apartados normativos del artículo 2.2.1.2.4.2.2 del Decreto 1082 de 2015 que no sean contrarios a la nueva regulación contenida en el artículo 34 de la Ley 2069 de 2020 pueden seguirse aplicando. Esta afirmación no </w:t>
      </w:r>
      <w:r w:rsidR="00811C6D">
        <w:rPr>
          <w:rFonts w:ascii="Arial" w:eastAsia="Calibri" w:hAnsi="Arial" w:cs="Arial"/>
          <w:sz w:val="22"/>
          <w:szCs w:val="22"/>
          <w:lang w:val="es-ES_tradnl"/>
        </w:rPr>
        <w:t>se comparte</w:t>
      </w:r>
      <w:r w:rsidRPr="00A572F4">
        <w:rPr>
          <w:rFonts w:ascii="Arial" w:eastAsia="Calibri" w:hAnsi="Arial" w:cs="Arial"/>
          <w:sz w:val="22"/>
          <w:szCs w:val="22"/>
          <w:lang w:val="es-ES_tradnl"/>
        </w:rPr>
        <w:t xml:space="preserve">, porque el artículo 34, reiteradamente, señala que el gobierno nacional debe definir las condiciones para la aplicación de las reglas recientemente expedidas, que permitan llevar a cabo las convocatorias limitadas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lo cual demuestra la voluntad legislativa de establecer la necesidad de una nueva reglamentación de la materia. En tal sentido, el gobierno nacional podría, mediante el decreto reglamentario que expida, definir nuevas condiciones y montos para las convocatorias limitadas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A572F4">
        <w:rPr>
          <w:rFonts w:ascii="Arial" w:eastAsia="Calibri" w:hAnsi="Arial" w:cs="Arial"/>
          <w:sz w:val="22"/>
          <w:szCs w:val="22"/>
          <w:lang w:val="es-ES_tradnl"/>
        </w:rPr>
        <w:t>mipymes</w:t>
      </w:r>
      <w:proofErr w:type="spellEnd"/>
      <w:r w:rsidRPr="00A572F4">
        <w:rPr>
          <w:rFonts w:ascii="Arial" w:eastAsia="Calibri" w:hAnsi="Arial" w:cs="Arial"/>
          <w:sz w:val="22"/>
          <w:szCs w:val="22"/>
          <w:lang w:val="es-ES_tradnl"/>
        </w:rPr>
        <w:t xml:space="preserve">, pues al tenor del artículo 34 de la Ley 2069 de 2020, la eficacia de esta norma quedó condicionada a la expedición del decreto reglamentario que fije las condiciones de su operatividad.    </w:t>
      </w:r>
    </w:p>
    <w:p w14:paraId="2E7FDF88" w14:textId="77777777" w:rsidR="002638F4" w:rsidRPr="00A572F4" w:rsidRDefault="002638F4" w:rsidP="002638F4">
      <w:pPr>
        <w:autoSpaceDE w:val="0"/>
        <w:autoSpaceDN w:val="0"/>
        <w:adjustRightInd w:val="0"/>
        <w:ind w:left="709" w:right="709"/>
        <w:jc w:val="both"/>
        <w:rPr>
          <w:rFonts w:ascii="Arial" w:eastAsiaTheme="minorHAnsi" w:hAnsi="Arial" w:cs="Arial"/>
          <w:sz w:val="21"/>
          <w:szCs w:val="21"/>
          <w:lang w:eastAsia="en-US"/>
        </w:rPr>
      </w:pPr>
    </w:p>
    <w:p w14:paraId="29C7CF29" w14:textId="212BF5C2" w:rsidR="002638F4" w:rsidRPr="00A572F4" w:rsidRDefault="002638F4" w:rsidP="002638F4">
      <w:pPr>
        <w:autoSpaceDE w:val="0"/>
        <w:autoSpaceDN w:val="0"/>
        <w:adjustRightInd w:val="0"/>
        <w:ind w:left="709" w:right="709"/>
        <w:jc w:val="both"/>
        <w:rPr>
          <w:rFonts w:ascii="Arial" w:hAnsi="Arial" w:cs="Arial"/>
          <w:sz w:val="21"/>
          <w:szCs w:val="21"/>
          <w:lang w:val="es-ES_tradnl"/>
        </w:rPr>
      </w:pPr>
      <w:r w:rsidRPr="00A572F4">
        <w:rPr>
          <w:rFonts w:ascii="Arial" w:eastAsiaTheme="minorHAnsi" w:hAnsi="Arial" w:cs="Arial"/>
          <w:sz w:val="21"/>
          <w:szCs w:val="21"/>
          <w:lang w:eastAsia="en-US"/>
        </w:rPr>
        <w:t xml:space="preserve">«[…] </w:t>
      </w:r>
      <w:r w:rsidRPr="00940DBD">
        <w:rPr>
          <w:rFonts w:ascii="Arial" w:eastAsiaTheme="minorHAnsi" w:hAnsi="Arial" w:cs="Arial"/>
          <w:sz w:val="21"/>
          <w:szCs w:val="21"/>
          <w:lang w:eastAsia="en-US"/>
        </w:rPr>
        <w:t>2. En los procesos de contratación a los cuales no le son aplicables el factor de puntaje (mínima cuantía y selección abreviada de subasta inversa), ¿son susceptibles de incorporar dentro de la correspondiente invitación y pliego de condiciones, respectivamente, los factores de desempate contenido en el artículo 35 de la ley 2069 de 2020?, o si por con contrario, al no ser procesos que cuenten con factor de puntaje, ¿El mecanismo de desempate se sigue conservando de acuerdo a los criterios de desempate que se venían manejando antes de la entrega en vigencia de la ley 2069 de 2020?</w:t>
      </w:r>
      <w:r w:rsidRPr="00A572F4">
        <w:rPr>
          <w:rFonts w:ascii="Arial" w:eastAsiaTheme="minorHAnsi" w:hAnsi="Arial" w:cs="Arial"/>
          <w:sz w:val="21"/>
          <w:szCs w:val="21"/>
          <w:lang w:eastAsia="en-US"/>
        </w:rPr>
        <w:t>» [sic].</w:t>
      </w:r>
    </w:p>
    <w:p w14:paraId="5BE6368E" w14:textId="77777777" w:rsidR="002638F4" w:rsidRPr="00A572F4" w:rsidRDefault="002638F4" w:rsidP="00EB2ED0">
      <w:pPr>
        <w:spacing w:line="276" w:lineRule="auto"/>
        <w:ind w:left="709" w:right="709"/>
        <w:jc w:val="both"/>
        <w:rPr>
          <w:rFonts w:ascii="Arial" w:hAnsi="Arial" w:cs="Arial"/>
          <w:sz w:val="22"/>
          <w:szCs w:val="22"/>
          <w:lang w:val="es-ES_tradnl"/>
        </w:rPr>
      </w:pPr>
    </w:p>
    <w:p w14:paraId="3EFF9271" w14:textId="77777777" w:rsidR="002638F4" w:rsidRPr="00A572F4" w:rsidRDefault="002638F4" w:rsidP="002638F4">
      <w:pPr>
        <w:spacing w:line="276" w:lineRule="auto"/>
        <w:jc w:val="both"/>
        <w:rPr>
          <w:rFonts w:ascii="Arial" w:eastAsia="Calibri" w:hAnsi="Arial" w:cs="Arial"/>
          <w:sz w:val="22"/>
          <w:szCs w:val="22"/>
          <w:lang w:val="es-ES_tradnl"/>
        </w:rPr>
      </w:pPr>
      <w:bookmarkStart w:id="14" w:name="_Hlk69487468"/>
      <w:bookmarkStart w:id="15" w:name="_Hlk79145750"/>
      <w:r w:rsidRPr="00A572F4">
        <w:rPr>
          <w:rFonts w:ascii="Arial" w:eastAsia="Calibri" w:hAnsi="Arial" w:cs="Arial"/>
          <w:sz w:val="22"/>
          <w:szCs w:val="22"/>
          <w:lang w:val="es-ES_tradnl"/>
        </w:rPr>
        <w:lastRenderedPageBreak/>
        <w:t>El artículo 35 de la Ley 2069 de 2020, que modifica el régimen de los factores de desempate en la contratación estatal, se encuentra vigente y goza de aplicación directa desde la fecha de su promulgación, es decir, no requiere de una reglamentación previa como presupuesto para su eficacia. Estos criterios de desempate actualmente</w:t>
      </w:r>
      <w:r w:rsidRPr="00A572F4" w:rsidDel="0018007F">
        <w:rPr>
          <w:rFonts w:ascii="Arial" w:eastAsia="Calibri" w:hAnsi="Arial" w:cs="Arial"/>
          <w:sz w:val="22"/>
          <w:szCs w:val="22"/>
          <w:lang w:val="es-ES_tradnl"/>
        </w:rPr>
        <w:t xml:space="preserve"> </w:t>
      </w:r>
      <w:r w:rsidRPr="00A572F4">
        <w:rPr>
          <w:rFonts w:ascii="Arial" w:eastAsia="Calibri" w:hAnsi="Arial" w:cs="Arial"/>
          <w:sz w:val="22"/>
          <w:szCs w:val="22"/>
          <w:lang w:val="es-ES_tradnl"/>
        </w:rPr>
        <w:t>son aplicables a todas las entidades estatales, independientemente de su régimen de contratación.</w:t>
      </w:r>
    </w:p>
    <w:p w14:paraId="6DA1DDFA" w14:textId="603A6D43" w:rsidR="002638F4" w:rsidRPr="00A572F4" w:rsidRDefault="002638F4" w:rsidP="002638F4">
      <w:pPr>
        <w:spacing w:before="120" w:line="276" w:lineRule="auto"/>
        <w:ind w:firstLine="709"/>
        <w:jc w:val="both"/>
        <w:rPr>
          <w:rFonts w:ascii="Arial" w:hAnsi="Arial" w:cs="Arial"/>
          <w:sz w:val="22"/>
          <w:szCs w:val="22"/>
          <w:lang w:val="es-ES_tradnl"/>
        </w:rPr>
      </w:pPr>
      <w:r w:rsidRPr="00A572F4">
        <w:rPr>
          <w:rFonts w:ascii="Arial" w:hAnsi="Arial" w:cs="Arial"/>
          <w:sz w:val="22"/>
          <w:szCs w:val="22"/>
          <w:lang w:val="es-ES_tradnl"/>
        </w:rPr>
        <w:t xml:space="preserve">Ahora bien, hasta la promulgación de la Ley 2069 de 2020, el artículo 2.2.1.1.2.2.9. del Decreto 1082 de 2015 regulaba los factores de desempate que debían aplicarse en los procesos de selección. En criterio de esta Agencia, dicha norma debe entenderse derogada por el artículo 35 de la Ley 2069 de 2020. Ello no solo porque el artículo 84 </w:t>
      </w:r>
      <w:r w:rsidR="00291E40" w:rsidRPr="00963A67">
        <w:rPr>
          <w:rFonts w:ascii="Arial" w:hAnsi="Arial" w:cs="Arial"/>
          <w:i/>
          <w:iCs/>
          <w:sz w:val="22"/>
          <w:szCs w:val="22"/>
          <w:lang w:val="es-ES_tradnl"/>
        </w:rPr>
        <w:t>ibidem</w:t>
      </w:r>
      <w:r w:rsidRPr="00A572F4">
        <w:rPr>
          <w:rFonts w:ascii="Arial" w:hAnsi="Arial" w:cs="Arial"/>
          <w:sz w:val="22"/>
          <w:szCs w:val="22"/>
          <w:lang w:val="es-ES_tradnl"/>
        </w:rPr>
        <w:t xml:space="preserve"> </w:t>
      </w:r>
      <w:r w:rsidR="00291E40">
        <w:rPr>
          <w:rFonts w:ascii="Arial" w:hAnsi="Arial" w:cs="Arial"/>
          <w:sz w:val="22"/>
          <w:szCs w:val="22"/>
          <w:lang w:val="es-ES_tradnl"/>
        </w:rPr>
        <w:t xml:space="preserve">dispone </w:t>
      </w:r>
      <w:r w:rsidRPr="00A572F4">
        <w:rPr>
          <w:rFonts w:ascii="Arial" w:hAnsi="Arial" w:cs="Arial"/>
          <w:sz w:val="22"/>
          <w:szCs w:val="22"/>
          <w:lang w:val="es-ES_tradnl"/>
        </w:rPr>
        <w:t xml:space="preserve">que «rige a partir del momento de su promulgación», es decir, desde el 31 de diciembre de 2020, sino además porque la misma disposición señala que la Ley 2069 de 2020 deroga «[…] todas las disposiciones que le sean contrarias». </w:t>
      </w:r>
    </w:p>
    <w:p w14:paraId="75CDB35B" w14:textId="77777777" w:rsidR="002638F4" w:rsidRPr="00A572F4" w:rsidRDefault="002638F4" w:rsidP="002638F4">
      <w:pPr>
        <w:spacing w:before="120" w:line="276" w:lineRule="auto"/>
        <w:ind w:firstLine="709"/>
        <w:jc w:val="both"/>
        <w:rPr>
          <w:rFonts w:ascii="Arial" w:hAnsi="Arial" w:cs="Arial"/>
          <w:sz w:val="22"/>
          <w:szCs w:val="22"/>
          <w:lang w:val="es-ES_tradnl"/>
        </w:rPr>
      </w:pPr>
      <w:r w:rsidRPr="00A572F4">
        <w:rPr>
          <w:rFonts w:ascii="Arial" w:hAnsi="Arial" w:cs="Arial"/>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Dado que el Decreto 1082 de 2015 es un reglamento </w:t>
      </w:r>
      <w:proofErr w:type="spellStart"/>
      <w:r w:rsidRPr="00A572F4">
        <w:rPr>
          <w:rFonts w:ascii="Arial" w:hAnsi="Arial" w:cs="Arial"/>
          <w:i/>
          <w:iCs/>
          <w:sz w:val="22"/>
          <w:szCs w:val="22"/>
          <w:lang w:val="es-ES_tradnl"/>
        </w:rPr>
        <w:t>secundum</w:t>
      </w:r>
      <w:proofErr w:type="spellEnd"/>
      <w:r w:rsidRPr="00A572F4">
        <w:rPr>
          <w:rFonts w:ascii="Arial" w:hAnsi="Arial" w:cs="Arial"/>
          <w:i/>
          <w:iCs/>
          <w:sz w:val="22"/>
          <w:szCs w:val="22"/>
          <w:lang w:val="es-ES_tradnl"/>
        </w:rPr>
        <w:t xml:space="preserve"> </w:t>
      </w:r>
      <w:proofErr w:type="spellStart"/>
      <w:r w:rsidRPr="00A572F4">
        <w:rPr>
          <w:rFonts w:ascii="Arial" w:hAnsi="Arial" w:cs="Arial"/>
          <w:i/>
          <w:iCs/>
          <w:sz w:val="22"/>
          <w:szCs w:val="22"/>
          <w:lang w:val="es-ES_tradnl"/>
        </w:rPr>
        <w:t>legem</w:t>
      </w:r>
      <w:proofErr w:type="spellEnd"/>
      <w:r w:rsidRPr="00A572F4">
        <w:rPr>
          <w:rFonts w:ascii="Arial" w:hAnsi="Arial" w:cs="Arial"/>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  </w:t>
      </w:r>
    </w:p>
    <w:p w14:paraId="6F66ADDB" w14:textId="5CA87BA7" w:rsidR="002638F4" w:rsidRPr="00A572F4" w:rsidRDefault="002638F4" w:rsidP="002638F4">
      <w:pPr>
        <w:spacing w:before="120" w:line="276" w:lineRule="auto"/>
        <w:ind w:firstLine="709"/>
        <w:jc w:val="both"/>
        <w:rPr>
          <w:rFonts w:ascii="Arial" w:hAnsi="Arial" w:cs="Arial"/>
          <w:sz w:val="22"/>
          <w:szCs w:val="22"/>
          <w:lang w:val="es-ES_tradnl"/>
        </w:rPr>
      </w:pPr>
      <w:r w:rsidRPr="00A572F4">
        <w:rPr>
          <w:rFonts w:ascii="Arial" w:hAnsi="Arial" w:cs="Arial"/>
          <w:sz w:val="22"/>
          <w:szCs w:val="22"/>
          <w:lang w:val="es-ES_tradnl"/>
        </w:rPr>
        <w:t xml:space="preserve">Lo explicado en los párrafos precedentes también aplica </w:t>
      </w:r>
      <w:r w:rsidRPr="00A572F4">
        <w:rPr>
          <w:rFonts w:ascii="Arial" w:hAnsi="Arial" w:cs="Arial"/>
          <w:i/>
          <w:iCs/>
          <w:sz w:val="22"/>
          <w:szCs w:val="22"/>
          <w:lang w:val="es-ES_tradnl"/>
        </w:rPr>
        <w:t>mutatis mutandis</w:t>
      </w:r>
      <w:r w:rsidRPr="00A572F4">
        <w:rPr>
          <w:rFonts w:ascii="Arial" w:hAnsi="Arial" w:cs="Arial"/>
          <w:sz w:val="22"/>
          <w:szCs w:val="22"/>
          <w:lang w:val="es-ES_tradnl"/>
        </w:rPr>
        <w:t xml:space="preserve"> a los factores de desempate previstos en el Decreto Único Reglamentario del Sector Administrativo de Planeación Nacional para los</w:t>
      </w:r>
      <w:r w:rsidR="005416CA" w:rsidRPr="00A572F4">
        <w:rPr>
          <w:rFonts w:ascii="Arial" w:hAnsi="Arial" w:cs="Arial"/>
          <w:sz w:val="22"/>
          <w:szCs w:val="22"/>
          <w:lang w:val="es-ES_tradnl"/>
        </w:rPr>
        <w:t xml:space="preserve"> procedimientos de subasta inversa–adelantados en el marco de la modalidad de selección abreviada– y</w:t>
      </w:r>
      <w:r w:rsidRPr="00A572F4">
        <w:rPr>
          <w:rFonts w:ascii="Arial" w:hAnsi="Arial" w:cs="Arial"/>
          <w:sz w:val="22"/>
          <w:szCs w:val="22"/>
          <w:lang w:val="es-ES_tradnl"/>
        </w:rPr>
        <w:t xml:space="preserve"> mínima cuantía. A pesar de que numeral </w:t>
      </w:r>
      <w:r w:rsidR="005416CA" w:rsidRPr="00A572F4">
        <w:rPr>
          <w:rFonts w:ascii="Arial" w:hAnsi="Arial" w:cs="Arial"/>
          <w:sz w:val="22"/>
          <w:szCs w:val="22"/>
          <w:lang w:val="es-ES_tradnl"/>
        </w:rPr>
        <w:t>9</w:t>
      </w:r>
      <w:r w:rsidRPr="00A572F4">
        <w:rPr>
          <w:rFonts w:ascii="Arial" w:hAnsi="Arial" w:cs="Arial"/>
          <w:sz w:val="22"/>
          <w:szCs w:val="22"/>
          <w:lang w:val="es-ES_tradnl"/>
        </w:rPr>
        <w:t xml:space="preserve"> del </w:t>
      </w:r>
      <w:r w:rsidR="005416CA" w:rsidRPr="00A572F4">
        <w:rPr>
          <w:rFonts w:ascii="Arial" w:eastAsia="Calibri" w:hAnsi="Arial" w:cs="Arial"/>
          <w:bCs/>
          <w:sz w:val="22"/>
          <w:lang w:val="es-ES_tradnl"/>
        </w:rPr>
        <w:t xml:space="preserve">artículo </w:t>
      </w:r>
      <w:r w:rsidR="005416CA" w:rsidRPr="00A572F4">
        <w:rPr>
          <w:rFonts w:ascii="Arial" w:eastAsia="Calibri" w:hAnsi="Arial" w:cs="Arial"/>
          <w:sz w:val="22"/>
          <w:szCs w:val="22"/>
          <w:lang w:val="es-ES_tradnl"/>
        </w:rPr>
        <w:t>2.2.1.2.1.2.2</w:t>
      </w:r>
      <w:r w:rsidRPr="00A572F4">
        <w:rPr>
          <w:rFonts w:ascii="Arial" w:hAnsi="Arial" w:cs="Arial"/>
          <w:sz w:val="22"/>
          <w:szCs w:val="22"/>
          <w:lang w:val="es-ES_tradnl"/>
        </w:rPr>
        <w:t xml:space="preserve"> y el </w:t>
      </w:r>
      <w:r w:rsidR="005416CA" w:rsidRPr="00A572F4">
        <w:rPr>
          <w:rFonts w:ascii="Arial" w:hAnsi="Arial" w:cs="Arial"/>
          <w:sz w:val="22"/>
          <w:szCs w:val="22"/>
          <w:lang w:val="es-ES_tradnl"/>
        </w:rPr>
        <w:t>7</w:t>
      </w:r>
      <w:r w:rsidRPr="00A572F4">
        <w:rPr>
          <w:rFonts w:ascii="Arial" w:hAnsi="Arial" w:cs="Arial"/>
          <w:sz w:val="22"/>
          <w:szCs w:val="22"/>
          <w:lang w:val="es-ES_tradnl"/>
        </w:rPr>
        <w:t xml:space="preserve"> del artículo </w:t>
      </w:r>
      <w:r w:rsidR="005416CA" w:rsidRPr="00A572F4">
        <w:rPr>
          <w:rFonts w:ascii="Arial" w:hAnsi="Arial" w:cs="Arial"/>
          <w:sz w:val="22"/>
          <w:szCs w:val="22"/>
          <w:lang w:val="es-ES_tradnl"/>
        </w:rPr>
        <w:t>2.2.1.2.1.5.2</w:t>
      </w:r>
      <w:r w:rsidRPr="00A572F4">
        <w:rPr>
          <w:rFonts w:ascii="Arial" w:hAnsi="Arial" w:cs="Arial"/>
          <w:sz w:val="22"/>
          <w:szCs w:val="22"/>
          <w:lang w:val="es-ES_tradnl"/>
        </w:rPr>
        <w:t xml:space="preserve"> del Decreto 1082 de 2015 establecían unas reglas especiales para el desempate entre ofertas para los referidos procedimientos,</w:t>
      </w:r>
      <w:r w:rsidR="005416CA" w:rsidRPr="00A572F4">
        <w:rPr>
          <w:rFonts w:ascii="Arial" w:hAnsi="Arial" w:cs="Arial"/>
          <w:sz w:val="22"/>
          <w:szCs w:val="22"/>
          <w:lang w:val="es-ES_tradnl"/>
        </w:rPr>
        <w:t xml:space="preserve"> ya que</w:t>
      </w:r>
      <w:r w:rsidRPr="00A572F4">
        <w:rPr>
          <w:rFonts w:ascii="Arial" w:hAnsi="Arial" w:cs="Arial"/>
          <w:sz w:val="22"/>
          <w:szCs w:val="22"/>
          <w:lang w:val="es-ES_tradnl"/>
        </w:rPr>
        <w:t xml:space="preserve"> el primer inciso del artículo 35 de la Ley 2069 de 2020 no distingue modalidades de selección y regula la institución de los factores de desempate en los procesos de contratación estatal de manera integral.</w:t>
      </w:r>
    </w:p>
    <w:p w14:paraId="3AE1826C" w14:textId="77777777" w:rsidR="00E447A0" w:rsidRDefault="002638F4" w:rsidP="002638F4">
      <w:pPr>
        <w:spacing w:before="120" w:line="276" w:lineRule="auto"/>
        <w:ind w:firstLine="709"/>
        <w:jc w:val="both"/>
        <w:rPr>
          <w:rFonts w:ascii="Arial" w:hAnsi="Arial" w:cs="Arial"/>
          <w:sz w:val="22"/>
          <w:szCs w:val="22"/>
          <w:lang w:val="es-ES_tradnl"/>
        </w:rPr>
      </w:pPr>
      <w:r w:rsidRPr="00A572F4">
        <w:rPr>
          <w:rFonts w:ascii="Arial" w:hAnsi="Arial" w:cs="Arial"/>
          <w:sz w:val="22"/>
          <w:szCs w:val="22"/>
          <w:lang w:val="es-ES_tradnl"/>
        </w:rPr>
        <w:t xml:space="preserve">En consecuencia, por tratarse de una norma transversal al sistema de compras y contratación pública, el artículo 35 de la Ley 2069 de 2020 es aplicable a los procedimientos de </w:t>
      </w:r>
      <w:r w:rsidR="005416CA" w:rsidRPr="00A572F4">
        <w:rPr>
          <w:rFonts w:ascii="Arial" w:hAnsi="Arial" w:cs="Arial"/>
          <w:sz w:val="22"/>
          <w:szCs w:val="22"/>
          <w:lang w:val="es-ES_tradnl"/>
        </w:rPr>
        <w:t>procedimientos de subasta inversa y mínima cuantía</w:t>
      </w:r>
      <w:r w:rsidRPr="00A572F4">
        <w:rPr>
          <w:rFonts w:ascii="Arial" w:hAnsi="Arial" w:cs="Arial"/>
          <w:sz w:val="22"/>
          <w:szCs w:val="22"/>
          <w:lang w:val="es-ES_tradnl"/>
        </w:rPr>
        <w:t xml:space="preserve">, presentándose tanto la derogación como el decaimiento de los criterios de desempate previstos en </w:t>
      </w:r>
      <w:r w:rsidR="005416CA" w:rsidRPr="00A572F4">
        <w:rPr>
          <w:rFonts w:ascii="Arial" w:hAnsi="Arial" w:cs="Arial"/>
          <w:sz w:val="22"/>
          <w:szCs w:val="22"/>
          <w:lang w:val="es-ES_tradnl"/>
        </w:rPr>
        <w:t>los</w:t>
      </w:r>
      <w:r w:rsidRPr="00A572F4">
        <w:rPr>
          <w:rFonts w:ascii="Arial" w:hAnsi="Arial" w:cs="Arial"/>
          <w:sz w:val="22"/>
          <w:szCs w:val="22"/>
          <w:lang w:val="es-ES_tradnl"/>
        </w:rPr>
        <w:t xml:space="preserve"> numeral</w:t>
      </w:r>
      <w:r w:rsidR="005416CA" w:rsidRPr="00A572F4">
        <w:rPr>
          <w:rFonts w:ascii="Arial" w:hAnsi="Arial" w:cs="Arial"/>
          <w:sz w:val="22"/>
          <w:szCs w:val="22"/>
          <w:lang w:val="es-ES_tradnl"/>
        </w:rPr>
        <w:t xml:space="preserve">es 9 del </w:t>
      </w:r>
      <w:r w:rsidR="005416CA" w:rsidRPr="00A572F4">
        <w:rPr>
          <w:rFonts w:ascii="Arial" w:eastAsia="Calibri" w:hAnsi="Arial" w:cs="Arial"/>
          <w:bCs/>
          <w:sz w:val="22"/>
          <w:lang w:val="es-ES_tradnl"/>
        </w:rPr>
        <w:t xml:space="preserve">artículo </w:t>
      </w:r>
      <w:r w:rsidR="005416CA" w:rsidRPr="00A572F4">
        <w:rPr>
          <w:rFonts w:ascii="Arial" w:eastAsia="Calibri" w:hAnsi="Arial" w:cs="Arial"/>
          <w:sz w:val="22"/>
          <w:szCs w:val="22"/>
          <w:lang w:val="es-ES_tradnl"/>
        </w:rPr>
        <w:t>2.2.1.2.1.2.2</w:t>
      </w:r>
      <w:r w:rsidR="005416CA" w:rsidRPr="00A572F4">
        <w:rPr>
          <w:rFonts w:ascii="Arial" w:hAnsi="Arial" w:cs="Arial"/>
          <w:sz w:val="22"/>
          <w:szCs w:val="22"/>
          <w:lang w:val="es-ES_tradnl"/>
        </w:rPr>
        <w:t xml:space="preserve"> y 7</w:t>
      </w:r>
      <w:r w:rsidRPr="00A572F4">
        <w:rPr>
          <w:rFonts w:ascii="Arial" w:hAnsi="Arial" w:cs="Arial"/>
          <w:sz w:val="22"/>
          <w:szCs w:val="22"/>
          <w:lang w:val="es-ES_tradnl"/>
        </w:rPr>
        <w:t xml:space="preserve"> del artículo 2.2.1.2.1.5.2</w:t>
      </w:r>
      <w:r w:rsidR="005416CA" w:rsidRPr="00A572F4">
        <w:rPr>
          <w:rFonts w:ascii="Arial" w:hAnsi="Arial" w:cs="Arial"/>
          <w:sz w:val="22"/>
          <w:szCs w:val="22"/>
          <w:lang w:val="es-ES_tradnl"/>
        </w:rPr>
        <w:t xml:space="preserve"> </w:t>
      </w:r>
      <w:r w:rsidRPr="00A572F4">
        <w:rPr>
          <w:rFonts w:ascii="Arial" w:hAnsi="Arial" w:cs="Arial"/>
          <w:sz w:val="22"/>
          <w:szCs w:val="22"/>
          <w:lang w:val="es-ES_tradnl"/>
        </w:rPr>
        <w:t>del Decreto 1082 de 2015</w:t>
      </w:r>
      <w:r w:rsidR="005416CA" w:rsidRPr="00A572F4">
        <w:rPr>
          <w:rFonts w:ascii="Arial" w:hAnsi="Arial" w:cs="Arial"/>
          <w:sz w:val="22"/>
          <w:szCs w:val="22"/>
          <w:lang w:val="es-ES_tradnl"/>
        </w:rPr>
        <w:t xml:space="preserve">, </w:t>
      </w:r>
      <w:r w:rsidRPr="00A572F4">
        <w:rPr>
          <w:rFonts w:ascii="Arial" w:hAnsi="Arial" w:cs="Arial"/>
          <w:sz w:val="22"/>
          <w:szCs w:val="22"/>
          <w:lang w:val="es-ES_tradnl"/>
        </w:rPr>
        <w:t xml:space="preserve">para estos procedimientos de selección.      </w:t>
      </w:r>
    </w:p>
    <w:p w14:paraId="405CCC13" w14:textId="0D50753D" w:rsidR="00681C78" w:rsidRPr="00CC1821" w:rsidRDefault="00AA0856" w:rsidP="00CC1821">
      <w:pPr>
        <w:spacing w:before="120" w:after="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E</w:t>
      </w:r>
      <w:r w:rsidR="00E447A0">
        <w:rPr>
          <w:rFonts w:ascii="Arial" w:hAnsi="Arial" w:cs="Arial"/>
          <w:color w:val="000000" w:themeColor="text1"/>
          <w:sz w:val="22"/>
          <w:szCs w:val="22"/>
          <w:lang w:val="es-ES_tradnl"/>
        </w:rPr>
        <w:t>sta</w:t>
      </w:r>
      <w:r>
        <w:rPr>
          <w:rFonts w:ascii="Arial" w:hAnsi="Arial" w:cs="Arial"/>
          <w:color w:val="000000" w:themeColor="text1"/>
          <w:sz w:val="22"/>
          <w:szCs w:val="22"/>
          <w:lang w:val="es-ES_tradnl"/>
        </w:rPr>
        <w:t>s</w:t>
      </w:r>
      <w:r w:rsidR="00E447A0">
        <w:rPr>
          <w:rFonts w:ascii="Arial" w:hAnsi="Arial" w:cs="Arial"/>
          <w:color w:val="000000" w:themeColor="text1"/>
          <w:sz w:val="22"/>
          <w:szCs w:val="22"/>
          <w:lang w:val="es-ES_tradnl"/>
        </w:rPr>
        <w:t xml:space="preserve"> norma</w:t>
      </w:r>
      <w:r>
        <w:rPr>
          <w:rFonts w:ascii="Arial" w:hAnsi="Arial" w:cs="Arial"/>
          <w:color w:val="000000" w:themeColor="text1"/>
          <w:sz w:val="22"/>
          <w:szCs w:val="22"/>
          <w:lang w:val="es-ES_tradnl"/>
        </w:rPr>
        <w:t>s</w:t>
      </w:r>
      <w:r w:rsidR="00E447A0">
        <w:rPr>
          <w:rFonts w:ascii="Arial" w:hAnsi="Arial" w:cs="Arial"/>
          <w:color w:val="000000" w:themeColor="text1"/>
          <w:sz w:val="22"/>
          <w:szCs w:val="22"/>
          <w:lang w:val="es-ES_tradnl"/>
        </w:rPr>
        <w:t xml:space="preserve"> debe</w:t>
      </w:r>
      <w:r>
        <w:rPr>
          <w:rFonts w:ascii="Arial" w:hAnsi="Arial" w:cs="Arial"/>
          <w:color w:val="000000" w:themeColor="text1"/>
          <w:sz w:val="22"/>
          <w:szCs w:val="22"/>
          <w:lang w:val="es-ES_tradnl"/>
        </w:rPr>
        <w:t>n</w:t>
      </w:r>
      <w:r w:rsidR="00E447A0" w:rsidRPr="0056510A">
        <w:rPr>
          <w:rFonts w:ascii="Arial" w:hAnsi="Arial" w:cs="Arial"/>
          <w:color w:val="000000" w:themeColor="text1"/>
          <w:sz w:val="22"/>
          <w:szCs w:val="22"/>
          <w:lang w:val="es-ES_tradnl"/>
        </w:rPr>
        <w:t xml:space="preserve"> interpretarse de manera sistemática con las demás disposiciones del EGCAP, particularmente, con el artículo 5 de la Ley 1150 de 2007. Conforme esta idea, la expresión </w:t>
      </w:r>
      <w:r w:rsidR="00E447A0" w:rsidRPr="00395970">
        <w:rPr>
          <w:rFonts w:ascii="Arial" w:hAnsi="Arial" w:cs="Arial"/>
          <w:i/>
          <w:iCs/>
          <w:color w:val="000000" w:themeColor="text1"/>
          <w:sz w:val="22"/>
          <w:szCs w:val="22"/>
          <w:lang w:val="es-ES_tradnl"/>
        </w:rPr>
        <w:t>empate en el puntaje total</w:t>
      </w:r>
      <w:r w:rsidR="00E447A0" w:rsidRPr="0056510A">
        <w:rPr>
          <w:rFonts w:ascii="Arial" w:hAnsi="Arial" w:cs="Arial"/>
          <w:color w:val="000000" w:themeColor="text1"/>
          <w:sz w:val="22"/>
          <w:szCs w:val="22"/>
          <w:lang w:val="es-ES_tradnl"/>
        </w:rPr>
        <w:t xml:space="preserve"> apunta a las situaciones en la evaluación final de las ofertas en las que, realizándose la comparación de acuerdo con los factores de calificación, evaluación o ponderación aplicables al respectivo procedimiento, </w:t>
      </w:r>
      <w:r w:rsidR="00E447A0" w:rsidRPr="0056510A">
        <w:rPr>
          <w:rFonts w:ascii="Arial" w:hAnsi="Arial" w:cs="Arial"/>
          <w:color w:val="000000" w:themeColor="text1"/>
          <w:sz w:val="22"/>
          <w:szCs w:val="22"/>
          <w:lang w:val="es-ES_tradnl"/>
        </w:rPr>
        <w:lastRenderedPageBreak/>
        <w:t>se presenta un empate entre dos o más propuestas. En ese entendido, con independencia de que la ponderación emplee puntajes, fórmulas, criterios de relación costo – beneficio o de que el único criterio de evaluación sea el menor precio, deben aplicarse los factores de desempate del artículo 35 de la Ley 2069 de 2020.</w:t>
      </w:r>
      <w:bookmarkEnd w:id="14"/>
      <w:bookmarkEnd w:id="15"/>
    </w:p>
    <w:p w14:paraId="35405C2F" w14:textId="77777777" w:rsidR="0080376A" w:rsidRPr="00A572F4" w:rsidRDefault="00DD5B04" w:rsidP="00EB2ED0">
      <w:pPr>
        <w:spacing w:line="276" w:lineRule="auto"/>
        <w:jc w:val="both"/>
        <w:rPr>
          <w:rFonts w:ascii="Arial" w:hAnsi="Arial" w:cs="Arial"/>
          <w:sz w:val="22"/>
          <w:szCs w:val="22"/>
          <w:lang w:val="es-ES_tradnl"/>
        </w:rPr>
      </w:pPr>
      <w:r w:rsidRPr="00A572F4">
        <w:rPr>
          <w:rFonts w:ascii="Arial" w:hAnsi="Arial" w:cs="Arial"/>
          <w:sz w:val="22"/>
          <w:szCs w:val="22"/>
          <w:lang w:val="es-ES_tradnl"/>
        </w:rPr>
        <w:t>Este concepto tiene el alcance previsto en el artículo 28 del Código de Procedimiento Administrativo y de lo Contencioso Administrativo.</w:t>
      </w:r>
    </w:p>
    <w:p w14:paraId="2CCA8B64" w14:textId="6DE90BCD" w:rsidR="0080376A" w:rsidRPr="00A572F4" w:rsidRDefault="0080376A" w:rsidP="00EB2ED0">
      <w:pPr>
        <w:spacing w:line="276" w:lineRule="auto"/>
        <w:rPr>
          <w:rFonts w:ascii="Arial" w:hAnsi="Arial" w:cs="Arial"/>
          <w:sz w:val="22"/>
          <w:szCs w:val="22"/>
          <w:lang w:eastAsia="es-CO"/>
        </w:rPr>
      </w:pPr>
    </w:p>
    <w:p w14:paraId="011D45FA" w14:textId="1F259EE0" w:rsidR="0080376A" w:rsidRPr="00A572F4" w:rsidRDefault="0080376A" w:rsidP="00EB2ED0">
      <w:pPr>
        <w:spacing w:line="276" w:lineRule="auto"/>
        <w:rPr>
          <w:rFonts w:ascii="Arial" w:hAnsi="Arial" w:cs="Arial"/>
          <w:sz w:val="22"/>
          <w:szCs w:val="22"/>
        </w:rPr>
      </w:pPr>
      <w:r w:rsidRPr="00A572F4">
        <w:rPr>
          <w:rFonts w:ascii="Arial" w:hAnsi="Arial" w:cs="Arial"/>
          <w:sz w:val="22"/>
          <w:szCs w:val="22"/>
          <w:lang w:eastAsia="es-CO"/>
        </w:rPr>
        <w:t>Atentamente,</w:t>
      </w:r>
    </w:p>
    <w:p w14:paraId="110E7C14" w14:textId="4F7D1BC4" w:rsidR="0080376A" w:rsidRPr="00A572F4" w:rsidRDefault="00CC1821" w:rsidP="00CC1821">
      <w:pPr>
        <w:spacing w:after="18"/>
        <w:jc w:val="center"/>
        <w:rPr>
          <w:rFonts w:ascii="Arial" w:hAnsi="Arial" w:cs="Arial"/>
          <w:lang w:eastAsia="es-CO"/>
        </w:rPr>
      </w:pPr>
      <w:r w:rsidRPr="00E97533">
        <w:rPr>
          <w:rFonts w:ascii="Arial" w:hAnsi="Arial" w:cs="Arial"/>
          <w:noProof/>
          <w:sz w:val="18"/>
          <w:szCs w:val="18"/>
          <w:lang w:val="es-ES" w:eastAsia="es-ES"/>
        </w:rPr>
        <w:drawing>
          <wp:inline distT="0" distB="0" distL="0" distR="0" wp14:anchorId="0D9F04C0" wp14:editId="2885E55C">
            <wp:extent cx="2562216" cy="913765"/>
            <wp:effectExtent l="0" t="0" r="0" b="63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611799" cy="931448"/>
                    </a:xfrm>
                    <a:prstGeom prst="rect">
                      <a:avLst/>
                    </a:prstGeom>
                  </pic:spPr>
                </pic:pic>
              </a:graphicData>
            </a:graphic>
          </wp:inline>
        </w:drawing>
      </w:r>
    </w:p>
    <w:p w14:paraId="73BAD691" w14:textId="1C845272" w:rsidR="0080376A" w:rsidRPr="00A572F4" w:rsidRDefault="0080376A" w:rsidP="00EB2ED0">
      <w:pPr>
        <w:spacing w:after="18"/>
        <w:jc w:val="center"/>
        <w:rPr>
          <w:rFonts w:ascii="Arial" w:hAnsi="Arial" w:cs="Arial"/>
          <w:lang w:eastAsia="es-CO"/>
        </w:rPr>
      </w:pPr>
    </w:p>
    <w:p w14:paraId="61C66791" w14:textId="1C9C76D8" w:rsidR="0080376A" w:rsidRPr="00A572F4" w:rsidRDefault="0080376A" w:rsidP="00EB2ED0">
      <w:pPr>
        <w:spacing w:after="18"/>
        <w:jc w:val="center"/>
        <w:rPr>
          <w:rFonts w:ascii="Arial" w:hAnsi="Arial" w:cs="Arial"/>
          <w:lang w:eastAsia="es-CO"/>
        </w:rPr>
      </w:pPr>
    </w:p>
    <w:p w14:paraId="353D05CB" w14:textId="77777777" w:rsidR="0080376A" w:rsidRPr="00A572F4" w:rsidRDefault="0080376A" w:rsidP="00EB2ED0">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A572F4" w:rsidRPr="00A572F4" w14:paraId="03974E28" w14:textId="77777777" w:rsidTr="00631B91">
        <w:trPr>
          <w:trHeight w:val="286"/>
        </w:trPr>
        <w:tc>
          <w:tcPr>
            <w:tcW w:w="886" w:type="dxa"/>
            <w:vAlign w:val="center"/>
            <w:hideMark/>
          </w:tcPr>
          <w:p w14:paraId="01140129" w14:textId="77777777" w:rsidR="0080376A" w:rsidRPr="00A572F4" w:rsidRDefault="0080376A" w:rsidP="00EB2ED0">
            <w:pPr>
              <w:rPr>
                <w:rFonts w:ascii="Arial" w:hAnsi="Arial" w:cs="Arial"/>
                <w:sz w:val="14"/>
                <w:szCs w:val="14"/>
                <w:lang w:eastAsia="es-ES"/>
              </w:rPr>
            </w:pPr>
            <w:r w:rsidRPr="00A572F4">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777D2F26" w14:textId="77777777" w:rsidR="0080376A" w:rsidRPr="00A572F4" w:rsidRDefault="0080376A" w:rsidP="00EB2ED0">
            <w:pPr>
              <w:rPr>
                <w:rFonts w:ascii="Arial" w:hAnsi="Arial" w:cs="Arial"/>
                <w:sz w:val="14"/>
                <w:szCs w:val="14"/>
                <w:lang w:eastAsia="es-ES"/>
              </w:rPr>
            </w:pPr>
            <w:r w:rsidRPr="00A572F4">
              <w:rPr>
                <w:rFonts w:ascii="Arial" w:hAnsi="Arial" w:cs="Arial"/>
                <w:sz w:val="14"/>
                <w:szCs w:val="14"/>
                <w:lang w:eastAsia="es-ES"/>
              </w:rPr>
              <w:t>Alejandro Sarmiento Cantillo</w:t>
            </w:r>
          </w:p>
          <w:p w14:paraId="1886B9EC" w14:textId="77777777" w:rsidR="0080376A" w:rsidRPr="00A572F4" w:rsidRDefault="0080376A" w:rsidP="00EB2ED0">
            <w:pPr>
              <w:rPr>
                <w:rFonts w:ascii="Arial" w:hAnsi="Arial" w:cs="Arial"/>
                <w:sz w:val="14"/>
                <w:szCs w:val="14"/>
                <w:lang w:eastAsia="es-ES"/>
              </w:rPr>
            </w:pPr>
            <w:r w:rsidRPr="00A572F4">
              <w:rPr>
                <w:rFonts w:ascii="Arial" w:hAnsi="Arial" w:cs="Arial"/>
                <w:sz w:val="14"/>
                <w:szCs w:val="14"/>
                <w:lang w:eastAsia="es-ES"/>
              </w:rPr>
              <w:t>Gestor T1-11 de la Subdirección de Gestión Contractual</w:t>
            </w:r>
          </w:p>
        </w:tc>
      </w:tr>
      <w:tr w:rsidR="00A572F4" w:rsidRPr="00A572F4" w14:paraId="1C6D880D" w14:textId="77777777" w:rsidTr="00631B91">
        <w:trPr>
          <w:trHeight w:val="299"/>
        </w:trPr>
        <w:tc>
          <w:tcPr>
            <w:tcW w:w="886" w:type="dxa"/>
            <w:vAlign w:val="center"/>
          </w:tcPr>
          <w:p w14:paraId="5E9E0994" w14:textId="77777777" w:rsidR="0080376A" w:rsidRPr="00A572F4" w:rsidRDefault="0080376A" w:rsidP="00EB2ED0">
            <w:pPr>
              <w:rPr>
                <w:rFonts w:ascii="Arial" w:hAnsi="Arial" w:cs="Arial"/>
                <w:sz w:val="14"/>
                <w:szCs w:val="14"/>
                <w:lang w:eastAsia="es-ES"/>
              </w:rPr>
            </w:pPr>
            <w:r w:rsidRPr="00A572F4">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6FE263AE" w14:textId="77777777" w:rsidR="0080376A" w:rsidRPr="00A572F4" w:rsidRDefault="0080376A" w:rsidP="00EB2ED0">
            <w:pPr>
              <w:rPr>
                <w:rFonts w:ascii="Arial" w:hAnsi="Arial" w:cs="Arial"/>
                <w:sz w:val="14"/>
                <w:szCs w:val="14"/>
                <w:lang w:eastAsia="es-ES"/>
              </w:rPr>
            </w:pPr>
            <w:r w:rsidRPr="00A572F4">
              <w:rPr>
                <w:rFonts w:ascii="Arial" w:hAnsi="Arial" w:cs="Arial"/>
                <w:sz w:val="14"/>
                <w:szCs w:val="14"/>
                <w:lang w:eastAsia="es-ES"/>
              </w:rPr>
              <w:t>Juan David Montoya Penagos</w:t>
            </w:r>
          </w:p>
          <w:p w14:paraId="5B170026" w14:textId="77777777" w:rsidR="0080376A" w:rsidRPr="00A572F4" w:rsidRDefault="0080376A" w:rsidP="00EB2ED0">
            <w:pPr>
              <w:rPr>
                <w:rFonts w:ascii="Arial" w:hAnsi="Arial" w:cs="Arial"/>
                <w:sz w:val="14"/>
                <w:szCs w:val="14"/>
                <w:lang w:eastAsia="es-ES"/>
              </w:rPr>
            </w:pPr>
            <w:r w:rsidRPr="00A572F4">
              <w:rPr>
                <w:rFonts w:ascii="Arial" w:hAnsi="Arial" w:cs="Arial"/>
                <w:sz w:val="14"/>
                <w:szCs w:val="14"/>
                <w:lang w:eastAsia="es-ES"/>
              </w:rPr>
              <w:t xml:space="preserve">Gestor T1-15 de la Subdirección de Gestión Contractual  </w:t>
            </w:r>
          </w:p>
        </w:tc>
      </w:tr>
      <w:tr w:rsidR="00A572F4" w:rsidRPr="00A572F4" w14:paraId="69EA51B1" w14:textId="77777777" w:rsidTr="00631B91">
        <w:trPr>
          <w:trHeight w:val="272"/>
        </w:trPr>
        <w:tc>
          <w:tcPr>
            <w:tcW w:w="886" w:type="dxa"/>
            <w:vAlign w:val="center"/>
            <w:hideMark/>
          </w:tcPr>
          <w:p w14:paraId="310910D2" w14:textId="77777777" w:rsidR="0080376A" w:rsidRPr="00A572F4" w:rsidRDefault="0080376A" w:rsidP="00EB2ED0">
            <w:pPr>
              <w:rPr>
                <w:rFonts w:ascii="Arial" w:hAnsi="Arial" w:cs="Arial"/>
                <w:sz w:val="14"/>
                <w:szCs w:val="14"/>
                <w:lang w:eastAsia="es-ES"/>
              </w:rPr>
            </w:pPr>
            <w:r w:rsidRPr="00A572F4">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3D727AC" w14:textId="77777777" w:rsidR="0080376A" w:rsidRPr="00A572F4" w:rsidRDefault="0080376A" w:rsidP="00EB2ED0">
            <w:pPr>
              <w:rPr>
                <w:rFonts w:ascii="Arial" w:hAnsi="Arial" w:cs="Arial"/>
                <w:sz w:val="14"/>
                <w:szCs w:val="14"/>
                <w:lang w:eastAsia="es-ES"/>
              </w:rPr>
            </w:pPr>
            <w:r w:rsidRPr="00A572F4">
              <w:rPr>
                <w:rFonts w:ascii="Arial" w:hAnsi="Arial" w:cs="Arial"/>
                <w:sz w:val="14"/>
                <w:szCs w:val="14"/>
                <w:lang w:eastAsia="es-ES"/>
              </w:rPr>
              <w:t>Jorge Augusto Tirado Navarro</w:t>
            </w:r>
          </w:p>
          <w:p w14:paraId="3019D417" w14:textId="633936DE" w:rsidR="0080376A" w:rsidRPr="00A572F4" w:rsidRDefault="0080376A" w:rsidP="00EB2ED0">
            <w:pPr>
              <w:rPr>
                <w:rFonts w:ascii="Arial" w:hAnsi="Arial" w:cs="Arial"/>
                <w:sz w:val="14"/>
                <w:szCs w:val="14"/>
                <w:lang w:eastAsia="es-ES"/>
              </w:rPr>
            </w:pPr>
            <w:r w:rsidRPr="00A572F4">
              <w:rPr>
                <w:rFonts w:ascii="Arial" w:hAnsi="Arial" w:cs="Arial"/>
                <w:sz w:val="14"/>
                <w:szCs w:val="14"/>
                <w:lang w:eastAsia="es-ES"/>
              </w:rPr>
              <w:t>Subdirector de Gestión Contractual</w:t>
            </w:r>
            <w:r w:rsidR="008C3903" w:rsidRPr="00A572F4">
              <w:rPr>
                <w:rFonts w:ascii="Arial" w:hAnsi="Arial" w:cs="Arial"/>
                <w:sz w:val="14"/>
                <w:szCs w:val="14"/>
                <w:lang w:eastAsia="es-ES"/>
              </w:rPr>
              <w:t xml:space="preserve"> ANCP – CCE</w:t>
            </w:r>
          </w:p>
        </w:tc>
      </w:tr>
    </w:tbl>
    <w:p w14:paraId="5D4CDD3F" w14:textId="77777777" w:rsidR="0080376A" w:rsidRPr="00A572F4" w:rsidRDefault="0080376A" w:rsidP="00EB2ED0">
      <w:pPr>
        <w:rPr>
          <w:rFonts w:ascii="Arial" w:hAnsi="Arial" w:cs="Arial"/>
          <w:lang w:eastAsia="es-ES"/>
        </w:rPr>
      </w:pPr>
    </w:p>
    <w:bookmarkEnd w:id="2"/>
    <w:p w14:paraId="35B56F46" w14:textId="68D0B3F1" w:rsidR="00746E08" w:rsidRPr="00A572F4" w:rsidRDefault="00746E08" w:rsidP="00EB2ED0">
      <w:pPr>
        <w:spacing w:line="276" w:lineRule="auto"/>
        <w:jc w:val="both"/>
        <w:rPr>
          <w:rFonts w:ascii="Arial" w:hAnsi="Arial" w:cs="Arial"/>
          <w:lang w:val="es-ES_tradnl"/>
        </w:rPr>
      </w:pPr>
    </w:p>
    <w:sectPr w:rsidR="00746E08" w:rsidRPr="00A572F4"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0597A" w14:textId="77777777" w:rsidR="004F4BF9" w:rsidRDefault="004F4BF9">
      <w:r>
        <w:separator/>
      </w:r>
    </w:p>
  </w:endnote>
  <w:endnote w:type="continuationSeparator" w:id="0">
    <w:p w14:paraId="47F32535" w14:textId="77777777" w:rsidR="004F4BF9" w:rsidRDefault="004F4BF9">
      <w:r>
        <w:continuationSeparator/>
      </w:r>
    </w:p>
  </w:endnote>
  <w:endnote w:type="continuationNotice" w:id="1">
    <w:p w14:paraId="23CDECD3" w14:textId="77777777" w:rsidR="004F4BF9" w:rsidRDefault="004F4B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7B1929" w:rsidRDefault="007B1929" w:rsidP="00322937">
    <w:pPr>
      <w:pStyle w:val="Sinespaciado"/>
      <w:jc w:val="right"/>
      <w:rPr>
        <w:rFonts w:ascii="Arial" w:hAnsi="Arial" w:cs="Arial"/>
        <w:sz w:val="18"/>
        <w:szCs w:val="18"/>
      </w:rPr>
    </w:pPr>
  </w:p>
  <w:p w14:paraId="7A3785F3" w14:textId="2EF28465" w:rsidR="007B1929" w:rsidRPr="008217B7" w:rsidRDefault="007B192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7B1929" w:rsidRDefault="007B1929"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B1929" w:rsidRDefault="007B1929" w:rsidP="007B0854">
    <w:pPr>
      <w:pStyle w:val="Piedepgina"/>
      <w:jc w:val="center"/>
      <w:rPr>
        <w:lang w:val="es-ES"/>
      </w:rPr>
    </w:pPr>
  </w:p>
  <w:p w14:paraId="6C0EFC49" w14:textId="77777777" w:rsidR="007B1929" w:rsidRPr="007B0854" w:rsidRDefault="007B192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BFD02" w14:textId="77777777" w:rsidR="004F4BF9" w:rsidRDefault="004F4BF9">
      <w:r>
        <w:separator/>
      </w:r>
    </w:p>
  </w:footnote>
  <w:footnote w:type="continuationSeparator" w:id="0">
    <w:p w14:paraId="7FB74F2E" w14:textId="77777777" w:rsidR="004F4BF9" w:rsidRDefault="004F4BF9">
      <w:r>
        <w:continuationSeparator/>
      </w:r>
    </w:p>
  </w:footnote>
  <w:footnote w:type="continuationNotice" w:id="1">
    <w:p w14:paraId="6FFAFAED" w14:textId="77777777" w:rsidR="004F4BF9" w:rsidRDefault="004F4BF9"/>
  </w:footnote>
  <w:footnote w:id="2">
    <w:p w14:paraId="79AE3BCB" w14:textId="3C7E8499" w:rsidR="002638F4" w:rsidRDefault="002638F4" w:rsidP="002638F4">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La Agencia también se ha pronunciado sobre los factores de desempate introducidos por el artículo 35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y C-102 del 25 de marzo de 2020.</w:t>
      </w:r>
    </w:p>
    <w:p w14:paraId="5CB1B294" w14:textId="77777777" w:rsidR="00963A67" w:rsidRDefault="00963A67" w:rsidP="002638F4">
      <w:pPr>
        <w:pStyle w:val="Textonotapie"/>
        <w:ind w:firstLine="708"/>
        <w:jc w:val="both"/>
        <w:rPr>
          <w:rFonts w:ascii="Arial" w:hAnsi="Arial" w:cs="Arial"/>
          <w:sz w:val="19"/>
          <w:szCs w:val="19"/>
          <w:lang w:val="es-CO"/>
        </w:rPr>
      </w:pPr>
    </w:p>
  </w:footnote>
  <w:footnote w:id="3">
    <w:p w14:paraId="632CD27C" w14:textId="77777777" w:rsidR="007B1929" w:rsidRPr="008640C4" w:rsidRDefault="007B1929" w:rsidP="0099308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4993CEFD" w14:textId="77777777" w:rsidR="007B1929" w:rsidRPr="008640C4" w:rsidRDefault="007B1929" w:rsidP="0099308E">
      <w:pPr>
        <w:pStyle w:val="Textonotapie"/>
        <w:ind w:firstLine="709"/>
        <w:jc w:val="both"/>
        <w:rPr>
          <w:rFonts w:ascii="Arial" w:hAnsi="Arial" w:cs="Arial"/>
          <w:sz w:val="19"/>
          <w:szCs w:val="19"/>
          <w:lang w:val="es-ES"/>
        </w:rPr>
      </w:pPr>
    </w:p>
  </w:footnote>
  <w:footnote w:id="4">
    <w:p w14:paraId="4678A7FC" w14:textId="77777777" w:rsidR="007B1929" w:rsidRPr="008640C4" w:rsidRDefault="007B1929" w:rsidP="0099308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1DD153DA" w14:textId="77777777" w:rsidR="007B1929" w:rsidRPr="008640C4" w:rsidRDefault="007B1929" w:rsidP="0099308E">
      <w:pPr>
        <w:pStyle w:val="Textonotapie"/>
        <w:ind w:firstLine="709"/>
        <w:jc w:val="both"/>
        <w:rPr>
          <w:rFonts w:ascii="Arial" w:hAnsi="Arial" w:cs="Arial"/>
          <w:sz w:val="19"/>
          <w:szCs w:val="19"/>
          <w:lang w:val="es-ES"/>
        </w:rPr>
      </w:pPr>
    </w:p>
  </w:footnote>
  <w:footnote w:id="5">
    <w:p w14:paraId="028A9BDB" w14:textId="77777777" w:rsidR="007B1929" w:rsidRPr="008640C4" w:rsidRDefault="007B1929" w:rsidP="0099308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1A89C2E1" w14:textId="77777777" w:rsidR="007B1929" w:rsidRPr="008640C4" w:rsidRDefault="007B1929" w:rsidP="0099308E">
      <w:pPr>
        <w:pStyle w:val="Textonotapie"/>
        <w:ind w:firstLine="709"/>
        <w:jc w:val="both"/>
        <w:rPr>
          <w:rFonts w:ascii="Arial" w:hAnsi="Arial" w:cs="Arial"/>
          <w:sz w:val="19"/>
          <w:szCs w:val="19"/>
          <w:lang w:val="es-ES"/>
        </w:rPr>
      </w:pPr>
    </w:p>
  </w:footnote>
  <w:footnote w:id="6">
    <w:p w14:paraId="3205EC8F" w14:textId="77777777" w:rsidR="007B1929" w:rsidRPr="008640C4" w:rsidRDefault="007B1929" w:rsidP="0099308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28510AFC" w14:textId="77777777" w:rsidR="007B1929" w:rsidRPr="008640C4" w:rsidRDefault="007B1929" w:rsidP="0099308E">
      <w:pPr>
        <w:pStyle w:val="Textonotapie"/>
        <w:ind w:firstLine="709"/>
        <w:jc w:val="both"/>
        <w:rPr>
          <w:rFonts w:ascii="Arial" w:hAnsi="Arial" w:cs="Arial"/>
          <w:sz w:val="19"/>
          <w:szCs w:val="19"/>
          <w:lang w:val="es-ES"/>
        </w:rPr>
      </w:pPr>
    </w:p>
  </w:footnote>
  <w:footnote w:id="7">
    <w:p w14:paraId="481F21A4" w14:textId="77777777" w:rsidR="007B1929" w:rsidRPr="008640C4" w:rsidRDefault="007B1929" w:rsidP="0099308E">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6D5A5DFA" w14:textId="77777777" w:rsidR="007B1929" w:rsidRPr="008640C4" w:rsidRDefault="007B1929" w:rsidP="0099308E">
      <w:pPr>
        <w:pStyle w:val="Textonotapie"/>
        <w:ind w:firstLine="709"/>
        <w:jc w:val="both"/>
        <w:rPr>
          <w:rFonts w:ascii="Arial" w:hAnsi="Arial" w:cs="Arial"/>
          <w:sz w:val="19"/>
          <w:szCs w:val="19"/>
          <w:lang w:val="es-ES"/>
        </w:rPr>
      </w:pPr>
    </w:p>
  </w:footnote>
  <w:footnote w:id="8">
    <w:p w14:paraId="3ED43203" w14:textId="77777777" w:rsidR="007B1929" w:rsidRPr="001F5C3E" w:rsidRDefault="007B1929" w:rsidP="0099308E">
      <w:pPr>
        <w:pStyle w:val="Textonotapie"/>
        <w:ind w:firstLine="708"/>
        <w:jc w:val="both"/>
        <w:rPr>
          <w:rFonts w:ascii="Arial" w:hAnsi="Arial" w:cs="Arial"/>
          <w:bCs/>
          <w:color w:val="000000" w:themeColor="text1"/>
          <w:sz w:val="19"/>
          <w:szCs w:val="19"/>
        </w:rPr>
      </w:pPr>
      <w:r w:rsidRPr="001F5C3E">
        <w:rPr>
          <w:rStyle w:val="Refdenotaalpie"/>
          <w:rFonts w:ascii="Arial" w:hAnsi="Arial" w:cs="Arial"/>
          <w:color w:val="000000" w:themeColor="text1"/>
          <w:sz w:val="19"/>
          <w:szCs w:val="19"/>
        </w:rPr>
        <w:footnoteRef/>
      </w:r>
      <w:r w:rsidRPr="001F5C3E">
        <w:rPr>
          <w:rFonts w:ascii="Arial" w:hAnsi="Arial" w:cs="Arial"/>
          <w:color w:val="000000" w:themeColor="text1"/>
          <w:sz w:val="19"/>
          <w:szCs w:val="19"/>
        </w:rPr>
        <w:t xml:space="preserve"> </w:t>
      </w:r>
      <w:r w:rsidRPr="001F5C3E">
        <w:rPr>
          <w:rFonts w:ascii="Arial" w:hAnsi="Arial" w:cs="Arial"/>
          <w:bCs/>
          <w:color w:val="000000" w:themeColor="text1"/>
          <w:sz w:val="19"/>
          <w:szCs w:val="19"/>
        </w:rPr>
        <w:t xml:space="preserve">Esta política se justifica en la medida que: «Cuando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 (Cfr. </w:t>
      </w:r>
      <w:r w:rsidRPr="001F5C3E">
        <w:rPr>
          <w:rFonts w:ascii="Arial" w:hAnsi="Arial" w:cs="Arial"/>
          <w:color w:val="000000" w:themeColor="text1"/>
          <w:sz w:val="19"/>
          <w:szCs w:val="19"/>
        </w:rPr>
        <w:t xml:space="preserve">CONSEJO NACIONAL DE POLÍTICA ECONÓMICA Y SOCIAL. Documento 3956 del 8 de enero de 2019: «Política de formalización empresarial». Archivo consultado el 8 de febrero de 2021 en la página web </w:t>
      </w:r>
      <w:hyperlink r:id="rId1" w:history="1">
        <w:r w:rsidRPr="001F5C3E">
          <w:rPr>
            <w:rStyle w:val="Hipervnculo"/>
            <w:rFonts w:ascii="Arial" w:hAnsi="Arial" w:cs="Arial"/>
            <w:color w:val="000000" w:themeColor="text1"/>
            <w:sz w:val="19"/>
            <w:szCs w:val="19"/>
          </w:rPr>
          <w:t>https://colaboracion.dnp.gov.co/CDT/Conpes/Econ%C3%B3micos/3956.pdf</w:t>
        </w:r>
      </w:hyperlink>
      <w:r w:rsidRPr="001F5C3E">
        <w:rPr>
          <w:rFonts w:ascii="Arial" w:hAnsi="Arial" w:cs="Arial"/>
          <w:color w:val="000000" w:themeColor="text1"/>
          <w:sz w:val="19"/>
          <w:szCs w:val="19"/>
        </w:rPr>
        <w:t xml:space="preserve">).  </w:t>
      </w:r>
    </w:p>
    <w:p w14:paraId="6D8F7008" w14:textId="77777777" w:rsidR="007B1929" w:rsidRPr="00AA2812" w:rsidRDefault="007B1929" w:rsidP="0099308E">
      <w:pPr>
        <w:pStyle w:val="Textonotapie"/>
        <w:ind w:firstLine="708"/>
        <w:jc w:val="both"/>
        <w:rPr>
          <w:rFonts w:ascii="Arial" w:hAnsi="Arial" w:cs="Arial"/>
          <w:sz w:val="19"/>
          <w:szCs w:val="19"/>
          <w:lang w:val="es-ES"/>
        </w:rPr>
      </w:pPr>
    </w:p>
  </w:footnote>
  <w:footnote w:id="9">
    <w:p w14:paraId="32C9E608" w14:textId="77777777" w:rsidR="007B1929" w:rsidRPr="00A1541C" w:rsidRDefault="007B1929" w:rsidP="0099308E">
      <w:pPr>
        <w:pStyle w:val="Textonotapie"/>
        <w:ind w:firstLine="708"/>
        <w:jc w:val="both"/>
        <w:rPr>
          <w:rFonts w:ascii="Arial" w:hAnsi="Arial" w:cs="Arial"/>
          <w:sz w:val="19"/>
          <w:szCs w:val="19"/>
          <w:lang w:val="es-ES"/>
        </w:rPr>
      </w:pPr>
      <w:r w:rsidRPr="00A1541C">
        <w:rPr>
          <w:rStyle w:val="Refdenotaalpie"/>
          <w:rFonts w:ascii="Arial" w:hAnsi="Arial" w:cs="Arial"/>
          <w:sz w:val="19"/>
          <w:szCs w:val="19"/>
        </w:rPr>
        <w:footnoteRef/>
      </w:r>
      <w:r>
        <w:rPr>
          <w:rFonts w:ascii="Arial" w:hAnsi="Arial" w:cs="Arial"/>
          <w:sz w:val="19"/>
          <w:szCs w:val="19"/>
        </w:rPr>
        <w:t xml:space="preserve"> </w:t>
      </w:r>
      <w:bookmarkStart w:id="5" w:name="_Hlk63862868"/>
      <w:r>
        <w:rPr>
          <w:rFonts w:ascii="Arial" w:hAnsi="Arial" w:cs="Arial"/>
          <w:sz w:val="19"/>
          <w:szCs w:val="19"/>
        </w:rPr>
        <w:t xml:space="preserve">CONGRESO DE LA REPÚBLICA. Gaceta No. 670 del 11 de agosto de 2020. Exposición de motivos del Proyecto de Ley No. 122 de 2020 Cámara. p. 13. </w:t>
      </w:r>
      <w:bookmarkEnd w:id="5"/>
    </w:p>
  </w:footnote>
  <w:footnote w:id="10">
    <w:p w14:paraId="068A95F4" w14:textId="77777777" w:rsidR="007B1929" w:rsidRPr="00614771" w:rsidRDefault="007B1929" w:rsidP="0099308E">
      <w:pPr>
        <w:pStyle w:val="Textonotapie"/>
        <w:ind w:firstLine="708"/>
        <w:jc w:val="both"/>
        <w:rPr>
          <w:rFonts w:ascii="Arial" w:hAnsi="Arial" w:cs="Arial"/>
          <w:sz w:val="19"/>
          <w:szCs w:val="19"/>
          <w:lang w:val="es-ES"/>
        </w:rPr>
      </w:pPr>
      <w:r w:rsidRPr="00614771">
        <w:rPr>
          <w:rStyle w:val="Refdenotaalpie"/>
          <w:rFonts w:ascii="Arial" w:hAnsi="Arial" w:cs="Arial"/>
          <w:sz w:val="19"/>
          <w:szCs w:val="19"/>
        </w:rPr>
        <w:footnoteRef/>
      </w:r>
      <w:r w:rsidRPr="00614771">
        <w:rPr>
          <w:rFonts w:ascii="Arial" w:hAnsi="Arial" w:cs="Arial"/>
          <w:sz w:val="19"/>
          <w:szCs w:val="19"/>
        </w:rPr>
        <w:t xml:space="preserve"> </w:t>
      </w:r>
      <w:r>
        <w:rPr>
          <w:rFonts w:ascii="Arial" w:hAnsi="Arial" w:cs="Arial"/>
          <w:sz w:val="19"/>
          <w:szCs w:val="19"/>
        </w:rPr>
        <w:t>El artículo 189.11 de la Constitución Política de 1991 dispone que corresponde al Presidente de la República «</w:t>
      </w:r>
      <w:r w:rsidRPr="00614771">
        <w:rPr>
          <w:rFonts w:ascii="Arial" w:hAnsi="Arial" w:cs="Arial"/>
          <w:sz w:val="19"/>
          <w:szCs w:val="19"/>
        </w:rPr>
        <w:t>Ejercer la potestad reglamentaria, mediante la expedición de los decretos, resoluciones y órdenes necesarios para la cumplida ejecución de las leyes</w:t>
      </w:r>
      <w:r>
        <w:rPr>
          <w:rFonts w:ascii="Arial" w:hAnsi="Arial" w:cs="Arial"/>
          <w:sz w:val="19"/>
          <w:szCs w:val="19"/>
        </w:rPr>
        <w:t xml:space="preserve">».  </w:t>
      </w:r>
    </w:p>
  </w:footnote>
  <w:footnote w:id="11">
    <w:p w14:paraId="0DA76B57" w14:textId="77777777" w:rsidR="007B1929" w:rsidRDefault="007B1929" w:rsidP="0099308E">
      <w:pPr>
        <w:pStyle w:val="Textonotapie"/>
        <w:ind w:firstLine="708"/>
        <w:jc w:val="both"/>
        <w:rPr>
          <w:rFonts w:ascii="Arial" w:hAnsi="Arial" w:cs="Arial"/>
          <w:sz w:val="19"/>
          <w:szCs w:val="19"/>
        </w:rPr>
      </w:pPr>
      <w:r w:rsidRPr="00DA1F59">
        <w:rPr>
          <w:rStyle w:val="Refdenotaalpie"/>
          <w:rFonts w:ascii="Arial" w:hAnsi="Arial" w:cs="Arial"/>
          <w:sz w:val="19"/>
          <w:szCs w:val="19"/>
        </w:rPr>
        <w:footnoteRef/>
      </w:r>
      <w:r w:rsidRPr="00DA1F59">
        <w:rPr>
          <w:rFonts w:ascii="Arial" w:hAnsi="Arial" w:cs="Arial"/>
          <w:sz w:val="19"/>
          <w:szCs w:val="19"/>
        </w:rPr>
        <w:t xml:space="preserve"> No en vano, la Corte Constitucional explica que</w:t>
      </w:r>
      <w:r>
        <w:rPr>
          <w:rFonts w:ascii="Arial" w:hAnsi="Arial" w:cs="Arial"/>
          <w:sz w:val="19"/>
          <w:szCs w:val="19"/>
        </w:rPr>
        <w:t xml:space="preserve"> estos casos la potestad reglamentaria</w:t>
      </w:r>
      <w:r w:rsidRPr="00DA1F59">
        <w:rPr>
          <w:rFonts w:ascii="Arial" w:hAnsi="Arial" w:cs="Arial"/>
          <w:sz w:val="19"/>
          <w:szCs w:val="19"/>
        </w:rPr>
        <w:t xml:space="preserve"> «[…] puede ejercerse por </w:t>
      </w:r>
      <w:r>
        <w:rPr>
          <w:rFonts w:ascii="Arial" w:hAnsi="Arial" w:cs="Arial"/>
          <w:sz w:val="19"/>
          <w:szCs w:val="19"/>
        </w:rPr>
        <w:t>[el Gobierno Nacional]</w:t>
      </w:r>
      <w:r w:rsidRPr="00DA1F59">
        <w:rPr>
          <w:rFonts w:ascii="Arial" w:hAnsi="Arial" w:cs="Arial"/>
          <w:sz w:val="19"/>
          <w:szCs w:val="19"/>
        </w:rPr>
        <w:t xml:space="preserve">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w:t>
      </w:r>
      <w:r>
        <w:rPr>
          <w:rFonts w:ascii="Arial" w:hAnsi="Arial" w:cs="Arial"/>
          <w:sz w:val="19"/>
          <w:szCs w:val="19"/>
        </w:rPr>
        <w:t xml:space="preserve">. </w:t>
      </w:r>
      <w:r w:rsidRPr="00132DBE">
        <w:rPr>
          <w:rFonts w:ascii="Arial" w:hAnsi="Arial" w:cs="Arial"/>
          <w:sz w:val="19"/>
          <w:szCs w:val="19"/>
        </w:rPr>
        <w:t xml:space="preserve">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132DBE">
        <w:rPr>
          <w:rFonts w:ascii="Arial" w:hAnsi="Arial" w:cs="Arial"/>
          <w:i/>
          <w:iCs/>
          <w:sz w:val="19"/>
          <w:szCs w:val="19"/>
        </w:rPr>
        <w:t>La única consecuencia normativa del término establecido por el legislador es la de imponerle al Presidente de la República el deber de reglamentar la ley dentro de dicho plazo</w:t>
      </w:r>
      <w:r>
        <w:rPr>
          <w:rFonts w:ascii="Arial" w:hAnsi="Arial" w:cs="Arial"/>
          <w:sz w:val="19"/>
          <w:szCs w:val="19"/>
        </w:rPr>
        <w:t>» (CORTE CONSTITUCIONAL. Sentencia C-805 de 2001. M.P. Rodrigo Escobar Gil. Corchetes y énfasis fuera de texto).</w:t>
      </w:r>
      <w:r w:rsidRPr="00DA1F59">
        <w:rPr>
          <w:rFonts w:ascii="Arial" w:hAnsi="Arial" w:cs="Arial"/>
          <w:sz w:val="19"/>
          <w:szCs w:val="19"/>
        </w:rPr>
        <w:t xml:space="preserve">  </w:t>
      </w:r>
    </w:p>
    <w:p w14:paraId="6ACD96D5" w14:textId="77777777" w:rsidR="007B1929" w:rsidRPr="00DA1F59" w:rsidRDefault="007B1929" w:rsidP="0099308E">
      <w:pPr>
        <w:pStyle w:val="Textonotapie"/>
        <w:ind w:firstLine="708"/>
        <w:jc w:val="both"/>
        <w:rPr>
          <w:rFonts w:ascii="Arial" w:hAnsi="Arial" w:cs="Arial"/>
          <w:sz w:val="19"/>
          <w:szCs w:val="19"/>
          <w:lang w:val="es-ES"/>
        </w:rPr>
      </w:pPr>
    </w:p>
  </w:footnote>
  <w:footnote w:id="12">
    <w:p w14:paraId="6C206C5A" w14:textId="77777777" w:rsidR="007B1929" w:rsidRDefault="007B1929" w:rsidP="0099308E">
      <w:pPr>
        <w:pStyle w:val="Textonotapie"/>
        <w:ind w:firstLine="708"/>
        <w:jc w:val="both"/>
        <w:rPr>
          <w:rFonts w:ascii="Arial" w:hAnsi="Arial" w:cs="Arial"/>
          <w:sz w:val="19"/>
          <w:szCs w:val="19"/>
        </w:rPr>
      </w:pPr>
      <w:r w:rsidRPr="0053325A">
        <w:rPr>
          <w:rStyle w:val="Refdenotaalpie"/>
          <w:rFonts w:ascii="Arial" w:hAnsi="Arial" w:cs="Arial"/>
          <w:sz w:val="19"/>
          <w:szCs w:val="19"/>
        </w:rPr>
        <w:footnoteRef/>
      </w:r>
      <w:r w:rsidRPr="0053325A">
        <w:rPr>
          <w:rFonts w:ascii="Arial" w:hAnsi="Arial" w:cs="Arial"/>
          <w:sz w:val="19"/>
          <w:szCs w:val="19"/>
        </w:rPr>
        <w:t xml:space="preserve"> </w:t>
      </w:r>
      <w:r>
        <w:rPr>
          <w:rFonts w:ascii="Arial" w:hAnsi="Arial" w:cs="Arial"/>
          <w:sz w:val="19"/>
          <w:szCs w:val="19"/>
        </w:rPr>
        <w:t xml:space="preserve">GUASTINI, Riccardo. Interpretar y argumentar. Madrid: Centro de Estudios Políticos y Constitucionales, 2014. p. 145. El autor también propone los siguientes ejemplos de </w:t>
      </w:r>
      <w:r w:rsidRPr="00122311">
        <w:rPr>
          <w:rFonts w:ascii="Arial" w:hAnsi="Arial" w:cs="Arial"/>
          <w:i/>
          <w:iCs/>
          <w:sz w:val="19"/>
          <w:szCs w:val="19"/>
        </w:rPr>
        <w:t>lagunas técnicas</w:t>
      </w:r>
      <w:r>
        <w:rPr>
          <w:rFonts w:ascii="Arial" w:hAnsi="Arial" w:cs="Arial"/>
          <w:sz w:val="19"/>
          <w:szCs w:val="19"/>
        </w:rPr>
        <w:t xml:space="preserve">: «[…] </w:t>
      </w:r>
      <w:r w:rsidRPr="00122311">
        <w:rPr>
          <w:rFonts w:ascii="Arial" w:hAnsi="Arial" w:cs="Arial"/>
          <w:sz w:val="19"/>
          <w:szCs w:val="19"/>
        </w:rPr>
        <w:t>una norma prescribe la periódica convocatoria de un</w:t>
      </w:r>
      <w:r>
        <w:rPr>
          <w:rFonts w:ascii="Arial" w:hAnsi="Arial" w:cs="Arial"/>
          <w:sz w:val="19"/>
          <w:szCs w:val="19"/>
        </w:rPr>
        <w:t xml:space="preserve"> </w:t>
      </w:r>
      <w:r w:rsidRPr="00122311">
        <w:rPr>
          <w:rFonts w:ascii="Arial" w:hAnsi="Arial" w:cs="Arial"/>
          <w:sz w:val="19"/>
          <w:szCs w:val="19"/>
        </w:rPr>
        <w:t>órgano; pero ninguna norma determina qué sujeto es el competente para</w:t>
      </w:r>
      <w:r>
        <w:rPr>
          <w:rFonts w:ascii="Arial" w:hAnsi="Arial" w:cs="Arial"/>
          <w:sz w:val="19"/>
          <w:szCs w:val="19"/>
        </w:rPr>
        <w:t xml:space="preserve"> </w:t>
      </w:r>
      <w:r w:rsidRPr="00122311">
        <w:rPr>
          <w:rFonts w:ascii="Arial" w:hAnsi="Arial" w:cs="Arial"/>
          <w:sz w:val="19"/>
          <w:szCs w:val="19"/>
        </w:rPr>
        <w:t>convocarlo; una norma instituye cierto órgano electivo, pero ninguna</w:t>
      </w:r>
      <w:r>
        <w:rPr>
          <w:rFonts w:ascii="Arial" w:hAnsi="Arial" w:cs="Arial"/>
          <w:sz w:val="19"/>
          <w:szCs w:val="19"/>
        </w:rPr>
        <w:t xml:space="preserve"> </w:t>
      </w:r>
      <w:r w:rsidRPr="00122311">
        <w:rPr>
          <w:rFonts w:ascii="Arial" w:hAnsi="Arial" w:cs="Arial"/>
          <w:sz w:val="19"/>
          <w:szCs w:val="19"/>
        </w:rPr>
        <w:t>norma establece qué sistema electoral debe adoptarse; una norma recomienda perseguir cierto fin, pero ninguna norma establece qué medios</w:t>
      </w:r>
      <w:r>
        <w:rPr>
          <w:rFonts w:ascii="Arial" w:hAnsi="Arial" w:cs="Arial"/>
          <w:sz w:val="19"/>
          <w:szCs w:val="19"/>
        </w:rPr>
        <w:t xml:space="preserve"> </w:t>
      </w:r>
      <w:r w:rsidRPr="00122311">
        <w:rPr>
          <w:rFonts w:ascii="Arial" w:hAnsi="Arial" w:cs="Arial"/>
          <w:sz w:val="19"/>
          <w:szCs w:val="19"/>
        </w:rPr>
        <w:t>deben utilizarse; etc</w:t>
      </w:r>
      <w:r>
        <w:rPr>
          <w:rFonts w:ascii="Arial" w:hAnsi="Arial" w:cs="Arial"/>
          <w:sz w:val="19"/>
          <w:szCs w:val="19"/>
        </w:rPr>
        <w:t>.» (</w:t>
      </w:r>
      <w:r w:rsidRPr="0040085D">
        <w:rPr>
          <w:rFonts w:ascii="Arial" w:hAnsi="Arial" w:cs="Arial"/>
          <w:i/>
          <w:iCs/>
          <w:sz w:val="19"/>
          <w:szCs w:val="19"/>
        </w:rPr>
        <w:t>Ibidem</w:t>
      </w:r>
      <w:r>
        <w:rPr>
          <w:rFonts w:ascii="Arial" w:hAnsi="Arial" w:cs="Arial"/>
          <w:sz w:val="19"/>
          <w:szCs w:val="19"/>
        </w:rPr>
        <w:t xml:space="preserve">).  </w:t>
      </w:r>
    </w:p>
    <w:p w14:paraId="32E9A604" w14:textId="77777777" w:rsidR="007B1929" w:rsidRPr="00122311" w:rsidRDefault="007B1929" w:rsidP="0099308E">
      <w:pPr>
        <w:pStyle w:val="Textonotapie"/>
        <w:ind w:firstLine="708"/>
        <w:jc w:val="both"/>
        <w:rPr>
          <w:rFonts w:ascii="Arial" w:hAnsi="Arial" w:cs="Arial"/>
          <w:sz w:val="19"/>
          <w:szCs w:val="19"/>
        </w:rPr>
      </w:pPr>
    </w:p>
  </w:footnote>
  <w:footnote w:id="13">
    <w:p w14:paraId="4892C1E4" w14:textId="77777777" w:rsidR="007B1929" w:rsidRPr="006B567C" w:rsidRDefault="007B1929" w:rsidP="0099308E">
      <w:pPr>
        <w:spacing w:line="259" w:lineRule="auto"/>
        <w:ind w:firstLine="708"/>
        <w:jc w:val="both"/>
        <w:rPr>
          <w:rFonts w:ascii="Arial" w:hAnsi="Arial" w:cs="Arial"/>
          <w:sz w:val="19"/>
          <w:szCs w:val="19"/>
        </w:rPr>
      </w:pPr>
      <w:r w:rsidRPr="00E611D3">
        <w:rPr>
          <w:rStyle w:val="Refdenotaalpie"/>
          <w:rFonts w:ascii="Arial" w:hAnsi="Arial" w:cs="Arial"/>
          <w:sz w:val="19"/>
          <w:szCs w:val="19"/>
        </w:rPr>
        <w:footnoteRef/>
      </w:r>
      <w:r w:rsidRPr="00E611D3">
        <w:rPr>
          <w:rFonts w:ascii="Arial" w:hAnsi="Arial" w:cs="Arial"/>
          <w:sz w:val="19"/>
          <w:szCs w:val="19"/>
        </w:rPr>
        <w:t xml:space="preserve"> </w:t>
      </w:r>
      <w:r w:rsidRPr="00092D39">
        <w:rPr>
          <w:rFonts w:ascii="Arial" w:hAnsi="Arial" w:cs="Arial"/>
          <w:sz w:val="19"/>
          <w:szCs w:val="19"/>
        </w:rPr>
        <w:t xml:space="preserve">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(Cfr. </w:t>
      </w:r>
      <w:hyperlink r:id="rId2" w:history="1">
        <w:r w:rsidRPr="00852C30">
          <w:rPr>
            <w:rStyle w:val="Hipervnculo"/>
            <w:rFonts w:ascii="Arial" w:hAnsi="Arial" w:cs="Arial"/>
            <w:color w:val="0E63A8" w:themeColor="text2"/>
            <w:sz w:val="19"/>
            <w:szCs w:val="19"/>
          </w:rPr>
          <w:t>https://www.beltranpardo.com/wp-content/uploads/2021/02/CorteConstitucional_Inexequibilidadpar%C3%A1grafo2Art6L2014.pdf</w:t>
        </w:r>
      </w:hyperlink>
      <w:r w:rsidRPr="00092D39">
        <w:rPr>
          <w:rFonts w:ascii="Arial" w:hAnsi="Arial" w:cs="Arial"/>
          <w:sz w:val="19"/>
          <w:szCs w:val="19"/>
        </w:rPr>
        <w:t>).</w:t>
      </w:r>
      <w:r>
        <w:rPr>
          <w:rFonts w:ascii="Arial" w:hAnsi="Arial" w:cs="Arial"/>
          <w:sz w:val="19"/>
          <w:szCs w:val="19"/>
        </w:rPr>
        <w:t xml:space="preserve">  </w:t>
      </w:r>
    </w:p>
    <w:p w14:paraId="41252AE2" w14:textId="77777777" w:rsidR="007B1929" w:rsidRPr="00E611D3" w:rsidRDefault="007B1929" w:rsidP="0099308E">
      <w:pPr>
        <w:pStyle w:val="Textonotapie"/>
        <w:ind w:firstLine="708"/>
        <w:jc w:val="both"/>
        <w:rPr>
          <w:rFonts w:ascii="Arial" w:hAnsi="Arial" w:cs="Arial"/>
          <w:sz w:val="19"/>
          <w:szCs w:val="19"/>
          <w:lang w:val="es-ES"/>
        </w:rPr>
      </w:pPr>
    </w:p>
  </w:footnote>
  <w:footnote w:id="14">
    <w:p w14:paraId="49EAFEE3" w14:textId="77777777" w:rsidR="007B1929" w:rsidRPr="0040085D" w:rsidRDefault="007B1929" w:rsidP="0099308E">
      <w:pPr>
        <w:pStyle w:val="Textonotapie"/>
        <w:ind w:firstLine="708"/>
        <w:jc w:val="both"/>
        <w:rPr>
          <w:rFonts w:ascii="Arial" w:hAnsi="Arial" w:cs="Arial"/>
          <w:sz w:val="19"/>
          <w:szCs w:val="19"/>
          <w:lang w:val="es-ES"/>
        </w:rPr>
      </w:pPr>
      <w:r w:rsidRPr="0040085D">
        <w:rPr>
          <w:rStyle w:val="Refdenotaalpie"/>
          <w:rFonts w:ascii="Arial" w:hAnsi="Arial" w:cs="Arial"/>
          <w:sz w:val="19"/>
          <w:szCs w:val="19"/>
        </w:rPr>
        <w:footnoteRef/>
      </w:r>
      <w:r w:rsidRPr="0040085D">
        <w:rPr>
          <w:rFonts w:ascii="Arial" w:hAnsi="Arial" w:cs="Arial"/>
          <w:sz w:val="19"/>
          <w:szCs w:val="19"/>
        </w:rPr>
        <w:t xml:space="preserve"> </w:t>
      </w:r>
      <w:r>
        <w:rPr>
          <w:rFonts w:ascii="Arial" w:hAnsi="Arial" w:cs="Arial"/>
          <w:sz w:val="19"/>
          <w:szCs w:val="19"/>
        </w:rPr>
        <w:t xml:space="preserve">Cfr. </w:t>
      </w:r>
      <w:r w:rsidRPr="0040085D">
        <w:rPr>
          <w:rFonts w:ascii="Arial" w:hAnsi="Arial" w:cs="Arial"/>
          <w:sz w:val="19"/>
          <w:szCs w:val="19"/>
        </w:rPr>
        <w:t>CORTE CONSTITUCIONAL. Sentencia C-619 del 14 de junio de 2001. M.P. Marco Gerardo Monr</w:t>
      </w:r>
      <w:r>
        <w:rPr>
          <w:rFonts w:ascii="Arial" w:hAnsi="Arial" w:cs="Arial"/>
          <w:sz w:val="19"/>
          <w:szCs w:val="19"/>
        </w:rPr>
        <w:t>o</w:t>
      </w:r>
      <w:r w:rsidRPr="0040085D">
        <w:rPr>
          <w:rFonts w:ascii="Arial" w:hAnsi="Arial" w:cs="Arial"/>
          <w:sz w:val="19"/>
          <w:szCs w:val="19"/>
        </w:rPr>
        <w:t>y Cabra</w:t>
      </w:r>
      <w:r>
        <w:rPr>
          <w:rFonts w:ascii="Arial" w:hAnsi="Arial" w:cs="Arial"/>
          <w:sz w:val="19"/>
          <w:szCs w:val="19"/>
        </w:rPr>
        <w:t xml:space="preserve">. </w:t>
      </w:r>
    </w:p>
  </w:footnote>
  <w:footnote w:id="15">
    <w:p w14:paraId="57411BB0" w14:textId="77777777" w:rsidR="007B1929" w:rsidRDefault="007B1929" w:rsidP="0099308E">
      <w:pPr>
        <w:pStyle w:val="Textonotapie"/>
        <w:ind w:firstLine="708"/>
        <w:jc w:val="both"/>
        <w:rPr>
          <w:rFonts w:ascii="Arial" w:hAnsi="Arial" w:cs="Arial"/>
          <w:sz w:val="19"/>
          <w:szCs w:val="19"/>
        </w:rPr>
      </w:pPr>
    </w:p>
    <w:p w14:paraId="025812B2" w14:textId="0BE6584D" w:rsidR="007B1929" w:rsidRPr="00002995" w:rsidRDefault="007B1929" w:rsidP="0099308E">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Exp. 36476. M.P. Ruth Stella Correa Palacio.  </w:t>
      </w:r>
    </w:p>
  </w:footnote>
  <w:footnote w:id="16">
    <w:p w14:paraId="07D1D9F6" w14:textId="1ED62DF5" w:rsidR="007B1929" w:rsidRDefault="007B1929" w:rsidP="0099308E">
      <w:pPr>
        <w:pStyle w:val="Textonotapie"/>
        <w:ind w:firstLine="708"/>
        <w:jc w:val="both"/>
        <w:rPr>
          <w:rFonts w:ascii="Arial" w:hAnsi="Arial" w:cs="Arial"/>
          <w:sz w:val="19"/>
          <w:szCs w:val="19"/>
        </w:rPr>
      </w:pPr>
      <w:r w:rsidRPr="002267EA">
        <w:rPr>
          <w:rStyle w:val="Refdenotaalpie"/>
          <w:rFonts w:ascii="Arial" w:hAnsi="Arial" w:cs="Arial"/>
          <w:sz w:val="19"/>
          <w:szCs w:val="19"/>
        </w:rPr>
        <w:footnoteRef/>
      </w:r>
      <w:r w:rsidRPr="002267EA">
        <w:rPr>
          <w:rFonts w:ascii="Arial" w:hAnsi="Arial" w:cs="Arial"/>
          <w:sz w:val="19"/>
          <w:szCs w:val="19"/>
        </w:rPr>
        <w:t xml:space="preserve"> CONGRESO DE LA REPÚBLICA. Gaceta No. 670 del 11 de agosto de 2020. Exposición de motivos del Proyecto de Ley No. 122 de 2020 Cámara. pp. 3-4.</w:t>
      </w:r>
    </w:p>
    <w:p w14:paraId="19ADDB62" w14:textId="77777777" w:rsidR="00681C78" w:rsidRPr="005716A8" w:rsidRDefault="00681C78" w:rsidP="0099308E">
      <w:pPr>
        <w:pStyle w:val="Textonotapie"/>
        <w:ind w:firstLine="708"/>
        <w:jc w:val="both"/>
        <w:rPr>
          <w:rFonts w:ascii="Arial" w:hAnsi="Arial" w:cs="Arial"/>
          <w:sz w:val="19"/>
          <w:szCs w:val="19"/>
          <w:lang w:val="es-ES"/>
        </w:rPr>
      </w:pPr>
    </w:p>
  </w:footnote>
  <w:footnote w:id="17">
    <w:p w14:paraId="4CF4B5C0" w14:textId="77777777" w:rsidR="007B1929" w:rsidRDefault="007B1929" w:rsidP="0099308E">
      <w:pPr>
        <w:pStyle w:val="Textonotapie"/>
        <w:ind w:firstLine="708"/>
        <w:jc w:val="both"/>
        <w:rPr>
          <w:rFonts w:ascii="Arial" w:hAnsi="Arial" w:cs="Arial"/>
          <w:sz w:val="19"/>
          <w:szCs w:val="19"/>
        </w:rPr>
      </w:pPr>
      <w:r w:rsidRPr="00AC3DCF">
        <w:rPr>
          <w:rStyle w:val="Refdenotaalpie"/>
          <w:rFonts w:ascii="Arial" w:hAnsi="Arial" w:cs="Arial"/>
          <w:sz w:val="19"/>
          <w:szCs w:val="19"/>
        </w:rPr>
        <w:footnoteRef/>
      </w:r>
      <w:r w:rsidRPr="00AC3DCF">
        <w:rPr>
          <w:rFonts w:ascii="Arial" w:hAnsi="Arial" w:cs="Arial"/>
          <w:sz w:val="19"/>
          <w:szCs w:val="19"/>
        </w:rPr>
        <w:t xml:space="preserve"> </w:t>
      </w:r>
      <w:r>
        <w:rPr>
          <w:rFonts w:ascii="Arial" w:hAnsi="Arial" w:cs="Arial"/>
          <w:sz w:val="19"/>
          <w:szCs w:val="19"/>
        </w:rPr>
        <w:t>MARÍN CORTÉS, Fabián Gonzalo. El reglamento, como fuente del derecho administrativo. En: las fuentes del derecho administrativo. Texto inédito. p. 203.</w:t>
      </w:r>
    </w:p>
    <w:p w14:paraId="62ED5ED4" w14:textId="77777777" w:rsidR="007B1929" w:rsidRPr="00AC3DCF" w:rsidRDefault="007B1929" w:rsidP="0099308E">
      <w:pPr>
        <w:pStyle w:val="Textonotapie"/>
        <w:ind w:firstLine="708"/>
        <w:jc w:val="both"/>
        <w:rPr>
          <w:rFonts w:ascii="Arial" w:hAnsi="Arial" w:cs="Arial"/>
          <w:sz w:val="19"/>
          <w:szCs w:val="19"/>
          <w:lang w:val="es-ES"/>
        </w:rPr>
      </w:pPr>
    </w:p>
  </w:footnote>
  <w:footnote w:id="18">
    <w:p w14:paraId="475BC587" w14:textId="77777777" w:rsidR="007B1929" w:rsidRPr="00AC3DCF" w:rsidRDefault="007B1929" w:rsidP="0099308E">
      <w:pPr>
        <w:pStyle w:val="Textonotapie"/>
        <w:ind w:firstLine="708"/>
        <w:jc w:val="both"/>
        <w:rPr>
          <w:rFonts w:ascii="Arial" w:hAnsi="Arial" w:cs="Arial"/>
          <w:sz w:val="19"/>
          <w:szCs w:val="19"/>
          <w:lang w:val="es-ES"/>
        </w:rPr>
      </w:pPr>
      <w:r w:rsidRPr="00AC3DCF">
        <w:rPr>
          <w:rStyle w:val="Refdenotaalpie"/>
          <w:rFonts w:ascii="Arial" w:hAnsi="Arial" w:cs="Arial"/>
          <w:sz w:val="19"/>
          <w:szCs w:val="19"/>
        </w:rPr>
        <w:footnoteRef/>
      </w:r>
      <w:r w:rsidRPr="00AC3DCF">
        <w:rPr>
          <w:rFonts w:ascii="Arial" w:hAnsi="Arial" w:cs="Arial"/>
          <w:sz w:val="19"/>
          <w:szCs w:val="19"/>
        </w:rPr>
        <w:t xml:space="preserve"> </w:t>
      </w:r>
      <w:r w:rsidRPr="002B3689">
        <w:rPr>
          <w:rFonts w:ascii="Arial" w:hAnsi="Arial" w:cs="Arial"/>
          <w:i/>
          <w:iCs/>
          <w:sz w:val="19"/>
          <w:szCs w:val="19"/>
        </w:rPr>
        <w:t>Ibidem</w:t>
      </w:r>
      <w:r>
        <w:rPr>
          <w:rFonts w:ascii="Arial" w:hAnsi="Arial" w:cs="Arial"/>
          <w:sz w:val="19"/>
          <w:szCs w:val="19"/>
        </w:rPr>
        <w:t>.</w:t>
      </w:r>
    </w:p>
  </w:footnote>
  <w:footnote w:id="19">
    <w:p w14:paraId="0383F913" w14:textId="77777777" w:rsidR="00AD1B10" w:rsidRPr="001F29DD" w:rsidRDefault="00AD1B10" w:rsidP="00AD1B10">
      <w:pPr>
        <w:ind w:firstLine="709"/>
        <w:jc w:val="both"/>
        <w:rPr>
          <w:rFonts w:ascii="Arial" w:hAnsi="Arial" w:cs="Arial"/>
          <w:sz w:val="19"/>
          <w:szCs w:val="19"/>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En efecto, el artículo 34 de la Ley 2069 de 2020 establece: «</w:t>
      </w:r>
      <w:r w:rsidRPr="001F29DD">
        <w:rPr>
          <w:rFonts w:ascii="Arial" w:hAnsi="Arial" w:cs="Arial"/>
          <w:sz w:val="19"/>
          <w:szCs w:val="19"/>
        </w:rPr>
        <w:t xml:space="preserve">Modifíquese el artículo 12 de la Ley 1150 de 2007, el cual quedará así: </w:t>
      </w:r>
    </w:p>
    <w:p w14:paraId="78F6F264" w14:textId="77777777" w:rsidR="00AD1B10" w:rsidRPr="001F29DD" w:rsidRDefault="00AD1B10" w:rsidP="00AD1B10">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rPr>
        <w:t>»</w:t>
      </w:r>
      <w:r w:rsidRPr="001F29DD">
        <w:rPr>
          <w:rFonts w:ascii="Arial" w:eastAsia="Calibri" w:hAnsi="Arial" w:cs="Arial"/>
          <w:color w:val="000000" w:themeColor="text1"/>
          <w:sz w:val="19"/>
          <w:szCs w:val="19"/>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34BDD1C7" w14:textId="77777777" w:rsidR="00AD1B10" w:rsidRPr="001F29DD" w:rsidRDefault="00AD1B10" w:rsidP="00AD1B10">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7125850C" w14:textId="77777777" w:rsidR="00AD1B10" w:rsidRPr="001F29DD" w:rsidRDefault="00AD1B10" w:rsidP="00AD1B10">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476E21AF" w14:textId="77777777" w:rsidR="00AD1B10" w:rsidRPr="001F29DD" w:rsidRDefault="00AD1B10" w:rsidP="00AD1B10">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670F0805" w14:textId="77777777" w:rsidR="00AD1B10" w:rsidRPr="001F29DD" w:rsidRDefault="00AD1B10" w:rsidP="00AD1B10">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46B392AA" w14:textId="77777777" w:rsidR="00AD1B10" w:rsidRPr="001F29DD" w:rsidRDefault="00AD1B10" w:rsidP="00AD1B10">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2C4646F6" w14:textId="3DC60E1A" w:rsidR="00AD1B10" w:rsidRPr="001F29DD" w:rsidRDefault="00AD1B10" w:rsidP="00681C78">
      <w:pPr>
        <w:ind w:firstLine="709"/>
        <w:jc w:val="both"/>
        <w:rPr>
          <w:rFonts w:ascii="Arial" w:hAnsi="Arial" w:cs="Arial"/>
          <w:sz w:val="19"/>
          <w:szCs w:val="19"/>
          <w:lang w:val="es-ES_tradnl"/>
        </w:rPr>
      </w:pPr>
      <w:r w:rsidRPr="001F29DD">
        <w:rPr>
          <w:rFonts w:ascii="Arial" w:eastAsia="Calibri" w:hAnsi="Arial" w:cs="Arial"/>
          <w:color w:val="000000" w:themeColor="text1"/>
          <w:sz w:val="19"/>
          <w:szCs w:val="19"/>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footnote>
  <w:footnote w:id="20">
    <w:p w14:paraId="3BAAB99E" w14:textId="15C315B0" w:rsidR="00AD1B10" w:rsidRPr="001F29DD" w:rsidRDefault="00AD1B10" w:rsidP="00681C78">
      <w:pPr>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 xml:space="preserve">Corte Constitucional. Sentencia C-502 de 2012. Magistrada Ponente: </w:t>
      </w:r>
      <w:r w:rsidRPr="001F29DD">
        <w:rPr>
          <w:rFonts w:ascii="Arial" w:eastAsiaTheme="minorHAnsi" w:hAnsi="Arial" w:cs="Arial"/>
          <w:sz w:val="19"/>
          <w:szCs w:val="19"/>
          <w:lang w:val="es-ES" w:eastAsia="en-US"/>
        </w:rPr>
        <w:t>Adriana Mar</w:t>
      </w:r>
      <w:r>
        <w:rPr>
          <w:rFonts w:ascii="Arial" w:eastAsiaTheme="minorHAnsi" w:hAnsi="Arial" w:cs="Arial"/>
          <w:sz w:val="19"/>
          <w:szCs w:val="19"/>
          <w:lang w:val="es-ES" w:eastAsia="en-US"/>
        </w:rPr>
        <w:t>í</w:t>
      </w:r>
      <w:r w:rsidRPr="001F29DD">
        <w:rPr>
          <w:rFonts w:ascii="Arial" w:eastAsiaTheme="minorHAnsi" w:hAnsi="Arial" w:cs="Arial"/>
          <w:sz w:val="19"/>
          <w:szCs w:val="19"/>
          <w:lang w:val="es-ES" w:eastAsia="en-US"/>
        </w:rPr>
        <w:t>a Guillén Arango</w:t>
      </w:r>
      <w:r>
        <w:rPr>
          <w:rFonts w:ascii="Arial" w:eastAsiaTheme="minorHAnsi" w:hAnsi="Arial" w:cs="Arial"/>
          <w:sz w:val="19"/>
          <w:szCs w:val="19"/>
          <w:lang w:val="es-ES" w:eastAsia="en-US"/>
        </w:rPr>
        <w:t>.</w:t>
      </w:r>
    </w:p>
  </w:footnote>
  <w:footnote w:id="21">
    <w:p w14:paraId="3FDAFDCA" w14:textId="3A9D1D95" w:rsidR="00AD0617" w:rsidRDefault="00AD0617" w:rsidP="00AD0617">
      <w:pPr>
        <w:pStyle w:val="Textonotapie"/>
        <w:ind w:firstLine="708"/>
        <w:jc w:val="both"/>
        <w:rPr>
          <w:rFonts w:ascii="Arial" w:hAnsi="Arial" w:cs="Arial"/>
          <w:sz w:val="19"/>
          <w:szCs w:val="19"/>
        </w:rPr>
      </w:pPr>
      <w:r w:rsidRPr="00AD0617">
        <w:rPr>
          <w:rStyle w:val="Refdenotaalpie"/>
          <w:rFonts w:ascii="Arial" w:hAnsi="Arial" w:cs="Arial"/>
          <w:sz w:val="19"/>
          <w:szCs w:val="19"/>
        </w:rPr>
        <w:footnoteRef/>
      </w:r>
      <w:r w:rsidRPr="00AD0617">
        <w:rPr>
          <w:rFonts w:ascii="Arial" w:hAnsi="Arial" w:cs="Arial"/>
          <w:sz w:val="19"/>
          <w:szCs w:val="19"/>
        </w:rPr>
        <w:t xml:space="preserve"> Sobre este tema revisar los siguientes conceptos expedidos por esta Agencia: C-098 del 23 de febrero de 2021, C-101 del 24 de marzo de 2021, C-117 del 26 de marzo de 2021, C-181 del 28 de abril de 2021, C-100 del 3 de mayo de 2021, C-195 del 4 de mayo de 2021 y C-198 del 5 de mayo de 2021.</w:t>
      </w:r>
      <w:r>
        <w:rPr>
          <w:rFonts w:ascii="Arial" w:hAnsi="Arial" w:cs="Arial"/>
          <w:sz w:val="19"/>
          <w:szCs w:val="19"/>
        </w:rPr>
        <w:t xml:space="preserve"> Estos y otros conceptos pueden ser consultados en la plataforma de relatoría de Colombia Compra Eficiente disponible en: </w:t>
      </w:r>
      <w:hyperlink r:id="rId3" w:history="1">
        <w:r w:rsidR="00343B9E" w:rsidRPr="00343B9E">
          <w:rPr>
            <w:rStyle w:val="Hipervnculo"/>
            <w:rFonts w:ascii="Arial" w:hAnsi="Arial" w:cs="Arial"/>
            <w:color w:val="0E63A8" w:themeColor="text2"/>
            <w:sz w:val="19"/>
            <w:szCs w:val="19"/>
          </w:rPr>
          <w:t>https://relatoria.colombiacompra.gov.co/busqueda/conceptos</w:t>
        </w:r>
      </w:hyperlink>
    </w:p>
    <w:p w14:paraId="460BCAA6" w14:textId="77777777" w:rsidR="00AD0617" w:rsidRPr="00AD0617" w:rsidRDefault="00AD0617" w:rsidP="00AD0617">
      <w:pPr>
        <w:pStyle w:val="Textonotapie"/>
        <w:ind w:firstLine="708"/>
        <w:jc w:val="both"/>
        <w:rPr>
          <w:rFonts w:ascii="Arial" w:hAnsi="Arial" w:cs="Arial"/>
          <w:sz w:val="19"/>
          <w:szCs w:val="19"/>
          <w:lang w:val="es-CO"/>
        </w:rPr>
      </w:pPr>
    </w:p>
  </w:footnote>
  <w:footnote w:id="22">
    <w:p w14:paraId="779183E9" w14:textId="6B718361" w:rsidR="00B97B5E" w:rsidRPr="00343B9E" w:rsidRDefault="00B97B5E" w:rsidP="00343B9E">
      <w:pPr>
        <w:pStyle w:val="Textonotapie"/>
        <w:ind w:firstLine="708"/>
        <w:jc w:val="both"/>
        <w:rPr>
          <w:rFonts w:ascii="Arial" w:hAnsi="Arial" w:cs="Arial"/>
          <w:sz w:val="19"/>
          <w:szCs w:val="19"/>
          <w:lang w:val="es-CO"/>
        </w:rPr>
      </w:pPr>
      <w:r w:rsidRPr="00343B9E">
        <w:rPr>
          <w:rStyle w:val="Refdenotaalpie"/>
          <w:rFonts w:ascii="Arial" w:hAnsi="Arial" w:cs="Arial"/>
          <w:sz w:val="19"/>
          <w:szCs w:val="19"/>
        </w:rPr>
        <w:footnoteRef/>
      </w:r>
      <w:r w:rsidR="00343B9E" w:rsidRPr="00343B9E">
        <w:rPr>
          <w:rFonts w:ascii="Arial" w:hAnsi="Arial" w:cs="Arial"/>
          <w:sz w:val="19"/>
          <w:szCs w:val="19"/>
        </w:rPr>
        <w:t xml:space="preserve"> Al respecto los conceptos: C-007 del 16 de febrero de 2021, C-138 del 7 de abril de 2021, C-164 del 14 de abril de 2021, C-166 del 23 de abril de 2021, C-181 del 28 de abril de 2021, C-192 del 29 de abril de 2021, C-100 del 3 de mayo de 2021, C-195 del 4 de mayo de 2021 y C-198 del 5 de mayo de 2021, también disponibles en la plataforma de relatoría de esta Agencia.</w:t>
      </w:r>
    </w:p>
  </w:footnote>
  <w:footnote w:id="23">
    <w:p w14:paraId="690EE671" w14:textId="22974CEC" w:rsidR="007B1929" w:rsidRPr="007B1929" w:rsidRDefault="007B1929" w:rsidP="003D41B1">
      <w:pPr>
        <w:pStyle w:val="NormalWeb"/>
        <w:spacing w:before="0" w:beforeAutospacing="0" w:after="0" w:afterAutospacing="0"/>
        <w:ind w:firstLine="708"/>
        <w:jc w:val="both"/>
        <w:rPr>
          <w:rFonts w:ascii="Arial" w:hAnsi="Arial" w:cs="Arial"/>
          <w:sz w:val="19"/>
          <w:szCs w:val="19"/>
        </w:rPr>
      </w:pPr>
      <w:r w:rsidRPr="003D41B1">
        <w:rPr>
          <w:rStyle w:val="Refdenotaalpie"/>
          <w:rFonts w:ascii="Arial" w:hAnsi="Arial" w:cs="Arial"/>
          <w:sz w:val="19"/>
          <w:szCs w:val="19"/>
        </w:rPr>
        <w:footnoteRef/>
      </w:r>
      <w:r w:rsidRPr="003D41B1">
        <w:rPr>
          <w:rFonts w:ascii="Arial" w:hAnsi="Arial" w:cs="Arial"/>
          <w:sz w:val="19"/>
          <w:szCs w:val="19"/>
        </w:rPr>
        <w:t xml:space="preserve"> Ley 1150 de 2007: </w:t>
      </w:r>
      <w:r w:rsidRPr="007B1929">
        <w:rPr>
          <w:rFonts w:ascii="Arial" w:eastAsia="Calibri" w:hAnsi="Arial" w:cs="Arial"/>
          <w:bCs/>
          <w:sz w:val="19"/>
          <w:szCs w:val="19"/>
        </w:rPr>
        <w:t>«</w:t>
      </w:r>
      <w:r w:rsidRPr="007B1929">
        <w:rPr>
          <w:rFonts w:ascii="Arial" w:hAnsi="Arial" w:cs="Arial"/>
          <w:sz w:val="19"/>
          <w:szCs w:val="19"/>
        </w:rPr>
        <w:t>Artículo 5°.</w:t>
      </w:r>
      <w:r w:rsidRPr="007B1929">
        <w:rPr>
          <w:rFonts w:ascii="Arial" w:hAnsi="Arial" w:cs="Arial"/>
          <w:i/>
          <w:iCs/>
          <w:sz w:val="19"/>
          <w:szCs w:val="19"/>
        </w:rPr>
        <w:t xml:space="preserve"> </w:t>
      </w:r>
      <w:r w:rsidRPr="007B1929">
        <w:rPr>
          <w:rFonts w:ascii="Arial" w:hAnsi="Arial" w:cs="Arial"/>
          <w:sz w:val="19"/>
          <w:szCs w:val="19"/>
        </w:rPr>
        <w:t>De la selección objetiva.</w:t>
      </w:r>
      <w:r w:rsidRPr="007B1929">
        <w:rPr>
          <w:rFonts w:ascii="Arial" w:hAnsi="Arial" w:cs="Arial"/>
          <w:i/>
          <w:iCs/>
          <w:sz w:val="19"/>
          <w:szCs w:val="19"/>
        </w:rPr>
        <w:t> </w:t>
      </w:r>
      <w:r w:rsidRPr="007B1929">
        <w:rPr>
          <w:rFonts w:ascii="Arial" w:hAnsi="Arial" w:cs="Arial"/>
          <w:sz w:val="19"/>
          <w:szCs w:val="19"/>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14:paraId="7A53366A" w14:textId="0F96ADD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02825693" w14:textId="5899981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w:t>
      </w:r>
    </w:p>
    <w:p w14:paraId="7AC87B12" w14:textId="206DB77A"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los procesos de selección en los que se tenga en cuenta los factores técnicos y económicos, la oferta más ventajosa será la que resulte de aplicar alguna de las siguientes alternativas:  </w:t>
      </w:r>
    </w:p>
    <w:p w14:paraId="755DB24D" w14:textId="6A14370E"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a) La ponderación de los elementos de calidad y precio soportados en puntajes o fórmulas señaladas en el pliego de condiciones; o  </w:t>
      </w:r>
    </w:p>
    <w:p w14:paraId="34A8DFCF" w14:textId="528A84F1"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b) La ponderación de los elementos de calidad y precio que representen la mejor relación de costo-beneficio para la entidad.  </w:t>
      </w:r>
    </w:p>
    <w:p w14:paraId="6052EDD5" w14:textId="2E3A1BA4"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 </w:t>
      </w:r>
    </w:p>
    <w:p w14:paraId="5085CFA8" w14:textId="5422DBD3"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 </w:t>
      </w:r>
    </w:p>
    <w:p w14:paraId="1196C83F" w14:textId="432DDCA9"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ningún caso se podrá incluir el precio, como factor de escogencia para la selección de consultores. </w:t>
      </w:r>
    </w:p>
    <w:p w14:paraId="156073C3" w14:textId="03AADB59"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Parágrafo 1°.</w:t>
      </w:r>
      <w:r w:rsidRPr="007B1929">
        <w:rPr>
          <w:rFonts w:ascii="Arial" w:hAnsi="Arial" w:cs="Arial"/>
          <w:b/>
          <w:bCs/>
          <w:sz w:val="19"/>
          <w:szCs w:val="19"/>
          <w:lang w:eastAsia="es-CO"/>
        </w:rPr>
        <w:t> </w:t>
      </w:r>
      <w:r w:rsidRPr="007B1929">
        <w:rPr>
          <w:rFonts w:ascii="Arial" w:hAnsi="Arial" w:cs="Arial"/>
          <w:sz w:val="19"/>
          <w:szCs w:val="19"/>
          <w:lang w:eastAsia="es-CO"/>
        </w:rPr>
        <w:t>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3045B0B2" w14:textId="6C2BFCD3" w:rsidR="007B1929" w:rsidRPr="007B1929" w:rsidRDefault="007B1929" w:rsidP="003D41B1">
      <w:pPr>
        <w:ind w:firstLine="708"/>
        <w:jc w:val="both"/>
        <w:rPr>
          <w:rFonts w:ascii="Arial" w:hAnsi="Arial" w:cs="Arial"/>
          <w:sz w:val="19"/>
          <w:szCs w:val="19"/>
          <w:lang w:eastAsia="es-CO"/>
        </w:rPr>
      </w:pPr>
      <w:r w:rsidRPr="007B1929">
        <w:rPr>
          <w:rFonts w:ascii="Arial" w:eastAsia="Calibri" w:hAnsi="Arial" w:cs="Arial"/>
          <w:bCs/>
          <w:sz w:val="19"/>
          <w:szCs w:val="19"/>
        </w:rPr>
        <w:t>»</w:t>
      </w:r>
      <w:r w:rsidRPr="007B1929">
        <w:rPr>
          <w:rFonts w:ascii="Arial" w:hAnsi="Arial" w:cs="Arial"/>
          <w:sz w:val="19"/>
          <w:szCs w:val="19"/>
          <w:lang w:eastAsia="es-CO"/>
        </w:rPr>
        <w:t>Durante el término otorgado para subsanar las ofertas, los proponentes no podrán acreditar circunstancias ocurridas con posterioridad al cierre del proceso. </w:t>
      </w:r>
    </w:p>
    <w:p w14:paraId="7CBFAA4B" w14:textId="1E9F9BE2" w:rsidR="007B1929" w:rsidRPr="007B1929" w:rsidRDefault="007B1929" w:rsidP="003D41B1">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Parágrafo 2°. Las certificaciones de sistemas de gestión de calidad no serán objeto de calificación, ni podrán establecerse como documento habilitante para participar en licitaciones o concursos. </w:t>
      </w:r>
    </w:p>
    <w:p w14:paraId="5FF50D3C" w14:textId="7E20C0B5" w:rsidR="007B1929" w:rsidRPr="007B1929" w:rsidRDefault="007B1929" w:rsidP="003D41B1">
      <w:pPr>
        <w:ind w:firstLine="708"/>
        <w:jc w:val="both"/>
        <w:rPr>
          <w:rFonts w:ascii="Arial" w:hAnsi="Arial" w:cs="Arial"/>
          <w:sz w:val="19"/>
          <w:szCs w:val="19"/>
          <w:lang w:eastAsia="es-CO"/>
        </w:rPr>
      </w:pPr>
      <w:r w:rsidRPr="007B1929">
        <w:rPr>
          <w:rFonts w:ascii="Arial" w:eastAsia="Calibri" w:hAnsi="Arial" w:cs="Arial"/>
          <w:bCs/>
          <w:sz w:val="19"/>
          <w:szCs w:val="19"/>
        </w:rPr>
        <w:t>»</w:t>
      </w:r>
      <w:r w:rsidRPr="007B1929">
        <w:rPr>
          <w:rFonts w:ascii="Arial" w:hAnsi="Arial" w:cs="Arial"/>
          <w:sz w:val="19"/>
          <w:szCs w:val="19"/>
          <w:lang w:eastAsia="es-CO"/>
        </w:rPr>
        <w:t>Parágrafo 3°. La no entrega de la garantía de seriedad junto con la propuesta no será subsanable y será causal de rechazo de la misma. </w:t>
      </w:r>
    </w:p>
    <w:p w14:paraId="570998BA" w14:textId="57B60D15" w:rsidR="007B1929" w:rsidRPr="007B1929" w:rsidRDefault="007B1929" w:rsidP="003D41B1">
      <w:pPr>
        <w:ind w:firstLine="708"/>
        <w:jc w:val="both"/>
        <w:rPr>
          <w:rFonts w:ascii="Arial" w:hAnsi="Arial" w:cs="Arial"/>
          <w:sz w:val="19"/>
          <w:szCs w:val="19"/>
          <w:lang w:eastAsia="es-CO"/>
        </w:rPr>
      </w:pPr>
      <w:r w:rsidRPr="007B1929">
        <w:rPr>
          <w:rFonts w:ascii="Arial" w:eastAsia="Calibri" w:hAnsi="Arial" w:cs="Arial"/>
          <w:bCs/>
          <w:sz w:val="19"/>
          <w:szCs w:val="19"/>
        </w:rPr>
        <w:t>»</w:t>
      </w:r>
      <w:r w:rsidRPr="007B1929">
        <w:rPr>
          <w:rFonts w:ascii="Arial" w:hAnsi="Arial" w:cs="Arial"/>
          <w:sz w:val="19"/>
          <w:szCs w:val="19"/>
          <w:lang w:eastAsia="es-CO"/>
        </w:rPr>
        <w:t>Parágrafo 4°.</w:t>
      </w:r>
      <w:r w:rsidRPr="007B1929">
        <w:rPr>
          <w:rFonts w:ascii="Arial" w:hAnsi="Arial" w:cs="Arial"/>
          <w:b/>
          <w:bCs/>
          <w:sz w:val="19"/>
          <w:szCs w:val="19"/>
          <w:lang w:eastAsia="es-CO"/>
        </w:rPr>
        <w:t> </w:t>
      </w:r>
      <w:r w:rsidRPr="007B1929">
        <w:rPr>
          <w:rFonts w:ascii="Arial" w:hAnsi="Arial" w:cs="Arial"/>
          <w:sz w:val="19"/>
          <w:szCs w:val="19"/>
          <w:lang w:eastAsia="es-CO"/>
        </w:rPr>
        <w:t>En aquellos procesos de selección en los que se utilice el mecanismo de subasta, los documentos referentes a la futura contratación o al proponente, no necesarios para la comparación de las propuestas, deberán ser solicitados hasta el momento previo a su realización. </w:t>
      </w:r>
    </w:p>
    <w:p w14:paraId="0BB8761D" w14:textId="752C1B04" w:rsidR="007B1929" w:rsidRDefault="007B1929" w:rsidP="00681C78">
      <w:pPr>
        <w:jc w:val="both"/>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Parágrafo 5°. En los procesos de contratación, las entidades estatales deberán aceptar la experiencia adquirida por los proponentes a través de la ejecución de contratos con particulares</w:t>
      </w:r>
      <w:r w:rsidRPr="007B1929">
        <w:rPr>
          <w:rFonts w:ascii="Arial" w:eastAsia="Calibri" w:hAnsi="Arial" w:cs="Arial"/>
          <w:bCs/>
          <w:sz w:val="19"/>
          <w:szCs w:val="19"/>
        </w:rPr>
        <w:t>».</w:t>
      </w:r>
      <w:r>
        <w:t xml:space="preserve"> </w:t>
      </w:r>
    </w:p>
    <w:p w14:paraId="38156476" w14:textId="77777777" w:rsidR="00170D2F" w:rsidRPr="001679EF" w:rsidRDefault="00170D2F" w:rsidP="00681C78">
      <w:pPr>
        <w:jc w:val="both"/>
      </w:pPr>
    </w:p>
  </w:footnote>
  <w:footnote w:id="24">
    <w:p w14:paraId="2BF86794" w14:textId="73D886D5" w:rsidR="007B1929" w:rsidRDefault="007B1929" w:rsidP="002647FD">
      <w:pPr>
        <w:pStyle w:val="Textonotapie"/>
        <w:ind w:firstLine="708"/>
        <w:jc w:val="both"/>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sz w:val="19"/>
          <w:szCs w:val="19"/>
        </w:rPr>
        <w:t xml:space="preserve"> </w:t>
      </w:r>
      <w:r w:rsidRPr="00705806">
        <w:rPr>
          <w:rFonts w:ascii="Arial" w:hAnsi="Arial" w:cs="Arial"/>
          <w:sz w:val="19"/>
          <w:szCs w:val="19"/>
          <w:lang w:val="es-CO"/>
        </w:rPr>
        <w:t>DÁVILA VINUEZA, Luis Guillermo. Régimen jurídico de la contratación estatal, Tercera edición, Legis Editores, 2016, Bogotá, pág. 355.</w:t>
      </w:r>
    </w:p>
    <w:p w14:paraId="54B981E7" w14:textId="77777777" w:rsidR="007B1929" w:rsidRPr="00705806" w:rsidRDefault="007B1929" w:rsidP="002647FD">
      <w:pPr>
        <w:pStyle w:val="Textonotapie"/>
        <w:ind w:firstLine="708"/>
        <w:jc w:val="both"/>
        <w:rPr>
          <w:rFonts w:ascii="Arial" w:hAnsi="Arial" w:cs="Arial"/>
          <w:sz w:val="19"/>
          <w:szCs w:val="19"/>
          <w:lang w:val="es-CO"/>
        </w:rPr>
      </w:pPr>
    </w:p>
  </w:footnote>
  <w:footnote w:id="25">
    <w:p w14:paraId="03DE0F17" w14:textId="28AE0037" w:rsidR="00212BC8" w:rsidRDefault="007B1929" w:rsidP="00E13AE1">
      <w:pPr>
        <w:pStyle w:val="Textonotapie"/>
        <w:ind w:firstLine="708"/>
        <w:jc w:val="both"/>
        <w:rPr>
          <w:rFonts w:ascii="Arial" w:eastAsia="Calibri" w:hAnsi="Arial" w:cs="Arial"/>
          <w:sz w:val="19"/>
          <w:szCs w:val="19"/>
          <w:lang w:val="es-ES_tradnl"/>
        </w:rPr>
      </w:pPr>
      <w:r w:rsidRPr="00420547">
        <w:rPr>
          <w:rStyle w:val="Refdenotaalpie"/>
          <w:rFonts w:ascii="Arial" w:hAnsi="Arial" w:cs="Arial"/>
          <w:sz w:val="19"/>
          <w:szCs w:val="19"/>
        </w:rPr>
        <w:footnoteRef/>
      </w:r>
      <w:r w:rsidRPr="00420547">
        <w:rPr>
          <w:rFonts w:ascii="Arial" w:hAnsi="Arial" w:cs="Arial"/>
          <w:sz w:val="19"/>
          <w:szCs w:val="19"/>
        </w:rPr>
        <w:t xml:space="preserve"> </w:t>
      </w:r>
      <w:r w:rsidRPr="007B1929">
        <w:rPr>
          <w:rFonts w:ascii="Arial" w:eastAsia="Calibri" w:hAnsi="Arial" w:cs="Arial"/>
          <w:sz w:val="19"/>
          <w:szCs w:val="19"/>
          <w:lang w:val="es-ES_tradnl"/>
        </w:rPr>
        <w:t>RODRÍGUEZ TAMAYO, Mauricio F. Evaluación y rechazo de ofertas en la Ley 80 de 1993. Primera edición, Editorial Librería Jurídica Sánchez, Medellín, 2016, págs. 110-111.</w:t>
      </w:r>
    </w:p>
    <w:p w14:paraId="364AF880" w14:textId="77777777" w:rsidR="00170D2F" w:rsidRPr="00420547" w:rsidRDefault="00170D2F" w:rsidP="00E13AE1">
      <w:pPr>
        <w:pStyle w:val="Textonotapie"/>
        <w:ind w:firstLine="708"/>
        <w:jc w:val="both"/>
        <w:rPr>
          <w:rFonts w:ascii="Arial" w:hAnsi="Arial" w:cs="Arial"/>
          <w:sz w:val="19"/>
          <w:szCs w:val="19"/>
          <w:lang w:val="es-CO"/>
        </w:rPr>
      </w:pPr>
    </w:p>
  </w:footnote>
  <w:footnote w:id="26">
    <w:p w14:paraId="38C229EE" w14:textId="2E82E09D" w:rsidR="007B1929" w:rsidRDefault="007B1929" w:rsidP="000C7648">
      <w:pPr>
        <w:pStyle w:val="Textonotapie"/>
        <w:ind w:firstLine="708"/>
        <w:jc w:val="both"/>
        <w:rPr>
          <w:rFonts w:ascii="Arial" w:hAnsi="Arial" w:cs="Arial"/>
          <w:sz w:val="19"/>
          <w:szCs w:val="19"/>
        </w:rPr>
      </w:pPr>
      <w:r w:rsidRPr="00705806">
        <w:rPr>
          <w:rStyle w:val="Refdenotaalpie"/>
          <w:rFonts w:ascii="Arial" w:hAnsi="Arial" w:cs="Arial"/>
          <w:sz w:val="19"/>
          <w:szCs w:val="19"/>
        </w:rPr>
        <w:footnoteRef/>
      </w:r>
      <w:r w:rsidRPr="00705806">
        <w:rPr>
          <w:rFonts w:ascii="Arial" w:hAnsi="Arial" w:cs="Arial"/>
          <w:sz w:val="19"/>
          <w:szCs w:val="19"/>
        </w:rPr>
        <w:t xml:space="preserve"> EXPÓSITO VELEZ, Juan C., El deber de selección objetiva, en: Del contrato estatal a los sistemas de compras públicas, por COVILLA MARTINEZ Juan C. y LOZANO VILLEGAS Germán (Eds.). Universidad Externado de Colombia, Bogotá, 2019, págs. 118-184.</w:t>
      </w:r>
    </w:p>
    <w:p w14:paraId="6DEFBCD3" w14:textId="77777777" w:rsidR="007B1929" w:rsidRPr="00705806" w:rsidRDefault="007B1929" w:rsidP="000C7648">
      <w:pPr>
        <w:pStyle w:val="Textonotapie"/>
        <w:ind w:firstLine="708"/>
        <w:jc w:val="both"/>
        <w:rPr>
          <w:rFonts w:ascii="Arial" w:hAnsi="Arial" w:cs="Arial"/>
          <w:sz w:val="19"/>
          <w:szCs w:val="19"/>
          <w:lang w:val="es-CO"/>
        </w:rPr>
      </w:pPr>
    </w:p>
  </w:footnote>
  <w:footnote w:id="27">
    <w:p w14:paraId="167A5907" w14:textId="77777777" w:rsidR="007B1929" w:rsidRPr="00705806" w:rsidRDefault="007B1929" w:rsidP="00493870">
      <w:pPr>
        <w:pStyle w:val="Textonotapie"/>
        <w:ind w:firstLine="708"/>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i/>
          <w:iCs/>
          <w:sz w:val="19"/>
          <w:szCs w:val="19"/>
        </w:rPr>
        <w:t xml:space="preserve"> </w:t>
      </w:r>
      <w:r w:rsidRPr="00705806">
        <w:rPr>
          <w:rFonts w:ascii="Arial" w:hAnsi="Arial" w:cs="Arial"/>
          <w:i/>
          <w:iCs/>
          <w:sz w:val="19"/>
          <w:szCs w:val="19"/>
          <w:lang w:val="es-CO"/>
        </w:rPr>
        <w:t>Ibídem.</w:t>
      </w:r>
    </w:p>
  </w:footnote>
  <w:footnote w:id="28">
    <w:p w14:paraId="740A1CFC" w14:textId="77777777" w:rsidR="007B1929" w:rsidRPr="00C93A42" w:rsidRDefault="007B1929" w:rsidP="000E3965">
      <w:pPr>
        <w:ind w:firstLine="708"/>
        <w:jc w:val="both"/>
        <w:rPr>
          <w:rFonts w:ascii="Arial" w:hAnsi="Arial" w:cs="Arial"/>
          <w:sz w:val="19"/>
          <w:szCs w:val="19"/>
          <w:lang w:eastAsia="es-CO"/>
        </w:rPr>
      </w:pPr>
      <w:r w:rsidRPr="00C93A42">
        <w:rPr>
          <w:rStyle w:val="Refdenotaalpie"/>
          <w:rFonts w:ascii="Arial" w:hAnsi="Arial" w:cs="Arial"/>
          <w:sz w:val="19"/>
          <w:szCs w:val="19"/>
        </w:rPr>
        <w:footnoteRef/>
      </w:r>
      <w:r w:rsidRPr="00C93A42">
        <w:rPr>
          <w:rFonts w:ascii="Arial" w:hAnsi="Arial" w:cs="Arial"/>
          <w:sz w:val="19"/>
          <w:szCs w:val="19"/>
        </w:rPr>
        <w:t xml:space="preserve"> Decreto 1082 de 2015 </w:t>
      </w:r>
      <w:r w:rsidRPr="00C93A42">
        <w:rPr>
          <w:rFonts w:ascii="Arial" w:eastAsia="Calibri" w:hAnsi="Arial" w:cs="Arial"/>
          <w:bCs/>
          <w:sz w:val="19"/>
          <w:szCs w:val="19"/>
        </w:rPr>
        <w:t>«</w:t>
      </w:r>
      <w:r w:rsidRPr="00C93A42">
        <w:rPr>
          <w:rFonts w:ascii="Arial" w:hAnsi="Arial" w:cs="Arial"/>
          <w:sz w:val="19"/>
          <w:szCs w:val="19"/>
          <w:lang w:eastAsia="es-CO"/>
        </w:rPr>
        <w:t>Artículo 2.2.1.1.2.2.2. Ofrecimiento más favorable. La Entidad Estatal debe determinar la oferta más favorable teniendo en cuenta las normas aplicables a cada modalidad de selección del contratista. </w:t>
      </w:r>
    </w:p>
    <w:p w14:paraId="4306D8F9"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 </w:t>
      </w:r>
    </w:p>
    <w:p w14:paraId="78BE91CF"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1. Las condiciones técnicas y económicas mínimas de la oferta. </w:t>
      </w:r>
    </w:p>
    <w:p w14:paraId="41ECABBC"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2. Las condiciones técnicas adicionales que representan ventajas de calidad o de funcionamiento, tales como el uso de tecnología o materiales que generen mayor eficiencia, rendimiento o duración del bien, obra o servicio. </w:t>
      </w:r>
    </w:p>
    <w:p w14:paraId="2F8516C0"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w:t>
      </w:r>
    </w:p>
    <w:p w14:paraId="1FC69A38"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4. El valor en dinero que la Entidad Estatal asigna a cada ofrecimiento técnico o económico adicional, para permitir la ponderación de las ofertas presentadas. </w:t>
      </w:r>
    </w:p>
    <w:p w14:paraId="21172159" w14:textId="77777777" w:rsidR="007B1929" w:rsidRPr="00C93A42" w:rsidRDefault="007B1929" w:rsidP="000E3965">
      <w:pPr>
        <w:jc w:val="both"/>
        <w:rPr>
          <w:rFonts w:ascii="Arial" w:hAnsi="Arial" w:cs="Arial"/>
          <w:sz w:val="19"/>
          <w:szCs w:val="19"/>
          <w:lang w:eastAsia="es-CO"/>
        </w:rPr>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p>
    <w:p w14:paraId="0F67265B" w14:textId="77777777" w:rsidR="007B1929" w:rsidRPr="00C93A42" w:rsidRDefault="007B1929" w:rsidP="000E3965">
      <w:pPr>
        <w:jc w:val="both"/>
      </w:pPr>
      <w:r w:rsidRPr="00C93A42">
        <w:rPr>
          <w:rFonts w:ascii="Arial" w:hAnsi="Arial" w:cs="Arial"/>
          <w:sz w:val="19"/>
          <w:szCs w:val="19"/>
          <w:lang w:eastAsia="es-CO"/>
        </w:rPr>
        <w:t>  </w:t>
      </w:r>
      <w:r w:rsidRPr="00C93A42">
        <w:rPr>
          <w:rFonts w:ascii="Arial" w:hAnsi="Arial" w:cs="Arial"/>
          <w:sz w:val="19"/>
          <w:szCs w:val="19"/>
          <w:lang w:eastAsia="es-CO"/>
        </w:rPr>
        <w:tab/>
      </w:r>
      <w:r w:rsidRPr="00C93A42">
        <w:rPr>
          <w:rFonts w:ascii="Arial" w:eastAsia="Calibri" w:hAnsi="Arial" w:cs="Arial"/>
          <w:bCs/>
          <w:sz w:val="19"/>
          <w:szCs w:val="19"/>
        </w:rPr>
        <w:t>»</w:t>
      </w:r>
      <w:r w:rsidRPr="00C93A42">
        <w:rPr>
          <w:rFonts w:ascii="Arial" w:hAnsi="Arial" w:cs="Arial"/>
          <w:sz w:val="19"/>
          <w:szCs w:val="19"/>
          <w:lang w:eastAsia="es-CO"/>
        </w:rPr>
        <w:t>La Entidad Estatal debe adjudicar al oferente que presentó la oferta con la mejor relación costo-beneficio y suscribir el contrato por el precio total ofrecido</w:t>
      </w:r>
      <w:r w:rsidRPr="00C93A42">
        <w:rPr>
          <w:rFonts w:ascii="Arial" w:eastAsia="Calibri" w:hAnsi="Arial" w:cs="Arial"/>
          <w:bCs/>
          <w:sz w:val="19"/>
          <w:szCs w:val="19"/>
        </w:rPr>
        <w:t>»</w:t>
      </w:r>
      <w:r w:rsidRPr="00C93A42">
        <w:rPr>
          <w:rFonts w:ascii="Arial" w:hAnsi="Arial" w:cs="Arial"/>
          <w:sz w:val="19"/>
          <w:szCs w:val="19"/>
          <w:lang w:eastAsia="es-CO"/>
        </w:rPr>
        <w:t>. </w:t>
      </w:r>
    </w:p>
  </w:footnote>
  <w:footnote w:id="29">
    <w:p w14:paraId="320D8222" w14:textId="16463427" w:rsidR="007B1929" w:rsidRPr="00576186" w:rsidRDefault="007B1929" w:rsidP="00DF24C4">
      <w:pPr>
        <w:pStyle w:val="Textonotapie"/>
        <w:ind w:firstLine="708"/>
        <w:jc w:val="both"/>
        <w:rPr>
          <w:rFonts w:ascii="Arial" w:hAnsi="Arial" w:cs="Arial"/>
          <w:sz w:val="19"/>
          <w:szCs w:val="19"/>
          <w:lang w:val="es-CO"/>
        </w:rPr>
      </w:pPr>
      <w:r w:rsidRPr="00576186">
        <w:rPr>
          <w:rStyle w:val="Refdenotaalpie"/>
          <w:rFonts w:ascii="Arial" w:hAnsi="Arial" w:cs="Arial"/>
          <w:sz w:val="19"/>
          <w:szCs w:val="19"/>
        </w:rPr>
        <w:footnoteRef/>
      </w:r>
      <w:r w:rsidRPr="00576186">
        <w:rPr>
          <w:rFonts w:ascii="Arial" w:hAnsi="Arial" w:cs="Arial"/>
          <w:sz w:val="19"/>
          <w:szCs w:val="19"/>
        </w:rPr>
        <w:t xml:space="preserve"> Según este principio, «[…] en caso de perplejidades hermenéuticas, el operador jurídico debe preferir, entre las diversas interpretaciones de las disposiciones aplicables al caso, aquella que produzca efectos, sobre aquella que no, o sobre aquella que sea superflua o irrazonable […]» (</w:t>
      </w:r>
      <w:r w:rsidRPr="00576186">
        <w:rPr>
          <w:rFonts w:ascii="Arial" w:hAnsi="Arial" w:cs="Arial"/>
          <w:sz w:val="19"/>
          <w:szCs w:val="19"/>
          <w:lang w:val="es-CO"/>
        </w:rPr>
        <w:t xml:space="preserve">CORTE CONSTITUCIONAL. Sentencia C-569 del 8 de junio de 2004. M.P. (E). </w:t>
      </w:r>
      <w:r w:rsidRPr="007B1929">
        <w:rPr>
          <w:rFonts w:ascii="Arial" w:hAnsi="Arial" w:cs="Arial"/>
          <w:sz w:val="19"/>
          <w:szCs w:val="19"/>
          <w:shd w:val="clear" w:color="auto" w:fill="FFFFFF"/>
        </w:rPr>
        <w:t>Rodrigo Uprimny Yepes).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7B1929" w:rsidRDefault="007B1929">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620726105">
    <w:abstractNumId w:val="9"/>
  </w:num>
  <w:num w:numId="2" w16cid:durableId="2045596377">
    <w:abstractNumId w:val="7"/>
  </w:num>
  <w:num w:numId="3" w16cid:durableId="1896771983">
    <w:abstractNumId w:val="12"/>
  </w:num>
  <w:num w:numId="4" w16cid:durableId="302976277">
    <w:abstractNumId w:val="15"/>
  </w:num>
  <w:num w:numId="5" w16cid:durableId="122700743">
    <w:abstractNumId w:val="19"/>
  </w:num>
  <w:num w:numId="6" w16cid:durableId="7401662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53079531">
    <w:abstractNumId w:val="17"/>
  </w:num>
  <w:num w:numId="8" w16cid:durableId="1893803386">
    <w:abstractNumId w:val="0"/>
  </w:num>
  <w:num w:numId="9" w16cid:durableId="1165515789">
    <w:abstractNumId w:val="3"/>
  </w:num>
  <w:num w:numId="10" w16cid:durableId="1274826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58397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5156283">
    <w:abstractNumId w:val="8"/>
  </w:num>
  <w:num w:numId="13" w16cid:durableId="349112335">
    <w:abstractNumId w:val="11"/>
  </w:num>
  <w:num w:numId="14" w16cid:durableId="1942028288">
    <w:abstractNumId w:val="6"/>
  </w:num>
  <w:num w:numId="15" w16cid:durableId="50459267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156939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0624028">
    <w:abstractNumId w:val="21"/>
  </w:num>
  <w:num w:numId="18" w16cid:durableId="1169565564">
    <w:abstractNumId w:val="13"/>
  </w:num>
  <w:num w:numId="19" w16cid:durableId="1742215772">
    <w:abstractNumId w:val="2"/>
  </w:num>
  <w:num w:numId="20" w16cid:durableId="1888637262">
    <w:abstractNumId w:val="22"/>
  </w:num>
  <w:num w:numId="21" w16cid:durableId="1412890789">
    <w:abstractNumId w:val="14"/>
  </w:num>
  <w:num w:numId="22" w16cid:durableId="741291552">
    <w:abstractNumId w:val="5"/>
  </w:num>
  <w:num w:numId="23" w16cid:durableId="1771006404">
    <w:abstractNumId w:val="4"/>
  </w:num>
  <w:num w:numId="24" w16cid:durableId="1511410225">
    <w:abstractNumId w:val="20"/>
  </w:num>
  <w:num w:numId="25" w16cid:durableId="15894575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CFD"/>
    <w:rsid w:val="0000162E"/>
    <w:rsid w:val="00001A1C"/>
    <w:rsid w:val="00001CC9"/>
    <w:rsid w:val="00001FFD"/>
    <w:rsid w:val="00002027"/>
    <w:rsid w:val="000020FE"/>
    <w:rsid w:val="00002173"/>
    <w:rsid w:val="0000248C"/>
    <w:rsid w:val="00002588"/>
    <w:rsid w:val="00003020"/>
    <w:rsid w:val="000031A8"/>
    <w:rsid w:val="00003C5C"/>
    <w:rsid w:val="00003D39"/>
    <w:rsid w:val="000040D7"/>
    <w:rsid w:val="00004173"/>
    <w:rsid w:val="00004556"/>
    <w:rsid w:val="000051AF"/>
    <w:rsid w:val="000059D3"/>
    <w:rsid w:val="00005B6D"/>
    <w:rsid w:val="0000600A"/>
    <w:rsid w:val="00006081"/>
    <w:rsid w:val="00007750"/>
    <w:rsid w:val="000077FD"/>
    <w:rsid w:val="00007948"/>
    <w:rsid w:val="00007DAD"/>
    <w:rsid w:val="00007E37"/>
    <w:rsid w:val="000105D9"/>
    <w:rsid w:val="00010C40"/>
    <w:rsid w:val="000112B4"/>
    <w:rsid w:val="00011DCC"/>
    <w:rsid w:val="00011EA4"/>
    <w:rsid w:val="00012532"/>
    <w:rsid w:val="00012B9E"/>
    <w:rsid w:val="00012EFA"/>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7E0"/>
    <w:rsid w:val="000209E2"/>
    <w:rsid w:val="00020F8F"/>
    <w:rsid w:val="00021A95"/>
    <w:rsid w:val="00021C8A"/>
    <w:rsid w:val="0002256F"/>
    <w:rsid w:val="00023A0B"/>
    <w:rsid w:val="00023DAE"/>
    <w:rsid w:val="00024896"/>
    <w:rsid w:val="00024A81"/>
    <w:rsid w:val="0002504E"/>
    <w:rsid w:val="000255FA"/>
    <w:rsid w:val="00025D0A"/>
    <w:rsid w:val="000263F0"/>
    <w:rsid w:val="00026407"/>
    <w:rsid w:val="000265C7"/>
    <w:rsid w:val="00026608"/>
    <w:rsid w:val="00027787"/>
    <w:rsid w:val="000278D2"/>
    <w:rsid w:val="00027C93"/>
    <w:rsid w:val="000303E4"/>
    <w:rsid w:val="00030B30"/>
    <w:rsid w:val="00030DFB"/>
    <w:rsid w:val="00031364"/>
    <w:rsid w:val="000315E1"/>
    <w:rsid w:val="0003236E"/>
    <w:rsid w:val="000323C6"/>
    <w:rsid w:val="000323FA"/>
    <w:rsid w:val="00032689"/>
    <w:rsid w:val="00032C89"/>
    <w:rsid w:val="000332E1"/>
    <w:rsid w:val="0003339A"/>
    <w:rsid w:val="000341F2"/>
    <w:rsid w:val="00035046"/>
    <w:rsid w:val="000351F2"/>
    <w:rsid w:val="00035328"/>
    <w:rsid w:val="0003535C"/>
    <w:rsid w:val="00035768"/>
    <w:rsid w:val="000368FE"/>
    <w:rsid w:val="00036D03"/>
    <w:rsid w:val="00036E03"/>
    <w:rsid w:val="000374FB"/>
    <w:rsid w:val="00037510"/>
    <w:rsid w:val="000406DB"/>
    <w:rsid w:val="0004094D"/>
    <w:rsid w:val="00041029"/>
    <w:rsid w:val="00041357"/>
    <w:rsid w:val="0004149B"/>
    <w:rsid w:val="00041FC6"/>
    <w:rsid w:val="00042961"/>
    <w:rsid w:val="00042C25"/>
    <w:rsid w:val="00042D03"/>
    <w:rsid w:val="00043086"/>
    <w:rsid w:val="000430A0"/>
    <w:rsid w:val="00043652"/>
    <w:rsid w:val="00043A34"/>
    <w:rsid w:val="00043D3B"/>
    <w:rsid w:val="0004418C"/>
    <w:rsid w:val="00044204"/>
    <w:rsid w:val="0004477A"/>
    <w:rsid w:val="000449D4"/>
    <w:rsid w:val="00045D5B"/>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50D"/>
    <w:rsid w:val="0005474D"/>
    <w:rsid w:val="00055A41"/>
    <w:rsid w:val="00055CB9"/>
    <w:rsid w:val="00056C51"/>
    <w:rsid w:val="00056F66"/>
    <w:rsid w:val="0005702F"/>
    <w:rsid w:val="000572DE"/>
    <w:rsid w:val="000578FF"/>
    <w:rsid w:val="00057CBB"/>
    <w:rsid w:val="00060446"/>
    <w:rsid w:val="00061010"/>
    <w:rsid w:val="00061D06"/>
    <w:rsid w:val="00062CDD"/>
    <w:rsid w:val="00062DB3"/>
    <w:rsid w:val="0006310D"/>
    <w:rsid w:val="00063472"/>
    <w:rsid w:val="000640AF"/>
    <w:rsid w:val="0006460D"/>
    <w:rsid w:val="00064940"/>
    <w:rsid w:val="00064CAE"/>
    <w:rsid w:val="00064DB7"/>
    <w:rsid w:val="00064FA7"/>
    <w:rsid w:val="00065195"/>
    <w:rsid w:val="0006536C"/>
    <w:rsid w:val="0006626E"/>
    <w:rsid w:val="00066A7F"/>
    <w:rsid w:val="0006791B"/>
    <w:rsid w:val="00070AF1"/>
    <w:rsid w:val="000714DE"/>
    <w:rsid w:val="00071CFC"/>
    <w:rsid w:val="0007254F"/>
    <w:rsid w:val="0007357C"/>
    <w:rsid w:val="00073C30"/>
    <w:rsid w:val="00074305"/>
    <w:rsid w:val="000744D0"/>
    <w:rsid w:val="00074B2A"/>
    <w:rsid w:val="00074E6F"/>
    <w:rsid w:val="00074EEE"/>
    <w:rsid w:val="000753D5"/>
    <w:rsid w:val="00075567"/>
    <w:rsid w:val="00075B3E"/>
    <w:rsid w:val="00076456"/>
    <w:rsid w:val="0007779B"/>
    <w:rsid w:val="000777E7"/>
    <w:rsid w:val="0007790A"/>
    <w:rsid w:val="000779F2"/>
    <w:rsid w:val="0008017B"/>
    <w:rsid w:val="0008049A"/>
    <w:rsid w:val="00080ACD"/>
    <w:rsid w:val="000811ED"/>
    <w:rsid w:val="00081D62"/>
    <w:rsid w:val="00081FFA"/>
    <w:rsid w:val="0008269B"/>
    <w:rsid w:val="000829AE"/>
    <w:rsid w:val="00082B74"/>
    <w:rsid w:val="00083099"/>
    <w:rsid w:val="00083480"/>
    <w:rsid w:val="0008389B"/>
    <w:rsid w:val="00083EDC"/>
    <w:rsid w:val="00084B97"/>
    <w:rsid w:val="00084F87"/>
    <w:rsid w:val="00085033"/>
    <w:rsid w:val="0008510E"/>
    <w:rsid w:val="000856DE"/>
    <w:rsid w:val="00085F17"/>
    <w:rsid w:val="00085FB0"/>
    <w:rsid w:val="00085FB3"/>
    <w:rsid w:val="000860A8"/>
    <w:rsid w:val="0008614E"/>
    <w:rsid w:val="0008686B"/>
    <w:rsid w:val="00086B2A"/>
    <w:rsid w:val="00086ED2"/>
    <w:rsid w:val="00087A64"/>
    <w:rsid w:val="0009082C"/>
    <w:rsid w:val="00090C39"/>
    <w:rsid w:val="000914D6"/>
    <w:rsid w:val="00091569"/>
    <w:rsid w:val="00091957"/>
    <w:rsid w:val="00092654"/>
    <w:rsid w:val="00092CDB"/>
    <w:rsid w:val="00092DCA"/>
    <w:rsid w:val="000932BB"/>
    <w:rsid w:val="00093851"/>
    <w:rsid w:val="000942EB"/>
    <w:rsid w:val="00095B70"/>
    <w:rsid w:val="0009617E"/>
    <w:rsid w:val="0009628D"/>
    <w:rsid w:val="0009670F"/>
    <w:rsid w:val="00096D15"/>
    <w:rsid w:val="000970E4"/>
    <w:rsid w:val="000979CF"/>
    <w:rsid w:val="00097F53"/>
    <w:rsid w:val="000A03C8"/>
    <w:rsid w:val="000A03F2"/>
    <w:rsid w:val="000A05F2"/>
    <w:rsid w:val="000A06C4"/>
    <w:rsid w:val="000A0861"/>
    <w:rsid w:val="000A0EC4"/>
    <w:rsid w:val="000A0ED1"/>
    <w:rsid w:val="000A12DB"/>
    <w:rsid w:val="000A17C8"/>
    <w:rsid w:val="000A1B74"/>
    <w:rsid w:val="000A20D7"/>
    <w:rsid w:val="000A2128"/>
    <w:rsid w:val="000A362F"/>
    <w:rsid w:val="000A3B49"/>
    <w:rsid w:val="000A45E2"/>
    <w:rsid w:val="000A467C"/>
    <w:rsid w:val="000A46FE"/>
    <w:rsid w:val="000A47E6"/>
    <w:rsid w:val="000A52C0"/>
    <w:rsid w:val="000A5AAF"/>
    <w:rsid w:val="000A5ACE"/>
    <w:rsid w:val="000A5F97"/>
    <w:rsid w:val="000A609A"/>
    <w:rsid w:val="000A648E"/>
    <w:rsid w:val="000A7268"/>
    <w:rsid w:val="000A73BB"/>
    <w:rsid w:val="000A73E8"/>
    <w:rsid w:val="000A7EF4"/>
    <w:rsid w:val="000B046C"/>
    <w:rsid w:val="000B0A15"/>
    <w:rsid w:val="000B103F"/>
    <w:rsid w:val="000B1437"/>
    <w:rsid w:val="000B1470"/>
    <w:rsid w:val="000B175E"/>
    <w:rsid w:val="000B244D"/>
    <w:rsid w:val="000B2A1A"/>
    <w:rsid w:val="000B2B86"/>
    <w:rsid w:val="000B3051"/>
    <w:rsid w:val="000B419B"/>
    <w:rsid w:val="000B56F9"/>
    <w:rsid w:val="000B5781"/>
    <w:rsid w:val="000B5CB1"/>
    <w:rsid w:val="000B6D8B"/>
    <w:rsid w:val="000B75F4"/>
    <w:rsid w:val="000C0185"/>
    <w:rsid w:val="000C084E"/>
    <w:rsid w:val="000C0F81"/>
    <w:rsid w:val="000C128D"/>
    <w:rsid w:val="000C17A3"/>
    <w:rsid w:val="000C1D4B"/>
    <w:rsid w:val="000C1D5C"/>
    <w:rsid w:val="000C2DC4"/>
    <w:rsid w:val="000C3260"/>
    <w:rsid w:val="000C3B77"/>
    <w:rsid w:val="000C3F6D"/>
    <w:rsid w:val="000C47E0"/>
    <w:rsid w:val="000C487D"/>
    <w:rsid w:val="000C4F49"/>
    <w:rsid w:val="000C5861"/>
    <w:rsid w:val="000C5BDE"/>
    <w:rsid w:val="000C639D"/>
    <w:rsid w:val="000C6988"/>
    <w:rsid w:val="000C6C31"/>
    <w:rsid w:val="000C6DBC"/>
    <w:rsid w:val="000C6F79"/>
    <w:rsid w:val="000C7476"/>
    <w:rsid w:val="000C7480"/>
    <w:rsid w:val="000C7648"/>
    <w:rsid w:val="000C7711"/>
    <w:rsid w:val="000C7AA2"/>
    <w:rsid w:val="000D0462"/>
    <w:rsid w:val="000D053D"/>
    <w:rsid w:val="000D0ED2"/>
    <w:rsid w:val="000D107D"/>
    <w:rsid w:val="000D13FD"/>
    <w:rsid w:val="000D1CEB"/>
    <w:rsid w:val="000D241E"/>
    <w:rsid w:val="000D2563"/>
    <w:rsid w:val="000D25BF"/>
    <w:rsid w:val="000D2C83"/>
    <w:rsid w:val="000D2C93"/>
    <w:rsid w:val="000D2F14"/>
    <w:rsid w:val="000D2F86"/>
    <w:rsid w:val="000D2FE4"/>
    <w:rsid w:val="000D3FDC"/>
    <w:rsid w:val="000D490B"/>
    <w:rsid w:val="000D4E38"/>
    <w:rsid w:val="000D50DB"/>
    <w:rsid w:val="000D6288"/>
    <w:rsid w:val="000D6B6C"/>
    <w:rsid w:val="000D6C10"/>
    <w:rsid w:val="000D728B"/>
    <w:rsid w:val="000D7541"/>
    <w:rsid w:val="000D75E1"/>
    <w:rsid w:val="000D786C"/>
    <w:rsid w:val="000E05E2"/>
    <w:rsid w:val="000E22CF"/>
    <w:rsid w:val="000E2977"/>
    <w:rsid w:val="000E2CC0"/>
    <w:rsid w:val="000E30AC"/>
    <w:rsid w:val="000E3965"/>
    <w:rsid w:val="000E3B46"/>
    <w:rsid w:val="000E3E11"/>
    <w:rsid w:val="000E4596"/>
    <w:rsid w:val="000E4B94"/>
    <w:rsid w:val="000E4D50"/>
    <w:rsid w:val="000E54A9"/>
    <w:rsid w:val="000E5768"/>
    <w:rsid w:val="000E5843"/>
    <w:rsid w:val="000E6139"/>
    <w:rsid w:val="000E63B7"/>
    <w:rsid w:val="000E653C"/>
    <w:rsid w:val="000E6BE1"/>
    <w:rsid w:val="000E7E0B"/>
    <w:rsid w:val="000F0060"/>
    <w:rsid w:val="000F0136"/>
    <w:rsid w:val="000F045A"/>
    <w:rsid w:val="000F078A"/>
    <w:rsid w:val="000F0CCE"/>
    <w:rsid w:val="000F122D"/>
    <w:rsid w:val="000F1450"/>
    <w:rsid w:val="000F14E8"/>
    <w:rsid w:val="000F1BBD"/>
    <w:rsid w:val="000F290F"/>
    <w:rsid w:val="000F4141"/>
    <w:rsid w:val="000F4403"/>
    <w:rsid w:val="000F4765"/>
    <w:rsid w:val="000F47F3"/>
    <w:rsid w:val="000F480B"/>
    <w:rsid w:val="000F4A7F"/>
    <w:rsid w:val="000F4E17"/>
    <w:rsid w:val="000F55A8"/>
    <w:rsid w:val="000F5615"/>
    <w:rsid w:val="000F5DFB"/>
    <w:rsid w:val="000F613B"/>
    <w:rsid w:val="000F6420"/>
    <w:rsid w:val="000F6578"/>
    <w:rsid w:val="000F6787"/>
    <w:rsid w:val="000F6F92"/>
    <w:rsid w:val="000F7E8F"/>
    <w:rsid w:val="000F7FBB"/>
    <w:rsid w:val="001000FB"/>
    <w:rsid w:val="00100A9E"/>
    <w:rsid w:val="00100F6A"/>
    <w:rsid w:val="00101129"/>
    <w:rsid w:val="00102605"/>
    <w:rsid w:val="00102686"/>
    <w:rsid w:val="00102745"/>
    <w:rsid w:val="00103795"/>
    <w:rsid w:val="00103915"/>
    <w:rsid w:val="001039AA"/>
    <w:rsid w:val="00103EA0"/>
    <w:rsid w:val="00104149"/>
    <w:rsid w:val="00104F1C"/>
    <w:rsid w:val="001051E5"/>
    <w:rsid w:val="001056CE"/>
    <w:rsid w:val="00105A74"/>
    <w:rsid w:val="00105ACB"/>
    <w:rsid w:val="00105AEF"/>
    <w:rsid w:val="00105B76"/>
    <w:rsid w:val="00106259"/>
    <w:rsid w:val="001068EB"/>
    <w:rsid w:val="001078CE"/>
    <w:rsid w:val="00110F61"/>
    <w:rsid w:val="00111026"/>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0A2"/>
    <w:rsid w:val="001156A7"/>
    <w:rsid w:val="00115C37"/>
    <w:rsid w:val="00116328"/>
    <w:rsid w:val="001163CF"/>
    <w:rsid w:val="00116EC5"/>
    <w:rsid w:val="001174C9"/>
    <w:rsid w:val="001177FE"/>
    <w:rsid w:val="00117E69"/>
    <w:rsid w:val="00120E33"/>
    <w:rsid w:val="00121103"/>
    <w:rsid w:val="00121B78"/>
    <w:rsid w:val="00121BAB"/>
    <w:rsid w:val="00121E3C"/>
    <w:rsid w:val="001223CD"/>
    <w:rsid w:val="00122B23"/>
    <w:rsid w:val="00122B7E"/>
    <w:rsid w:val="00123E27"/>
    <w:rsid w:val="00123FB5"/>
    <w:rsid w:val="0012400F"/>
    <w:rsid w:val="001249DC"/>
    <w:rsid w:val="0012572D"/>
    <w:rsid w:val="00125BED"/>
    <w:rsid w:val="00125C59"/>
    <w:rsid w:val="00125D4F"/>
    <w:rsid w:val="00126F53"/>
    <w:rsid w:val="00127004"/>
    <w:rsid w:val="00127045"/>
    <w:rsid w:val="00127278"/>
    <w:rsid w:val="001275E8"/>
    <w:rsid w:val="0012770B"/>
    <w:rsid w:val="00127AF2"/>
    <w:rsid w:val="00127EDC"/>
    <w:rsid w:val="00127F42"/>
    <w:rsid w:val="00127F6D"/>
    <w:rsid w:val="00130355"/>
    <w:rsid w:val="00130365"/>
    <w:rsid w:val="001304E5"/>
    <w:rsid w:val="00130635"/>
    <w:rsid w:val="00131B5A"/>
    <w:rsid w:val="001329BC"/>
    <w:rsid w:val="00132C30"/>
    <w:rsid w:val="00132EFD"/>
    <w:rsid w:val="00133AED"/>
    <w:rsid w:val="00133ED2"/>
    <w:rsid w:val="00134BCD"/>
    <w:rsid w:val="00134E09"/>
    <w:rsid w:val="001350AB"/>
    <w:rsid w:val="0013546D"/>
    <w:rsid w:val="00135DB9"/>
    <w:rsid w:val="00135E5D"/>
    <w:rsid w:val="0013695C"/>
    <w:rsid w:val="00136BF7"/>
    <w:rsid w:val="00136C78"/>
    <w:rsid w:val="00136DD8"/>
    <w:rsid w:val="00137440"/>
    <w:rsid w:val="001378B9"/>
    <w:rsid w:val="00137FFA"/>
    <w:rsid w:val="00140109"/>
    <w:rsid w:val="0014029B"/>
    <w:rsid w:val="00140464"/>
    <w:rsid w:val="00140A4F"/>
    <w:rsid w:val="001413AB"/>
    <w:rsid w:val="001419D7"/>
    <w:rsid w:val="00141DBF"/>
    <w:rsid w:val="00142EFD"/>
    <w:rsid w:val="00144335"/>
    <w:rsid w:val="0014502F"/>
    <w:rsid w:val="00145282"/>
    <w:rsid w:val="001453B0"/>
    <w:rsid w:val="001454D9"/>
    <w:rsid w:val="00145D8E"/>
    <w:rsid w:val="00146083"/>
    <w:rsid w:val="001462F7"/>
    <w:rsid w:val="001471AB"/>
    <w:rsid w:val="00147EAD"/>
    <w:rsid w:val="00147F35"/>
    <w:rsid w:val="00147FCE"/>
    <w:rsid w:val="00150005"/>
    <w:rsid w:val="00151AEB"/>
    <w:rsid w:val="00151B99"/>
    <w:rsid w:val="00151CD6"/>
    <w:rsid w:val="00151E79"/>
    <w:rsid w:val="001521B2"/>
    <w:rsid w:val="00152EDD"/>
    <w:rsid w:val="00153491"/>
    <w:rsid w:val="0015361C"/>
    <w:rsid w:val="0015372F"/>
    <w:rsid w:val="00153BFB"/>
    <w:rsid w:val="0015407E"/>
    <w:rsid w:val="0015448E"/>
    <w:rsid w:val="00154A6F"/>
    <w:rsid w:val="00154B68"/>
    <w:rsid w:val="00155025"/>
    <w:rsid w:val="00155B07"/>
    <w:rsid w:val="00155BED"/>
    <w:rsid w:val="00155D08"/>
    <w:rsid w:val="0015623B"/>
    <w:rsid w:val="00156BE5"/>
    <w:rsid w:val="00157232"/>
    <w:rsid w:val="00160401"/>
    <w:rsid w:val="00160AA1"/>
    <w:rsid w:val="00160C01"/>
    <w:rsid w:val="00160D4E"/>
    <w:rsid w:val="00161AAD"/>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9EF"/>
    <w:rsid w:val="00167A15"/>
    <w:rsid w:val="00167A50"/>
    <w:rsid w:val="00167D1A"/>
    <w:rsid w:val="00167DF5"/>
    <w:rsid w:val="00170001"/>
    <w:rsid w:val="00170D2F"/>
    <w:rsid w:val="001716D9"/>
    <w:rsid w:val="00171736"/>
    <w:rsid w:val="00172198"/>
    <w:rsid w:val="00172612"/>
    <w:rsid w:val="00172817"/>
    <w:rsid w:val="001733CF"/>
    <w:rsid w:val="001734E3"/>
    <w:rsid w:val="001742BF"/>
    <w:rsid w:val="001742E1"/>
    <w:rsid w:val="00175DC6"/>
    <w:rsid w:val="00175E49"/>
    <w:rsid w:val="0017649F"/>
    <w:rsid w:val="0017655B"/>
    <w:rsid w:val="001778A6"/>
    <w:rsid w:val="00177EAA"/>
    <w:rsid w:val="001805C1"/>
    <w:rsid w:val="00180A2E"/>
    <w:rsid w:val="00180F75"/>
    <w:rsid w:val="001813AF"/>
    <w:rsid w:val="001826C9"/>
    <w:rsid w:val="001829CD"/>
    <w:rsid w:val="00182F01"/>
    <w:rsid w:val="001833E1"/>
    <w:rsid w:val="00183515"/>
    <w:rsid w:val="00184219"/>
    <w:rsid w:val="00184F27"/>
    <w:rsid w:val="00185070"/>
    <w:rsid w:val="0018519B"/>
    <w:rsid w:val="001858C9"/>
    <w:rsid w:val="00185966"/>
    <w:rsid w:val="00185A2D"/>
    <w:rsid w:val="00185AFE"/>
    <w:rsid w:val="00185C79"/>
    <w:rsid w:val="00185E78"/>
    <w:rsid w:val="001868D9"/>
    <w:rsid w:val="001870F5"/>
    <w:rsid w:val="00187177"/>
    <w:rsid w:val="00187ABD"/>
    <w:rsid w:val="001904E3"/>
    <w:rsid w:val="0019087A"/>
    <w:rsid w:val="00190F38"/>
    <w:rsid w:val="001910D9"/>
    <w:rsid w:val="00191C5A"/>
    <w:rsid w:val="00191CEB"/>
    <w:rsid w:val="00191E63"/>
    <w:rsid w:val="00192D68"/>
    <w:rsid w:val="0019388B"/>
    <w:rsid w:val="00193ADE"/>
    <w:rsid w:val="00193B9A"/>
    <w:rsid w:val="001940ED"/>
    <w:rsid w:val="001945DF"/>
    <w:rsid w:val="001946AE"/>
    <w:rsid w:val="001946D5"/>
    <w:rsid w:val="00194E8C"/>
    <w:rsid w:val="001962EC"/>
    <w:rsid w:val="001963DD"/>
    <w:rsid w:val="001965DB"/>
    <w:rsid w:val="00196D01"/>
    <w:rsid w:val="00196DC9"/>
    <w:rsid w:val="00196E95"/>
    <w:rsid w:val="001971FD"/>
    <w:rsid w:val="00197341"/>
    <w:rsid w:val="00197758"/>
    <w:rsid w:val="001A0236"/>
    <w:rsid w:val="001A0915"/>
    <w:rsid w:val="001A0AF8"/>
    <w:rsid w:val="001A0E1B"/>
    <w:rsid w:val="001A1490"/>
    <w:rsid w:val="001A1766"/>
    <w:rsid w:val="001A18AA"/>
    <w:rsid w:val="001A18D5"/>
    <w:rsid w:val="001A1A38"/>
    <w:rsid w:val="001A1BE0"/>
    <w:rsid w:val="001A1D4A"/>
    <w:rsid w:val="001A260A"/>
    <w:rsid w:val="001A2F0E"/>
    <w:rsid w:val="001A3011"/>
    <w:rsid w:val="001A3078"/>
    <w:rsid w:val="001A419E"/>
    <w:rsid w:val="001A431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A69"/>
    <w:rsid w:val="001B0F9F"/>
    <w:rsid w:val="001B123C"/>
    <w:rsid w:val="001B1A0D"/>
    <w:rsid w:val="001B1BF1"/>
    <w:rsid w:val="001B21AC"/>
    <w:rsid w:val="001B2456"/>
    <w:rsid w:val="001B3B25"/>
    <w:rsid w:val="001B449C"/>
    <w:rsid w:val="001B4AA2"/>
    <w:rsid w:val="001B4ADE"/>
    <w:rsid w:val="001B4D36"/>
    <w:rsid w:val="001B5530"/>
    <w:rsid w:val="001B5EF8"/>
    <w:rsid w:val="001B71E8"/>
    <w:rsid w:val="001B73C6"/>
    <w:rsid w:val="001C033E"/>
    <w:rsid w:val="001C07C6"/>
    <w:rsid w:val="001C120D"/>
    <w:rsid w:val="001C16DA"/>
    <w:rsid w:val="001C19CD"/>
    <w:rsid w:val="001C2119"/>
    <w:rsid w:val="001C22D5"/>
    <w:rsid w:val="001C2515"/>
    <w:rsid w:val="001C26FB"/>
    <w:rsid w:val="001C33C1"/>
    <w:rsid w:val="001C3828"/>
    <w:rsid w:val="001C3C82"/>
    <w:rsid w:val="001C3E30"/>
    <w:rsid w:val="001C3E5C"/>
    <w:rsid w:val="001C5072"/>
    <w:rsid w:val="001C5B2A"/>
    <w:rsid w:val="001C600B"/>
    <w:rsid w:val="001C6898"/>
    <w:rsid w:val="001C6DD8"/>
    <w:rsid w:val="001C76FA"/>
    <w:rsid w:val="001C79A4"/>
    <w:rsid w:val="001C7C7B"/>
    <w:rsid w:val="001D068D"/>
    <w:rsid w:val="001D12D1"/>
    <w:rsid w:val="001D15DF"/>
    <w:rsid w:val="001D1A1E"/>
    <w:rsid w:val="001D2552"/>
    <w:rsid w:val="001D28B0"/>
    <w:rsid w:val="001D2EEE"/>
    <w:rsid w:val="001D2FA6"/>
    <w:rsid w:val="001D30F3"/>
    <w:rsid w:val="001D31A0"/>
    <w:rsid w:val="001D338E"/>
    <w:rsid w:val="001D3F00"/>
    <w:rsid w:val="001D4562"/>
    <w:rsid w:val="001D50DB"/>
    <w:rsid w:val="001D56E9"/>
    <w:rsid w:val="001D6944"/>
    <w:rsid w:val="001D6CD2"/>
    <w:rsid w:val="001D6F14"/>
    <w:rsid w:val="001D796A"/>
    <w:rsid w:val="001D7A84"/>
    <w:rsid w:val="001D7C79"/>
    <w:rsid w:val="001E003B"/>
    <w:rsid w:val="001E1CC4"/>
    <w:rsid w:val="001E1D38"/>
    <w:rsid w:val="001E2452"/>
    <w:rsid w:val="001E28A0"/>
    <w:rsid w:val="001E3FFE"/>
    <w:rsid w:val="001E4258"/>
    <w:rsid w:val="001E4868"/>
    <w:rsid w:val="001E5140"/>
    <w:rsid w:val="001E5C3A"/>
    <w:rsid w:val="001E5D6A"/>
    <w:rsid w:val="001E6A94"/>
    <w:rsid w:val="001E70FB"/>
    <w:rsid w:val="001E747D"/>
    <w:rsid w:val="001E780A"/>
    <w:rsid w:val="001F0325"/>
    <w:rsid w:val="001F0806"/>
    <w:rsid w:val="001F0D15"/>
    <w:rsid w:val="001F0FA0"/>
    <w:rsid w:val="001F10E8"/>
    <w:rsid w:val="001F1349"/>
    <w:rsid w:val="001F1863"/>
    <w:rsid w:val="001F1E65"/>
    <w:rsid w:val="001F2356"/>
    <w:rsid w:val="001F2462"/>
    <w:rsid w:val="001F2A68"/>
    <w:rsid w:val="001F2C47"/>
    <w:rsid w:val="001F43DA"/>
    <w:rsid w:val="001F4773"/>
    <w:rsid w:val="001F4DC8"/>
    <w:rsid w:val="001F5008"/>
    <w:rsid w:val="001F56AA"/>
    <w:rsid w:val="001F57EB"/>
    <w:rsid w:val="001F58AA"/>
    <w:rsid w:val="001F5A4E"/>
    <w:rsid w:val="001F5EF6"/>
    <w:rsid w:val="001F5EF9"/>
    <w:rsid w:val="001F63AE"/>
    <w:rsid w:val="001F657F"/>
    <w:rsid w:val="001F6FB6"/>
    <w:rsid w:val="001F72BB"/>
    <w:rsid w:val="001F7978"/>
    <w:rsid w:val="001F7A0E"/>
    <w:rsid w:val="001F7A4B"/>
    <w:rsid w:val="0020022E"/>
    <w:rsid w:val="0020054E"/>
    <w:rsid w:val="002012BE"/>
    <w:rsid w:val="002013E8"/>
    <w:rsid w:val="00201508"/>
    <w:rsid w:val="00201AC4"/>
    <w:rsid w:val="00201F1E"/>
    <w:rsid w:val="00202761"/>
    <w:rsid w:val="0020299B"/>
    <w:rsid w:val="00202B2A"/>
    <w:rsid w:val="00202E44"/>
    <w:rsid w:val="002036BA"/>
    <w:rsid w:val="002037AA"/>
    <w:rsid w:val="00203C94"/>
    <w:rsid w:val="00203FE3"/>
    <w:rsid w:val="002042D8"/>
    <w:rsid w:val="00204515"/>
    <w:rsid w:val="0020492B"/>
    <w:rsid w:val="00204BA0"/>
    <w:rsid w:val="00204BF5"/>
    <w:rsid w:val="00204E6B"/>
    <w:rsid w:val="002053EF"/>
    <w:rsid w:val="002058D4"/>
    <w:rsid w:val="0020632A"/>
    <w:rsid w:val="0020697F"/>
    <w:rsid w:val="00206F4D"/>
    <w:rsid w:val="0020726E"/>
    <w:rsid w:val="00207389"/>
    <w:rsid w:val="0020797E"/>
    <w:rsid w:val="00207C4B"/>
    <w:rsid w:val="00207FCD"/>
    <w:rsid w:val="002110EB"/>
    <w:rsid w:val="00211338"/>
    <w:rsid w:val="00211388"/>
    <w:rsid w:val="002113CF"/>
    <w:rsid w:val="0021148C"/>
    <w:rsid w:val="00211694"/>
    <w:rsid w:val="0021201A"/>
    <w:rsid w:val="00212545"/>
    <w:rsid w:val="00212BC8"/>
    <w:rsid w:val="002138FE"/>
    <w:rsid w:val="00213A1F"/>
    <w:rsid w:val="00213C63"/>
    <w:rsid w:val="00214502"/>
    <w:rsid w:val="00214741"/>
    <w:rsid w:val="0021480C"/>
    <w:rsid w:val="00214938"/>
    <w:rsid w:val="00214B7E"/>
    <w:rsid w:val="0021539A"/>
    <w:rsid w:val="00215852"/>
    <w:rsid w:val="00215B01"/>
    <w:rsid w:val="00215B8E"/>
    <w:rsid w:val="00216264"/>
    <w:rsid w:val="002169A0"/>
    <w:rsid w:val="002176B6"/>
    <w:rsid w:val="0021792D"/>
    <w:rsid w:val="00217DB8"/>
    <w:rsid w:val="00220206"/>
    <w:rsid w:val="002202CE"/>
    <w:rsid w:val="0022032A"/>
    <w:rsid w:val="002212FB"/>
    <w:rsid w:val="0022194E"/>
    <w:rsid w:val="002220B1"/>
    <w:rsid w:val="002221CE"/>
    <w:rsid w:val="00222BE8"/>
    <w:rsid w:val="00222D61"/>
    <w:rsid w:val="00222DF6"/>
    <w:rsid w:val="00223102"/>
    <w:rsid w:val="002232CB"/>
    <w:rsid w:val="00223E0B"/>
    <w:rsid w:val="00224022"/>
    <w:rsid w:val="00225147"/>
    <w:rsid w:val="00225CDE"/>
    <w:rsid w:val="00226055"/>
    <w:rsid w:val="0022609C"/>
    <w:rsid w:val="0022613F"/>
    <w:rsid w:val="0022614F"/>
    <w:rsid w:val="00226236"/>
    <w:rsid w:val="002266AF"/>
    <w:rsid w:val="002270C9"/>
    <w:rsid w:val="00227A8B"/>
    <w:rsid w:val="00230ADA"/>
    <w:rsid w:val="00230E35"/>
    <w:rsid w:val="0023146B"/>
    <w:rsid w:val="00231476"/>
    <w:rsid w:val="002315A0"/>
    <w:rsid w:val="00231748"/>
    <w:rsid w:val="00231A18"/>
    <w:rsid w:val="00231DCC"/>
    <w:rsid w:val="00231EC7"/>
    <w:rsid w:val="00232E15"/>
    <w:rsid w:val="00233079"/>
    <w:rsid w:val="002334C1"/>
    <w:rsid w:val="0023382C"/>
    <w:rsid w:val="00233977"/>
    <w:rsid w:val="00233C58"/>
    <w:rsid w:val="00233C71"/>
    <w:rsid w:val="002345B6"/>
    <w:rsid w:val="002347A6"/>
    <w:rsid w:val="00234B84"/>
    <w:rsid w:val="002352F0"/>
    <w:rsid w:val="00235987"/>
    <w:rsid w:val="00235D09"/>
    <w:rsid w:val="00236016"/>
    <w:rsid w:val="00237065"/>
    <w:rsid w:val="00237589"/>
    <w:rsid w:val="0023758D"/>
    <w:rsid w:val="002375A7"/>
    <w:rsid w:val="0024019A"/>
    <w:rsid w:val="00240DA2"/>
    <w:rsid w:val="00240EC1"/>
    <w:rsid w:val="0024120F"/>
    <w:rsid w:val="0024131D"/>
    <w:rsid w:val="002415B8"/>
    <w:rsid w:val="00241B82"/>
    <w:rsid w:val="00242D5F"/>
    <w:rsid w:val="00242D62"/>
    <w:rsid w:val="00242F5E"/>
    <w:rsid w:val="002430D0"/>
    <w:rsid w:val="0024316E"/>
    <w:rsid w:val="002431D7"/>
    <w:rsid w:val="00244058"/>
    <w:rsid w:val="00244FC3"/>
    <w:rsid w:val="00245718"/>
    <w:rsid w:val="002457E9"/>
    <w:rsid w:val="00245B9E"/>
    <w:rsid w:val="00245E07"/>
    <w:rsid w:val="0024665E"/>
    <w:rsid w:val="00247712"/>
    <w:rsid w:val="0024790F"/>
    <w:rsid w:val="00247D41"/>
    <w:rsid w:val="00250A9E"/>
    <w:rsid w:val="00250EC6"/>
    <w:rsid w:val="00250F5C"/>
    <w:rsid w:val="002515C7"/>
    <w:rsid w:val="00251866"/>
    <w:rsid w:val="00251A9F"/>
    <w:rsid w:val="00252492"/>
    <w:rsid w:val="00252B35"/>
    <w:rsid w:val="00252F57"/>
    <w:rsid w:val="00252FE3"/>
    <w:rsid w:val="00253070"/>
    <w:rsid w:val="002530E2"/>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57BED"/>
    <w:rsid w:val="00260429"/>
    <w:rsid w:val="002604AA"/>
    <w:rsid w:val="00260523"/>
    <w:rsid w:val="00260869"/>
    <w:rsid w:val="0026129B"/>
    <w:rsid w:val="00261560"/>
    <w:rsid w:val="00261715"/>
    <w:rsid w:val="00261CF9"/>
    <w:rsid w:val="00261EC0"/>
    <w:rsid w:val="0026231B"/>
    <w:rsid w:val="00263101"/>
    <w:rsid w:val="002631D1"/>
    <w:rsid w:val="00263201"/>
    <w:rsid w:val="002638F4"/>
    <w:rsid w:val="00263A37"/>
    <w:rsid w:val="00264266"/>
    <w:rsid w:val="0026471F"/>
    <w:rsid w:val="002647FD"/>
    <w:rsid w:val="0026480D"/>
    <w:rsid w:val="002649F3"/>
    <w:rsid w:val="002653A6"/>
    <w:rsid w:val="002661F1"/>
    <w:rsid w:val="00266316"/>
    <w:rsid w:val="00266DB6"/>
    <w:rsid w:val="0027046B"/>
    <w:rsid w:val="00271107"/>
    <w:rsid w:val="002711A4"/>
    <w:rsid w:val="00271230"/>
    <w:rsid w:val="00271F13"/>
    <w:rsid w:val="00272640"/>
    <w:rsid w:val="00272945"/>
    <w:rsid w:val="00272E89"/>
    <w:rsid w:val="002742D0"/>
    <w:rsid w:val="00274522"/>
    <w:rsid w:val="0027482E"/>
    <w:rsid w:val="002748F1"/>
    <w:rsid w:val="00274DB5"/>
    <w:rsid w:val="00275BB1"/>
    <w:rsid w:val="00275F73"/>
    <w:rsid w:val="00276D7C"/>
    <w:rsid w:val="00276EF7"/>
    <w:rsid w:val="0027746E"/>
    <w:rsid w:val="0027770B"/>
    <w:rsid w:val="00277933"/>
    <w:rsid w:val="00277F8D"/>
    <w:rsid w:val="00277FA7"/>
    <w:rsid w:val="00280046"/>
    <w:rsid w:val="00280754"/>
    <w:rsid w:val="002809B4"/>
    <w:rsid w:val="00280B4F"/>
    <w:rsid w:val="00280F3D"/>
    <w:rsid w:val="0028106A"/>
    <w:rsid w:val="00281BF0"/>
    <w:rsid w:val="00281EB4"/>
    <w:rsid w:val="00282A39"/>
    <w:rsid w:val="00282E03"/>
    <w:rsid w:val="0028308E"/>
    <w:rsid w:val="002834E9"/>
    <w:rsid w:val="002837BA"/>
    <w:rsid w:val="00283A52"/>
    <w:rsid w:val="00283C5E"/>
    <w:rsid w:val="00283E26"/>
    <w:rsid w:val="0028428F"/>
    <w:rsid w:val="0028448F"/>
    <w:rsid w:val="00284CFC"/>
    <w:rsid w:val="00285832"/>
    <w:rsid w:val="00285969"/>
    <w:rsid w:val="0028599C"/>
    <w:rsid w:val="00285EAE"/>
    <w:rsid w:val="0028663B"/>
    <w:rsid w:val="00286CEC"/>
    <w:rsid w:val="00286E35"/>
    <w:rsid w:val="002870F9"/>
    <w:rsid w:val="002871A9"/>
    <w:rsid w:val="00287505"/>
    <w:rsid w:val="00287BDB"/>
    <w:rsid w:val="00290781"/>
    <w:rsid w:val="00290805"/>
    <w:rsid w:val="00291784"/>
    <w:rsid w:val="00291E40"/>
    <w:rsid w:val="002920DF"/>
    <w:rsid w:val="002928A3"/>
    <w:rsid w:val="002929BB"/>
    <w:rsid w:val="00292A27"/>
    <w:rsid w:val="00294368"/>
    <w:rsid w:val="00294B78"/>
    <w:rsid w:val="00294B85"/>
    <w:rsid w:val="00295416"/>
    <w:rsid w:val="00295949"/>
    <w:rsid w:val="00295D7C"/>
    <w:rsid w:val="0029624A"/>
    <w:rsid w:val="00296922"/>
    <w:rsid w:val="00297098"/>
    <w:rsid w:val="002A05D4"/>
    <w:rsid w:val="002A06DB"/>
    <w:rsid w:val="002A0928"/>
    <w:rsid w:val="002A09FF"/>
    <w:rsid w:val="002A0BC3"/>
    <w:rsid w:val="002A0E60"/>
    <w:rsid w:val="002A1A58"/>
    <w:rsid w:val="002A1B02"/>
    <w:rsid w:val="002A1C53"/>
    <w:rsid w:val="002A1F84"/>
    <w:rsid w:val="002A244B"/>
    <w:rsid w:val="002A28FC"/>
    <w:rsid w:val="002A2B44"/>
    <w:rsid w:val="002A2C56"/>
    <w:rsid w:val="002A2EA5"/>
    <w:rsid w:val="002A301E"/>
    <w:rsid w:val="002A3555"/>
    <w:rsid w:val="002A3D94"/>
    <w:rsid w:val="002A3F66"/>
    <w:rsid w:val="002A4736"/>
    <w:rsid w:val="002A4B1C"/>
    <w:rsid w:val="002A55FE"/>
    <w:rsid w:val="002A625C"/>
    <w:rsid w:val="002A6AFB"/>
    <w:rsid w:val="002A725A"/>
    <w:rsid w:val="002A733D"/>
    <w:rsid w:val="002A774A"/>
    <w:rsid w:val="002A7840"/>
    <w:rsid w:val="002A78F3"/>
    <w:rsid w:val="002A7D84"/>
    <w:rsid w:val="002A7E5C"/>
    <w:rsid w:val="002A7F6D"/>
    <w:rsid w:val="002B0D83"/>
    <w:rsid w:val="002B1342"/>
    <w:rsid w:val="002B18E0"/>
    <w:rsid w:val="002B1F83"/>
    <w:rsid w:val="002B27C8"/>
    <w:rsid w:val="002B2A7F"/>
    <w:rsid w:val="002B330B"/>
    <w:rsid w:val="002B39BE"/>
    <w:rsid w:val="002B3FBF"/>
    <w:rsid w:val="002B438C"/>
    <w:rsid w:val="002B48DB"/>
    <w:rsid w:val="002B4B34"/>
    <w:rsid w:val="002B5392"/>
    <w:rsid w:val="002B541A"/>
    <w:rsid w:val="002B5EAB"/>
    <w:rsid w:val="002B5F2E"/>
    <w:rsid w:val="002B6407"/>
    <w:rsid w:val="002B6416"/>
    <w:rsid w:val="002B6459"/>
    <w:rsid w:val="002B645D"/>
    <w:rsid w:val="002B662D"/>
    <w:rsid w:val="002B6F22"/>
    <w:rsid w:val="002B7014"/>
    <w:rsid w:val="002B73B0"/>
    <w:rsid w:val="002B76F5"/>
    <w:rsid w:val="002B7F77"/>
    <w:rsid w:val="002C0275"/>
    <w:rsid w:val="002C0589"/>
    <w:rsid w:val="002C0E0D"/>
    <w:rsid w:val="002C1EE4"/>
    <w:rsid w:val="002C24B4"/>
    <w:rsid w:val="002C2B3A"/>
    <w:rsid w:val="002C2B87"/>
    <w:rsid w:val="002C3A5E"/>
    <w:rsid w:val="002C3CF4"/>
    <w:rsid w:val="002C441A"/>
    <w:rsid w:val="002C4A2B"/>
    <w:rsid w:val="002C4A73"/>
    <w:rsid w:val="002C4B84"/>
    <w:rsid w:val="002C4C0C"/>
    <w:rsid w:val="002C5016"/>
    <w:rsid w:val="002C5C2F"/>
    <w:rsid w:val="002C5D0F"/>
    <w:rsid w:val="002C60B9"/>
    <w:rsid w:val="002C68BC"/>
    <w:rsid w:val="002C6B17"/>
    <w:rsid w:val="002C6D52"/>
    <w:rsid w:val="002C6F77"/>
    <w:rsid w:val="002C704D"/>
    <w:rsid w:val="002C712D"/>
    <w:rsid w:val="002D0845"/>
    <w:rsid w:val="002D0933"/>
    <w:rsid w:val="002D1555"/>
    <w:rsid w:val="002D15B6"/>
    <w:rsid w:val="002D19BB"/>
    <w:rsid w:val="002D1A9B"/>
    <w:rsid w:val="002D1F51"/>
    <w:rsid w:val="002D20F8"/>
    <w:rsid w:val="002D22BD"/>
    <w:rsid w:val="002D22C5"/>
    <w:rsid w:val="002D302A"/>
    <w:rsid w:val="002D36C6"/>
    <w:rsid w:val="002D37C1"/>
    <w:rsid w:val="002D3E4A"/>
    <w:rsid w:val="002D444B"/>
    <w:rsid w:val="002D46A6"/>
    <w:rsid w:val="002D46B4"/>
    <w:rsid w:val="002D46CE"/>
    <w:rsid w:val="002D49C2"/>
    <w:rsid w:val="002D4A45"/>
    <w:rsid w:val="002D4B42"/>
    <w:rsid w:val="002D4B43"/>
    <w:rsid w:val="002D4F3D"/>
    <w:rsid w:val="002D5A1B"/>
    <w:rsid w:val="002D63A7"/>
    <w:rsid w:val="002D6558"/>
    <w:rsid w:val="002D65BC"/>
    <w:rsid w:val="002E02B7"/>
    <w:rsid w:val="002E055C"/>
    <w:rsid w:val="002E1050"/>
    <w:rsid w:val="002E107E"/>
    <w:rsid w:val="002E1880"/>
    <w:rsid w:val="002E18E5"/>
    <w:rsid w:val="002E1953"/>
    <w:rsid w:val="002E1BD8"/>
    <w:rsid w:val="002E26FB"/>
    <w:rsid w:val="002E2C3F"/>
    <w:rsid w:val="002E2CB5"/>
    <w:rsid w:val="002E2D7D"/>
    <w:rsid w:val="002E32D0"/>
    <w:rsid w:val="002E3931"/>
    <w:rsid w:val="002E3D76"/>
    <w:rsid w:val="002E40A1"/>
    <w:rsid w:val="002E4526"/>
    <w:rsid w:val="002E48EC"/>
    <w:rsid w:val="002E4B44"/>
    <w:rsid w:val="002E4ECB"/>
    <w:rsid w:val="002E4F23"/>
    <w:rsid w:val="002E635A"/>
    <w:rsid w:val="002E6A50"/>
    <w:rsid w:val="002E6D68"/>
    <w:rsid w:val="002E7847"/>
    <w:rsid w:val="002E7B84"/>
    <w:rsid w:val="002F0073"/>
    <w:rsid w:val="002F0116"/>
    <w:rsid w:val="002F07F5"/>
    <w:rsid w:val="002F1549"/>
    <w:rsid w:val="002F1B27"/>
    <w:rsid w:val="002F1C67"/>
    <w:rsid w:val="002F240B"/>
    <w:rsid w:val="002F24DA"/>
    <w:rsid w:val="002F28B3"/>
    <w:rsid w:val="002F2F50"/>
    <w:rsid w:val="002F33EC"/>
    <w:rsid w:val="002F34E3"/>
    <w:rsid w:val="002F3601"/>
    <w:rsid w:val="002F40E2"/>
    <w:rsid w:val="002F44E1"/>
    <w:rsid w:val="002F45F6"/>
    <w:rsid w:val="002F5A6F"/>
    <w:rsid w:val="002F692F"/>
    <w:rsid w:val="002F6FF9"/>
    <w:rsid w:val="002F7031"/>
    <w:rsid w:val="002F7961"/>
    <w:rsid w:val="002F7B66"/>
    <w:rsid w:val="00300CB4"/>
    <w:rsid w:val="00300E24"/>
    <w:rsid w:val="00301BB8"/>
    <w:rsid w:val="00301D6C"/>
    <w:rsid w:val="0030257B"/>
    <w:rsid w:val="00302C8C"/>
    <w:rsid w:val="003033BA"/>
    <w:rsid w:val="00303629"/>
    <w:rsid w:val="00303C19"/>
    <w:rsid w:val="003043A3"/>
    <w:rsid w:val="0030462D"/>
    <w:rsid w:val="00304BD4"/>
    <w:rsid w:val="00304F54"/>
    <w:rsid w:val="0030500A"/>
    <w:rsid w:val="0030527D"/>
    <w:rsid w:val="003052EB"/>
    <w:rsid w:val="00305E5F"/>
    <w:rsid w:val="00305FCB"/>
    <w:rsid w:val="003063C3"/>
    <w:rsid w:val="003069DC"/>
    <w:rsid w:val="00306A13"/>
    <w:rsid w:val="00306B44"/>
    <w:rsid w:val="00306D1E"/>
    <w:rsid w:val="00307C44"/>
    <w:rsid w:val="0031040A"/>
    <w:rsid w:val="00310439"/>
    <w:rsid w:val="0031088E"/>
    <w:rsid w:val="00310D01"/>
    <w:rsid w:val="00311376"/>
    <w:rsid w:val="00311A1F"/>
    <w:rsid w:val="00311B47"/>
    <w:rsid w:val="00311D52"/>
    <w:rsid w:val="00312190"/>
    <w:rsid w:val="003125E0"/>
    <w:rsid w:val="0031271D"/>
    <w:rsid w:val="00312E92"/>
    <w:rsid w:val="003132BB"/>
    <w:rsid w:val="00313337"/>
    <w:rsid w:val="00313447"/>
    <w:rsid w:val="00313748"/>
    <w:rsid w:val="00313EA3"/>
    <w:rsid w:val="00314A22"/>
    <w:rsid w:val="003151FE"/>
    <w:rsid w:val="00315365"/>
    <w:rsid w:val="00315457"/>
    <w:rsid w:val="00315DCA"/>
    <w:rsid w:val="003161A4"/>
    <w:rsid w:val="00316955"/>
    <w:rsid w:val="00316AD8"/>
    <w:rsid w:val="0031713F"/>
    <w:rsid w:val="0031720A"/>
    <w:rsid w:val="0031749B"/>
    <w:rsid w:val="003174E5"/>
    <w:rsid w:val="00317C9D"/>
    <w:rsid w:val="00317CD2"/>
    <w:rsid w:val="00317D99"/>
    <w:rsid w:val="003206F2"/>
    <w:rsid w:val="0032078D"/>
    <w:rsid w:val="00320ADF"/>
    <w:rsid w:val="0032137B"/>
    <w:rsid w:val="00321A70"/>
    <w:rsid w:val="00321BD6"/>
    <w:rsid w:val="00321FA3"/>
    <w:rsid w:val="003227D3"/>
    <w:rsid w:val="0032283C"/>
    <w:rsid w:val="00322937"/>
    <w:rsid w:val="00323881"/>
    <w:rsid w:val="00324885"/>
    <w:rsid w:val="003251A8"/>
    <w:rsid w:val="003254B1"/>
    <w:rsid w:val="00325700"/>
    <w:rsid w:val="00325AD9"/>
    <w:rsid w:val="00325D79"/>
    <w:rsid w:val="00325D98"/>
    <w:rsid w:val="0032682A"/>
    <w:rsid w:val="00327A5C"/>
    <w:rsid w:val="00327DB8"/>
    <w:rsid w:val="003305BD"/>
    <w:rsid w:val="0033092C"/>
    <w:rsid w:val="0033122A"/>
    <w:rsid w:val="003315AC"/>
    <w:rsid w:val="00331932"/>
    <w:rsid w:val="00331F74"/>
    <w:rsid w:val="00332382"/>
    <w:rsid w:val="00332453"/>
    <w:rsid w:val="0033251B"/>
    <w:rsid w:val="003328CF"/>
    <w:rsid w:val="00333A88"/>
    <w:rsid w:val="003351FF"/>
    <w:rsid w:val="00335B15"/>
    <w:rsid w:val="00335B21"/>
    <w:rsid w:val="00335D3F"/>
    <w:rsid w:val="00336104"/>
    <w:rsid w:val="00336729"/>
    <w:rsid w:val="00336CD9"/>
    <w:rsid w:val="0033701C"/>
    <w:rsid w:val="0033726D"/>
    <w:rsid w:val="00337357"/>
    <w:rsid w:val="00337CA8"/>
    <w:rsid w:val="00340D3F"/>
    <w:rsid w:val="0034174B"/>
    <w:rsid w:val="0034177C"/>
    <w:rsid w:val="003419D7"/>
    <w:rsid w:val="003420E9"/>
    <w:rsid w:val="00342345"/>
    <w:rsid w:val="00342361"/>
    <w:rsid w:val="00342C27"/>
    <w:rsid w:val="0034308C"/>
    <w:rsid w:val="003430C8"/>
    <w:rsid w:val="003431F6"/>
    <w:rsid w:val="003432C8"/>
    <w:rsid w:val="003434B3"/>
    <w:rsid w:val="00343536"/>
    <w:rsid w:val="00343B9E"/>
    <w:rsid w:val="00343EFB"/>
    <w:rsid w:val="00344760"/>
    <w:rsid w:val="003454E8"/>
    <w:rsid w:val="00345574"/>
    <w:rsid w:val="00345965"/>
    <w:rsid w:val="003467FE"/>
    <w:rsid w:val="0034680A"/>
    <w:rsid w:val="00346C62"/>
    <w:rsid w:val="0034713F"/>
    <w:rsid w:val="00347202"/>
    <w:rsid w:val="0034778E"/>
    <w:rsid w:val="00347A5A"/>
    <w:rsid w:val="003501E2"/>
    <w:rsid w:val="003514B8"/>
    <w:rsid w:val="00351E10"/>
    <w:rsid w:val="0035322F"/>
    <w:rsid w:val="003533F4"/>
    <w:rsid w:val="003536F6"/>
    <w:rsid w:val="00353801"/>
    <w:rsid w:val="00353DD5"/>
    <w:rsid w:val="00353F36"/>
    <w:rsid w:val="003548AB"/>
    <w:rsid w:val="00355131"/>
    <w:rsid w:val="00355F74"/>
    <w:rsid w:val="003560DB"/>
    <w:rsid w:val="003564DB"/>
    <w:rsid w:val="00356F87"/>
    <w:rsid w:val="00357E83"/>
    <w:rsid w:val="003602B1"/>
    <w:rsid w:val="00360CF3"/>
    <w:rsid w:val="00361A59"/>
    <w:rsid w:val="00361DC7"/>
    <w:rsid w:val="00362668"/>
    <w:rsid w:val="00363348"/>
    <w:rsid w:val="00363857"/>
    <w:rsid w:val="00363A24"/>
    <w:rsid w:val="00363D59"/>
    <w:rsid w:val="00363F08"/>
    <w:rsid w:val="003640F7"/>
    <w:rsid w:val="003651C2"/>
    <w:rsid w:val="0036594A"/>
    <w:rsid w:val="00365AE5"/>
    <w:rsid w:val="00365D3A"/>
    <w:rsid w:val="003664FF"/>
    <w:rsid w:val="00366BD2"/>
    <w:rsid w:val="003670B8"/>
    <w:rsid w:val="00367ABB"/>
    <w:rsid w:val="003704A3"/>
    <w:rsid w:val="003706F2"/>
    <w:rsid w:val="003709E8"/>
    <w:rsid w:val="0037124F"/>
    <w:rsid w:val="00371563"/>
    <w:rsid w:val="0037256F"/>
    <w:rsid w:val="00373827"/>
    <w:rsid w:val="0037401C"/>
    <w:rsid w:val="00374EBA"/>
    <w:rsid w:val="0037507B"/>
    <w:rsid w:val="00375C7C"/>
    <w:rsid w:val="00375F02"/>
    <w:rsid w:val="00377027"/>
    <w:rsid w:val="00377135"/>
    <w:rsid w:val="00380272"/>
    <w:rsid w:val="003805DB"/>
    <w:rsid w:val="0038152A"/>
    <w:rsid w:val="003821F1"/>
    <w:rsid w:val="0038245D"/>
    <w:rsid w:val="00382BAD"/>
    <w:rsid w:val="003835FD"/>
    <w:rsid w:val="00383DE4"/>
    <w:rsid w:val="00383EDF"/>
    <w:rsid w:val="00384494"/>
    <w:rsid w:val="0038484C"/>
    <w:rsid w:val="00384C5E"/>
    <w:rsid w:val="00384DF1"/>
    <w:rsid w:val="00384FF3"/>
    <w:rsid w:val="00386456"/>
    <w:rsid w:val="003865A9"/>
    <w:rsid w:val="003869CD"/>
    <w:rsid w:val="0039047D"/>
    <w:rsid w:val="003906FD"/>
    <w:rsid w:val="0039092B"/>
    <w:rsid w:val="00390BD9"/>
    <w:rsid w:val="00390F32"/>
    <w:rsid w:val="0039135E"/>
    <w:rsid w:val="00391867"/>
    <w:rsid w:val="003922B4"/>
    <w:rsid w:val="0039285D"/>
    <w:rsid w:val="003929DC"/>
    <w:rsid w:val="00392C17"/>
    <w:rsid w:val="0039319C"/>
    <w:rsid w:val="00393577"/>
    <w:rsid w:val="00393CAE"/>
    <w:rsid w:val="003945C3"/>
    <w:rsid w:val="003945F4"/>
    <w:rsid w:val="00394B30"/>
    <w:rsid w:val="00394EB5"/>
    <w:rsid w:val="003953B4"/>
    <w:rsid w:val="00395558"/>
    <w:rsid w:val="0039615F"/>
    <w:rsid w:val="003966A0"/>
    <w:rsid w:val="00396A29"/>
    <w:rsid w:val="00396DD1"/>
    <w:rsid w:val="00397BA9"/>
    <w:rsid w:val="00397FF0"/>
    <w:rsid w:val="003A0496"/>
    <w:rsid w:val="003A058E"/>
    <w:rsid w:val="003A0878"/>
    <w:rsid w:val="003A1561"/>
    <w:rsid w:val="003A1D25"/>
    <w:rsid w:val="003A22A2"/>
    <w:rsid w:val="003A2447"/>
    <w:rsid w:val="003A2AA1"/>
    <w:rsid w:val="003A31A5"/>
    <w:rsid w:val="003A329A"/>
    <w:rsid w:val="003A3603"/>
    <w:rsid w:val="003A3851"/>
    <w:rsid w:val="003A39DD"/>
    <w:rsid w:val="003A3EA0"/>
    <w:rsid w:val="003A40DB"/>
    <w:rsid w:val="003A4199"/>
    <w:rsid w:val="003A41C5"/>
    <w:rsid w:val="003A4A8E"/>
    <w:rsid w:val="003A4C7B"/>
    <w:rsid w:val="003A563C"/>
    <w:rsid w:val="003A581E"/>
    <w:rsid w:val="003A5E7E"/>
    <w:rsid w:val="003A6160"/>
    <w:rsid w:val="003A647A"/>
    <w:rsid w:val="003A65A5"/>
    <w:rsid w:val="003A65AC"/>
    <w:rsid w:val="003A65B8"/>
    <w:rsid w:val="003A72F5"/>
    <w:rsid w:val="003A78E5"/>
    <w:rsid w:val="003B0153"/>
    <w:rsid w:val="003B0341"/>
    <w:rsid w:val="003B1961"/>
    <w:rsid w:val="003B1E57"/>
    <w:rsid w:val="003B2662"/>
    <w:rsid w:val="003B26A6"/>
    <w:rsid w:val="003B2EF3"/>
    <w:rsid w:val="003B534F"/>
    <w:rsid w:val="003B5391"/>
    <w:rsid w:val="003B58CE"/>
    <w:rsid w:val="003B65D7"/>
    <w:rsid w:val="003B65E0"/>
    <w:rsid w:val="003B6BD4"/>
    <w:rsid w:val="003B6F4D"/>
    <w:rsid w:val="003B6FE7"/>
    <w:rsid w:val="003C0491"/>
    <w:rsid w:val="003C0C0F"/>
    <w:rsid w:val="003C0D1F"/>
    <w:rsid w:val="003C116A"/>
    <w:rsid w:val="003C14F0"/>
    <w:rsid w:val="003C1AF4"/>
    <w:rsid w:val="003C1CB8"/>
    <w:rsid w:val="003C21B1"/>
    <w:rsid w:val="003C22DA"/>
    <w:rsid w:val="003C2550"/>
    <w:rsid w:val="003C287F"/>
    <w:rsid w:val="003C2FB1"/>
    <w:rsid w:val="003C3339"/>
    <w:rsid w:val="003C375A"/>
    <w:rsid w:val="003C4317"/>
    <w:rsid w:val="003C4B46"/>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21C1"/>
    <w:rsid w:val="003D2E69"/>
    <w:rsid w:val="003D3B15"/>
    <w:rsid w:val="003D3B2E"/>
    <w:rsid w:val="003D3F28"/>
    <w:rsid w:val="003D4101"/>
    <w:rsid w:val="003D41B1"/>
    <w:rsid w:val="003D484D"/>
    <w:rsid w:val="003D49CB"/>
    <w:rsid w:val="003D4F41"/>
    <w:rsid w:val="003D5F10"/>
    <w:rsid w:val="003D65E0"/>
    <w:rsid w:val="003D6B8F"/>
    <w:rsid w:val="003D6E60"/>
    <w:rsid w:val="003D7566"/>
    <w:rsid w:val="003E0224"/>
    <w:rsid w:val="003E09BB"/>
    <w:rsid w:val="003E13D2"/>
    <w:rsid w:val="003E159D"/>
    <w:rsid w:val="003E20EA"/>
    <w:rsid w:val="003E210C"/>
    <w:rsid w:val="003E2F55"/>
    <w:rsid w:val="003E324A"/>
    <w:rsid w:val="003E34DB"/>
    <w:rsid w:val="003E36D8"/>
    <w:rsid w:val="003E3833"/>
    <w:rsid w:val="003E3AF9"/>
    <w:rsid w:val="003E4A70"/>
    <w:rsid w:val="003E4C48"/>
    <w:rsid w:val="003E4CD9"/>
    <w:rsid w:val="003E52C2"/>
    <w:rsid w:val="003E54B3"/>
    <w:rsid w:val="003E5780"/>
    <w:rsid w:val="003E5B9F"/>
    <w:rsid w:val="003E6049"/>
    <w:rsid w:val="003E6072"/>
    <w:rsid w:val="003E60D6"/>
    <w:rsid w:val="003E6AB6"/>
    <w:rsid w:val="003E6E0B"/>
    <w:rsid w:val="003E71CD"/>
    <w:rsid w:val="003E78DA"/>
    <w:rsid w:val="003E7A8B"/>
    <w:rsid w:val="003F02A2"/>
    <w:rsid w:val="003F051D"/>
    <w:rsid w:val="003F060E"/>
    <w:rsid w:val="003F0F7F"/>
    <w:rsid w:val="003F115C"/>
    <w:rsid w:val="003F153A"/>
    <w:rsid w:val="003F300D"/>
    <w:rsid w:val="003F391F"/>
    <w:rsid w:val="003F4599"/>
    <w:rsid w:val="003F45E1"/>
    <w:rsid w:val="003F4A6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ACD"/>
    <w:rsid w:val="00402DE1"/>
    <w:rsid w:val="00402EEB"/>
    <w:rsid w:val="00402FAF"/>
    <w:rsid w:val="004037C2"/>
    <w:rsid w:val="00404041"/>
    <w:rsid w:val="004040D4"/>
    <w:rsid w:val="00404B43"/>
    <w:rsid w:val="00404C61"/>
    <w:rsid w:val="004053EC"/>
    <w:rsid w:val="0040547B"/>
    <w:rsid w:val="00405487"/>
    <w:rsid w:val="00405B8A"/>
    <w:rsid w:val="0040602B"/>
    <w:rsid w:val="0040606C"/>
    <w:rsid w:val="004060DC"/>
    <w:rsid w:val="00406DF5"/>
    <w:rsid w:val="00406F35"/>
    <w:rsid w:val="00407325"/>
    <w:rsid w:val="004076A7"/>
    <w:rsid w:val="004077D0"/>
    <w:rsid w:val="00407937"/>
    <w:rsid w:val="00407A7A"/>
    <w:rsid w:val="00407ABC"/>
    <w:rsid w:val="00407F1E"/>
    <w:rsid w:val="00410A88"/>
    <w:rsid w:val="00410CC8"/>
    <w:rsid w:val="00411317"/>
    <w:rsid w:val="00411692"/>
    <w:rsid w:val="00411A9E"/>
    <w:rsid w:val="00412110"/>
    <w:rsid w:val="0041259F"/>
    <w:rsid w:val="00412B1B"/>
    <w:rsid w:val="00412B4D"/>
    <w:rsid w:val="00412C51"/>
    <w:rsid w:val="00413262"/>
    <w:rsid w:val="0041329C"/>
    <w:rsid w:val="004139F4"/>
    <w:rsid w:val="00413D35"/>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547"/>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43B7"/>
    <w:rsid w:val="00425B2E"/>
    <w:rsid w:val="00425C43"/>
    <w:rsid w:val="00426CFB"/>
    <w:rsid w:val="004273FA"/>
    <w:rsid w:val="004275A7"/>
    <w:rsid w:val="0042773E"/>
    <w:rsid w:val="004278D8"/>
    <w:rsid w:val="00430186"/>
    <w:rsid w:val="00430D44"/>
    <w:rsid w:val="00430DD2"/>
    <w:rsid w:val="00430F17"/>
    <w:rsid w:val="00431CC7"/>
    <w:rsid w:val="00431F03"/>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37506"/>
    <w:rsid w:val="00437AF3"/>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259"/>
    <w:rsid w:val="0044361F"/>
    <w:rsid w:val="0044374D"/>
    <w:rsid w:val="00443B55"/>
    <w:rsid w:val="00443D27"/>
    <w:rsid w:val="00444D7D"/>
    <w:rsid w:val="0044500B"/>
    <w:rsid w:val="004451C5"/>
    <w:rsid w:val="00446037"/>
    <w:rsid w:val="00446270"/>
    <w:rsid w:val="0044642F"/>
    <w:rsid w:val="004466BA"/>
    <w:rsid w:val="00446709"/>
    <w:rsid w:val="00446922"/>
    <w:rsid w:val="0044772C"/>
    <w:rsid w:val="00450846"/>
    <w:rsid w:val="004518B0"/>
    <w:rsid w:val="00451A52"/>
    <w:rsid w:val="0045271D"/>
    <w:rsid w:val="00452755"/>
    <w:rsid w:val="00452803"/>
    <w:rsid w:val="004529C6"/>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0B4F"/>
    <w:rsid w:val="004614A9"/>
    <w:rsid w:val="00461E97"/>
    <w:rsid w:val="004622A6"/>
    <w:rsid w:val="0046268F"/>
    <w:rsid w:val="0046284F"/>
    <w:rsid w:val="00462B10"/>
    <w:rsid w:val="00462C04"/>
    <w:rsid w:val="0046320A"/>
    <w:rsid w:val="00463347"/>
    <w:rsid w:val="004633EC"/>
    <w:rsid w:val="004636CC"/>
    <w:rsid w:val="004638E2"/>
    <w:rsid w:val="00463B3C"/>
    <w:rsid w:val="00464030"/>
    <w:rsid w:val="004647F8"/>
    <w:rsid w:val="004647FB"/>
    <w:rsid w:val="00465347"/>
    <w:rsid w:val="00465677"/>
    <w:rsid w:val="00465F67"/>
    <w:rsid w:val="00466616"/>
    <w:rsid w:val="00466A0C"/>
    <w:rsid w:val="00466A53"/>
    <w:rsid w:val="00466C74"/>
    <w:rsid w:val="00467E2F"/>
    <w:rsid w:val="0047072B"/>
    <w:rsid w:val="00470A6A"/>
    <w:rsid w:val="00470D73"/>
    <w:rsid w:val="00470D92"/>
    <w:rsid w:val="00471DF7"/>
    <w:rsid w:val="00472512"/>
    <w:rsid w:val="004727B1"/>
    <w:rsid w:val="004734CF"/>
    <w:rsid w:val="00473F33"/>
    <w:rsid w:val="0047480D"/>
    <w:rsid w:val="0047586C"/>
    <w:rsid w:val="00475C5A"/>
    <w:rsid w:val="00475C9C"/>
    <w:rsid w:val="0047676B"/>
    <w:rsid w:val="00476D6A"/>
    <w:rsid w:val="004774C3"/>
    <w:rsid w:val="0047773C"/>
    <w:rsid w:val="00477C06"/>
    <w:rsid w:val="00477C5F"/>
    <w:rsid w:val="00480050"/>
    <w:rsid w:val="0048011C"/>
    <w:rsid w:val="004808DE"/>
    <w:rsid w:val="00480F9A"/>
    <w:rsid w:val="00481912"/>
    <w:rsid w:val="00481AC4"/>
    <w:rsid w:val="00481DC1"/>
    <w:rsid w:val="00482157"/>
    <w:rsid w:val="00482507"/>
    <w:rsid w:val="0048268A"/>
    <w:rsid w:val="00482A64"/>
    <w:rsid w:val="004835CA"/>
    <w:rsid w:val="004836F8"/>
    <w:rsid w:val="004836FE"/>
    <w:rsid w:val="0048478C"/>
    <w:rsid w:val="00484A39"/>
    <w:rsid w:val="00484F0F"/>
    <w:rsid w:val="00484F40"/>
    <w:rsid w:val="0048540C"/>
    <w:rsid w:val="00485E3F"/>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1C74"/>
    <w:rsid w:val="0049241A"/>
    <w:rsid w:val="00492844"/>
    <w:rsid w:val="00492C1F"/>
    <w:rsid w:val="00492E4C"/>
    <w:rsid w:val="00493664"/>
    <w:rsid w:val="00493870"/>
    <w:rsid w:val="004938FD"/>
    <w:rsid w:val="00493E04"/>
    <w:rsid w:val="004940E3"/>
    <w:rsid w:val="004941CD"/>
    <w:rsid w:val="0049530F"/>
    <w:rsid w:val="004954AB"/>
    <w:rsid w:val="00495553"/>
    <w:rsid w:val="00496664"/>
    <w:rsid w:val="00496786"/>
    <w:rsid w:val="0049695B"/>
    <w:rsid w:val="00496AC4"/>
    <w:rsid w:val="00496D8F"/>
    <w:rsid w:val="00497463"/>
    <w:rsid w:val="00497CED"/>
    <w:rsid w:val="004A054C"/>
    <w:rsid w:val="004A0834"/>
    <w:rsid w:val="004A08D1"/>
    <w:rsid w:val="004A0FA9"/>
    <w:rsid w:val="004A10A0"/>
    <w:rsid w:val="004A16C1"/>
    <w:rsid w:val="004A1CE2"/>
    <w:rsid w:val="004A1D75"/>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5D8"/>
    <w:rsid w:val="004B298A"/>
    <w:rsid w:val="004B2BB8"/>
    <w:rsid w:val="004B2F47"/>
    <w:rsid w:val="004B3152"/>
    <w:rsid w:val="004B50CB"/>
    <w:rsid w:val="004B578D"/>
    <w:rsid w:val="004B5BE7"/>
    <w:rsid w:val="004B5E2D"/>
    <w:rsid w:val="004B65D9"/>
    <w:rsid w:val="004B6C07"/>
    <w:rsid w:val="004B74D3"/>
    <w:rsid w:val="004B755E"/>
    <w:rsid w:val="004B788E"/>
    <w:rsid w:val="004B7E5D"/>
    <w:rsid w:val="004C0947"/>
    <w:rsid w:val="004C0BF9"/>
    <w:rsid w:val="004C1198"/>
    <w:rsid w:val="004C22F7"/>
    <w:rsid w:val="004C234B"/>
    <w:rsid w:val="004C2B27"/>
    <w:rsid w:val="004C3929"/>
    <w:rsid w:val="004C4160"/>
    <w:rsid w:val="004C5212"/>
    <w:rsid w:val="004C5EF0"/>
    <w:rsid w:val="004C64C9"/>
    <w:rsid w:val="004C7226"/>
    <w:rsid w:val="004C74BD"/>
    <w:rsid w:val="004C74C9"/>
    <w:rsid w:val="004C764F"/>
    <w:rsid w:val="004C7915"/>
    <w:rsid w:val="004C7D70"/>
    <w:rsid w:val="004D02F9"/>
    <w:rsid w:val="004D03FE"/>
    <w:rsid w:val="004D0446"/>
    <w:rsid w:val="004D06A3"/>
    <w:rsid w:val="004D0F95"/>
    <w:rsid w:val="004D106A"/>
    <w:rsid w:val="004D15C7"/>
    <w:rsid w:val="004D1653"/>
    <w:rsid w:val="004D1C7E"/>
    <w:rsid w:val="004D245A"/>
    <w:rsid w:val="004D29D2"/>
    <w:rsid w:val="004D31EE"/>
    <w:rsid w:val="004D36AF"/>
    <w:rsid w:val="004D3BD1"/>
    <w:rsid w:val="004D3C52"/>
    <w:rsid w:val="004D4BA1"/>
    <w:rsid w:val="004D584D"/>
    <w:rsid w:val="004D5A7E"/>
    <w:rsid w:val="004D5E72"/>
    <w:rsid w:val="004D6120"/>
    <w:rsid w:val="004D6826"/>
    <w:rsid w:val="004D7497"/>
    <w:rsid w:val="004D7F7A"/>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729"/>
    <w:rsid w:val="004E787E"/>
    <w:rsid w:val="004E7AA1"/>
    <w:rsid w:val="004F0805"/>
    <w:rsid w:val="004F0960"/>
    <w:rsid w:val="004F0A5C"/>
    <w:rsid w:val="004F1596"/>
    <w:rsid w:val="004F163F"/>
    <w:rsid w:val="004F18A0"/>
    <w:rsid w:val="004F1A08"/>
    <w:rsid w:val="004F2364"/>
    <w:rsid w:val="004F2B64"/>
    <w:rsid w:val="004F2C6F"/>
    <w:rsid w:val="004F31B8"/>
    <w:rsid w:val="004F375E"/>
    <w:rsid w:val="004F3764"/>
    <w:rsid w:val="004F3EEF"/>
    <w:rsid w:val="004F44D8"/>
    <w:rsid w:val="004F4BF9"/>
    <w:rsid w:val="004F5180"/>
    <w:rsid w:val="004F57C9"/>
    <w:rsid w:val="004F5930"/>
    <w:rsid w:val="004F5970"/>
    <w:rsid w:val="004F5F0C"/>
    <w:rsid w:val="004F6121"/>
    <w:rsid w:val="004F6161"/>
    <w:rsid w:val="004F66BC"/>
    <w:rsid w:val="004F6C26"/>
    <w:rsid w:val="004F7AC9"/>
    <w:rsid w:val="004F7E04"/>
    <w:rsid w:val="0050062F"/>
    <w:rsid w:val="00500E74"/>
    <w:rsid w:val="0050160F"/>
    <w:rsid w:val="0050284E"/>
    <w:rsid w:val="0050306F"/>
    <w:rsid w:val="00503534"/>
    <w:rsid w:val="00503A17"/>
    <w:rsid w:val="005042E8"/>
    <w:rsid w:val="0050459C"/>
    <w:rsid w:val="00505892"/>
    <w:rsid w:val="00505DCB"/>
    <w:rsid w:val="0050674C"/>
    <w:rsid w:val="00507066"/>
    <w:rsid w:val="005075CA"/>
    <w:rsid w:val="00507B06"/>
    <w:rsid w:val="00507BF1"/>
    <w:rsid w:val="0051074C"/>
    <w:rsid w:val="005107E3"/>
    <w:rsid w:val="00510DE9"/>
    <w:rsid w:val="005111E2"/>
    <w:rsid w:val="00511231"/>
    <w:rsid w:val="00511368"/>
    <w:rsid w:val="00511430"/>
    <w:rsid w:val="005115FD"/>
    <w:rsid w:val="00511741"/>
    <w:rsid w:val="00512BC0"/>
    <w:rsid w:val="00512C4F"/>
    <w:rsid w:val="00513042"/>
    <w:rsid w:val="00513240"/>
    <w:rsid w:val="0051334F"/>
    <w:rsid w:val="00513399"/>
    <w:rsid w:val="00513795"/>
    <w:rsid w:val="00513AF2"/>
    <w:rsid w:val="00514575"/>
    <w:rsid w:val="00514579"/>
    <w:rsid w:val="00514C03"/>
    <w:rsid w:val="00514D67"/>
    <w:rsid w:val="00514F2F"/>
    <w:rsid w:val="0051522A"/>
    <w:rsid w:val="00515515"/>
    <w:rsid w:val="0051635C"/>
    <w:rsid w:val="00516C5B"/>
    <w:rsid w:val="00517612"/>
    <w:rsid w:val="00517CFB"/>
    <w:rsid w:val="00517F85"/>
    <w:rsid w:val="0052002F"/>
    <w:rsid w:val="00520235"/>
    <w:rsid w:val="00520340"/>
    <w:rsid w:val="00520899"/>
    <w:rsid w:val="00520922"/>
    <w:rsid w:val="005209FC"/>
    <w:rsid w:val="00520C09"/>
    <w:rsid w:val="00520EC1"/>
    <w:rsid w:val="00521292"/>
    <w:rsid w:val="00521A30"/>
    <w:rsid w:val="00521D7C"/>
    <w:rsid w:val="00521EA7"/>
    <w:rsid w:val="005224E5"/>
    <w:rsid w:val="00522759"/>
    <w:rsid w:val="0052311A"/>
    <w:rsid w:val="00523854"/>
    <w:rsid w:val="00523903"/>
    <w:rsid w:val="005239B6"/>
    <w:rsid w:val="00523C45"/>
    <w:rsid w:val="00523F41"/>
    <w:rsid w:val="00524165"/>
    <w:rsid w:val="005244FC"/>
    <w:rsid w:val="005246E7"/>
    <w:rsid w:val="00524B08"/>
    <w:rsid w:val="00524C38"/>
    <w:rsid w:val="00524FD2"/>
    <w:rsid w:val="005255D6"/>
    <w:rsid w:val="00525621"/>
    <w:rsid w:val="00526431"/>
    <w:rsid w:val="00527440"/>
    <w:rsid w:val="00527532"/>
    <w:rsid w:val="005279B9"/>
    <w:rsid w:val="00527DEB"/>
    <w:rsid w:val="00527E57"/>
    <w:rsid w:val="00527F2C"/>
    <w:rsid w:val="00530405"/>
    <w:rsid w:val="00530458"/>
    <w:rsid w:val="00530522"/>
    <w:rsid w:val="005305E5"/>
    <w:rsid w:val="0053086F"/>
    <w:rsid w:val="00530CBA"/>
    <w:rsid w:val="00530F38"/>
    <w:rsid w:val="00531F26"/>
    <w:rsid w:val="00531F75"/>
    <w:rsid w:val="00532501"/>
    <w:rsid w:val="0053277C"/>
    <w:rsid w:val="005327C0"/>
    <w:rsid w:val="00533101"/>
    <w:rsid w:val="00533750"/>
    <w:rsid w:val="00533CA9"/>
    <w:rsid w:val="005346AD"/>
    <w:rsid w:val="00534EFB"/>
    <w:rsid w:val="00534F60"/>
    <w:rsid w:val="0053524B"/>
    <w:rsid w:val="005357F1"/>
    <w:rsid w:val="005357FA"/>
    <w:rsid w:val="00535C73"/>
    <w:rsid w:val="00535D15"/>
    <w:rsid w:val="00536053"/>
    <w:rsid w:val="005363C6"/>
    <w:rsid w:val="005367B6"/>
    <w:rsid w:val="005369E6"/>
    <w:rsid w:val="005371AC"/>
    <w:rsid w:val="00537672"/>
    <w:rsid w:val="005376B5"/>
    <w:rsid w:val="0053772F"/>
    <w:rsid w:val="00537A70"/>
    <w:rsid w:val="00537B64"/>
    <w:rsid w:val="00537B77"/>
    <w:rsid w:val="00540048"/>
    <w:rsid w:val="00540C4C"/>
    <w:rsid w:val="00541469"/>
    <w:rsid w:val="00541571"/>
    <w:rsid w:val="005416CA"/>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4DA"/>
    <w:rsid w:val="00547778"/>
    <w:rsid w:val="00547BF6"/>
    <w:rsid w:val="00547FB3"/>
    <w:rsid w:val="005502B3"/>
    <w:rsid w:val="00551098"/>
    <w:rsid w:val="00551598"/>
    <w:rsid w:val="0055162B"/>
    <w:rsid w:val="00551A56"/>
    <w:rsid w:val="00551B40"/>
    <w:rsid w:val="00551BFF"/>
    <w:rsid w:val="00551D68"/>
    <w:rsid w:val="00551DFF"/>
    <w:rsid w:val="005525C9"/>
    <w:rsid w:val="00552B3E"/>
    <w:rsid w:val="00553A23"/>
    <w:rsid w:val="00554578"/>
    <w:rsid w:val="00554B00"/>
    <w:rsid w:val="00554D57"/>
    <w:rsid w:val="00554D6E"/>
    <w:rsid w:val="005551AA"/>
    <w:rsid w:val="00555239"/>
    <w:rsid w:val="005557FA"/>
    <w:rsid w:val="00555BCE"/>
    <w:rsid w:val="005564CA"/>
    <w:rsid w:val="005568BD"/>
    <w:rsid w:val="005568EA"/>
    <w:rsid w:val="00557140"/>
    <w:rsid w:val="0055715A"/>
    <w:rsid w:val="0055729E"/>
    <w:rsid w:val="00557968"/>
    <w:rsid w:val="00557984"/>
    <w:rsid w:val="00557A3F"/>
    <w:rsid w:val="00560BC1"/>
    <w:rsid w:val="00560C87"/>
    <w:rsid w:val="00560F51"/>
    <w:rsid w:val="00561249"/>
    <w:rsid w:val="0056182B"/>
    <w:rsid w:val="00561A88"/>
    <w:rsid w:val="00561AF3"/>
    <w:rsid w:val="00561E0B"/>
    <w:rsid w:val="00562141"/>
    <w:rsid w:val="00562D86"/>
    <w:rsid w:val="00563161"/>
    <w:rsid w:val="005640CA"/>
    <w:rsid w:val="00564704"/>
    <w:rsid w:val="00564712"/>
    <w:rsid w:val="0056510A"/>
    <w:rsid w:val="005651C7"/>
    <w:rsid w:val="005657A8"/>
    <w:rsid w:val="00565952"/>
    <w:rsid w:val="00566866"/>
    <w:rsid w:val="005670A5"/>
    <w:rsid w:val="00567285"/>
    <w:rsid w:val="00567723"/>
    <w:rsid w:val="0056772D"/>
    <w:rsid w:val="005678F5"/>
    <w:rsid w:val="00567AB8"/>
    <w:rsid w:val="00570A26"/>
    <w:rsid w:val="00570CFD"/>
    <w:rsid w:val="0057104B"/>
    <w:rsid w:val="0057179E"/>
    <w:rsid w:val="00571872"/>
    <w:rsid w:val="0057221F"/>
    <w:rsid w:val="00572421"/>
    <w:rsid w:val="00572539"/>
    <w:rsid w:val="00572959"/>
    <w:rsid w:val="00572AEA"/>
    <w:rsid w:val="00573355"/>
    <w:rsid w:val="0057337D"/>
    <w:rsid w:val="00573504"/>
    <w:rsid w:val="0057355F"/>
    <w:rsid w:val="005737DA"/>
    <w:rsid w:val="00573BA3"/>
    <w:rsid w:val="00574708"/>
    <w:rsid w:val="00574D81"/>
    <w:rsid w:val="005756AA"/>
    <w:rsid w:val="00576186"/>
    <w:rsid w:val="0057696F"/>
    <w:rsid w:val="00576C8A"/>
    <w:rsid w:val="00576D0E"/>
    <w:rsid w:val="005774FE"/>
    <w:rsid w:val="0058040C"/>
    <w:rsid w:val="00580D6D"/>
    <w:rsid w:val="00580FD8"/>
    <w:rsid w:val="005813DE"/>
    <w:rsid w:val="00581796"/>
    <w:rsid w:val="0058195C"/>
    <w:rsid w:val="00581B45"/>
    <w:rsid w:val="00581FDB"/>
    <w:rsid w:val="00582361"/>
    <w:rsid w:val="00582480"/>
    <w:rsid w:val="005826A5"/>
    <w:rsid w:val="00582805"/>
    <w:rsid w:val="0058290E"/>
    <w:rsid w:val="00582CAB"/>
    <w:rsid w:val="00582DCD"/>
    <w:rsid w:val="00582FA6"/>
    <w:rsid w:val="005836D5"/>
    <w:rsid w:val="0058375E"/>
    <w:rsid w:val="0058394B"/>
    <w:rsid w:val="00584233"/>
    <w:rsid w:val="005842D0"/>
    <w:rsid w:val="005845FB"/>
    <w:rsid w:val="005855AE"/>
    <w:rsid w:val="00585829"/>
    <w:rsid w:val="00585CA8"/>
    <w:rsid w:val="00585E80"/>
    <w:rsid w:val="00586412"/>
    <w:rsid w:val="005864B9"/>
    <w:rsid w:val="00586564"/>
    <w:rsid w:val="005866C4"/>
    <w:rsid w:val="00590F1A"/>
    <w:rsid w:val="00591C03"/>
    <w:rsid w:val="00591E2A"/>
    <w:rsid w:val="005923C4"/>
    <w:rsid w:val="0059397D"/>
    <w:rsid w:val="00593EA2"/>
    <w:rsid w:val="00593F75"/>
    <w:rsid w:val="005940A0"/>
    <w:rsid w:val="0059429A"/>
    <w:rsid w:val="005945A4"/>
    <w:rsid w:val="00594CBE"/>
    <w:rsid w:val="00594FDC"/>
    <w:rsid w:val="00595197"/>
    <w:rsid w:val="00595561"/>
    <w:rsid w:val="00596AF7"/>
    <w:rsid w:val="00596CCE"/>
    <w:rsid w:val="00597516"/>
    <w:rsid w:val="005A13F5"/>
    <w:rsid w:val="005A1976"/>
    <w:rsid w:val="005A1F51"/>
    <w:rsid w:val="005A2120"/>
    <w:rsid w:val="005A2130"/>
    <w:rsid w:val="005A2501"/>
    <w:rsid w:val="005A2C80"/>
    <w:rsid w:val="005A3066"/>
    <w:rsid w:val="005A3B35"/>
    <w:rsid w:val="005A3C4B"/>
    <w:rsid w:val="005A3E5A"/>
    <w:rsid w:val="005A43F3"/>
    <w:rsid w:val="005A496F"/>
    <w:rsid w:val="005A4A56"/>
    <w:rsid w:val="005A5608"/>
    <w:rsid w:val="005A5A3D"/>
    <w:rsid w:val="005A6035"/>
    <w:rsid w:val="005A6886"/>
    <w:rsid w:val="005A6B75"/>
    <w:rsid w:val="005A6E00"/>
    <w:rsid w:val="005A718A"/>
    <w:rsid w:val="005A72DD"/>
    <w:rsid w:val="005A7885"/>
    <w:rsid w:val="005B12B2"/>
    <w:rsid w:val="005B143B"/>
    <w:rsid w:val="005B19BD"/>
    <w:rsid w:val="005B1E45"/>
    <w:rsid w:val="005B21C4"/>
    <w:rsid w:val="005B2A28"/>
    <w:rsid w:val="005B2C7D"/>
    <w:rsid w:val="005B35AB"/>
    <w:rsid w:val="005B3621"/>
    <w:rsid w:val="005B3A88"/>
    <w:rsid w:val="005B3EBE"/>
    <w:rsid w:val="005B4948"/>
    <w:rsid w:val="005B501D"/>
    <w:rsid w:val="005B52B0"/>
    <w:rsid w:val="005B54CC"/>
    <w:rsid w:val="005B61AD"/>
    <w:rsid w:val="005B6C2A"/>
    <w:rsid w:val="005B71BB"/>
    <w:rsid w:val="005B741C"/>
    <w:rsid w:val="005B74AD"/>
    <w:rsid w:val="005B76B3"/>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14F"/>
    <w:rsid w:val="005C5241"/>
    <w:rsid w:val="005C529E"/>
    <w:rsid w:val="005C57BA"/>
    <w:rsid w:val="005C5C52"/>
    <w:rsid w:val="005C5D3D"/>
    <w:rsid w:val="005C5F05"/>
    <w:rsid w:val="005C6186"/>
    <w:rsid w:val="005C6397"/>
    <w:rsid w:val="005C64D6"/>
    <w:rsid w:val="005C6CF7"/>
    <w:rsid w:val="005C6D19"/>
    <w:rsid w:val="005C721D"/>
    <w:rsid w:val="005C7E45"/>
    <w:rsid w:val="005C7F3E"/>
    <w:rsid w:val="005D06D3"/>
    <w:rsid w:val="005D0C3B"/>
    <w:rsid w:val="005D0C87"/>
    <w:rsid w:val="005D103E"/>
    <w:rsid w:val="005D1051"/>
    <w:rsid w:val="005D1606"/>
    <w:rsid w:val="005D170F"/>
    <w:rsid w:val="005D1C70"/>
    <w:rsid w:val="005D1D10"/>
    <w:rsid w:val="005D2044"/>
    <w:rsid w:val="005D209E"/>
    <w:rsid w:val="005D2917"/>
    <w:rsid w:val="005D2EB2"/>
    <w:rsid w:val="005D2F48"/>
    <w:rsid w:val="005D30AE"/>
    <w:rsid w:val="005D33C2"/>
    <w:rsid w:val="005D3B32"/>
    <w:rsid w:val="005D3E5C"/>
    <w:rsid w:val="005D464B"/>
    <w:rsid w:val="005D466F"/>
    <w:rsid w:val="005D49F0"/>
    <w:rsid w:val="005D51F7"/>
    <w:rsid w:val="005D51FA"/>
    <w:rsid w:val="005D53E8"/>
    <w:rsid w:val="005D5A9D"/>
    <w:rsid w:val="005D5D15"/>
    <w:rsid w:val="005D6651"/>
    <w:rsid w:val="005D691D"/>
    <w:rsid w:val="005D6A72"/>
    <w:rsid w:val="005D6F38"/>
    <w:rsid w:val="005D7452"/>
    <w:rsid w:val="005D791B"/>
    <w:rsid w:val="005D7CF2"/>
    <w:rsid w:val="005D7F92"/>
    <w:rsid w:val="005E003C"/>
    <w:rsid w:val="005E04C5"/>
    <w:rsid w:val="005E062C"/>
    <w:rsid w:val="005E0D7B"/>
    <w:rsid w:val="005E1595"/>
    <w:rsid w:val="005E1F1D"/>
    <w:rsid w:val="005E2694"/>
    <w:rsid w:val="005E273D"/>
    <w:rsid w:val="005E3278"/>
    <w:rsid w:val="005E363B"/>
    <w:rsid w:val="005E3736"/>
    <w:rsid w:val="005E4B72"/>
    <w:rsid w:val="005E52C9"/>
    <w:rsid w:val="005E6342"/>
    <w:rsid w:val="005E665F"/>
    <w:rsid w:val="005E717E"/>
    <w:rsid w:val="005E781C"/>
    <w:rsid w:val="005F0B10"/>
    <w:rsid w:val="005F0B21"/>
    <w:rsid w:val="005F2D8B"/>
    <w:rsid w:val="005F305B"/>
    <w:rsid w:val="005F3361"/>
    <w:rsid w:val="005F361A"/>
    <w:rsid w:val="005F370A"/>
    <w:rsid w:val="005F3B47"/>
    <w:rsid w:val="005F3E43"/>
    <w:rsid w:val="005F4481"/>
    <w:rsid w:val="005F467E"/>
    <w:rsid w:val="005F47AC"/>
    <w:rsid w:val="005F49AF"/>
    <w:rsid w:val="005F4A58"/>
    <w:rsid w:val="005F54DF"/>
    <w:rsid w:val="005F5888"/>
    <w:rsid w:val="005F5935"/>
    <w:rsid w:val="005F5984"/>
    <w:rsid w:val="005F5EAB"/>
    <w:rsid w:val="005F6CE2"/>
    <w:rsid w:val="005F6EC8"/>
    <w:rsid w:val="005F6F24"/>
    <w:rsid w:val="005F7112"/>
    <w:rsid w:val="005F72E9"/>
    <w:rsid w:val="005F780B"/>
    <w:rsid w:val="005F7DE2"/>
    <w:rsid w:val="0060009C"/>
    <w:rsid w:val="00600473"/>
    <w:rsid w:val="00600516"/>
    <w:rsid w:val="00601055"/>
    <w:rsid w:val="0060139A"/>
    <w:rsid w:val="006013C9"/>
    <w:rsid w:val="00601624"/>
    <w:rsid w:val="00601A39"/>
    <w:rsid w:val="00602931"/>
    <w:rsid w:val="00602B45"/>
    <w:rsid w:val="00603499"/>
    <w:rsid w:val="006035F5"/>
    <w:rsid w:val="00603CC2"/>
    <w:rsid w:val="00604622"/>
    <w:rsid w:val="006047D1"/>
    <w:rsid w:val="006048A4"/>
    <w:rsid w:val="00604A55"/>
    <w:rsid w:val="00604D4E"/>
    <w:rsid w:val="00604E3E"/>
    <w:rsid w:val="00605AC3"/>
    <w:rsid w:val="00606908"/>
    <w:rsid w:val="0060691B"/>
    <w:rsid w:val="00607860"/>
    <w:rsid w:val="00607996"/>
    <w:rsid w:val="00607A37"/>
    <w:rsid w:val="00607E9F"/>
    <w:rsid w:val="0061085E"/>
    <w:rsid w:val="00610B91"/>
    <w:rsid w:val="006112A7"/>
    <w:rsid w:val="00611398"/>
    <w:rsid w:val="006113B4"/>
    <w:rsid w:val="0061186D"/>
    <w:rsid w:val="00612322"/>
    <w:rsid w:val="006123C0"/>
    <w:rsid w:val="006129AB"/>
    <w:rsid w:val="006129AF"/>
    <w:rsid w:val="00613191"/>
    <w:rsid w:val="006133F9"/>
    <w:rsid w:val="006134B3"/>
    <w:rsid w:val="00613DE1"/>
    <w:rsid w:val="0061401F"/>
    <w:rsid w:val="00614166"/>
    <w:rsid w:val="00614817"/>
    <w:rsid w:val="006149CC"/>
    <w:rsid w:val="0061512C"/>
    <w:rsid w:val="006154A6"/>
    <w:rsid w:val="006157A9"/>
    <w:rsid w:val="0061591D"/>
    <w:rsid w:val="00615ED0"/>
    <w:rsid w:val="0061604C"/>
    <w:rsid w:val="00616C2B"/>
    <w:rsid w:val="00616D7F"/>
    <w:rsid w:val="006178D1"/>
    <w:rsid w:val="00617A92"/>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91"/>
    <w:rsid w:val="00631BB5"/>
    <w:rsid w:val="00631DD0"/>
    <w:rsid w:val="0063247E"/>
    <w:rsid w:val="00632CE0"/>
    <w:rsid w:val="006333F8"/>
    <w:rsid w:val="00633833"/>
    <w:rsid w:val="00633A17"/>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680"/>
    <w:rsid w:val="006407A5"/>
    <w:rsid w:val="00641078"/>
    <w:rsid w:val="00641242"/>
    <w:rsid w:val="00641761"/>
    <w:rsid w:val="00641899"/>
    <w:rsid w:val="00641B12"/>
    <w:rsid w:val="00642126"/>
    <w:rsid w:val="006429C0"/>
    <w:rsid w:val="00642A32"/>
    <w:rsid w:val="00642B8E"/>
    <w:rsid w:val="00642D9F"/>
    <w:rsid w:val="00642F7C"/>
    <w:rsid w:val="00642FC5"/>
    <w:rsid w:val="006433D5"/>
    <w:rsid w:val="00643412"/>
    <w:rsid w:val="00643CF5"/>
    <w:rsid w:val="00644E8F"/>
    <w:rsid w:val="00645844"/>
    <w:rsid w:val="00645CEB"/>
    <w:rsid w:val="00645E63"/>
    <w:rsid w:val="0064673C"/>
    <w:rsid w:val="00646B20"/>
    <w:rsid w:val="00646D0F"/>
    <w:rsid w:val="00647A36"/>
    <w:rsid w:val="00647DCC"/>
    <w:rsid w:val="00647E8E"/>
    <w:rsid w:val="00647EFA"/>
    <w:rsid w:val="00647F14"/>
    <w:rsid w:val="00650027"/>
    <w:rsid w:val="00650E89"/>
    <w:rsid w:val="006516E6"/>
    <w:rsid w:val="00651B9C"/>
    <w:rsid w:val="00651C47"/>
    <w:rsid w:val="00652483"/>
    <w:rsid w:val="00652E70"/>
    <w:rsid w:val="00652E9C"/>
    <w:rsid w:val="0065339A"/>
    <w:rsid w:val="00653469"/>
    <w:rsid w:val="0065443A"/>
    <w:rsid w:val="00654A38"/>
    <w:rsid w:val="00655301"/>
    <w:rsid w:val="00655371"/>
    <w:rsid w:val="00655507"/>
    <w:rsid w:val="006564A5"/>
    <w:rsid w:val="00656C4B"/>
    <w:rsid w:val="006572A7"/>
    <w:rsid w:val="006573EA"/>
    <w:rsid w:val="006577C9"/>
    <w:rsid w:val="006606A4"/>
    <w:rsid w:val="00660B18"/>
    <w:rsid w:val="00660B1A"/>
    <w:rsid w:val="00661029"/>
    <w:rsid w:val="006610C3"/>
    <w:rsid w:val="0066135A"/>
    <w:rsid w:val="00661A38"/>
    <w:rsid w:val="0066272D"/>
    <w:rsid w:val="00662E58"/>
    <w:rsid w:val="00662F39"/>
    <w:rsid w:val="0066352A"/>
    <w:rsid w:val="006635A0"/>
    <w:rsid w:val="00663D26"/>
    <w:rsid w:val="00664351"/>
    <w:rsid w:val="00665968"/>
    <w:rsid w:val="00665BF7"/>
    <w:rsid w:val="00665C4C"/>
    <w:rsid w:val="00665E65"/>
    <w:rsid w:val="006660F0"/>
    <w:rsid w:val="00666178"/>
    <w:rsid w:val="0066639E"/>
    <w:rsid w:val="00666473"/>
    <w:rsid w:val="00666B49"/>
    <w:rsid w:val="00666C72"/>
    <w:rsid w:val="00666D4B"/>
    <w:rsid w:val="00666E6C"/>
    <w:rsid w:val="0066707F"/>
    <w:rsid w:val="00667457"/>
    <w:rsid w:val="00667ED8"/>
    <w:rsid w:val="0067064C"/>
    <w:rsid w:val="00670B20"/>
    <w:rsid w:val="00670E12"/>
    <w:rsid w:val="00670F27"/>
    <w:rsid w:val="006718D8"/>
    <w:rsid w:val="00672E16"/>
    <w:rsid w:val="00672E80"/>
    <w:rsid w:val="0067333F"/>
    <w:rsid w:val="006739E4"/>
    <w:rsid w:val="00673ECF"/>
    <w:rsid w:val="0067426B"/>
    <w:rsid w:val="00674A1B"/>
    <w:rsid w:val="00674D08"/>
    <w:rsid w:val="00674F1C"/>
    <w:rsid w:val="006754F8"/>
    <w:rsid w:val="00676127"/>
    <w:rsid w:val="0067645B"/>
    <w:rsid w:val="006765DF"/>
    <w:rsid w:val="00676AED"/>
    <w:rsid w:val="00677212"/>
    <w:rsid w:val="00677F26"/>
    <w:rsid w:val="006800EE"/>
    <w:rsid w:val="006802A7"/>
    <w:rsid w:val="00680A86"/>
    <w:rsid w:val="00680E4A"/>
    <w:rsid w:val="00680FBE"/>
    <w:rsid w:val="006811C9"/>
    <w:rsid w:val="006812CE"/>
    <w:rsid w:val="0068132A"/>
    <w:rsid w:val="00681C78"/>
    <w:rsid w:val="00682314"/>
    <w:rsid w:val="006826C1"/>
    <w:rsid w:val="00682C89"/>
    <w:rsid w:val="006832B8"/>
    <w:rsid w:val="00683329"/>
    <w:rsid w:val="006836DF"/>
    <w:rsid w:val="006837B2"/>
    <w:rsid w:val="00683800"/>
    <w:rsid w:val="0068420B"/>
    <w:rsid w:val="00684462"/>
    <w:rsid w:val="00684C0D"/>
    <w:rsid w:val="00684C8A"/>
    <w:rsid w:val="00684CF5"/>
    <w:rsid w:val="00684DAB"/>
    <w:rsid w:val="00685022"/>
    <w:rsid w:val="00685188"/>
    <w:rsid w:val="0068553E"/>
    <w:rsid w:val="00685D37"/>
    <w:rsid w:val="00685E7B"/>
    <w:rsid w:val="00686551"/>
    <w:rsid w:val="00686CAB"/>
    <w:rsid w:val="00687049"/>
    <w:rsid w:val="0068717F"/>
    <w:rsid w:val="0068730C"/>
    <w:rsid w:val="00687504"/>
    <w:rsid w:val="00687A14"/>
    <w:rsid w:val="00687A8C"/>
    <w:rsid w:val="00687DAD"/>
    <w:rsid w:val="006901B2"/>
    <w:rsid w:val="00690839"/>
    <w:rsid w:val="006908DB"/>
    <w:rsid w:val="00690DE9"/>
    <w:rsid w:val="00691563"/>
    <w:rsid w:val="00691DE9"/>
    <w:rsid w:val="00691EAA"/>
    <w:rsid w:val="00692245"/>
    <w:rsid w:val="00692745"/>
    <w:rsid w:val="00692FFA"/>
    <w:rsid w:val="006934CB"/>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0ADE"/>
    <w:rsid w:val="006A1ED5"/>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824"/>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0DA"/>
    <w:rsid w:val="006B66FA"/>
    <w:rsid w:val="006B67AC"/>
    <w:rsid w:val="006B722F"/>
    <w:rsid w:val="006B786A"/>
    <w:rsid w:val="006B78F2"/>
    <w:rsid w:val="006B7E4E"/>
    <w:rsid w:val="006C003A"/>
    <w:rsid w:val="006C0B6B"/>
    <w:rsid w:val="006C107C"/>
    <w:rsid w:val="006C127C"/>
    <w:rsid w:val="006C189C"/>
    <w:rsid w:val="006C219B"/>
    <w:rsid w:val="006C2454"/>
    <w:rsid w:val="006C2551"/>
    <w:rsid w:val="006C27B9"/>
    <w:rsid w:val="006C2CC0"/>
    <w:rsid w:val="006C32CF"/>
    <w:rsid w:val="006C32EC"/>
    <w:rsid w:val="006C337B"/>
    <w:rsid w:val="006C37CA"/>
    <w:rsid w:val="006C39AE"/>
    <w:rsid w:val="006C40D2"/>
    <w:rsid w:val="006C4B85"/>
    <w:rsid w:val="006C4BBD"/>
    <w:rsid w:val="006C4E02"/>
    <w:rsid w:val="006C5215"/>
    <w:rsid w:val="006C551E"/>
    <w:rsid w:val="006C5B15"/>
    <w:rsid w:val="006C5D32"/>
    <w:rsid w:val="006C5DCB"/>
    <w:rsid w:val="006C6475"/>
    <w:rsid w:val="006C70C4"/>
    <w:rsid w:val="006C741F"/>
    <w:rsid w:val="006D04DA"/>
    <w:rsid w:val="006D10F6"/>
    <w:rsid w:val="006D1254"/>
    <w:rsid w:val="006D1544"/>
    <w:rsid w:val="006D1688"/>
    <w:rsid w:val="006D1BE1"/>
    <w:rsid w:val="006D1DD3"/>
    <w:rsid w:val="006D1FF3"/>
    <w:rsid w:val="006D2C65"/>
    <w:rsid w:val="006D32C6"/>
    <w:rsid w:val="006D360E"/>
    <w:rsid w:val="006D3697"/>
    <w:rsid w:val="006D39D2"/>
    <w:rsid w:val="006D3A94"/>
    <w:rsid w:val="006D3F2A"/>
    <w:rsid w:val="006D4370"/>
    <w:rsid w:val="006D46A3"/>
    <w:rsid w:val="006D58F2"/>
    <w:rsid w:val="006D5DCB"/>
    <w:rsid w:val="006D6168"/>
    <w:rsid w:val="006D62E0"/>
    <w:rsid w:val="006D62EA"/>
    <w:rsid w:val="006D658F"/>
    <w:rsid w:val="006D66B2"/>
    <w:rsid w:val="006D6712"/>
    <w:rsid w:val="006D6A12"/>
    <w:rsid w:val="006D712D"/>
    <w:rsid w:val="006D7687"/>
    <w:rsid w:val="006D7D1F"/>
    <w:rsid w:val="006D7D8A"/>
    <w:rsid w:val="006E0158"/>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65A"/>
    <w:rsid w:val="006E77B8"/>
    <w:rsid w:val="006E7AAF"/>
    <w:rsid w:val="006F0F74"/>
    <w:rsid w:val="006F13BA"/>
    <w:rsid w:val="006F15CC"/>
    <w:rsid w:val="006F15F6"/>
    <w:rsid w:val="006F36EA"/>
    <w:rsid w:val="006F3BF9"/>
    <w:rsid w:val="006F4147"/>
    <w:rsid w:val="006F4315"/>
    <w:rsid w:val="006F47A7"/>
    <w:rsid w:val="006F4CB0"/>
    <w:rsid w:val="006F4F78"/>
    <w:rsid w:val="006F50C2"/>
    <w:rsid w:val="006F5251"/>
    <w:rsid w:val="006F5389"/>
    <w:rsid w:val="006F547E"/>
    <w:rsid w:val="006F5CCF"/>
    <w:rsid w:val="006F6F04"/>
    <w:rsid w:val="006F71F5"/>
    <w:rsid w:val="006F72A8"/>
    <w:rsid w:val="006F79BB"/>
    <w:rsid w:val="007000A6"/>
    <w:rsid w:val="00700610"/>
    <w:rsid w:val="00700AAB"/>
    <w:rsid w:val="00700CA2"/>
    <w:rsid w:val="00701234"/>
    <w:rsid w:val="0070138A"/>
    <w:rsid w:val="0070157E"/>
    <w:rsid w:val="007030D4"/>
    <w:rsid w:val="00703279"/>
    <w:rsid w:val="007034D9"/>
    <w:rsid w:val="00703B61"/>
    <w:rsid w:val="00703E11"/>
    <w:rsid w:val="00704102"/>
    <w:rsid w:val="0070437C"/>
    <w:rsid w:val="0070461C"/>
    <w:rsid w:val="00704A76"/>
    <w:rsid w:val="00704C11"/>
    <w:rsid w:val="00704F37"/>
    <w:rsid w:val="00705631"/>
    <w:rsid w:val="00705806"/>
    <w:rsid w:val="00705818"/>
    <w:rsid w:val="00705F62"/>
    <w:rsid w:val="00706813"/>
    <w:rsid w:val="0070773F"/>
    <w:rsid w:val="00707A2E"/>
    <w:rsid w:val="00707ED3"/>
    <w:rsid w:val="007101B7"/>
    <w:rsid w:val="0071041A"/>
    <w:rsid w:val="00710668"/>
    <w:rsid w:val="00711019"/>
    <w:rsid w:val="007110F4"/>
    <w:rsid w:val="007112B1"/>
    <w:rsid w:val="0071130F"/>
    <w:rsid w:val="00712044"/>
    <w:rsid w:val="00712507"/>
    <w:rsid w:val="00712714"/>
    <w:rsid w:val="007129AB"/>
    <w:rsid w:val="00712B63"/>
    <w:rsid w:val="00712E5F"/>
    <w:rsid w:val="0071340B"/>
    <w:rsid w:val="00713526"/>
    <w:rsid w:val="00713FC5"/>
    <w:rsid w:val="00714BB9"/>
    <w:rsid w:val="00714DCA"/>
    <w:rsid w:val="00714EC3"/>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3A0"/>
    <w:rsid w:val="00721BFF"/>
    <w:rsid w:val="00722495"/>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76"/>
    <w:rsid w:val="00735DA7"/>
    <w:rsid w:val="007363DC"/>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3834"/>
    <w:rsid w:val="00743F4B"/>
    <w:rsid w:val="007441A2"/>
    <w:rsid w:val="00744273"/>
    <w:rsid w:val="00744E80"/>
    <w:rsid w:val="00745035"/>
    <w:rsid w:val="0074531C"/>
    <w:rsid w:val="00745547"/>
    <w:rsid w:val="007459D0"/>
    <w:rsid w:val="00745A63"/>
    <w:rsid w:val="00745D39"/>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08D"/>
    <w:rsid w:val="00754A0B"/>
    <w:rsid w:val="00755229"/>
    <w:rsid w:val="007552DB"/>
    <w:rsid w:val="0075549F"/>
    <w:rsid w:val="00755732"/>
    <w:rsid w:val="00755B08"/>
    <w:rsid w:val="00755DD0"/>
    <w:rsid w:val="0075647A"/>
    <w:rsid w:val="00756A2F"/>
    <w:rsid w:val="007573E1"/>
    <w:rsid w:val="0075749E"/>
    <w:rsid w:val="00757722"/>
    <w:rsid w:val="00757796"/>
    <w:rsid w:val="00757B2D"/>
    <w:rsid w:val="00757BAD"/>
    <w:rsid w:val="00757C31"/>
    <w:rsid w:val="00757D62"/>
    <w:rsid w:val="00760021"/>
    <w:rsid w:val="00760561"/>
    <w:rsid w:val="00760867"/>
    <w:rsid w:val="00760EB6"/>
    <w:rsid w:val="007616DB"/>
    <w:rsid w:val="0076190A"/>
    <w:rsid w:val="00761AB7"/>
    <w:rsid w:val="00761CE6"/>
    <w:rsid w:val="0076228A"/>
    <w:rsid w:val="00762440"/>
    <w:rsid w:val="00762499"/>
    <w:rsid w:val="0076253F"/>
    <w:rsid w:val="00762705"/>
    <w:rsid w:val="0076275B"/>
    <w:rsid w:val="007629B7"/>
    <w:rsid w:val="00762E60"/>
    <w:rsid w:val="00762E6C"/>
    <w:rsid w:val="00762F54"/>
    <w:rsid w:val="007634AD"/>
    <w:rsid w:val="0076424F"/>
    <w:rsid w:val="0076445F"/>
    <w:rsid w:val="00764863"/>
    <w:rsid w:val="00764EC5"/>
    <w:rsid w:val="007651EF"/>
    <w:rsid w:val="00766D49"/>
    <w:rsid w:val="00766ECC"/>
    <w:rsid w:val="007672F3"/>
    <w:rsid w:val="007677B5"/>
    <w:rsid w:val="007678B1"/>
    <w:rsid w:val="007708A8"/>
    <w:rsid w:val="00772100"/>
    <w:rsid w:val="00772275"/>
    <w:rsid w:val="00772684"/>
    <w:rsid w:val="00772AAF"/>
    <w:rsid w:val="00772C9A"/>
    <w:rsid w:val="00772E2A"/>
    <w:rsid w:val="00773131"/>
    <w:rsid w:val="007732BA"/>
    <w:rsid w:val="007734E4"/>
    <w:rsid w:val="0077380D"/>
    <w:rsid w:val="00773BC8"/>
    <w:rsid w:val="00774337"/>
    <w:rsid w:val="00774549"/>
    <w:rsid w:val="0077466F"/>
    <w:rsid w:val="007752B7"/>
    <w:rsid w:val="007759A8"/>
    <w:rsid w:val="00775C27"/>
    <w:rsid w:val="00775D98"/>
    <w:rsid w:val="00775E31"/>
    <w:rsid w:val="00776B93"/>
    <w:rsid w:val="00776FE5"/>
    <w:rsid w:val="00777101"/>
    <w:rsid w:val="007774E7"/>
    <w:rsid w:val="0077768C"/>
    <w:rsid w:val="00777696"/>
    <w:rsid w:val="00777EDF"/>
    <w:rsid w:val="00777FF4"/>
    <w:rsid w:val="00780251"/>
    <w:rsid w:val="007804FE"/>
    <w:rsid w:val="00780F32"/>
    <w:rsid w:val="00781049"/>
    <w:rsid w:val="0078122E"/>
    <w:rsid w:val="0078165A"/>
    <w:rsid w:val="00781939"/>
    <w:rsid w:val="00781D29"/>
    <w:rsid w:val="007825EF"/>
    <w:rsid w:val="0078286B"/>
    <w:rsid w:val="00782D2C"/>
    <w:rsid w:val="00782FC2"/>
    <w:rsid w:val="0078347A"/>
    <w:rsid w:val="0078410A"/>
    <w:rsid w:val="00784938"/>
    <w:rsid w:val="00784EBF"/>
    <w:rsid w:val="00784FC4"/>
    <w:rsid w:val="00785BBB"/>
    <w:rsid w:val="00785FB2"/>
    <w:rsid w:val="00786937"/>
    <w:rsid w:val="00786FAD"/>
    <w:rsid w:val="007872D6"/>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281A"/>
    <w:rsid w:val="007930D3"/>
    <w:rsid w:val="007936E2"/>
    <w:rsid w:val="0079381F"/>
    <w:rsid w:val="0079398D"/>
    <w:rsid w:val="00793A57"/>
    <w:rsid w:val="00793B2E"/>
    <w:rsid w:val="00793C6A"/>
    <w:rsid w:val="007948F5"/>
    <w:rsid w:val="00795647"/>
    <w:rsid w:val="007963F6"/>
    <w:rsid w:val="007969E1"/>
    <w:rsid w:val="00796DC8"/>
    <w:rsid w:val="00796E80"/>
    <w:rsid w:val="0079744F"/>
    <w:rsid w:val="0079776F"/>
    <w:rsid w:val="007979AD"/>
    <w:rsid w:val="00797A9C"/>
    <w:rsid w:val="007A0502"/>
    <w:rsid w:val="007A0EAB"/>
    <w:rsid w:val="007A2341"/>
    <w:rsid w:val="007A2754"/>
    <w:rsid w:val="007A38A1"/>
    <w:rsid w:val="007A3BBE"/>
    <w:rsid w:val="007A4347"/>
    <w:rsid w:val="007A4766"/>
    <w:rsid w:val="007A4B70"/>
    <w:rsid w:val="007A5947"/>
    <w:rsid w:val="007A717B"/>
    <w:rsid w:val="007A7714"/>
    <w:rsid w:val="007A7775"/>
    <w:rsid w:val="007A7C14"/>
    <w:rsid w:val="007B00EF"/>
    <w:rsid w:val="007B0302"/>
    <w:rsid w:val="007B0313"/>
    <w:rsid w:val="007B0854"/>
    <w:rsid w:val="007B0E48"/>
    <w:rsid w:val="007B14BA"/>
    <w:rsid w:val="007B1929"/>
    <w:rsid w:val="007B1D1B"/>
    <w:rsid w:val="007B1D33"/>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6DB"/>
    <w:rsid w:val="007C097D"/>
    <w:rsid w:val="007C0AF2"/>
    <w:rsid w:val="007C1672"/>
    <w:rsid w:val="007C17AE"/>
    <w:rsid w:val="007C21E1"/>
    <w:rsid w:val="007C227C"/>
    <w:rsid w:val="007C24EE"/>
    <w:rsid w:val="007C312A"/>
    <w:rsid w:val="007C3538"/>
    <w:rsid w:val="007C3570"/>
    <w:rsid w:val="007C3F3B"/>
    <w:rsid w:val="007C4097"/>
    <w:rsid w:val="007C4241"/>
    <w:rsid w:val="007C425E"/>
    <w:rsid w:val="007C44DF"/>
    <w:rsid w:val="007C55FF"/>
    <w:rsid w:val="007C5642"/>
    <w:rsid w:val="007C6339"/>
    <w:rsid w:val="007C6B63"/>
    <w:rsid w:val="007C753F"/>
    <w:rsid w:val="007C7C43"/>
    <w:rsid w:val="007C7E15"/>
    <w:rsid w:val="007C7F0D"/>
    <w:rsid w:val="007D06E3"/>
    <w:rsid w:val="007D09E4"/>
    <w:rsid w:val="007D1134"/>
    <w:rsid w:val="007D12EC"/>
    <w:rsid w:val="007D1774"/>
    <w:rsid w:val="007D231B"/>
    <w:rsid w:val="007D23F7"/>
    <w:rsid w:val="007D242C"/>
    <w:rsid w:val="007D24F0"/>
    <w:rsid w:val="007D2566"/>
    <w:rsid w:val="007D2C18"/>
    <w:rsid w:val="007D2D74"/>
    <w:rsid w:val="007D2DA3"/>
    <w:rsid w:val="007D3693"/>
    <w:rsid w:val="007D3C6D"/>
    <w:rsid w:val="007D481A"/>
    <w:rsid w:val="007D4B96"/>
    <w:rsid w:val="007D4ED0"/>
    <w:rsid w:val="007D54D9"/>
    <w:rsid w:val="007D5648"/>
    <w:rsid w:val="007D58C5"/>
    <w:rsid w:val="007D5DE8"/>
    <w:rsid w:val="007D7CCB"/>
    <w:rsid w:val="007D7CFC"/>
    <w:rsid w:val="007E0812"/>
    <w:rsid w:val="007E0825"/>
    <w:rsid w:val="007E0D49"/>
    <w:rsid w:val="007E118A"/>
    <w:rsid w:val="007E18DF"/>
    <w:rsid w:val="007E1E45"/>
    <w:rsid w:val="007E1F52"/>
    <w:rsid w:val="007E214A"/>
    <w:rsid w:val="007E238D"/>
    <w:rsid w:val="007E2C36"/>
    <w:rsid w:val="007E327F"/>
    <w:rsid w:val="007E350D"/>
    <w:rsid w:val="007E3ACA"/>
    <w:rsid w:val="007E3B28"/>
    <w:rsid w:val="007E3F4A"/>
    <w:rsid w:val="007E526E"/>
    <w:rsid w:val="007E564D"/>
    <w:rsid w:val="007E5C4A"/>
    <w:rsid w:val="007E64D4"/>
    <w:rsid w:val="007E66E9"/>
    <w:rsid w:val="007E69F2"/>
    <w:rsid w:val="007E7432"/>
    <w:rsid w:val="007E74BF"/>
    <w:rsid w:val="007E7657"/>
    <w:rsid w:val="007E7B55"/>
    <w:rsid w:val="007E7D2E"/>
    <w:rsid w:val="007E7E0E"/>
    <w:rsid w:val="007E7E80"/>
    <w:rsid w:val="007F14D3"/>
    <w:rsid w:val="007F1655"/>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5A1"/>
    <w:rsid w:val="00800E6D"/>
    <w:rsid w:val="008013FB"/>
    <w:rsid w:val="008014D9"/>
    <w:rsid w:val="0080150F"/>
    <w:rsid w:val="0080153A"/>
    <w:rsid w:val="00801A2A"/>
    <w:rsid w:val="00801EBB"/>
    <w:rsid w:val="00802041"/>
    <w:rsid w:val="008022C9"/>
    <w:rsid w:val="00802605"/>
    <w:rsid w:val="00802F9E"/>
    <w:rsid w:val="00803566"/>
    <w:rsid w:val="00803700"/>
    <w:rsid w:val="0080376A"/>
    <w:rsid w:val="00803D9D"/>
    <w:rsid w:val="0080434C"/>
    <w:rsid w:val="008056C1"/>
    <w:rsid w:val="008059C6"/>
    <w:rsid w:val="00805AD7"/>
    <w:rsid w:val="00805BD6"/>
    <w:rsid w:val="00805DE3"/>
    <w:rsid w:val="00807C35"/>
    <w:rsid w:val="00807F35"/>
    <w:rsid w:val="00807F69"/>
    <w:rsid w:val="008100F7"/>
    <w:rsid w:val="00810179"/>
    <w:rsid w:val="00810206"/>
    <w:rsid w:val="0081022B"/>
    <w:rsid w:val="0081082C"/>
    <w:rsid w:val="00810A15"/>
    <w:rsid w:val="00811898"/>
    <w:rsid w:val="00811C6D"/>
    <w:rsid w:val="00811CDC"/>
    <w:rsid w:val="008124D8"/>
    <w:rsid w:val="00812C9E"/>
    <w:rsid w:val="00812DAE"/>
    <w:rsid w:val="008139F9"/>
    <w:rsid w:val="00813A7B"/>
    <w:rsid w:val="00813F04"/>
    <w:rsid w:val="0081513E"/>
    <w:rsid w:val="00815DA5"/>
    <w:rsid w:val="00815E70"/>
    <w:rsid w:val="00816221"/>
    <w:rsid w:val="0081749A"/>
    <w:rsid w:val="008174F3"/>
    <w:rsid w:val="0081766B"/>
    <w:rsid w:val="008201DE"/>
    <w:rsid w:val="008205AC"/>
    <w:rsid w:val="00820705"/>
    <w:rsid w:val="00820CBF"/>
    <w:rsid w:val="00820FA8"/>
    <w:rsid w:val="008212FD"/>
    <w:rsid w:val="00821489"/>
    <w:rsid w:val="0082168D"/>
    <w:rsid w:val="008217B7"/>
    <w:rsid w:val="00822069"/>
    <w:rsid w:val="0082239B"/>
    <w:rsid w:val="0082292E"/>
    <w:rsid w:val="00822D06"/>
    <w:rsid w:val="00822EC4"/>
    <w:rsid w:val="0082348D"/>
    <w:rsid w:val="008236BE"/>
    <w:rsid w:val="008241CE"/>
    <w:rsid w:val="0082520B"/>
    <w:rsid w:val="00825240"/>
    <w:rsid w:val="008255CB"/>
    <w:rsid w:val="00825B43"/>
    <w:rsid w:val="00825FEE"/>
    <w:rsid w:val="00826F71"/>
    <w:rsid w:val="008273EC"/>
    <w:rsid w:val="008275DC"/>
    <w:rsid w:val="00827CC0"/>
    <w:rsid w:val="008306AB"/>
    <w:rsid w:val="00831026"/>
    <w:rsid w:val="0083119B"/>
    <w:rsid w:val="00831BAE"/>
    <w:rsid w:val="00832216"/>
    <w:rsid w:val="00832513"/>
    <w:rsid w:val="00832CD0"/>
    <w:rsid w:val="00833430"/>
    <w:rsid w:val="00833ADA"/>
    <w:rsid w:val="00833FFC"/>
    <w:rsid w:val="00834128"/>
    <w:rsid w:val="0083417F"/>
    <w:rsid w:val="00835143"/>
    <w:rsid w:val="0083569B"/>
    <w:rsid w:val="00835741"/>
    <w:rsid w:val="00836E74"/>
    <w:rsid w:val="00836EAB"/>
    <w:rsid w:val="00837673"/>
    <w:rsid w:val="00837937"/>
    <w:rsid w:val="00837D82"/>
    <w:rsid w:val="00837EF3"/>
    <w:rsid w:val="008402C1"/>
    <w:rsid w:val="00840893"/>
    <w:rsid w:val="00840E88"/>
    <w:rsid w:val="008410B1"/>
    <w:rsid w:val="00841275"/>
    <w:rsid w:val="008414F0"/>
    <w:rsid w:val="00841515"/>
    <w:rsid w:val="00841677"/>
    <w:rsid w:val="00842181"/>
    <w:rsid w:val="008423EC"/>
    <w:rsid w:val="008429A6"/>
    <w:rsid w:val="00843615"/>
    <w:rsid w:val="00843698"/>
    <w:rsid w:val="00843A4B"/>
    <w:rsid w:val="00843B57"/>
    <w:rsid w:val="00843B60"/>
    <w:rsid w:val="00843D33"/>
    <w:rsid w:val="008444F0"/>
    <w:rsid w:val="00844D4F"/>
    <w:rsid w:val="00844F38"/>
    <w:rsid w:val="008453BA"/>
    <w:rsid w:val="00845AE3"/>
    <w:rsid w:val="00845B36"/>
    <w:rsid w:val="008466A0"/>
    <w:rsid w:val="00846FE7"/>
    <w:rsid w:val="00847535"/>
    <w:rsid w:val="00847B6D"/>
    <w:rsid w:val="0085092D"/>
    <w:rsid w:val="008509A5"/>
    <w:rsid w:val="00850C79"/>
    <w:rsid w:val="00850D82"/>
    <w:rsid w:val="00850F79"/>
    <w:rsid w:val="0085100B"/>
    <w:rsid w:val="008510A1"/>
    <w:rsid w:val="008518A3"/>
    <w:rsid w:val="00851D77"/>
    <w:rsid w:val="0085220E"/>
    <w:rsid w:val="0085304C"/>
    <w:rsid w:val="008536BB"/>
    <w:rsid w:val="00853A3C"/>
    <w:rsid w:val="00853B48"/>
    <w:rsid w:val="00853CE0"/>
    <w:rsid w:val="008548CA"/>
    <w:rsid w:val="00855760"/>
    <w:rsid w:val="008563B0"/>
    <w:rsid w:val="0085694D"/>
    <w:rsid w:val="00856C06"/>
    <w:rsid w:val="00857638"/>
    <w:rsid w:val="0085790B"/>
    <w:rsid w:val="008579B9"/>
    <w:rsid w:val="00857C95"/>
    <w:rsid w:val="00857E78"/>
    <w:rsid w:val="00860AEF"/>
    <w:rsid w:val="00860B18"/>
    <w:rsid w:val="00860D5E"/>
    <w:rsid w:val="0086122C"/>
    <w:rsid w:val="00861310"/>
    <w:rsid w:val="00861C4D"/>
    <w:rsid w:val="00861F53"/>
    <w:rsid w:val="008627DE"/>
    <w:rsid w:val="0086289E"/>
    <w:rsid w:val="008629CB"/>
    <w:rsid w:val="00863664"/>
    <w:rsid w:val="0086394E"/>
    <w:rsid w:val="00863F8A"/>
    <w:rsid w:val="00863FE3"/>
    <w:rsid w:val="008640C4"/>
    <w:rsid w:val="008641D5"/>
    <w:rsid w:val="00864241"/>
    <w:rsid w:val="008645AA"/>
    <w:rsid w:val="0086468A"/>
    <w:rsid w:val="00864E22"/>
    <w:rsid w:val="008650BE"/>
    <w:rsid w:val="00865EAF"/>
    <w:rsid w:val="00865FC6"/>
    <w:rsid w:val="0086633B"/>
    <w:rsid w:val="00866495"/>
    <w:rsid w:val="00866881"/>
    <w:rsid w:val="00866931"/>
    <w:rsid w:val="008673AE"/>
    <w:rsid w:val="00867512"/>
    <w:rsid w:val="008678A3"/>
    <w:rsid w:val="00867C13"/>
    <w:rsid w:val="00867C1D"/>
    <w:rsid w:val="0087033C"/>
    <w:rsid w:val="008715ED"/>
    <w:rsid w:val="008717D8"/>
    <w:rsid w:val="00871B2E"/>
    <w:rsid w:val="00871E3C"/>
    <w:rsid w:val="0087267F"/>
    <w:rsid w:val="00872F97"/>
    <w:rsid w:val="008741E9"/>
    <w:rsid w:val="00874607"/>
    <w:rsid w:val="008747E9"/>
    <w:rsid w:val="00874915"/>
    <w:rsid w:val="00874B89"/>
    <w:rsid w:val="00875403"/>
    <w:rsid w:val="00875434"/>
    <w:rsid w:val="00875C1F"/>
    <w:rsid w:val="00876215"/>
    <w:rsid w:val="0087646C"/>
    <w:rsid w:val="00876815"/>
    <w:rsid w:val="00876BF7"/>
    <w:rsid w:val="00877932"/>
    <w:rsid w:val="008808C7"/>
    <w:rsid w:val="0088106B"/>
    <w:rsid w:val="0088107D"/>
    <w:rsid w:val="0088187A"/>
    <w:rsid w:val="00881E64"/>
    <w:rsid w:val="00882E39"/>
    <w:rsid w:val="00883559"/>
    <w:rsid w:val="008850EB"/>
    <w:rsid w:val="00885228"/>
    <w:rsid w:val="008857E3"/>
    <w:rsid w:val="00886844"/>
    <w:rsid w:val="00886DF2"/>
    <w:rsid w:val="00886FB9"/>
    <w:rsid w:val="00887057"/>
    <w:rsid w:val="00887080"/>
    <w:rsid w:val="00887C79"/>
    <w:rsid w:val="008908DC"/>
    <w:rsid w:val="0089107B"/>
    <w:rsid w:val="008913CC"/>
    <w:rsid w:val="008914AE"/>
    <w:rsid w:val="008919CF"/>
    <w:rsid w:val="00891F84"/>
    <w:rsid w:val="00891FC3"/>
    <w:rsid w:val="008924EF"/>
    <w:rsid w:val="00892703"/>
    <w:rsid w:val="008928EC"/>
    <w:rsid w:val="00892A15"/>
    <w:rsid w:val="00892E5D"/>
    <w:rsid w:val="008935CF"/>
    <w:rsid w:val="00893E9B"/>
    <w:rsid w:val="00894039"/>
    <w:rsid w:val="0089436B"/>
    <w:rsid w:val="00894436"/>
    <w:rsid w:val="00894BB1"/>
    <w:rsid w:val="008951D0"/>
    <w:rsid w:val="00895442"/>
    <w:rsid w:val="00895556"/>
    <w:rsid w:val="008955CE"/>
    <w:rsid w:val="0089582D"/>
    <w:rsid w:val="008959C6"/>
    <w:rsid w:val="0089606D"/>
    <w:rsid w:val="00896129"/>
    <w:rsid w:val="00896316"/>
    <w:rsid w:val="008963DE"/>
    <w:rsid w:val="008963ED"/>
    <w:rsid w:val="0089675F"/>
    <w:rsid w:val="00896B51"/>
    <w:rsid w:val="0089774F"/>
    <w:rsid w:val="00897875"/>
    <w:rsid w:val="00897B8F"/>
    <w:rsid w:val="008A00D9"/>
    <w:rsid w:val="008A07D5"/>
    <w:rsid w:val="008A1C96"/>
    <w:rsid w:val="008A1FB7"/>
    <w:rsid w:val="008A229A"/>
    <w:rsid w:val="008A2A23"/>
    <w:rsid w:val="008A2AF5"/>
    <w:rsid w:val="008A2B5A"/>
    <w:rsid w:val="008A37F9"/>
    <w:rsid w:val="008A3F9D"/>
    <w:rsid w:val="008A41F8"/>
    <w:rsid w:val="008A52A0"/>
    <w:rsid w:val="008A5474"/>
    <w:rsid w:val="008A5C9A"/>
    <w:rsid w:val="008A6005"/>
    <w:rsid w:val="008A614F"/>
    <w:rsid w:val="008A66F2"/>
    <w:rsid w:val="008A6A55"/>
    <w:rsid w:val="008A6DF0"/>
    <w:rsid w:val="008A6F6E"/>
    <w:rsid w:val="008A7888"/>
    <w:rsid w:val="008A796E"/>
    <w:rsid w:val="008B0862"/>
    <w:rsid w:val="008B088C"/>
    <w:rsid w:val="008B1BF5"/>
    <w:rsid w:val="008B1C27"/>
    <w:rsid w:val="008B214B"/>
    <w:rsid w:val="008B263F"/>
    <w:rsid w:val="008B3045"/>
    <w:rsid w:val="008B36BE"/>
    <w:rsid w:val="008B47A6"/>
    <w:rsid w:val="008B5C7C"/>
    <w:rsid w:val="008B63FE"/>
    <w:rsid w:val="008B672C"/>
    <w:rsid w:val="008B7045"/>
    <w:rsid w:val="008B7108"/>
    <w:rsid w:val="008C065F"/>
    <w:rsid w:val="008C0743"/>
    <w:rsid w:val="008C0B4C"/>
    <w:rsid w:val="008C11F0"/>
    <w:rsid w:val="008C1918"/>
    <w:rsid w:val="008C1DBA"/>
    <w:rsid w:val="008C1EAE"/>
    <w:rsid w:val="008C24E7"/>
    <w:rsid w:val="008C2500"/>
    <w:rsid w:val="008C2CAC"/>
    <w:rsid w:val="008C3903"/>
    <w:rsid w:val="008C3C57"/>
    <w:rsid w:val="008C3E2A"/>
    <w:rsid w:val="008C3F27"/>
    <w:rsid w:val="008C45BD"/>
    <w:rsid w:val="008C4B19"/>
    <w:rsid w:val="008C5983"/>
    <w:rsid w:val="008C62D4"/>
    <w:rsid w:val="008C6754"/>
    <w:rsid w:val="008C6B89"/>
    <w:rsid w:val="008C6B97"/>
    <w:rsid w:val="008C7EF7"/>
    <w:rsid w:val="008C7F13"/>
    <w:rsid w:val="008D094D"/>
    <w:rsid w:val="008D0ECE"/>
    <w:rsid w:val="008D15D4"/>
    <w:rsid w:val="008D18AA"/>
    <w:rsid w:val="008D19D9"/>
    <w:rsid w:val="008D1A2A"/>
    <w:rsid w:val="008D1ADE"/>
    <w:rsid w:val="008D3199"/>
    <w:rsid w:val="008D35D9"/>
    <w:rsid w:val="008D3B36"/>
    <w:rsid w:val="008D3B85"/>
    <w:rsid w:val="008D3FFE"/>
    <w:rsid w:val="008D42D2"/>
    <w:rsid w:val="008D4596"/>
    <w:rsid w:val="008D462D"/>
    <w:rsid w:val="008D6084"/>
    <w:rsid w:val="008D64AC"/>
    <w:rsid w:val="008D656F"/>
    <w:rsid w:val="008D65FB"/>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5FC"/>
    <w:rsid w:val="008E4CAE"/>
    <w:rsid w:val="008E5179"/>
    <w:rsid w:val="008E57FE"/>
    <w:rsid w:val="008E6598"/>
    <w:rsid w:val="008E6F19"/>
    <w:rsid w:val="008E710F"/>
    <w:rsid w:val="008E7214"/>
    <w:rsid w:val="008E7471"/>
    <w:rsid w:val="008E7497"/>
    <w:rsid w:val="008E7884"/>
    <w:rsid w:val="008E7D6E"/>
    <w:rsid w:val="008F1056"/>
    <w:rsid w:val="008F13FF"/>
    <w:rsid w:val="008F2E8D"/>
    <w:rsid w:val="008F361D"/>
    <w:rsid w:val="008F387B"/>
    <w:rsid w:val="008F3DD9"/>
    <w:rsid w:val="008F40DC"/>
    <w:rsid w:val="008F4163"/>
    <w:rsid w:val="008F4814"/>
    <w:rsid w:val="008F4B18"/>
    <w:rsid w:val="008F4DA6"/>
    <w:rsid w:val="008F538E"/>
    <w:rsid w:val="008F5751"/>
    <w:rsid w:val="008F5A20"/>
    <w:rsid w:val="008F5ABA"/>
    <w:rsid w:val="008F5B57"/>
    <w:rsid w:val="008F6157"/>
    <w:rsid w:val="008F71AB"/>
    <w:rsid w:val="008F7905"/>
    <w:rsid w:val="008F7989"/>
    <w:rsid w:val="00900861"/>
    <w:rsid w:val="00900912"/>
    <w:rsid w:val="009013B8"/>
    <w:rsid w:val="00901765"/>
    <w:rsid w:val="00901F1D"/>
    <w:rsid w:val="009028E8"/>
    <w:rsid w:val="00902CC9"/>
    <w:rsid w:val="00902E5C"/>
    <w:rsid w:val="0090363E"/>
    <w:rsid w:val="00903679"/>
    <w:rsid w:val="00903788"/>
    <w:rsid w:val="00903C57"/>
    <w:rsid w:val="009046E5"/>
    <w:rsid w:val="00904782"/>
    <w:rsid w:val="009047C5"/>
    <w:rsid w:val="00906007"/>
    <w:rsid w:val="00906166"/>
    <w:rsid w:val="00906C54"/>
    <w:rsid w:val="00906D34"/>
    <w:rsid w:val="009100A1"/>
    <w:rsid w:val="00910683"/>
    <w:rsid w:val="00910E00"/>
    <w:rsid w:val="00910E04"/>
    <w:rsid w:val="009116CE"/>
    <w:rsid w:val="00911714"/>
    <w:rsid w:val="00911D04"/>
    <w:rsid w:val="00911EFF"/>
    <w:rsid w:val="00913035"/>
    <w:rsid w:val="0091310F"/>
    <w:rsid w:val="009136D4"/>
    <w:rsid w:val="00914B9A"/>
    <w:rsid w:val="00914C3F"/>
    <w:rsid w:val="00914F33"/>
    <w:rsid w:val="00915EFE"/>
    <w:rsid w:val="00915FCE"/>
    <w:rsid w:val="00916907"/>
    <w:rsid w:val="00916AFE"/>
    <w:rsid w:val="00916FC8"/>
    <w:rsid w:val="009170D3"/>
    <w:rsid w:val="0091759C"/>
    <w:rsid w:val="009177F5"/>
    <w:rsid w:val="00917CBE"/>
    <w:rsid w:val="00920026"/>
    <w:rsid w:val="009203E2"/>
    <w:rsid w:val="009207DF"/>
    <w:rsid w:val="00920BF5"/>
    <w:rsid w:val="00920F61"/>
    <w:rsid w:val="00921304"/>
    <w:rsid w:val="00921395"/>
    <w:rsid w:val="00921805"/>
    <w:rsid w:val="00921E63"/>
    <w:rsid w:val="009220F6"/>
    <w:rsid w:val="00923396"/>
    <w:rsid w:val="00923A05"/>
    <w:rsid w:val="00923F56"/>
    <w:rsid w:val="009242A6"/>
    <w:rsid w:val="00924770"/>
    <w:rsid w:val="00925022"/>
    <w:rsid w:val="00925346"/>
    <w:rsid w:val="0092557B"/>
    <w:rsid w:val="00925743"/>
    <w:rsid w:val="0092579F"/>
    <w:rsid w:val="00927E8D"/>
    <w:rsid w:val="00927F23"/>
    <w:rsid w:val="009307CD"/>
    <w:rsid w:val="0093110D"/>
    <w:rsid w:val="00931364"/>
    <w:rsid w:val="00931365"/>
    <w:rsid w:val="00931427"/>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37EB5"/>
    <w:rsid w:val="00940207"/>
    <w:rsid w:val="00940477"/>
    <w:rsid w:val="00940876"/>
    <w:rsid w:val="00940A53"/>
    <w:rsid w:val="00940DBD"/>
    <w:rsid w:val="00940F3C"/>
    <w:rsid w:val="009410E0"/>
    <w:rsid w:val="00941B72"/>
    <w:rsid w:val="00941FA9"/>
    <w:rsid w:val="009439B6"/>
    <w:rsid w:val="009444B4"/>
    <w:rsid w:val="00944644"/>
    <w:rsid w:val="00945281"/>
    <w:rsid w:val="009459EA"/>
    <w:rsid w:val="00945DAE"/>
    <w:rsid w:val="00946A24"/>
    <w:rsid w:val="009470D4"/>
    <w:rsid w:val="00947337"/>
    <w:rsid w:val="009477BD"/>
    <w:rsid w:val="00947E6E"/>
    <w:rsid w:val="009512EA"/>
    <w:rsid w:val="009512FA"/>
    <w:rsid w:val="009516A9"/>
    <w:rsid w:val="00951E57"/>
    <w:rsid w:val="00952350"/>
    <w:rsid w:val="00952505"/>
    <w:rsid w:val="00953018"/>
    <w:rsid w:val="009533E2"/>
    <w:rsid w:val="00953554"/>
    <w:rsid w:val="0095385A"/>
    <w:rsid w:val="00954F3A"/>
    <w:rsid w:val="00955541"/>
    <w:rsid w:val="00955DFD"/>
    <w:rsid w:val="0095674F"/>
    <w:rsid w:val="0095747E"/>
    <w:rsid w:val="0095780A"/>
    <w:rsid w:val="009578C3"/>
    <w:rsid w:val="009579E4"/>
    <w:rsid w:val="00957AA4"/>
    <w:rsid w:val="00957ACB"/>
    <w:rsid w:val="00957F27"/>
    <w:rsid w:val="00960BDB"/>
    <w:rsid w:val="0096105C"/>
    <w:rsid w:val="0096147D"/>
    <w:rsid w:val="0096181D"/>
    <w:rsid w:val="00961C14"/>
    <w:rsid w:val="00961D53"/>
    <w:rsid w:val="00961E5F"/>
    <w:rsid w:val="009625C6"/>
    <w:rsid w:val="009629B5"/>
    <w:rsid w:val="00962A50"/>
    <w:rsid w:val="00962C93"/>
    <w:rsid w:val="00963550"/>
    <w:rsid w:val="00963A67"/>
    <w:rsid w:val="00964138"/>
    <w:rsid w:val="009648D6"/>
    <w:rsid w:val="00964B3F"/>
    <w:rsid w:val="00964C98"/>
    <w:rsid w:val="00966948"/>
    <w:rsid w:val="00971441"/>
    <w:rsid w:val="00971555"/>
    <w:rsid w:val="009715D4"/>
    <w:rsid w:val="009715E1"/>
    <w:rsid w:val="0097179A"/>
    <w:rsid w:val="00971B0A"/>
    <w:rsid w:val="00972AB2"/>
    <w:rsid w:val="009731F4"/>
    <w:rsid w:val="009732A4"/>
    <w:rsid w:val="00973AB3"/>
    <w:rsid w:val="00973C05"/>
    <w:rsid w:val="0097494E"/>
    <w:rsid w:val="00974999"/>
    <w:rsid w:val="00974B58"/>
    <w:rsid w:val="00974CBD"/>
    <w:rsid w:val="00974EF6"/>
    <w:rsid w:val="00975445"/>
    <w:rsid w:val="009761ED"/>
    <w:rsid w:val="009767BE"/>
    <w:rsid w:val="00976FFF"/>
    <w:rsid w:val="00977F52"/>
    <w:rsid w:val="0098022F"/>
    <w:rsid w:val="009810DE"/>
    <w:rsid w:val="00981B91"/>
    <w:rsid w:val="009822D7"/>
    <w:rsid w:val="009827E6"/>
    <w:rsid w:val="00982F84"/>
    <w:rsid w:val="009831C3"/>
    <w:rsid w:val="00983310"/>
    <w:rsid w:val="009838C1"/>
    <w:rsid w:val="0098427D"/>
    <w:rsid w:val="00984567"/>
    <w:rsid w:val="00985102"/>
    <w:rsid w:val="009854BC"/>
    <w:rsid w:val="00985A66"/>
    <w:rsid w:val="0098606C"/>
    <w:rsid w:val="009865D5"/>
    <w:rsid w:val="009866A4"/>
    <w:rsid w:val="00986CD7"/>
    <w:rsid w:val="0098721B"/>
    <w:rsid w:val="009876F2"/>
    <w:rsid w:val="00987C77"/>
    <w:rsid w:val="00987E4B"/>
    <w:rsid w:val="00987FED"/>
    <w:rsid w:val="00990345"/>
    <w:rsid w:val="00990701"/>
    <w:rsid w:val="009909A8"/>
    <w:rsid w:val="0099119C"/>
    <w:rsid w:val="0099137A"/>
    <w:rsid w:val="00991A9D"/>
    <w:rsid w:val="00991AED"/>
    <w:rsid w:val="0099211C"/>
    <w:rsid w:val="009928AF"/>
    <w:rsid w:val="00993013"/>
    <w:rsid w:val="0099308E"/>
    <w:rsid w:val="009930AB"/>
    <w:rsid w:val="00993125"/>
    <w:rsid w:val="00993B78"/>
    <w:rsid w:val="00994743"/>
    <w:rsid w:val="00994F3F"/>
    <w:rsid w:val="00995119"/>
    <w:rsid w:val="0099531F"/>
    <w:rsid w:val="009953AD"/>
    <w:rsid w:val="00995461"/>
    <w:rsid w:val="009957D7"/>
    <w:rsid w:val="0099583D"/>
    <w:rsid w:val="0099591E"/>
    <w:rsid w:val="00996020"/>
    <w:rsid w:val="0099629E"/>
    <w:rsid w:val="009967A4"/>
    <w:rsid w:val="00996851"/>
    <w:rsid w:val="00996897"/>
    <w:rsid w:val="00996992"/>
    <w:rsid w:val="00996CE5"/>
    <w:rsid w:val="00996E1E"/>
    <w:rsid w:val="00997148"/>
    <w:rsid w:val="00997392"/>
    <w:rsid w:val="0099747C"/>
    <w:rsid w:val="0099771C"/>
    <w:rsid w:val="009A01E4"/>
    <w:rsid w:val="009A0917"/>
    <w:rsid w:val="009A0A33"/>
    <w:rsid w:val="009A10B2"/>
    <w:rsid w:val="009A1351"/>
    <w:rsid w:val="009A2041"/>
    <w:rsid w:val="009A2435"/>
    <w:rsid w:val="009A2B60"/>
    <w:rsid w:val="009A2D3B"/>
    <w:rsid w:val="009A306E"/>
    <w:rsid w:val="009A35DC"/>
    <w:rsid w:val="009A38AB"/>
    <w:rsid w:val="009A38EC"/>
    <w:rsid w:val="009A39EE"/>
    <w:rsid w:val="009A3A33"/>
    <w:rsid w:val="009A3D47"/>
    <w:rsid w:val="009A4C64"/>
    <w:rsid w:val="009A4D63"/>
    <w:rsid w:val="009A5356"/>
    <w:rsid w:val="009A5468"/>
    <w:rsid w:val="009A55D8"/>
    <w:rsid w:val="009A5D99"/>
    <w:rsid w:val="009A5DC6"/>
    <w:rsid w:val="009A608C"/>
    <w:rsid w:val="009A62E5"/>
    <w:rsid w:val="009A6FDF"/>
    <w:rsid w:val="009A715F"/>
    <w:rsid w:val="009A76D6"/>
    <w:rsid w:val="009A7BEB"/>
    <w:rsid w:val="009B03F1"/>
    <w:rsid w:val="009B1481"/>
    <w:rsid w:val="009B2374"/>
    <w:rsid w:val="009B28D6"/>
    <w:rsid w:val="009B2E29"/>
    <w:rsid w:val="009B3163"/>
    <w:rsid w:val="009B422F"/>
    <w:rsid w:val="009B46BC"/>
    <w:rsid w:val="009B48F8"/>
    <w:rsid w:val="009B4D1A"/>
    <w:rsid w:val="009B519D"/>
    <w:rsid w:val="009B558B"/>
    <w:rsid w:val="009B5DAA"/>
    <w:rsid w:val="009B663F"/>
    <w:rsid w:val="009B6D21"/>
    <w:rsid w:val="009B78ED"/>
    <w:rsid w:val="009C0783"/>
    <w:rsid w:val="009C08D7"/>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495"/>
    <w:rsid w:val="009C6BFC"/>
    <w:rsid w:val="009C70F8"/>
    <w:rsid w:val="009C78A3"/>
    <w:rsid w:val="009C7E68"/>
    <w:rsid w:val="009D00D7"/>
    <w:rsid w:val="009D0156"/>
    <w:rsid w:val="009D03B4"/>
    <w:rsid w:val="009D05DA"/>
    <w:rsid w:val="009D0AF9"/>
    <w:rsid w:val="009D11F6"/>
    <w:rsid w:val="009D1A14"/>
    <w:rsid w:val="009D1E2A"/>
    <w:rsid w:val="009D1FA0"/>
    <w:rsid w:val="009D23D3"/>
    <w:rsid w:val="009D28E8"/>
    <w:rsid w:val="009D2BDF"/>
    <w:rsid w:val="009D3736"/>
    <w:rsid w:val="009D3D0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0767"/>
    <w:rsid w:val="009E1035"/>
    <w:rsid w:val="009E13D2"/>
    <w:rsid w:val="009E16DA"/>
    <w:rsid w:val="009E1CD4"/>
    <w:rsid w:val="009E2103"/>
    <w:rsid w:val="009E2391"/>
    <w:rsid w:val="009E2A11"/>
    <w:rsid w:val="009E2C0F"/>
    <w:rsid w:val="009E3BEE"/>
    <w:rsid w:val="009E476A"/>
    <w:rsid w:val="009E4A16"/>
    <w:rsid w:val="009E4E05"/>
    <w:rsid w:val="009E56FF"/>
    <w:rsid w:val="009E5CB1"/>
    <w:rsid w:val="009E5E56"/>
    <w:rsid w:val="009E61EA"/>
    <w:rsid w:val="009E6990"/>
    <w:rsid w:val="009E6BA8"/>
    <w:rsid w:val="009E6FEE"/>
    <w:rsid w:val="009E7068"/>
    <w:rsid w:val="009E788D"/>
    <w:rsid w:val="009E790A"/>
    <w:rsid w:val="009E794B"/>
    <w:rsid w:val="009F00B9"/>
    <w:rsid w:val="009F060F"/>
    <w:rsid w:val="009F0781"/>
    <w:rsid w:val="009F0850"/>
    <w:rsid w:val="009F15A8"/>
    <w:rsid w:val="009F1950"/>
    <w:rsid w:val="009F1BDF"/>
    <w:rsid w:val="009F1EAE"/>
    <w:rsid w:val="009F210A"/>
    <w:rsid w:val="009F2732"/>
    <w:rsid w:val="009F2848"/>
    <w:rsid w:val="009F2A31"/>
    <w:rsid w:val="009F369D"/>
    <w:rsid w:val="009F36FE"/>
    <w:rsid w:val="009F3865"/>
    <w:rsid w:val="009F3C87"/>
    <w:rsid w:val="009F4990"/>
    <w:rsid w:val="009F4F25"/>
    <w:rsid w:val="009F59C2"/>
    <w:rsid w:val="009F6DD3"/>
    <w:rsid w:val="009F7263"/>
    <w:rsid w:val="009F76EA"/>
    <w:rsid w:val="009F78EB"/>
    <w:rsid w:val="009F7DB2"/>
    <w:rsid w:val="009F7F32"/>
    <w:rsid w:val="009F7FEB"/>
    <w:rsid w:val="00A003D5"/>
    <w:rsid w:val="00A0056C"/>
    <w:rsid w:val="00A00F5E"/>
    <w:rsid w:val="00A0109F"/>
    <w:rsid w:val="00A0120D"/>
    <w:rsid w:val="00A01852"/>
    <w:rsid w:val="00A0188B"/>
    <w:rsid w:val="00A01C35"/>
    <w:rsid w:val="00A01E73"/>
    <w:rsid w:val="00A01F7E"/>
    <w:rsid w:val="00A023E7"/>
    <w:rsid w:val="00A02B88"/>
    <w:rsid w:val="00A02EF9"/>
    <w:rsid w:val="00A03160"/>
    <w:rsid w:val="00A036AC"/>
    <w:rsid w:val="00A03C54"/>
    <w:rsid w:val="00A03DE5"/>
    <w:rsid w:val="00A041BC"/>
    <w:rsid w:val="00A0447F"/>
    <w:rsid w:val="00A04532"/>
    <w:rsid w:val="00A046D2"/>
    <w:rsid w:val="00A04A54"/>
    <w:rsid w:val="00A056D2"/>
    <w:rsid w:val="00A058B8"/>
    <w:rsid w:val="00A05B4B"/>
    <w:rsid w:val="00A066C3"/>
    <w:rsid w:val="00A06754"/>
    <w:rsid w:val="00A069E0"/>
    <w:rsid w:val="00A06E4A"/>
    <w:rsid w:val="00A06EB6"/>
    <w:rsid w:val="00A070E9"/>
    <w:rsid w:val="00A07630"/>
    <w:rsid w:val="00A0789B"/>
    <w:rsid w:val="00A078FB"/>
    <w:rsid w:val="00A10209"/>
    <w:rsid w:val="00A1036D"/>
    <w:rsid w:val="00A1057A"/>
    <w:rsid w:val="00A1069F"/>
    <w:rsid w:val="00A10ACA"/>
    <w:rsid w:val="00A10D08"/>
    <w:rsid w:val="00A11720"/>
    <w:rsid w:val="00A11E78"/>
    <w:rsid w:val="00A12355"/>
    <w:rsid w:val="00A12574"/>
    <w:rsid w:val="00A127D2"/>
    <w:rsid w:val="00A1284E"/>
    <w:rsid w:val="00A12AFA"/>
    <w:rsid w:val="00A13CF5"/>
    <w:rsid w:val="00A13EEC"/>
    <w:rsid w:val="00A143EC"/>
    <w:rsid w:val="00A149E8"/>
    <w:rsid w:val="00A1500F"/>
    <w:rsid w:val="00A15621"/>
    <w:rsid w:val="00A15670"/>
    <w:rsid w:val="00A157A0"/>
    <w:rsid w:val="00A1585B"/>
    <w:rsid w:val="00A15C19"/>
    <w:rsid w:val="00A15FE9"/>
    <w:rsid w:val="00A16809"/>
    <w:rsid w:val="00A17584"/>
    <w:rsid w:val="00A17769"/>
    <w:rsid w:val="00A17CA5"/>
    <w:rsid w:val="00A17EA2"/>
    <w:rsid w:val="00A20264"/>
    <w:rsid w:val="00A20997"/>
    <w:rsid w:val="00A210D4"/>
    <w:rsid w:val="00A213DD"/>
    <w:rsid w:val="00A21454"/>
    <w:rsid w:val="00A216CE"/>
    <w:rsid w:val="00A22025"/>
    <w:rsid w:val="00A22498"/>
    <w:rsid w:val="00A22571"/>
    <w:rsid w:val="00A2298D"/>
    <w:rsid w:val="00A235E1"/>
    <w:rsid w:val="00A24560"/>
    <w:rsid w:val="00A25088"/>
    <w:rsid w:val="00A25833"/>
    <w:rsid w:val="00A25B0F"/>
    <w:rsid w:val="00A25BBB"/>
    <w:rsid w:val="00A27FB6"/>
    <w:rsid w:val="00A30121"/>
    <w:rsid w:val="00A30368"/>
    <w:rsid w:val="00A3043A"/>
    <w:rsid w:val="00A30E02"/>
    <w:rsid w:val="00A30F6A"/>
    <w:rsid w:val="00A31060"/>
    <w:rsid w:val="00A31C3E"/>
    <w:rsid w:val="00A331E4"/>
    <w:rsid w:val="00A34538"/>
    <w:rsid w:val="00A34677"/>
    <w:rsid w:val="00A3540F"/>
    <w:rsid w:val="00A35630"/>
    <w:rsid w:val="00A35914"/>
    <w:rsid w:val="00A35E91"/>
    <w:rsid w:val="00A36189"/>
    <w:rsid w:val="00A361D8"/>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0238"/>
    <w:rsid w:val="00A51D65"/>
    <w:rsid w:val="00A52A53"/>
    <w:rsid w:val="00A52EE5"/>
    <w:rsid w:val="00A53037"/>
    <w:rsid w:val="00A532B9"/>
    <w:rsid w:val="00A5351D"/>
    <w:rsid w:val="00A53E79"/>
    <w:rsid w:val="00A5402C"/>
    <w:rsid w:val="00A54031"/>
    <w:rsid w:val="00A5426D"/>
    <w:rsid w:val="00A54895"/>
    <w:rsid w:val="00A54FC2"/>
    <w:rsid w:val="00A55122"/>
    <w:rsid w:val="00A55806"/>
    <w:rsid w:val="00A55CEA"/>
    <w:rsid w:val="00A560A9"/>
    <w:rsid w:val="00A56A00"/>
    <w:rsid w:val="00A56DE7"/>
    <w:rsid w:val="00A572F4"/>
    <w:rsid w:val="00A57EB2"/>
    <w:rsid w:val="00A6009E"/>
    <w:rsid w:val="00A60265"/>
    <w:rsid w:val="00A60540"/>
    <w:rsid w:val="00A60B1F"/>
    <w:rsid w:val="00A611B1"/>
    <w:rsid w:val="00A6144B"/>
    <w:rsid w:val="00A61C60"/>
    <w:rsid w:val="00A622EA"/>
    <w:rsid w:val="00A62589"/>
    <w:rsid w:val="00A62AD0"/>
    <w:rsid w:val="00A62B6D"/>
    <w:rsid w:val="00A62C3A"/>
    <w:rsid w:val="00A6319C"/>
    <w:rsid w:val="00A63812"/>
    <w:rsid w:val="00A63DF7"/>
    <w:rsid w:val="00A6454D"/>
    <w:rsid w:val="00A64767"/>
    <w:rsid w:val="00A64F2F"/>
    <w:rsid w:val="00A65960"/>
    <w:rsid w:val="00A6611E"/>
    <w:rsid w:val="00A6662C"/>
    <w:rsid w:val="00A668BA"/>
    <w:rsid w:val="00A66FA7"/>
    <w:rsid w:val="00A67170"/>
    <w:rsid w:val="00A67775"/>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2E"/>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096"/>
    <w:rsid w:val="00A832DB"/>
    <w:rsid w:val="00A83BEF"/>
    <w:rsid w:val="00A83C21"/>
    <w:rsid w:val="00A84443"/>
    <w:rsid w:val="00A8487F"/>
    <w:rsid w:val="00A84935"/>
    <w:rsid w:val="00A849A3"/>
    <w:rsid w:val="00A84A0E"/>
    <w:rsid w:val="00A8575D"/>
    <w:rsid w:val="00A861F4"/>
    <w:rsid w:val="00A86E0B"/>
    <w:rsid w:val="00A90546"/>
    <w:rsid w:val="00A90AD3"/>
    <w:rsid w:val="00A90F12"/>
    <w:rsid w:val="00A91C08"/>
    <w:rsid w:val="00A91DAA"/>
    <w:rsid w:val="00A928D0"/>
    <w:rsid w:val="00A93101"/>
    <w:rsid w:val="00A93239"/>
    <w:rsid w:val="00A9413E"/>
    <w:rsid w:val="00A94293"/>
    <w:rsid w:val="00A9496E"/>
    <w:rsid w:val="00A949F0"/>
    <w:rsid w:val="00A94BDE"/>
    <w:rsid w:val="00A94FCA"/>
    <w:rsid w:val="00A95E4C"/>
    <w:rsid w:val="00A96418"/>
    <w:rsid w:val="00A96C60"/>
    <w:rsid w:val="00A9740B"/>
    <w:rsid w:val="00A9766C"/>
    <w:rsid w:val="00A977F8"/>
    <w:rsid w:val="00A979DB"/>
    <w:rsid w:val="00A97A40"/>
    <w:rsid w:val="00A97AE8"/>
    <w:rsid w:val="00A97C93"/>
    <w:rsid w:val="00AA06C6"/>
    <w:rsid w:val="00AA0856"/>
    <w:rsid w:val="00AA08E7"/>
    <w:rsid w:val="00AA0A06"/>
    <w:rsid w:val="00AA1351"/>
    <w:rsid w:val="00AA184C"/>
    <w:rsid w:val="00AA1AF4"/>
    <w:rsid w:val="00AA1C84"/>
    <w:rsid w:val="00AA31C5"/>
    <w:rsid w:val="00AA3D7B"/>
    <w:rsid w:val="00AA42A0"/>
    <w:rsid w:val="00AA442B"/>
    <w:rsid w:val="00AA46A4"/>
    <w:rsid w:val="00AA47FA"/>
    <w:rsid w:val="00AA4BEB"/>
    <w:rsid w:val="00AA5779"/>
    <w:rsid w:val="00AA58A1"/>
    <w:rsid w:val="00AA5E49"/>
    <w:rsid w:val="00AA61C7"/>
    <w:rsid w:val="00AA669D"/>
    <w:rsid w:val="00AA66ED"/>
    <w:rsid w:val="00AA6B59"/>
    <w:rsid w:val="00AA6BE1"/>
    <w:rsid w:val="00AA6DB2"/>
    <w:rsid w:val="00AA7416"/>
    <w:rsid w:val="00AA7A60"/>
    <w:rsid w:val="00AA7B42"/>
    <w:rsid w:val="00AB041C"/>
    <w:rsid w:val="00AB0493"/>
    <w:rsid w:val="00AB14E8"/>
    <w:rsid w:val="00AB1B1D"/>
    <w:rsid w:val="00AB1CD8"/>
    <w:rsid w:val="00AB2216"/>
    <w:rsid w:val="00AB358D"/>
    <w:rsid w:val="00AB37A1"/>
    <w:rsid w:val="00AB3BAD"/>
    <w:rsid w:val="00AB3CFD"/>
    <w:rsid w:val="00AB49BC"/>
    <w:rsid w:val="00AB4DEE"/>
    <w:rsid w:val="00AB4E32"/>
    <w:rsid w:val="00AB5C19"/>
    <w:rsid w:val="00AB60F5"/>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1DF"/>
    <w:rsid w:val="00AC5395"/>
    <w:rsid w:val="00AC55C7"/>
    <w:rsid w:val="00AC56F2"/>
    <w:rsid w:val="00AC5D9D"/>
    <w:rsid w:val="00AC71C3"/>
    <w:rsid w:val="00AC7356"/>
    <w:rsid w:val="00AD0617"/>
    <w:rsid w:val="00AD0861"/>
    <w:rsid w:val="00AD09F7"/>
    <w:rsid w:val="00AD1B10"/>
    <w:rsid w:val="00AD1EFA"/>
    <w:rsid w:val="00AD2072"/>
    <w:rsid w:val="00AD2DBD"/>
    <w:rsid w:val="00AD2FBF"/>
    <w:rsid w:val="00AD30DB"/>
    <w:rsid w:val="00AD33A1"/>
    <w:rsid w:val="00AD340E"/>
    <w:rsid w:val="00AD4511"/>
    <w:rsid w:val="00AD455D"/>
    <w:rsid w:val="00AD463C"/>
    <w:rsid w:val="00AD470B"/>
    <w:rsid w:val="00AD4864"/>
    <w:rsid w:val="00AD4F60"/>
    <w:rsid w:val="00AD5044"/>
    <w:rsid w:val="00AD5114"/>
    <w:rsid w:val="00AD51D2"/>
    <w:rsid w:val="00AD5523"/>
    <w:rsid w:val="00AD5740"/>
    <w:rsid w:val="00AD604D"/>
    <w:rsid w:val="00AD6236"/>
    <w:rsid w:val="00AD69D5"/>
    <w:rsid w:val="00AD7619"/>
    <w:rsid w:val="00AD7770"/>
    <w:rsid w:val="00AE0053"/>
    <w:rsid w:val="00AE15DF"/>
    <w:rsid w:val="00AE1713"/>
    <w:rsid w:val="00AE1772"/>
    <w:rsid w:val="00AE1990"/>
    <w:rsid w:val="00AE25E8"/>
    <w:rsid w:val="00AE2AD4"/>
    <w:rsid w:val="00AE2CA7"/>
    <w:rsid w:val="00AE2F1D"/>
    <w:rsid w:val="00AE4C81"/>
    <w:rsid w:val="00AE586F"/>
    <w:rsid w:val="00AE6188"/>
    <w:rsid w:val="00AE62F6"/>
    <w:rsid w:val="00AE62FE"/>
    <w:rsid w:val="00AE6447"/>
    <w:rsid w:val="00AE6582"/>
    <w:rsid w:val="00AE6DC5"/>
    <w:rsid w:val="00AE7388"/>
    <w:rsid w:val="00AE7686"/>
    <w:rsid w:val="00AE799A"/>
    <w:rsid w:val="00AE7CF1"/>
    <w:rsid w:val="00AF038D"/>
    <w:rsid w:val="00AF0E81"/>
    <w:rsid w:val="00AF117A"/>
    <w:rsid w:val="00AF134E"/>
    <w:rsid w:val="00AF16CA"/>
    <w:rsid w:val="00AF186E"/>
    <w:rsid w:val="00AF19DF"/>
    <w:rsid w:val="00AF1D41"/>
    <w:rsid w:val="00AF1FBF"/>
    <w:rsid w:val="00AF20DA"/>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CBB"/>
    <w:rsid w:val="00AF6DEC"/>
    <w:rsid w:val="00AF6EB6"/>
    <w:rsid w:val="00AF7796"/>
    <w:rsid w:val="00AF7E8F"/>
    <w:rsid w:val="00AF7EA3"/>
    <w:rsid w:val="00B011A9"/>
    <w:rsid w:val="00B01BAF"/>
    <w:rsid w:val="00B024ED"/>
    <w:rsid w:val="00B026B8"/>
    <w:rsid w:val="00B02EB3"/>
    <w:rsid w:val="00B02F7C"/>
    <w:rsid w:val="00B02FCB"/>
    <w:rsid w:val="00B033F8"/>
    <w:rsid w:val="00B0343B"/>
    <w:rsid w:val="00B03C1E"/>
    <w:rsid w:val="00B03C32"/>
    <w:rsid w:val="00B04400"/>
    <w:rsid w:val="00B04835"/>
    <w:rsid w:val="00B05901"/>
    <w:rsid w:val="00B05A55"/>
    <w:rsid w:val="00B05DE1"/>
    <w:rsid w:val="00B05F6C"/>
    <w:rsid w:val="00B06530"/>
    <w:rsid w:val="00B06595"/>
    <w:rsid w:val="00B06862"/>
    <w:rsid w:val="00B076C1"/>
    <w:rsid w:val="00B1003F"/>
    <w:rsid w:val="00B10109"/>
    <w:rsid w:val="00B1085E"/>
    <w:rsid w:val="00B10FD1"/>
    <w:rsid w:val="00B112D5"/>
    <w:rsid w:val="00B11378"/>
    <w:rsid w:val="00B1189E"/>
    <w:rsid w:val="00B11CC6"/>
    <w:rsid w:val="00B1219D"/>
    <w:rsid w:val="00B12735"/>
    <w:rsid w:val="00B12F44"/>
    <w:rsid w:val="00B12FBB"/>
    <w:rsid w:val="00B1345E"/>
    <w:rsid w:val="00B13C48"/>
    <w:rsid w:val="00B13E35"/>
    <w:rsid w:val="00B13EC0"/>
    <w:rsid w:val="00B14102"/>
    <w:rsid w:val="00B147B3"/>
    <w:rsid w:val="00B1498E"/>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5FA"/>
    <w:rsid w:val="00B2088D"/>
    <w:rsid w:val="00B208FF"/>
    <w:rsid w:val="00B20E85"/>
    <w:rsid w:val="00B21271"/>
    <w:rsid w:val="00B22E22"/>
    <w:rsid w:val="00B22F5F"/>
    <w:rsid w:val="00B2306B"/>
    <w:rsid w:val="00B23353"/>
    <w:rsid w:val="00B237E6"/>
    <w:rsid w:val="00B23813"/>
    <w:rsid w:val="00B23FBA"/>
    <w:rsid w:val="00B23FD9"/>
    <w:rsid w:val="00B24007"/>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39D"/>
    <w:rsid w:val="00B30884"/>
    <w:rsid w:val="00B30E11"/>
    <w:rsid w:val="00B30EAE"/>
    <w:rsid w:val="00B30EEB"/>
    <w:rsid w:val="00B31423"/>
    <w:rsid w:val="00B314B3"/>
    <w:rsid w:val="00B317AE"/>
    <w:rsid w:val="00B323E0"/>
    <w:rsid w:val="00B32D71"/>
    <w:rsid w:val="00B32DC0"/>
    <w:rsid w:val="00B32E31"/>
    <w:rsid w:val="00B32F53"/>
    <w:rsid w:val="00B3346C"/>
    <w:rsid w:val="00B3353B"/>
    <w:rsid w:val="00B335E4"/>
    <w:rsid w:val="00B33C23"/>
    <w:rsid w:val="00B345B4"/>
    <w:rsid w:val="00B348B1"/>
    <w:rsid w:val="00B34A28"/>
    <w:rsid w:val="00B35046"/>
    <w:rsid w:val="00B3529F"/>
    <w:rsid w:val="00B357F4"/>
    <w:rsid w:val="00B35B6A"/>
    <w:rsid w:val="00B3692A"/>
    <w:rsid w:val="00B36AFD"/>
    <w:rsid w:val="00B36D2B"/>
    <w:rsid w:val="00B37657"/>
    <w:rsid w:val="00B37AFD"/>
    <w:rsid w:val="00B37B07"/>
    <w:rsid w:val="00B4046F"/>
    <w:rsid w:val="00B406B3"/>
    <w:rsid w:val="00B40A36"/>
    <w:rsid w:val="00B41BCA"/>
    <w:rsid w:val="00B41D39"/>
    <w:rsid w:val="00B41E2B"/>
    <w:rsid w:val="00B422C0"/>
    <w:rsid w:val="00B426CA"/>
    <w:rsid w:val="00B426E1"/>
    <w:rsid w:val="00B434C1"/>
    <w:rsid w:val="00B43718"/>
    <w:rsid w:val="00B4387A"/>
    <w:rsid w:val="00B43A29"/>
    <w:rsid w:val="00B44746"/>
    <w:rsid w:val="00B44854"/>
    <w:rsid w:val="00B44BA5"/>
    <w:rsid w:val="00B455BD"/>
    <w:rsid w:val="00B458D0"/>
    <w:rsid w:val="00B47428"/>
    <w:rsid w:val="00B4792C"/>
    <w:rsid w:val="00B507A9"/>
    <w:rsid w:val="00B50C5B"/>
    <w:rsid w:val="00B50CAE"/>
    <w:rsid w:val="00B512AD"/>
    <w:rsid w:val="00B51680"/>
    <w:rsid w:val="00B5196C"/>
    <w:rsid w:val="00B525CB"/>
    <w:rsid w:val="00B52697"/>
    <w:rsid w:val="00B53D1A"/>
    <w:rsid w:val="00B541E7"/>
    <w:rsid w:val="00B54215"/>
    <w:rsid w:val="00B54D8F"/>
    <w:rsid w:val="00B5534B"/>
    <w:rsid w:val="00B55857"/>
    <w:rsid w:val="00B55C69"/>
    <w:rsid w:val="00B56851"/>
    <w:rsid w:val="00B56D6E"/>
    <w:rsid w:val="00B572F7"/>
    <w:rsid w:val="00B57B9D"/>
    <w:rsid w:val="00B57DAF"/>
    <w:rsid w:val="00B57E74"/>
    <w:rsid w:val="00B60094"/>
    <w:rsid w:val="00B6022C"/>
    <w:rsid w:val="00B6040C"/>
    <w:rsid w:val="00B61119"/>
    <w:rsid w:val="00B614F8"/>
    <w:rsid w:val="00B61994"/>
    <w:rsid w:val="00B61B18"/>
    <w:rsid w:val="00B61FD4"/>
    <w:rsid w:val="00B6235B"/>
    <w:rsid w:val="00B62880"/>
    <w:rsid w:val="00B62CA0"/>
    <w:rsid w:val="00B63872"/>
    <w:rsid w:val="00B63CB2"/>
    <w:rsid w:val="00B64246"/>
    <w:rsid w:val="00B64EDB"/>
    <w:rsid w:val="00B65938"/>
    <w:rsid w:val="00B65C8A"/>
    <w:rsid w:val="00B65CE2"/>
    <w:rsid w:val="00B660AD"/>
    <w:rsid w:val="00B66109"/>
    <w:rsid w:val="00B66349"/>
    <w:rsid w:val="00B66515"/>
    <w:rsid w:val="00B669B3"/>
    <w:rsid w:val="00B67BE7"/>
    <w:rsid w:val="00B67FBF"/>
    <w:rsid w:val="00B70090"/>
    <w:rsid w:val="00B70832"/>
    <w:rsid w:val="00B71376"/>
    <w:rsid w:val="00B716D7"/>
    <w:rsid w:val="00B72110"/>
    <w:rsid w:val="00B72419"/>
    <w:rsid w:val="00B72B91"/>
    <w:rsid w:val="00B73019"/>
    <w:rsid w:val="00B7315F"/>
    <w:rsid w:val="00B7323A"/>
    <w:rsid w:val="00B7353B"/>
    <w:rsid w:val="00B737FB"/>
    <w:rsid w:val="00B73E5D"/>
    <w:rsid w:val="00B73EF3"/>
    <w:rsid w:val="00B7423D"/>
    <w:rsid w:val="00B74366"/>
    <w:rsid w:val="00B74409"/>
    <w:rsid w:val="00B744EF"/>
    <w:rsid w:val="00B74D05"/>
    <w:rsid w:val="00B74EF8"/>
    <w:rsid w:val="00B75628"/>
    <w:rsid w:val="00B75893"/>
    <w:rsid w:val="00B763F4"/>
    <w:rsid w:val="00B76E53"/>
    <w:rsid w:val="00B771F4"/>
    <w:rsid w:val="00B77271"/>
    <w:rsid w:val="00B7762A"/>
    <w:rsid w:val="00B777FA"/>
    <w:rsid w:val="00B77850"/>
    <w:rsid w:val="00B7796B"/>
    <w:rsid w:val="00B80A7B"/>
    <w:rsid w:val="00B80C72"/>
    <w:rsid w:val="00B80F98"/>
    <w:rsid w:val="00B8101E"/>
    <w:rsid w:val="00B81964"/>
    <w:rsid w:val="00B81E6F"/>
    <w:rsid w:val="00B82123"/>
    <w:rsid w:val="00B8225B"/>
    <w:rsid w:val="00B82BB5"/>
    <w:rsid w:val="00B83182"/>
    <w:rsid w:val="00B837C8"/>
    <w:rsid w:val="00B839F0"/>
    <w:rsid w:val="00B851E4"/>
    <w:rsid w:val="00B8535C"/>
    <w:rsid w:val="00B854CE"/>
    <w:rsid w:val="00B85681"/>
    <w:rsid w:val="00B857EB"/>
    <w:rsid w:val="00B858AD"/>
    <w:rsid w:val="00B86162"/>
    <w:rsid w:val="00B86877"/>
    <w:rsid w:val="00B8695D"/>
    <w:rsid w:val="00B86C04"/>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4017"/>
    <w:rsid w:val="00B94498"/>
    <w:rsid w:val="00B94BD3"/>
    <w:rsid w:val="00B94C02"/>
    <w:rsid w:val="00B95464"/>
    <w:rsid w:val="00B955CE"/>
    <w:rsid w:val="00B95C30"/>
    <w:rsid w:val="00B95E3D"/>
    <w:rsid w:val="00B9691F"/>
    <w:rsid w:val="00B96EEC"/>
    <w:rsid w:val="00B97392"/>
    <w:rsid w:val="00B976C7"/>
    <w:rsid w:val="00B97A73"/>
    <w:rsid w:val="00B97B5E"/>
    <w:rsid w:val="00BA087B"/>
    <w:rsid w:val="00BA0A51"/>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43F"/>
    <w:rsid w:val="00BA5589"/>
    <w:rsid w:val="00BA55E0"/>
    <w:rsid w:val="00BA5D36"/>
    <w:rsid w:val="00BA665B"/>
    <w:rsid w:val="00BA6FE8"/>
    <w:rsid w:val="00BA732D"/>
    <w:rsid w:val="00BA7370"/>
    <w:rsid w:val="00BA778B"/>
    <w:rsid w:val="00BB0156"/>
    <w:rsid w:val="00BB0888"/>
    <w:rsid w:val="00BB0DF1"/>
    <w:rsid w:val="00BB0E49"/>
    <w:rsid w:val="00BB0E9B"/>
    <w:rsid w:val="00BB12EA"/>
    <w:rsid w:val="00BB1DCA"/>
    <w:rsid w:val="00BB2236"/>
    <w:rsid w:val="00BB2841"/>
    <w:rsid w:val="00BB2FC4"/>
    <w:rsid w:val="00BB300F"/>
    <w:rsid w:val="00BB32C9"/>
    <w:rsid w:val="00BB35C5"/>
    <w:rsid w:val="00BB3F26"/>
    <w:rsid w:val="00BB401E"/>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4D"/>
    <w:rsid w:val="00BC24AD"/>
    <w:rsid w:val="00BC2898"/>
    <w:rsid w:val="00BC2928"/>
    <w:rsid w:val="00BC29BD"/>
    <w:rsid w:val="00BC2BB1"/>
    <w:rsid w:val="00BC2BC5"/>
    <w:rsid w:val="00BC30B3"/>
    <w:rsid w:val="00BC34A3"/>
    <w:rsid w:val="00BC3DD4"/>
    <w:rsid w:val="00BC3FF9"/>
    <w:rsid w:val="00BC4834"/>
    <w:rsid w:val="00BC4A97"/>
    <w:rsid w:val="00BC5A25"/>
    <w:rsid w:val="00BC5A3F"/>
    <w:rsid w:val="00BC5FDD"/>
    <w:rsid w:val="00BC68B4"/>
    <w:rsid w:val="00BC71AD"/>
    <w:rsid w:val="00BC7277"/>
    <w:rsid w:val="00BD0140"/>
    <w:rsid w:val="00BD02CC"/>
    <w:rsid w:val="00BD088E"/>
    <w:rsid w:val="00BD0A08"/>
    <w:rsid w:val="00BD0F18"/>
    <w:rsid w:val="00BD182E"/>
    <w:rsid w:val="00BD2063"/>
    <w:rsid w:val="00BD2640"/>
    <w:rsid w:val="00BD2950"/>
    <w:rsid w:val="00BD2C4A"/>
    <w:rsid w:val="00BD337A"/>
    <w:rsid w:val="00BD33D9"/>
    <w:rsid w:val="00BD38C5"/>
    <w:rsid w:val="00BD3A6D"/>
    <w:rsid w:val="00BD3AF1"/>
    <w:rsid w:val="00BD3DEA"/>
    <w:rsid w:val="00BD3E97"/>
    <w:rsid w:val="00BD3EC3"/>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156"/>
    <w:rsid w:val="00BE2661"/>
    <w:rsid w:val="00BE26C0"/>
    <w:rsid w:val="00BE3442"/>
    <w:rsid w:val="00BE3700"/>
    <w:rsid w:val="00BE37CD"/>
    <w:rsid w:val="00BE47B2"/>
    <w:rsid w:val="00BE4881"/>
    <w:rsid w:val="00BE48C7"/>
    <w:rsid w:val="00BE4F66"/>
    <w:rsid w:val="00BE4FBF"/>
    <w:rsid w:val="00BE5238"/>
    <w:rsid w:val="00BE5487"/>
    <w:rsid w:val="00BE5742"/>
    <w:rsid w:val="00BE6074"/>
    <w:rsid w:val="00BE68E2"/>
    <w:rsid w:val="00BE6D73"/>
    <w:rsid w:val="00BE7257"/>
    <w:rsid w:val="00BE7CE9"/>
    <w:rsid w:val="00BF020D"/>
    <w:rsid w:val="00BF0532"/>
    <w:rsid w:val="00BF0609"/>
    <w:rsid w:val="00BF0B32"/>
    <w:rsid w:val="00BF0EE8"/>
    <w:rsid w:val="00BF10ED"/>
    <w:rsid w:val="00BF1DD2"/>
    <w:rsid w:val="00BF23A3"/>
    <w:rsid w:val="00BF2A7E"/>
    <w:rsid w:val="00BF3331"/>
    <w:rsid w:val="00BF3A45"/>
    <w:rsid w:val="00BF4154"/>
    <w:rsid w:val="00BF436F"/>
    <w:rsid w:val="00BF4C4A"/>
    <w:rsid w:val="00BF5C05"/>
    <w:rsid w:val="00BF65E3"/>
    <w:rsid w:val="00BF6990"/>
    <w:rsid w:val="00BF6A12"/>
    <w:rsid w:val="00BF6FC6"/>
    <w:rsid w:val="00BF775D"/>
    <w:rsid w:val="00BF7C52"/>
    <w:rsid w:val="00BF7F3A"/>
    <w:rsid w:val="00BF7F99"/>
    <w:rsid w:val="00C00713"/>
    <w:rsid w:val="00C009A0"/>
    <w:rsid w:val="00C01F74"/>
    <w:rsid w:val="00C020C1"/>
    <w:rsid w:val="00C02558"/>
    <w:rsid w:val="00C025CC"/>
    <w:rsid w:val="00C025FE"/>
    <w:rsid w:val="00C0285F"/>
    <w:rsid w:val="00C028F5"/>
    <w:rsid w:val="00C02F35"/>
    <w:rsid w:val="00C03305"/>
    <w:rsid w:val="00C03515"/>
    <w:rsid w:val="00C03738"/>
    <w:rsid w:val="00C037A6"/>
    <w:rsid w:val="00C03910"/>
    <w:rsid w:val="00C04221"/>
    <w:rsid w:val="00C043F5"/>
    <w:rsid w:val="00C044E3"/>
    <w:rsid w:val="00C04607"/>
    <w:rsid w:val="00C04BDB"/>
    <w:rsid w:val="00C04F1B"/>
    <w:rsid w:val="00C052C6"/>
    <w:rsid w:val="00C05A61"/>
    <w:rsid w:val="00C05FBA"/>
    <w:rsid w:val="00C05FEE"/>
    <w:rsid w:val="00C065A4"/>
    <w:rsid w:val="00C066B4"/>
    <w:rsid w:val="00C06CCF"/>
    <w:rsid w:val="00C0794D"/>
    <w:rsid w:val="00C10E78"/>
    <w:rsid w:val="00C113D8"/>
    <w:rsid w:val="00C1159D"/>
    <w:rsid w:val="00C1233E"/>
    <w:rsid w:val="00C1276C"/>
    <w:rsid w:val="00C12FB3"/>
    <w:rsid w:val="00C138BC"/>
    <w:rsid w:val="00C13D85"/>
    <w:rsid w:val="00C144E4"/>
    <w:rsid w:val="00C14575"/>
    <w:rsid w:val="00C14639"/>
    <w:rsid w:val="00C14E82"/>
    <w:rsid w:val="00C14F61"/>
    <w:rsid w:val="00C14FF6"/>
    <w:rsid w:val="00C156B5"/>
    <w:rsid w:val="00C15A0A"/>
    <w:rsid w:val="00C15A85"/>
    <w:rsid w:val="00C1637C"/>
    <w:rsid w:val="00C1641B"/>
    <w:rsid w:val="00C165FC"/>
    <w:rsid w:val="00C167F7"/>
    <w:rsid w:val="00C16DCE"/>
    <w:rsid w:val="00C176D5"/>
    <w:rsid w:val="00C17D24"/>
    <w:rsid w:val="00C205EF"/>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D37"/>
    <w:rsid w:val="00C309E8"/>
    <w:rsid w:val="00C309FE"/>
    <w:rsid w:val="00C30C6E"/>
    <w:rsid w:val="00C32017"/>
    <w:rsid w:val="00C32571"/>
    <w:rsid w:val="00C325CD"/>
    <w:rsid w:val="00C32A60"/>
    <w:rsid w:val="00C3322E"/>
    <w:rsid w:val="00C337F5"/>
    <w:rsid w:val="00C3383E"/>
    <w:rsid w:val="00C33B90"/>
    <w:rsid w:val="00C34161"/>
    <w:rsid w:val="00C34B5F"/>
    <w:rsid w:val="00C358D4"/>
    <w:rsid w:val="00C35EBE"/>
    <w:rsid w:val="00C365C6"/>
    <w:rsid w:val="00C366F4"/>
    <w:rsid w:val="00C36785"/>
    <w:rsid w:val="00C3711C"/>
    <w:rsid w:val="00C37256"/>
    <w:rsid w:val="00C37A7B"/>
    <w:rsid w:val="00C37BD9"/>
    <w:rsid w:val="00C37DC1"/>
    <w:rsid w:val="00C37FFE"/>
    <w:rsid w:val="00C40217"/>
    <w:rsid w:val="00C403CD"/>
    <w:rsid w:val="00C40B50"/>
    <w:rsid w:val="00C419E3"/>
    <w:rsid w:val="00C419F4"/>
    <w:rsid w:val="00C41E6A"/>
    <w:rsid w:val="00C42247"/>
    <w:rsid w:val="00C428E7"/>
    <w:rsid w:val="00C42C9A"/>
    <w:rsid w:val="00C4317B"/>
    <w:rsid w:val="00C4330B"/>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4F"/>
    <w:rsid w:val="00C51C9A"/>
    <w:rsid w:val="00C52C68"/>
    <w:rsid w:val="00C52D98"/>
    <w:rsid w:val="00C52DA1"/>
    <w:rsid w:val="00C53D24"/>
    <w:rsid w:val="00C53ED1"/>
    <w:rsid w:val="00C54640"/>
    <w:rsid w:val="00C547A6"/>
    <w:rsid w:val="00C54A3A"/>
    <w:rsid w:val="00C54AF8"/>
    <w:rsid w:val="00C55C32"/>
    <w:rsid w:val="00C56A67"/>
    <w:rsid w:val="00C56CC2"/>
    <w:rsid w:val="00C56D0B"/>
    <w:rsid w:val="00C56D8D"/>
    <w:rsid w:val="00C57498"/>
    <w:rsid w:val="00C5763C"/>
    <w:rsid w:val="00C5780C"/>
    <w:rsid w:val="00C5796B"/>
    <w:rsid w:val="00C57C64"/>
    <w:rsid w:val="00C6031F"/>
    <w:rsid w:val="00C60C9F"/>
    <w:rsid w:val="00C612C4"/>
    <w:rsid w:val="00C61863"/>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304"/>
    <w:rsid w:val="00C71E2A"/>
    <w:rsid w:val="00C7238B"/>
    <w:rsid w:val="00C7248D"/>
    <w:rsid w:val="00C733BA"/>
    <w:rsid w:val="00C7356F"/>
    <w:rsid w:val="00C73AC2"/>
    <w:rsid w:val="00C741CF"/>
    <w:rsid w:val="00C742F6"/>
    <w:rsid w:val="00C7541F"/>
    <w:rsid w:val="00C760DC"/>
    <w:rsid w:val="00C771A5"/>
    <w:rsid w:val="00C772E8"/>
    <w:rsid w:val="00C77777"/>
    <w:rsid w:val="00C77D00"/>
    <w:rsid w:val="00C77E99"/>
    <w:rsid w:val="00C8082B"/>
    <w:rsid w:val="00C80C6B"/>
    <w:rsid w:val="00C81A88"/>
    <w:rsid w:val="00C81D46"/>
    <w:rsid w:val="00C82298"/>
    <w:rsid w:val="00C82DC7"/>
    <w:rsid w:val="00C8331F"/>
    <w:rsid w:val="00C833B4"/>
    <w:rsid w:val="00C84284"/>
    <w:rsid w:val="00C84E33"/>
    <w:rsid w:val="00C85528"/>
    <w:rsid w:val="00C85FFC"/>
    <w:rsid w:val="00C861FC"/>
    <w:rsid w:val="00C86C87"/>
    <w:rsid w:val="00C9005E"/>
    <w:rsid w:val="00C90111"/>
    <w:rsid w:val="00C9038E"/>
    <w:rsid w:val="00C9077B"/>
    <w:rsid w:val="00C90AA7"/>
    <w:rsid w:val="00C90CA9"/>
    <w:rsid w:val="00C90F88"/>
    <w:rsid w:val="00C915F2"/>
    <w:rsid w:val="00C917B1"/>
    <w:rsid w:val="00C9193C"/>
    <w:rsid w:val="00C91B77"/>
    <w:rsid w:val="00C920E2"/>
    <w:rsid w:val="00C923F6"/>
    <w:rsid w:val="00C92568"/>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97FB2"/>
    <w:rsid w:val="00CA0031"/>
    <w:rsid w:val="00CA0413"/>
    <w:rsid w:val="00CA043A"/>
    <w:rsid w:val="00CA0E51"/>
    <w:rsid w:val="00CA137B"/>
    <w:rsid w:val="00CA1691"/>
    <w:rsid w:val="00CA41E7"/>
    <w:rsid w:val="00CA424D"/>
    <w:rsid w:val="00CA4A99"/>
    <w:rsid w:val="00CA4CCC"/>
    <w:rsid w:val="00CA5520"/>
    <w:rsid w:val="00CA5812"/>
    <w:rsid w:val="00CA5984"/>
    <w:rsid w:val="00CA5BD4"/>
    <w:rsid w:val="00CA5C14"/>
    <w:rsid w:val="00CA7019"/>
    <w:rsid w:val="00CA7230"/>
    <w:rsid w:val="00CA76FC"/>
    <w:rsid w:val="00CA7E7B"/>
    <w:rsid w:val="00CB0236"/>
    <w:rsid w:val="00CB0CB1"/>
    <w:rsid w:val="00CB137C"/>
    <w:rsid w:val="00CB1881"/>
    <w:rsid w:val="00CB1969"/>
    <w:rsid w:val="00CB19E3"/>
    <w:rsid w:val="00CB2C3A"/>
    <w:rsid w:val="00CB2D38"/>
    <w:rsid w:val="00CB2F5E"/>
    <w:rsid w:val="00CB3C5E"/>
    <w:rsid w:val="00CB4137"/>
    <w:rsid w:val="00CB50D0"/>
    <w:rsid w:val="00CB52D0"/>
    <w:rsid w:val="00CB5578"/>
    <w:rsid w:val="00CB5671"/>
    <w:rsid w:val="00CB591C"/>
    <w:rsid w:val="00CB5943"/>
    <w:rsid w:val="00CB61B3"/>
    <w:rsid w:val="00CB6801"/>
    <w:rsid w:val="00CB6F83"/>
    <w:rsid w:val="00CB72AE"/>
    <w:rsid w:val="00CB7AC0"/>
    <w:rsid w:val="00CB7B53"/>
    <w:rsid w:val="00CC00CD"/>
    <w:rsid w:val="00CC0579"/>
    <w:rsid w:val="00CC0AF3"/>
    <w:rsid w:val="00CC0BC6"/>
    <w:rsid w:val="00CC0E68"/>
    <w:rsid w:val="00CC1780"/>
    <w:rsid w:val="00CC1821"/>
    <w:rsid w:val="00CC194E"/>
    <w:rsid w:val="00CC21AC"/>
    <w:rsid w:val="00CC232E"/>
    <w:rsid w:val="00CC2514"/>
    <w:rsid w:val="00CC2D34"/>
    <w:rsid w:val="00CC2F69"/>
    <w:rsid w:val="00CC315F"/>
    <w:rsid w:val="00CC3D38"/>
    <w:rsid w:val="00CC3F2F"/>
    <w:rsid w:val="00CC3FC8"/>
    <w:rsid w:val="00CC40C3"/>
    <w:rsid w:val="00CC45A5"/>
    <w:rsid w:val="00CC4AA0"/>
    <w:rsid w:val="00CC4CB4"/>
    <w:rsid w:val="00CC4E5D"/>
    <w:rsid w:val="00CC4EF4"/>
    <w:rsid w:val="00CC50AE"/>
    <w:rsid w:val="00CC5FFE"/>
    <w:rsid w:val="00CC61B7"/>
    <w:rsid w:val="00CC61CA"/>
    <w:rsid w:val="00CC69EC"/>
    <w:rsid w:val="00CC71D3"/>
    <w:rsid w:val="00CC743D"/>
    <w:rsid w:val="00CC7597"/>
    <w:rsid w:val="00CD02ED"/>
    <w:rsid w:val="00CD050A"/>
    <w:rsid w:val="00CD1017"/>
    <w:rsid w:val="00CD205D"/>
    <w:rsid w:val="00CD2A22"/>
    <w:rsid w:val="00CD2B50"/>
    <w:rsid w:val="00CD3172"/>
    <w:rsid w:val="00CD3913"/>
    <w:rsid w:val="00CD4506"/>
    <w:rsid w:val="00CD520B"/>
    <w:rsid w:val="00CD592E"/>
    <w:rsid w:val="00CD5982"/>
    <w:rsid w:val="00CD5A1A"/>
    <w:rsid w:val="00CD614A"/>
    <w:rsid w:val="00CD64A3"/>
    <w:rsid w:val="00CD710A"/>
    <w:rsid w:val="00CD7B8B"/>
    <w:rsid w:val="00CD7EFA"/>
    <w:rsid w:val="00CE020E"/>
    <w:rsid w:val="00CE0566"/>
    <w:rsid w:val="00CE1215"/>
    <w:rsid w:val="00CE1641"/>
    <w:rsid w:val="00CE1CD4"/>
    <w:rsid w:val="00CE2761"/>
    <w:rsid w:val="00CE28FC"/>
    <w:rsid w:val="00CE314E"/>
    <w:rsid w:val="00CE3A85"/>
    <w:rsid w:val="00CE3D5C"/>
    <w:rsid w:val="00CE3E09"/>
    <w:rsid w:val="00CE3E14"/>
    <w:rsid w:val="00CE44C7"/>
    <w:rsid w:val="00CE48E7"/>
    <w:rsid w:val="00CE53CC"/>
    <w:rsid w:val="00CE5F60"/>
    <w:rsid w:val="00CE65A7"/>
    <w:rsid w:val="00CE68FE"/>
    <w:rsid w:val="00CE69CC"/>
    <w:rsid w:val="00CE6EC4"/>
    <w:rsid w:val="00CE7F26"/>
    <w:rsid w:val="00CF04EE"/>
    <w:rsid w:val="00CF1226"/>
    <w:rsid w:val="00CF1ABB"/>
    <w:rsid w:val="00CF1AE3"/>
    <w:rsid w:val="00CF1E1D"/>
    <w:rsid w:val="00CF24FE"/>
    <w:rsid w:val="00CF287F"/>
    <w:rsid w:val="00CF35D0"/>
    <w:rsid w:val="00CF3B57"/>
    <w:rsid w:val="00CF3DD5"/>
    <w:rsid w:val="00CF40C1"/>
    <w:rsid w:val="00CF43E7"/>
    <w:rsid w:val="00CF4AF7"/>
    <w:rsid w:val="00CF4D20"/>
    <w:rsid w:val="00CF73F8"/>
    <w:rsid w:val="00CF7928"/>
    <w:rsid w:val="00CF7CA2"/>
    <w:rsid w:val="00D00911"/>
    <w:rsid w:val="00D00A8E"/>
    <w:rsid w:val="00D00DE0"/>
    <w:rsid w:val="00D00F79"/>
    <w:rsid w:val="00D012BF"/>
    <w:rsid w:val="00D01760"/>
    <w:rsid w:val="00D01838"/>
    <w:rsid w:val="00D01A26"/>
    <w:rsid w:val="00D0368E"/>
    <w:rsid w:val="00D03AC3"/>
    <w:rsid w:val="00D03AD6"/>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081"/>
    <w:rsid w:val="00D12D82"/>
    <w:rsid w:val="00D12F77"/>
    <w:rsid w:val="00D1306E"/>
    <w:rsid w:val="00D130B7"/>
    <w:rsid w:val="00D134CD"/>
    <w:rsid w:val="00D1401E"/>
    <w:rsid w:val="00D1485D"/>
    <w:rsid w:val="00D14B5F"/>
    <w:rsid w:val="00D14E13"/>
    <w:rsid w:val="00D14E26"/>
    <w:rsid w:val="00D14F23"/>
    <w:rsid w:val="00D15727"/>
    <w:rsid w:val="00D15DDD"/>
    <w:rsid w:val="00D160F6"/>
    <w:rsid w:val="00D165E0"/>
    <w:rsid w:val="00D165EE"/>
    <w:rsid w:val="00D16740"/>
    <w:rsid w:val="00D16A8B"/>
    <w:rsid w:val="00D16E39"/>
    <w:rsid w:val="00D171DE"/>
    <w:rsid w:val="00D172A4"/>
    <w:rsid w:val="00D175B2"/>
    <w:rsid w:val="00D17951"/>
    <w:rsid w:val="00D17AD8"/>
    <w:rsid w:val="00D2104A"/>
    <w:rsid w:val="00D21A58"/>
    <w:rsid w:val="00D21BB5"/>
    <w:rsid w:val="00D21DB2"/>
    <w:rsid w:val="00D21FFC"/>
    <w:rsid w:val="00D223B6"/>
    <w:rsid w:val="00D223E8"/>
    <w:rsid w:val="00D224E1"/>
    <w:rsid w:val="00D22B0F"/>
    <w:rsid w:val="00D22BDD"/>
    <w:rsid w:val="00D22DC8"/>
    <w:rsid w:val="00D23BF6"/>
    <w:rsid w:val="00D2477B"/>
    <w:rsid w:val="00D2522A"/>
    <w:rsid w:val="00D2531C"/>
    <w:rsid w:val="00D25428"/>
    <w:rsid w:val="00D25514"/>
    <w:rsid w:val="00D2553E"/>
    <w:rsid w:val="00D2587F"/>
    <w:rsid w:val="00D26DE7"/>
    <w:rsid w:val="00D2742F"/>
    <w:rsid w:val="00D274C5"/>
    <w:rsid w:val="00D2754F"/>
    <w:rsid w:val="00D277C5"/>
    <w:rsid w:val="00D279D9"/>
    <w:rsid w:val="00D30041"/>
    <w:rsid w:val="00D30FEA"/>
    <w:rsid w:val="00D312DC"/>
    <w:rsid w:val="00D314CB"/>
    <w:rsid w:val="00D31566"/>
    <w:rsid w:val="00D31B84"/>
    <w:rsid w:val="00D31C6A"/>
    <w:rsid w:val="00D31EDF"/>
    <w:rsid w:val="00D31FF9"/>
    <w:rsid w:val="00D32149"/>
    <w:rsid w:val="00D32256"/>
    <w:rsid w:val="00D32A27"/>
    <w:rsid w:val="00D32ABC"/>
    <w:rsid w:val="00D33BAF"/>
    <w:rsid w:val="00D33FA4"/>
    <w:rsid w:val="00D34B25"/>
    <w:rsid w:val="00D34C7F"/>
    <w:rsid w:val="00D34F4E"/>
    <w:rsid w:val="00D357F3"/>
    <w:rsid w:val="00D35C0E"/>
    <w:rsid w:val="00D35C22"/>
    <w:rsid w:val="00D36FBF"/>
    <w:rsid w:val="00D373A8"/>
    <w:rsid w:val="00D379A5"/>
    <w:rsid w:val="00D37BB3"/>
    <w:rsid w:val="00D37EAD"/>
    <w:rsid w:val="00D401BE"/>
    <w:rsid w:val="00D4043A"/>
    <w:rsid w:val="00D40DB0"/>
    <w:rsid w:val="00D41093"/>
    <w:rsid w:val="00D41858"/>
    <w:rsid w:val="00D41EEB"/>
    <w:rsid w:val="00D422DB"/>
    <w:rsid w:val="00D42AC2"/>
    <w:rsid w:val="00D43F60"/>
    <w:rsid w:val="00D4498E"/>
    <w:rsid w:val="00D4515F"/>
    <w:rsid w:val="00D451E8"/>
    <w:rsid w:val="00D45DA5"/>
    <w:rsid w:val="00D466C9"/>
    <w:rsid w:val="00D47275"/>
    <w:rsid w:val="00D47ADA"/>
    <w:rsid w:val="00D500ED"/>
    <w:rsid w:val="00D5054C"/>
    <w:rsid w:val="00D50DB9"/>
    <w:rsid w:val="00D517F6"/>
    <w:rsid w:val="00D51AB7"/>
    <w:rsid w:val="00D51E15"/>
    <w:rsid w:val="00D52190"/>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0F5"/>
    <w:rsid w:val="00D6451B"/>
    <w:rsid w:val="00D64B57"/>
    <w:rsid w:val="00D64FF1"/>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1E93"/>
    <w:rsid w:val="00D728F5"/>
    <w:rsid w:val="00D72E9D"/>
    <w:rsid w:val="00D73249"/>
    <w:rsid w:val="00D73419"/>
    <w:rsid w:val="00D73881"/>
    <w:rsid w:val="00D73CA9"/>
    <w:rsid w:val="00D73E45"/>
    <w:rsid w:val="00D74364"/>
    <w:rsid w:val="00D751B7"/>
    <w:rsid w:val="00D7524B"/>
    <w:rsid w:val="00D75396"/>
    <w:rsid w:val="00D755C6"/>
    <w:rsid w:val="00D75832"/>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1E3C"/>
    <w:rsid w:val="00D8223C"/>
    <w:rsid w:val="00D827B5"/>
    <w:rsid w:val="00D82A7D"/>
    <w:rsid w:val="00D82B57"/>
    <w:rsid w:val="00D82C77"/>
    <w:rsid w:val="00D82CE5"/>
    <w:rsid w:val="00D831E3"/>
    <w:rsid w:val="00D8342C"/>
    <w:rsid w:val="00D83D08"/>
    <w:rsid w:val="00D84983"/>
    <w:rsid w:val="00D84C00"/>
    <w:rsid w:val="00D85494"/>
    <w:rsid w:val="00D8582C"/>
    <w:rsid w:val="00D85D61"/>
    <w:rsid w:val="00D8616D"/>
    <w:rsid w:val="00D8711B"/>
    <w:rsid w:val="00D87384"/>
    <w:rsid w:val="00D9015D"/>
    <w:rsid w:val="00D90683"/>
    <w:rsid w:val="00D90B2A"/>
    <w:rsid w:val="00D91483"/>
    <w:rsid w:val="00D915C8"/>
    <w:rsid w:val="00D928ED"/>
    <w:rsid w:val="00D9310B"/>
    <w:rsid w:val="00D931F3"/>
    <w:rsid w:val="00D93726"/>
    <w:rsid w:val="00D93F3E"/>
    <w:rsid w:val="00D9405B"/>
    <w:rsid w:val="00D94942"/>
    <w:rsid w:val="00D95145"/>
    <w:rsid w:val="00D96594"/>
    <w:rsid w:val="00D967CB"/>
    <w:rsid w:val="00D968D4"/>
    <w:rsid w:val="00D96E12"/>
    <w:rsid w:val="00D96EE0"/>
    <w:rsid w:val="00D975DD"/>
    <w:rsid w:val="00D97BD1"/>
    <w:rsid w:val="00D97EF0"/>
    <w:rsid w:val="00DA00C3"/>
    <w:rsid w:val="00DA01E9"/>
    <w:rsid w:val="00DA06B8"/>
    <w:rsid w:val="00DA0C85"/>
    <w:rsid w:val="00DA14A9"/>
    <w:rsid w:val="00DA152F"/>
    <w:rsid w:val="00DA286D"/>
    <w:rsid w:val="00DA2969"/>
    <w:rsid w:val="00DA29B7"/>
    <w:rsid w:val="00DA2E5F"/>
    <w:rsid w:val="00DA337C"/>
    <w:rsid w:val="00DA36B3"/>
    <w:rsid w:val="00DA40C1"/>
    <w:rsid w:val="00DA422F"/>
    <w:rsid w:val="00DA4265"/>
    <w:rsid w:val="00DA4514"/>
    <w:rsid w:val="00DA4842"/>
    <w:rsid w:val="00DA4C97"/>
    <w:rsid w:val="00DA565E"/>
    <w:rsid w:val="00DA5989"/>
    <w:rsid w:val="00DA5AB1"/>
    <w:rsid w:val="00DA5DFE"/>
    <w:rsid w:val="00DA5F9D"/>
    <w:rsid w:val="00DA6719"/>
    <w:rsid w:val="00DA69B2"/>
    <w:rsid w:val="00DA7115"/>
    <w:rsid w:val="00DA7462"/>
    <w:rsid w:val="00DA7AD0"/>
    <w:rsid w:val="00DB02D7"/>
    <w:rsid w:val="00DB0301"/>
    <w:rsid w:val="00DB03CC"/>
    <w:rsid w:val="00DB03F3"/>
    <w:rsid w:val="00DB1142"/>
    <w:rsid w:val="00DB12D4"/>
    <w:rsid w:val="00DB14F0"/>
    <w:rsid w:val="00DB1745"/>
    <w:rsid w:val="00DB19BB"/>
    <w:rsid w:val="00DB1A00"/>
    <w:rsid w:val="00DB1AFF"/>
    <w:rsid w:val="00DB219A"/>
    <w:rsid w:val="00DB244C"/>
    <w:rsid w:val="00DB3024"/>
    <w:rsid w:val="00DB3165"/>
    <w:rsid w:val="00DB3445"/>
    <w:rsid w:val="00DB372F"/>
    <w:rsid w:val="00DB387B"/>
    <w:rsid w:val="00DB39DE"/>
    <w:rsid w:val="00DB4292"/>
    <w:rsid w:val="00DB4DF0"/>
    <w:rsid w:val="00DB5023"/>
    <w:rsid w:val="00DB6E46"/>
    <w:rsid w:val="00DB7117"/>
    <w:rsid w:val="00DB732A"/>
    <w:rsid w:val="00DB7760"/>
    <w:rsid w:val="00DB7DD4"/>
    <w:rsid w:val="00DC00B4"/>
    <w:rsid w:val="00DC0954"/>
    <w:rsid w:val="00DC0DF8"/>
    <w:rsid w:val="00DC15BA"/>
    <w:rsid w:val="00DC18CD"/>
    <w:rsid w:val="00DC1A68"/>
    <w:rsid w:val="00DC30B8"/>
    <w:rsid w:val="00DC478F"/>
    <w:rsid w:val="00DC482E"/>
    <w:rsid w:val="00DC4D92"/>
    <w:rsid w:val="00DC50AA"/>
    <w:rsid w:val="00DC61AC"/>
    <w:rsid w:val="00DC62E5"/>
    <w:rsid w:val="00DC69D2"/>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5ED"/>
    <w:rsid w:val="00DD6A79"/>
    <w:rsid w:val="00DD72A0"/>
    <w:rsid w:val="00DD735D"/>
    <w:rsid w:val="00DD756A"/>
    <w:rsid w:val="00DD7D35"/>
    <w:rsid w:val="00DD7F7D"/>
    <w:rsid w:val="00DD7FBE"/>
    <w:rsid w:val="00DE0159"/>
    <w:rsid w:val="00DE064A"/>
    <w:rsid w:val="00DE082D"/>
    <w:rsid w:val="00DE1410"/>
    <w:rsid w:val="00DE20C6"/>
    <w:rsid w:val="00DE2ABA"/>
    <w:rsid w:val="00DE3119"/>
    <w:rsid w:val="00DE34EF"/>
    <w:rsid w:val="00DE3C24"/>
    <w:rsid w:val="00DE3FF0"/>
    <w:rsid w:val="00DE4105"/>
    <w:rsid w:val="00DE4BEA"/>
    <w:rsid w:val="00DE4E67"/>
    <w:rsid w:val="00DE5189"/>
    <w:rsid w:val="00DE5716"/>
    <w:rsid w:val="00DE7108"/>
    <w:rsid w:val="00DE78D1"/>
    <w:rsid w:val="00DE78FF"/>
    <w:rsid w:val="00DE7C6E"/>
    <w:rsid w:val="00DF0263"/>
    <w:rsid w:val="00DF071C"/>
    <w:rsid w:val="00DF09E3"/>
    <w:rsid w:val="00DF0EB4"/>
    <w:rsid w:val="00DF0FFD"/>
    <w:rsid w:val="00DF158B"/>
    <w:rsid w:val="00DF170E"/>
    <w:rsid w:val="00DF193C"/>
    <w:rsid w:val="00DF1E36"/>
    <w:rsid w:val="00DF236B"/>
    <w:rsid w:val="00DF24C4"/>
    <w:rsid w:val="00DF258A"/>
    <w:rsid w:val="00DF2A91"/>
    <w:rsid w:val="00DF3889"/>
    <w:rsid w:val="00DF3CC9"/>
    <w:rsid w:val="00DF41DD"/>
    <w:rsid w:val="00DF4451"/>
    <w:rsid w:val="00DF49FF"/>
    <w:rsid w:val="00DF4FFB"/>
    <w:rsid w:val="00DF5236"/>
    <w:rsid w:val="00DF651F"/>
    <w:rsid w:val="00DF6F43"/>
    <w:rsid w:val="00DF71EA"/>
    <w:rsid w:val="00DF752F"/>
    <w:rsid w:val="00DF76A2"/>
    <w:rsid w:val="00E00634"/>
    <w:rsid w:val="00E00B25"/>
    <w:rsid w:val="00E00B7A"/>
    <w:rsid w:val="00E01677"/>
    <w:rsid w:val="00E02186"/>
    <w:rsid w:val="00E025C2"/>
    <w:rsid w:val="00E026BB"/>
    <w:rsid w:val="00E027C5"/>
    <w:rsid w:val="00E03124"/>
    <w:rsid w:val="00E031C3"/>
    <w:rsid w:val="00E03951"/>
    <w:rsid w:val="00E03DB8"/>
    <w:rsid w:val="00E03F17"/>
    <w:rsid w:val="00E0420C"/>
    <w:rsid w:val="00E04D00"/>
    <w:rsid w:val="00E04EDD"/>
    <w:rsid w:val="00E04F86"/>
    <w:rsid w:val="00E05402"/>
    <w:rsid w:val="00E05E70"/>
    <w:rsid w:val="00E064BC"/>
    <w:rsid w:val="00E070C1"/>
    <w:rsid w:val="00E07225"/>
    <w:rsid w:val="00E076B4"/>
    <w:rsid w:val="00E07ADF"/>
    <w:rsid w:val="00E07B55"/>
    <w:rsid w:val="00E10579"/>
    <w:rsid w:val="00E109DD"/>
    <w:rsid w:val="00E10CF1"/>
    <w:rsid w:val="00E11229"/>
    <w:rsid w:val="00E114CA"/>
    <w:rsid w:val="00E127D1"/>
    <w:rsid w:val="00E13867"/>
    <w:rsid w:val="00E1397F"/>
    <w:rsid w:val="00E13AB8"/>
    <w:rsid w:val="00E13AE1"/>
    <w:rsid w:val="00E1482E"/>
    <w:rsid w:val="00E152D7"/>
    <w:rsid w:val="00E15DE3"/>
    <w:rsid w:val="00E16382"/>
    <w:rsid w:val="00E167AF"/>
    <w:rsid w:val="00E1699C"/>
    <w:rsid w:val="00E16E75"/>
    <w:rsid w:val="00E1746D"/>
    <w:rsid w:val="00E17594"/>
    <w:rsid w:val="00E17ABB"/>
    <w:rsid w:val="00E17CAC"/>
    <w:rsid w:val="00E2012A"/>
    <w:rsid w:val="00E205A2"/>
    <w:rsid w:val="00E20BA4"/>
    <w:rsid w:val="00E210D0"/>
    <w:rsid w:val="00E21887"/>
    <w:rsid w:val="00E21CC0"/>
    <w:rsid w:val="00E23137"/>
    <w:rsid w:val="00E23980"/>
    <w:rsid w:val="00E23AB0"/>
    <w:rsid w:val="00E241E9"/>
    <w:rsid w:val="00E24F12"/>
    <w:rsid w:val="00E257C3"/>
    <w:rsid w:val="00E25CB3"/>
    <w:rsid w:val="00E25DA4"/>
    <w:rsid w:val="00E26237"/>
    <w:rsid w:val="00E26950"/>
    <w:rsid w:val="00E26CB8"/>
    <w:rsid w:val="00E26D16"/>
    <w:rsid w:val="00E26FCF"/>
    <w:rsid w:val="00E27165"/>
    <w:rsid w:val="00E275D9"/>
    <w:rsid w:val="00E3044A"/>
    <w:rsid w:val="00E30E49"/>
    <w:rsid w:val="00E31A4A"/>
    <w:rsid w:val="00E31FCF"/>
    <w:rsid w:val="00E3212A"/>
    <w:rsid w:val="00E32279"/>
    <w:rsid w:val="00E3344A"/>
    <w:rsid w:val="00E33B29"/>
    <w:rsid w:val="00E33B62"/>
    <w:rsid w:val="00E3403D"/>
    <w:rsid w:val="00E344BD"/>
    <w:rsid w:val="00E34548"/>
    <w:rsid w:val="00E34E6C"/>
    <w:rsid w:val="00E353E2"/>
    <w:rsid w:val="00E360D8"/>
    <w:rsid w:val="00E36345"/>
    <w:rsid w:val="00E36C86"/>
    <w:rsid w:val="00E36CEB"/>
    <w:rsid w:val="00E37158"/>
    <w:rsid w:val="00E37A28"/>
    <w:rsid w:val="00E400C7"/>
    <w:rsid w:val="00E40430"/>
    <w:rsid w:val="00E40690"/>
    <w:rsid w:val="00E40AEB"/>
    <w:rsid w:val="00E40E82"/>
    <w:rsid w:val="00E40FB8"/>
    <w:rsid w:val="00E41141"/>
    <w:rsid w:val="00E4143A"/>
    <w:rsid w:val="00E420B7"/>
    <w:rsid w:val="00E424C8"/>
    <w:rsid w:val="00E4251D"/>
    <w:rsid w:val="00E427EB"/>
    <w:rsid w:val="00E427EF"/>
    <w:rsid w:val="00E43D00"/>
    <w:rsid w:val="00E443B4"/>
    <w:rsid w:val="00E445E4"/>
    <w:rsid w:val="00E447A0"/>
    <w:rsid w:val="00E457CB"/>
    <w:rsid w:val="00E45D47"/>
    <w:rsid w:val="00E45DE4"/>
    <w:rsid w:val="00E45E63"/>
    <w:rsid w:val="00E4759C"/>
    <w:rsid w:val="00E47AAE"/>
    <w:rsid w:val="00E47EFD"/>
    <w:rsid w:val="00E50A7B"/>
    <w:rsid w:val="00E50B0B"/>
    <w:rsid w:val="00E50C57"/>
    <w:rsid w:val="00E510FE"/>
    <w:rsid w:val="00E514BA"/>
    <w:rsid w:val="00E51513"/>
    <w:rsid w:val="00E5158C"/>
    <w:rsid w:val="00E51E25"/>
    <w:rsid w:val="00E5205B"/>
    <w:rsid w:val="00E521AE"/>
    <w:rsid w:val="00E529A3"/>
    <w:rsid w:val="00E533EE"/>
    <w:rsid w:val="00E53A21"/>
    <w:rsid w:val="00E53BCA"/>
    <w:rsid w:val="00E53DE2"/>
    <w:rsid w:val="00E53F02"/>
    <w:rsid w:val="00E5428D"/>
    <w:rsid w:val="00E54534"/>
    <w:rsid w:val="00E54874"/>
    <w:rsid w:val="00E548C3"/>
    <w:rsid w:val="00E54F27"/>
    <w:rsid w:val="00E55FF1"/>
    <w:rsid w:val="00E56090"/>
    <w:rsid w:val="00E561DA"/>
    <w:rsid w:val="00E56408"/>
    <w:rsid w:val="00E565B9"/>
    <w:rsid w:val="00E56E7B"/>
    <w:rsid w:val="00E5733B"/>
    <w:rsid w:val="00E5756C"/>
    <w:rsid w:val="00E5768D"/>
    <w:rsid w:val="00E57811"/>
    <w:rsid w:val="00E57FB0"/>
    <w:rsid w:val="00E600F4"/>
    <w:rsid w:val="00E601BE"/>
    <w:rsid w:val="00E60984"/>
    <w:rsid w:val="00E60A44"/>
    <w:rsid w:val="00E60B5F"/>
    <w:rsid w:val="00E613AE"/>
    <w:rsid w:val="00E61429"/>
    <w:rsid w:val="00E61ABB"/>
    <w:rsid w:val="00E61FD7"/>
    <w:rsid w:val="00E623E6"/>
    <w:rsid w:val="00E62BBF"/>
    <w:rsid w:val="00E62C76"/>
    <w:rsid w:val="00E630A2"/>
    <w:rsid w:val="00E630C0"/>
    <w:rsid w:val="00E63107"/>
    <w:rsid w:val="00E6312C"/>
    <w:rsid w:val="00E63299"/>
    <w:rsid w:val="00E634E6"/>
    <w:rsid w:val="00E63DCE"/>
    <w:rsid w:val="00E642EF"/>
    <w:rsid w:val="00E645CF"/>
    <w:rsid w:val="00E64700"/>
    <w:rsid w:val="00E65074"/>
    <w:rsid w:val="00E65857"/>
    <w:rsid w:val="00E65E70"/>
    <w:rsid w:val="00E6607B"/>
    <w:rsid w:val="00E66087"/>
    <w:rsid w:val="00E66D79"/>
    <w:rsid w:val="00E66FF9"/>
    <w:rsid w:val="00E6706F"/>
    <w:rsid w:val="00E673A2"/>
    <w:rsid w:val="00E674EB"/>
    <w:rsid w:val="00E67714"/>
    <w:rsid w:val="00E67856"/>
    <w:rsid w:val="00E679C8"/>
    <w:rsid w:val="00E67B8A"/>
    <w:rsid w:val="00E70314"/>
    <w:rsid w:val="00E70C98"/>
    <w:rsid w:val="00E724E7"/>
    <w:rsid w:val="00E72B41"/>
    <w:rsid w:val="00E7347B"/>
    <w:rsid w:val="00E73792"/>
    <w:rsid w:val="00E73D03"/>
    <w:rsid w:val="00E7471C"/>
    <w:rsid w:val="00E7498A"/>
    <w:rsid w:val="00E7514E"/>
    <w:rsid w:val="00E76537"/>
    <w:rsid w:val="00E77784"/>
    <w:rsid w:val="00E77AF5"/>
    <w:rsid w:val="00E801CE"/>
    <w:rsid w:val="00E8035B"/>
    <w:rsid w:val="00E805CD"/>
    <w:rsid w:val="00E80FC3"/>
    <w:rsid w:val="00E820F4"/>
    <w:rsid w:val="00E82263"/>
    <w:rsid w:val="00E823F9"/>
    <w:rsid w:val="00E82C1F"/>
    <w:rsid w:val="00E83671"/>
    <w:rsid w:val="00E83D1E"/>
    <w:rsid w:val="00E83F8E"/>
    <w:rsid w:val="00E840EE"/>
    <w:rsid w:val="00E84314"/>
    <w:rsid w:val="00E849CA"/>
    <w:rsid w:val="00E84A71"/>
    <w:rsid w:val="00E853F3"/>
    <w:rsid w:val="00E8556F"/>
    <w:rsid w:val="00E85D69"/>
    <w:rsid w:val="00E8617F"/>
    <w:rsid w:val="00E86556"/>
    <w:rsid w:val="00E86D35"/>
    <w:rsid w:val="00E86DC2"/>
    <w:rsid w:val="00E86E32"/>
    <w:rsid w:val="00E86F2E"/>
    <w:rsid w:val="00E8732E"/>
    <w:rsid w:val="00E879C7"/>
    <w:rsid w:val="00E90067"/>
    <w:rsid w:val="00E9011F"/>
    <w:rsid w:val="00E906EB"/>
    <w:rsid w:val="00E90CE2"/>
    <w:rsid w:val="00E9109D"/>
    <w:rsid w:val="00E9170E"/>
    <w:rsid w:val="00E919FB"/>
    <w:rsid w:val="00E9241E"/>
    <w:rsid w:val="00E92460"/>
    <w:rsid w:val="00E92C2D"/>
    <w:rsid w:val="00E92E62"/>
    <w:rsid w:val="00E93804"/>
    <w:rsid w:val="00E9429D"/>
    <w:rsid w:val="00E95434"/>
    <w:rsid w:val="00E96033"/>
    <w:rsid w:val="00E96467"/>
    <w:rsid w:val="00E966DA"/>
    <w:rsid w:val="00E96948"/>
    <w:rsid w:val="00E9737B"/>
    <w:rsid w:val="00E97A3F"/>
    <w:rsid w:val="00E97F0A"/>
    <w:rsid w:val="00EA0100"/>
    <w:rsid w:val="00EA039A"/>
    <w:rsid w:val="00EA0455"/>
    <w:rsid w:val="00EA08BA"/>
    <w:rsid w:val="00EA0BCE"/>
    <w:rsid w:val="00EA10E4"/>
    <w:rsid w:val="00EA17BC"/>
    <w:rsid w:val="00EA2744"/>
    <w:rsid w:val="00EA37B9"/>
    <w:rsid w:val="00EA39F7"/>
    <w:rsid w:val="00EA3DC2"/>
    <w:rsid w:val="00EA434E"/>
    <w:rsid w:val="00EA4757"/>
    <w:rsid w:val="00EA560B"/>
    <w:rsid w:val="00EA5669"/>
    <w:rsid w:val="00EA5CC6"/>
    <w:rsid w:val="00EA63EF"/>
    <w:rsid w:val="00EA705C"/>
    <w:rsid w:val="00EA7CBF"/>
    <w:rsid w:val="00EB0A89"/>
    <w:rsid w:val="00EB0BD8"/>
    <w:rsid w:val="00EB1573"/>
    <w:rsid w:val="00EB1910"/>
    <w:rsid w:val="00EB1B7C"/>
    <w:rsid w:val="00EB2564"/>
    <w:rsid w:val="00EB2D83"/>
    <w:rsid w:val="00EB2E97"/>
    <w:rsid w:val="00EB2ED0"/>
    <w:rsid w:val="00EB3416"/>
    <w:rsid w:val="00EB4AE1"/>
    <w:rsid w:val="00EB52F4"/>
    <w:rsid w:val="00EB5694"/>
    <w:rsid w:val="00EB5779"/>
    <w:rsid w:val="00EB5C68"/>
    <w:rsid w:val="00EB5D2F"/>
    <w:rsid w:val="00EB61CC"/>
    <w:rsid w:val="00EB67F1"/>
    <w:rsid w:val="00EB6A67"/>
    <w:rsid w:val="00EB6ADA"/>
    <w:rsid w:val="00EB7132"/>
    <w:rsid w:val="00EB72CD"/>
    <w:rsid w:val="00EB749A"/>
    <w:rsid w:val="00EB76B6"/>
    <w:rsid w:val="00EB7D8A"/>
    <w:rsid w:val="00EC0487"/>
    <w:rsid w:val="00EC04F7"/>
    <w:rsid w:val="00EC05E2"/>
    <w:rsid w:val="00EC0E84"/>
    <w:rsid w:val="00EC16E2"/>
    <w:rsid w:val="00EC1CE7"/>
    <w:rsid w:val="00EC1DAE"/>
    <w:rsid w:val="00EC1F36"/>
    <w:rsid w:val="00EC224E"/>
    <w:rsid w:val="00EC26F1"/>
    <w:rsid w:val="00EC33A8"/>
    <w:rsid w:val="00EC3ABE"/>
    <w:rsid w:val="00EC3BA2"/>
    <w:rsid w:val="00EC3C94"/>
    <w:rsid w:val="00EC44DF"/>
    <w:rsid w:val="00EC4FB9"/>
    <w:rsid w:val="00EC5393"/>
    <w:rsid w:val="00EC567C"/>
    <w:rsid w:val="00EC5741"/>
    <w:rsid w:val="00EC5DA3"/>
    <w:rsid w:val="00EC6014"/>
    <w:rsid w:val="00EC6044"/>
    <w:rsid w:val="00EC6565"/>
    <w:rsid w:val="00EC6B3E"/>
    <w:rsid w:val="00EC73DE"/>
    <w:rsid w:val="00EC7637"/>
    <w:rsid w:val="00EC76EA"/>
    <w:rsid w:val="00EC7C07"/>
    <w:rsid w:val="00EC7CF2"/>
    <w:rsid w:val="00ED046C"/>
    <w:rsid w:val="00ED053A"/>
    <w:rsid w:val="00ED1257"/>
    <w:rsid w:val="00ED1F03"/>
    <w:rsid w:val="00ED249D"/>
    <w:rsid w:val="00ED2D27"/>
    <w:rsid w:val="00ED2F68"/>
    <w:rsid w:val="00ED3347"/>
    <w:rsid w:val="00ED3441"/>
    <w:rsid w:val="00ED3860"/>
    <w:rsid w:val="00ED3954"/>
    <w:rsid w:val="00ED39AC"/>
    <w:rsid w:val="00ED43A2"/>
    <w:rsid w:val="00ED4967"/>
    <w:rsid w:val="00ED4CA9"/>
    <w:rsid w:val="00ED50E5"/>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813"/>
    <w:rsid w:val="00ED7FBC"/>
    <w:rsid w:val="00EE0253"/>
    <w:rsid w:val="00EE0297"/>
    <w:rsid w:val="00EE1258"/>
    <w:rsid w:val="00EE13CA"/>
    <w:rsid w:val="00EE13DA"/>
    <w:rsid w:val="00EE1668"/>
    <w:rsid w:val="00EE1EDB"/>
    <w:rsid w:val="00EE24E2"/>
    <w:rsid w:val="00EE2A20"/>
    <w:rsid w:val="00EE366D"/>
    <w:rsid w:val="00EE3F80"/>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3CD4"/>
    <w:rsid w:val="00EF427A"/>
    <w:rsid w:val="00EF45DF"/>
    <w:rsid w:val="00EF4944"/>
    <w:rsid w:val="00EF4952"/>
    <w:rsid w:val="00EF498F"/>
    <w:rsid w:val="00EF4A42"/>
    <w:rsid w:val="00EF510C"/>
    <w:rsid w:val="00EF55C4"/>
    <w:rsid w:val="00EF57BC"/>
    <w:rsid w:val="00EF5A41"/>
    <w:rsid w:val="00EF5CA8"/>
    <w:rsid w:val="00EF6784"/>
    <w:rsid w:val="00EF688A"/>
    <w:rsid w:val="00EF6A03"/>
    <w:rsid w:val="00EF6DC2"/>
    <w:rsid w:val="00EF7506"/>
    <w:rsid w:val="00EF760B"/>
    <w:rsid w:val="00EF7BF4"/>
    <w:rsid w:val="00F0030F"/>
    <w:rsid w:val="00F00674"/>
    <w:rsid w:val="00F01657"/>
    <w:rsid w:val="00F01E67"/>
    <w:rsid w:val="00F01EF4"/>
    <w:rsid w:val="00F02744"/>
    <w:rsid w:val="00F02BFD"/>
    <w:rsid w:val="00F02D25"/>
    <w:rsid w:val="00F03A60"/>
    <w:rsid w:val="00F03C3D"/>
    <w:rsid w:val="00F0435D"/>
    <w:rsid w:val="00F04580"/>
    <w:rsid w:val="00F04986"/>
    <w:rsid w:val="00F04ECA"/>
    <w:rsid w:val="00F04F8B"/>
    <w:rsid w:val="00F064DB"/>
    <w:rsid w:val="00F06CA4"/>
    <w:rsid w:val="00F06E19"/>
    <w:rsid w:val="00F06F84"/>
    <w:rsid w:val="00F06FCD"/>
    <w:rsid w:val="00F0749E"/>
    <w:rsid w:val="00F076E7"/>
    <w:rsid w:val="00F07A86"/>
    <w:rsid w:val="00F07AA1"/>
    <w:rsid w:val="00F105AE"/>
    <w:rsid w:val="00F10618"/>
    <w:rsid w:val="00F10BB3"/>
    <w:rsid w:val="00F10E78"/>
    <w:rsid w:val="00F10E7D"/>
    <w:rsid w:val="00F1108B"/>
    <w:rsid w:val="00F114FA"/>
    <w:rsid w:val="00F11768"/>
    <w:rsid w:val="00F11951"/>
    <w:rsid w:val="00F12059"/>
    <w:rsid w:val="00F12262"/>
    <w:rsid w:val="00F12564"/>
    <w:rsid w:val="00F128D9"/>
    <w:rsid w:val="00F12AF8"/>
    <w:rsid w:val="00F12C52"/>
    <w:rsid w:val="00F13381"/>
    <w:rsid w:val="00F13417"/>
    <w:rsid w:val="00F13828"/>
    <w:rsid w:val="00F13E62"/>
    <w:rsid w:val="00F13F51"/>
    <w:rsid w:val="00F146E9"/>
    <w:rsid w:val="00F148B7"/>
    <w:rsid w:val="00F14BF6"/>
    <w:rsid w:val="00F14EA9"/>
    <w:rsid w:val="00F15505"/>
    <w:rsid w:val="00F15BFF"/>
    <w:rsid w:val="00F15FFF"/>
    <w:rsid w:val="00F1634B"/>
    <w:rsid w:val="00F1689D"/>
    <w:rsid w:val="00F16E4F"/>
    <w:rsid w:val="00F171B2"/>
    <w:rsid w:val="00F17244"/>
    <w:rsid w:val="00F20931"/>
    <w:rsid w:val="00F20ECE"/>
    <w:rsid w:val="00F213A0"/>
    <w:rsid w:val="00F21D54"/>
    <w:rsid w:val="00F21EF4"/>
    <w:rsid w:val="00F221A2"/>
    <w:rsid w:val="00F22831"/>
    <w:rsid w:val="00F22E8B"/>
    <w:rsid w:val="00F22F81"/>
    <w:rsid w:val="00F23113"/>
    <w:rsid w:val="00F23255"/>
    <w:rsid w:val="00F23393"/>
    <w:rsid w:val="00F23759"/>
    <w:rsid w:val="00F24644"/>
    <w:rsid w:val="00F246FF"/>
    <w:rsid w:val="00F24B57"/>
    <w:rsid w:val="00F24BB1"/>
    <w:rsid w:val="00F24F60"/>
    <w:rsid w:val="00F25947"/>
    <w:rsid w:val="00F25CC9"/>
    <w:rsid w:val="00F262D6"/>
    <w:rsid w:val="00F26F33"/>
    <w:rsid w:val="00F273D5"/>
    <w:rsid w:val="00F2748A"/>
    <w:rsid w:val="00F276C0"/>
    <w:rsid w:val="00F2786C"/>
    <w:rsid w:val="00F300A8"/>
    <w:rsid w:val="00F302C6"/>
    <w:rsid w:val="00F30400"/>
    <w:rsid w:val="00F3079E"/>
    <w:rsid w:val="00F311A1"/>
    <w:rsid w:val="00F31289"/>
    <w:rsid w:val="00F3232D"/>
    <w:rsid w:val="00F32356"/>
    <w:rsid w:val="00F32F80"/>
    <w:rsid w:val="00F3399B"/>
    <w:rsid w:val="00F33F4B"/>
    <w:rsid w:val="00F346ED"/>
    <w:rsid w:val="00F34945"/>
    <w:rsid w:val="00F34E1E"/>
    <w:rsid w:val="00F3570C"/>
    <w:rsid w:val="00F363A4"/>
    <w:rsid w:val="00F36765"/>
    <w:rsid w:val="00F368FF"/>
    <w:rsid w:val="00F37068"/>
    <w:rsid w:val="00F37E5F"/>
    <w:rsid w:val="00F37F3F"/>
    <w:rsid w:val="00F37F84"/>
    <w:rsid w:val="00F40190"/>
    <w:rsid w:val="00F40992"/>
    <w:rsid w:val="00F40F72"/>
    <w:rsid w:val="00F41596"/>
    <w:rsid w:val="00F41D8B"/>
    <w:rsid w:val="00F42121"/>
    <w:rsid w:val="00F424B3"/>
    <w:rsid w:val="00F428B1"/>
    <w:rsid w:val="00F428B4"/>
    <w:rsid w:val="00F43416"/>
    <w:rsid w:val="00F4345D"/>
    <w:rsid w:val="00F4387B"/>
    <w:rsid w:val="00F45921"/>
    <w:rsid w:val="00F45B91"/>
    <w:rsid w:val="00F46502"/>
    <w:rsid w:val="00F46639"/>
    <w:rsid w:val="00F47026"/>
    <w:rsid w:val="00F476FD"/>
    <w:rsid w:val="00F50183"/>
    <w:rsid w:val="00F5033A"/>
    <w:rsid w:val="00F50D92"/>
    <w:rsid w:val="00F51765"/>
    <w:rsid w:val="00F51A51"/>
    <w:rsid w:val="00F51BC6"/>
    <w:rsid w:val="00F51CB4"/>
    <w:rsid w:val="00F52200"/>
    <w:rsid w:val="00F52324"/>
    <w:rsid w:val="00F5237A"/>
    <w:rsid w:val="00F52950"/>
    <w:rsid w:val="00F52C9D"/>
    <w:rsid w:val="00F533F1"/>
    <w:rsid w:val="00F5345B"/>
    <w:rsid w:val="00F53F4F"/>
    <w:rsid w:val="00F540A3"/>
    <w:rsid w:val="00F54EA2"/>
    <w:rsid w:val="00F55185"/>
    <w:rsid w:val="00F5525F"/>
    <w:rsid w:val="00F55679"/>
    <w:rsid w:val="00F561E3"/>
    <w:rsid w:val="00F56466"/>
    <w:rsid w:val="00F565E6"/>
    <w:rsid w:val="00F56AFA"/>
    <w:rsid w:val="00F575E2"/>
    <w:rsid w:val="00F579FF"/>
    <w:rsid w:val="00F600E0"/>
    <w:rsid w:val="00F605EC"/>
    <w:rsid w:val="00F60CFE"/>
    <w:rsid w:val="00F60F60"/>
    <w:rsid w:val="00F612CE"/>
    <w:rsid w:val="00F6133C"/>
    <w:rsid w:val="00F61405"/>
    <w:rsid w:val="00F62172"/>
    <w:rsid w:val="00F62227"/>
    <w:rsid w:val="00F624A7"/>
    <w:rsid w:val="00F62AB6"/>
    <w:rsid w:val="00F6378A"/>
    <w:rsid w:val="00F64CE7"/>
    <w:rsid w:val="00F65A3C"/>
    <w:rsid w:val="00F66009"/>
    <w:rsid w:val="00F66282"/>
    <w:rsid w:val="00F6639E"/>
    <w:rsid w:val="00F670E9"/>
    <w:rsid w:val="00F6749F"/>
    <w:rsid w:val="00F67AF1"/>
    <w:rsid w:val="00F67D8B"/>
    <w:rsid w:val="00F700CD"/>
    <w:rsid w:val="00F701C5"/>
    <w:rsid w:val="00F70961"/>
    <w:rsid w:val="00F70A8F"/>
    <w:rsid w:val="00F71397"/>
    <w:rsid w:val="00F719FD"/>
    <w:rsid w:val="00F72389"/>
    <w:rsid w:val="00F72516"/>
    <w:rsid w:val="00F72FB4"/>
    <w:rsid w:val="00F732CF"/>
    <w:rsid w:val="00F735E5"/>
    <w:rsid w:val="00F73B82"/>
    <w:rsid w:val="00F73E80"/>
    <w:rsid w:val="00F7469C"/>
    <w:rsid w:val="00F7492E"/>
    <w:rsid w:val="00F74945"/>
    <w:rsid w:val="00F749A3"/>
    <w:rsid w:val="00F74AE8"/>
    <w:rsid w:val="00F75169"/>
    <w:rsid w:val="00F76768"/>
    <w:rsid w:val="00F76C11"/>
    <w:rsid w:val="00F77021"/>
    <w:rsid w:val="00F770AB"/>
    <w:rsid w:val="00F77E61"/>
    <w:rsid w:val="00F80221"/>
    <w:rsid w:val="00F802B0"/>
    <w:rsid w:val="00F80A0A"/>
    <w:rsid w:val="00F80C81"/>
    <w:rsid w:val="00F815AC"/>
    <w:rsid w:val="00F82421"/>
    <w:rsid w:val="00F82E28"/>
    <w:rsid w:val="00F83B33"/>
    <w:rsid w:val="00F83CAE"/>
    <w:rsid w:val="00F840BF"/>
    <w:rsid w:val="00F8427A"/>
    <w:rsid w:val="00F843DF"/>
    <w:rsid w:val="00F84646"/>
    <w:rsid w:val="00F84899"/>
    <w:rsid w:val="00F84A9E"/>
    <w:rsid w:val="00F85585"/>
    <w:rsid w:val="00F859F0"/>
    <w:rsid w:val="00F85CC1"/>
    <w:rsid w:val="00F86B5D"/>
    <w:rsid w:val="00F8740F"/>
    <w:rsid w:val="00F87634"/>
    <w:rsid w:val="00F87809"/>
    <w:rsid w:val="00F87C13"/>
    <w:rsid w:val="00F87C5A"/>
    <w:rsid w:val="00F87E29"/>
    <w:rsid w:val="00F87F18"/>
    <w:rsid w:val="00F87F37"/>
    <w:rsid w:val="00F87F68"/>
    <w:rsid w:val="00F90C4D"/>
    <w:rsid w:val="00F9165C"/>
    <w:rsid w:val="00F9167D"/>
    <w:rsid w:val="00F91CB2"/>
    <w:rsid w:val="00F91E21"/>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2258"/>
    <w:rsid w:val="00FA313F"/>
    <w:rsid w:val="00FA3414"/>
    <w:rsid w:val="00FA347A"/>
    <w:rsid w:val="00FA3CDE"/>
    <w:rsid w:val="00FA3D45"/>
    <w:rsid w:val="00FA4048"/>
    <w:rsid w:val="00FA4168"/>
    <w:rsid w:val="00FA4408"/>
    <w:rsid w:val="00FA44B1"/>
    <w:rsid w:val="00FA49B7"/>
    <w:rsid w:val="00FA4B97"/>
    <w:rsid w:val="00FA4E49"/>
    <w:rsid w:val="00FA5043"/>
    <w:rsid w:val="00FA60C1"/>
    <w:rsid w:val="00FA63DD"/>
    <w:rsid w:val="00FA65A3"/>
    <w:rsid w:val="00FA66F9"/>
    <w:rsid w:val="00FA6BCA"/>
    <w:rsid w:val="00FA6F8B"/>
    <w:rsid w:val="00FA727C"/>
    <w:rsid w:val="00FA7A30"/>
    <w:rsid w:val="00FA7A9B"/>
    <w:rsid w:val="00FB033F"/>
    <w:rsid w:val="00FB0880"/>
    <w:rsid w:val="00FB12E3"/>
    <w:rsid w:val="00FB1570"/>
    <w:rsid w:val="00FB193B"/>
    <w:rsid w:val="00FB1FBC"/>
    <w:rsid w:val="00FB27B7"/>
    <w:rsid w:val="00FB35E3"/>
    <w:rsid w:val="00FB4743"/>
    <w:rsid w:val="00FB47C3"/>
    <w:rsid w:val="00FB4C98"/>
    <w:rsid w:val="00FB4CE3"/>
    <w:rsid w:val="00FB551D"/>
    <w:rsid w:val="00FB583C"/>
    <w:rsid w:val="00FB630E"/>
    <w:rsid w:val="00FB6738"/>
    <w:rsid w:val="00FB691B"/>
    <w:rsid w:val="00FB6BC4"/>
    <w:rsid w:val="00FB6BE6"/>
    <w:rsid w:val="00FB731C"/>
    <w:rsid w:val="00FB7628"/>
    <w:rsid w:val="00FB7651"/>
    <w:rsid w:val="00FC0078"/>
    <w:rsid w:val="00FC0363"/>
    <w:rsid w:val="00FC05A0"/>
    <w:rsid w:val="00FC0811"/>
    <w:rsid w:val="00FC09B3"/>
    <w:rsid w:val="00FC1196"/>
    <w:rsid w:val="00FC15EB"/>
    <w:rsid w:val="00FC162C"/>
    <w:rsid w:val="00FC18DC"/>
    <w:rsid w:val="00FC2477"/>
    <w:rsid w:val="00FC2AC4"/>
    <w:rsid w:val="00FC2D17"/>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174"/>
    <w:rsid w:val="00FC76A9"/>
    <w:rsid w:val="00FC79AB"/>
    <w:rsid w:val="00FC7BE7"/>
    <w:rsid w:val="00FC7DAC"/>
    <w:rsid w:val="00FD005D"/>
    <w:rsid w:val="00FD0216"/>
    <w:rsid w:val="00FD04AE"/>
    <w:rsid w:val="00FD0865"/>
    <w:rsid w:val="00FD0DFA"/>
    <w:rsid w:val="00FD1890"/>
    <w:rsid w:val="00FD1994"/>
    <w:rsid w:val="00FD3290"/>
    <w:rsid w:val="00FD3508"/>
    <w:rsid w:val="00FD393C"/>
    <w:rsid w:val="00FD3AFF"/>
    <w:rsid w:val="00FD43BB"/>
    <w:rsid w:val="00FD4AF3"/>
    <w:rsid w:val="00FD5443"/>
    <w:rsid w:val="00FD6675"/>
    <w:rsid w:val="00FD67F9"/>
    <w:rsid w:val="00FD694E"/>
    <w:rsid w:val="00FD6DC5"/>
    <w:rsid w:val="00FD7250"/>
    <w:rsid w:val="00FD72B1"/>
    <w:rsid w:val="00FD72E7"/>
    <w:rsid w:val="00FD798D"/>
    <w:rsid w:val="00FE04AB"/>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3EA"/>
    <w:rsid w:val="00FF045F"/>
    <w:rsid w:val="00FF0816"/>
    <w:rsid w:val="00FF13D4"/>
    <w:rsid w:val="00FF2053"/>
    <w:rsid w:val="00FF3B37"/>
    <w:rsid w:val="00FF3CC7"/>
    <w:rsid w:val="00FF3D6F"/>
    <w:rsid w:val="00FF441A"/>
    <w:rsid w:val="00FF44D7"/>
    <w:rsid w:val="00FF4BD8"/>
    <w:rsid w:val="00FF4D11"/>
    <w:rsid w:val="00FF5214"/>
    <w:rsid w:val="00FF5914"/>
    <w:rsid w:val="00FF596E"/>
    <w:rsid w:val="00FF5B59"/>
    <w:rsid w:val="00FF5BFD"/>
    <w:rsid w:val="00FF6095"/>
    <w:rsid w:val="00FF62FE"/>
    <w:rsid w:val="00FF6553"/>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styleId="Textonotaalfinal">
    <w:name w:val="endnote text"/>
    <w:basedOn w:val="Normal"/>
    <w:link w:val="TextonotaalfinalCar"/>
    <w:uiPriority w:val="99"/>
    <w:semiHidden/>
    <w:unhideWhenUsed/>
    <w:rsid w:val="001679EF"/>
    <w:rPr>
      <w:sz w:val="20"/>
      <w:szCs w:val="20"/>
    </w:rPr>
  </w:style>
  <w:style w:type="character" w:customStyle="1" w:styleId="TextonotaalfinalCar">
    <w:name w:val="Texto nota al final Car"/>
    <w:basedOn w:val="Fuentedeprrafopredeter"/>
    <w:link w:val="Textonotaalfinal"/>
    <w:uiPriority w:val="99"/>
    <w:semiHidden/>
    <w:rsid w:val="001679EF"/>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1679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5401761">
      <w:bodyDiv w:val="1"/>
      <w:marLeft w:val="0"/>
      <w:marRight w:val="0"/>
      <w:marTop w:val="0"/>
      <w:marBottom w:val="0"/>
      <w:divBdr>
        <w:top w:val="none" w:sz="0" w:space="0" w:color="auto"/>
        <w:left w:val="none" w:sz="0" w:space="0" w:color="auto"/>
        <w:bottom w:val="none" w:sz="0" w:space="0" w:color="auto"/>
        <w:right w:val="none" w:sz="0" w:space="0" w:color="auto"/>
      </w:divBdr>
      <w:divsChild>
        <w:div w:id="1415666582">
          <w:marLeft w:val="0"/>
          <w:marRight w:val="0"/>
          <w:marTop w:val="300"/>
          <w:marBottom w:val="300"/>
          <w:divBdr>
            <w:top w:val="none" w:sz="0" w:space="0" w:color="auto"/>
            <w:left w:val="none" w:sz="0" w:space="0" w:color="auto"/>
            <w:bottom w:val="none" w:sz="0" w:space="0" w:color="auto"/>
            <w:right w:val="none" w:sz="0" w:space="0" w:color="auto"/>
          </w:divBdr>
        </w:div>
      </w:divsChild>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40428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79591178">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354713">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2529466">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0707619">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089011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busqueda/conceptos" TargetMode="External"/><Relationship Id="rId2" Type="http://schemas.openxmlformats.org/officeDocument/2006/relationships/hyperlink" Target="https://www.beltranpardo.com/wp-content/uploads/2021/02/CorteConstitucional_Inexequibilidadpar%C3%A1grafo2Art6L2014.pdf"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09260-3D27-4AEB-AD3E-BA91CA585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29</Pages>
  <Words>11072</Words>
  <Characters>60899</Characters>
  <Application>Microsoft Office Word</Application>
  <DocSecurity>0</DocSecurity>
  <Lines>507</Lines>
  <Paragraphs>143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cp:lastPrinted>2020-01-30T15:05:00Z</cp:lastPrinted>
  <dcterms:created xsi:type="dcterms:W3CDTF">2022-04-12T17:07:00Z</dcterms:created>
  <dcterms:modified xsi:type="dcterms:W3CDTF">2022-04-12T17:07:00Z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