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B3D6C" w14:textId="1FD7A0B1" w:rsidR="009D18F8" w:rsidRDefault="002411DE" w:rsidP="007E15E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2E3C702E" w14:textId="77777777" w:rsidR="007E15E0" w:rsidRPr="007E15E0" w:rsidRDefault="007E15E0" w:rsidP="007E15E0">
      <w:pPr>
        <w:jc w:val="right"/>
        <w:rPr>
          <w:rFonts w:ascii="Arial" w:eastAsia="Calibri" w:hAnsi="Arial" w:cs="Arial"/>
          <w:b/>
          <w:color w:val="000000" w:themeColor="text1"/>
          <w:sz w:val="20"/>
          <w:szCs w:val="20"/>
          <w:lang w:val="es-ES_tradnl"/>
        </w:rPr>
      </w:pPr>
    </w:p>
    <w:p w14:paraId="06CF7BDB" w14:textId="77777777" w:rsidR="00DC66BE" w:rsidRPr="00B35B47" w:rsidRDefault="00DC66BE" w:rsidP="00DC66BE">
      <w:pPr>
        <w:jc w:val="both"/>
        <w:rPr>
          <w:rFonts w:ascii="Arial" w:eastAsia="Calibri" w:hAnsi="Arial" w:cs="Arial"/>
          <w:b/>
          <w:bCs/>
          <w:color w:val="000000" w:themeColor="text1"/>
          <w:sz w:val="22"/>
        </w:rPr>
      </w:pPr>
      <w:bookmarkStart w:id="2" w:name="_Hlk29890381"/>
      <w:bookmarkEnd w:id="2"/>
      <w:r w:rsidRPr="00B35B47">
        <w:rPr>
          <w:rFonts w:ascii="Arial" w:eastAsia="Calibri" w:hAnsi="Arial" w:cs="Arial"/>
          <w:b/>
          <w:bCs/>
          <w:color w:val="000000" w:themeColor="text1"/>
          <w:sz w:val="22"/>
        </w:rPr>
        <w:t xml:space="preserve">COLOMBIA COMPRA EFICIENTE </w:t>
      </w:r>
      <w:r w:rsidRPr="00B35B47">
        <w:rPr>
          <w:rFonts w:ascii="Arial" w:eastAsia="Calibri" w:hAnsi="Arial" w:cs="Arial"/>
          <w:b/>
          <w:color w:val="000000" w:themeColor="text1"/>
          <w:sz w:val="22"/>
        </w:rPr>
        <w:t>–</w:t>
      </w:r>
      <w:r w:rsidRPr="00B35B47">
        <w:rPr>
          <w:rFonts w:ascii="Arial" w:eastAsia="Calibri" w:hAnsi="Arial" w:cs="Arial"/>
          <w:b/>
          <w:bCs/>
          <w:color w:val="000000" w:themeColor="text1"/>
          <w:sz w:val="22"/>
        </w:rPr>
        <w:t xml:space="preserve"> Competencia consultiva – Contratación estatal – Normas generales</w:t>
      </w:r>
    </w:p>
    <w:p w14:paraId="60CF2DAA" w14:textId="77777777" w:rsidR="00DC66BE" w:rsidRPr="00B35B47" w:rsidRDefault="00DC66BE" w:rsidP="00DC66BE">
      <w:pPr>
        <w:jc w:val="both"/>
        <w:rPr>
          <w:rFonts w:ascii="Arial" w:eastAsia="Calibri" w:hAnsi="Arial" w:cs="Arial"/>
          <w:b/>
          <w:sz w:val="22"/>
        </w:rPr>
      </w:pPr>
    </w:p>
    <w:p w14:paraId="7473E974" w14:textId="4FBF0034" w:rsidR="00D21BE0" w:rsidRPr="00D21BE0" w:rsidRDefault="00D21BE0" w:rsidP="00D21BE0">
      <w:pPr>
        <w:jc w:val="both"/>
        <w:rPr>
          <w:rFonts w:ascii="Arial" w:eastAsia="Calibri" w:hAnsi="Arial" w:cs="Arial"/>
          <w:bCs/>
          <w:sz w:val="20"/>
          <w:szCs w:val="20"/>
          <w:lang w:val="es-ES"/>
        </w:rPr>
      </w:pPr>
      <w:r w:rsidRPr="00D21BE0">
        <w:rPr>
          <w:rFonts w:ascii="Arial" w:eastAsia="Calibri" w:hAnsi="Arial" w:cs="Arial"/>
          <w:bCs/>
          <w:sz w:val="20"/>
          <w:szCs w:val="20"/>
          <w:lang w:val="es-ES"/>
        </w:rPr>
        <w:t xml:space="preserve">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w:t>
      </w:r>
    </w:p>
    <w:p w14:paraId="20C20ED0" w14:textId="77777777" w:rsidR="00D21BE0" w:rsidRDefault="00D21BE0" w:rsidP="00D21BE0">
      <w:pPr>
        <w:jc w:val="both"/>
        <w:rPr>
          <w:rFonts w:ascii="Arial" w:eastAsia="Calibri" w:hAnsi="Arial" w:cs="Arial"/>
          <w:bCs/>
          <w:sz w:val="20"/>
          <w:szCs w:val="20"/>
          <w:lang w:val="es-ES"/>
        </w:rPr>
      </w:pPr>
      <w:r w:rsidRPr="00D21BE0">
        <w:rPr>
          <w:rFonts w:ascii="Arial" w:eastAsia="Calibri" w:hAnsi="Arial" w:cs="Arial"/>
          <w:bCs/>
          <w:sz w:val="20"/>
          <w:szCs w:val="20"/>
          <w:lang w:val="es-ES"/>
        </w:rPr>
        <w:t>Por lo anterior, previo concepto de sus órganos asesores, la solución de estos temas corresponde a la entidad que adelanta el procedimiento de selección y, en caso de conflicto, a las autoridades judiciales, fiscales y disciplinarias</w:t>
      </w:r>
      <w:r>
        <w:rPr>
          <w:rFonts w:ascii="Arial" w:eastAsia="Calibri" w:hAnsi="Arial" w:cs="Arial"/>
          <w:bCs/>
          <w:sz w:val="20"/>
          <w:szCs w:val="20"/>
          <w:lang w:val="es-ES"/>
        </w:rPr>
        <w:t>.</w:t>
      </w:r>
    </w:p>
    <w:p w14:paraId="3DE1EF64" w14:textId="4B629A30" w:rsidR="00B35B47" w:rsidRPr="00D65917" w:rsidRDefault="00D65917" w:rsidP="00D21BE0">
      <w:pPr>
        <w:jc w:val="both"/>
        <w:rPr>
          <w:rFonts w:ascii="Arial" w:eastAsia="Calibri" w:hAnsi="Arial" w:cs="Arial"/>
          <w:bCs/>
          <w:sz w:val="20"/>
          <w:szCs w:val="20"/>
          <w:lang w:val="es-ES"/>
        </w:rPr>
      </w:pPr>
      <w:r w:rsidRPr="00D65917">
        <w:rPr>
          <w:rFonts w:ascii="Arial" w:eastAsia="Calibri" w:hAnsi="Arial" w:cs="Arial"/>
          <w:bCs/>
          <w:sz w:val="20"/>
          <w:szCs w:val="20"/>
          <w:lang w:val="es-ES"/>
        </w:rPr>
        <w:t xml:space="preserve"> </w:t>
      </w:r>
    </w:p>
    <w:p w14:paraId="2DE9334F" w14:textId="77777777" w:rsidR="00F35D37" w:rsidRDefault="00F35D37" w:rsidP="00F35D37">
      <w:pPr>
        <w:jc w:val="both"/>
        <w:rPr>
          <w:rFonts w:ascii="Arial" w:eastAsia="Calibri" w:hAnsi="Arial" w:cs="Arial"/>
          <w:b/>
          <w:sz w:val="22"/>
        </w:rPr>
      </w:pPr>
      <w:r w:rsidRPr="00DC3720">
        <w:rPr>
          <w:rFonts w:ascii="Arial" w:eastAsia="Calibri" w:hAnsi="Arial" w:cs="Arial"/>
          <w:b/>
          <w:sz w:val="22"/>
        </w:rPr>
        <w:t>DOCUMENTOS TIPO –</w:t>
      </w:r>
      <w:r>
        <w:rPr>
          <w:rFonts w:ascii="Arial" w:eastAsia="Calibri" w:hAnsi="Arial" w:cs="Arial"/>
          <w:b/>
          <w:sz w:val="22"/>
        </w:rPr>
        <w:t xml:space="preserve"> Agua potable y saneamiento básico – obra pública por licitación</w:t>
      </w:r>
    </w:p>
    <w:p w14:paraId="666223D5" w14:textId="77777777" w:rsidR="00F35D37" w:rsidRDefault="00F35D37" w:rsidP="00F35D37">
      <w:pPr>
        <w:jc w:val="both"/>
        <w:rPr>
          <w:rFonts w:ascii="Arial" w:eastAsia="Calibri" w:hAnsi="Arial" w:cs="Arial"/>
          <w:b/>
          <w:sz w:val="22"/>
        </w:rPr>
      </w:pPr>
    </w:p>
    <w:p w14:paraId="738D8622" w14:textId="00DAE49B" w:rsidR="00B35B47" w:rsidRDefault="00D21BE0" w:rsidP="00D21BE0">
      <w:pPr>
        <w:jc w:val="both"/>
        <w:rPr>
          <w:rFonts w:ascii="Arial" w:eastAsia="Calibri" w:hAnsi="Arial" w:cs="Arial"/>
          <w:bCs/>
          <w:color w:val="000000" w:themeColor="text1"/>
          <w:sz w:val="20"/>
          <w:szCs w:val="20"/>
          <w:lang w:val="es-ES"/>
        </w:rPr>
      </w:pPr>
      <w:r w:rsidRPr="00D21BE0">
        <w:rPr>
          <w:rFonts w:ascii="Arial" w:eastAsia="Calibri" w:hAnsi="Arial" w:cs="Arial"/>
          <w:bCs/>
          <w:color w:val="000000" w:themeColor="text1"/>
          <w:sz w:val="20"/>
          <w:szCs w:val="20"/>
          <w:lang w:val="es-ES"/>
        </w:rPr>
        <w:t>Dichos documentos son instrumentos que buscan desarrollar medidas de fortalecimiento, eficiencia y transparencia para realizar y aprovechar las grandes inversiones en materia de infraestructura de agua potable y saneamiento básico que se realizan o se realizarán en el país. En este sentido, estos documentos tipo tienen por objetivo una tipología contractual específica: la obra pública para los proyectos de infraestructura de agua potable y saneamiento básico bajo la modalidad de licitación pública. Para tales efectos, entiéndase por contrato de obra pública aquellos que celebren las entidades estatales para la construcción, mantenimiento, instalación y, en general, para la realización de cualquier otro trabajo material sobre bienes inmuebles, cualquiera que sea la modalidad de ejecución y pago. Por tal motivo, según lo establece el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siempre que el proyecto a ejecutar se enmarque en las actividades establecidas en la Matriz 1 – Experiencia de estos documentos tipo. De esta manera, como se indicó, la aplicación de estos documentos es obligatoria en los procedimientos de selección cuyo aviso de convocatoria se publique a partir del 11 de diciembre de 2020, como lo establece el artículo 6 de las Resoluciones 248 y 249 de 2020.</w:t>
      </w:r>
    </w:p>
    <w:p w14:paraId="76E65CA1" w14:textId="77777777" w:rsidR="00D21BE0" w:rsidRPr="00D65917" w:rsidRDefault="00D21BE0" w:rsidP="00D21BE0">
      <w:pPr>
        <w:jc w:val="both"/>
        <w:rPr>
          <w:rFonts w:ascii="Arial" w:eastAsia="Calibri" w:hAnsi="Arial" w:cs="Arial"/>
          <w:b/>
          <w:bCs/>
          <w:color w:val="000000" w:themeColor="text1"/>
          <w:sz w:val="22"/>
          <w:lang w:val="es-ES"/>
        </w:rPr>
      </w:pPr>
    </w:p>
    <w:p w14:paraId="488683B5" w14:textId="289CD69D" w:rsidR="00CB6616" w:rsidRPr="00CB6616" w:rsidRDefault="007E15E0" w:rsidP="00CB6616">
      <w:pPr>
        <w:jc w:val="both"/>
        <w:rPr>
          <w:rFonts w:ascii="Arial" w:eastAsia="Calibri" w:hAnsi="Arial" w:cs="Arial"/>
          <w:b/>
          <w:bCs/>
          <w:color w:val="000000" w:themeColor="text1"/>
          <w:sz w:val="22"/>
          <w:lang w:val="es-MX"/>
        </w:rPr>
      </w:pPr>
      <w:r>
        <w:rPr>
          <w:rFonts w:ascii="Arial" w:eastAsia="Calibri" w:hAnsi="Arial" w:cs="Arial"/>
          <w:b/>
          <w:sz w:val="22"/>
          <w:lang w:val="es-MX"/>
        </w:rPr>
        <w:t xml:space="preserve">LICITACIÓN PÚBLICA DECLARADA DESIERTA – Causal para iniciar selección abreviada de menor cuantía </w:t>
      </w:r>
    </w:p>
    <w:p w14:paraId="0ED0B6DB" w14:textId="77777777" w:rsidR="00EC36B1" w:rsidRDefault="00EC36B1" w:rsidP="00EC36B1">
      <w:pPr>
        <w:jc w:val="both"/>
        <w:rPr>
          <w:rFonts w:ascii="Arial" w:eastAsia="Calibri" w:hAnsi="Arial" w:cs="Arial"/>
          <w:sz w:val="20"/>
          <w:szCs w:val="20"/>
          <w:lang w:val="es-ES_tradnl"/>
        </w:rPr>
      </w:pPr>
    </w:p>
    <w:p w14:paraId="480949F4" w14:textId="3D957CB6" w:rsidR="00D65917" w:rsidRPr="00D21BE0" w:rsidRDefault="00D21BE0" w:rsidP="00D21BE0">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C</w:t>
      </w:r>
      <w:r w:rsidRPr="00D21BE0">
        <w:rPr>
          <w:rFonts w:ascii="Arial" w:eastAsia="Calibri" w:hAnsi="Arial" w:cs="Arial"/>
          <w:bCs/>
          <w:color w:val="000000" w:themeColor="text1"/>
          <w:sz w:val="20"/>
          <w:szCs w:val="20"/>
          <w:lang w:val="es-ES"/>
        </w:rPr>
        <w:t xml:space="preserve">uando la licitación declarada desierta haya sido para la contratación de una obra pública de infraestructura de agua potable y saneamiento básico regida por Documentos Tipo, podrá acudirse al proceso de selección abreviada de menor cuantía dentro de los 4 meses siguientes a la declaración de desierta del proceso inicial. Para el efecto, en vista de que la obra pública de infraestructura de agua potable y saneamiento básico no hace parte de la infraestructura de transporte a que hace referencia el artículo 2.2.1.2.6.1.6. del Decreto 1082 de 2015 y el artículo 5 de </w:t>
      </w:r>
      <w:r w:rsidRPr="00D21BE0">
        <w:rPr>
          <w:rFonts w:ascii="Arial" w:eastAsia="Calibri" w:hAnsi="Arial" w:cs="Arial"/>
          <w:bCs/>
          <w:color w:val="000000" w:themeColor="text1"/>
          <w:sz w:val="20"/>
          <w:szCs w:val="20"/>
          <w:lang w:val="es-ES"/>
        </w:rPr>
        <w:lastRenderedPageBreak/>
        <w:t>la Resolución No. 240 de 2020 de Colombia Compra Eficiente, la entidad contratante no estaría obligada a aplicar los Documentos tipo, ya que no existiría documento tipo que rigiera en la nueva modalidad de selección, por lo que debe aplicar las reglas de procedimiento definidas para el proceso de selección abreviada de menor cuantía, en los términos de los artículos 2.2.1.2.1.2.20 y 2.2.1.2.1.2.22 del Decreto 1082 de 2015. Esta última conclusión resulta procedente a menos que Colombia Compra Eficiente adopte nuevos Documentos Tipo que se lleguen a aplicar a la selección abreviada de menor cuantía para obras de infraestructura de agua potable y saneamiento básico, caso en el cual se aplicarán éstos últimos.</w:t>
      </w:r>
      <w:r w:rsidR="00CF0A30" w:rsidRPr="00CF0A30">
        <w:rPr>
          <w:rFonts w:ascii="Arial" w:eastAsia="Calibri" w:hAnsi="Arial" w:cs="Arial"/>
          <w:sz w:val="20"/>
          <w:szCs w:val="20"/>
          <w:lang w:val="es-MX"/>
        </w:rPr>
        <w:t xml:space="preserve">  </w:t>
      </w:r>
    </w:p>
    <w:p w14:paraId="7B3B75E2" w14:textId="77777777" w:rsidR="00E20C61" w:rsidRDefault="00E20C61" w:rsidP="00D65917">
      <w:pPr>
        <w:spacing w:line="276" w:lineRule="auto"/>
        <w:jc w:val="both"/>
        <w:rPr>
          <w:rFonts w:ascii="Arial" w:hAnsi="Arial" w:cs="Arial"/>
          <w:noProof/>
          <w:color w:val="000000" w:themeColor="text1"/>
          <w:sz w:val="22"/>
        </w:rPr>
      </w:pPr>
      <w:bookmarkStart w:id="3" w:name="_Hlk66173765"/>
    </w:p>
    <w:p w14:paraId="0AE68F3E" w14:textId="77777777" w:rsidR="005570AC" w:rsidRDefault="005570AC" w:rsidP="00C118DB">
      <w:pPr>
        <w:spacing w:line="276" w:lineRule="auto"/>
        <w:jc w:val="both"/>
        <w:rPr>
          <w:rFonts w:ascii="Arial" w:hAnsi="Arial" w:cs="Arial"/>
          <w:noProof/>
          <w:color w:val="000000" w:themeColor="text1"/>
          <w:sz w:val="22"/>
        </w:rPr>
      </w:pPr>
    </w:p>
    <w:p w14:paraId="3070BAFB" w14:textId="77777777" w:rsidR="005570AC" w:rsidRDefault="005570AC" w:rsidP="00C118DB">
      <w:pPr>
        <w:spacing w:line="276" w:lineRule="auto"/>
        <w:jc w:val="both"/>
        <w:rPr>
          <w:rFonts w:ascii="Arial" w:hAnsi="Arial" w:cs="Arial"/>
          <w:noProof/>
          <w:color w:val="000000" w:themeColor="text1"/>
          <w:sz w:val="22"/>
        </w:rPr>
      </w:pPr>
    </w:p>
    <w:p w14:paraId="7E15688F" w14:textId="77777777" w:rsidR="005570AC" w:rsidRDefault="005570AC" w:rsidP="00C118DB">
      <w:pPr>
        <w:spacing w:line="276" w:lineRule="auto"/>
        <w:jc w:val="both"/>
        <w:rPr>
          <w:rFonts w:ascii="Arial" w:hAnsi="Arial" w:cs="Arial"/>
          <w:noProof/>
          <w:color w:val="000000" w:themeColor="text1"/>
          <w:sz w:val="22"/>
        </w:rPr>
      </w:pPr>
    </w:p>
    <w:p w14:paraId="79343441" w14:textId="77777777" w:rsidR="005570AC" w:rsidRDefault="005570AC" w:rsidP="00C118DB">
      <w:pPr>
        <w:spacing w:line="276" w:lineRule="auto"/>
        <w:jc w:val="both"/>
        <w:rPr>
          <w:rFonts w:ascii="Arial" w:hAnsi="Arial" w:cs="Arial"/>
          <w:noProof/>
          <w:color w:val="000000" w:themeColor="text1"/>
          <w:sz w:val="22"/>
        </w:rPr>
      </w:pPr>
    </w:p>
    <w:p w14:paraId="5C35A26D" w14:textId="77777777" w:rsidR="007E15E0" w:rsidRDefault="007E15E0" w:rsidP="00C118DB">
      <w:pPr>
        <w:spacing w:line="276" w:lineRule="auto"/>
        <w:jc w:val="both"/>
        <w:rPr>
          <w:rFonts w:ascii="Arial" w:hAnsi="Arial" w:cs="Arial"/>
          <w:noProof/>
          <w:color w:val="000000" w:themeColor="text1"/>
          <w:sz w:val="22"/>
        </w:rPr>
      </w:pPr>
    </w:p>
    <w:p w14:paraId="29F4367E" w14:textId="77777777" w:rsidR="007E15E0" w:rsidRDefault="007E15E0" w:rsidP="00C118DB">
      <w:pPr>
        <w:spacing w:line="276" w:lineRule="auto"/>
        <w:jc w:val="both"/>
        <w:rPr>
          <w:rFonts w:ascii="Arial" w:hAnsi="Arial" w:cs="Arial"/>
          <w:noProof/>
          <w:color w:val="000000" w:themeColor="text1"/>
          <w:sz w:val="22"/>
        </w:rPr>
      </w:pPr>
    </w:p>
    <w:p w14:paraId="3248EADD" w14:textId="77777777" w:rsidR="007E15E0" w:rsidRDefault="007E15E0" w:rsidP="00C118DB">
      <w:pPr>
        <w:spacing w:line="276" w:lineRule="auto"/>
        <w:jc w:val="both"/>
        <w:rPr>
          <w:rFonts w:ascii="Arial" w:hAnsi="Arial" w:cs="Arial"/>
          <w:noProof/>
          <w:color w:val="000000" w:themeColor="text1"/>
          <w:sz w:val="22"/>
        </w:rPr>
      </w:pPr>
    </w:p>
    <w:p w14:paraId="316E8821" w14:textId="77777777" w:rsidR="007E15E0" w:rsidRDefault="007E15E0" w:rsidP="00C118DB">
      <w:pPr>
        <w:spacing w:line="276" w:lineRule="auto"/>
        <w:jc w:val="both"/>
        <w:rPr>
          <w:rFonts w:ascii="Arial" w:hAnsi="Arial" w:cs="Arial"/>
          <w:noProof/>
          <w:color w:val="000000" w:themeColor="text1"/>
          <w:sz w:val="22"/>
        </w:rPr>
      </w:pPr>
    </w:p>
    <w:p w14:paraId="74BCF74B" w14:textId="77777777" w:rsidR="007E15E0" w:rsidRDefault="007E15E0" w:rsidP="00C118DB">
      <w:pPr>
        <w:spacing w:line="276" w:lineRule="auto"/>
        <w:jc w:val="both"/>
        <w:rPr>
          <w:rFonts w:ascii="Arial" w:hAnsi="Arial" w:cs="Arial"/>
          <w:noProof/>
          <w:color w:val="000000" w:themeColor="text1"/>
          <w:sz w:val="22"/>
        </w:rPr>
      </w:pPr>
    </w:p>
    <w:p w14:paraId="7B6ED6AA" w14:textId="77777777" w:rsidR="007E15E0" w:rsidRDefault="007E15E0" w:rsidP="00C118DB">
      <w:pPr>
        <w:spacing w:line="276" w:lineRule="auto"/>
        <w:jc w:val="both"/>
        <w:rPr>
          <w:rFonts w:ascii="Arial" w:hAnsi="Arial" w:cs="Arial"/>
          <w:noProof/>
          <w:color w:val="000000" w:themeColor="text1"/>
          <w:sz w:val="22"/>
        </w:rPr>
      </w:pPr>
    </w:p>
    <w:p w14:paraId="16174AD7" w14:textId="77777777" w:rsidR="007E15E0" w:rsidRDefault="007E15E0" w:rsidP="00C118DB">
      <w:pPr>
        <w:spacing w:line="276" w:lineRule="auto"/>
        <w:jc w:val="both"/>
        <w:rPr>
          <w:rFonts w:ascii="Arial" w:hAnsi="Arial" w:cs="Arial"/>
          <w:noProof/>
          <w:color w:val="000000" w:themeColor="text1"/>
          <w:sz w:val="22"/>
        </w:rPr>
      </w:pPr>
    </w:p>
    <w:p w14:paraId="649DC62C" w14:textId="77777777" w:rsidR="007E15E0" w:rsidRDefault="007E15E0" w:rsidP="00C118DB">
      <w:pPr>
        <w:spacing w:line="276" w:lineRule="auto"/>
        <w:jc w:val="both"/>
        <w:rPr>
          <w:rFonts w:ascii="Arial" w:hAnsi="Arial" w:cs="Arial"/>
          <w:noProof/>
          <w:color w:val="000000" w:themeColor="text1"/>
          <w:sz w:val="22"/>
        </w:rPr>
      </w:pPr>
    </w:p>
    <w:p w14:paraId="09B4CBF5" w14:textId="77777777" w:rsidR="007E15E0" w:rsidRDefault="007E15E0" w:rsidP="00C118DB">
      <w:pPr>
        <w:spacing w:line="276" w:lineRule="auto"/>
        <w:jc w:val="both"/>
        <w:rPr>
          <w:rFonts w:ascii="Arial" w:hAnsi="Arial" w:cs="Arial"/>
          <w:noProof/>
          <w:color w:val="000000" w:themeColor="text1"/>
          <w:sz w:val="22"/>
        </w:rPr>
      </w:pPr>
    </w:p>
    <w:p w14:paraId="5EDACE47" w14:textId="77777777" w:rsidR="007E15E0" w:rsidRDefault="007E15E0" w:rsidP="00C118DB">
      <w:pPr>
        <w:spacing w:line="276" w:lineRule="auto"/>
        <w:jc w:val="both"/>
        <w:rPr>
          <w:rFonts w:ascii="Arial" w:hAnsi="Arial" w:cs="Arial"/>
          <w:noProof/>
          <w:color w:val="000000" w:themeColor="text1"/>
          <w:sz w:val="22"/>
        </w:rPr>
      </w:pPr>
    </w:p>
    <w:p w14:paraId="276D64E2" w14:textId="77777777" w:rsidR="007E15E0" w:rsidRDefault="007E15E0" w:rsidP="00C118DB">
      <w:pPr>
        <w:spacing w:line="276" w:lineRule="auto"/>
        <w:jc w:val="both"/>
        <w:rPr>
          <w:rFonts w:ascii="Arial" w:hAnsi="Arial" w:cs="Arial"/>
          <w:noProof/>
          <w:color w:val="000000" w:themeColor="text1"/>
          <w:sz w:val="22"/>
        </w:rPr>
      </w:pPr>
    </w:p>
    <w:p w14:paraId="3D3BF789" w14:textId="77777777" w:rsidR="007E15E0" w:rsidRDefault="007E15E0" w:rsidP="00C118DB">
      <w:pPr>
        <w:spacing w:line="276" w:lineRule="auto"/>
        <w:jc w:val="both"/>
        <w:rPr>
          <w:rFonts w:ascii="Arial" w:hAnsi="Arial" w:cs="Arial"/>
          <w:noProof/>
          <w:color w:val="000000" w:themeColor="text1"/>
          <w:sz w:val="22"/>
        </w:rPr>
      </w:pPr>
    </w:p>
    <w:p w14:paraId="0B8230B6" w14:textId="77777777" w:rsidR="007E15E0" w:rsidRDefault="007E15E0" w:rsidP="00C118DB">
      <w:pPr>
        <w:spacing w:line="276" w:lineRule="auto"/>
        <w:jc w:val="both"/>
        <w:rPr>
          <w:rFonts w:ascii="Arial" w:hAnsi="Arial" w:cs="Arial"/>
          <w:noProof/>
          <w:color w:val="000000" w:themeColor="text1"/>
          <w:sz w:val="22"/>
        </w:rPr>
      </w:pPr>
    </w:p>
    <w:p w14:paraId="5FAB2DDA" w14:textId="77777777" w:rsidR="007E15E0" w:rsidRDefault="007E15E0" w:rsidP="00C118DB">
      <w:pPr>
        <w:spacing w:line="276" w:lineRule="auto"/>
        <w:jc w:val="both"/>
        <w:rPr>
          <w:rFonts w:ascii="Arial" w:hAnsi="Arial" w:cs="Arial"/>
          <w:noProof/>
          <w:color w:val="000000" w:themeColor="text1"/>
          <w:sz w:val="22"/>
        </w:rPr>
      </w:pPr>
    </w:p>
    <w:p w14:paraId="50CBE4B6" w14:textId="77777777" w:rsidR="007E15E0" w:rsidRDefault="007E15E0" w:rsidP="00C118DB">
      <w:pPr>
        <w:spacing w:line="276" w:lineRule="auto"/>
        <w:jc w:val="both"/>
        <w:rPr>
          <w:rFonts w:ascii="Arial" w:hAnsi="Arial" w:cs="Arial"/>
          <w:noProof/>
          <w:color w:val="000000" w:themeColor="text1"/>
          <w:sz w:val="22"/>
        </w:rPr>
      </w:pPr>
    </w:p>
    <w:p w14:paraId="0238BF20" w14:textId="77777777" w:rsidR="007E15E0" w:rsidRDefault="007E15E0" w:rsidP="00C118DB">
      <w:pPr>
        <w:spacing w:line="276" w:lineRule="auto"/>
        <w:jc w:val="both"/>
        <w:rPr>
          <w:rFonts w:ascii="Arial" w:hAnsi="Arial" w:cs="Arial"/>
          <w:noProof/>
          <w:color w:val="000000" w:themeColor="text1"/>
          <w:sz w:val="22"/>
        </w:rPr>
      </w:pPr>
    </w:p>
    <w:p w14:paraId="2F358158" w14:textId="77777777" w:rsidR="007E15E0" w:rsidRDefault="007E15E0" w:rsidP="00C118DB">
      <w:pPr>
        <w:spacing w:line="276" w:lineRule="auto"/>
        <w:jc w:val="both"/>
        <w:rPr>
          <w:rFonts w:ascii="Arial" w:hAnsi="Arial" w:cs="Arial"/>
          <w:noProof/>
          <w:color w:val="000000" w:themeColor="text1"/>
          <w:sz w:val="22"/>
        </w:rPr>
      </w:pPr>
    </w:p>
    <w:p w14:paraId="1E3CA725" w14:textId="77777777" w:rsidR="007E15E0" w:rsidRDefault="007E15E0" w:rsidP="00C118DB">
      <w:pPr>
        <w:spacing w:line="276" w:lineRule="auto"/>
        <w:jc w:val="both"/>
        <w:rPr>
          <w:rFonts w:ascii="Arial" w:hAnsi="Arial" w:cs="Arial"/>
          <w:noProof/>
          <w:color w:val="000000" w:themeColor="text1"/>
          <w:sz w:val="22"/>
        </w:rPr>
      </w:pPr>
    </w:p>
    <w:p w14:paraId="468C6FE9" w14:textId="77777777" w:rsidR="007E15E0" w:rsidRDefault="007E15E0" w:rsidP="00C118DB">
      <w:pPr>
        <w:spacing w:line="276" w:lineRule="auto"/>
        <w:jc w:val="both"/>
        <w:rPr>
          <w:rFonts w:ascii="Arial" w:hAnsi="Arial" w:cs="Arial"/>
          <w:noProof/>
          <w:color w:val="000000" w:themeColor="text1"/>
          <w:sz w:val="22"/>
        </w:rPr>
      </w:pPr>
    </w:p>
    <w:p w14:paraId="758B646E" w14:textId="77777777" w:rsidR="007E15E0" w:rsidRDefault="007E15E0" w:rsidP="00C118DB">
      <w:pPr>
        <w:spacing w:line="276" w:lineRule="auto"/>
        <w:jc w:val="both"/>
        <w:rPr>
          <w:rFonts w:ascii="Arial" w:hAnsi="Arial" w:cs="Arial"/>
          <w:noProof/>
          <w:color w:val="000000" w:themeColor="text1"/>
          <w:sz w:val="22"/>
        </w:rPr>
      </w:pPr>
    </w:p>
    <w:p w14:paraId="25DDFCC4" w14:textId="77777777" w:rsidR="007E15E0" w:rsidRDefault="007E15E0" w:rsidP="00C118DB">
      <w:pPr>
        <w:spacing w:line="276" w:lineRule="auto"/>
        <w:jc w:val="both"/>
        <w:rPr>
          <w:rFonts w:ascii="Arial" w:hAnsi="Arial" w:cs="Arial"/>
          <w:noProof/>
          <w:color w:val="000000" w:themeColor="text1"/>
          <w:sz w:val="22"/>
        </w:rPr>
      </w:pPr>
    </w:p>
    <w:p w14:paraId="5DAE25A3" w14:textId="77777777" w:rsidR="007E15E0" w:rsidRDefault="007E15E0" w:rsidP="00C118DB">
      <w:pPr>
        <w:spacing w:line="276" w:lineRule="auto"/>
        <w:jc w:val="both"/>
        <w:rPr>
          <w:rFonts w:ascii="Arial" w:hAnsi="Arial" w:cs="Arial"/>
          <w:noProof/>
          <w:color w:val="000000" w:themeColor="text1"/>
          <w:sz w:val="22"/>
        </w:rPr>
      </w:pPr>
    </w:p>
    <w:p w14:paraId="3A7A7F65" w14:textId="77777777" w:rsidR="007E15E0" w:rsidRDefault="007E15E0" w:rsidP="00C118DB">
      <w:pPr>
        <w:spacing w:line="276" w:lineRule="auto"/>
        <w:jc w:val="both"/>
        <w:rPr>
          <w:rFonts w:ascii="Arial" w:hAnsi="Arial" w:cs="Arial"/>
          <w:noProof/>
          <w:color w:val="000000" w:themeColor="text1"/>
          <w:sz w:val="22"/>
        </w:rPr>
      </w:pPr>
    </w:p>
    <w:p w14:paraId="37C3E925" w14:textId="77777777" w:rsidR="007E15E0" w:rsidRDefault="007E15E0" w:rsidP="00C118DB">
      <w:pPr>
        <w:spacing w:line="276" w:lineRule="auto"/>
        <w:jc w:val="both"/>
        <w:rPr>
          <w:rFonts w:ascii="Arial" w:hAnsi="Arial" w:cs="Arial"/>
          <w:noProof/>
          <w:color w:val="000000" w:themeColor="text1"/>
          <w:sz w:val="22"/>
        </w:rPr>
      </w:pPr>
    </w:p>
    <w:p w14:paraId="70056D88" w14:textId="77777777" w:rsidR="007E15E0" w:rsidRDefault="007E15E0" w:rsidP="00C118DB">
      <w:pPr>
        <w:spacing w:line="276" w:lineRule="auto"/>
        <w:jc w:val="both"/>
        <w:rPr>
          <w:rFonts w:ascii="Arial" w:hAnsi="Arial" w:cs="Arial"/>
          <w:noProof/>
          <w:color w:val="000000" w:themeColor="text1"/>
          <w:sz w:val="22"/>
        </w:rPr>
      </w:pPr>
    </w:p>
    <w:p w14:paraId="304128A2" w14:textId="77777777" w:rsidR="007E15E0" w:rsidRDefault="007E15E0" w:rsidP="00C118DB">
      <w:pPr>
        <w:spacing w:line="276" w:lineRule="auto"/>
        <w:jc w:val="both"/>
        <w:rPr>
          <w:rFonts w:ascii="Arial" w:hAnsi="Arial" w:cs="Arial"/>
          <w:noProof/>
          <w:color w:val="000000" w:themeColor="text1"/>
          <w:sz w:val="22"/>
        </w:rPr>
      </w:pPr>
    </w:p>
    <w:p w14:paraId="4BC1B1C3" w14:textId="77777777" w:rsidR="007E15E0" w:rsidRDefault="007E15E0" w:rsidP="00C118DB">
      <w:pPr>
        <w:spacing w:line="276" w:lineRule="auto"/>
        <w:jc w:val="both"/>
        <w:rPr>
          <w:rFonts w:ascii="Arial" w:hAnsi="Arial" w:cs="Arial"/>
          <w:noProof/>
          <w:color w:val="000000" w:themeColor="text1"/>
          <w:sz w:val="22"/>
        </w:rPr>
      </w:pPr>
    </w:p>
    <w:p w14:paraId="43D930FE" w14:textId="77777777" w:rsidR="007E15E0" w:rsidRDefault="007E15E0" w:rsidP="00C118DB">
      <w:pPr>
        <w:spacing w:line="276" w:lineRule="auto"/>
        <w:jc w:val="both"/>
        <w:rPr>
          <w:rFonts w:ascii="Arial" w:hAnsi="Arial" w:cs="Arial"/>
          <w:noProof/>
          <w:color w:val="000000" w:themeColor="text1"/>
          <w:sz w:val="22"/>
        </w:rPr>
      </w:pPr>
    </w:p>
    <w:p w14:paraId="791D7DE3" w14:textId="77777777" w:rsidR="007E15E0" w:rsidRDefault="007E15E0" w:rsidP="00C118DB">
      <w:pPr>
        <w:spacing w:line="276" w:lineRule="auto"/>
        <w:jc w:val="both"/>
        <w:rPr>
          <w:rFonts w:ascii="Arial" w:hAnsi="Arial" w:cs="Arial"/>
          <w:noProof/>
          <w:color w:val="000000" w:themeColor="text1"/>
          <w:sz w:val="22"/>
        </w:rPr>
      </w:pPr>
    </w:p>
    <w:p w14:paraId="12BC737B" w14:textId="77777777" w:rsidR="007E15E0" w:rsidRDefault="007E15E0" w:rsidP="00C118DB">
      <w:pPr>
        <w:spacing w:line="276" w:lineRule="auto"/>
        <w:jc w:val="both"/>
        <w:rPr>
          <w:rFonts w:ascii="Arial" w:hAnsi="Arial" w:cs="Arial"/>
          <w:noProof/>
          <w:color w:val="000000" w:themeColor="text1"/>
          <w:sz w:val="22"/>
        </w:rPr>
      </w:pPr>
    </w:p>
    <w:p w14:paraId="2BED449A" w14:textId="0476E0B3" w:rsidR="00F75F7B" w:rsidRDefault="00F75F7B" w:rsidP="00C65143">
      <w:pPr>
        <w:spacing w:line="276" w:lineRule="auto"/>
        <w:jc w:val="both"/>
        <w:rPr>
          <w:rFonts w:ascii="Arial" w:eastAsia="Calibri" w:hAnsi="Arial" w:cs="Arial"/>
          <w:color w:val="000000" w:themeColor="text1"/>
          <w:sz w:val="22"/>
          <w:lang w:val="es-ES_tradnl"/>
        </w:rPr>
      </w:pPr>
      <w:bookmarkStart w:id="4" w:name="_Hlk74295142"/>
      <w:bookmarkEnd w:id="3"/>
      <w:r>
        <w:rPr>
          <w:rFonts w:ascii="0∆¨À˛" w:eastAsiaTheme="minorHAnsi" w:hAnsi="0∆¨À˛" w:cs="0∆¨À˛"/>
          <w:color w:val="4E4D4D"/>
          <w:sz w:val="22"/>
          <w:szCs w:val="22"/>
          <w:lang w:val="es-ES_tradnl" w:eastAsia="en-US"/>
        </w:rPr>
        <w:lastRenderedPageBreak/>
        <w:t xml:space="preserve">Bogotá, 18 </w:t>
      </w:r>
      <w:proofErr w:type="gramStart"/>
      <w:r>
        <w:rPr>
          <w:rFonts w:ascii="0∆¨À˛" w:eastAsiaTheme="minorHAnsi" w:hAnsi="0∆¨À˛" w:cs="0∆¨À˛"/>
          <w:color w:val="4E4D4D"/>
          <w:sz w:val="22"/>
          <w:szCs w:val="22"/>
          <w:lang w:val="es-ES_tradnl" w:eastAsia="en-US"/>
        </w:rPr>
        <w:t>Agosto</w:t>
      </w:r>
      <w:proofErr w:type="gramEnd"/>
      <w:r>
        <w:rPr>
          <w:rFonts w:ascii="0∆¨À˛" w:eastAsiaTheme="minorHAnsi" w:hAnsi="0∆¨À˛" w:cs="0∆¨À˛"/>
          <w:color w:val="4E4D4D"/>
          <w:sz w:val="22"/>
          <w:szCs w:val="22"/>
          <w:lang w:val="es-ES_tradnl" w:eastAsia="en-US"/>
        </w:rPr>
        <w:t xml:space="preserve"> 2021</w:t>
      </w:r>
      <w:r>
        <w:rPr>
          <w:rFonts w:ascii="0∆¨À˛" w:eastAsiaTheme="minorHAnsi" w:hAnsi="0∆¨À˛" w:cs="0∆¨À˛"/>
          <w:color w:val="4E4D4D"/>
          <w:sz w:val="22"/>
          <w:szCs w:val="22"/>
          <w:lang w:val="es-ES_tradnl" w:eastAsia="en-US"/>
        </w:rPr>
        <w:t xml:space="preserve">                                      </w:t>
      </w:r>
      <w:r w:rsidRPr="00F75F7B">
        <w:rPr>
          <w:rFonts w:ascii="0∆¨À˛" w:eastAsiaTheme="minorHAnsi" w:hAnsi="0∆¨À˛" w:cs="0∆¨À˛"/>
          <w:color w:val="4E4D4D"/>
          <w:sz w:val="22"/>
          <w:szCs w:val="22"/>
          <w:lang w:val="es-ES_tradnl" w:eastAsia="en-US"/>
        </w:rPr>
        <w:drawing>
          <wp:inline distT="0" distB="0" distL="0" distR="0" wp14:anchorId="5F96F5B6" wp14:editId="23D62E76">
            <wp:extent cx="2154115" cy="567638"/>
            <wp:effectExtent l="0" t="0" r="0" b="444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169340" cy="571650"/>
                    </a:xfrm>
                    <a:prstGeom prst="rect">
                      <a:avLst/>
                    </a:prstGeom>
                  </pic:spPr>
                </pic:pic>
              </a:graphicData>
            </a:graphic>
          </wp:inline>
        </w:drawing>
      </w:r>
    </w:p>
    <w:p w14:paraId="66C7949E" w14:textId="1CCE2850" w:rsidR="00513AA0" w:rsidRPr="007F4252" w:rsidRDefault="00B95C30" w:rsidP="00C65143">
      <w:pPr>
        <w:spacing w:line="276" w:lineRule="auto"/>
        <w:jc w:val="both"/>
        <w:rPr>
          <w:rFonts w:ascii="Arial" w:hAnsi="Arial" w:cs="Arial"/>
          <w:noProof/>
          <w:color w:val="000000" w:themeColor="text1"/>
          <w:sz w:val="22"/>
        </w:rPr>
      </w:pPr>
      <w:r w:rsidRPr="00E23980">
        <w:rPr>
          <w:rFonts w:ascii="Arial" w:eastAsia="Calibri" w:hAnsi="Arial" w:cs="Arial"/>
          <w:color w:val="000000" w:themeColor="text1"/>
          <w:sz w:val="22"/>
          <w:lang w:val="es-ES_tradnl"/>
        </w:rPr>
        <w:t>Señor</w:t>
      </w:r>
    </w:p>
    <w:p w14:paraId="500A557B" w14:textId="71A2BA43" w:rsidR="005A5A85" w:rsidRDefault="005A5A85"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J</w:t>
      </w:r>
      <w:r w:rsidR="008F3410">
        <w:rPr>
          <w:rFonts w:ascii="Arial" w:eastAsia="Calibri" w:hAnsi="Arial" w:cs="Arial"/>
          <w:b/>
          <w:bCs/>
          <w:color w:val="000000" w:themeColor="text1"/>
          <w:sz w:val="22"/>
          <w:lang w:val="es-ES_tradnl"/>
        </w:rPr>
        <w:t xml:space="preserve">orge Andrés Villamizar Vargas </w:t>
      </w:r>
    </w:p>
    <w:p w14:paraId="24E8D2A9" w14:textId="25992881" w:rsidR="00B95C30" w:rsidRPr="005A5A85" w:rsidRDefault="008F3410"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Ciudad</w:t>
      </w:r>
      <w:r w:rsidR="005A5A85" w:rsidRPr="005A5A85">
        <w:rPr>
          <w:rFonts w:ascii="Arial" w:eastAsia="Calibri" w:hAnsi="Arial" w:cs="Arial"/>
          <w:color w:val="000000" w:themeColor="text1"/>
          <w:sz w:val="22"/>
          <w:lang w:val="es-ES_tradnl"/>
        </w:rPr>
        <w:t xml:space="preserve"> </w:t>
      </w:r>
    </w:p>
    <w:p w14:paraId="4085D767" w14:textId="1FF2ADCC" w:rsidR="009D18F8" w:rsidRDefault="009D18F8" w:rsidP="00B95C30">
      <w:pPr>
        <w:jc w:val="both"/>
        <w:rPr>
          <w:rFonts w:ascii="Arial" w:eastAsia="Calibri" w:hAnsi="Arial" w:cs="Arial"/>
          <w:color w:val="000000" w:themeColor="text1"/>
          <w:sz w:val="22"/>
          <w:lang w:val="es-ES_tradnl"/>
        </w:rPr>
      </w:pPr>
    </w:p>
    <w:p w14:paraId="3C022EEC" w14:textId="77777777" w:rsidR="00735B49" w:rsidRPr="00E23980" w:rsidRDefault="00735B49" w:rsidP="00B95C30">
      <w:pPr>
        <w:jc w:val="both"/>
        <w:rPr>
          <w:rFonts w:ascii="Arial" w:eastAsia="Calibri" w:hAnsi="Arial" w:cs="Arial"/>
          <w:color w:val="000000" w:themeColor="text1"/>
          <w:sz w:val="22"/>
          <w:lang w:val="es-ES_tradnl"/>
        </w:rPr>
      </w:pPr>
    </w:p>
    <w:p w14:paraId="08CF82B2" w14:textId="33F1F616" w:rsidR="00B95C30" w:rsidRPr="00E23980" w:rsidRDefault="009D18F8" w:rsidP="0081325C">
      <w:pPr>
        <w:rPr>
          <w:rFonts w:ascii="Arial" w:eastAsia="Calibri" w:hAnsi="Arial" w:cs="Arial"/>
          <w:color w:val="000000" w:themeColor="text1"/>
          <w:sz w:val="22"/>
          <w:lang w:val="es-ES_tradnl"/>
        </w:rPr>
      </w:pPr>
      <w:r>
        <w:rPr>
          <w:rFonts w:ascii="Arial" w:eastAsia="Calibri" w:hAnsi="Arial" w:cs="Arial"/>
          <w:b/>
          <w:bCs/>
          <w:color w:val="000000" w:themeColor="text1"/>
          <w:sz w:val="22"/>
          <w:lang w:val="es-ES_tradnl"/>
        </w:rPr>
        <w:t xml:space="preserve">                                            </w:t>
      </w:r>
      <w:r w:rsidR="00513AA0">
        <w:rPr>
          <w:rFonts w:ascii="Arial" w:eastAsia="Calibri" w:hAnsi="Arial" w:cs="Arial"/>
          <w:b/>
          <w:bCs/>
          <w:color w:val="000000" w:themeColor="text1"/>
          <w:sz w:val="22"/>
          <w:lang w:val="es-ES_tradnl"/>
        </w:rPr>
        <w:t xml:space="preserve">Concepto C ‒ </w:t>
      </w:r>
      <w:r w:rsidR="00C65143">
        <w:rPr>
          <w:rFonts w:ascii="Arial" w:eastAsia="Calibri" w:hAnsi="Arial" w:cs="Arial"/>
          <w:b/>
          <w:bCs/>
          <w:color w:val="000000" w:themeColor="text1"/>
          <w:sz w:val="22"/>
          <w:lang w:val="es-ES_tradnl"/>
        </w:rPr>
        <w:t>398</w:t>
      </w:r>
      <w:r w:rsidR="005A36C3">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735B49">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50AB697F" w:rsidR="00B95C30" w:rsidRPr="00735B49" w:rsidRDefault="00735B49" w:rsidP="006E3D9D">
            <w:pPr>
              <w:jc w:val="both"/>
              <w:rPr>
                <w:rFonts w:ascii="Arial" w:eastAsia="Calibri" w:hAnsi="Arial" w:cs="Arial"/>
                <w:color w:val="000000" w:themeColor="text1"/>
                <w:sz w:val="22"/>
                <w:lang w:val="es-MX"/>
              </w:rPr>
            </w:pPr>
            <w:r w:rsidRPr="00B35B47">
              <w:rPr>
                <w:rFonts w:ascii="Arial" w:eastAsia="Calibri" w:hAnsi="Arial" w:cs="Arial"/>
                <w:color w:val="000000" w:themeColor="text1"/>
                <w:sz w:val="22"/>
              </w:rPr>
              <w:t>COLOMBIA COMPRA EFICIENTE – Competencia consultiva – Contratación estatal – Normas generales</w:t>
            </w:r>
            <w:r w:rsidRPr="00735B49">
              <w:rPr>
                <w:rFonts w:ascii="Arial" w:eastAsia="Calibri" w:hAnsi="Arial" w:cs="Arial"/>
                <w:color w:val="000000" w:themeColor="text1"/>
                <w:sz w:val="22"/>
              </w:rPr>
              <w:t xml:space="preserve"> </w:t>
            </w:r>
            <w:r w:rsidR="006174FA" w:rsidRPr="00735B49">
              <w:rPr>
                <w:rFonts w:ascii="Arial" w:eastAsia="Calibri" w:hAnsi="Arial" w:cs="Arial"/>
                <w:sz w:val="22"/>
                <w:lang w:val="es-ES_tradnl"/>
              </w:rPr>
              <w:t xml:space="preserve">/ </w:t>
            </w:r>
            <w:r w:rsidRPr="00B35B47">
              <w:rPr>
                <w:rFonts w:ascii="Arial" w:eastAsia="Calibri" w:hAnsi="Arial" w:cs="Arial"/>
                <w:sz w:val="22"/>
                <w:szCs w:val="22"/>
                <w:lang w:val="es-MX"/>
              </w:rPr>
              <w:t xml:space="preserve">DOCUMENTOS TIPO – Agua potable y saneamiento básico </w:t>
            </w:r>
            <w:r w:rsidRPr="00B35B47">
              <w:rPr>
                <w:rFonts w:ascii="Arial" w:eastAsia="Calibri" w:hAnsi="Arial" w:cs="Arial"/>
                <w:color w:val="000000" w:themeColor="text1"/>
                <w:sz w:val="22"/>
                <w:szCs w:val="22"/>
                <w:lang w:val="es-MX" w:eastAsia="en-US"/>
              </w:rPr>
              <w:t>–</w:t>
            </w:r>
            <w:r w:rsidRPr="00735B49">
              <w:rPr>
                <w:rFonts w:ascii="Arial" w:eastAsia="Calibri" w:hAnsi="Arial" w:cs="Arial"/>
                <w:color w:val="000000" w:themeColor="text1"/>
                <w:sz w:val="22"/>
                <w:szCs w:val="22"/>
                <w:lang w:val="es-MX" w:eastAsia="en-US"/>
              </w:rPr>
              <w:t xml:space="preserve"> </w:t>
            </w:r>
            <w:r w:rsidR="00F35D37">
              <w:rPr>
                <w:rFonts w:ascii="Arial" w:eastAsia="Calibri" w:hAnsi="Arial" w:cs="Arial"/>
                <w:color w:val="000000" w:themeColor="text1"/>
                <w:sz w:val="22"/>
                <w:szCs w:val="22"/>
                <w:lang w:val="es-MX" w:eastAsia="en-US"/>
              </w:rPr>
              <w:t xml:space="preserve">obra pública por licitación </w:t>
            </w:r>
            <w:r w:rsidR="00B95C30" w:rsidRPr="00735B49">
              <w:rPr>
                <w:rFonts w:ascii="Arial" w:eastAsia="Calibri" w:hAnsi="Arial" w:cs="Arial"/>
                <w:sz w:val="22"/>
                <w:lang w:val="es-ES_tradnl"/>
              </w:rPr>
              <w:t>/</w:t>
            </w:r>
            <w:r w:rsidR="002415B8" w:rsidRPr="00735B49">
              <w:rPr>
                <w:rFonts w:ascii="Arial" w:eastAsia="Calibri" w:hAnsi="Arial" w:cs="Arial"/>
                <w:sz w:val="22"/>
                <w:lang w:val="es-ES_tradnl"/>
              </w:rPr>
              <w:t xml:space="preserve"> </w:t>
            </w:r>
            <w:r w:rsidR="007E15E0" w:rsidRPr="007E15E0">
              <w:rPr>
                <w:rFonts w:ascii="Arial" w:eastAsia="Calibri" w:hAnsi="Arial" w:cs="Arial"/>
                <w:sz w:val="22"/>
                <w:lang w:val="es-MX"/>
              </w:rPr>
              <w:t>LICITACIÓN PÚBLICA DECLARADA DESIERTA – Causal para iniciar selección abreviada de menor cuantía</w:t>
            </w:r>
          </w:p>
        </w:tc>
      </w:tr>
      <w:tr w:rsidR="00B95C30" w:rsidRPr="00E23980" w14:paraId="27CD52AB" w14:textId="77777777" w:rsidTr="00735B49">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22F650F2"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8F3410">
              <w:rPr>
                <w:rFonts w:ascii="Arial" w:eastAsia="Calibri" w:hAnsi="Arial" w:cs="Arial"/>
                <w:color w:val="000000" w:themeColor="text1"/>
                <w:sz w:val="22"/>
                <w:lang w:val="es-ES_tradnl"/>
              </w:rPr>
              <w:t>P20210625005569</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53E479B1"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Estimado señor</w:t>
      </w:r>
      <w:r w:rsidR="008F3410">
        <w:rPr>
          <w:rFonts w:ascii="Arial" w:eastAsia="Calibri" w:hAnsi="Arial" w:cs="Arial"/>
          <w:color w:val="000000" w:themeColor="text1"/>
          <w:sz w:val="22"/>
          <w:lang w:val="es-ES_tradnl"/>
        </w:rPr>
        <w:t xml:space="preserve"> Villamizar</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2E6F990F"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5A5A85">
        <w:rPr>
          <w:rFonts w:ascii="Arial" w:eastAsia="Calibri" w:hAnsi="Arial" w:cs="Arial"/>
          <w:color w:val="000000" w:themeColor="text1"/>
          <w:sz w:val="22"/>
          <w:lang w:val="es-ES_tradnl"/>
        </w:rPr>
        <w:t>2</w:t>
      </w:r>
      <w:r w:rsidR="008F3410">
        <w:rPr>
          <w:rFonts w:ascii="Arial" w:eastAsia="Calibri" w:hAnsi="Arial" w:cs="Arial"/>
          <w:color w:val="000000" w:themeColor="text1"/>
          <w:sz w:val="22"/>
          <w:lang w:val="es-ES_tradnl"/>
        </w:rPr>
        <w:t xml:space="preserve">5 </w:t>
      </w:r>
      <w:r w:rsidR="00D27FBD">
        <w:rPr>
          <w:rFonts w:ascii="Arial" w:eastAsia="Calibri" w:hAnsi="Arial" w:cs="Arial"/>
          <w:color w:val="000000" w:themeColor="text1"/>
          <w:sz w:val="22"/>
          <w:lang w:val="es-ES_tradnl"/>
        </w:rPr>
        <w:t xml:space="preserve">de </w:t>
      </w:r>
      <w:r w:rsidR="008F3410">
        <w:rPr>
          <w:rFonts w:ascii="Arial" w:eastAsia="Calibri" w:hAnsi="Arial" w:cs="Arial"/>
          <w:color w:val="000000" w:themeColor="text1"/>
          <w:sz w:val="22"/>
          <w:lang w:val="es-ES_tradnl"/>
        </w:rPr>
        <w:t>junio</w:t>
      </w:r>
      <w:r w:rsidR="00D27FBD">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44D95E6E" w:rsidR="00DD5B04"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62087C9F" w14:textId="7805E63E" w:rsidR="00DB5671" w:rsidRDefault="00DB5671" w:rsidP="00DB5671">
      <w:pPr>
        <w:tabs>
          <w:tab w:val="left" w:pos="0"/>
          <w:tab w:val="left" w:pos="142"/>
          <w:tab w:val="left" w:pos="284"/>
        </w:tabs>
        <w:spacing w:line="276" w:lineRule="auto"/>
        <w:jc w:val="both"/>
        <w:rPr>
          <w:rFonts w:ascii="Arial" w:eastAsia="Calibri" w:hAnsi="Arial" w:cs="Arial"/>
          <w:b/>
          <w:color w:val="000000" w:themeColor="text1"/>
          <w:sz w:val="22"/>
          <w:lang w:val="es-ES_tradnl"/>
        </w:rPr>
      </w:pPr>
    </w:p>
    <w:p w14:paraId="28BE988D" w14:textId="47C56FA2" w:rsidR="00DB5671" w:rsidRPr="00DB5671" w:rsidRDefault="008F3410" w:rsidP="00D603CE">
      <w:pPr>
        <w:tabs>
          <w:tab w:val="left" w:pos="0"/>
          <w:tab w:val="left" w:pos="142"/>
          <w:tab w:val="left" w:pos="284"/>
        </w:tabs>
        <w:spacing w:line="276" w:lineRule="auto"/>
        <w:jc w:val="both"/>
        <w:rPr>
          <w:rFonts w:ascii="Arial" w:eastAsia="Calibri" w:hAnsi="Arial" w:cs="Arial"/>
          <w:bCs/>
          <w:color w:val="000000" w:themeColor="text1"/>
          <w:sz w:val="22"/>
          <w:lang w:val="es-ES_tradnl"/>
        </w:rPr>
      </w:pPr>
      <w:r w:rsidRPr="005A5A85">
        <w:rPr>
          <w:rFonts w:ascii="Arial" w:hAnsi="Arial" w:cs="Arial"/>
          <w:bCs/>
          <w:color w:val="000000"/>
          <w:sz w:val="22"/>
          <w:szCs w:val="22"/>
          <w:lang w:val="es-ES_tradnl"/>
        </w:rPr>
        <w:t xml:space="preserve">En relación con </w:t>
      </w:r>
      <w:r w:rsidR="00F03B3E">
        <w:rPr>
          <w:rFonts w:ascii="Arial" w:hAnsi="Arial" w:cs="Arial"/>
          <w:bCs/>
          <w:color w:val="000000"/>
          <w:sz w:val="22"/>
          <w:szCs w:val="22"/>
          <w:lang w:val="es-ES_tradnl"/>
        </w:rPr>
        <w:t xml:space="preserve">la hipótesis según la cual </w:t>
      </w:r>
      <w:r>
        <w:rPr>
          <w:rFonts w:ascii="Arial" w:hAnsi="Arial" w:cs="Arial"/>
          <w:bCs/>
          <w:color w:val="000000"/>
          <w:sz w:val="22"/>
          <w:szCs w:val="22"/>
          <w:lang w:val="es-ES_tradnl"/>
        </w:rPr>
        <w:t>una licitación pública de</w:t>
      </w:r>
      <w:r w:rsidR="00F03B3E">
        <w:rPr>
          <w:rFonts w:ascii="Arial" w:hAnsi="Arial" w:cs="Arial"/>
          <w:bCs/>
          <w:color w:val="000000"/>
          <w:sz w:val="22"/>
          <w:szCs w:val="22"/>
          <w:lang w:val="es-ES_tradnl"/>
        </w:rPr>
        <w:t xml:space="preserve"> obra de</w:t>
      </w:r>
      <w:r>
        <w:rPr>
          <w:rFonts w:ascii="Arial" w:hAnsi="Arial" w:cs="Arial"/>
          <w:bCs/>
          <w:color w:val="000000"/>
          <w:sz w:val="22"/>
          <w:szCs w:val="22"/>
          <w:lang w:val="es-ES_tradnl"/>
        </w:rPr>
        <w:t xml:space="preserve"> infraestructura de agua potable y saneamiento básico</w:t>
      </w:r>
      <w:r w:rsidR="00F03B3E">
        <w:rPr>
          <w:rFonts w:ascii="Arial" w:hAnsi="Arial" w:cs="Arial"/>
          <w:bCs/>
          <w:color w:val="000000"/>
          <w:sz w:val="22"/>
          <w:szCs w:val="22"/>
          <w:lang w:val="es-ES_tradnl"/>
        </w:rPr>
        <w:t>,</w:t>
      </w:r>
      <w:r>
        <w:rPr>
          <w:rFonts w:ascii="Arial" w:hAnsi="Arial" w:cs="Arial"/>
          <w:bCs/>
          <w:color w:val="000000"/>
          <w:sz w:val="22"/>
          <w:szCs w:val="22"/>
          <w:lang w:val="es-ES_tradnl"/>
        </w:rPr>
        <w:t xml:space="preserve"> regida por documentos tipo</w:t>
      </w:r>
      <w:r w:rsidR="00F03B3E">
        <w:rPr>
          <w:rFonts w:ascii="Arial" w:hAnsi="Arial" w:cs="Arial"/>
          <w:bCs/>
          <w:color w:val="000000"/>
          <w:sz w:val="22"/>
          <w:szCs w:val="22"/>
          <w:lang w:val="es-ES_tradnl"/>
        </w:rPr>
        <w:t>,</w:t>
      </w:r>
      <w:r>
        <w:rPr>
          <w:rFonts w:ascii="Arial" w:hAnsi="Arial" w:cs="Arial"/>
          <w:bCs/>
          <w:color w:val="000000"/>
          <w:sz w:val="22"/>
          <w:szCs w:val="22"/>
          <w:lang w:val="es-ES_tradnl"/>
        </w:rPr>
        <w:t xml:space="preserve"> se</w:t>
      </w:r>
      <w:r w:rsidR="00F03B3E">
        <w:rPr>
          <w:rFonts w:ascii="Arial" w:hAnsi="Arial" w:cs="Arial"/>
          <w:bCs/>
          <w:color w:val="000000"/>
          <w:sz w:val="22"/>
          <w:szCs w:val="22"/>
          <w:lang w:val="es-ES_tradnl"/>
        </w:rPr>
        <w:t xml:space="preserve"> llega a</w:t>
      </w:r>
      <w:r>
        <w:rPr>
          <w:rFonts w:ascii="Arial" w:hAnsi="Arial" w:cs="Arial"/>
          <w:bCs/>
          <w:color w:val="000000"/>
          <w:sz w:val="22"/>
          <w:szCs w:val="22"/>
          <w:lang w:val="es-ES_tradnl"/>
        </w:rPr>
        <w:t xml:space="preserve"> declara</w:t>
      </w:r>
      <w:r w:rsidR="00F03B3E">
        <w:rPr>
          <w:rFonts w:ascii="Arial" w:hAnsi="Arial" w:cs="Arial"/>
          <w:bCs/>
          <w:color w:val="000000"/>
          <w:sz w:val="22"/>
          <w:szCs w:val="22"/>
          <w:lang w:val="es-ES_tradnl"/>
        </w:rPr>
        <w:t>r</w:t>
      </w:r>
      <w:r>
        <w:rPr>
          <w:rFonts w:ascii="Arial" w:hAnsi="Arial" w:cs="Arial"/>
          <w:bCs/>
          <w:color w:val="000000"/>
          <w:sz w:val="22"/>
          <w:szCs w:val="22"/>
          <w:lang w:val="es-ES_tradnl"/>
        </w:rPr>
        <w:t xml:space="preserve"> desierta y </w:t>
      </w:r>
      <w:r w:rsidR="00533332">
        <w:rPr>
          <w:rFonts w:ascii="Arial" w:hAnsi="Arial" w:cs="Arial"/>
          <w:bCs/>
          <w:color w:val="000000"/>
          <w:sz w:val="22"/>
          <w:szCs w:val="22"/>
          <w:lang w:val="es-ES_tradnl"/>
        </w:rPr>
        <w:t>consecuente</w:t>
      </w:r>
      <w:r w:rsidR="001F2CBA">
        <w:rPr>
          <w:rFonts w:ascii="Arial" w:hAnsi="Arial" w:cs="Arial"/>
          <w:bCs/>
          <w:color w:val="000000"/>
          <w:sz w:val="22"/>
          <w:szCs w:val="22"/>
          <w:lang w:val="es-ES_tradnl"/>
        </w:rPr>
        <w:t>mente</w:t>
      </w:r>
      <w:r w:rsidR="00533332">
        <w:rPr>
          <w:rFonts w:ascii="Arial" w:hAnsi="Arial" w:cs="Arial"/>
          <w:bCs/>
          <w:color w:val="000000"/>
          <w:sz w:val="22"/>
          <w:szCs w:val="22"/>
          <w:lang w:val="es-ES_tradnl"/>
        </w:rPr>
        <w:t xml:space="preserve"> </w:t>
      </w:r>
      <w:r w:rsidR="000D7E56">
        <w:rPr>
          <w:rFonts w:ascii="Arial" w:hAnsi="Arial" w:cs="Arial"/>
          <w:bCs/>
          <w:color w:val="000000"/>
          <w:sz w:val="22"/>
          <w:szCs w:val="22"/>
          <w:lang w:val="es-ES_tradnl"/>
        </w:rPr>
        <w:t xml:space="preserve">se activa la </w:t>
      </w:r>
      <w:r>
        <w:rPr>
          <w:rFonts w:ascii="Arial" w:hAnsi="Arial" w:cs="Arial"/>
          <w:bCs/>
          <w:color w:val="000000"/>
          <w:sz w:val="22"/>
          <w:szCs w:val="22"/>
          <w:lang w:val="es-ES_tradnl"/>
        </w:rPr>
        <w:t xml:space="preserve">posibilidad de </w:t>
      </w:r>
      <w:r w:rsidR="00533332">
        <w:rPr>
          <w:rFonts w:ascii="Arial" w:hAnsi="Arial" w:cs="Arial"/>
          <w:bCs/>
          <w:color w:val="000000"/>
          <w:sz w:val="22"/>
          <w:szCs w:val="22"/>
          <w:lang w:val="es-ES_tradnl"/>
        </w:rPr>
        <w:t xml:space="preserve">iniciar un </w:t>
      </w:r>
      <w:r>
        <w:rPr>
          <w:rFonts w:ascii="Arial" w:hAnsi="Arial" w:cs="Arial"/>
          <w:bCs/>
          <w:color w:val="000000"/>
          <w:sz w:val="22"/>
          <w:szCs w:val="22"/>
          <w:lang w:val="es-ES_tradnl"/>
        </w:rPr>
        <w:t>proceso de selección abreviada de menor cuantía</w:t>
      </w:r>
      <w:r w:rsidRPr="005A5A85">
        <w:rPr>
          <w:rFonts w:ascii="Arial" w:hAnsi="Arial" w:cs="Arial"/>
          <w:color w:val="000000"/>
          <w:sz w:val="22"/>
          <w:szCs w:val="22"/>
          <w:lang w:val="es-ES_tradnl"/>
        </w:rPr>
        <w:t xml:space="preserve">, usted plantea las siguientes preguntas: i) </w:t>
      </w:r>
      <w:r w:rsidRPr="005A36C3">
        <w:rPr>
          <w:rFonts w:ascii="Arial" w:hAnsi="Arial" w:cs="Arial"/>
          <w:color w:val="000000" w:themeColor="text1"/>
          <w:sz w:val="22"/>
          <w:szCs w:val="22"/>
          <w:lang w:val="es-ES_tradnl"/>
        </w:rPr>
        <w:t>«</w:t>
      </w:r>
      <w:r w:rsidR="00D603CE" w:rsidRPr="00DB5671">
        <w:rPr>
          <w:rFonts w:ascii="Arial" w:eastAsia="Calibri" w:hAnsi="Arial" w:cs="Arial"/>
          <w:bCs/>
          <w:color w:val="000000" w:themeColor="text1"/>
          <w:sz w:val="22"/>
          <w:lang w:val="es-ES_tradnl"/>
        </w:rPr>
        <w:t>¿Si hasta el momento no se han expedido Documentos Tipo para Selección Abreviada de infraestructura de agua potable y saneamiento básico, puedo utilizar los documentos tipo de Licitación Pública con las modificaciones correspondientes a la nueva modalidad?</w:t>
      </w:r>
      <w:r w:rsidR="00D603CE" w:rsidRPr="005A36C3">
        <w:rPr>
          <w:rFonts w:ascii="Arial" w:hAnsi="Arial" w:cs="Arial"/>
          <w:color w:val="000000" w:themeColor="text1"/>
          <w:sz w:val="22"/>
          <w:szCs w:val="22"/>
          <w:lang w:val="es-ES_tradnl"/>
        </w:rPr>
        <w:t>»</w:t>
      </w:r>
      <w:r w:rsidR="00D603CE">
        <w:rPr>
          <w:rFonts w:ascii="Arial" w:hAnsi="Arial" w:cs="Arial"/>
          <w:color w:val="000000" w:themeColor="text1"/>
          <w:sz w:val="22"/>
          <w:szCs w:val="22"/>
          <w:lang w:val="es-ES_tradnl"/>
        </w:rPr>
        <w:t xml:space="preserve"> y ii)</w:t>
      </w:r>
      <w:r w:rsidR="00D603CE" w:rsidRPr="00D603CE">
        <w:rPr>
          <w:rFonts w:ascii="Arial" w:hAnsi="Arial" w:cs="Arial"/>
          <w:color w:val="000000" w:themeColor="text1"/>
          <w:sz w:val="22"/>
          <w:szCs w:val="22"/>
          <w:lang w:val="es-ES_tradnl"/>
        </w:rPr>
        <w:t xml:space="preserve"> </w:t>
      </w:r>
      <w:r w:rsidR="00D603CE" w:rsidRPr="005A36C3">
        <w:rPr>
          <w:rFonts w:ascii="Arial" w:hAnsi="Arial" w:cs="Arial"/>
          <w:color w:val="000000" w:themeColor="text1"/>
          <w:sz w:val="22"/>
          <w:szCs w:val="22"/>
          <w:lang w:val="es-ES_tradnl"/>
        </w:rPr>
        <w:t>«</w:t>
      </w:r>
      <w:r w:rsidR="00D603CE" w:rsidRPr="00DB5671">
        <w:rPr>
          <w:rFonts w:ascii="Arial" w:eastAsia="Calibri" w:hAnsi="Arial" w:cs="Arial"/>
          <w:bCs/>
          <w:color w:val="000000" w:themeColor="text1"/>
          <w:sz w:val="22"/>
          <w:lang w:val="es-ES_tradnl"/>
        </w:rPr>
        <w:t>¿Puedo ajustar el cronograma de la Selección Abreviada por declaratoria de desierta, teniendo como modelo el Cronograma de Selección Abreviada de Infraestructura de Transporte?</w:t>
      </w:r>
      <w:r w:rsidRPr="005A36C3">
        <w:rPr>
          <w:rFonts w:ascii="Arial" w:hAnsi="Arial" w:cs="Arial"/>
          <w:color w:val="000000" w:themeColor="text1"/>
          <w:sz w:val="22"/>
          <w:szCs w:val="22"/>
          <w:lang w:val="es-ES_tradnl"/>
        </w:rPr>
        <w:t>»</w:t>
      </w:r>
      <w:r w:rsidRPr="005A5A85">
        <w:rPr>
          <w:rFonts w:ascii="Arial" w:hAnsi="Arial" w:cs="Arial"/>
          <w:color w:val="000000"/>
          <w:sz w:val="22"/>
          <w:szCs w:val="22"/>
        </w:rPr>
        <w:t xml:space="preserve"> </w:t>
      </w:r>
    </w:p>
    <w:p w14:paraId="4BB9EF5A" w14:textId="77777777" w:rsidR="00DC66BE" w:rsidRDefault="00DC66BE" w:rsidP="00DC66BE">
      <w:pPr>
        <w:pStyle w:val="Prrafodelista"/>
        <w:tabs>
          <w:tab w:val="left" w:pos="0"/>
          <w:tab w:val="left" w:pos="284"/>
        </w:tabs>
        <w:ind w:left="0"/>
        <w:jc w:val="both"/>
        <w:rPr>
          <w:rFonts w:ascii="Arial" w:eastAsia="Calibri" w:hAnsi="Arial" w:cs="Arial"/>
          <w:b/>
          <w:color w:val="000000" w:themeColor="text1"/>
          <w:sz w:val="22"/>
          <w:lang w:val="es-ES_tradnl"/>
        </w:rPr>
      </w:pPr>
    </w:p>
    <w:p w14:paraId="124D2DCA" w14:textId="59F29E90"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411769F5" w14:textId="442ED9A0" w:rsidR="00DC66BE" w:rsidRDefault="00DC66BE" w:rsidP="00D21BE0">
      <w:pPr>
        <w:spacing w:after="120" w:line="276" w:lineRule="auto"/>
        <w:jc w:val="both"/>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 xml:space="preserve">del Decreto 4170 de 2011, la Agencia Nacional de Contratación Pública – Colombia Compra Eficiente </w:t>
      </w:r>
      <w:r w:rsidRPr="00162BC5">
        <w:rPr>
          <w:rFonts w:ascii="Arial" w:hAnsi="Arial" w:cs="Arial"/>
          <w:bCs/>
          <w:sz w:val="22"/>
        </w:rPr>
        <w:lastRenderedPageBreak/>
        <w:t>resuelve las consultas sobre los asuntos de su competencia, esto es, sobre las temáticas de la contratación estatal y compras públicas relacionadas en los artículos citados</w:t>
      </w:r>
      <w:r>
        <w:rPr>
          <w:rFonts w:ascii="Arial" w:hAnsi="Arial" w:cs="Arial"/>
          <w:bCs/>
          <w:sz w:val="22"/>
        </w:rPr>
        <w:t>.</w:t>
      </w:r>
    </w:p>
    <w:p w14:paraId="3587BDAB" w14:textId="77777777" w:rsidR="00DC66BE" w:rsidRDefault="00DC66BE" w:rsidP="00D21BE0">
      <w:pPr>
        <w:spacing w:after="120" w:line="276" w:lineRule="auto"/>
        <w:ind w:firstLine="709"/>
        <w:jc w:val="both"/>
        <w:rPr>
          <w:rFonts w:ascii="Arial" w:hAnsi="Arial" w:cs="Arial"/>
          <w:sz w:val="22"/>
          <w:lang w:val="es-ES"/>
        </w:rPr>
      </w:pPr>
      <w:r>
        <w:rPr>
          <w:rFonts w:ascii="Arial" w:hAnsi="Arial" w:cs="Arial"/>
          <w:sz w:val="22"/>
          <w:lang w:val="es-ES"/>
        </w:rPr>
        <w:t>E</w:t>
      </w:r>
      <w:r w:rsidRPr="00162BC5">
        <w:rPr>
          <w:rFonts w:ascii="Arial" w:hAnsi="Arial" w:cs="Arial"/>
          <w:sz w:val="22"/>
          <w:lang w:val="es-ES"/>
        </w:rPr>
        <w:t xml:space="preserve">s necesario tener en cuenta que 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r>
        <w:rPr>
          <w:rFonts w:ascii="Arial" w:hAnsi="Arial" w:cs="Arial"/>
          <w:sz w:val="22"/>
          <w:lang w:val="es-ES"/>
        </w:rPr>
        <w:t xml:space="preserve"> </w:t>
      </w: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a los documentos del procedimiento contractual donde surge la inquietud</w:t>
      </w:r>
      <w:r>
        <w:rPr>
          <w:rFonts w:ascii="Arial" w:hAnsi="Arial" w:cs="Arial"/>
          <w:sz w:val="22"/>
          <w:lang w:val="es-ES"/>
        </w:rPr>
        <w:t xml:space="preserve">. </w:t>
      </w:r>
    </w:p>
    <w:p w14:paraId="54201062" w14:textId="0A4FB08A" w:rsidR="00DC66BE" w:rsidRPr="000F2312" w:rsidRDefault="00DC66BE" w:rsidP="000F2312">
      <w:pPr>
        <w:spacing w:line="276" w:lineRule="auto"/>
        <w:ind w:firstLine="708"/>
        <w:jc w:val="both"/>
        <w:rPr>
          <w:rFonts w:ascii="Arial" w:eastAsia="Calibri" w:hAnsi="Arial" w:cs="Arial"/>
          <w:color w:val="000000" w:themeColor="text1"/>
          <w:sz w:val="22"/>
          <w:lang w:val="es-ES"/>
        </w:rPr>
      </w:pPr>
      <w:r>
        <w:rPr>
          <w:rFonts w:ascii="Arial" w:hAnsi="Arial" w:cs="Arial"/>
          <w:sz w:val="22"/>
          <w:lang w:val="es-ES"/>
        </w:rPr>
        <w:t xml:space="preserve">Por lo anterior, previo concepto de sus órganos asesores, la solución de estos temas corresponde a la entidad que adelanta el procedimiento de selección y, en caso de conflicto, a las autoridades judiciales, fiscales y disciplinarias. </w:t>
      </w: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la Subdirección –dentro de los límites de sus atribuciones, esto es, haciendo abstracción del caso particular expuesto por el peticionario– resolverá la consulta conforme a las normas generales en materia de contratación estatal.</w:t>
      </w:r>
    </w:p>
    <w:p w14:paraId="207F87AE" w14:textId="2E345AAD" w:rsidR="00EF3917" w:rsidRDefault="00DC66BE" w:rsidP="00EF3917">
      <w:pPr>
        <w:spacing w:before="120" w:line="276" w:lineRule="auto"/>
        <w:ind w:firstLine="709"/>
        <w:jc w:val="both"/>
        <w:rPr>
          <w:rFonts w:ascii="Arial" w:hAnsi="Arial" w:cs="Arial"/>
          <w:sz w:val="22"/>
          <w:lang w:val="es-ES"/>
        </w:rPr>
      </w:pPr>
      <w:bookmarkStart w:id="5" w:name="_Hlk61701014"/>
      <w:bookmarkStart w:id="6" w:name="_Hlk62136649"/>
      <w:r w:rsidRPr="00A71876">
        <w:rPr>
          <w:rFonts w:ascii="Arial" w:hAnsi="Arial" w:cs="Arial"/>
          <w:sz w:val="22"/>
        </w:rPr>
        <w:t>Para responder la</w:t>
      </w:r>
      <w:r>
        <w:rPr>
          <w:rFonts w:ascii="Arial" w:hAnsi="Arial" w:cs="Arial"/>
          <w:sz w:val="22"/>
        </w:rPr>
        <w:t xml:space="preserve">s </w:t>
      </w:r>
      <w:r w:rsidRPr="00A71876">
        <w:rPr>
          <w:rFonts w:ascii="Arial" w:hAnsi="Arial" w:cs="Arial"/>
          <w:sz w:val="22"/>
        </w:rPr>
        <w:t>pregunta</w:t>
      </w:r>
      <w:r>
        <w:rPr>
          <w:rFonts w:ascii="Arial" w:hAnsi="Arial" w:cs="Arial"/>
          <w:sz w:val="22"/>
        </w:rPr>
        <w:t>s</w:t>
      </w:r>
      <w:r w:rsidRPr="00A71876">
        <w:rPr>
          <w:rFonts w:ascii="Arial" w:hAnsi="Arial" w:cs="Arial"/>
          <w:sz w:val="22"/>
        </w:rPr>
        <w:t xml:space="preserve"> </w:t>
      </w:r>
      <w:r>
        <w:rPr>
          <w:rFonts w:ascii="Arial" w:hAnsi="Arial" w:cs="Arial"/>
          <w:sz w:val="22"/>
        </w:rPr>
        <w:t xml:space="preserve">planteadas, se analizarán los siguientes temas que aclaran los aspectos generales de las inquietudes del peticionario y después se dará respuesta concreta a las dos preguntas, con base en el análisis expuesto. Los temas son: i) </w:t>
      </w:r>
      <w:r w:rsidR="000D7E56">
        <w:rPr>
          <w:rFonts w:ascii="Arial" w:eastAsia="Calibri" w:hAnsi="Arial" w:cs="Arial"/>
          <w:color w:val="000000"/>
          <w:sz w:val="22"/>
          <w:lang w:eastAsia="en-GB"/>
        </w:rPr>
        <w:t>los d</w:t>
      </w:r>
      <w:r w:rsidRPr="000A74A5">
        <w:rPr>
          <w:rFonts w:ascii="Arial" w:eastAsia="Calibri" w:hAnsi="Arial" w:cs="Arial"/>
          <w:color w:val="000000"/>
          <w:sz w:val="22"/>
          <w:lang w:eastAsia="en-GB"/>
        </w:rPr>
        <w:t xml:space="preserve">ocumentos tipo de </w:t>
      </w:r>
      <w:r w:rsidRPr="004251AA">
        <w:rPr>
          <w:rFonts w:ascii="Arial" w:hAnsi="Arial" w:cs="Arial"/>
          <w:sz w:val="22"/>
        </w:rPr>
        <w:t>licitación pública para obra de infraestructura de agua potable y saneamiento básico;</w:t>
      </w:r>
      <w:r w:rsidRPr="000A74A5">
        <w:rPr>
          <w:rFonts w:ascii="Arial" w:hAnsi="Arial" w:cs="Arial"/>
          <w:sz w:val="22"/>
        </w:rPr>
        <w:t xml:space="preserve"> </w:t>
      </w:r>
      <w:r>
        <w:rPr>
          <w:rFonts w:ascii="Arial" w:hAnsi="Arial" w:cs="Arial"/>
          <w:sz w:val="22"/>
        </w:rPr>
        <w:t>ii)</w:t>
      </w:r>
      <w:r w:rsidR="009409E5">
        <w:rPr>
          <w:rFonts w:ascii="Arial" w:hAnsi="Arial" w:cs="Arial"/>
          <w:sz w:val="22"/>
        </w:rPr>
        <w:t xml:space="preserve"> </w:t>
      </w:r>
      <w:r w:rsidR="009409E5" w:rsidRPr="009409E5">
        <w:rPr>
          <w:rFonts w:ascii="Arial" w:hAnsi="Arial" w:cs="Arial"/>
          <w:sz w:val="22"/>
        </w:rPr>
        <w:t>generalidades sobre la declaratoria desierta de la licitación pública de obra amparado por los Documentos Tipo, y ii</w:t>
      </w:r>
      <w:r w:rsidR="009409E5">
        <w:rPr>
          <w:rFonts w:ascii="Arial" w:hAnsi="Arial" w:cs="Arial"/>
          <w:sz w:val="22"/>
        </w:rPr>
        <w:t>i</w:t>
      </w:r>
      <w:r w:rsidR="009409E5" w:rsidRPr="009409E5">
        <w:rPr>
          <w:rFonts w:ascii="Arial" w:hAnsi="Arial" w:cs="Arial"/>
          <w:sz w:val="22"/>
        </w:rPr>
        <w:t>) las reglas del proceso de selección abreviada de menor cuantía.</w:t>
      </w:r>
      <w:r w:rsidR="009409E5">
        <w:rPr>
          <w:rFonts w:ascii="Arial" w:hAnsi="Arial" w:cs="Arial"/>
          <w:sz w:val="22"/>
        </w:rPr>
        <w:t xml:space="preserve"> </w:t>
      </w:r>
      <w:bookmarkEnd w:id="5"/>
      <w:bookmarkEnd w:id="6"/>
    </w:p>
    <w:p w14:paraId="7FF60C7C" w14:textId="214F576C" w:rsidR="00964099" w:rsidRPr="00932844" w:rsidRDefault="00964099" w:rsidP="00932844">
      <w:pPr>
        <w:spacing w:before="120" w:line="276" w:lineRule="auto"/>
        <w:ind w:firstLine="709"/>
        <w:jc w:val="both"/>
        <w:rPr>
          <w:rFonts w:ascii="Arial" w:hAnsi="Arial" w:cs="Arial"/>
          <w:color w:val="000000"/>
          <w:sz w:val="22"/>
          <w:shd w:val="clear" w:color="auto" w:fill="FFFFFF"/>
        </w:rPr>
      </w:pPr>
      <w:r w:rsidRPr="00964099">
        <w:rPr>
          <w:rFonts w:ascii="Arial" w:hAnsi="Arial" w:cs="Arial"/>
          <w:sz w:val="22"/>
          <w:lang w:val="es-ES_tradnl"/>
        </w:rPr>
        <w:lastRenderedPageBreak/>
        <w:t xml:space="preserve">La Agencia Nacional de Contratación Pública – Colombia Compra Eficiente se </w:t>
      </w:r>
      <w:r w:rsidR="00DC66BE">
        <w:rPr>
          <w:rFonts w:ascii="Arial" w:hAnsi="Arial" w:cs="Arial"/>
          <w:sz w:val="22"/>
          <w:lang w:val="es-ES_tradnl"/>
        </w:rPr>
        <w:t xml:space="preserve">ha </w:t>
      </w:r>
      <w:r w:rsidRPr="00964099">
        <w:rPr>
          <w:rFonts w:ascii="Arial" w:hAnsi="Arial" w:cs="Arial"/>
          <w:sz w:val="22"/>
          <w:lang w:val="es-ES_tradnl"/>
        </w:rPr>
        <w:t>pronunci</w:t>
      </w:r>
      <w:r w:rsidR="00DC66BE">
        <w:rPr>
          <w:rFonts w:ascii="Arial" w:hAnsi="Arial" w:cs="Arial"/>
          <w:sz w:val="22"/>
          <w:lang w:val="es-ES_tradnl"/>
        </w:rPr>
        <w:t>ado</w:t>
      </w:r>
      <w:r w:rsidRPr="00964099">
        <w:rPr>
          <w:rFonts w:ascii="Arial" w:hAnsi="Arial" w:cs="Arial"/>
          <w:sz w:val="22"/>
          <w:lang w:val="es-ES_tradnl"/>
        </w:rPr>
        <w:t xml:space="preserve"> sobre la definición y el alcance de los documentos tipo en l</w:t>
      </w:r>
      <w:r w:rsidR="00EB2A03">
        <w:rPr>
          <w:rFonts w:ascii="Arial" w:hAnsi="Arial" w:cs="Arial"/>
          <w:sz w:val="22"/>
          <w:lang w:val="es-ES_tradnl"/>
        </w:rPr>
        <w:t>o</w:t>
      </w:r>
      <w:r w:rsidRPr="00964099">
        <w:rPr>
          <w:rFonts w:ascii="Arial" w:hAnsi="Arial" w:cs="Arial"/>
          <w:sz w:val="22"/>
          <w:lang w:val="es-ES_tradnl"/>
        </w:rPr>
        <w:t xml:space="preserve">s siguientes </w:t>
      </w:r>
      <w:r w:rsidR="00EB2A03">
        <w:rPr>
          <w:rFonts w:ascii="Arial" w:hAnsi="Arial" w:cs="Arial"/>
          <w:sz w:val="22"/>
          <w:lang w:val="es-ES_tradnl"/>
        </w:rPr>
        <w:t>Conceptos</w:t>
      </w:r>
      <w:r w:rsidR="00D72CCC">
        <w:rPr>
          <w:rFonts w:ascii="Arial" w:hAnsi="Arial" w:cs="Arial"/>
          <w:sz w:val="22"/>
          <w:lang w:val="es-ES_tradnl"/>
        </w:rPr>
        <w:t>:</w:t>
      </w:r>
      <w:r w:rsidRPr="00964099">
        <w:rPr>
          <w:rFonts w:ascii="Arial" w:hAnsi="Arial" w:cs="Arial"/>
          <w:sz w:val="22"/>
          <w:lang w:val="es-ES_tradnl"/>
        </w:rPr>
        <w:t xml:space="preserve"> </w:t>
      </w:r>
      <w:r w:rsidR="00932844" w:rsidRPr="00B7578A">
        <w:rPr>
          <w:rFonts w:ascii="Arial" w:hAnsi="Arial" w:cs="Arial"/>
          <w:color w:val="000000"/>
          <w:sz w:val="22"/>
          <w:shd w:val="clear" w:color="auto" w:fill="FFFFFF"/>
        </w:rPr>
        <w:t>C-144 del 2 de marzo de 2020, C-143 del 18 de marzo de 2020</w:t>
      </w:r>
      <w:r w:rsidR="00E4255B">
        <w:rPr>
          <w:rFonts w:ascii="Arial" w:hAnsi="Arial" w:cs="Arial"/>
          <w:color w:val="000000"/>
          <w:sz w:val="22"/>
          <w:shd w:val="clear" w:color="auto" w:fill="FFFFFF"/>
        </w:rPr>
        <w:t xml:space="preserve">, </w:t>
      </w:r>
      <w:r w:rsidR="00932844" w:rsidRPr="00B7578A">
        <w:rPr>
          <w:rFonts w:ascii="Arial" w:hAnsi="Arial" w:cs="Arial"/>
          <w:color w:val="000000"/>
          <w:sz w:val="22"/>
          <w:shd w:val="clear" w:color="auto" w:fill="FFFFFF"/>
        </w:rPr>
        <w:t>C-286 del 26 de mayo de 2020, C-450 del 3 de agosto de 2020, C-643 del 26 de octubre de 2020,</w:t>
      </w:r>
      <w:r w:rsidR="00932844" w:rsidRPr="00B7578A">
        <w:rPr>
          <w:rFonts w:ascii="Arial" w:hAnsi="Arial" w:cs="Arial"/>
          <w:sz w:val="22"/>
        </w:rPr>
        <w:t xml:space="preserve"> C</w:t>
      </w:r>
      <w:r w:rsidR="00932844">
        <w:rPr>
          <w:rFonts w:ascii="Arial" w:hAnsi="Arial" w:cs="Arial"/>
          <w:sz w:val="22"/>
        </w:rPr>
        <w:t>-</w:t>
      </w:r>
      <w:r w:rsidR="00932844" w:rsidRPr="00B7578A">
        <w:rPr>
          <w:rFonts w:ascii="Arial" w:hAnsi="Arial" w:cs="Arial"/>
          <w:sz w:val="22"/>
        </w:rPr>
        <w:t>773 del 14 de enero de 2021, C-789 del 19 de enero de 2021,</w:t>
      </w:r>
      <w:r w:rsidR="00932844" w:rsidRPr="00B7578A">
        <w:rPr>
          <w:rFonts w:ascii="Arial" w:hAnsi="Arial" w:cs="Arial"/>
          <w:color w:val="000000"/>
          <w:sz w:val="22"/>
          <w:shd w:val="clear" w:color="auto" w:fill="FFFFFF"/>
        </w:rPr>
        <w:t xml:space="preserve"> C-064 del 8 de marzo de 2021</w:t>
      </w:r>
      <w:r w:rsidR="00E4255B">
        <w:rPr>
          <w:rFonts w:ascii="Arial" w:hAnsi="Arial" w:cs="Arial"/>
          <w:color w:val="000000"/>
          <w:sz w:val="22"/>
          <w:shd w:val="clear" w:color="auto" w:fill="FFFFFF"/>
        </w:rPr>
        <w:t>,</w:t>
      </w:r>
      <w:r w:rsidR="00932844" w:rsidRPr="00B7578A">
        <w:rPr>
          <w:rFonts w:ascii="Arial" w:hAnsi="Arial" w:cs="Arial"/>
          <w:color w:val="000000"/>
          <w:sz w:val="22"/>
          <w:shd w:val="clear" w:color="auto" w:fill="FFFFFF"/>
        </w:rPr>
        <w:t xml:space="preserve"> C-157 del 13 de abril del 2021</w:t>
      </w:r>
      <w:r w:rsidR="00E4255B">
        <w:rPr>
          <w:rFonts w:ascii="Arial" w:hAnsi="Arial" w:cs="Arial"/>
          <w:color w:val="000000"/>
          <w:sz w:val="22"/>
          <w:shd w:val="clear" w:color="auto" w:fill="FFFFFF"/>
        </w:rPr>
        <w:t xml:space="preserve"> y C-244 del 4 de mayo de 2021</w:t>
      </w:r>
      <w:r w:rsidRPr="00964099">
        <w:rPr>
          <w:rFonts w:ascii="Arial" w:hAnsi="Arial" w:cs="Arial"/>
          <w:sz w:val="22"/>
          <w:lang w:val="es-ES_tradnl"/>
        </w:rPr>
        <w:t>.</w:t>
      </w:r>
      <w:r w:rsidRPr="00964099">
        <w:rPr>
          <w:rFonts w:ascii="Arial" w:eastAsiaTheme="minorHAnsi" w:hAnsi="Arial" w:cs="Arial"/>
          <w:sz w:val="22"/>
          <w:szCs w:val="22"/>
          <w:lang w:eastAsia="en-US"/>
        </w:rPr>
        <w:t xml:space="preserve"> </w:t>
      </w:r>
      <w:r w:rsidR="009409E5">
        <w:rPr>
          <w:rFonts w:ascii="Arial" w:eastAsiaTheme="minorHAnsi" w:hAnsi="Arial" w:cs="Arial"/>
          <w:sz w:val="22"/>
          <w:szCs w:val="22"/>
          <w:lang w:eastAsia="en-US"/>
        </w:rPr>
        <w:t xml:space="preserve">Respecto de la declaratoria de desierta de los procesos de licitación de obra pública </w:t>
      </w:r>
      <w:r w:rsidR="000D7E56">
        <w:rPr>
          <w:rFonts w:ascii="Arial" w:eastAsiaTheme="minorHAnsi" w:hAnsi="Arial" w:cs="Arial"/>
          <w:sz w:val="22"/>
          <w:szCs w:val="22"/>
          <w:lang w:eastAsia="en-US"/>
        </w:rPr>
        <w:t xml:space="preserve">de infraestructura de transporte </w:t>
      </w:r>
      <w:r w:rsidR="009409E5">
        <w:rPr>
          <w:rFonts w:ascii="Arial" w:eastAsiaTheme="minorHAnsi" w:hAnsi="Arial" w:cs="Arial"/>
          <w:sz w:val="22"/>
          <w:szCs w:val="22"/>
          <w:lang w:eastAsia="en-US"/>
        </w:rPr>
        <w:t xml:space="preserve">que aplican los Documentos Tipo se pronunció en los conceptos </w:t>
      </w:r>
      <w:r w:rsidR="009409E5" w:rsidRPr="009409E5">
        <w:rPr>
          <w:rFonts w:ascii="Arial" w:eastAsiaTheme="minorHAnsi" w:hAnsi="Arial" w:cs="Arial"/>
          <w:sz w:val="22"/>
          <w:szCs w:val="22"/>
          <w:lang w:eastAsia="en-US"/>
        </w:rPr>
        <w:t>No. 4201913000004723 del 26 de agosto de 2019,</w:t>
      </w:r>
      <w:r w:rsidR="009409E5">
        <w:rPr>
          <w:rFonts w:ascii="Arial" w:eastAsiaTheme="minorHAnsi" w:hAnsi="Arial" w:cs="Arial"/>
          <w:sz w:val="22"/>
          <w:szCs w:val="22"/>
          <w:lang w:eastAsia="en-US"/>
        </w:rPr>
        <w:t xml:space="preserve"> </w:t>
      </w:r>
      <w:r w:rsidR="009409E5" w:rsidRPr="009409E5">
        <w:rPr>
          <w:rFonts w:ascii="Arial" w:eastAsiaTheme="minorHAnsi" w:hAnsi="Arial" w:cs="Arial"/>
          <w:sz w:val="22"/>
          <w:szCs w:val="22"/>
          <w:lang w:eastAsia="en-US"/>
        </w:rPr>
        <w:t>No. 4201912000005865 del 26 de septiembre de 2019</w:t>
      </w:r>
      <w:r w:rsidR="009409E5">
        <w:rPr>
          <w:rFonts w:ascii="Arial" w:eastAsiaTheme="minorHAnsi" w:hAnsi="Arial" w:cs="Arial"/>
          <w:sz w:val="22"/>
          <w:szCs w:val="22"/>
          <w:lang w:eastAsia="en-US"/>
        </w:rPr>
        <w:t xml:space="preserve"> y </w:t>
      </w:r>
      <w:r w:rsidR="009409E5" w:rsidRPr="009409E5">
        <w:rPr>
          <w:rFonts w:ascii="Arial" w:eastAsiaTheme="minorHAnsi" w:hAnsi="Arial" w:cs="Arial"/>
          <w:sz w:val="22"/>
          <w:szCs w:val="22"/>
          <w:lang w:eastAsia="en-US"/>
        </w:rPr>
        <w:t>No. 2201913000009536 del 2</w:t>
      </w:r>
      <w:r w:rsidR="009409E5">
        <w:rPr>
          <w:rFonts w:ascii="Arial" w:eastAsiaTheme="minorHAnsi" w:hAnsi="Arial" w:cs="Arial"/>
          <w:sz w:val="22"/>
          <w:szCs w:val="22"/>
          <w:lang w:eastAsia="en-US"/>
        </w:rPr>
        <w:t>3</w:t>
      </w:r>
      <w:r w:rsidR="009409E5" w:rsidRPr="009409E5">
        <w:rPr>
          <w:rFonts w:ascii="Arial" w:eastAsiaTheme="minorHAnsi" w:hAnsi="Arial" w:cs="Arial"/>
          <w:sz w:val="22"/>
          <w:szCs w:val="22"/>
          <w:lang w:eastAsia="en-US"/>
        </w:rPr>
        <w:t xml:space="preserve"> de </w:t>
      </w:r>
      <w:r w:rsidR="009409E5">
        <w:rPr>
          <w:rFonts w:ascii="Arial" w:eastAsiaTheme="minorHAnsi" w:hAnsi="Arial" w:cs="Arial"/>
          <w:sz w:val="22"/>
          <w:szCs w:val="22"/>
          <w:lang w:eastAsia="en-US"/>
        </w:rPr>
        <w:t>diciembre</w:t>
      </w:r>
      <w:r w:rsidR="009409E5" w:rsidRPr="009409E5">
        <w:rPr>
          <w:rFonts w:ascii="Arial" w:eastAsiaTheme="minorHAnsi" w:hAnsi="Arial" w:cs="Arial"/>
          <w:sz w:val="22"/>
          <w:szCs w:val="22"/>
          <w:lang w:eastAsia="en-US"/>
        </w:rPr>
        <w:t xml:space="preserve"> de 2019</w:t>
      </w:r>
      <w:r w:rsidR="009409E5">
        <w:rPr>
          <w:rFonts w:ascii="Arial" w:eastAsiaTheme="minorHAnsi" w:hAnsi="Arial" w:cs="Arial"/>
          <w:sz w:val="22"/>
          <w:szCs w:val="22"/>
          <w:lang w:eastAsia="en-US"/>
        </w:rPr>
        <w:t xml:space="preserve">. </w:t>
      </w:r>
      <w:r w:rsidRPr="00964099">
        <w:rPr>
          <w:rFonts w:ascii="Arial" w:eastAsia="Calibri" w:hAnsi="Arial" w:cs="Arial"/>
          <w:sz w:val="22"/>
        </w:rPr>
        <w:t xml:space="preserve">Las tesis desarrolladas en estos conceptos se reiteran a continuación </w:t>
      </w:r>
      <w:r w:rsidRPr="00964099">
        <w:rPr>
          <w:rFonts w:ascii="Arial" w:hAnsi="Arial" w:cs="Arial"/>
          <w:bCs/>
          <w:color w:val="000000" w:themeColor="text1"/>
          <w:sz w:val="22"/>
          <w:lang w:val="es-MX"/>
        </w:rPr>
        <w:t>y se complementa</w:t>
      </w:r>
      <w:r w:rsidR="009409E5">
        <w:rPr>
          <w:rFonts w:ascii="Arial" w:hAnsi="Arial" w:cs="Arial"/>
          <w:bCs/>
          <w:color w:val="000000" w:themeColor="text1"/>
          <w:sz w:val="22"/>
          <w:lang w:val="es-MX"/>
        </w:rPr>
        <w:t>n</w:t>
      </w:r>
      <w:r w:rsidRPr="00964099">
        <w:rPr>
          <w:rFonts w:ascii="Arial" w:hAnsi="Arial" w:cs="Arial"/>
          <w:bCs/>
          <w:color w:val="000000" w:themeColor="text1"/>
          <w:sz w:val="22"/>
          <w:lang w:val="es-MX"/>
        </w:rPr>
        <w:t xml:space="preserve"> en lo pertinente. </w:t>
      </w:r>
    </w:p>
    <w:p w14:paraId="2427DFC4" w14:textId="338F37A8" w:rsidR="004427AC" w:rsidRPr="00E23980" w:rsidRDefault="004427AC" w:rsidP="000E5F9B">
      <w:pPr>
        <w:tabs>
          <w:tab w:val="left" w:pos="0"/>
        </w:tabs>
        <w:spacing w:line="276" w:lineRule="auto"/>
        <w:jc w:val="both"/>
        <w:rPr>
          <w:rFonts w:ascii="Arial" w:eastAsia="Calibri" w:hAnsi="Arial" w:cs="Arial"/>
          <w:b/>
          <w:color w:val="000000" w:themeColor="text1"/>
          <w:sz w:val="22"/>
          <w:lang w:val="es-ES_tradnl"/>
        </w:rPr>
      </w:pPr>
    </w:p>
    <w:p w14:paraId="4AF8ABA3" w14:textId="1E5D7CA1" w:rsidR="00DC66BE" w:rsidRPr="00ED72CC" w:rsidRDefault="00DC66BE" w:rsidP="00DC66BE">
      <w:pPr>
        <w:spacing w:line="276" w:lineRule="auto"/>
        <w:jc w:val="both"/>
        <w:rPr>
          <w:rFonts w:ascii="Arial" w:eastAsia="Calibri" w:hAnsi="Arial" w:cs="Arial"/>
          <w:b/>
          <w:bCs/>
          <w:color w:val="000000"/>
          <w:sz w:val="22"/>
          <w:lang w:eastAsia="en-GB"/>
        </w:rPr>
      </w:pPr>
      <w:r w:rsidRPr="00ED72CC">
        <w:rPr>
          <w:rFonts w:ascii="Arial" w:eastAsia="Calibri" w:hAnsi="Arial" w:cs="Arial"/>
          <w:b/>
          <w:bCs/>
          <w:color w:val="000000"/>
          <w:sz w:val="22"/>
          <w:lang w:eastAsia="en-GB"/>
        </w:rPr>
        <w:t>2.1. Documentos tipo de licitación pública para obra</w:t>
      </w:r>
      <w:r w:rsidR="00E704BA">
        <w:rPr>
          <w:rFonts w:ascii="Arial" w:eastAsia="Calibri" w:hAnsi="Arial" w:cs="Arial"/>
          <w:b/>
          <w:bCs/>
          <w:color w:val="000000"/>
          <w:sz w:val="22"/>
          <w:lang w:eastAsia="en-GB"/>
        </w:rPr>
        <w:t>s</w:t>
      </w:r>
      <w:r w:rsidRPr="00ED72CC">
        <w:rPr>
          <w:rFonts w:ascii="Arial" w:eastAsia="Calibri" w:hAnsi="Arial" w:cs="Arial"/>
          <w:b/>
          <w:bCs/>
          <w:color w:val="000000"/>
          <w:sz w:val="22"/>
          <w:lang w:eastAsia="en-GB"/>
        </w:rPr>
        <w:t xml:space="preserve"> de infraestructura de agua potable y saneamiento básico</w:t>
      </w:r>
    </w:p>
    <w:p w14:paraId="40DD6408" w14:textId="77777777" w:rsidR="00DC66BE" w:rsidRPr="00ED72CC" w:rsidRDefault="00DC66BE" w:rsidP="00DC66BE">
      <w:pPr>
        <w:spacing w:line="276" w:lineRule="auto"/>
        <w:jc w:val="both"/>
        <w:rPr>
          <w:rFonts w:ascii="Arial" w:eastAsia="Calibri" w:hAnsi="Arial" w:cs="Arial"/>
          <w:b/>
          <w:bCs/>
          <w:color w:val="000000" w:themeColor="text1"/>
          <w:sz w:val="22"/>
        </w:rPr>
      </w:pPr>
    </w:p>
    <w:p w14:paraId="08535C41" w14:textId="29667EB5" w:rsidR="00DC66BE" w:rsidRPr="00ED72CC" w:rsidRDefault="00DC66BE" w:rsidP="00DC66BE">
      <w:pPr>
        <w:spacing w:after="120" w:line="276" w:lineRule="auto"/>
        <w:ind w:right="51"/>
        <w:jc w:val="both"/>
        <w:rPr>
          <w:rFonts w:ascii="Arial" w:eastAsia="Calibri" w:hAnsi="Arial" w:cs="Arial"/>
          <w:sz w:val="22"/>
        </w:rPr>
      </w:pPr>
      <w:r w:rsidRPr="003C589D">
        <w:rPr>
          <w:rFonts w:ascii="Arial" w:eastAsia="Calibri" w:hAnsi="Arial" w:cs="Arial"/>
          <w:sz w:val="22"/>
        </w:rPr>
        <w:t xml:space="preserve">La Agencia Nacional de Contratación Pública – Colombia Compra Eficiente, con fundamento en el artículo 1 de la Ley 2022 de 2020, expidió las Resoluciones No. 248 y 249 del 01 de diciembre de 2020, «Por la cual se adoptan los documentos tipo para los procesos de licitación pública para obras de infraestructura de agua potable y saneamiento básico» y «Por la cual se adoptan los documentos tipo para los procesos de licitación pública para obras de infraestructura de agua potable y saneamiento básico en la modalidad de llave en mano». De acuerdo con la mesa de trabajo virtual realizada el 26 de noviembre de 2020 por esta Agencia con </w:t>
      </w:r>
      <w:r w:rsidRPr="003C589D">
        <w:rPr>
          <w:rFonts w:ascii="Arial" w:eastAsia="Calibri" w:hAnsi="Arial" w:cs="Arial"/>
          <w:color w:val="000000"/>
          <w:sz w:val="22"/>
          <w:shd w:val="clear" w:color="auto" w:fill="FFFFFF"/>
          <w:lang w:val="es-ES"/>
        </w:rPr>
        <w:t>el Ministerio de Vivienda, Ciudad y Territorio,</w:t>
      </w:r>
      <w:r w:rsidRPr="003C589D">
        <w:rPr>
          <w:rFonts w:ascii="Arial" w:eastAsia="Calibri" w:hAnsi="Arial" w:cs="Arial"/>
          <w:sz w:val="22"/>
        </w:rPr>
        <w:t xml:space="preserve"> </w:t>
      </w:r>
      <w:r w:rsidR="000D7E56">
        <w:rPr>
          <w:rFonts w:ascii="Arial" w:eastAsia="Calibri" w:hAnsi="Arial" w:cs="Arial"/>
          <w:sz w:val="22"/>
        </w:rPr>
        <w:t xml:space="preserve">entidad especializada en la materia, </w:t>
      </w:r>
      <w:r w:rsidRPr="003C589D">
        <w:rPr>
          <w:rFonts w:ascii="Arial" w:eastAsia="Calibri" w:hAnsi="Arial" w:cs="Arial"/>
          <w:sz w:val="22"/>
        </w:rPr>
        <w:t xml:space="preserve">se decidió que la fecha de implementación de estos documentos tipo sería a partir del 11 de diciembre de 2021, esto es, son obligatorios a partir de esa fecha. </w:t>
      </w:r>
    </w:p>
    <w:p w14:paraId="0106D8D3" w14:textId="0DD2BEE7" w:rsidR="00DC66BE" w:rsidRPr="00ED72CC" w:rsidRDefault="00905845" w:rsidP="00DC66BE">
      <w:pPr>
        <w:spacing w:before="120" w:line="276" w:lineRule="auto"/>
        <w:ind w:firstLine="708"/>
        <w:jc w:val="both"/>
        <w:rPr>
          <w:rFonts w:ascii="Arial" w:eastAsia="Calibri" w:hAnsi="Arial" w:cs="Arial"/>
          <w:sz w:val="22"/>
        </w:rPr>
      </w:pPr>
      <w:r>
        <w:rPr>
          <w:rFonts w:ascii="Arial" w:eastAsia="Calibri" w:hAnsi="Arial" w:cs="Arial"/>
          <w:sz w:val="22"/>
        </w:rPr>
        <w:t>De conformidad con la Ley 2022 de 2020, l</w:t>
      </w:r>
      <w:r w:rsidR="00DC66BE" w:rsidRPr="00ED72CC">
        <w:rPr>
          <w:rFonts w:ascii="Arial" w:eastAsia="Calibri" w:hAnsi="Arial" w:cs="Arial"/>
          <w:sz w:val="22"/>
        </w:rPr>
        <w:t xml:space="preserve">os documentos tipo deben contener los requisitos habilitantes, los factores técnicos, económicos y otros factores de escogencia, así como aquellos requisitos que, previa justificación, representen buenas prácticas contractuales que procuren el adecuado desarrollo de los principios que rigen la contratación pública. Por ello, para adoptar los documentos tipo es necesario un estudio detallado de cada una de las exigencias que deben quedar plasmadas en los mismos, especialmente, cuando </w:t>
      </w:r>
      <w:r>
        <w:rPr>
          <w:rFonts w:ascii="Arial" w:eastAsia="Calibri" w:hAnsi="Arial" w:cs="Arial"/>
          <w:sz w:val="22"/>
        </w:rPr>
        <w:t>su expedición</w:t>
      </w:r>
      <w:r w:rsidR="00DC66BE" w:rsidRPr="00ED72CC">
        <w:rPr>
          <w:rFonts w:ascii="Arial" w:eastAsia="Calibri" w:hAnsi="Arial" w:cs="Arial"/>
          <w:sz w:val="22"/>
        </w:rPr>
        <w:t xml:space="preserve"> implica un trabajo que pretende implementar las mejores prácticas en la contratación estatal.</w:t>
      </w:r>
    </w:p>
    <w:p w14:paraId="7EB8B465" w14:textId="7974E990" w:rsidR="00DC66BE" w:rsidRPr="00ED72CC" w:rsidRDefault="00DC66BE" w:rsidP="00DC66BE">
      <w:pPr>
        <w:spacing w:before="120" w:line="276" w:lineRule="auto"/>
        <w:ind w:firstLine="708"/>
        <w:jc w:val="both"/>
        <w:rPr>
          <w:rFonts w:ascii="Arial" w:eastAsia="Calibri" w:hAnsi="Arial" w:cs="Arial"/>
          <w:sz w:val="22"/>
        </w:rPr>
      </w:pPr>
      <w:r w:rsidRPr="00ED72CC">
        <w:rPr>
          <w:rFonts w:ascii="Arial" w:eastAsia="Calibri" w:hAnsi="Arial" w:cs="Arial"/>
          <w:sz w:val="22"/>
        </w:rPr>
        <w:t xml:space="preserve">Además, por disposición expresa de la Ley 2022 de 2020, los «Documentos tipo» adoptados por la Agencia Nacional de Contratación Pública son de obligatorio cumplimiento por todas las entidades públicas, cuyo régimen de contratación </w:t>
      </w:r>
      <w:r w:rsidR="00905845">
        <w:rPr>
          <w:rFonts w:ascii="Arial" w:eastAsia="Calibri" w:hAnsi="Arial" w:cs="Arial"/>
          <w:sz w:val="22"/>
        </w:rPr>
        <w:t>sea el</w:t>
      </w:r>
      <w:r w:rsidRPr="00ED72CC">
        <w:rPr>
          <w:rFonts w:ascii="Arial" w:eastAsia="Calibri" w:hAnsi="Arial" w:cs="Arial"/>
          <w:sz w:val="22"/>
        </w:rPr>
        <w:t xml:space="preserve"> Estatuto General de la Contratación de la Administración Pública ‒EGCAP‒. Esta obligatoriedad implica que las autoridades deben implementar los documentos tipo que encuentren dentro de su ámbito de aplicación, sin perjuicio de su «inalterabilidad». Esto significa que las entidades públicas </w:t>
      </w:r>
      <w:r w:rsidRPr="00ED72CC">
        <w:rPr>
          <w:rFonts w:ascii="Arial" w:eastAsia="Calibri" w:hAnsi="Arial" w:cs="Arial"/>
          <w:sz w:val="22"/>
        </w:rPr>
        <w:lastRenderedPageBreak/>
        <w:t>carecen de la facultad de modificarlos, con excepción de aquellos aspectos que pueden diligenciar, es decir, las descripciones que están incluidas entre corchetes y resaltadas en gris</w:t>
      </w:r>
      <w:r w:rsidR="00905845">
        <w:rPr>
          <w:rFonts w:ascii="Arial" w:eastAsia="Calibri" w:hAnsi="Arial" w:cs="Arial"/>
          <w:sz w:val="22"/>
        </w:rPr>
        <w:t xml:space="preserve"> o donde lo permita cada documento tipo.</w:t>
      </w:r>
    </w:p>
    <w:p w14:paraId="0EED8B2B" w14:textId="18FD36CB" w:rsidR="00DC66BE" w:rsidRPr="00ED72CC" w:rsidRDefault="00AB73C6" w:rsidP="00DC66BE">
      <w:pPr>
        <w:spacing w:before="120" w:line="276" w:lineRule="auto"/>
        <w:ind w:firstLine="709"/>
        <w:jc w:val="both"/>
        <w:rPr>
          <w:rFonts w:ascii="Arial" w:eastAsia="Calibri" w:hAnsi="Arial" w:cs="Arial"/>
          <w:sz w:val="22"/>
        </w:rPr>
      </w:pPr>
      <w:r>
        <w:rPr>
          <w:rFonts w:ascii="Arial" w:eastAsia="Calibri" w:hAnsi="Arial" w:cs="Arial"/>
          <w:sz w:val="22"/>
        </w:rPr>
        <w:t>Dichos</w:t>
      </w:r>
      <w:r w:rsidR="00DC66BE" w:rsidRPr="00ED72CC">
        <w:rPr>
          <w:rFonts w:ascii="Arial" w:eastAsia="Calibri" w:hAnsi="Arial" w:cs="Arial"/>
          <w:sz w:val="22"/>
        </w:rPr>
        <w:t xml:space="preserve"> documentos son instrumentos que buscan desarrollar medidas de fortalecimiento, eficiencia y transparencia para realizar y aprovechar las grandes inversiones en materia de infraestructura de agua potable y saneamiento básico que se realizan o se realizarán en el país. En este sentido, estos documentos tipo tienen por objetivo una tipología contractual específica: la obra pública para los proyectos de infraestructura de agua potable y saneamiento básico bajo la modalidad de licitación pública. </w:t>
      </w:r>
    </w:p>
    <w:p w14:paraId="4A00B508" w14:textId="53F6652C" w:rsidR="00DC66BE" w:rsidRPr="00ED72CC" w:rsidRDefault="00DC66BE" w:rsidP="00DC66BE">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ED72CC">
        <w:rPr>
          <w:rFonts w:ascii="Arial" w:hAnsi="Arial" w:cs="Arial"/>
          <w:color w:val="000000"/>
          <w:sz w:val="22"/>
          <w:szCs w:val="22"/>
          <w:bdr w:val="none" w:sz="0" w:space="0" w:color="auto" w:frame="1"/>
        </w:rPr>
        <w:t>Para tales efectos, entiéndase por contrato de obra pública aquellos que celebren las entidades estatales para la construcción, mantenimiento, instalación y, en general, para la realización de cualquier otro trabajo material sobre bienes inmuebles, cualquiera que sea la modalidad de ejecución</w:t>
      </w:r>
      <w:r w:rsidR="00B61331">
        <w:rPr>
          <w:rFonts w:ascii="Arial" w:hAnsi="Arial" w:cs="Arial"/>
          <w:color w:val="000000"/>
          <w:sz w:val="22"/>
          <w:szCs w:val="22"/>
          <w:bdr w:val="none" w:sz="0" w:space="0" w:color="auto" w:frame="1"/>
        </w:rPr>
        <w:t xml:space="preserve"> y pago</w:t>
      </w:r>
      <w:r w:rsidRPr="00ED72CC">
        <w:rPr>
          <w:rStyle w:val="Refdenotaalpie"/>
          <w:rFonts w:ascii="Arial" w:hAnsi="Arial" w:cs="Arial"/>
          <w:color w:val="000000"/>
          <w:sz w:val="22"/>
          <w:szCs w:val="22"/>
          <w:bdr w:val="none" w:sz="0" w:space="0" w:color="auto" w:frame="1"/>
        </w:rPr>
        <w:footnoteReference w:id="3"/>
      </w:r>
      <w:r w:rsidRPr="00ED72CC">
        <w:rPr>
          <w:rFonts w:ascii="Arial" w:hAnsi="Arial" w:cs="Arial"/>
          <w:color w:val="000000"/>
          <w:sz w:val="22"/>
          <w:szCs w:val="22"/>
          <w:bdr w:val="none" w:sz="0" w:space="0" w:color="auto" w:frame="1"/>
        </w:rPr>
        <w:t xml:space="preserve">. </w:t>
      </w:r>
    </w:p>
    <w:p w14:paraId="182DC787" w14:textId="0AAFE348" w:rsidR="00DC66BE" w:rsidRPr="00ED72CC" w:rsidRDefault="00DC66BE" w:rsidP="00DC66BE">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ED72CC">
        <w:rPr>
          <w:rFonts w:ascii="Arial" w:hAnsi="Arial" w:cs="Arial"/>
          <w:color w:val="000000"/>
          <w:sz w:val="22"/>
          <w:szCs w:val="22"/>
          <w:bdr w:val="none" w:sz="0" w:space="0" w:color="auto" w:frame="1"/>
        </w:rPr>
        <w:t>Por tal motivo, según lo establece el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B61331">
        <w:rPr>
          <w:rFonts w:ascii="Arial" w:hAnsi="Arial" w:cs="Arial"/>
          <w:color w:val="000000"/>
          <w:sz w:val="22"/>
          <w:szCs w:val="22"/>
          <w:bdr w:val="none" w:sz="0" w:space="0" w:color="auto" w:frame="1"/>
        </w:rPr>
        <w:t>, siempre que el proyecto a ejecutar se enmarque en las actividades establecidas en la Matriz 1 – Experiencia de estos documentos tipo.</w:t>
      </w:r>
      <w:r w:rsidRPr="00ED72CC">
        <w:rPr>
          <w:rFonts w:ascii="Arial" w:hAnsi="Arial" w:cs="Arial"/>
          <w:color w:val="000000"/>
          <w:sz w:val="22"/>
          <w:szCs w:val="22"/>
          <w:bdr w:val="none" w:sz="0" w:space="0" w:color="auto" w:frame="1"/>
        </w:rPr>
        <w:t> </w:t>
      </w:r>
      <w:r w:rsidR="00B61331">
        <w:rPr>
          <w:rFonts w:ascii="Arial" w:hAnsi="Arial" w:cs="Arial"/>
          <w:color w:val="000000"/>
          <w:sz w:val="22"/>
          <w:szCs w:val="22"/>
          <w:bdr w:val="none" w:sz="0" w:space="0" w:color="auto" w:frame="1"/>
        </w:rPr>
        <w:t xml:space="preserve">De esta manera, como se indicó, </w:t>
      </w:r>
      <w:r w:rsidR="00B61331">
        <w:rPr>
          <w:rFonts w:ascii="Arial" w:eastAsia="Calibri" w:hAnsi="Arial" w:cs="Arial"/>
          <w:sz w:val="22"/>
          <w:szCs w:val="22"/>
          <w:lang w:val="es-MX" w:eastAsia="en-US"/>
        </w:rPr>
        <w:t>l</w:t>
      </w:r>
      <w:r w:rsidRPr="00ED72CC">
        <w:rPr>
          <w:rFonts w:ascii="Arial" w:eastAsia="Calibri" w:hAnsi="Arial" w:cs="Arial"/>
          <w:sz w:val="22"/>
          <w:szCs w:val="22"/>
          <w:lang w:val="es-MX" w:eastAsia="en-US"/>
        </w:rPr>
        <w:t xml:space="preserve">a </w:t>
      </w:r>
      <w:r w:rsidR="00B61331">
        <w:rPr>
          <w:rFonts w:ascii="Arial" w:eastAsia="Calibri" w:hAnsi="Arial" w:cs="Arial"/>
          <w:sz w:val="22"/>
          <w:szCs w:val="22"/>
          <w:lang w:val="es-MX" w:eastAsia="en-US"/>
        </w:rPr>
        <w:t>aplicación</w:t>
      </w:r>
      <w:r w:rsidRPr="00ED72CC">
        <w:rPr>
          <w:rFonts w:ascii="Arial" w:eastAsia="Calibri" w:hAnsi="Arial" w:cs="Arial"/>
          <w:sz w:val="22"/>
          <w:szCs w:val="22"/>
          <w:lang w:val="es-MX" w:eastAsia="en-US"/>
        </w:rPr>
        <w:t xml:space="preserve"> de estos documentos es obligatoria en los procedimientos de selección cuyo aviso de convocatoria se publique a partir del 11 de diciembre de 2020, como lo establece el artículo 6</w:t>
      </w:r>
      <w:r w:rsidR="00B61331">
        <w:rPr>
          <w:rFonts w:ascii="Arial" w:eastAsia="Calibri" w:hAnsi="Arial" w:cs="Arial"/>
          <w:sz w:val="22"/>
          <w:szCs w:val="22"/>
          <w:lang w:val="es-MX" w:eastAsia="en-US"/>
        </w:rPr>
        <w:t xml:space="preserve"> de las Resoluciones 248 y 249 de 2020</w:t>
      </w:r>
      <w:r w:rsidRPr="00ED72CC">
        <w:rPr>
          <w:rFonts w:ascii="Arial" w:eastAsia="Calibri" w:hAnsi="Arial" w:cs="Arial"/>
          <w:sz w:val="22"/>
          <w:szCs w:val="22"/>
          <w:lang w:val="es-MX" w:eastAsia="en-US"/>
        </w:rPr>
        <w:t>.</w:t>
      </w:r>
    </w:p>
    <w:p w14:paraId="2F4C54CB" w14:textId="77777777" w:rsidR="00DC66BE" w:rsidRPr="000A74A5" w:rsidRDefault="00DC66BE" w:rsidP="00DC66BE">
      <w:pPr>
        <w:pStyle w:val="xmsonospacing"/>
        <w:spacing w:before="120" w:beforeAutospacing="0" w:after="0" w:afterAutospacing="0" w:line="276" w:lineRule="auto"/>
        <w:ind w:firstLine="708"/>
        <w:jc w:val="both"/>
        <w:rPr>
          <w:rFonts w:ascii="Arial" w:eastAsia="Calibri" w:hAnsi="Arial" w:cs="Arial"/>
          <w:sz w:val="22"/>
          <w:szCs w:val="22"/>
          <w:lang w:val="es-MX" w:eastAsia="en-US"/>
        </w:rPr>
      </w:pPr>
      <w:r w:rsidRPr="00ED72CC">
        <w:rPr>
          <w:rFonts w:ascii="Arial" w:hAnsi="Arial" w:cs="Arial"/>
          <w:color w:val="000000"/>
          <w:sz w:val="22"/>
          <w:szCs w:val="22"/>
          <w:bdr w:val="none" w:sz="0" w:space="0" w:color="auto" w:frame="1"/>
        </w:rPr>
        <w:t>Además, de conformidad con el artículo 3, los documentos tipo son inalterables por parte de las autoridades administrativas, salvo en aquellos aspectos en los que está permitido su diligenciamiento. En esta medida, las entidades estatales no pueden incluir o modificar en los documentos del proceso las condiciones habilitantes, los factores técnicos y económicos de escogencia y los sistemas de ponderación distintos a los señalados en los documentos tipo.</w:t>
      </w:r>
      <w:r w:rsidRPr="00ED72CC">
        <w:rPr>
          <w:rFonts w:ascii="Arial" w:eastAsia="Calibri" w:hAnsi="Arial" w:cs="Arial"/>
          <w:sz w:val="22"/>
          <w:szCs w:val="22"/>
          <w:lang w:val="es-MX" w:eastAsia="en-US"/>
        </w:rPr>
        <w:t xml:space="preserve"> </w:t>
      </w:r>
    </w:p>
    <w:p w14:paraId="3C8810C8" w14:textId="77777777" w:rsidR="00DC66BE" w:rsidRPr="00DC66BE" w:rsidRDefault="00DC66BE">
      <w:pPr>
        <w:spacing w:line="276" w:lineRule="auto"/>
        <w:jc w:val="both"/>
        <w:rPr>
          <w:rFonts w:ascii="Arial" w:eastAsia="Calibri" w:hAnsi="Arial" w:cs="Arial"/>
          <w:b/>
          <w:bCs/>
          <w:color w:val="000000"/>
          <w:sz w:val="22"/>
          <w:lang w:val="es-MX" w:eastAsia="en-GB"/>
        </w:rPr>
      </w:pPr>
    </w:p>
    <w:p w14:paraId="34AB1358" w14:textId="77777777" w:rsidR="00F35D37" w:rsidRPr="009B02F0" w:rsidRDefault="00E5756C" w:rsidP="00D21BE0">
      <w:pPr>
        <w:pStyle w:val="Ttulo1"/>
        <w:tabs>
          <w:tab w:val="left" w:pos="728"/>
        </w:tabs>
        <w:spacing w:line="278" w:lineRule="auto"/>
        <w:ind w:left="0" w:right="42" w:firstLine="0"/>
        <w:jc w:val="both"/>
        <w:rPr>
          <w:rFonts w:eastAsia="Calibri"/>
          <w:color w:val="000000"/>
          <w:szCs w:val="24"/>
          <w:lang w:val="es-CO" w:eastAsia="en-GB"/>
        </w:rPr>
      </w:pPr>
      <w:r w:rsidRPr="00E23980">
        <w:rPr>
          <w:rFonts w:eastAsia="Calibri"/>
          <w:color w:val="000000"/>
          <w:lang w:val="es-ES_tradnl" w:eastAsia="en-GB"/>
        </w:rPr>
        <w:t>2</w:t>
      </w:r>
      <w:r w:rsidRPr="009B02F0">
        <w:rPr>
          <w:rFonts w:eastAsia="Calibri"/>
          <w:color w:val="000000"/>
          <w:szCs w:val="24"/>
          <w:lang w:val="es-CO" w:eastAsia="en-GB"/>
        </w:rPr>
        <w:t xml:space="preserve">.2. </w:t>
      </w:r>
      <w:r w:rsidR="00F35D37" w:rsidRPr="009B02F0">
        <w:rPr>
          <w:rFonts w:eastAsia="Calibri"/>
          <w:color w:val="000000"/>
          <w:szCs w:val="24"/>
          <w:lang w:val="es-CO" w:eastAsia="en-GB"/>
        </w:rPr>
        <w:t>Generalidades sobre la declaratoria desierta de la licitación pública de obra amparado por los Documentos Tipo</w:t>
      </w:r>
    </w:p>
    <w:p w14:paraId="2211D756" w14:textId="77777777" w:rsidR="00F35D37" w:rsidRPr="00F35D37" w:rsidRDefault="00F35D37" w:rsidP="00D21BE0">
      <w:pPr>
        <w:widowControl w:val="0"/>
        <w:autoSpaceDE w:val="0"/>
        <w:autoSpaceDN w:val="0"/>
        <w:jc w:val="both"/>
        <w:rPr>
          <w:rFonts w:ascii="Arial" w:eastAsia="Arial" w:hAnsi="Arial" w:cs="Arial"/>
          <w:b/>
          <w:sz w:val="19"/>
          <w:szCs w:val="22"/>
          <w:lang w:val="es-ES" w:eastAsia="en-US"/>
        </w:rPr>
      </w:pPr>
    </w:p>
    <w:p w14:paraId="291592D7" w14:textId="41670DC2" w:rsidR="009469C2" w:rsidRDefault="00F35D37" w:rsidP="00AD5CBF">
      <w:pPr>
        <w:pStyle w:val="xmsonospacing"/>
        <w:spacing w:before="120" w:beforeAutospacing="0" w:after="0" w:afterAutospacing="0" w:line="276" w:lineRule="auto"/>
        <w:jc w:val="both"/>
        <w:rPr>
          <w:rFonts w:ascii="Arial" w:hAnsi="Arial" w:cs="Arial"/>
          <w:color w:val="000000"/>
          <w:sz w:val="22"/>
          <w:szCs w:val="22"/>
          <w:bdr w:val="none" w:sz="0" w:space="0" w:color="auto" w:frame="1"/>
        </w:rPr>
      </w:pPr>
      <w:r w:rsidRPr="00F35D37">
        <w:rPr>
          <w:rFonts w:ascii="Arial" w:hAnsi="Arial" w:cs="Arial"/>
          <w:color w:val="000000"/>
          <w:sz w:val="22"/>
          <w:szCs w:val="22"/>
          <w:bdr w:val="none" w:sz="0" w:space="0" w:color="auto" w:frame="1"/>
        </w:rPr>
        <w:t>El</w:t>
      </w:r>
      <w:r w:rsidR="00533332">
        <w:rPr>
          <w:rFonts w:ascii="Arial" w:hAnsi="Arial" w:cs="Arial"/>
          <w:color w:val="000000"/>
          <w:sz w:val="22"/>
          <w:szCs w:val="22"/>
          <w:bdr w:val="none" w:sz="0" w:space="0" w:color="auto" w:frame="1"/>
        </w:rPr>
        <w:t xml:space="preserve"> literal d) del numeral 2 del artículo 2 de la ley 1150 de 2007 establece como una de las causales </w:t>
      </w:r>
      <w:r w:rsidR="009469C2">
        <w:rPr>
          <w:rFonts w:ascii="Arial" w:hAnsi="Arial" w:cs="Arial"/>
          <w:color w:val="000000"/>
          <w:sz w:val="22"/>
          <w:szCs w:val="22"/>
          <w:bdr w:val="none" w:sz="0" w:space="0" w:color="auto" w:frame="1"/>
        </w:rPr>
        <w:t xml:space="preserve">para acudir a la modalidad de selección abreviada del contratista, </w:t>
      </w:r>
      <w:r w:rsidR="00E529E8">
        <w:rPr>
          <w:rFonts w:ascii="Arial" w:hAnsi="Arial" w:cs="Arial"/>
          <w:color w:val="000000"/>
          <w:sz w:val="22"/>
          <w:szCs w:val="22"/>
          <w:bdr w:val="none" w:sz="0" w:space="0" w:color="auto" w:frame="1"/>
        </w:rPr>
        <w:t xml:space="preserve">en los casos de </w:t>
      </w:r>
      <w:r w:rsidR="009469C2">
        <w:rPr>
          <w:rFonts w:ascii="Arial" w:hAnsi="Arial" w:cs="Arial"/>
          <w:color w:val="000000"/>
          <w:sz w:val="22"/>
          <w:szCs w:val="22"/>
          <w:bdr w:val="none" w:sz="0" w:space="0" w:color="auto" w:frame="1"/>
        </w:rPr>
        <w:t>la declaratoria previa de desierta de una licitación pública</w:t>
      </w:r>
      <w:r w:rsidR="00E529E8">
        <w:rPr>
          <w:rFonts w:ascii="Arial" w:hAnsi="Arial" w:cs="Arial"/>
          <w:color w:val="000000"/>
          <w:sz w:val="22"/>
          <w:szCs w:val="22"/>
          <w:bdr w:val="none" w:sz="0" w:space="0" w:color="auto" w:frame="1"/>
        </w:rPr>
        <w:t>,</w:t>
      </w:r>
      <w:r w:rsidR="009469C2">
        <w:rPr>
          <w:rFonts w:ascii="Arial" w:hAnsi="Arial" w:cs="Arial"/>
          <w:color w:val="000000"/>
          <w:sz w:val="22"/>
          <w:szCs w:val="22"/>
          <w:bdr w:val="none" w:sz="0" w:space="0" w:color="auto" w:frame="1"/>
        </w:rPr>
        <w:t xml:space="preserve"> en los siguientes términos: </w:t>
      </w:r>
      <w:r w:rsidR="009469C2" w:rsidRPr="003C589D">
        <w:rPr>
          <w:rFonts w:ascii="Arial" w:eastAsia="Calibri" w:hAnsi="Arial" w:cs="Arial"/>
          <w:sz w:val="22"/>
        </w:rPr>
        <w:t>«</w:t>
      </w:r>
      <w:r w:rsidR="009469C2" w:rsidRPr="009469C2">
        <w:rPr>
          <w:rFonts w:ascii="Arial" w:eastAsia="Calibri" w:hAnsi="Arial" w:cs="Arial"/>
          <w:sz w:val="22"/>
        </w:rPr>
        <w:t xml:space="preserve">La </w:t>
      </w:r>
      <w:r w:rsidR="009469C2" w:rsidRPr="009469C2">
        <w:rPr>
          <w:rFonts w:ascii="Arial" w:eastAsia="Calibri" w:hAnsi="Arial" w:cs="Arial"/>
          <w:sz w:val="22"/>
        </w:rPr>
        <w:lastRenderedPageBreak/>
        <w:t>contratación cuyo proceso de licitación pública haya sido declarado desierto; en cuyo caso la entidad deberá iniciar la selección abreviada dentro de los cuatro meses siguientes a la declaración de desierta del proceso inicial</w:t>
      </w:r>
      <w:r w:rsidR="009469C2" w:rsidRPr="00ED72CC">
        <w:rPr>
          <w:rFonts w:ascii="Arial" w:eastAsia="Calibri" w:hAnsi="Arial" w:cs="Arial"/>
          <w:sz w:val="22"/>
        </w:rPr>
        <w:t>»</w:t>
      </w:r>
      <w:r w:rsidR="009469C2">
        <w:rPr>
          <w:rFonts w:ascii="Arial" w:eastAsia="Calibri" w:hAnsi="Arial" w:cs="Arial"/>
          <w:sz w:val="22"/>
        </w:rPr>
        <w:t>.</w:t>
      </w:r>
    </w:p>
    <w:p w14:paraId="55994F49" w14:textId="18AEF695" w:rsidR="009469C2" w:rsidRDefault="009469C2" w:rsidP="00AD5CBF">
      <w:pPr>
        <w:pStyle w:val="xmsonospacing"/>
        <w:spacing w:before="120" w:beforeAutospacing="0" w:after="0" w:afterAutospacing="0" w:line="276" w:lineRule="auto"/>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ab/>
        <w:t xml:space="preserve">A su turno, el artículo 2.2.1.2.1.2.22 del Decreto 1082 de 2015, reglamentario de la referida causal, precisa lo siguiente: </w:t>
      </w:r>
      <w:r w:rsidRPr="003C589D">
        <w:rPr>
          <w:rFonts w:ascii="Arial" w:eastAsia="Calibri" w:hAnsi="Arial" w:cs="Arial"/>
          <w:sz w:val="22"/>
        </w:rPr>
        <w:t>«</w:t>
      </w:r>
      <w:r w:rsidRPr="009469C2">
        <w:rPr>
          <w:rFonts w:ascii="Arial" w:hAnsi="Arial" w:cs="Arial"/>
          <w:color w:val="000000"/>
          <w:sz w:val="22"/>
          <w:szCs w:val="22"/>
          <w:bdr w:val="none" w:sz="0" w:space="0" w:color="auto" w:frame="1"/>
        </w:rPr>
        <w:t>Contratación cuyo proceso de licitación pública haya sido declarado desierto. La Entidad Estatal que haya declarado desierta una licitación puede adelantar el Proceso de Contratación correspondiente aplicando las normas del proceso de selección abreviada de menor cuantía, para lo cual debe prescindir de: a) recibir manifestaciones de interés, y b) realizar el sorteo de oferentes. En este caso, la Entidad Estatal debe expedir el acto de apertura del Proceso de Contratación dentro de los cuatro (4) meses siguientes a la declaratoria de desierta</w:t>
      </w:r>
      <w:r w:rsidRPr="00ED72CC">
        <w:rPr>
          <w:rFonts w:ascii="Arial" w:eastAsia="Calibri" w:hAnsi="Arial" w:cs="Arial"/>
          <w:sz w:val="22"/>
        </w:rPr>
        <w:t>»</w:t>
      </w:r>
      <w:r w:rsidRPr="009469C2">
        <w:rPr>
          <w:rFonts w:ascii="Arial" w:hAnsi="Arial" w:cs="Arial"/>
          <w:color w:val="000000"/>
          <w:sz w:val="22"/>
          <w:szCs w:val="22"/>
          <w:bdr w:val="none" w:sz="0" w:space="0" w:color="auto" w:frame="1"/>
        </w:rPr>
        <w:t xml:space="preserve">. </w:t>
      </w:r>
      <w:r w:rsidR="00F35D37" w:rsidRPr="00F35D37">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 xml:space="preserve">Las anteriores disposiciones se aplican a todos los procesos de selección de contratistas del Estado, regidos por el Estatuto General de Contratación </w:t>
      </w:r>
      <w:r w:rsidR="00B61331">
        <w:rPr>
          <w:rFonts w:ascii="Arial" w:hAnsi="Arial" w:cs="Arial"/>
          <w:color w:val="000000"/>
          <w:sz w:val="22"/>
          <w:szCs w:val="22"/>
          <w:bdr w:val="none" w:sz="0" w:space="0" w:color="auto" w:frame="1"/>
        </w:rPr>
        <w:t xml:space="preserve">de la Administración </w:t>
      </w:r>
      <w:r>
        <w:rPr>
          <w:rFonts w:ascii="Arial" w:hAnsi="Arial" w:cs="Arial"/>
          <w:color w:val="000000"/>
          <w:sz w:val="22"/>
          <w:szCs w:val="22"/>
          <w:bdr w:val="none" w:sz="0" w:space="0" w:color="auto" w:frame="1"/>
        </w:rPr>
        <w:t xml:space="preserve">Pública, cuando les resulte aplicable, sea que estén obligados a utilizar los documentos tipo o no. </w:t>
      </w:r>
    </w:p>
    <w:p w14:paraId="6AC2B3E1" w14:textId="6BF21014" w:rsidR="008F1EC1" w:rsidRDefault="008F1EC1" w:rsidP="009469C2">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Posteriormente, </w:t>
      </w:r>
      <w:r w:rsidR="00EB03AB">
        <w:rPr>
          <w:rFonts w:ascii="Arial" w:hAnsi="Arial" w:cs="Arial"/>
          <w:color w:val="000000"/>
          <w:sz w:val="22"/>
          <w:szCs w:val="22"/>
          <w:bdr w:val="none" w:sz="0" w:space="0" w:color="auto" w:frame="1"/>
        </w:rPr>
        <w:t xml:space="preserve">con ocasión de la expedición de la Ley 1882 de 2018 que otorgó al Gobierno Nacional la facultad de expedir documentos tipo </w:t>
      </w:r>
      <w:r w:rsidR="00EB03AB" w:rsidRPr="00EB03AB">
        <w:rPr>
          <w:rFonts w:ascii="Arial" w:hAnsi="Arial" w:cs="Arial"/>
          <w:color w:val="000000"/>
          <w:sz w:val="22"/>
          <w:szCs w:val="22"/>
          <w:bdr w:val="none" w:sz="0" w:space="0" w:color="auto" w:frame="1"/>
        </w:rPr>
        <w:t>para los pliegos de condiciones de los procesos de selección de obras públicas, interventoría para las obras públicas, interventoría para consultoría de estudios y diseños para obras públicas y consultoría en ingeniería para obras</w:t>
      </w:r>
      <w:r w:rsidR="00EB03A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se expidió el</w:t>
      </w:r>
      <w:r w:rsidRPr="008F1EC1">
        <w:rPr>
          <w:rFonts w:ascii="Arial" w:hAnsi="Arial" w:cs="Arial"/>
          <w:color w:val="000000"/>
          <w:sz w:val="22"/>
          <w:szCs w:val="22"/>
          <w:bdr w:val="none" w:sz="0" w:space="0" w:color="auto" w:frame="1"/>
        </w:rPr>
        <w:t xml:space="preserve"> Decreto 342 de 2019</w:t>
      </w:r>
      <w:r w:rsidR="00E529E8">
        <w:rPr>
          <w:rFonts w:ascii="Arial" w:hAnsi="Arial" w:cs="Arial"/>
          <w:color w:val="000000"/>
          <w:sz w:val="22"/>
          <w:szCs w:val="22"/>
          <w:bdr w:val="none" w:sz="0" w:space="0" w:color="auto" w:frame="1"/>
        </w:rPr>
        <w:t>, cuyo contenido se explicará más adelante. En relación con este decreto cabe aclarar previamente</w:t>
      </w:r>
      <w:r w:rsidRPr="008F1EC1">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 xml:space="preserve">que </w:t>
      </w:r>
      <w:r w:rsidRPr="008F1EC1">
        <w:rPr>
          <w:rFonts w:ascii="Arial" w:hAnsi="Arial" w:cs="Arial"/>
          <w:color w:val="000000"/>
          <w:sz w:val="22"/>
          <w:szCs w:val="22"/>
          <w:bdr w:val="none" w:sz="0" w:space="0" w:color="auto" w:frame="1"/>
        </w:rPr>
        <w:t xml:space="preserve">no modificó el artículo 2.2.1.2.1.2.22 del Decreto 1082 de 2015, por tanto, independientemente de que un proceso de contratación </w:t>
      </w:r>
      <w:r w:rsidR="00EB03AB">
        <w:rPr>
          <w:rFonts w:ascii="Arial" w:hAnsi="Arial" w:cs="Arial"/>
          <w:color w:val="000000"/>
          <w:sz w:val="22"/>
          <w:szCs w:val="22"/>
          <w:bdr w:val="none" w:sz="0" w:space="0" w:color="auto" w:frame="1"/>
        </w:rPr>
        <w:t xml:space="preserve">haya </w:t>
      </w:r>
      <w:r w:rsidRPr="008F1EC1">
        <w:rPr>
          <w:rFonts w:ascii="Arial" w:hAnsi="Arial" w:cs="Arial"/>
          <w:color w:val="000000"/>
          <w:sz w:val="22"/>
          <w:szCs w:val="22"/>
          <w:bdr w:val="none" w:sz="0" w:space="0" w:color="auto" w:frame="1"/>
        </w:rPr>
        <w:t>est</w:t>
      </w:r>
      <w:r w:rsidR="00EB03AB">
        <w:rPr>
          <w:rFonts w:ascii="Arial" w:hAnsi="Arial" w:cs="Arial"/>
          <w:color w:val="000000"/>
          <w:sz w:val="22"/>
          <w:szCs w:val="22"/>
          <w:bdr w:val="none" w:sz="0" w:space="0" w:color="auto" w:frame="1"/>
        </w:rPr>
        <w:t>ado</w:t>
      </w:r>
      <w:r w:rsidRPr="008F1EC1">
        <w:rPr>
          <w:rFonts w:ascii="Arial" w:hAnsi="Arial" w:cs="Arial"/>
          <w:color w:val="000000"/>
          <w:sz w:val="22"/>
          <w:szCs w:val="22"/>
          <w:bdr w:val="none" w:sz="0" w:space="0" w:color="auto" w:frame="1"/>
        </w:rPr>
        <w:t xml:space="preserve"> o no sujeto a lo establecido </w:t>
      </w:r>
      <w:r w:rsidR="00EB03AB">
        <w:rPr>
          <w:rFonts w:ascii="Arial" w:hAnsi="Arial" w:cs="Arial"/>
          <w:color w:val="000000"/>
          <w:sz w:val="22"/>
          <w:szCs w:val="22"/>
          <w:bdr w:val="none" w:sz="0" w:space="0" w:color="auto" w:frame="1"/>
        </w:rPr>
        <w:t>por el</w:t>
      </w:r>
      <w:r w:rsidRPr="008F1EC1">
        <w:rPr>
          <w:rFonts w:ascii="Arial" w:hAnsi="Arial" w:cs="Arial"/>
          <w:color w:val="000000"/>
          <w:sz w:val="22"/>
          <w:szCs w:val="22"/>
          <w:bdr w:val="none" w:sz="0" w:space="0" w:color="auto" w:frame="1"/>
        </w:rPr>
        <w:t xml:space="preserve"> Decreto 342 de 2019, ante la declaratoria de desierta del proceso de contratación se deb</w:t>
      </w:r>
      <w:r w:rsidR="00EB03AB">
        <w:rPr>
          <w:rFonts w:ascii="Arial" w:hAnsi="Arial" w:cs="Arial"/>
          <w:color w:val="000000"/>
          <w:sz w:val="22"/>
          <w:szCs w:val="22"/>
          <w:bdr w:val="none" w:sz="0" w:space="0" w:color="auto" w:frame="1"/>
        </w:rPr>
        <w:t>ía</w:t>
      </w:r>
      <w:r w:rsidR="00E529E8">
        <w:rPr>
          <w:rFonts w:ascii="Arial" w:hAnsi="Arial" w:cs="Arial"/>
          <w:color w:val="000000"/>
          <w:sz w:val="22"/>
          <w:szCs w:val="22"/>
          <w:bdr w:val="none" w:sz="0" w:space="0" w:color="auto" w:frame="1"/>
        </w:rPr>
        <w:t>n</w:t>
      </w:r>
      <w:r w:rsidRPr="008F1EC1">
        <w:rPr>
          <w:rFonts w:ascii="Arial" w:hAnsi="Arial" w:cs="Arial"/>
          <w:color w:val="000000"/>
          <w:sz w:val="22"/>
          <w:szCs w:val="22"/>
          <w:bdr w:val="none" w:sz="0" w:space="0" w:color="auto" w:frame="1"/>
        </w:rPr>
        <w:t xml:space="preserve"> aplicar</w:t>
      </w:r>
      <w:r w:rsidR="00EB03AB">
        <w:rPr>
          <w:rFonts w:ascii="Arial" w:hAnsi="Arial" w:cs="Arial"/>
          <w:color w:val="000000"/>
          <w:sz w:val="22"/>
          <w:szCs w:val="22"/>
          <w:bdr w:val="none" w:sz="0" w:space="0" w:color="auto" w:frame="1"/>
        </w:rPr>
        <w:t xml:space="preserve"> las reglas de la selección abreviada de menor cuantía, en los términos del referido artículo del Decreto 1082 de 2015. </w:t>
      </w:r>
    </w:p>
    <w:p w14:paraId="3CF827A8" w14:textId="573AABAA" w:rsidR="000F2812" w:rsidRPr="007950F3" w:rsidRDefault="008B766B" w:rsidP="000F2812">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sz w:val="22"/>
          <w:lang w:val="es-ES_tradnl"/>
        </w:rPr>
        <w:t>De otra parte, también</w:t>
      </w:r>
      <w:r w:rsidR="000F2812" w:rsidRPr="007950F3">
        <w:rPr>
          <w:rFonts w:ascii="Arial" w:eastAsia="Calibri" w:hAnsi="Arial" w:cs="Arial"/>
          <w:sz w:val="22"/>
          <w:lang w:val="es-ES_tradnl"/>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r>
        <w:rPr>
          <w:rFonts w:ascii="Arial" w:eastAsia="Calibri" w:hAnsi="Arial" w:cs="Arial"/>
          <w:sz w:val="22"/>
          <w:lang w:val="es-ES_tradnl"/>
        </w:rPr>
        <w:t>A su turno, el Gobierno Nacional expidió</w:t>
      </w:r>
      <w:r w:rsidR="000F2812" w:rsidRPr="007950F3">
        <w:rPr>
          <w:rFonts w:ascii="Arial" w:eastAsia="Calibri" w:hAnsi="Arial" w:cs="Arial"/>
          <w:sz w:val="22"/>
          <w:lang w:val="es-ES_tradnl"/>
        </w:rPr>
        <w:t xml:space="preserve"> el Decreto 594 del 25 de abril de 2020</w:t>
      </w:r>
      <w:r>
        <w:rPr>
          <w:rFonts w:ascii="Arial" w:eastAsia="Calibri" w:hAnsi="Arial" w:cs="Arial"/>
          <w:sz w:val="22"/>
          <w:lang w:val="es-ES_tradnl"/>
        </w:rPr>
        <w:t xml:space="preserve"> para</w:t>
      </w:r>
      <w:r w:rsidR="000F2812" w:rsidRPr="007950F3">
        <w:rPr>
          <w:rFonts w:ascii="Arial" w:eastAsia="Calibri" w:hAnsi="Arial" w:cs="Arial"/>
          <w:sz w:val="22"/>
          <w:lang w:val="es-ES_tradnl"/>
        </w:rPr>
        <w:t xml:space="preserve"> los documentos tipo para los contratos de obra pública</w:t>
      </w:r>
      <w:r w:rsidR="000F2812" w:rsidRPr="007950F3" w:rsidDel="00A434AB">
        <w:rPr>
          <w:rFonts w:ascii="Arial" w:eastAsia="Calibri" w:hAnsi="Arial" w:cs="Arial"/>
          <w:sz w:val="22"/>
          <w:lang w:val="es-ES_tradnl"/>
        </w:rPr>
        <w:t xml:space="preserve"> </w:t>
      </w:r>
      <w:r w:rsidR="000F2812" w:rsidRPr="007950F3">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7" w:name="_Hlk37841850"/>
      <w:r w:rsidR="000F2812" w:rsidRPr="007950F3">
        <w:rPr>
          <w:rFonts w:ascii="Arial" w:eastAsia="Calibri" w:hAnsi="Arial" w:cs="Arial"/>
          <w:sz w:val="22"/>
          <w:lang w:val="es-ES_tradnl"/>
        </w:rPr>
        <w:t>– Colombia Compra Eficiente,</w:t>
      </w:r>
      <w:bookmarkEnd w:id="7"/>
      <w:r w:rsidR="000F2812">
        <w:rPr>
          <w:rFonts w:ascii="Arial" w:eastAsia="Calibri" w:hAnsi="Arial" w:cs="Arial"/>
          <w:sz w:val="22"/>
          <w:lang w:val="es-ES_tradnl"/>
        </w:rPr>
        <w:t xml:space="preserve"> </w:t>
      </w:r>
      <w:r w:rsidR="000F2812" w:rsidRPr="007950F3">
        <w:rPr>
          <w:rFonts w:ascii="Arial" w:eastAsia="Calibri" w:hAnsi="Arial" w:cs="Arial"/>
          <w:sz w:val="22"/>
          <w:lang w:val="es-ES_tradnl"/>
        </w:rPr>
        <w:t>medi</w:t>
      </w:r>
      <w:r w:rsidR="000F2812">
        <w:rPr>
          <w:rFonts w:ascii="Arial" w:eastAsia="Calibri" w:hAnsi="Arial" w:cs="Arial"/>
          <w:sz w:val="22"/>
          <w:lang w:val="es-ES_tradnl"/>
        </w:rPr>
        <w:t>ante</w:t>
      </w:r>
      <w:r w:rsidR="000F2812" w:rsidRPr="007950F3">
        <w:rPr>
          <w:rFonts w:ascii="Arial" w:eastAsia="Calibri" w:hAnsi="Arial" w:cs="Arial"/>
          <w:sz w:val="22"/>
          <w:lang w:val="es-ES_tradnl"/>
        </w:rPr>
        <w:t xml:space="preserve"> la Resolución 1798 de 1 de abril de 2019 –derogada por la Resolución 045 del 14 de febrero de 2020–, la Resolución 044 del 14 de febrero de 2020 y la Resolución 094 del 21 de mayo de 2020.</w:t>
      </w:r>
    </w:p>
    <w:p w14:paraId="43C90EBF" w14:textId="69F898DC" w:rsidR="000F2812" w:rsidRDefault="00EB03AB" w:rsidP="000F2812">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Ahora bien, </w:t>
      </w:r>
      <w:r w:rsidR="009469C2">
        <w:rPr>
          <w:rFonts w:ascii="Arial" w:hAnsi="Arial" w:cs="Arial"/>
          <w:color w:val="000000"/>
          <w:sz w:val="22"/>
          <w:szCs w:val="22"/>
          <w:bdr w:val="none" w:sz="0" w:space="0" w:color="auto" w:frame="1"/>
        </w:rPr>
        <w:t xml:space="preserve">el </w:t>
      </w:r>
      <w:r w:rsidR="00F35D37" w:rsidRPr="00F35D37">
        <w:rPr>
          <w:rFonts w:ascii="Arial" w:hAnsi="Arial" w:cs="Arial"/>
          <w:color w:val="000000"/>
          <w:sz w:val="22"/>
          <w:szCs w:val="22"/>
          <w:bdr w:val="none" w:sz="0" w:space="0" w:color="auto" w:frame="1"/>
        </w:rPr>
        <w:t>artículo 2.2.1.2.6.1.6</w:t>
      </w:r>
      <w:r>
        <w:rPr>
          <w:rFonts w:ascii="Arial" w:hAnsi="Arial" w:cs="Arial"/>
          <w:color w:val="000000"/>
          <w:sz w:val="22"/>
          <w:szCs w:val="22"/>
          <w:bdr w:val="none" w:sz="0" w:space="0" w:color="auto" w:frame="1"/>
        </w:rPr>
        <w:t xml:space="preserve"> que fue adicionado por el</w:t>
      </w:r>
      <w:r w:rsidR="00F35D37" w:rsidRPr="00F35D37">
        <w:rPr>
          <w:rFonts w:ascii="Arial" w:hAnsi="Arial" w:cs="Arial"/>
          <w:color w:val="000000"/>
          <w:sz w:val="22"/>
          <w:szCs w:val="22"/>
          <w:bdr w:val="none" w:sz="0" w:space="0" w:color="auto" w:frame="1"/>
        </w:rPr>
        <w:t xml:space="preserve"> Decreto 342 de 2019</w:t>
      </w:r>
      <w:r w:rsidR="008F1EC1">
        <w:rPr>
          <w:rFonts w:ascii="Arial" w:hAnsi="Arial" w:cs="Arial"/>
          <w:color w:val="000000"/>
          <w:sz w:val="22"/>
          <w:szCs w:val="22"/>
          <w:bdr w:val="none" w:sz="0" w:space="0" w:color="auto" w:frame="1"/>
        </w:rPr>
        <w:t xml:space="preserve">, </w:t>
      </w:r>
      <w:r w:rsidR="00A1461F">
        <w:rPr>
          <w:rFonts w:ascii="Arial" w:hAnsi="Arial" w:cs="Arial"/>
          <w:color w:val="000000"/>
          <w:sz w:val="22"/>
          <w:szCs w:val="22"/>
          <w:bdr w:val="none" w:sz="0" w:space="0" w:color="auto" w:frame="1"/>
        </w:rPr>
        <w:t xml:space="preserve">referente a </w:t>
      </w:r>
      <w:r w:rsidR="008F1EC1">
        <w:rPr>
          <w:rFonts w:ascii="Arial" w:hAnsi="Arial" w:cs="Arial"/>
          <w:color w:val="000000"/>
          <w:sz w:val="22"/>
          <w:szCs w:val="22"/>
          <w:bdr w:val="none" w:sz="0" w:space="0" w:color="auto" w:frame="1"/>
        </w:rPr>
        <w:t>la</w:t>
      </w:r>
      <w:r w:rsidR="00A1461F">
        <w:rPr>
          <w:rFonts w:ascii="Arial" w:hAnsi="Arial" w:cs="Arial"/>
          <w:color w:val="000000"/>
          <w:sz w:val="22"/>
          <w:szCs w:val="22"/>
          <w:bdr w:val="none" w:sz="0" w:space="0" w:color="auto" w:frame="1"/>
        </w:rPr>
        <w:t>s</w:t>
      </w:r>
      <w:r w:rsidR="008F1EC1">
        <w:rPr>
          <w:rFonts w:ascii="Arial" w:hAnsi="Arial" w:cs="Arial"/>
          <w:color w:val="000000"/>
          <w:sz w:val="22"/>
          <w:szCs w:val="22"/>
          <w:bdr w:val="none" w:sz="0" w:space="0" w:color="auto" w:frame="1"/>
        </w:rPr>
        <w:t xml:space="preserve"> licitaciones públicas de obra pública de infraestructura de transporte</w:t>
      </w:r>
      <w:r w:rsidR="009469C2">
        <w:rPr>
          <w:rFonts w:ascii="Arial" w:hAnsi="Arial" w:cs="Arial"/>
          <w:color w:val="000000"/>
          <w:sz w:val="22"/>
          <w:szCs w:val="22"/>
          <w:bdr w:val="none" w:sz="0" w:space="0" w:color="auto" w:frame="1"/>
        </w:rPr>
        <w:t>,</w:t>
      </w:r>
      <w:r>
        <w:rPr>
          <w:rFonts w:ascii="Arial" w:hAnsi="Arial" w:cs="Arial"/>
          <w:color w:val="000000"/>
          <w:sz w:val="22"/>
          <w:szCs w:val="22"/>
          <w:bdr w:val="none" w:sz="0" w:space="0" w:color="auto" w:frame="1"/>
        </w:rPr>
        <w:t xml:space="preserve"> fue modificado por el artículo 2 del Decreto 594 de 20</w:t>
      </w:r>
      <w:r w:rsidR="008B766B">
        <w:rPr>
          <w:rFonts w:ascii="Arial" w:hAnsi="Arial" w:cs="Arial"/>
          <w:color w:val="000000"/>
          <w:sz w:val="22"/>
          <w:szCs w:val="22"/>
          <w:bdr w:val="none" w:sz="0" w:space="0" w:color="auto" w:frame="1"/>
        </w:rPr>
        <w:t>20</w:t>
      </w:r>
      <w:r>
        <w:rPr>
          <w:rFonts w:ascii="Arial" w:hAnsi="Arial" w:cs="Arial"/>
          <w:color w:val="000000"/>
          <w:sz w:val="22"/>
          <w:szCs w:val="22"/>
          <w:bdr w:val="none" w:sz="0" w:space="0" w:color="auto" w:frame="1"/>
        </w:rPr>
        <w:t xml:space="preserve">, norma que </w:t>
      </w:r>
      <w:r w:rsidR="008F1EC1">
        <w:rPr>
          <w:rFonts w:ascii="Arial" w:hAnsi="Arial" w:cs="Arial"/>
          <w:color w:val="000000"/>
          <w:sz w:val="22"/>
          <w:szCs w:val="22"/>
          <w:bdr w:val="none" w:sz="0" w:space="0" w:color="auto" w:frame="1"/>
        </w:rPr>
        <w:t>señala</w:t>
      </w:r>
      <w:r w:rsidR="00F35D37" w:rsidRPr="00F35D37">
        <w:rPr>
          <w:rFonts w:ascii="Arial" w:hAnsi="Arial" w:cs="Arial"/>
          <w:color w:val="000000"/>
          <w:sz w:val="22"/>
          <w:szCs w:val="22"/>
          <w:bdr w:val="none" w:sz="0" w:space="0" w:color="auto" w:frame="1"/>
        </w:rPr>
        <w:t xml:space="preserve"> que ante la declaratoria desierta de un proceso de licitación pública de obra</w:t>
      </w:r>
      <w:r>
        <w:rPr>
          <w:rFonts w:ascii="Arial" w:hAnsi="Arial" w:cs="Arial"/>
          <w:color w:val="000000"/>
          <w:sz w:val="22"/>
          <w:szCs w:val="22"/>
          <w:bdr w:val="none" w:sz="0" w:space="0" w:color="auto" w:frame="1"/>
        </w:rPr>
        <w:t xml:space="preserve"> pública de infraestructura </w:t>
      </w:r>
      <w:r>
        <w:rPr>
          <w:rFonts w:ascii="Arial" w:hAnsi="Arial" w:cs="Arial"/>
          <w:color w:val="000000"/>
          <w:sz w:val="22"/>
          <w:szCs w:val="22"/>
          <w:bdr w:val="none" w:sz="0" w:space="0" w:color="auto" w:frame="1"/>
        </w:rPr>
        <w:lastRenderedPageBreak/>
        <w:t>de transporte</w:t>
      </w:r>
      <w:r w:rsidR="00F35D37" w:rsidRPr="00F35D37">
        <w:rPr>
          <w:rFonts w:ascii="Arial" w:hAnsi="Arial" w:cs="Arial"/>
          <w:color w:val="000000"/>
          <w:sz w:val="22"/>
          <w:szCs w:val="22"/>
          <w:bdr w:val="none" w:sz="0" w:space="0" w:color="auto" w:frame="1"/>
        </w:rPr>
        <w:t xml:space="preserve"> amparado por los Documentos Tipo, la entidad estatal que adelant</w:t>
      </w:r>
      <w:r>
        <w:rPr>
          <w:rFonts w:ascii="Arial" w:hAnsi="Arial" w:cs="Arial"/>
          <w:color w:val="000000"/>
          <w:sz w:val="22"/>
          <w:szCs w:val="22"/>
          <w:bdr w:val="none" w:sz="0" w:space="0" w:color="auto" w:frame="1"/>
        </w:rPr>
        <w:t>e</w:t>
      </w:r>
      <w:r w:rsidR="00F35D37" w:rsidRPr="00F35D37">
        <w:rPr>
          <w:rFonts w:ascii="Arial" w:hAnsi="Arial" w:cs="Arial"/>
          <w:color w:val="000000"/>
          <w:sz w:val="22"/>
          <w:szCs w:val="22"/>
          <w:bdr w:val="none" w:sz="0" w:space="0" w:color="auto" w:frame="1"/>
        </w:rPr>
        <w:t xml:space="preserve"> el proceso</w:t>
      </w:r>
      <w:r>
        <w:rPr>
          <w:rFonts w:ascii="Arial" w:hAnsi="Arial" w:cs="Arial"/>
          <w:color w:val="000000"/>
          <w:sz w:val="22"/>
          <w:szCs w:val="22"/>
          <w:bdr w:val="none" w:sz="0" w:space="0" w:color="auto" w:frame="1"/>
        </w:rPr>
        <w:t xml:space="preserve"> subsiguiente</w:t>
      </w:r>
      <w:r w:rsidR="00F35D37" w:rsidRPr="00F35D37">
        <w:rPr>
          <w:rFonts w:ascii="Arial" w:hAnsi="Arial" w:cs="Arial"/>
          <w:color w:val="000000"/>
          <w:sz w:val="22"/>
          <w:szCs w:val="22"/>
          <w:bdr w:val="none" w:sz="0" w:space="0" w:color="auto" w:frame="1"/>
        </w:rPr>
        <w:t xml:space="preserve"> de selección abreviada de menor cuantía </w:t>
      </w:r>
      <w:r w:rsidRPr="00AD5CBF">
        <w:rPr>
          <w:rFonts w:ascii="Arial" w:hAnsi="Arial" w:cs="Arial"/>
          <w:sz w:val="19"/>
          <w:szCs w:val="19"/>
        </w:rPr>
        <w:t>«</w:t>
      </w:r>
      <w:r w:rsidR="00F35D37" w:rsidRPr="00F35D37">
        <w:rPr>
          <w:rFonts w:ascii="Arial" w:hAnsi="Arial" w:cs="Arial"/>
          <w:color w:val="000000"/>
          <w:sz w:val="22"/>
          <w:szCs w:val="22"/>
          <w:bdr w:val="none" w:sz="0" w:space="0" w:color="auto" w:frame="1"/>
        </w:rPr>
        <w:t>debe</w:t>
      </w:r>
      <w:r w:rsidRPr="00EB03AB">
        <w:rPr>
          <w:rFonts w:ascii="Arial" w:hAnsi="Arial" w:cs="Arial"/>
          <w:color w:val="000000"/>
          <w:sz w:val="22"/>
          <w:szCs w:val="22"/>
          <w:bdr w:val="none" w:sz="0" w:space="0" w:color="auto" w:frame="1"/>
        </w:rPr>
        <w:t xml:space="preserve"> utilizar los Documentos Tipo para selección abreviada de menor cuantía de obra pública de infraestructura de transporte, adaptando las condiciones y requisitos a lo establecido en el ​artículo 2 de la Ley 1150 de 2007 y al artículo 2.2.1.2.1.2.22. del presente Decreto. En todo caso, al nuevo proceso de selección se le aplicará la “Matriz 1 – Experiencia” de los Documentos Tipo de licitación de obra pública de transporte</w:t>
      </w:r>
      <w:r w:rsidRPr="00AD5CBF">
        <w:rPr>
          <w:rFonts w:ascii="Arial" w:hAnsi="Arial" w:cs="Arial"/>
          <w:sz w:val="19"/>
          <w:szCs w:val="19"/>
        </w:rPr>
        <w:t>»</w:t>
      </w:r>
      <w:r w:rsidR="000F2812">
        <w:rPr>
          <w:rStyle w:val="Refdenotaalpie"/>
          <w:rFonts w:ascii="Arial" w:hAnsi="Arial" w:cs="Arial"/>
          <w:color w:val="000000"/>
          <w:sz w:val="22"/>
          <w:szCs w:val="22"/>
          <w:bdr w:val="none" w:sz="0" w:space="0" w:color="auto" w:frame="1"/>
        </w:rPr>
        <w:footnoteReference w:id="4"/>
      </w:r>
      <w:r w:rsidR="00F35D37" w:rsidRPr="00F35D37">
        <w:rPr>
          <w:rFonts w:ascii="Arial" w:hAnsi="Arial" w:cs="Arial"/>
          <w:color w:val="000000"/>
          <w:sz w:val="22"/>
          <w:szCs w:val="22"/>
          <w:bdr w:val="none" w:sz="0" w:space="0" w:color="auto" w:frame="1"/>
        </w:rPr>
        <w:t xml:space="preserve">. </w:t>
      </w:r>
    </w:p>
    <w:p w14:paraId="388A554F" w14:textId="5647D0CE" w:rsidR="008B766B" w:rsidRDefault="00E529E8" w:rsidP="008B766B">
      <w:pPr>
        <w:pStyle w:val="xmsonospacing"/>
        <w:spacing w:before="120" w:beforeAutospacing="0" w:after="0" w:afterAutospacing="0" w:line="276" w:lineRule="auto"/>
        <w:ind w:firstLine="708"/>
        <w:jc w:val="both"/>
        <w:rPr>
          <w:rFonts w:ascii="Arial" w:eastAsia="Calibri" w:hAnsi="Arial" w:cs="Arial"/>
          <w:color w:val="000000" w:themeColor="text1"/>
          <w:sz w:val="22"/>
          <w:lang w:val="es-ES_tradnl" w:eastAsia="es-ES"/>
        </w:rPr>
      </w:pPr>
      <w:r>
        <w:rPr>
          <w:rFonts w:ascii="Arial" w:hAnsi="Arial" w:cs="Arial"/>
          <w:color w:val="000000"/>
          <w:sz w:val="22"/>
          <w:szCs w:val="22"/>
          <w:bdr w:val="none" w:sz="0" w:space="0" w:color="auto" w:frame="1"/>
        </w:rPr>
        <w:t xml:space="preserve">Continuando con el desarrollo normativo, como se señaló anteriormente, </w:t>
      </w:r>
      <w:r w:rsidR="008B766B">
        <w:rPr>
          <w:rFonts w:ascii="Arial" w:hAnsi="Arial" w:cs="Arial"/>
          <w:color w:val="000000"/>
          <w:sz w:val="22"/>
          <w:szCs w:val="22"/>
          <w:bdr w:val="none" w:sz="0" w:space="0" w:color="auto" w:frame="1"/>
        </w:rPr>
        <w:t xml:space="preserve">el 22 de julio del año pasado entró en vigencia la </w:t>
      </w:r>
      <w:r w:rsidR="008B766B" w:rsidRPr="007950F3">
        <w:rPr>
          <w:rFonts w:ascii="Arial" w:eastAsia="Calibri" w:hAnsi="Arial" w:cs="Arial"/>
          <w:color w:val="000000" w:themeColor="text1"/>
          <w:sz w:val="22"/>
          <w:lang w:val="es-ES_tradnl" w:eastAsia="es-ES"/>
        </w:rPr>
        <w:t>Ley 2022 de 2020</w:t>
      </w:r>
      <w:r w:rsidR="008B766B">
        <w:rPr>
          <w:rFonts w:ascii="Arial" w:eastAsia="Calibri" w:hAnsi="Arial" w:cs="Arial"/>
          <w:color w:val="000000" w:themeColor="text1"/>
          <w:sz w:val="22"/>
          <w:lang w:val="es-ES_tradnl" w:eastAsia="es-ES"/>
        </w:rPr>
        <w:t xml:space="preserve">, norma que le otorgó la competencia de expedición </w:t>
      </w:r>
      <w:r>
        <w:rPr>
          <w:rFonts w:ascii="Arial" w:eastAsia="Calibri" w:hAnsi="Arial" w:cs="Arial"/>
          <w:color w:val="000000" w:themeColor="text1"/>
          <w:sz w:val="22"/>
          <w:lang w:val="es-ES_tradnl" w:eastAsia="es-ES"/>
        </w:rPr>
        <w:t xml:space="preserve">de </w:t>
      </w:r>
      <w:r w:rsidR="008B766B">
        <w:rPr>
          <w:rFonts w:ascii="Arial" w:eastAsia="Calibri" w:hAnsi="Arial" w:cs="Arial"/>
          <w:color w:val="000000" w:themeColor="text1"/>
          <w:sz w:val="22"/>
          <w:lang w:val="es-ES_tradnl" w:eastAsia="es-ES"/>
        </w:rPr>
        <w:t xml:space="preserve">documentos tipo </w:t>
      </w:r>
      <w:r>
        <w:rPr>
          <w:rFonts w:ascii="Arial" w:eastAsia="Calibri" w:hAnsi="Arial" w:cs="Arial"/>
          <w:color w:val="000000" w:themeColor="text1"/>
          <w:sz w:val="22"/>
          <w:lang w:val="es-ES_tradnl" w:eastAsia="es-ES"/>
        </w:rPr>
        <w:t xml:space="preserve">directamente </w:t>
      </w:r>
      <w:r w:rsidR="008B766B">
        <w:rPr>
          <w:rFonts w:ascii="Arial" w:eastAsia="Calibri" w:hAnsi="Arial" w:cs="Arial"/>
          <w:color w:val="000000" w:themeColor="text1"/>
          <w:sz w:val="22"/>
          <w:lang w:val="es-ES_tradnl" w:eastAsia="es-ES"/>
        </w:rPr>
        <w:t>a la Agencia Nacional de Contratación Pública – Colombia Compra Eficiente</w:t>
      </w:r>
      <w:r w:rsidR="008B766B" w:rsidRPr="007950F3">
        <w:rPr>
          <w:rFonts w:ascii="Arial" w:eastAsia="Calibri" w:hAnsi="Arial" w:cs="Arial"/>
          <w:color w:val="000000" w:themeColor="text1"/>
          <w:sz w:val="22"/>
          <w:lang w:val="es-ES_tradnl" w:eastAsia="es-ES"/>
        </w:rPr>
        <w:t>.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r w:rsidR="008B766B">
        <w:rPr>
          <w:rFonts w:ascii="Arial" w:eastAsia="Calibri" w:hAnsi="Arial" w:cs="Arial"/>
          <w:color w:val="000000" w:themeColor="text1"/>
          <w:sz w:val="22"/>
          <w:lang w:val="es-ES_tradnl" w:eastAsia="es-ES"/>
        </w:rPr>
        <w:t xml:space="preserve"> </w:t>
      </w:r>
      <w:r w:rsidR="008B766B" w:rsidRPr="007950F3">
        <w:rPr>
          <w:rFonts w:ascii="Arial" w:eastAsia="Calibri" w:hAnsi="Arial" w:cs="Arial"/>
          <w:color w:val="000000" w:themeColor="text1"/>
          <w:sz w:val="22"/>
          <w:lang w:val="es-ES_tradnl"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w:t>
      </w:r>
    </w:p>
    <w:p w14:paraId="0A9A8F35" w14:textId="1C2254F7" w:rsidR="008B766B" w:rsidRDefault="008B766B" w:rsidP="000F2812">
      <w:pPr>
        <w:pStyle w:val="xmsonospacing"/>
        <w:spacing w:before="120" w:beforeAutospacing="0" w:after="0" w:afterAutospacing="0" w:line="276" w:lineRule="auto"/>
        <w:ind w:firstLine="708"/>
        <w:jc w:val="both"/>
        <w:rPr>
          <w:rFonts w:ascii="Arial" w:eastAsia="Calibri" w:hAnsi="Arial" w:cs="Arial"/>
          <w:color w:val="000000" w:themeColor="text1"/>
          <w:sz w:val="22"/>
          <w:lang w:val="es-ES_tradnl" w:eastAsia="es-ES"/>
        </w:rPr>
      </w:pPr>
      <w:r>
        <w:rPr>
          <w:rFonts w:ascii="Arial" w:eastAsia="Calibri" w:hAnsi="Arial" w:cs="Arial"/>
          <w:color w:val="000000" w:themeColor="text1"/>
          <w:sz w:val="22"/>
          <w:lang w:val="es-ES_tradnl" w:eastAsia="es-ES"/>
        </w:rPr>
        <w:t xml:space="preserve">Respecto de la declaratoria de desierta de </w:t>
      </w:r>
      <w:r w:rsidR="00B60F62">
        <w:rPr>
          <w:rFonts w:ascii="Arial" w:eastAsia="Calibri" w:hAnsi="Arial" w:cs="Arial"/>
          <w:color w:val="000000" w:themeColor="text1"/>
          <w:sz w:val="22"/>
          <w:lang w:val="es-ES_tradnl" w:eastAsia="es-ES"/>
        </w:rPr>
        <w:t>una licitación de obra pública de infraestructura de transporte, el artículo 5 de la Resolución 240 de 27 de noviembre de 2020</w:t>
      </w:r>
      <w:r w:rsidR="00E529E8">
        <w:rPr>
          <w:rFonts w:ascii="Arial" w:eastAsia="Calibri" w:hAnsi="Arial" w:cs="Arial"/>
          <w:color w:val="000000" w:themeColor="text1"/>
          <w:sz w:val="22"/>
          <w:lang w:val="es-ES_tradnl" w:eastAsia="es-ES"/>
        </w:rPr>
        <w:t>,</w:t>
      </w:r>
      <w:r w:rsidR="00B60F62">
        <w:rPr>
          <w:rFonts w:ascii="Arial" w:eastAsia="Calibri" w:hAnsi="Arial" w:cs="Arial"/>
          <w:color w:val="000000" w:themeColor="text1"/>
          <w:sz w:val="22"/>
          <w:lang w:val="es-ES_tradnl" w:eastAsia="es-ES"/>
        </w:rPr>
        <w:t xml:space="preserve"> que adoptó la versión tres de estos Documentos Tipo, actualmente vigentes, </w:t>
      </w:r>
      <w:r w:rsidR="00E529E8">
        <w:rPr>
          <w:rFonts w:ascii="Arial" w:eastAsia="Calibri" w:hAnsi="Arial" w:cs="Arial"/>
          <w:color w:val="000000" w:themeColor="text1"/>
          <w:sz w:val="22"/>
          <w:lang w:val="es-ES_tradnl" w:eastAsia="es-ES"/>
        </w:rPr>
        <w:t>establece</w:t>
      </w:r>
      <w:r w:rsidR="00B60F62">
        <w:rPr>
          <w:rFonts w:ascii="Arial" w:eastAsia="Calibri" w:hAnsi="Arial" w:cs="Arial"/>
          <w:color w:val="000000" w:themeColor="text1"/>
          <w:sz w:val="22"/>
          <w:lang w:val="es-ES_tradnl" w:eastAsia="es-ES"/>
        </w:rPr>
        <w:t xml:space="preserve">: </w:t>
      </w:r>
    </w:p>
    <w:p w14:paraId="330C6D0F" w14:textId="77777777" w:rsidR="00B60F62" w:rsidRDefault="00B60F62" w:rsidP="00B60F62">
      <w:pPr>
        <w:widowControl w:val="0"/>
        <w:autoSpaceDE w:val="0"/>
        <w:autoSpaceDN w:val="0"/>
        <w:ind w:left="709" w:right="758"/>
        <w:jc w:val="both"/>
        <w:rPr>
          <w:rFonts w:ascii="Arial" w:eastAsia="Calibri" w:hAnsi="Arial" w:cs="Arial"/>
          <w:sz w:val="21"/>
          <w:szCs w:val="21"/>
        </w:rPr>
      </w:pPr>
    </w:p>
    <w:p w14:paraId="11CC98DB" w14:textId="6C22514F" w:rsidR="00B60F62" w:rsidRPr="00D21BE0" w:rsidRDefault="00B60F62" w:rsidP="00D21BE0">
      <w:pPr>
        <w:widowControl w:val="0"/>
        <w:autoSpaceDE w:val="0"/>
        <w:autoSpaceDN w:val="0"/>
        <w:ind w:left="709" w:right="758"/>
        <w:jc w:val="both"/>
        <w:rPr>
          <w:rFonts w:ascii="Arial" w:eastAsia="Calibri" w:hAnsi="Arial" w:cs="Arial"/>
          <w:sz w:val="21"/>
          <w:szCs w:val="21"/>
        </w:rPr>
      </w:pPr>
      <w:r w:rsidRPr="00D21BE0">
        <w:rPr>
          <w:rFonts w:ascii="Arial" w:eastAsia="Calibri" w:hAnsi="Arial" w:cs="Arial"/>
          <w:sz w:val="21"/>
          <w:szCs w:val="21"/>
        </w:rPr>
        <w:t xml:space="preserve">Artículo 5 - DECLARATORIA DE DESIERTA DEL PROCESO DE LICITACIÓN. Cuando se declare desierto un proceso de contratación que hubiere aplicado los Documentos Tipo de licitación pública, para el nuevo proceso de contratación la entidad estatal deberá utilizar los Documentos Tipo para selección abreviada de menor cuantía de obra pública de infraestructura de transporte, adaptando las condiciones y requisitos a lo establecido en el artículo 2 de la Ley 1150 de 2007 y al articulo 2.2.1.2.1.2.22. del Decreto 1082 de 2015, o la norma que lo modifique o sustituya. En todo caso, al nuevo proceso de selección se le aplicará la "Matriz 1 - Experiencia" de los Documentos Tipo de </w:t>
      </w:r>
      <w:r w:rsidRPr="00D21BE0">
        <w:rPr>
          <w:rFonts w:ascii="Arial" w:eastAsia="Calibri" w:hAnsi="Arial" w:cs="Arial"/>
          <w:sz w:val="21"/>
          <w:szCs w:val="21"/>
        </w:rPr>
        <w:lastRenderedPageBreak/>
        <w:t>licitación de obra pública de infraestructura de transporte</w:t>
      </w:r>
      <w:r w:rsidRPr="005570AC">
        <w:rPr>
          <w:rFonts w:ascii="Arial" w:hAnsi="Arial" w:cs="Arial"/>
          <w:color w:val="000000" w:themeColor="text1"/>
          <w:sz w:val="21"/>
          <w:szCs w:val="21"/>
          <w:lang w:val="es-ES_tradnl"/>
        </w:rPr>
        <w:t>»</w:t>
      </w:r>
      <w:r w:rsidRPr="00D21BE0">
        <w:rPr>
          <w:rFonts w:ascii="Arial" w:eastAsia="Calibri" w:hAnsi="Arial" w:cs="Arial"/>
          <w:sz w:val="21"/>
          <w:szCs w:val="21"/>
        </w:rPr>
        <w:t>.</w:t>
      </w:r>
    </w:p>
    <w:p w14:paraId="54DB3013" w14:textId="2670C2E1" w:rsidR="00B60F62" w:rsidRPr="00F35D37" w:rsidRDefault="00B60F62" w:rsidP="00B60F62">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Pr>
          <w:rFonts w:ascii="Arial" w:eastAsia="Calibri" w:hAnsi="Arial" w:cs="Arial"/>
          <w:color w:val="000000" w:themeColor="text1"/>
          <w:sz w:val="22"/>
          <w:lang w:val="es-ES_tradnl" w:eastAsia="es-ES"/>
        </w:rPr>
        <w:t>En el contexto expuesto, se tiene que la obligatoriedad de acudir al uso de Documentos Tipo,</w:t>
      </w:r>
      <w:r w:rsidR="000C362D">
        <w:rPr>
          <w:rFonts w:ascii="Arial" w:eastAsia="Calibri" w:hAnsi="Arial" w:cs="Arial"/>
          <w:color w:val="000000" w:themeColor="text1"/>
          <w:sz w:val="22"/>
          <w:lang w:val="es-ES_tradnl" w:eastAsia="es-ES"/>
        </w:rPr>
        <w:t xml:space="preserve"> cuando se declara desierta una licitación pública y se habilita el uso de  la causal de selección abreviada de menor cuantía,</w:t>
      </w:r>
      <w:r>
        <w:rPr>
          <w:rFonts w:ascii="Arial" w:eastAsia="Calibri" w:hAnsi="Arial" w:cs="Arial"/>
          <w:color w:val="000000" w:themeColor="text1"/>
          <w:sz w:val="22"/>
          <w:lang w:val="es-ES_tradnl" w:eastAsia="es-ES"/>
        </w:rPr>
        <w:t xml:space="preserve"> según las reglas fijadas en el artículo 2 de la Ley 1150 de 2007, el artículo 2.2.1.2.1.2.22 del Decreto 1082 de 2015 y el artículo </w:t>
      </w:r>
      <w:r w:rsidRPr="00F35D37">
        <w:rPr>
          <w:rFonts w:ascii="Arial" w:hAnsi="Arial" w:cs="Arial"/>
          <w:color w:val="000000"/>
          <w:sz w:val="22"/>
          <w:szCs w:val="22"/>
          <w:bdr w:val="none" w:sz="0" w:space="0" w:color="auto" w:frame="1"/>
        </w:rPr>
        <w:t>2.2.1.2.6.1.6</w:t>
      </w:r>
      <w:r>
        <w:rPr>
          <w:rFonts w:ascii="Arial" w:eastAsia="Calibri" w:hAnsi="Arial" w:cs="Arial"/>
          <w:color w:val="000000" w:themeColor="text1"/>
          <w:sz w:val="22"/>
          <w:lang w:val="es-ES_tradnl" w:eastAsia="es-ES"/>
        </w:rPr>
        <w:t xml:space="preserve"> del mismo decreto, modificado por el Decreto 594 de 2020</w:t>
      </w:r>
      <w:r w:rsidR="000C362D">
        <w:rPr>
          <w:rFonts w:ascii="Arial" w:eastAsia="Calibri" w:hAnsi="Arial" w:cs="Arial"/>
          <w:color w:val="000000" w:themeColor="text1"/>
          <w:sz w:val="22"/>
          <w:lang w:val="es-ES_tradnl" w:eastAsia="es-ES"/>
        </w:rPr>
        <w:t>, s</w:t>
      </w:r>
      <w:r w:rsidR="00E529E8">
        <w:rPr>
          <w:rFonts w:ascii="Arial" w:eastAsia="Calibri" w:hAnsi="Arial" w:cs="Arial"/>
          <w:color w:val="000000" w:themeColor="text1"/>
          <w:sz w:val="22"/>
          <w:lang w:val="es-ES_tradnl" w:eastAsia="es-ES"/>
        </w:rPr>
        <w:t>o</w:t>
      </w:r>
      <w:r w:rsidR="000C362D">
        <w:rPr>
          <w:rFonts w:ascii="Arial" w:eastAsia="Calibri" w:hAnsi="Arial" w:cs="Arial"/>
          <w:color w:val="000000" w:themeColor="text1"/>
          <w:sz w:val="22"/>
          <w:lang w:val="es-ES_tradnl" w:eastAsia="es-ES"/>
        </w:rPr>
        <w:t>lo opera para las obras públicas de infraestructura de transporte, sin que la misma regla exista para otro tipo de obras públicas, como lo son, por ejemplo, las de infraestructura de agua potable y saneamiento básico.</w:t>
      </w:r>
    </w:p>
    <w:p w14:paraId="053D4863" w14:textId="7AC2495D" w:rsidR="000F2312" w:rsidRDefault="000F2312" w:rsidP="00D21BE0">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p>
    <w:p w14:paraId="061F0365" w14:textId="3B872F6F" w:rsidR="005072FA" w:rsidRPr="00ED72CC" w:rsidRDefault="005072FA" w:rsidP="005072FA">
      <w:pPr>
        <w:spacing w:line="276" w:lineRule="auto"/>
        <w:jc w:val="both"/>
        <w:rPr>
          <w:rFonts w:ascii="Arial" w:eastAsia="Calibri" w:hAnsi="Arial" w:cs="Arial"/>
          <w:b/>
          <w:bCs/>
          <w:color w:val="000000"/>
          <w:sz w:val="22"/>
          <w:lang w:eastAsia="en-GB"/>
        </w:rPr>
      </w:pPr>
      <w:r w:rsidRPr="00ED72CC">
        <w:rPr>
          <w:rFonts w:ascii="Arial" w:eastAsia="Calibri" w:hAnsi="Arial" w:cs="Arial"/>
          <w:b/>
          <w:bCs/>
          <w:color w:val="000000"/>
          <w:sz w:val="22"/>
          <w:lang w:eastAsia="en-GB"/>
        </w:rPr>
        <w:t>2.</w:t>
      </w:r>
      <w:r>
        <w:rPr>
          <w:rFonts w:ascii="Arial" w:eastAsia="Calibri" w:hAnsi="Arial" w:cs="Arial"/>
          <w:b/>
          <w:bCs/>
          <w:color w:val="000000"/>
          <w:sz w:val="22"/>
          <w:lang w:eastAsia="en-GB"/>
        </w:rPr>
        <w:t>3</w:t>
      </w:r>
      <w:r w:rsidRPr="00ED72CC">
        <w:rPr>
          <w:rFonts w:ascii="Arial" w:eastAsia="Calibri" w:hAnsi="Arial" w:cs="Arial"/>
          <w:b/>
          <w:bCs/>
          <w:color w:val="000000"/>
          <w:sz w:val="22"/>
          <w:lang w:eastAsia="en-GB"/>
        </w:rPr>
        <w:t xml:space="preserve">. </w:t>
      </w:r>
      <w:r w:rsidRPr="005072FA">
        <w:rPr>
          <w:rFonts w:ascii="Arial" w:eastAsia="Calibri" w:hAnsi="Arial" w:cs="Arial"/>
          <w:b/>
          <w:bCs/>
          <w:color w:val="000000"/>
          <w:sz w:val="22"/>
          <w:lang w:eastAsia="en-GB"/>
        </w:rPr>
        <w:t>Reglas del proceso de selección abreviada de menor cuantía</w:t>
      </w:r>
      <w:r w:rsidR="00A80C04">
        <w:rPr>
          <w:rFonts w:ascii="Arial" w:eastAsia="Calibri" w:hAnsi="Arial" w:cs="Arial"/>
          <w:b/>
          <w:bCs/>
          <w:color w:val="000000"/>
          <w:sz w:val="22"/>
          <w:lang w:eastAsia="en-GB"/>
        </w:rPr>
        <w:t xml:space="preserve"> </w:t>
      </w:r>
      <w:r w:rsidR="004A12E7">
        <w:rPr>
          <w:rFonts w:ascii="Arial" w:eastAsia="Calibri" w:hAnsi="Arial" w:cs="Arial"/>
          <w:b/>
          <w:bCs/>
          <w:color w:val="000000"/>
          <w:sz w:val="22"/>
          <w:lang w:eastAsia="en-GB"/>
        </w:rPr>
        <w:t>originada en</w:t>
      </w:r>
      <w:r w:rsidR="00A80C04">
        <w:rPr>
          <w:rFonts w:ascii="Arial" w:eastAsia="Calibri" w:hAnsi="Arial" w:cs="Arial"/>
          <w:b/>
          <w:bCs/>
          <w:color w:val="000000"/>
          <w:sz w:val="22"/>
          <w:lang w:eastAsia="en-GB"/>
        </w:rPr>
        <w:t xml:space="preserve"> la declaratoria de desierta de un</w:t>
      </w:r>
      <w:r w:rsidR="004A12E7">
        <w:rPr>
          <w:rFonts w:ascii="Arial" w:eastAsia="Calibri" w:hAnsi="Arial" w:cs="Arial"/>
          <w:b/>
          <w:bCs/>
          <w:color w:val="000000"/>
          <w:sz w:val="22"/>
          <w:lang w:eastAsia="en-GB"/>
        </w:rPr>
        <w:t>a</w:t>
      </w:r>
      <w:r w:rsidR="00A80C04">
        <w:rPr>
          <w:rFonts w:ascii="Arial" w:eastAsia="Calibri" w:hAnsi="Arial" w:cs="Arial"/>
          <w:b/>
          <w:bCs/>
          <w:color w:val="000000"/>
          <w:sz w:val="22"/>
          <w:lang w:eastAsia="en-GB"/>
        </w:rPr>
        <w:t xml:space="preserve"> licitación pública de obras distintas a las de infraestructura de transporte</w:t>
      </w:r>
    </w:p>
    <w:p w14:paraId="6ED1E958" w14:textId="77777777" w:rsidR="005072FA" w:rsidRPr="00ED72CC" w:rsidRDefault="005072FA" w:rsidP="005072FA">
      <w:pPr>
        <w:spacing w:line="276" w:lineRule="auto"/>
        <w:jc w:val="both"/>
        <w:rPr>
          <w:rFonts w:ascii="Arial" w:eastAsia="Calibri" w:hAnsi="Arial" w:cs="Arial"/>
          <w:b/>
          <w:bCs/>
          <w:color w:val="000000" w:themeColor="text1"/>
          <w:sz w:val="22"/>
        </w:rPr>
      </w:pPr>
    </w:p>
    <w:p w14:paraId="0B3F207C" w14:textId="7BA60479" w:rsidR="00D355BD" w:rsidRDefault="005072FA" w:rsidP="00D21BE0">
      <w:pPr>
        <w:widowControl w:val="0"/>
        <w:autoSpaceDE w:val="0"/>
        <w:autoSpaceDN w:val="0"/>
        <w:spacing w:after="120" w:line="276" w:lineRule="auto"/>
        <w:jc w:val="both"/>
        <w:rPr>
          <w:rFonts w:ascii="Arial" w:eastAsia="Calibri" w:hAnsi="Arial" w:cs="Arial"/>
          <w:sz w:val="22"/>
        </w:rPr>
      </w:pPr>
      <w:r w:rsidRPr="005072FA">
        <w:rPr>
          <w:rFonts w:ascii="Arial" w:eastAsia="Calibri" w:hAnsi="Arial" w:cs="Arial"/>
          <w:sz w:val="22"/>
        </w:rPr>
        <w:t xml:space="preserve">De conformidad con lo anterior, </w:t>
      </w:r>
      <w:r w:rsidR="00A80C04">
        <w:rPr>
          <w:rFonts w:ascii="Arial" w:eastAsia="Calibri" w:hAnsi="Arial" w:cs="Arial"/>
          <w:sz w:val="22"/>
        </w:rPr>
        <w:t xml:space="preserve">cuando el proceso de licitación pública declarado desierto no tiene como objeto obras de infraestructura de transporte, aun en uso de documentos tipo, no resulta aplicable lo dispuesto en </w:t>
      </w:r>
      <w:r w:rsidRPr="005072FA">
        <w:rPr>
          <w:rFonts w:ascii="Arial" w:eastAsia="Calibri" w:hAnsi="Arial" w:cs="Arial"/>
          <w:sz w:val="22"/>
        </w:rPr>
        <w:t xml:space="preserve">el artículo 2.2.1.2.6.1.6. del Decreto </w:t>
      </w:r>
      <w:r w:rsidR="00A80C04">
        <w:rPr>
          <w:rFonts w:ascii="Arial" w:eastAsia="Calibri" w:hAnsi="Arial" w:cs="Arial"/>
          <w:sz w:val="22"/>
        </w:rPr>
        <w:t xml:space="preserve">1082 de 2015, en la versión </w:t>
      </w:r>
      <w:r w:rsidR="00D355BD">
        <w:rPr>
          <w:rFonts w:ascii="Arial" w:eastAsia="Calibri" w:hAnsi="Arial" w:cs="Arial"/>
          <w:sz w:val="22"/>
        </w:rPr>
        <w:t>modificada por el Decreto 594 de 2020.</w:t>
      </w:r>
    </w:p>
    <w:p w14:paraId="4A0D7546" w14:textId="0B0BE92C" w:rsidR="005072FA" w:rsidRDefault="00D355BD" w:rsidP="005072FA">
      <w:pPr>
        <w:widowControl w:val="0"/>
        <w:autoSpaceDE w:val="0"/>
        <w:autoSpaceDN w:val="0"/>
        <w:spacing w:line="276" w:lineRule="auto"/>
        <w:jc w:val="both"/>
        <w:rPr>
          <w:rFonts w:ascii="Arial" w:eastAsia="Calibri" w:hAnsi="Arial" w:cs="Arial"/>
          <w:sz w:val="22"/>
        </w:rPr>
      </w:pPr>
      <w:r>
        <w:rPr>
          <w:rFonts w:ascii="Arial" w:eastAsia="Calibri" w:hAnsi="Arial" w:cs="Arial"/>
          <w:sz w:val="22"/>
        </w:rPr>
        <w:t>No obstante, sí resulta aplicable</w:t>
      </w:r>
      <w:r w:rsidR="005072FA" w:rsidRPr="005072FA">
        <w:rPr>
          <w:rFonts w:ascii="Arial" w:eastAsia="Calibri" w:hAnsi="Arial" w:cs="Arial"/>
          <w:sz w:val="22"/>
        </w:rPr>
        <w:t xml:space="preserve"> el artículo 2.2.1.2.1.2.22. del Decreto 1082 de 2015 </w:t>
      </w:r>
      <w:r>
        <w:rPr>
          <w:rFonts w:ascii="Arial" w:eastAsia="Calibri" w:hAnsi="Arial" w:cs="Arial"/>
          <w:sz w:val="22"/>
        </w:rPr>
        <w:t xml:space="preserve">que </w:t>
      </w:r>
      <w:r w:rsidR="005072FA" w:rsidRPr="005072FA">
        <w:rPr>
          <w:rFonts w:ascii="Arial" w:eastAsia="Calibri" w:hAnsi="Arial" w:cs="Arial"/>
          <w:sz w:val="22"/>
        </w:rPr>
        <w:t xml:space="preserve">establece las reglas aplicables a los procesos de contratación de licitación pública que hayan sido declarados desiertos, </w:t>
      </w:r>
      <w:r w:rsidR="002E2990">
        <w:rPr>
          <w:rFonts w:ascii="Arial" w:eastAsia="Calibri" w:hAnsi="Arial" w:cs="Arial"/>
          <w:sz w:val="22"/>
        </w:rPr>
        <w:t>el cual</w:t>
      </w:r>
      <w:r>
        <w:rPr>
          <w:rFonts w:ascii="Arial" w:eastAsia="Calibri" w:hAnsi="Arial" w:cs="Arial"/>
          <w:sz w:val="22"/>
        </w:rPr>
        <w:t xml:space="preserve"> </w:t>
      </w:r>
      <w:r w:rsidR="005072FA" w:rsidRPr="005072FA">
        <w:rPr>
          <w:rFonts w:ascii="Arial" w:eastAsia="Calibri" w:hAnsi="Arial" w:cs="Arial"/>
          <w:sz w:val="22"/>
        </w:rPr>
        <w:t>dispone que si persiste la necesidad, debe aplicar</w:t>
      </w:r>
      <w:r>
        <w:rPr>
          <w:rFonts w:ascii="Arial" w:eastAsia="Calibri" w:hAnsi="Arial" w:cs="Arial"/>
          <w:sz w:val="22"/>
        </w:rPr>
        <w:t>se</w:t>
      </w:r>
      <w:r w:rsidR="005072FA" w:rsidRPr="005072FA">
        <w:rPr>
          <w:rFonts w:ascii="Arial" w:eastAsia="Calibri" w:hAnsi="Arial" w:cs="Arial"/>
          <w:sz w:val="22"/>
        </w:rPr>
        <w:t xml:space="preserve"> el procedimiento relativo a la modalidad de selección abreviada de menor cuantía, de conformidad con el artículo 2.2.1.2.1.2.20 del mismo Decreto, prescindiendo de recibir manifestaciones de interés, y realizar el sorteo de oferente</w:t>
      </w:r>
      <w:r w:rsidR="005072FA">
        <w:rPr>
          <w:rFonts w:ascii="Arial" w:eastAsia="Calibri" w:hAnsi="Arial" w:cs="Arial"/>
          <w:sz w:val="22"/>
        </w:rPr>
        <w:t>s</w:t>
      </w:r>
      <w:r w:rsidR="005072FA">
        <w:rPr>
          <w:rStyle w:val="Refdenotaalpie"/>
          <w:rFonts w:ascii="Arial" w:eastAsia="Calibri" w:hAnsi="Arial" w:cs="Arial"/>
          <w:sz w:val="22"/>
        </w:rPr>
        <w:footnoteReference w:id="5"/>
      </w:r>
      <w:r w:rsidR="005072FA">
        <w:rPr>
          <w:rFonts w:ascii="Arial" w:eastAsia="Calibri" w:hAnsi="Arial" w:cs="Arial"/>
          <w:sz w:val="22"/>
        </w:rPr>
        <w:t>.</w:t>
      </w:r>
      <w:r w:rsidR="004A12E7">
        <w:rPr>
          <w:rFonts w:ascii="Arial" w:eastAsia="Calibri" w:hAnsi="Arial" w:cs="Arial"/>
          <w:sz w:val="22"/>
        </w:rPr>
        <w:t xml:space="preserve"> </w:t>
      </w:r>
      <w:r w:rsidR="005072FA" w:rsidRPr="005072FA">
        <w:rPr>
          <w:rFonts w:ascii="Arial" w:eastAsia="Calibri" w:hAnsi="Arial" w:cs="Arial"/>
          <w:sz w:val="22"/>
        </w:rPr>
        <w:t>En este orden de ideas, el artículo 2.2.1.2.1.2.20 señala que el procedimiento para la selección</w:t>
      </w:r>
      <w:r w:rsidR="005570AC">
        <w:rPr>
          <w:rFonts w:ascii="Arial" w:eastAsia="Calibri" w:hAnsi="Arial" w:cs="Arial"/>
          <w:sz w:val="22"/>
        </w:rPr>
        <w:t xml:space="preserve"> </w:t>
      </w:r>
      <w:r w:rsidR="005072FA" w:rsidRPr="005072FA">
        <w:rPr>
          <w:rFonts w:ascii="Arial" w:eastAsia="Calibri" w:hAnsi="Arial" w:cs="Arial"/>
          <w:sz w:val="22"/>
        </w:rPr>
        <w:t>abreviada de menor cuantía aplicar</w:t>
      </w:r>
      <w:r w:rsidR="00D2271B">
        <w:rPr>
          <w:rFonts w:ascii="Arial" w:eastAsia="Calibri" w:hAnsi="Arial" w:cs="Arial"/>
          <w:sz w:val="22"/>
        </w:rPr>
        <w:t>á</w:t>
      </w:r>
      <w:r w:rsidR="005072FA" w:rsidRPr="005072FA">
        <w:rPr>
          <w:rFonts w:ascii="Arial" w:eastAsia="Calibri" w:hAnsi="Arial" w:cs="Arial"/>
          <w:sz w:val="22"/>
        </w:rPr>
        <w:t xml:space="preserve"> las siguientes reglas:</w:t>
      </w:r>
    </w:p>
    <w:p w14:paraId="657D338F" w14:textId="3A37ABF6" w:rsidR="005570AC" w:rsidRDefault="005570AC" w:rsidP="005072FA">
      <w:pPr>
        <w:widowControl w:val="0"/>
        <w:autoSpaceDE w:val="0"/>
        <w:autoSpaceDN w:val="0"/>
        <w:spacing w:line="276" w:lineRule="auto"/>
        <w:jc w:val="both"/>
        <w:rPr>
          <w:rFonts w:ascii="Arial" w:eastAsia="Calibri" w:hAnsi="Arial" w:cs="Arial"/>
          <w:sz w:val="22"/>
        </w:rPr>
      </w:pPr>
    </w:p>
    <w:p w14:paraId="3EC0B38A" w14:textId="77777777" w:rsidR="005570AC" w:rsidRPr="005570AC" w:rsidRDefault="005570AC" w:rsidP="005570AC">
      <w:pPr>
        <w:widowControl w:val="0"/>
        <w:autoSpaceDE w:val="0"/>
        <w:autoSpaceDN w:val="0"/>
        <w:ind w:left="709" w:right="758"/>
        <w:jc w:val="both"/>
        <w:rPr>
          <w:rFonts w:ascii="Arial" w:eastAsia="Calibri" w:hAnsi="Arial" w:cs="Arial"/>
          <w:sz w:val="21"/>
          <w:szCs w:val="21"/>
        </w:rPr>
      </w:pPr>
      <w:r w:rsidRPr="005570AC">
        <w:rPr>
          <w:rFonts w:ascii="Arial" w:eastAsia="Calibri" w:hAnsi="Arial" w:cs="Arial"/>
          <w:sz w:val="21"/>
          <w:szCs w:val="21"/>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01B4980B" w14:textId="77777777" w:rsidR="005570AC" w:rsidRPr="005570AC" w:rsidRDefault="005570AC" w:rsidP="005570AC">
      <w:pPr>
        <w:widowControl w:val="0"/>
        <w:autoSpaceDE w:val="0"/>
        <w:autoSpaceDN w:val="0"/>
        <w:ind w:left="709" w:right="758"/>
        <w:jc w:val="both"/>
        <w:rPr>
          <w:rFonts w:ascii="Arial" w:eastAsia="Calibri" w:hAnsi="Arial" w:cs="Arial"/>
          <w:sz w:val="21"/>
          <w:szCs w:val="21"/>
        </w:rPr>
      </w:pPr>
    </w:p>
    <w:p w14:paraId="0839887C" w14:textId="77777777" w:rsidR="005570AC" w:rsidRPr="005570AC" w:rsidRDefault="005570AC" w:rsidP="005570AC">
      <w:pPr>
        <w:widowControl w:val="0"/>
        <w:autoSpaceDE w:val="0"/>
        <w:autoSpaceDN w:val="0"/>
        <w:ind w:left="709" w:right="758"/>
        <w:jc w:val="both"/>
        <w:rPr>
          <w:rFonts w:ascii="Arial" w:eastAsia="Calibri" w:hAnsi="Arial" w:cs="Arial"/>
          <w:sz w:val="21"/>
          <w:szCs w:val="21"/>
        </w:rPr>
      </w:pPr>
      <w:r w:rsidRPr="005570AC">
        <w:rPr>
          <w:rFonts w:ascii="Arial" w:eastAsia="Calibri" w:hAnsi="Arial" w:cs="Arial"/>
          <w:sz w:val="21"/>
          <w:szCs w:val="21"/>
        </w:rPr>
        <w:t xml:space="preserve">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w:t>
      </w:r>
      <w:r w:rsidRPr="005570AC">
        <w:rPr>
          <w:rFonts w:ascii="Arial" w:eastAsia="Calibri" w:hAnsi="Arial" w:cs="Arial"/>
          <w:sz w:val="21"/>
          <w:szCs w:val="21"/>
        </w:rPr>
        <w:lastRenderedPageBreak/>
        <w:t>forma en la cual lo hará.</w:t>
      </w:r>
    </w:p>
    <w:p w14:paraId="2235B027" w14:textId="77777777" w:rsidR="005570AC" w:rsidRPr="005570AC" w:rsidRDefault="005570AC" w:rsidP="005570AC">
      <w:pPr>
        <w:widowControl w:val="0"/>
        <w:autoSpaceDE w:val="0"/>
        <w:autoSpaceDN w:val="0"/>
        <w:ind w:left="709" w:right="758"/>
        <w:jc w:val="both"/>
        <w:rPr>
          <w:rFonts w:ascii="Arial" w:eastAsia="Calibri" w:hAnsi="Arial" w:cs="Arial"/>
          <w:sz w:val="21"/>
          <w:szCs w:val="21"/>
        </w:rPr>
      </w:pPr>
    </w:p>
    <w:p w14:paraId="00B38DFF" w14:textId="77777777" w:rsidR="005570AC" w:rsidRPr="005570AC" w:rsidRDefault="005570AC" w:rsidP="005570AC">
      <w:pPr>
        <w:widowControl w:val="0"/>
        <w:autoSpaceDE w:val="0"/>
        <w:autoSpaceDN w:val="0"/>
        <w:ind w:left="709" w:right="758"/>
        <w:jc w:val="both"/>
        <w:rPr>
          <w:rFonts w:ascii="Arial" w:eastAsia="Calibri" w:hAnsi="Arial" w:cs="Arial"/>
          <w:sz w:val="21"/>
          <w:szCs w:val="21"/>
        </w:rPr>
      </w:pPr>
      <w:r w:rsidRPr="005570AC">
        <w:rPr>
          <w:rFonts w:ascii="Arial" w:eastAsia="Calibri" w:hAnsi="Arial" w:cs="Arial"/>
          <w:sz w:val="21"/>
          <w:szCs w:val="21"/>
        </w:rPr>
        <w:t>3.    Si hay lugar a sorteo, el plazo para la presentación de las ofertas empezará a correr el día hábil siguiente a la fecha en la cual la Entidad Estatal informe a los interesados el resultado del sorteo.</w:t>
      </w:r>
    </w:p>
    <w:p w14:paraId="035B1EF5" w14:textId="77777777" w:rsidR="005570AC" w:rsidRPr="005570AC" w:rsidRDefault="005570AC" w:rsidP="005570AC">
      <w:pPr>
        <w:widowControl w:val="0"/>
        <w:autoSpaceDE w:val="0"/>
        <w:autoSpaceDN w:val="0"/>
        <w:ind w:left="709" w:right="758"/>
        <w:jc w:val="both"/>
        <w:rPr>
          <w:rFonts w:ascii="Arial" w:eastAsia="Calibri" w:hAnsi="Arial" w:cs="Arial"/>
          <w:sz w:val="21"/>
          <w:szCs w:val="21"/>
        </w:rPr>
      </w:pPr>
    </w:p>
    <w:p w14:paraId="04CCC640" w14:textId="59BF5862" w:rsidR="005570AC" w:rsidRDefault="005570AC" w:rsidP="005570AC">
      <w:pPr>
        <w:widowControl w:val="0"/>
        <w:autoSpaceDE w:val="0"/>
        <w:autoSpaceDN w:val="0"/>
        <w:ind w:left="709" w:right="758"/>
        <w:jc w:val="both"/>
        <w:rPr>
          <w:rFonts w:ascii="Arial" w:eastAsia="Calibri" w:hAnsi="Arial" w:cs="Arial"/>
          <w:sz w:val="22"/>
        </w:rPr>
      </w:pPr>
      <w:r w:rsidRPr="005570AC">
        <w:rPr>
          <w:rFonts w:ascii="Arial" w:eastAsia="Calibri" w:hAnsi="Arial" w:cs="Arial"/>
          <w:sz w:val="21"/>
          <w:szCs w:val="21"/>
        </w:rPr>
        <w:t>4.    La Entidad Estatal debe publicar el informe de evaluación de ofertas durante tres (3) días hábiles</w:t>
      </w:r>
      <w:r w:rsidRPr="005570AC">
        <w:rPr>
          <w:rFonts w:ascii="Arial" w:eastAsia="Calibri" w:hAnsi="Arial" w:cs="Arial"/>
          <w:sz w:val="22"/>
        </w:rPr>
        <w:t>.</w:t>
      </w:r>
    </w:p>
    <w:p w14:paraId="3C94F995" w14:textId="77777777" w:rsidR="005570AC" w:rsidRDefault="005570AC" w:rsidP="005072FA">
      <w:pPr>
        <w:widowControl w:val="0"/>
        <w:autoSpaceDE w:val="0"/>
        <w:autoSpaceDN w:val="0"/>
        <w:spacing w:line="276" w:lineRule="auto"/>
        <w:jc w:val="both"/>
        <w:rPr>
          <w:rFonts w:ascii="Arial" w:eastAsia="Calibri" w:hAnsi="Arial" w:cs="Arial"/>
          <w:sz w:val="22"/>
        </w:rPr>
      </w:pPr>
    </w:p>
    <w:p w14:paraId="21CFB777" w14:textId="0E936C97" w:rsidR="00F83702" w:rsidRDefault="005072FA" w:rsidP="00D21BE0">
      <w:pPr>
        <w:spacing w:after="120" w:line="276" w:lineRule="auto"/>
        <w:ind w:firstLine="709"/>
        <w:jc w:val="both"/>
        <w:rPr>
          <w:rFonts w:ascii="Arial" w:eastAsiaTheme="minorHAnsi" w:hAnsi="Arial" w:cs="Arial"/>
          <w:color w:val="0D0D0D" w:themeColor="text1" w:themeTint="F2"/>
          <w:sz w:val="22"/>
          <w:szCs w:val="22"/>
          <w:lang w:val="es-MX" w:eastAsia="en-US"/>
        </w:rPr>
      </w:pPr>
      <w:r w:rsidRPr="005072FA">
        <w:rPr>
          <w:rFonts w:ascii="Arial" w:eastAsiaTheme="minorHAnsi" w:hAnsi="Arial" w:cs="Arial"/>
          <w:color w:val="0D0D0D" w:themeColor="text1" w:themeTint="F2"/>
          <w:sz w:val="22"/>
          <w:szCs w:val="22"/>
          <w:lang w:val="es-MX" w:eastAsia="en-US"/>
        </w:rPr>
        <w:t>Teniendo en cuenta que el artículo 2.2.1.2.1.2.22. establece que se aplican las normas del proceso de selección abreviada de menor cuantía ante la declaratoria de desierta de la licitación pública, exceptuando las reglas de recibir manifestaciones de interés y realizar el sorteo de los oferentes, se concluye que únicamente es aplicable la regla del numeral 4 del artículo 2.2.1.2.1.2.20, relativa al término de la publicidad del informe de evaluación, el cual será de tres (3) días hábiles.</w:t>
      </w:r>
    </w:p>
    <w:p w14:paraId="049F4105" w14:textId="2F1B3646" w:rsidR="00654F83" w:rsidRDefault="00654F83" w:rsidP="00D21BE0">
      <w:pPr>
        <w:spacing w:after="120" w:line="276" w:lineRule="auto"/>
        <w:ind w:firstLine="709"/>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 xml:space="preserve">En consecuencia, todo proceso de contratación por licitación pública de obra </w:t>
      </w:r>
      <w:r w:rsidR="00D355BD">
        <w:rPr>
          <w:rFonts w:ascii="Arial" w:eastAsiaTheme="minorHAnsi" w:hAnsi="Arial" w:cs="Arial"/>
          <w:color w:val="0D0D0D" w:themeColor="text1" w:themeTint="F2"/>
          <w:sz w:val="22"/>
          <w:szCs w:val="22"/>
          <w:lang w:val="es-MX" w:eastAsia="en-US"/>
        </w:rPr>
        <w:t xml:space="preserve">distinta a la de </w:t>
      </w:r>
      <w:r w:rsidR="000841F1">
        <w:rPr>
          <w:rFonts w:ascii="Arial" w:eastAsiaTheme="minorHAnsi" w:hAnsi="Arial" w:cs="Arial"/>
          <w:color w:val="0D0D0D" w:themeColor="text1" w:themeTint="F2"/>
          <w:sz w:val="22"/>
          <w:szCs w:val="22"/>
          <w:lang w:val="es-MX" w:eastAsia="en-US"/>
        </w:rPr>
        <w:t xml:space="preserve">infraestructura de </w:t>
      </w:r>
      <w:r w:rsidR="00D355BD">
        <w:rPr>
          <w:rFonts w:ascii="Arial" w:eastAsiaTheme="minorHAnsi" w:hAnsi="Arial" w:cs="Arial"/>
          <w:color w:val="0D0D0D" w:themeColor="text1" w:themeTint="F2"/>
          <w:sz w:val="22"/>
          <w:szCs w:val="22"/>
          <w:lang w:val="es-MX" w:eastAsia="en-US"/>
        </w:rPr>
        <w:t>transporte,</w:t>
      </w:r>
      <w:r>
        <w:rPr>
          <w:rFonts w:ascii="Arial" w:eastAsiaTheme="minorHAnsi" w:hAnsi="Arial" w:cs="Arial"/>
          <w:color w:val="0D0D0D" w:themeColor="text1" w:themeTint="F2"/>
          <w:sz w:val="22"/>
          <w:szCs w:val="22"/>
          <w:lang w:val="es-MX" w:eastAsia="en-US"/>
        </w:rPr>
        <w:t xml:space="preserve"> </w:t>
      </w:r>
      <w:r w:rsidR="000841F1">
        <w:rPr>
          <w:rFonts w:ascii="Arial" w:eastAsiaTheme="minorHAnsi" w:hAnsi="Arial" w:cs="Arial"/>
          <w:color w:val="0D0D0D" w:themeColor="text1" w:themeTint="F2"/>
          <w:sz w:val="22"/>
          <w:szCs w:val="22"/>
          <w:lang w:val="es-MX" w:eastAsia="en-US"/>
        </w:rPr>
        <w:t xml:space="preserve">y por tanto </w:t>
      </w:r>
      <w:r>
        <w:rPr>
          <w:rFonts w:ascii="Arial" w:eastAsiaTheme="minorHAnsi" w:hAnsi="Arial" w:cs="Arial"/>
          <w:color w:val="0D0D0D" w:themeColor="text1" w:themeTint="F2"/>
          <w:sz w:val="22"/>
          <w:szCs w:val="22"/>
          <w:lang w:val="es-MX" w:eastAsia="en-US"/>
        </w:rPr>
        <w:t xml:space="preserve">no sujeto al </w:t>
      </w:r>
      <w:r w:rsidR="00D355BD" w:rsidRPr="005072FA">
        <w:rPr>
          <w:rFonts w:ascii="Arial" w:eastAsia="Calibri" w:hAnsi="Arial" w:cs="Arial"/>
          <w:sz w:val="22"/>
        </w:rPr>
        <w:t xml:space="preserve">artículo 2.2.1.2.6.1.6. del Decreto </w:t>
      </w:r>
      <w:r w:rsidR="00D355BD">
        <w:rPr>
          <w:rFonts w:ascii="Arial" w:eastAsia="Calibri" w:hAnsi="Arial" w:cs="Arial"/>
          <w:sz w:val="22"/>
        </w:rPr>
        <w:t>1082 de 2015 actualmente vigente y el artículo 5 de la Resolución No. 240 de 2020 de Colombia Compra Eficiente</w:t>
      </w:r>
      <w:r>
        <w:rPr>
          <w:rFonts w:ascii="Arial" w:eastAsiaTheme="minorHAnsi" w:hAnsi="Arial" w:cs="Arial"/>
          <w:color w:val="0D0D0D" w:themeColor="text1" w:themeTint="F2"/>
          <w:sz w:val="22"/>
          <w:szCs w:val="22"/>
          <w:lang w:val="es-MX" w:eastAsia="en-US"/>
        </w:rPr>
        <w:t xml:space="preserve">, que haya sido declarado desierto, puede adelantarse en una segunda oportunidad, dentro de los cuatro meses siguientes a dicha declaratoria, por la modalidad de selección abreviada de menor cuantía, acogiendo </w:t>
      </w:r>
      <w:r w:rsidRPr="00654F83">
        <w:rPr>
          <w:rFonts w:ascii="Arial" w:eastAsiaTheme="minorHAnsi" w:hAnsi="Arial" w:cs="Arial"/>
          <w:color w:val="0D0D0D" w:themeColor="text1" w:themeTint="F2"/>
          <w:sz w:val="22"/>
          <w:szCs w:val="22"/>
          <w:lang w:val="es-MX" w:eastAsia="en-US"/>
        </w:rPr>
        <w:t>lo establecido en el artículo 2.2.1.2.1.2.22 del Decreto 1082 de 2015</w:t>
      </w:r>
      <w:r w:rsidR="000841F1">
        <w:rPr>
          <w:rFonts w:ascii="Arial" w:eastAsiaTheme="minorHAnsi" w:hAnsi="Arial" w:cs="Arial"/>
          <w:color w:val="0D0D0D" w:themeColor="text1" w:themeTint="F2"/>
          <w:sz w:val="22"/>
          <w:szCs w:val="22"/>
          <w:lang w:val="es-MX" w:eastAsia="en-US"/>
        </w:rPr>
        <w:t>,</w:t>
      </w:r>
      <w:r w:rsidRPr="00654F83">
        <w:rPr>
          <w:rFonts w:ascii="Arial" w:eastAsiaTheme="minorHAnsi" w:hAnsi="Arial" w:cs="Arial"/>
          <w:color w:val="0D0D0D" w:themeColor="text1" w:themeTint="F2"/>
          <w:sz w:val="22"/>
          <w:szCs w:val="22"/>
          <w:lang w:val="es-MX" w:eastAsia="en-US"/>
        </w:rPr>
        <w:t xml:space="preserve"> es decir, </w:t>
      </w:r>
      <w:r>
        <w:rPr>
          <w:rFonts w:ascii="Arial" w:eastAsiaTheme="minorHAnsi" w:hAnsi="Arial" w:cs="Arial"/>
          <w:color w:val="0D0D0D" w:themeColor="text1" w:themeTint="F2"/>
          <w:sz w:val="22"/>
          <w:szCs w:val="22"/>
          <w:lang w:val="es-MX" w:eastAsia="en-US"/>
        </w:rPr>
        <w:t xml:space="preserve">se </w:t>
      </w:r>
      <w:r w:rsidRPr="00654F83">
        <w:rPr>
          <w:rFonts w:ascii="Arial" w:eastAsiaTheme="minorHAnsi" w:hAnsi="Arial" w:cs="Arial"/>
          <w:color w:val="0D0D0D" w:themeColor="text1" w:themeTint="F2"/>
          <w:sz w:val="22"/>
          <w:szCs w:val="22"/>
          <w:lang w:val="es-MX" w:eastAsia="en-US"/>
        </w:rPr>
        <w:t>adelantar</w:t>
      </w:r>
      <w:r>
        <w:rPr>
          <w:rFonts w:ascii="Arial" w:eastAsiaTheme="minorHAnsi" w:hAnsi="Arial" w:cs="Arial"/>
          <w:color w:val="0D0D0D" w:themeColor="text1" w:themeTint="F2"/>
          <w:sz w:val="22"/>
          <w:szCs w:val="22"/>
          <w:lang w:val="es-MX" w:eastAsia="en-US"/>
        </w:rPr>
        <w:t>á</w:t>
      </w:r>
      <w:r w:rsidRPr="00654F83">
        <w:rPr>
          <w:rFonts w:ascii="Arial" w:eastAsiaTheme="minorHAnsi" w:hAnsi="Arial" w:cs="Arial"/>
          <w:color w:val="0D0D0D" w:themeColor="text1" w:themeTint="F2"/>
          <w:sz w:val="22"/>
          <w:szCs w:val="22"/>
          <w:lang w:val="es-MX" w:eastAsia="en-US"/>
        </w:rPr>
        <w:t xml:space="preserve"> el proceso de contratación aplicando las </w:t>
      </w:r>
      <w:r>
        <w:rPr>
          <w:rFonts w:ascii="Arial" w:eastAsiaTheme="minorHAnsi" w:hAnsi="Arial" w:cs="Arial"/>
          <w:color w:val="0D0D0D" w:themeColor="text1" w:themeTint="F2"/>
          <w:sz w:val="22"/>
          <w:szCs w:val="22"/>
          <w:lang w:val="es-MX" w:eastAsia="en-US"/>
        </w:rPr>
        <w:t>reglas procedimentales</w:t>
      </w:r>
      <w:r w:rsidRPr="00654F83">
        <w:rPr>
          <w:rFonts w:ascii="Arial" w:eastAsiaTheme="minorHAnsi" w:hAnsi="Arial" w:cs="Arial"/>
          <w:color w:val="0D0D0D" w:themeColor="text1" w:themeTint="F2"/>
          <w:sz w:val="22"/>
          <w:szCs w:val="22"/>
          <w:lang w:val="es-MX" w:eastAsia="en-US"/>
        </w:rPr>
        <w:t xml:space="preserve"> del proceso de selección abreviada de menor cuantía y</w:t>
      </w:r>
      <w:r>
        <w:rPr>
          <w:rFonts w:ascii="Arial" w:eastAsiaTheme="minorHAnsi" w:hAnsi="Arial" w:cs="Arial"/>
          <w:color w:val="0D0D0D" w:themeColor="text1" w:themeTint="F2"/>
          <w:sz w:val="22"/>
          <w:szCs w:val="22"/>
          <w:lang w:val="es-MX" w:eastAsia="en-US"/>
        </w:rPr>
        <w:t xml:space="preserve"> se podrá</w:t>
      </w:r>
      <w:r w:rsidRPr="00654F83">
        <w:rPr>
          <w:rFonts w:ascii="Arial" w:eastAsiaTheme="minorHAnsi" w:hAnsi="Arial" w:cs="Arial"/>
          <w:color w:val="0D0D0D" w:themeColor="text1" w:themeTint="F2"/>
          <w:sz w:val="22"/>
          <w:szCs w:val="22"/>
          <w:lang w:val="es-MX" w:eastAsia="en-US"/>
        </w:rPr>
        <w:t xml:space="preserve"> prescindir de </w:t>
      </w:r>
      <w:r>
        <w:rPr>
          <w:rFonts w:ascii="Arial" w:eastAsiaTheme="minorHAnsi" w:hAnsi="Arial" w:cs="Arial"/>
          <w:color w:val="0D0D0D" w:themeColor="text1" w:themeTint="F2"/>
          <w:sz w:val="22"/>
          <w:szCs w:val="22"/>
          <w:lang w:val="es-MX" w:eastAsia="en-US"/>
        </w:rPr>
        <w:t xml:space="preserve">la recepción de </w:t>
      </w:r>
      <w:r w:rsidRPr="00654F83">
        <w:rPr>
          <w:rFonts w:ascii="Arial" w:eastAsiaTheme="minorHAnsi" w:hAnsi="Arial" w:cs="Arial"/>
          <w:color w:val="0D0D0D" w:themeColor="text1" w:themeTint="F2"/>
          <w:sz w:val="22"/>
          <w:szCs w:val="22"/>
          <w:lang w:val="es-MX" w:eastAsia="en-US"/>
        </w:rPr>
        <w:t>manifestaciones de interés y</w:t>
      </w:r>
      <w:r>
        <w:rPr>
          <w:rFonts w:ascii="Arial" w:eastAsiaTheme="minorHAnsi" w:hAnsi="Arial" w:cs="Arial"/>
          <w:color w:val="0D0D0D" w:themeColor="text1" w:themeTint="F2"/>
          <w:sz w:val="22"/>
          <w:szCs w:val="22"/>
          <w:lang w:val="es-MX" w:eastAsia="en-US"/>
        </w:rPr>
        <w:t xml:space="preserve"> de la realización d</w:t>
      </w:r>
      <w:r w:rsidRPr="00654F83">
        <w:rPr>
          <w:rFonts w:ascii="Arial" w:eastAsiaTheme="minorHAnsi" w:hAnsi="Arial" w:cs="Arial"/>
          <w:color w:val="0D0D0D" w:themeColor="text1" w:themeTint="F2"/>
          <w:sz w:val="22"/>
          <w:szCs w:val="22"/>
          <w:lang w:val="es-MX" w:eastAsia="en-US"/>
        </w:rPr>
        <w:t>el sorteo de oferentes.</w:t>
      </w:r>
    </w:p>
    <w:p w14:paraId="5698CA84" w14:textId="475DE23D" w:rsidR="00DE29F5" w:rsidRDefault="00DE29F5" w:rsidP="007E15E0">
      <w:pPr>
        <w:spacing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 xml:space="preserve">Lo anterior sin perjuicio de que, </w:t>
      </w:r>
      <w:r w:rsidR="00F44E56">
        <w:rPr>
          <w:rFonts w:ascii="Arial" w:eastAsiaTheme="minorHAnsi" w:hAnsi="Arial" w:cs="Arial"/>
          <w:color w:val="0D0D0D" w:themeColor="text1" w:themeTint="F2"/>
          <w:sz w:val="22"/>
          <w:szCs w:val="22"/>
          <w:lang w:val="es-MX" w:eastAsia="en-US"/>
        </w:rPr>
        <w:t>en ej</w:t>
      </w:r>
      <w:r w:rsidR="00A84D65">
        <w:rPr>
          <w:rFonts w:ascii="Arial" w:eastAsiaTheme="minorHAnsi" w:hAnsi="Arial" w:cs="Arial"/>
          <w:color w:val="0D0D0D" w:themeColor="text1" w:themeTint="F2"/>
          <w:sz w:val="22"/>
          <w:szCs w:val="22"/>
          <w:lang w:val="es-MX" w:eastAsia="en-US"/>
        </w:rPr>
        <w:t>ercicio</w:t>
      </w:r>
      <w:r>
        <w:rPr>
          <w:rFonts w:ascii="Arial" w:eastAsiaTheme="minorHAnsi" w:hAnsi="Arial" w:cs="Arial"/>
          <w:color w:val="0D0D0D" w:themeColor="text1" w:themeTint="F2"/>
          <w:sz w:val="22"/>
          <w:szCs w:val="22"/>
          <w:lang w:val="es-MX" w:eastAsia="en-US"/>
        </w:rPr>
        <w:t xml:space="preserve"> de</w:t>
      </w:r>
      <w:r w:rsidR="00A84D65">
        <w:rPr>
          <w:rFonts w:ascii="Arial" w:eastAsiaTheme="minorHAnsi" w:hAnsi="Arial" w:cs="Arial"/>
          <w:color w:val="0D0D0D" w:themeColor="text1" w:themeTint="F2"/>
          <w:sz w:val="22"/>
          <w:szCs w:val="22"/>
          <w:lang w:val="es-MX" w:eastAsia="en-US"/>
        </w:rPr>
        <w:t xml:space="preserve"> una</w:t>
      </w:r>
      <w:r>
        <w:rPr>
          <w:rFonts w:ascii="Arial" w:eastAsiaTheme="minorHAnsi" w:hAnsi="Arial" w:cs="Arial"/>
          <w:color w:val="0D0D0D" w:themeColor="text1" w:themeTint="F2"/>
          <w:sz w:val="22"/>
          <w:szCs w:val="22"/>
          <w:lang w:val="es-MX" w:eastAsia="en-US"/>
        </w:rPr>
        <w:t xml:space="preserve"> buena práctica contractual, </w:t>
      </w:r>
      <w:r w:rsidR="007F4252">
        <w:rPr>
          <w:rFonts w:ascii="Arial" w:eastAsiaTheme="minorHAnsi" w:hAnsi="Arial" w:cs="Arial"/>
          <w:color w:val="0D0D0D" w:themeColor="text1" w:themeTint="F2"/>
          <w:sz w:val="22"/>
          <w:szCs w:val="22"/>
          <w:lang w:val="es-MX" w:eastAsia="en-US"/>
        </w:rPr>
        <w:t xml:space="preserve">cuando la licitación pública declarada desierta sea de un proceso regido por documentos tipo de obra de infraestructura distinta a la de transporte, </w:t>
      </w:r>
      <w:r w:rsidR="000841F1">
        <w:rPr>
          <w:rFonts w:ascii="Arial" w:eastAsiaTheme="minorHAnsi" w:hAnsi="Arial" w:cs="Arial"/>
          <w:color w:val="0D0D0D" w:themeColor="text1" w:themeTint="F2"/>
          <w:sz w:val="22"/>
          <w:szCs w:val="22"/>
          <w:lang w:val="es-MX" w:eastAsia="en-US"/>
        </w:rPr>
        <w:t xml:space="preserve">como son los de agua potable y saneamiento básico, la entidad estatal que declaró desierto el proceso de licitación de una obra de infraestructura de agua potable y saneamiento básico </w:t>
      </w:r>
      <w:r w:rsidR="007F4252">
        <w:rPr>
          <w:rFonts w:ascii="Arial" w:eastAsiaTheme="minorHAnsi" w:hAnsi="Arial" w:cs="Arial"/>
          <w:color w:val="0D0D0D" w:themeColor="text1" w:themeTint="F2"/>
          <w:sz w:val="22"/>
          <w:szCs w:val="22"/>
          <w:lang w:val="es-MX" w:eastAsia="en-US"/>
        </w:rPr>
        <w:t xml:space="preserve">considere conveniente y viable mantener las condiciones y requisitos exigidos en los documentos tipo </w:t>
      </w:r>
      <w:r w:rsidR="000841F1">
        <w:rPr>
          <w:rFonts w:ascii="Arial" w:eastAsiaTheme="minorHAnsi" w:hAnsi="Arial" w:cs="Arial"/>
          <w:color w:val="0D0D0D" w:themeColor="text1" w:themeTint="F2"/>
          <w:sz w:val="22"/>
          <w:szCs w:val="22"/>
          <w:lang w:val="es-MX" w:eastAsia="en-US"/>
        </w:rPr>
        <w:t xml:space="preserve">de licitación </w:t>
      </w:r>
      <w:r w:rsidR="007F4252">
        <w:rPr>
          <w:rFonts w:ascii="Arial" w:eastAsiaTheme="minorHAnsi" w:hAnsi="Arial" w:cs="Arial"/>
          <w:color w:val="0D0D0D" w:themeColor="text1" w:themeTint="F2"/>
          <w:sz w:val="22"/>
          <w:szCs w:val="22"/>
          <w:lang w:val="es-MX" w:eastAsia="en-US"/>
        </w:rPr>
        <w:t>para el nuevo proceso de selección que se adelantará bajo las reglas de la selección abreviada de menor cuantía</w:t>
      </w:r>
      <w:r w:rsidR="000841F1">
        <w:rPr>
          <w:rFonts w:ascii="Arial" w:eastAsiaTheme="minorHAnsi" w:hAnsi="Arial" w:cs="Arial"/>
          <w:color w:val="0D0D0D" w:themeColor="text1" w:themeTint="F2"/>
          <w:sz w:val="22"/>
          <w:szCs w:val="22"/>
          <w:lang w:val="es-MX" w:eastAsia="en-US"/>
        </w:rPr>
        <w:t xml:space="preserve">, siempre que resulten compatibles con esta modalidad de selección. Lo anterior debido a que hasta el momento no se ha expedido un documento tipo para la modalidad de selección abreviada de menor cuantía para obras de infraestructura de agua potable y saneamiento básico. </w:t>
      </w:r>
    </w:p>
    <w:p w14:paraId="75DCFE6B" w14:textId="77777777" w:rsidR="005072FA" w:rsidRDefault="005072FA" w:rsidP="00510DE9">
      <w:pPr>
        <w:tabs>
          <w:tab w:val="left" w:pos="0"/>
        </w:tabs>
        <w:jc w:val="both"/>
        <w:rPr>
          <w:rFonts w:ascii="Arial" w:eastAsia="Calibri" w:hAnsi="Arial" w:cs="Arial"/>
          <w:b/>
          <w:color w:val="000000" w:themeColor="text1"/>
          <w:sz w:val="22"/>
          <w:lang w:val="es-ES_tradnl"/>
        </w:rPr>
      </w:pPr>
    </w:p>
    <w:p w14:paraId="37CA9805" w14:textId="4DEC1B37"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861F0F">
      <w:pPr>
        <w:tabs>
          <w:tab w:val="left" w:pos="0"/>
        </w:tabs>
        <w:spacing w:line="276" w:lineRule="auto"/>
        <w:jc w:val="both"/>
        <w:rPr>
          <w:rFonts w:ascii="Arial" w:eastAsia="Calibri" w:hAnsi="Arial" w:cs="Arial"/>
          <w:b/>
          <w:color w:val="000000" w:themeColor="text1"/>
          <w:sz w:val="22"/>
          <w:lang w:val="es-ES_tradnl"/>
        </w:rPr>
      </w:pPr>
    </w:p>
    <w:p w14:paraId="0BD86B75" w14:textId="77777777" w:rsidR="007F4252" w:rsidRDefault="004356C0" w:rsidP="007F4252">
      <w:pPr>
        <w:spacing w:after="120"/>
        <w:ind w:left="709" w:right="709"/>
        <w:jc w:val="both"/>
        <w:rPr>
          <w:rFonts w:ascii="Arial" w:hAnsi="Arial" w:cs="Arial"/>
          <w:color w:val="000000" w:themeColor="text1"/>
          <w:sz w:val="21"/>
          <w:szCs w:val="21"/>
          <w:lang w:val="es-ES_tradnl"/>
        </w:rPr>
      </w:pPr>
      <w:r w:rsidRPr="004356C0">
        <w:rPr>
          <w:rFonts w:ascii="Arial" w:hAnsi="Arial" w:cs="Arial"/>
          <w:color w:val="000000" w:themeColor="text1"/>
          <w:sz w:val="21"/>
          <w:szCs w:val="21"/>
          <w:lang w:val="es-ES_tradnl"/>
        </w:rPr>
        <w:t>i)</w:t>
      </w:r>
      <w:r>
        <w:rPr>
          <w:rFonts w:ascii="Arial" w:hAnsi="Arial" w:cs="Arial"/>
          <w:color w:val="000000" w:themeColor="text1"/>
          <w:sz w:val="21"/>
          <w:szCs w:val="21"/>
          <w:lang w:val="es-ES_tradnl"/>
        </w:rPr>
        <w:t xml:space="preserve"> </w:t>
      </w:r>
      <w:r w:rsidR="005570AC" w:rsidRPr="005570AC">
        <w:rPr>
          <w:rFonts w:ascii="Arial" w:hAnsi="Arial" w:cs="Arial"/>
          <w:color w:val="000000" w:themeColor="text1"/>
          <w:sz w:val="21"/>
          <w:szCs w:val="21"/>
          <w:lang w:val="es-ES_tradnl"/>
        </w:rPr>
        <w:t>«</w:t>
      </w:r>
      <w:r w:rsidR="005570AC" w:rsidRPr="005570AC">
        <w:rPr>
          <w:rFonts w:ascii="Arial" w:hAnsi="Arial" w:cs="Arial"/>
          <w:bCs/>
          <w:color w:val="000000" w:themeColor="text1"/>
          <w:sz w:val="21"/>
          <w:szCs w:val="21"/>
          <w:lang w:val="es-ES_tradnl"/>
        </w:rPr>
        <w:t xml:space="preserve">¿Si hasta el momento no se han expedido Documentos Tipo para Selección Abreviada de infraestructura de agua potable y saneamiento básico, puedo </w:t>
      </w:r>
      <w:r w:rsidR="005570AC" w:rsidRPr="005570AC">
        <w:rPr>
          <w:rFonts w:ascii="Arial" w:hAnsi="Arial" w:cs="Arial"/>
          <w:bCs/>
          <w:color w:val="000000" w:themeColor="text1"/>
          <w:sz w:val="21"/>
          <w:szCs w:val="21"/>
          <w:lang w:val="es-ES_tradnl"/>
        </w:rPr>
        <w:lastRenderedPageBreak/>
        <w:t>utilizar los documentos tipo de Licitación Pública con las modificaciones correspondientes a la nueva modalidad?</w:t>
      </w:r>
      <w:r w:rsidR="005570AC" w:rsidRPr="005570AC">
        <w:rPr>
          <w:rFonts w:ascii="Arial" w:hAnsi="Arial" w:cs="Arial"/>
          <w:color w:val="000000" w:themeColor="text1"/>
          <w:sz w:val="21"/>
          <w:szCs w:val="21"/>
          <w:lang w:val="es-ES_tradnl"/>
        </w:rPr>
        <w:t xml:space="preserve">»  </w:t>
      </w:r>
    </w:p>
    <w:p w14:paraId="3F08B326" w14:textId="0FE2D37F" w:rsidR="004356C0" w:rsidRPr="007F4252" w:rsidRDefault="004356C0" w:rsidP="007F4252">
      <w:pPr>
        <w:spacing w:after="120"/>
        <w:ind w:left="709" w:right="709"/>
        <w:jc w:val="both"/>
        <w:rPr>
          <w:rFonts w:ascii="Arial" w:hAnsi="Arial" w:cs="Arial"/>
          <w:color w:val="000000" w:themeColor="text1"/>
          <w:sz w:val="21"/>
          <w:szCs w:val="21"/>
          <w:lang w:val="es-ES_tradnl"/>
        </w:rPr>
      </w:pPr>
      <w:r w:rsidRPr="008E791C">
        <w:rPr>
          <w:rFonts w:ascii="Arial" w:hAnsi="Arial" w:cs="Arial"/>
          <w:color w:val="000000" w:themeColor="text1"/>
          <w:sz w:val="21"/>
          <w:szCs w:val="21"/>
        </w:rPr>
        <w:t xml:space="preserve">  </w:t>
      </w:r>
    </w:p>
    <w:p w14:paraId="54A99FCF" w14:textId="77BD0EB4" w:rsidR="00935466" w:rsidRDefault="00DE29F5" w:rsidP="00C6107C">
      <w:pPr>
        <w:spacing w:line="276" w:lineRule="auto"/>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En el régimen de la contratación estatal, l</w:t>
      </w:r>
      <w:r w:rsidR="00E87466">
        <w:rPr>
          <w:rFonts w:ascii="Arial" w:eastAsiaTheme="minorHAnsi" w:hAnsi="Arial" w:cs="Arial"/>
          <w:color w:val="0D0D0D" w:themeColor="text1" w:themeTint="F2"/>
          <w:sz w:val="22"/>
          <w:szCs w:val="22"/>
          <w:lang w:val="es-MX" w:eastAsia="en-US"/>
        </w:rPr>
        <w:t>a declaratoria de desierta de una licitación pública es un supuesto de hecho previsto como una de las causales que permiten acudi</w:t>
      </w:r>
      <w:r>
        <w:rPr>
          <w:rFonts w:ascii="Arial" w:eastAsiaTheme="minorHAnsi" w:hAnsi="Arial" w:cs="Arial"/>
          <w:color w:val="0D0D0D" w:themeColor="text1" w:themeTint="F2"/>
          <w:sz w:val="22"/>
          <w:szCs w:val="22"/>
          <w:lang w:val="es-MX" w:eastAsia="en-US"/>
        </w:rPr>
        <w:t xml:space="preserve">r a la utilización de </w:t>
      </w:r>
      <w:r w:rsidR="00E87466">
        <w:rPr>
          <w:rFonts w:ascii="Arial" w:eastAsiaTheme="minorHAnsi" w:hAnsi="Arial" w:cs="Arial"/>
          <w:color w:val="0D0D0D" w:themeColor="text1" w:themeTint="F2"/>
          <w:sz w:val="22"/>
          <w:szCs w:val="22"/>
          <w:lang w:val="es-MX" w:eastAsia="en-US"/>
        </w:rPr>
        <w:t xml:space="preserve">la modalidad de selección abreviada de menor cuantía, en los términos previstos en el literal d) del numeral 2 del artículo 2 de Ley 1150 e 2007. En consecuencia, </w:t>
      </w:r>
      <w:r w:rsidR="007E15E0">
        <w:rPr>
          <w:rFonts w:ascii="Arial" w:eastAsiaTheme="minorHAnsi" w:hAnsi="Arial" w:cs="Arial"/>
          <w:color w:val="0D0D0D" w:themeColor="text1" w:themeTint="F2"/>
          <w:sz w:val="22"/>
          <w:szCs w:val="22"/>
          <w:lang w:val="es-MX" w:eastAsia="en-US"/>
        </w:rPr>
        <w:t xml:space="preserve">aun cuando </w:t>
      </w:r>
      <w:r w:rsidR="00E87466">
        <w:rPr>
          <w:rFonts w:ascii="Arial" w:eastAsiaTheme="minorHAnsi" w:hAnsi="Arial" w:cs="Arial"/>
          <w:color w:val="0D0D0D" w:themeColor="text1" w:themeTint="F2"/>
          <w:sz w:val="22"/>
          <w:szCs w:val="22"/>
          <w:lang w:val="es-MX" w:eastAsia="en-US"/>
        </w:rPr>
        <w:t xml:space="preserve">la licitación declarada desierta </w:t>
      </w:r>
      <w:r w:rsidR="007E15E0">
        <w:rPr>
          <w:rFonts w:ascii="Arial" w:eastAsiaTheme="minorHAnsi" w:hAnsi="Arial" w:cs="Arial"/>
          <w:color w:val="0D0D0D" w:themeColor="text1" w:themeTint="F2"/>
          <w:sz w:val="22"/>
          <w:szCs w:val="22"/>
          <w:lang w:val="es-MX" w:eastAsia="en-US"/>
        </w:rPr>
        <w:t>haya sido</w:t>
      </w:r>
      <w:r w:rsidR="00E87466">
        <w:rPr>
          <w:rFonts w:ascii="Arial" w:eastAsiaTheme="minorHAnsi" w:hAnsi="Arial" w:cs="Arial"/>
          <w:color w:val="0D0D0D" w:themeColor="text1" w:themeTint="F2"/>
          <w:sz w:val="22"/>
          <w:szCs w:val="22"/>
          <w:lang w:val="es-MX" w:eastAsia="en-US"/>
        </w:rPr>
        <w:t xml:space="preserve"> para la contratación de una obra pública de infraestructura de agua potable y saneamiento básico regida por Documentos Tipo, podrá acudirse a</w:t>
      </w:r>
      <w:r w:rsidR="00935466">
        <w:rPr>
          <w:rFonts w:ascii="Arial" w:eastAsiaTheme="minorHAnsi" w:hAnsi="Arial" w:cs="Arial"/>
          <w:color w:val="0D0D0D" w:themeColor="text1" w:themeTint="F2"/>
          <w:sz w:val="22"/>
          <w:szCs w:val="22"/>
          <w:lang w:val="es-MX" w:eastAsia="en-US"/>
        </w:rPr>
        <w:t xml:space="preserve">l proceso de selección abreviada de menor cuantía dentro de los 4 meses siguientes a la declaración de desierta del proceso inicial. </w:t>
      </w:r>
    </w:p>
    <w:p w14:paraId="136E97C1" w14:textId="03D06737" w:rsidR="007E15E0" w:rsidRDefault="00935466" w:rsidP="00D21BE0">
      <w:pPr>
        <w:spacing w:before="120" w:after="120" w:line="276" w:lineRule="auto"/>
        <w:ind w:firstLine="709"/>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Para el efecto</w:t>
      </w:r>
      <w:r w:rsidR="00DE29F5">
        <w:rPr>
          <w:rFonts w:ascii="Arial" w:eastAsiaTheme="minorHAnsi" w:hAnsi="Arial" w:cs="Arial"/>
          <w:color w:val="0D0D0D" w:themeColor="text1" w:themeTint="F2"/>
          <w:sz w:val="22"/>
          <w:szCs w:val="22"/>
          <w:lang w:val="es-MX" w:eastAsia="en-US"/>
        </w:rPr>
        <w:t xml:space="preserve">, en vista de que la obra pública de infraestructura de agua potable y saneamiento básico no hace parte de la infraestructura de transporte a que hace referencia </w:t>
      </w:r>
      <w:r w:rsidR="00A01B79">
        <w:rPr>
          <w:rFonts w:ascii="Arial" w:eastAsiaTheme="minorHAnsi" w:hAnsi="Arial" w:cs="Arial"/>
          <w:color w:val="0D0D0D" w:themeColor="text1" w:themeTint="F2"/>
          <w:sz w:val="22"/>
          <w:szCs w:val="22"/>
          <w:lang w:val="es-MX" w:eastAsia="en-US"/>
        </w:rPr>
        <w:t xml:space="preserve">el </w:t>
      </w:r>
      <w:r w:rsidR="00D355BD" w:rsidRPr="005072FA">
        <w:rPr>
          <w:rFonts w:ascii="Arial" w:eastAsia="Calibri" w:hAnsi="Arial" w:cs="Arial"/>
          <w:sz w:val="22"/>
        </w:rPr>
        <w:t xml:space="preserve">artículo 2.2.1.2.6.1.6. del Decreto </w:t>
      </w:r>
      <w:r w:rsidR="00D355BD">
        <w:rPr>
          <w:rFonts w:ascii="Arial" w:eastAsia="Calibri" w:hAnsi="Arial" w:cs="Arial"/>
          <w:sz w:val="22"/>
        </w:rPr>
        <w:t>1082 de 2015 y el artículo 5 de la Resolución No. 240 de 2020 de Colombia Compra Eficiente</w:t>
      </w:r>
      <w:r w:rsidR="00CC4CF7">
        <w:rPr>
          <w:rStyle w:val="Refdenotaalpie"/>
          <w:rFonts w:ascii="Arial" w:eastAsia="Calibri" w:hAnsi="Arial" w:cs="Arial"/>
          <w:sz w:val="22"/>
        </w:rPr>
        <w:footnoteReference w:id="6"/>
      </w:r>
      <w:r w:rsidR="00DE29F5">
        <w:rPr>
          <w:rFonts w:ascii="Arial" w:eastAsiaTheme="minorHAnsi" w:hAnsi="Arial" w:cs="Arial"/>
          <w:color w:val="0D0D0D" w:themeColor="text1" w:themeTint="F2"/>
          <w:sz w:val="22"/>
          <w:szCs w:val="22"/>
          <w:lang w:val="es-MX" w:eastAsia="en-US"/>
        </w:rPr>
        <w:t>,</w:t>
      </w:r>
      <w:r>
        <w:rPr>
          <w:rFonts w:ascii="Arial" w:eastAsiaTheme="minorHAnsi" w:hAnsi="Arial" w:cs="Arial"/>
          <w:color w:val="0D0D0D" w:themeColor="text1" w:themeTint="F2"/>
          <w:sz w:val="22"/>
          <w:szCs w:val="22"/>
          <w:lang w:val="es-MX" w:eastAsia="en-US"/>
        </w:rPr>
        <w:t xml:space="preserve"> la entidad contratante </w:t>
      </w:r>
      <w:r w:rsidR="007F4252">
        <w:rPr>
          <w:rFonts w:ascii="Arial" w:eastAsiaTheme="minorHAnsi" w:hAnsi="Arial" w:cs="Arial"/>
          <w:color w:val="0D0D0D" w:themeColor="text1" w:themeTint="F2"/>
          <w:sz w:val="22"/>
          <w:szCs w:val="22"/>
          <w:lang w:val="es-MX" w:eastAsia="en-US"/>
        </w:rPr>
        <w:t>no est</w:t>
      </w:r>
      <w:r w:rsidR="00C623A4">
        <w:rPr>
          <w:rFonts w:ascii="Arial" w:eastAsiaTheme="minorHAnsi" w:hAnsi="Arial" w:cs="Arial"/>
          <w:color w:val="0D0D0D" w:themeColor="text1" w:themeTint="F2"/>
          <w:sz w:val="22"/>
          <w:szCs w:val="22"/>
          <w:lang w:val="es-MX" w:eastAsia="en-US"/>
        </w:rPr>
        <w:t>aría</w:t>
      </w:r>
      <w:r w:rsidR="007F4252">
        <w:rPr>
          <w:rFonts w:ascii="Arial" w:eastAsiaTheme="minorHAnsi" w:hAnsi="Arial" w:cs="Arial"/>
          <w:color w:val="0D0D0D" w:themeColor="text1" w:themeTint="F2"/>
          <w:sz w:val="22"/>
          <w:szCs w:val="22"/>
          <w:lang w:val="es-MX" w:eastAsia="en-US"/>
        </w:rPr>
        <w:t xml:space="preserve"> obligada a </w:t>
      </w:r>
      <w:r w:rsidR="00C623A4">
        <w:rPr>
          <w:rFonts w:ascii="Arial" w:eastAsiaTheme="minorHAnsi" w:hAnsi="Arial" w:cs="Arial"/>
          <w:color w:val="0D0D0D" w:themeColor="text1" w:themeTint="F2"/>
          <w:sz w:val="22"/>
          <w:szCs w:val="22"/>
          <w:lang w:val="es-MX" w:eastAsia="en-US"/>
        </w:rPr>
        <w:t>aplicar</w:t>
      </w:r>
      <w:r>
        <w:rPr>
          <w:rFonts w:ascii="Arial" w:eastAsiaTheme="minorHAnsi" w:hAnsi="Arial" w:cs="Arial"/>
          <w:color w:val="0D0D0D" w:themeColor="text1" w:themeTint="F2"/>
          <w:sz w:val="22"/>
          <w:szCs w:val="22"/>
          <w:lang w:val="es-MX" w:eastAsia="en-US"/>
        </w:rPr>
        <w:t xml:space="preserve"> los Docu</w:t>
      </w:r>
      <w:r w:rsidR="007F4252">
        <w:rPr>
          <w:rFonts w:ascii="Arial" w:eastAsiaTheme="minorHAnsi" w:hAnsi="Arial" w:cs="Arial"/>
          <w:color w:val="0D0D0D" w:themeColor="text1" w:themeTint="F2"/>
          <w:sz w:val="22"/>
          <w:szCs w:val="22"/>
          <w:lang w:val="es-MX" w:eastAsia="en-US"/>
        </w:rPr>
        <w:t>mentos tipo</w:t>
      </w:r>
      <w:r w:rsidR="00C623A4">
        <w:rPr>
          <w:rFonts w:ascii="Arial" w:eastAsiaTheme="minorHAnsi" w:hAnsi="Arial" w:cs="Arial"/>
          <w:color w:val="0D0D0D" w:themeColor="text1" w:themeTint="F2"/>
          <w:sz w:val="22"/>
          <w:szCs w:val="22"/>
          <w:lang w:val="es-MX" w:eastAsia="en-US"/>
        </w:rPr>
        <w:t>, ya que no existiría documento tipo que rigiera en la nueva modalidad de selección,</w:t>
      </w:r>
      <w:r w:rsidR="007F4252">
        <w:rPr>
          <w:rFonts w:ascii="Arial" w:eastAsiaTheme="minorHAnsi" w:hAnsi="Arial" w:cs="Arial"/>
          <w:color w:val="0D0D0D" w:themeColor="text1" w:themeTint="F2"/>
          <w:sz w:val="22"/>
          <w:szCs w:val="22"/>
          <w:lang w:val="es-MX" w:eastAsia="en-US"/>
        </w:rPr>
        <w:t xml:space="preserve"> </w:t>
      </w:r>
      <w:r w:rsidR="00C623A4">
        <w:rPr>
          <w:rFonts w:ascii="Arial" w:eastAsiaTheme="minorHAnsi" w:hAnsi="Arial" w:cs="Arial"/>
          <w:color w:val="0D0D0D" w:themeColor="text1" w:themeTint="F2"/>
          <w:sz w:val="22"/>
          <w:szCs w:val="22"/>
          <w:lang w:val="es-MX" w:eastAsia="en-US"/>
        </w:rPr>
        <w:t>por lo que</w:t>
      </w:r>
      <w:r w:rsidR="007F4252">
        <w:rPr>
          <w:rFonts w:ascii="Arial" w:eastAsiaTheme="minorHAnsi" w:hAnsi="Arial" w:cs="Arial"/>
          <w:color w:val="0D0D0D" w:themeColor="text1" w:themeTint="F2"/>
          <w:sz w:val="22"/>
          <w:szCs w:val="22"/>
          <w:lang w:val="es-MX" w:eastAsia="en-US"/>
        </w:rPr>
        <w:t xml:space="preserve"> debe </w:t>
      </w:r>
      <w:r>
        <w:rPr>
          <w:rFonts w:ascii="Arial" w:eastAsiaTheme="minorHAnsi" w:hAnsi="Arial" w:cs="Arial"/>
          <w:color w:val="0D0D0D" w:themeColor="text1" w:themeTint="F2"/>
          <w:sz w:val="22"/>
          <w:szCs w:val="22"/>
          <w:lang w:val="es-MX" w:eastAsia="en-US"/>
        </w:rPr>
        <w:t>aplicar las reglas de procedimiento definidas para el proceso de selección abreviada de menor cuantía</w:t>
      </w:r>
      <w:r w:rsidR="007F4252">
        <w:rPr>
          <w:rFonts w:ascii="Arial" w:eastAsiaTheme="minorHAnsi" w:hAnsi="Arial" w:cs="Arial"/>
          <w:color w:val="0D0D0D" w:themeColor="text1" w:themeTint="F2"/>
          <w:sz w:val="22"/>
          <w:szCs w:val="22"/>
          <w:lang w:val="es-MX" w:eastAsia="en-US"/>
        </w:rPr>
        <w:t>,</w:t>
      </w:r>
      <w:r>
        <w:rPr>
          <w:rFonts w:ascii="Arial" w:eastAsiaTheme="minorHAnsi" w:hAnsi="Arial" w:cs="Arial"/>
          <w:color w:val="0D0D0D" w:themeColor="text1" w:themeTint="F2"/>
          <w:sz w:val="22"/>
          <w:szCs w:val="22"/>
          <w:lang w:val="es-MX" w:eastAsia="en-US"/>
        </w:rPr>
        <w:t xml:space="preserve"> en los términos de los artículos </w:t>
      </w:r>
      <w:r w:rsidRPr="005072FA">
        <w:rPr>
          <w:rFonts w:ascii="Arial" w:eastAsia="Calibri" w:hAnsi="Arial" w:cs="Arial"/>
          <w:sz w:val="22"/>
        </w:rPr>
        <w:t>2.2.1.2.1.2.20</w:t>
      </w:r>
      <w:r w:rsidR="00C623A4">
        <w:rPr>
          <w:rFonts w:ascii="Arial" w:eastAsia="Calibri" w:hAnsi="Arial" w:cs="Arial"/>
          <w:sz w:val="22"/>
        </w:rPr>
        <w:t xml:space="preserve"> y</w:t>
      </w:r>
      <w:r w:rsidRPr="005072FA">
        <w:rPr>
          <w:rFonts w:ascii="Arial" w:eastAsia="Calibri" w:hAnsi="Arial" w:cs="Arial"/>
          <w:sz w:val="22"/>
        </w:rPr>
        <w:t xml:space="preserve"> </w:t>
      </w:r>
      <w:r>
        <w:rPr>
          <w:rFonts w:ascii="Arial" w:eastAsiaTheme="minorHAnsi" w:hAnsi="Arial" w:cs="Arial"/>
          <w:color w:val="0D0D0D" w:themeColor="text1" w:themeTint="F2"/>
          <w:sz w:val="22"/>
          <w:szCs w:val="22"/>
          <w:lang w:val="es-MX" w:eastAsia="en-US"/>
        </w:rPr>
        <w:t>2.2.1.2.1.2.22 del Decreto 1082 de 2015</w:t>
      </w:r>
      <w:r w:rsidR="007F4252">
        <w:rPr>
          <w:rFonts w:ascii="Arial" w:eastAsiaTheme="minorHAnsi" w:hAnsi="Arial" w:cs="Arial"/>
          <w:color w:val="0D0D0D" w:themeColor="text1" w:themeTint="F2"/>
          <w:sz w:val="22"/>
          <w:szCs w:val="22"/>
          <w:lang w:val="es-MX" w:eastAsia="en-US"/>
        </w:rPr>
        <w:t xml:space="preserve">. </w:t>
      </w:r>
      <w:r w:rsidR="00CF0A30">
        <w:rPr>
          <w:rFonts w:ascii="Arial" w:eastAsiaTheme="minorHAnsi" w:hAnsi="Arial" w:cs="Arial"/>
          <w:color w:val="0D0D0D" w:themeColor="text1" w:themeTint="F2"/>
          <w:sz w:val="22"/>
          <w:szCs w:val="22"/>
          <w:lang w:val="es-MX" w:eastAsia="en-US"/>
        </w:rPr>
        <w:t xml:space="preserve">Esta última conclusión </w:t>
      </w:r>
      <w:r w:rsidR="002C3E23">
        <w:rPr>
          <w:rFonts w:ascii="Arial" w:eastAsiaTheme="minorHAnsi" w:hAnsi="Arial" w:cs="Arial"/>
          <w:color w:val="0D0D0D" w:themeColor="text1" w:themeTint="F2"/>
          <w:sz w:val="22"/>
          <w:szCs w:val="22"/>
          <w:lang w:val="es-MX" w:eastAsia="en-US"/>
        </w:rPr>
        <w:t xml:space="preserve">resulta </w:t>
      </w:r>
      <w:r w:rsidR="00CF0A30">
        <w:rPr>
          <w:rFonts w:ascii="Arial" w:eastAsiaTheme="minorHAnsi" w:hAnsi="Arial" w:cs="Arial"/>
          <w:color w:val="0D0D0D" w:themeColor="text1" w:themeTint="F2"/>
          <w:sz w:val="22"/>
          <w:szCs w:val="22"/>
          <w:lang w:val="es-MX" w:eastAsia="en-US"/>
        </w:rPr>
        <w:t>procede</w:t>
      </w:r>
      <w:r w:rsidR="002C3E23">
        <w:rPr>
          <w:rFonts w:ascii="Arial" w:eastAsiaTheme="minorHAnsi" w:hAnsi="Arial" w:cs="Arial"/>
          <w:color w:val="0D0D0D" w:themeColor="text1" w:themeTint="F2"/>
          <w:sz w:val="22"/>
          <w:szCs w:val="22"/>
          <w:lang w:val="es-MX" w:eastAsia="en-US"/>
        </w:rPr>
        <w:t>nte</w:t>
      </w:r>
      <w:r w:rsidR="007E15E0">
        <w:rPr>
          <w:rFonts w:ascii="Arial" w:eastAsiaTheme="minorHAnsi" w:hAnsi="Arial" w:cs="Arial"/>
          <w:color w:val="0D0D0D" w:themeColor="text1" w:themeTint="F2"/>
          <w:sz w:val="22"/>
          <w:szCs w:val="22"/>
          <w:lang w:val="es-MX" w:eastAsia="en-US"/>
        </w:rPr>
        <w:t xml:space="preserve"> </w:t>
      </w:r>
      <w:r w:rsidR="00D355BD">
        <w:rPr>
          <w:rFonts w:ascii="Arial" w:eastAsiaTheme="minorHAnsi" w:hAnsi="Arial" w:cs="Arial"/>
          <w:color w:val="0D0D0D" w:themeColor="text1" w:themeTint="F2"/>
          <w:sz w:val="22"/>
          <w:szCs w:val="22"/>
          <w:lang w:val="es-MX" w:eastAsia="en-US"/>
        </w:rPr>
        <w:t xml:space="preserve">a menos que Colombia Compra Eficiente adopte nuevos </w:t>
      </w:r>
      <w:r w:rsidR="007E15E0">
        <w:rPr>
          <w:rFonts w:ascii="Arial" w:eastAsiaTheme="minorHAnsi" w:hAnsi="Arial" w:cs="Arial"/>
          <w:color w:val="0D0D0D" w:themeColor="text1" w:themeTint="F2"/>
          <w:sz w:val="22"/>
          <w:szCs w:val="22"/>
          <w:lang w:val="es-MX" w:eastAsia="en-US"/>
        </w:rPr>
        <w:t xml:space="preserve">Documentos Tipo que se </w:t>
      </w:r>
      <w:r w:rsidR="00D355BD">
        <w:rPr>
          <w:rFonts w:ascii="Arial" w:eastAsiaTheme="minorHAnsi" w:hAnsi="Arial" w:cs="Arial"/>
          <w:color w:val="0D0D0D" w:themeColor="text1" w:themeTint="F2"/>
          <w:sz w:val="22"/>
          <w:szCs w:val="22"/>
          <w:lang w:val="es-MX" w:eastAsia="en-US"/>
        </w:rPr>
        <w:t xml:space="preserve">lleguen a </w:t>
      </w:r>
      <w:r w:rsidR="007E15E0">
        <w:rPr>
          <w:rFonts w:ascii="Arial" w:eastAsiaTheme="minorHAnsi" w:hAnsi="Arial" w:cs="Arial"/>
          <w:color w:val="0D0D0D" w:themeColor="text1" w:themeTint="F2"/>
          <w:sz w:val="22"/>
          <w:szCs w:val="22"/>
          <w:lang w:val="es-MX" w:eastAsia="en-US"/>
        </w:rPr>
        <w:t>apli</w:t>
      </w:r>
      <w:r w:rsidR="00D355BD">
        <w:rPr>
          <w:rFonts w:ascii="Arial" w:eastAsiaTheme="minorHAnsi" w:hAnsi="Arial" w:cs="Arial"/>
          <w:color w:val="0D0D0D" w:themeColor="text1" w:themeTint="F2"/>
          <w:sz w:val="22"/>
          <w:szCs w:val="22"/>
          <w:lang w:val="es-MX" w:eastAsia="en-US"/>
        </w:rPr>
        <w:t>car</w:t>
      </w:r>
      <w:r w:rsidR="007E15E0">
        <w:rPr>
          <w:rFonts w:ascii="Arial" w:eastAsiaTheme="minorHAnsi" w:hAnsi="Arial" w:cs="Arial"/>
          <w:color w:val="0D0D0D" w:themeColor="text1" w:themeTint="F2"/>
          <w:sz w:val="22"/>
          <w:szCs w:val="22"/>
          <w:lang w:val="es-MX" w:eastAsia="en-US"/>
        </w:rPr>
        <w:t xml:space="preserve"> a la selección abreviada de menor cuantía para obras de infraestructura de agua potable y saneamiento básico, caso en el cual se aplicarán éstos</w:t>
      </w:r>
      <w:r w:rsidR="007F4252">
        <w:rPr>
          <w:rFonts w:ascii="Arial" w:eastAsiaTheme="minorHAnsi" w:hAnsi="Arial" w:cs="Arial"/>
          <w:color w:val="0D0D0D" w:themeColor="text1" w:themeTint="F2"/>
          <w:sz w:val="22"/>
          <w:szCs w:val="22"/>
          <w:lang w:val="es-MX" w:eastAsia="en-US"/>
        </w:rPr>
        <w:t xml:space="preserve"> últimos</w:t>
      </w:r>
      <w:r>
        <w:rPr>
          <w:rFonts w:ascii="Arial" w:eastAsiaTheme="minorHAnsi" w:hAnsi="Arial" w:cs="Arial"/>
          <w:color w:val="0D0D0D" w:themeColor="text1" w:themeTint="F2"/>
          <w:sz w:val="22"/>
          <w:szCs w:val="22"/>
          <w:lang w:val="es-MX" w:eastAsia="en-US"/>
        </w:rPr>
        <w:t xml:space="preserve">.  </w:t>
      </w:r>
    </w:p>
    <w:p w14:paraId="273DC017" w14:textId="0D53D0EA" w:rsidR="007F4252" w:rsidRDefault="007F4252" w:rsidP="007F4252">
      <w:pPr>
        <w:spacing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 xml:space="preserve">Lo anterior sin perjuicio de que, </w:t>
      </w:r>
      <w:r w:rsidR="00587D44">
        <w:rPr>
          <w:rFonts w:ascii="Arial" w:eastAsiaTheme="minorHAnsi" w:hAnsi="Arial" w:cs="Arial"/>
          <w:color w:val="0D0D0D" w:themeColor="text1" w:themeTint="F2"/>
          <w:sz w:val="22"/>
          <w:szCs w:val="22"/>
          <w:lang w:val="es-MX" w:eastAsia="en-US"/>
        </w:rPr>
        <w:t xml:space="preserve">en ejercicio </w:t>
      </w:r>
      <w:r>
        <w:rPr>
          <w:rFonts w:ascii="Arial" w:eastAsiaTheme="minorHAnsi" w:hAnsi="Arial" w:cs="Arial"/>
          <w:color w:val="0D0D0D" w:themeColor="text1" w:themeTint="F2"/>
          <w:sz w:val="22"/>
          <w:szCs w:val="22"/>
          <w:lang w:val="es-MX" w:eastAsia="en-US"/>
        </w:rPr>
        <w:t>de</w:t>
      </w:r>
      <w:r w:rsidR="00587D44">
        <w:rPr>
          <w:rFonts w:ascii="Arial" w:eastAsiaTheme="minorHAnsi" w:hAnsi="Arial" w:cs="Arial"/>
          <w:color w:val="0D0D0D" w:themeColor="text1" w:themeTint="F2"/>
          <w:sz w:val="22"/>
          <w:szCs w:val="22"/>
          <w:lang w:val="es-MX" w:eastAsia="en-US"/>
        </w:rPr>
        <w:t xml:space="preserve"> una</w:t>
      </w:r>
      <w:r>
        <w:rPr>
          <w:rFonts w:ascii="Arial" w:eastAsiaTheme="minorHAnsi" w:hAnsi="Arial" w:cs="Arial"/>
          <w:color w:val="0D0D0D" w:themeColor="text1" w:themeTint="F2"/>
          <w:sz w:val="22"/>
          <w:szCs w:val="22"/>
          <w:lang w:val="es-MX" w:eastAsia="en-US"/>
        </w:rPr>
        <w:t xml:space="preserve"> buena práctica contractual </w:t>
      </w:r>
      <w:r w:rsidR="00507CE5">
        <w:rPr>
          <w:rFonts w:ascii="Arial" w:eastAsiaTheme="minorHAnsi" w:hAnsi="Arial" w:cs="Arial"/>
          <w:color w:val="0D0D0D" w:themeColor="text1" w:themeTint="F2"/>
          <w:sz w:val="22"/>
          <w:szCs w:val="22"/>
          <w:lang w:val="es-MX" w:eastAsia="en-US"/>
        </w:rPr>
        <w:t>–</w:t>
      </w:r>
      <w:r w:rsidR="00C623A4">
        <w:rPr>
          <w:rFonts w:ascii="Arial" w:eastAsiaTheme="minorHAnsi" w:hAnsi="Arial" w:cs="Arial"/>
          <w:color w:val="0D0D0D" w:themeColor="text1" w:themeTint="F2"/>
          <w:sz w:val="22"/>
          <w:szCs w:val="22"/>
          <w:lang w:val="es-MX" w:eastAsia="en-US"/>
        </w:rPr>
        <w:t xml:space="preserve">incluso </w:t>
      </w:r>
      <w:r w:rsidR="0000125C">
        <w:rPr>
          <w:rFonts w:ascii="Arial" w:eastAsiaTheme="minorHAnsi" w:hAnsi="Arial" w:cs="Arial"/>
          <w:color w:val="0D0D0D" w:themeColor="text1" w:themeTint="F2"/>
          <w:sz w:val="22"/>
          <w:szCs w:val="22"/>
          <w:lang w:val="es-MX" w:eastAsia="en-US"/>
        </w:rPr>
        <w:t>recomendada por</w:t>
      </w:r>
      <w:r w:rsidR="00507CE5">
        <w:rPr>
          <w:rFonts w:ascii="Arial" w:eastAsiaTheme="minorHAnsi" w:hAnsi="Arial" w:cs="Arial"/>
          <w:color w:val="0D0D0D" w:themeColor="text1" w:themeTint="F2"/>
          <w:sz w:val="22"/>
          <w:szCs w:val="22"/>
          <w:lang w:val="es-MX" w:eastAsia="en-US"/>
        </w:rPr>
        <w:t xml:space="preserve"> esta Agencia–, </w:t>
      </w:r>
      <w:r>
        <w:rPr>
          <w:rFonts w:ascii="Arial" w:eastAsiaTheme="minorHAnsi" w:hAnsi="Arial" w:cs="Arial"/>
          <w:color w:val="0D0D0D" w:themeColor="text1" w:themeTint="F2"/>
          <w:sz w:val="22"/>
          <w:szCs w:val="22"/>
          <w:lang w:val="es-MX" w:eastAsia="en-US"/>
        </w:rPr>
        <w:t xml:space="preserve">cuando la licitación pública declarada desierta sea de un proceso regido por documentos tipo de obra de infraestructura </w:t>
      </w:r>
      <w:r w:rsidR="00507CE5">
        <w:rPr>
          <w:rFonts w:ascii="Arial" w:eastAsiaTheme="minorHAnsi" w:hAnsi="Arial" w:cs="Arial"/>
          <w:color w:val="0D0D0D" w:themeColor="text1" w:themeTint="F2"/>
          <w:sz w:val="22"/>
          <w:szCs w:val="22"/>
          <w:lang w:val="es-MX" w:eastAsia="en-US"/>
        </w:rPr>
        <w:t>de agua potable y saneamiento básico</w:t>
      </w:r>
      <w:r>
        <w:rPr>
          <w:rFonts w:ascii="Arial" w:eastAsiaTheme="minorHAnsi" w:hAnsi="Arial" w:cs="Arial"/>
          <w:color w:val="0D0D0D" w:themeColor="text1" w:themeTint="F2"/>
          <w:sz w:val="22"/>
          <w:szCs w:val="22"/>
          <w:lang w:val="es-MX" w:eastAsia="en-US"/>
        </w:rPr>
        <w:t>, considere conveniente y viable mantener las condiciones y requisitos exigidos en los documentos tipo para el nuevo proceso de selección que se adelantará bajo las reglas de la selección abreviada de menor cuantía</w:t>
      </w:r>
      <w:r w:rsidR="00507CE5">
        <w:rPr>
          <w:rFonts w:ascii="Arial" w:eastAsiaTheme="minorHAnsi" w:hAnsi="Arial" w:cs="Arial"/>
          <w:color w:val="0D0D0D" w:themeColor="text1" w:themeTint="F2"/>
          <w:sz w:val="22"/>
          <w:szCs w:val="22"/>
          <w:lang w:val="es-MX" w:eastAsia="en-US"/>
        </w:rPr>
        <w:t xml:space="preserve">, siempre que estas resulten compatibles con las disposiciones aplicables a esta última modalidad de selección. Teniendo en cuenta que, en todo caso, frente a esta causal de selección abreviada no procede la </w:t>
      </w:r>
      <w:r w:rsidR="003B7E35">
        <w:rPr>
          <w:rFonts w:ascii="Arial" w:eastAsiaTheme="minorHAnsi" w:hAnsi="Arial" w:cs="Arial"/>
          <w:color w:val="0D0D0D" w:themeColor="text1" w:themeTint="F2"/>
          <w:sz w:val="22"/>
          <w:szCs w:val="22"/>
          <w:lang w:val="es-MX" w:eastAsia="en-US"/>
        </w:rPr>
        <w:t>recepción de</w:t>
      </w:r>
      <w:r w:rsidR="003B7E35" w:rsidRPr="003B7E35">
        <w:rPr>
          <w:rFonts w:ascii="Arial" w:eastAsiaTheme="minorHAnsi" w:hAnsi="Arial" w:cs="Arial"/>
          <w:color w:val="0D0D0D" w:themeColor="text1" w:themeTint="F2"/>
          <w:sz w:val="22"/>
          <w:szCs w:val="22"/>
          <w:lang w:val="es-MX" w:eastAsia="en-US"/>
        </w:rPr>
        <w:t xml:space="preserve"> manifestaciones de interés, </w:t>
      </w:r>
      <w:r w:rsidR="003B7E35">
        <w:rPr>
          <w:rFonts w:ascii="Arial" w:eastAsiaTheme="minorHAnsi" w:hAnsi="Arial" w:cs="Arial"/>
          <w:color w:val="0D0D0D" w:themeColor="text1" w:themeTint="F2"/>
          <w:sz w:val="22"/>
          <w:szCs w:val="22"/>
          <w:lang w:val="es-MX" w:eastAsia="en-US"/>
        </w:rPr>
        <w:t>ni la</w:t>
      </w:r>
      <w:r w:rsidR="003B7E35" w:rsidRPr="003B7E35">
        <w:rPr>
          <w:rFonts w:ascii="Arial" w:eastAsiaTheme="minorHAnsi" w:hAnsi="Arial" w:cs="Arial"/>
          <w:color w:val="0D0D0D" w:themeColor="text1" w:themeTint="F2"/>
          <w:sz w:val="22"/>
          <w:szCs w:val="22"/>
          <w:lang w:val="es-MX" w:eastAsia="en-US"/>
        </w:rPr>
        <w:t xml:space="preserve"> realiza</w:t>
      </w:r>
      <w:r w:rsidR="003B7E35">
        <w:rPr>
          <w:rFonts w:ascii="Arial" w:eastAsiaTheme="minorHAnsi" w:hAnsi="Arial" w:cs="Arial"/>
          <w:color w:val="0D0D0D" w:themeColor="text1" w:themeTint="F2"/>
          <w:sz w:val="22"/>
          <w:szCs w:val="22"/>
          <w:lang w:val="es-MX" w:eastAsia="en-US"/>
        </w:rPr>
        <w:t>ción</w:t>
      </w:r>
      <w:r w:rsidR="003B7E35" w:rsidRPr="003B7E35">
        <w:rPr>
          <w:rFonts w:ascii="Arial" w:eastAsiaTheme="minorHAnsi" w:hAnsi="Arial" w:cs="Arial"/>
          <w:color w:val="0D0D0D" w:themeColor="text1" w:themeTint="F2"/>
          <w:sz w:val="22"/>
          <w:szCs w:val="22"/>
          <w:lang w:val="es-MX" w:eastAsia="en-US"/>
        </w:rPr>
        <w:t xml:space="preserve"> </w:t>
      </w:r>
      <w:r w:rsidR="003B7E35">
        <w:rPr>
          <w:rFonts w:ascii="Arial" w:eastAsiaTheme="minorHAnsi" w:hAnsi="Arial" w:cs="Arial"/>
          <w:color w:val="0D0D0D" w:themeColor="text1" w:themeTint="F2"/>
          <w:sz w:val="22"/>
          <w:szCs w:val="22"/>
          <w:lang w:val="es-MX" w:eastAsia="en-US"/>
        </w:rPr>
        <w:t>d</w:t>
      </w:r>
      <w:r w:rsidR="003B7E35" w:rsidRPr="003B7E35">
        <w:rPr>
          <w:rFonts w:ascii="Arial" w:eastAsiaTheme="minorHAnsi" w:hAnsi="Arial" w:cs="Arial"/>
          <w:color w:val="0D0D0D" w:themeColor="text1" w:themeTint="F2"/>
          <w:sz w:val="22"/>
          <w:szCs w:val="22"/>
          <w:lang w:val="es-MX" w:eastAsia="en-US"/>
        </w:rPr>
        <w:t>el sorteo de oferentes</w:t>
      </w:r>
      <w:r w:rsidR="003B7E35">
        <w:rPr>
          <w:rFonts w:ascii="Arial" w:eastAsiaTheme="minorHAnsi" w:hAnsi="Arial" w:cs="Arial"/>
          <w:color w:val="0D0D0D" w:themeColor="text1" w:themeTint="F2"/>
          <w:sz w:val="22"/>
          <w:szCs w:val="22"/>
          <w:lang w:val="es-MX" w:eastAsia="en-US"/>
        </w:rPr>
        <w:t xml:space="preserve"> –art. </w:t>
      </w:r>
      <w:r w:rsidR="003B7E35" w:rsidRPr="00D21BE0">
        <w:rPr>
          <w:rFonts w:ascii="Arial" w:eastAsiaTheme="minorHAnsi" w:hAnsi="Arial" w:cs="Arial"/>
          <w:color w:val="0D0D0D" w:themeColor="text1" w:themeTint="F2"/>
          <w:sz w:val="22"/>
          <w:szCs w:val="22"/>
          <w:lang w:val="es-MX" w:eastAsia="en-US"/>
        </w:rPr>
        <w:t>2.2.1.2.1.2.22. del Decreto 1082 de 2015–.</w:t>
      </w:r>
    </w:p>
    <w:p w14:paraId="14D32718" w14:textId="182F0039" w:rsidR="00ED455D" w:rsidRPr="00D21BE0" w:rsidRDefault="00ED455D" w:rsidP="00D21BE0">
      <w:pPr>
        <w:spacing w:line="276" w:lineRule="auto"/>
        <w:ind w:firstLine="708"/>
        <w:jc w:val="both"/>
        <w:rPr>
          <w:rFonts w:ascii="Arial" w:eastAsiaTheme="minorHAnsi" w:hAnsi="Arial" w:cs="Arial"/>
          <w:color w:val="0D0D0D" w:themeColor="text1" w:themeTint="F2"/>
          <w:sz w:val="22"/>
          <w:szCs w:val="22"/>
          <w:lang w:val="es-MX" w:eastAsia="en-US"/>
        </w:rPr>
      </w:pPr>
    </w:p>
    <w:p w14:paraId="5E283C28" w14:textId="32468B57" w:rsidR="007F4252" w:rsidRPr="007F4252" w:rsidRDefault="007F4252" w:rsidP="00D21BE0">
      <w:pPr>
        <w:ind w:left="709" w:right="709"/>
        <w:jc w:val="both"/>
        <w:rPr>
          <w:rFonts w:ascii="Arial" w:hAnsi="Arial" w:cs="Arial"/>
          <w:color w:val="000000" w:themeColor="text1"/>
          <w:sz w:val="21"/>
          <w:szCs w:val="21"/>
        </w:rPr>
      </w:pPr>
      <w:r w:rsidRPr="005570AC">
        <w:rPr>
          <w:rFonts w:ascii="Arial" w:hAnsi="Arial" w:cs="Arial"/>
          <w:color w:val="000000" w:themeColor="text1"/>
          <w:sz w:val="21"/>
          <w:szCs w:val="21"/>
          <w:lang w:val="es-ES_tradnl"/>
        </w:rPr>
        <w:t>ii) «</w:t>
      </w:r>
      <w:r w:rsidRPr="005570AC">
        <w:rPr>
          <w:rFonts w:ascii="Arial" w:hAnsi="Arial" w:cs="Arial"/>
          <w:bCs/>
          <w:color w:val="000000" w:themeColor="text1"/>
          <w:sz w:val="21"/>
          <w:szCs w:val="21"/>
          <w:lang w:val="es-ES_tradnl"/>
        </w:rPr>
        <w:t>¿Puedo ajustar el cronograma de la Selección Abreviada por declaratoria de desierta, teniendo como modelo el Cronograma de Selección Abreviada de Infraestructura de Transporte?</w:t>
      </w:r>
      <w:r w:rsidRPr="005570AC">
        <w:rPr>
          <w:rFonts w:ascii="Arial" w:hAnsi="Arial" w:cs="Arial"/>
          <w:color w:val="000000" w:themeColor="text1"/>
          <w:sz w:val="21"/>
          <w:szCs w:val="21"/>
          <w:lang w:val="es-ES_tradnl"/>
        </w:rPr>
        <w:t>»</w:t>
      </w:r>
    </w:p>
    <w:p w14:paraId="27F9E7BB" w14:textId="77777777" w:rsidR="007F4252" w:rsidRPr="00025F82" w:rsidRDefault="007F4252">
      <w:pPr>
        <w:spacing w:line="276" w:lineRule="auto"/>
        <w:ind w:left="709" w:right="709"/>
        <w:jc w:val="both"/>
        <w:rPr>
          <w:rFonts w:ascii="Arial" w:hAnsi="Arial" w:cs="Arial"/>
          <w:color w:val="000000" w:themeColor="text1"/>
          <w:sz w:val="22"/>
          <w:szCs w:val="22"/>
          <w:lang w:val="es-ES_tradnl"/>
        </w:rPr>
      </w:pPr>
    </w:p>
    <w:p w14:paraId="1A4DC61E" w14:textId="0489B10D" w:rsidR="00320B5E" w:rsidRDefault="007E15E0" w:rsidP="00D21BE0">
      <w:pPr>
        <w:spacing w:after="120" w:line="276" w:lineRule="auto"/>
        <w:jc w:val="both"/>
        <w:rPr>
          <w:rFonts w:ascii="Arial" w:hAnsi="Arial" w:cs="Arial"/>
          <w:sz w:val="22"/>
          <w:lang w:val="es-ES"/>
        </w:rPr>
      </w:pPr>
      <w:r>
        <w:rPr>
          <w:rFonts w:ascii="Arial" w:eastAsiaTheme="minorHAnsi" w:hAnsi="Arial" w:cs="Arial"/>
          <w:color w:val="0D0D0D" w:themeColor="text1" w:themeTint="F2"/>
          <w:sz w:val="22"/>
          <w:szCs w:val="22"/>
          <w:lang w:val="es-ES_tradnl" w:eastAsia="en-US"/>
        </w:rPr>
        <w:lastRenderedPageBreak/>
        <w:t xml:space="preserve">En cuanto a la forma de </w:t>
      </w:r>
      <w:r w:rsidR="00F81EE7">
        <w:rPr>
          <w:rFonts w:ascii="Arial" w:eastAsiaTheme="minorHAnsi" w:hAnsi="Arial" w:cs="Arial"/>
          <w:color w:val="0D0D0D" w:themeColor="text1" w:themeTint="F2"/>
          <w:sz w:val="22"/>
          <w:szCs w:val="22"/>
          <w:lang w:val="es-ES_tradnl" w:eastAsia="en-US"/>
        </w:rPr>
        <w:t xml:space="preserve">elaborar </w:t>
      </w:r>
      <w:r>
        <w:rPr>
          <w:rFonts w:ascii="Arial" w:eastAsiaTheme="minorHAnsi" w:hAnsi="Arial" w:cs="Arial"/>
          <w:color w:val="0D0D0D" w:themeColor="text1" w:themeTint="F2"/>
          <w:sz w:val="22"/>
          <w:szCs w:val="22"/>
          <w:lang w:val="es-ES_tradnl" w:eastAsia="en-US"/>
        </w:rPr>
        <w:t>el cronograma del segundo proceso</w:t>
      </w:r>
      <w:r w:rsidR="007F4252">
        <w:rPr>
          <w:rFonts w:ascii="Arial" w:eastAsiaTheme="minorHAnsi" w:hAnsi="Arial" w:cs="Arial"/>
          <w:color w:val="0D0D0D" w:themeColor="text1" w:themeTint="F2"/>
          <w:sz w:val="22"/>
          <w:szCs w:val="22"/>
          <w:lang w:val="es-ES_tradnl" w:eastAsia="en-US"/>
        </w:rPr>
        <w:t xml:space="preserve"> por la modalidad de selección abreviada de menor cuantía</w:t>
      </w:r>
      <w:r w:rsidR="00320B5E">
        <w:rPr>
          <w:rFonts w:ascii="Arial" w:eastAsiaTheme="minorHAnsi" w:hAnsi="Arial" w:cs="Arial"/>
          <w:color w:val="0D0D0D" w:themeColor="text1" w:themeTint="F2"/>
          <w:sz w:val="22"/>
          <w:szCs w:val="22"/>
          <w:lang w:val="es-ES_tradnl" w:eastAsia="en-US"/>
        </w:rPr>
        <w:t>, se considera que la entidad contratante puede acudir a modelos de procesos similares y ajustarlos a sus necesidades propias, no obstante</w:t>
      </w:r>
      <w:r>
        <w:rPr>
          <w:rFonts w:ascii="Arial" w:eastAsiaTheme="minorHAnsi" w:hAnsi="Arial" w:cs="Arial"/>
          <w:color w:val="0D0D0D" w:themeColor="text1" w:themeTint="F2"/>
          <w:sz w:val="22"/>
          <w:szCs w:val="22"/>
          <w:lang w:val="es-ES_tradnl" w:eastAsia="en-US"/>
        </w:rPr>
        <w:t xml:space="preserve">, </w:t>
      </w:r>
      <w:r>
        <w:rPr>
          <w:rFonts w:ascii="Arial" w:eastAsiaTheme="minorHAnsi" w:hAnsi="Arial" w:cs="Arial"/>
          <w:color w:val="0D0D0D" w:themeColor="text1" w:themeTint="F2"/>
          <w:sz w:val="22"/>
          <w:szCs w:val="22"/>
          <w:lang w:val="es-MX" w:eastAsia="en-US"/>
        </w:rPr>
        <w:t>c</w:t>
      </w:r>
      <w:r w:rsidR="001D6B19">
        <w:rPr>
          <w:rFonts w:ascii="Arial" w:eastAsiaTheme="minorHAnsi" w:hAnsi="Arial" w:cs="Arial"/>
          <w:color w:val="0D0D0D" w:themeColor="text1" w:themeTint="F2"/>
          <w:sz w:val="22"/>
          <w:szCs w:val="22"/>
          <w:lang w:val="es-MX" w:eastAsia="en-US"/>
        </w:rPr>
        <w:t>omo se explicó, l</w:t>
      </w:r>
      <w:r w:rsidR="00065B22">
        <w:rPr>
          <w:rFonts w:ascii="Arial" w:eastAsiaTheme="minorHAnsi" w:hAnsi="Arial" w:cs="Arial"/>
          <w:color w:val="0D0D0D" w:themeColor="text1" w:themeTint="F2"/>
          <w:sz w:val="22"/>
          <w:szCs w:val="22"/>
          <w:lang w:val="es-MX" w:eastAsia="en-US"/>
        </w:rPr>
        <w:t xml:space="preserve">a </w:t>
      </w:r>
      <w:r w:rsidR="00065B22" w:rsidRPr="0022267B">
        <w:rPr>
          <w:rFonts w:ascii="Arial" w:eastAsiaTheme="minorHAnsi" w:hAnsi="Arial" w:cs="Arial"/>
          <w:color w:val="0D0D0D" w:themeColor="text1" w:themeTint="F2"/>
          <w:sz w:val="22"/>
          <w:szCs w:val="22"/>
          <w:lang w:val="es-MX" w:eastAsia="en-US"/>
        </w:rPr>
        <w:t>función consultiva</w:t>
      </w:r>
      <w:r w:rsidR="00065B22">
        <w:rPr>
          <w:rFonts w:ascii="Arial" w:eastAsiaTheme="minorHAnsi" w:hAnsi="Arial" w:cs="Arial"/>
          <w:color w:val="0D0D0D" w:themeColor="text1" w:themeTint="F2"/>
          <w:sz w:val="22"/>
          <w:szCs w:val="22"/>
          <w:lang w:val="es-MX" w:eastAsia="en-US"/>
        </w:rPr>
        <w:t xml:space="preserve"> atribuida a esta Agencia por </w:t>
      </w:r>
      <w:r w:rsidR="00065B22">
        <w:rPr>
          <w:rFonts w:ascii="Arial" w:eastAsia="Calibri" w:hAnsi="Arial" w:cs="Arial"/>
          <w:bCs/>
          <w:sz w:val="22"/>
          <w:lang w:val="es-ES_tradnl"/>
        </w:rPr>
        <w:t>los artículos 3, numeral 5</w:t>
      </w:r>
      <w:r w:rsidR="00F81EE7">
        <w:rPr>
          <w:rFonts w:ascii="Arial" w:eastAsia="Calibri" w:hAnsi="Arial" w:cs="Arial"/>
          <w:bCs/>
          <w:sz w:val="22"/>
          <w:lang w:val="es-ES_tradnl"/>
        </w:rPr>
        <w:t>;</w:t>
      </w:r>
      <w:r w:rsidR="00065B22">
        <w:rPr>
          <w:rFonts w:ascii="Arial" w:eastAsia="Calibri" w:hAnsi="Arial" w:cs="Arial"/>
          <w:bCs/>
          <w:sz w:val="22"/>
          <w:lang w:val="es-ES_tradnl"/>
        </w:rPr>
        <w:t xml:space="preserve"> 11, numeral 8</w:t>
      </w:r>
      <w:r w:rsidR="00F81EE7">
        <w:rPr>
          <w:rFonts w:ascii="Arial" w:eastAsia="Calibri" w:hAnsi="Arial" w:cs="Arial"/>
          <w:bCs/>
          <w:sz w:val="22"/>
          <w:lang w:val="es-ES_tradnl"/>
        </w:rPr>
        <w:t>;</w:t>
      </w:r>
      <w:r w:rsidR="00065B22">
        <w:rPr>
          <w:rFonts w:ascii="Arial" w:eastAsia="Calibri" w:hAnsi="Arial" w:cs="Arial"/>
          <w:bCs/>
          <w:sz w:val="22"/>
          <w:lang w:val="es-ES_tradnl"/>
        </w:rPr>
        <w:t xml:space="preserve"> 12, numeral 6</w:t>
      </w:r>
      <w:r w:rsidR="00F81EE7">
        <w:rPr>
          <w:rFonts w:ascii="Arial" w:eastAsia="Calibri" w:hAnsi="Arial" w:cs="Arial"/>
          <w:bCs/>
          <w:sz w:val="22"/>
          <w:lang w:val="es-ES_tradnl"/>
        </w:rPr>
        <w:t>;</w:t>
      </w:r>
      <w:r w:rsidR="00065B22">
        <w:rPr>
          <w:rFonts w:ascii="Arial" w:eastAsia="Calibri" w:hAnsi="Arial" w:cs="Arial"/>
          <w:bCs/>
          <w:sz w:val="22"/>
          <w:lang w:val="es-ES_tradnl"/>
        </w:rPr>
        <w:t xml:space="preserve"> y 13, numeral 4, del Decreto 4170 de 2011, </w:t>
      </w:r>
      <w:r w:rsidR="00065B22" w:rsidRPr="0022267B">
        <w:rPr>
          <w:rFonts w:ascii="Arial" w:eastAsiaTheme="minorHAnsi" w:hAnsi="Arial" w:cs="Arial"/>
          <w:color w:val="0D0D0D" w:themeColor="text1" w:themeTint="F2"/>
          <w:sz w:val="22"/>
          <w:szCs w:val="22"/>
          <w:lang w:val="es-MX" w:eastAsia="en-US"/>
        </w:rPr>
        <w:t xml:space="preserve">se </w:t>
      </w:r>
      <w:r w:rsidR="001D6B19">
        <w:rPr>
          <w:rFonts w:ascii="Arial" w:eastAsiaTheme="minorHAnsi" w:hAnsi="Arial" w:cs="Arial"/>
          <w:color w:val="0D0D0D" w:themeColor="text1" w:themeTint="F2"/>
          <w:sz w:val="22"/>
          <w:szCs w:val="22"/>
          <w:lang w:val="es-MX" w:eastAsia="en-US"/>
        </w:rPr>
        <w:t xml:space="preserve">limita </w:t>
      </w:r>
      <w:r w:rsidR="00065B22" w:rsidRPr="0022267B">
        <w:rPr>
          <w:rFonts w:ascii="Arial" w:eastAsiaTheme="minorHAnsi" w:hAnsi="Arial" w:cs="Arial"/>
          <w:color w:val="0D0D0D" w:themeColor="text1" w:themeTint="F2"/>
          <w:sz w:val="22"/>
          <w:szCs w:val="22"/>
          <w:lang w:val="es-MX" w:eastAsia="en-US"/>
        </w:rPr>
        <w:t>a responder solicitudes sobre la aplicación de normas de carácter general en materia de compras y contratación pública</w:t>
      </w:r>
      <w:r w:rsidR="000A7BE9">
        <w:rPr>
          <w:rFonts w:ascii="Arial" w:eastAsiaTheme="minorHAnsi" w:hAnsi="Arial" w:cs="Arial"/>
          <w:color w:val="0D0D0D" w:themeColor="text1" w:themeTint="F2"/>
          <w:sz w:val="22"/>
          <w:szCs w:val="22"/>
          <w:lang w:val="es-MX" w:eastAsia="en-US"/>
        </w:rPr>
        <w:t xml:space="preserve">. </w:t>
      </w:r>
      <w:r w:rsidR="000A7BE9" w:rsidRPr="00162BC5">
        <w:rPr>
          <w:rFonts w:ascii="Arial" w:hAnsi="Arial" w:cs="Arial"/>
          <w:sz w:val="22"/>
          <w:lang w:val="es-ES"/>
        </w:rPr>
        <w:t>Esta competencia de interpretación de normas generales, por definición, no puede extenderse a la resolución de controversias, ni a brindar asesorías sobre casos puntuales</w:t>
      </w:r>
      <w:r w:rsidR="000A7BE9">
        <w:rPr>
          <w:rFonts w:ascii="Arial" w:hAnsi="Arial" w:cs="Arial"/>
          <w:sz w:val="22"/>
          <w:lang w:val="es-ES"/>
        </w:rPr>
        <w:t>.</w:t>
      </w:r>
      <w:r w:rsidR="00735B49">
        <w:rPr>
          <w:rFonts w:ascii="Arial" w:hAnsi="Arial" w:cs="Arial"/>
          <w:sz w:val="22"/>
          <w:lang w:val="es-ES"/>
        </w:rPr>
        <w:t xml:space="preserve"> </w:t>
      </w:r>
    </w:p>
    <w:p w14:paraId="62D02F81" w14:textId="34B62180" w:rsidR="00C6107C" w:rsidRPr="004356C0" w:rsidRDefault="00C6107C" w:rsidP="007E15E0">
      <w:pPr>
        <w:spacing w:line="276" w:lineRule="auto"/>
        <w:ind w:firstLine="708"/>
        <w:jc w:val="both"/>
        <w:rPr>
          <w:rFonts w:ascii="Arial" w:hAnsi="Arial" w:cs="Arial"/>
          <w:sz w:val="22"/>
          <w:lang w:val="es-ES"/>
        </w:rPr>
      </w:pPr>
      <w:r>
        <w:rPr>
          <w:rFonts w:ascii="Arial" w:eastAsiaTheme="minorHAnsi" w:hAnsi="Arial" w:cs="Arial"/>
          <w:color w:val="0D0D0D" w:themeColor="text1" w:themeTint="F2"/>
          <w:sz w:val="22"/>
          <w:szCs w:val="22"/>
          <w:lang w:val="es-MX" w:eastAsia="en-US"/>
        </w:rPr>
        <w:t>En tal sentido, n</w:t>
      </w:r>
      <w:r w:rsidRPr="0022267B">
        <w:rPr>
          <w:rFonts w:ascii="Arial" w:eastAsiaTheme="minorHAnsi" w:hAnsi="Arial" w:cs="Arial"/>
          <w:color w:val="0D0D0D" w:themeColor="text1" w:themeTint="F2"/>
          <w:sz w:val="22"/>
          <w:szCs w:val="22"/>
          <w:lang w:val="es-MX" w:eastAsia="en-US"/>
        </w:rPr>
        <w:t xml:space="preserve">o </w:t>
      </w:r>
      <w:r w:rsidR="00CB71D3">
        <w:rPr>
          <w:rFonts w:ascii="Arial" w:eastAsiaTheme="minorHAnsi" w:hAnsi="Arial" w:cs="Arial"/>
          <w:color w:val="0D0D0D" w:themeColor="text1" w:themeTint="F2"/>
          <w:sz w:val="22"/>
          <w:szCs w:val="22"/>
          <w:lang w:val="es-MX" w:eastAsia="en-US"/>
        </w:rPr>
        <w:t xml:space="preserve">es competencia de </w:t>
      </w:r>
      <w:r w:rsidRPr="0022267B">
        <w:rPr>
          <w:rFonts w:ascii="Arial" w:eastAsiaTheme="minorHAnsi" w:hAnsi="Arial" w:cs="Arial"/>
          <w:color w:val="0D0D0D" w:themeColor="text1" w:themeTint="F2"/>
          <w:sz w:val="22"/>
          <w:szCs w:val="22"/>
          <w:lang w:val="es-MX" w:eastAsia="en-US"/>
        </w:rPr>
        <w:t xml:space="preserve">esta Agencia determinar la forma </w:t>
      </w:r>
      <w:r>
        <w:rPr>
          <w:rFonts w:ascii="Arial" w:eastAsiaTheme="minorHAnsi" w:hAnsi="Arial" w:cs="Arial"/>
          <w:color w:val="0D0D0D" w:themeColor="text1" w:themeTint="F2"/>
          <w:sz w:val="22"/>
          <w:szCs w:val="22"/>
          <w:lang w:val="es-MX" w:eastAsia="en-US"/>
        </w:rPr>
        <w:t xml:space="preserve">en que las entidades </w:t>
      </w:r>
      <w:r w:rsidRPr="0022267B">
        <w:rPr>
          <w:rFonts w:ascii="Arial" w:eastAsiaTheme="minorHAnsi" w:hAnsi="Arial" w:cs="Arial"/>
          <w:color w:val="0D0D0D" w:themeColor="text1" w:themeTint="F2"/>
          <w:sz w:val="22"/>
          <w:szCs w:val="22"/>
          <w:lang w:val="es-MX" w:eastAsia="en-US"/>
        </w:rPr>
        <w:t>adelantar</w:t>
      </w:r>
      <w:r>
        <w:rPr>
          <w:rFonts w:ascii="Arial" w:eastAsiaTheme="minorHAnsi" w:hAnsi="Arial" w:cs="Arial"/>
          <w:color w:val="0D0D0D" w:themeColor="text1" w:themeTint="F2"/>
          <w:sz w:val="22"/>
          <w:szCs w:val="22"/>
          <w:lang w:val="es-MX" w:eastAsia="en-US"/>
        </w:rPr>
        <w:t>án</w:t>
      </w:r>
      <w:r w:rsidRPr="0022267B">
        <w:rPr>
          <w:rFonts w:ascii="Arial" w:eastAsiaTheme="minorHAnsi" w:hAnsi="Arial" w:cs="Arial"/>
          <w:color w:val="0D0D0D" w:themeColor="text1" w:themeTint="F2"/>
          <w:sz w:val="22"/>
          <w:szCs w:val="22"/>
          <w:lang w:val="es-MX" w:eastAsia="en-US"/>
        </w:rPr>
        <w:t xml:space="preserve"> sus procesos de contratación, así como tampoco solucionar problemas jurídicos particulares de los partícipes de la contratación estatal</w:t>
      </w:r>
      <w:r>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 xml:space="preserve"> </w:t>
      </w:r>
      <w:r w:rsidR="00CB71D3">
        <w:rPr>
          <w:rFonts w:ascii="Arial" w:eastAsiaTheme="minorHAnsi" w:hAnsi="Arial" w:cs="Arial"/>
          <w:color w:val="0D0D0D" w:themeColor="text1" w:themeTint="F2"/>
          <w:sz w:val="22"/>
          <w:szCs w:val="22"/>
          <w:lang w:val="es-MX" w:eastAsia="en-US"/>
        </w:rPr>
        <w:t xml:space="preserve">Estas funciones son competencia exclusiva de </w:t>
      </w:r>
      <w:r w:rsidR="00CB71D3" w:rsidRPr="00CB71D3">
        <w:rPr>
          <w:rFonts w:ascii="Arial" w:eastAsiaTheme="minorHAnsi" w:hAnsi="Arial" w:cs="Arial"/>
          <w:color w:val="0D0D0D" w:themeColor="text1" w:themeTint="F2"/>
          <w:sz w:val="22"/>
          <w:szCs w:val="22"/>
          <w:lang w:val="es-MX" w:eastAsia="en-US"/>
        </w:rPr>
        <w:t>la</w:t>
      </w:r>
      <w:r w:rsidR="00CB71D3">
        <w:rPr>
          <w:rFonts w:ascii="Arial" w:eastAsiaTheme="minorHAnsi" w:hAnsi="Arial" w:cs="Arial"/>
          <w:color w:val="0D0D0D" w:themeColor="text1" w:themeTint="F2"/>
          <w:sz w:val="22"/>
          <w:szCs w:val="22"/>
          <w:lang w:val="es-MX" w:eastAsia="en-US"/>
        </w:rPr>
        <w:t>s entidades respectivas que</w:t>
      </w:r>
      <w:r w:rsidR="00CB71D3" w:rsidRPr="00CB71D3">
        <w:rPr>
          <w:rFonts w:ascii="Arial" w:eastAsiaTheme="minorHAnsi" w:hAnsi="Arial" w:cs="Arial"/>
          <w:color w:val="0D0D0D" w:themeColor="text1" w:themeTint="F2"/>
          <w:sz w:val="22"/>
          <w:szCs w:val="22"/>
          <w:lang w:val="es-MX" w:eastAsia="en-US"/>
        </w:rPr>
        <w:t xml:space="preserve"> fueron dotadas de autonomía administrativa </w:t>
      </w:r>
      <w:r w:rsidR="00CB71D3">
        <w:rPr>
          <w:rFonts w:ascii="Arial" w:eastAsiaTheme="minorHAnsi" w:hAnsi="Arial" w:cs="Arial"/>
          <w:color w:val="0D0D0D" w:themeColor="text1" w:themeTint="F2"/>
          <w:sz w:val="22"/>
          <w:szCs w:val="22"/>
          <w:lang w:val="es-MX" w:eastAsia="en-US"/>
        </w:rPr>
        <w:t>y son las responsables de</w:t>
      </w:r>
      <w:r w:rsidR="00AD1E16">
        <w:rPr>
          <w:rFonts w:ascii="Arial" w:eastAsiaTheme="minorHAnsi" w:hAnsi="Arial" w:cs="Arial"/>
          <w:color w:val="0D0D0D" w:themeColor="text1" w:themeTint="F2"/>
          <w:sz w:val="22"/>
          <w:szCs w:val="22"/>
          <w:lang w:val="es-MX" w:eastAsia="en-US"/>
        </w:rPr>
        <w:t xml:space="preserve"> definir</w:t>
      </w:r>
      <w:r w:rsidR="00CB71D3">
        <w:rPr>
          <w:rFonts w:ascii="Arial" w:eastAsiaTheme="minorHAnsi" w:hAnsi="Arial" w:cs="Arial"/>
          <w:color w:val="0D0D0D" w:themeColor="text1" w:themeTint="F2"/>
          <w:sz w:val="22"/>
          <w:szCs w:val="22"/>
          <w:lang w:val="es-MX" w:eastAsia="en-US"/>
        </w:rPr>
        <w:t xml:space="preserve"> su actividad contractual, conforme al régimen jurídico que les aplica. </w:t>
      </w:r>
    </w:p>
    <w:p w14:paraId="0754DDE1" w14:textId="77777777" w:rsidR="008E791C" w:rsidRPr="00C6107C" w:rsidRDefault="008E791C" w:rsidP="00025F82">
      <w:pPr>
        <w:spacing w:after="120" w:line="276" w:lineRule="auto"/>
        <w:jc w:val="both"/>
        <w:rPr>
          <w:rFonts w:ascii="Arial" w:hAnsi="Arial" w:cs="Arial"/>
          <w:color w:val="000000" w:themeColor="text1"/>
          <w:sz w:val="22"/>
          <w:lang w:val="es-MX"/>
        </w:rPr>
      </w:pPr>
    </w:p>
    <w:bookmarkEnd w:id="4"/>
    <w:p w14:paraId="67083AD0" w14:textId="77777777" w:rsidR="00DC66BE" w:rsidRDefault="00DC66BE" w:rsidP="00DC66BE">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1C51B73" w14:textId="77777777" w:rsidR="00DC66BE" w:rsidRPr="00E23980" w:rsidRDefault="00DC66BE" w:rsidP="00DC66BE">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41BAD51B" w14:textId="0E3C1CA3" w:rsidR="00DC66BE" w:rsidRDefault="00F75F7B" w:rsidP="00DC66BE">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E97533">
        <w:rPr>
          <w:rFonts w:ascii="Arial" w:hAnsi="Arial" w:cs="Arial"/>
          <w:noProof/>
          <w:sz w:val="18"/>
          <w:szCs w:val="18"/>
          <w:lang w:val="es-ES" w:eastAsia="es-ES"/>
        </w:rPr>
        <w:drawing>
          <wp:inline distT="0" distB="0" distL="0" distR="0" wp14:anchorId="15B92430" wp14:editId="7AADF4B7">
            <wp:extent cx="2562216" cy="913765"/>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611799" cy="931448"/>
                    </a:xfrm>
                    <a:prstGeom prst="rect">
                      <a:avLst/>
                    </a:prstGeom>
                  </pic:spPr>
                </pic:pic>
              </a:graphicData>
            </a:graphic>
          </wp:inline>
        </w:drawing>
      </w:r>
    </w:p>
    <w:p w14:paraId="378E4DD7" w14:textId="77777777" w:rsidR="00DC66BE" w:rsidRPr="007C0BD7" w:rsidRDefault="00DC66BE" w:rsidP="00DC66BE">
      <w:pPr>
        <w:pStyle w:val="NormalWeb"/>
        <w:spacing w:before="0" w:beforeAutospacing="0" w:after="0" w:afterAutospacing="0" w:line="276" w:lineRule="auto"/>
        <w:rPr>
          <w:rFonts w:ascii="Arial" w:hAnsi="Arial" w:cs="Arial"/>
          <w:color w:val="000000" w:themeColor="text1"/>
          <w:sz w:val="14"/>
          <w:szCs w:val="14"/>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C66BE" w:rsidRPr="007C0BD7" w14:paraId="6DF989A4" w14:textId="77777777" w:rsidTr="001336AE">
        <w:trPr>
          <w:trHeight w:val="160"/>
        </w:trPr>
        <w:tc>
          <w:tcPr>
            <w:tcW w:w="812" w:type="dxa"/>
            <w:vAlign w:val="center"/>
            <w:hideMark/>
          </w:tcPr>
          <w:p w14:paraId="694D138F" w14:textId="77777777" w:rsidR="00DC66BE" w:rsidRPr="007C0BD7" w:rsidRDefault="00DC66BE"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CF448B7" w14:textId="77777777" w:rsidR="00DC66BE" w:rsidRPr="007C0BD7" w:rsidRDefault="00DC66BE" w:rsidP="001336AE">
            <w:pPr>
              <w:jc w:val="both"/>
              <w:rPr>
                <w:rFonts w:ascii="Arial" w:hAnsi="Arial" w:cs="Arial"/>
                <w:color w:val="000000" w:themeColor="text1"/>
                <w:sz w:val="14"/>
                <w:szCs w:val="14"/>
                <w:lang w:val="es-ES_tradnl" w:eastAsia="es-ES"/>
              </w:rPr>
            </w:pPr>
            <w:r>
              <w:rPr>
                <w:rFonts w:ascii="Arial" w:hAnsi="Arial" w:cs="Arial"/>
                <w:color w:val="000000" w:themeColor="text1"/>
                <w:sz w:val="14"/>
                <w:szCs w:val="14"/>
                <w:lang w:val="es-ES_tradnl" w:eastAsia="es-ES"/>
              </w:rPr>
              <w:t>Felipe Bastidas Paredes</w:t>
            </w:r>
          </w:p>
          <w:p w14:paraId="5296604F" w14:textId="77777777" w:rsidR="00DC66BE" w:rsidRPr="007C0BD7" w:rsidRDefault="00DC66BE"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Contratista de la Subdirección de Gestión Contractual</w:t>
            </w:r>
          </w:p>
        </w:tc>
      </w:tr>
      <w:tr w:rsidR="00DC66BE" w:rsidRPr="007C0BD7" w14:paraId="133A4333" w14:textId="77777777" w:rsidTr="001336AE">
        <w:trPr>
          <w:trHeight w:val="330"/>
        </w:trPr>
        <w:tc>
          <w:tcPr>
            <w:tcW w:w="812" w:type="dxa"/>
            <w:vAlign w:val="center"/>
            <w:hideMark/>
          </w:tcPr>
          <w:p w14:paraId="19225BB5" w14:textId="77777777" w:rsidR="00DC66BE" w:rsidRPr="007C0BD7" w:rsidRDefault="00DC66BE"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24DD6F" w14:textId="77777777" w:rsidR="00DC66BE" w:rsidRPr="007C0BD7" w:rsidRDefault="00DC66BE"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Sebastián Ramírez Grisales</w:t>
            </w:r>
          </w:p>
          <w:p w14:paraId="5F4FCB61" w14:textId="77777777" w:rsidR="00DC66BE" w:rsidRPr="0036498C" w:rsidRDefault="00DC66BE" w:rsidP="001336AE">
            <w:pPr>
              <w:jc w:val="both"/>
              <w:rPr>
                <w:rFonts w:ascii="Arial" w:hAnsi="Arial" w:cs="Arial"/>
                <w:color w:val="000000" w:themeColor="text1"/>
                <w:sz w:val="14"/>
                <w:szCs w:val="14"/>
                <w:lang w:val="es-ES" w:eastAsia="es-ES"/>
              </w:rPr>
            </w:pPr>
            <w:r w:rsidRPr="007C0BD7">
              <w:rPr>
                <w:rFonts w:ascii="Arial" w:hAnsi="Arial" w:cs="Arial"/>
                <w:color w:val="000000"/>
                <w:sz w:val="14"/>
                <w:szCs w:val="14"/>
                <w:shd w:val="clear" w:color="auto" w:fill="FFFFFF"/>
              </w:rPr>
              <w:t>Gestor T1-15 de la </w:t>
            </w:r>
            <w:r w:rsidRPr="007C0BD7">
              <w:rPr>
                <w:rFonts w:ascii="Arial" w:hAnsi="Arial" w:cs="Arial"/>
                <w:color w:val="000000" w:themeColor="text1"/>
                <w:sz w:val="14"/>
                <w:szCs w:val="14"/>
                <w:lang w:val="es-ES" w:eastAsia="es-ES"/>
              </w:rPr>
              <w:t>Subdirección de Gestión Contractual</w:t>
            </w:r>
          </w:p>
        </w:tc>
      </w:tr>
      <w:tr w:rsidR="00DC66BE" w:rsidRPr="007C0BD7" w14:paraId="54B4061F" w14:textId="77777777" w:rsidTr="001336AE">
        <w:trPr>
          <w:trHeight w:val="300"/>
        </w:trPr>
        <w:tc>
          <w:tcPr>
            <w:tcW w:w="812" w:type="dxa"/>
            <w:vAlign w:val="center"/>
            <w:hideMark/>
          </w:tcPr>
          <w:p w14:paraId="3D30B1C7" w14:textId="77777777" w:rsidR="00DC66BE" w:rsidRPr="007C0BD7" w:rsidRDefault="00DC66BE"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020E641" w14:textId="77777777" w:rsidR="00DC66BE" w:rsidRPr="007C0BD7" w:rsidRDefault="00DC66BE"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Jorge Augusto Tirado Navarro</w:t>
            </w:r>
          </w:p>
          <w:p w14:paraId="592DFF9D" w14:textId="77777777" w:rsidR="00DC66BE" w:rsidRPr="007C0BD7" w:rsidRDefault="00DC66BE"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 xml:space="preserve">Subdirector de Gestión Contractual </w:t>
            </w:r>
            <w:r w:rsidRPr="007C0BD7">
              <w:rPr>
                <w:rFonts w:ascii="Arial" w:hAnsi="Arial" w:cs="Arial"/>
                <w:color w:val="000000" w:themeColor="text1"/>
                <w:sz w:val="14"/>
                <w:szCs w:val="14"/>
                <w:lang w:eastAsia="es-ES"/>
              </w:rPr>
              <w:t>ANCP – CCE</w:t>
            </w:r>
          </w:p>
        </w:tc>
      </w:tr>
    </w:tbl>
    <w:p w14:paraId="35B56F46" w14:textId="77777777" w:rsidR="00746E08" w:rsidRPr="00DC66BE" w:rsidRDefault="00746E08" w:rsidP="00DC66BE">
      <w:pPr>
        <w:spacing w:line="276" w:lineRule="auto"/>
        <w:jc w:val="both"/>
        <w:rPr>
          <w:rFonts w:ascii="Arial" w:hAnsi="Arial" w:cs="Arial"/>
        </w:rPr>
      </w:pPr>
    </w:p>
    <w:sectPr w:rsidR="00746E08" w:rsidRPr="00DC66BE"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DE7E9" w14:textId="77777777" w:rsidR="0010158B" w:rsidRDefault="0010158B">
      <w:r>
        <w:separator/>
      </w:r>
    </w:p>
  </w:endnote>
  <w:endnote w:type="continuationSeparator" w:id="0">
    <w:p w14:paraId="17643922" w14:textId="77777777" w:rsidR="0010158B" w:rsidRDefault="0010158B">
      <w:r>
        <w:continuationSeparator/>
      </w:r>
    </w:p>
  </w:endnote>
  <w:endnote w:type="continuationNotice" w:id="1">
    <w:p w14:paraId="7A31782A" w14:textId="77777777" w:rsidR="0010158B" w:rsidRDefault="00101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
    <w:panose1 w:val="020B0606020202030204"/>
    <w:charset w:val="00"/>
    <w:family w:val="swiss"/>
    <w:pitch w:val="variable"/>
    <w:sig w:usb0="00000287" w:usb1="00000800" w:usb2="00000000" w:usb3="00000000" w:csb0="0000009F" w:csb1="00000000"/>
  </w:font>
  <w:font w:name="0∆¨À˛">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81325C" w:rsidRPr="00F35D37" w:rsidRDefault="0081325C" w:rsidP="00FE42ED">
    <w:pPr>
      <w:pStyle w:val="Piedepgina"/>
      <w:jc w:val="right"/>
      <w:rPr>
        <w:rFonts w:ascii="Arial" w:hAnsi="Arial" w:cs="Arial"/>
        <w:color w:val="7F7F7F"/>
        <w:sz w:val="16"/>
        <w:szCs w:val="16"/>
      </w:rPr>
    </w:pPr>
    <w:r w:rsidRPr="00F35D37">
      <w:rPr>
        <w:rFonts w:ascii="Arial" w:hAnsi="Arial" w:cs="Arial"/>
        <w:bCs/>
        <w:color w:val="7F7F7F"/>
        <w:sz w:val="16"/>
        <w:szCs w:val="16"/>
      </w:rPr>
      <w:t xml:space="preserve">Página </w:t>
    </w:r>
    <w:r w:rsidRPr="00F35D37">
      <w:rPr>
        <w:rFonts w:ascii="Arial" w:hAnsi="Arial" w:cs="Arial"/>
        <w:b/>
        <w:bCs/>
        <w:color w:val="7F7F7F"/>
        <w:sz w:val="16"/>
        <w:szCs w:val="16"/>
      </w:rPr>
      <w:fldChar w:fldCharType="begin"/>
    </w:r>
    <w:r w:rsidRPr="00F35D37">
      <w:rPr>
        <w:rFonts w:ascii="Arial" w:hAnsi="Arial" w:cs="Arial"/>
        <w:b/>
        <w:bCs/>
        <w:color w:val="7F7F7F"/>
        <w:sz w:val="16"/>
        <w:szCs w:val="16"/>
      </w:rPr>
      <w:instrText>PAGE  \* Arabic  \* MERGEFORMAT</w:instrText>
    </w:r>
    <w:r w:rsidRPr="00F35D37">
      <w:rPr>
        <w:rFonts w:ascii="Arial" w:hAnsi="Arial" w:cs="Arial"/>
        <w:b/>
        <w:bCs/>
        <w:color w:val="7F7F7F"/>
        <w:sz w:val="16"/>
        <w:szCs w:val="16"/>
      </w:rPr>
      <w:fldChar w:fldCharType="separate"/>
    </w:r>
    <w:r w:rsidR="0031232F" w:rsidRPr="00F35D37">
      <w:rPr>
        <w:rFonts w:ascii="Arial" w:hAnsi="Arial" w:cs="Arial"/>
        <w:b/>
        <w:bCs/>
        <w:noProof/>
        <w:color w:val="7F7F7F"/>
        <w:sz w:val="16"/>
        <w:szCs w:val="16"/>
      </w:rPr>
      <w:t>21</w:t>
    </w:r>
    <w:r w:rsidRPr="00F35D37">
      <w:rPr>
        <w:rFonts w:ascii="Arial" w:hAnsi="Arial" w:cs="Arial"/>
        <w:b/>
        <w:bCs/>
        <w:color w:val="7F7F7F"/>
        <w:sz w:val="16"/>
        <w:szCs w:val="16"/>
      </w:rPr>
      <w:fldChar w:fldCharType="end"/>
    </w:r>
    <w:r w:rsidRPr="00F35D37">
      <w:rPr>
        <w:rFonts w:ascii="Arial" w:hAnsi="Arial" w:cs="Arial"/>
        <w:color w:val="7F7F7F"/>
        <w:sz w:val="16"/>
        <w:szCs w:val="16"/>
      </w:rPr>
      <w:t xml:space="preserve"> de </w:t>
    </w:r>
    <w:r w:rsidRPr="00F35D37">
      <w:rPr>
        <w:rFonts w:ascii="Arial" w:hAnsi="Arial" w:cs="Arial"/>
        <w:b/>
        <w:bCs/>
        <w:color w:val="7F7F7F"/>
        <w:sz w:val="16"/>
        <w:szCs w:val="16"/>
      </w:rPr>
      <w:fldChar w:fldCharType="begin"/>
    </w:r>
    <w:r w:rsidRPr="00F35D37">
      <w:rPr>
        <w:rFonts w:ascii="Arial" w:hAnsi="Arial" w:cs="Arial"/>
        <w:b/>
        <w:bCs/>
        <w:color w:val="7F7F7F"/>
        <w:sz w:val="16"/>
        <w:szCs w:val="16"/>
      </w:rPr>
      <w:instrText>NUMPAGES  \* Arabic  \* MERGEFORMAT</w:instrText>
    </w:r>
    <w:r w:rsidRPr="00F35D37">
      <w:rPr>
        <w:rFonts w:ascii="Arial" w:hAnsi="Arial" w:cs="Arial"/>
        <w:b/>
        <w:bCs/>
        <w:color w:val="7F7F7F"/>
        <w:sz w:val="16"/>
        <w:szCs w:val="16"/>
      </w:rPr>
      <w:fldChar w:fldCharType="separate"/>
    </w:r>
    <w:r w:rsidR="0031232F" w:rsidRPr="00F35D37">
      <w:rPr>
        <w:rFonts w:ascii="Arial" w:hAnsi="Arial" w:cs="Arial"/>
        <w:b/>
        <w:bCs/>
        <w:noProof/>
        <w:color w:val="7F7F7F"/>
        <w:sz w:val="16"/>
        <w:szCs w:val="16"/>
      </w:rPr>
      <w:t>21</w:t>
    </w:r>
    <w:r w:rsidRPr="00F35D37">
      <w:rPr>
        <w:rFonts w:ascii="Arial" w:hAnsi="Arial" w:cs="Arial"/>
        <w:b/>
        <w:bCs/>
        <w:color w:val="7F7F7F"/>
        <w:sz w:val="16"/>
        <w:szCs w:val="16"/>
      </w:rPr>
      <w:fldChar w:fldCharType="end"/>
    </w:r>
  </w:p>
  <w:p w14:paraId="48FC6A04" w14:textId="5FD1A7C9" w:rsidR="0081325C" w:rsidRDefault="0081325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8EAE1" w14:textId="77777777" w:rsidR="0010158B" w:rsidRDefault="0010158B">
      <w:r>
        <w:separator/>
      </w:r>
    </w:p>
  </w:footnote>
  <w:footnote w:type="continuationSeparator" w:id="0">
    <w:p w14:paraId="56D9CBFF" w14:textId="77777777" w:rsidR="0010158B" w:rsidRDefault="0010158B">
      <w:r>
        <w:continuationSeparator/>
      </w:r>
    </w:p>
  </w:footnote>
  <w:footnote w:type="continuationNotice" w:id="1">
    <w:p w14:paraId="056944C7" w14:textId="77777777" w:rsidR="0010158B" w:rsidRDefault="0010158B"/>
  </w:footnote>
  <w:footnote w:id="2">
    <w:p w14:paraId="74E0D839" w14:textId="77777777" w:rsidR="00563C9E" w:rsidRDefault="00DC66BE" w:rsidP="00CC4CF7">
      <w:pPr>
        <w:pStyle w:val="Textonotapie"/>
        <w:ind w:firstLine="708"/>
        <w:jc w:val="both"/>
        <w:rPr>
          <w:rFonts w:ascii="Arial" w:hAnsi="Arial" w:cs="Arial"/>
          <w:sz w:val="19"/>
          <w:szCs w:val="19"/>
        </w:rPr>
      </w:pPr>
      <w:r w:rsidRPr="00CC4CF7">
        <w:rPr>
          <w:rStyle w:val="Refdenotaalpie"/>
          <w:rFonts w:ascii="Arial" w:hAnsi="Arial" w:cs="Arial"/>
          <w:sz w:val="19"/>
          <w:szCs w:val="19"/>
        </w:rPr>
        <w:footnoteRef/>
      </w:r>
      <w:r w:rsidRPr="00CC4CF7">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w:t>
      </w:r>
    </w:p>
    <w:p w14:paraId="149158D5" w14:textId="36B26531" w:rsidR="00DC66BE" w:rsidRPr="00CC4CF7" w:rsidRDefault="00DC66BE" w:rsidP="00CC4CF7">
      <w:pPr>
        <w:pStyle w:val="Textonotapie"/>
        <w:ind w:firstLine="708"/>
        <w:jc w:val="both"/>
        <w:rPr>
          <w:rFonts w:ascii="Arial" w:hAnsi="Arial" w:cs="Arial"/>
          <w:sz w:val="19"/>
          <w:szCs w:val="19"/>
          <w:lang w:val="es-ES"/>
        </w:rPr>
      </w:pPr>
      <w:r w:rsidRPr="00CC4CF7">
        <w:rPr>
          <w:rFonts w:ascii="Arial" w:hAnsi="Arial" w:cs="Arial"/>
          <w:sz w:val="19"/>
          <w:szCs w:val="19"/>
        </w:rPr>
        <w:t xml:space="preserve">lograr una mayor eficiencia, transparencia y optimización de los recursos del Estado. El artículo 3 </w:t>
      </w:r>
      <w:r w:rsidRPr="00CC4CF7">
        <w:rPr>
          <w:rFonts w:ascii="Arial" w:hAnsi="Arial" w:cs="Arial"/>
          <w:i/>
          <w:iCs/>
          <w:sz w:val="19"/>
          <w:szCs w:val="19"/>
        </w:rPr>
        <w:t xml:space="preserve">ibidem </w:t>
      </w:r>
      <w:r w:rsidRPr="00CC4CF7">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E5DC5EA" w14:textId="594203A1" w:rsidR="00DC66BE" w:rsidRPr="00CC4CF7" w:rsidRDefault="00DC66BE" w:rsidP="00D21BE0">
      <w:pPr>
        <w:pStyle w:val="Textonotapie"/>
        <w:ind w:firstLine="709"/>
        <w:jc w:val="both"/>
        <w:rPr>
          <w:rFonts w:ascii="Arial" w:hAnsi="Arial" w:cs="Arial"/>
          <w:sz w:val="19"/>
          <w:szCs w:val="19"/>
          <w:lang w:val="es-CO"/>
        </w:rPr>
      </w:pPr>
      <w:r w:rsidRPr="00D21BE0">
        <w:rPr>
          <w:rStyle w:val="Refdenotaalpie"/>
          <w:rFonts w:ascii="Arial" w:hAnsi="Arial" w:cs="Arial"/>
          <w:sz w:val="19"/>
          <w:szCs w:val="19"/>
        </w:rPr>
        <w:footnoteRef/>
      </w:r>
      <w:r w:rsidRPr="00D21BE0">
        <w:rPr>
          <w:rFonts w:ascii="Arial" w:hAnsi="Arial" w:cs="Arial"/>
          <w:sz w:val="19"/>
          <w:szCs w:val="19"/>
        </w:rPr>
        <w:t xml:space="preserve"> </w:t>
      </w:r>
      <w:r w:rsidRPr="00CC4CF7">
        <w:rPr>
          <w:rFonts w:ascii="Arial" w:hAnsi="Arial" w:cs="Arial"/>
          <w:sz w:val="19"/>
          <w:szCs w:val="19"/>
          <w:lang w:val="es-CO"/>
        </w:rPr>
        <w:t>Ley 80 de 1993. Artículo 32, numeral 1.</w:t>
      </w:r>
    </w:p>
    <w:p w14:paraId="5492105A" w14:textId="77777777" w:rsidR="00C76C16" w:rsidRPr="00D21BE0" w:rsidRDefault="00C76C16" w:rsidP="00D21BE0">
      <w:pPr>
        <w:pStyle w:val="Textonotapie"/>
        <w:ind w:firstLine="709"/>
        <w:jc w:val="both"/>
        <w:rPr>
          <w:rFonts w:ascii="Arial" w:hAnsi="Arial" w:cs="Arial"/>
          <w:sz w:val="19"/>
          <w:szCs w:val="19"/>
          <w:lang w:val="es-CO"/>
        </w:rPr>
      </w:pPr>
    </w:p>
  </w:footnote>
  <w:footnote w:id="4">
    <w:p w14:paraId="2553CBAA" w14:textId="77777777" w:rsidR="000F2812" w:rsidRPr="00CC4CF7" w:rsidRDefault="000F2812">
      <w:pPr>
        <w:pStyle w:val="Textonotapie"/>
        <w:ind w:firstLine="708"/>
        <w:jc w:val="both"/>
        <w:rPr>
          <w:rFonts w:ascii="Arial" w:eastAsia="Arial" w:hAnsi="Arial" w:cs="Arial"/>
          <w:sz w:val="19"/>
          <w:szCs w:val="19"/>
          <w:lang w:val="es-ES"/>
        </w:rPr>
      </w:pPr>
      <w:r w:rsidRPr="00D21BE0">
        <w:rPr>
          <w:rStyle w:val="Refdenotaalpie"/>
          <w:rFonts w:ascii="Arial" w:hAnsi="Arial" w:cs="Arial"/>
          <w:sz w:val="19"/>
          <w:szCs w:val="19"/>
        </w:rPr>
        <w:footnoteRef/>
      </w:r>
      <w:r w:rsidRPr="00D21BE0">
        <w:rPr>
          <w:rFonts w:ascii="Arial" w:hAnsi="Arial" w:cs="Arial"/>
          <w:sz w:val="19"/>
          <w:szCs w:val="19"/>
        </w:rPr>
        <w:t xml:space="preserve"> </w:t>
      </w:r>
      <w:r w:rsidRPr="00CC4CF7">
        <w:rPr>
          <w:rFonts w:ascii="Arial" w:eastAsia="Arial" w:hAnsi="Arial" w:cs="Arial"/>
          <w:sz w:val="19"/>
          <w:szCs w:val="19"/>
          <w:lang w:val="es-ES"/>
        </w:rPr>
        <w:t xml:space="preserve">Decreto 594 de 2020: </w:t>
      </w:r>
      <w:r w:rsidRPr="00CC4CF7">
        <w:rPr>
          <w:rFonts w:ascii="Arial" w:hAnsi="Arial" w:cs="Arial"/>
          <w:sz w:val="19"/>
          <w:szCs w:val="19"/>
          <w:lang w:val="es-CO"/>
        </w:rPr>
        <w:t>«</w:t>
      </w:r>
      <w:r w:rsidRPr="00CC4CF7">
        <w:rPr>
          <w:rFonts w:ascii="Arial" w:eastAsia="Arial" w:hAnsi="Arial" w:cs="Arial"/>
          <w:sz w:val="19"/>
          <w:szCs w:val="19"/>
          <w:lang w:val="es-ES"/>
        </w:rPr>
        <w:t>Artículo 2.2.1.2.6.1.6. Declaratoria desierta del proceso de licitación: Cuando se declare desierto un proceso de contratación que aplicó los Documentos Tipo de licitación pública, para el nuevo proceso de contratación la entidad estatal debe utilizar los Documentos Tipo para selección abreviada de menor cuantía de obra pública de infraestructura de transporte, adaptando las condiciones y requisitos a lo establecido en el ​artículo 2 de la Ley 1150 de 2007 y al artículo 2.2.1.2.1.2.22. del presente Decreto. En todo caso, al nuevo proceso de selección se le aplicará la “Matriz 1 – Experiencia” de los Documentos Tipo de licitación de obra pública de transporte.</w:t>
      </w:r>
      <w:r w:rsidRPr="00CC4CF7">
        <w:rPr>
          <w:rFonts w:ascii="Arial" w:hAnsi="Arial" w:cs="Arial"/>
          <w:sz w:val="19"/>
          <w:szCs w:val="19"/>
          <w:lang w:val="es-CO"/>
        </w:rPr>
        <w:t>»</w:t>
      </w:r>
      <w:r w:rsidRPr="00CC4CF7">
        <w:rPr>
          <w:rFonts w:ascii="Arial" w:eastAsia="Arial" w:hAnsi="Arial" w:cs="Arial"/>
          <w:sz w:val="19"/>
          <w:szCs w:val="19"/>
          <w:lang w:val="es-ES"/>
        </w:rPr>
        <w:t>.</w:t>
      </w:r>
    </w:p>
    <w:p w14:paraId="1AB90064" w14:textId="77777777" w:rsidR="000F2812" w:rsidRPr="00D21BE0" w:rsidRDefault="000F2812">
      <w:pPr>
        <w:pStyle w:val="Textonotapie"/>
        <w:ind w:firstLine="708"/>
        <w:jc w:val="both"/>
        <w:rPr>
          <w:rFonts w:ascii="Arial" w:hAnsi="Arial" w:cs="Arial"/>
          <w:sz w:val="19"/>
          <w:szCs w:val="19"/>
          <w:lang w:val="es-ES_tradnl"/>
        </w:rPr>
      </w:pPr>
    </w:p>
  </w:footnote>
  <w:footnote w:id="5">
    <w:p w14:paraId="7F5B5BE7" w14:textId="0EDFD74D" w:rsidR="005072FA" w:rsidRPr="00CC4CF7" w:rsidRDefault="005072FA" w:rsidP="00D21BE0">
      <w:pPr>
        <w:pStyle w:val="Textonotapie"/>
        <w:ind w:firstLine="709"/>
        <w:jc w:val="both"/>
        <w:rPr>
          <w:rFonts w:ascii="Arial" w:eastAsia="Arial" w:hAnsi="Arial" w:cs="Arial"/>
          <w:sz w:val="19"/>
          <w:szCs w:val="19"/>
          <w:lang w:val="es-ES"/>
        </w:rPr>
      </w:pPr>
      <w:r w:rsidRPr="00D21BE0">
        <w:rPr>
          <w:rStyle w:val="Refdenotaalpie"/>
          <w:rFonts w:ascii="Arial" w:hAnsi="Arial" w:cs="Arial"/>
          <w:sz w:val="19"/>
          <w:szCs w:val="19"/>
        </w:rPr>
        <w:footnoteRef/>
      </w:r>
      <w:r w:rsidRPr="00D21BE0">
        <w:rPr>
          <w:rFonts w:ascii="Arial" w:hAnsi="Arial" w:cs="Arial"/>
          <w:sz w:val="19"/>
          <w:szCs w:val="19"/>
        </w:rPr>
        <w:t xml:space="preserve"> </w:t>
      </w:r>
      <w:r w:rsidRPr="00CC4CF7">
        <w:rPr>
          <w:rFonts w:ascii="Arial" w:eastAsia="Arial" w:hAnsi="Arial" w:cs="Arial"/>
          <w:sz w:val="19"/>
          <w:szCs w:val="19"/>
          <w:lang w:val="es-ES"/>
        </w:rPr>
        <w:t xml:space="preserve">Decreto 1082 de 2015: </w:t>
      </w:r>
      <w:r w:rsidRPr="00CC4CF7">
        <w:rPr>
          <w:rFonts w:ascii="Arial" w:hAnsi="Arial" w:cs="Arial"/>
          <w:sz w:val="19"/>
          <w:szCs w:val="19"/>
          <w:lang w:val="es-CO"/>
        </w:rPr>
        <w:t>«</w:t>
      </w:r>
      <w:r w:rsidRPr="00CC4CF7">
        <w:rPr>
          <w:rFonts w:ascii="Arial" w:eastAsia="Arial" w:hAnsi="Arial" w:cs="Arial"/>
          <w:sz w:val="19"/>
          <w:szCs w:val="19"/>
          <w:lang w:val="es-ES"/>
        </w:rPr>
        <w:t>Artículo 2.2.1.2.1.2.22. Contratación cuyo proceso de licitación pública haya sido declarado desierto. La Entidad Estatal que haya declarado desierta una licitación puede adelantar el Proceso de Contratación correspondiente aplicando las normas del proceso de selección abreviada de menor cuantía, para lo cual debe prescindir de: a) recibir manifestaciones de interés, y b) realizar el sorteo de oferentes. En este caso, la Entidad Estatal debe expedir el acto de apertura del Proceso de Contratación dentro de los cuatro (4) meses siguientes a la declaratoria de desierta».</w:t>
      </w:r>
    </w:p>
  </w:footnote>
  <w:footnote w:id="6">
    <w:p w14:paraId="36C13834" w14:textId="3F24B9C3" w:rsidR="00CC4CF7" w:rsidRPr="00D21BE0" w:rsidRDefault="00CC4CF7" w:rsidP="00D21BE0">
      <w:pPr>
        <w:pStyle w:val="Textonotapie"/>
        <w:ind w:firstLine="708"/>
        <w:jc w:val="both"/>
        <w:rPr>
          <w:rFonts w:ascii="Arial" w:hAnsi="Arial" w:cs="Arial"/>
          <w:sz w:val="19"/>
          <w:szCs w:val="19"/>
        </w:rPr>
      </w:pPr>
      <w:r w:rsidRPr="00D21BE0">
        <w:rPr>
          <w:rStyle w:val="Refdenotaalpie"/>
          <w:rFonts w:ascii="Arial" w:hAnsi="Arial" w:cs="Arial"/>
          <w:sz w:val="19"/>
          <w:szCs w:val="19"/>
        </w:rPr>
        <w:footnoteRef/>
      </w:r>
      <w:r w:rsidRPr="00D21BE0">
        <w:rPr>
          <w:rFonts w:ascii="Arial" w:hAnsi="Arial" w:cs="Arial"/>
          <w:sz w:val="19"/>
          <w:szCs w:val="19"/>
        </w:rPr>
        <w:t xml:space="preserve"> «Por la cual se actualizan los Documentos Tipo para los procesos de selección de licitación de obra pública de infraestructura de transporte y se deroga la Resolución 0045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E577C61"/>
    <w:multiLevelType w:val="multilevel"/>
    <w:tmpl w:val="527E1B5C"/>
    <w:lvl w:ilvl="0">
      <w:start w:val="1"/>
      <w:numFmt w:val="decimal"/>
      <w:lvlText w:val="%1."/>
      <w:lvlJc w:val="left"/>
      <w:pPr>
        <w:ind w:left="585" w:hanging="360"/>
        <w:jc w:val="right"/>
      </w:pPr>
      <w:rPr>
        <w:rFonts w:hint="default"/>
        <w:b/>
        <w:bCs/>
        <w:spacing w:val="-7"/>
        <w:w w:val="100"/>
        <w:lang w:val="es-ES" w:eastAsia="en-US" w:bidi="ar-SA"/>
      </w:rPr>
    </w:lvl>
    <w:lvl w:ilvl="1">
      <w:start w:val="1"/>
      <w:numFmt w:val="decimal"/>
      <w:lvlText w:val="%1.%2"/>
      <w:lvlJc w:val="left"/>
      <w:pPr>
        <w:ind w:left="300" w:hanging="428"/>
        <w:jc w:val="right"/>
      </w:pPr>
      <w:rPr>
        <w:rFonts w:ascii="Arial" w:eastAsia="Arial" w:hAnsi="Arial" w:cs="Arial" w:hint="default"/>
        <w:b/>
        <w:bCs/>
        <w:color w:val="4D4D4D"/>
        <w:spacing w:val="-2"/>
        <w:w w:val="100"/>
        <w:sz w:val="22"/>
        <w:szCs w:val="22"/>
        <w:lang w:val="es-ES" w:eastAsia="en-US" w:bidi="ar-SA"/>
      </w:rPr>
    </w:lvl>
    <w:lvl w:ilvl="2">
      <w:start w:val="1"/>
      <w:numFmt w:val="decimal"/>
      <w:lvlText w:val="%3."/>
      <w:lvlJc w:val="left"/>
      <w:pPr>
        <w:ind w:left="1008" w:hanging="248"/>
      </w:pPr>
      <w:rPr>
        <w:rFonts w:ascii="Arial" w:eastAsia="Arial" w:hAnsi="Arial" w:cs="Arial" w:hint="default"/>
        <w:color w:val="4D4D4D"/>
        <w:w w:val="100"/>
        <w:sz w:val="21"/>
        <w:szCs w:val="21"/>
        <w:lang w:val="es-ES" w:eastAsia="en-US" w:bidi="ar-SA"/>
      </w:rPr>
    </w:lvl>
    <w:lvl w:ilvl="3">
      <w:numFmt w:val="bullet"/>
      <w:lvlText w:val="•"/>
      <w:lvlJc w:val="left"/>
      <w:pPr>
        <w:ind w:left="2067" w:hanging="248"/>
      </w:pPr>
      <w:rPr>
        <w:rFonts w:hint="default"/>
        <w:lang w:val="es-ES" w:eastAsia="en-US" w:bidi="ar-SA"/>
      </w:rPr>
    </w:lvl>
    <w:lvl w:ilvl="4">
      <w:numFmt w:val="bullet"/>
      <w:lvlText w:val="•"/>
      <w:lvlJc w:val="left"/>
      <w:pPr>
        <w:ind w:left="3135" w:hanging="248"/>
      </w:pPr>
      <w:rPr>
        <w:rFonts w:hint="default"/>
        <w:lang w:val="es-ES" w:eastAsia="en-US" w:bidi="ar-SA"/>
      </w:rPr>
    </w:lvl>
    <w:lvl w:ilvl="5">
      <w:numFmt w:val="bullet"/>
      <w:lvlText w:val="•"/>
      <w:lvlJc w:val="left"/>
      <w:pPr>
        <w:ind w:left="4202" w:hanging="248"/>
      </w:pPr>
      <w:rPr>
        <w:rFonts w:hint="default"/>
        <w:lang w:val="es-ES" w:eastAsia="en-US" w:bidi="ar-SA"/>
      </w:rPr>
    </w:lvl>
    <w:lvl w:ilvl="6">
      <w:numFmt w:val="bullet"/>
      <w:lvlText w:val="•"/>
      <w:lvlJc w:val="left"/>
      <w:pPr>
        <w:ind w:left="5270" w:hanging="248"/>
      </w:pPr>
      <w:rPr>
        <w:rFonts w:hint="default"/>
        <w:lang w:val="es-ES" w:eastAsia="en-US" w:bidi="ar-SA"/>
      </w:rPr>
    </w:lvl>
    <w:lvl w:ilvl="7">
      <w:numFmt w:val="bullet"/>
      <w:lvlText w:val="•"/>
      <w:lvlJc w:val="left"/>
      <w:pPr>
        <w:ind w:left="6337" w:hanging="248"/>
      </w:pPr>
      <w:rPr>
        <w:rFonts w:hint="default"/>
        <w:lang w:val="es-ES" w:eastAsia="en-US" w:bidi="ar-SA"/>
      </w:rPr>
    </w:lvl>
    <w:lvl w:ilvl="8">
      <w:numFmt w:val="bullet"/>
      <w:lvlText w:val="•"/>
      <w:lvlJc w:val="left"/>
      <w:pPr>
        <w:ind w:left="7405" w:hanging="248"/>
      </w:pPr>
      <w:rPr>
        <w:rFonts w:hint="default"/>
        <w:lang w:val="es-ES" w:eastAsia="en-US" w:bidi="ar-SA"/>
      </w:r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5"/>
  </w:num>
  <w:num w:numId="4">
    <w:abstractNumId w:val="18"/>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4"/>
  </w:num>
  <w:num w:numId="14">
    <w:abstractNumId w:val="6"/>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6"/>
  </w:num>
  <w:num w:numId="19">
    <w:abstractNumId w:val="2"/>
  </w:num>
  <w:num w:numId="20">
    <w:abstractNumId w:val="27"/>
  </w:num>
  <w:num w:numId="21">
    <w:abstractNumId w:val="17"/>
  </w:num>
  <w:num w:numId="22">
    <w:abstractNumId w:val="5"/>
  </w:num>
  <w:num w:numId="23">
    <w:abstractNumId w:val="4"/>
  </w:num>
  <w:num w:numId="24">
    <w:abstractNumId w:val="20"/>
  </w:num>
  <w:num w:numId="25">
    <w:abstractNumId w:val="10"/>
  </w:num>
  <w:num w:numId="26">
    <w:abstractNumId w:val="25"/>
  </w:num>
  <w:num w:numId="27">
    <w:abstractNumId w:val="13"/>
  </w:num>
  <w:num w:numId="28">
    <w:abstractNumId w:val="22"/>
  </w:num>
  <w:num w:numId="29">
    <w:abstractNumId w:val="11"/>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25C"/>
    <w:rsid w:val="0000162E"/>
    <w:rsid w:val="00001A1C"/>
    <w:rsid w:val="00001FFD"/>
    <w:rsid w:val="00002027"/>
    <w:rsid w:val="000020FE"/>
    <w:rsid w:val="000031A8"/>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5F82"/>
    <w:rsid w:val="00026092"/>
    <w:rsid w:val="000263F0"/>
    <w:rsid w:val="00026407"/>
    <w:rsid w:val="000264F6"/>
    <w:rsid w:val="00026608"/>
    <w:rsid w:val="00027787"/>
    <w:rsid w:val="000278D2"/>
    <w:rsid w:val="00031384"/>
    <w:rsid w:val="000315E1"/>
    <w:rsid w:val="0003236E"/>
    <w:rsid w:val="000326D0"/>
    <w:rsid w:val="0003339A"/>
    <w:rsid w:val="000341F2"/>
    <w:rsid w:val="00034651"/>
    <w:rsid w:val="000351F2"/>
    <w:rsid w:val="00036E03"/>
    <w:rsid w:val="000406DB"/>
    <w:rsid w:val="0004094D"/>
    <w:rsid w:val="00041029"/>
    <w:rsid w:val="0004149B"/>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C38"/>
    <w:rsid w:val="00052EA0"/>
    <w:rsid w:val="000536E3"/>
    <w:rsid w:val="00054160"/>
    <w:rsid w:val="00054252"/>
    <w:rsid w:val="0005474D"/>
    <w:rsid w:val="00055CB9"/>
    <w:rsid w:val="00056F66"/>
    <w:rsid w:val="0005702F"/>
    <w:rsid w:val="0005779C"/>
    <w:rsid w:val="00057C4E"/>
    <w:rsid w:val="00061D06"/>
    <w:rsid w:val="0006294B"/>
    <w:rsid w:val="00062CDD"/>
    <w:rsid w:val="00063FA5"/>
    <w:rsid w:val="000640AF"/>
    <w:rsid w:val="00064940"/>
    <w:rsid w:val="00064CAE"/>
    <w:rsid w:val="00064DB7"/>
    <w:rsid w:val="00064FA7"/>
    <w:rsid w:val="00065195"/>
    <w:rsid w:val="00065B22"/>
    <w:rsid w:val="00067BD1"/>
    <w:rsid w:val="00067D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B74"/>
    <w:rsid w:val="00083099"/>
    <w:rsid w:val="00083EDC"/>
    <w:rsid w:val="000841F1"/>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ACD"/>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C0185"/>
    <w:rsid w:val="000C0F81"/>
    <w:rsid w:val="000C128D"/>
    <w:rsid w:val="000C17A3"/>
    <w:rsid w:val="000C1D4B"/>
    <w:rsid w:val="000C3260"/>
    <w:rsid w:val="000C3580"/>
    <w:rsid w:val="000C362D"/>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D7E56"/>
    <w:rsid w:val="000E22CF"/>
    <w:rsid w:val="000E2977"/>
    <w:rsid w:val="000E30AC"/>
    <w:rsid w:val="000E3B46"/>
    <w:rsid w:val="000E3DCC"/>
    <w:rsid w:val="000E3E11"/>
    <w:rsid w:val="000E4596"/>
    <w:rsid w:val="000E5768"/>
    <w:rsid w:val="000E5843"/>
    <w:rsid w:val="000E5F9B"/>
    <w:rsid w:val="000E6139"/>
    <w:rsid w:val="000E66FF"/>
    <w:rsid w:val="000E6BE1"/>
    <w:rsid w:val="000E7E0B"/>
    <w:rsid w:val="000F078A"/>
    <w:rsid w:val="000F0997"/>
    <w:rsid w:val="000F122D"/>
    <w:rsid w:val="000F1450"/>
    <w:rsid w:val="000F14E8"/>
    <w:rsid w:val="000F1BBD"/>
    <w:rsid w:val="000F2312"/>
    <w:rsid w:val="000F2739"/>
    <w:rsid w:val="000F2812"/>
    <w:rsid w:val="000F3138"/>
    <w:rsid w:val="000F4403"/>
    <w:rsid w:val="000F4E17"/>
    <w:rsid w:val="000F622C"/>
    <w:rsid w:val="000F6578"/>
    <w:rsid w:val="000F70CD"/>
    <w:rsid w:val="000F7495"/>
    <w:rsid w:val="000F7E8F"/>
    <w:rsid w:val="000F7FBB"/>
    <w:rsid w:val="001000FB"/>
    <w:rsid w:val="0010158B"/>
    <w:rsid w:val="00102605"/>
    <w:rsid w:val="00102686"/>
    <w:rsid w:val="00102745"/>
    <w:rsid w:val="001032B4"/>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FF9"/>
    <w:rsid w:val="00135E88"/>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66"/>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A7"/>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6B19"/>
    <w:rsid w:val="001D7923"/>
    <w:rsid w:val="001D796A"/>
    <w:rsid w:val="001D7A84"/>
    <w:rsid w:val="001D7C79"/>
    <w:rsid w:val="001E109E"/>
    <w:rsid w:val="001E15F0"/>
    <w:rsid w:val="001E1CC4"/>
    <w:rsid w:val="001E1D38"/>
    <w:rsid w:val="001E4258"/>
    <w:rsid w:val="001E4658"/>
    <w:rsid w:val="001E56FF"/>
    <w:rsid w:val="001E5D6A"/>
    <w:rsid w:val="001E70FB"/>
    <w:rsid w:val="001E780A"/>
    <w:rsid w:val="001F07D6"/>
    <w:rsid w:val="001F0FA0"/>
    <w:rsid w:val="001F1349"/>
    <w:rsid w:val="001F1863"/>
    <w:rsid w:val="001F232D"/>
    <w:rsid w:val="001F2356"/>
    <w:rsid w:val="001F2A68"/>
    <w:rsid w:val="001F2CBA"/>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5E93"/>
    <w:rsid w:val="0020632A"/>
    <w:rsid w:val="0020697F"/>
    <w:rsid w:val="002110EB"/>
    <w:rsid w:val="00211338"/>
    <w:rsid w:val="00211388"/>
    <w:rsid w:val="0021148C"/>
    <w:rsid w:val="00211694"/>
    <w:rsid w:val="0021201A"/>
    <w:rsid w:val="00213167"/>
    <w:rsid w:val="00213A1F"/>
    <w:rsid w:val="00213C63"/>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57D0"/>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5E7A"/>
    <w:rsid w:val="0028663B"/>
    <w:rsid w:val="00286CEC"/>
    <w:rsid w:val="002871A9"/>
    <w:rsid w:val="00290781"/>
    <w:rsid w:val="00291784"/>
    <w:rsid w:val="002929BB"/>
    <w:rsid w:val="00294368"/>
    <w:rsid w:val="00294B78"/>
    <w:rsid w:val="00295360"/>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B7D9E"/>
    <w:rsid w:val="002C1143"/>
    <w:rsid w:val="002C1C65"/>
    <w:rsid w:val="002C1F49"/>
    <w:rsid w:val="002C24B4"/>
    <w:rsid w:val="002C2B3A"/>
    <w:rsid w:val="002C2B87"/>
    <w:rsid w:val="002C3CF4"/>
    <w:rsid w:val="002C3E23"/>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D7E"/>
    <w:rsid w:val="002E055C"/>
    <w:rsid w:val="002E1050"/>
    <w:rsid w:val="002E18E5"/>
    <w:rsid w:val="002E1953"/>
    <w:rsid w:val="002E2548"/>
    <w:rsid w:val="002E2990"/>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B5E"/>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273A"/>
    <w:rsid w:val="003533F4"/>
    <w:rsid w:val="003536F6"/>
    <w:rsid w:val="00353DD5"/>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B7E35"/>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F7F"/>
    <w:rsid w:val="003F300D"/>
    <w:rsid w:val="003F391F"/>
    <w:rsid w:val="003F4599"/>
    <w:rsid w:val="003F45E1"/>
    <w:rsid w:val="003F4F6C"/>
    <w:rsid w:val="003F516A"/>
    <w:rsid w:val="003F559E"/>
    <w:rsid w:val="003F6181"/>
    <w:rsid w:val="003F7343"/>
    <w:rsid w:val="00400002"/>
    <w:rsid w:val="00400054"/>
    <w:rsid w:val="004016A3"/>
    <w:rsid w:val="00401B31"/>
    <w:rsid w:val="0040202B"/>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2DCA"/>
    <w:rsid w:val="00423F9F"/>
    <w:rsid w:val="00425C43"/>
    <w:rsid w:val="00426C69"/>
    <w:rsid w:val="004273FA"/>
    <w:rsid w:val="00427C77"/>
    <w:rsid w:val="00430186"/>
    <w:rsid w:val="0043269A"/>
    <w:rsid w:val="004333C2"/>
    <w:rsid w:val="00433ACB"/>
    <w:rsid w:val="00434787"/>
    <w:rsid w:val="004347DA"/>
    <w:rsid w:val="00434C13"/>
    <w:rsid w:val="004356C0"/>
    <w:rsid w:val="00436323"/>
    <w:rsid w:val="0043683F"/>
    <w:rsid w:val="00436F40"/>
    <w:rsid w:val="004370FA"/>
    <w:rsid w:val="00440096"/>
    <w:rsid w:val="004403DD"/>
    <w:rsid w:val="00440DB0"/>
    <w:rsid w:val="00440FAD"/>
    <w:rsid w:val="00441291"/>
    <w:rsid w:val="00441F4E"/>
    <w:rsid w:val="004420AB"/>
    <w:rsid w:val="004422D6"/>
    <w:rsid w:val="004427AC"/>
    <w:rsid w:val="00442D4D"/>
    <w:rsid w:val="00443613"/>
    <w:rsid w:val="0044374D"/>
    <w:rsid w:val="00443865"/>
    <w:rsid w:val="00443B55"/>
    <w:rsid w:val="00443D27"/>
    <w:rsid w:val="00445AC2"/>
    <w:rsid w:val="00446037"/>
    <w:rsid w:val="0044642F"/>
    <w:rsid w:val="00446E05"/>
    <w:rsid w:val="0044772C"/>
    <w:rsid w:val="00450846"/>
    <w:rsid w:val="00451A52"/>
    <w:rsid w:val="00451FC8"/>
    <w:rsid w:val="0045271D"/>
    <w:rsid w:val="00452755"/>
    <w:rsid w:val="00452803"/>
    <w:rsid w:val="004529C6"/>
    <w:rsid w:val="00452EAD"/>
    <w:rsid w:val="004533D1"/>
    <w:rsid w:val="004534D1"/>
    <w:rsid w:val="00453A65"/>
    <w:rsid w:val="00454548"/>
    <w:rsid w:val="00454717"/>
    <w:rsid w:val="00455047"/>
    <w:rsid w:val="00455354"/>
    <w:rsid w:val="0045558D"/>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3F9"/>
    <w:rsid w:val="00484F0F"/>
    <w:rsid w:val="00484F40"/>
    <w:rsid w:val="0048540C"/>
    <w:rsid w:val="0048570F"/>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2E7"/>
    <w:rsid w:val="004A16C1"/>
    <w:rsid w:val="004A1CE2"/>
    <w:rsid w:val="004A34D2"/>
    <w:rsid w:val="004A4301"/>
    <w:rsid w:val="004A4B68"/>
    <w:rsid w:val="004A4E65"/>
    <w:rsid w:val="004A58EE"/>
    <w:rsid w:val="004A59B7"/>
    <w:rsid w:val="004A623B"/>
    <w:rsid w:val="004A6A04"/>
    <w:rsid w:val="004A6A52"/>
    <w:rsid w:val="004A6F2C"/>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D688C"/>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0696"/>
    <w:rsid w:val="005012E2"/>
    <w:rsid w:val="0050160F"/>
    <w:rsid w:val="0050284E"/>
    <w:rsid w:val="00505DCB"/>
    <w:rsid w:val="005072FA"/>
    <w:rsid w:val="005075CA"/>
    <w:rsid w:val="00507CE5"/>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5A8D"/>
    <w:rsid w:val="0051635C"/>
    <w:rsid w:val="00516C5B"/>
    <w:rsid w:val="00517612"/>
    <w:rsid w:val="00517CFB"/>
    <w:rsid w:val="00517F85"/>
    <w:rsid w:val="00520899"/>
    <w:rsid w:val="00520922"/>
    <w:rsid w:val="005209FC"/>
    <w:rsid w:val="005224E5"/>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332"/>
    <w:rsid w:val="00533CA9"/>
    <w:rsid w:val="005346AD"/>
    <w:rsid w:val="00534EFB"/>
    <w:rsid w:val="00534F60"/>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0AC"/>
    <w:rsid w:val="00557140"/>
    <w:rsid w:val="00560C87"/>
    <w:rsid w:val="00560EF9"/>
    <w:rsid w:val="00560F51"/>
    <w:rsid w:val="00561249"/>
    <w:rsid w:val="0056182B"/>
    <w:rsid w:val="00561AF3"/>
    <w:rsid w:val="00561E0B"/>
    <w:rsid w:val="00562141"/>
    <w:rsid w:val="00562D86"/>
    <w:rsid w:val="00563C9E"/>
    <w:rsid w:val="005642EC"/>
    <w:rsid w:val="00564704"/>
    <w:rsid w:val="00564712"/>
    <w:rsid w:val="005657A8"/>
    <w:rsid w:val="00565952"/>
    <w:rsid w:val="00566866"/>
    <w:rsid w:val="005670A5"/>
    <w:rsid w:val="00567723"/>
    <w:rsid w:val="00567AB8"/>
    <w:rsid w:val="00570A26"/>
    <w:rsid w:val="0057221F"/>
    <w:rsid w:val="00572539"/>
    <w:rsid w:val="0057337D"/>
    <w:rsid w:val="00573386"/>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7D44"/>
    <w:rsid w:val="00590F1A"/>
    <w:rsid w:val="00591C03"/>
    <w:rsid w:val="00591E2A"/>
    <w:rsid w:val="005923C4"/>
    <w:rsid w:val="00593F75"/>
    <w:rsid w:val="005940A0"/>
    <w:rsid w:val="0059429A"/>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76F1"/>
    <w:rsid w:val="005F1D89"/>
    <w:rsid w:val="005F305B"/>
    <w:rsid w:val="005F3361"/>
    <w:rsid w:val="005F3B47"/>
    <w:rsid w:val="005F4481"/>
    <w:rsid w:val="005F49AF"/>
    <w:rsid w:val="005F4A58"/>
    <w:rsid w:val="005F54DF"/>
    <w:rsid w:val="005F5888"/>
    <w:rsid w:val="005F5984"/>
    <w:rsid w:val="005F6CE2"/>
    <w:rsid w:val="005F7277"/>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91"/>
    <w:rsid w:val="006174FA"/>
    <w:rsid w:val="006178D1"/>
    <w:rsid w:val="00620719"/>
    <w:rsid w:val="006212C9"/>
    <w:rsid w:val="00621D0C"/>
    <w:rsid w:val="00622470"/>
    <w:rsid w:val="00622725"/>
    <w:rsid w:val="00623018"/>
    <w:rsid w:val="006231AA"/>
    <w:rsid w:val="00623482"/>
    <w:rsid w:val="00623AC2"/>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2854"/>
    <w:rsid w:val="00652E70"/>
    <w:rsid w:val="0065339A"/>
    <w:rsid w:val="00653469"/>
    <w:rsid w:val="00654A38"/>
    <w:rsid w:val="00654F83"/>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6F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4F68"/>
    <w:rsid w:val="006A55EE"/>
    <w:rsid w:val="006A575B"/>
    <w:rsid w:val="006A59DE"/>
    <w:rsid w:val="006A6655"/>
    <w:rsid w:val="006A6BF9"/>
    <w:rsid w:val="006A7CB5"/>
    <w:rsid w:val="006A7FD0"/>
    <w:rsid w:val="006B025C"/>
    <w:rsid w:val="006B2534"/>
    <w:rsid w:val="006B2CB2"/>
    <w:rsid w:val="006B347D"/>
    <w:rsid w:val="006B3E19"/>
    <w:rsid w:val="006B4488"/>
    <w:rsid w:val="006B47D2"/>
    <w:rsid w:val="006B67AC"/>
    <w:rsid w:val="006B786A"/>
    <w:rsid w:val="006B7E4E"/>
    <w:rsid w:val="006C003A"/>
    <w:rsid w:val="006C2240"/>
    <w:rsid w:val="006C2454"/>
    <w:rsid w:val="006C2551"/>
    <w:rsid w:val="006C37CA"/>
    <w:rsid w:val="006C40D2"/>
    <w:rsid w:val="006C5B15"/>
    <w:rsid w:val="006C5D32"/>
    <w:rsid w:val="006C5DCB"/>
    <w:rsid w:val="006C6EE1"/>
    <w:rsid w:val="006C70C4"/>
    <w:rsid w:val="006D04DA"/>
    <w:rsid w:val="006D10F6"/>
    <w:rsid w:val="006D1544"/>
    <w:rsid w:val="006D1688"/>
    <w:rsid w:val="006D1FF3"/>
    <w:rsid w:val="006D2690"/>
    <w:rsid w:val="006D2C65"/>
    <w:rsid w:val="006D32C6"/>
    <w:rsid w:val="006D360E"/>
    <w:rsid w:val="006D3697"/>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720"/>
    <w:rsid w:val="006E68FA"/>
    <w:rsid w:val="006E7275"/>
    <w:rsid w:val="006E77B8"/>
    <w:rsid w:val="006F15CC"/>
    <w:rsid w:val="006F1C0D"/>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AA"/>
    <w:rsid w:val="00716CAD"/>
    <w:rsid w:val="00716F18"/>
    <w:rsid w:val="00717140"/>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332"/>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0AA5"/>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A7C01"/>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6AE4"/>
    <w:rsid w:val="007D7CFC"/>
    <w:rsid w:val="007E0812"/>
    <w:rsid w:val="007E15E0"/>
    <w:rsid w:val="007E18DF"/>
    <w:rsid w:val="007E2A04"/>
    <w:rsid w:val="007E2C36"/>
    <w:rsid w:val="007E350D"/>
    <w:rsid w:val="007E5C4A"/>
    <w:rsid w:val="007E64D4"/>
    <w:rsid w:val="007E66E9"/>
    <w:rsid w:val="007E69F2"/>
    <w:rsid w:val="007E7432"/>
    <w:rsid w:val="007E74BF"/>
    <w:rsid w:val="007F10CC"/>
    <w:rsid w:val="007F14D3"/>
    <w:rsid w:val="007F1D9D"/>
    <w:rsid w:val="007F1E28"/>
    <w:rsid w:val="007F1F63"/>
    <w:rsid w:val="007F22A0"/>
    <w:rsid w:val="007F2F90"/>
    <w:rsid w:val="007F3320"/>
    <w:rsid w:val="007F392A"/>
    <w:rsid w:val="007F3AC1"/>
    <w:rsid w:val="007F4252"/>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C35"/>
    <w:rsid w:val="00807F69"/>
    <w:rsid w:val="008100F7"/>
    <w:rsid w:val="00810206"/>
    <w:rsid w:val="00811898"/>
    <w:rsid w:val="008124D8"/>
    <w:rsid w:val="0081325C"/>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3899"/>
    <w:rsid w:val="008548CA"/>
    <w:rsid w:val="00856C06"/>
    <w:rsid w:val="0085790B"/>
    <w:rsid w:val="00857C95"/>
    <w:rsid w:val="00857E78"/>
    <w:rsid w:val="008605AB"/>
    <w:rsid w:val="008606FE"/>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43CB"/>
    <w:rsid w:val="008A5474"/>
    <w:rsid w:val="008A589A"/>
    <w:rsid w:val="008A5C9A"/>
    <w:rsid w:val="008A6A55"/>
    <w:rsid w:val="008A6DF0"/>
    <w:rsid w:val="008A6F6E"/>
    <w:rsid w:val="008A7888"/>
    <w:rsid w:val="008A796E"/>
    <w:rsid w:val="008B0862"/>
    <w:rsid w:val="008B088C"/>
    <w:rsid w:val="008B1BF5"/>
    <w:rsid w:val="008B263F"/>
    <w:rsid w:val="008B2DB5"/>
    <w:rsid w:val="008B47A6"/>
    <w:rsid w:val="008B672C"/>
    <w:rsid w:val="008B74BF"/>
    <w:rsid w:val="008B766B"/>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9B1"/>
    <w:rsid w:val="008D35D9"/>
    <w:rsid w:val="008D3B85"/>
    <w:rsid w:val="008D3C72"/>
    <w:rsid w:val="008D462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5BCD"/>
    <w:rsid w:val="008E6598"/>
    <w:rsid w:val="008E7214"/>
    <w:rsid w:val="008E7348"/>
    <w:rsid w:val="008E7884"/>
    <w:rsid w:val="008E791C"/>
    <w:rsid w:val="008E7D6E"/>
    <w:rsid w:val="008F1056"/>
    <w:rsid w:val="008F1EC1"/>
    <w:rsid w:val="008F2E8D"/>
    <w:rsid w:val="008F3410"/>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05845"/>
    <w:rsid w:val="00910683"/>
    <w:rsid w:val="00910E00"/>
    <w:rsid w:val="009116CE"/>
    <w:rsid w:val="00911714"/>
    <w:rsid w:val="00911A5B"/>
    <w:rsid w:val="009136D4"/>
    <w:rsid w:val="00914B9A"/>
    <w:rsid w:val="00914C3F"/>
    <w:rsid w:val="00914F33"/>
    <w:rsid w:val="009153F6"/>
    <w:rsid w:val="00915863"/>
    <w:rsid w:val="00915FCE"/>
    <w:rsid w:val="00916711"/>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466"/>
    <w:rsid w:val="00935D46"/>
    <w:rsid w:val="009367D5"/>
    <w:rsid w:val="00937401"/>
    <w:rsid w:val="009376FB"/>
    <w:rsid w:val="00937D6B"/>
    <w:rsid w:val="00940477"/>
    <w:rsid w:val="00940876"/>
    <w:rsid w:val="009409E5"/>
    <w:rsid w:val="00940A53"/>
    <w:rsid w:val="00940F3C"/>
    <w:rsid w:val="009410E0"/>
    <w:rsid w:val="009444B4"/>
    <w:rsid w:val="00944644"/>
    <w:rsid w:val="009460F9"/>
    <w:rsid w:val="009469C2"/>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DA0"/>
    <w:rsid w:val="00971441"/>
    <w:rsid w:val="009715D4"/>
    <w:rsid w:val="0097221F"/>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02F0"/>
    <w:rsid w:val="009B199E"/>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4AF"/>
    <w:rsid w:val="009F060F"/>
    <w:rsid w:val="009F0781"/>
    <w:rsid w:val="009F0850"/>
    <w:rsid w:val="009F1BDF"/>
    <w:rsid w:val="009F1EAE"/>
    <w:rsid w:val="009F3513"/>
    <w:rsid w:val="009F369D"/>
    <w:rsid w:val="009F36FE"/>
    <w:rsid w:val="009F4F25"/>
    <w:rsid w:val="009F59C2"/>
    <w:rsid w:val="009F7263"/>
    <w:rsid w:val="009F76EA"/>
    <w:rsid w:val="009F78EB"/>
    <w:rsid w:val="009F7F32"/>
    <w:rsid w:val="009F7FEB"/>
    <w:rsid w:val="00A01852"/>
    <w:rsid w:val="00A0188B"/>
    <w:rsid w:val="00A01B79"/>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35F0"/>
    <w:rsid w:val="00A143EC"/>
    <w:rsid w:val="00A1461F"/>
    <w:rsid w:val="00A14A60"/>
    <w:rsid w:val="00A1500F"/>
    <w:rsid w:val="00A15621"/>
    <w:rsid w:val="00A15670"/>
    <w:rsid w:val="00A157A0"/>
    <w:rsid w:val="00A1585B"/>
    <w:rsid w:val="00A15C19"/>
    <w:rsid w:val="00A16809"/>
    <w:rsid w:val="00A17668"/>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4DA9"/>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0C04"/>
    <w:rsid w:val="00A81323"/>
    <w:rsid w:val="00A820CB"/>
    <w:rsid w:val="00A82342"/>
    <w:rsid w:val="00A83BEF"/>
    <w:rsid w:val="00A84443"/>
    <w:rsid w:val="00A8487F"/>
    <w:rsid w:val="00A849A3"/>
    <w:rsid w:val="00A84A0E"/>
    <w:rsid w:val="00A84D65"/>
    <w:rsid w:val="00A854BE"/>
    <w:rsid w:val="00A86E0B"/>
    <w:rsid w:val="00A90F12"/>
    <w:rsid w:val="00A93101"/>
    <w:rsid w:val="00A94293"/>
    <w:rsid w:val="00A9496E"/>
    <w:rsid w:val="00A949F0"/>
    <w:rsid w:val="00A94BDE"/>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24B"/>
    <w:rsid w:val="00AB726C"/>
    <w:rsid w:val="00AB72B4"/>
    <w:rsid w:val="00AB73C6"/>
    <w:rsid w:val="00AC02AA"/>
    <w:rsid w:val="00AC0537"/>
    <w:rsid w:val="00AC0A84"/>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F60"/>
    <w:rsid w:val="00AD5044"/>
    <w:rsid w:val="00AD5114"/>
    <w:rsid w:val="00AD5CBF"/>
    <w:rsid w:val="00AD6236"/>
    <w:rsid w:val="00AD7619"/>
    <w:rsid w:val="00AD7770"/>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47"/>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4EA7"/>
    <w:rsid w:val="00B55857"/>
    <w:rsid w:val="00B55C69"/>
    <w:rsid w:val="00B56851"/>
    <w:rsid w:val="00B56D6E"/>
    <w:rsid w:val="00B572F7"/>
    <w:rsid w:val="00B57B9D"/>
    <w:rsid w:val="00B57DAF"/>
    <w:rsid w:val="00B60094"/>
    <w:rsid w:val="00B6022C"/>
    <w:rsid w:val="00B60A23"/>
    <w:rsid w:val="00B60F62"/>
    <w:rsid w:val="00B61331"/>
    <w:rsid w:val="00B614F8"/>
    <w:rsid w:val="00B61994"/>
    <w:rsid w:val="00B61FD4"/>
    <w:rsid w:val="00B62880"/>
    <w:rsid w:val="00B63872"/>
    <w:rsid w:val="00B63CB2"/>
    <w:rsid w:val="00B6416D"/>
    <w:rsid w:val="00B64246"/>
    <w:rsid w:val="00B64BFD"/>
    <w:rsid w:val="00B64EDB"/>
    <w:rsid w:val="00B65938"/>
    <w:rsid w:val="00B65C8A"/>
    <w:rsid w:val="00B65CE2"/>
    <w:rsid w:val="00B660AD"/>
    <w:rsid w:val="00B66109"/>
    <w:rsid w:val="00B66349"/>
    <w:rsid w:val="00B67630"/>
    <w:rsid w:val="00B67D80"/>
    <w:rsid w:val="00B67FBF"/>
    <w:rsid w:val="00B71FA7"/>
    <w:rsid w:val="00B72110"/>
    <w:rsid w:val="00B72B91"/>
    <w:rsid w:val="00B73019"/>
    <w:rsid w:val="00B7315F"/>
    <w:rsid w:val="00B7323A"/>
    <w:rsid w:val="00B73356"/>
    <w:rsid w:val="00B7353B"/>
    <w:rsid w:val="00B7358A"/>
    <w:rsid w:val="00B737FB"/>
    <w:rsid w:val="00B73BFE"/>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15CC"/>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161"/>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A4B"/>
    <w:rsid w:val="00C22D7C"/>
    <w:rsid w:val="00C22DDE"/>
    <w:rsid w:val="00C2338B"/>
    <w:rsid w:val="00C233CE"/>
    <w:rsid w:val="00C23661"/>
    <w:rsid w:val="00C237DD"/>
    <w:rsid w:val="00C238F4"/>
    <w:rsid w:val="00C23A99"/>
    <w:rsid w:val="00C245EE"/>
    <w:rsid w:val="00C24AE1"/>
    <w:rsid w:val="00C24B8D"/>
    <w:rsid w:val="00C24BD7"/>
    <w:rsid w:val="00C2561A"/>
    <w:rsid w:val="00C25813"/>
    <w:rsid w:val="00C27143"/>
    <w:rsid w:val="00C27490"/>
    <w:rsid w:val="00C27A55"/>
    <w:rsid w:val="00C27D37"/>
    <w:rsid w:val="00C302E5"/>
    <w:rsid w:val="00C309E8"/>
    <w:rsid w:val="00C32017"/>
    <w:rsid w:val="00C325CD"/>
    <w:rsid w:val="00C3322E"/>
    <w:rsid w:val="00C337F5"/>
    <w:rsid w:val="00C33B90"/>
    <w:rsid w:val="00C345B2"/>
    <w:rsid w:val="00C34B5F"/>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500F0"/>
    <w:rsid w:val="00C504A7"/>
    <w:rsid w:val="00C506C9"/>
    <w:rsid w:val="00C50A16"/>
    <w:rsid w:val="00C5122B"/>
    <w:rsid w:val="00C512A3"/>
    <w:rsid w:val="00C51C9A"/>
    <w:rsid w:val="00C51DE3"/>
    <w:rsid w:val="00C52C68"/>
    <w:rsid w:val="00C52D98"/>
    <w:rsid w:val="00C53D24"/>
    <w:rsid w:val="00C54640"/>
    <w:rsid w:val="00C547A6"/>
    <w:rsid w:val="00C54A3A"/>
    <w:rsid w:val="00C5503F"/>
    <w:rsid w:val="00C55C32"/>
    <w:rsid w:val="00C56A67"/>
    <w:rsid w:val="00C56CC2"/>
    <w:rsid w:val="00C570ED"/>
    <w:rsid w:val="00C57498"/>
    <w:rsid w:val="00C5763C"/>
    <w:rsid w:val="00C5780C"/>
    <w:rsid w:val="00C5796B"/>
    <w:rsid w:val="00C6107C"/>
    <w:rsid w:val="00C619A1"/>
    <w:rsid w:val="00C62370"/>
    <w:rsid w:val="00C623A4"/>
    <w:rsid w:val="00C62545"/>
    <w:rsid w:val="00C62BBB"/>
    <w:rsid w:val="00C6305F"/>
    <w:rsid w:val="00C6325B"/>
    <w:rsid w:val="00C63E99"/>
    <w:rsid w:val="00C64161"/>
    <w:rsid w:val="00C641BD"/>
    <w:rsid w:val="00C649B8"/>
    <w:rsid w:val="00C64A64"/>
    <w:rsid w:val="00C65143"/>
    <w:rsid w:val="00C65151"/>
    <w:rsid w:val="00C657F4"/>
    <w:rsid w:val="00C66119"/>
    <w:rsid w:val="00C66292"/>
    <w:rsid w:val="00C672A3"/>
    <w:rsid w:val="00C672F1"/>
    <w:rsid w:val="00C673D0"/>
    <w:rsid w:val="00C6742E"/>
    <w:rsid w:val="00C70012"/>
    <w:rsid w:val="00C71E2A"/>
    <w:rsid w:val="00C733BA"/>
    <w:rsid w:val="00C746A6"/>
    <w:rsid w:val="00C760DC"/>
    <w:rsid w:val="00C76C16"/>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616"/>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CF7"/>
    <w:rsid w:val="00CC4E5D"/>
    <w:rsid w:val="00CC50AE"/>
    <w:rsid w:val="00CC61B7"/>
    <w:rsid w:val="00CC61CA"/>
    <w:rsid w:val="00CC647B"/>
    <w:rsid w:val="00CC69EC"/>
    <w:rsid w:val="00CC71D3"/>
    <w:rsid w:val="00CC743D"/>
    <w:rsid w:val="00CD050A"/>
    <w:rsid w:val="00CD205D"/>
    <w:rsid w:val="00CD2A22"/>
    <w:rsid w:val="00CD2B50"/>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5987"/>
    <w:rsid w:val="00CE65A7"/>
    <w:rsid w:val="00CE68FE"/>
    <w:rsid w:val="00CE69CC"/>
    <w:rsid w:val="00CE6EC4"/>
    <w:rsid w:val="00CE7F26"/>
    <w:rsid w:val="00CF0A30"/>
    <w:rsid w:val="00CF1226"/>
    <w:rsid w:val="00CF1ABB"/>
    <w:rsid w:val="00CF1E1D"/>
    <w:rsid w:val="00CF24FE"/>
    <w:rsid w:val="00CF35D0"/>
    <w:rsid w:val="00CF3DD5"/>
    <w:rsid w:val="00CF4AF7"/>
    <w:rsid w:val="00CF4D20"/>
    <w:rsid w:val="00CF623E"/>
    <w:rsid w:val="00CF6672"/>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BE0"/>
    <w:rsid w:val="00D21FFC"/>
    <w:rsid w:val="00D223B6"/>
    <w:rsid w:val="00D223E8"/>
    <w:rsid w:val="00D2271B"/>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BC"/>
    <w:rsid w:val="00D34B25"/>
    <w:rsid w:val="00D34F4E"/>
    <w:rsid w:val="00D355BD"/>
    <w:rsid w:val="00D357F3"/>
    <w:rsid w:val="00D35C0E"/>
    <w:rsid w:val="00D35C93"/>
    <w:rsid w:val="00D373A8"/>
    <w:rsid w:val="00D37460"/>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03CE"/>
    <w:rsid w:val="00D61526"/>
    <w:rsid w:val="00D61F81"/>
    <w:rsid w:val="00D62BE6"/>
    <w:rsid w:val="00D63766"/>
    <w:rsid w:val="00D63912"/>
    <w:rsid w:val="00D63923"/>
    <w:rsid w:val="00D6451B"/>
    <w:rsid w:val="00D64B57"/>
    <w:rsid w:val="00D65917"/>
    <w:rsid w:val="00D65DEA"/>
    <w:rsid w:val="00D65DFE"/>
    <w:rsid w:val="00D67BC7"/>
    <w:rsid w:val="00D701F1"/>
    <w:rsid w:val="00D705D3"/>
    <w:rsid w:val="00D70E00"/>
    <w:rsid w:val="00D715AC"/>
    <w:rsid w:val="00D71851"/>
    <w:rsid w:val="00D718CF"/>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2EA"/>
    <w:rsid w:val="00DB03CC"/>
    <w:rsid w:val="00DB12D4"/>
    <w:rsid w:val="00DB14F0"/>
    <w:rsid w:val="00DB1745"/>
    <w:rsid w:val="00DB1AFF"/>
    <w:rsid w:val="00DB219A"/>
    <w:rsid w:val="00DB3165"/>
    <w:rsid w:val="00DB4292"/>
    <w:rsid w:val="00DB5671"/>
    <w:rsid w:val="00DB6E46"/>
    <w:rsid w:val="00DB7117"/>
    <w:rsid w:val="00DB7760"/>
    <w:rsid w:val="00DB7DD4"/>
    <w:rsid w:val="00DC00B4"/>
    <w:rsid w:val="00DC0954"/>
    <w:rsid w:val="00DC15BA"/>
    <w:rsid w:val="00DC18CD"/>
    <w:rsid w:val="00DC1A68"/>
    <w:rsid w:val="00DC30B8"/>
    <w:rsid w:val="00DC32C6"/>
    <w:rsid w:val="00DC478F"/>
    <w:rsid w:val="00DC62E5"/>
    <w:rsid w:val="00DC66BE"/>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19D7"/>
    <w:rsid w:val="00DE29F5"/>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379"/>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225"/>
    <w:rsid w:val="00E07AAA"/>
    <w:rsid w:val="00E109DD"/>
    <w:rsid w:val="00E11229"/>
    <w:rsid w:val="00E114CA"/>
    <w:rsid w:val="00E11CF0"/>
    <w:rsid w:val="00E1397F"/>
    <w:rsid w:val="00E13AB8"/>
    <w:rsid w:val="00E1482E"/>
    <w:rsid w:val="00E15423"/>
    <w:rsid w:val="00E16382"/>
    <w:rsid w:val="00E1699C"/>
    <w:rsid w:val="00E16E75"/>
    <w:rsid w:val="00E1746D"/>
    <w:rsid w:val="00E2012A"/>
    <w:rsid w:val="00E205A2"/>
    <w:rsid w:val="00E20BA4"/>
    <w:rsid w:val="00E20C61"/>
    <w:rsid w:val="00E23137"/>
    <w:rsid w:val="00E23980"/>
    <w:rsid w:val="00E241E9"/>
    <w:rsid w:val="00E257C3"/>
    <w:rsid w:val="00E25CB3"/>
    <w:rsid w:val="00E25DA4"/>
    <w:rsid w:val="00E26CB8"/>
    <w:rsid w:val="00E26FCF"/>
    <w:rsid w:val="00E27165"/>
    <w:rsid w:val="00E27226"/>
    <w:rsid w:val="00E3044A"/>
    <w:rsid w:val="00E31A4A"/>
    <w:rsid w:val="00E32F45"/>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10FE"/>
    <w:rsid w:val="00E51E25"/>
    <w:rsid w:val="00E5205B"/>
    <w:rsid w:val="00E521AE"/>
    <w:rsid w:val="00E529E8"/>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04BA"/>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6556"/>
    <w:rsid w:val="00E86798"/>
    <w:rsid w:val="00E86D35"/>
    <w:rsid w:val="00E86DC2"/>
    <w:rsid w:val="00E86E32"/>
    <w:rsid w:val="00E8732E"/>
    <w:rsid w:val="00E87466"/>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A7AFD"/>
    <w:rsid w:val="00EB03AB"/>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367"/>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394"/>
    <w:rsid w:val="00ED2D27"/>
    <w:rsid w:val="00ED3347"/>
    <w:rsid w:val="00ED3954"/>
    <w:rsid w:val="00ED43A2"/>
    <w:rsid w:val="00ED455D"/>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68"/>
    <w:rsid w:val="00EE366D"/>
    <w:rsid w:val="00EE5454"/>
    <w:rsid w:val="00EE58B8"/>
    <w:rsid w:val="00EE59B5"/>
    <w:rsid w:val="00EE5FB7"/>
    <w:rsid w:val="00EE6A1A"/>
    <w:rsid w:val="00EE7B54"/>
    <w:rsid w:val="00EE7C88"/>
    <w:rsid w:val="00EE7C8B"/>
    <w:rsid w:val="00EF0209"/>
    <w:rsid w:val="00EF051F"/>
    <w:rsid w:val="00EF0EA4"/>
    <w:rsid w:val="00EF1E97"/>
    <w:rsid w:val="00EF2436"/>
    <w:rsid w:val="00EF2547"/>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74"/>
    <w:rsid w:val="00F01657"/>
    <w:rsid w:val="00F01E67"/>
    <w:rsid w:val="00F02744"/>
    <w:rsid w:val="00F02BFD"/>
    <w:rsid w:val="00F02D25"/>
    <w:rsid w:val="00F03B3E"/>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3A87"/>
    <w:rsid w:val="00F24644"/>
    <w:rsid w:val="00F256FD"/>
    <w:rsid w:val="00F26F33"/>
    <w:rsid w:val="00F300A8"/>
    <w:rsid w:val="00F30400"/>
    <w:rsid w:val="00F3079E"/>
    <w:rsid w:val="00F314BB"/>
    <w:rsid w:val="00F33980"/>
    <w:rsid w:val="00F3399B"/>
    <w:rsid w:val="00F33C1A"/>
    <w:rsid w:val="00F3461B"/>
    <w:rsid w:val="00F346ED"/>
    <w:rsid w:val="00F34945"/>
    <w:rsid w:val="00F34E1E"/>
    <w:rsid w:val="00F3570C"/>
    <w:rsid w:val="00F35D37"/>
    <w:rsid w:val="00F368FF"/>
    <w:rsid w:val="00F37068"/>
    <w:rsid w:val="00F37F3F"/>
    <w:rsid w:val="00F40992"/>
    <w:rsid w:val="00F412DF"/>
    <w:rsid w:val="00F41596"/>
    <w:rsid w:val="00F41D8B"/>
    <w:rsid w:val="00F42121"/>
    <w:rsid w:val="00F424B3"/>
    <w:rsid w:val="00F428B1"/>
    <w:rsid w:val="00F428B4"/>
    <w:rsid w:val="00F4345D"/>
    <w:rsid w:val="00F4387B"/>
    <w:rsid w:val="00F44E56"/>
    <w:rsid w:val="00F4518D"/>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5A3C"/>
    <w:rsid w:val="00F66282"/>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4D45"/>
    <w:rsid w:val="00F75F7B"/>
    <w:rsid w:val="00F76C11"/>
    <w:rsid w:val="00F77021"/>
    <w:rsid w:val="00F77E61"/>
    <w:rsid w:val="00F815AC"/>
    <w:rsid w:val="00F81EE7"/>
    <w:rsid w:val="00F83702"/>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05C7"/>
    <w:rsid w:val="00FD1890"/>
    <w:rsid w:val="00FD1994"/>
    <w:rsid w:val="00FD2CA6"/>
    <w:rsid w:val="00FD3508"/>
    <w:rsid w:val="00FD393C"/>
    <w:rsid w:val="00FD43BB"/>
    <w:rsid w:val="00FD4AF3"/>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A38"/>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008340">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DAC8407-FEE0-46BC-A7FA-8283839FD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6E3DE8-8B22-429C-9F7F-FBCE49C62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TotalTime>
  <Pages>12</Pages>
  <Words>4659</Words>
  <Characters>25626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3</cp:revision>
  <cp:lastPrinted>2020-01-30T15:05:00Z</cp:lastPrinted>
  <dcterms:created xsi:type="dcterms:W3CDTF">2021-08-18T16:46:00Z</dcterms:created>
  <dcterms:modified xsi:type="dcterms:W3CDTF">2021-08-18T17:35:00Z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