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B2E74" w14:textId="051554CF" w:rsidR="00D82628" w:rsidRPr="00D71688" w:rsidRDefault="00D82628" w:rsidP="00D82628">
      <w:pPr>
        <w:spacing w:after="0" w:line="240" w:lineRule="auto"/>
        <w:jc w:val="both"/>
        <w:rPr>
          <w:rFonts w:ascii="Verdana" w:hAnsi="Verdana"/>
          <w:b/>
        </w:rPr>
      </w:pPr>
      <w:r w:rsidRPr="00D71688">
        <w:rPr>
          <w:rFonts w:ascii="Verdana" w:hAnsi="Verdana" w:cs="Arial"/>
          <w:b/>
          <w:bCs/>
          <w:lang w:val="es-ES" w:eastAsia="es-ES"/>
        </w:rPr>
        <w:t>CONTRATOS ESTATALES – Capacidad jurídica – Requisitos esenciales</w:t>
      </w:r>
      <w:r w:rsidR="00350FBE">
        <w:rPr>
          <w:rFonts w:ascii="Verdana" w:hAnsi="Verdana" w:cs="Arial"/>
          <w:b/>
          <w:bCs/>
          <w:lang w:val="es-ES" w:eastAsia="es-ES"/>
        </w:rPr>
        <w:t xml:space="preserve"> – </w:t>
      </w:r>
      <w:r w:rsidR="00350FBE" w:rsidRPr="00350FBE">
        <w:rPr>
          <w:rFonts w:ascii="Verdana" w:hAnsi="Verdana" w:cs="Arial"/>
          <w:b/>
          <w:lang w:val="es-ES" w:eastAsia="es-ES"/>
        </w:rPr>
        <w:t>Régimen jurídico</w:t>
      </w:r>
    </w:p>
    <w:p w14:paraId="02C21EA4" w14:textId="77777777" w:rsidR="00D82628" w:rsidRDefault="00D82628" w:rsidP="00D82628">
      <w:pPr>
        <w:spacing w:after="0" w:line="240" w:lineRule="auto"/>
        <w:jc w:val="both"/>
        <w:rPr>
          <w:rFonts w:ascii="Verdana" w:hAnsi="Verdana"/>
          <w:b/>
        </w:rPr>
      </w:pPr>
    </w:p>
    <w:p w14:paraId="6C1E2EDA" w14:textId="77777777" w:rsidR="00D82628" w:rsidRPr="00D71688" w:rsidRDefault="00D82628" w:rsidP="00D82628">
      <w:pPr>
        <w:spacing w:after="0" w:line="240" w:lineRule="auto"/>
        <w:jc w:val="both"/>
        <w:rPr>
          <w:rFonts w:ascii="Verdana" w:eastAsia="Calibri" w:hAnsi="Verdana"/>
          <w:color w:val="000000" w:themeColor="text1"/>
          <w:sz w:val="20"/>
          <w:lang w:val="es-ES"/>
        </w:rPr>
      </w:pPr>
      <w:r w:rsidRPr="00D71688">
        <w:rPr>
          <w:rFonts w:ascii="Verdana" w:eastAsia="Calibri" w:hAnsi="Verdana"/>
          <w:color w:val="000000" w:themeColor="text1"/>
          <w:sz w:val="20"/>
          <w:lang w:val="es-ES"/>
        </w:rPr>
        <w:t xml:space="preserve">Más allá de la tipicidad o no del contrato estatal, es necesario tener en cuenta que la capacidad contractual para celebrar contratos estatales está regulada en el artículo 6 de la Ley 80 de 1993. De conformidad con la norma citada, “Pueden celebrar contratos con las entidades estatales las personas consideradas legalmente capaces en las disposiciones vigentes […]”. De acuerdo con la modificación de la Ley 2160 de 2021, la norma agrega lo siguiente: “[…] También podrán celebrar contratos con las entidades estatales los Cabildos Indígenas, las asociaciones de Autoridades Tradicionales Indígenas, los consejos comunitarios de las comunidades negras regulados por la Ley 70 de 1993 […] las organizaciones de base de comunidades negras, afrocolombianas, raizales y palenqueras y las demás formas y expresiones organizativas […]; y los consorcios y uniones temporales”. </w:t>
      </w:r>
    </w:p>
    <w:p w14:paraId="5CF840A8" w14:textId="77777777" w:rsidR="00D82628" w:rsidRDefault="00D82628" w:rsidP="00D82628">
      <w:pPr>
        <w:spacing w:after="0" w:line="240" w:lineRule="auto"/>
        <w:jc w:val="both"/>
        <w:rPr>
          <w:rFonts w:ascii="Verdana" w:eastAsia="Calibri" w:hAnsi="Verdana"/>
          <w:color w:val="000000" w:themeColor="text1"/>
          <w:sz w:val="20"/>
          <w:lang w:val="es-ES"/>
        </w:rPr>
      </w:pPr>
    </w:p>
    <w:p w14:paraId="1E0915EC" w14:textId="475656DE" w:rsidR="00D82628" w:rsidRPr="00B22D70" w:rsidRDefault="00D82628" w:rsidP="00B22D70">
      <w:pPr>
        <w:spacing w:after="0" w:line="240" w:lineRule="auto"/>
        <w:jc w:val="both"/>
        <w:rPr>
          <w:rFonts w:ascii="Verdana" w:eastAsia="Calibri" w:hAnsi="Verdana"/>
          <w:color w:val="000000" w:themeColor="text1"/>
          <w:sz w:val="20"/>
          <w:lang w:val="es-ES"/>
        </w:rPr>
      </w:pPr>
      <w:r w:rsidRPr="00D71688">
        <w:rPr>
          <w:rFonts w:ascii="Verdana" w:eastAsia="Calibri" w:hAnsi="Verdana"/>
          <w:color w:val="000000" w:themeColor="text1"/>
          <w:sz w:val="20"/>
          <w:lang w:val="es-ES"/>
        </w:rPr>
        <w:t xml:space="preserve">Al margen de la tipicidad o no del negocio, la existencia de los contratos estatales, es decir, la producción de efectos jurídicos en los términos del artículo 1501 </w:t>
      </w:r>
      <w:r w:rsidRPr="00D71688">
        <w:rPr>
          <w:rFonts w:ascii="Verdana" w:eastAsia="Calibri" w:hAnsi="Verdana"/>
          <w:i/>
          <w:color w:val="000000" w:themeColor="text1"/>
          <w:sz w:val="20"/>
          <w:lang w:val="es-ES"/>
        </w:rPr>
        <w:t>ibidem</w:t>
      </w:r>
      <w:r w:rsidRPr="00D71688">
        <w:rPr>
          <w:rFonts w:ascii="Verdana" w:eastAsia="Calibri" w:hAnsi="Verdana"/>
          <w:color w:val="000000" w:themeColor="text1"/>
          <w:sz w:val="20"/>
          <w:lang w:val="es-ES"/>
        </w:rPr>
        <w:t xml:space="preserve">, depende de la regulación del inciso primero de los artículos 39 y 41 del EGCAP.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16B00562" w14:textId="77777777" w:rsidR="00D82628" w:rsidRDefault="00D82628" w:rsidP="002939D8">
      <w:pPr>
        <w:spacing w:before="120" w:after="120" w:line="240" w:lineRule="auto"/>
        <w:jc w:val="both"/>
        <w:rPr>
          <w:rFonts w:ascii="Verdana" w:eastAsia="Geomanist Light" w:hAnsi="Verdana" w:cs="Arial"/>
          <w:b/>
          <w:bCs/>
          <w:color w:val="000000" w:themeColor="text1"/>
        </w:rPr>
      </w:pPr>
    </w:p>
    <w:p w14:paraId="65375C58" w14:textId="5D9ACCCF" w:rsidR="002939D8" w:rsidRPr="00C11AEF" w:rsidRDefault="002939D8" w:rsidP="002939D8">
      <w:pPr>
        <w:spacing w:before="120" w:after="120" w:line="240" w:lineRule="auto"/>
        <w:jc w:val="both"/>
        <w:rPr>
          <w:rFonts w:ascii="Verdana" w:eastAsia="Geomanist Light" w:hAnsi="Verdana" w:cs="Arial"/>
          <w:b/>
          <w:bCs/>
          <w:color w:val="000000" w:themeColor="text1"/>
        </w:rPr>
      </w:pPr>
      <w:r w:rsidRPr="003E73F3">
        <w:rPr>
          <w:rFonts w:ascii="Verdana" w:eastAsia="Geomanist Light" w:hAnsi="Verdana" w:cs="Arial"/>
          <w:b/>
          <w:bCs/>
          <w:color w:val="000000" w:themeColor="text1"/>
        </w:rPr>
        <w:t xml:space="preserve">PRINCIPIO DE PUBLICIDAD – </w:t>
      </w:r>
      <w:r w:rsidRPr="00C11AEF">
        <w:rPr>
          <w:rFonts w:ascii="Verdana" w:eastAsia="Geomanist Light" w:hAnsi="Verdana" w:cs="Arial"/>
          <w:b/>
          <w:bCs/>
          <w:color w:val="000000" w:themeColor="text1"/>
        </w:rPr>
        <w:t>Democracia</w:t>
      </w:r>
      <w:r w:rsidRPr="0079755D">
        <w:rPr>
          <w:rFonts w:ascii="Verdana" w:eastAsia="Geomanist Light" w:hAnsi="Verdana" w:cs="Arial"/>
          <w:b/>
          <w:bCs/>
          <w:color w:val="000000" w:themeColor="text1"/>
        </w:rPr>
        <w:t xml:space="preserve"> </w:t>
      </w:r>
      <w:r>
        <w:rPr>
          <w:rFonts w:ascii="Verdana" w:eastAsia="Geomanist Light" w:hAnsi="Verdana" w:cs="Arial"/>
          <w:b/>
          <w:bCs/>
          <w:color w:val="000000" w:themeColor="text1"/>
        </w:rPr>
        <w:t xml:space="preserve">– </w:t>
      </w:r>
      <w:r w:rsidRPr="0079755D">
        <w:rPr>
          <w:rFonts w:ascii="Verdana" w:eastAsia="Geomanist Light" w:hAnsi="Verdana" w:cs="Arial"/>
          <w:b/>
          <w:bCs/>
          <w:color w:val="000000" w:themeColor="text1"/>
        </w:rPr>
        <w:t>Estado social de Derecho</w:t>
      </w:r>
      <w:r w:rsidRPr="003E73F3">
        <w:rPr>
          <w:rFonts w:ascii="Verdana" w:eastAsia="Geomanist Light" w:hAnsi="Verdana" w:cs="Arial"/>
          <w:b/>
          <w:bCs/>
          <w:color w:val="000000" w:themeColor="text1"/>
        </w:rPr>
        <w:t xml:space="preserve"> </w:t>
      </w:r>
    </w:p>
    <w:p w14:paraId="17DE791B" w14:textId="77777777" w:rsidR="002939D8" w:rsidRDefault="002939D8" w:rsidP="002939D8">
      <w:pPr>
        <w:spacing w:after="0" w:line="240" w:lineRule="auto"/>
        <w:jc w:val="both"/>
        <w:rPr>
          <w:rFonts w:ascii="Verdana" w:eastAsia="Geomanist Light" w:hAnsi="Verdana" w:cs="Arial"/>
          <w:color w:val="000000" w:themeColor="text1"/>
          <w:sz w:val="20"/>
          <w:szCs w:val="20"/>
        </w:rPr>
      </w:pPr>
      <w:r w:rsidRPr="00BB705A">
        <w:rPr>
          <w:rFonts w:ascii="Verdana" w:eastAsia="Geomanist Light" w:hAnsi="Verdana" w:cs="Arial"/>
          <w:color w:val="000000" w:themeColor="text1"/>
          <w:sz w:val="20"/>
          <w:szCs w:val="20"/>
        </w:rPr>
        <w:t>Uno de los postulados más importantes de un Estado Social y Democrático de Derecho es el principio de publicidad, pues este permite que las actuaciones de las autoridades gocen de visibilidad.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artículo 74, que consagra la garantía de acceso a los documentos públicos que no gocen de reserva –y esta, además, es excepcional, pues solo procede si existe causal constitucional o legal expresa–</w:t>
      </w:r>
      <w:r w:rsidRPr="003E73F3">
        <w:rPr>
          <w:rFonts w:ascii="Verdana" w:eastAsia="Geomanist Light" w:hAnsi="Verdana" w:cs="Arial"/>
          <w:color w:val="000000" w:themeColor="text1"/>
          <w:sz w:val="20"/>
          <w:szCs w:val="20"/>
        </w:rPr>
        <w:t>.</w:t>
      </w:r>
    </w:p>
    <w:p w14:paraId="4CD8D22E" w14:textId="77777777" w:rsidR="002939D8" w:rsidRDefault="002939D8" w:rsidP="002939D8">
      <w:pPr>
        <w:spacing w:after="0" w:line="240" w:lineRule="auto"/>
        <w:jc w:val="both"/>
        <w:rPr>
          <w:rFonts w:ascii="Verdana" w:eastAsia="Geomanist Light" w:hAnsi="Verdana" w:cs="Arial"/>
          <w:color w:val="000000" w:themeColor="text1"/>
          <w:sz w:val="20"/>
          <w:szCs w:val="20"/>
        </w:rPr>
      </w:pPr>
    </w:p>
    <w:p w14:paraId="35041297" w14:textId="77777777" w:rsidR="002939D8" w:rsidRDefault="002939D8" w:rsidP="002939D8">
      <w:pPr>
        <w:spacing w:before="120" w:after="120" w:line="240" w:lineRule="auto"/>
        <w:jc w:val="both"/>
        <w:rPr>
          <w:rFonts w:ascii="Verdana" w:eastAsia="Geomanist Light" w:hAnsi="Verdana" w:cs="Arial"/>
          <w:color w:val="000000" w:themeColor="text1"/>
          <w:sz w:val="20"/>
          <w:szCs w:val="20"/>
        </w:rPr>
      </w:pPr>
      <w:r w:rsidRPr="004B7C3F">
        <w:rPr>
          <w:rFonts w:ascii="Verdana" w:eastAsia="Geomanist Light" w:hAnsi="Verdana" w:cs="Arial"/>
          <w:b/>
          <w:bCs/>
          <w:color w:val="000000" w:themeColor="text1"/>
        </w:rPr>
        <w:t>DOCUMENTOS DEL PROCESO – Noción</w:t>
      </w:r>
    </w:p>
    <w:p w14:paraId="784A0990" w14:textId="77777777" w:rsidR="002939D8" w:rsidRPr="00C5700F" w:rsidRDefault="002939D8" w:rsidP="002939D8">
      <w:pPr>
        <w:spacing w:after="0" w:line="240" w:lineRule="auto"/>
        <w:jc w:val="both"/>
        <w:rPr>
          <w:rFonts w:ascii="Verdana" w:eastAsia="Geomanist Light" w:hAnsi="Verdana" w:cs="Arial"/>
          <w:color w:val="000000" w:themeColor="text1"/>
          <w:sz w:val="20"/>
          <w:szCs w:val="20"/>
        </w:rPr>
      </w:pPr>
      <w:r w:rsidRPr="00C5700F">
        <w:rPr>
          <w:rFonts w:ascii="Verdana" w:eastAsia="Geomanist Light" w:hAnsi="Verdana" w:cs="Arial"/>
          <w:color w:val="000000" w:themeColor="text1"/>
          <w:sz w:val="20"/>
          <w:szCs w:val="20"/>
        </w:rPr>
        <w:t>La expresión Documentos del Proceso está definida en el artículo 2.2.1.1.1.3.1. del Decreto 1082 de 2015, norma en la cual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4B5DC9EE" w14:textId="77777777" w:rsidR="002939D8" w:rsidRDefault="002939D8" w:rsidP="002939D8">
      <w:pPr>
        <w:spacing w:after="0" w:line="240" w:lineRule="auto"/>
        <w:jc w:val="both"/>
        <w:rPr>
          <w:rFonts w:ascii="Verdana" w:eastAsia="Geomanist Light" w:hAnsi="Verdana" w:cs="Arial"/>
          <w:color w:val="000000" w:themeColor="text1"/>
          <w:sz w:val="20"/>
          <w:szCs w:val="20"/>
        </w:rPr>
      </w:pPr>
      <w:r w:rsidRPr="00C5700F">
        <w:rPr>
          <w:rFonts w:ascii="Verdana" w:eastAsia="Geomanist Light" w:hAnsi="Verdana" w:cs="Arial"/>
          <w:color w:val="000000" w:themeColor="text1"/>
          <w:sz w:val="20"/>
          <w:szCs w:val="20"/>
        </w:rPr>
        <w:lastRenderedPageBreak/>
        <w:t>No obstante,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Ibídem recoge en la noción de Documentos del Proceso “cualquier otro documento expedido por la Entidad Estatal durante el Proceso de Contratación”. 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p>
    <w:p w14:paraId="68188999" w14:textId="77777777" w:rsidR="002939D8" w:rsidRPr="00F33833" w:rsidRDefault="002939D8" w:rsidP="002939D8">
      <w:pPr>
        <w:spacing w:after="0" w:line="240" w:lineRule="auto"/>
        <w:jc w:val="both"/>
        <w:rPr>
          <w:rFonts w:ascii="Verdana" w:eastAsia="Geomanist Light" w:hAnsi="Verdana" w:cs="Arial"/>
          <w:color w:val="000000" w:themeColor="text1"/>
          <w:sz w:val="20"/>
          <w:szCs w:val="20"/>
        </w:rPr>
      </w:pPr>
    </w:p>
    <w:p w14:paraId="1063A021" w14:textId="77777777" w:rsidR="002939D8" w:rsidRPr="00F33833" w:rsidRDefault="002939D8" w:rsidP="002939D8">
      <w:pPr>
        <w:spacing w:before="120" w:after="120" w:line="240" w:lineRule="auto"/>
        <w:jc w:val="both"/>
        <w:rPr>
          <w:rFonts w:ascii="Verdana" w:eastAsia="Geomanist Light" w:hAnsi="Verdana" w:cs="Arial"/>
          <w:b/>
          <w:bCs/>
          <w:color w:val="000000" w:themeColor="text1"/>
        </w:rPr>
      </w:pPr>
      <w:r w:rsidRPr="003E73F3">
        <w:rPr>
          <w:rFonts w:ascii="Verdana" w:eastAsia="Geomanist Light" w:hAnsi="Verdana" w:cs="Arial"/>
          <w:b/>
          <w:bCs/>
          <w:color w:val="000000" w:themeColor="text1"/>
        </w:rPr>
        <w:t>SECOP I y II – Principio de Publicidad y Transparencia</w:t>
      </w:r>
    </w:p>
    <w:p w14:paraId="5902DAE4" w14:textId="77777777" w:rsidR="002939D8" w:rsidRPr="007725EA" w:rsidRDefault="002939D8" w:rsidP="002939D8">
      <w:pPr>
        <w:spacing w:after="0" w:line="240" w:lineRule="auto"/>
        <w:jc w:val="both"/>
        <w:rPr>
          <w:rFonts w:ascii="Verdana" w:eastAsia="Geomanist Light" w:hAnsi="Verdana" w:cs="Arial"/>
          <w:color w:val="000000" w:themeColor="text1"/>
          <w:sz w:val="20"/>
          <w:szCs w:val="20"/>
        </w:rPr>
      </w:pPr>
      <w:r w:rsidRPr="007725EA">
        <w:rPr>
          <w:rFonts w:ascii="Verdana" w:eastAsia="Geomanist Light" w:hAnsi="Verdana" w:cs="Arial"/>
          <w:color w:val="000000" w:themeColor="text1"/>
          <w:sz w:val="20"/>
          <w:szCs w:val="20"/>
        </w:rPr>
        <w:t>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p>
    <w:p w14:paraId="5D9452EA" w14:textId="77777777" w:rsidR="002939D8" w:rsidRDefault="002939D8" w:rsidP="002939D8">
      <w:pPr>
        <w:spacing w:after="0" w:line="240" w:lineRule="auto"/>
        <w:jc w:val="both"/>
        <w:rPr>
          <w:rFonts w:ascii="Verdana" w:eastAsia="Geomanist Light" w:hAnsi="Verdana" w:cs="Arial"/>
          <w:color w:val="000000" w:themeColor="text1"/>
          <w:sz w:val="20"/>
          <w:szCs w:val="20"/>
        </w:rPr>
      </w:pPr>
      <w:r w:rsidRPr="007725EA">
        <w:rPr>
          <w:rFonts w:ascii="Verdana" w:eastAsia="Geomanist Light" w:hAnsi="Verdana" w:cs="Arial"/>
          <w:color w:val="000000" w:themeColor="text1"/>
          <w:sz w:val="20"/>
          <w:szCs w:val="20"/>
        </w:rPr>
        <w:t>Asimismo, de acuerdo con el literal g) del artículo 11 de la Ley 1712 de 2014,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w:t>
      </w:r>
    </w:p>
    <w:p w14:paraId="1E3DBF0A" w14:textId="77777777" w:rsidR="002939D8" w:rsidRDefault="002939D8" w:rsidP="002939D8">
      <w:pPr>
        <w:spacing w:after="0" w:line="240" w:lineRule="auto"/>
        <w:jc w:val="both"/>
        <w:rPr>
          <w:rFonts w:ascii="Verdana" w:eastAsia="Geomanist Light" w:hAnsi="Verdana" w:cs="Arial"/>
          <w:color w:val="000000" w:themeColor="text1"/>
          <w:sz w:val="20"/>
          <w:szCs w:val="20"/>
        </w:rPr>
      </w:pPr>
    </w:p>
    <w:p w14:paraId="41D6A8EA" w14:textId="77777777" w:rsidR="002939D8" w:rsidRPr="00F33833" w:rsidRDefault="002939D8" w:rsidP="002939D8">
      <w:pPr>
        <w:spacing w:before="120" w:after="120" w:line="240" w:lineRule="auto"/>
        <w:jc w:val="both"/>
        <w:rPr>
          <w:rFonts w:ascii="Verdana" w:eastAsia="Geomanist Light" w:hAnsi="Verdana" w:cs="Arial"/>
          <w:b/>
          <w:bCs/>
          <w:color w:val="000000" w:themeColor="text1"/>
        </w:rPr>
      </w:pPr>
      <w:r w:rsidRPr="003E73F3">
        <w:rPr>
          <w:rFonts w:ascii="Verdana" w:eastAsia="Geomanist Light" w:hAnsi="Verdana" w:cs="Arial"/>
          <w:b/>
          <w:bCs/>
          <w:color w:val="000000" w:themeColor="text1"/>
        </w:rPr>
        <w:t xml:space="preserve">SECOP I y II – </w:t>
      </w:r>
      <w:r w:rsidRPr="00237DF6">
        <w:rPr>
          <w:rFonts w:ascii="Verdana" w:eastAsia="Geomanist Light" w:hAnsi="Verdana" w:cs="Arial"/>
          <w:b/>
          <w:bCs/>
          <w:color w:val="000000" w:themeColor="text1"/>
        </w:rPr>
        <w:t>Obligatoriedad</w:t>
      </w:r>
    </w:p>
    <w:p w14:paraId="631B0162" w14:textId="77777777" w:rsidR="002939D8" w:rsidRPr="003E73F3" w:rsidRDefault="002939D8" w:rsidP="002939D8">
      <w:pPr>
        <w:spacing w:after="0" w:line="240" w:lineRule="auto"/>
        <w:jc w:val="both"/>
        <w:rPr>
          <w:rFonts w:ascii="Verdana" w:eastAsia="Geomanist Light" w:hAnsi="Verdana" w:cs="Arial"/>
          <w:color w:val="000000" w:themeColor="text1"/>
          <w:sz w:val="20"/>
          <w:szCs w:val="20"/>
        </w:rPr>
      </w:pPr>
      <w:r w:rsidRPr="003E73F3">
        <w:rPr>
          <w:rFonts w:ascii="Verdana" w:eastAsia="Geomanist Light" w:hAnsi="Verdana" w:cs="Arial"/>
          <w:color w:val="000000" w:themeColor="text1"/>
          <w:sz w:val="20"/>
          <w:szCs w:val="20"/>
        </w:rPr>
        <w:t xml:space="preserve">[…] </w:t>
      </w:r>
      <w:r w:rsidRPr="00834A8E">
        <w:rPr>
          <w:rFonts w:ascii="Verdana" w:eastAsia="Geomanist Light" w:hAnsi="Verdana" w:cs="Arial"/>
          <w:color w:val="000000" w:themeColor="text1"/>
          <w:sz w:val="20"/>
          <w:szCs w:val="20"/>
        </w:rPr>
        <w:t xml:space="preserve">la obligatoriedad de publicar la información contractual en el Sistema Electrónico para la Contratación Pública (SECOP II) está establecida por la Ley 1150 de 2007, lo cual se desarrolla en la </w:t>
      </w:r>
      <w:r w:rsidRPr="00834A8E">
        <w:rPr>
          <w:rFonts w:ascii="Verdana" w:eastAsia="Geomanist Light" w:hAnsi="Verdana" w:cs="Arial"/>
          <w:color w:val="000000" w:themeColor="text1"/>
          <w:sz w:val="20"/>
          <w:szCs w:val="20"/>
          <w:lang w:val="es-ES"/>
        </w:rPr>
        <w:t>Circular Externa No. 003 de 2024 de Colombia Compra Eficiente</w:t>
      </w:r>
      <w:r w:rsidRPr="00834A8E">
        <w:rPr>
          <w:rFonts w:ascii="Verdana" w:eastAsia="Geomanist Light" w:hAnsi="Verdana" w:cs="Arial"/>
          <w:color w:val="000000" w:themeColor="text1"/>
          <w:sz w:val="20"/>
          <w:szCs w:val="20"/>
        </w:rPr>
        <w:t xml:space="preserve"> exigiendo a todas las entidades estatales, incluidas aquellas con regímenes contractuales especiales, la publicación de documentos relacionados con su actividad contractual en dicha plataforma. Esta obligación incluye todos los documentos generados durante las fases precontractual, contractual y postcontractual, como contratos, actos administrativos e información sobre los involucrados en el proceso. Esto tiene como objetivo garantizar la transparencia, el acceso público a la información y el control social sobre la contratación pública, permitiendo que la ciudadanía tenga acceso a los documentos en un sistema unificado y oficial, el SECOP II o la plataforma transaccional que haga sus veces en el futuro.</w:t>
      </w:r>
    </w:p>
    <w:p w14:paraId="5C39AFBF" w14:textId="762EB0A5" w:rsidR="00C76C3A" w:rsidRPr="00906897" w:rsidRDefault="002939D8" w:rsidP="00906897">
      <w:pPr>
        <w:rPr>
          <w:rFonts w:ascii="Verdana" w:eastAsia="Geomanist Light" w:hAnsi="Verdana" w:cs="Arial"/>
          <w:color w:val="000000" w:themeColor="text1"/>
          <w:lang w:val="es-MX"/>
        </w:rPr>
      </w:pPr>
      <w:r>
        <w:rPr>
          <w:rFonts w:ascii="Verdana" w:eastAsia="Geomanist Light" w:hAnsi="Verdana" w:cs="Arial"/>
          <w:color w:val="000000" w:themeColor="text1"/>
          <w:lang w:val="es-MX"/>
        </w:rPr>
        <w:br w:type="page"/>
      </w:r>
      <w:r w:rsidR="00B51901" w:rsidRPr="00B51901">
        <w:rPr>
          <w:rFonts w:ascii="Verdana" w:eastAsia="Geomanist Light" w:hAnsi="Verdana" w:cs="Arial"/>
          <w:color w:val="000000" w:themeColor="text1"/>
        </w:rPr>
        <w:lastRenderedPageBreak/>
        <w:t xml:space="preserve">Bogotá D.C., 12 de </w:t>
      </w:r>
      <w:r w:rsidR="00261A50" w:rsidRPr="00B51901">
        <w:rPr>
          <w:rFonts w:ascii="Verdana" w:eastAsia="Geomanist Light" w:hAnsi="Verdana" w:cs="Arial"/>
          <w:color w:val="000000" w:themeColor="text1"/>
        </w:rPr>
        <w:t>mayo</w:t>
      </w:r>
      <w:r w:rsidR="00B51901" w:rsidRPr="00B51901">
        <w:rPr>
          <w:rFonts w:ascii="Verdana" w:eastAsia="Geomanist Light" w:hAnsi="Verdana" w:cs="Arial"/>
          <w:color w:val="000000" w:themeColor="text1"/>
        </w:rPr>
        <w:t xml:space="preserve"> de 2025</w:t>
      </w:r>
      <w:r w:rsidR="00B51901">
        <w:rPr>
          <w:rFonts w:ascii="Verdana" w:eastAsia="Geomanist Light" w:hAnsi="Verdana" w:cs="Arial"/>
          <w:color w:val="000000" w:themeColor="text1"/>
        </w:rPr>
        <w:t xml:space="preserve"> </w:t>
      </w:r>
    </w:p>
    <w:p w14:paraId="04DDAA25" w14:textId="556FE372" w:rsidR="00C76C3A" w:rsidRDefault="00C76C3A" w:rsidP="006E6BFB">
      <w:pPr>
        <w:spacing w:after="0" w:line="240" w:lineRule="auto"/>
        <w:jc w:val="both"/>
        <w:rPr>
          <w:rFonts w:ascii="Verdana" w:eastAsia="Calibri" w:hAnsi="Verdana" w:cs="Arial"/>
          <w:color w:val="000000" w:themeColor="text1"/>
          <w:lang w:val="es-ES"/>
        </w:rPr>
      </w:pPr>
    </w:p>
    <w:p w14:paraId="74184E79" w14:textId="3BFBBD9F" w:rsidR="00C76C3A" w:rsidRPr="00115E3D" w:rsidRDefault="00906897" w:rsidP="006E6BFB">
      <w:pPr>
        <w:spacing w:after="0" w:line="240" w:lineRule="auto"/>
        <w:jc w:val="both"/>
        <w:rPr>
          <w:rFonts w:ascii="Verdana" w:eastAsia="Calibri" w:hAnsi="Verdana" w:cs="Arial"/>
          <w:color w:val="000000" w:themeColor="text1"/>
          <w:lang w:val="es-ES"/>
        </w:rPr>
      </w:pPr>
      <w:r w:rsidRPr="00C76C3A">
        <w:rPr>
          <w:rFonts w:ascii="Verdana" w:eastAsia="Calibri" w:hAnsi="Verdana" w:cs="Arial"/>
          <w:noProof/>
          <w:color w:val="000000" w:themeColor="text1"/>
          <w:lang w:val="es-ES"/>
        </w:rPr>
        <w:drawing>
          <wp:anchor distT="0" distB="0" distL="114300" distR="114300" simplePos="0" relativeHeight="251658240" behindDoc="1" locked="0" layoutInCell="1" allowOverlap="1" wp14:anchorId="5CAFC4C9" wp14:editId="385A4928">
            <wp:simplePos x="0" y="0"/>
            <wp:positionH relativeFrom="margin">
              <wp:posOffset>2641600</wp:posOffset>
            </wp:positionH>
            <wp:positionV relativeFrom="paragraph">
              <wp:posOffset>50800</wp:posOffset>
            </wp:positionV>
            <wp:extent cx="2960370" cy="882015"/>
            <wp:effectExtent l="0" t="0" r="0" b="0"/>
            <wp:wrapSquare wrapText="bothSides"/>
            <wp:docPr id="1326298515"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298515" name="Imagen 1" descr="Text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2960370" cy="882015"/>
                    </a:xfrm>
                    <a:prstGeom prst="rect">
                      <a:avLst/>
                    </a:prstGeom>
                  </pic:spPr>
                </pic:pic>
              </a:graphicData>
            </a:graphic>
            <wp14:sizeRelH relativeFrom="margin">
              <wp14:pctWidth>0</wp14:pctWidth>
            </wp14:sizeRelH>
            <wp14:sizeRelV relativeFrom="margin">
              <wp14:pctHeight>0</wp14:pctHeight>
            </wp14:sizeRelV>
          </wp:anchor>
        </w:drawing>
      </w:r>
    </w:p>
    <w:p w14:paraId="3F250317" w14:textId="4776E8A5" w:rsidR="006E6BFB" w:rsidRPr="00115E3D" w:rsidRDefault="006E6BFB" w:rsidP="006E6BFB">
      <w:pPr>
        <w:spacing w:after="0" w:line="240"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Señor</w:t>
      </w:r>
      <w:r w:rsidR="00442D4E">
        <w:rPr>
          <w:rFonts w:ascii="Verdana" w:eastAsia="Calibri" w:hAnsi="Verdana" w:cs="Arial"/>
          <w:color w:val="000000" w:themeColor="text1"/>
          <w:lang w:val="es-ES" w:eastAsia="es-ES"/>
        </w:rPr>
        <w:t>a</w:t>
      </w:r>
    </w:p>
    <w:p w14:paraId="3EA4C2ED" w14:textId="77777777" w:rsidR="00442D4E" w:rsidRDefault="00442D4E" w:rsidP="006E6BFB">
      <w:pPr>
        <w:spacing w:after="0" w:line="240" w:lineRule="auto"/>
        <w:rPr>
          <w:rFonts w:ascii="Verdana" w:hAnsi="Verdana" w:cs="Arial"/>
          <w:b/>
          <w:bCs/>
        </w:rPr>
      </w:pPr>
      <w:r w:rsidRPr="00B41EF0">
        <w:rPr>
          <w:rFonts w:ascii="Verdana" w:hAnsi="Verdana" w:cs="Arial"/>
          <w:b/>
          <w:bCs/>
        </w:rPr>
        <w:t>Fabiola Constanza Pardo</w:t>
      </w:r>
    </w:p>
    <w:p w14:paraId="269A43DC" w14:textId="73EF8965" w:rsidR="00B41EF0" w:rsidRPr="00442D4E" w:rsidRDefault="00442D4E" w:rsidP="006E6BFB">
      <w:pPr>
        <w:spacing w:after="0" w:line="240" w:lineRule="auto"/>
        <w:rPr>
          <w:rFonts w:ascii="Verdana" w:hAnsi="Verdana" w:cs="Arial"/>
        </w:rPr>
      </w:pPr>
      <w:r w:rsidRPr="00442D4E">
        <w:rPr>
          <w:rFonts w:ascii="Verdana" w:hAnsi="Verdana" w:cs="Arial"/>
        </w:rPr>
        <w:t xml:space="preserve">Directora </w:t>
      </w:r>
      <w:proofErr w:type="spellStart"/>
      <w:r w:rsidRPr="00442D4E">
        <w:rPr>
          <w:rFonts w:ascii="Verdana" w:hAnsi="Verdana" w:cs="Arial"/>
        </w:rPr>
        <w:t>Cenac</w:t>
      </w:r>
      <w:proofErr w:type="spellEnd"/>
      <w:r w:rsidRPr="00442D4E">
        <w:rPr>
          <w:rFonts w:ascii="Verdana" w:hAnsi="Verdana" w:cs="Arial"/>
        </w:rPr>
        <w:t xml:space="preserve"> Puente Aranda </w:t>
      </w:r>
    </w:p>
    <w:p w14:paraId="012F1416" w14:textId="7DD1B8F9" w:rsidR="006E6BFB" w:rsidRDefault="00B41EF0" w:rsidP="006E6BFB">
      <w:pPr>
        <w:spacing w:after="0" w:line="240" w:lineRule="auto"/>
        <w:rPr>
          <w:rFonts w:ascii="Verdana" w:eastAsia="Calibri" w:hAnsi="Verdana" w:cs="Arial"/>
          <w:color w:val="000000" w:themeColor="text1"/>
          <w:u w:val="single"/>
          <w:lang w:eastAsia="es-ES"/>
        </w:rPr>
      </w:pPr>
      <w:hyperlink r:id="rId12" w:history="1">
        <w:r w:rsidRPr="00D5338D">
          <w:rPr>
            <w:rStyle w:val="Hipervnculo"/>
            <w:rFonts w:ascii="Verdana" w:eastAsia="Calibri" w:hAnsi="Verdana" w:cs="Arial"/>
            <w:lang w:eastAsia="es-ES"/>
          </w:rPr>
          <w:t>cenacpue@ejercito.mil.co</w:t>
        </w:r>
      </w:hyperlink>
      <w:r>
        <w:rPr>
          <w:rFonts w:ascii="Verdana" w:eastAsia="Calibri" w:hAnsi="Verdana" w:cs="Arial"/>
          <w:color w:val="000000" w:themeColor="text1"/>
          <w:u w:val="single"/>
          <w:lang w:eastAsia="es-ES"/>
        </w:rPr>
        <w:t xml:space="preserve"> </w:t>
      </w:r>
    </w:p>
    <w:p w14:paraId="06225348" w14:textId="77777777" w:rsidR="006E6BFB" w:rsidRPr="00C74FAC" w:rsidRDefault="006E6BFB" w:rsidP="006E6BFB">
      <w:pPr>
        <w:spacing w:after="0" w:line="240" w:lineRule="auto"/>
        <w:rPr>
          <w:rFonts w:ascii="Verdana" w:eastAsia="Calibri" w:hAnsi="Verdana" w:cs="Arial"/>
          <w:b/>
          <w:bCs/>
          <w:color w:val="000000" w:themeColor="text1"/>
          <w:lang w:eastAsia="es-ES"/>
        </w:rPr>
      </w:pPr>
      <w:r w:rsidRPr="00C74FAC">
        <w:rPr>
          <w:rFonts w:ascii="Verdana" w:eastAsia="Calibri" w:hAnsi="Verdana" w:cs="Arial"/>
          <w:color w:val="000000" w:themeColor="text1"/>
          <w:lang w:eastAsia="es-ES"/>
        </w:rPr>
        <w:t xml:space="preserve">Ciudad </w:t>
      </w:r>
    </w:p>
    <w:p w14:paraId="6DE1A8FA" w14:textId="77777777" w:rsidR="006E6BFB" w:rsidRPr="00C74FAC" w:rsidRDefault="006E6BFB" w:rsidP="006E6BFB">
      <w:pPr>
        <w:spacing w:after="0" w:line="240" w:lineRule="auto"/>
        <w:rPr>
          <w:rFonts w:ascii="Verdana" w:eastAsia="Calibri" w:hAnsi="Verdana" w:cs="Arial"/>
          <w:b/>
          <w:bCs/>
          <w:color w:val="000000" w:themeColor="text1"/>
          <w:lang w:eastAsia="es-ES_tradnl"/>
        </w:rPr>
      </w:pPr>
    </w:p>
    <w:p w14:paraId="051C7086" w14:textId="6BE45F5B" w:rsidR="006E6BFB" w:rsidRPr="00C74FAC" w:rsidRDefault="006E6BFB" w:rsidP="006E6BFB">
      <w:pPr>
        <w:spacing w:after="0" w:line="240" w:lineRule="auto"/>
        <w:rPr>
          <w:rFonts w:ascii="Verdana" w:eastAsia="Calibri" w:hAnsi="Verdana" w:cs="Arial"/>
          <w:b/>
          <w:bCs/>
          <w:color w:val="000000" w:themeColor="text1"/>
          <w:lang w:eastAsia="es-ES_tradnl"/>
        </w:rPr>
      </w:pPr>
      <w:r w:rsidRPr="00C74FAC">
        <w:rPr>
          <w:rFonts w:ascii="Verdana" w:eastAsia="Calibri" w:hAnsi="Verdana" w:cs="Arial"/>
          <w:b/>
          <w:bCs/>
          <w:color w:val="000000" w:themeColor="text1"/>
          <w:lang w:eastAsia="es-ES_tradnl"/>
        </w:rPr>
        <w:t xml:space="preserve">                                   Concepto C-398 de 2025</w:t>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E6BFB" w:rsidRPr="00115E3D" w14:paraId="65592C15" w14:textId="77777777" w:rsidTr="00B933B3">
        <w:trPr>
          <w:gridAfter w:val="1"/>
          <w:wAfter w:w="6100" w:type="dxa"/>
          <w:trHeight w:val="884"/>
        </w:trPr>
        <w:tc>
          <w:tcPr>
            <w:tcW w:w="2689" w:type="dxa"/>
          </w:tcPr>
          <w:p w14:paraId="2F1575E9" w14:textId="77777777" w:rsidR="006E6BFB" w:rsidRPr="00C74FAC" w:rsidRDefault="006E6BFB" w:rsidP="00B933B3">
            <w:pPr>
              <w:jc w:val="both"/>
              <w:rPr>
                <w:rFonts w:ascii="Verdana" w:eastAsia="Calibri" w:hAnsi="Verdana" w:cs="Arial"/>
                <w:b/>
                <w:bCs/>
                <w:color w:val="000000" w:themeColor="text1"/>
                <w:lang w:eastAsia="es-ES_tradnl"/>
              </w:rPr>
            </w:pPr>
          </w:p>
        </w:tc>
      </w:tr>
      <w:tr w:rsidR="006E6BFB" w:rsidRPr="00115E3D" w14:paraId="0FADBAD9" w14:textId="77777777" w:rsidTr="00B933B3">
        <w:trPr>
          <w:trHeight w:val="884"/>
        </w:trPr>
        <w:tc>
          <w:tcPr>
            <w:tcW w:w="2689" w:type="dxa"/>
          </w:tcPr>
          <w:p w14:paraId="28FD0390" w14:textId="2D2BF7D6" w:rsidR="006E6BFB" w:rsidRPr="00115E3D" w:rsidRDefault="006E6BFB" w:rsidP="00B933B3">
            <w:pPr>
              <w:jc w:val="both"/>
              <w:rPr>
                <w:rFonts w:ascii="Verdana" w:eastAsia="Calibri" w:hAnsi="Verdana" w:cs="Arial"/>
                <w:color w:val="000000" w:themeColor="text1"/>
                <w:lang w:val="es-ES_tradnl" w:eastAsia="es-ES_tradnl"/>
              </w:rPr>
            </w:pPr>
            <w:r w:rsidRPr="00115E3D">
              <w:rPr>
                <w:rFonts w:ascii="Verdana" w:eastAsia="Calibri" w:hAnsi="Verdana" w:cs="Arial"/>
                <w:b/>
                <w:color w:val="000000" w:themeColor="text1"/>
                <w:lang w:val="es-ES_tradnl" w:eastAsia="es-ES_tradnl"/>
              </w:rPr>
              <w:t>Temas:</w:t>
            </w:r>
            <w:r w:rsidRPr="00115E3D">
              <w:rPr>
                <w:rFonts w:ascii="Verdana" w:eastAsia="Calibri" w:hAnsi="Verdana" w:cs="Arial"/>
                <w:color w:val="000000" w:themeColor="text1"/>
                <w:lang w:val="es-ES_tradnl" w:eastAsia="es-ES_tradnl"/>
              </w:rPr>
              <w:t xml:space="preserve">                   </w:t>
            </w:r>
          </w:p>
        </w:tc>
        <w:tc>
          <w:tcPr>
            <w:tcW w:w="6100" w:type="dxa"/>
          </w:tcPr>
          <w:p w14:paraId="0C2B6DE3" w14:textId="67996646" w:rsidR="00A201ED" w:rsidRDefault="00910BB7" w:rsidP="00A201ED">
            <w:pPr>
              <w:spacing w:line="276" w:lineRule="auto"/>
              <w:jc w:val="both"/>
              <w:rPr>
                <w:rFonts w:ascii="Verdana" w:eastAsia="Calibri" w:hAnsi="Verdana" w:cs="Arial"/>
                <w:lang w:val="es-ES" w:eastAsia="es-ES"/>
              </w:rPr>
            </w:pPr>
            <w:r w:rsidRPr="00EA7EBA">
              <w:rPr>
                <w:rFonts w:ascii="Verdana" w:hAnsi="Verdana" w:cs="Arial"/>
                <w:bCs/>
                <w:lang w:val="es-ES" w:eastAsia="es-ES"/>
              </w:rPr>
              <w:t>CONTRATOS ESTATALES – Capacidad jurídica – Requisitos esenciales</w:t>
            </w:r>
            <w:r>
              <w:rPr>
                <w:rFonts w:ascii="Verdana" w:hAnsi="Verdana" w:cs="Arial"/>
                <w:bCs/>
                <w:lang w:val="es-ES" w:eastAsia="es-ES"/>
              </w:rPr>
              <w:t xml:space="preserve"> – </w:t>
            </w:r>
            <w:r w:rsidR="00350FBE">
              <w:rPr>
                <w:rFonts w:ascii="Verdana" w:hAnsi="Verdana" w:cs="Arial"/>
                <w:bCs/>
                <w:lang w:val="es-ES" w:eastAsia="es-ES"/>
              </w:rPr>
              <w:t>R</w:t>
            </w:r>
            <w:r w:rsidR="00A201ED">
              <w:rPr>
                <w:rFonts w:ascii="Verdana" w:hAnsi="Verdana" w:cs="Arial"/>
                <w:bCs/>
                <w:lang w:val="es-ES" w:eastAsia="es-ES"/>
              </w:rPr>
              <w:t>égimen</w:t>
            </w:r>
            <w:r>
              <w:rPr>
                <w:rFonts w:ascii="Verdana" w:hAnsi="Verdana" w:cs="Arial"/>
                <w:bCs/>
                <w:lang w:val="es-ES" w:eastAsia="es-ES"/>
              </w:rPr>
              <w:t xml:space="preserve"> jurídico / </w:t>
            </w:r>
            <w:r w:rsidR="00A201ED" w:rsidRPr="003E5C0C">
              <w:rPr>
                <w:rFonts w:ascii="Verdana" w:eastAsia="Calibri" w:hAnsi="Verdana" w:cs="Arial"/>
                <w:lang w:val="es-ES" w:eastAsia="es-ES"/>
              </w:rPr>
              <w:t xml:space="preserve">PRINCIPIO DE PUBLICIDAD – Democracia – Estado social de Derecho </w:t>
            </w:r>
            <w:r w:rsidR="00A201ED">
              <w:rPr>
                <w:rFonts w:ascii="Verdana" w:eastAsia="Calibri" w:hAnsi="Verdana" w:cs="Arial"/>
                <w:lang w:val="es-ES" w:eastAsia="es-ES"/>
              </w:rPr>
              <w:t xml:space="preserve">/ </w:t>
            </w:r>
            <w:r w:rsidR="00A201ED" w:rsidRPr="00EB7A8C">
              <w:rPr>
                <w:rFonts w:ascii="Verdana" w:eastAsia="Calibri" w:hAnsi="Verdana" w:cs="Arial"/>
                <w:lang w:val="es-ES" w:eastAsia="es-ES"/>
              </w:rPr>
              <w:t xml:space="preserve">DOCUMENTOS DEL PROCESO – Noción </w:t>
            </w:r>
            <w:r w:rsidR="00A201ED" w:rsidRPr="003E5C0C">
              <w:rPr>
                <w:rFonts w:ascii="Verdana" w:eastAsia="Calibri" w:hAnsi="Verdana" w:cs="Arial"/>
                <w:lang w:val="es-ES" w:eastAsia="es-ES"/>
              </w:rPr>
              <w:t>/ SECOP I y II – Principio de Publicidad y Transparencia / SECOP II – Obligatoriedad</w:t>
            </w:r>
            <w:r w:rsidR="00A201ED">
              <w:rPr>
                <w:rFonts w:ascii="Verdana" w:eastAsia="Calibri" w:hAnsi="Verdana" w:cs="Arial"/>
                <w:lang w:val="es-ES" w:eastAsia="es-ES"/>
              </w:rPr>
              <w:t xml:space="preserve"> </w:t>
            </w:r>
          </w:p>
          <w:p w14:paraId="465A4249" w14:textId="79235D13" w:rsidR="006E6BFB" w:rsidRPr="00A201ED" w:rsidRDefault="006E6BFB" w:rsidP="00910BB7">
            <w:pPr>
              <w:spacing w:line="276" w:lineRule="auto"/>
              <w:jc w:val="both"/>
              <w:rPr>
                <w:rFonts w:ascii="Verdana" w:eastAsia="Calibri" w:hAnsi="Verdana" w:cs="Arial"/>
                <w:color w:val="000000" w:themeColor="text1"/>
                <w:lang w:val="es-ES" w:eastAsia="es-ES"/>
              </w:rPr>
            </w:pPr>
          </w:p>
        </w:tc>
      </w:tr>
      <w:tr w:rsidR="006E6BFB" w:rsidRPr="00115E3D" w14:paraId="6AF227A5" w14:textId="77777777" w:rsidTr="00B933B3">
        <w:tc>
          <w:tcPr>
            <w:tcW w:w="2689" w:type="dxa"/>
          </w:tcPr>
          <w:p w14:paraId="16E5BF85" w14:textId="77777777" w:rsidR="006E6BFB" w:rsidRPr="00115E3D" w:rsidRDefault="006E6BFB" w:rsidP="00B933B3">
            <w:pPr>
              <w:jc w:val="both"/>
              <w:rPr>
                <w:rFonts w:ascii="Verdana" w:eastAsia="Calibri" w:hAnsi="Verdana" w:cs="Arial"/>
                <w:b/>
                <w:color w:val="000000" w:themeColor="text1"/>
                <w:lang w:val="es-ES_tradnl" w:eastAsia="es-ES_tradnl"/>
              </w:rPr>
            </w:pPr>
            <w:r w:rsidRPr="00115E3D">
              <w:rPr>
                <w:rFonts w:ascii="Verdana" w:eastAsia="Calibri" w:hAnsi="Verdana" w:cs="Arial"/>
                <w:b/>
                <w:color w:val="000000" w:themeColor="text1"/>
                <w:lang w:val="es-ES_tradnl" w:eastAsia="es-ES_tradnl"/>
              </w:rPr>
              <w:t>Radicación:</w:t>
            </w:r>
            <w:r w:rsidRPr="00115E3D">
              <w:rPr>
                <w:rFonts w:ascii="Verdana" w:eastAsia="Calibri" w:hAnsi="Verdana" w:cs="Arial"/>
                <w:color w:val="000000" w:themeColor="text1"/>
                <w:lang w:val="es-ES_tradnl" w:eastAsia="es-ES_tradnl"/>
              </w:rPr>
              <w:t xml:space="preserve">               </w:t>
            </w:r>
          </w:p>
        </w:tc>
        <w:tc>
          <w:tcPr>
            <w:tcW w:w="6100" w:type="dxa"/>
          </w:tcPr>
          <w:p w14:paraId="58AA4891" w14:textId="77777777" w:rsidR="006E6BFB" w:rsidRPr="00B41EF0" w:rsidRDefault="006E6BFB" w:rsidP="00B933B3">
            <w:pPr>
              <w:jc w:val="both"/>
              <w:rPr>
                <w:rFonts w:ascii="Verdana" w:eastAsia="Calibri" w:hAnsi="Verdana" w:cs="Arial"/>
                <w:color w:val="000000" w:themeColor="text1"/>
                <w:lang w:val="es-ES_tradnl" w:eastAsia="es-ES_tradnl"/>
              </w:rPr>
            </w:pPr>
            <w:r w:rsidRPr="00B41EF0">
              <w:rPr>
                <w:rFonts w:ascii="Verdana" w:eastAsia="Calibri" w:hAnsi="Verdana" w:cs="Arial"/>
                <w:color w:val="000000" w:themeColor="text1"/>
                <w:lang w:val="es-ES_tradnl" w:eastAsia="es-ES_tradnl"/>
              </w:rPr>
              <w:t xml:space="preserve">Respuesta a consulta con radicado No. </w:t>
            </w:r>
          </w:p>
          <w:p w14:paraId="06F11CFF" w14:textId="2051B6D8" w:rsidR="006E6BFB" w:rsidRPr="006E6BFB" w:rsidRDefault="006E6BFB" w:rsidP="00B933B3">
            <w:pPr>
              <w:jc w:val="both"/>
              <w:rPr>
                <w:rFonts w:ascii="Verdana" w:hAnsi="Verdana"/>
                <w:color w:val="000000"/>
                <w:sz w:val="20"/>
                <w:szCs w:val="20"/>
              </w:rPr>
            </w:pPr>
            <w:r w:rsidRPr="00B41EF0">
              <w:rPr>
                <w:rFonts w:ascii="Verdana" w:hAnsi="Verdana"/>
                <w:color w:val="000000"/>
              </w:rPr>
              <w:t>P20250328003012</w:t>
            </w:r>
          </w:p>
        </w:tc>
      </w:tr>
    </w:tbl>
    <w:p w14:paraId="66E7C9F1" w14:textId="77777777" w:rsidR="006E6BFB" w:rsidRPr="00115E3D" w:rsidRDefault="006E6BFB" w:rsidP="006E6BFB">
      <w:pPr>
        <w:spacing w:after="0" w:line="240" w:lineRule="auto"/>
        <w:jc w:val="both"/>
        <w:rPr>
          <w:rFonts w:ascii="Verdana" w:eastAsia="Calibri" w:hAnsi="Verdana" w:cs="Arial"/>
          <w:color w:val="000000" w:themeColor="text1"/>
          <w:lang w:val="es-ES_tradnl" w:eastAsia="es-ES_tradnl"/>
        </w:rPr>
      </w:pPr>
    </w:p>
    <w:p w14:paraId="653B1D0E" w14:textId="77777777" w:rsidR="006E6BFB" w:rsidRPr="00115E3D" w:rsidRDefault="006E6BFB" w:rsidP="006E6BFB">
      <w:pPr>
        <w:spacing w:after="0" w:line="240" w:lineRule="auto"/>
        <w:jc w:val="both"/>
        <w:rPr>
          <w:rFonts w:ascii="Verdana" w:eastAsia="Calibri" w:hAnsi="Verdana" w:cs="Arial"/>
          <w:color w:val="000000" w:themeColor="text1"/>
          <w:lang w:val="es-ES_tradnl" w:eastAsia="es-ES_tradnl"/>
        </w:rPr>
      </w:pPr>
    </w:p>
    <w:p w14:paraId="27D6A19E" w14:textId="0EDD6315" w:rsidR="006E6BFB" w:rsidRPr="00115E3D" w:rsidRDefault="006E6BFB" w:rsidP="006E6BFB">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Estimado señor</w:t>
      </w:r>
      <w:r w:rsidR="00442D4E">
        <w:rPr>
          <w:rFonts w:ascii="Verdana" w:eastAsia="Calibri" w:hAnsi="Verdana" w:cs="Arial"/>
          <w:color w:val="000000" w:themeColor="text1"/>
          <w:lang w:val="es-ES" w:eastAsia="es-ES"/>
        </w:rPr>
        <w:t>a</w:t>
      </w:r>
      <w:r>
        <w:rPr>
          <w:rFonts w:ascii="Verdana" w:eastAsia="Calibri" w:hAnsi="Verdana" w:cs="Arial"/>
          <w:color w:val="000000" w:themeColor="text1"/>
          <w:lang w:val="es-ES" w:eastAsia="es-ES"/>
        </w:rPr>
        <w:t xml:space="preserve"> </w:t>
      </w:r>
      <w:r w:rsidR="00442D4E">
        <w:rPr>
          <w:rFonts w:ascii="Verdana" w:eastAsia="Calibri" w:hAnsi="Verdana" w:cs="Arial"/>
          <w:color w:val="000000" w:themeColor="text1"/>
          <w:lang w:val="es-ES" w:eastAsia="es-ES"/>
        </w:rPr>
        <w:t>Constanza</w:t>
      </w:r>
      <w:r w:rsidRPr="00115E3D">
        <w:rPr>
          <w:rFonts w:ascii="Verdana" w:eastAsia="Calibri" w:hAnsi="Verdana" w:cs="Arial"/>
          <w:color w:val="000000" w:themeColor="text1"/>
          <w:lang w:val="es-ES" w:eastAsia="es-ES"/>
        </w:rPr>
        <w:t xml:space="preserve">: </w:t>
      </w:r>
    </w:p>
    <w:p w14:paraId="7002E3B7" w14:textId="77777777" w:rsidR="006E6BFB" w:rsidRPr="00115E3D" w:rsidRDefault="006E6BFB" w:rsidP="006E6BFB">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ab/>
      </w:r>
    </w:p>
    <w:p w14:paraId="39E6E1F6" w14:textId="58FBA3BF" w:rsidR="006E6BFB" w:rsidRPr="00115E3D" w:rsidRDefault="006E6BFB" w:rsidP="006E6BFB">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sidR="00B41EF0">
        <w:rPr>
          <w:rFonts w:ascii="Verdana" w:eastAsia="Calibri" w:hAnsi="Verdana" w:cs="Arial"/>
          <w:color w:val="000000" w:themeColor="text1"/>
          <w:lang w:val="es-ES" w:eastAsia="es-ES"/>
        </w:rPr>
        <w:t>28</w:t>
      </w:r>
      <w:r w:rsidRPr="00115E3D">
        <w:rPr>
          <w:rFonts w:ascii="Verdana" w:eastAsia="Calibri" w:hAnsi="Verdana" w:cs="Arial"/>
          <w:color w:val="000000" w:themeColor="text1"/>
          <w:lang w:val="es-ES" w:eastAsia="es-ES"/>
        </w:rPr>
        <w:t xml:space="preserve"> de </w:t>
      </w:r>
      <w:r w:rsidR="00B41EF0">
        <w:rPr>
          <w:rFonts w:ascii="Verdana" w:eastAsia="Calibri" w:hAnsi="Verdana" w:cs="Arial"/>
          <w:color w:val="000000" w:themeColor="text1"/>
          <w:lang w:val="es-ES" w:eastAsia="es-ES"/>
        </w:rPr>
        <w:t>marzo</w:t>
      </w:r>
      <w:r w:rsidRPr="00115E3D">
        <w:rPr>
          <w:rFonts w:ascii="Verdana" w:eastAsia="Calibri" w:hAnsi="Verdana" w:cs="Arial"/>
          <w:color w:val="000000" w:themeColor="text1"/>
          <w:lang w:val="es-ES" w:eastAsia="es-ES"/>
        </w:rPr>
        <w:t xml:space="preserve"> de 2</w:t>
      </w:r>
      <w:r>
        <w:rPr>
          <w:rFonts w:ascii="Verdana" w:eastAsia="Calibri" w:hAnsi="Verdana" w:cs="Arial"/>
          <w:color w:val="000000" w:themeColor="text1"/>
          <w:lang w:val="es-ES" w:eastAsia="es-ES"/>
        </w:rPr>
        <w:t>025</w:t>
      </w:r>
      <w:r w:rsidRPr="00115E3D">
        <w:rPr>
          <w:rFonts w:ascii="Verdana" w:eastAsia="Calibri" w:hAnsi="Verdana" w:cs="Arial"/>
          <w:color w:val="000000" w:themeColor="text1"/>
          <w:lang w:val="es-ES" w:eastAsia="es-ES"/>
        </w:rPr>
        <w:t xml:space="preserve">, en la cual manifiesta lo siguiente: </w:t>
      </w:r>
    </w:p>
    <w:p w14:paraId="69776538" w14:textId="77777777" w:rsidR="006E6BFB" w:rsidRPr="00115E3D" w:rsidRDefault="006E6BFB" w:rsidP="006E6BFB">
      <w:pPr>
        <w:pStyle w:val="Prrafodelista"/>
        <w:tabs>
          <w:tab w:val="left" w:pos="142"/>
          <w:tab w:val="left" w:pos="284"/>
        </w:tabs>
        <w:spacing w:line="276" w:lineRule="auto"/>
        <w:ind w:left="0"/>
        <w:jc w:val="both"/>
        <w:rPr>
          <w:rFonts w:ascii="Verdana" w:eastAsia="Century Gothic" w:hAnsi="Verdana" w:cs="Century Gothic"/>
          <w:b/>
          <w:bCs/>
          <w:color w:val="000000" w:themeColor="text1"/>
          <w:lang w:val="es-ES"/>
        </w:rPr>
      </w:pPr>
    </w:p>
    <w:p w14:paraId="1B6B30C9" w14:textId="27C0A2C9" w:rsidR="006E6BFB" w:rsidRDefault="006E6BFB" w:rsidP="00C91E37">
      <w:pPr>
        <w:spacing w:after="0" w:line="240" w:lineRule="auto"/>
        <w:ind w:left="709" w:right="709"/>
        <w:jc w:val="both"/>
        <w:rPr>
          <w:rFonts w:ascii="Verdana" w:eastAsia="Times New Roman" w:hAnsi="Verdana" w:cs="Arial"/>
          <w:i/>
          <w:iCs/>
          <w:sz w:val="20"/>
          <w:szCs w:val="20"/>
          <w:lang w:eastAsia="es-ES_tradnl"/>
        </w:rPr>
      </w:pPr>
      <w:bookmarkStart w:id="0" w:name="_Hlk95313578"/>
      <w:r w:rsidRPr="00141269">
        <w:rPr>
          <w:rFonts w:ascii="Verdana" w:eastAsia="Century Gothic" w:hAnsi="Verdana" w:cs="Century Gothic"/>
          <w:i/>
          <w:iCs/>
          <w:color w:val="000000" w:themeColor="text1"/>
          <w:sz w:val="20"/>
          <w:szCs w:val="20"/>
          <w:lang w:val="es-ES"/>
        </w:rPr>
        <w:t>“</w:t>
      </w:r>
      <w:bookmarkEnd w:id="0"/>
      <w:r w:rsidRPr="0082453C">
        <w:rPr>
          <w:rFonts w:ascii="Verdana" w:eastAsia="Times New Roman" w:hAnsi="Verdana" w:cs="Arial"/>
          <w:i/>
          <w:iCs/>
          <w:sz w:val="20"/>
          <w:szCs w:val="20"/>
          <w:lang w:eastAsia="es-ES_tradnl"/>
        </w:rPr>
        <w:t xml:space="preserve">1. </w:t>
      </w:r>
      <w:r w:rsidR="00C91E37" w:rsidRPr="00C91E37">
        <w:rPr>
          <w:rFonts w:ascii="Verdana" w:eastAsia="Times New Roman" w:hAnsi="Verdana" w:cs="Arial"/>
          <w:i/>
          <w:iCs/>
          <w:sz w:val="20"/>
          <w:szCs w:val="20"/>
          <w:lang w:eastAsia="es-ES_tradnl"/>
        </w:rPr>
        <w:t>¿Como debe interpretarse el artículo 41 de la Ley 80 de 1993, que establece que los contratos estatales deben "elevarse a escrito", en relación con el artículo 14 de la Ley 527 de 1999, que reconoce la validez de los contratos formados mediante mensajes de datos?</w:t>
      </w:r>
      <w:r w:rsidR="00C91E37" w:rsidRPr="00C91E37">
        <w:rPr>
          <w:rFonts w:ascii="Verdana" w:eastAsia="Times New Roman" w:hAnsi="Verdana" w:cs="Arial"/>
          <w:i/>
          <w:iCs/>
          <w:sz w:val="20"/>
          <w:szCs w:val="20"/>
          <w:lang w:eastAsia="es-ES_tradnl"/>
        </w:rPr>
        <w:br/>
      </w:r>
      <w:r w:rsidR="00C91E37" w:rsidRPr="00C91E37">
        <w:rPr>
          <w:rFonts w:ascii="Tahoma" w:eastAsia="Times New Roman" w:hAnsi="Tahoma" w:cs="Tahoma"/>
          <w:i/>
          <w:iCs/>
          <w:sz w:val="20"/>
          <w:szCs w:val="20"/>
          <w:lang w:eastAsia="es-ES_tradnl"/>
        </w:rPr>
        <w:t>﻿﻿﻿</w:t>
      </w:r>
      <w:r w:rsidR="00C91E37">
        <w:rPr>
          <w:rFonts w:ascii="Tahoma" w:eastAsia="Times New Roman" w:hAnsi="Tahoma" w:cs="Tahoma"/>
          <w:i/>
          <w:iCs/>
          <w:sz w:val="20"/>
          <w:szCs w:val="20"/>
          <w:lang w:eastAsia="es-ES_tradnl"/>
        </w:rPr>
        <w:t>2.</w:t>
      </w:r>
      <w:r w:rsidR="00C91E37" w:rsidRPr="00C91E37">
        <w:rPr>
          <w:rFonts w:ascii="Verdana" w:eastAsia="Times New Roman" w:hAnsi="Verdana" w:cs="Verdana"/>
          <w:i/>
          <w:iCs/>
          <w:sz w:val="20"/>
          <w:szCs w:val="20"/>
          <w:lang w:eastAsia="es-ES_tradnl"/>
        </w:rPr>
        <w:t>¿</w:t>
      </w:r>
      <w:r w:rsidR="00C91E37" w:rsidRPr="00C91E37">
        <w:rPr>
          <w:rFonts w:ascii="Verdana" w:eastAsia="Times New Roman" w:hAnsi="Verdana" w:cs="Arial"/>
          <w:i/>
          <w:iCs/>
          <w:sz w:val="20"/>
          <w:szCs w:val="20"/>
          <w:lang w:eastAsia="es-ES_tradnl"/>
        </w:rPr>
        <w:t>Tiene la misma validez jur</w:t>
      </w:r>
      <w:r w:rsidR="00C91E37" w:rsidRPr="00C91E37">
        <w:rPr>
          <w:rFonts w:ascii="Verdana" w:eastAsia="Times New Roman" w:hAnsi="Verdana" w:cs="Verdana"/>
          <w:i/>
          <w:iCs/>
          <w:sz w:val="20"/>
          <w:szCs w:val="20"/>
          <w:lang w:eastAsia="es-ES_tradnl"/>
        </w:rPr>
        <w:t>í</w:t>
      </w:r>
      <w:r w:rsidR="00C91E37" w:rsidRPr="00C91E37">
        <w:rPr>
          <w:rFonts w:ascii="Verdana" w:eastAsia="Times New Roman" w:hAnsi="Verdana" w:cs="Arial"/>
          <w:i/>
          <w:iCs/>
          <w:sz w:val="20"/>
          <w:szCs w:val="20"/>
          <w:lang w:eastAsia="es-ES_tradnl"/>
        </w:rPr>
        <w:t>dica un contrato suscrito de manera f</w:t>
      </w:r>
      <w:r w:rsidR="00C91E37" w:rsidRPr="00C91E37">
        <w:rPr>
          <w:rFonts w:ascii="Verdana" w:eastAsia="Times New Roman" w:hAnsi="Verdana" w:cs="Verdana"/>
          <w:i/>
          <w:iCs/>
          <w:sz w:val="20"/>
          <w:szCs w:val="20"/>
          <w:lang w:eastAsia="es-ES_tradnl"/>
        </w:rPr>
        <w:t>í</w:t>
      </w:r>
      <w:r w:rsidR="00C91E37" w:rsidRPr="00C91E37">
        <w:rPr>
          <w:rFonts w:ascii="Verdana" w:eastAsia="Times New Roman" w:hAnsi="Verdana" w:cs="Arial"/>
          <w:i/>
          <w:iCs/>
          <w:sz w:val="20"/>
          <w:szCs w:val="20"/>
          <w:lang w:eastAsia="es-ES_tradnl"/>
        </w:rPr>
        <w:t>sica que uno</w:t>
      </w:r>
      <w:r w:rsidR="00C91E37" w:rsidRPr="00C91E37">
        <w:rPr>
          <w:rFonts w:ascii="Verdana" w:eastAsia="Times New Roman" w:hAnsi="Verdana" w:cs="Arial"/>
          <w:i/>
          <w:iCs/>
          <w:sz w:val="20"/>
          <w:szCs w:val="20"/>
          <w:lang w:eastAsia="es-ES_tradnl"/>
        </w:rPr>
        <w:br/>
      </w:r>
      <w:r w:rsidR="00C91E37" w:rsidRPr="00C91E37">
        <w:rPr>
          <w:rFonts w:ascii="Verdana" w:eastAsia="Times New Roman" w:hAnsi="Verdana" w:cs="Arial"/>
          <w:i/>
          <w:iCs/>
          <w:sz w:val="20"/>
          <w:szCs w:val="20"/>
          <w:lang w:eastAsia="es-ES_tradnl"/>
        </w:rPr>
        <w:lastRenderedPageBreak/>
        <w:t>suscrito electr</w:t>
      </w:r>
      <w:r w:rsidR="00C91E37" w:rsidRPr="00C91E37">
        <w:rPr>
          <w:rFonts w:ascii="Verdana" w:eastAsia="Times New Roman" w:hAnsi="Verdana" w:cs="Verdana"/>
          <w:i/>
          <w:iCs/>
          <w:sz w:val="20"/>
          <w:szCs w:val="20"/>
          <w:lang w:eastAsia="es-ES_tradnl"/>
        </w:rPr>
        <w:t>ó</w:t>
      </w:r>
      <w:r w:rsidR="00C91E37" w:rsidRPr="00C91E37">
        <w:rPr>
          <w:rFonts w:ascii="Verdana" w:eastAsia="Times New Roman" w:hAnsi="Verdana" w:cs="Arial"/>
          <w:i/>
          <w:iCs/>
          <w:sz w:val="20"/>
          <w:szCs w:val="20"/>
          <w:lang w:eastAsia="es-ES_tradnl"/>
        </w:rPr>
        <w:t>nicamente en la plataforma SECOP 11?</w:t>
      </w:r>
      <w:r w:rsidR="00C91E37" w:rsidRPr="00C91E37">
        <w:rPr>
          <w:rFonts w:ascii="Verdana" w:eastAsia="Times New Roman" w:hAnsi="Verdana" w:cs="Arial"/>
          <w:i/>
          <w:iCs/>
          <w:sz w:val="20"/>
          <w:szCs w:val="20"/>
          <w:lang w:eastAsia="es-ES_tradnl"/>
        </w:rPr>
        <w:br/>
      </w:r>
      <w:r w:rsidR="00C91E37" w:rsidRPr="00C91E37">
        <w:rPr>
          <w:rFonts w:ascii="Tahoma" w:eastAsia="Times New Roman" w:hAnsi="Tahoma" w:cs="Tahoma"/>
          <w:i/>
          <w:iCs/>
          <w:sz w:val="20"/>
          <w:szCs w:val="20"/>
          <w:lang w:eastAsia="es-ES_tradnl"/>
        </w:rPr>
        <w:t>﻿﻿﻿</w:t>
      </w:r>
      <w:r w:rsidR="00C91E37">
        <w:rPr>
          <w:rFonts w:ascii="Tahoma" w:eastAsia="Times New Roman" w:hAnsi="Tahoma" w:cs="Tahoma"/>
          <w:i/>
          <w:iCs/>
          <w:sz w:val="20"/>
          <w:szCs w:val="20"/>
          <w:lang w:eastAsia="es-ES_tradnl"/>
        </w:rPr>
        <w:t>3.</w:t>
      </w:r>
      <w:r w:rsidR="00C91E37" w:rsidRPr="00C91E37">
        <w:rPr>
          <w:rFonts w:ascii="Verdana" w:eastAsia="Times New Roman" w:hAnsi="Verdana" w:cs="Verdana"/>
          <w:i/>
          <w:iCs/>
          <w:sz w:val="20"/>
          <w:szCs w:val="20"/>
          <w:lang w:eastAsia="es-ES_tradnl"/>
        </w:rPr>
        <w:t>¿</w:t>
      </w:r>
      <w:r w:rsidR="00C91E37" w:rsidRPr="00C91E37">
        <w:rPr>
          <w:rFonts w:ascii="Verdana" w:eastAsia="Times New Roman" w:hAnsi="Verdana" w:cs="Arial"/>
          <w:i/>
          <w:iCs/>
          <w:sz w:val="20"/>
          <w:szCs w:val="20"/>
          <w:lang w:eastAsia="es-ES_tradnl"/>
        </w:rPr>
        <w:t>Qu</w:t>
      </w:r>
      <w:r w:rsidR="00C91E37" w:rsidRPr="00C91E37">
        <w:rPr>
          <w:rFonts w:ascii="Verdana" w:eastAsia="Times New Roman" w:hAnsi="Verdana" w:cs="Verdana"/>
          <w:i/>
          <w:iCs/>
          <w:sz w:val="20"/>
          <w:szCs w:val="20"/>
          <w:lang w:eastAsia="es-ES_tradnl"/>
        </w:rPr>
        <w:t>é</w:t>
      </w:r>
      <w:r w:rsidR="00C91E37" w:rsidRPr="00C91E37">
        <w:rPr>
          <w:rFonts w:ascii="Verdana" w:eastAsia="Times New Roman" w:hAnsi="Verdana" w:cs="Arial"/>
          <w:i/>
          <w:iCs/>
          <w:sz w:val="20"/>
          <w:szCs w:val="20"/>
          <w:lang w:eastAsia="es-ES_tradnl"/>
        </w:rPr>
        <w:t xml:space="preserve"> efectos jur</w:t>
      </w:r>
      <w:r w:rsidR="00C91E37" w:rsidRPr="00C91E37">
        <w:rPr>
          <w:rFonts w:ascii="Verdana" w:eastAsia="Times New Roman" w:hAnsi="Verdana" w:cs="Verdana"/>
          <w:i/>
          <w:iCs/>
          <w:sz w:val="20"/>
          <w:szCs w:val="20"/>
          <w:lang w:eastAsia="es-ES_tradnl"/>
        </w:rPr>
        <w:t>í</w:t>
      </w:r>
      <w:r w:rsidR="00C91E37" w:rsidRPr="00C91E37">
        <w:rPr>
          <w:rFonts w:ascii="Verdana" w:eastAsia="Times New Roman" w:hAnsi="Verdana" w:cs="Arial"/>
          <w:i/>
          <w:iCs/>
          <w:sz w:val="20"/>
          <w:szCs w:val="20"/>
          <w:lang w:eastAsia="es-ES_tradnl"/>
        </w:rPr>
        <w:t>dicos genera cada modalidad de suscripci</w:t>
      </w:r>
      <w:r w:rsidR="00C91E37" w:rsidRPr="00C91E37">
        <w:rPr>
          <w:rFonts w:ascii="Verdana" w:eastAsia="Times New Roman" w:hAnsi="Verdana" w:cs="Verdana"/>
          <w:i/>
          <w:iCs/>
          <w:sz w:val="20"/>
          <w:szCs w:val="20"/>
          <w:lang w:eastAsia="es-ES_tradnl"/>
        </w:rPr>
        <w:t>ó</w:t>
      </w:r>
      <w:r w:rsidR="00C91E37" w:rsidRPr="00C91E37">
        <w:rPr>
          <w:rFonts w:ascii="Verdana" w:eastAsia="Times New Roman" w:hAnsi="Verdana" w:cs="Arial"/>
          <w:i/>
          <w:iCs/>
          <w:sz w:val="20"/>
          <w:szCs w:val="20"/>
          <w:lang w:eastAsia="es-ES_tradnl"/>
        </w:rPr>
        <w:t>n?</w:t>
      </w:r>
      <w:r w:rsidR="00C91E37" w:rsidRPr="00C91E37">
        <w:rPr>
          <w:rFonts w:ascii="Verdana" w:eastAsia="Times New Roman" w:hAnsi="Verdana" w:cs="Arial"/>
          <w:i/>
          <w:iCs/>
          <w:sz w:val="20"/>
          <w:szCs w:val="20"/>
          <w:lang w:eastAsia="es-ES_tradnl"/>
        </w:rPr>
        <w:br/>
      </w:r>
      <w:r w:rsidR="00C91E37" w:rsidRPr="00C91E37">
        <w:rPr>
          <w:rFonts w:ascii="Tahoma" w:eastAsia="Times New Roman" w:hAnsi="Tahoma" w:cs="Tahoma"/>
          <w:i/>
          <w:iCs/>
          <w:sz w:val="20"/>
          <w:szCs w:val="20"/>
          <w:lang w:eastAsia="es-ES_tradnl"/>
        </w:rPr>
        <w:t>﻿﻿﻿</w:t>
      </w:r>
      <w:r w:rsidR="00C91E37">
        <w:rPr>
          <w:rFonts w:ascii="Tahoma" w:eastAsia="Times New Roman" w:hAnsi="Tahoma" w:cs="Tahoma"/>
          <w:i/>
          <w:iCs/>
          <w:sz w:val="20"/>
          <w:szCs w:val="20"/>
          <w:lang w:eastAsia="es-ES_tradnl"/>
        </w:rPr>
        <w:t>4</w:t>
      </w:r>
      <w:r w:rsidR="00C91E37" w:rsidRPr="00C91E37">
        <w:rPr>
          <w:rFonts w:ascii="Verdana" w:eastAsia="Times New Roman" w:hAnsi="Verdana" w:cs="Verdana"/>
          <w:i/>
          <w:iCs/>
          <w:sz w:val="20"/>
          <w:szCs w:val="20"/>
          <w:lang w:eastAsia="es-ES_tradnl"/>
        </w:rPr>
        <w:t>¿</w:t>
      </w:r>
      <w:r w:rsidR="00C91E37" w:rsidRPr="00C91E37">
        <w:rPr>
          <w:rFonts w:ascii="Verdana" w:eastAsia="Times New Roman" w:hAnsi="Verdana" w:cs="Arial"/>
          <w:i/>
          <w:iCs/>
          <w:sz w:val="20"/>
          <w:szCs w:val="20"/>
          <w:lang w:eastAsia="es-ES_tradnl"/>
        </w:rPr>
        <w:t xml:space="preserve">La "Minuta Contractual" suscrita </w:t>
      </w:r>
      <w:proofErr w:type="spellStart"/>
      <w:r w:rsidR="00C91E37" w:rsidRPr="00C91E37">
        <w:rPr>
          <w:rFonts w:ascii="Verdana" w:eastAsia="Times New Roman" w:hAnsi="Verdana" w:cs="Arial"/>
          <w:i/>
          <w:iCs/>
          <w:sz w:val="20"/>
          <w:szCs w:val="20"/>
          <w:lang w:eastAsia="es-ES_tradnl"/>
        </w:rPr>
        <w:t>fisicamente</w:t>
      </w:r>
      <w:proofErr w:type="spellEnd"/>
      <w:r w:rsidR="00C91E37" w:rsidRPr="00C91E37">
        <w:rPr>
          <w:rFonts w:ascii="Verdana" w:eastAsia="Times New Roman" w:hAnsi="Verdana" w:cs="Arial"/>
          <w:i/>
          <w:iCs/>
          <w:sz w:val="20"/>
          <w:szCs w:val="20"/>
          <w:lang w:eastAsia="es-ES_tradnl"/>
        </w:rPr>
        <w:t xml:space="preserve"> por las partes genera erectos</w:t>
      </w:r>
      <w:r w:rsidR="00602D3A">
        <w:rPr>
          <w:rFonts w:ascii="Verdana" w:eastAsia="Times New Roman" w:hAnsi="Verdana" w:cs="Arial"/>
          <w:i/>
          <w:iCs/>
          <w:sz w:val="20"/>
          <w:szCs w:val="20"/>
          <w:lang w:eastAsia="es-ES_tradnl"/>
        </w:rPr>
        <w:t xml:space="preserve"> </w:t>
      </w:r>
      <w:r w:rsidR="00C91E37" w:rsidRPr="00C91E37">
        <w:rPr>
          <w:rFonts w:ascii="Verdana" w:eastAsia="Times New Roman" w:hAnsi="Verdana" w:cs="Arial"/>
          <w:i/>
          <w:iCs/>
          <w:sz w:val="20"/>
          <w:szCs w:val="20"/>
          <w:lang w:eastAsia="es-ES_tradnl"/>
        </w:rPr>
        <w:t>jurídicos vinculantes?</w:t>
      </w:r>
      <w:r w:rsidR="00C91E37" w:rsidRPr="00C91E37">
        <w:rPr>
          <w:rFonts w:ascii="Verdana" w:eastAsia="Times New Roman" w:hAnsi="Verdana" w:cs="Arial"/>
          <w:i/>
          <w:iCs/>
          <w:sz w:val="20"/>
          <w:szCs w:val="20"/>
          <w:lang w:eastAsia="es-ES_tradnl"/>
        </w:rPr>
        <w:br/>
      </w:r>
      <w:r w:rsidR="00C91E37" w:rsidRPr="00C91E37">
        <w:rPr>
          <w:rFonts w:ascii="Tahoma" w:eastAsia="Times New Roman" w:hAnsi="Tahoma" w:cs="Tahoma"/>
          <w:i/>
          <w:iCs/>
          <w:sz w:val="20"/>
          <w:szCs w:val="20"/>
          <w:lang w:eastAsia="es-ES_tradnl"/>
        </w:rPr>
        <w:t>﻿﻿﻿</w:t>
      </w:r>
      <w:r w:rsidR="00C91E37">
        <w:rPr>
          <w:rFonts w:ascii="Tahoma" w:eastAsia="Times New Roman" w:hAnsi="Tahoma" w:cs="Tahoma"/>
          <w:i/>
          <w:iCs/>
          <w:sz w:val="20"/>
          <w:szCs w:val="20"/>
          <w:lang w:eastAsia="es-ES_tradnl"/>
        </w:rPr>
        <w:t>5.</w:t>
      </w:r>
      <w:r w:rsidR="00C91E37" w:rsidRPr="00C91E37">
        <w:rPr>
          <w:rFonts w:ascii="Verdana" w:eastAsia="Times New Roman" w:hAnsi="Verdana" w:cs="Verdana"/>
          <w:i/>
          <w:iCs/>
          <w:sz w:val="20"/>
          <w:szCs w:val="20"/>
          <w:lang w:eastAsia="es-ES_tradnl"/>
        </w:rPr>
        <w:t>¿</w:t>
      </w:r>
      <w:r w:rsidR="00C91E37" w:rsidRPr="00C91E37">
        <w:rPr>
          <w:rFonts w:ascii="Verdana" w:eastAsia="Times New Roman" w:hAnsi="Verdana" w:cs="Arial"/>
          <w:i/>
          <w:iCs/>
          <w:sz w:val="20"/>
          <w:szCs w:val="20"/>
          <w:lang w:eastAsia="es-ES_tradnl"/>
        </w:rPr>
        <w:t>Es procedente iniciar el tr</w:t>
      </w:r>
      <w:r w:rsidR="00C91E37" w:rsidRPr="00C91E37">
        <w:rPr>
          <w:rFonts w:ascii="Verdana" w:eastAsia="Times New Roman" w:hAnsi="Verdana" w:cs="Verdana"/>
          <w:i/>
          <w:iCs/>
          <w:sz w:val="20"/>
          <w:szCs w:val="20"/>
          <w:lang w:eastAsia="es-ES_tradnl"/>
        </w:rPr>
        <w:t>á</w:t>
      </w:r>
      <w:r w:rsidR="00C91E37" w:rsidRPr="00C91E37">
        <w:rPr>
          <w:rFonts w:ascii="Verdana" w:eastAsia="Times New Roman" w:hAnsi="Verdana" w:cs="Arial"/>
          <w:i/>
          <w:iCs/>
          <w:sz w:val="20"/>
          <w:szCs w:val="20"/>
          <w:lang w:eastAsia="es-ES_tradnl"/>
        </w:rPr>
        <w:t>mite de constituci</w:t>
      </w:r>
      <w:r w:rsidR="00C91E37" w:rsidRPr="00C91E37">
        <w:rPr>
          <w:rFonts w:ascii="Verdana" w:eastAsia="Times New Roman" w:hAnsi="Verdana" w:cs="Verdana"/>
          <w:i/>
          <w:iCs/>
          <w:sz w:val="20"/>
          <w:szCs w:val="20"/>
          <w:lang w:eastAsia="es-ES_tradnl"/>
        </w:rPr>
        <w:t>ó</w:t>
      </w:r>
      <w:r w:rsidR="00C91E37" w:rsidRPr="00C91E37">
        <w:rPr>
          <w:rFonts w:ascii="Verdana" w:eastAsia="Times New Roman" w:hAnsi="Verdana" w:cs="Arial"/>
          <w:i/>
          <w:iCs/>
          <w:sz w:val="20"/>
          <w:szCs w:val="20"/>
          <w:lang w:eastAsia="es-ES_tradnl"/>
        </w:rPr>
        <w:t>n de p</w:t>
      </w:r>
      <w:r w:rsidR="00C91E37" w:rsidRPr="00C91E37">
        <w:rPr>
          <w:rFonts w:ascii="Verdana" w:eastAsia="Times New Roman" w:hAnsi="Verdana" w:cs="Verdana"/>
          <w:i/>
          <w:iCs/>
          <w:sz w:val="20"/>
          <w:szCs w:val="20"/>
          <w:lang w:eastAsia="es-ES_tradnl"/>
        </w:rPr>
        <w:t>ó</w:t>
      </w:r>
      <w:r w:rsidR="00C91E37" w:rsidRPr="00C91E37">
        <w:rPr>
          <w:rFonts w:ascii="Verdana" w:eastAsia="Times New Roman" w:hAnsi="Verdana" w:cs="Arial"/>
          <w:i/>
          <w:iCs/>
          <w:sz w:val="20"/>
          <w:szCs w:val="20"/>
          <w:lang w:eastAsia="es-ES_tradnl"/>
        </w:rPr>
        <w:t xml:space="preserve">lizas de seguro y el cumplimiento de obligaciones contractuales con base en la minuta firmada </w:t>
      </w:r>
      <w:proofErr w:type="spellStart"/>
      <w:r w:rsidR="00C91E37" w:rsidRPr="00C91E37">
        <w:rPr>
          <w:rFonts w:ascii="Verdana" w:eastAsia="Times New Roman" w:hAnsi="Verdana" w:cs="Arial"/>
          <w:i/>
          <w:iCs/>
          <w:sz w:val="20"/>
          <w:szCs w:val="20"/>
          <w:lang w:eastAsia="es-ES_tradnl"/>
        </w:rPr>
        <w:t>fisicamente</w:t>
      </w:r>
      <w:proofErr w:type="spellEnd"/>
      <w:r w:rsidR="00C91E37" w:rsidRPr="00C91E37">
        <w:rPr>
          <w:rFonts w:ascii="Verdana" w:eastAsia="Times New Roman" w:hAnsi="Verdana" w:cs="Arial"/>
          <w:i/>
          <w:iCs/>
          <w:sz w:val="20"/>
          <w:szCs w:val="20"/>
          <w:lang w:eastAsia="es-ES_tradnl"/>
        </w:rPr>
        <w:t>?</w:t>
      </w:r>
      <w:r w:rsidR="00C91E37" w:rsidRPr="00C91E37">
        <w:rPr>
          <w:rFonts w:ascii="Verdana" w:eastAsia="Times New Roman" w:hAnsi="Verdana" w:cs="Arial"/>
          <w:i/>
          <w:iCs/>
          <w:sz w:val="20"/>
          <w:szCs w:val="20"/>
          <w:lang w:eastAsia="es-ES_tradnl"/>
        </w:rPr>
        <w:br/>
      </w:r>
      <w:r w:rsidR="00C91E37" w:rsidRPr="00C91E37">
        <w:rPr>
          <w:rFonts w:ascii="Tahoma" w:eastAsia="Times New Roman" w:hAnsi="Tahoma" w:cs="Tahoma"/>
          <w:i/>
          <w:iCs/>
          <w:sz w:val="20"/>
          <w:szCs w:val="20"/>
          <w:lang w:eastAsia="es-ES_tradnl"/>
        </w:rPr>
        <w:t>﻿﻿﻿</w:t>
      </w:r>
      <w:r w:rsidR="00C91E37">
        <w:rPr>
          <w:rFonts w:ascii="Tahoma" w:eastAsia="Times New Roman" w:hAnsi="Tahoma" w:cs="Tahoma"/>
          <w:i/>
          <w:iCs/>
          <w:sz w:val="20"/>
          <w:szCs w:val="20"/>
          <w:lang w:eastAsia="es-ES_tradnl"/>
        </w:rPr>
        <w:t>6.</w:t>
      </w:r>
      <w:r w:rsidR="00C91E37" w:rsidRPr="00C91E37">
        <w:rPr>
          <w:rFonts w:ascii="Verdana" w:eastAsia="Times New Roman" w:hAnsi="Verdana" w:cs="Verdana"/>
          <w:i/>
          <w:iCs/>
          <w:sz w:val="20"/>
          <w:szCs w:val="20"/>
          <w:lang w:eastAsia="es-ES_tradnl"/>
        </w:rPr>
        <w:t>¿</w:t>
      </w:r>
      <w:r w:rsidR="00C91E37" w:rsidRPr="00C91E37">
        <w:rPr>
          <w:rFonts w:ascii="Verdana" w:eastAsia="Times New Roman" w:hAnsi="Verdana" w:cs="Arial"/>
          <w:i/>
          <w:iCs/>
          <w:sz w:val="20"/>
          <w:szCs w:val="20"/>
          <w:lang w:eastAsia="es-ES_tradnl"/>
        </w:rPr>
        <w:t>La Entidad Estatal est</w:t>
      </w:r>
      <w:r w:rsidR="00C91E37" w:rsidRPr="00C91E37">
        <w:rPr>
          <w:rFonts w:ascii="Verdana" w:eastAsia="Times New Roman" w:hAnsi="Verdana" w:cs="Verdana"/>
          <w:i/>
          <w:iCs/>
          <w:sz w:val="20"/>
          <w:szCs w:val="20"/>
          <w:lang w:eastAsia="es-ES_tradnl"/>
        </w:rPr>
        <w:t>á</w:t>
      </w:r>
      <w:r w:rsidR="00C91E37" w:rsidRPr="00C91E37">
        <w:rPr>
          <w:rFonts w:ascii="Verdana" w:eastAsia="Times New Roman" w:hAnsi="Verdana" w:cs="Arial"/>
          <w:i/>
          <w:iCs/>
          <w:sz w:val="20"/>
          <w:szCs w:val="20"/>
          <w:lang w:eastAsia="es-ES_tradnl"/>
        </w:rPr>
        <w:t xml:space="preserve"> obligada a publicar la minuta contractual firmada </w:t>
      </w:r>
      <w:proofErr w:type="spellStart"/>
      <w:r w:rsidR="00C91E37" w:rsidRPr="00C91E37">
        <w:rPr>
          <w:rFonts w:ascii="Verdana" w:eastAsia="Times New Roman" w:hAnsi="Verdana" w:cs="Arial"/>
          <w:i/>
          <w:iCs/>
          <w:sz w:val="20"/>
          <w:szCs w:val="20"/>
          <w:lang w:eastAsia="es-ES_tradnl"/>
        </w:rPr>
        <w:t>fisicamente</w:t>
      </w:r>
      <w:proofErr w:type="spellEnd"/>
      <w:r w:rsidR="00C91E37" w:rsidRPr="00C91E37">
        <w:rPr>
          <w:rFonts w:ascii="Verdana" w:eastAsia="Times New Roman" w:hAnsi="Verdana" w:cs="Arial"/>
          <w:i/>
          <w:iCs/>
          <w:sz w:val="20"/>
          <w:szCs w:val="20"/>
          <w:lang w:eastAsia="es-ES_tradnl"/>
        </w:rPr>
        <w:t>, aun cuando no exista un proceso de selecci</w:t>
      </w:r>
      <w:r w:rsidR="00C91E37" w:rsidRPr="00C91E37">
        <w:rPr>
          <w:rFonts w:ascii="Verdana" w:eastAsia="Times New Roman" w:hAnsi="Verdana" w:cs="Verdana"/>
          <w:i/>
          <w:iCs/>
          <w:sz w:val="20"/>
          <w:szCs w:val="20"/>
          <w:lang w:eastAsia="es-ES_tradnl"/>
        </w:rPr>
        <w:t>ó</w:t>
      </w:r>
      <w:r w:rsidR="00C91E37" w:rsidRPr="00C91E37">
        <w:rPr>
          <w:rFonts w:ascii="Verdana" w:eastAsia="Times New Roman" w:hAnsi="Verdana" w:cs="Arial"/>
          <w:i/>
          <w:iCs/>
          <w:sz w:val="20"/>
          <w:szCs w:val="20"/>
          <w:lang w:eastAsia="es-ES_tradnl"/>
        </w:rPr>
        <w:t>n previamente</w:t>
      </w:r>
      <w:r w:rsidR="00C91E37" w:rsidRPr="00C91E37">
        <w:rPr>
          <w:rFonts w:ascii="Verdana" w:eastAsia="Times New Roman" w:hAnsi="Verdana" w:cs="Arial"/>
          <w:i/>
          <w:iCs/>
          <w:sz w:val="20"/>
          <w:szCs w:val="20"/>
          <w:lang w:eastAsia="es-ES_tradnl"/>
        </w:rPr>
        <w:br/>
        <w:t>publicado en la plataforma SECOP 1|2</w:t>
      </w:r>
      <w:r w:rsidR="00C91E37" w:rsidRPr="00C91E37">
        <w:rPr>
          <w:rFonts w:ascii="Verdana" w:eastAsia="Times New Roman" w:hAnsi="Verdana" w:cs="Arial"/>
          <w:i/>
          <w:iCs/>
          <w:sz w:val="20"/>
          <w:szCs w:val="20"/>
          <w:lang w:eastAsia="es-ES_tradnl"/>
        </w:rPr>
        <w:br/>
      </w:r>
      <w:r w:rsidR="00C91E37" w:rsidRPr="00C91E37">
        <w:rPr>
          <w:rFonts w:ascii="Tahoma" w:eastAsia="Times New Roman" w:hAnsi="Tahoma" w:cs="Tahoma"/>
          <w:i/>
          <w:iCs/>
          <w:sz w:val="20"/>
          <w:szCs w:val="20"/>
          <w:lang w:eastAsia="es-ES_tradnl"/>
        </w:rPr>
        <w:t>﻿﻿﻿</w:t>
      </w:r>
      <w:r w:rsidR="00C91E37">
        <w:rPr>
          <w:rFonts w:ascii="Tahoma" w:eastAsia="Times New Roman" w:hAnsi="Tahoma" w:cs="Tahoma"/>
          <w:i/>
          <w:iCs/>
          <w:sz w:val="20"/>
          <w:szCs w:val="20"/>
          <w:lang w:eastAsia="es-ES_tradnl"/>
        </w:rPr>
        <w:t>7.</w:t>
      </w:r>
      <w:r w:rsidR="00C91E37" w:rsidRPr="00C91E37">
        <w:rPr>
          <w:rFonts w:ascii="Verdana" w:eastAsia="Times New Roman" w:hAnsi="Verdana" w:cs="Verdana"/>
          <w:i/>
          <w:iCs/>
          <w:sz w:val="20"/>
          <w:szCs w:val="20"/>
          <w:lang w:eastAsia="es-ES_tradnl"/>
        </w:rPr>
        <w:t>¿</w:t>
      </w:r>
      <w:r w:rsidR="00C91E37" w:rsidRPr="00C91E37">
        <w:rPr>
          <w:rFonts w:ascii="Verdana" w:eastAsia="Times New Roman" w:hAnsi="Verdana" w:cs="Arial"/>
          <w:i/>
          <w:iCs/>
          <w:sz w:val="20"/>
          <w:szCs w:val="20"/>
          <w:lang w:eastAsia="es-ES_tradnl"/>
        </w:rPr>
        <w:t>El contrato suscrito electr</w:t>
      </w:r>
      <w:r w:rsidR="00C91E37" w:rsidRPr="00C91E37">
        <w:rPr>
          <w:rFonts w:ascii="Verdana" w:eastAsia="Times New Roman" w:hAnsi="Verdana" w:cs="Verdana"/>
          <w:i/>
          <w:iCs/>
          <w:sz w:val="20"/>
          <w:szCs w:val="20"/>
          <w:lang w:eastAsia="es-ES_tradnl"/>
        </w:rPr>
        <w:t>ó</w:t>
      </w:r>
      <w:r w:rsidR="00C91E37" w:rsidRPr="00C91E37">
        <w:rPr>
          <w:rFonts w:ascii="Verdana" w:eastAsia="Times New Roman" w:hAnsi="Verdana" w:cs="Arial"/>
          <w:i/>
          <w:iCs/>
          <w:sz w:val="20"/>
          <w:szCs w:val="20"/>
          <w:lang w:eastAsia="es-ES_tradnl"/>
        </w:rPr>
        <w:t xml:space="preserve">nicamente en la plataforma SECOP </w:t>
      </w:r>
      <w:proofErr w:type="spellStart"/>
      <w:r w:rsidR="00C91E37" w:rsidRPr="00C91E37">
        <w:rPr>
          <w:rFonts w:ascii="Verdana" w:eastAsia="Times New Roman" w:hAnsi="Verdana" w:cs="Arial"/>
          <w:i/>
          <w:iCs/>
          <w:sz w:val="20"/>
          <w:szCs w:val="20"/>
          <w:lang w:eastAsia="es-ES_tradnl"/>
        </w:rPr>
        <w:t>il</w:t>
      </w:r>
      <w:proofErr w:type="spellEnd"/>
      <w:r w:rsidR="00C91E37" w:rsidRPr="00C91E37">
        <w:rPr>
          <w:rFonts w:ascii="Verdana" w:eastAsia="Times New Roman" w:hAnsi="Verdana" w:cs="Arial"/>
          <w:i/>
          <w:iCs/>
          <w:sz w:val="20"/>
          <w:szCs w:val="20"/>
          <w:lang w:eastAsia="es-ES_tradnl"/>
        </w:rPr>
        <w:t xml:space="preserve"> es plenamente</w:t>
      </w:r>
      <w:r w:rsidR="00C91E37" w:rsidRPr="00C91E37">
        <w:rPr>
          <w:rFonts w:ascii="Verdana" w:eastAsia="Times New Roman" w:hAnsi="Verdana" w:cs="Arial"/>
          <w:i/>
          <w:iCs/>
          <w:sz w:val="20"/>
          <w:szCs w:val="20"/>
          <w:lang w:eastAsia="es-ES_tradnl"/>
        </w:rPr>
        <w:br/>
        <w:t>v</w:t>
      </w:r>
      <w:r w:rsidR="00C91E37" w:rsidRPr="00C91E37">
        <w:rPr>
          <w:rFonts w:ascii="Verdana" w:eastAsia="Times New Roman" w:hAnsi="Verdana" w:cs="Verdana"/>
          <w:i/>
          <w:iCs/>
          <w:sz w:val="20"/>
          <w:szCs w:val="20"/>
          <w:lang w:eastAsia="es-ES_tradnl"/>
        </w:rPr>
        <w:t>á</w:t>
      </w:r>
      <w:r w:rsidR="00C91E37" w:rsidRPr="00C91E37">
        <w:rPr>
          <w:rFonts w:ascii="Verdana" w:eastAsia="Times New Roman" w:hAnsi="Verdana" w:cs="Arial"/>
          <w:i/>
          <w:iCs/>
          <w:sz w:val="20"/>
          <w:szCs w:val="20"/>
          <w:lang w:eastAsia="es-ES_tradnl"/>
        </w:rPr>
        <w:t>lido y genera efectos jurídicos?</w:t>
      </w:r>
      <w:r w:rsidR="00C91E37" w:rsidRPr="00C91E37">
        <w:rPr>
          <w:rFonts w:ascii="Verdana" w:eastAsia="Times New Roman" w:hAnsi="Verdana" w:cs="Arial"/>
          <w:i/>
          <w:iCs/>
          <w:sz w:val="20"/>
          <w:szCs w:val="20"/>
          <w:lang w:eastAsia="es-ES_tradnl"/>
        </w:rPr>
        <w:br/>
      </w:r>
      <w:r w:rsidR="00C91E37" w:rsidRPr="00C91E37">
        <w:rPr>
          <w:rFonts w:ascii="Tahoma" w:eastAsia="Times New Roman" w:hAnsi="Tahoma" w:cs="Tahoma"/>
          <w:i/>
          <w:iCs/>
          <w:sz w:val="20"/>
          <w:szCs w:val="20"/>
          <w:lang w:eastAsia="es-ES_tradnl"/>
        </w:rPr>
        <w:t>﻿﻿﻿</w:t>
      </w:r>
      <w:r w:rsidR="00C91E37">
        <w:rPr>
          <w:rFonts w:ascii="Tahoma" w:eastAsia="Times New Roman" w:hAnsi="Tahoma" w:cs="Tahoma"/>
          <w:i/>
          <w:iCs/>
          <w:sz w:val="20"/>
          <w:szCs w:val="20"/>
          <w:lang w:eastAsia="es-ES_tradnl"/>
        </w:rPr>
        <w:t>8.</w:t>
      </w:r>
      <w:r w:rsidR="00C91E37" w:rsidRPr="00C91E37">
        <w:rPr>
          <w:rFonts w:ascii="Verdana" w:eastAsia="Times New Roman" w:hAnsi="Verdana" w:cs="Verdana"/>
          <w:i/>
          <w:iCs/>
          <w:sz w:val="20"/>
          <w:szCs w:val="20"/>
          <w:lang w:eastAsia="es-ES_tradnl"/>
        </w:rPr>
        <w:t>¿</w:t>
      </w:r>
      <w:r w:rsidR="00C91E37" w:rsidRPr="00C91E37">
        <w:rPr>
          <w:rFonts w:ascii="Verdana" w:eastAsia="Times New Roman" w:hAnsi="Verdana" w:cs="Arial"/>
          <w:i/>
          <w:iCs/>
          <w:sz w:val="20"/>
          <w:szCs w:val="20"/>
          <w:lang w:eastAsia="es-ES_tradnl"/>
        </w:rPr>
        <w:t>El contrato firmado electr</w:t>
      </w:r>
      <w:r w:rsidR="00C91E37" w:rsidRPr="00C91E37">
        <w:rPr>
          <w:rFonts w:ascii="Verdana" w:eastAsia="Times New Roman" w:hAnsi="Verdana" w:cs="Verdana"/>
          <w:i/>
          <w:iCs/>
          <w:sz w:val="20"/>
          <w:szCs w:val="20"/>
          <w:lang w:eastAsia="es-ES_tradnl"/>
        </w:rPr>
        <w:t>ó</w:t>
      </w:r>
      <w:r w:rsidR="00C91E37" w:rsidRPr="00C91E37">
        <w:rPr>
          <w:rFonts w:ascii="Verdana" w:eastAsia="Times New Roman" w:hAnsi="Verdana" w:cs="Arial"/>
          <w:i/>
          <w:iCs/>
          <w:sz w:val="20"/>
          <w:szCs w:val="20"/>
          <w:lang w:eastAsia="es-ES_tradnl"/>
        </w:rPr>
        <w:t xml:space="preserve">nicamente en SECOP </w:t>
      </w:r>
      <w:proofErr w:type="spellStart"/>
      <w:r w:rsidR="00C91E37" w:rsidRPr="00C91E37">
        <w:rPr>
          <w:rFonts w:ascii="Verdana" w:eastAsia="Times New Roman" w:hAnsi="Verdana" w:cs="Arial"/>
          <w:i/>
          <w:iCs/>
          <w:sz w:val="20"/>
          <w:szCs w:val="20"/>
          <w:lang w:eastAsia="es-ES_tradnl"/>
        </w:rPr>
        <w:t>il</w:t>
      </w:r>
      <w:proofErr w:type="spellEnd"/>
      <w:r w:rsidR="00C91E37" w:rsidRPr="00C91E37">
        <w:rPr>
          <w:rFonts w:ascii="Verdana" w:eastAsia="Times New Roman" w:hAnsi="Verdana" w:cs="Arial"/>
          <w:i/>
          <w:iCs/>
          <w:sz w:val="20"/>
          <w:szCs w:val="20"/>
          <w:lang w:eastAsia="es-ES_tradnl"/>
        </w:rPr>
        <w:t xml:space="preserve"> sigue siendo v</w:t>
      </w:r>
      <w:r w:rsidR="00C91E37" w:rsidRPr="00C91E37">
        <w:rPr>
          <w:rFonts w:ascii="Verdana" w:eastAsia="Times New Roman" w:hAnsi="Verdana" w:cs="Verdana"/>
          <w:i/>
          <w:iCs/>
          <w:sz w:val="20"/>
          <w:szCs w:val="20"/>
          <w:lang w:eastAsia="es-ES_tradnl"/>
        </w:rPr>
        <w:t>á</w:t>
      </w:r>
      <w:r w:rsidR="00C91E37" w:rsidRPr="00C91E37">
        <w:rPr>
          <w:rFonts w:ascii="Verdana" w:eastAsia="Times New Roman" w:hAnsi="Verdana" w:cs="Arial"/>
          <w:i/>
          <w:iCs/>
          <w:sz w:val="20"/>
          <w:szCs w:val="20"/>
          <w:lang w:eastAsia="es-ES_tradnl"/>
        </w:rPr>
        <w:t xml:space="preserve">lido si no se cuenta con la minuta contractual firmada </w:t>
      </w:r>
      <w:proofErr w:type="spellStart"/>
      <w:r w:rsidR="00C91E37" w:rsidRPr="00C91E37">
        <w:rPr>
          <w:rFonts w:ascii="Verdana" w:eastAsia="Times New Roman" w:hAnsi="Verdana" w:cs="Arial"/>
          <w:i/>
          <w:iCs/>
          <w:sz w:val="20"/>
          <w:szCs w:val="20"/>
          <w:lang w:eastAsia="es-ES_tradnl"/>
        </w:rPr>
        <w:t>fisicamente</w:t>
      </w:r>
      <w:proofErr w:type="spellEnd"/>
      <w:r w:rsidR="00C91E37" w:rsidRPr="00C91E37">
        <w:rPr>
          <w:rFonts w:ascii="Verdana" w:eastAsia="Times New Roman" w:hAnsi="Verdana" w:cs="Arial"/>
          <w:i/>
          <w:iCs/>
          <w:sz w:val="20"/>
          <w:szCs w:val="20"/>
          <w:lang w:eastAsia="es-ES_tradnl"/>
        </w:rPr>
        <w:t>?</w:t>
      </w:r>
    </w:p>
    <w:p w14:paraId="23EC9ACD" w14:textId="6BC2B1CB" w:rsidR="00C91E37" w:rsidRDefault="00C91E37" w:rsidP="00C91E37">
      <w:pPr>
        <w:spacing w:after="0" w:line="240" w:lineRule="auto"/>
        <w:ind w:left="709" w:right="709"/>
        <w:jc w:val="both"/>
        <w:rPr>
          <w:rFonts w:ascii="Verdana" w:eastAsia="Century Gothic" w:hAnsi="Verdana" w:cs="Century Gothic"/>
          <w:i/>
          <w:iCs/>
          <w:color w:val="000000" w:themeColor="text1"/>
          <w:sz w:val="20"/>
          <w:szCs w:val="20"/>
        </w:rPr>
      </w:pPr>
      <w:r>
        <w:rPr>
          <w:rFonts w:ascii="Verdana" w:eastAsia="Century Gothic" w:hAnsi="Verdana" w:cs="Century Gothic"/>
          <w:i/>
          <w:iCs/>
          <w:color w:val="000000" w:themeColor="text1"/>
          <w:sz w:val="20"/>
          <w:szCs w:val="20"/>
          <w:lang w:val="es-ES"/>
        </w:rPr>
        <w:t>9.</w:t>
      </w:r>
      <w:r w:rsidRPr="00C91E37">
        <w:t xml:space="preserve"> </w:t>
      </w:r>
      <w:r w:rsidRPr="00C91E37">
        <w:rPr>
          <w:rFonts w:ascii="Verdana" w:eastAsia="Century Gothic" w:hAnsi="Verdana" w:cs="Century Gothic"/>
          <w:i/>
          <w:iCs/>
          <w:color w:val="000000" w:themeColor="text1"/>
          <w:sz w:val="20"/>
          <w:szCs w:val="20"/>
        </w:rPr>
        <w:t xml:space="preserve">¿Es necesario que la minuta contractual física contenga la totalidad de las </w:t>
      </w:r>
      <w:proofErr w:type="spellStart"/>
      <w:r w:rsidRPr="00C91E37">
        <w:rPr>
          <w:rFonts w:ascii="Verdana" w:eastAsia="Century Gothic" w:hAnsi="Verdana" w:cs="Century Gothic"/>
          <w:i/>
          <w:iCs/>
          <w:color w:val="000000" w:themeColor="text1"/>
          <w:sz w:val="20"/>
          <w:szCs w:val="20"/>
        </w:rPr>
        <w:t>cisusulas</w:t>
      </w:r>
      <w:proofErr w:type="spellEnd"/>
      <w:r w:rsidRPr="00C91E37">
        <w:rPr>
          <w:rFonts w:ascii="Verdana" w:eastAsia="Century Gothic" w:hAnsi="Verdana" w:cs="Century Gothic"/>
          <w:i/>
          <w:iCs/>
          <w:color w:val="000000" w:themeColor="text1"/>
          <w:sz w:val="20"/>
          <w:szCs w:val="20"/>
        </w:rPr>
        <w:t xml:space="preserve"> contractuales, considerando que el contrato electrónico ya incorpora aspectos como el objeto, el plazo de ejecución y el valor?</w:t>
      </w:r>
      <w:r>
        <w:rPr>
          <w:rFonts w:ascii="Verdana" w:eastAsia="Century Gothic" w:hAnsi="Verdana" w:cs="Century Gothic"/>
          <w:i/>
          <w:iCs/>
          <w:color w:val="000000" w:themeColor="text1"/>
          <w:sz w:val="20"/>
          <w:szCs w:val="20"/>
        </w:rPr>
        <w:t xml:space="preserve"> </w:t>
      </w:r>
    </w:p>
    <w:p w14:paraId="538B5236" w14:textId="02B8E66E" w:rsidR="00C91E37" w:rsidRDefault="00C91E37" w:rsidP="00C91E37">
      <w:pPr>
        <w:spacing w:after="0" w:line="240" w:lineRule="auto"/>
        <w:ind w:left="709" w:right="709"/>
        <w:jc w:val="both"/>
        <w:rPr>
          <w:rFonts w:ascii="Verdana" w:eastAsia="Century Gothic" w:hAnsi="Verdana" w:cs="Century Gothic"/>
          <w:i/>
          <w:iCs/>
          <w:color w:val="000000" w:themeColor="text1"/>
          <w:sz w:val="20"/>
          <w:szCs w:val="20"/>
        </w:rPr>
      </w:pPr>
      <w:r>
        <w:rPr>
          <w:rFonts w:ascii="Verdana" w:eastAsia="Century Gothic" w:hAnsi="Verdana" w:cs="Century Gothic"/>
          <w:i/>
          <w:iCs/>
          <w:color w:val="000000" w:themeColor="text1"/>
          <w:sz w:val="20"/>
          <w:szCs w:val="20"/>
        </w:rPr>
        <w:t>10.</w:t>
      </w:r>
      <w:r w:rsidRPr="00C91E37">
        <w:rPr>
          <w:rFonts w:ascii="Tahoma" w:hAnsi="Tahoma" w:cs="Tahoma"/>
        </w:rPr>
        <w:t xml:space="preserve"> </w:t>
      </w:r>
      <w:r w:rsidRPr="00C91E37">
        <w:rPr>
          <w:rFonts w:ascii="Tahoma" w:eastAsia="Century Gothic" w:hAnsi="Tahoma" w:cs="Tahoma"/>
          <w:i/>
          <w:iCs/>
          <w:color w:val="000000" w:themeColor="text1"/>
          <w:sz w:val="20"/>
          <w:szCs w:val="20"/>
        </w:rPr>
        <w:t>﻿﻿﻿﻿</w:t>
      </w:r>
      <w:r w:rsidRPr="00C91E37">
        <w:rPr>
          <w:rFonts w:ascii="Verdana" w:eastAsia="Century Gothic" w:hAnsi="Verdana" w:cs="Century Gothic"/>
          <w:i/>
          <w:iCs/>
          <w:color w:val="000000" w:themeColor="text1"/>
          <w:sz w:val="20"/>
          <w:szCs w:val="20"/>
        </w:rPr>
        <w:t>Dado que la minuta contractual es un anexo al contrato estatal y complementa el contrato electrónico ¿qué cláusulas debe incluir?</w:t>
      </w:r>
    </w:p>
    <w:p w14:paraId="08B713A4" w14:textId="04F570EE" w:rsidR="00C91E37" w:rsidRDefault="00C91E37" w:rsidP="00C91E37">
      <w:pPr>
        <w:spacing w:after="0" w:line="240" w:lineRule="auto"/>
        <w:ind w:left="709" w:right="709"/>
        <w:jc w:val="both"/>
        <w:rPr>
          <w:rFonts w:ascii="Verdana" w:eastAsia="Century Gothic" w:hAnsi="Verdana" w:cs="Century Gothic"/>
          <w:i/>
          <w:iCs/>
          <w:color w:val="000000" w:themeColor="text1"/>
          <w:sz w:val="20"/>
          <w:szCs w:val="20"/>
        </w:rPr>
      </w:pPr>
      <w:r>
        <w:rPr>
          <w:rFonts w:ascii="Verdana" w:eastAsia="Century Gothic" w:hAnsi="Verdana" w:cs="Century Gothic"/>
          <w:i/>
          <w:iCs/>
          <w:color w:val="000000" w:themeColor="text1"/>
          <w:sz w:val="20"/>
          <w:szCs w:val="20"/>
        </w:rPr>
        <w:t>11.</w:t>
      </w:r>
      <w:r w:rsidRPr="00C91E37">
        <w:rPr>
          <w:rFonts w:ascii="Tahoma" w:hAnsi="Tahoma" w:cs="Tahoma"/>
        </w:rPr>
        <w:t xml:space="preserve"> </w:t>
      </w:r>
      <w:r w:rsidRPr="00C91E37">
        <w:rPr>
          <w:rFonts w:ascii="Tahoma" w:eastAsia="Century Gothic" w:hAnsi="Tahoma" w:cs="Tahoma"/>
          <w:i/>
          <w:iCs/>
          <w:color w:val="000000" w:themeColor="text1"/>
          <w:sz w:val="20"/>
          <w:szCs w:val="20"/>
        </w:rPr>
        <w:t>﻿﻿﻿﻿</w:t>
      </w:r>
      <w:r w:rsidRPr="00C91E37">
        <w:rPr>
          <w:rFonts w:ascii="Verdana" w:eastAsia="Century Gothic" w:hAnsi="Verdana" w:cs="Century Gothic"/>
          <w:i/>
          <w:iCs/>
          <w:color w:val="000000" w:themeColor="text1"/>
          <w:sz w:val="20"/>
          <w:szCs w:val="20"/>
        </w:rPr>
        <w:t>¿Es obligatorio que la minuta contractual cuente con firmas físicas de las partes, considerando posibles inconsistencias o duplicidades con el contrato electrónico?</w:t>
      </w:r>
    </w:p>
    <w:p w14:paraId="5C7BF19D" w14:textId="02351C30" w:rsidR="00C91E37" w:rsidRDefault="00442D4E" w:rsidP="00C91E37">
      <w:pPr>
        <w:spacing w:after="0" w:line="240" w:lineRule="auto"/>
        <w:ind w:left="709" w:right="709"/>
        <w:jc w:val="both"/>
        <w:rPr>
          <w:rFonts w:ascii="Verdana" w:eastAsia="Century Gothic" w:hAnsi="Verdana" w:cs="Century Gothic"/>
          <w:i/>
          <w:iCs/>
          <w:color w:val="000000" w:themeColor="text1"/>
          <w:sz w:val="20"/>
          <w:szCs w:val="20"/>
        </w:rPr>
      </w:pPr>
      <w:r>
        <w:rPr>
          <w:rFonts w:ascii="Verdana" w:eastAsia="Century Gothic" w:hAnsi="Verdana" w:cs="Century Gothic"/>
          <w:i/>
          <w:iCs/>
          <w:color w:val="000000" w:themeColor="text1"/>
          <w:sz w:val="20"/>
          <w:szCs w:val="20"/>
        </w:rPr>
        <w:t>12.</w:t>
      </w:r>
      <w:r w:rsidRPr="00442D4E">
        <w:t xml:space="preserve"> </w:t>
      </w:r>
      <w:r w:rsidRPr="00442D4E">
        <w:rPr>
          <w:rFonts w:ascii="Verdana" w:eastAsia="Century Gothic" w:hAnsi="Verdana" w:cs="Century Gothic"/>
          <w:i/>
          <w:iCs/>
          <w:color w:val="000000" w:themeColor="text1"/>
          <w:sz w:val="20"/>
          <w:szCs w:val="20"/>
        </w:rPr>
        <w:t>¿La firma de la minuta contractual por solo una de las partes contractuales</w:t>
      </w:r>
      <w:r>
        <w:rPr>
          <w:rFonts w:ascii="Verdana" w:eastAsia="Century Gothic" w:hAnsi="Verdana" w:cs="Century Gothic"/>
          <w:i/>
          <w:iCs/>
          <w:color w:val="000000" w:themeColor="text1"/>
          <w:sz w:val="20"/>
          <w:szCs w:val="20"/>
        </w:rPr>
        <w:t xml:space="preserve"> </w:t>
      </w:r>
      <w:r w:rsidRPr="00442D4E">
        <w:rPr>
          <w:rFonts w:ascii="Verdana" w:eastAsia="Century Gothic" w:hAnsi="Verdana" w:cs="Century Gothic"/>
          <w:i/>
          <w:iCs/>
          <w:color w:val="000000" w:themeColor="text1"/>
          <w:sz w:val="20"/>
          <w:szCs w:val="20"/>
        </w:rPr>
        <w:t>genera efectos jurídicos?</w:t>
      </w:r>
    </w:p>
    <w:p w14:paraId="3B6FA95F" w14:textId="66D93146" w:rsidR="00442D4E" w:rsidRDefault="00442D4E" w:rsidP="00C91E37">
      <w:pPr>
        <w:spacing w:after="0" w:line="240" w:lineRule="auto"/>
        <w:ind w:left="709" w:right="709"/>
        <w:jc w:val="both"/>
        <w:rPr>
          <w:rFonts w:ascii="Verdana" w:eastAsia="Times New Roman" w:hAnsi="Verdana" w:cs="Arial"/>
          <w:i/>
          <w:iCs/>
          <w:sz w:val="20"/>
          <w:szCs w:val="20"/>
          <w:lang w:eastAsia="es-ES_tradnl"/>
        </w:rPr>
      </w:pPr>
      <w:r>
        <w:rPr>
          <w:rFonts w:ascii="Verdana" w:eastAsia="Century Gothic" w:hAnsi="Verdana" w:cs="Century Gothic"/>
          <w:i/>
          <w:iCs/>
          <w:color w:val="000000" w:themeColor="text1"/>
          <w:sz w:val="20"/>
          <w:szCs w:val="20"/>
        </w:rPr>
        <w:t xml:space="preserve">13. </w:t>
      </w:r>
      <w:r w:rsidRPr="00442D4E">
        <w:rPr>
          <w:rFonts w:ascii="Tahoma" w:eastAsia="Century Gothic" w:hAnsi="Tahoma" w:cs="Tahoma"/>
          <w:i/>
          <w:iCs/>
          <w:color w:val="000000" w:themeColor="text1"/>
          <w:sz w:val="20"/>
          <w:szCs w:val="20"/>
        </w:rPr>
        <w:t>﻿﻿﻿﻿</w:t>
      </w:r>
      <w:r w:rsidRPr="00442D4E">
        <w:rPr>
          <w:rFonts w:ascii="Verdana" w:eastAsia="Century Gothic" w:hAnsi="Verdana" w:cs="Century Gothic"/>
          <w:i/>
          <w:iCs/>
          <w:color w:val="000000" w:themeColor="text1"/>
          <w:sz w:val="20"/>
          <w:szCs w:val="20"/>
        </w:rPr>
        <w:t xml:space="preserve">¿La suscripción física de la "Minuta Contractual" por una de las partes genera expectativas jurídicas en materia </w:t>
      </w:r>
      <w:proofErr w:type="gramStart"/>
      <w:r w:rsidRPr="00442D4E">
        <w:rPr>
          <w:rFonts w:ascii="Verdana" w:eastAsia="Century Gothic" w:hAnsi="Verdana" w:cs="Century Gothic"/>
          <w:i/>
          <w:iCs/>
          <w:color w:val="000000" w:themeColor="text1"/>
          <w:sz w:val="20"/>
          <w:szCs w:val="20"/>
        </w:rPr>
        <w:t>contractual?</w:t>
      </w:r>
      <w:r>
        <w:rPr>
          <w:rFonts w:ascii="Verdana" w:eastAsia="Century Gothic" w:hAnsi="Verdana" w:cs="Century Gothic"/>
          <w:i/>
          <w:iCs/>
          <w:color w:val="000000" w:themeColor="text1"/>
          <w:sz w:val="20"/>
          <w:szCs w:val="20"/>
        </w:rPr>
        <w:t>.</w:t>
      </w:r>
      <w:proofErr w:type="gramEnd"/>
      <w:r>
        <w:rPr>
          <w:rFonts w:ascii="Verdana" w:eastAsia="Century Gothic" w:hAnsi="Verdana" w:cs="Century Gothic"/>
          <w:i/>
          <w:iCs/>
          <w:color w:val="000000" w:themeColor="text1"/>
          <w:sz w:val="20"/>
          <w:szCs w:val="20"/>
        </w:rPr>
        <w:t>”</w:t>
      </w:r>
    </w:p>
    <w:p w14:paraId="7A3B5287" w14:textId="77777777" w:rsidR="006E6BFB" w:rsidRPr="005967FD" w:rsidRDefault="006E6BFB" w:rsidP="006E6BFB">
      <w:pPr>
        <w:spacing w:after="0" w:line="240" w:lineRule="auto"/>
        <w:ind w:left="709" w:right="709"/>
        <w:jc w:val="both"/>
        <w:rPr>
          <w:rFonts w:ascii="Verdana" w:eastAsia="Times New Roman" w:hAnsi="Verdana" w:cs="Arial"/>
          <w:i/>
          <w:iCs/>
          <w:sz w:val="20"/>
          <w:szCs w:val="20"/>
          <w:lang w:eastAsia="es-ES_tradnl"/>
        </w:rPr>
      </w:pPr>
    </w:p>
    <w:p w14:paraId="50D9F822" w14:textId="77777777" w:rsidR="006E6BFB" w:rsidRPr="00115E3D" w:rsidRDefault="006E6BFB" w:rsidP="006E6BFB">
      <w:pPr>
        <w:spacing w:after="120" w:line="276" w:lineRule="auto"/>
        <w:ind w:firstLine="709"/>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55110A31" w14:textId="77777777" w:rsidR="006E6BFB" w:rsidRPr="00115E3D" w:rsidRDefault="006E6BFB" w:rsidP="006E6BFB">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lastRenderedPageBreak/>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09C0CB7A" w14:textId="77777777" w:rsidR="006E6BFB" w:rsidRPr="00115E3D" w:rsidRDefault="006E6BFB" w:rsidP="006E6BFB">
      <w:pPr>
        <w:spacing w:after="0" w:line="276" w:lineRule="auto"/>
        <w:ind w:firstLine="709"/>
        <w:jc w:val="both"/>
        <w:rPr>
          <w:rFonts w:ascii="Verdana" w:eastAsia="Calibri" w:hAnsi="Verdana" w:cs="Arial"/>
          <w:color w:val="000000" w:themeColor="text1"/>
          <w:lang w:val="es-ES" w:eastAsia="es-ES"/>
        </w:rPr>
      </w:pPr>
    </w:p>
    <w:p w14:paraId="444ABA59" w14:textId="77777777" w:rsidR="006E6BFB" w:rsidRPr="00115E3D" w:rsidRDefault="006E6BFB" w:rsidP="006E6BFB">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color w:val="000000" w:themeColor="text1"/>
          <w:lang w:val="es-ES"/>
        </w:rPr>
      </w:pPr>
      <w:r w:rsidRPr="00115E3D">
        <w:rPr>
          <w:rFonts w:ascii="Verdana" w:eastAsia="Century Gothic" w:hAnsi="Verdana" w:cs="Century Gothic"/>
          <w:b/>
          <w:bCs/>
          <w:color w:val="000000" w:themeColor="text1"/>
          <w:lang w:val="es-ES"/>
        </w:rPr>
        <w:t>Problema planteado:</w:t>
      </w:r>
    </w:p>
    <w:p w14:paraId="01DBB690" w14:textId="77777777" w:rsidR="006E6BFB" w:rsidRPr="00115E3D" w:rsidRDefault="006E6BFB" w:rsidP="006E6BFB">
      <w:pPr>
        <w:tabs>
          <w:tab w:val="left" w:pos="426"/>
        </w:tabs>
        <w:spacing w:after="0" w:line="276" w:lineRule="auto"/>
        <w:jc w:val="both"/>
        <w:rPr>
          <w:rFonts w:ascii="Verdana" w:eastAsia="Century Gothic" w:hAnsi="Verdana" w:cs="Century Gothic"/>
          <w:color w:val="000000" w:themeColor="text1"/>
          <w:lang w:val="es-ES"/>
        </w:rPr>
      </w:pPr>
    </w:p>
    <w:p w14:paraId="64F757B3" w14:textId="5EADC1FA" w:rsidR="006E6BFB" w:rsidRPr="00115E3D" w:rsidRDefault="006E6BFB" w:rsidP="006E6BFB">
      <w:pPr>
        <w:spacing w:after="0" w:line="276" w:lineRule="auto"/>
        <w:jc w:val="both"/>
        <w:rPr>
          <w:rFonts w:ascii="Verdana" w:eastAsia="Century Gothic" w:hAnsi="Verdana" w:cs="Century Gothic"/>
          <w:color w:val="000000" w:themeColor="text1"/>
        </w:rPr>
      </w:pPr>
      <w:r w:rsidRPr="00115E3D">
        <w:rPr>
          <w:rFonts w:ascii="Verdana" w:eastAsia="Century Gothic" w:hAnsi="Verdana" w:cs="Century Gothic"/>
          <w:color w:val="000000" w:themeColor="text1"/>
        </w:rPr>
        <w:t xml:space="preserve">De acuerdo con el contenido de su solicitud, esta Agencia resolverá </w:t>
      </w:r>
      <w:r w:rsidR="00C74FAC">
        <w:rPr>
          <w:rFonts w:ascii="Verdana" w:eastAsia="Century Gothic" w:hAnsi="Verdana" w:cs="Century Gothic"/>
          <w:color w:val="000000" w:themeColor="text1"/>
        </w:rPr>
        <w:t>los</w:t>
      </w:r>
      <w:r w:rsidRPr="00115E3D">
        <w:rPr>
          <w:rFonts w:ascii="Verdana" w:eastAsia="Century Gothic" w:hAnsi="Verdana" w:cs="Century Gothic"/>
          <w:color w:val="000000" w:themeColor="text1"/>
        </w:rPr>
        <w:t xml:space="preserve"> siguiente</w:t>
      </w:r>
      <w:r w:rsidR="00C74FAC">
        <w:rPr>
          <w:rFonts w:ascii="Verdana" w:eastAsia="Century Gothic" w:hAnsi="Verdana" w:cs="Century Gothic"/>
          <w:color w:val="000000" w:themeColor="text1"/>
        </w:rPr>
        <w:t>s</w:t>
      </w:r>
      <w:r w:rsidRPr="00115E3D">
        <w:rPr>
          <w:rFonts w:ascii="Verdana" w:eastAsia="Century Gothic" w:hAnsi="Verdana" w:cs="Century Gothic"/>
          <w:color w:val="000000" w:themeColor="text1"/>
        </w:rPr>
        <w:t xml:space="preserve"> problema</w:t>
      </w:r>
      <w:r w:rsidR="00C74FAC">
        <w:rPr>
          <w:rFonts w:ascii="Verdana" w:eastAsia="Century Gothic" w:hAnsi="Verdana" w:cs="Century Gothic"/>
          <w:color w:val="000000" w:themeColor="text1"/>
        </w:rPr>
        <w:t>s</w:t>
      </w:r>
      <w:r w:rsidRPr="00115E3D">
        <w:rPr>
          <w:rFonts w:ascii="Verdana" w:eastAsia="Century Gothic" w:hAnsi="Verdana" w:cs="Century Gothic"/>
          <w:color w:val="000000" w:themeColor="text1"/>
        </w:rPr>
        <w:t xml:space="preserve"> jurídico</w:t>
      </w:r>
      <w:r w:rsidR="00C74FAC">
        <w:rPr>
          <w:rFonts w:ascii="Verdana" w:eastAsia="Century Gothic" w:hAnsi="Verdana" w:cs="Century Gothic"/>
          <w:color w:val="000000" w:themeColor="text1"/>
        </w:rPr>
        <w:t>s</w:t>
      </w:r>
      <w:r w:rsidRPr="00115E3D">
        <w:rPr>
          <w:rFonts w:ascii="Verdana" w:eastAsia="Century Gothic" w:hAnsi="Verdana" w:cs="Century Gothic"/>
          <w:color w:val="000000" w:themeColor="text1"/>
        </w:rPr>
        <w:t xml:space="preserve">: </w:t>
      </w:r>
      <w:r w:rsidR="00AD2114">
        <w:rPr>
          <w:rFonts w:ascii="Verdana" w:eastAsia="Century Gothic" w:hAnsi="Verdana" w:cs="Century Gothic"/>
          <w:color w:val="000000" w:themeColor="text1"/>
        </w:rPr>
        <w:t>i)</w:t>
      </w:r>
      <w:r w:rsidR="00AD2114" w:rsidRPr="00325D1D">
        <w:rPr>
          <w:rFonts w:ascii="Verdana" w:eastAsia="Century Gothic" w:hAnsi="Verdana" w:cs="Century Gothic"/>
          <w:color w:val="000000" w:themeColor="text1"/>
        </w:rPr>
        <w:t xml:space="preserve"> ¿</w:t>
      </w:r>
      <w:r w:rsidR="00325D1D" w:rsidRPr="00325D1D">
        <w:rPr>
          <w:rFonts w:ascii="Verdana" w:eastAsia="Century Gothic" w:hAnsi="Verdana" w:cs="Century Gothic"/>
          <w:color w:val="000000" w:themeColor="text1"/>
        </w:rPr>
        <w:t>Cómo debe interpretarse el artículo 41 de la Ley 80 de 1993 respecto a la exigencia de que los contratos estatales se "eleven a escrito", en el contexto de la suscripción electrónica de contratos a través de la plataforma SECOP II?</w:t>
      </w:r>
      <w:r w:rsidR="00325D1D">
        <w:rPr>
          <w:rFonts w:ascii="Verdana" w:eastAsia="Century Gothic" w:hAnsi="Verdana" w:cs="Century Gothic"/>
          <w:color w:val="000000" w:themeColor="text1"/>
        </w:rPr>
        <w:t xml:space="preserve">  </w:t>
      </w:r>
      <w:proofErr w:type="spellStart"/>
      <w:r w:rsidR="00AD2114">
        <w:rPr>
          <w:rFonts w:ascii="Verdana" w:eastAsia="Century Gothic" w:hAnsi="Verdana" w:cs="Century Gothic"/>
          <w:color w:val="000000" w:themeColor="text1"/>
        </w:rPr>
        <w:t>ii</w:t>
      </w:r>
      <w:proofErr w:type="spellEnd"/>
      <w:r w:rsidR="00AD2114">
        <w:rPr>
          <w:rFonts w:ascii="Verdana" w:eastAsia="Century Gothic" w:hAnsi="Verdana" w:cs="Century Gothic"/>
          <w:color w:val="000000" w:themeColor="text1"/>
        </w:rPr>
        <w:t>)</w:t>
      </w:r>
      <w:r w:rsidR="00AD2114" w:rsidRPr="00325D1D">
        <w:rPr>
          <w:rFonts w:ascii="Verdana" w:eastAsia="Century Gothic" w:hAnsi="Verdana" w:cs="Century Gothic"/>
          <w:color w:val="000000" w:themeColor="text1"/>
        </w:rPr>
        <w:t xml:space="preserve"> ¿</w:t>
      </w:r>
      <w:r w:rsidR="00325D1D" w:rsidRPr="00325D1D">
        <w:rPr>
          <w:rFonts w:ascii="Verdana" w:eastAsia="Century Gothic" w:hAnsi="Verdana" w:cs="Century Gothic"/>
          <w:color w:val="000000" w:themeColor="text1"/>
        </w:rPr>
        <w:t>La suscripción física de una minuta contractual, cuando ya existe un contrato electrónico perfeccionado en SECOP II, tiene efectos jurídicos adicionales o independientes, y está la entidad obligada a publicarla incluso si no hubo proceso previo en la plataforma?</w:t>
      </w:r>
    </w:p>
    <w:p w14:paraId="7FEC605E" w14:textId="77777777" w:rsidR="006E6BFB" w:rsidRPr="00115E3D" w:rsidRDefault="006E6BFB" w:rsidP="006E6BFB">
      <w:pPr>
        <w:spacing w:after="0" w:line="276" w:lineRule="auto"/>
        <w:jc w:val="both"/>
        <w:rPr>
          <w:rFonts w:ascii="Verdana" w:eastAsia="Calibri" w:hAnsi="Verdana" w:cs="Arial"/>
          <w:color w:val="000000" w:themeColor="text1"/>
          <w:lang w:val="es-ES"/>
        </w:rPr>
      </w:pPr>
    </w:p>
    <w:p w14:paraId="2A39EE09" w14:textId="77777777" w:rsidR="006E6BFB" w:rsidRPr="00115E3D" w:rsidRDefault="006E6BFB" w:rsidP="006E6BFB">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lang w:val="es-ES"/>
        </w:rPr>
      </w:pPr>
      <w:r w:rsidRPr="00115E3D">
        <w:rPr>
          <w:rFonts w:ascii="Verdana" w:eastAsia="Century Gothic" w:hAnsi="Verdana" w:cs="Century Gothic"/>
          <w:b/>
          <w:bCs/>
          <w:color w:val="000000" w:themeColor="text1"/>
          <w:lang w:val="es-ES"/>
        </w:rPr>
        <w:t>Respuesta:</w:t>
      </w:r>
    </w:p>
    <w:p w14:paraId="0B6D9ABA" w14:textId="77777777" w:rsidR="006E6BFB" w:rsidRPr="00115E3D" w:rsidRDefault="006E6BFB" w:rsidP="006E6BFB">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E6BFB" w:rsidRPr="00115E3D" w14:paraId="3A67E5F7" w14:textId="77777777" w:rsidTr="00B933B3">
        <w:tc>
          <w:tcPr>
            <w:tcW w:w="8828" w:type="dxa"/>
            <w:shd w:val="clear" w:color="auto" w:fill="auto"/>
          </w:tcPr>
          <w:p w14:paraId="3A3B85B2" w14:textId="77777777" w:rsidR="00CD05FB" w:rsidRPr="00CD05FB" w:rsidRDefault="00CD05FB" w:rsidP="00CD05FB">
            <w:pPr>
              <w:spacing w:after="120" w:line="276" w:lineRule="auto"/>
              <w:ind w:firstLine="709"/>
              <w:jc w:val="both"/>
              <w:rPr>
                <w:rFonts w:ascii="Verdana" w:eastAsia="Calibri" w:hAnsi="Verdana" w:cs="Arial"/>
                <w:color w:val="000000" w:themeColor="text1"/>
              </w:rPr>
            </w:pPr>
            <w:r w:rsidRPr="00CD05FB">
              <w:rPr>
                <w:rFonts w:ascii="Verdana" w:eastAsia="Calibri" w:hAnsi="Verdana" w:cs="Arial"/>
                <w:color w:val="000000" w:themeColor="text1"/>
              </w:rPr>
              <w:t>Con base en los interrogantes planteados y considerando las disposiciones normativas relevantes —en especial el artículo 41 de la Ley 80 de 1993 y el artículo 14 de la Ley 527 de 1999—, así como las diferencias funcionales entre SECOP I y SECOP II, se presenta a continuación una versión ampliada y articulada en dos párrafos que responden, respectivamente, a las preguntas planteadas sobre el requisito de “elevar a escrito” y sobre la validez y efectos de la minuta contractual suscrita físicamente cuando ya existe un contrato perfeccionado electrónicamente.</w:t>
            </w:r>
          </w:p>
          <w:p w14:paraId="1884DA94" w14:textId="77777777" w:rsidR="00CD05FB" w:rsidRPr="00CD05FB" w:rsidRDefault="00CD05FB" w:rsidP="00CD05FB">
            <w:pPr>
              <w:spacing w:after="120" w:line="276" w:lineRule="auto"/>
              <w:ind w:firstLine="709"/>
              <w:jc w:val="both"/>
              <w:rPr>
                <w:rFonts w:ascii="Verdana" w:eastAsia="Calibri" w:hAnsi="Verdana" w:cs="Arial"/>
                <w:color w:val="000000" w:themeColor="text1"/>
              </w:rPr>
            </w:pPr>
            <w:r w:rsidRPr="00CD05FB">
              <w:rPr>
                <w:rFonts w:ascii="Verdana" w:eastAsia="Calibri" w:hAnsi="Verdana" w:cs="Arial"/>
                <w:color w:val="000000" w:themeColor="text1"/>
              </w:rPr>
              <w:t xml:space="preserve">En primer lugar, el artículo 41 de la Ley 80 de 1993 establece que los contratos estatales deben “elevarse a escrito”, lo que tradicionalmente se ha entendido como una exigencia de solemnidad y constancia documental que permite verificar el contenido y alcance del acuerdo contractual. No obstante, esta disposición debe interpretarse armónicamente con el artículo 14 de la Ley 527 de 1999, que reconoce la validez y fuerza obligatoria de los contratos celebrados mediante mensajes de datos, siempre que se cumplan los </w:t>
            </w:r>
            <w:r w:rsidRPr="00CD05FB">
              <w:rPr>
                <w:rFonts w:ascii="Verdana" w:eastAsia="Calibri" w:hAnsi="Verdana" w:cs="Arial"/>
                <w:color w:val="000000" w:themeColor="text1"/>
              </w:rPr>
              <w:lastRenderedPageBreak/>
              <w:t>requisitos de integridad, autenticidad y disponibilidad del documento electrónico. En este sentido, cuando se utiliza la plataforma SECOP II, que permite la gestión integral y la firma electrónica del contrato dentro del sistema, se entiende que el contrato ha sido debidamente “elevado a escrito”, en cumplimiento del requisito legal. La firma electrónica realizada en SECOP II tiene el mismo valor jurídico que una firma manuscrita, según la normativa vigente, por lo que el contrato suscrito en esta plataforma es plenamente válido y genera efectos jurídicos vinculantes desde su perfeccionamiento. A diferencia del SECOP I, que solo permite la publicidad de los documentos sin intervenir en la suscripción ni generar un contrato electrónico por sí mismo, en SECOP II la suscripción electrónica es constitutiva y cumple todos los efectos legales, sin que sea necesaria la firma física de una minuta para validar el contrato.</w:t>
            </w:r>
          </w:p>
          <w:p w14:paraId="6CC41BB5" w14:textId="7BB63E5D" w:rsidR="006E6BFB" w:rsidRPr="00D17028" w:rsidRDefault="00CD05FB" w:rsidP="00E72F93">
            <w:pPr>
              <w:spacing w:after="120" w:line="276" w:lineRule="auto"/>
              <w:ind w:firstLine="709"/>
              <w:jc w:val="both"/>
              <w:rPr>
                <w:rFonts w:ascii="Verdana" w:eastAsia="Calibri" w:hAnsi="Verdana" w:cs="Arial"/>
                <w:color w:val="000000" w:themeColor="text1"/>
              </w:rPr>
            </w:pPr>
            <w:r w:rsidRPr="00CD05FB">
              <w:rPr>
                <w:rFonts w:ascii="Verdana" w:eastAsia="Calibri" w:hAnsi="Verdana" w:cs="Arial"/>
                <w:color w:val="000000" w:themeColor="text1"/>
              </w:rPr>
              <w:t xml:space="preserve">En segundo lugar, frente a la minuta contractual suscrita físicamente, cuando ya existe un contrato perfeccionado electrónicamente en SECOP II, su valor jurídico es meramente declarativo o documental, y no tiene efectos adicionales ni independientes respecto del contrato electrónico. La minuta física no perfecciona el contrato ni puede sustituir el acuerdo electrónico celebrado válidamente. Así, la entidad no está obligada a publicar esta minuta en SECOP II si no hubo un proceso de selección previo en la plataforma, salvo que decida hacerlo con fines de trazabilidad y transparencia. Tampoco es obligatorio que la minuta cuente con firmas manuscritas de ambas partes, ni que contenga la totalidad de las cláusulas contractuales que ya están incorporadas en el contrato electrónico, ya que este incluye los elementos esenciales como el objeto, el plazo, el valor y las obligaciones principales. En consecuencia, la minuta física no genera efectos jurídicos vinculantes por sí sola, ni da lugar a expectativas legítimas si solo ha sido </w:t>
            </w:r>
            <w:proofErr w:type="gramStart"/>
            <w:r w:rsidRPr="00CD05FB">
              <w:rPr>
                <w:rFonts w:ascii="Verdana" w:eastAsia="Calibri" w:hAnsi="Verdana" w:cs="Arial"/>
                <w:color w:val="000000" w:themeColor="text1"/>
              </w:rPr>
              <w:t>firmada</w:t>
            </w:r>
            <w:proofErr w:type="gramEnd"/>
            <w:r w:rsidRPr="00CD05FB">
              <w:rPr>
                <w:rFonts w:ascii="Verdana" w:eastAsia="Calibri" w:hAnsi="Verdana" w:cs="Arial"/>
                <w:color w:val="000000" w:themeColor="text1"/>
              </w:rPr>
              <w:t xml:space="preserve"> por una parte. Cualquier trámite relacionado con pólizas de seguros o cumplimiento de obligaciones debe sustentarse en el contrato electrónico debidamente perfeccionado en SECOP II, y no en un documento físico que no representa un nuevo acuerdo. En suma, la minuta contractual en formato físico puede tener un rol complementario como anexo o soporte administrativo, pero no altera la validez ni los efectos del contrato electrónico, el cual es el instrumento jurídico plenamente válido y exigible.</w:t>
            </w:r>
          </w:p>
        </w:tc>
      </w:tr>
    </w:tbl>
    <w:p w14:paraId="3EEE0E45" w14:textId="77777777" w:rsidR="006E6BFB" w:rsidRPr="00115E3D" w:rsidRDefault="006E6BFB" w:rsidP="006E6BFB">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4DA6493A" w14:textId="77777777" w:rsidR="006E6BFB" w:rsidRPr="00115E3D" w:rsidRDefault="006E6BFB" w:rsidP="006E6BFB">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lang w:val="es-ES"/>
        </w:rPr>
      </w:pPr>
      <w:r w:rsidRPr="00115E3D">
        <w:rPr>
          <w:rFonts w:ascii="Verdana" w:eastAsia="Century Gothic" w:hAnsi="Verdana" w:cs="Century Gothic"/>
          <w:b/>
          <w:bCs/>
          <w:color w:val="000000" w:themeColor="text1"/>
          <w:lang w:val="es-ES"/>
        </w:rPr>
        <w:lastRenderedPageBreak/>
        <w:t>Razones de la respuesta:</w:t>
      </w:r>
    </w:p>
    <w:p w14:paraId="7F541FF1" w14:textId="77777777" w:rsidR="006E6BFB" w:rsidRPr="00115E3D" w:rsidRDefault="006E6BFB" w:rsidP="006E6BFB">
      <w:pPr>
        <w:spacing w:after="0" w:line="276" w:lineRule="auto"/>
        <w:jc w:val="both"/>
        <w:rPr>
          <w:rFonts w:ascii="Verdana" w:eastAsia="Calibri" w:hAnsi="Verdana" w:cs="Arial"/>
          <w:color w:val="000000" w:themeColor="text1"/>
          <w:lang w:val="es-ES"/>
        </w:rPr>
      </w:pPr>
    </w:p>
    <w:p w14:paraId="595A53A4" w14:textId="77777777" w:rsidR="006E6BFB" w:rsidRPr="00115E3D" w:rsidRDefault="006E6BFB" w:rsidP="006E6BFB">
      <w:pPr>
        <w:spacing w:after="0" w:line="276" w:lineRule="auto"/>
        <w:jc w:val="both"/>
        <w:rPr>
          <w:rFonts w:ascii="Verdana" w:eastAsia="Calibri" w:hAnsi="Verdana" w:cs="Arial"/>
          <w:color w:val="000000" w:themeColor="text1"/>
          <w:lang w:val="es-ES"/>
        </w:rPr>
      </w:pPr>
      <w:r w:rsidRPr="00115E3D">
        <w:rPr>
          <w:rFonts w:ascii="Verdana" w:eastAsia="Calibri" w:hAnsi="Verdana" w:cs="Arial"/>
          <w:color w:val="000000" w:themeColor="text1"/>
          <w:lang w:val="es-ES"/>
        </w:rPr>
        <w:t xml:space="preserve">Lo anterior se sustenta en las siguientes consideraciones: </w:t>
      </w:r>
    </w:p>
    <w:p w14:paraId="7947946A" w14:textId="77777777" w:rsidR="006E6BFB" w:rsidRDefault="006E6BFB" w:rsidP="006E6BFB">
      <w:pPr>
        <w:spacing w:after="0" w:line="276" w:lineRule="auto"/>
        <w:jc w:val="both"/>
        <w:rPr>
          <w:rFonts w:ascii="Verdana" w:eastAsia="Calibri" w:hAnsi="Verdana" w:cs="Arial"/>
          <w:color w:val="000000" w:themeColor="text1"/>
          <w:lang w:val="es-ES"/>
        </w:rPr>
      </w:pPr>
    </w:p>
    <w:p w14:paraId="72C18323" w14:textId="77777777" w:rsidR="00181B86" w:rsidRPr="00EA7EBA" w:rsidRDefault="00181B86" w:rsidP="00181B86">
      <w:pPr>
        <w:spacing w:after="120" w:line="276" w:lineRule="auto"/>
        <w:jc w:val="both"/>
        <w:rPr>
          <w:rFonts w:ascii="Verdana" w:hAnsi="Verdana" w:cs="Arial"/>
        </w:rPr>
      </w:pPr>
      <w:r w:rsidRPr="00EA7EBA">
        <w:rPr>
          <w:rFonts w:ascii="Verdana" w:hAnsi="Verdana" w:cs="Arial"/>
          <w:bCs/>
          <w:lang w:val="es-ES" w:eastAsia="es-ES" w:bidi="es-ES"/>
        </w:rPr>
        <w:t xml:space="preserve">i. </w:t>
      </w:r>
      <w:r w:rsidRPr="00EA7EBA">
        <w:rPr>
          <w:rFonts w:ascii="Verdana" w:eastAsia="Calibri" w:hAnsi="Verdana" w:cs="Arial"/>
          <w:lang w:val="es-ES"/>
        </w:rPr>
        <w:t xml:space="preserve">El Estatuto General de Contratación de la Administración Pública –EGCAP- define los contratos de obra, consultoría, prestación de servicios, concesión, encargos fiduciarios y fiducia pública. Sin embargo, se trata de un listado enunciativo, pues la Ley 80 de 1993 se integra con las tipologías contractuales previstas en el derecho privado. Por ello, </w:t>
      </w:r>
      <w:r w:rsidRPr="00EA7EBA">
        <w:rPr>
          <w:rFonts w:ascii="Verdana" w:hAnsi="Verdana" w:cs="Arial"/>
        </w:rPr>
        <w:t xml:space="preserve">el inciso primero del artículo 13 dispone: “Los contratos que celebren las entidades a que se refiere el artículo 2o. del presente estatuto se regirán por las disposiciones comerciales y civiles pertinentes, salvo en las materias particularmente reguladas en esta ley”. </w:t>
      </w:r>
    </w:p>
    <w:p w14:paraId="04D0C1B1" w14:textId="77777777" w:rsidR="00181B86" w:rsidRPr="00EA7EBA" w:rsidRDefault="00181B86" w:rsidP="00181B86">
      <w:pPr>
        <w:spacing w:after="120" w:line="276" w:lineRule="auto"/>
        <w:ind w:firstLine="709"/>
        <w:jc w:val="both"/>
        <w:rPr>
          <w:rFonts w:ascii="Verdana" w:hAnsi="Verdana" w:cs="Arial"/>
        </w:rPr>
      </w:pPr>
      <w:r w:rsidRPr="00EA7EBA">
        <w:rPr>
          <w:rFonts w:ascii="Verdana" w:hAnsi="Verdana" w:cs="Arial"/>
        </w:rPr>
        <w:t>Dicha idea también se reitera en el EGCAP considerando que: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Asimismo, dispone que “Las estipulaciones de los contratos serán las que, de acuerdo con las normas civiles, comerciales y las previstas en esta ley, correspondan a su esencia y naturaleza” –art. 40, inciso primero–.</w:t>
      </w:r>
    </w:p>
    <w:p w14:paraId="57A34D09" w14:textId="77777777" w:rsidR="00181B86" w:rsidRPr="00EA7EBA" w:rsidRDefault="00181B86" w:rsidP="00181B86">
      <w:pPr>
        <w:spacing w:after="0" w:line="276" w:lineRule="auto"/>
        <w:ind w:firstLine="708"/>
        <w:jc w:val="both"/>
        <w:rPr>
          <w:rFonts w:ascii="Verdana" w:hAnsi="Verdana" w:cs="Arial"/>
        </w:rPr>
      </w:pPr>
      <w:r w:rsidRPr="00EA7EBA">
        <w:rPr>
          <w:rFonts w:ascii="Verdana" w:hAnsi="Verdana" w:cs="Arial"/>
        </w:rPr>
        <w:t>De esta manera, los contratos de las entidades sometidas al EGCAP se rigen generalmente por el derecho privado y, excepcionalmente, por el derecho público, pues las normas civiles y comerciales son el derecho común de los contratos estatales</w:t>
      </w:r>
      <w:r w:rsidRPr="00EA7EBA">
        <w:rPr>
          <w:rFonts w:ascii="Verdana" w:hAnsi="Verdana" w:cs="Arial"/>
          <w:vertAlign w:val="superscript"/>
        </w:rPr>
        <w:footnoteReference w:id="2"/>
      </w:r>
      <w:r w:rsidRPr="00EA7EBA">
        <w:rPr>
          <w:rFonts w:ascii="Verdana" w:hAnsi="Verdana" w:cs="Arial"/>
        </w:rPr>
        <w:t>. Para la doctrina, la mixtura del régimen contractual:</w:t>
      </w:r>
    </w:p>
    <w:p w14:paraId="2ECF32C7" w14:textId="77777777" w:rsidR="00181B86" w:rsidRPr="00EA7EBA" w:rsidRDefault="00181B86" w:rsidP="00181B86">
      <w:pPr>
        <w:spacing w:after="0" w:line="276" w:lineRule="auto"/>
        <w:ind w:firstLine="709"/>
        <w:jc w:val="both"/>
        <w:rPr>
          <w:rFonts w:ascii="Verdana" w:hAnsi="Verdana" w:cs="Arial"/>
        </w:rPr>
      </w:pPr>
    </w:p>
    <w:p w14:paraId="5DDBD455" w14:textId="77777777" w:rsidR="00181B86" w:rsidRPr="00EA7EBA" w:rsidRDefault="00181B86" w:rsidP="00181B86">
      <w:pPr>
        <w:spacing w:after="0" w:line="240" w:lineRule="auto"/>
        <w:ind w:left="709" w:right="709"/>
        <w:jc w:val="both"/>
        <w:rPr>
          <w:rFonts w:ascii="Verdana" w:hAnsi="Verdana" w:cs="Arial"/>
          <w:sz w:val="20"/>
          <w:szCs w:val="20"/>
        </w:rPr>
      </w:pPr>
      <w:r w:rsidRPr="00EA7EBA">
        <w:rPr>
          <w:rFonts w:ascii="Verdana" w:hAnsi="Verdana" w:cs="Arial"/>
          <w:sz w:val="20"/>
          <w:szCs w:val="20"/>
        </w:rPr>
        <w:t xml:space="preserve">“[…] no hace otra cosa que aprovechar ciertos principios rectores de la contratación general </w:t>
      </w:r>
      <w:proofErr w:type="gramStart"/>
      <w:r w:rsidRPr="00EA7EBA">
        <w:rPr>
          <w:rFonts w:ascii="Verdana" w:hAnsi="Verdana" w:cs="Arial"/>
          <w:sz w:val="20"/>
          <w:szCs w:val="20"/>
        </w:rPr>
        <w:t>que</w:t>
      </w:r>
      <w:proofErr w:type="gramEnd"/>
      <w:r w:rsidRPr="00EA7EBA">
        <w:rPr>
          <w:rFonts w:ascii="Verdana" w:hAnsi="Verdana" w:cs="Arial"/>
          <w:sz w:val="20"/>
          <w:szCs w:val="20"/>
        </w:rPr>
        <w:t xml:space="preserve"> aunque tengan su consagración en códigos de derecho privado como el civil o el comercial, no son propios y exclusivos de este derecho. Baste pensar en los requisitos de consentimiento válido, objeto y causa lícitos, capacidad, elementos esenciales según la naturaleza de cada contrato, responsabilidad, naturaleza de las obligaciones emanadas de los mismos, etc. etc. Extremos éstos que de derecho privado no tienen sino su presentación formal o el nombre y que la tradición, desde </w:t>
      </w:r>
      <w:r w:rsidRPr="00EA7EBA">
        <w:rPr>
          <w:rFonts w:ascii="Verdana" w:hAnsi="Verdana" w:cs="Arial"/>
          <w:sz w:val="20"/>
          <w:szCs w:val="20"/>
        </w:rPr>
        <w:lastRenderedPageBreak/>
        <w:t>su origen romano, se acostumbró a calificarlos así y a no preocuparse por su cuestionamiento o definición.</w:t>
      </w:r>
    </w:p>
    <w:p w14:paraId="556DAB20" w14:textId="77777777" w:rsidR="00181B86" w:rsidRPr="00EA7EBA" w:rsidRDefault="00181B86" w:rsidP="00181B86">
      <w:pPr>
        <w:spacing w:after="0" w:line="240" w:lineRule="auto"/>
        <w:ind w:right="709"/>
        <w:jc w:val="both"/>
        <w:rPr>
          <w:rFonts w:ascii="Verdana" w:hAnsi="Verdana" w:cs="Arial"/>
          <w:sz w:val="20"/>
          <w:szCs w:val="20"/>
        </w:rPr>
      </w:pPr>
      <w:r w:rsidRPr="00EA7EBA">
        <w:rPr>
          <w:rFonts w:ascii="Verdana" w:hAnsi="Verdana" w:cs="Arial"/>
          <w:sz w:val="20"/>
          <w:szCs w:val="20"/>
        </w:rPr>
        <w:tab/>
      </w:r>
    </w:p>
    <w:p w14:paraId="6B4ADA31" w14:textId="77777777" w:rsidR="00181B86" w:rsidRPr="00EA7EBA" w:rsidRDefault="00181B86" w:rsidP="00181B86">
      <w:pPr>
        <w:spacing w:after="0" w:line="240" w:lineRule="auto"/>
        <w:ind w:left="709" w:right="709"/>
        <w:jc w:val="both"/>
        <w:rPr>
          <w:rFonts w:ascii="Verdana" w:hAnsi="Verdana" w:cs="Arial"/>
          <w:sz w:val="20"/>
          <w:szCs w:val="20"/>
        </w:rPr>
      </w:pPr>
      <w:r w:rsidRPr="00EA7EBA">
        <w:rPr>
          <w:rFonts w:ascii="Verdana" w:hAnsi="Verdana" w:cs="Arial"/>
          <w:sz w:val="20"/>
          <w:szCs w:val="20"/>
        </w:rPr>
        <w:t>En otras palabras, extremos como los indicados no son ni de derecho público ni de derecho privado, sino, simplemente, de derecho propio, aplicables a toda relación contractual, con prescindencia de la naturaleza de los sujetos involucrados en la misma”</w:t>
      </w:r>
      <w:r w:rsidRPr="00EA7EBA">
        <w:rPr>
          <w:rFonts w:ascii="Verdana" w:hAnsi="Verdana" w:cs="Arial"/>
          <w:sz w:val="20"/>
          <w:szCs w:val="20"/>
          <w:vertAlign w:val="superscript"/>
        </w:rPr>
        <w:footnoteReference w:id="3"/>
      </w:r>
      <w:r w:rsidRPr="00EA7EBA">
        <w:rPr>
          <w:rFonts w:ascii="Verdana" w:hAnsi="Verdana" w:cs="Arial"/>
          <w:sz w:val="20"/>
          <w:szCs w:val="20"/>
        </w:rPr>
        <w:t xml:space="preserve">. </w:t>
      </w:r>
    </w:p>
    <w:p w14:paraId="31A17566" w14:textId="77777777" w:rsidR="00181B86" w:rsidRPr="00EA7EBA" w:rsidRDefault="00181B86" w:rsidP="00181B86">
      <w:pPr>
        <w:spacing w:after="0" w:line="276" w:lineRule="auto"/>
        <w:ind w:left="709" w:right="709"/>
        <w:jc w:val="both"/>
        <w:rPr>
          <w:rFonts w:ascii="Verdana" w:hAnsi="Verdana" w:cs="Arial"/>
        </w:rPr>
      </w:pPr>
      <w:r w:rsidRPr="00EA7EBA">
        <w:rPr>
          <w:rFonts w:ascii="Verdana" w:hAnsi="Verdana" w:cs="Arial"/>
        </w:rPr>
        <w:t xml:space="preserve"> </w:t>
      </w:r>
    </w:p>
    <w:p w14:paraId="3FFF8022" w14:textId="0A4B1A2B" w:rsidR="00CA6EA0" w:rsidRPr="00CA6EA0" w:rsidRDefault="00181B86" w:rsidP="00CA6EA0">
      <w:pPr>
        <w:tabs>
          <w:tab w:val="left" w:pos="426"/>
        </w:tabs>
        <w:spacing w:after="120" w:line="276" w:lineRule="auto"/>
        <w:jc w:val="both"/>
        <w:rPr>
          <w:rFonts w:ascii="Verdana" w:eastAsia="Arial" w:hAnsi="Verdana" w:cs="Arial"/>
          <w:color w:val="000000" w:themeColor="text1"/>
          <w:lang w:val="es-ES" w:eastAsia="es-ES"/>
        </w:rPr>
      </w:pPr>
      <w:r w:rsidRPr="00EA7EBA">
        <w:rPr>
          <w:rFonts w:ascii="Verdana" w:hAnsi="Verdana" w:cs="Arial"/>
        </w:rPr>
        <w:tab/>
        <w:t xml:space="preserve">Ello no implica una privatización absoluta del régimen contractual de las entidades públicas, pues la Ley 80 de 1993 –entre otros aspectos– regula especialmente la capacidad jurídica –inhabilidades, incompatibilidades, consorcios y uniones temporales y registro único de proponentes–, las reglas de selección objetiva –procedimientos de selección–, así como algunos aspectos de ejecución contractual –manejo del riesgo, cláusulas exorbitantes y tipologías contractuales–. Por ello, con excepción de las materias expresamente reguladas en el Estatuto de Contratación, es posible la aplicación de las normas de derecho </w:t>
      </w:r>
      <w:r w:rsidRPr="00CA6EA0">
        <w:rPr>
          <w:rFonts w:ascii="Verdana" w:eastAsia="Arial" w:hAnsi="Verdana" w:cs="Arial"/>
          <w:color w:val="000000" w:themeColor="text1"/>
          <w:lang w:val="es-ES" w:eastAsia="es-ES"/>
        </w:rPr>
        <w:t xml:space="preserve">privado. </w:t>
      </w:r>
    </w:p>
    <w:p w14:paraId="41FE8DDC" w14:textId="77777777" w:rsidR="00181B86" w:rsidRPr="00EA7EBA" w:rsidRDefault="00181B86" w:rsidP="00181B86">
      <w:pPr>
        <w:tabs>
          <w:tab w:val="left" w:pos="426"/>
        </w:tabs>
        <w:spacing w:after="120" w:line="276" w:lineRule="auto"/>
        <w:jc w:val="both"/>
        <w:rPr>
          <w:rFonts w:ascii="Verdana" w:eastAsia="Arial" w:hAnsi="Verdana" w:cs="Arial"/>
          <w:color w:val="000000" w:themeColor="text1"/>
          <w:lang w:val="es-ES" w:eastAsia="es-ES"/>
        </w:rPr>
      </w:pPr>
      <w:proofErr w:type="spellStart"/>
      <w:r w:rsidRPr="00CA6EA0">
        <w:rPr>
          <w:rFonts w:ascii="Verdana" w:eastAsia="Arial" w:hAnsi="Verdana" w:cs="Arial"/>
          <w:color w:val="000000" w:themeColor="text1"/>
          <w:lang w:val="es-ES" w:eastAsia="es-ES"/>
        </w:rPr>
        <w:t>ii</w:t>
      </w:r>
      <w:proofErr w:type="spellEnd"/>
      <w:r w:rsidRPr="00CA6EA0">
        <w:rPr>
          <w:rFonts w:ascii="Verdana" w:eastAsia="Arial" w:hAnsi="Verdana" w:cs="Arial"/>
          <w:color w:val="000000" w:themeColor="text1"/>
          <w:lang w:val="es-ES" w:eastAsia="es-ES"/>
        </w:rPr>
        <w:t xml:space="preserve">. Los contratos </w:t>
      </w:r>
      <w:r w:rsidRPr="00EA7EBA">
        <w:rPr>
          <w:rFonts w:ascii="Verdana" w:hAnsi="Verdana" w:cs="Arial"/>
          <w:lang w:val="es-ES"/>
        </w:rPr>
        <w:t>se fundan bajo el principio de autonomía de voluntad de las partes, donde ocurren varias personas en la celebración de un negocio que suelen ser quienes materialmente, y en la práctica, actúan como partes del correspondiente acuerdo, es decir, quienes se obligan en virtud de este. En efecto</w:t>
      </w:r>
      <w:r w:rsidRPr="00EA7EBA">
        <w:rPr>
          <w:rFonts w:ascii="Verdana" w:eastAsia="Arial" w:hAnsi="Verdana" w:cs="Arial"/>
          <w:color w:val="000000" w:themeColor="text1"/>
          <w:lang w:val="es-ES" w:eastAsia="es-ES"/>
        </w:rPr>
        <w:t>, el artículo 1495 del Código Civil establece que el “[c]</w:t>
      </w:r>
      <w:proofErr w:type="spellStart"/>
      <w:r w:rsidRPr="00EA7EBA">
        <w:rPr>
          <w:rFonts w:ascii="Verdana" w:eastAsia="Arial" w:hAnsi="Verdana" w:cs="Arial"/>
          <w:color w:val="000000" w:themeColor="text1"/>
          <w:lang w:val="es-ES" w:eastAsia="es-ES"/>
        </w:rPr>
        <w:t>ontrato</w:t>
      </w:r>
      <w:proofErr w:type="spellEnd"/>
      <w:r w:rsidRPr="00EA7EBA">
        <w:rPr>
          <w:rFonts w:ascii="Verdana" w:eastAsia="Arial" w:hAnsi="Verdana" w:cs="Arial"/>
          <w:color w:val="000000" w:themeColor="text1"/>
          <w:lang w:val="es-ES" w:eastAsia="es-ES"/>
        </w:rPr>
        <w:t xml:space="preserve"> o convención es un acto por el cual una parte se obliga para con otra a dar, hacer, o no alguna cosa. Cada parte puede ser de una o muchas personas”. A su turno, el Código de Comercio establece en el artículo 864 que “[e]l contrato es un acuerdo de dos o más partes para constituir, regular o extinguir entre ellas una relación jurídica patrimonial”.</w:t>
      </w:r>
    </w:p>
    <w:p w14:paraId="5D95060A" w14:textId="77777777" w:rsidR="00181B86" w:rsidRPr="00EA7EBA" w:rsidRDefault="00181B86" w:rsidP="00181B86">
      <w:pPr>
        <w:widowControl w:val="0"/>
        <w:autoSpaceDE w:val="0"/>
        <w:autoSpaceDN w:val="0"/>
        <w:spacing w:after="120" w:line="276" w:lineRule="auto"/>
        <w:ind w:firstLine="708"/>
        <w:jc w:val="both"/>
        <w:rPr>
          <w:rFonts w:ascii="Verdana" w:eastAsia="Arial" w:hAnsi="Verdana" w:cs="Arial"/>
          <w:color w:val="000000" w:themeColor="text1"/>
          <w:lang w:val="es-ES_tradnl" w:eastAsia="es-ES_tradnl"/>
        </w:rPr>
      </w:pPr>
      <w:r w:rsidRPr="00EA7EBA">
        <w:rPr>
          <w:rFonts w:ascii="Verdana" w:eastAsia="Arial" w:hAnsi="Verdana" w:cs="Arial"/>
          <w:color w:val="000000" w:themeColor="text1"/>
          <w:lang w:val="es-ES_tradnl" w:eastAsia="es-ES_tradnl"/>
        </w:rPr>
        <w:t xml:space="preserve">Por su parte, el artículo 1º de la Ley 80 de 1993 determina que su objetivo es disponer de reglas y principios que rigen los contratos de las entidades estatales y, en ese sentido, el artículo 32 </w:t>
      </w:r>
      <w:r w:rsidRPr="00EA7EBA">
        <w:rPr>
          <w:rFonts w:ascii="Verdana" w:eastAsia="Arial" w:hAnsi="Verdana" w:cs="Arial"/>
          <w:i/>
          <w:iCs/>
          <w:color w:val="000000" w:themeColor="text1"/>
          <w:lang w:val="es-ES_tradnl" w:eastAsia="es-ES_tradnl"/>
        </w:rPr>
        <w:t>ibidem</w:t>
      </w:r>
      <w:r w:rsidRPr="00EA7EBA">
        <w:rPr>
          <w:rFonts w:ascii="Verdana" w:eastAsia="Arial" w:hAnsi="Verdana" w:cs="Arial"/>
          <w:color w:val="000000" w:themeColor="text1"/>
          <w:lang w:val="es-ES_tradnl" w:eastAsia="es-ES_tradnl"/>
        </w:rPr>
        <w:t xml:space="preserve"> define los contratos estatales como “todos los actos jurídicos, generadores de obligaciones que celebren las entidades a que se refiere este estatuto [art. 2], previstos en el derecho privado o en disposiciones especiales, o derivados del ejercicio de la autonomía de la voluntad”. De acuerdo con lo anterior, para la definición de contrato estatal basta </w:t>
      </w:r>
      <w:r w:rsidRPr="00EA7EBA">
        <w:rPr>
          <w:rFonts w:ascii="Verdana" w:eastAsia="Arial" w:hAnsi="Verdana" w:cs="Arial"/>
          <w:color w:val="000000" w:themeColor="text1"/>
          <w:lang w:val="es-ES_tradnl" w:eastAsia="es-ES_tradnl"/>
        </w:rPr>
        <w:lastRenderedPageBreak/>
        <w:t>con que una de las entidades que enumera el artículo 2º de la Ley 80 de 1993</w:t>
      </w:r>
      <w:r w:rsidRPr="00EA7EBA">
        <w:rPr>
          <w:rFonts w:ascii="Verdana" w:eastAsia="Arial" w:hAnsi="Verdana" w:cs="Arial"/>
          <w:color w:val="000000" w:themeColor="text1"/>
          <w:vertAlign w:val="superscript"/>
          <w:lang w:val="es-ES_tradnl" w:eastAsia="es-ES_tradnl"/>
        </w:rPr>
        <w:footnoteReference w:id="4"/>
      </w:r>
      <w:r w:rsidRPr="00EA7EBA">
        <w:rPr>
          <w:rFonts w:ascii="Verdana" w:eastAsia="Arial" w:hAnsi="Verdana" w:cs="Arial"/>
          <w:color w:val="000000" w:themeColor="text1"/>
          <w:lang w:val="es-ES_tradnl" w:eastAsia="es-ES_tradnl"/>
        </w:rPr>
        <w:t xml:space="preserve"> sea una de las partes, sin importar el extremo de la relación jurídico negocial que</w:t>
      </w:r>
      <w:r w:rsidRPr="00EA7EBA">
        <w:rPr>
          <w:rFonts w:ascii="Verdana" w:eastAsia="Arial" w:hAnsi="Verdana" w:cs="Arial"/>
          <w:color w:val="000000" w:themeColor="text1"/>
          <w:spacing w:val="-14"/>
          <w:lang w:val="es-ES_tradnl" w:eastAsia="es-ES_tradnl"/>
        </w:rPr>
        <w:t xml:space="preserve"> </w:t>
      </w:r>
      <w:r w:rsidRPr="00EA7EBA">
        <w:rPr>
          <w:rFonts w:ascii="Verdana" w:eastAsia="Arial" w:hAnsi="Verdana" w:cs="Arial"/>
          <w:color w:val="000000" w:themeColor="text1"/>
          <w:lang w:val="es-ES_tradnl" w:eastAsia="es-ES_tradnl"/>
        </w:rPr>
        <w:t xml:space="preserve">asuma. </w:t>
      </w:r>
    </w:p>
    <w:p w14:paraId="391594A9" w14:textId="77777777" w:rsidR="00181B86" w:rsidRPr="00EA7EBA" w:rsidRDefault="00181B86" w:rsidP="00181B86">
      <w:pPr>
        <w:spacing w:after="120" w:line="276" w:lineRule="auto"/>
        <w:ind w:firstLine="708"/>
        <w:jc w:val="both"/>
        <w:rPr>
          <w:rFonts w:ascii="Verdana" w:eastAsia="Calibri" w:hAnsi="Verdana"/>
          <w:color w:val="000000" w:themeColor="text1"/>
          <w:lang w:val="es-ES"/>
        </w:rPr>
      </w:pPr>
      <w:r w:rsidRPr="00EA7EBA">
        <w:rPr>
          <w:rFonts w:ascii="Verdana" w:eastAsia="Calibri" w:hAnsi="Verdana"/>
          <w:color w:val="000000" w:themeColor="text1"/>
          <w:lang w:val="es-ES"/>
        </w:rPr>
        <w:t xml:space="preserve">Más allá de la tipicidad o no del contrato estatal, es necesario tener en cuenta que la capacidad contractual para celebrar contratos estatales está regulada en el artículo 6 de la Ley 80 de 1993. De conformidad con la norma citada, “Pueden celebrar contratos con las entidades estatales las personas consideradas legalmente capaces en las disposiciones vigentes […]”. De acuerdo con la modificación de la Ley 2160 de 2021, la norma agrega lo siguiente: “[…] También podrán celebrar contratos con las entidades estatales los Cabildos Indígenas, las asociaciones de Autoridades Tradicionales Indígenas, los consejos comunitarios de las comunidades negras regulados por la Ley 70 de 1993 […] las organizaciones de base de comunidades negras, afrocolombianas, raizales y palenqueras y las demás formas y expresiones organizativas […]; y los consorcios y uniones temporales”. </w:t>
      </w:r>
    </w:p>
    <w:p w14:paraId="0BF4E7DF" w14:textId="77777777" w:rsidR="00181B86" w:rsidRPr="00EA7EBA" w:rsidRDefault="00181B86" w:rsidP="00181B86">
      <w:pPr>
        <w:spacing w:after="120" w:line="276" w:lineRule="auto"/>
        <w:ind w:firstLine="709"/>
        <w:jc w:val="both"/>
        <w:rPr>
          <w:rFonts w:ascii="Verdana" w:eastAsia="Calibri" w:hAnsi="Verdana"/>
          <w:color w:val="000000" w:themeColor="text1"/>
        </w:rPr>
      </w:pPr>
      <w:r w:rsidRPr="00EA7EBA">
        <w:rPr>
          <w:rFonts w:ascii="Verdana" w:eastAsia="Calibri" w:hAnsi="Verdana"/>
          <w:color w:val="000000" w:themeColor="text1"/>
        </w:rPr>
        <w:t>Asimismo, para efectos de individualizar sus requisitos esenciales, el artículo 1501 del Código Civil dispone que corresponden a “[…] aquellas cosas sin las cuales, o no produce efecto alguno, o degeneran en otro contrato diferente […]”.</w:t>
      </w:r>
      <w:r>
        <w:rPr>
          <w:rFonts w:ascii="Verdana" w:eastAsia="Calibri" w:hAnsi="Verdana"/>
          <w:color w:val="000000" w:themeColor="text1"/>
        </w:rPr>
        <w:t xml:space="preserve"> </w:t>
      </w:r>
      <w:r w:rsidRPr="00EA7EBA">
        <w:rPr>
          <w:rFonts w:ascii="Verdana" w:eastAsia="Calibri" w:hAnsi="Verdana"/>
          <w:color w:val="000000" w:themeColor="text1"/>
        </w:rPr>
        <w:t xml:space="preserve">Es decir, “[…] no es admisible un juicio de comparación con las figuras típicas del ordenamiento, en virtud de la indeterminación inherente antes de su perfeccionamiento, pues […] este es fruto de la mera autonomía privada de las partes, la cual da vida a una figura absolutamente extraña a los tipos </w:t>
      </w:r>
      <w:r w:rsidRPr="00EA7EBA">
        <w:rPr>
          <w:rFonts w:ascii="Verdana" w:eastAsia="Calibri" w:hAnsi="Verdana"/>
          <w:color w:val="000000" w:themeColor="text1"/>
        </w:rPr>
        <w:lastRenderedPageBreak/>
        <w:t>contractuales establecidos por las normas jurídicas del ordenamiento jurídico y por la costumbre […]”</w:t>
      </w:r>
      <w:r w:rsidRPr="00EA7EBA">
        <w:rPr>
          <w:rFonts w:ascii="Verdana" w:eastAsia="Calibri" w:hAnsi="Verdana"/>
          <w:color w:val="000000" w:themeColor="text1"/>
          <w:vertAlign w:val="superscript"/>
        </w:rPr>
        <w:footnoteReference w:id="5"/>
      </w:r>
      <w:r w:rsidRPr="00EA7EBA">
        <w:rPr>
          <w:rFonts w:ascii="Verdana" w:eastAsia="Calibri" w:hAnsi="Verdana"/>
          <w:color w:val="000000" w:themeColor="text1"/>
        </w:rPr>
        <w:t xml:space="preserve">. </w:t>
      </w:r>
    </w:p>
    <w:p w14:paraId="4D700CA2" w14:textId="77777777" w:rsidR="00181B86" w:rsidRPr="00EA7EBA" w:rsidRDefault="00181B86" w:rsidP="00181B86">
      <w:pPr>
        <w:spacing w:after="120" w:line="276" w:lineRule="auto"/>
        <w:ind w:firstLine="709"/>
        <w:jc w:val="both"/>
        <w:rPr>
          <w:rFonts w:ascii="Verdana" w:eastAsia="Calibri" w:hAnsi="Verdana"/>
          <w:color w:val="000000" w:themeColor="text1"/>
          <w:lang w:val="es-ES"/>
        </w:rPr>
      </w:pPr>
      <w:r w:rsidRPr="00EA7EBA">
        <w:rPr>
          <w:rFonts w:ascii="Verdana" w:eastAsia="Calibri" w:hAnsi="Verdana"/>
          <w:color w:val="000000" w:themeColor="text1"/>
          <w:lang w:val="es-ES"/>
        </w:rPr>
        <w:t xml:space="preserve">Al margen de la tipicidad o no del negocio, la existencia de los contratos estatales, es decir, la producción de efectos jurídicos en los términos del artículo 1501 </w:t>
      </w:r>
      <w:r w:rsidRPr="00EA7EBA">
        <w:rPr>
          <w:rFonts w:ascii="Verdana" w:eastAsia="Calibri" w:hAnsi="Verdana"/>
          <w:i/>
          <w:color w:val="000000" w:themeColor="text1"/>
          <w:lang w:val="es-ES"/>
        </w:rPr>
        <w:t>ibidem</w:t>
      </w:r>
      <w:r w:rsidRPr="00EA7EBA">
        <w:rPr>
          <w:rFonts w:ascii="Verdana" w:eastAsia="Calibri" w:hAnsi="Verdana"/>
          <w:color w:val="000000" w:themeColor="text1"/>
          <w:lang w:val="es-ES"/>
        </w:rPr>
        <w:t xml:space="preserve">, depende de la regulación del inciso primero de los artículos 39 y 41 del EGCAP. Por un lado, “Los contratos que celebren las entidades estatales constarán por escrito y no requerirán ser elevados a escritura pública, con excepción de aquellos que impliquen mutación del dominio o imposición de gravámenes y servidumbres sobre bienes inmuebles y, en general, aquellos que conforme a las normas legales vigentes deban cumplir con dicha formalidad”. Por otra parte, “Los contratos del Estado se perfeccionan cuando se logre acuerdo sobre el objeto y la contraprestación y éste se eleve a escrito”. </w:t>
      </w:r>
    </w:p>
    <w:p w14:paraId="5EA18CA6" w14:textId="570BABB2" w:rsidR="00181B86" w:rsidRPr="00EA7EBA" w:rsidRDefault="00181B86" w:rsidP="00181B86">
      <w:pPr>
        <w:spacing w:after="120" w:line="276" w:lineRule="auto"/>
        <w:ind w:firstLine="708"/>
        <w:jc w:val="both"/>
        <w:rPr>
          <w:rFonts w:ascii="Verdana" w:eastAsia="Calibri" w:hAnsi="Verdana"/>
          <w:color w:val="000000" w:themeColor="text1"/>
          <w:lang w:val="es-ES"/>
        </w:rPr>
      </w:pPr>
      <w:r w:rsidRPr="00F43EC4">
        <w:rPr>
          <w:rFonts w:ascii="Verdana" w:eastAsia="Times New Roman" w:hAnsi="Verdana" w:cs="Arial"/>
          <w:color w:val="000000" w:themeColor="text1"/>
          <w:lang w:eastAsia="es-ES_tradnl"/>
        </w:rPr>
        <w:t>Ahora bien, teniendo en cuenta el objeto de su consulta, es preciso</w:t>
      </w:r>
      <w:r w:rsidR="00F43EC4" w:rsidRPr="00F43EC4">
        <w:rPr>
          <w:rFonts w:ascii="Verdana" w:eastAsia="Calibri" w:hAnsi="Verdana" w:cs="Arial"/>
          <w:lang w:eastAsia="es-ES_tradnl"/>
        </w:rPr>
        <w:t xml:space="preserve"> mencionar que, el artículo 41 de la Ley 80 de 1993, que exige que los contratos estatales se "eleven a escrito", debe interpretarse de forma armónica con la Ley 527 de 1999, la cual reconoce la validez jurídica de los contratos celebrados mediante mensajes de datos. En este contexto, SECOP II, a diferencia de SECOP I, permite la firma electrónica y la gestión integral del contrato, lo cual satisface plenamente el requisito legal de forma escrita, otorgando validez jurídica al contrato electrónico. Por tanto, el contrato suscrito electrónicamente en SECOP II es válido, perfeccionado y genera efectos jurídicos vinculantes, sin que sea necesaria una minuta física adicional.</w:t>
      </w:r>
    </w:p>
    <w:p w14:paraId="3B9171A1" w14:textId="3924BFAA" w:rsidR="00E859E2" w:rsidRPr="005817C0" w:rsidRDefault="00CF17C4" w:rsidP="00CF17C4">
      <w:pPr>
        <w:spacing w:before="120" w:after="120" w:line="276" w:lineRule="auto"/>
        <w:ind w:firstLine="709"/>
        <w:jc w:val="both"/>
        <w:rPr>
          <w:rFonts w:ascii="Verdana" w:eastAsia="Times New Roman" w:hAnsi="Verdana" w:cs="Arial"/>
          <w:lang w:val="es-ES" w:eastAsia="es-ES"/>
          <w14:ligatures w14:val="standardContextual"/>
        </w:rPr>
      </w:pPr>
      <w:r w:rsidRPr="00A6144F">
        <w:rPr>
          <w:rFonts w:ascii="Verdana" w:eastAsia="Times New Roman" w:hAnsi="Verdana" w:cs="Arial"/>
          <w:lang w:val="es-ES" w:eastAsia="es-ES"/>
          <w14:ligatures w14:val="standardContextual"/>
        </w:rPr>
        <w:t>Por otro lado, u</w:t>
      </w:r>
      <w:r w:rsidR="00E859E2" w:rsidRPr="00A6144F">
        <w:rPr>
          <w:rFonts w:ascii="Verdana" w:eastAsia="Times New Roman" w:hAnsi="Verdana" w:cs="Arial"/>
          <w:lang w:val="es-ES" w:eastAsia="es-ES"/>
          <w14:ligatures w14:val="standardContextual"/>
        </w:rPr>
        <w:t>no de los postulados más importantes de un Estado Social y Democrático de Derecho es el principio de publicidad, pues este permite que las actuaciones de las autoridades gocen de visibilidad.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artículo 74, que consagra la garantía de acceso a los documentos públicos que no gocen de reserva –y esta, además, es excepcional, pues solo procede si existe causal constitucional o legal expresa–.</w:t>
      </w:r>
      <w:r w:rsidR="00E859E2" w:rsidRPr="42084841">
        <w:rPr>
          <w:rFonts w:ascii="Verdana" w:eastAsia="Times New Roman" w:hAnsi="Verdana" w:cs="Arial"/>
          <w:lang w:val="es-ES" w:eastAsia="es-ES"/>
          <w14:ligatures w14:val="standardContextual"/>
        </w:rPr>
        <w:t> </w:t>
      </w:r>
    </w:p>
    <w:p w14:paraId="55C0EEF9" w14:textId="77777777" w:rsidR="00E859E2" w:rsidRPr="00330EF6" w:rsidRDefault="00E859E2" w:rsidP="00CF17C4">
      <w:pPr>
        <w:spacing w:before="120" w:after="120" w:line="276" w:lineRule="auto"/>
        <w:ind w:firstLine="709"/>
        <w:jc w:val="both"/>
        <w:rPr>
          <w:rFonts w:ascii="Verdana" w:eastAsia="Times New Roman" w:hAnsi="Verdana" w:cs="Arial"/>
          <w:lang w:val="es-ES_tradnl" w:eastAsia="es-ES_tradnl"/>
          <w14:ligatures w14:val="standardContextual"/>
        </w:rPr>
      </w:pPr>
      <w:r w:rsidRPr="005817C0">
        <w:rPr>
          <w:rFonts w:ascii="Verdana" w:eastAsia="Times New Roman" w:hAnsi="Verdana" w:cs="Arial"/>
          <w:lang w:val="es-ES_tradnl" w:eastAsia="es-ES_tradnl"/>
          <w14:ligatures w14:val="standardContextual"/>
        </w:rPr>
        <w:lastRenderedPageBreak/>
        <w:t xml:space="preserve">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w:t>
      </w:r>
      <w:r w:rsidRPr="00330EF6">
        <w:rPr>
          <w:rFonts w:ascii="Verdana" w:eastAsia="Times New Roman" w:hAnsi="Verdana" w:cs="Arial"/>
          <w:lang w:val="es-ES_tradnl" w:eastAsia="es-ES_tradnl"/>
          <w14:ligatures w14:val="standardContextual"/>
        </w:rPr>
        <w:t>información oficial de la contratación realizada con dineros públicos, para lo cual establecerá los patrones a que haya lugar y se encargará de su difusión a través de canales electrónicos”</w:t>
      </w:r>
      <w:r w:rsidRPr="00330EF6">
        <w:rPr>
          <w:rFonts w:ascii="Verdana" w:eastAsia="Times New Roman" w:hAnsi="Verdana" w:cs="Arial"/>
          <w:vertAlign w:val="superscript"/>
          <w:lang w:val="es-ES_tradnl" w:eastAsia="es-ES_tradnl"/>
          <w14:ligatures w14:val="standardContextual"/>
        </w:rPr>
        <w:footnoteReference w:id="6"/>
      </w:r>
      <w:r w:rsidRPr="00330EF6">
        <w:rPr>
          <w:rFonts w:ascii="Verdana" w:eastAsia="Times New Roman" w:hAnsi="Verdana" w:cs="Arial"/>
          <w:lang w:val="es-ES_tradnl" w:eastAsia="es-ES_tradnl"/>
          <w14:ligatures w14:val="standardContextual"/>
        </w:rPr>
        <w:t>.</w:t>
      </w:r>
    </w:p>
    <w:p w14:paraId="659CBD37" w14:textId="77777777" w:rsidR="00E859E2" w:rsidRPr="00330EF6" w:rsidRDefault="00E859E2" w:rsidP="00E859E2">
      <w:pPr>
        <w:spacing w:before="120" w:after="120" w:line="276" w:lineRule="auto"/>
        <w:ind w:firstLine="709"/>
        <w:jc w:val="both"/>
        <w:rPr>
          <w:rFonts w:ascii="Verdana" w:eastAsia="Times New Roman" w:hAnsi="Verdana" w:cs="Arial"/>
          <w:lang w:val="es-ES_tradnl" w:eastAsia="es-ES_tradnl"/>
          <w14:ligatures w14:val="standardContextual"/>
        </w:rPr>
      </w:pPr>
      <w:r w:rsidRPr="00330EF6">
        <w:rPr>
          <w:rFonts w:ascii="Verdana" w:eastAsia="Times New Roman" w:hAnsi="Verdana" w:cs="Arial"/>
          <w:lang w:val="es-ES_tradnl" w:eastAsia="es-ES_tradnl"/>
          <w14:ligatures w14:val="standardContextual"/>
        </w:rPr>
        <w:t>Asimismo, de acuerdo con el literal g) del artículo 11 de la Ley 1712 de 2014,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330EF6">
        <w:rPr>
          <w:rFonts w:ascii="Verdana" w:eastAsia="Times New Roman" w:hAnsi="Verdana" w:cs="Arial"/>
          <w:vertAlign w:val="superscript"/>
          <w:lang w:val="es-ES_tradnl" w:eastAsia="es-ES_tradnl"/>
          <w14:ligatures w14:val="standardContextual"/>
        </w:rPr>
        <w:footnoteReference w:id="7"/>
      </w:r>
      <w:r w:rsidRPr="00330EF6">
        <w:rPr>
          <w:rFonts w:ascii="Verdana" w:eastAsia="Times New Roman" w:hAnsi="Verdana" w:cs="Arial"/>
          <w:lang w:val="es-ES_tradnl" w:eastAsia="es-ES_tradnl"/>
          <w14:ligatures w14:val="standardContextual"/>
        </w:rPr>
        <w:t>. En ese contexto, las Entidades Estatales, conforme al artículo 2.2.1.1.1.7.1 del Decreto 1082 de 2015, tienen la obligación de publicar en el SECOP “[…] los Documentos del Proceso y los actos administrativos del Proceso de Contratación, dentro de los tres (3) días siguientes a su expedición […]”.</w:t>
      </w:r>
    </w:p>
    <w:p w14:paraId="4913E35C" w14:textId="77777777" w:rsidR="00E859E2" w:rsidRPr="00330EF6" w:rsidRDefault="00E859E2" w:rsidP="00E859E2">
      <w:pPr>
        <w:spacing w:before="120" w:after="120" w:line="276" w:lineRule="auto"/>
        <w:ind w:firstLine="709"/>
        <w:jc w:val="both"/>
        <w:rPr>
          <w:rFonts w:ascii="Verdana" w:eastAsia="Arial" w:hAnsi="Verdana" w:cs="Arial"/>
          <w:lang w:val="es-ES_tradnl"/>
        </w:rPr>
      </w:pPr>
      <w:r w:rsidRPr="00330EF6">
        <w:rPr>
          <w:rFonts w:ascii="Verdana" w:eastAsia="Arial" w:hAnsi="Verdana" w:cs="Arial"/>
          <w:lang w:val="es-ES_tradnl"/>
        </w:rPr>
        <w:t xml:space="preserve">La expresión </w:t>
      </w:r>
      <w:r w:rsidRPr="00330EF6">
        <w:rPr>
          <w:rFonts w:ascii="Verdana" w:eastAsia="Arial" w:hAnsi="Verdana" w:cs="Arial"/>
          <w:i/>
          <w:iCs/>
          <w:lang w:val="es-ES_tradnl"/>
        </w:rPr>
        <w:t>Documentos del Proceso</w:t>
      </w:r>
      <w:r w:rsidRPr="00330EF6">
        <w:rPr>
          <w:rFonts w:ascii="Verdana" w:eastAsia="Arial" w:hAnsi="Verdana" w:cs="Arial"/>
          <w:lang w:val="es-ES_tradnl"/>
        </w:rPr>
        <w:t xml:space="preserve"> está definida en el artículo 2.2.1.1.1.3.1. del Decreto 1082 de 2015, norma en la cual se establece que: “son: (a) los estudios y documentos previos; (b) el aviso de convocatoria; (c) los pliegos de condiciones o la invitación; (d) las adendas; (e) la oferta; (f) el </w:t>
      </w:r>
      <w:r w:rsidRPr="00330EF6">
        <w:rPr>
          <w:rFonts w:ascii="Verdana" w:eastAsia="Arial" w:hAnsi="Verdana" w:cs="Arial"/>
          <w:lang w:val="es-ES_tradnl"/>
        </w:rPr>
        <w:lastRenderedPageBreak/>
        <w:t>informe de evaluación; (g) el contrato; y cualquier otro documento expedido por la Entidad Estatal durante el Proceso de Contratación”.</w:t>
      </w:r>
    </w:p>
    <w:p w14:paraId="1B062E58" w14:textId="77777777" w:rsidR="00E859E2" w:rsidRPr="00B15AF8" w:rsidRDefault="00E859E2" w:rsidP="00E859E2">
      <w:pPr>
        <w:spacing w:before="120" w:after="120" w:line="276" w:lineRule="auto"/>
        <w:ind w:firstLine="709"/>
        <w:jc w:val="both"/>
        <w:rPr>
          <w:rFonts w:ascii="Verdana" w:eastAsia="Arial" w:hAnsi="Verdana" w:cs="Arial"/>
          <w:lang w:val="es-ES"/>
        </w:rPr>
      </w:pPr>
      <w:r w:rsidRPr="4627A724">
        <w:rPr>
          <w:rFonts w:ascii="Verdana" w:eastAsia="Arial" w:hAnsi="Verdana" w:cs="Arial"/>
          <w:lang w:val="es-ES"/>
        </w:rPr>
        <w:t xml:space="preserve">No obstante,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w:t>
      </w:r>
      <w:r w:rsidRPr="4627A724">
        <w:rPr>
          <w:rFonts w:ascii="Verdana" w:eastAsia="Arial" w:hAnsi="Verdana" w:cs="Arial"/>
          <w:i/>
          <w:lang w:val="es-ES"/>
        </w:rPr>
        <w:t>Ibídem</w:t>
      </w:r>
      <w:r w:rsidRPr="4627A724">
        <w:rPr>
          <w:rFonts w:ascii="Verdana" w:eastAsia="Arial" w:hAnsi="Verdana" w:cs="Arial"/>
          <w:lang w:val="es-ES"/>
        </w:rPr>
        <w:t xml:space="preserve"> recoge en la noción de </w:t>
      </w:r>
      <w:r w:rsidRPr="4627A724">
        <w:rPr>
          <w:rFonts w:ascii="Verdana" w:eastAsia="Arial" w:hAnsi="Verdana" w:cs="Arial"/>
          <w:i/>
          <w:lang w:val="es-ES"/>
        </w:rPr>
        <w:t>Documentos del Proceso</w:t>
      </w:r>
      <w:r w:rsidRPr="4627A724">
        <w:rPr>
          <w:rFonts w:ascii="Verdana" w:eastAsia="Arial" w:hAnsi="Verdana" w:cs="Arial"/>
          <w:lang w:val="es-ES"/>
        </w:rPr>
        <w:t xml:space="preserve"> “cualquier otro documento expedido por la Entidad Estatal durante el </w:t>
      </w:r>
      <w:r w:rsidRPr="4627A724">
        <w:rPr>
          <w:rFonts w:ascii="Verdana" w:eastAsia="Arial" w:hAnsi="Verdana" w:cs="Arial"/>
          <w:i/>
          <w:lang w:val="es-ES"/>
        </w:rPr>
        <w:t>Proceso de Contratación”</w:t>
      </w:r>
      <w:r w:rsidRPr="4627A724">
        <w:rPr>
          <w:rFonts w:ascii="Verdana" w:eastAsia="Arial" w:hAnsi="Verdana" w:cs="Arial"/>
          <w:lang w:val="es-ES"/>
        </w:rPr>
        <w:t xml:space="preserve">. Este mismo artículo define la expresión </w:t>
      </w:r>
      <w:r w:rsidRPr="4627A724">
        <w:rPr>
          <w:rFonts w:ascii="Verdana" w:eastAsia="Arial" w:hAnsi="Verdana" w:cs="Arial"/>
          <w:i/>
          <w:lang w:val="es-ES"/>
        </w:rPr>
        <w:t>Proceso de Contratación</w:t>
      </w:r>
      <w:r w:rsidRPr="4627A724">
        <w:rPr>
          <w:rFonts w:ascii="Verdana" w:eastAsia="Arial" w:hAnsi="Verdana" w:cs="Arial"/>
          <w:lang w:val="es-ES"/>
        </w:rPr>
        <w:t xml:space="preserve">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p>
    <w:p w14:paraId="572CAB5A" w14:textId="77777777" w:rsidR="00E859E2" w:rsidRDefault="00E859E2" w:rsidP="00E859E2">
      <w:pPr>
        <w:tabs>
          <w:tab w:val="left" w:pos="709"/>
        </w:tabs>
        <w:spacing w:before="120" w:after="120" w:line="276" w:lineRule="auto"/>
        <w:ind w:firstLine="709"/>
        <w:jc w:val="both"/>
        <w:rPr>
          <w:rFonts w:ascii="Verdana" w:hAnsi="Verdana" w:cs="Arial"/>
          <w:shd w:val="clear" w:color="auto" w:fill="FFFFFF"/>
        </w:rPr>
      </w:pPr>
      <w:r w:rsidRPr="00F14C13">
        <w:rPr>
          <w:rFonts w:ascii="Verdana" w:hAnsi="Verdana" w:cs="Arial"/>
          <w:shd w:val="clear" w:color="auto" w:fill="FFFFFF"/>
        </w:rPr>
        <w:t>En ese sentido, 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 que todos los documentos expedidos por la entidad durante las etapas precontractual, de ejecución y postcontractual deberán ser publicados en SECOP dentro de los tres (3) días siguientes a su expedición, para cumplir el deber de publicidad regulado por el artículo 2.2.1.1.1.7.1. del Decreto 1082 de 2015.</w:t>
      </w:r>
    </w:p>
    <w:p w14:paraId="67B67D2D" w14:textId="77777777" w:rsidR="00E859E2" w:rsidRPr="007D65AA" w:rsidRDefault="00E859E2" w:rsidP="00E859E2">
      <w:pPr>
        <w:tabs>
          <w:tab w:val="left" w:pos="709"/>
        </w:tabs>
        <w:spacing w:before="120" w:after="120" w:line="276" w:lineRule="auto"/>
        <w:ind w:firstLine="709"/>
        <w:jc w:val="both"/>
        <w:rPr>
          <w:rFonts w:ascii="Verdana" w:hAnsi="Verdana" w:cs="Arial"/>
          <w:shd w:val="clear" w:color="auto" w:fill="FFFFFF"/>
        </w:rPr>
      </w:pPr>
      <w:r w:rsidRPr="007D65AA">
        <w:rPr>
          <w:rFonts w:ascii="Verdana" w:hAnsi="Verdana" w:cs="Arial"/>
          <w:shd w:val="clear" w:color="auto" w:fill="FFFFFF"/>
        </w:rPr>
        <w:t>Con el propósito de garantizar el cumplimiento del mencionado deber de publicidad, se le asignó a la Agencia Nacional de Contratación Pública - Colombia Compra Eficiente, la función de administrar el SECOP</w:t>
      </w:r>
      <w:r w:rsidRPr="007D65AA">
        <w:rPr>
          <w:rFonts w:ascii="Verdana" w:hAnsi="Verdana" w:cs="Arial"/>
          <w:shd w:val="clear" w:color="auto" w:fill="FFFFFF"/>
          <w:vertAlign w:val="superscript"/>
        </w:rPr>
        <w:footnoteReference w:id="8"/>
      </w:r>
      <w:r w:rsidRPr="007D65AA">
        <w:rPr>
          <w:rFonts w:ascii="Verdana" w:hAnsi="Verdana" w:cs="Arial"/>
          <w:shd w:val="clear" w:color="auto" w:fill="FFFFFF"/>
        </w:rPr>
        <w:t xml:space="preserve">. Dicha plataforma ha tenido dos versiones, esto es, el SECOP I y el SECOP II. La primera versión de la plataforma –SECOP I–, sólo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w:t>
      </w:r>
      <w:r w:rsidRPr="007D65AA">
        <w:rPr>
          <w:rFonts w:ascii="Verdana" w:hAnsi="Verdana" w:cs="Arial"/>
          <w:shd w:val="clear" w:color="auto" w:fill="FFFFFF"/>
        </w:rPr>
        <w:lastRenderedPageBreak/>
        <w:t>la plataforma, por quien tenga la función dentro de la entidad, de acuerdo con su organización interna.</w:t>
      </w:r>
    </w:p>
    <w:p w14:paraId="5EED0D40" w14:textId="77777777" w:rsidR="00E859E2" w:rsidRPr="007D65AA" w:rsidRDefault="00E859E2" w:rsidP="00E859E2">
      <w:pPr>
        <w:tabs>
          <w:tab w:val="left" w:pos="709"/>
        </w:tabs>
        <w:spacing w:before="120" w:after="120" w:line="276" w:lineRule="auto"/>
        <w:ind w:firstLine="709"/>
        <w:jc w:val="both"/>
        <w:rPr>
          <w:rFonts w:ascii="Verdana" w:hAnsi="Verdana" w:cs="Arial"/>
          <w:shd w:val="clear" w:color="auto" w:fill="FFFFFF"/>
        </w:rPr>
      </w:pPr>
      <w:r w:rsidRPr="007D65AA">
        <w:rPr>
          <w:rFonts w:ascii="Verdana" w:hAnsi="Verdana" w:cs="Arial"/>
          <w:shd w:val="clear" w:color="auto" w:fill="FFFFFF"/>
        </w:rPr>
        <w:t>En cambio, el SECOP II, es una plataforma transaccional que permite gestionar en línea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47222B4A" w14:textId="77777777" w:rsidR="00E859E2" w:rsidRDefault="00E859E2" w:rsidP="00E859E2">
      <w:pPr>
        <w:spacing w:after="120" w:line="276" w:lineRule="auto"/>
        <w:ind w:firstLine="709"/>
        <w:jc w:val="both"/>
        <w:rPr>
          <w:rFonts w:ascii="Verdana" w:eastAsia="Calibri" w:hAnsi="Verdana" w:cs="Arial"/>
          <w:lang w:val="es-ES_tradnl"/>
        </w:rPr>
      </w:pPr>
      <w:r w:rsidRPr="007D65AA">
        <w:rPr>
          <w:rFonts w:ascii="Verdana" w:eastAsia="Calibri" w:hAnsi="Verdana" w:cs="Arial"/>
          <w:lang w:val="es-ES_tradnl"/>
        </w:rPr>
        <w:t xml:space="preserve">Sin embargo, pese a que los documentos que deben publicarse en el SECOP II corresponden a los mismos que deben publicarse en el SECOP I, esto es, todos los expedidos con ocasión el Proceso de Contratación con excepción de los expresamente excluidos, la naturaleza transaccional del SECOP II implica que los procesos contractuales no sólo deban ser publicados mediante esta plataforma, sino también gestionados a través de ella, al consistir la mayoría de los hitos contractuales en documentos y actuaciones electrónicas generadas en tiempo real, de tal manera que el proceso contractual avanza en la medida en la que se generen y aprueben estos documentos y actuaciones electrónicas en la plataforma. Esto a diferencia de los procesos publicados en el SECOP I, en los que primero se generan los documentos escritos y luego se publican en la plataforma dentro del plazo de tres (3) días previsto en el artículo 2.2.1.1.1.7.1 del Decreto 1082 de 2015. </w:t>
      </w:r>
    </w:p>
    <w:p w14:paraId="69C60291" w14:textId="6EFF1F45" w:rsidR="00E859E2" w:rsidRPr="00B96799" w:rsidRDefault="00E859E2" w:rsidP="00E859E2">
      <w:pPr>
        <w:spacing w:after="120" w:line="276" w:lineRule="auto"/>
        <w:ind w:firstLine="709"/>
        <w:jc w:val="both"/>
        <w:rPr>
          <w:rFonts w:ascii="Verdana" w:eastAsia="Calibri" w:hAnsi="Verdana" w:cs="Arial"/>
          <w:lang w:val="es-ES"/>
        </w:rPr>
      </w:pPr>
      <w:r>
        <w:rPr>
          <w:rFonts w:ascii="Verdana" w:eastAsia="Calibri" w:hAnsi="Verdana" w:cs="Arial"/>
          <w:lang w:val="es-ES_tradnl"/>
        </w:rPr>
        <w:t xml:space="preserve">En conclusión, </w:t>
      </w:r>
      <w:r w:rsidR="00295F8D">
        <w:rPr>
          <w:rFonts w:ascii="Verdana" w:eastAsia="Calibri" w:hAnsi="Verdana" w:cs="Arial"/>
        </w:rPr>
        <w:t>e</w:t>
      </w:r>
      <w:r w:rsidR="00295F8D" w:rsidRPr="00295F8D">
        <w:rPr>
          <w:rFonts w:ascii="Verdana" w:eastAsia="Calibri" w:hAnsi="Verdana" w:cs="Arial"/>
        </w:rPr>
        <w:t xml:space="preserve">n el marco de la contratación pública en Colombia, la exigencia del artículo 41 de la Ley 80 de 1993 sobre la forma escrita de los contratos estatales debe interpretarse conforme al desarrollo normativo y tecnológico posterior, especialmente a la luz del artículo 14 de la Ley 527 de 1999 y la implementación de plataformas como SECOP II. Esta última permite la formación, perfeccionamiento y ejecución de contratos mediante mensajes de datos y firmas electrónicas, cumpliendo plenamente con el requisito de elevar a escrito el contrato estatal y generando efectos jurídicos vinculantes. En consecuencia, el contrato electrónico celebrado a través de SECOP II tiene plena validez jurídica, sin necesidad de una minuta contractual física adicional. La eventual suscripción física de una minuta no produce efectos jurídicos </w:t>
      </w:r>
      <w:r w:rsidR="00295F8D" w:rsidRPr="00295F8D">
        <w:rPr>
          <w:rFonts w:ascii="Verdana" w:eastAsia="Calibri" w:hAnsi="Verdana" w:cs="Arial"/>
        </w:rPr>
        <w:lastRenderedPageBreak/>
        <w:t>adicionales ni independientes, ni su publicación es obligatoria si no se derivó de un proceso previamente publicado en SECOP. Por tanto, las entidades deben reconocer que en entornos digitales como SECOP II, el contrato estatal queda perfeccionado y es exigible jurídicamente con base en los actos electrónicos allí registrados, en consonancia con la normativa vigente sobre contratación y tecnologías de la información.</w:t>
      </w:r>
    </w:p>
    <w:p w14:paraId="79D6812D" w14:textId="77777777" w:rsidR="006E6BFB" w:rsidRPr="00181B86" w:rsidRDefault="006E6BFB" w:rsidP="006E6BFB">
      <w:pPr>
        <w:spacing w:after="0" w:line="276" w:lineRule="auto"/>
        <w:jc w:val="both"/>
        <w:rPr>
          <w:rFonts w:ascii="Verdana" w:eastAsia="Calibri" w:hAnsi="Verdana" w:cs="Arial"/>
          <w:color w:val="000000" w:themeColor="text1"/>
        </w:rPr>
      </w:pPr>
    </w:p>
    <w:p w14:paraId="6F88D52B" w14:textId="77777777" w:rsidR="006E6BFB" w:rsidRPr="00115E3D" w:rsidRDefault="006E6BFB" w:rsidP="006E6BFB">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lang w:val="es-ES"/>
        </w:rPr>
      </w:pPr>
      <w:r w:rsidRPr="00115E3D">
        <w:rPr>
          <w:rFonts w:ascii="Verdana" w:eastAsia="Century Gothic" w:hAnsi="Verdana" w:cs="Century Gothic"/>
          <w:b/>
          <w:bCs/>
          <w:color w:val="000000" w:themeColor="text1"/>
          <w:lang w:val="es-ES"/>
        </w:rPr>
        <w:t>Referencias normativas, jurisprudenciales y otras fuentes:</w:t>
      </w:r>
    </w:p>
    <w:p w14:paraId="6F66C928" w14:textId="77777777" w:rsidR="006E6BFB" w:rsidRPr="00115E3D" w:rsidRDefault="006E6BFB" w:rsidP="006E6BFB">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E6BFB" w:rsidRPr="00115E3D" w14:paraId="75D05E5A" w14:textId="77777777" w:rsidTr="00B933B3">
        <w:trPr>
          <w:trHeight w:val="870"/>
        </w:trPr>
        <w:tc>
          <w:tcPr>
            <w:tcW w:w="8647" w:type="dxa"/>
          </w:tcPr>
          <w:p w14:paraId="1FA1ABCB" w14:textId="77777777" w:rsidR="008946D4" w:rsidRPr="0075100A" w:rsidRDefault="006E6BFB" w:rsidP="008946D4">
            <w:pPr>
              <w:widowControl w:val="0"/>
              <w:numPr>
                <w:ilvl w:val="0"/>
                <w:numId w:val="2"/>
              </w:numPr>
              <w:autoSpaceDE w:val="0"/>
              <w:autoSpaceDN w:val="0"/>
              <w:spacing w:after="160" w:line="276" w:lineRule="auto"/>
              <w:contextualSpacing/>
              <w:jc w:val="both"/>
              <w:rPr>
                <w:rFonts w:ascii="Verdana" w:eastAsia="Calibri" w:hAnsi="Verdana" w:cs="Arial"/>
                <w:lang w:val="es-ES"/>
              </w:rPr>
            </w:pPr>
            <w:r w:rsidRPr="00CF6B83">
              <w:rPr>
                <w:rFonts w:ascii="Verdana" w:hAnsi="Verdana" w:cs="Arial"/>
                <w:color w:val="000000" w:themeColor="text1"/>
              </w:rPr>
              <w:t xml:space="preserve"> </w:t>
            </w:r>
            <w:r w:rsidR="008946D4" w:rsidRPr="0075100A">
              <w:rPr>
                <w:rFonts w:ascii="Verdana" w:eastAsia="Calibri" w:hAnsi="Verdana" w:cs="Arial"/>
                <w:lang w:val="es-ES"/>
              </w:rPr>
              <w:t>Constitución Política</w:t>
            </w:r>
            <w:r w:rsidR="008946D4">
              <w:rPr>
                <w:rFonts w:ascii="Verdana" w:eastAsia="Calibri" w:hAnsi="Verdana" w:cs="Arial"/>
                <w:lang w:val="es-ES"/>
              </w:rPr>
              <w:t>:</w:t>
            </w:r>
            <w:r w:rsidR="008946D4" w:rsidRPr="0075100A">
              <w:rPr>
                <w:rFonts w:ascii="Verdana" w:eastAsia="Calibri" w:hAnsi="Verdana" w:cs="Arial"/>
                <w:lang w:val="es-ES"/>
              </w:rPr>
              <w:t xml:space="preserve"> Artículos 74 y 209</w:t>
            </w:r>
          </w:p>
          <w:p w14:paraId="18485095" w14:textId="77777777" w:rsidR="008946D4" w:rsidRPr="0075100A" w:rsidRDefault="008946D4" w:rsidP="008946D4">
            <w:pPr>
              <w:widowControl w:val="0"/>
              <w:numPr>
                <w:ilvl w:val="0"/>
                <w:numId w:val="2"/>
              </w:numPr>
              <w:autoSpaceDE w:val="0"/>
              <w:autoSpaceDN w:val="0"/>
              <w:spacing w:after="160" w:line="276" w:lineRule="auto"/>
              <w:contextualSpacing/>
              <w:jc w:val="both"/>
              <w:rPr>
                <w:rFonts w:ascii="Verdana" w:eastAsia="Calibri" w:hAnsi="Verdana" w:cs="Arial"/>
                <w:lang w:val="es-ES"/>
              </w:rPr>
            </w:pPr>
            <w:r w:rsidRPr="0075100A">
              <w:rPr>
                <w:rFonts w:ascii="Verdana" w:eastAsia="Calibri" w:hAnsi="Verdana" w:cs="Arial"/>
                <w:lang w:val="es-ES"/>
              </w:rPr>
              <w:t>Ley 1150 de 2007</w:t>
            </w:r>
            <w:r>
              <w:rPr>
                <w:rFonts w:ascii="Verdana" w:eastAsia="Calibri" w:hAnsi="Verdana" w:cs="Arial"/>
                <w:lang w:val="es-ES"/>
              </w:rPr>
              <w:t>:</w:t>
            </w:r>
            <w:r w:rsidRPr="0075100A">
              <w:rPr>
                <w:rFonts w:ascii="Verdana" w:eastAsia="Calibri" w:hAnsi="Verdana" w:cs="Arial"/>
                <w:lang w:val="es-ES"/>
              </w:rPr>
              <w:t xml:space="preserve"> Literal c), artículo 3</w:t>
            </w:r>
          </w:p>
          <w:p w14:paraId="294822B2" w14:textId="77777777" w:rsidR="008946D4" w:rsidRPr="0075100A" w:rsidRDefault="008946D4" w:rsidP="008946D4">
            <w:pPr>
              <w:widowControl w:val="0"/>
              <w:numPr>
                <w:ilvl w:val="0"/>
                <w:numId w:val="2"/>
              </w:numPr>
              <w:autoSpaceDE w:val="0"/>
              <w:autoSpaceDN w:val="0"/>
              <w:spacing w:after="160" w:line="276" w:lineRule="auto"/>
              <w:contextualSpacing/>
              <w:jc w:val="both"/>
              <w:rPr>
                <w:rFonts w:ascii="Verdana" w:eastAsia="Calibri" w:hAnsi="Verdana" w:cs="Arial"/>
                <w:lang w:val="es-ES"/>
              </w:rPr>
            </w:pPr>
            <w:r w:rsidRPr="0075100A">
              <w:rPr>
                <w:rFonts w:ascii="Verdana" w:eastAsia="Calibri" w:hAnsi="Verdana" w:cs="Arial"/>
                <w:lang w:val="es-ES"/>
              </w:rPr>
              <w:t>Ley 1712 de 2014</w:t>
            </w:r>
            <w:r>
              <w:rPr>
                <w:rFonts w:ascii="Verdana" w:eastAsia="Calibri" w:hAnsi="Verdana" w:cs="Arial"/>
                <w:lang w:val="es-ES"/>
              </w:rPr>
              <w:t>:</w:t>
            </w:r>
            <w:r w:rsidRPr="0075100A">
              <w:rPr>
                <w:rFonts w:ascii="Verdana" w:eastAsia="Calibri" w:hAnsi="Verdana" w:cs="Arial"/>
                <w:lang w:val="es-ES"/>
              </w:rPr>
              <w:t xml:space="preserve"> Literal g), artículo 11</w:t>
            </w:r>
          </w:p>
          <w:p w14:paraId="4F67D3D7" w14:textId="77777777" w:rsidR="008946D4" w:rsidRPr="00612060" w:rsidRDefault="008946D4" w:rsidP="008946D4">
            <w:pPr>
              <w:widowControl w:val="0"/>
              <w:numPr>
                <w:ilvl w:val="0"/>
                <w:numId w:val="2"/>
              </w:numPr>
              <w:autoSpaceDE w:val="0"/>
              <w:autoSpaceDN w:val="0"/>
              <w:spacing w:after="160" w:line="276" w:lineRule="auto"/>
              <w:contextualSpacing/>
              <w:jc w:val="both"/>
              <w:rPr>
                <w:rStyle w:val="eop"/>
                <w:rFonts w:ascii="Verdana" w:eastAsia="Calibri" w:hAnsi="Verdana" w:cs="Arial"/>
                <w:lang w:val="es-ES"/>
              </w:rPr>
            </w:pPr>
            <w:r w:rsidRPr="0075100A">
              <w:rPr>
                <w:rFonts w:ascii="Verdana" w:eastAsia="Calibri" w:hAnsi="Verdana" w:cs="Arial"/>
                <w:lang w:val="es-ES"/>
              </w:rPr>
              <w:t>Decreto 1082 de 2015</w:t>
            </w:r>
            <w:r>
              <w:rPr>
                <w:rFonts w:ascii="Verdana" w:eastAsia="Calibri" w:hAnsi="Verdana" w:cs="Arial"/>
                <w:lang w:val="es-ES"/>
              </w:rPr>
              <w:t>:</w:t>
            </w:r>
            <w:r w:rsidRPr="0075100A">
              <w:rPr>
                <w:rFonts w:ascii="Verdana" w:eastAsia="Calibri" w:hAnsi="Verdana" w:cs="Arial"/>
                <w:lang w:val="es-ES"/>
              </w:rPr>
              <w:t xml:space="preserve"> Artículo </w:t>
            </w:r>
            <w:r w:rsidRPr="0075100A">
              <w:rPr>
                <w:rStyle w:val="eop"/>
                <w:rFonts w:ascii="Verdana" w:hAnsi="Verdana"/>
                <w:color w:val="000000"/>
                <w:shd w:val="clear" w:color="auto" w:fill="FFFFFF"/>
              </w:rPr>
              <w:t>2.2.1.1.1.7.1</w:t>
            </w:r>
          </w:p>
          <w:p w14:paraId="0A420917" w14:textId="7C9A6C68" w:rsidR="009B0C8E" w:rsidRPr="00EA7EBA" w:rsidRDefault="009B0C8E" w:rsidP="009B0C8E">
            <w:pPr>
              <w:widowControl w:val="0"/>
              <w:numPr>
                <w:ilvl w:val="0"/>
                <w:numId w:val="2"/>
              </w:numPr>
              <w:autoSpaceDE w:val="0"/>
              <w:autoSpaceDN w:val="0"/>
              <w:spacing w:line="360" w:lineRule="auto"/>
              <w:contextualSpacing/>
              <w:jc w:val="both"/>
              <w:rPr>
                <w:rFonts w:ascii="Verdana" w:hAnsi="Verdana" w:cs="Arial"/>
                <w:lang w:val="es-ES_tradnl"/>
              </w:rPr>
            </w:pPr>
            <w:r w:rsidRPr="00EA7EBA">
              <w:rPr>
                <w:rFonts w:ascii="Verdana" w:eastAsia="Calibri" w:hAnsi="Verdana" w:cs="Arial"/>
                <w:bCs/>
                <w:color w:val="000000"/>
                <w:lang w:eastAsia="es-ES_tradnl"/>
              </w:rPr>
              <w:t xml:space="preserve">Ley 80 de 1993, artículos 1, 2, 11, 12, 13, 32, 39, 40 y 41. </w:t>
            </w:r>
          </w:p>
          <w:p w14:paraId="22637D6A" w14:textId="77777777" w:rsidR="009B0C8E" w:rsidRPr="00EA7EBA" w:rsidRDefault="009B0C8E" w:rsidP="009B0C8E">
            <w:pPr>
              <w:widowControl w:val="0"/>
              <w:numPr>
                <w:ilvl w:val="0"/>
                <w:numId w:val="2"/>
              </w:numPr>
              <w:autoSpaceDE w:val="0"/>
              <w:autoSpaceDN w:val="0"/>
              <w:spacing w:line="360" w:lineRule="auto"/>
              <w:contextualSpacing/>
              <w:jc w:val="both"/>
              <w:rPr>
                <w:rFonts w:ascii="Verdana" w:hAnsi="Verdana" w:cs="Arial"/>
                <w:lang w:val="es-ES_tradnl"/>
              </w:rPr>
            </w:pPr>
            <w:r w:rsidRPr="00EA7EBA">
              <w:rPr>
                <w:rFonts w:ascii="Verdana" w:hAnsi="Verdana" w:cs="Arial"/>
                <w:lang w:val="es-ES_tradnl"/>
              </w:rPr>
              <w:t xml:space="preserve">Ley 795 de 2003, artículo 17. </w:t>
            </w:r>
          </w:p>
          <w:p w14:paraId="5DCF1EFA" w14:textId="77777777" w:rsidR="009B0C8E" w:rsidRPr="00EA7EBA" w:rsidRDefault="009B0C8E" w:rsidP="009B0C8E">
            <w:pPr>
              <w:widowControl w:val="0"/>
              <w:numPr>
                <w:ilvl w:val="0"/>
                <w:numId w:val="2"/>
              </w:numPr>
              <w:autoSpaceDE w:val="0"/>
              <w:autoSpaceDN w:val="0"/>
              <w:spacing w:line="360" w:lineRule="auto"/>
              <w:contextualSpacing/>
              <w:jc w:val="both"/>
              <w:rPr>
                <w:rFonts w:ascii="Verdana" w:hAnsi="Verdana" w:cs="Arial"/>
                <w:lang w:val="es-ES_tradnl"/>
              </w:rPr>
            </w:pPr>
            <w:r w:rsidRPr="00EA7EBA">
              <w:rPr>
                <w:rFonts w:ascii="Verdana" w:hAnsi="Verdana" w:cs="Arial"/>
                <w:lang w:val="es-ES_tradnl"/>
              </w:rPr>
              <w:t xml:space="preserve">Código Civil, artículos 1495, 1500, 1501. </w:t>
            </w:r>
          </w:p>
          <w:p w14:paraId="6DE443FE" w14:textId="77777777" w:rsidR="009B0C8E" w:rsidRPr="00EA7EBA" w:rsidRDefault="009B0C8E" w:rsidP="009B0C8E">
            <w:pPr>
              <w:widowControl w:val="0"/>
              <w:numPr>
                <w:ilvl w:val="0"/>
                <w:numId w:val="2"/>
              </w:numPr>
              <w:autoSpaceDE w:val="0"/>
              <w:autoSpaceDN w:val="0"/>
              <w:spacing w:line="360" w:lineRule="auto"/>
              <w:contextualSpacing/>
              <w:jc w:val="both"/>
              <w:rPr>
                <w:rFonts w:ascii="Verdana" w:hAnsi="Verdana" w:cs="Arial"/>
                <w:lang w:val="es-ES_tradnl"/>
              </w:rPr>
            </w:pPr>
            <w:r w:rsidRPr="00EA7EBA">
              <w:rPr>
                <w:rFonts w:ascii="Verdana" w:eastAsia="Calibri" w:hAnsi="Verdana" w:cs="Arial"/>
                <w:bCs/>
                <w:color w:val="000000"/>
                <w:lang w:eastAsia="es-ES_tradnl"/>
              </w:rPr>
              <w:t xml:space="preserve">Código del Comercio, artículos 1036, 1037, 1046. </w:t>
            </w:r>
          </w:p>
          <w:p w14:paraId="46229CF4" w14:textId="14424678" w:rsidR="006E6BFB" w:rsidRPr="008946D4" w:rsidRDefault="009B0C8E" w:rsidP="009B0C8E">
            <w:pPr>
              <w:widowControl w:val="0"/>
              <w:numPr>
                <w:ilvl w:val="0"/>
                <w:numId w:val="2"/>
              </w:numPr>
              <w:autoSpaceDE w:val="0"/>
              <w:autoSpaceDN w:val="0"/>
              <w:spacing w:after="120" w:line="276" w:lineRule="auto"/>
              <w:jc w:val="both"/>
              <w:rPr>
                <w:rFonts w:ascii="Verdana" w:hAnsi="Verdana" w:cs="Arial"/>
                <w:color w:val="000000" w:themeColor="text1"/>
                <w:lang w:val="es-ES"/>
              </w:rPr>
            </w:pPr>
            <w:r w:rsidRPr="00EA7EBA">
              <w:rPr>
                <w:rFonts w:ascii="Verdana" w:eastAsia="Calibri" w:hAnsi="Verdana" w:cs="Arial"/>
                <w:bCs/>
                <w:color w:val="000000"/>
                <w:lang w:eastAsia="es-ES_tradnl"/>
              </w:rPr>
              <w:t>Decreto 2555 de 2010, artículos 2.31.1.2.1. y 2.31.1.2.5.</w:t>
            </w:r>
            <w:r>
              <w:rPr>
                <w:rFonts w:ascii="Verdana" w:eastAsia="Calibri" w:hAnsi="Verdana" w:cs="Arial"/>
                <w:bCs/>
                <w:color w:val="000000"/>
                <w:lang w:eastAsia="es-ES_tradnl"/>
              </w:rPr>
              <w:t xml:space="preserve"> </w:t>
            </w:r>
          </w:p>
          <w:p w14:paraId="2B4DA093" w14:textId="22793302" w:rsidR="008946D4" w:rsidRPr="008946D4" w:rsidRDefault="008946D4" w:rsidP="008946D4">
            <w:pPr>
              <w:widowControl w:val="0"/>
              <w:numPr>
                <w:ilvl w:val="0"/>
                <w:numId w:val="2"/>
              </w:numPr>
              <w:autoSpaceDE w:val="0"/>
              <w:autoSpaceDN w:val="0"/>
              <w:spacing w:after="160" w:line="360" w:lineRule="auto"/>
              <w:contextualSpacing/>
              <w:jc w:val="both"/>
              <w:rPr>
                <w:rFonts w:ascii="Verdana" w:hAnsi="Verdana" w:cs="Arial"/>
                <w:lang w:val="es-ES_tradnl"/>
              </w:rPr>
            </w:pPr>
            <w:r w:rsidRPr="00612060">
              <w:rPr>
                <w:rFonts w:ascii="Verdana" w:eastAsia="Calibri" w:hAnsi="Verdana" w:cs="Arial"/>
                <w:lang w:val="es-ES"/>
              </w:rPr>
              <w:t>Guía sobre el uso del SECOP II – Modalidades de Contratación: Mínima Cuantía</w:t>
            </w:r>
            <w:r>
              <w:rPr>
                <w:rFonts w:ascii="Verdana" w:eastAsia="Calibri" w:hAnsi="Verdana" w:cs="Arial"/>
                <w:lang w:val="es-ES"/>
              </w:rPr>
              <w:t xml:space="preserve">. Disponible aquí: </w:t>
            </w:r>
            <w:hyperlink r:id="rId13" w:history="1">
              <w:r w:rsidRPr="006E034A">
                <w:rPr>
                  <w:rStyle w:val="Hipervnculo"/>
                  <w:rFonts w:ascii="Verdana" w:eastAsia="Calibri" w:hAnsi="Verdana" w:cs="Arial"/>
                  <w:color w:val="156082" w:themeColor="accent1"/>
                  <w:lang w:val="es-ES"/>
                </w:rPr>
                <w:t>https://www.colombiacompra.gov.co/sites/cce_public/files/cce_step/cce-sec-gi-20guiasecopii_eemcminimacuantia20-04-2022_0.pdf</w:t>
              </w:r>
            </w:hyperlink>
          </w:p>
          <w:p w14:paraId="1BCBD5A8" w14:textId="2027C2B1" w:rsidR="006E6BFB" w:rsidRPr="005967FD" w:rsidRDefault="006E6BFB" w:rsidP="00B933B3">
            <w:pPr>
              <w:pStyle w:val="Prrafodelista"/>
              <w:spacing w:after="120"/>
              <w:contextualSpacing w:val="0"/>
              <w:rPr>
                <w:rFonts w:ascii="Verdana" w:hAnsi="Verdana" w:cs="Arial"/>
              </w:rPr>
            </w:pPr>
          </w:p>
        </w:tc>
      </w:tr>
    </w:tbl>
    <w:p w14:paraId="55C0981B" w14:textId="77777777" w:rsidR="006E6BFB" w:rsidRPr="00115E3D" w:rsidRDefault="006E6BFB" w:rsidP="006E6BFB">
      <w:pPr>
        <w:widowControl w:val="0"/>
        <w:autoSpaceDE w:val="0"/>
        <w:autoSpaceDN w:val="0"/>
        <w:spacing w:after="0" w:line="276" w:lineRule="auto"/>
        <w:jc w:val="both"/>
        <w:rPr>
          <w:rFonts w:ascii="Verdana" w:hAnsi="Verdana" w:cs="Arial"/>
          <w:color w:val="000000" w:themeColor="text1"/>
        </w:rPr>
      </w:pPr>
    </w:p>
    <w:p w14:paraId="589835EC" w14:textId="77777777" w:rsidR="006E6BFB" w:rsidRPr="00115E3D" w:rsidRDefault="006E6BFB" w:rsidP="006E6BFB">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lang w:val="es-ES"/>
        </w:rPr>
      </w:pPr>
      <w:r w:rsidRPr="00115E3D">
        <w:rPr>
          <w:rFonts w:ascii="Verdana" w:eastAsia="Century Gothic" w:hAnsi="Verdana" w:cs="Century Gothic"/>
          <w:b/>
          <w:bCs/>
          <w:color w:val="000000" w:themeColor="text1"/>
          <w:lang w:val="es-ES"/>
        </w:rPr>
        <w:t>Doctrina de la Agencia Nacional de Contratación Pública:</w:t>
      </w:r>
    </w:p>
    <w:p w14:paraId="62599113" w14:textId="77777777" w:rsidR="006E6BFB" w:rsidRPr="00115E3D" w:rsidRDefault="006E6BFB" w:rsidP="006E6BFB">
      <w:pPr>
        <w:widowControl w:val="0"/>
        <w:autoSpaceDE w:val="0"/>
        <w:autoSpaceDN w:val="0"/>
        <w:spacing w:after="0" w:line="276" w:lineRule="auto"/>
        <w:jc w:val="both"/>
        <w:rPr>
          <w:rFonts w:ascii="Verdana" w:hAnsi="Verdana" w:cs="Arial"/>
          <w:color w:val="000000" w:themeColor="text1"/>
        </w:rPr>
      </w:pPr>
    </w:p>
    <w:p w14:paraId="4135125C" w14:textId="67042C87" w:rsidR="00654A51" w:rsidRPr="00EA7EBA" w:rsidRDefault="00654A51" w:rsidP="00654A51">
      <w:pPr>
        <w:widowControl w:val="0"/>
        <w:autoSpaceDE w:val="0"/>
        <w:autoSpaceDN w:val="0"/>
        <w:spacing w:after="0" w:line="276" w:lineRule="auto"/>
        <w:jc w:val="both"/>
        <w:rPr>
          <w:rFonts w:ascii="Verdana" w:eastAsia="Calibri" w:hAnsi="Verdana" w:cs="Times New Roman"/>
        </w:rPr>
      </w:pPr>
      <w:r w:rsidRPr="00EA7EBA">
        <w:rPr>
          <w:rFonts w:ascii="Verdana" w:hAnsi="Verdana" w:cs="Arial"/>
          <w:bCs/>
          <w:shd w:val="clear" w:color="auto" w:fill="FFFFFF"/>
        </w:rPr>
        <w:t xml:space="preserve">La Agencia Nacional de Contratación Pública – Colombia Compra Eficiente ha expedido conceptos sobre las garantías en la contratación estatal que se detallan, tales como: </w:t>
      </w:r>
      <w:r w:rsidRPr="00EA7EBA">
        <w:rPr>
          <w:rFonts w:ascii="Verdana" w:hAnsi="Verdana" w:cs="Arial"/>
          <w:shd w:val="clear" w:color="auto" w:fill="FFFFFF"/>
          <w:lang w:val="es-ES"/>
        </w:rPr>
        <w:t>Conceptos</w:t>
      </w:r>
      <w:r w:rsidRPr="00EA7EBA">
        <w:rPr>
          <w:rFonts w:ascii="Verdana" w:hAnsi="Verdana" w:cs="Calibri"/>
          <w:shd w:val="clear" w:color="auto" w:fill="FFFFFF"/>
        </w:rPr>
        <w:t xml:space="preserve"> </w:t>
      </w:r>
      <w:r w:rsidRPr="00EA7EBA">
        <w:rPr>
          <w:rFonts w:ascii="Verdana" w:hAnsi="Verdana" w:cs="Arial"/>
          <w:shd w:val="clear" w:color="auto" w:fill="FFFFFF"/>
          <w:lang w:val="es-ES"/>
        </w:rPr>
        <w:t xml:space="preserve">2201913000009075 del 9 de diciembre de 2019, C-080 del 8 de abril de 2021, C-525 del 27 de septiembre de 2021, C- 567 del 08 de octubre del 2021, C-036 del 28 de febrero del 2022, C-126 de 25 de marzo de 2022, C-583 del 19 de octubre de 2022, C-584 del 26 de septiembre </w:t>
      </w:r>
      <w:r w:rsidRPr="00EA7EBA">
        <w:rPr>
          <w:rFonts w:ascii="Verdana" w:hAnsi="Verdana" w:cs="Arial"/>
          <w:shd w:val="clear" w:color="auto" w:fill="FFFFFF"/>
          <w:lang w:val="es-ES"/>
        </w:rPr>
        <w:lastRenderedPageBreak/>
        <w:t>de 2022, C-712 del 13 de octubre de 2022 y C-845 del 7 de diciembre de 2022, C-036 del 31 de marzo de 2023 y C-386 del 31 de enero de 2024. C-306 del 12 de agosto de 2024</w:t>
      </w:r>
      <w:r w:rsidRPr="00EA7EBA">
        <w:rPr>
          <w:rFonts w:ascii="Verdana" w:hAnsi="Verdana" w:cs="Arial"/>
          <w:bCs/>
          <w:shd w:val="clear" w:color="auto" w:fill="FFFFFF"/>
        </w:rPr>
        <w:t xml:space="preserve">. En todo caso, este concepto tiene una particularidad, pues analiza los contratos de seguro que suscriben las entidades estatales para cubrir diferentes riesgos. </w:t>
      </w:r>
      <w:r w:rsidR="00AE1908" w:rsidRPr="0047490F">
        <w:rPr>
          <w:rFonts w:ascii="Verdana" w:eastAsia="Aptos" w:hAnsi="Verdana" w:cs="Arial"/>
          <w:shd w:val="clear" w:color="auto" w:fill="FFFFFF"/>
          <w:lang w:val="es-ES"/>
        </w:rPr>
        <w:t xml:space="preserve">Sobre el Sistema Electrónico para la Contratación Pública – SECOP, esta Subdirección se ha referido en los Conceptos </w:t>
      </w:r>
      <w:r w:rsidR="00AE1908" w:rsidRPr="0047490F">
        <w:rPr>
          <w:rFonts w:ascii="Verdana" w:eastAsia="Calibri" w:hAnsi="Verdana" w:cs="Arial"/>
          <w:lang w:val="es-ES_tradnl" w:eastAsia="es-MX"/>
        </w:rPr>
        <w:t>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w:t>
      </w:r>
      <w:r w:rsidR="00AE1908">
        <w:rPr>
          <w:rFonts w:ascii="Verdana" w:eastAsia="Calibri" w:hAnsi="Verdana" w:cs="Arial"/>
          <w:lang w:val="es-ES_tradnl" w:eastAsia="es-MX"/>
        </w:rPr>
        <w:t>,</w:t>
      </w:r>
      <w:r w:rsidR="00AE1908" w:rsidRPr="0047490F">
        <w:rPr>
          <w:rFonts w:ascii="Verdana" w:eastAsia="Calibri" w:hAnsi="Verdana" w:cs="Arial"/>
          <w:lang w:val="es-ES_tradnl" w:eastAsia="es-MX"/>
        </w:rPr>
        <w:t xml:space="preserve"> C-472 del 6 de septiembre de 2021</w:t>
      </w:r>
      <w:r w:rsidR="00AE1908">
        <w:rPr>
          <w:rFonts w:ascii="Verdana" w:eastAsia="Calibri" w:hAnsi="Verdana" w:cs="Arial"/>
          <w:lang w:val="es-ES_tradnl" w:eastAsia="es-MX"/>
        </w:rPr>
        <w:t>, C-804 de 2024, C-906 del 27 de diciembre de 2024, y C-980 del 9 de diciembre de 2024, entre otros</w:t>
      </w:r>
      <w:r w:rsidR="00AE1908" w:rsidRPr="00A1554D">
        <w:rPr>
          <w:rStyle w:val="normaltextrun"/>
          <w:rFonts w:ascii="Verdana" w:hAnsi="Verdana" w:cs="Arial"/>
          <w:color w:val="7030A0"/>
          <w:shd w:val="clear" w:color="auto" w:fill="FFFFFF"/>
          <w:lang w:val="es-ES"/>
        </w:rPr>
        <w:t xml:space="preserve">. </w:t>
      </w:r>
      <w:r w:rsidRPr="00EA7EBA">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2C0E1C07" w14:textId="77777777" w:rsidR="00654A51" w:rsidRPr="00EA7EBA" w:rsidRDefault="00654A51" w:rsidP="00654A51">
      <w:pPr>
        <w:spacing w:after="0" w:line="276" w:lineRule="auto"/>
        <w:jc w:val="both"/>
        <w:rPr>
          <w:rFonts w:ascii="Verdana" w:eastAsia="Calibri" w:hAnsi="Verdana" w:cs="Times New Roman"/>
        </w:rPr>
      </w:pPr>
      <w:hyperlink r:id="rId14" w:history="1">
        <w:r w:rsidRPr="00EA7EBA">
          <w:rPr>
            <w:rFonts w:ascii="Verdana" w:eastAsia="Calibri" w:hAnsi="Verdana" w:cs="Times New Roman"/>
            <w:color w:val="0000FF"/>
            <w:u w:val="single"/>
            <w:lang w:val="es-ES"/>
          </w:rPr>
          <w:t>https://relatoria.colombiacompra.gov.co/busqueda/conceptos</w:t>
        </w:r>
      </w:hyperlink>
      <w:r w:rsidRPr="00EA7EBA">
        <w:rPr>
          <w:rFonts w:ascii="Verdana" w:eastAsia="Calibri" w:hAnsi="Verdana" w:cs="Times New Roman"/>
        </w:rPr>
        <w:t xml:space="preserve">. </w:t>
      </w:r>
    </w:p>
    <w:p w14:paraId="7CD98D02" w14:textId="77777777" w:rsidR="00EC1DDC" w:rsidRPr="00EC1DDC" w:rsidRDefault="00EC1DDC" w:rsidP="00EC1DDC">
      <w:pPr>
        <w:widowControl w:val="0"/>
        <w:autoSpaceDE w:val="0"/>
        <w:autoSpaceDN w:val="0"/>
        <w:spacing w:after="0" w:line="276" w:lineRule="auto"/>
        <w:jc w:val="both"/>
        <w:rPr>
          <w:rFonts w:ascii="Verdana" w:hAnsi="Verdana" w:cs="Arial"/>
          <w:color w:val="000000" w:themeColor="text1"/>
          <w:shd w:val="clear" w:color="auto" w:fill="FFFFFF"/>
        </w:rPr>
      </w:pPr>
    </w:p>
    <w:p w14:paraId="41037838" w14:textId="1954356B" w:rsidR="00EC1DDC" w:rsidRPr="00EC1DDC" w:rsidRDefault="00EC1DDC" w:rsidP="00EC1DDC">
      <w:pPr>
        <w:widowControl w:val="0"/>
        <w:autoSpaceDE w:val="0"/>
        <w:autoSpaceDN w:val="0"/>
        <w:spacing w:after="0" w:line="276" w:lineRule="auto"/>
        <w:jc w:val="both"/>
        <w:rPr>
          <w:rFonts w:ascii="Verdana" w:hAnsi="Verdana" w:cs="Arial"/>
          <w:color w:val="000000" w:themeColor="text1"/>
          <w:shd w:val="clear" w:color="auto" w:fill="FFFFFF"/>
        </w:rPr>
      </w:pPr>
      <w:r w:rsidRPr="00EC1DDC">
        <w:rPr>
          <w:rFonts w:ascii="Verdana" w:hAnsi="Verdana" w:cs="Arial"/>
          <w:color w:val="000000" w:themeColor="text1"/>
          <w:shd w:val="clear" w:color="auto" w:fill="FFFFFF"/>
        </w:rPr>
        <w:t>Le informamos que ya se encuentran disponibles los borradores de las nuevas versiones de documentos tipo del sector infraestructura social (Subsectores: institucional, vivienda, salud, educación, cultura y deporte) en las modalidades de licitación pública, selección abreviada de menor cuantía y mínima cuantía para comentarios. Dichos documentos estarán publicados hasta el próximo 16 de mayo de 2025.  Puede consultar la información en el siguiente enlace:</w:t>
      </w:r>
      <w:r w:rsidRPr="00EC1DDC">
        <w:rPr>
          <w:rFonts w:ascii="Verdana" w:hAnsi="Verdana" w:cs="Arial"/>
          <w:b/>
          <w:bCs/>
          <w:color w:val="000000" w:themeColor="text1"/>
          <w:shd w:val="clear" w:color="auto" w:fill="FFFFFF"/>
        </w:rPr>
        <w:t> </w:t>
      </w:r>
      <w:hyperlink r:id="rId15" w:tgtFrame="_blank" w:tooltip="Dirección URL original: https://www.colombiacompra.gov.co/normativa-y-relatoria/documentos-tipo. Haga clic o pulse si confía en este vínculo." w:history="1">
        <w:r w:rsidRPr="00EC1DDC">
          <w:rPr>
            <w:rStyle w:val="Hipervnculo"/>
            <w:rFonts w:ascii="Verdana" w:hAnsi="Verdana" w:cs="Arial"/>
            <w:b/>
            <w:bCs/>
            <w:shd w:val="clear" w:color="auto" w:fill="FFFFFF"/>
          </w:rPr>
          <w:t>Documentos Tipo – ANCP Colombia Compra Eficiente</w:t>
        </w:r>
      </w:hyperlink>
      <w:r w:rsidRPr="00EC1DDC">
        <w:rPr>
          <w:rFonts w:ascii="Verdana" w:hAnsi="Verdana" w:cs="Arial"/>
          <w:color w:val="000000" w:themeColor="text1"/>
          <w:u w:val="single"/>
          <w:shd w:val="clear" w:color="auto" w:fill="FFFFFF"/>
        </w:rPr>
        <w:t> </w:t>
      </w:r>
      <w:r w:rsidRPr="00EC1DDC">
        <w:rPr>
          <w:rFonts w:ascii="Verdana" w:hAnsi="Verdana" w:cs="Arial"/>
          <w:color w:val="000000" w:themeColor="text1"/>
          <w:shd w:val="clear" w:color="auto" w:fill="FFFFFF"/>
        </w:rPr>
        <w:t>".</w:t>
      </w:r>
    </w:p>
    <w:p w14:paraId="4CB7018A" w14:textId="77777777" w:rsidR="006E6BFB" w:rsidRPr="00EC1DDC" w:rsidRDefault="006E6BFB" w:rsidP="006E6BFB">
      <w:pPr>
        <w:widowControl w:val="0"/>
        <w:autoSpaceDE w:val="0"/>
        <w:autoSpaceDN w:val="0"/>
        <w:spacing w:after="0" w:line="276" w:lineRule="auto"/>
        <w:jc w:val="both"/>
        <w:rPr>
          <w:rStyle w:val="normaltextrun"/>
          <w:rFonts w:ascii="Verdana" w:hAnsi="Verdana" w:cs="Arial"/>
          <w:color w:val="000000" w:themeColor="text1"/>
          <w:shd w:val="clear" w:color="auto" w:fill="FFFFFF"/>
        </w:rPr>
      </w:pPr>
    </w:p>
    <w:p w14:paraId="23C2E0C7" w14:textId="77777777" w:rsidR="006E6BFB" w:rsidRPr="00115E3D" w:rsidRDefault="006E6BFB" w:rsidP="006E6BFB">
      <w:pPr>
        <w:spacing w:after="0" w:line="240" w:lineRule="auto"/>
        <w:jc w:val="both"/>
        <w:rPr>
          <w:rFonts w:ascii="Verdana" w:hAnsi="Verdana"/>
          <w:color w:val="000000" w:themeColor="text1"/>
        </w:rPr>
      </w:pPr>
      <w:r w:rsidRPr="00115E3D">
        <w:rPr>
          <w:rFonts w:ascii="Verdana" w:hAnsi="Verdana"/>
          <w:color w:val="000000" w:themeColor="text1"/>
        </w:rPr>
        <w:t xml:space="preserve">Por último, lo invitamos a seguirnos en las redes sociales en las cuales se difunde información institucional: </w:t>
      </w:r>
    </w:p>
    <w:p w14:paraId="0635FD60" w14:textId="77777777" w:rsidR="006E6BFB" w:rsidRPr="00115E3D" w:rsidRDefault="006E6BFB" w:rsidP="006E6BFB">
      <w:pPr>
        <w:spacing w:after="0" w:line="240" w:lineRule="auto"/>
        <w:jc w:val="both"/>
        <w:rPr>
          <w:rFonts w:ascii="Verdana" w:hAnsi="Verdana"/>
          <w:color w:val="000000" w:themeColor="text1"/>
        </w:rPr>
      </w:pPr>
    </w:p>
    <w:p w14:paraId="6045FF80" w14:textId="77777777" w:rsidR="006E6BFB" w:rsidRPr="00115E3D" w:rsidRDefault="006E6BFB" w:rsidP="006E6BFB">
      <w:pPr>
        <w:spacing w:after="0" w:line="240" w:lineRule="auto"/>
        <w:jc w:val="both"/>
        <w:rPr>
          <w:rFonts w:ascii="Verdana" w:hAnsi="Verdana"/>
          <w:color w:val="000000" w:themeColor="text1"/>
        </w:rPr>
      </w:pPr>
      <w:r w:rsidRPr="00115E3D">
        <w:rPr>
          <w:rFonts w:ascii="Verdana" w:hAnsi="Verdana"/>
          <w:color w:val="000000" w:themeColor="text1"/>
        </w:rPr>
        <w:t xml:space="preserve">Twitter: </w:t>
      </w:r>
      <w:r w:rsidRPr="00115E3D">
        <w:rPr>
          <w:rStyle w:val="Hipervnculo"/>
          <w:rFonts w:ascii="Verdana" w:hAnsi="Verdana"/>
          <w:color w:val="000000" w:themeColor="text1"/>
        </w:rPr>
        <w:t>@colombiacompra</w:t>
      </w:r>
      <w:r w:rsidRPr="00115E3D">
        <w:rPr>
          <w:rFonts w:ascii="Verdana" w:hAnsi="Verdana"/>
          <w:color w:val="000000" w:themeColor="text1"/>
        </w:rPr>
        <w:t xml:space="preserve"> </w:t>
      </w:r>
    </w:p>
    <w:p w14:paraId="7867B11B" w14:textId="77777777" w:rsidR="006E6BFB" w:rsidRPr="00115E3D" w:rsidRDefault="006E6BFB" w:rsidP="006E6BFB">
      <w:pPr>
        <w:spacing w:after="0" w:line="240" w:lineRule="auto"/>
        <w:jc w:val="both"/>
        <w:rPr>
          <w:rFonts w:ascii="Verdana" w:hAnsi="Verdana"/>
          <w:color w:val="000000" w:themeColor="text1"/>
        </w:rPr>
      </w:pPr>
      <w:r w:rsidRPr="00115E3D">
        <w:rPr>
          <w:rFonts w:ascii="Verdana" w:hAnsi="Verdana"/>
          <w:color w:val="000000" w:themeColor="text1"/>
        </w:rPr>
        <w:t xml:space="preserve">Facebook: </w:t>
      </w:r>
      <w:proofErr w:type="spellStart"/>
      <w:r w:rsidRPr="00115E3D">
        <w:rPr>
          <w:rStyle w:val="Hipervnculo"/>
          <w:rFonts w:ascii="Verdana" w:hAnsi="Verdana"/>
          <w:color w:val="000000" w:themeColor="text1"/>
        </w:rPr>
        <w:t>ColombiaCompraEficiente</w:t>
      </w:r>
      <w:proofErr w:type="spellEnd"/>
    </w:p>
    <w:p w14:paraId="3D025052" w14:textId="77777777" w:rsidR="006E6BFB" w:rsidRPr="00115E3D" w:rsidRDefault="006E6BFB" w:rsidP="006E6BFB">
      <w:pPr>
        <w:spacing w:after="0" w:line="240" w:lineRule="auto"/>
        <w:jc w:val="both"/>
        <w:rPr>
          <w:rFonts w:ascii="Verdana" w:hAnsi="Verdana"/>
          <w:color w:val="000000" w:themeColor="text1"/>
        </w:rPr>
      </w:pPr>
      <w:r w:rsidRPr="00115E3D">
        <w:rPr>
          <w:rFonts w:ascii="Verdana" w:hAnsi="Verdana"/>
          <w:color w:val="000000" w:themeColor="text1"/>
        </w:rPr>
        <w:t xml:space="preserve">LinkedIn: </w:t>
      </w:r>
      <w:r w:rsidRPr="00115E3D">
        <w:rPr>
          <w:rStyle w:val="Hipervnculo"/>
          <w:rFonts w:ascii="Verdana" w:hAnsi="Verdana"/>
          <w:color w:val="000000" w:themeColor="text1"/>
        </w:rPr>
        <w:t>Agencia Nacional de Contratación Pública - Colombia Compra Eficiente</w:t>
      </w:r>
      <w:r w:rsidRPr="00115E3D">
        <w:rPr>
          <w:rFonts w:ascii="Verdana" w:hAnsi="Verdana"/>
          <w:color w:val="000000" w:themeColor="text1"/>
        </w:rPr>
        <w:t xml:space="preserve"> Instagram: </w:t>
      </w:r>
      <w:r w:rsidRPr="00115E3D">
        <w:rPr>
          <w:rStyle w:val="Hipervnculo"/>
          <w:rFonts w:ascii="Verdana" w:hAnsi="Verdana"/>
          <w:color w:val="000000" w:themeColor="text1"/>
        </w:rPr>
        <w:t>@colombiacompraeficiente_cce</w:t>
      </w:r>
    </w:p>
    <w:p w14:paraId="1CD028D7" w14:textId="77777777" w:rsidR="006E6BFB" w:rsidRPr="00115E3D" w:rsidRDefault="006E6BFB" w:rsidP="006E6BFB">
      <w:pPr>
        <w:widowControl w:val="0"/>
        <w:autoSpaceDE w:val="0"/>
        <w:autoSpaceDN w:val="0"/>
        <w:spacing w:after="0" w:line="276" w:lineRule="auto"/>
        <w:jc w:val="both"/>
        <w:rPr>
          <w:rFonts w:ascii="Verdana" w:hAnsi="Verdana" w:cs="Arial"/>
          <w:color w:val="000000" w:themeColor="text1"/>
        </w:rPr>
      </w:pPr>
    </w:p>
    <w:p w14:paraId="78BB8BC8" w14:textId="77777777" w:rsidR="006E6BFB" w:rsidRPr="00115E3D" w:rsidRDefault="006E6BFB" w:rsidP="006E6BFB">
      <w:pPr>
        <w:widowControl w:val="0"/>
        <w:autoSpaceDE w:val="0"/>
        <w:autoSpaceDN w:val="0"/>
        <w:spacing w:after="0" w:line="276" w:lineRule="auto"/>
        <w:jc w:val="both"/>
        <w:rPr>
          <w:rFonts w:ascii="Verdana" w:hAnsi="Verdana" w:cs="Arial"/>
          <w:color w:val="000000" w:themeColor="text1"/>
          <w:lang w:val="es-ES_tradnl"/>
        </w:rPr>
      </w:pPr>
      <w:r w:rsidRPr="00115E3D">
        <w:rPr>
          <w:rFonts w:ascii="Verdana" w:hAnsi="Verdana" w:cs="Arial"/>
          <w:color w:val="000000" w:themeColor="text1"/>
        </w:rPr>
        <w:t xml:space="preserve">Este concepto tiene el alcance previsto en el artículo 28 del Código de </w:t>
      </w:r>
      <w:r w:rsidRPr="00115E3D">
        <w:rPr>
          <w:rFonts w:ascii="Verdana" w:hAnsi="Verdana" w:cs="Arial"/>
          <w:color w:val="000000" w:themeColor="text1"/>
        </w:rPr>
        <w:lastRenderedPageBreak/>
        <w:t xml:space="preserve">Procedimiento Administrativo y de lo Contencioso Administrativo </w:t>
      </w:r>
      <w:r w:rsidRPr="00115E3D">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4DEE6307" w14:textId="77777777" w:rsidR="006E6BFB" w:rsidRPr="00115E3D" w:rsidRDefault="006E6BFB" w:rsidP="006E6BFB">
      <w:pPr>
        <w:widowControl w:val="0"/>
        <w:autoSpaceDE w:val="0"/>
        <w:autoSpaceDN w:val="0"/>
        <w:spacing w:after="0" w:line="276" w:lineRule="auto"/>
        <w:jc w:val="both"/>
        <w:rPr>
          <w:rFonts w:ascii="Verdana" w:hAnsi="Verdana" w:cs="Arial"/>
          <w:color w:val="000000" w:themeColor="text1"/>
        </w:rPr>
      </w:pPr>
    </w:p>
    <w:p w14:paraId="4D59E89F" w14:textId="77777777" w:rsidR="006E6BFB" w:rsidRPr="00115E3D" w:rsidRDefault="006E6BFB" w:rsidP="006E6BFB">
      <w:pPr>
        <w:spacing w:after="0" w:line="240" w:lineRule="auto"/>
        <w:rPr>
          <w:rFonts w:ascii="Verdana" w:hAnsi="Verdana" w:cs="Arial"/>
          <w:color w:val="000000" w:themeColor="text1"/>
          <w:lang w:eastAsia="es-CO"/>
        </w:rPr>
      </w:pPr>
      <w:r w:rsidRPr="00115E3D">
        <w:rPr>
          <w:rFonts w:ascii="Verdana" w:eastAsia="Times New Roman" w:hAnsi="Verdana" w:cs="Arial"/>
          <w:color w:val="000000" w:themeColor="text1"/>
          <w:lang w:eastAsia="es-CO"/>
        </w:rPr>
        <w:t>Atentamente,</w:t>
      </w:r>
      <w:r w:rsidRPr="00115E3D">
        <w:rPr>
          <w:rFonts w:ascii="Verdana" w:hAnsi="Verdana" w:cs="Arial"/>
          <w:color w:val="000000" w:themeColor="text1"/>
          <w:lang w:eastAsia="es-CO"/>
        </w:rPr>
        <w:t xml:space="preserve"> </w:t>
      </w:r>
    </w:p>
    <w:p w14:paraId="0D3DF6E1" w14:textId="531C1BE6" w:rsidR="006E6BFB" w:rsidRPr="00115E3D" w:rsidRDefault="000A7E92" w:rsidP="006E6BFB">
      <w:pPr>
        <w:spacing w:line="276" w:lineRule="auto"/>
        <w:jc w:val="center"/>
        <w:rPr>
          <w:rFonts w:ascii="Verdana" w:hAnsi="Verdana" w:cs="Arial"/>
          <w:color w:val="000000" w:themeColor="text1"/>
          <w:lang w:val="es-ES_tradnl" w:eastAsia="es-CO"/>
        </w:rPr>
      </w:pPr>
      <w:r>
        <w:rPr>
          <w:noProof/>
        </w:rPr>
        <w:drawing>
          <wp:inline distT="0" distB="0" distL="0" distR="0" wp14:anchorId="78673392" wp14:editId="19CAAE75">
            <wp:extent cx="3771429" cy="1400000"/>
            <wp:effectExtent l="0" t="0" r="635" b="0"/>
            <wp:docPr id="1143897428"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897428" name="Imagen 1" descr="Texto, Carta&#10;&#10;El contenido generado por IA puede ser incorrecto."/>
                    <pic:cNvPicPr/>
                  </pic:nvPicPr>
                  <pic:blipFill>
                    <a:blip r:embed="rId16"/>
                    <a:stretch>
                      <a:fillRect/>
                    </a:stretch>
                  </pic:blipFill>
                  <pic:spPr>
                    <a:xfrm>
                      <a:off x="0" y="0"/>
                      <a:ext cx="3771429" cy="14000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E6BFB" w:rsidRPr="00115E3D" w14:paraId="3EA914B3" w14:textId="77777777" w:rsidTr="00B933B3">
        <w:trPr>
          <w:trHeight w:val="315"/>
        </w:trPr>
        <w:tc>
          <w:tcPr>
            <w:tcW w:w="893" w:type="dxa"/>
            <w:vAlign w:val="center"/>
            <w:hideMark/>
          </w:tcPr>
          <w:p w14:paraId="1D34C46C" w14:textId="77777777" w:rsidR="006E6BFB" w:rsidRPr="00115E3D" w:rsidRDefault="006E6BFB" w:rsidP="00B933B3">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C601CEF" w14:textId="77777777" w:rsidR="006E6BFB" w:rsidRPr="001B2D15" w:rsidRDefault="006E6BFB" w:rsidP="00B933B3">
            <w:pPr>
              <w:contextualSpacing/>
              <w:rPr>
                <w:rFonts w:ascii="Verdana" w:eastAsia="Arial" w:hAnsi="Verdana" w:cs="Arial"/>
                <w:color w:val="000000" w:themeColor="text1"/>
                <w:sz w:val="14"/>
                <w:szCs w:val="14"/>
              </w:rPr>
            </w:pPr>
            <w:r w:rsidRPr="001B2D15">
              <w:rPr>
                <w:rFonts w:ascii="Verdana" w:eastAsia="Arial" w:hAnsi="Verdana" w:cs="Arial"/>
                <w:color w:val="000000" w:themeColor="text1"/>
                <w:sz w:val="14"/>
                <w:szCs w:val="14"/>
              </w:rPr>
              <w:t>A</w:t>
            </w:r>
            <w:r w:rsidRPr="001B2D15">
              <w:rPr>
                <w:rFonts w:ascii="Verdana" w:eastAsia="Arial" w:hAnsi="Verdana" w:cs="Arial"/>
                <w:sz w:val="14"/>
                <w:szCs w:val="14"/>
              </w:rPr>
              <w:t xml:space="preserve">ndreina Cerpa Muñoz </w:t>
            </w:r>
          </w:p>
          <w:p w14:paraId="5E42AB0E" w14:textId="77777777" w:rsidR="006E6BFB" w:rsidRPr="001B2D15" w:rsidRDefault="006E6BFB" w:rsidP="00B933B3">
            <w:pPr>
              <w:contextualSpacing/>
              <w:rPr>
                <w:rFonts w:ascii="Verdana" w:eastAsia="Arial" w:hAnsi="Verdana" w:cs="Arial"/>
                <w:color w:val="000000" w:themeColor="text1"/>
                <w:sz w:val="14"/>
                <w:szCs w:val="14"/>
              </w:rPr>
            </w:pPr>
            <w:r w:rsidRPr="001B2D15">
              <w:rPr>
                <w:rStyle w:val="normaltextrun"/>
                <w:rFonts w:ascii="Verdana" w:eastAsia="Arial" w:hAnsi="Verdana" w:cs="Arial"/>
                <w:color w:val="000000" w:themeColor="text1"/>
                <w:sz w:val="14"/>
                <w:szCs w:val="14"/>
              </w:rPr>
              <w:t>Analista T2-02 de la Subdirección de Gestión Contractual</w:t>
            </w:r>
          </w:p>
        </w:tc>
      </w:tr>
      <w:tr w:rsidR="006E6BFB" w:rsidRPr="00115E3D" w14:paraId="2FF72C95" w14:textId="77777777" w:rsidTr="00B933B3">
        <w:trPr>
          <w:trHeight w:val="330"/>
        </w:trPr>
        <w:tc>
          <w:tcPr>
            <w:tcW w:w="893" w:type="dxa"/>
            <w:vAlign w:val="center"/>
            <w:hideMark/>
          </w:tcPr>
          <w:p w14:paraId="778BDDFB" w14:textId="77777777" w:rsidR="006E6BFB" w:rsidRPr="00115E3D" w:rsidRDefault="006E6BFB" w:rsidP="00B933B3">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BCFE6E9" w14:textId="49738CC0" w:rsidR="006E6BFB" w:rsidRPr="001B2D15" w:rsidRDefault="006E6BFB" w:rsidP="00B933B3">
            <w:pPr>
              <w:pStyle w:val="paragraph"/>
              <w:spacing w:before="0" w:beforeAutospacing="0" w:after="0" w:afterAutospacing="0"/>
              <w:contextualSpacing/>
              <w:textAlignment w:val="baseline"/>
              <w:rPr>
                <w:rFonts w:ascii="Verdana" w:hAnsi="Verdana" w:cs="Segoe UI"/>
                <w:color w:val="000000" w:themeColor="text1"/>
                <w:sz w:val="14"/>
                <w:szCs w:val="14"/>
              </w:rPr>
            </w:pPr>
            <w:r>
              <w:rPr>
                <w:rFonts w:ascii="Verdana" w:hAnsi="Verdana" w:cs="Segoe UI"/>
                <w:color w:val="000000" w:themeColor="text1"/>
                <w:sz w:val="14"/>
                <w:szCs w:val="14"/>
              </w:rPr>
              <w:t>Juan David C</w:t>
            </w:r>
            <w:r w:rsidR="00740D74">
              <w:rPr>
                <w:rFonts w:ascii="Verdana" w:hAnsi="Verdana" w:cs="Segoe UI"/>
                <w:color w:val="000000" w:themeColor="text1"/>
                <w:sz w:val="14"/>
                <w:szCs w:val="14"/>
              </w:rPr>
              <w:t>á</w:t>
            </w:r>
            <w:r>
              <w:rPr>
                <w:rFonts w:ascii="Verdana" w:hAnsi="Verdana" w:cs="Segoe UI"/>
                <w:color w:val="000000" w:themeColor="text1"/>
                <w:sz w:val="14"/>
                <w:szCs w:val="14"/>
              </w:rPr>
              <w:t xml:space="preserve">rdenas Cabeza </w:t>
            </w:r>
          </w:p>
          <w:p w14:paraId="01DA54E3" w14:textId="77777777" w:rsidR="006E6BFB" w:rsidRPr="001B2D15" w:rsidRDefault="006E6BFB" w:rsidP="00B933B3">
            <w:pPr>
              <w:pStyle w:val="paragraph"/>
              <w:spacing w:before="0" w:beforeAutospacing="0" w:after="0" w:afterAutospacing="0"/>
              <w:contextualSpacing/>
              <w:textAlignment w:val="baseline"/>
              <w:rPr>
                <w:rFonts w:ascii="Verdana" w:hAnsi="Verdana" w:cs="Segoe UI"/>
                <w:color w:val="000000" w:themeColor="text1"/>
                <w:sz w:val="14"/>
                <w:szCs w:val="14"/>
              </w:rPr>
            </w:pPr>
            <w:r w:rsidRPr="001B2D15">
              <w:rPr>
                <w:rStyle w:val="normaltextrun"/>
                <w:rFonts w:ascii="Verdana" w:hAnsi="Verdana" w:cs="Arial"/>
                <w:color w:val="000000" w:themeColor="text1"/>
                <w:sz w:val="14"/>
                <w:szCs w:val="14"/>
                <w:lang w:val="es-ES"/>
              </w:rPr>
              <w:t>Contratista de la Subdirección de Gestión Contractual</w:t>
            </w:r>
            <w:r w:rsidRPr="001B2D15">
              <w:rPr>
                <w:rStyle w:val="eop"/>
                <w:rFonts w:ascii="Verdana" w:hAnsi="Verdana" w:cs="Arial"/>
                <w:color w:val="000000" w:themeColor="text1"/>
                <w:sz w:val="14"/>
                <w:szCs w:val="14"/>
              </w:rPr>
              <w:t> </w:t>
            </w:r>
          </w:p>
        </w:tc>
      </w:tr>
      <w:tr w:rsidR="006E6BFB" w:rsidRPr="00115E3D" w14:paraId="408EBB3E" w14:textId="77777777" w:rsidTr="00B933B3">
        <w:trPr>
          <w:trHeight w:val="300"/>
        </w:trPr>
        <w:tc>
          <w:tcPr>
            <w:tcW w:w="893" w:type="dxa"/>
            <w:vAlign w:val="center"/>
          </w:tcPr>
          <w:p w14:paraId="387618BD" w14:textId="77777777" w:rsidR="006E6BFB" w:rsidRPr="00115E3D" w:rsidRDefault="006E6BFB" w:rsidP="00B933B3">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59FD584" w14:textId="77777777" w:rsidR="006E6BFB" w:rsidRPr="001B2D15" w:rsidRDefault="006E6BFB" w:rsidP="00B933B3">
            <w:pPr>
              <w:contextualSpacing/>
              <w:rPr>
                <w:rFonts w:ascii="Verdana" w:eastAsia="Calibri" w:hAnsi="Verdana" w:cs="Arial"/>
                <w:color w:val="000000" w:themeColor="text1"/>
                <w:sz w:val="14"/>
                <w:szCs w:val="14"/>
                <w:lang w:val="pt-BR" w:eastAsia="es-ES"/>
              </w:rPr>
            </w:pPr>
            <w:r w:rsidRPr="001B2D15">
              <w:rPr>
                <w:rFonts w:ascii="Verdana" w:eastAsia="Calibri" w:hAnsi="Verdana" w:cs="Arial"/>
                <w:color w:val="000000" w:themeColor="text1"/>
                <w:sz w:val="14"/>
                <w:szCs w:val="14"/>
                <w:lang w:val="pt-BR" w:eastAsia="es-ES"/>
              </w:rPr>
              <w:t xml:space="preserve">Carolina Quintero </w:t>
            </w:r>
            <w:proofErr w:type="spellStart"/>
            <w:r w:rsidRPr="001B2D15">
              <w:rPr>
                <w:rFonts w:ascii="Verdana" w:eastAsia="Calibri" w:hAnsi="Verdana" w:cs="Arial"/>
                <w:color w:val="000000" w:themeColor="text1"/>
                <w:sz w:val="14"/>
                <w:szCs w:val="14"/>
                <w:lang w:val="pt-BR" w:eastAsia="es-ES"/>
              </w:rPr>
              <w:t>Gacharná</w:t>
            </w:r>
            <w:proofErr w:type="spellEnd"/>
          </w:p>
          <w:p w14:paraId="7FCEEE09" w14:textId="77777777" w:rsidR="006E6BFB" w:rsidRPr="001B2D15" w:rsidRDefault="006E6BFB" w:rsidP="00B933B3">
            <w:pPr>
              <w:contextualSpacing/>
              <w:rPr>
                <w:rFonts w:ascii="Verdana" w:eastAsia="Calibri" w:hAnsi="Verdana" w:cs="Arial"/>
                <w:color w:val="000000" w:themeColor="text1"/>
                <w:sz w:val="14"/>
                <w:szCs w:val="14"/>
                <w:lang w:val="pt-BR" w:eastAsia="es-ES"/>
              </w:rPr>
            </w:pPr>
            <w:r w:rsidRPr="001B2D15">
              <w:rPr>
                <w:rFonts w:ascii="Verdana" w:eastAsia="Calibri" w:hAnsi="Verdana" w:cs="Arial"/>
                <w:color w:val="000000" w:themeColor="text1"/>
                <w:sz w:val="14"/>
                <w:szCs w:val="14"/>
                <w:lang w:eastAsia="es-ES"/>
              </w:rPr>
              <w:t>Subdirectora</w:t>
            </w:r>
            <w:r w:rsidRPr="001B2D15">
              <w:rPr>
                <w:rFonts w:ascii="Verdana" w:eastAsia="Calibri" w:hAnsi="Verdana" w:cs="Arial"/>
                <w:color w:val="000000" w:themeColor="text1"/>
                <w:sz w:val="14"/>
                <w:szCs w:val="14"/>
                <w:lang w:val="pt-BR" w:eastAsia="es-ES"/>
              </w:rPr>
              <w:t xml:space="preserve"> de Gestión </w:t>
            </w:r>
            <w:proofErr w:type="spellStart"/>
            <w:r w:rsidRPr="001B2D15">
              <w:rPr>
                <w:rFonts w:ascii="Verdana" w:eastAsia="Calibri" w:hAnsi="Verdana" w:cs="Arial"/>
                <w:color w:val="000000" w:themeColor="text1"/>
                <w:sz w:val="14"/>
                <w:szCs w:val="14"/>
                <w:lang w:val="pt-BR" w:eastAsia="es-ES"/>
              </w:rPr>
              <w:t>Contractual</w:t>
            </w:r>
            <w:proofErr w:type="spellEnd"/>
            <w:r w:rsidRPr="001B2D15">
              <w:rPr>
                <w:rFonts w:ascii="Verdana" w:eastAsia="Calibri" w:hAnsi="Verdana" w:cs="Arial"/>
                <w:color w:val="000000" w:themeColor="text1"/>
                <w:sz w:val="14"/>
                <w:szCs w:val="14"/>
                <w:lang w:val="pt-BR" w:eastAsia="es-ES"/>
              </w:rPr>
              <w:t xml:space="preserve"> ANCP – CCE</w:t>
            </w:r>
          </w:p>
        </w:tc>
      </w:tr>
    </w:tbl>
    <w:p w14:paraId="3EB2099F" w14:textId="77777777" w:rsidR="006E6BFB" w:rsidRPr="00115E3D" w:rsidRDefault="006E6BFB" w:rsidP="006E6BFB">
      <w:pPr>
        <w:spacing w:after="0" w:line="240" w:lineRule="auto"/>
        <w:rPr>
          <w:rFonts w:ascii="Verdana" w:eastAsia="Times New Roman" w:hAnsi="Verdana" w:cs="Arial"/>
          <w:color w:val="000000" w:themeColor="text1"/>
          <w:sz w:val="24"/>
          <w:szCs w:val="24"/>
          <w:lang w:eastAsia="es-ES"/>
        </w:rPr>
      </w:pPr>
    </w:p>
    <w:p w14:paraId="4F27F945" w14:textId="77777777" w:rsidR="006E6BFB" w:rsidRPr="00115E3D" w:rsidRDefault="006E6BFB" w:rsidP="006E6BFB">
      <w:pPr>
        <w:rPr>
          <w:color w:val="000000" w:themeColor="text1"/>
        </w:rPr>
      </w:pPr>
    </w:p>
    <w:p w14:paraId="6E6910EB" w14:textId="77777777" w:rsidR="000F5A42" w:rsidRDefault="000F5A42"/>
    <w:sectPr w:rsidR="000F5A42" w:rsidSect="006E6BFB">
      <w:headerReference w:type="default" r:id="rId17"/>
      <w:footerReference w:type="default" r:id="rId18"/>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C41C1" w14:textId="77777777" w:rsidR="00607CF1" w:rsidRDefault="00607CF1" w:rsidP="006E6BFB">
      <w:pPr>
        <w:spacing w:after="0" w:line="240" w:lineRule="auto"/>
      </w:pPr>
      <w:r>
        <w:separator/>
      </w:r>
    </w:p>
  </w:endnote>
  <w:endnote w:type="continuationSeparator" w:id="0">
    <w:p w14:paraId="39CCEDF8" w14:textId="77777777" w:rsidR="00607CF1" w:rsidRDefault="00607CF1" w:rsidP="006E6BFB">
      <w:pPr>
        <w:spacing w:after="0" w:line="240" w:lineRule="auto"/>
      </w:pPr>
      <w:r>
        <w:continuationSeparator/>
      </w:r>
    </w:p>
  </w:endnote>
  <w:endnote w:type="continuationNotice" w:id="1">
    <w:p w14:paraId="674E1E46" w14:textId="77777777" w:rsidR="00607CF1" w:rsidRDefault="00607C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79A12" w14:textId="7435E856" w:rsidR="00442D4E" w:rsidRDefault="00442D4E" w:rsidP="000849D5">
    <w:pPr>
      <w:spacing w:after="0"/>
      <w:rPr>
        <w:rFonts w:ascii="Verdana" w:hAnsi="Verdana"/>
        <w:b/>
        <w:bCs/>
        <w:sz w:val="20"/>
        <w:szCs w:val="20"/>
      </w:rPr>
    </w:pPr>
  </w:p>
  <w:p w14:paraId="512E766F" w14:textId="77777777" w:rsidR="00442D4E" w:rsidRPr="00174B77" w:rsidRDefault="00442D4E"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E826E9D" w14:textId="77777777" w:rsidR="00442D4E" w:rsidRDefault="00442D4E"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6CDA8B9F" w14:textId="77777777" w:rsidR="00442D4E" w:rsidRPr="00E41027" w:rsidRDefault="00442D4E" w:rsidP="000849D5">
    <w:pPr>
      <w:spacing w:after="0"/>
      <w:jc w:val="both"/>
      <w:rPr>
        <w:rFonts w:ascii="Verdana" w:hAnsi="Verdana"/>
        <w:sz w:val="18"/>
        <w:szCs w:val="18"/>
      </w:rPr>
    </w:pPr>
    <w:r w:rsidRPr="00E41027">
      <w:rPr>
        <w:rFonts w:ascii="Verdana" w:hAnsi="Verdana"/>
        <w:sz w:val="18"/>
        <w:szCs w:val="18"/>
      </w:rPr>
      <w:t>Mesa de servicio: (+57) 601 7456788</w:t>
    </w:r>
  </w:p>
  <w:p w14:paraId="172B4614" w14:textId="77777777" w:rsidR="00442D4E" w:rsidRDefault="00442D4E"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722C35B8" w14:textId="77777777" w:rsidR="00442D4E" w:rsidRPr="007D04B2" w:rsidRDefault="00442D4E" w:rsidP="000849D5">
    <w:pPr>
      <w:pStyle w:val="Piedepgina"/>
    </w:pPr>
  </w:p>
  <w:p w14:paraId="2515C67C" w14:textId="77777777" w:rsidR="00442D4E" w:rsidRPr="000849D5" w:rsidRDefault="00442D4E"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562D6" w14:textId="77777777" w:rsidR="00607CF1" w:rsidRDefault="00607CF1" w:rsidP="006E6BFB">
      <w:pPr>
        <w:spacing w:after="0" w:line="240" w:lineRule="auto"/>
      </w:pPr>
      <w:r>
        <w:separator/>
      </w:r>
    </w:p>
  </w:footnote>
  <w:footnote w:type="continuationSeparator" w:id="0">
    <w:p w14:paraId="0C970BE7" w14:textId="77777777" w:rsidR="00607CF1" w:rsidRDefault="00607CF1" w:rsidP="006E6BFB">
      <w:pPr>
        <w:spacing w:after="0" w:line="240" w:lineRule="auto"/>
      </w:pPr>
      <w:r>
        <w:continuationSeparator/>
      </w:r>
    </w:p>
  </w:footnote>
  <w:footnote w:type="continuationNotice" w:id="1">
    <w:p w14:paraId="1D989264" w14:textId="77777777" w:rsidR="00607CF1" w:rsidRDefault="00607CF1">
      <w:pPr>
        <w:spacing w:after="0" w:line="240" w:lineRule="auto"/>
      </w:pPr>
    </w:p>
  </w:footnote>
  <w:footnote w:id="2">
    <w:p w14:paraId="19533B8F" w14:textId="77777777" w:rsidR="00181B86" w:rsidRDefault="00181B86" w:rsidP="00181B86">
      <w:pPr>
        <w:pStyle w:val="Textonotapie"/>
        <w:ind w:firstLine="708"/>
        <w:jc w:val="both"/>
        <w:rPr>
          <w:rFonts w:ascii="Verdana" w:hAnsi="Verdana" w:cs="Arial"/>
          <w:sz w:val="16"/>
          <w:szCs w:val="16"/>
        </w:rPr>
      </w:pPr>
      <w:r w:rsidRPr="00D40286">
        <w:rPr>
          <w:rStyle w:val="Refdenotaalpie"/>
          <w:rFonts w:ascii="Verdana" w:hAnsi="Verdana" w:cs="Arial"/>
          <w:sz w:val="16"/>
          <w:szCs w:val="16"/>
        </w:rPr>
        <w:footnoteRef/>
      </w:r>
      <w:r w:rsidRPr="00D40286">
        <w:rPr>
          <w:rFonts w:ascii="Verdana" w:hAnsi="Verdana" w:cs="Arial"/>
          <w:sz w:val="16"/>
          <w:szCs w:val="16"/>
        </w:rPr>
        <w:t xml:space="preserve"> Cfr. BENAVIDES, José Luis. El contrato estatal: entre el derecho público y el derecho privado. Segunda edición. Bogotá: Universidad Externado de Colombia, 2009. pp. 78-79.      </w:t>
      </w:r>
    </w:p>
    <w:p w14:paraId="2920AE66" w14:textId="77777777" w:rsidR="00181B86" w:rsidRPr="00D40286" w:rsidRDefault="00181B86" w:rsidP="00181B86">
      <w:pPr>
        <w:pStyle w:val="Textonotapie"/>
        <w:ind w:firstLine="708"/>
        <w:jc w:val="both"/>
        <w:rPr>
          <w:rFonts w:ascii="Verdana" w:hAnsi="Verdana" w:cs="Arial"/>
          <w:sz w:val="16"/>
          <w:szCs w:val="16"/>
          <w:lang w:val="es-ES"/>
        </w:rPr>
      </w:pPr>
    </w:p>
  </w:footnote>
  <w:footnote w:id="3">
    <w:p w14:paraId="65CF438A" w14:textId="77777777" w:rsidR="00181B86" w:rsidRPr="00BB49D3" w:rsidRDefault="00181B86" w:rsidP="00181B86">
      <w:pPr>
        <w:pStyle w:val="Textonotapie"/>
        <w:ind w:firstLine="708"/>
        <w:jc w:val="both"/>
        <w:rPr>
          <w:rFonts w:ascii="Verdana" w:hAnsi="Verdana" w:cs="Arial"/>
          <w:sz w:val="16"/>
          <w:szCs w:val="16"/>
        </w:rPr>
      </w:pPr>
      <w:r w:rsidRPr="00D40286">
        <w:rPr>
          <w:rStyle w:val="Refdenotaalpie"/>
          <w:rFonts w:ascii="Verdana" w:hAnsi="Verdana" w:cs="Arial"/>
          <w:sz w:val="16"/>
          <w:szCs w:val="16"/>
        </w:rPr>
        <w:footnoteRef/>
      </w:r>
      <w:r w:rsidRPr="00D40286">
        <w:rPr>
          <w:rFonts w:ascii="Verdana" w:hAnsi="Verdana" w:cs="Arial"/>
          <w:sz w:val="16"/>
          <w:szCs w:val="16"/>
        </w:rPr>
        <w:t xml:space="preserve"> BETANCUR JARAMILLO, Carlos. Derecho procesal administrativo. Octava edición. Medellín: Señal Editora, 2013. p. 627. </w:t>
      </w:r>
    </w:p>
  </w:footnote>
  <w:footnote w:id="4">
    <w:p w14:paraId="5B5EDFB8" w14:textId="77777777" w:rsidR="00181B86" w:rsidRDefault="00181B86" w:rsidP="00181B86">
      <w:pPr>
        <w:pStyle w:val="Textoindependiente"/>
        <w:ind w:firstLine="708"/>
        <w:contextualSpacing/>
        <w:jc w:val="both"/>
        <w:rPr>
          <w:rFonts w:ascii="Verdana" w:hAnsi="Verdana"/>
          <w:sz w:val="16"/>
          <w:szCs w:val="16"/>
        </w:rPr>
      </w:pPr>
      <w:r w:rsidRPr="00D40286">
        <w:rPr>
          <w:rStyle w:val="Refdenotaalpie"/>
          <w:rFonts w:ascii="Verdana" w:hAnsi="Verdana"/>
          <w:sz w:val="16"/>
          <w:szCs w:val="16"/>
        </w:rPr>
        <w:footnoteRef/>
      </w:r>
      <w:r w:rsidRPr="00D40286">
        <w:rPr>
          <w:rFonts w:ascii="Verdana" w:hAnsi="Verdana"/>
          <w:sz w:val="16"/>
          <w:szCs w:val="16"/>
        </w:rPr>
        <w:t xml:space="preserve"> </w:t>
      </w:r>
      <w:r w:rsidRPr="00D40286">
        <w:rPr>
          <w:rFonts w:ascii="Verdana" w:hAnsi="Verdana"/>
          <w:sz w:val="16"/>
          <w:szCs w:val="16"/>
          <w:lang w:val="es-ES_tradnl"/>
        </w:rPr>
        <w:t xml:space="preserve">El artículo 2º define, para los efectos del ámbito de sujeción del estatuto, que se denominan entidades estatales: “a) </w:t>
      </w:r>
      <w:r w:rsidRPr="00D40286">
        <w:rPr>
          <w:rFonts w:ascii="Verdana" w:hAnsi="Verdana"/>
          <w:sz w:val="16"/>
          <w:szCs w:val="16"/>
        </w:rPr>
        <w:t>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p w14:paraId="61B986D5" w14:textId="77777777" w:rsidR="00181B86" w:rsidRPr="00D40286" w:rsidRDefault="00181B86" w:rsidP="00181B86">
      <w:pPr>
        <w:pStyle w:val="Textoindependiente"/>
        <w:ind w:firstLine="708"/>
        <w:contextualSpacing/>
        <w:jc w:val="both"/>
        <w:rPr>
          <w:rFonts w:ascii="Verdana" w:hAnsi="Verdana"/>
          <w:sz w:val="16"/>
          <w:szCs w:val="16"/>
        </w:rPr>
      </w:pPr>
    </w:p>
  </w:footnote>
  <w:footnote w:id="5">
    <w:p w14:paraId="25769649" w14:textId="77777777" w:rsidR="00181B86" w:rsidRPr="00BB49D3" w:rsidRDefault="00181B86" w:rsidP="00181B86">
      <w:pPr>
        <w:pStyle w:val="Textonotapie"/>
        <w:ind w:firstLine="709"/>
        <w:jc w:val="both"/>
        <w:rPr>
          <w:rFonts w:ascii="Verdana" w:hAnsi="Verdana"/>
          <w:sz w:val="16"/>
          <w:szCs w:val="16"/>
        </w:rPr>
      </w:pPr>
      <w:r w:rsidRPr="00D40286">
        <w:rPr>
          <w:rStyle w:val="Refdenotaalpie"/>
          <w:rFonts w:ascii="Verdana" w:hAnsi="Verdana"/>
          <w:sz w:val="16"/>
          <w:szCs w:val="16"/>
        </w:rPr>
        <w:footnoteRef/>
      </w:r>
      <w:r w:rsidRPr="00D40286">
        <w:rPr>
          <w:rFonts w:ascii="Verdana" w:hAnsi="Verdana"/>
          <w:sz w:val="16"/>
          <w:szCs w:val="16"/>
        </w:rPr>
        <w:t xml:space="preserve"> SÁNCHEZ TRUJILLO, Juan Pablo. Completitud de la oferta del contrato atípico: elementos esenciales del contrato atípico como requisito de delimitación del objeto de la oferta mercantil. Consultado el 21 de marzo de 2025 en la página web </w:t>
      </w:r>
      <w:hyperlink r:id="rId1" w:history="1">
        <w:r w:rsidRPr="00D40286">
          <w:rPr>
            <w:rStyle w:val="Hipervnculo"/>
            <w:rFonts w:ascii="Verdana" w:hAnsi="Verdana"/>
            <w:sz w:val="16"/>
            <w:szCs w:val="16"/>
          </w:rPr>
          <w:t>https://revistas.udea.edu.co/index.php/derypol/article/view/331285/20790715</w:t>
        </w:r>
      </w:hyperlink>
      <w:r w:rsidRPr="00D40286">
        <w:rPr>
          <w:rFonts w:ascii="Verdana" w:hAnsi="Verdana"/>
          <w:sz w:val="16"/>
          <w:szCs w:val="16"/>
        </w:rPr>
        <w:t xml:space="preserve">. </w:t>
      </w:r>
    </w:p>
  </w:footnote>
  <w:footnote w:id="6">
    <w:p w14:paraId="6C5D58ED" w14:textId="77777777" w:rsidR="00E859E2" w:rsidRPr="00C92145" w:rsidRDefault="00E859E2" w:rsidP="00E859E2">
      <w:pPr>
        <w:pStyle w:val="Textonotapie"/>
        <w:ind w:firstLine="709"/>
        <w:jc w:val="both"/>
        <w:rPr>
          <w:rFonts w:ascii="Verdana" w:hAnsi="Verdana" w:cs="Arial"/>
          <w:color w:val="000000" w:themeColor="text1"/>
          <w:sz w:val="14"/>
          <w:szCs w:val="14"/>
        </w:rPr>
      </w:pPr>
      <w:r w:rsidRPr="00C92145">
        <w:rPr>
          <w:rStyle w:val="Refdenotaalpie"/>
          <w:rFonts w:ascii="Verdana" w:hAnsi="Verdana" w:cs="Arial"/>
          <w:color w:val="000000" w:themeColor="text1"/>
          <w:sz w:val="14"/>
          <w:szCs w:val="14"/>
        </w:rPr>
        <w:footnoteRef/>
      </w:r>
      <w:r w:rsidRPr="00C92145">
        <w:rPr>
          <w:rFonts w:ascii="Verdana" w:hAnsi="Verdana" w:cs="Arial"/>
          <w:color w:val="000000" w:themeColor="text1"/>
          <w:sz w:val="14"/>
          <w:szCs w:val="14"/>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54297DA6" w14:textId="77777777" w:rsidR="00E859E2" w:rsidRPr="00C92145" w:rsidRDefault="00E859E2" w:rsidP="00E859E2">
      <w:pPr>
        <w:pStyle w:val="Textonotapie"/>
        <w:ind w:firstLine="709"/>
        <w:jc w:val="both"/>
        <w:rPr>
          <w:rFonts w:ascii="Verdana" w:hAnsi="Verdana" w:cs="Arial"/>
          <w:color w:val="000000" w:themeColor="text1"/>
          <w:sz w:val="14"/>
          <w:szCs w:val="14"/>
        </w:rPr>
      </w:pPr>
      <w:r w:rsidRPr="00C92145">
        <w:rPr>
          <w:rFonts w:ascii="Verdana" w:hAnsi="Verdana" w:cs="Arial"/>
          <w:color w:val="000000" w:themeColor="text1"/>
          <w:sz w:val="14"/>
          <w:szCs w:val="14"/>
        </w:rPr>
        <w:t>Lo anterior, sin perjuicio de las publicaciones previstas en el numeral 3 del artículo 30 de la Ley 80 de 1993.</w:t>
      </w:r>
    </w:p>
    <w:p w14:paraId="56C62564" w14:textId="77777777" w:rsidR="00E859E2" w:rsidRPr="00C92145" w:rsidRDefault="00E859E2" w:rsidP="00E859E2">
      <w:pPr>
        <w:pStyle w:val="Textonotapie"/>
        <w:ind w:firstLine="709"/>
        <w:jc w:val="both"/>
        <w:rPr>
          <w:rFonts w:ascii="Verdana" w:hAnsi="Verdana" w:cs="Arial"/>
          <w:color w:val="000000" w:themeColor="text1"/>
          <w:sz w:val="14"/>
          <w:szCs w:val="14"/>
        </w:rPr>
      </w:pPr>
      <w:r w:rsidRPr="00C92145">
        <w:rPr>
          <w:rFonts w:ascii="Verdana" w:hAnsi="Verdana" w:cs="Arial"/>
          <w:color w:val="000000" w:themeColor="text1"/>
          <w:sz w:val="14"/>
          <w:szCs w:val="14"/>
        </w:rPr>
        <w:t xml:space="preserve">Con el fin de materializar los objetivos a que se refiere el inciso anterior, el Gobierno Nacional desarrollará el Sistema Electrónico para la Contratación Pública, Secop, el cual: </w:t>
      </w:r>
    </w:p>
    <w:p w14:paraId="0A95503D" w14:textId="77777777" w:rsidR="00E859E2" w:rsidRPr="00C92145" w:rsidRDefault="00E859E2" w:rsidP="00E859E2">
      <w:pPr>
        <w:pStyle w:val="Textonotapie"/>
        <w:ind w:firstLine="709"/>
        <w:jc w:val="both"/>
        <w:rPr>
          <w:rFonts w:ascii="Verdana" w:hAnsi="Verdana" w:cs="Arial"/>
          <w:color w:val="000000" w:themeColor="text1"/>
          <w:sz w:val="14"/>
          <w:szCs w:val="14"/>
        </w:rPr>
      </w:pPr>
      <w:r w:rsidRPr="00C92145">
        <w:rPr>
          <w:rFonts w:ascii="Verdana" w:hAnsi="Verdana" w:cs="Arial"/>
          <w:color w:val="000000" w:themeColor="text1"/>
          <w:sz w:val="14"/>
          <w:szCs w:val="14"/>
        </w:rPr>
        <w:t>[…]</w:t>
      </w:r>
    </w:p>
    <w:p w14:paraId="1D33DEA6" w14:textId="77777777" w:rsidR="00E859E2" w:rsidRPr="00C92145" w:rsidRDefault="00E859E2" w:rsidP="00E859E2">
      <w:pPr>
        <w:pStyle w:val="Textonotapie"/>
        <w:ind w:firstLine="709"/>
        <w:jc w:val="both"/>
        <w:rPr>
          <w:rFonts w:ascii="Verdana" w:hAnsi="Verdana" w:cs="Arial"/>
          <w:color w:val="000000" w:themeColor="text1"/>
          <w:sz w:val="14"/>
          <w:szCs w:val="14"/>
        </w:rPr>
      </w:pPr>
      <w:r w:rsidRPr="00C92145">
        <w:rPr>
          <w:rFonts w:ascii="Verdana" w:hAnsi="Verdana" w:cs="Arial"/>
          <w:color w:val="000000" w:themeColor="text1"/>
          <w:sz w:val="14"/>
          <w:szCs w:val="14"/>
        </w:rPr>
        <w:t xml:space="preserve">c) Contará con la información oficial de la contratación realizada con dineros públicos, para lo cual establecerá los patrones a que haya lugar y se encargará de su difusión a través de canales electrónico”. </w:t>
      </w:r>
    </w:p>
    <w:p w14:paraId="69F13967" w14:textId="77777777" w:rsidR="00E859E2" w:rsidRPr="00C92145" w:rsidRDefault="00E859E2" w:rsidP="00E859E2">
      <w:pPr>
        <w:pStyle w:val="Textonotapie"/>
        <w:ind w:firstLine="709"/>
        <w:jc w:val="both"/>
        <w:rPr>
          <w:rFonts w:ascii="Verdana" w:hAnsi="Verdana" w:cs="Arial"/>
          <w:color w:val="000000" w:themeColor="text1"/>
          <w:sz w:val="14"/>
          <w:szCs w:val="14"/>
          <w:lang w:val="es-CO"/>
        </w:rPr>
      </w:pPr>
    </w:p>
  </w:footnote>
  <w:footnote w:id="7">
    <w:p w14:paraId="66341FF9" w14:textId="77777777" w:rsidR="00E859E2" w:rsidRPr="00C92145" w:rsidRDefault="00E859E2" w:rsidP="00E859E2">
      <w:pPr>
        <w:pStyle w:val="Textonotapie"/>
        <w:ind w:firstLine="709"/>
        <w:jc w:val="both"/>
        <w:rPr>
          <w:rFonts w:ascii="Verdana" w:hAnsi="Verdana" w:cs="Arial"/>
          <w:color w:val="000000"/>
          <w:sz w:val="14"/>
          <w:szCs w:val="14"/>
        </w:rPr>
      </w:pPr>
      <w:r w:rsidRPr="00C92145">
        <w:rPr>
          <w:rStyle w:val="Refdenotaalpie"/>
          <w:rFonts w:ascii="Verdana" w:hAnsi="Verdana" w:cs="Arial"/>
          <w:color w:val="000000"/>
          <w:sz w:val="14"/>
          <w:szCs w:val="14"/>
        </w:rPr>
        <w:footnoteRef/>
      </w:r>
      <w:r w:rsidRPr="00C92145">
        <w:rPr>
          <w:rFonts w:ascii="Verdana" w:hAnsi="Verdana" w:cs="Arial"/>
          <w:color w:val="000000"/>
          <w:sz w:val="14"/>
          <w:szCs w:val="14"/>
        </w:rPr>
        <w:t xml:space="preserve"> </w:t>
      </w:r>
      <w:r>
        <w:rPr>
          <w:rFonts w:ascii="Verdana" w:hAnsi="Verdana" w:cs="Arial"/>
          <w:color w:val="000000"/>
          <w:sz w:val="14"/>
          <w:szCs w:val="14"/>
        </w:rPr>
        <w:t>Corte</w:t>
      </w:r>
      <w:r w:rsidRPr="00C92145">
        <w:rPr>
          <w:rFonts w:ascii="Verdana" w:eastAsia="Times New Roman" w:hAnsi="Verdana" w:cs="Arial"/>
          <w:color w:val="000000"/>
          <w:sz w:val="14"/>
          <w:szCs w:val="14"/>
          <w:lang w:val="es-ES" w:eastAsia="es-ES"/>
        </w:rPr>
        <w:t xml:space="preserve"> Constitucional. Sentencia C‒274 de 9 de mayo de 2013. M.P. Mar</w:t>
      </w:r>
      <w:r w:rsidRPr="00C92145">
        <w:rPr>
          <w:rFonts w:ascii="Verdana" w:eastAsia="Times New Roman" w:hAnsi="Verdana" w:cs="Century Gothic"/>
          <w:color w:val="000000"/>
          <w:sz w:val="14"/>
          <w:szCs w:val="14"/>
          <w:lang w:val="es-ES" w:eastAsia="es-ES"/>
        </w:rPr>
        <w:t>í</w:t>
      </w:r>
      <w:r w:rsidRPr="00C92145">
        <w:rPr>
          <w:rFonts w:ascii="Verdana" w:eastAsia="Times New Roman" w:hAnsi="Verdana" w:cs="Arial"/>
          <w:color w:val="000000"/>
          <w:sz w:val="14"/>
          <w:szCs w:val="14"/>
          <w:lang w:val="es-ES" w:eastAsia="es-ES"/>
        </w:rPr>
        <w:t xml:space="preserve">a Victoria Calle Correa. </w:t>
      </w:r>
    </w:p>
    <w:p w14:paraId="78BB8173" w14:textId="77777777" w:rsidR="00E859E2" w:rsidRPr="00C92145" w:rsidRDefault="00E859E2" w:rsidP="00E859E2">
      <w:pPr>
        <w:pStyle w:val="Textonotapie"/>
        <w:ind w:firstLine="709"/>
        <w:jc w:val="both"/>
        <w:rPr>
          <w:rFonts w:ascii="Verdana" w:hAnsi="Verdana" w:cs="Arial"/>
          <w:color w:val="000000"/>
          <w:sz w:val="14"/>
          <w:szCs w:val="14"/>
          <w:lang w:val="es-CO"/>
        </w:rPr>
      </w:pPr>
    </w:p>
  </w:footnote>
  <w:footnote w:id="8">
    <w:p w14:paraId="4C620B7E" w14:textId="77777777" w:rsidR="00E859E2" w:rsidRPr="00C92145" w:rsidRDefault="00E859E2" w:rsidP="00E859E2">
      <w:pPr>
        <w:pStyle w:val="Textonotapie"/>
        <w:ind w:firstLine="708"/>
        <w:jc w:val="both"/>
        <w:rPr>
          <w:rFonts w:ascii="Verdana" w:hAnsi="Verdana" w:cs="Arial"/>
          <w:color w:val="000000"/>
          <w:sz w:val="14"/>
          <w:szCs w:val="14"/>
        </w:rPr>
      </w:pPr>
      <w:r w:rsidRPr="00C92145">
        <w:rPr>
          <w:rStyle w:val="Refdenotaalpie"/>
          <w:rFonts w:ascii="Verdana" w:hAnsi="Verdana" w:cs="Arial"/>
          <w:color w:val="000000"/>
          <w:sz w:val="14"/>
          <w:szCs w:val="14"/>
        </w:rPr>
        <w:footnoteRef/>
      </w:r>
      <w:r w:rsidRPr="00C92145">
        <w:rPr>
          <w:rFonts w:ascii="Verdana" w:hAnsi="Verdana" w:cs="Arial"/>
          <w:color w:val="000000"/>
          <w:sz w:val="14"/>
          <w:szCs w:val="14"/>
        </w:rPr>
        <w:t xml:space="preserve"> Decreto 4170 de 2011: “Artículo 3. Funciones: La Agencia Nacional de Contratación Pública –Colombia Compra Eficiente– ejercerá las siguientes funciones: [...]</w:t>
      </w:r>
    </w:p>
    <w:p w14:paraId="685FBE35" w14:textId="77777777" w:rsidR="00E859E2" w:rsidRPr="00C92145" w:rsidRDefault="00E859E2" w:rsidP="00E859E2">
      <w:pPr>
        <w:pStyle w:val="Textonotapie"/>
        <w:ind w:firstLine="708"/>
        <w:jc w:val="both"/>
        <w:rPr>
          <w:rFonts w:ascii="Verdana" w:hAnsi="Verdana" w:cs="Arial"/>
          <w:color w:val="000000"/>
          <w:sz w:val="14"/>
          <w:szCs w:val="14"/>
        </w:rPr>
      </w:pPr>
      <w:r w:rsidRPr="00C92145">
        <w:rPr>
          <w:rFonts w:ascii="Verdana" w:hAnsi="Verdana" w:cs="Arial"/>
          <w:color w:val="000000"/>
          <w:sz w:val="14"/>
          <w:szCs w:val="14"/>
        </w:rPr>
        <w:t>8. Desarrollar y administrar el Sistema Electrónico para la Contratación Pública (SECOP) o el que haga sus veces, y gestionar nuevos desarrollos tecnológicos en los asuntos de su competencia, teniendo en cuenta los parámetros fijados por el Consejo Directivo.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BD094" w14:textId="6D2EEF32" w:rsidR="00442D4E" w:rsidRDefault="00442D4E" w:rsidP="00515FB5">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24A8644A" wp14:editId="6B1C2CBE">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32ED6844" wp14:editId="58C5BA44">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0EED88FF" w14:textId="77777777" w:rsidR="00442D4E" w:rsidRDefault="00442D4E" w:rsidP="00515FB5">
    <w:pPr>
      <w:pStyle w:val="Encabezado"/>
    </w:pPr>
  </w:p>
  <w:p w14:paraId="49AD6033" w14:textId="77777777" w:rsidR="00442D4E" w:rsidRDefault="00442D4E" w:rsidP="00515FB5">
    <w:pPr>
      <w:pStyle w:val="Encabezado"/>
    </w:pPr>
  </w:p>
  <w:p w14:paraId="1B505BE5" w14:textId="77777777" w:rsidR="00442D4E" w:rsidRPr="00515FB5" w:rsidRDefault="00442D4E"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EF507B1"/>
    <w:multiLevelType w:val="hybridMultilevel"/>
    <w:tmpl w:val="7474DF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3D13567"/>
    <w:multiLevelType w:val="hybridMultilevel"/>
    <w:tmpl w:val="BD96B5B2"/>
    <w:lvl w:ilvl="0" w:tplc="B4141436">
      <w:start w:val="1"/>
      <w:numFmt w:val="decimal"/>
      <w:lvlText w:val="%1."/>
      <w:lvlJc w:val="left"/>
      <w:pPr>
        <w:ind w:left="1776" w:hanging="36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3" w15:restartNumberingAfterBreak="0">
    <w:nsid w:val="2C796467"/>
    <w:multiLevelType w:val="hybridMultilevel"/>
    <w:tmpl w:val="39DE7A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4A3F27CD"/>
    <w:multiLevelType w:val="hybridMultilevel"/>
    <w:tmpl w:val="1AB87B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341274352">
    <w:abstractNumId w:val="0"/>
  </w:num>
  <w:num w:numId="2" w16cid:durableId="679089576">
    <w:abstractNumId w:val="4"/>
  </w:num>
  <w:num w:numId="3" w16cid:durableId="2102486877">
    <w:abstractNumId w:val="5"/>
  </w:num>
  <w:num w:numId="4" w16cid:durableId="1193763291">
    <w:abstractNumId w:val="3"/>
  </w:num>
  <w:num w:numId="5" w16cid:durableId="2075546005">
    <w:abstractNumId w:val="1"/>
  </w:num>
  <w:num w:numId="6" w16cid:durableId="8552688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BFB"/>
    <w:rsid w:val="00013AAA"/>
    <w:rsid w:val="000A7E92"/>
    <w:rsid w:val="000A7EF5"/>
    <w:rsid w:val="000D7189"/>
    <w:rsid w:val="000F5A42"/>
    <w:rsid w:val="00137B31"/>
    <w:rsid w:val="001756CB"/>
    <w:rsid w:val="00176660"/>
    <w:rsid w:val="00181B86"/>
    <w:rsid w:val="001E17F0"/>
    <w:rsid w:val="001E2DAB"/>
    <w:rsid w:val="001F4320"/>
    <w:rsid w:val="00255B63"/>
    <w:rsid w:val="00261A50"/>
    <w:rsid w:val="002939D8"/>
    <w:rsid w:val="00295F8D"/>
    <w:rsid w:val="002A3489"/>
    <w:rsid w:val="00305F23"/>
    <w:rsid w:val="00310FF2"/>
    <w:rsid w:val="00324B1F"/>
    <w:rsid w:val="00325D1D"/>
    <w:rsid w:val="00350FBE"/>
    <w:rsid w:val="003E4C80"/>
    <w:rsid w:val="003F57D1"/>
    <w:rsid w:val="00442D4E"/>
    <w:rsid w:val="0047058E"/>
    <w:rsid w:val="004801E4"/>
    <w:rsid w:val="00570484"/>
    <w:rsid w:val="005719D9"/>
    <w:rsid w:val="005910A8"/>
    <w:rsid w:val="005E11A6"/>
    <w:rsid w:val="00602D3A"/>
    <w:rsid w:val="00607CF1"/>
    <w:rsid w:val="00654A51"/>
    <w:rsid w:val="00684E39"/>
    <w:rsid w:val="006E6BFB"/>
    <w:rsid w:val="0071187F"/>
    <w:rsid w:val="00740D74"/>
    <w:rsid w:val="00764267"/>
    <w:rsid w:val="00842E86"/>
    <w:rsid w:val="008946D4"/>
    <w:rsid w:val="00906897"/>
    <w:rsid w:val="00910BB7"/>
    <w:rsid w:val="0093201B"/>
    <w:rsid w:val="0098298A"/>
    <w:rsid w:val="009B0C8E"/>
    <w:rsid w:val="009F01AA"/>
    <w:rsid w:val="009F328D"/>
    <w:rsid w:val="00A06E69"/>
    <w:rsid w:val="00A12218"/>
    <w:rsid w:val="00A201ED"/>
    <w:rsid w:val="00A23D01"/>
    <w:rsid w:val="00A6144F"/>
    <w:rsid w:val="00A90678"/>
    <w:rsid w:val="00AD2114"/>
    <w:rsid w:val="00AE1908"/>
    <w:rsid w:val="00B22D70"/>
    <w:rsid w:val="00B41EF0"/>
    <w:rsid w:val="00B51901"/>
    <w:rsid w:val="00B5643B"/>
    <w:rsid w:val="00B80E11"/>
    <w:rsid w:val="00BE6A15"/>
    <w:rsid w:val="00C5688F"/>
    <w:rsid w:val="00C74FAC"/>
    <w:rsid w:val="00C76C3A"/>
    <w:rsid w:val="00C91E37"/>
    <w:rsid w:val="00C95DAE"/>
    <w:rsid w:val="00CA6EA0"/>
    <w:rsid w:val="00CD05FB"/>
    <w:rsid w:val="00CD0970"/>
    <w:rsid w:val="00CF17C4"/>
    <w:rsid w:val="00CF78D5"/>
    <w:rsid w:val="00D4459A"/>
    <w:rsid w:val="00D82628"/>
    <w:rsid w:val="00DE23F5"/>
    <w:rsid w:val="00E00962"/>
    <w:rsid w:val="00E22E60"/>
    <w:rsid w:val="00E306F3"/>
    <w:rsid w:val="00E72F93"/>
    <w:rsid w:val="00E84EB9"/>
    <w:rsid w:val="00E859E2"/>
    <w:rsid w:val="00EB2E61"/>
    <w:rsid w:val="00EC1DDC"/>
    <w:rsid w:val="00ED44A8"/>
    <w:rsid w:val="00F41F5C"/>
    <w:rsid w:val="00F43EC4"/>
    <w:rsid w:val="00FA1C6C"/>
    <w:rsid w:val="00FC242B"/>
    <w:rsid w:val="00FF4246"/>
    <w:rsid w:val="00FF724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A6279"/>
  <w15:chartTrackingRefBased/>
  <w15:docId w15:val="{9EB2CD35-5A40-4410-BA59-8288F5265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6BFB"/>
    <w:rPr>
      <w:kern w:val="0"/>
      <w14:ligatures w14:val="none"/>
    </w:rPr>
  </w:style>
  <w:style w:type="paragraph" w:styleId="Ttulo1">
    <w:name w:val="heading 1"/>
    <w:basedOn w:val="Normal"/>
    <w:next w:val="Normal"/>
    <w:link w:val="Ttulo1Car"/>
    <w:uiPriority w:val="9"/>
    <w:qFormat/>
    <w:rsid w:val="006E6B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E6B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E6BF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E6BF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E6BF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E6BF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E6BF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E6BF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E6BF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E6BF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E6BF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E6BF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E6BF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E6BF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E6BF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E6BF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E6BF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E6BFB"/>
    <w:rPr>
      <w:rFonts w:eastAsiaTheme="majorEastAsia" w:cstheme="majorBidi"/>
      <w:color w:val="272727" w:themeColor="text1" w:themeTint="D8"/>
    </w:rPr>
  </w:style>
  <w:style w:type="paragraph" w:styleId="Ttulo">
    <w:name w:val="Title"/>
    <w:basedOn w:val="Normal"/>
    <w:next w:val="Normal"/>
    <w:link w:val="TtuloCar"/>
    <w:uiPriority w:val="10"/>
    <w:qFormat/>
    <w:rsid w:val="006E6B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E6BF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E6BF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E6BF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E6BFB"/>
    <w:pPr>
      <w:spacing w:before="160"/>
      <w:jc w:val="center"/>
    </w:pPr>
    <w:rPr>
      <w:i/>
      <w:iCs/>
      <w:color w:val="404040" w:themeColor="text1" w:themeTint="BF"/>
    </w:rPr>
  </w:style>
  <w:style w:type="character" w:customStyle="1" w:styleId="CitaCar">
    <w:name w:val="Cita Car"/>
    <w:basedOn w:val="Fuentedeprrafopredeter"/>
    <w:link w:val="Cita"/>
    <w:uiPriority w:val="29"/>
    <w:rsid w:val="006E6BFB"/>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6E6BFB"/>
    <w:pPr>
      <w:ind w:left="720"/>
      <w:contextualSpacing/>
    </w:pPr>
  </w:style>
  <w:style w:type="character" w:styleId="nfasisintenso">
    <w:name w:val="Intense Emphasis"/>
    <w:basedOn w:val="Fuentedeprrafopredeter"/>
    <w:uiPriority w:val="21"/>
    <w:qFormat/>
    <w:rsid w:val="006E6BFB"/>
    <w:rPr>
      <w:i/>
      <w:iCs/>
      <w:color w:val="0F4761" w:themeColor="accent1" w:themeShade="BF"/>
    </w:rPr>
  </w:style>
  <w:style w:type="paragraph" w:styleId="Citadestacada">
    <w:name w:val="Intense Quote"/>
    <w:basedOn w:val="Normal"/>
    <w:next w:val="Normal"/>
    <w:link w:val="CitadestacadaCar"/>
    <w:uiPriority w:val="30"/>
    <w:qFormat/>
    <w:rsid w:val="006E6B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E6BFB"/>
    <w:rPr>
      <w:i/>
      <w:iCs/>
      <w:color w:val="0F4761" w:themeColor="accent1" w:themeShade="BF"/>
    </w:rPr>
  </w:style>
  <w:style w:type="character" w:styleId="Referenciaintensa">
    <w:name w:val="Intense Reference"/>
    <w:basedOn w:val="Fuentedeprrafopredeter"/>
    <w:uiPriority w:val="32"/>
    <w:qFormat/>
    <w:rsid w:val="006E6BFB"/>
    <w:rPr>
      <w:b/>
      <w:bCs/>
      <w:smallCaps/>
      <w:color w:val="0F4761" w:themeColor="accent1" w:themeShade="BF"/>
      <w:spacing w:val="5"/>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E6BFB"/>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E6BFB"/>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6E6BFB"/>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E6BFB"/>
    <w:rPr>
      <w:vertAlign w:val="superscript"/>
    </w:rPr>
  </w:style>
  <w:style w:type="paragraph" w:customStyle="1" w:styleId="Appelnotedebasde">
    <w:name w:val="Appel note de bas de..."/>
    <w:basedOn w:val="Normal"/>
    <w:link w:val="Refdenotaalpie"/>
    <w:uiPriority w:val="99"/>
    <w:rsid w:val="006E6BFB"/>
    <w:pPr>
      <w:spacing w:line="240" w:lineRule="exact"/>
    </w:pPr>
    <w:rPr>
      <w:kern w:val="2"/>
      <w:vertAlign w:val="superscript"/>
      <w14:ligatures w14:val="standardContextual"/>
    </w:rPr>
  </w:style>
  <w:style w:type="paragraph" w:styleId="Encabezado">
    <w:name w:val="header"/>
    <w:basedOn w:val="Normal"/>
    <w:link w:val="EncabezadoCar"/>
    <w:uiPriority w:val="99"/>
    <w:unhideWhenUsed/>
    <w:rsid w:val="006E6BF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E6BFB"/>
    <w:rPr>
      <w:kern w:val="0"/>
      <w14:ligatures w14:val="none"/>
    </w:rPr>
  </w:style>
  <w:style w:type="paragraph" w:styleId="Piedepgina">
    <w:name w:val="footer"/>
    <w:basedOn w:val="Normal"/>
    <w:link w:val="PiedepginaCar"/>
    <w:uiPriority w:val="99"/>
    <w:unhideWhenUsed/>
    <w:rsid w:val="006E6BF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E6BFB"/>
    <w:rPr>
      <w:kern w:val="0"/>
      <w14:ligatures w14:val="none"/>
    </w:rPr>
  </w:style>
  <w:style w:type="table" w:styleId="Tablaconcuadrcula">
    <w:name w:val="Table Grid"/>
    <w:basedOn w:val="Tablanormal"/>
    <w:uiPriority w:val="39"/>
    <w:qFormat/>
    <w:rsid w:val="006E6BF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6E6BFB"/>
    <w:rPr>
      <w:color w:val="467886" w:themeColor="hyperlink"/>
      <w:u w:val="single"/>
    </w:rPr>
  </w:style>
  <w:style w:type="character" w:customStyle="1" w:styleId="normaltextrun">
    <w:name w:val="normaltextrun"/>
    <w:basedOn w:val="Fuentedeprrafopredeter"/>
    <w:rsid w:val="006E6BFB"/>
  </w:style>
  <w:style w:type="character" w:customStyle="1" w:styleId="eop">
    <w:name w:val="eop"/>
    <w:basedOn w:val="Fuentedeprrafopredeter"/>
    <w:rsid w:val="006E6BFB"/>
  </w:style>
  <w:style w:type="paragraph" w:styleId="NormalWeb">
    <w:name w:val="Normal (Web)"/>
    <w:basedOn w:val="Normal"/>
    <w:uiPriority w:val="99"/>
    <w:unhideWhenUsed/>
    <w:rsid w:val="006E6BFB"/>
    <w:rPr>
      <w:rFonts w:ascii="Times New Roman" w:hAnsi="Times New Roman" w:cs="Times New Roman"/>
      <w:sz w:val="24"/>
      <w:szCs w:val="24"/>
    </w:rPr>
  </w:style>
  <w:style w:type="paragraph" w:customStyle="1" w:styleId="paragraph">
    <w:name w:val="paragraph"/>
    <w:basedOn w:val="Normal"/>
    <w:rsid w:val="006E6BFB"/>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E6BFB"/>
  </w:style>
  <w:style w:type="character" w:styleId="nfasis">
    <w:name w:val="Emphasis"/>
    <w:basedOn w:val="Fuentedeprrafopredeter"/>
    <w:uiPriority w:val="20"/>
    <w:qFormat/>
    <w:rsid w:val="006E6BFB"/>
    <w:rPr>
      <w:i/>
      <w:iCs/>
    </w:rPr>
  </w:style>
  <w:style w:type="character" w:customStyle="1" w:styleId="baj">
    <w:name w:val="b_aj"/>
    <w:basedOn w:val="Fuentedeprrafopredeter"/>
    <w:rsid w:val="006E6BFB"/>
    <w:rPr>
      <w:rFonts w:cs="Times New Roman"/>
    </w:rPr>
  </w:style>
  <w:style w:type="character" w:styleId="Mencinsinresolver">
    <w:name w:val="Unresolved Mention"/>
    <w:basedOn w:val="Fuentedeprrafopredeter"/>
    <w:uiPriority w:val="99"/>
    <w:semiHidden/>
    <w:unhideWhenUsed/>
    <w:rsid w:val="00B41EF0"/>
    <w:rPr>
      <w:color w:val="605E5C"/>
      <w:shd w:val="clear" w:color="auto" w:fill="E1DFDD"/>
    </w:rPr>
  </w:style>
  <w:style w:type="paragraph" w:styleId="Textoindependiente">
    <w:name w:val="Body Text"/>
    <w:basedOn w:val="Normal"/>
    <w:link w:val="TextoindependienteCar"/>
    <w:uiPriority w:val="1"/>
    <w:qFormat/>
    <w:rsid w:val="00181B86"/>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181B86"/>
    <w:rPr>
      <w:rFonts w:ascii="Arial" w:eastAsia="Arial" w:hAnsi="Arial" w:cs="Arial"/>
      <w:kern w:val="0"/>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175186">
      <w:bodyDiv w:val="1"/>
      <w:marLeft w:val="0"/>
      <w:marRight w:val="0"/>
      <w:marTop w:val="0"/>
      <w:marBottom w:val="0"/>
      <w:divBdr>
        <w:top w:val="none" w:sz="0" w:space="0" w:color="auto"/>
        <w:left w:val="none" w:sz="0" w:space="0" w:color="auto"/>
        <w:bottom w:val="none" w:sz="0" w:space="0" w:color="auto"/>
        <w:right w:val="none" w:sz="0" w:space="0" w:color="auto"/>
      </w:divBdr>
    </w:div>
    <w:div w:id="428040948">
      <w:bodyDiv w:val="1"/>
      <w:marLeft w:val="0"/>
      <w:marRight w:val="0"/>
      <w:marTop w:val="0"/>
      <w:marBottom w:val="0"/>
      <w:divBdr>
        <w:top w:val="none" w:sz="0" w:space="0" w:color="auto"/>
        <w:left w:val="none" w:sz="0" w:space="0" w:color="auto"/>
        <w:bottom w:val="none" w:sz="0" w:space="0" w:color="auto"/>
        <w:right w:val="none" w:sz="0" w:space="0" w:color="auto"/>
      </w:divBdr>
    </w:div>
    <w:div w:id="493180970">
      <w:bodyDiv w:val="1"/>
      <w:marLeft w:val="0"/>
      <w:marRight w:val="0"/>
      <w:marTop w:val="0"/>
      <w:marBottom w:val="0"/>
      <w:divBdr>
        <w:top w:val="none" w:sz="0" w:space="0" w:color="auto"/>
        <w:left w:val="none" w:sz="0" w:space="0" w:color="auto"/>
        <w:bottom w:val="none" w:sz="0" w:space="0" w:color="auto"/>
        <w:right w:val="none" w:sz="0" w:space="0" w:color="auto"/>
      </w:divBdr>
    </w:div>
    <w:div w:id="742144498">
      <w:bodyDiv w:val="1"/>
      <w:marLeft w:val="0"/>
      <w:marRight w:val="0"/>
      <w:marTop w:val="0"/>
      <w:marBottom w:val="0"/>
      <w:divBdr>
        <w:top w:val="none" w:sz="0" w:space="0" w:color="auto"/>
        <w:left w:val="none" w:sz="0" w:space="0" w:color="auto"/>
        <w:bottom w:val="none" w:sz="0" w:space="0" w:color="auto"/>
        <w:right w:val="none" w:sz="0" w:space="0" w:color="auto"/>
      </w:divBdr>
      <w:divsChild>
        <w:div w:id="1215115117">
          <w:marLeft w:val="0"/>
          <w:marRight w:val="0"/>
          <w:marTop w:val="0"/>
          <w:marBottom w:val="0"/>
          <w:divBdr>
            <w:top w:val="none" w:sz="0" w:space="0" w:color="auto"/>
            <w:left w:val="none" w:sz="0" w:space="0" w:color="auto"/>
            <w:bottom w:val="none" w:sz="0" w:space="0" w:color="auto"/>
            <w:right w:val="none" w:sz="0" w:space="0" w:color="auto"/>
          </w:divBdr>
        </w:div>
        <w:div w:id="290284557">
          <w:marLeft w:val="0"/>
          <w:marRight w:val="0"/>
          <w:marTop w:val="0"/>
          <w:marBottom w:val="0"/>
          <w:divBdr>
            <w:top w:val="none" w:sz="0" w:space="0" w:color="auto"/>
            <w:left w:val="none" w:sz="0" w:space="0" w:color="auto"/>
            <w:bottom w:val="none" w:sz="0" w:space="0" w:color="auto"/>
            <w:right w:val="none" w:sz="0" w:space="0" w:color="auto"/>
          </w:divBdr>
        </w:div>
        <w:div w:id="1526553444">
          <w:marLeft w:val="0"/>
          <w:marRight w:val="0"/>
          <w:marTop w:val="0"/>
          <w:marBottom w:val="0"/>
          <w:divBdr>
            <w:top w:val="none" w:sz="0" w:space="0" w:color="auto"/>
            <w:left w:val="none" w:sz="0" w:space="0" w:color="auto"/>
            <w:bottom w:val="none" w:sz="0" w:space="0" w:color="auto"/>
            <w:right w:val="none" w:sz="0" w:space="0" w:color="auto"/>
          </w:divBdr>
        </w:div>
      </w:divsChild>
    </w:div>
    <w:div w:id="1342508757">
      <w:bodyDiv w:val="1"/>
      <w:marLeft w:val="0"/>
      <w:marRight w:val="0"/>
      <w:marTop w:val="0"/>
      <w:marBottom w:val="0"/>
      <w:divBdr>
        <w:top w:val="none" w:sz="0" w:space="0" w:color="auto"/>
        <w:left w:val="none" w:sz="0" w:space="0" w:color="auto"/>
        <w:bottom w:val="none" w:sz="0" w:space="0" w:color="auto"/>
        <w:right w:val="none" w:sz="0" w:space="0" w:color="auto"/>
      </w:divBdr>
    </w:div>
    <w:div w:id="1557160023">
      <w:bodyDiv w:val="1"/>
      <w:marLeft w:val="0"/>
      <w:marRight w:val="0"/>
      <w:marTop w:val="0"/>
      <w:marBottom w:val="0"/>
      <w:divBdr>
        <w:top w:val="none" w:sz="0" w:space="0" w:color="auto"/>
        <w:left w:val="none" w:sz="0" w:space="0" w:color="auto"/>
        <w:bottom w:val="none" w:sz="0" w:space="0" w:color="auto"/>
        <w:right w:val="none" w:sz="0" w:space="0" w:color="auto"/>
      </w:divBdr>
    </w:div>
    <w:div w:id="1675063388">
      <w:bodyDiv w:val="1"/>
      <w:marLeft w:val="0"/>
      <w:marRight w:val="0"/>
      <w:marTop w:val="0"/>
      <w:marBottom w:val="0"/>
      <w:divBdr>
        <w:top w:val="none" w:sz="0" w:space="0" w:color="auto"/>
        <w:left w:val="none" w:sz="0" w:space="0" w:color="auto"/>
        <w:bottom w:val="none" w:sz="0" w:space="0" w:color="auto"/>
        <w:right w:val="none" w:sz="0" w:space="0" w:color="auto"/>
      </w:divBdr>
    </w:div>
    <w:div w:id="1720401024">
      <w:bodyDiv w:val="1"/>
      <w:marLeft w:val="0"/>
      <w:marRight w:val="0"/>
      <w:marTop w:val="0"/>
      <w:marBottom w:val="0"/>
      <w:divBdr>
        <w:top w:val="none" w:sz="0" w:space="0" w:color="auto"/>
        <w:left w:val="none" w:sz="0" w:space="0" w:color="auto"/>
        <w:bottom w:val="none" w:sz="0" w:space="0" w:color="auto"/>
        <w:right w:val="none" w:sz="0" w:space="0" w:color="auto"/>
      </w:divBdr>
    </w:div>
    <w:div w:id="1877959091">
      <w:bodyDiv w:val="1"/>
      <w:marLeft w:val="0"/>
      <w:marRight w:val="0"/>
      <w:marTop w:val="0"/>
      <w:marBottom w:val="0"/>
      <w:divBdr>
        <w:top w:val="none" w:sz="0" w:space="0" w:color="auto"/>
        <w:left w:val="none" w:sz="0" w:space="0" w:color="auto"/>
        <w:bottom w:val="none" w:sz="0" w:space="0" w:color="auto"/>
        <w:right w:val="none" w:sz="0" w:space="0" w:color="auto"/>
      </w:divBdr>
    </w:div>
    <w:div w:id="1906642218">
      <w:bodyDiv w:val="1"/>
      <w:marLeft w:val="0"/>
      <w:marRight w:val="0"/>
      <w:marTop w:val="0"/>
      <w:marBottom w:val="0"/>
      <w:divBdr>
        <w:top w:val="none" w:sz="0" w:space="0" w:color="auto"/>
        <w:left w:val="none" w:sz="0" w:space="0" w:color="auto"/>
        <w:bottom w:val="none" w:sz="0" w:space="0" w:color="auto"/>
        <w:right w:val="none" w:sz="0" w:space="0" w:color="auto"/>
      </w:divBdr>
    </w:div>
    <w:div w:id="2042583655">
      <w:bodyDiv w:val="1"/>
      <w:marLeft w:val="0"/>
      <w:marRight w:val="0"/>
      <w:marTop w:val="0"/>
      <w:marBottom w:val="0"/>
      <w:divBdr>
        <w:top w:val="none" w:sz="0" w:space="0" w:color="auto"/>
        <w:left w:val="none" w:sz="0" w:space="0" w:color="auto"/>
        <w:bottom w:val="none" w:sz="0" w:space="0" w:color="auto"/>
        <w:right w:val="none" w:sz="0" w:space="0" w:color="auto"/>
      </w:divBdr>
      <w:divsChild>
        <w:div w:id="45228965">
          <w:marLeft w:val="0"/>
          <w:marRight w:val="0"/>
          <w:marTop w:val="0"/>
          <w:marBottom w:val="0"/>
          <w:divBdr>
            <w:top w:val="none" w:sz="0" w:space="0" w:color="auto"/>
            <w:left w:val="none" w:sz="0" w:space="0" w:color="auto"/>
            <w:bottom w:val="none" w:sz="0" w:space="0" w:color="auto"/>
            <w:right w:val="none" w:sz="0" w:space="0" w:color="auto"/>
          </w:divBdr>
        </w:div>
        <w:div w:id="1959410323">
          <w:marLeft w:val="0"/>
          <w:marRight w:val="0"/>
          <w:marTop w:val="0"/>
          <w:marBottom w:val="0"/>
          <w:divBdr>
            <w:top w:val="none" w:sz="0" w:space="0" w:color="auto"/>
            <w:left w:val="none" w:sz="0" w:space="0" w:color="auto"/>
            <w:bottom w:val="none" w:sz="0" w:space="0" w:color="auto"/>
            <w:right w:val="none" w:sz="0" w:space="0" w:color="auto"/>
          </w:divBdr>
        </w:div>
        <w:div w:id="9147518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step/cce-sec-gi-20guiasecopii_eemcminimacuantia20-04-2022_0.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enacpue@ejercito.mil.c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normativa-y-relatoria%2Fdocumentos-tipo&amp;data=05%7C02%7Candreina.cerpa%40colombiacompra.gov.co%7C603e1a9f513d4811571608dd8e333a73%7C7b09041e245149d08cb179d5e3d8c1be%7C0%7C0%7C638823072859962239%7CUnknown%7CTWFpbGZsb3d8eyJFbXB0eU1hcGkiOnRydWUsIlYiOiIwLjAuMDAwMCIsIlAiOiJXaW4zMiIsIkFOIjoiTWFpbCIsIldUIjoyfQ%3D%3D%7C0%7C%7C%7C&amp;sdata=Cux5g03C40cdTQrBcWNmXkYYTQa5vz%2FDpIdsVCzry6Q%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revistas.udea.edu.co/index.php/derypol/article/view/331285/20790715"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351958-D81C-4A7C-911B-C04D61E28FCA}">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9FFDD0D2-27BD-4772-9654-5FEE18D837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BF5A1A-43C0-4546-A9A0-CEB76F5B6DAE}">
  <ds:schemaRefs>
    <ds:schemaRef ds:uri="http://schemas.microsoft.com/sharepoint/v3/contenttype/forms"/>
  </ds:schemaRefs>
</ds:datastoreItem>
</file>

<file path=customXml/itemProps4.xml><?xml version="1.0" encoding="utf-8"?>
<ds:datastoreItem xmlns:ds="http://schemas.openxmlformats.org/officeDocument/2006/customXml" ds:itemID="{2316F69D-3509-41BA-BDCF-177AE86F7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5351</TotalTime>
  <Pages>16</Pages>
  <Words>5314</Words>
  <Characters>29227</Characters>
  <Application>Microsoft Office Word</Application>
  <DocSecurity>0</DocSecurity>
  <Lines>243</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Sergio Andrés Rivera Cano</cp:lastModifiedBy>
  <cp:revision>46</cp:revision>
  <dcterms:created xsi:type="dcterms:W3CDTF">2025-05-06T20:39:00Z</dcterms:created>
  <dcterms:modified xsi:type="dcterms:W3CDTF">2025-05-13T20:53:00Z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