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83C2" w14:textId="77777777" w:rsidR="00CB4BE0" w:rsidRDefault="00CB4BE0" w:rsidP="00CB4BE0">
      <w:pPr>
        <w:spacing w:after="0" w:line="240" w:lineRule="auto"/>
        <w:rPr>
          <w:rFonts w:ascii="Verdana" w:hAnsi="Verdana" w:cs="Arial"/>
          <w:b/>
          <w:bCs/>
        </w:rPr>
      </w:pPr>
      <w:bookmarkStart w:id="0" w:name="_Hlk143780582"/>
      <w:r w:rsidRPr="00CB4BE0">
        <w:rPr>
          <w:rFonts w:ascii="Verdana" w:hAnsi="Verdana" w:cs="Arial"/>
          <w:b/>
          <w:bCs/>
        </w:rPr>
        <w:t xml:space="preserve">UNIVERSIDADES PÚBLICAS – Autonomía </w:t>
      </w:r>
    </w:p>
    <w:p w14:paraId="651B2D43" w14:textId="77777777" w:rsidR="00CB4BE0" w:rsidRDefault="00CB4BE0" w:rsidP="00CB4BE0">
      <w:pPr>
        <w:spacing w:after="0" w:line="240" w:lineRule="auto"/>
        <w:rPr>
          <w:rFonts w:ascii="Verdana" w:hAnsi="Verdana" w:cs="Arial"/>
          <w:b/>
          <w:bCs/>
        </w:rPr>
      </w:pPr>
    </w:p>
    <w:p w14:paraId="60BFDD5E" w14:textId="0F8623F7" w:rsidR="00CB4BE0" w:rsidRPr="00CB4BE0" w:rsidRDefault="00CB4BE0" w:rsidP="00CB4BE0">
      <w:pPr>
        <w:spacing w:after="0" w:line="240" w:lineRule="auto"/>
        <w:jc w:val="both"/>
        <w:rPr>
          <w:rFonts w:ascii="Verdana" w:hAnsi="Verdana" w:cs="Arial"/>
          <w:b/>
          <w:bCs/>
          <w:sz w:val="20"/>
          <w:szCs w:val="20"/>
        </w:rPr>
      </w:pPr>
      <w:r>
        <w:rPr>
          <w:rFonts w:ascii="Verdana" w:eastAsia="Calibri" w:hAnsi="Verdana" w:cs="Arial"/>
          <w:sz w:val="20"/>
          <w:szCs w:val="20"/>
          <w:lang w:val="es-ES"/>
        </w:rPr>
        <w:t>[…] l</w:t>
      </w:r>
      <w:r w:rsidRPr="00CB4BE0">
        <w:rPr>
          <w:rFonts w:ascii="Verdana" w:eastAsia="Calibri" w:hAnsi="Verdana" w:cs="Arial"/>
          <w:sz w:val="20"/>
          <w:szCs w:val="20"/>
          <w:lang w:val="es-ES"/>
        </w:rPr>
        <w:t xml:space="preserve">a </w:t>
      </w:r>
      <w:r w:rsidRPr="00CB4BE0">
        <w:rPr>
          <w:rFonts w:ascii="Verdana" w:eastAsia="Calibri" w:hAnsi="Verdana" w:cs="Arial"/>
          <w:sz w:val="20"/>
          <w:szCs w:val="20"/>
          <w:lang w:val="es-MX" w:eastAsia="x-none"/>
        </w:rPr>
        <w:t>Constitución Política de Colombia en su artículo 69, establece, por una parte, una garantía de autonomía para que las universidades establezcan sus directivas y sus estatutos de acuerdo con la ley; y por la otra, la posibilidad de que cuenten con un régimen especial que corresponde dictar al Congreso</w:t>
      </w:r>
    </w:p>
    <w:p w14:paraId="4E9CA1E1" w14:textId="77777777" w:rsidR="00CB4BE0" w:rsidRDefault="00CB4BE0" w:rsidP="00CB4BE0">
      <w:pPr>
        <w:spacing w:after="0" w:line="240" w:lineRule="auto"/>
        <w:rPr>
          <w:rFonts w:ascii="Verdana" w:hAnsi="Verdana" w:cs="Arial"/>
        </w:rPr>
      </w:pPr>
    </w:p>
    <w:p w14:paraId="4F10A89A" w14:textId="77777777" w:rsidR="00CB4BE0" w:rsidRDefault="00CB4BE0" w:rsidP="00CB4BE0">
      <w:pPr>
        <w:spacing w:after="0" w:line="240" w:lineRule="auto"/>
        <w:rPr>
          <w:rFonts w:ascii="Verdana" w:hAnsi="Verdana" w:cs="Arial"/>
          <w:b/>
          <w:bCs/>
        </w:rPr>
      </w:pPr>
      <w:r w:rsidRPr="00CB4BE0">
        <w:rPr>
          <w:rFonts w:ascii="Verdana" w:hAnsi="Verdana" w:cs="Arial"/>
          <w:b/>
          <w:bCs/>
        </w:rPr>
        <w:t xml:space="preserve">UNIVERSIDADES PÚBLICAS – Naturaleza jurídica </w:t>
      </w:r>
    </w:p>
    <w:p w14:paraId="57055B39" w14:textId="77777777" w:rsidR="00CB4BE0" w:rsidRDefault="00CB4BE0" w:rsidP="00CB4BE0">
      <w:pPr>
        <w:spacing w:after="0" w:line="240" w:lineRule="auto"/>
        <w:rPr>
          <w:rFonts w:ascii="Verdana" w:hAnsi="Verdana" w:cs="Arial"/>
          <w:b/>
          <w:bCs/>
        </w:rPr>
      </w:pPr>
    </w:p>
    <w:p w14:paraId="4E0DF1E8" w14:textId="097973DC" w:rsidR="00CB4BE0" w:rsidRPr="00CB4BE0" w:rsidRDefault="00CB4BE0" w:rsidP="00CB4BE0">
      <w:pPr>
        <w:spacing w:after="0" w:line="240" w:lineRule="auto"/>
        <w:jc w:val="both"/>
        <w:rPr>
          <w:rFonts w:ascii="Verdana" w:hAnsi="Verdana" w:cs="Arial"/>
          <w:sz w:val="20"/>
          <w:szCs w:val="20"/>
        </w:rPr>
      </w:pPr>
      <w:r w:rsidRPr="00CB4BE0">
        <w:rPr>
          <w:rFonts w:ascii="Verdana" w:hAnsi="Verdana" w:cs="Arial"/>
          <w:sz w:val="20"/>
          <w:szCs w:val="20"/>
        </w:rPr>
        <w:t xml:space="preserve">En desarrollo de lo anterior, se expidió la Ley 30 de 1992, mediante la cual se regularon aspectos como la naturaleza jurídica de las universidades estatales y oficiales, la forma de organizarse y el régimen de contratación aplicable. Asimismo, en el artículo 57 </w:t>
      </w:r>
      <w:proofErr w:type="spellStart"/>
      <w:r w:rsidRPr="00CB4BE0">
        <w:rPr>
          <w:rFonts w:ascii="Verdana" w:hAnsi="Verdana" w:cs="Arial"/>
          <w:sz w:val="20"/>
          <w:szCs w:val="20"/>
        </w:rPr>
        <w:t>ibídem</w:t>
      </w:r>
      <w:proofErr w:type="spellEnd"/>
      <w:r w:rsidRPr="00CB4BE0">
        <w:rPr>
          <w:rFonts w:ascii="Verdana" w:hAnsi="Verdana" w:cs="Arial"/>
          <w:sz w:val="20"/>
          <w:szCs w:val="20"/>
        </w:rPr>
        <w:t xml:space="preserve"> se consignó que el carácter especial del régimen de las universidades estatales u oficiales comprende, entre otros aspectos, el régimen de </w:t>
      </w:r>
      <w:r w:rsidRPr="00CB4BE0">
        <w:rPr>
          <w:rFonts w:ascii="Verdana" w:hAnsi="Verdana" w:cs="Arial"/>
          <w:sz w:val="20"/>
          <w:szCs w:val="20"/>
        </w:rPr>
        <w:t>contratación.</w:t>
      </w:r>
    </w:p>
    <w:p w14:paraId="04BE4EFB" w14:textId="77777777" w:rsidR="00CB4BE0" w:rsidRDefault="00CB4BE0" w:rsidP="00CB4BE0">
      <w:pPr>
        <w:spacing w:after="0" w:line="240" w:lineRule="auto"/>
        <w:rPr>
          <w:rFonts w:ascii="Verdana" w:hAnsi="Verdana" w:cs="Arial"/>
        </w:rPr>
      </w:pPr>
    </w:p>
    <w:p w14:paraId="01609920" w14:textId="77777777" w:rsidR="00CB4BE0" w:rsidRPr="001A3C3F" w:rsidRDefault="00CB4BE0" w:rsidP="00CB4BE0">
      <w:pPr>
        <w:spacing w:after="0" w:line="240" w:lineRule="auto"/>
        <w:jc w:val="both"/>
        <w:rPr>
          <w:rFonts w:ascii="Verdana" w:hAnsi="Verdana" w:cs="Arial"/>
          <w:b/>
          <w:bCs/>
        </w:rPr>
      </w:pPr>
      <w:r w:rsidRPr="001A3C3F">
        <w:rPr>
          <w:rFonts w:ascii="Verdana" w:hAnsi="Verdana" w:cs="Arial"/>
          <w:b/>
          <w:bCs/>
        </w:rPr>
        <w:t xml:space="preserve">UNIVERSIDADES PÚBLICAS – Régimen de contratación – Manuales de contratación </w:t>
      </w:r>
    </w:p>
    <w:p w14:paraId="5EF2942A" w14:textId="77777777" w:rsidR="00CB4BE0" w:rsidRDefault="00CB4BE0" w:rsidP="00CB4BE0">
      <w:pPr>
        <w:spacing w:after="0" w:line="240" w:lineRule="auto"/>
        <w:jc w:val="both"/>
        <w:rPr>
          <w:rFonts w:ascii="Verdana" w:hAnsi="Verdana" w:cs="Arial"/>
        </w:rPr>
      </w:pPr>
    </w:p>
    <w:p w14:paraId="5193A24C" w14:textId="77777777" w:rsidR="001A3C3F" w:rsidRDefault="001A3C3F" w:rsidP="001A3C3F">
      <w:pPr>
        <w:spacing w:after="0" w:line="240" w:lineRule="auto"/>
        <w:jc w:val="both"/>
        <w:rPr>
          <w:rFonts w:ascii="Verdana" w:hAnsi="Verdana" w:cs="Arial"/>
          <w:sz w:val="20"/>
          <w:szCs w:val="20"/>
        </w:rPr>
      </w:pPr>
      <w:r w:rsidRPr="00CB4BE0">
        <w:rPr>
          <w:rFonts w:ascii="Verdana" w:hAnsi="Verdana" w:cs="Arial"/>
          <w:sz w:val="20"/>
          <w:szCs w:val="20"/>
        </w:rPr>
        <w:t xml:space="preserve">Asimismo, en el artículo 57 </w:t>
      </w:r>
      <w:proofErr w:type="spellStart"/>
      <w:r w:rsidRPr="00CB4BE0">
        <w:rPr>
          <w:rFonts w:ascii="Verdana" w:hAnsi="Verdana" w:cs="Arial"/>
          <w:sz w:val="20"/>
          <w:szCs w:val="20"/>
        </w:rPr>
        <w:t>ibídem</w:t>
      </w:r>
      <w:proofErr w:type="spellEnd"/>
      <w:r w:rsidRPr="00CB4BE0">
        <w:rPr>
          <w:rFonts w:ascii="Verdana" w:hAnsi="Verdana" w:cs="Arial"/>
          <w:sz w:val="20"/>
          <w:szCs w:val="20"/>
        </w:rPr>
        <w:t xml:space="preserve"> se consignó que el carácter especial del régimen de las universidades estatales u oficiales comprende, entre otros aspectos, el régimen de contratación.</w:t>
      </w:r>
    </w:p>
    <w:p w14:paraId="0FAE5493" w14:textId="2DEF56A2" w:rsidR="001A3C3F" w:rsidRDefault="001A3C3F" w:rsidP="001A3C3F">
      <w:pPr>
        <w:spacing w:after="0" w:line="240" w:lineRule="auto"/>
        <w:jc w:val="both"/>
        <w:rPr>
          <w:rFonts w:ascii="Verdana" w:hAnsi="Verdana" w:cs="Arial"/>
          <w:sz w:val="20"/>
          <w:szCs w:val="20"/>
        </w:rPr>
      </w:pPr>
    </w:p>
    <w:p w14:paraId="75AE438B" w14:textId="08A3D1A5" w:rsidR="001A3C3F" w:rsidRDefault="001A3C3F" w:rsidP="001A3C3F">
      <w:pPr>
        <w:spacing w:after="0" w:line="240" w:lineRule="auto"/>
        <w:jc w:val="both"/>
        <w:rPr>
          <w:rFonts w:ascii="Verdana" w:hAnsi="Verdana" w:cs="Arial"/>
          <w:sz w:val="20"/>
          <w:szCs w:val="20"/>
        </w:rPr>
      </w:pPr>
      <w:r>
        <w:rPr>
          <w:rFonts w:ascii="Verdana" w:hAnsi="Verdana" w:cs="Arial"/>
          <w:sz w:val="20"/>
          <w:szCs w:val="20"/>
        </w:rPr>
        <w:t>[…]</w:t>
      </w:r>
    </w:p>
    <w:p w14:paraId="00EF169E" w14:textId="77777777" w:rsidR="001A3C3F" w:rsidRDefault="001A3C3F" w:rsidP="001A3C3F">
      <w:pPr>
        <w:spacing w:after="0" w:line="240" w:lineRule="auto"/>
        <w:jc w:val="both"/>
        <w:rPr>
          <w:rFonts w:ascii="Verdana" w:hAnsi="Verdana" w:cs="Arial"/>
          <w:sz w:val="20"/>
          <w:szCs w:val="20"/>
        </w:rPr>
      </w:pPr>
    </w:p>
    <w:p w14:paraId="642927DF" w14:textId="6BE0878D" w:rsidR="001A3C3F" w:rsidRPr="00CB4BE0" w:rsidRDefault="001A3C3F" w:rsidP="001A3C3F">
      <w:pPr>
        <w:spacing w:after="0" w:line="240" w:lineRule="auto"/>
        <w:jc w:val="both"/>
        <w:rPr>
          <w:rFonts w:ascii="Verdana" w:hAnsi="Verdana" w:cs="Arial"/>
          <w:sz w:val="20"/>
          <w:szCs w:val="20"/>
        </w:rPr>
      </w:pPr>
      <w:r w:rsidRPr="001A3C3F">
        <w:rPr>
          <w:rFonts w:ascii="Verdana" w:hAnsi="Verdana" w:cs="Arial"/>
          <w:sz w:val="20"/>
          <w:szCs w:val="20"/>
        </w:rPr>
        <w:t>Teniendo en cuenta que las entidades de régimen especial están facultadas legalmente para aplicar reglas distintas a la Ley 80 de 1993 y sus normas complementarias, ello estará definido en la norma que crea el régimen especial y será desarrollado en el manual de contratación, con el fin de que se puedan identificar las reglas que aplican en la contratación.</w:t>
      </w:r>
    </w:p>
    <w:p w14:paraId="372640E0" w14:textId="77777777" w:rsidR="001A3C3F" w:rsidRDefault="001A3C3F" w:rsidP="00CB4BE0">
      <w:pPr>
        <w:spacing w:after="0" w:line="240" w:lineRule="auto"/>
        <w:jc w:val="both"/>
        <w:rPr>
          <w:rFonts w:ascii="Verdana" w:hAnsi="Verdana" w:cs="Arial"/>
        </w:rPr>
      </w:pPr>
    </w:p>
    <w:p w14:paraId="21432F7F" w14:textId="2A09BCB6" w:rsidR="00CB4BE0" w:rsidRPr="001A3C3F" w:rsidRDefault="00CB4BE0" w:rsidP="00CB4BE0">
      <w:pPr>
        <w:spacing w:after="0" w:line="240" w:lineRule="auto"/>
        <w:jc w:val="both"/>
        <w:rPr>
          <w:rFonts w:ascii="Verdana" w:hAnsi="Verdana" w:cs="Arial"/>
          <w:b/>
          <w:bCs/>
        </w:rPr>
      </w:pPr>
      <w:r w:rsidRPr="001A3C3F">
        <w:rPr>
          <w:rFonts w:ascii="Verdana" w:hAnsi="Verdana" w:cs="Arial"/>
          <w:b/>
          <w:bCs/>
        </w:rPr>
        <w:t xml:space="preserve">UNIVERSIDADES PÚBLICAS – Aplicación principios de la función pública – Régimen de inhabilidades e incompatibilidades – Control fiscal </w:t>
      </w:r>
    </w:p>
    <w:p w14:paraId="02142D3F" w14:textId="77777777" w:rsidR="001A3C3F" w:rsidRDefault="001A3C3F" w:rsidP="00CB4BE0">
      <w:pPr>
        <w:spacing w:after="0" w:line="240" w:lineRule="auto"/>
        <w:jc w:val="both"/>
        <w:rPr>
          <w:rFonts w:ascii="Verdana" w:hAnsi="Verdana" w:cs="Arial"/>
        </w:rPr>
      </w:pPr>
    </w:p>
    <w:p w14:paraId="55071089" w14:textId="7994D15D" w:rsidR="001A3C3F" w:rsidRPr="001A3C3F" w:rsidRDefault="001A3C3F" w:rsidP="00CB4BE0">
      <w:pPr>
        <w:spacing w:after="0" w:line="240" w:lineRule="auto"/>
        <w:jc w:val="both"/>
        <w:rPr>
          <w:rFonts w:ascii="Verdana" w:hAnsi="Verdana" w:cs="Arial"/>
          <w:sz w:val="20"/>
          <w:szCs w:val="20"/>
        </w:rPr>
      </w:pPr>
      <w:r w:rsidRPr="001A3C3F">
        <w:rPr>
          <w:rFonts w:ascii="Verdana" w:eastAsia="Calibri" w:hAnsi="Verdana" w:cs="Arial"/>
          <w:color w:val="000000" w:themeColor="text1"/>
          <w:sz w:val="20"/>
          <w:szCs w:val="20"/>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como el régimen de inhabilidades e incompatibilidades previsto para la contratación estatal</w:t>
      </w:r>
      <w:r>
        <w:rPr>
          <w:rFonts w:ascii="Verdana" w:eastAsia="Calibri" w:hAnsi="Verdana" w:cs="Arial"/>
          <w:color w:val="000000" w:themeColor="text1"/>
          <w:sz w:val="20"/>
          <w:szCs w:val="20"/>
          <w:lang w:val="es-ES_tradnl"/>
        </w:rPr>
        <w:t>.</w:t>
      </w:r>
    </w:p>
    <w:p w14:paraId="785B1B1A" w14:textId="77777777" w:rsidR="00CB4BE0" w:rsidRDefault="00CB4BE0" w:rsidP="00CB4BE0">
      <w:pPr>
        <w:spacing w:after="0" w:line="240" w:lineRule="auto"/>
        <w:jc w:val="both"/>
        <w:rPr>
          <w:rFonts w:ascii="Verdana" w:hAnsi="Verdana" w:cs="Arial"/>
        </w:rPr>
      </w:pPr>
    </w:p>
    <w:p w14:paraId="6C3ED41A" w14:textId="77777777" w:rsidR="00CB4BE0" w:rsidRPr="001A3C3F" w:rsidRDefault="00CB4BE0" w:rsidP="00CB4BE0">
      <w:pPr>
        <w:spacing w:after="0" w:line="240" w:lineRule="auto"/>
        <w:jc w:val="both"/>
        <w:rPr>
          <w:rFonts w:ascii="Verdana" w:hAnsi="Verdana" w:cs="Arial"/>
          <w:b/>
          <w:bCs/>
        </w:rPr>
      </w:pPr>
      <w:r w:rsidRPr="001A3C3F">
        <w:rPr>
          <w:rFonts w:ascii="Verdana" w:hAnsi="Verdana" w:cs="Arial"/>
          <w:b/>
          <w:bCs/>
        </w:rPr>
        <w:t xml:space="preserve">CONTRATOS REGIDOS POR EL EGCAP – Requisitos de perfeccionamiento – Requisitos de Ejecución </w:t>
      </w:r>
    </w:p>
    <w:p w14:paraId="4E44FF9C" w14:textId="77777777" w:rsidR="001A3C3F" w:rsidRDefault="001A3C3F" w:rsidP="00CB4BE0">
      <w:pPr>
        <w:spacing w:after="0" w:line="240" w:lineRule="auto"/>
        <w:jc w:val="both"/>
        <w:rPr>
          <w:rFonts w:ascii="Verdana" w:hAnsi="Verdana" w:cs="Arial"/>
        </w:rPr>
      </w:pPr>
    </w:p>
    <w:p w14:paraId="1EA521BE" w14:textId="7BC2E73B" w:rsidR="001A3C3F" w:rsidRPr="001A3C3F" w:rsidRDefault="001A3C3F" w:rsidP="001A3C3F">
      <w:pPr>
        <w:spacing w:after="0" w:line="240" w:lineRule="auto"/>
        <w:jc w:val="both"/>
        <w:rPr>
          <w:rFonts w:ascii="Verdana" w:hAnsi="Verdana" w:cs="Arial"/>
          <w:sz w:val="20"/>
          <w:szCs w:val="20"/>
          <w:lang w:val="es-ES"/>
        </w:rPr>
      </w:pPr>
      <w:r>
        <w:rPr>
          <w:rFonts w:ascii="Verdana" w:hAnsi="Verdana" w:cs="Arial"/>
          <w:color w:val="000000"/>
          <w:sz w:val="20"/>
          <w:szCs w:val="20"/>
          <w:lang w:val="es-ES_tradnl"/>
        </w:rPr>
        <w:lastRenderedPageBreak/>
        <w:t xml:space="preserve">[…] </w:t>
      </w:r>
      <w:r w:rsidRPr="001A3C3F">
        <w:rPr>
          <w:rFonts w:ascii="Verdana" w:hAnsi="Verdana" w:cs="Arial"/>
          <w:color w:val="000000"/>
          <w:sz w:val="20"/>
          <w:szCs w:val="20"/>
          <w:lang w:val="es-ES_tradnl"/>
        </w:rPr>
        <w:t xml:space="preserve">en materia de los contratos estatales regidos por el Estatuto General de Contratación de la Administración Pública se </w:t>
      </w:r>
      <w:r w:rsidRPr="001A3C3F">
        <w:rPr>
          <w:rFonts w:ascii="Verdana" w:hAnsi="Verdana" w:cs="Arial"/>
          <w:color w:val="000000"/>
          <w:sz w:val="20"/>
          <w:szCs w:val="20"/>
          <w:lang w:val="es-ES"/>
        </w:rPr>
        <w:t xml:space="preserve">prevén dos tipos de exigencias en relación con los contratos estatales, estas son: i) las relacionadas con el perfeccionamiento y </w:t>
      </w:r>
      <w:proofErr w:type="spellStart"/>
      <w:r w:rsidRPr="001A3C3F">
        <w:rPr>
          <w:rFonts w:ascii="Verdana" w:hAnsi="Verdana" w:cs="Arial"/>
          <w:color w:val="000000"/>
          <w:sz w:val="20"/>
          <w:szCs w:val="20"/>
          <w:lang w:val="es-ES"/>
        </w:rPr>
        <w:t>ii</w:t>
      </w:r>
      <w:proofErr w:type="spellEnd"/>
      <w:r w:rsidRPr="001A3C3F">
        <w:rPr>
          <w:rFonts w:ascii="Verdana" w:hAnsi="Verdana" w:cs="Arial"/>
          <w:color w:val="000000"/>
          <w:sz w:val="20"/>
          <w:szCs w:val="20"/>
          <w:lang w:val="es-ES"/>
        </w:rPr>
        <w:t>) las que tienen que ver con la ejecución.</w:t>
      </w:r>
    </w:p>
    <w:p w14:paraId="329D2BC1" w14:textId="77777777" w:rsidR="001A3C3F" w:rsidRPr="001A3C3F" w:rsidRDefault="001A3C3F" w:rsidP="001A3C3F">
      <w:pPr>
        <w:spacing w:after="0" w:line="240" w:lineRule="auto"/>
        <w:jc w:val="both"/>
        <w:rPr>
          <w:rFonts w:ascii="Verdana" w:hAnsi="Verdana" w:cs="Arial"/>
          <w:sz w:val="20"/>
          <w:szCs w:val="20"/>
          <w:lang w:val="es-ES"/>
        </w:rPr>
      </w:pPr>
    </w:p>
    <w:p w14:paraId="03B12522" w14:textId="767D3965" w:rsidR="001A3C3F" w:rsidRPr="001A3C3F" w:rsidRDefault="001A3C3F" w:rsidP="001A3C3F">
      <w:pPr>
        <w:spacing w:after="0" w:line="240" w:lineRule="auto"/>
        <w:jc w:val="both"/>
        <w:rPr>
          <w:rFonts w:ascii="Verdana" w:hAnsi="Verdana" w:cs="Arial"/>
          <w:color w:val="000000"/>
          <w:sz w:val="20"/>
          <w:szCs w:val="20"/>
          <w:lang w:val="es-ES_tradnl"/>
        </w:rPr>
      </w:pPr>
      <w:r w:rsidRPr="001A3C3F">
        <w:rPr>
          <w:rFonts w:ascii="Verdana" w:hAnsi="Verdana" w:cs="Arial"/>
          <w:color w:val="000000"/>
          <w:sz w:val="20"/>
          <w:szCs w:val="20"/>
          <w:lang w:val="es-ES_tradnl"/>
        </w:rPr>
        <w:t xml:space="preserve">[…]  </w:t>
      </w:r>
    </w:p>
    <w:p w14:paraId="21229D3D" w14:textId="77777777" w:rsidR="001A3C3F" w:rsidRPr="001A3C3F" w:rsidRDefault="001A3C3F" w:rsidP="001A3C3F">
      <w:pPr>
        <w:spacing w:after="0" w:line="240" w:lineRule="auto"/>
        <w:jc w:val="both"/>
        <w:rPr>
          <w:rFonts w:ascii="Verdana" w:hAnsi="Verdana" w:cs="Arial"/>
          <w:color w:val="000000"/>
          <w:sz w:val="20"/>
          <w:szCs w:val="20"/>
          <w:lang w:val="es-ES_tradnl"/>
        </w:rPr>
      </w:pPr>
    </w:p>
    <w:p w14:paraId="7DC71FC7" w14:textId="71E6FC89" w:rsidR="001A3C3F" w:rsidRPr="001A3C3F" w:rsidRDefault="001A3C3F" w:rsidP="001A3C3F">
      <w:pPr>
        <w:spacing w:after="0" w:line="240" w:lineRule="auto"/>
        <w:jc w:val="both"/>
        <w:rPr>
          <w:rFonts w:ascii="Verdana" w:hAnsi="Verdana" w:cs="Arial"/>
          <w:sz w:val="20"/>
          <w:szCs w:val="20"/>
        </w:rPr>
      </w:pPr>
      <w:r w:rsidRPr="001A3C3F">
        <w:rPr>
          <w:rFonts w:ascii="Verdana" w:hAnsi="Verdana" w:cs="Arial"/>
          <w:color w:val="000000"/>
          <w:sz w:val="20"/>
          <w:szCs w:val="20"/>
          <w:lang w:val="es-ES_tradnl"/>
        </w:rPr>
        <w:t xml:space="preserve">Los </w:t>
      </w:r>
      <w:r w:rsidRPr="001A3C3F">
        <w:rPr>
          <w:rFonts w:ascii="Verdana" w:hAnsi="Verdana" w:cs="Arial"/>
          <w:i/>
          <w:iCs/>
          <w:color w:val="000000"/>
          <w:sz w:val="20"/>
          <w:szCs w:val="20"/>
          <w:lang w:val="es-ES_tradnl"/>
        </w:rPr>
        <w:t>requisitos de perfeccionamiento</w:t>
      </w:r>
      <w:r w:rsidRPr="001A3C3F">
        <w:rPr>
          <w:rFonts w:ascii="Verdana" w:hAnsi="Verdana" w:cs="Arial"/>
          <w:color w:val="000000"/>
          <w:sz w:val="20"/>
          <w:szCs w:val="20"/>
          <w:lang w:val="es-ES_tradnl"/>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Los de la </w:t>
      </w:r>
      <w:r w:rsidRPr="001A3C3F">
        <w:rPr>
          <w:rFonts w:ascii="Verdana" w:hAnsi="Verdana" w:cs="Arial"/>
          <w:i/>
          <w:iCs/>
          <w:color w:val="000000"/>
          <w:sz w:val="20"/>
          <w:szCs w:val="20"/>
          <w:lang w:val="es-ES_tradnl"/>
        </w:rPr>
        <w:t>esencia</w:t>
      </w:r>
      <w:r w:rsidRPr="001A3C3F">
        <w:rPr>
          <w:rFonts w:ascii="Verdana" w:hAnsi="Verdana" w:cs="Arial"/>
          <w:color w:val="000000"/>
          <w:sz w:val="20"/>
          <w:szCs w:val="20"/>
          <w:lang w:val="es-ES_tradnl"/>
        </w:rPr>
        <w:t xml:space="preserve"> son aquellos que, al cumplirse, marcan la existencia del contrato y le otorgan su identidad o tipología, permitiendo que no se confunda con otro contrato. Los de la </w:t>
      </w:r>
      <w:r w:rsidRPr="001A3C3F">
        <w:rPr>
          <w:rFonts w:ascii="Verdana" w:hAnsi="Verdana" w:cs="Arial"/>
          <w:i/>
          <w:iCs/>
          <w:color w:val="000000"/>
          <w:sz w:val="20"/>
          <w:szCs w:val="20"/>
          <w:lang w:val="es-ES_tradnl"/>
        </w:rPr>
        <w:t>naturaleza</w:t>
      </w:r>
      <w:r w:rsidRPr="001A3C3F">
        <w:rPr>
          <w:rFonts w:ascii="Verdana" w:hAnsi="Verdana" w:cs="Arial"/>
          <w:color w:val="000000"/>
          <w:sz w:val="20"/>
          <w:szCs w:val="20"/>
          <w:lang w:val="es-ES_tradnl"/>
        </w:rPr>
        <w:t xml:space="preserve"> son aquellos que, no siendo esenciales al contrato, se entienden incorporados por ministerio de la ley, aun ante el silencio de las partes. Y los </w:t>
      </w:r>
      <w:r w:rsidRPr="001A3C3F">
        <w:rPr>
          <w:rFonts w:ascii="Verdana" w:hAnsi="Verdana" w:cs="Arial"/>
          <w:i/>
          <w:iCs/>
          <w:color w:val="000000"/>
          <w:sz w:val="20"/>
          <w:szCs w:val="20"/>
          <w:lang w:val="es-ES_tradnl"/>
        </w:rPr>
        <w:t>accidentales</w:t>
      </w:r>
      <w:r w:rsidRPr="001A3C3F">
        <w:rPr>
          <w:rFonts w:ascii="Verdana" w:hAnsi="Verdana" w:cs="Arial"/>
          <w:color w:val="000000"/>
          <w:sz w:val="20"/>
          <w:szCs w:val="20"/>
          <w:lang w:val="es-ES_tradnl"/>
        </w:rPr>
        <w:t xml:space="preserve"> son los que las partes agregan en ejercicio de su autonomía de la voluntad, ya que no son ni esenciales, ni de la naturaleza del contrato. Los requisitos de perfeccionamiento del contrato estatal ingresan dentro de los elementos de la esencia.</w:t>
      </w:r>
    </w:p>
    <w:p w14:paraId="1602A02A" w14:textId="77777777" w:rsidR="001A3C3F" w:rsidRPr="001A3C3F" w:rsidRDefault="001A3C3F" w:rsidP="00CB4BE0">
      <w:pPr>
        <w:spacing w:after="0" w:line="240" w:lineRule="auto"/>
        <w:jc w:val="both"/>
        <w:rPr>
          <w:rFonts w:ascii="Verdana" w:hAnsi="Verdana" w:cs="Arial"/>
          <w:lang w:val="es-ES_tradnl"/>
        </w:rPr>
      </w:pPr>
    </w:p>
    <w:p w14:paraId="21E0A10E" w14:textId="7FF9016D" w:rsidR="00CB4BE0" w:rsidRPr="001A3C3F" w:rsidRDefault="00CB4BE0" w:rsidP="00CB4BE0">
      <w:pPr>
        <w:spacing w:after="0" w:line="240" w:lineRule="auto"/>
        <w:jc w:val="both"/>
        <w:rPr>
          <w:rFonts w:ascii="Verdana" w:hAnsi="Verdana" w:cs="Arial"/>
          <w:b/>
          <w:bCs/>
        </w:rPr>
      </w:pPr>
      <w:r w:rsidRPr="001A3C3F">
        <w:rPr>
          <w:rFonts w:ascii="Verdana" w:hAnsi="Verdana" w:cs="Arial"/>
          <w:b/>
          <w:bCs/>
        </w:rPr>
        <w:t xml:space="preserve">CONTRATOS REGIDOS POR EL EGCAP – Solemne </w:t>
      </w:r>
    </w:p>
    <w:p w14:paraId="7D4BF0EA" w14:textId="77777777" w:rsidR="001A3C3F" w:rsidRDefault="001A3C3F" w:rsidP="00CB4BE0">
      <w:pPr>
        <w:spacing w:after="0" w:line="240" w:lineRule="auto"/>
        <w:jc w:val="both"/>
        <w:rPr>
          <w:rFonts w:ascii="Verdana" w:hAnsi="Verdana" w:cs="Arial"/>
        </w:rPr>
      </w:pPr>
    </w:p>
    <w:p w14:paraId="2744BB71" w14:textId="7F8A2629" w:rsidR="001A3C3F" w:rsidRPr="001A3C3F" w:rsidRDefault="001A3C3F" w:rsidP="001A3C3F">
      <w:pPr>
        <w:overflowPunct w:val="0"/>
        <w:autoSpaceDE w:val="0"/>
        <w:autoSpaceDN w:val="0"/>
        <w:adjustRightInd w:val="0"/>
        <w:spacing w:after="0" w:line="240" w:lineRule="auto"/>
        <w:jc w:val="both"/>
        <w:textAlignment w:val="baseline"/>
        <w:rPr>
          <w:rFonts w:ascii="Verdana" w:hAnsi="Verdana" w:cs="Arial"/>
          <w:color w:val="000000"/>
          <w:sz w:val="20"/>
          <w:szCs w:val="20"/>
          <w:lang w:val="es-ES_tradnl"/>
        </w:rPr>
      </w:pPr>
      <w:r w:rsidRPr="001A3C3F">
        <w:rPr>
          <w:rFonts w:ascii="Verdana" w:hAnsi="Verdana" w:cs="Arial"/>
          <w:color w:val="000000"/>
          <w:sz w:val="20"/>
          <w:szCs w:val="20"/>
          <w:lang w:val="es-ES_tradnl"/>
        </w:rPr>
        <w:t xml:space="preserve">En efecto,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sobre la obligación principal del negocio –es decir, sobre el “objeto”– y sobre la contraprestación, sino que se debe plasmar por escrito. Tal circunstancia le ha permitido a la doctrina concluir que el contrato estatal regulado en EGCAP es “[…] principalmente, solemne, ya que la manifestación de voluntad, si no se expresa bajo la forma ad </w:t>
      </w:r>
      <w:proofErr w:type="spellStart"/>
      <w:r w:rsidRPr="001A3C3F">
        <w:rPr>
          <w:rFonts w:ascii="Verdana" w:hAnsi="Verdana" w:cs="Arial"/>
          <w:color w:val="000000"/>
          <w:sz w:val="20"/>
          <w:szCs w:val="20"/>
          <w:lang w:val="es-ES_tradnl"/>
        </w:rPr>
        <w:t>solemnitatem</w:t>
      </w:r>
      <w:proofErr w:type="spellEnd"/>
      <w:r w:rsidRPr="001A3C3F">
        <w:rPr>
          <w:rFonts w:ascii="Verdana" w:hAnsi="Verdana" w:cs="Arial"/>
          <w:color w:val="000000"/>
          <w:sz w:val="20"/>
          <w:szCs w:val="20"/>
          <w:lang w:val="es-ES_tradnl"/>
        </w:rPr>
        <w:t xml:space="preserve"> o ad </w:t>
      </w:r>
      <w:proofErr w:type="spellStart"/>
      <w:r w:rsidRPr="001A3C3F">
        <w:rPr>
          <w:rFonts w:ascii="Verdana" w:hAnsi="Verdana" w:cs="Arial"/>
          <w:color w:val="000000"/>
          <w:sz w:val="20"/>
          <w:szCs w:val="20"/>
          <w:lang w:val="es-ES_tradnl"/>
        </w:rPr>
        <w:t>substantiam</w:t>
      </w:r>
      <w:proofErr w:type="spellEnd"/>
      <w:r w:rsidRPr="001A3C3F">
        <w:rPr>
          <w:rFonts w:ascii="Verdana" w:hAnsi="Verdana" w:cs="Arial"/>
          <w:color w:val="000000"/>
          <w:sz w:val="20"/>
          <w:szCs w:val="20"/>
          <w:lang w:val="es-ES_tradnl"/>
        </w:rPr>
        <w:t xml:space="preserve"> </w:t>
      </w:r>
      <w:proofErr w:type="spellStart"/>
      <w:r w:rsidRPr="001A3C3F">
        <w:rPr>
          <w:rFonts w:ascii="Verdana" w:hAnsi="Verdana" w:cs="Arial"/>
          <w:color w:val="000000"/>
          <w:sz w:val="20"/>
          <w:szCs w:val="20"/>
          <w:lang w:val="es-ES_tradnl"/>
        </w:rPr>
        <w:t>actus</w:t>
      </w:r>
      <w:proofErr w:type="spellEnd"/>
      <w:r w:rsidRPr="001A3C3F">
        <w:rPr>
          <w:rFonts w:ascii="Verdana" w:hAnsi="Verdana" w:cs="Arial"/>
          <w:color w:val="000000"/>
          <w:sz w:val="20"/>
          <w:szCs w:val="20"/>
          <w:lang w:val="es-ES_tradnl"/>
        </w:rPr>
        <w:t xml:space="preserve"> exigida por la ley, es inexistente, es decir, se entiende que el contrato jamás ha sido creado para el mundo jurídico”. </w:t>
      </w:r>
    </w:p>
    <w:p w14:paraId="1E596C5F" w14:textId="77777777" w:rsidR="001A3C3F" w:rsidRPr="001A3C3F" w:rsidRDefault="001A3C3F" w:rsidP="00CB4BE0">
      <w:pPr>
        <w:spacing w:after="0" w:line="240" w:lineRule="auto"/>
        <w:jc w:val="both"/>
        <w:rPr>
          <w:rFonts w:ascii="Verdana" w:hAnsi="Verdana" w:cs="Arial"/>
          <w:lang w:val="es-ES_tradnl"/>
        </w:rPr>
      </w:pPr>
    </w:p>
    <w:p w14:paraId="5FBD694B" w14:textId="68F4DEAB" w:rsidR="00CB4BE0" w:rsidRPr="001A3C3F" w:rsidRDefault="00CB4BE0" w:rsidP="00CB4BE0">
      <w:pPr>
        <w:spacing w:after="0" w:line="240" w:lineRule="auto"/>
        <w:jc w:val="both"/>
        <w:rPr>
          <w:rFonts w:ascii="Verdana" w:hAnsi="Verdana" w:cs="Arial"/>
          <w:b/>
          <w:bCs/>
        </w:rPr>
      </w:pPr>
      <w:r w:rsidRPr="001A3C3F">
        <w:rPr>
          <w:rFonts w:ascii="Verdana" w:hAnsi="Verdana" w:cs="Arial"/>
          <w:b/>
          <w:bCs/>
        </w:rPr>
        <w:t>CONTRATOS REGIDOS POR EL</w:t>
      </w:r>
      <w:r w:rsidRPr="001A3C3F">
        <w:rPr>
          <w:rFonts w:ascii="Verdana" w:hAnsi="Verdana" w:cs="Arial"/>
          <w:b/>
          <w:bCs/>
        </w:rPr>
        <w:t xml:space="preserve"> EGCAP – Requisitos de ejecución </w:t>
      </w:r>
    </w:p>
    <w:p w14:paraId="060C8FB3" w14:textId="77777777" w:rsidR="001A3C3F" w:rsidRDefault="001A3C3F" w:rsidP="00CB4BE0">
      <w:pPr>
        <w:spacing w:after="0" w:line="240" w:lineRule="auto"/>
        <w:jc w:val="both"/>
        <w:rPr>
          <w:rFonts w:ascii="Verdana" w:hAnsi="Verdana" w:cs="Arial"/>
        </w:rPr>
      </w:pPr>
    </w:p>
    <w:p w14:paraId="0C1FC36D" w14:textId="3998F4D4" w:rsidR="001A3C3F" w:rsidRPr="001A3C3F" w:rsidRDefault="001A3C3F" w:rsidP="00CB4BE0">
      <w:pPr>
        <w:spacing w:after="0" w:line="240" w:lineRule="auto"/>
        <w:jc w:val="both"/>
        <w:rPr>
          <w:rFonts w:ascii="Verdana" w:hAnsi="Verdana" w:cs="Arial"/>
          <w:color w:val="000000"/>
          <w:sz w:val="20"/>
          <w:szCs w:val="20"/>
          <w:lang w:val="es-ES"/>
        </w:rPr>
      </w:pPr>
      <w:r w:rsidRPr="001A3C3F">
        <w:rPr>
          <w:rFonts w:ascii="Verdana" w:hAnsi="Verdana" w:cs="Arial"/>
          <w:color w:val="000000"/>
          <w:sz w:val="20"/>
          <w:szCs w:val="20"/>
          <w:lang w:val="es-ES"/>
        </w:rPr>
        <w:t xml:space="preserve">los </w:t>
      </w:r>
      <w:r w:rsidRPr="001A3C3F">
        <w:rPr>
          <w:rFonts w:ascii="Verdana" w:hAnsi="Verdana" w:cs="Arial"/>
          <w:i/>
          <w:iCs/>
          <w:color w:val="000000"/>
          <w:sz w:val="20"/>
          <w:szCs w:val="20"/>
          <w:lang w:val="es-ES"/>
        </w:rPr>
        <w:t xml:space="preserve">requisitos de ejecución </w:t>
      </w:r>
      <w:r w:rsidRPr="001A3C3F">
        <w:rPr>
          <w:rFonts w:ascii="Verdana" w:hAnsi="Verdana" w:cs="Arial"/>
          <w:color w:val="000000"/>
          <w:sz w:val="20"/>
          <w:szCs w:val="20"/>
          <w:lang w:val="es-ES"/>
        </w:rPr>
        <w:t xml:space="preserve">de los contratos estatales pueden ser “legales” o “convencionales”. Los primeros son aquellos que se encuentran previstos en la ley. Los segundos son estipulados por las partes. En otros términos, los </w:t>
      </w:r>
      <w:r w:rsidRPr="001A3C3F">
        <w:rPr>
          <w:rFonts w:ascii="Verdana" w:hAnsi="Verdana" w:cs="Arial"/>
          <w:i/>
          <w:iCs/>
          <w:color w:val="000000"/>
          <w:sz w:val="20"/>
          <w:szCs w:val="20"/>
          <w:lang w:val="es-ES"/>
        </w:rPr>
        <w:t xml:space="preserve">requisitos legales de ejecución </w:t>
      </w:r>
      <w:r w:rsidRPr="001A3C3F">
        <w:rPr>
          <w:rFonts w:ascii="Verdana" w:hAnsi="Verdana" w:cs="Arial"/>
          <w:color w:val="000000"/>
          <w:sz w:val="20"/>
          <w:szCs w:val="20"/>
          <w:lang w:val="es-ES"/>
        </w:rPr>
        <w:t xml:space="preserve">son elementos de la </w:t>
      </w:r>
      <w:r w:rsidRPr="001A3C3F">
        <w:rPr>
          <w:rFonts w:ascii="Verdana" w:hAnsi="Verdana" w:cs="Arial"/>
          <w:i/>
          <w:iCs/>
          <w:color w:val="000000"/>
          <w:sz w:val="20"/>
          <w:szCs w:val="20"/>
          <w:lang w:val="es-ES"/>
        </w:rPr>
        <w:t xml:space="preserve">naturaleza, </w:t>
      </w:r>
      <w:r w:rsidRPr="001A3C3F">
        <w:rPr>
          <w:rFonts w:ascii="Verdana" w:hAnsi="Verdana" w:cs="Arial"/>
          <w:color w:val="000000"/>
          <w:sz w:val="20"/>
          <w:szCs w:val="20"/>
          <w:lang w:val="es-ES"/>
        </w:rPr>
        <w:t xml:space="preserve">mientras que los requisitos </w:t>
      </w:r>
      <w:r w:rsidRPr="001A3C3F">
        <w:rPr>
          <w:rFonts w:ascii="Verdana" w:hAnsi="Verdana" w:cs="Arial"/>
          <w:i/>
          <w:iCs/>
          <w:color w:val="000000"/>
          <w:sz w:val="20"/>
          <w:szCs w:val="20"/>
          <w:lang w:val="es-ES"/>
        </w:rPr>
        <w:t xml:space="preserve">convencionales </w:t>
      </w:r>
      <w:r w:rsidRPr="001A3C3F">
        <w:rPr>
          <w:rFonts w:ascii="Verdana" w:hAnsi="Verdana" w:cs="Arial"/>
          <w:color w:val="000000"/>
          <w:sz w:val="20"/>
          <w:szCs w:val="20"/>
          <w:lang w:val="es-ES"/>
        </w:rPr>
        <w:t xml:space="preserve">de ejecución son elementos </w:t>
      </w:r>
      <w:r w:rsidRPr="001A3C3F">
        <w:rPr>
          <w:rFonts w:ascii="Verdana" w:hAnsi="Verdana" w:cs="Arial"/>
          <w:i/>
          <w:iCs/>
          <w:color w:val="000000"/>
          <w:sz w:val="20"/>
          <w:szCs w:val="20"/>
          <w:lang w:val="es-ES"/>
        </w:rPr>
        <w:t xml:space="preserve">accidentales. </w:t>
      </w:r>
      <w:r w:rsidRPr="001A3C3F">
        <w:rPr>
          <w:rFonts w:ascii="Verdana" w:hAnsi="Verdana" w:cs="Arial"/>
          <w:color w:val="000000"/>
          <w:sz w:val="20"/>
          <w:szCs w:val="20"/>
          <w:lang w:val="es-ES"/>
        </w:rPr>
        <w:t>Para determinar lo anterior, conviene hacer referencia al segundo inciso del artículo 41 de la Ley 80 de 1993, modificado por el artículo 23 de la Ley 1150 de 2007.</w:t>
      </w:r>
    </w:p>
    <w:p w14:paraId="3203B51F" w14:textId="77777777" w:rsidR="001A3C3F" w:rsidRPr="001A3C3F" w:rsidRDefault="001A3C3F" w:rsidP="00CB4BE0">
      <w:pPr>
        <w:spacing w:after="0" w:line="240" w:lineRule="auto"/>
        <w:jc w:val="both"/>
        <w:rPr>
          <w:rFonts w:ascii="Verdana" w:hAnsi="Verdana" w:cs="Arial"/>
          <w:color w:val="000000"/>
          <w:sz w:val="20"/>
          <w:szCs w:val="20"/>
          <w:lang w:val="es-ES"/>
        </w:rPr>
      </w:pPr>
    </w:p>
    <w:p w14:paraId="15CA3761" w14:textId="062D8963" w:rsidR="001A3C3F" w:rsidRPr="001A3C3F" w:rsidRDefault="001A3C3F" w:rsidP="00CB4BE0">
      <w:pPr>
        <w:spacing w:after="0" w:line="240" w:lineRule="auto"/>
        <w:jc w:val="both"/>
        <w:rPr>
          <w:rFonts w:ascii="Verdana" w:hAnsi="Verdana" w:cs="Arial"/>
          <w:color w:val="000000"/>
          <w:sz w:val="20"/>
          <w:szCs w:val="20"/>
          <w:lang w:val="es-ES"/>
        </w:rPr>
      </w:pPr>
      <w:r w:rsidRPr="001A3C3F">
        <w:rPr>
          <w:rFonts w:ascii="Verdana" w:hAnsi="Verdana" w:cs="Arial"/>
          <w:color w:val="000000"/>
          <w:sz w:val="20"/>
          <w:szCs w:val="20"/>
          <w:lang w:val="es-ES"/>
        </w:rPr>
        <w:t>[…]</w:t>
      </w:r>
    </w:p>
    <w:p w14:paraId="398DD465" w14:textId="77777777" w:rsidR="001A3C3F" w:rsidRPr="001A3C3F" w:rsidRDefault="001A3C3F" w:rsidP="00CB4BE0">
      <w:pPr>
        <w:spacing w:after="0" w:line="240" w:lineRule="auto"/>
        <w:jc w:val="both"/>
        <w:rPr>
          <w:rFonts w:ascii="Verdana" w:hAnsi="Verdana" w:cs="Arial"/>
          <w:color w:val="000000"/>
          <w:sz w:val="20"/>
          <w:szCs w:val="20"/>
          <w:lang w:val="es-ES"/>
        </w:rPr>
      </w:pPr>
    </w:p>
    <w:p w14:paraId="2DE3AF75" w14:textId="4C753950" w:rsidR="001A3C3F" w:rsidRPr="001A3C3F" w:rsidRDefault="001A3C3F" w:rsidP="00CB4BE0">
      <w:pPr>
        <w:spacing w:after="0" w:line="240" w:lineRule="auto"/>
        <w:jc w:val="both"/>
        <w:rPr>
          <w:rFonts w:ascii="Verdana" w:hAnsi="Verdana" w:cs="Arial"/>
          <w:sz w:val="20"/>
          <w:szCs w:val="20"/>
        </w:rPr>
      </w:pPr>
      <w:r w:rsidRPr="001A3C3F">
        <w:rPr>
          <w:rFonts w:ascii="Verdana" w:hAnsi="Verdana" w:cs="Arial"/>
          <w:color w:val="000000"/>
          <w:sz w:val="20"/>
          <w:szCs w:val="20"/>
          <w:lang w:val="es-ES"/>
        </w:rPr>
        <w:t xml:space="preserve">[…] </w:t>
      </w:r>
      <w:r w:rsidRPr="001A3C3F">
        <w:rPr>
          <w:rFonts w:ascii="Verdana" w:hAnsi="Verdana" w:cs="Arial"/>
          <w:color w:val="000000"/>
          <w:sz w:val="20"/>
          <w:szCs w:val="20"/>
          <w:lang w:val="es-ES"/>
        </w:rPr>
        <w:t xml:space="preserve">los requisitos </w:t>
      </w:r>
      <w:r w:rsidRPr="001A3C3F">
        <w:rPr>
          <w:rFonts w:ascii="Verdana" w:hAnsi="Verdana" w:cs="Arial"/>
          <w:i/>
          <w:iCs/>
          <w:color w:val="000000"/>
          <w:sz w:val="20"/>
          <w:szCs w:val="20"/>
          <w:lang w:val="es-ES"/>
        </w:rPr>
        <w:t xml:space="preserve">legales de ejecución </w:t>
      </w:r>
      <w:r w:rsidRPr="001A3C3F">
        <w:rPr>
          <w:rFonts w:ascii="Verdana" w:hAnsi="Verdana" w:cs="Arial"/>
          <w:color w:val="000000"/>
          <w:sz w:val="20"/>
          <w:szCs w:val="20"/>
          <w:lang w:val="es-ES"/>
        </w:rPr>
        <w:t>son: (i) la aprobación de las garantías exigidas en el contrato, (</w:t>
      </w:r>
      <w:proofErr w:type="spellStart"/>
      <w:r w:rsidRPr="001A3C3F">
        <w:rPr>
          <w:rFonts w:ascii="Verdana" w:hAnsi="Verdana" w:cs="Arial"/>
          <w:color w:val="000000"/>
          <w:sz w:val="20"/>
          <w:szCs w:val="20"/>
          <w:lang w:val="es-ES"/>
        </w:rPr>
        <w:t>ii</w:t>
      </w:r>
      <w:proofErr w:type="spellEnd"/>
      <w:r w:rsidRPr="001A3C3F">
        <w:rPr>
          <w:rFonts w:ascii="Verdana" w:hAnsi="Verdana" w:cs="Arial"/>
          <w:color w:val="000000"/>
          <w:sz w:val="20"/>
          <w:szCs w:val="20"/>
          <w:lang w:val="es-ES"/>
        </w:rPr>
        <w:t>) la existencia de la apropiación presupuestal correspondiente y (</w:t>
      </w:r>
      <w:proofErr w:type="spellStart"/>
      <w:r w:rsidRPr="001A3C3F">
        <w:rPr>
          <w:rFonts w:ascii="Verdana" w:hAnsi="Verdana" w:cs="Arial"/>
          <w:color w:val="000000"/>
          <w:sz w:val="20"/>
          <w:szCs w:val="20"/>
          <w:lang w:val="es-ES"/>
        </w:rPr>
        <w:t>iii</w:t>
      </w:r>
      <w:proofErr w:type="spellEnd"/>
      <w:r w:rsidRPr="001A3C3F">
        <w:rPr>
          <w:rFonts w:ascii="Verdana" w:hAnsi="Verdana" w:cs="Arial"/>
          <w:color w:val="000000"/>
          <w:sz w:val="20"/>
          <w:szCs w:val="20"/>
          <w:lang w:val="es-ES"/>
        </w:rPr>
        <w:t>) la acreditación del cumplimiento de las obligaciones con el Sistema de Seguridad Social Integral.</w:t>
      </w:r>
    </w:p>
    <w:p w14:paraId="111B7632" w14:textId="77777777" w:rsidR="001A3C3F" w:rsidRDefault="001A3C3F" w:rsidP="00CB4BE0">
      <w:pPr>
        <w:spacing w:after="0" w:line="240" w:lineRule="auto"/>
        <w:jc w:val="both"/>
        <w:rPr>
          <w:rFonts w:ascii="Verdana" w:hAnsi="Verdana" w:cs="Arial"/>
        </w:rPr>
      </w:pPr>
    </w:p>
    <w:p w14:paraId="1B28D3BB" w14:textId="2834EAAB" w:rsidR="00CB4BE0" w:rsidRPr="001A3C3F" w:rsidRDefault="00CB4BE0" w:rsidP="00CB4BE0">
      <w:pPr>
        <w:spacing w:after="0" w:line="240" w:lineRule="auto"/>
        <w:jc w:val="both"/>
        <w:rPr>
          <w:rFonts w:ascii="Verdana" w:hAnsi="Verdana" w:cs="Arial"/>
          <w:b/>
          <w:bCs/>
        </w:rPr>
      </w:pPr>
      <w:r w:rsidRPr="001A3C3F">
        <w:rPr>
          <w:rFonts w:ascii="Verdana" w:hAnsi="Verdana" w:cs="Arial"/>
          <w:b/>
          <w:bCs/>
        </w:rPr>
        <w:t xml:space="preserve">CONTRATOS REGIDOS POR EL EGCAP – Registro presupuestal   </w:t>
      </w:r>
    </w:p>
    <w:p w14:paraId="4D036BF1" w14:textId="77777777" w:rsidR="001A3C3F" w:rsidRDefault="001A3C3F" w:rsidP="00CB4BE0">
      <w:pPr>
        <w:spacing w:after="0" w:line="240" w:lineRule="auto"/>
        <w:jc w:val="both"/>
        <w:rPr>
          <w:rFonts w:ascii="Verdana" w:hAnsi="Verdana" w:cs="Arial"/>
        </w:rPr>
      </w:pPr>
    </w:p>
    <w:p w14:paraId="13C785CC" w14:textId="68649024" w:rsidR="001A3C3F" w:rsidRDefault="001A3C3F" w:rsidP="00CB4BE0">
      <w:pPr>
        <w:spacing w:after="0" w:line="240" w:lineRule="auto"/>
        <w:jc w:val="both"/>
        <w:rPr>
          <w:rFonts w:ascii="Verdana" w:hAnsi="Verdana" w:cs="Arial"/>
          <w:color w:val="000000"/>
          <w:sz w:val="20"/>
          <w:szCs w:val="20"/>
        </w:rPr>
      </w:pPr>
      <w:r w:rsidRPr="001A3C3F">
        <w:rPr>
          <w:rFonts w:ascii="Verdana" w:hAnsi="Verdana" w:cs="Arial"/>
          <w:color w:val="000000"/>
          <w:sz w:val="20"/>
          <w:szCs w:val="20"/>
        </w:rPr>
        <w:t>En cuanto al registro presupuestal en los contratos regidos por el Estatuto General de Contratación de la Administración Pública, este es necesario para iniciar la ejecución del contrato, una vez se tenga definido el valor y el plazo.</w:t>
      </w:r>
    </w:p>
    <w:p w14:paraId="5F99B43A" w14:textId="77777777" w:rsidR="001A3C3F" w:rsidRDefault="001A3C3F" w:rsidP="00CB4BE0">
      <w:pPr>
        <w:spacing w:after="0" w:line="240" w:lineRule="auto"/>
        <w:jc w:val="both"/>
        <w:rPr>
          <w:rFonts w:ascii="Verdana" w:hAnsi="Verdana" w:cs="Arial"/>
          <w:color w:val="000000"/>
          <w:sz w:val="20"/>
          <w:szCs w:val="20"/>
        </w:rPr>
      </w:pPr>
    </w:p>
    <w:p w14:paraId="71EF5616" w14:textId="0FDE5619" w:rsidR="001A3C3F" w:rsidRDefault="001A3C3F" w:rsidP="00CB4BE0">
      <w:pPr>
        <w:spacing w:after="0" w:line="240" w:lineRule="auto"/>
        <w:jc w:val="both"/>
        <w:rPr>
          <w:rFonts w:ascii="Verdana" w:hAnsi="Verdana" w:cs="Arial"/>
          <w:color w:val="000000"/>
          <w:sz w:val="20"/>
          <w:szCs w:val="20"/>
        </w:rPr>
      </w:pPr>
      <w:r>
        <w:rPr>
          <w:rFonts w:ascii="Verdana" w:hAnsi="Verdana" w:cs="Arial"/>
          <w:color w:val="000000"/>
          <w:sz w:val="20"/>
          <w:szCs w:val="20"/>
        </w:rPr>
        <w:t>[…]</w:t>
      </w:r>
    </w:p>
    <w:p w14:paraId="2A80ABB4" w14:textId="77777777" w:rsidR="001A3C3F" w:rsidRDefault="001A3C3F" w:rsidP="00CB4BE0">
      <w:pPr>
        <w:spacing w:after="0" w:line="240" w:lineRule="auto"/>
        <w:jc w:val="both"/>
        <w:rPr>
          <w:rFonts w:ascii="Verdana" w:hAnsi="Verdana" w:cs="Arial"/>
          <w:color w:val="000000"/>
          <w:sz w:val="20"/>
          <w:szCs w:val="20"/>
        </w:rPr>
      </w:pPr>
    </w:p>
    <w:p w14:paraId="544FB12A" w14:textId="20C3BAB4" w:rsidR="001A3C3F" w:rsidRPr="001A3C3F" w:rsidRDefault="001A3C3F" w:rsidP="001A3C3F">
      <w:pPr>
        <w:spacing w:after="0" w:line="240" w:lineRule="auto"/>
        <w:jc w:val="both"/>
        <w:rPr>
          <w:rFonts w:ascii="Verdana" w:hAnsi="Verdana" w:cs="Arial"/>
          <w:sz w:val="20"/>
          <w:szCs w:val="20"/>
        </w:rPr>
      </w:pPr>
      <w:r w:rsidRPr="001A3C3F">
        <w:rPr>
          <w:rFonts w:ascii="Verdana" w:hAnsi="Verdana" w:cs="Arial"/>
          <w:sz w:val="20"/>
          <w:szCs w:val="20"/>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5AAAD45A" w14:textId="77777777" w:rsidR="00CB4BE0" w:rsidRDefault="00CB4BE0" w:rsidP="00B96323">
      <w:pPr>
        <w:spacing w:after="0"/>
        <w:rPr>
          <w:rFonts w:ascii="Verdana" w:eastAsia="Verdana" w:hAnsi="Verdana" w:cs="Verdana"/>
        </w:rPr>
      </w:pPr>
    </w:p>
    <w:p w14:paraId="7E0504CA" w14:textId="77777777" w:rsidR="001A3C3F" w:rsidRDefault="001A3C3F" w:rsidP="00B96323">
      <w:pPr>
        <w:spacing w:after="0"/>
        <w:rPr>
          <w:rFonts w:ascii="Verdana" w:eastAsia="Verdana" w:hAnsi="Verdana" w:cs="Verdana"/>
        </w:rPr>
      </w:pPr>
    </w:p>
    <w:p w14:paraId="0900359A" w14:textId="77777777" w:rsidR="001A3C3F" w:rsidRDefault="001A3C3F" w:rsidP="00B96323">
      <w:pPr>
        <w:spacing w:after="0"/>
        <w:rPr>
          <w:rFonts w:ascii="Verdana" w:eastAsia="Verdana" w:hAnsi="Verdana" w:cs="Verdana"/>
        </w:rPr>
      </w:pPr>
    </w:p>
    <w:p w14:paraId="0CD3A7AC" w14:textId="77777777" w:rsidR="001A3C3F" w:rsidRDefault="001A3C3F" w:rsidP="00B96323">
      <w:pPr>
        <w:spacing w:after="0"/>
        <w:rPr>
          <w:rFonts w:ascii="Verdana" w:eastAsia="Verdana" w:hAnsi="Verdana" w:cs="Verdana"/>
        </w:rPr>
      </w:pPr>
    </w:p>
    <w:p w14:paraId="1DCB49D3" w14:textId="77777777" w:rsidR="001A3C3F" w:rsidRDefault="001A3C3F" w:rsidP="00B96323">
      <w:pPr>
        <w:spacing w:after="0"/>
        <w:rPr>
          <w:rFonts w:ascii="Verdana" w:eastAsia="Verdana" w:hAnsi="Verdana" w:cs="Verdana"/>
        </w:rPr>
      </w:pPr>
    </w:p>
    <w:p w14:paraId="7F153BF1" w14:textId="77777777" w:rsidR="001A3C3F" w:rsidRDefault="001A3C3F" w:rsidP="00B96323">
      <w:pPr>
        <w:spacing w:after="0"/>
        <w:rPr>
          <w:rFonts w:ascii="Verdana" w:eastAsia="Verdana" w:hAnsi="Verdana" w:cs="Verdana"/>
        </w:rPr>
      </w:pPr>
    </w:p>
    <w:p w14:paraId="3DFFCBA7" w14:textId="77777777" w:rsidR="001A3C3F" w:rsidRDefault="001A3C3F" w:rsidP="00B96323">
      <w:pPr>
        <w:spacing w:after="0"/>
        <w:rPr>
          <w:rFonts w:ascii="Verdana" w:eastAsia="Verdana" w:hAnsi="Verdana" w:cs="Verdana"/>
        </w:rPr>
      </w:pPr>
    </w:p>
    <w:p w14:paraId="133F8B3F" w14:textId="77777777" w:rsidR="001A3C3F" w:rsidRDefault="001A3C3F" w:rsidP="00B96323">
      <w:pPr>
        <w:spacing w:after="0"/>
        <w:rPr>
          <w:rFonts w:ascii="Verdana" w:eastAsia="Verdana" w:hAnsi="Verdana" w:cs="Verdana"/>
        </w:rPr>
      </w:pPr>
    </w:p>
    <w:p w14:paraId="77B33070" w14:textId="77777777" w:rsidR="001A3C3F" w:rsidRDefault="001A3C3F" w:rsidP="00B96323">
      <w:pPr>
        <w:spacing w:after="0"/>
        <w:rPr>
          <w:rFonts w:ascii="Verdana" w:eastAsia="Verdana" w:hAnsi="Verdana" w:cs="Verdana"/>
        </w:rPr>
      </w:pPr>
    </w:p>
    <w:p w14:paraId="72F4810F" w14:textId="77777777" w:rsidR="001A3C3F" w:rsidRDefault="001A3C3F" w:rsidP="00B96323">
      <w:pPr>
        <w:spacing w:after="0"/>
        <w:rPr>
          <w:rFonts w:ascii="Verdana" w:eastAsia="Verdana" w:hAnsi="Verdana" w:cs="Verdana"/>
        </w:rPr>
      </w:pPr>
    </w:p>
    <w:p w14:paraId="37F51C58" w14:textId="77777777" w:rsidR="001A3C3F" w:rsidRDefault="001A3C3F" w:rsidP="00B96323">
      <w:pPr>
        <w:spacing w:after="0"/>
        <w:rPr>
          <w:rFonts w:ascii="Verdana" w:eastAsia="Verdana" w:hAnsi="Verdana" w:cs="Verdana"/>
        </w:rPr>
      </w:pPr>
    </w:p>
    <w:p w14:paraId="17B1D36C" w14:textId="77777777" w:rsidR="001A3C3F" w:rsidRDefault="001A3C3F" w:rsidP="00B96323">
      <w:pPr>
        <w:spacing w:after="0"/>
        <w:rPr>
          <w:rFonts w:ascii="Verdana" w:eastAsia="Verdana" w:hAnsi="Verdana" w:cs="Verdana"/>
        </w:rPr>
      </w:pPr>
    </w:p>
    <w:p w14:paraId="0DD74575" w14:textId="77777777" w:rsidR="001A3C3F" w:rsidRDefault="001A3C3F" w:rsidP="00B96323">
      <w:pPr>
        <w:spacing w:after="0"/>
        <w:rPr>
          <w:rFonts w:ascii="Verdana" w:eastAsia="Verdana" w:hAnsi="Verdana" w:cs="Verdana"/>
        </w:rPr>
      </w:pPr>
    </w:p>
    <w:p w14:paraId="39F71E92" w14:textId="77777777" w:rsidR="001A3C3F" w:rsidRDefault="001A3C3F" w:rsidP="00B96323">
      <w:pPr>
        <w:spacing w:after="0"/>
        <w:rPr>
          <w:rFonts w:ascii="Verdana" w:eastAsia="Verdana" w:hAnsi="Verdana" w:cs="Verdana"/>
        </w:rPr>
      </w:pPr>
    </w:p>
    <w:p w14:paraId="735597C3" w14:textId="77777777" w:rsidR="001A3C3F" w:rsidRDefault="001A3C3F" w:rsidP="00B96323">
      <w:pPr>
        <w:spacing w:after="0"/>
        <w:rPr>
          <w:rFonts w:ascii="Verdana" w:eastAsia="Verdana" w:hAnsi="Verdana" w:cs="Verdana"/>
        </w:rPr>
      </w:pPr>
    </w:p>
    <w:p w14:paraId="250861A4" w14:textId="77777777" w:rsidR="001A3C3F" w:rsidRDefault="001A3C3F" w:rsidP="00B96323">
      <w:pPr>
        <w:spacing w:after="0"/>
        <w:rPr>
          <w:rFonts w:ascii="Verdana" w:eastAsia="Verdana" w:hAnsi="Verdana" w:cs="Verdana"/>
        </w:rPr>
      </w:pPr>
    </w:p>
    <w:p w14:paraId="2365F279" w14:textId="77777777" w:rsidR="001A3C3F" w:rsidRDefault="001A3C3F" w:rsidP="00B96323">
      <w:pPr>
        <w:spacing w:after="0"/>
        <w:rPr>
          <w:rFonts w:ascii="Verdana" w:eastAsia="Verdana" w:hAnsi="Verdana" w:cs="Verdana"/>
        </w:rPr>
      </w:pPr>
    </w:p>
    <w:p w14:paraId="2A248323" w14:textId="77777777" w:rsidR="001A3C3F" w:rsidRDefault="001A3C3F" w:rsidP="00B96323">
      <w:pPr>
        <w:spacing w:after="0"/>
        <w:rPr>
          <w:rFonts w:ascii="Verdana" w:eastAsia="Verdana" w:hAnsi="Verdana" w:cs="Verdana"/>
        </w:rPr>
      </w:pPr>
    </w:p>
    <w:p w14:paraId="68255213" w14:textId="77777777" w:rsidR="001A3C3F" w:rsidRDefault="001A3C3F" w:rsidP="00B96323">
      <w:pPr>
        <w:spacing w:after="0"/>
        <w:rPr>
          <w:rFonts w:ascii="Verdana" w:eastAsia="Verdana" w:hAnsi="Verdana" w:cs="Verdana"/>
        </w:rPr>
      </w:pPr>
    </w:p>
    <w:p w14:paraId="49DA8040" w14:textId="77777777" w:rsidR="001A3C3F" w:rsidRDefault="001A3C3F" w:rsidP="00B96323">
      <w:pPr>
        <w:spacing w:after="0"/>
        <w:rPr>
          <w:rFonts w:ascii="Verdana" w:eastAsia="Verdana" w:hAnsi="Verdana" w:cs="Verdana"/>
        </w:rPr>
      </w:pPr>
    </w:p>
    <w:p w14:paraId="12B2E08D" w14:textId="77777777" w:rsidR="001A3C3F" w:rsidRDefault="001A3C3F" w:rsidP="00B96323">
      <w:pPr>
        <w:spacing w:after="0"/>
        <w:rPr>
          <w:rFonts w:ascii="Verdana" w:eastAsia="Verdana" w:hAnsi="Verdana" w:cs="Verdana"/>
        </w:rPr>
      </w:pPr>
    </w:p>
    <w:p w14:paraId="590950B7" w14:textId="77777777" w:rsidR="001A3C3F" w:rsidRDefault="001A3C3F" w:rsidP="00B96323">
      <w:pPr>
        <w:spacing w:after="0"/>
        <w:rPr>
          <w:rFonts w:ascii="Verdana" w:eastAsia="Verdana" w:hAnsi="Verdana" w:cs="Verdana"/>
        </w:rPr>
      </w:pPr>
    </w:p>
    <w:p w14:paraId="7CBBEE9C" w14:textId="735D300D" w:rsidR="00E4260A" w:rsidRDefault="00C15139" w:rsidP="00B96323">
      <w:pPr>
        <w:spacing w:after="0"/>
        <w:rPr>
          <w:rFonts w:ascii="Verdana" w:eastAsia="Verdana" w:hAnsi="Verdana" w:cs="Verdana"/>
        </w:rPr>
      </w:pPr>
      <w:r w:rsidRPr="30821638">
        <w:rPr>
          <w:rFonts w:ascii="Verdana" w:eastAsia="Verdana" w:hAnsi="Verdana" w:cs="Verdana"/>
        </w:rPr>
        <w:t xml:space="preserve">Bogotá D.C., </w:t>
      </w:r>
      <w:r w:rsidR="00E4260A">
        <w:rPr>
          <w:rFonts w:ascii="Verdana" w:eastAsia="Verdana" w:hAnsi="Verdana" w:cs="Verdana"/>
        </w:rPr>
        <w:t xml:space="preserve">23 </w:t>
      </w:r>
      <w:proofErr w:type="gramStart"/>
      <w:r w:rsidR="00E4260A">
        <w:rPr>
          <w:rFonts w:ascii="Verdana" w:eastAsia="Verdana" w:hAnsi="Verdana" w:cs="Verdana"/>
        </w:rPr>
        <w:t>Abril</w:t>
      </w:r>
      <w:proofErr w:type="gramEnd"/>
      <w:r w:rsidR="00E4260A">
        <w:rPr>
          <w:rFonts w:ascii="Verdana" w:eastAsia="Verdana" w:hAnsi="Verdana" w:cs="Verdana"/>
        </w:rPr>
        <w:t xml:space="preserve"> 2026</w:t>
      </w:r>
    </w:p>
    <w:p w14:paraId="49E726A4" w14:textId="7FF0C149" w:rsidR="00B96323" w:rsidRPr="001A3D1E" w:rsidRDefault="00E4260A" w:rsidP="00E4260A">
      <w:pPr>
        <w:spacing w:after="0"/>
        <w:jc w:val="right"/>
      </w:pPr>
      <w:r w:rsidRPr="00E4260A">
        <w:drawing>
          <wp:inline distT="0" distB="0" distL="0" distR="0" wp14:anchorId="523400FC" wp14:editId="4D2C8F3A">
            <wp:extent cx="1817370" cy="440086"/>
            <wp:effectExtent l="0" t="0" r="0" b="0"/>
            <wp:docPr id="3846308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0808" name=""/>
                    <pic:cNvPicPr/>
                  </pic:nvPicPr>
                  <pic:blipFill>
                    <a:blip r:embed="rId10"/>
                    <a:stretch>
                      <a:fillRect/>
                    </a:stretch>
                  </pic:blipFill>
                  <pic:spPr>
                    <a:xfrm>
                      <a:off x="0" y="0"/>
                      <a:ext cx="1897056" cy="459382"/>
                    </a:xfrm>
                    <a:prstGeom prst="rect">
                      <a:avLst/>
                    </a:prstGeom>
                  </pic:spPr>
                </pic:pic>
              </a:graphicData>
            </a:graphic>
          </wp:inline>
        </w:drawing>
      </w:r>
      <w:r w:rsidR="00C15139">
        <w:tab/>
      </w:r>
      <w:r w:rsidR="00C15139">
        <w:br/>
      </w:r>
      <w:r w:rsidR="00B96323">
        <w:tab/>
      </w:r>
      <w:r w:rsidR="00B96323">
        <w:tab/>
      </w:r>
      <w:bookmarkStart w:id="1" w:name="_Hlk214366482"/>
    </w:p>
    <w:p w14:paraId="43C24E00" w14:textId="77777777" w:rsidR="00B96323" w:rsidRDefault="00B96323" w:rsidP="00B96323">
      <w:pPr>
        <w:spacing w:after="0" w:line="240" w:lineRule="auto"/>
        <w:jc w:val="both"/>
        <w:rPr>
          <w:rFonts w:ascii="Verdana" w:eastAsia="Calibri" w:hAnsi="Verdana" w:cs="Arial"/>
          <w:b/>
          <w:bCs/>
          <w:lang w:eastAsia="es-ES"/>
        </w:rPr>
      </w:pPr>
      <w:r>
        <w:rPr>
          <w:rFonts w:ascii="Verdana" w:eastAsia="Calibri" w:hAnsi="Verdana" w:cs="Arial"/>
          <w:b/>
          <w:bCs/>
          <w:lang w:eastAsia="es-ES"/>
        </w:rPr>
        <w:t>Señor</w:t>
      </w:r>
    </w:p>
    <w:p w14:paraId="10372979" w14:textId="77777777" w:rsidR="00B96323" w:rsidRPr="00427DAF" w:rsidRDefault="00B96323" w:rsidP="00B96323">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Fernando Mauricio Iglesias Gaona </w:t>
      </w:r>
    </w:p>
    <w:p w14:paraId="2F3EC7C5" w14:textId="77777777" w:rsidR="00B96323" w:rsidRPr="00783BFE" w:rsidRDefault="00B96323" w:rsidP="00B96323">
      <w:pPr>
        <w:spacing w:after="0" w:line="240" w:lineRule="auto"/>
        <w:jc w:val="both"/>
        <w:rPr>
          <w:rFonts w:ascii="Verdana" w:hAnsi="Verdana"/>
          <w:b/>
          <w:bCs/>
        </w:rPr>
      </w:pPr>
      <w:hyperlink r:id="rId11" w:history="1">
        <w:r w:rsidRPr="00783BFE">
          <w:rPr>
            <w:rStyle w:val="Hipervnculo"/>
            <w:rFonts w:ascii="Verdana" w:hAnsi="Verdana"/>
            <w:b/>
            <w:bCs/>
          </w:rPr>
          <w:t>frenandoiglesias@gmail.com</w:t>
        </w:r>
      </w:hyperlink>
    </w:p>
    <w:p w14:paraId="1682AEFB" w14:textId="77777777" w:rsidR="00B96323" w:rsidRPr="00A75807" w:rsidRDefault="00B96323" w:rsidP="00B96323">
      <w:pPr>
        <w:spacing w:after="0" w:line="240" w:lineRule="auto"/>
        <w:jc w:val="both"/>
        <w:rPr>
          <w:rFonts w:ascii="Verdana" w:hAnsi="Verdana"/>
        </w:rPr>
      </w:pPr>
      <w:r>
        <w:rPr>
          <w:rFonts w:ascii="Verdana" w:hAnsi="Verdana"/>
        </w:rPr>
        <w:t>Neiva - Huila</w:t>
      </w:r>
    </w:p>
    <w:p w14:paraId="2E7F8191" w14:textId="77777777" w:rsidR="00B96323" w:rsidRPr="00A75807" w:rsidRDefault="00B96323" w:rsidP="00B96323">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96323" w:rsidRPr="005644FE" w14:paraId="2488E887" w14:textId="77777777" w:rsidTr="00B5338C">
        <w:trPr>
          <w:trHeight w:val="162"/>
        </w:trPr>
        <w:tc>
          <w:tcPr>
            <w:tcW w:w="3119" w:type="dxa"/>
          </w:tcPr>
          <w:p w14:paraId="6C9A5BDC" w14:textId="77777777" w:rsidR="00B96323" w:rsidRPr="00A75807" w:rsidRDefault="00B96323" w:rsidP="00B5338C">
            <w:pPr>
              <w:jc w:val="both"/>
              <w:rPr>
                <w:rFonts w:ascii="Verdana" w:eastAsia="Calibri" w:hAnsi="Verdana" w:cs="Arial"/>
                <w:b/>
                <w:bCs/>
                <w:color w:val="7030A0"/>
                <w:lang w:eastAsia="es-ES_tradnl"/>
              </w:rPr>
            </w:pPr>
          </w:p>
        </w:tc>
        <w:tc>
          <w:tcPr>
            <w:tcW w:w="5670" w:type="dxa"/>
          </w:tcPr>
          <w:p w14:paraId="78C2EBFF" w14:textId="77777777" w:rsidR="00B96323" w:rsidRPr="005644FE" w:rsidRDefault="00B96323" w:rsidP="00B5338C">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398 de 2026</w:t>
            </w:r>
          </w:p>
          <w:p w14:paraId="68E49730" w14:textId="77777777" w:rsidR="00B96323" w:rsidRPr="005644FE" w:rsidRDefault="00B96323" w:rsidP="00B5338C">
            <w:pPr>
              <w:jc w:val="both"/>
              <w:rPr>
                <w:rFonts w:ascii="Verdana" w:eastAsia="Calibri" w:hAnsi="Verdana" w:cs="Arial"/>
                <w:b/>
                <w:bCs/>
                <w:color w:val="7030A0"/>
                <w:lang w:eastAsia="es-ES"/>
              </w:rPr>
            </w:pPr>
          </w:p>
        </w:tc>
      </w:tr>
      <w:tr w:rsidR="00B96323" w:rsidRPr="005644FE" w14:paraId="63F81CBB" w14:textId="77777777" w:rsidTr="00B5338C">
        <w:trPr>
          <w:trHeight w:val="884"/>
        </w:trPr>
        <w:tc>
          <w:tcPr>
            <w:tcW w:w="3119" w:type="dxa"/>
          </w:tcPr>
          <w:p w14:paraId="334D3F96" w14:textId="77777777" w:rsidR="00B96323" w:rsidRPr="005644FE" w:rsidRDefault="00B96323" w:rsidP="00B5338C">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04379913" w14:textId="135E770C" w:rsidR="00B96323" w:rsidRPr="00E4260A" w:rsidRDefault="00B96323" w:rsidP="00B5338C">
            <w:pPr>
              <w:spacing w:line="276" w:lineRule="auto"/>
              <w:jc w:val="both"/>
              <w:rPr>
                <w:rFonts w:ascii="Verdana" w:hAnsi="Verdana" w:cs="Arial"/>
              </w:rPr>
            </w:pPr>
            <w:r w:rsidRPr="00564AAD">
              <w:rPr>
                <w:rFonts w:ascii="Verdana" w:hAnsi="Verdana" w:cs="Arial"/>
              </w:rPr>
              <w:t xml:space="preserve">UNIVERSIDADES PÚBLICAS – </w:t>
            </w:r>
            <w:r>
              <w:rPr>
                <w:rFonts w:ascii="Verdana" w:hAnsi="Verdana" w:cs="Arial"/>
              </w:rPr>
              <w:t>Autonomía / UNIVERSIDADES PÚBLICAS – Naturaleza jurídica /</w:t>
            </w:r>
            <w:r w:rsidRPr="00564AAD">
              <w:rPr>
                <w:rFonts w:ascii="Verdana" w:hAnsi="Verdana" w:cs="Arial"/>
              </w:rPr>
              <w:t xml:space="preserve"> </w:t>
            </w:r>
            <w:r>
              <w:rPr>
                <w:rFonts w:ascii="Verdana" w:hAnsi="Verdana" w:cs="Arial"/>
              </w:rPr>
              <w:t xml:space="preserve">UNIVERSIDADES PÚBLICAS </w:t>
            </w:r>
            <w:r w:rsidRPr="00564AAD">
              <w:rPr>
                <w:rFonts w:ascii="Verdana" w:hAnsi="Verdana" w:cs="Arial"/>
              </w:rPr>
              <w:t>– Régimen de contratación</w:t>
            </w:r>
            <w:r>
              <w:rPr>
                <w:rFonts w:ascii="Verdana" w:hAnsi="Verdana" w:cs="Arial"/>
              </w:rPr>
              <w:t xml:space="preserve"> – Manuales de contratación / UNIVERSIDADES PÚBLICAS – Aplicación principios de la función pública – Régimen de inhabilidades e incompatibilidades – Control fiscal / CONTRATOS REGIDOS POR EL EGCAP – Requisitos de perfeccionamiento – Requisitos de Ejecución / CONTRATOS REGIDOS POR EL EGCAP – Solemne / contratos regidos por el EGCAP – Requisitos de ejecución / CONTRATOS REGIDOS POR EL EGCAP – Registro presupuestal   </w:t>
            </w:r>
          </w:p>
        </w:tc>
      </w:tr>
      <w:tr w:rsidR="00B96323" w:rsidRPr="005644FE" w14:paraId="66913DEC" w14:textId="77777777" w:rsidTr="00B5338C">
        <w:tc>
          <w:tcPr>
            <w:tcW w:w="3119" w:type="dxa"/>
          </w:tcPr>
          <w:p w14:paraId="40731FEE" w14:textId="77777777" w:rsidR="00B96323" w:rsidRPr="005644FE" w:rsidRDefault="00B96323" w:rsidP="00B5338C">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B9CB9D1" w14:textId="77777777" w:rsidR="00B96323" w:rsidRPr="00F04657" w:rsidRDefault="00B96323" w:rsidP="00B5338C">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783BFE">
              <w:rPr>
                <w:rFonts w:ascii="Verdana" w:eastAsia="Calibri" w:hAnsi="Verdana" w:cs="Arial"/>
                <w:lang w:eastAsia="es-ES_tradnl"/>
              </w:rPr>
              <w:t>1_2026_03_11_003418</w:t>
            </w:r>
            <w:r>
              <w:rPr>
                <w:rFonts w:ascii="Verdana" w:eastAsia="Calibri" w:hAnsi="Verdana" w:cs="Arial"/>
                <w:lang w:eastAsia="es-ES_tradnl"/>
              </w:rPr>
              <w:t xml:space="preserve"> </w:t>
            </w:r>
          </w:p>
        </w:tc>
      </w:tr>
    </w:tbl>
    <w:p w14:paraId="6D016D02" w14:textId="77777777" w:rsidR="00B96323" w:rsidRPr="005644FE" w:rsidRDefault="00B96323" w:rsidP="00B96323">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6ABFE39B" w14:textId="77777777" w:rsidR="00B96323" w:rsidRPr="005644FE" w:rsidRDefault="00B96323" w:rsidP="00B96323">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Iglesias: </w:t>
      </w:r>
    </w:p>
    <w:p w14:paraId="5E8B9124" w14:textId="77777777" w:rsidR="00B96323" w:rsidRPr="00783BFE" w:rsidRDefault="00B96323" w:rsidP="00B96323">
      <w:pPr>
        <w:spacing w:after="0" w:line="276" w:lineRule="auto"/>
        <w:jc w:val="both"/>
      </w:pPr>
    </w:p>
    <w:p w14:paraId="2B4BF822" w14:textId="77777777" w:rsidR="00B96323" w:rsidRDefault="00B96323" w:rsidP="00B96323">
      <w:pPr>
        <w:spacing w:after="12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 solicitud de consulta de fecha</w:t>
      </w:r>
      <w:r>
        <w:rPr>
          <w:rFonts w:ascii="Verdana" w:eastAsia="Calibri" w:hAnsi="Verdana" w:cs="Arial"/>
          <w:lang w:eastAsia="es-ES"/>
        </w:rPr>
        <w:t xml:space="preserve"> 11 de marzo de 2026, </w:t>
      </w:r>
      <w:r w:rsidRPr="005644FE">
        <w:rPr>
          <w:rFonts w:ascii="Verdana" w:eastAsia="Calibri" w:hAnsi="Verdana" w:cs="Arial"/>
          <w:lang w:eastAsia="es-ES"/>
        </w:rPr>
        <w:t>en la cual manifiesta lo siguiente:</w:t>
      </w:r>
    </w:p>
    <w:p w14:paraId="23D40341" w14:textId="77777777" w:rsidR="001A3D1E" w:rsidRDefault="001A3D1E" w:rsidP="001A3D1E">
      <w:pPr>
        <w:spacing w:after="0" w:line="240" w:lineRule="auto"/>
        <w:jc w:val="both"/>
        <w:rPr>
          <w:rFonts w:ascii="Verdana" w:hAnsi="Verdana"/>
        </w:rPr>
      </w:pPr>
    </w:p>
    <w:p w14:paraId="1C7AF2F7" w14:textId="061662AC" w:rsidR="00B96323" w:rsidRPr="00886C89" w:rsidRDefault="00B96323" w:rsidP="00B96323">
      <w:pPr>
        <w:spacing w:after="120" w:line="276" w:lineRule="auto"/>
        <w:jc w:val="both"/>
        <w:rPr>
          <w:rFonts w:ascii="Verdana" w:eastAsia="Calibri" w:hAnsi="Verdana" w:cs="Arial"/>
          <w:lang w:eastAsia="es-ES"/>
        </w:rPr>
      </w:pPr>
      <w:r w:rsidRPr="00E02524">
        <w:rPr>
          <w:rFonts w:ascii="Verdana" w:hAnsi="Verdana"/>
        </w:rPr>
        <w:t xml:space="preserve">PETICIÓN REALIZADA </w:t>
      </w:r>
    </w:p>
    <w:p w14:paraId="33C7B391" w14:textId="77777777" w:rsidR="00B96323" w:rsidRPr="00B07F38" w:rsidRDefault="00B96323" w:rsidP="00B96323">
      <w:pPr>
        <w:spacing w:after="0" w:line="240" w:lineRule="auto"/>
        <w:ind w:left="709" w:right="709"/>
        <w:jc w:val="both"/>
        <w:rPr>
          <w:rFonts w:ascii="Verdana" w:hAnsi="Verdana"/>
          <w:sz w:val="20"/>
          <w:szCs w:val="20"/>
        </w:rPr>
      </w:pPr>
      <w:r>
        <w:rPr>
          <w:rFonts w:ascii="Verdana" w:hAnsi="Verdana"/>
          <w:sz w:val="20"/>
          <w:szCs w:val="20"/>
        </w:rPr>
        <w:t xml:space="preserve">“(…) </w:t>
      </w:r>
      <w:r w:rsidRPr="00783BFE">
        <w:rPr>
          <w:rFonts w:ascii="Verdana" w:hAnsi="Verdana"/>
          <w:sz w:val="20"/>
          <w:szCs w:val="20"/>
        </w:rPr>
        <w:t xml:space="preserve">El art. 94 de la Ley 30 de 1992, consagra: "ARTÍCULO 94. Para su validez, los contratos que celebren las universidades estatales u oficiales, además del cumplimiento de los requisitos propios de la contratación entre particulares, estarán sujetos a los requisitos de aprobación y registro presupuestal, a la sujeción de los pagos según la suficiencia de las respectivas apropiaciones, publicación en el Diario Oficial y pago del impuesto de timbre nacional cuando a éste haya lugar". </w:t>
      </w:r>
      <w:proofErr w:type="gramStart"/>
      <w:r w:rsidRPr="00783BFE">
        <w:rPr>
          <w:rFonts w:ascii="Verdana" w:hAnsi="Verdana"/>
          <w:sz w:val="20"/>
          <w:szCs w:val="20"/>
        </w:rPr>
        <w:t xml:space="preserve">De </w:t>
      </w:r>
      <w:r>
        <w:rPr>
          <w:rFonts w:ascii="Verdana" w:hAnsi="Verdana"/>
          <w:sz w:val="20"/>
          <w:szCs w:val="20"/>
        </w:rPr>
        <w:t>ahí (sic)</w:t>
      </w:r>
      <w:r w:rsidRPr="00783BFE">
        <w:rPr>
          <w:rFonts w:ascii="Verdana" w:hAnsi="Verdana"/>
          <w:sz w:val="20"/>
          <w:szCs w:val="20"/>
        </w:rPr>
        <w:t xml:space="preserve"> que, a diferencia del art. 41 de la Ley 80 de 1993, el registro presupuestal si</w:t>
      </w:r>
      <w:r>
        <w:rPr>
          <w:rFonts w:ascii="Verdana" w:hAnsi="Verdana"/>
          <w:sz w:val="20"/>
          <w:szCs w:val="20"/>
        </w:rPr>
        <w:t xml:space="preserve"> (sic)</w:t>
      </w:r>
      <w:r w:rsidRPr="00783BFE">
        <w:rPr>
          <w:rFonts w:ascii="Verdana" w:hAnsi="Verdana"/>
          <w:sz w:val="20"/>
          <w:szCs w:val="20"/>
        </w:rPr>
        <w:t xml:space="preserve"> es un requisito de perfeccionamiento del contrato estatal?</w:t>
      </w:r>
      <w:proofErr w:type="gramEnd"/>
      <w:r w:rsidRPr="007B531B">
        <w:rPr>
          <w:rFonts w:ascii="Verdana" w:hAnsi="Verdana"/>
          <w:sz w:val="20"/>
          <w:szCs w:val="20"/>
        </w:rPr>
        <w:t xml:space="preserve"> </w:t>
      </w:r>
      <w:r w:rsidRPr="00B07F38">
        <w:rPr>
          <w:rFonts w:ascii="Verdana" w:hAnsi="Verdana"/>
          <w:sz w:val="20"/>
          <w:szCs w:val="20"/>
        </w:rPr>
        <w:t>(…)”.</w:t>
      </w:r>
    </w:p>
    <w:p w14:paraId="0F40803F" w14:textId="77777777" w:rsidR="00B96323" w:rsidRPr="00647D77" w:rsidRDefault="00B96323" w:rsidP="00B96323">
      <w:pPr>
        <w:spacing w:after="0" w:line="276" w:lineRule="auto"/>
        <w:ind w:left="567" w:right="760"/>
        <w:jc w:val="both"/>
        <w:rPr>
          <w:rFonts w:ascii="Verdana" w:hAnsi="Verdana"/>
        </w:rPr>
      </w:pPr>
    </w:p>
    <w:p w14:paraId="388497B3" w14:textId="77777777" w:rsidR="00B96323" w:rsidRPr="00F64722" w:rsidRDefault="00B96323" w:rsidP="00B96323">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1BC8B50" w14:textId="77777777" w:rsidR="00B96323" w:rsidRPr="00CD3A7B" w:rsidRDefault="00B96323" w:rsidP="00B96323">
      <w:pPr>
        <w:spacing w:after="120" w:line="276" w:lineRule="auto"/>
        <w:ind w:firstLine="709"/>
        <w:jc w:val="both"/>
        <w:rPr>
          <w:rFonts w:ascii="Verdana" w:eastAsia="Calibri" w:hAnsi="Verdana" w:cs="Arial"/>
          <w:lang w:eastAsia="es-ES"/>
        </w:rPr>
      </w:pPr>
      <w:r w:rsidRPr="00CD3A7B">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al problema jurídico de su consulta.</w:t>
      </w:r>
      <w:r w:rsidRPr="00CD3A7B">
        <w:rPr>
          <w:rFonts w:ascii="Verdana" w:eastAsia="Calibri" w:hAnsi="Verdana" w:cs="Arial"/>
          <w:lang w:eastAsia="es-ES"/>
        </w:rPr>
        <w:t xml:space="preserve">  </w:t>
      </w:r>
    </w:p>
    <w:p w14:paraId="49395B5F" w14:textId="77777777" w:rsidR="00B96323" w:rsidRPr="00CD3A7B" w:rsidRDefault="00B96323" w:rsidP="00B96323">
      <w:pPr>
        <w:spacing w:after="120" w:line="276" w:lineRule="auto"/>
        <w:jc w:val="both"/>
        <w:rPr>
          <w:rFonts w:ascii="Verdana" w:eastAsia="Calibri" w:hAnsi="Verdana" w:cs="Arial"/>
          <w:lang w:eastAsia="es-ES"/>
        </w:rPr>
      </w:pPr>
      <w:r w:rsidRPr="00CD3A7B">
        <w:rPr>
          <w:rFonts w:ascii="Verdana" w:eastAsia="Century Gothic" w:hAnsi="Verdana" w:cs="Century Gothic"/>
          <w:b/>
          <w:bCs/>
        </w:rPr>
        <w:t>1. Problema planteado:</w:t>
      </w:r>
    </w:p>
    <w:p w14:paraId="38732726" w14:textId="77777777" w:rsidR="00B96323" w:rsidRPr="00F76FC0" w:rsidRDefault="00B96323" w:rsidP="00B96323">
      <w:pPr>
        <w:spacing w:after="120" w:line="276" w:lineRule="auto"/>
        <w:jc w:val="both"/>
        <w:rPr>
          <w:rFonts w:ascii="Verdana" w:hAnsi="Verdana" w:cs="Arial"/>
        </w:rPr>
      </w:pPr>
      <w:r w:rsidRPr="00CD3A7B">
        <w:rPr>
          <w:rFonts w:ascii="Verdana" w:eastAsia="Calibri" w:hAnsi="Verdana" w:cs="Arial"/>
          <w:color w:val="000000"/>
          <w:lang w:eastAsia="es-ES"/>
        </w:rPr>
        <w:t>De acuerdo con el contenido de su solicitud, esta Agencia resolverá el siguiente problema jurídico: ¿Bajo la Ley 80 de 1993 e</w:t>
      </w:r>
      <w:r w:rsidRPr="00CD3A7B">
        <w:rPr>
          <w:rFonts w:ascii="Verdana" w:hAnsi="Verdana"/>
          <w:lang w:val="es-ES"/>
        </w:rPr>
        <w:t>l registro presupuestal es un requisito de perfeccionamiento o de ejecución diferente a la contratación definida para las universidades estatales u oficiales?</w:t>
      </w:r>
      <w:r>
        <w:rPr>
          <w:rFonts w:ascii="Verdana" w:hAnsi="Verdana"/>
          <w:lang w:val="es-ES"/>
        </w:rPr>
        <w:t xml:space="preserve"> </w:t>
      </w:r>
    </w:p>
    <w:p w14:paraId="21903FEA" w14:textId="249D8F98" w:rsidR="00B96323" w:rsidRDefault="00B96323" w:rsidP="00B96323">
      <w:pPr>
        <w:spacing w:after="0" w:line="276" w:lineRule="auto"/>
        <w:jc w:val="both"/>
        <w:rPr>
          <w:rFonts w:ascii="Verdana" w:hAnsi="Verdana" w:cs="Arial"/>
        </w:rPr>
      </w:pPr>
      <w:r w:rsidRPr="00B33011">
        <w:rPr>
          <w:rFonts w:ascii="Verdana" w:eastAsia="Century Gothic" w:hAnsi="Verdana" w:cs="Century Gothic"/>
          <w:b/>
          <w:bCs/>
        </w:rPr>
        <w:t>2. Respuesta:</w:t>
      </w:r>
    </w:p>
    <w:p w14:paraId="035A1EB2" w14:textId="77777777" w:rsidR="001A3D1E" w:rsidRPr="001A3D1E" w:rsidRDefault="001A3D1E" w:rsidP="00B96323">
      <w:pPr>
        <w:spacing w:after="0" w:line="276" w:lineRule="auto"/>
        <w:jc w:val="both"/>
        <w:rPr>
          <w:rFonts w:ascii="Verdana" w:hAnsi="Verdana" w:cs="Arial"/>
        </w:rPr>
      </w:pPr>
    </w:p>
    <w:tbl>
      <w:tblPr>
        <w:tblStyle w:val="Tablaconcuadrcula"/>
        <w:tblW w:w="0" w:type="auto"/>
        <w:tblLook w:val="04A0" w:firstRow="1" w:lastRow="0" w:firstColumn="1" w:lastColumn="0" w:noHBand="0" w:noVBand="1"/>
      </w:tblPr>
      <w:tblGrid>
        <w:gridCol w:w="8828"/>
      </w:tblGrid>
      <w:tr w:rsidR="00B96323" w:rsidRPr="005644FE" w14:paraId="0DD411A4" w14:textId="77777777" w:rsidTr="00B5338C">
        <w:tc>
          <w:tcPr>
            <w:tcW w:w="8828" w:type="dxa"/>
          </w:tcPr>
          <w:p w14:paraId="35F0CB3A" w14:textId="77777777" w:rsidR="00B96323" w:rsidRDefault="00B96323" w:rsidP="001A3D1E">
            <w:pPr>
              <w:spacing w:after="120" w:line="276" w:lineRule="auto"/>
              <w:jc w:val="both"/>
              <w:rPr>
                <w:rFonts w:ascii="Verdana" w:eastAsia="Calibri" w:hAnsi="Verdana" w:cs="Arial"/>
                <w:color w:val="000000" w:themeColor="text1"/>
                <w:lang w:val="es-ES_tradnl"/>
              </w:rPr>
            </w:pPr>
            <w:r>
              <w:rPr>
                <w:rFonts w:ascii="Verdana" w:hAnsi="Verdana" w:cs="Arial"/>
              </w:rPr>
              <w:t>L</w:t>
            </w:r>
            <w:r w:rsidRPr="00CC7195">
              <w:rPr>
                <w:rFonts w:ascii="Verdana" w:hAnsi="Verdana" w:cs="Arial"/>
                <w:lang w:val="es-MX"/>
              </w:rPr>
              <w:t>os entes universitarios no son entidades que hagan parte de la rama ejecutiva, ni pueden, por tanto, considerarse entidades descentralizadas, sino que gozan de un régimen especial.</w:t>
            </w:r>
            <w:r>
              <w:rPr>
                <w:rFonts w:ascii="Verdana" w:hAnsi="Verdana" w:cs="Arial"/>
                <w:lang w:val="es-MX"/>
              </w:rPr>
              <w:t xml:space="preserve"> </w:t>
            </w:r>
            <w:r>
              <w:rPr>
                <w:rFonts w:ascii="Verdana" w:eastAsia="Calibri" w:hAnsi="Verdana" w:cs="Arial"/>
                <w:color w:val="000000" w:themeColor="text1"/>
                <w:lang w:val="es-ES_tradnl"/>
              </w:rPr>
              <w:t>De conformidad con los</w:t>
            </w:r>
            <w:r w:rsidRPr="00630F7C">
              <w:rPr>
                <w:rFonts w:ascii="Verdana" w:eastAsia="Calibri" w:hAnsi="Verdana" w:cs="Arial"/>
                <w:color w:val="000000" w:themeColor="text1"/>
                <w:lang w:val="es-ES_tradnl"/>
              </w:rPr>
              <w:t xml:space="preserve"> artículo</w:t>
            </w:r>
            <w:r>
              <w:rPr>
                <w:rFonts w:ascii="Verdana" w:eastAsia="Calibri" w:hAnsi="Verdana" w:cs="Arial"/>
                <w:color w:val="000000" w:themeColor="text1"/>
                <w:lang w:val="es-ES_tradnl"/>
              </w:rPr>
              <w:t xml:space="preserve">s 57, </w:t>
            </w:r>
            <w:r w:rsidRPr="00630F7C">
              <w:rPr>
                <w:rFonts w:ascii="Verdana" w:eastAsia="Calibri" w:hAnsi="Verdana" w:cs="Arial"/>
                <w:color w:val="000000" w:themeColor="text1"/>
                <w:lang w:val="es-ES_tradnl"/>
              </w:rPr>
              <w:t xml:space="preserve">93 </w:t>
            </w:r>
            <w:r>
              <w:rPr>
                <w:rFonts w:ascii="Verdana" w:eastAsia="Calibri" w:hAnsi="Verdana" w:cs="Arial"/>
                <w:color w:val="000000" w:themeColor="text1"/>
                <w:lang w:val="es-ES_tradnl"/>
              </w:rPr>
              <w:t>y 94</w:t>
            </w:r>
            <w:r w:rsidRPr="00630F7C">
              <w:rPr>
                <w:rFonts w:ascii="Verdana" w:eastAsia="Calibri" w:hAnsi="Verdana" w:cs="Arial"/>
                <w:color w:val="000000" w:themeColor="text1"/>
                <w:lang w:val="es-ES_tradnl"/>
              </w:rPr>
              <w:t xml:space="preserve"> de la Ley 30 de 1992</w:t>
            </w:r>
            <w:r>
              <w:rPr>
                <w:rFonts w:ascii="Verdana" w:eastAsia="Calibri" w:hAnsi="Verdana" w:cs="Arial"/>
                <w:color w:val="000000" w:themeColor="text1"/>
                <w:lang w:val="es-ES_tradnl"/>
              </w:rPr>
              <w:t>, el régimen de contratación de estos</w:t>
            </w:r>
            <w:r w:rsidRPr="00630F7C">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es</w:t>
            </w:r>
            <w:r w:rsidRPr="00630F7C">
              <w:rPr>
                <w:rFonts w:ascii="Verdana" w:eastAsia="Calibri" w:hAnsi="Verdana" w:cs="Arial"/>
                <w:color w:val="000000" w:themeColor="text1"/>
                <w:lang w:val="es-ES_tradnl"/>
              </w:rPr>
              <w:t xml:space="preserve"> el derecho privado, rigiéndose, por ende, por las normas civiles y comerciales. </w:t>
            </w:r>
            <w:r>
              <w:rPr>
                <w:rFonts w:ascii="Verdana" w:eastAsia="Calibri" w:hAnsi="Verdana" w:cs="Arial"/>
                <w:color w:val="000000" w:themeColor="text1"/>
                <w:lang w:val="es-ES_tradnl"/>
              </w:rPr>
              <w:t xml:space="preserve"> </w:t>
            </w:r>
            <w:r w:rsidRPr="00630F7C">
              <w:rPr>
                <w:rFonts w:ascii="Verdana" w:eastAsia="Calibri" w:hAnsi="Verdana" w:cs="Arial"/>
                <w:color w:val="000000" w:themeColor="text1"/>
                <w:lang w:val="es-ES_tradnl"/>
              </w:rPr>
              <w:t xml:space="preserve">En tal sentido, </w:t>
            </w:r>
            <w:r>
              <w:rPr>
                <w:rFonts w:ascii="Verdana" w:eastAsia="Calibri" w:hAnsi="Verdana" w:cs="Arial"/>
                <w:color w:val="000000" w:themeColor="text1"/>
                <w:lang w:val="es-ES_tradnl"/>
              </w:rPr>
              <w:t xml:space="preserve">los establecimientos de educación superior que tienen esta naturaleza jurídica </w:t>
            </w:r>
            <w:r w:rsidRPr="00630F7C">
              <w:rPr>
                <w:rFonts w:ascii="Verdana" w:eastAsia="Calibri" w:hAnsi="Verdana" w:cs="Arial"/>
                <w:color w:val="000000" w:themeColor="text1"/>
                <w:lang w:val="es-ES_tradnl"/>
              </w:rPr>
              <w:t>son</w:t>
            </w:r>
            <w:r>
              <w:rPr>
                <w:rFonts w:ascii="Verdana" w:eastAsia="Calibri" w:hAnsi="Verdana" w:cs="Arial"/>
                <w:color w:val="000000" w:themeColor="text1"/>
                <w:lang w:val="es-ES_tradnl"/>
              </w:rPr>
              <w:t xml:space="preserve"> considerados</w:t>
            </w:r>
            <w:r w:rsidRPr="00630F7C">
              <w:rPr>
                <w:rFonts w:ascii="Verdana" w:eastAsia="Calibri" w:hAnsi="Verdana" w:cs="Arial"/>
                <w:color w:val="000000" w:themeColor="text1"/>
                <w:lang w:val="es-ES_tradnl"/>
              </w:rPr>
              <w:t xml:space="preserve"> entidades de </w:t>
            </w:r>
            <w:r w:rsidRPr="00C975BF">
              <w:rPr>
                <w:rFonts w:ascii="Verdana" w:eastAsia="Calibri" w:hAnsi="Verdana" w:cs="Arial"/>
                <w:color w:val="000000" w:themeColor="text1"/>
                <w:lang w:val="es-ES_tradnl"/>
              </w:rPr>
              <w:t>régimen especial</w:t>
            </w:r>
            <w:r w:rsidRPr="00630F7C">
              <w:rPr>
                <w:rFonts w:ascii="Verdana" w:eastAsia="Calibri" w:hAnsi="Verdana" w:cs="Arial"/>
                <w:i/>
                <w:iCs/>
                <w:color w:val="000000" w:themeColor="text1"/>
                <w:lang w:val="es-ES_tradnl"/>
              </w:rPr>
              <w:t xml:space="preserve"> </w:t>
            </w:r>
            <w:r w:rsidRPr="00630F7C">
              <w:rPr>
                <w:rFonts w:ascii="Verdana" w:eastAsia="Calibri" w:hAnsi="Verdana" w:cs="Arial"/>
                <w:color w:val="000000" w:themeColor="text1"/>
                <w:lang w:val="es-ES_tradnl"/>
              </w:rPr>
              <w:t>en materia contractual, por estar exceptuadas de la aplicación del EGCAP</w:t>
            </w:r>
            <w:r>
              <w:rPr>
                <w:rFonts w:ascii="Verdana" w:eastAsia="Calibri" w:hAnsi="Verdana" w:cs="Arial"/>
                <w:color w:val="000000" w:themeColor="text1"/>
                <w:lang w:val="es-ES_tradnl"/>
              </w:rPr>
              <w:t>.</w:t>
            </w:r>
          </w:p>
          <w:p w14:paraId="71B13407" w14:textId="77777777" w:rsidR="00B96323" w:rsidRDefault="00B96323" w:rsidP="001A3D1E">
            <w:pPr>
              <w:spacing w:after="120" w:line="276" w:lineRule="auto"/>
              <w:ind w:firstLine="709"/>
              <w:jc w:val="both"/>
              <w:rPr>
                <w:rFonts w:ascii="Verdana" w:eastAsia="Calibri" w:hAnsi="Verdana" w:cs="Arial"/>
                <w:color w:val="000000" w:themeColor="text1"/>
                <w:lang w:val="es-ES_tradnl"/>
              </w:rPr>
            </w:pPr>
            <w:r w:rsidRPr="3957B322">
              <w:rPr>
                <w:rFonts w:ascii="Verdana" w:eastAsia="Calibri" w:hAnsi="Verdana" w:cs="Arial"/>
                <w:color w:val="000000" w:themeColor="text1"/>
                <w:lang w:val="es-ES"/>
              </w:rPr>
              <w:t>Teniendo en cuenta que las entidades de régimen especial están facultadas legalmente para aplicar reglas distintas a la Ley 80 de 1993 y sus normas complementarias, ello estará definido en la no</w:t>
            </w:r>
            <w:r>
              <w:rPr>
                <w:rFonts w:ascii="Verdana" w:eastAsia="Calibri" w:hAnsi="Verdana" w:cs="Arial"/>
                <w:color w:val="000000" w:themeColor="text1"/>
                <w:lang w:val="es-ES"/>
              </w:rPr>
              <w:t>r</w:t>
            </w:r>
            <w:r w:rsidRPr="3957B322">
              <w:rPr>
                <w:rFonts w:ascii="Verdana" w:eastAsia="Calibri" w:hAnsi="Verdana" w:cs="Arial"/>
                <w:color w:val="000000" w:themeColor="text1"/>
                <w:lang w:val="es-ES"/>
              </w:rPr>
              <w:t>ma que crea el régimen especial y será desarrollado en el manual de contratación, con el fin de que se puedan identificar las reglas que aplican en la contratación.</w:t>
            </w:r>
            <w:r>
              <w:rPr>
                <w:rFonts w:ascii="Verdana" w:eastAsia="Calibri" w:hAnsi="Verdana" w:cs="Arial"/>
                <w:color w:val="000000" w:themeColor="text1"/>
                <w:lang w:val="es-ES"/>
              </w:rPr>
              <w:t xml:space="preserve"> </w:t>
            </w:r>
            <w:r w:rsidRPr="00CC7195">
              <w:rPr>
                <w:rFonts w:ascii="Verdana" w:eastAsia="Calibri" w:hAnsi="Verdana" w:cs="Arial"/>
                <w:color w:val="000000" w:themeColor="text1"/>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como el régimen de inhabilidades e incompatibilidades previsto para la contratación estatal</w:t>
            </w:r>
            <w:r>
              <w:rPr>
                <w:rFonts w:ascii="Verdana" w:eastAsia="Calibri" w:hAnsi="Verdana" w:cs="Arial"/>
                <w:color w:val="000000" w:themeColor="text1"/>
                <w:lang w:val="es-ES_tradnl"/>
              </w:rPr>
              <w:t>.</w:t>
            </w:r>
          </w:p>
          <w:p w14:paraId="3625E715" w14:textId="77777777" w:rsidR="00B96323" w:rsidRDefault="00B96323" w:rsidP="001A3D1E">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670F93">
              <w:rPr>
                <w:rFonts w:ascii="Verdana" w:eastAsia="Calibri" w:hAnsi="Verdana" w:cs="Arial"/>
                <w:lang w:val="es-ES_tradnl" w:eastAsia="x-none"/>
              </w:rPr>
              <w:t>De acuerdo con lo anterior</w:t>
            </w:r>
            <w:r>
              <w:rPr>
                <w:rFonts w:ascii="Verdana" w:eastAsia="Calibri" w:hAnsi="Verdana" w:cs="Arial"/>
                <w:lang w:val="es-ES_tradnl" w:eastAsia="x-none"/>
              </w:rPr>
              <w:t>,</w:t>
            </w:r>
            <w:r w:rsidRPr="00670F93">
              <w:rPr>
                <w:rFonts w:ascii="Verdana" w:eastAsia="Calibri" w:hAnsi="Verdana" w:cs="Arial"/>
                <w:lang w:val="es-ES_tradnl" w:eastAsia="x-none"/>
              </w:rPr>
              <w:t xml:space="preserve"> </w:t>
            </w:r>
            <w:r w:rsidRPr="00670F93">
              <w:rPr>
                <w:rFonts w:ascii="Verdana" w:hAnsi="Verdana" w:cs="Arial"/>
                <w:color w:val="000000"/>
                <w:lang w:val="es-ES_tradnl"/>
              </w:rPr>
              <w:t>para predicar el nacimiento a la vida jurídica de los negocios por ellas celebrados no se observarán las formalidades contempladas por los artículos 39 y 41 de la Ley 80 de 1993 y para esos efectos deberá acudirse a las disposiciones que la legislación comercial y civil contemple respecto de la tipología contractual que corresponda.</w:t>
            </w:r>
          </w:p>
          <w:p w14:paraId="671ED1E4" w14:textId="77777777" w:rsidR="00B96323" w:rsidRDefault="00B96323" w:rsidP="001A3D1E">
            <w:pPr>
              <w:spacing w:after="120" w:line="276" w:lineRule="auto"/>
              <w:ind w:firstLine="709"/>
              <w:jc w:val="both"/>
              <w:rPr>
                <w:rFonts w:ascii="Verdana" w:hAnsi="Verdana" w:cs="Arial"/>
                <w:color w:val="000000"/>
                <w:lang w:val="es-ES"/>
              </w:rPr>
            </w:pPr>
            <w:r>
              <w:rPr>
                <w:rFonts w:ascii="Verdana" w:hAnsi="Verdana" w:cs="Arial"/>
                <w:color w:val="000000"/>
                <w:lang w:val="es-ES_tradnl"/>
              </w:rPr>
              <w:t xml:space="preserve">Ahora bien, en materia de los contratos estatales regidos por el Estatuto General de Contratación de la Administración Pública se </w:t>
            </w:r>
            <w:r w:rsidRPr="00BD754A">
              <w:rPr>
                <w:rFonts w:ascii="Verdana" w:hAnsi="Verdana" w:cs="Arial"/>
                <w:color w:val="000000"/>
                <w:lang w:val="es-ES"/>
              </w:rPr>
              <w:t>prevé</w:t>
            </w:r>
            <w:r>
              <w:rPr>
                <w:rFonts w:ascii="Verdana" w:hAnsi="Verdana" w:cs="Arial"/>
                <w:color w:val="000000"/>
                <w:lang w:val="es-ES"/>
              </w:rPr>
              <w:t>n</w:t>
            </w:r>
            <w:r w:rsidRPr="00BD754A">
              <w:rPr>
                <w:rFonts w:ascii="Verdana" w:hAnsi="Verdana" w:cs="Arial"/>
                <w:color w:val="000000"/>
                <w:lang w:val="es-ES"/>
              </w:rPr>
              <w:t xml:space="preserve"> dos tipos de exigencias en relación con los contratos estatales, estas son: i) las relacionadas con el perfeccionamiento y </w:t>
            </w:r>
            <w:proofErr w:type="spellStart"/>
            <w:r w:rsidRPr="00BD754A">
              <w:rPr>
                <w:rFonts w:ascii="Verdana" w:hAnsi="Verdana" w:cs="Arial"/>
                <w:color w:val="000000"/>
                <w:lang w:val="es-ES"/>
              </w:rPr>
              <w:t>ii</w:t>
            </w:r>
            <w:proofErr w:type="spellEnd"/>
            <w:r w:rsidRPr="00BD754A">
              <w:rPr>
                <w:rFonts w:ascii="Verdana" w:hAnsi="Verdana" w:cs="Arial"/>
                <w:color w:val="000000"/>
                <w:lang w:val="es-ES"/>
              </w:rPr>
              <w:t>) las que tienen que ver con la ejecución.</w:t>
            </w:r>
          </w:p>
          <w:p w14:paraId="2466F9B0" w14:textId="77777777" w:rsidR="00B96323" w:rsidRDefault="00B96323" w:rsidP="001A3D1E">
            <w:pPr>
              <w:spacing w:after="120" w:line="276" w:lineRule="auto"/>
              <w:ind w:firstLine="709"/>
              <w:jc w:val="both"/>
              <w:rPr>
                <w:rFonts w:ascii="Verdana" w:hAnsi="Verdana" w:cs="Arial"/>
                <w:color w:val="000000"/>
                <w:lang w:val="es-ES"/>
              </w:rPr>
            </w:pPr>
            <w:r w:rsidRPr="52EDCFB8">
              <w:rPr>
                <w:rFonts w:ascii="Verdana" w:hAnsi="Verdana" w:cs="Arial"/>
                <w:color w:val="000000" w:themeColor="text1"/>
                <w:lang w:val="es-ES"/>
              </w:rPr>
              <w:t xml:space="preserve">En efecto, el primer inciso del artículo 41 de la Ley 80 de 1993 establece que “[l]os contratos del Estado se perfeccionan cuando se logre acuerdo sobre el objeto y la contraprestación y éste se eleve a escrito”, por lo tanto, el contrato estatal regulado en EGCAP es “[…] principalmente, solemne, ya que la manifestación de voluntad, si no se expresa bajo la forma ad </w:t>
            </w:r>
            <w:proofErr w:type="spellStart"/>
            <w:r w:rsidRPr="52EDCFB8">
              <w:rPr>
                <w:rFonts w:ascii="Verdana" w:hAnsi="Verdana" w:cs="Arial"/>
                <w:color w:val="000000" w:themeColor="text1"/>
                <w:lang w:val="es-ES"/>
              </w:rPr>
              <w:t>solemnitatem</w:t>
            </w:r>
            <w:proofErr w:type="spellEnd"/>
            <w:r w:rsidRPr="52EDCFB8">
              <w:rPr>
                <w:rFonts w:ascii="Verdana" w:hAnsi="Verdana" w:cs="Arial"/>
                <w:color w:val="000000" w:themeColor="text1"/>
                <w:lang w:val="es-ES"/>
              </w:rPr>
              <w:t xml:space="preserve"> o ad </w:t>
            </w:r>
            <w:proofErr w:type="spellStart"/>
            <w:r w:rsidRPr="52EDCFB8">
              <w:rPr>
                <w:rFonts w:ascii="Verdana" w:hAnsi="Verdana" w:cs="Arial"/>
                <w:color w:val="000000" w:themeColor="text1"/>
                <w:lang w:val="es-ES"/>
              </w:rPr>
              <w:t>substantiam</w:t>
            </w:r>
            <w:proofErr w:type="spellEnd"/>
            <w:r w:rsidRPr="52EDCFB8">
              <w:rPr>
                <w:rFonts w:ascii="Verdana" w:hAnsi="Verdana" w:cs="Arial"/>
                <w:color w:val="000000" w:themeColor="text1"/>
                <w:lang w:val="es-ES"/>
              </w:rPr>
              <w:t xml:space="preserve"> </w:t>
            </w:r>
            <w:proofErr w:type="spellStart"/>
            <w:r w:rsidRPr="52EDCFB8">
              <w:rPr>
                <w:rFonts w:ascii="Verdana" w:hAnsi="Verdana" w:cs="Arial"/>
                <w:color w:val="000000" w:themeColor="text1"/>
                <w:lang w:val="es-ES"/>
              </w:rPr>
              <w:t>actus</w:t>
            </w:r>
            <w:proofErr w:type="spellEnd"/>
            <w:r w:rsidRPr="52EDCFB8">
              <w:rPr>
                <w:rFonts w:ascii="Verdana" w:hAnsi="Verdana" w:cs="Arial"/>
                <w:color w:val="000000" w:themeColor="text1"/>
                <w:lang w:val="es-ES"/>
              </w:rPr>
              <w:t xml:space="preserve"> exigida por la ley, es inexistente, es decir, se entiende que el contrato jamás ha sido creado para el mundo jurídico.</w:t>
            </w:r>
          </w:p>
          <w:p w14:paraId="1D8590F5" w14:textId="77777777" w:rsidR="00B96323" w:rsidRDefault="00B96323" w:rsidP="001A3D1E">
            <w:pPr>
              <w:spacing w:after="120" w:line="276" w:lineRule="auto"/>
              <w:ind w:firstLine="709"/>
              <w:jc w:val="both"/>
              <w:rPr>
                <w:rFonts w:ascii="Verdana" w:hAnsi="Verdana" w:cs="Arial"/>
                <w:color w:val="000000"/>
                <w:lang w:val="es-ES"/>
              </w:rPr>
            </w:pPr>
            <w:r>
              <w:rPr>
                <w:rFonts w:ascii="Verdana" w:hAnsi="Verdana" w:cs="Arial"/>
                <w:bCs/>
                <w:color w:val="000000" w:themeColor="text1"/>
                <w:lang w:val="es-ES_tradnl" w:eastAsia="x-none"/>
              </w:rPr>
              <w:t xml:space="preserve">Por su parte, los requisitos de ejecución según lo establecido en el inciso segundo del artículo 41 de la Ley 80 de 1993 son: </w:t>
            </w:r>
            <w:r w:rsidRPr="00BD754A">
              <w:rPr>
                <w:rFonts w:ascii="Verdana" w:hAnsi="Verdana" w:cs="Arial"/>
                <w:color w:val="000000"/>
                <w:lang w:val="es-ES"/>
              </w:rPr>
              <w:t>i) la aprobación de las garantías exigidas en el contrato, (</w:t>
            </w:r>
            <w:proofErr w:type="spellStart"/>
            <w:r w:rsidRPr="00BD754A">
              <w:rPr>
                <w:rFonts w:ascii="Verdana" w:hAnsi="Verdana" w:cs="Arial"/>
                <w:color w:val="000000"/>
                <w:lang w:val="es-ES"/>
              </w:rPr>
              <w:t>ii</w:t>
            </w:r>
            <w:proofErr w:type="spellEnd"/>
            <w:r w:rsidRPr="00BD754A">
              <w:rPr>
                <w:rFonts w:ascii="Verdana" w:hAnsi="Verdana" w:cs="Arial"/>
                <w:color w:val="000000"/>
                <w:lang w:val="es-ES"/>
              </w:rPr>
              <w:t>) la existencia de la apropiación presupuestal correspondiente y (</w:t>
            </w:r>
            <w:proofErr w:type="spellStart"/>
            <w:r w:rsidRPr="00BD754A">
              <w:rPr>
                <w:rFonts w:ascii="Verdana" w:hAnsi="Verdana" w:cs="Arial"/>
                <w:color w:val="000000"/>
                <w:lang w:val="es-ES"/>
              </w:rPr>
              <w:t>iii</w:t>
            </w:r>
            <w:proofErr w:type="spellEnd"/>
            <w:r w:rsidRPr="00BD754A">
              <w:rPr>
                <w:rFonts w:ascii="Verdana" w:hAnsi="Verdana" w:cs="Arial"/>
                <w:color w:val="000000"/>
                <w:lang w:val="es-ES"/>
              </w:rPr>
              <w:t>) la acreditación del cumplimiento de las obligaciones con el Sistema de Seguridad Social Integral.</w:t>
            </w:r>
          </w:p>
          <w:p w14:paraId="2816CD70" w14:textId="7C376900" w:rsidR="00B96323" w:rsidRPr="00C2410E" w:rsidRDefault="00B96323" w:rsidP="00C2410E">
            <w:pPr>
              <w:spacing w:after="120" w:line="276" w:lineRule="auto"/>
              <w:ind w:firstLine="709"/>
              <w:jc w:val="both"/>
              <w:rPr>
                <w:rFonts w:ascii="Verdana" w:hAnsi="Verdana" w:cs="Arial"/>
                <w:color w:val="000000" w:themeColor="text1"/>
                <w:lang w:val="es-ES"/>
              </w:rPr>
            </w:pPr>
            <w:r w:rsidRPr="52EDCFB8">
              <w:rPr>
                <w:rFonts w:ascii="Verdana" w:hAnsi="Verdana" w:cs="Arial"/>
                <w:color w:val="000000" w:themeColor="text1"/>
              </w:rPr>
              <w:t>En cuanto al registro presupuestal en los contratos regidos por el Estatuto General de Contratación de la Administración Pública, este es necesario para iniciar la ejecución del contrato, una vez se tenga definido el valor y el plazo.</w:t>
            </w:r>
          </w:p>
        </w:tc>
      </w:tr>
    </w:tbl>
    <w:p w14:paraId="1BB56CCA" w14:textId="77777777" w:rsidR="00B96323" w:rsidRDefault="00B96323" w:rsidP="00B96323">
      <w:pPr>
        <w:tabs>
          <w:tab w:val="left" w:pos="142"/>
          <w:tab w:val="left" w:pos="284"/>
        </w:tabs>
        <w:spacing w:after="0" w:line="276" w:lineRule="auto"/>
        <w:jc w:val="both"/>
        <w:rPr>
          <w:rFonts w:ascii="Verdana" w:eastAsia="Century Gothic" w:hAnsi="Verdana" w:cs="Century Gothic"/>
          <w:b/>
          <w:bCs/>
        </w:rPr>
      </w:pPr>
    </w:p>
    <w:p w14:paraId="1A1B3B4E" w14:textId="77777777" w:rsidR="00B96323" w:rsidRPr="005644FE" w:rsidRDefault="00B96323" w:rsidP="00B96323">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21BEE279" w14:textId="77777777" w:rsidR="00B96323" w:rsidRPr="005644FE" w:rsidRDefault="00B96323" w:rsidP="00B96323">
      <w:pPr>
        <w:pStyle w:val="Prrafodelista"/>
        <w:tabs>
          <w:tab w:val="left" w:pos="142"/>
          <w:tab w:val="left" w:pos="284"/>
        </w:tabs>
        <w:spacing w:after="0" w:line="240" w:lineRule="auto"/>
        <w:ind w:left="0"/>
        <w:contextualSpacing w:val="0"/>
        <w:jc w:val="both"/>
        <w:rPr>
          <w:rFonts w:ascii="Verdana" w:eastAsia="Calibri" w:hAnsi="Verdana" w:cs="Arial"/>
        </w:rPr>
      </w:pPr>
    </w:p>
    <w:p w14:paraId="33030C35" w14:textId="77777777" w:rsidR="00B96323" w:rsidRDefault="00B96323" w:rsidP="00B96323">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16F81556" w14:textId="77777777" w:rsidR="00B96323" w:rsidRDefault="00B96323" w:rsidP="001A3D1E">
      <w:pPr>
        <w:tabs>
          <w:tab w:val="left" w:pos="142"/>
          <w:tab w:val="left" w:pos="284"/>
          <w:tab w:val="left" w:pos="6975"/>
        </w:tabs>
        <w:spacing w:after="0" w:line="240" w:lineRule="auto"/>
        <w:jc w:val="both"/>
        <w:rPr>
          <w:rFonts w:ascii="Verdana" w:eastAsia="Calibri" w:hAnsi="Verdana" w:cs="Arial"/>
        </w:rPr>
      </w:pPr>
    </w:p>
    <w:p w14:paraId="4657540A" w14:textId="77777777" w:rsidR="00B96323" w:rsidRPr="00AD400A" w:rsidRDefault="00B96323" w:rsidP="00B96323">
      <w:pPr>
        <w:spacing w:after="120" w:line="276" w:lineRule="auto"/>
        <w:jc w:val="both"/>
        <w:rPr>
          <w:rFonts w:ascii="Verdana" w:eastAsia="Calibri" w:hAnsi="Verdana" w:cs="Arial"/>
        </w:rPr>
      </w:pPr>
      <w:r w:rsidRPr="002E49B3">
        <w:rPr>
          <w:rFonts w:ascii="Verdana" w:eastAsia="Calibri" w:hAnsi="Verdana" w:cs="Arial"/>
          <w:lang w:val="es-ES"/>
        </w:rPr>
        <w:t xml:space="preserve">De manera preliminar, debe precisarse que la </w:t>
      </w:r>
      <w:r w:rsidRPr="002E49B3">
        <w:rPr>
          <w:rFonts w:ascii="Verdana" w:eastAsia="Calibri" w:hAnsi="Verdana" w:cs="Arial"/>
          <w:lang w:val="es-MX" w:eastAsia="x-none"/>
        </w:rPr>
        <w:t>Constitución Política de Colombia en su artículo 69, establece, por una parte, una garantía de autonomía para que las universidades establezcan sus directivas y sus estatutos de acuerdo con la ley; y por la otra, la posibilidad de que cuenten con un régimen especial que corresponde dictar al Congreso</w:t>
      </w:r>
      <w:r w:rsidRPr="002E49B3">
        <w:rPr>
          <w:rFonts w:ascii="Verdana" w:eastAsia="Calibri" w:hAnsi="Verdana" w:cs="Arial"/>
          <w:vertAlign w:val="superscript"/>
        </w:rPr>
        <w:footnoteReference w:id="1"/>
      </w:r>
      <w:r w:rsidRPr="002E49B3">
        <w:rPr>
          <w:rFonts w:ascii="Verdana" w:eastAsia="Calibri" w:hAnsi="Verdana" w:cs="Arial"/>
          <w:vertAlign w:val="subscript"/>
        </w:rPr>
        <w:t>.</w:t>
      </w:r>
      <w:r w:rsidRPr="002E49B3">
        <w:rPr>
          <w:rFonts w:ascii="Verdana" w:eastAsia="Calibri" w:hAnsi="Verdana" w:cs="Arial"/>
        </w:rPr>
        <w:t xml:space="preserve"> </w:t>
      </w:r>
      <w:r w:rsidRPr="00AD400A">
        <w:rPr>
          <w:rFonts w:ascii="Verdana" w:eastAsia="Calibri" w:hAnsi="Verdana" w:cs="Arial"/>
        </w:rPr>
        <w:t>Así mismo, la Constitución Política en su artículo 113</w:t>
      </w:r>
      <w:r w:rsidRPr="00AD400A">
        <w:rPr>
          <w:rStyle w:val="Refdenotaalpie"/>
          <w:rFonts w:ascii="Verdana" w:eastAsia="Calibri" w:hAnsi="Verdana" w:cs="Arial"/>
        </w:rPr>
        <w:footnoteReference w:id="2"/>
      </w:r>
      <w:r w:rsidRPr="00AD400A">
        <w:rPr>
          <w:rFonts w:ascii="Verdana" w:eastAsia="Calibri" w:hAnsi="Verdana" w:cs="Arial"/>
        </w:rPr>
        <w:t xml:space="preserve"> establece que son Ramas del Poder Público: la legislativa, la ejecutiva y la judicial, sin perjuicio de que existan otros</w:t>
      </w:r>
      <w:r>
        <w:rPr>
          <w:rFonts w:ascii="Verdana" w:eastAsia="Calibri" w:hAnsi="Verdana" w:cs="Arial"/>
        </w:rPr>
        <w:t xml:space="preserve"> órganos</w:t>
      </w:r>
      <w:r w:rsidRPr="00AD400A">
        <w:rPr>
          <w:rFonts w:ascii="Verdana" w:eastAsia="Calibri" w:hAnsi="Verdana" w:cs="Arial"/>
        </w:rPr>
        <w:t xml:space="preserve"> autónomos e independientes para el cumplimiento de las funciones del Estado. Es decir, existen órganos que no hacen parte de las diferentes Ramas del Poder Público. </w:t>
      </w:r>
    </w:p>
    <w:p w14:paraId="1F3FEEA2" w14:textId="77777777" w:rsidR="00B96323" w:rsidRPr="002E49B3" w:rsidRDefault="00B96323" w:rsidP="00B96323">
      <w:pPr>
        <w:pStyle w:val="NormalWeb"/>
        <w:spacing w:before="0" w:beforeAutospacing="0" w:after="120" w:afterAutospacing="0" w:line="276" w:lineRule="auto"/>
        <w:ind w:firstLine="708"/>
        <w:jc w:val="both"/>
        <w:rPr>
          <w:rFonts w:ascii="Arial" w:hAnsi="Arial" w:cs="Arial"/>
          <w:color w:val="000000"/>
          <w:sz w:val="22"/>
          <w:szCs w:val="22"/>
        </w:rPr>
      </w:pPr>
      <w:r w:rsidRPr="002E49B3">
        <w:rPr>
          <w:rFonts w:ascii="Verdana" w:eastAsia="Calibri" w:hAnsi="Verdana" w:cs="Arial"/>
          <w:sz w:val="22"/>
          <w:szCs w:val="22"/>
        </w:rPr>
        <w:t xml:space="preserve">En desarrollo de lo anterior, se expidió la Ley 30 de 1992, mediante la cual se regularon aspectos como la naturaleza jurídica de las universidades estatales y oficiales, la forma de organizarse y el régimen de contratación aplicable. Asimismo, en el artículo 57 </w:t>
      </w:r>
      <w:proofErr w:type="spellStart"/>
      <w:r w:rsidRPr="002E49B3">
        <w:rPr>
          <w:rFonts w:ascii="Verdana" w:eastAsia="Calibri" w:hAnsi="Verdana" w:cs="Arial"/>
          <w:sz w:val="22"/>
          <w:szCs w:val="22"/>
        </w:rPr>
        <w:t>ibídem</w:t>
      </w:r>
      <w:proofErr w:type="spellEnd"/>
      <w:r w:rsidRPr="002E49B3">
        <w:rPr>
          <w:rFonts w:ascii="Verdana" w:eastAsia="Calibri" w:hAnsi="Verdana" w:cs="Arial"/>
          <w:sz w:val="22"/>
          <w:szCs w:val="22"/>
        </w:rPr>
        <w:t xml:space="preserve"> se consignó que el carácter especial del régimen de las universidades estatales u oficiales comprende, entre otros aspectos, el régimen de contratación</w:t>
      </w:r>
      <w:r w:rsidRPr="002E49B3">
        <w:rPr>
          <w:rFonts w:ascii="Verdana" w:eastAsia="Calibri" w:hAnsi="Verdana" w:cs="Arial"/>
          <w:sz w:val="22"/>
          <w:szCs w:val="22"/>
          <w:vertAlign w:val="superscript"/>
        </w:rPr>
        <w:footnoteReference w:id="3"/>
      </w:r>
      <w:r w:rsidRPr="002E49B3">
        <w:rPr>
          <w:rFonts w:ascii="Verdana" w:eastAsia="Calibri" w:hAnsi="Verdana" w:cs="Arial"/>
          <w:sz w:val="22"/>
          <w:szCs w:val="22"/>
        </w:rPr>
        <w:t xml:space="preserve">. </w:t>
      </w:r>
    </w:p>
    <w:p w14:paraId="72B27F03" w14:textId="77777777" w:rsidR="00B96323" w:rsidRPr="002E49B3" w:rsidRDefault="00B96323" w:rsidP="00B96323">
      <w:pPr>
        <w:tabs>
          <w:tab w:val="left" w:pos="709"/>
        </w:tabs>
        <w:spacing w:before="120" w:after="0" w:line="276" w:lineRule="auto"/>
        <w:jc w:val="both"/>
        <w:rPr>
          <w:rFonts w:ascii="Verdana" w:eastAsia="Calibri" w:hAnsi="Verdana" w:cs="Arial"/>
          <w:lang w:val="es-ES"/>
        </w:rPr>
      </w:pPr>
      <w:r w:rsidRPr="002E49B3">
        <w:rPr>
          <w:rFonts w:ascii="Verdana" w:eastAsia="Calibri" w:hAnsi="Verdana" w:cs="Arial"/>
          <w:lang w:val="es-ES"/>
        </w:rPr>
        <w:tab/>
      </w:r>
      <w:r w:rsidRPr="002E49B3">
        <w:rPr>
          <w:rFonts w:ascii="Verdana" w:eastAsia="Calibri" w:hAnsi="Verdana" w:cs="Arial"/>
        </w:rPr>
        <w:t>De otro lado, la Ley 489 de 1998, al desarrollar la estructura y organización de la Administración Pública, establece que los entes universitarios hacen parte integral de esta</w:t>
      </w:r>
      <w:r w:rsidRPr="002E49B3">
        <w:rPr>
          <w:rFonts w:ascii="Verdana" w:eastAsia="Calibri" w:hAnsi="Verdana" w:cs="Arial"/>
          <w:vertAlign w:val="superscript"/>
        </w:rPr>
        <w:footnoteReference w:id="4"/>
      </w:r>
      <w:r w:rsidRPr="002E49B3">
        <w:rPr>
          <w:rFonts w:ascii="Verdana" w:eastAsia="Calibri" w:hAnsi="Verdana" w:cs="Arial"/>
        </w:rPr>
        <w:t xml:space="preserve">, catalogándolos como </w:t>
      </w:r>
      <w:r>
        <w:rPr>
          <w:rFonts w:ascii="Verdana" w:eastAsia="Calibri" w:hAnsi="Verdana" w:cs="Arial"/>
        </w:rPr>
        <w:t>E</w:t>
      </w:r>
      <w:r w:rsidRPr="002E49B3">
        <w:rPr>
          <w:rFonts w:ascii="Verdana" w:eastAsia="Calibri" w:hAnsi="Verdana" w:cs="Arial"/>
        </w:rPr>
        <w:t xml:space="preserve">ntidades </w:t>
      </w:r>
      <w:r>
        <w:rPr>
          <w:rFonts w:ascii="Verdana" w:eastAsia="Calibri" w:hAnsi="Verdana" w:cs="Arial"/>
        </w:rPr>
        <w:t>P</w:t>
      </w:r>
      <w:r w:rsidRPr="002E49B3">
        <w:rPr>
          <w:rFonts w:ascii="Verdana" w:eastAsia="Calibri" w:hAnsi="Verdana" w:cs="Arial"/>
        </w:rPr>
        <w:t>úblicas de carácter autónomo a las que aplica un régimen especial</w:t>
      </w:r>
      <w:r w:rsidRPr="002E49B3">
        <w:rPr>
          <w:rFonts w:ascii="Verdana" w:eastAsia="Calibri" w:hAnsi="Verdana" w:cs="Times New Roman"/>
          <w:vertAlign w:val="superscript"/>
        </w:rPr>
        <w:footnoteReference w:id="5"/>
      </w:r>
      <w:r w:rsidRPr="002E49B3">
        <w:rPr>
          <w:rFonts w:ascii="Verdana" w:eastAsia="Calibri" w:hAnsi="Verdana" w:cs="Times New Roman"/>
        </w:rPr>
        <w:t xml:space="preserve">. </w:t>
      </w:r>
      <w:r w:rsidRPr="002E49B3">
        <w:rPr>
          <w:rFonts w:ascii="Verdana" w:eastAsia="Calibri" w:hAnsi="Verdana" w:cs="Arial"/>
        </w:rPr>
        <w:t>Al respecto, en la Sentencia C-1019 de 2012, la Corte Constitucional señaló:</w:t>
      </w:r>
    </w:p>
    <w:p w14:paraId="44BF7ED7" w14:textId="77777777" w:rsidR="00B96323" w:rsidRPr="002E49B3" w:rsidRDefault="00B96323" w:rsidP="00B96323">
      <w:pPr>
        <w:spacing w:after="0" w:line="240" w:lineRule="auto"/>
        <w:jc w:val="both"/>
        <w:rPr>
          <w:rFonts w:ascii="Verdana" w:eastAsia="Calibri" w:hAnsi="Verdana" w:cs="Arial"/>
          <w:lang w:val="es-MX" w:eastAsia="x-none"/>
        </w:rPr>
      </w:pPr>
    </w:p>
    <w:p w14:paraId="0171D58D" w14:textId="77777777" w:rsidR="00B96323"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2E49B3">
        <w:rPr>
          <w:rFonts w:ascii="Verdana" w:eastAsia="Arial" w:hAnsi="Verdana" w:cs="Arial"/>
          <w:sz w:val="20"/>
          <w:szCs w:val="20"/>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2E49B3">
        <w:rPr>
          <w:rFonts w:ascii="Verdana" w:eastAsia="Arial" w:hAnsi="Verdana" w:cs="Arial"/>
          <w:spacing w:val="49"/>
          <w:sz w:val="20"/>
          <w:szCs w:val="20"/>
          <w:lang w:val="es-ES"/>
        </w:rPr>
        <w:t xml:space="preserve"> </w:t>
      </w:r>
      <w:r w:rsidRPr="002E49B3">
        <w:rPr>
          <w:rFonts w:ascii="Verdana" w:eastAsia="Arial" w:hAnsi="Verdana" w:cs="Arial"/>
          <w:sz w:val="20"/>
          <w:szCs w:val="20"/>
          <w:lang w:val="es-ES"/>
        </w:rPr>
        <w:t>exige el cumplimiento de la obligación de colaboración armónica consagrado en el artículo 113 de la C.P. para el cumplimiento de las funciones del Estado.</w:t>
      </w:r>
    </w:p>
    <w:p w14:paraId="071A34BA" w14:textId="77777777" w:rsidR="00B96323" w:rsidRPr="002E49B3"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p>
    <w:p w14:paraId="13658762" w14:textId="77777777" w:rsidR="00B96323" w:rsidRPr="002E49B3"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2E49B3">
        <w:rPr>
          <w:rFonts w:ascii="Verdana" w:eastAsia="Arial" w:hAnsi="Verdana" w:cs="Arial"/>
          <w:sz w:val="20"/>
          <w:szCs w:val="20"/>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2E49B3">
        <w:rPr>
          <w:rFonts w:ascii="Verdana" w:eastAsia="Arial" w:hAnsi="Verdana" w:cs="Arial"/>
          <w:sz w:val="20"/>
          <w:szCs w:val="20"/>
          <w:vertAlign w:val="superscript"/>
          <w:lang w:val="es-ES"/>
        </w:rPr>
        <w:footnoteReference w:id="6"/>
      </w:r>
      <w:r w:rsidRPr="002E49B3">
        <w:rPr>
          <w:rFonts w:ascii="Verdana" w:eastAsia="Arial" w:hAnsi="Verdana" w:cs="Arial"/>
          <w:sz w:val="20"/>
          <w:szCs w:val="20"/>
          <w:lang w:val="es-ES"/>
        </w:rPr>
        <w:t>. De esta manera se pretende preservar a las universidades públicas y oficiales, de las injerencias e interferencias arbitrarias e indebidas del poder</w:t>
      </w:r>
      <w:r w:rsidRPr="002E49B3">
        <w:rPr>
          <w:rFonts w:ascii="Verdana" w:eastAsia="Arial" w:hAnsi="Verdana" w:cs="Arial"/>
          <w:spacing w:val="-6"/>
          <w:sz w:val="20"/>
          <w:szCs w:val="20"/>
          <w:lang w:val="es-ES"/>
        </w:rPr>
        <w:t xml:space="preserve"> </w:t>
      </w:r>
      <w:r w:rsidRPr="002E49B3">
        <w:rPr>
          <w:rFonts w:ascii="Verdana" w:eastAsia="Arial" w:hAnsi="Verdana" w:cs="Arial"/>
          <w:sz w:val="20"/>
          <w:szCs w:val="20"/>
          <w:lang w:val="es-ES"/>
        </w:rPr>
        <w:t>político”</w:t>
      </w:r>
      <w:r w:rsidRPr="002E49B3">
        <w:rPr>
          <w:rFonts w:ascii="Verdana" w:eastAsia="Arial" w:hAnsi="Verdana" w:cs="Arial"/>
          <w:sz w:val="20"/>
          <w:szCs w:val="20"/>
          <w:vertAlign w:val="superscript"/>
          <w:lang w:val="es-ES"/>
        </w:rPr>
        <w:footnoteReference w:id="7"/>
      </w:r>
      <w:r w:rsidRPr="002E49B3">
        <w:rPr>
          <w:rFonts w:ascii="Verdana" w:eastAsia="Arial" w:hAnsi="Verdana" w:cs="Arial"/>
          <w:sz w:val="20"/>
          <w:szCs w:val="20"/>
          <w:lang w:val="es-ES"/>
        </w:rPr>
        <w:t>.</w:t>
      </w:r>
    </w:p>
    <w:p w14:paraId="39078857" w14:textId="77777777" w:rsidR="00B96323" w:rsidRPr="002E49B3" w:rsidRDefault="00B96323" w:rsidP="00B96323">
      <w:pPr>
        <w:spacing w:after="0" w:line="276" w:lineRule="auto"/>
        <w:jc w:val="both"/>
        <w:rPr>
          <w:rFonts w:ascii="Verdana" w:eastAsia="Calibri" w:hAnsi="Verdana" w:cs="Arial"/>
          <w:lang w:val="es-MX" w:eastAsia="x-none"/>
        </w:rPr>
      </w:pPr>
    </w:p>
    <w:p w14:paraId="7106499B" w14:textId="77777777" w:rsidR="00B96323" w:rsidRPr="001E14D8" w:rsidRDefault="00B96323" w:rsidP="00B96323">
      <w:pPr>
        <w:spacing w:line="276" w:lineRule="auto"/>
        <w:ind w:firstLine="709"/>
        <w:jc w:val="both"/>
        <w:rPr>
          <w:rFonts w:ascii="Verdana" w:eastAsia="Calibri" w:hAnsi="Verdana" w:cs="Arial"/>
          <w:color w:val="000000" w:themeColor="text1"/>
          <w:lang w:val="es-ES_tradnl"/>
        </w:rPr>
      </w:pPr>
      <w:r w:rsidRPr="00CC7195">
        <w:rPr>
          <w:rFonts w:ascii="Verdana" w:hAnsi="Verdana" w:cs="Arial"/>
          <w:lang w:val="es-MX"/>
        </w:rPr>
        <w:t>En armonía con lo anterior, se ha considerado que los entes universitarios no son entidades que hagan parte de la rama ejecutiva, ni pueden, por tanto, considerarse entidades descentralizadas, sino que gozan de un régimen especial.</w:t>
      </w:r>
      <w:r>
        <w:rPr>
          <w:rFonts w:ascii="Verdana" w:hAnsi="Verdana" w:cs="Arial"/>
          <w:lang w:val="es-MX"/>
        </w:rPr>
        <w:t xml:space="preserve"> </w:t>
      </w:r>
      <w:r>
        <w:rPr>
          <w:rFonts w:ascii="Verdana" w:eastAsia="Calibri" w:hAnsi="Verdana" w:cs="Arial"/>
          <w:color w:val="000000" w:themeColor="text1"/>
          <w:lang w:val="es-ES_tradnl"/>
        </w:rPr>
        <w:t>De conformidad con los</w:t>
      </w:r>
      <w:r w:rsidRPr="00630F7C">
        <w:rPr>
          <w:rFonts w:ascii="Verdana" w:eastAsia="Calibri" w:hAnsi="Verdana" w:cs="Arial"/>
          <w:color w:val="000000" w:themeColor="text1"/>
          <w:lang w:val="es-ES_tradnl"/>
        </w:rPr>
        <w:t xml:space="preserve"> artículo</w:t>
      </w:r>
      <w:r>
        <w:rPr>
          <w:rFonts w:ascii="Verdana" w:eastAsia="Calibri" w:hAnsi="Verdana" w:cs="Arial"/>
          <w:color w:val="000000" w:themeColor="text1"/>
          <w:lang w:val="es-ES_tradnl"/>
        </w:rPr>
        <w:t xml:space="preserve">s 57, </w:t>
      </w:r>
      <w:r w:rsidRPr="00630F7C">
        <w:rPr>
          <w:rFonts w:ascii="Verdana" w:eastAsia="Calibri" w:hAnsi="Verdana" w:cs="Arial"/>
          <w:color w:val="000000" w:themeColor="text1"/>
          <w:lang w:val="es-ES_tradnl"/>
        </w:rPr>
        <w:t xml:space="preserve">93 </w:t>
      </w:r>
      <w:r>
        <w:rPr>
          <w:rFonts w:ascii="Verdana" w:eastAsia="Calibri" w:hAnsi="Verdana" w:cs="Arial"/>
          <w:color w:val="000000" w:themeColor="text1"/>
          <w:lang w:val="es-ES_tradnl"/>
        </w:rPr>
        <w:t>y 94</w:t>
      </w:r>
      <w:r w:rsidRPr="00630F7C">
        <w:rPr>
          <w:rFonts w:ascii="Verdana" w:eastAsia="Calibri" w:hAnsi="Verdana" w:cs="Arial"/>
          <w:color w:val="000000" w:themeColor="text1"/>
          <w:lang w:val="es-ES_tradnl"/>
        </w:rPr>
        <w:t xml:space="preserve"> de la Ley 30 de 1992</w:t>
      </w:r>
      <w:r>
        <w:rPr>
          <w:rFonts w:ascii="Verdana" w:eastAsia="Calibri" w:hAnsi="Verdana" w:cs="Arial"/>
          <w:color w:val="000000" w:themeColor="text1"/>
          <w:lang w:val="es-ES_tradnl"/>
        </w:rPr>
        <w:t>, el régimen de contratación de estos</w:t>
      </w:r>
      <w:r w:rsidRPr="00630F7C">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es</w:t>
      </w:r>
      <w:r w:rsidRPr="00630F7C">
        <w:rPr>
          <w:rFonts w:ascii="Verdana" w:eastAsia="Calibri" w:hAnsi="Verdana" w:cs="Arial"/>
          <w:color w:val="000000" w:themeColor="text1"/>
          <w:lang w:val="es-ES_tradnl"/>
        </w:rPr>
        <w:t xml:space="preserve"> el derecho privado, rigiéndose, por ende, por las normas civiles y comerciales. </w:t>
      </w:r>
      <w:r>
        <w:rPr>
          <w:rFonts w:ascii="Verdana" w:eastAsia="Calibri" w:hAnsi="Verdana" w:cs="Arial"/>
          <w:color w:val="000000" w:themeColor="text1"/>
          <w:lang w:val="es-ES_tradnl"/>
        </w:rPr>
        <w:t xml:space="preserve"> </w:t>
      </w:r>
      <w:r w:rsidRPr="00630F7C">
        <w:rPr>
          <w:rFonts w:ascii="Verdana" w:eastAsia="Calibri" w:hAnsi="Verdana" w:cs="Arial"/>
          <w:color w:val="000000" w:themeColor="text1"/>
          <w:lang w:val="es-ES_tradnl"/>
        </w:rPr>
        <w:t xml:space="preserve">En tal sentido, </w:t>
      </w:r>
      <w:r>
        <w:rPr>
          <w:rFonts w:ascii="Verdana" w:eastAsia="Calibri" w:hAnsi="Verdana" w:cs="Arial"/>
          <w:color w:val="000000" w:themeColor="text1"/>
          <w:lang w:val="es-ES_tradnl"/>
        </w:rPr>
        <w:t xml:space="preserve">los establecimientos de educación superior que tienen esta naturaleza jurídica </w:t>
      </w:r>
      <w:r w:rsidRPr="00630F7C">
        <w:rPr>
          <w:rFonts w:ascii="Verdana" w:eastAsia="Calibri" w:hAnsi="Verdana" w:cs="Arial"/>
          <w:color w:val="000000" w:themeColor="text1"/>
          <w:lang w:val="es-ES_tradnl"/>
        </w:rPr>
        <w:t>son</w:t>
      </w:r>
      <w:r>
        <w:rPr>
          <w:rFonts w:ascii="Verdana" w:eastAsia="Calibri" w:hAnsi="Verdana" w:cs="Arial"/>
          <w:color w:val="000000" w:themeColor="text1"/>
          <w:lang w:val="es-ES_tradnl"/>
        </w:rPr>
        <w:t xml:space="preserve"> considerados</w:t>
      </w:r>
      <w:r w:rsidRPr="00630F7C">
        <w:rPr>
          <w:rFonts w:ascii="Verdana" w:eastAsia="Calibri" w:hAnsi="Verdana" w:cs="Arial"/>
          <w:color w:val="000000" w:themeColor="text1"/>
          <w:lang w:val="es-ES_tradnl"/>
        </w:rPr>
        <w:t xml:space="preserve"> entidades de </w:t>
      </w:r>
      <w:r w:rsidRPr="00C975BF">
        <w:rPr>
          <w:rFonts w:ascii="Verdana" w:eastAsia="Calibri" w:hAnsi="Verdana" w:cs="Arial"/>
          <w:color w:val="000000" w:themeColor="text1"/>
          <w:lang w:val="es-ES_tradnl"/>
        </w:rPr>
        <w:t>régimen especial</w:t>
      </w:r>
      <w:r w:rsidRPr="00630F7C">
        <w:rPr>
          <w:rFonts w:ascii="Verdana" w:eastAsia="Calibri" w:hAnsi="Verdana" w:cs="Arial"/>
          <w:i/>
          <w:iCs/>
          <w:color w:val="000000" w:themeColor="text1"/>
          <w:lang w:val="es-ES_tradnl"/>
        </w:rPr>
        <w:t xml:space="preserve"> </w:t>
      </w:r>
      <w:r w:rsidRPr="00630F7C">
        <w:rPr>
          <w:rFonts w:ascii="Verdana" w:eastAsia="Calibri" w:hAnsi="Verdana" w:cs="Arial"/>
          <w:color w:val="000000" w:themeColor="text1"/>
          <w:lang w:val="es-ES_tradnl"/>
        </w:rPr>
        <w:t>en materia contractual, por estar exceptuadas de la aplicación del EGCAP</w:t>
      </w:r>
      <w:r>
        <w:rPr>
          <w:rFonts w:ascii="Verdana" w:eastAsia="Calibri" w:hAnsi="Verdana" w:cs="Arial"/>
          <w:color w:val="000000" w:themeColor="text1"/>
          <w:lang w:val="es-ES_tradnl"/>
        </w:rPr>
        <w:t>.</w:t>
      </w:r>
      <w:r w:rsidRPr="00630F7C">
        <w:rPr>
          <w:rFonts w:ascii="Verdana" w:eastAsia="Calibri" w:hAnsi="Verdana" w:cs="Arial"/>
          <w:color w:val="000000" w:themeColor="text1"/>
          <w:lang w:val="es-ES_tradnl"/>
        </w:rPr>
        <w:t xml:space="preserve"> </w:t>
      </w:r>
      <w:r w:rsidRPr="002E49B3">
        <w:rPr>
          <w:rFonts w:ascii="Verdana" w:eastAsia="Calibri" w:hAnsi="Verdana" w:cs="Arial"/>
          <w:lang w:val="es-MX" w:eastAsia="x-none"/>
        </w:rPr>
        <w:t>Lo anterior fue señalado por el Consejo de Estado de la siguiente manera</w:t>
      </w:r>
      <w:r w:rsidRPr="002E49B3">
        <w:rPr>
          <w:rFonts w:ascii="Verdana" w:eastAsia="Calibri" w:hAnsi="Verdana" w:cs="Times New Roman"/>
          <w:vertAlign w:val="superscript"/>
        </w:rPr>
        <w:footnoteReference w:id="8"/>
      </w:r>
      <w:r w:rsidRPr="002E49B3">
        <w:rPr>
          <w:rFonts w:ascii="Verdana" w:eastAsia="Calibri" w:hAnsi="Verdana" w:cs="Times New Roman"/>
        </w:rPr>
        <w:t>:</w:t>
      </w:r>
    </w:p>
    <w:p w14:paraId="1942B94B" w14:textId="77777777" w:rsidR="00B96323" w:rsidRPr="00F37C4F"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A70144">
        <w:rPr>
          <w:rFonts w:ascii="Verdana" w:eastAsia="Arial" w:hAnsi="Verdana" w:cs="Arial"/>
          <w:sz w:val="20"/>
          <w:szCs w:val="20"/>
          <w:lang w:val="es-ES"/>
        </w:rPr>
        <w:t>“</w:t>
      </w:r>
      <w:r w:rsidRPr="00F37C4F">
        <w:rPr>
          <w:rFonts w:ascii="Verdana" w:eastAsia="Arial" w:hAnsi="Verdana" w:cs="Arial"/>
          <w:sz w:val="20"/>
          <w:szCs w:val="20"/>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2FCB40FF" w14:textId="77777777" w:rsidR="00B96323" w:rsidRPr="00F37C4F"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p>
    <w:p w14:paraId="23894CCE" w14:textId="77777777" w:rsidR="00B96323" w:rsidRPr="00F37C4F"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F37C4F">
        <w:rPr>
          <w:rFonts w:ascii="Verdana" w:eastAsia="Arial" w:hAnsi="Verdana" w:cs="Arial"/>
          <w:sz w:val="20"/>
          <w:szCs w:val="20"/>
          <w:lang w:val="es-ES"/>
        </w:rPr>
        <w:t>[…]</w:t>
      </w:r>
    </w:p>
    <w:p w14:paraId="65545054" w14:textId="77777777" w:rsidR="00B96323" w:rsidRPr="00F37C4F"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p>
    <w:p w14:paraId="6E9A8A05" w14:textId="77777777" w:rsidR="00B96323" w:rsidRPr="00F37C4F"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F37C4F">
        <w:rPr>
          <w:rFonts w:ascii="Verdana" w:eastAsia="Arial" w:hAnsi="Verdana" w:cs="Arial"/>
          <w:sz w:val="20"/>
          <w:szCs w:val="20"/>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39ADC40C" w14:textId="77777777" w:rsidR="00B96323" w:rsidRPr="00F37C4F"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F37C4F">
        <w:rPr>
          <w:rFonts w:ascii="Verdana" w:eastAsia="Arial" w:hAnsi="Verdana" w:cs="Arial"/>
          <w:sz w:val="20"/>
          <w:szCs w:val="20"/>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p>
    <w:p w14:paraId="5A46DF4B" w14:textId="77777777" w:rsidR="00B96323" w:rsidRPr="00F37C4F" w:rsidRDefault="00B96323" w:rsidP="00B96323">
      <w:pPr>
        <w:spacing w:after="0" w:line="276" w:lineRule="auto"/>
        <w:jc w:val="both"/>
        <w:rPr>
          <w:rFonts w:ascii="Verdana" w:eastAsia="Calibri" w:hAnsi="Verdana" w:cs="Times New Roman"/>
        </w:rPr>
      </w:pPr>
    </w:p>
    <w:p w14:paraId="6BF11F67" w14:textId="77777777" w:rsidR="00B96323" w:rsidRPr="00F37C4F" w:rsidRDefault="00B96323" w:rsidP="00B96323">
      <w:pPr>
        <w:spacing w:after="0" w:line="276" w:lineRule="auto"/>
        <w:ind w:firstLine="708"/>
        <w:jc w:val="both"/>
        <w:rPr>
          <w:rFonts w:ascii="Verdana" w:eastAsia="Calibri" w:hAnsi="Verdana" w:cs="Arial"/>
          <w:lang w:val="es-MX" w:eastAsia="x-none"/>
        </w:rPr>
      </w:pPr>
      <w:r w:rsidRPr="00F37C4F">
        <w:rPr>
          <w:rFonts w:ascii="Verdana" w:eastAsia="Calibri" w:hAnsi="Verdana" w:cs="Times New Roman"/>
        </w:rPr>
        <w:t>De este modo,</w:t>
      </w:r>
      <w:r w:rsidRPr="00F37C4F">
        <w:rPr>
          <w:rFonts w:ascii="Verdana" w:eastAsia="Calibri" w:hAnsi="Verdana" w:cs="Arial"/>
          <w:lang w:val="es-MX" w:eastAsia="x-none"/>
        </w:rPr>
        <w:t xml:space="preserve">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1C4EA67C" w14:textId="77777777" w:rsidR="00B96323" w:rsidRPr="00F37C4F" w:rsidRDefault="00B96323" w:rsidP="001A3D1E">
      <w:pPr>
        <w:spacing w:after="0" w:line="240" w:lineRule="auto"/>
        <w:jc w:val="both"/>
        <w:rPr>
          <w:rFonts w:ascii="Verdana" w:eastAsia="Calibri" w:hAnsi="Verdana" w:cs="Arial"/>
          <w:lang w:val="es-MX" w:eastAsia="x-none"/>
        </w:rPr>
      </w:pPr>
    </w:p>
    <w:p w14:paraId="1055A476" w14:textId="77777777" w:rsidR="00B96323" w:rsidRPr="002E49B3" w:rsidRDefault="00B96323" w:rsidP="00B96323">
      <w:pPr>
        <w:widowControl w:val="0"/>
        <w:autoSpaceDE w:val="0"/>
        <w:autoSpaceDN w:val="0"/>
        <w:spacing w:after="0" w:line="240" w:lineRule="auto"/>
        <w:ind w:left="709" w:right="709"/>
        <w:jc w:val="both"/>
        <w:rPr>
          <w:rFonts w:ascii="Verdana" w:eastAsia="Arial" w:hAnsi="Verdana" w:cs="Arial"/>
          <w:sz w:val="20"/>
          <w:szCs w:val="20"/>
          <w:lang w:val="es-ES"/>
        </w:rPr>
      </w:pPr>
      <w:r w:rsidRPr="002E49B3">
        <w:rPr>
          <w:rFonts w:ascii="Verdana" w:eastAsia="Arial" w:hAnsi="Verdana" w:cs="Arial"/>
          <w:sz w:val="20"/>
          <w:szCs w:val="20"/>
          <w:lang w:val="es-ES"/>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2E49B3">
        <w:rPr>
          <w:rFonts w:ascii="Verdana" w:eastAsia="Arial" w:hAnsi="Verdana" w:cs="Arial"/>
          <w:spacing w:val="-4"/>
          <w:sz w:val="20"/>
          <w:szCs w:val="20"/>
          <w:lang w:val="es-ES"/>
        </w:rPr>
        <w:t xml:space="preserve"> </w:t>
      </w:r>
      <w:r w:rsidRPr="002E49B3">
        <w:rPr>
          <w:rFonts w:ascii="Verdana" w:eastAsia="Arial" w:hAnsi="Verdana" w:cs="Arial"/>
          <w:sz w:val="20"/>
          <w:szCs w:val="20"/>
          <w:lang w:val="es-ES"/>
        </w:rPr>
        <w:t>1968”.</w:t>
      </w:r>
    </w:p>
    <w:p w14:paraId="40930C4C" w14:textId="77777777" w:rsidR="00B96323" w:rsidRPr="002E49B3" w:rsidRDefault="00B96323" w:rsidP="00B96323">
      <w:pPr>
        <w:spacing w:after="0" w:line="276" w:lineRule="auto"/>
        <w:jc w:val="both"/>
        <w:rPr>
          <w:rFonts w:ascii="Verdana" w:eastAsia="Calibri" w:hAnsi="Verdana" w:cs="Arial"/>
          <w:lang w:val="es-MX" w:eastAsia="x-none"/>
        </w:rPr>
      </w:pPr>
    </w:p>
    <w:p w14:paraId="644B99BF" w14:textId="77777777" w:rsidR="00B96323" w:rsidRPr="002E49B3" w:rsidRDefault="00B96323" w:rsidP="00B96323">
      <w:pPr>
        <w:spacing w:after="0" w:line="276" w:lineRule="auto"/>
        <w:ind w:firstLine="708"/>
        <w:jc w:val="both"/>
        <w:rPr>
          <w:rFonts w:ascii="Verdana" w:eastAsia="Calibri" w:hAnsi="Verdana" w:cs="Arial"/>
          <w:lang w:val="es-MX" w:eastAsia="x-none"/>
        </w:rPr>
      </w:pPr>
      <w:r w:rsidRPr="002E49B3">
        <w:rPr>
          <w:rFonts w:ascii="Verdana" w:eastAsia="Calibri" w:hAnsi="Verdana" w:cs="Arial"/>
          <w:lang w:val="es-MX" w:eastAsia="x-none"/>
        </w:rPr>
        <w:t xml:space="preserve">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De esta manera, respecto al régimen contractual de las universidades estatales, el artículo 93 de la Ley 30 de 1992 estableció </w:t>
      </w:r>
      <w:r w:rsidRPr="002E49B3">
        <w:rPr>
          <w:rFonts w:ascii="Verdana" w:eastAsia="Calibri" w:hAnsi="Verdana" w:cs="Arial"/>
          <w:i/>
          <w:iCs/>
          <w:lang w:val="es-MX" w:eastAsia="x-none"/>
        </w:rPr>
        <w:t>condicionadamente</w:t>
      </w:r>
      <w:r w:rsidRPr="002E49B3">
        <w:rPr>
          <w:rFonts w:ascii="Verdana" w:eastAsia="Calibri" w:hAnsi="Verdana" w:cs="Arial"/>
          <w:lang w:val="es-MX" w:eastAsia="x-none"/>
        </w:rPr>
        <w:t xml:space="preserve">, que será el derecho privado, rigiéndose, por ende, por las normas civiles y comerciales, así: </w:t>
      </w:r>
    </w:p>
    <w:p w14:paraId="435621EF" w14:textId="77777777" w:rsidR="00B96323" w:rsidRPr="002E49B3" w:rsidRDefault="00B96323" w:rsidP="00B96323">
      <w:pPr>
        <w:spacing w:after="0" w:line="276" w:lineRule="auto"/>
        <w:jc w:val="both"/>
        <w:rPr>
          <w:rFonts w:ascii="Verdana" w:eastAsia="Calibri" w:hAnsi="Verdana" w:cs="Arial"/>
          <w:lang w:val="es-MX" w:eastAsia="x-none"/>
        </w:rPr>
      </w:pPr>
    </w:p>
    <w:p w14:paraId="5A6096BA" w14:textId="77777777" w:rsidR="00B96323" w:rsidRPr="002E49B3" w:rsidRDefault="00B96323" w:rsidP="00B96323">
      <w:pPr>
        <w:spacing w:after="0" w:line="240" w:lineRule="auto"/>
        <w:ind w:left="709" w:right="709"/>
        <w:jc w:val="both"/>
        <w:rPr>
          <w:rFonts w:ascii="Verdana" w:eastAsia="Calibri" w:hAnsi="Verdana" w:cs="Arial"/>
          <w:sz w:val="20"/>
          <w:szCs w:val="20"/>
          <w:lang w:val="es-MX" w:eastAsia="x-none"/>
        </w:rPr>
      </w:pPr>
      <w:r w:rsidRPr="002E49B3">
        <w:rPr>
          <w:rFonts w:ascii="Verdana" w:eastAsia="Calibri" w:hAnsi="Verdana" w:cs="Arial"/>
          <w:sz w:val="20"/>
          <w:szCs w:val="20"/>
          <w:lang w:val="es-MX" w:eastAsia="x-none"/>
        </w:rPr>
        <w:t xml:space="preserve">“Artículo 93. Salvo las excepciones consagradas en la presente ley, </w:t>
      </w:r>
      <w:r w:rsidRPr="002E49B3">
        <w:rPr>
          <w:rFonts w:ascii="Verdana" w:eastAsia="Calibri" w:hAnsi="Verdana" w:cs="Arial"/>
          <w:b/>
          <w:i/>
          <w:sz w:val="20"/>
          <w:szCs w:val="20"/>
          <w:lang w:val="es-MX" w:eastAsia="x-none"/>
        </w:rPr>
        <w:t xml:space="preserve">los contratos que para el cumplimiento de sus funciones celebren las universidades estatales u oficiales, </w:t>
      </w:r>
      <w:r w:rsidRPr="002E49B3">
        <w:rPr>
          <w:rFonts w:ascii="Verdana" w:eastAsia="Calibri" w:hAnsi="Verdana" w:cs="Arial"/>
          <w:b/>
          <w:i/>
          <w:iCs/>
          <w:sz w:val="20"/>
          <w:szCs w:val="20"/>
          <w:lang w:val="es-MX" w:eastAsia="x-none"/>
        </w:rPr>
        <w:t>se regirán por las normas del derecho privado y sus efectos estarán sujetos a las normas civiles y comerciales</w:t>
      </w:r>
      <w:r w:rsidRPr="002E49B3">
        <w:rPr>
          <w:rFonts w:ascii="Verdana" w:eastAsia="Calibri" w:hAnsi="Verdana" w:cs="Arial"/>
          <w:b/>
          <w:i/>
          <w:sz w:val="20"/>
          <w:szCs w:val="20"/>
          <w:lang w:val="es-MX" w:eastAsia="x-none"/>
        </w:rPr>
        <w:t>,</w:t>
      </w:r>
      <w:r w:rsidRPr="002E49B3">
        <w:rPr>
          <w:rFonts w:ascii="Verdana" w:eastAsia="Calibri" w:hAnsi="Verdana" w:cs="Arial"/>
          <w:sz w:val="20"/>
          <w:szCs w:val="20"/>
          <w:lang w:val="es-MX" w:eastAsia="x-none"/>
        </w:rPr>
        <w:t xml:space="preserve"> según la naturaleza de los contratos. </w:t>
      </w:r>
    </w:p>
    <w:p w14:paraId="468353A8" w14:textId="77777777" w:rsidR="00B96323" w:rsidRDefault="00B96323" w:rsidP="00B96323">
      <w:pPr>
        <w:spacing w:after="0" w:line="240" w:lineRule="auto"/>
        <w:ind w:left="709" w:right="709"/>
        <w:jc w:val="both"/>
        <w:rPr>
          <w:rFonts w:ascii="Verdana" w:eastAsia="Calibri" w:hAnsi="Verdana" w:cs="Arial"/>
          <w:sz w:val="20"/>
          <w:szCs w:val="20"/>
          <w:lang w:val="es-MX" w:eastAsia="x-none"/>
        </w:rPr>
      </w:pPr>
    </w:p>
    <w:p w14:paraId="5CCC8418" w14:textId="31FAEB50" w:rsidR="00B96323" w:rsidRPr="001A3D1E" w:rsidRDefault="00B96323" w:rsidP="001A3D1E">
      <w:pPr>
        <w:spacing w:after="0" w:line="240" w:lineRule="auto"/>
        <w:ind w:left="709" w:right="709"/>
        <w:jc w:val="both"/>
        <w:rPr>
          <w:rFonts w:ascii="Verdana" w:eastAsia="Calibri" w:hAnsi="Verdana" w:cs="Arial"/>
          <w:sz w:val="20"/>
          <w:szCs w:val="20"/>
          <w:lang w:val="es-MX" w:eastAsia="x-none"/>
        </w:rPr>
      </w:pPr>
      <w:r w:rsidRPr="002E49B3">
        <w:rPr>
          <w:rFonts w:ascii="Verdana" w:eastAsia="Calibri" w:hAnsi="Verdana" w:cs="Arial"/>
          <w:sz w:val="20"/>
          <w:szCs w:val="20"/>
          <w:lang w:val="es-MX" w:eastAsia="x-none"/>
        </w:rPr>
        <w:t>Parágrafo. Se exceptúan de lo anterior los contratos de empréstito, los cuales se someterán a las reglas previstas para ellos por el Decreto 222 de 1983 y demás disposiciones que lo modifiquen, complementen o sustituyan”. [Énfasis fuera de texto]</w:t>
      </w:r>
    </w:p>
    <w:p w14:paraId="2CF47518" w14:textId="77777777" w:rsidR="00B96323" w:rsidRDefault="00B96323" w:rsidP="00B96323">
      <w:pPr>
        <w:spacing w:after="0" w:line="276" w:lineRule="auto"/>
        <w:ind w:firstLine="708"/>
        <w:jc w:val="both"/>
        <w:rPr>
          <w:rFonts w:ascii="Verdana" w:eastAsia="Calibri" w:hAnsi="Verdana" w:cs="Arial"/>
          <w:lang w:val="es-MX" w:eastAsia="x-none"/>
        </w:rPr>
      </w:pPr>
      <w:r>
        <w:rPr>
          <w:rFonts w:ascii="Verdana" w:eastAsia="Calibri" w:hAnsi="Verdana" w:cs="Arial"/>
          <w:lang w:val="es-MX" w:eastAsia="x-none"/>
        </w:rPr>
        <w:t>Así mismo, la Ley 30 de 1992 fijó los condicionamientos para la validez de los contratos al preceptuar en el artículo 94 que, los</w:t>
      </w:r>
      <w:r w:rsidRPr="00670F93">
        <w:rPr>
          <w:rFonts w:ascii="Verdana" w:eastAsia="Calibri" w:hAnsi="Verdana" w:cs="Arial"/>
          <w:lang w:eastAsia="x-none"/>
        </w:rPr>
        <w:t xml:space="preserve"> contratos que celebren las universidades estatales u oficiales, además del cumplimiento de los requisitos propios de la contratación entre particulares, estarán sujetos a los requisitos de aprobación y registro presupuestal, a la sujeción de los pagos según la suficiencia de las respectivas apropiaciones, publicación en el Diario Oficial y pago del impuesto de timbre nacional cuando a este haya lugar.</w:t>
      </w:r>
    </w:p>
    <w:p w14:paraId="393CF488" w14:textId="77777777" w:rsidR="00B96323" w:rsidRDefault="00B96323" w:rsidP="001A3D1E">
      <w:pPr>
        <w:spacing w:after="0" w:line="240" w:lineRule="auto"/>
        <w:ind w:firstLine="709"/>
        <w:jc w:val="both"/>
        <w:rPr>
          <w:rFonts w:ascii="Verdana" w:eastAsia="Calibri" w:hAnsi="Verdana" w:cs="Arial"/>
          <w:lang w:val="es-MX" w:eastAsia="x-none"/>
        </w:rPr>
      </w:pPr>
    </w:p>
    <w:p w14:paraId="727DE4F0" w14:textId="77777777" w:rsidR="00B96323" w:rsidRDefault="00B96323" w:rsidP="00B96323">
      <w:pPr>
        <w:spacing w:after="0" w:line="276" w:lineRule="auto"/>
        <w:ind w:firstLine="708"/>
        <w:jc w:val="both"/>
        <w:rPr>
          <w:rFonts w:ascii="Verdana" w:eastAsia="Calibri" w:hAnsi="Verdana" w:cs="Arial"/>
          <w:lang w:val="es-MX" w:eastAsia="x-none"/>
        </w:rPr>
      </w:pPr>
      <w:r>
        <w:rPr>
          <w:rFonts w:ascii="Verdana" w:eastAsia="Calibri" w:hAnsi="Verdana" w:cs="Arial"/>
          <w:lang w:val="es-MX" w:eastAsia="x-none"/>
        </w:rPr>
        <w:t>De lo anterior, podría inferirse</w:t>
      </w:r>
      <w:r w:rsidRPr="002E49B3">
        <w:rPr>
          <w:rFonts w:ascii="Verdana" w:eastAsia="Calibri" w:hAnsi="Verdana" w:cs="Arial"/>
          <w:lang w:val="es-MX" w:eastAsia="x-none"/>
        </w:rPr>
        <w:t xml:space="preserve"> que los entes universitarios, sólo aplicarán un régimen especial de contratación –es decir, el derecho privado– siempre y cuando el objeto a contratar sea para el cumplimiento de sus funciones propias; pero por ejemplo, cuando actúen como contratistas de otras Entidades Estatales regidas por el </w:t>
      </w:r>
      <w:r>
        <w:rPr>
          <w:rFonts w:ascii="Verdana" w:eastAsia="Calibri" w:hAnsi="Verdana" w:cs="Arial"/>
          <w:lang w:val="es-MX" w:eastAsia="x-none"/>
        </w:rPr>
        <w:t>EGCAP</w:t>
      </w:r>
      <w:r w:rsidRPr="002E49B3">
        <w:rPr>
          <w:rFonts w:ascii="Verdana" w:eastAsia="Calibri" w:hAnsi="Verdana" w:cs="Arial"/>
          <w:lang w:val="es-MX" w:eastAsia="x-none"/>
        </w:rPr>
        <w:t xml:space="preserve"> –Ley 80 de 1993, Ley 1150 de 2007, Decreto 1082 de 2015 y demás normas que lo modifiquen o complementen–, estarán sujetas, sin que ello afecte su economía, a las reglas y restricciones que dicho estatuto contenga para ese tipo de situaciones</w:t>
      </w:r>
      <w:r w:rsidRPr="002E49B3">
        <w:rPr>
          <w:rFonts w:ascii="Verdana" w:eastAsia="Calibri" w:hAnsi="Verdana" w:cs="Arial"/>
          <w:vertAlign w:val="superscript"/>
          <w:lang w:val="es-MX" w:eastAsia="x-none"/>
        </w:rPr>
        <w:footnoteReference w:id="9"/>
      </w:r>
      <w:r w:rsidRPr="002E49B3">
        <w:rPr>
          <w:rFonts w:ascii="Verdana" w:eastAsia="Calibri" w:hAnsi="Verdana" w:cs="Arial"/>
          <w:lang w:val="es-MX" w:eastAsia="x-none"/>
        </w:rPr>
        <w:t>.</w:t>
      </w:r>
      <w:r>
        <w:rPr>
          <w:rFonts w:ascii="Verdana" w:eastAsia="Calibri" w:hAnsi="Verdana" w:cs="Arial"/>
          <w:lang w:val="es-MX" w:eastAsia="x-none"/>
        </w:rPr>
        <w:t xml:space="preserve"> </w:t>
      </w:r>
    </w:p>
    <w:p w14:paraId="62C4BBBA" w14:textId="77777777" w:rsidR="00B96323" w:rsidRPr="00CC7195" w:rsidRDefault="00B96323" w:rsidP="00B96323">
      <w:pPr>
        <w:spacing w:before="120" w:after="120" w:line="276" w:lineRule="auto"/>
        <w:jc w:val="both"/>
        <w:rPr>
          <w:rFonts w:ascii="Verdana" w:eastAsia="Calibri" w:hAnsi="Verdana" w:cs="Arial"/>
          <w:color w:val="000000" w:themeColor="text1"/>
          <w:lang w:val="es-ES"/>
        </w:rPr>
      </w:pPr>
      <w:r w:rsidRPr="00CC7195">
        <w:rPr>
          <w:rFonts w:ascii="Verdana" w:eastAsia="Calibri" w:hAnsi="Verdana" w:cs="Arial"/>
          <w:color w:val="000000" w:themeColor="text1"/>
          <w:lang w:val="es-ES_tradnl"/>
        </w:rPr>
        <w:tab/>
      </w:r>
      <w:r w:rsidRPr="3957B322">
        <w:rPr>
          <w:rFonts w:ascii="Verdana" w:eastAsia="Calibri" w:hAnsi="Verdana" w:cs="Arial"/>
          <w:color w:val="000000" w:themeColor="text1"/>
          <w:lang w:val="es-ES"/>
        </w:rPr>
        <w:t>Teniendo en cuenta que las entidades de régimen especial están facultadas legalmente para aplicar reglas distintas a la Ley 80 de 1993 y sus normas complementarias, ello estará definido en la no</w:t>
      </w:r>
      <w:r>
        <w:rPr>
          <w:rFonts w:ascii="Verdana" w:eastAsia="Calibri" w:hAnsi="Verdana" w:cs="Arial"/>
          <w:color w:val="000000" w:themeColor="text1"/>
          <w:lang w:val="es-ES"/>
        </w:rPr>
        <w:t>r</w:t>
      </w:r>
      <w:r w:rsidRPr="3957B322">
        <w:rPr>
          <w:rFonts w:ascii="Verdana" w:eastAsia="Calibri" w:hAnsi="Verdana" w:cs="Arial"/>
          <w:color w:val="000000" w:themeColor="text1"/>
          <w:lang w:val="es-ES"/>
        </w:rPr>
        <w:t>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3957B322">
        <w:rPr>
          <w:rStyle w:val="Refdenotaalpie"/>
          <w:rFonts w:ascii="Verdana" w:eastAsia="Calibri" w:hAnsi="Verdana" w:cs="Arial"/>
          <w:color w:val="000000" w:themeColor="text1"/>
          <w:lang w:val="es-ES"/>
        </w:rPr>
        <w:footnoteReference w:id="10"/>
      </w:r>
      <w:r w:rsidRPr="3957B322">
        <w:rPr>
          <w:rFonts w:ascii="Verdana" w:eastAsia="Calibri" w:hAnsi="Verdana" w:cs="Arial"/>
          <w:color w:val="000000" w:themeColor="text1"/>
          <w:lang w:val="es-ES"/>
        </w:rPr>
        <w:t>.</w:t>
      </w:r>
    </w:p>
    <w:p w14:paraId="3062C82E" w14:textId="77777777" w:rsidR="00B96323" w:rsidRPr="00CC7195" w:rsidRDefault="00B96323" w:rsidP="00B96323">
      <w:pPr>
        <w:spacing w:line="276" w:lineRule="auto"/>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como el régimen de inhabilidades e incompatibilidades previsto para la contratación estatal</w:t>
      </w:r>
      <w:r>
        <w:rPr>
          <w:rStyle w:val="Refdenotaalpie"/>
          <w:rFonts w:ascii="Verdana" w:eastAsia="Calibri" w:hAnsi="Verdana" w:cs="Arial"/>
          <w:color w:val="000000" w:themeColor="text1"/>
          <w:lang w:val="es-ES_tradnl"/>
        </w:rPr>
        <w:footnoteReference w:id="11"/>
      </w:r>
      <w:r w:rsidRPr="00CC7195">
        <w:rPr>
          <w:rFonts w:ascii="Verdana" w:eastAsia="Calibri" w:hAnsi="Verdana" w:cs="Arial"/>
          <w:color w:val="000000" w:themeColor="text1"/>
          <w:lang w:val="es-ES_tradnl"/>
        </w:rPr>
        <w:t>. Lo anterior es reafirmado por el Consejo de Estado, que destaca las reglas que sigue la contratación de las entidades de régimen especial:</w:t>
      </w:r>
    </w:p>
    <w:p w14:paraId="58A65EFB" w14:textId="77777777" w:rsidR="00B96323" w:rsidRPr="003E2347" w:rsidRDefault="00B96323" w:rsidP="00B96323">
      <w:pPr>
        <w:spacing w:line="240" w:lineRule="auto"/>
        <w:ind w:left="709" w:right="758"/>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196ADF6" w14:textId="77777777" w:rsidR="00B96323" w:rsidRPr="003E2347" w:rsidRDefault="00B96323" w:rsidP="00B96323">
      <w:pPr>
        <w:spacing w:line="240" w:lineRule="auto"/>
        <w:ind w:left="709" w:right="758"/>
        <w:jc w:val="both"/>
        <w:rPr>
          <w:rFonts w:ascii="Verdana" w:eastAsia="Calibri" w:hAnsi="Verdana" w:cs="Arial"/>
          <w:color w:val="000000" w:themeColor="text1"/>
          <w:sz w:val="20"/>
          <w:szCs w:val="20"/>
          <w:lang w:val="es-ES"/>
        </w:rPr>
      </w:pPr>
      <w:r w:rsidRPr="003E2347">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w:t>
      </w:r>
      <w:proofErr w:type="gramStart"/>
      <w:r w:rsidRPr="003E2347">
        <w:rPr>
          <w:rFonts w:ascii="Verdana" w:eastAsia="Calibri" w:hAnsi="Verdana" w:cs="Arial"/>
          <w:color w:val="000000" w:themeColor="text1"/>
          <w:sz w:val="20"/>
          <w:szCs w:val="20"/>
          <w:lang w:val="es-ES"/>
        </w:rPr>
        <w:t>interpretar</w:t>
      </w:r>
      <w:proofErr w:type="gramEnd"/>
      <w:r w:rsidRPr="003E2347">
        <w:rPr>
          <w:rFonts w:ascii="Verdana" w:eastAsia="Calibri" w:hAnsi="Verdana" w:cs="Arial"/>
          <w:color w:val="000000" w:themeColor="text1"/>
          <w:sz w:val="20"/>
          <w:szCs w:val="20"/>
          <w:lang w:val="es-ES"/>
        </w:rPr>
        <w:t xml:space="preserve"> pero también transforma parte de esas instituciones, porque se suma a ellas, lo que no siempre se logra conservando intacta la institución privada sino introduciéndole modificaciones. </w:t>
      </w:r>
    </w:p>
    <w:p w14:paraId="0C9C63A1" w14:textId="77777777" w:rsidR="00B96323" w:rsidRPr="003E2347" w:rsidRDefault="00B96323" w:rsidP="00B96323">
      <w:pPr>
        <w:spacing w:line="240" w:lineRule="auto"/>
        <w:ind w:left="709" w:right="758"/>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3E2347">
        <w:rPr>
          <w:rStyle w:val="Refdenotaalpie"/>
          <w:rFonts w:ascii="Verdana" w:eastAsia="Calibri" w:hAnsi="Verdana" w:cs="Arial"/>
          <w:color w:val="000000" w:themeColor="text1"/>
          <w:sz w:val="20"/>
          <w:szCs w:val="20"/>
          <w:lang w:val="es-ES_tradnl"/>
        </w:rPr>
        <w:footnoteReference w:id="12"/>
      </w:r>
      <w:r w:rsidRPr="003E2347">
        <w:rPr>
          <w:rFonts w:ascii="Verdana" w:eastAsia="Calibri" w:hAnsi="Verdana" w:cs="Arial"/>
          <w:color w:val="000000" w:themeColor="text1"/>
          <w:sz w:val="20"/>
          <w:szCs w:val="20"/>
          <w:lang w:val="es-ES_tradnl"/>
        </w:rPr>
        <w:t>.</w:t>
      </w:r>
    </w:p>
    <w:p w14:paraId="66A6BFE0"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670F93">
        <w:rPr>
          <w:rFonts w:ascii="Verdana" w:eastAsia="Calibri" w:hAnsi="Verdana" w:cs="Arial"/>
          <w:lang w:val="es-ES_tradnl" w:eastAsia="x-none"/>
        </w:rPr>
        <w:t>De acuerdo con lo anterior</w:t>
      </w:r>
      <w:r>
        <w:rPr>
          <w:rFonts w:ascii="Verdana" w:eastAsia="Calibri" w:hAnsi="Verdana" w:cs="Arial"/>
          <w:lang w:val="es-ES_tradnl" w:eastAsia="x-none"/>
        </w:rPr>
        <w:t>,</w:t>
      </w:r>
      <w:r w:rsidRPr="00670F93">
        <w:rPr>
          <w:rFonts w:ascii="Verdana" w:eastAsia="Calibri" w:hAnsi="Verdana" w:cs="Arial"/>
          <w:lang w:val="es-ES_tradnl" w:eastAsia="x-none"/>
        </w:rPr>
        <w:t xml:space="preserve"> </w:t>
      </w:r>
      <w:r w:rsidRPr="00670F93">
        <w:rPr>
          <w:rFonts w:ascii="Verdana" w:hAnsi="Verdana" w:cs="Arial"/>
          <w:color w:val="000000"/>
          <w:lang w:val="es-ES_tradnl"/>
        </w:rPr>
        <w:t>para predicar el nacimiento a la vida jurídica de los negocios por ellas celebrados no se observarán las formalidades contempladas por los artículos 39 y 41 de la Ley 80 de 1993 y para esos efectos deberá acudirse a las disposiciones que la legislación comercial y civil contemple respecto de la tipología contractual que corresponda.</w:t>
      </w:r>
    </w:p>
    <w:p w14:paraId="261BD60C" w14:textId="77777777" w:rsidR="00B96323" w:rsidRPr="00BD754A"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
        </w:rPr>
      </w:pPr>
      <w:r>
        <w:rPr>
          <w:rFonts w:ascii="Verdana" w:hAnsi="Verdana" w:cs="Arial"/>
          <w:color w:val="000000"/>
          <w:lang w:val="es-ES_tradnl"/>
        </w:rPr>
        <w:t xml:space="preserve">Ahora bien, en materia de los contratos estatales regidos por el Estatuto General de Contratación de la Administración Pública se </w:t>
      </w:r>
      <w:r w:rsidRPr="00BD754A">
        <w:rPr>
          <w:rFonts w:ascii="Verdana" w:hAnsi="Verdana" w:cs="Arial"/>
          <w:color w:val="000000"/>
          <w:lang w:val="es-ES"/>
        </w:rPr>
        <w:t>prevé</w:t>
      </w:r>
      <w:r>
        <w:rPr>
          <w:rFonts w:ascii="Verdana" w:hAnsi="Verdana" w:cs="Arial"/>
          <w:color w:val="000000"/>
          <w:lang w:val="es-ES"/>
        </w:rPr>
        <w:t>n</w:t>
      </w:r>
      <w:r w:rsidRPr="00BD754A">
        <w:rPr>
          <w:rFonts w:ascii="Verdana" w:hAnsi="Verdana" w:cs="Arial"/>
          <w:color w:val="000000"/>
          <w:lang w:val="es-ES"/>
        </w:rPr>
        <w:t xml:space="preserve"> dos tipos de exigencias en relación con los contratos estatales, estas son: i) las relacionadas con el perfeccionamiento y </w:t>
      </w:r>
      <w:proofErr w:type="spellStart"/>
      <w:r w:rsidRPr="00BD754A">
        <w:rPr>
          <w:rFonts w:ascii="Verdana" w:hAnsi="Verdana" w:cs="Arial"/>
          <w:color w:val="000000"/>
          <w:lang w:val="es-ES"/>
        </w:rPr>
        <w:t>ii</w:t>
      </w:r>
      <w:proofErr w:type="spellEnd"/>
      <w:r w:rsidRPr="00BD754A">
        <w:rPr>
          <w:rFonts w:ascii="Verdana" w:hAnsi="Verdana" w:cs="Arial"/>
          <w:color w:val="000000"/>
          <w:lang w:val="es-ES"/>
        </w:rPr>
        <w:t>) las que tienen que ver con la ejecución. Si bien ambas se complementan y marcan el origen de la fase contractual –o de ejecución–, es importante distinguirlas, ya que las consecuencias jurídicas que generan son diferentes.</w:t>
      </w:r>
    </w:p>
    <w:p w14:paraId="14EF481A" w14:textId="77777777" w:rsidR="00B96323" w:rsidRPr="00BD754A"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BD754A">
        <w:rPr>
          <w:rFonts w:ascii="Verdana" w:hAnsi="Verdana" w:cs="Arial"/>
          <w:color w:val="000000"/>
          <w:lang w:val="es-ES_tradnl"/>
        </w:rPr>
        <w:t xml:space="preserve">Los </w:t>
      </w:r>
      <w:r w:rsidRPr="00BD754A">
        <w:rPr>
          <w:rFonts w:ascii="Verdana" w:hAnsi="Verdana" w:cs="Arial"/>
          <w:i/>
          <w:iCs/>
          <w:color w:val="000000"/>
          <w:lang w:val="es-ES_tradnl"/>
        </w:rPr>
        <w:t>requisitos de perfeccionamiento</w:t>
      </w:r>
      <w:r w:rsidRPr="00BD754A">
        <w:rPr>
          <w:rFonts w:ascii="Verdana" w:hAnsi="Verdana" w:cs="Arial"/>
          <w:color w:val="000000"/>
          <w:lang w:val="es-ES_tradnl"/>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Los de la </w:t>
      </w:r>
      <w:r w:rsidRPr="00BD754A">
        <w:rPr>
          <w:rFonts w:ascii="Verdana" w:hAnsi="Verdana" w:cs="Arial"/>
          <w:i/>
          <w:iCs/>
          <w:color w:val="000000"/>
          <w:lang w:val="es-ES_tradnl"/>
        </w:rPr>
        <w:t>esencia</w:t>
      </w:r>
      <w:r w:rsidRPr="00BD754A">
        <w:rPr>
          <w:rFonts w:ascii="Verdana" w:hAnsi="Verdana" w:cs="Arial"/>
          <w:color w:val="000000"/>
          <w:lang w:val="es-ES_tradnl"/>
        </w:rPr>
        <w:t xml:space="preserve"> son aquellos que, al cumplirse, marcan la existencia del contrato y le otorgan su identidad o tipología, permitiendo que no se confunda con otro contrato. Los de la </w:t>
      </w:r>
      <w:r w:rsidRPr="00BD754A">
        <w:rPr>
          <w:rFonts w:ascii="Verdana" w:hAnsi="Verdana" w:cs="Arial"/>
          <w:i/>
          <w:iCs/>
          <w:color w:val="000000"/>
          <w:lang w:val="es-ES_tradnl"/>
        </w:rPr>
        <w:t>naturaleza</w:t>
      </w:r>
      <w:r w:rsidRPr="00BD754A">
        <w:rPr>
          <w:rFonts w:ascii="Verdana" w:hAnsi="Verdana" w:cs="Arial"/>
          <w:color w:val="000000"/>
          <w:lang w:val="es-ES_tradnl"/>
        </w:rPr>
        <w:t xml:space="preserve"> son aquellos que, no siendo esenciales al contrato, se entienden incorporados por ministerio de la ley, aun ante el silencio de las partes. Y los </w:t>
      </w:r>
      <w:r w:rsidRPr="00BD754A">
        <w:rPr>
          <w:rFonts w:ascii="Verdana" w:hAnsi="Verdana" w:cs="Arial"/>
          <w:i/>
          <w:iCs/>
          <w:color w:val="000000"/>
          <w:lang w:val="es-ES_tradnl"/>
        </w:rPr>
        <w:t>accidentales</w:t>
      </w:r>
      <w:r w:rsidRPr="00BD754A">
        <w:rPr>
          <w:rFonts w:ascii="Verdana" w:hAnsi="Verdana" w:cs="Arial"/>
          <w:color w:val="000000"/>
          <w:lang w:val="es-ES_tradnl"/>
        </w:rPr>
        <w:t xml:space="preserve"> son los que las partes agregan en ejercicio de su autonomía de la voluntad, ya que no son ni esenciales, ni de la naturaleza del contrato</w:t>
      </w:r>
      <w:r w:rsidRPr="00BD754A">
        <w:rPr>
          <w:rFonts w:ascii="Verdana" w:hAnsi="Verdana" w:cs="Arial"/>
          <w:color w:val="000000"/>
          <w:vertAlign w:val="superscript"/>
          <w:lang w:val="es-MX"/>
        </w:rPr>
        <w:footnoteReference w:id="13"/>
      </w:r>
      <w:r w:rsidRPr="00BD754A">
        <w:rPr>
          <w:rFonts w:ascii="Verdana" w:hAnsi="Verdana" w:cs="Arial"/>
          <w:color w:val="000000"/>
          <w:lang w:val="es-ES_tradnl"/>
        </w:rPr>
        <w:t>. Los requisitos de perfeccionamiento del contrato estatal ingresan dentro de los elementos de la esencia.</w:t>
      </w:r>
    </w:p>
    <w:p w14:paraId="3AADDAB2" w14:textId="77777777" w:rsidR="00B96323" w:rsidRPr="00BD754A"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BD754A">
        <w:rPr>
          <w:rFonts w:ascii="Verdana" w:hAnsi="Verdana" w:cs="Arial"/>
          <w:color w:val="000000"/>
          <w:lang w:val="es-ES_tradnl"/>
        </w:rPr>
        <w:t xml:space="preserve">Además, los contratos –en términos generales– pueden ser: consensuales, reales o solemnes. Son </w:t>
      </w:r>
      <w:r w:rsidRPr="00BD754A">
        <w:rPr>
          <w:rFonts w:ascii="Verdana" w:hAnsi="Verdana" w:cs="Arial"/>
          <w:i/>
          <w:iCs/>
          <w:color w:val="000000"/>
          <w:lang w:val="es-ES_tradnl"/>
        </w:rPr>
        <w:t>consensuales</w:t>
      </w:r>
      <w:r w:rsidRPr="00BD754A">
        <w:rPr>
          <w:rFonts w:ascii="Verdana" w:hAnsi="Verdana" w:cs="Arial"/>
          <w:color w:val="000000"/>
          <w:lang w:val="es-ES_tradnl"/>
        </w:rPr>
        <w:t xml:space="preserve"> los que se perfeccionan con el consentimiento informal, pues no requieren de formalidades especiales. Son </w:t>
      </w:r>
      <w:r w:rsidRPr="00BD754A">
        <w:rPr>
          <w:rFonts w:ascii="Verdana" w:hAnsi="Verdana" w:cs="Arial"/>
          <w:i/>
          <w:iCs/>
          <w:color w:val="000000"/>
          <w:lang w:val="es-ES_tradnl"/>
        </w:rPr>
        <w:t>reales</w:t>
      </w:r>
      <w:r w:rsidRPr="00BD754A">
        <w:rPr>
          <w:rFonts w:ascii="Verdana" w:hAnsi="Verdana" w:cs="Arial"/>
          <w:color w:val="000000"/>
          <w:lang w:val="es-ES_tradnl"/>
        </w:rPr>
        <w:t xml:space="preserve"> aquellos que existen solo con la tradición o entrega de una cosa. Por su parte, son </w:t>
      </w:r>
      <w:r w:rsidRPr="00BD754A">
        <w:rPr>
          <w:rFonts w:ascii="Verdana" w:hAnsi="Verdana" w:cs="Arial"/>
          <w:i/>
          <w:iCs/>
          <w:color w:val="000000"/>
          <w:lang w:val="es-ES_tradnl"/>
        </w:rPr>
        <w:t>solemnes</w:t>
      </w:r>
      <w:r w:rsidRPr="00BD754A">
        <w:rPr>
          <w:rFonts w:ascii="Verdana" w:hAnsi="Verdana" w:cs="Arial"/>
          <w:color w:val="000000"/>
          <w:lang w:val="es-ES_tradnl"/>
        </w:rPr>
        <w:t xml:space="preserve"> aquellos contratos cuyo perfeccionamiento está revestido del cumplimiento de exigencias formales o ritualidades específicas</w:t>
      </w:r>
      <w:r w:rsidRPr="00BD754A">
        <w:rPr>
          <w:rFonts w:ascii="Verdana" w:hAnsi="Verdana" w:cs="Arial"/>
          <w:color w:val="000000"/>
          <w:vertAlign w:val="superscript"/>
          <w:lang w:val="es-MX"/>
        </w:rPr>
        <w:footnoteReference w:id="14"/>
      </w:r>
      <w:r w:rsidRPr="00BD754A">
        <w:rPr>
          <w:rFonts w:ascii="Verdana" w:hAnsi="Verdana" w:cs="Arial"/>
          <w:color w:val="000000"/>
          <w:lang w:val="es-ES_tradnl"/>
        </w:rPr>
        <w:t>. Pues bien, los contratos estatales regulados por el Estatuto General de Contratación de la Administración Pública, por regla general, son solemnes, ya que solo se entienden celebrados si se cumplen ciertas formalidades. Esta regla general solo tiene una excepción, como se explicará.</w:t>
      </w:r>
    </w:p>
    <w:p w14:paraId="3AABC2EB"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BD754A">
        <w:rPr>
          <w:rFonts w:ascii="Verdana" w:hAnsi="Verdana" w:cs="Arial"/>
          <w:color w:val="000000"/>
          <w:lang w:val="es-ES_tradnl"/>
        </w:rPr>
        <w:t xml:space="preserve">En efecto,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sobre la obligación principal del negocio –es decir, sobre el “objeto”– y sobre la contraprestación, sino que se debe plasmar por escrito. Tal circunstancia le ha permitido a la doctrina concluir que el contrato estatal regulado en EGCAP es “[…] principalmente, solemne, ya que la manifestación de voluntad, si no se expresa bajo la forma ad </w:t>
      </w:r>
      <w:proofErr w:type="spellStart"/>
      <w:r w:rsidRPr="00BD754A">
        <w:rPr>
          <w:rFonts w:ascii="Verdana" w:hAnsi="Verdana" w:cs="Arial"/>
          <w:color w:val="000000"/>
          <w:lang w:val="es-ES_tradnl"/>
        </w:rPr>
        <w:t>solemnitatem</w:t>
      </w:r>
      <w:proofErr w:type="spellEnd"/>
      <w:r w:rsidRPr="00BD754A">
        <w:rPr>
          <w:rFonts w:ascii="Verdana" w:hAnsi="Verdana" w:cs="Arial"/>
          <w:color w:val="000000"/>
          <w:lang w:val="es-ES_tradnl"/>
        </w:rPr>
        <w:t xml:space="preserve"> o ad </w:t>
      </w:r>
      <w:proofErr w:type="spellStart"/>
      <w:r w:rsidRPr="00BD754A">
        <w:rPr>
          <w:rFonts w:ascii="Verdana" w:hAnsi="Verdana" w:cs="Arial"/>
          <w:color w:val="000000"/>
          <w:lang w:val="es-ES_tradnl"/>
        </w:rPr>
        <w:t>substantiam</w:t>
      </w:r>
      <w:proofErr w:type="spellEnd"/>
      <w:r w:rsidRPr="00BD754A">
        <w:rPr>
          <w:rFonts w:ascii="Verdana" w:hAnsi="Verdana" w:cs="Arial"/>
          <w:color w:val="000000"/>
          <w:lang w:val="es-ES_tradnl"/>
        </w:rPr>
        <w:t xml:space="preserve"> </w:t>
      </w:r>
      <w:proofErr w:type="spellStart"/>
      <w:r w:rsidRPr="00BD754A">
        <w:rPr>
          <w:rFonts w:ascii="Verdana" w:hAnsi="Verdana" w:cs="Arial"/>
          <w:color w:val="000000"/>
          <w:lang w:val="es-ES_tradnl"/>
        </w:rPr>
        <w:t>actus</w:t>
      </w:r>
      <w:proofErr w:type="spellEnd"/>
      <w:r w:rsidRPr="00BD754A">
        <w:rPr>
          <w:rFonts w:ascii="Verdana" w:hAnsi="Verdana" w:cs="Arial"/>
          <w:color w:val="000000"/>
          <w:lang w:val="es-ES_tradnl"/>
        </w:rPr>
        <w:t xml:space="preserve"> exigida por la ley, es inexistente, es decir, se entiende que el contrato jamás ha sido creado para el mundo jurídico”</w:t>
      </w:r>
      <w:r w:rsidRPr="00BD754A">
        <w:rPr>
          <w:rFonts w:ascii="Verdana" w:hAnsi="Verdana" w:cs="Arial"/>
          <w:color w:val="000000"/>
          <w:vertAlign w:val="superscript"/>
          <w:lang w:val="es-MX"/>
        </w:rPr>
        <w:footnoteReference w:id="15"/>
      </w:r>
      <w:r w:rsidRPr="00BD754A">
        <w:rPr>
          <w:rFonts w:ascii="Verdana" w:hAnsi="Verdana" w:cs="Arial"/>
          <w:color w:val="000000"/>
          <w:lang w:val="es-ES_tradnl"/>
        </w:rPr>
        <w:t xml:space="preserve">. </w:t>
      </w:r>
    </w:p>
    <w:p w14:paraId="6A618C8E"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Pr>
          <w:rFonts w:ascii="Verdana" w:hAnsi="Verdana" w:cs="Arial"/>
          <w:color w:val="000000"/>
          <w:lang w:val="es-ES_tradnl"/>
        </w:rPr>
        <w:t>Así mismo, lo ha expresado el Consejo de Estado al sostener que:</w:t>
      </w:r>
    </w:p>
    <w:p w14:paraId="3B5A25F6" w14:textId="77777777" w:rsidR="00B96323" w:rsidRPr="00525670" w:rsidRDefault="00B96323" w:rsidP="00B96323">
      <w:pPr>
        <w:overflowPunct w:val="0"/>
        <w:autoSpaceDE w:val="0"/>
        <w:autoSpaceDN w:val="0"/>
        <w:adjustRightInd w:val="0"/>
        <w:spacing w:after="0" w:line="240" w:lineRule="auto"/>
        <w:ind w:left="567" w:right="760"/>
        <w:jc w:val="both"/>
        <w:textAlignment w:val="baseline"/>
        <w:rPr>
          <w:rFonts w:ascii="Verdana" w:hAnsi="Verdana" w:cs="Arial"/>
          <w:color w:val="000000"/>
          <w:sz w:val="20"/>
          <w:szCs w:val="20"/>
          <w:lang w:val="es-ES_tradnl"/>
        </w:rPr>
      </w:pPr>
      <w:r w:rsidRPr="00525670">
        <w:rPr>
          <w:rFonts w:ascii="Verdana" w:hAnsi="Verdana" w:cs="Arial"/>
          <w:color w:val="000000"/>
          <w:sz w:val="20"/>
          <w:szCs w:val="20"/>
        </w:rPr>
        <w:t>En tratándose de contratos celebrados por la administración pública esta Corporación ha señalado que estos son, salvo los casos de urgencia manifiesta, negocios jurídicos solemnes y que la única prueba de su existencia, es la constancia de la manifestación de la voluntad de las partes en un documento por escrito, tal como se desprende del artículo 39 de la Ley 80 de 1993, que establece: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(resalta la Sala). Disposición que resulta concordante con el previsto en el artículo 41 de la misma normatividad, la cual preceptúa que “[l]os contratos del Estado se perfeccionan cuando se logre acuerdo sobre el objeto y la contraprestación y éste se eleve a escrito”</w:t>
      </w:r>
      <w:r w:rsidRPr="00525670">
        <w:rPr>
          <w:rStyle w:val="Refdenotaalpie"/>
          <w:rFonts w:ascii="Verdana" w:hAnsi="Verdana" w:cs="Arial"/>
          <w:color w:val="000000"/>
          <w:sz w:val="20"/>
          <w:szCs w:val="20"/>
        </w:rPr>
        <w:footnoteReference w:id="16"/>
      </w:r>
      <w:r w:rsidRPr="00525670">
        <w:rPr>
          <w:rFonts w:ascii="Verdana" w:hAnsi="Verdana" w:cs="Arial"/>
          <w:color w:val="000000"/>
          <w:sz w:val="20"/>
          <w:szCs w:val="20"/>
        </w:rPr>
        <w:t>.</w:t>
      </w:r>
    </w:p>
    <w:p w14:paraId="0C6F2A4F" w14:textId="77777777" w:rsidR="00B96323" w:rsidRDefault="00B96323" w:rsidP="00B96323">
      <w:pPr>
        <w:overflowPunct w:val="0"/>
        <w:autoSpaceDE w:val="0"/>
        <w:autoSpaceDN w:val="0"/>
        <w:adjustRightInd w:val="0"/>
        <w:spacing w:after="0" w:line="240" w:lineRule="auto"/>
        <w:ind w:firstLine="709"/>
        <w:jc w:val="both"/>
        <w:textAlignment w:val="baseline"/>
        <w:rPr>
          <w:rFonts w:ascii="Verdana" w:hAnsi="Verdana" w:cs="Arial"/>
          <w:color w:val="000000"/>
          <w:lang w:val="es-ES"/>
        </w:rPr>
      </w:pPr>
    </w:p>
    <w:p w14:paraId="1FB6C74F"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
        </w:rPr>
      </w:pPr>
      <w:r w:rsidRPr="00BD754A">
        <w:rPr>
          <w:rFonts w:ascii="Verdana" w:hAnsi="Verdana" w:cs="Arial"/>
          <w:color w:val="000000"/>
          <w:lang w:val="es-ES"/>
        </w:rPr>
        <w:t xml:space="preserve">La excepción a esta regla se encuentra en el cuarto inciso del mismo artículo, según el cual,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 En otras palabras, por regla general, los contratos estatales deben constar por escrito, salvo que se presente una situación de urgencia manifiesta en la que no haya tiempo de cumplir con esta formalidad. </w:t>
      </w:r>
    </w:p>
    <w:p w14:paraId="4208D46D"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
        </w:rPr>
      </w:pPr>
      <w:r w:rsidRPr="00BD754A">
        <w:rPr>
          <w:rFonts w:ascii="Verdana" w:hAnsi="Verdana" w:cs="Arial"/>
          <w:color w:val="000000"/>
          <w:lang w:val="es-ES"/>
        </w:rPr>
        <w:t xml:space="preserve">Analizados los requisitos de perfeccionamiento del contrato estatal, es necesario distinguirlos, por tanto, de los </w:t>
      </w:r>
      <w:r w:rsidRPr="00BD754A">
        <w:rPr>
          <w:rFonts w:ascii="Verdana" w:hAnsi="Verdana" w:cs="Arial"/>
          <w:i/>
          <w:iCs/>
          <w:color w:val="000000"/>
          <w:lang w:val="es-ES"/>
        </w:rPr>
        <w:t xml:space="preserve">requisitos de ejecución, </w:t>
      </w:r>
      <w:r w:rsidRPr="00BD754A">
        <w:rPr>
          <w:rFonts w:ascii="Verdana" w:hAnsi="Verdana" w:cs="Arial"/>
          <w:color w:val="000000"/>
          <w:lang w:val="es-ES"/>
        </w:rPr>
        <w:t xml:space="preserve">e indicar cuáles son las exigencias de esta segunda clase establecidas en el EGCAP. Si el cumplimiento de los requisitos de perfeccionamiento permite que el contrato exista, la observancia de los requisitos de ejecución posibilita el inicio de la fase de realización de las actividades pactadas en el contrato, es decir, el cumplimiento del objeto del negocio jurídico. </w:t>
      </w:r>
    </w:p>
    <w:p w14:paraId="67CA3250" w14:textId="77777777" w:rsidR="00B96323" w:rsidRPr="00BD754A"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BD754A">
        <w:rPr>
          <w:rFonts w:ascii="Verdana" w:hAnsi="Verdana" w:cs="Arial"/>
          <w:color w:val="000000"/>
          <w:lang w:val="es-ES"/>
        </w:rPr>
        <w:t xml:space="preserve">En ese orden, los </w:t>
      </w:r>
      <w:r w:rsidRPr="00BD754A">
        <w:rPr>
          <w:rFonts w:ascii="Verdana" w:hAnsi="Verdana" w:cs="Arial"/>
          <w:i/>
          <w:iCs/>
          <w:color w:val="000000"/>
          <w:lang w:val="es-ES"/>
        </w:rPr>
        <w:t xml:space="preserve">requisitos de ejecución </w:t>
      </w:r>
      <w:r w:rsidRPr="00BD754A">
        <w:rPr>
          <w:rFonts w:ascii="Verdana" w:hAnsi="Verdana" w:cs="Arial"/>
          <w:color w:val="000000"/>
          <w:lang w:val="es-ES"/>
        </w:rPr>
        <w:t xml:space="preserve">de los contratos estatales pueden ser “legales” o “convencionales”. Los primeros son aquellos que se encuentran previstos en la ley. Los segundos son estipulados por las partes. En otros términos, los </w:t>
      </w:r>
      <w:r w:rsidRPr="00BD754A">
        <w:rPr>
          <w:rFonts w:ascii="Verdana" w:hAnsi="Verdana" w:cs="Arial"/>
          <w:i/>
          <w:iCs/>
          <w:color w:val="000000"/>
          <w:lang w:val="es-ES"/>
        </w:rPr>
        <w:t xml:space="preserve">requisitos legales de ejecución </w:t>
      </w:r>
      <w:r w:rsidRPr="00BD754A">
        <w:rPr>
          <w:rFonts w:ascii="Verdana" w:hAnsi="Verdana" w:cs="Arial"/>
          <w:color w:val="000000"/>
          <w:lang w:val="es-ES"/>
        </w:rPr>
        <w:t xml:space="preserve">son elementos de la </w:t>
      </w:r>
      <w:r w:rsidRPr="00BD754A">
        <w:rPr>
          <w:rFonts w:ascii="Verdana" w:hAnsi="Verdana" w:cs="Arial"/>
          <w:i/>
          <w:iCs/>
          <w:color w:val="000000"/>
          <w:lang w:val="es-ES"/>
        </w:rPr>
        <w:t xml:space="preserve">naturaleza, </w:t>
      </w:r>
      <w:r w:rsidRPr="00BD754A">
        <w:rPr>
          <w:rFonts w:ascii="Verdana" w:hAnsi="Verdana" w:cs="Arial"/>
          <w:color w:val="000000"/>
          <w:lang w:val="es-ES"/>
        </w:rPr>
        <w:t xml:space="preserve">mientras que los requisitos </w:t>
      </w:r>
      <w:r w:rsidRPr="00BD754A">
        <w:rPr>
          <w:rFonts w:ascii="Verdana" w:hAnsi="Verdana" w:cs="Arial"/>
          <w:i/>
          <w:iCs/>
          <w:color w:val="000000"/>
          <w:lang w:val="es-ES"/>
        </w:rPr>
        <w:t xml:space="preserve">convencionales </w:t>
      </w:r>
      <w:r w:rsidRPr="00BD754A">
        <w:rPr>
          <w:rFonts w:ascii="Verdana" w:hAnsi="Verdana" w:cs="Arial"/>
          <w:color w:val="000000"/>
          <w:lang w:val="es-ES"/>
        </w:rPr>
        <w:t xml:space="preserve">de ejecución son elementos </w:t>
      </w:r>
      <w:r w:rsidRPr="00BD754A">
        <w:rPr>
          <w:rFonts w:ascii="Verdana" w:hAnsi="Verdana" w:cs="Arial"/>
          <w:i/>
          <w:iCs/>
          <w:color w:val="000000"/>
          <w:lang w:val="es-ES"/>
        </w:rPr>
        <w:t xml:space="preserve">accidentales. </w:t>
      </w:r>
      <w:r w:rsidRPr="00BD754A">
        <w:rPr>
          <w:rFonts w:ascii="Verdana" w:hAnsi="Verdana" w:cs="Arial"/>
          <w:color w:val="000000"/>
          <w:lang w:val="es-ES"/>
        </w:rPr>
        <w:t xml:space="preserve">Para determinar lo anterior, conviene hacer referencia al segundo inciso del artículo 41 de la Ley 80 de 1993, modificado por el artículo 23 de la Ley 1150 de 2007. Dicha norma sobre los requisitos legales establece: </w:t>
      </w:r>
    </w:p>
    <w:p w14:paraId="52F9034C" w14:textId="77777777" w:rsidR="00B96323" w:rsidRPr="00BF168D" w:rsidRDefault="00B96323" w:rsidP="001A3D1E">
      <w:pPr>
        <w:overflowPunct w:val="0"/>
        <w:autoSpaceDE w:val="0"/>
        <w:autoSpaceDN w:val="0"/>
        <w:adjustRightInd w:val="0"/>
        <w:spacing w:after="0" w:line="240" w:lineRule="auto"/>
        <w:ind w:left="851" w:right="760"/>
        <w:jc w:val="both"/>
        <w:textAlignment w:val="baseline"/>
        <w:rPr>
          <w:rFonts w:ascii="Verdana" w:hAnsi="Verdana" w:cs="Arial"/>
          <w:color w:val="000000"/>
          <w:sz w:val="20"/>
          <w:szCs w:val="20"/>
        </w:rPr>
      </w:pPr>
      <w:r w:rsidRPr="00BF168D">
        <w:rPr>
          <w:rFonts w:ascii="Verdana" w:hAnsi="Verdana" w:cs="Arial"/>
          <w:color w:val="000000"/>
          <w:sz w:val="20"/>
          <w:szCs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6006B74" w14:textId="77777777" w:rsidR="00B96323" w:rsidRDefault="00B96323" w:rsidP="00B96323">
      <w:pPr>
        <w:overflowPunct w:val="0"/>
        <w:autoSpaceDE w:val="0"/>
        <w:autoSpaceDN w:val="0"/>
        <w:adjustRightInd w:val="0"/>
        <w:spacing w:after="0" w:line="240" w:lineRule="auto"/>
        <w:ind w:firstLine="709"/>
        <w:jc w:val="both"/>
        <w:textAlignment w:val="baseline"/>
        <w:rPr>
          <w:rFonts w:ascii="Verdana" w:hAnsi="Verdana" w:cs="Arial"/>
          <w:color w:val="000000"/>
          <w:lang w:val="es-ES"/>
        </w:rPr>
      </w:pPr>
    </w:p>
    <w:p w14:paraId="492709BF" w14:textId="77777777" w:rsidR="00B96323" w:rsidRPr="00BD754A"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rPr>
      </w:pPr>
      <w:r w:rsidRPr="00BD754A">
        <w:rPr>
          <w:rFonts w:ascii="Verdana" w:hAnsi="Verdana" w:cs="Arial"/>
          <w:color w:val="000000"/>
          <w:lang w:val="es-ES"/>
        </w:rPr>
        <w:t xml:space="preserve">Como puede observarse, los requisitos </w:t>
      </w:r>
      <w:r w:rsidRPr="00BD754A">
        <w:rPr>
          <w:rFonts w:ascii="Verdana" w:hAnsi="Verdana" w:cs="Arial"/>
          <w:i/>
          <w:iCs/>
          <w:color w:val="000000"/>
          <w:lang w:val="es-ES"/>
        </w:rPr>
        <w:t xml:space="preserve">legales de ejecución </w:t>
      </w:r>
      <w:r w:rsidRPr="00BD754A">
        <w:rPr>
          <w:rFonts w:ascii="Verdana" w:hAnsi="Verdana" w:cs="Arial"/>
          <w:color w:val="000000"/>
          <w:lang w:val="es-ES"/>
        </w:rPr>
        <w:t>son: (i) la aprobación de las garantías exigidas en el contrato, (</w:t>
      </w:r>
      <w:proofErr w:type="spellStart"/>
      <w:r w:rsidRPr="00BD754A">
        <w:rPr>
          <w:rFonts w:ascii="Verdana" w:hAnsi="Verdana" w:cs="Arial"/>
          <w:color w:val="000000"/>
          <w:lang w:val="es-ES"/>
        </w:rPr>
        <w:t>ii</w:t>
      </w:r>
      <w:proofErr w:type="spellEnd"/>
      <w:r w:rsidRPr="00BD754A">
        <w:rPr>
          <w:rFonts w:ascii="Verdana" w:hAnsi="Verdana" w:cs="Arial"/>
          <w:color w:val="000000"/>
          <w:lang w:val="es-ES"/>
        </w:rPr>
        <w:t>) la existencia de la apropiación presupuestal correspondiente y (</w:t>
      </w:r>
      <w:proofErr w:type="spellStart"/>
      <w:r w:rsidRPr="00BD754A">
        <w:rPr>
          <w:rFonts w:ascii="Verdana" w:hAnsi="Verdana" w:cs="Arial"/>
          <w:color w:val="000000"/>
          <w:lang w:val="es-ES"/>
        </w:rPr>
        <w:t>iii</w:t>
      </w:r>
      <w:proofErr w:type="spellEnd"/>
      <w:r w:rsidRPr="00BD754A">
        <w:rPr>
          <w:rFonts w:ascii="Verdana" w:hAnsi="Verdana" w:cs="Arial"/>
          <w:color w:val="000000"/>
          <w:lang w:val="es-ES"/>
        </w:rPr>
        <w:t xml:space="preserve">) la acreditación del cumplimiento de las obligaciones con el Sistema de Seguridad Social Integral. Por su parte, serán </w:t>
      </w:r>
      <w:r w:rsidRPr="00BD754A">
        <w:rPr>
          <w:rFonts w:ascii="Verdana" w:hAnsi="Verdana" w:cs="Arial"/>
          <w:i/>
          <w:iCs/>
          <w:color w:val="000000"/>
          <w:lang w:val="es-ES"/>
        </w:rPr>
        <w:t xml:space="preserve">requisitos convencionales </w:t>
      </w:r>
      <w:r w:rsidRPr="00BD754A">
        <w:rPr>
          <w:rFonts w:ascii="Verdana" w:hAnsi="Verdana" w:cs="Arial"/>
          <w:color w:val="000000"/>
          <w:lang w:val="es-ES"/>
        </w:rPr>
        <w:t xml:space="preserve">aquellos que no se encuentran consagrados en la </w:t>
      </w:r>
      <w:proofErr w:type="gramStart"/>
      <w:r w:rsidRPr="00BD754A">
        <w:rPr>
          <w:rFonts w:ascii="Verdana" w:hAnsi="Verdana" w:cs="Arial"/>
          <w:color w:val="000000"/>
          <w:lang w:val="es-ES"/>
        </w:rPr>
        <w:t>ley</w:t>
      </w:r>
      <w:proofErr w:type="gramEnd"/>
      <w:r w:rsidRPr="00BD754A">
        <w:rPr>
          <w:rFonts w:ascii="Verdana" w:hAnsi="Verdana" w:cs="Arial"/>
          <w:color w:val="000000"/>
          <w:lang w:val="es-ES"/>
        </w:rPr>
        <w:t xml:space="preserve"> sino que se pactan en la minuta del contrato o que el contratista acepta al momento de adherirse al clausulado del pliego de condiciones o documento equivalente. </w:t>
      </w:r>
    </w:p>
    <w:p w14:paraId="79ADBE99"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lang w:val="es-ES_tradnl"/>
        </w:rPr>
      </w:pPr>
      <w:r w:rsidRPr="00BD754A">
        <w:rPr>
          <w:rFonts w:ascii="Verdana" w:hAnsi="Verdana" w:cs="Arial"/>
          <w:color w:val="000000"/>
          <w:lang w:val="es-ES"/>
        </w:rPr>
        <w:t>Dichos requisitos se relacionan en que, deben cumplirse para que inicie la ejecución del contrato, sin que por ello puedan considerarse elementos de la esencia –de perfeccionamiento– del negocio jurídico, ni de su validez. En otras palabras, un contrato estatal existe, así no se hayan aprobado las garantías, o expedido el registro presupuestal, o a pesar de que el contratista no esté al día en el cumplimiento de sus obligaciones con el Sistema de Seguridad Social Integral, pero no puede comenzar a ejecutarse. Si aun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r w:rsidRPr="00BD754A">
        <w:rPr>
          <w:rFonts w:ascii="Verdana" w:hAnsi="Verdana" w:cs="Arial"/>
          <w:color w:val="000000"/>
          <w:vertAlign w:val="superscript"/>
        </w:rPr>
        <w:footnoteReference w:id="17"/>
      </w:r>
      <w:r w:rsidRPr="00BD754A">
        <w:rPr>
          <w:rFonts w:ascii="Verdana" w:hAnsi="Verdana" w:cs="Arial"/>
          <w:color w:val="000000"/>
          <w:lang w:val="es-ES_tradnl"/>
        </w:rPr>
        <w:t>.</w:t>
      </w:r>
    </w:p>
    <w:p w14:paraId="1975E819" w14:textId="77777777" w:rsidR="00B96323" w:rsidRPr="005C4B6A"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rPr>
      </w:pPr>
      <w:r>
        <w:rPr>
          <w:rFonts w:ascii="Verdana" w:hAnsi="Verdana" w:cs="Arial"/>
          <w:color w:val="000000"/>
        </w:rPr>
        <w:t xml:space="preserve">En cuanto al registro presupuestal en los contratos regidos por el Estatuto General de Contratación de la Administración Pública, </w:t>
      </w:r>
      <w:r w:rsidRPr="005C4B6A">
        <w:rPr>
          <w:rFonts w:ascii="Verdana" w:hAnsi="Verdana" w:cs="Arial"/>
          <w:color w:val="000000"/>
        </w:rPr>
        <w:t>este es necesario para iniciar la ejecución del contrato, una vez se tenga definido el valor y el plazo. En concordancia con lo anterior, el Consejo de Estado expresó respecto de la disponibilidad y el compromiso presupuestal, que:</w:t>
      </w:r>
    </w:p>
    <w:p w14:paraId="5B55CBF1" w14:textId="77777777" w:rsidR="00B96323" w:rsidRDefault="00B96323" w:rsidP="00B96323">
      <w:pPr>
        <w:overflowPunct w:val="0"/>
        <w:autoSpaceDE w:val="0"/>
        <w:autoSpaceDN w:val="0"/>
        <w:adjustRightInd w:val="0"/>
        <w:spacing w:after="0" w:line="240" w:lineRule="auto"/>
        <w:ind w:left="851" w:right="760"/>
        <w:jc w:val="both"/>
        <w:textAlignment w:val="baseline"/>
        <w:rPr>
          <w:rFonts w:ascii="Verdana" w:hAnsi="Verdana" w:cs="Arial"/>
          <w:color w:val="000000"/>
          <w:sz w:val="20"/>
          <w:szCs w:val="20"/>
          <w:lang w:val="es-ES"/>
        </w:rPr>
      </w:pPr>
      <w:r w:rsidRPr="005C4B6A">
        <w:rPr>
          <w:rFonts w:ascii="Verdana" w:hAnsi="Verdana" w:cs="Arial"/>
          <w:color w:val="000000"/>
          <w:sz w:val="20"/>
          <w:szCs w:val="20"/>
          <w:lang w:val="es-ES"/>
        </w:rPr>
        <w:t xml:space="preserve">“En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w:t>
      </w:r>
      <w:r w:rsidRPr="005C4B6A">
        <w:rPr>
          <w:rFonts w:ascii="Verdana" w:hAnsi="Verdana" w:cs="Arial"/>
          <w:color w:val="000000"/>
          <w:sz w:val="20"/>
          <w:szCs w:val="20"/>
          <w:u w:val="single"/>
          <w:lang w:val="es-ES"/>
        </w:rPr>
        <w:t>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 partes</w:t>
      </w:r>
      <w:r w:rsidRPr="005C4B6A">
        <w:rPr>
          <w:rFonts w:ascii="Verdana" w:hAnsi="Verdana" w:cs="Arial"/>
          <w:color w:val="000000"/>
          <w:sz w:val="20"/>
          <w:szCs w:val="20"/>
          <w:u w:val="single"/>
          <w:vertAlign w:val="superscript"/>
          <w:lang w:val="es-ES"/>
        </w:rPr>
        <w:footnoteReference w:id="18"/>
      </w:r>
      <w:r w:rsidRPr="005C4B6A">
        <w:rPr>
          <w:rFonts w:ascii="Verdana" w:hAnsi="Verdana" w:cs="Arial"/>
          <w:color w:val="000000"/>
          <w:sz w:val="20"/>
          <w:szCs w:val="20"/>
          <w:u w:val="single"/>
          <w:lang w:val="es-ES"/>
        </w:rPr>
        <w:t>.</w:t>
      </w:r>
      <w:r w:rsidRPr="005C4B6A">
        <w:rPr>
          <w:rFonts w:ascii="Verdana" w:hAnsi="Verdana" w:cs="Arial"/>
          <w:color w:val="000000"/>
          <w:sz w:val="20"/>
          <w:szCs w:val="20"/>
          <w:lang w:val="es-ES"/>
        </w:rPr>
        <w:t xml:space="preserve"> (Subrayado fuera de texto)</w:t>
      </w:r>
    </w:p>
    <w:p w14:paraId="057DB39F" w14:textId="77777777" w:rsidR="00B96323" w:rsidRPr="00BF168D" w:rsidRDefault="00B96323" w:rsidP="00B96323">
      <w:pPr>
        <w:overflowPunct w:val="0"/>
        <w:autoSpaceDE w:val="0"/>
        <w:autoSpaceDN w:val="0"/>
        <w:adjustRightInd w:val="0"/>
        <w:spacing w:after="0" w:line="240" w:lineRule="auto"/>
        <w:ind w:left="851" w:right="760"/>
        <w:jc w:val="both"/>
        <w:textAlignment w:val="baseline"/>
        <w:rPr>
          <w:rFonts w:ascii="Verdana" w:hAnsi="Verdana" w:cs="Arial"/>
          <w:color w:val="000000"/>
          <w:sz w:val="20"/>
          <w:szCs w:val="20"/>
          <w:u w:val="single"/>
          <w:lang w:val="es-ES"/>
        </w:rPr>
      </w:pPr>
    </w:p>
    <w:p w14:paraId="426090C9" w14:textId="77777777" w:rsidR="00B96323" w:rsidRDefault="00B96323" w:rsidP="00B96323">
      <w:pPr>
        <w:overflowPunct w:val="0"/>
        <w:autoSpaceDE w:val="0"/>
        <w:autoSpaceDN w:val="0"/>
        <w:adjustRightInd w:val="0"/>
        <w:spacing w:after="120" w:line="276" w:lineRule="auto"/>
        <w:ind w:firstLine="709"/>
        <w:jc w:val="both"/>
        <w:textAlignment w:val="baseline"/>
        <w:rPr>
          <w:rFonts w:ascii="Verdana" w:hAnsi="Verdana" w:cs="Arial"/>
          <w:color w:val="000000"/>
        </w:rPr>
      </w:pPr>
      <w:r w:rsidRPr="005C4B6A">
        <w:rPr>
          <w:rFonts w:ascii="Verdana" w:hAnsi="Verdana" w:cs="Arial"/>
          <w:color w:val="000000"/>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0D9F4770" w14:textId="77777777" w:rsidR="00B96323" w:rsidRPr="0086689B" w:rsidRDefault="00B96323" w:rsidP="00B96323">
      <w:pPr>
        <w:pStyle w:val="Textoindependiente"/>
        <w:spacing w:before="0" w:after="120" w:line="276" w:lineRule="auto"/>
        <w:ind w:firstLine="709"/>
        <w:jc w:val="both"/>
        <w:rPr>
          <w:rFonts w:ascii="Verdana" w:hAnsi="Verdana" w:cs="Arial"/>
          <w:bCs/>
          <w:color w:val="000000" w:themeColor="text1"/>
          <w:sz w:val="22"/>
          <w:szCs w:val="22"/>
        </w:rPr>
      </w:pPr>
      <w:r w:rsidRPr="00A97278">
        <w:rPr>
          <w:rFonts w:ascii="Verdana" w:hAnsi="Verdana" w:cs="Arial"/>
          <w:bCs/>
          <w:color w:val="000000" w:themeColor="text1"/>
          <w:sz w:val="22"/>
          <w:szCs w:val="22"/>
        </w:rPr>
        <w:t>Al margen de la explicación precedente, debe advertirse que el análisis requerido para resolver problemas específicos en torno a la gestión contractual de las entidades públicas</w:t>
      </w:r>
      <w:r>
        <w:rPr>
          <w:rFonts w:ascii="Verdana" w:hAnsi="Verdana" w:cs="Arial"/>
          <w:bCs/>
          <w:color w:val="000000" w:themeColor="text1"/>
          <w:sz w:val="22"/>
          <w:szCs w:val="22"/>
        </w:rPr>
        <w:t xml:space="preserve"> que tiene un régimen exceptuado del Estatuto General de Contratación de la Administración Pública </w:t>
      </w:r>
      <w:r w:rsidRPr="00A97278">
        <w:rPr>
          <w:rFonts w:ascii="Verdana" w:hAnsi="Verdana" w:cs="Arial"/>
          <w:bCs/>
          <w:color w:val="000000" w:themeColor="text1"/>
          <w:sz w:val="22"/>
          <w:szCs w:val="22"/>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284540D" w14:textId="77777777" w:rsidR="00B96323" w:rsidRDefault="00B96323" w:rsidP="00B96323">
      <w:pPr>
        <w:spacing w:after="0" w:line="276" w:lineRule="auto"/>
        <w:ind w:firstLine="709"/>
        <w:jc w:val="both"/>
        <w:rPr>
          <w:rFonts w:ascii="Verdana" w:hAnsi="Verdana" w:cs="Arial"/>
          <w:bCs/>
          <w:color w:val="000000" w:themeColor="text1"/>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99951B0" w14:textId="77777777" w:rsidR="00B96323" w:rsidRPr="00BF168D" w:rsidRDefault="00B96323" w:rsidP="00B96323">
      <w:pPr>
        <w:spacing w:after="0" w:line="276" w:lineRule="auto"/>
        <w:ind w:firstLine="709"/>
        <w:jc w:val="both"/>
        <w:rPr>
          <w:rFonts w:ascii="Verdana" w:hAnsi="Verdana" w:cs="Arial"/>
          <w:bCs/>
          <w:color w:val="000000" w:themeColor="text1"/>
        </w:rPr>
      </w:pPr>
    </w:p>
    <w:p w14:paraId="29DF940C" w14:textId="77777777" w:rsidR="00B96323" w:rsidRDefault="00B96323" w:rsidP="00B96323">
      <w:pPr>
        <w:spacing w:after="0" w:line="276" w:lineRule="auto"/>
        <w:jc w:val="both"/>
        <w:rPr>
          <w:rFonts w:ascii="Verdana" w:eastAsia="Century Gothic" w:hAnsi="Verdana" w:cs="Century Gothic"/>
          <w:b/>
          <w:bCs/>
        </w:rPr>
      </w:pPr>
      <w:bookmarkStart w:id="3"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3"/>
    </w:p>
    <w:p w14:paraId="013F524D" w14:textId="77777777" w:rsidR="00B96323" w:rsidRPr="000B6E79" w:rsidRDefault="00B96323" w:rsidP="00B96323">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6323" w:rsidRPr="002D2C18" w14:paraId="071CE219" w14:textId="77777777" w:rsidTr="00B5338C">
        <w:trPr>
          <w:trHeight w:val="56"/>
          <w:jc w:val="center"/>
        </w:trPr>
        <w:tc>
          <w:tcPr>
            <w:tcW w:w="8647" w:type="dxa"/>
          </w:tcPr>
          <w:p w14:paraId="75450174"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Constitución Política. Artículos 69, 113. </w:t>
            </w:r>
          </w:p>
          <w:p w14:paraId="7355A2CB"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Código Civil. Artículo 1500. </w:t>
            </w:r>
          </w:p>
          <w:p w14:paraId="37534174"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Ley 30 de 1992. Artículos 57, 93 y 94. </w:t>
            </w:r>
          </w:p>
          <w:p w14:paraId="1002D4C9"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80 de 1993. Artículos 39 y 41.</w:t>
            </w:r>
          </w:p>
          <w:p w14:paraId="57A9EE19"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489 de 1998. Artículos 39, 40.</w:t>
            </w:r>
          </w:p>
          <w:p w14:paraId="2D200F13"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lang w:eastAsia="es-ES"/>
              </w:rPr>
              <w:t xml:space="preserve">Consejo de Estado. Sala de lo Contencioso Administrativo. Sección Cuarta. Sentencia del 16 de diciembre de 2008. </w:t>
            </w:r>
            <w:proofErr w:type="spellStart"/>
            <w:r w:rsidRPr="000C5622">
              <w:rPr>
                <w:rFonts w:ascii="Verdana" w:hAnsi="Verdana" w:cs="Arial"/>
                <w:lang w:eastAsia="es-ES"/>
              </w:rPr>
              <w:t>Exp</w:t>
            </w:r>
            <w:proofErr w:type="spellEnd"/>
            <w:r w:rsidRPr="000C5622">
              <w:rPr>
                <w:rFonts w:ascii="Verdana" w:hAnsi="Verdana" w:cs="Arial"/>
                <w:lang w:eastAsia="es-ES"/>
              </w:rPr>
              <w:t>. 16.297. C.P. Martha Teresa Briceño de Valencia</w:t>
            </w:r>
            <w:r>
              <w:rPr>
                <w:rFonts w:ascii="Verdana" w:hAnsi="Verdana" w:cs="Arial"/>
                <w:lang w:eastAsia="es-ES"/>
              </w:rPr>
              <w:t>.</w:t>
            </w:r>
          </w:p>
          <w:p w14:paraId="41EF0526"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lang w:eastAsia="es-ES"/>
              </w:rPr>
              <w:t>Consejo de Estado. Sala de Consulta y Servicio Civil. Concepto del 28 de junio de 2012. Radicado: No. 11001-03-06-000-2012-00016-00(2092), M.P. William Zambrano Cetina.</w:t>
            </w:r>
          </w:p>
          <w:p w14:paraId="09A553F5"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lang w:eastAsia="es-ES"/>
              </w:rPr>
              <w:t>Consejo de Estado. Sala de Consulta y Servicio Civil. 13 de diciembre de 2022. Expediente 2488. C.P: Edgar González López.</w:t>
            </w:r>
          </w:p>
          <w:p w14:paraId="2692869E"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lang w:eastAsia="es-ES"/>
              </w:rPr>
              <w:t>Consejo de Estado. Sala de lo Contencioso Administrativo. Sección Tercera. Subsección A. Radicado No. 45.607 del 24 de octubre de 2016. C.P: Marta Nubia Velásquez Rico</w:t>
            </w:r>
            <w:r>
              <w:rPr>
                <w:rFonts w:ascii="Verdana" w:hAnsi="Verdana" w:cs="Arial"/>
                <w:lang w:eastAsia="es-ES"/>
              </w:rPr>
              <w:t>.</w:t>
            </w:r>
          </w:p>
          <w:p w14:paraId="5E43201B"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C24507">
              <w:rPr>
                <w:rFonts w:ascii="Verdana" w:hAnsi="Verdana" w:cs="Arial"/>
                <w:lang w:eastAsia="es-ES"/>
              </w:rPr>
              <w:t>Consejo de Estado. Sala de lo Contencioso Administrativo. Sección Tercera. Subsección B. Sentencia del 27 de febrero de 2026. 13001-23-33-000-2018-00654-01 (73.215). C.P: Fredy Ibarra Martínez.</w:t>
            </w:r>
          </w:p>
          <w:p w14:paraId="50339B4D"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C24507">
              <w:rPr>
                <w:rFonts w:ascii="Verdana" w:hAnsi="Verdana" w:cs="Arial"/>
                <w:lang w:eastAsia="es-ES"/>
              </w:rPr>
              <w:t>Consejo de Estado. Sala de lo Contencioso Administrativo. Sección Tercera. Subsección C. Sentencia del 12 de agosto de 2014. Expediente: 28.565. C.P: Enrique Gil Botero.</w:t>
            </w:r>
          </w:p>
          <w:p w14:paraId="66D9BD99" w14:textId="77777777" w:rsidR="00B96323" w:rsidRPr="00C24507" w:rsidRDefault="00B96323" w:rsidP="00B5338C">
            <w:pPr>
              <w:pStyle w:val="Prrafodelista"/>
              <w:numPr>
                <w:ilvl w:val="0"/>
                <w:numId w:val="16"/>
              </w:numPr>
              <w:spacing w:after="120" w:line="276" w:lineRule="auto"/>
              <w:jc w:val="both"/>
              <w:rPr>
                <w:rFonts w:ascii="Verdana" w:hAnsi="Verdana" w:cs="Arial"/>
                <w:lang w:eastAsia="es-ES"/>
              </w:rPr>
            </w:pPr>
            <w:r w:rsidRPr="00C24507">
              <w:rPr>
                <w:rFonts w:ascii="Verdana" w:hAnsi="Verdana" w:cs="Arial"/>
                <w:lang w:eastAsia="es-ES"/>
              </w:rPr>
              <w:t xml:space="preserve">Consejo de Estado. Sala de lo Contencioso Administrativo. Sección Tercera. Subsección A. Sentencia del del 24 de febrero de 2016. </w:t>
            </w:r>
            <w:proofErr w:type="spellStart"/>
            <w:r w:rsidRPr="00C24507">
              <w:rPr>
                <w:rFonts w:ascii="Verdana" w:hAnsi="Verdana" w:cs="Arial"/>
                <w:lang w:eastAsia="es-ES"/>
              </w:rPr>
              <w:t>Exp</w:t>
            </w:r>
            <w:proofErr w:type="spellEnd"/>
            <w:r w:rsidRPr="00C24507">
              <w:rPr>
                <w:rFonts w:ascii="Verdana" w:hAnsi="Verdana" w:cs="Arial"/>
                <w:lang w:eastAsia="es-ES"/>
              </w:rPr>
              <w:t>. 46.185. C.P. Marta Nubia Velásquez Rico.</w:t>
            </w:r>
          </w:p>
          <w:p w14:paraId="4A4B949C"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lang w:eastAsia="es-ES"/>
              </w:rPr>
              <w:t>Corte Constitucional. Sentencia C-121 de 2003. M.P. Clara Inés Vargas Hernández.</w:t>
            </w:r>
          </w:p>
          <w:p w14:paraId="50911271" w14:textId="77777777" w:rsidR="00B96323"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lang w:eastAsia="es-ES"/>
              </w:rPr>
              <w:t>Corte Constitucional. Sentencia C-1019 del 28 de noviembre de 2012. M.P. Mauricio González.</w:t>
            </w:r>
          </w:p>
          <w:p w14:paraId="687D56DC" w14:textId="77777777" w:rsidR="00B96323" w:rsidRPr="000C5622" w:rsidRDefault="00B96323" w:rsidP="00B5338C">
            <w:pPr>
              <w:pStyle w:val="Prrafodelista"/>
              <w:numPr>
                <w:ilvl w:val="0"/>
                <w:numId w:val="16"/>
              </w:numPr>
              <w:spacing w:after="120" w:line="276" w:lineRule="auto"/>
              <w:jc w:val="both"/>
              <w:rPr>
                <w:rFonts w:ascii="Verdana" w:hAnsi="Verdana" w:cs="Arial"/>
                <w:lang w:eastAsia="es-ES"/>
              </w:rPr>
            </w:pPr>
            <w:r w:rsidRPr="000C5622">
              <w:rPr>
                <w:rFonts w:ascii="Verdana" w:hAnsi="Verdana" w:cs="Arial"/>
                <w:color w:val="000000" w:themeColor="text1"/>
              </w:rPr>
              <w:t xml:space="preserve">Agencia Nacional de Contratación Pública - Colombia Compra Eficiente. Guía para las Entidades Estatales con régimen especial de contratación: </w:t>
            </w:r>
            <w:hyperlink r:id="rId12" w:history="1">
              <w:r w:rsidRPr="000C5622">
                <w:rPr>
                  <w:rStyle w:val="Hipervnculo"/>
                  <w:rFonts w:ascii="Verdana" w:hAnsi="Verdana" w:cs="Arial"/>
                  <w:lang w:val="es-CO"/>
                </w:rPr>
                <w:t>Guia-para-las-Entidades-Estatales-con-regimen-especial-de-contratacion-Comentarios.pdf</w:t>
              </w:r>
            </w:hyperlink>
            <w:r w:rsidRPr="000C5622">
              <w:rPr>
                <w:rFonts w:ascii="Verdana" w:hAnsi="Verdana" w:cs="Arial"/>
                <w:color w:val="000000" w:themeColor="text1"/>
                <w:lang w:val="es-CO"/>
              </w:rPr>
              <w:t xml:space="preserve"> </w:t>
            </w:r>
          </w:p>
          <w:p w14:paraId="2B7A1FA6" w14:textId="77777777" w:rsidR="00B96323" w:rsidRPr="00033152" w:rsidRDefault="00B96323" w:rsidP="00B5338C">
            <w:pPr>
              <w:pStyle w:val="Prrafodelista"/>
              <w:numPr>
                <w:ilvl w:val="0"/>
                <w:numId w:val="16"/>
              </w:numPr>
              <w:spacing w:after="120" w:line="276" w:lineRule="auto"/>
              <w:jc w:val="both"/>
              <w:rPr>
                <w:rFonts w:ascii="Verdana" w:hAnsi="Verdana" w:cs="Arial"/>
                <w:lang w:eastAsia="es-ES"/>
              </w:rPr>
            </w:pPr>
            <w:r w:rsidRPr="00C24507">
              <w:rPr>
                <w:rFonts w:ascii="Verdana" w:hAnsi="Verdana" w:cs="Arial"/>
                <w:lang w:eastAsia="es-ES"/>
              </w:rPr>
              <w:t xml:space="preserve">EXPÓSITO VÉLEZ, Juan Carlos. Forma y contenido del contrato estatal. Bogotá: Universidad Externado de Colombia, 2013. </w:t>
            </w:r>
          </w:p>
        </w:tc>
      </w:tr>
    </w:tbl>
    <w:p w14:paraId="5A64FC1F" w14:textId="77777777" w:rsidR="00B96323" w:rsidRDefault="00B96323" w:rsidP="00B96323">
      <w:pPr>
        <w:tabs>
          <w:tab w:val="left" w:pos="142"/>
          <w:tab w:val="left" w:pos="284"/>
          <w:tab w:val="left" w:pos="3828"/>
        </w:tabs>
        <w:spacing w:after="0" w:line="276" w:lineRule="auto"/>
        <w:jc w:val="both"/>
        <w:rPr>
          <w:rFonts w:ascii="Verdana" w:eastAsia="Century Gothic" w:hAnsi="Verdana" w:cs="Century Gothic"/>
          <w:b/>
          <w:bCs/>
        </w:rPr>
      </w:pPr>
    </w:p>
    <w:p w14:paraId="78C9949E" w14:textId="77777777" w:rsidR="001A3D1E" w:rsidRDefault="001A3D1E" w:rsidP="00B96323">
      <w:pPr>
        <w:tabs>
          <w:tab w:val="left" w:pos="142"/>
          <w:tab w:val="left" w:pos="284"/>
          <w:tab w:val="left" w:pos="3828"/>
        </w:tabs>
        <w:spacing w:after="0" w:line="276" w:lineRule="auto"/>
        <w:jc w:val="both"/>
        <w:rPr>
          <w:rFonts w:ascii="Verdana" w:eastAsia="Century Gothic" w:hAnsi="Verdana" w:cs="Century Gothic"/>
          <w:b/>
          <w:bCs/>
        </w:rPr>
      </w:pPr>
    </w:p>
    <w:p w14:paraId="7B079136" w14:textId="77777777" w:rsidR="001A3D1E" w:rsidRDefault="001A3D1E" w:rsidP="00B96323">
      <w:pPr>
        <w:tabs>
          <w:tab w:val="left" w:pos="142"/>
          <w:tab w:val="left" w:pos="284"/>
          <w:tab w:val="left" w:pos="3828"/>
        </w:tabs>
        <w:spacing w:after="0" w:line="276" w:lineRule="auto"/>
        <w:jc w:val="both"/>
        <w:rPr>
          <w:rFonts w:ascii="Verdana" w:eastAsia="Century Gothic" w:hAnsi="Verdana" w:cs="Century Gothic"/>
          <w:b/>
          <w:bCs/>
        </w:rPr>
      </w:pPr>
    </w:p>
    <w:p w14:paraId="6F2928B2" w14:textId="77777777" w:rsidR="00B96323" w:rsidRPr="0091091D" w:rsidRDefault="00B96323" w:rsidP="00B96323">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190B2309" w14:textId="77777777" w:rsidR="00B96323" w:rsidRPr="007A3DD4" w:rsidRDefault="00B96323" w:rsidP="00B96323">
      <w:pPr>
        <w:widowControl w:val="0"/>
        <w:autoSpaceDE w:val="0"/>
        <w:autoSpaceDN w:val="0"/>
        <w:spacing w:after="0" w:line="240" w:lineRule="auto"/>
        <w:jc w:val="both"/>
        <w:rPr>
          <w:rStyle w:val="normaltextrun"/>
          <w:rFonts w:ascii="Verdana" w:hAnsi="Verdana" w:cs="Arial"/>
          <w:shd w:val="clear" w:color="auto" w:fill="FFFFFF"/>
        </w:rPr>
      </w:pPr>
    </w:p>
    <w:p w14:paraId="5B4BD92C" w14:textId="77777777" w:rsidR="00B96323" w:rsidRPr="008E7EF7" w:rsidRDefault="00B96323" w:rsidP="00B96323">
      <w:pPr>
        <w:widowControl w:val="0"/>
        <w:autoSpaceDE w:val="0"/>
        <w:autoSpaceDN w:val="0"/>
        <w:spacing w:after="120" w:line="276" w:lineRule="auto"/>
        <w:jc w:val="both"/>
        <w:rPr>
          <w:rFonts w:ascii="Verdana" w:hAnsi="Verdana" w:cs="Arial"/>
          <w:bCs/>
          <w:shd w:val="clear" w:color="auto" w:fill="FFFFFF"/>
          <w:lang w:val="es-ES"/>
        </w:rPr>
      </w:pPr>
      <w:r w:rsidRPr="008E7EF7">
        <w:rPr>
          <w:rFonts w:ascii="Verdana" w:hAnsi="Verdana" w:cs="Arial"/>
          <w:shd w:val="clear" w:color="auto" w:fill="FFFFFF"/>
        </w:rPr>
        <w:t xml:space="preserve">Esta Subdirección se ha pronunciado sobre el régimen jurídico de las universidades estatales u oficiales en los conceptos </w:t>
      </w:r>
      <w:r w:rsidRPr="008E7EF7">
        <w:rPr>
          <w:rFonts w:ascii="Verdana" w:hAnsi="Verdana" w:cs="Arial"/>
          <w:bCs/>
          <w:shd w:val="clear" w:color="auto" w:fill="FFFFFF"/>
        </w:rPr>
        <w:t>C-481 de 9 de septiembre de 2021, C-204 del 12 de abril de 2022, C-675 de 6 de enero de 2022, C-759 de 22 de febrero de 2022, C-815 del 26 de noviembre de 2022, C-492 del 01 de octubre de 2024, C-1864 del 23 de diciembre de 2025, C-197 del 19 de marzo de 2026, C</w:t>
      </w:r>
      <w:r w:rsidRPr="008E7EF7">
        <w:rPr>
          <w:rFonts w:ascii="Verdana" w:hAnsi="Verdana" w:cs="Arial"/>
          <w:bCs/>
          <w:shd w:val="clear" w:color="auto" w:fill="FFFFFF"/>
          <w:lang w:val="es-ES"/>
        </w:rPr>
        <w:t xml:space="preserve">-205 del 24 de marzo de 2026, </w:t>
      </w:r>
      <w:r w:rsidRPr="008E7EF7">
        <w:rPr>
          <w:rStyle w:val="normaltextrun"/>
          <w:rFonts w:ascii="Verdana" w:hAnsi="Verdana" w:cs="Arial"/>
          <w:bCs/>
          <w:shd w:val="clear" w:color="auto" w:fill="FFFFFF"/>
          <w:lang w:val="es-ES"/>
        </w:rPr>
        <w:t>entre otros.</w:t>
      </w:r>
    </w:p>
    <w:p w14:paraId="07D76313" w14:textId="77777777" w:rsidR="00B96323" w:rsidRPr="00147D6A" w:rsidRDefault="00B96323" w:rsidP="00B96323">
      <w:pPr>
        <w:widowControl w:val="0"/>
        <w:autoSpaceDE w:val="0"/>
        <w:autoSpaceDN w:val="0"/>
        <w:spacing w:after="120" w:line="276" w:lineRule="auto"/>
        <w:jc w:val="both"/>
        <w:rPr>
          <w:rFonts w:ascii="Verdana" w:hAnsi="Verdana" w:cs="Arial"/>
          <w:shd w:val="clear" w:color="auto" w:fill="FFFFFF"/>
        </w:rPr>
      </w:pPr>
      <w:r w:rsidRPr="008E7EF7">
        <w:rPr>
          <w:rFonts w:ascii="Verdana" w:hAnsi="Verdana" w:cs="Arial"/>
          <w:shd w:val="clear" w:color="auto" w:fill="FFFFFF"/>
        </w:rPr>
        <w:t xml:space="preserve">La Agencia Nacional de Contratación Pública – Colombia Compra Eficiente se pronunció sobre los requisitos de perfeccionamiento y ejecución de los contratos estatales en los conceptos </w:t>
      </w:r>
      <w:r w:rsidRPr="008E7EF7">
        <w:rPr>
          <w:rFonts w:ascii="Verdana" w:hAnsi="Verdana" w:cs="Arial"/>
          <w:shd w:val="clear" w:color="auto" w:fill="FFFFFF"/>
          <w:lang w:val="es-ES"/>
        </w:rPr>
        <w:t xml:space="preserve">C-042 de 5 de febrero de 2020, </w:t>
      </w:r>
      <w:r w:rsidRPr="008E7EF7">
        <w:rPr>
          <w:rFonts w:ascii="Verdana" w:hAnsi="Verdana" w:cs="Arial"/>
          <w:shd w:val="clear" w:color="auto" w:fill="FFFFFF"/>
        </w:rPr>
        <w:t xml:space="preserve">C-797 del 22 de enero de 2021, </w:t>
      </w:r>
      <w:r w:rsidRPr="008E7EF7">
        <w:rPr>
          <w:rFonts w:ascii="Verdana" w:hAnsi="Verdana" w:cs="Arial"/>
          <w:shd w:val="clear" w:color="auto" w:fill="FFFFFF"/>
          <w:lang w:val="es-ES"/>
        </w:rPr>
        <w:t>C–638 de 2022, C-545 del 11 de octubre de 2024, C-801 del 12 de diciembre de 2024 y C-464 del 16 de mayo de 2025, C- 857 del 6 de agosto 2025</w:t>
      </w:r>
      <w:r w:rsidRPr="008E7EF7">
        <w:rPr>
          <w:rFonts w:ascii="Verdana" w:hAnsi="Verdana" w:cs="Arial"/>
          <w:shd w:val="clear" w:color="auto" w:fill="FFFFFF"/>
        </w:rPr>
        <w:t xml:space="preserve">, </w:t>
      </w:r>
      <w:r w:rsidRPr="008E7EF7">
        <w:rPr>
          <w:rFonts w:ascii="Verdana" w:hAnsi="Verdana" w:cs="Arial"/>
          <w:shd w:val="clear" w:color="auto" w:fill="FFFFFF"/>
          <w:lang w:val="es-ES"/>
        </w:rPr>
        <w:t>C- 5</w:t>
      </w:r>
      <w:r w:rsidRPr="008E7EF7">
        <w:rPr>
          <w:rFonts w:ascii="Verdana" w:hAnsi="Verdana" w:cs="Arial"/>
          <w:shd w:val="clear" w:color="auto" w:fill="FFFFFF"/>
        </w:rPr>
        <w:t>36</w:t>
      </w:r>
      <w:r w:rsidRPr="008E7EF7">
        <w:rPr>
          <w:rFonts w:ascii="Verdana" w:hAnsi="Verdana" w:cs="Arial"/>
          <w:shd w:val="clear" w:color="auto" w:fill="FFFFFF"/>
          <w:lang w:val="es-ES"/>
        </w:rPr>
        <w:t xml:space="preserve"> del 11 de junio de 2025 y C -1481 del 30 de octubre de 2025, C-1820 del 23 de diciembre de 2025, entre otros. </w:t>
      </w:r>
      <w:r w:rsidRPr="008E7EF7">
        <w:rPr>
          <w:rFonts w:ascii="Verdana" w:hAnsi="Verdana" w:cs="Arial"/>
        </w:rPr>
        <w:t xml:space="preserve">Estos y otros </w:t>
      </w:r>
      <w:r w:rsidRPr="008E7EF7">
        <w:rPr>
          <w:rFonts w:ascii="Verdana" w:hAnsi="Verdana"/>
        </w:rPr>
        <w:t>conceptos se encuentran disponibles para consulta en el Sistema de relatoría de la Agencia, al cual se puede acceder a través del siguiente enlace:</w:t>
      </w:r>
      <w:r w:rsidRPr="00147D6A">
        <w:rPr>
          <w:rFonts w:ascii="Verdana" w:hAnsi="Verdana" w:cs="Arial"/>
          <w:shd w:val="clear" w:color="auto" w:fill="FFFFFF"/>
        </w:rPr>
        <w:t xml:space="preserve"> </w:t>
      </w:r>
      <w:hyperlink r:id="rId13" w:history="1">
        <w:r w:rsidRPr="00147D6A">
          <w:rPr>
            <w:rFonts w:ascii="Verdana" w:hAnsi="Verdana" w:cs="Arial"/>
            <w:color w:val="0563C1" w:themeColor="hyperlink"/>
            <w:u w:val="single"/>
            <w:shd w:val="clear" w:color="auto" w:fill="FFFFFF"/>
          </w:rPr>
          <w:t>https://relatoria.colombiacompra.gov.co/busqueda/conceptos</w:t>
        </w:r>
      </w:hyperlink>
      <w:r w:rsidRPr="00147D6A">
        <w:rPr>
          <w:rFonts w:ascii="Verdana" w:hAnsi="Verdana" w:cs="Arial"/>
          <w:shd w:val="clear" w:color="auto" w:fill="FFFFFF"/>
        </w:rPr>
        <w:t>.</w:t>
      </w:r>
      <w:r w:rsidRPr="00147D6A">
        <w:rPr>
          <w:rFonts w:ascii="Verdana" w:hAnsi="Verdana" w:cs="Arial"/>
          <w:color w:val="FF0000"/>
          <w:shd w:val="clear" w:color="auto" w:fill="FFFFFF"/>
        </w:rPr>
        <w:t xml:space="preserve"> </w:t>
      </w:r>
      <w:r w:rsidRPr="00147D6A">
        <w:rPr>
          <w:rFonts w:ascii="Verdana" w:hAnsi="Verdana" w:cs="Arial"/>
          <w:color w:val="000000" w:themeColor="text1"/>
          <w:shd w:val="clear" w:color="auto" w:fill="FFFFFF"/>
        </w:rPr>
        <w:t>  </w:t>
      </w:r>
    </w:p>
    <w:p w14:paraId="6D008D91" w14:textId="77777777" w:rsidR="00B96323" w:rsidRDefault="00B96323" w:rsidP="00B96323">
      <w:pPr>
        <w:widowControl w:val="0"/>
        <w:autoSpaceDE w:val="0"/>
        <w:autoSpaceDN w:val="0"/>
        <w:spacing w:after="120" w:line="276" w:lineRule="auto"/>
        <w:jc w:val="both"/>
        <w:rPr>
          <w:rFonts w:ascii="Verdana" w:hAnsi="Verdana" w:cs="Arial"/>
        </w:rPr>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8746BD">
          <w:rPr>
            <w:rStyle w:val="Hipervnculo"/>
            <w:rFonts w:ascii="Verdana" w:hAnsi="Verdana"/>
          </w:rPr>
          <w:t>https://formacionvirtual.colombiacompra.gov.co/mod/page/view.php?id=3718</w:t>
        </w:r>
      </w:hyperlink>
    </w:p>
    <w:p w14:paraId="4943E052" w14:textId="77777777" w:rsidR="00B96323" w:rsidRDefault="00B96323" w:rsidP="00B96323">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8746BD">
        <w:rPr>
          <w:rFonts w:ascii="Verdana" w:hAnsi="Verdana"/>
        </w:rPr>
        <w:t xml:space="preserve">Consulta y descarga los documentos aquí: </w:t>
      </w:r>
      <w:hyperlink r:id="rId15" w:tgtFrame="_new" w:history="1">
        <w:r w:rsidRPr="008746BD">
          <w:rPr>
            <w:rStyle w:val="Hipervnculo"/>
            <w:rFonts w:ascii="Verdana" w:hAnsi="Verdana"/>
          </w:rPr>
          <w:t>https://www.colombiacompra.gov.co/normativa-y-relatoria/documentos-tipo</w:t>
        </w:r>
      </w:hyperlink>
    </w:p>
    <w:p w14:paraId="4C019250" w14:textId="77777777" w:rsidR="00B96323" w:rsidRDefault="00B96323" w:rsidP="00B96323">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6"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356EFCF" w14:textId="77777777" w:rsidR="00B96323" w:rsidRPr="007A3DD4" w:rsidRDefault="00B96323" w:rsidP="00B96323">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693AD5DA" w14:textId="77777777" w:rsidR="00B96323" w:rsidRPr="00116940" w:rsidRDefault="00B96323" w:rsidP="00B96323">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12AFD91" w14:textId="77777777" w:rsidR="00B96323" w:rsidRPr="00116940" w:rsidRDefault="00B96323" w:rsidP="00B96323">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94E5055" w14:textId="77777777" w:rsidR="00B96323" w:rsidRPr="00116940" w:rsidRDefault="00B96323" w:rsidP="00B96323">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0C6CB09D" w14:textId="77777777" w:rsidR="00B96323" w:rsidRPr="00116940" w:rsidRDefault="00B96323" w:rsidP="00B96323">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40C02172" w14:textId="77777777" w:rsidR="00B96323" w:rsidRPr="00116940" w:rsidRDefault="00B96323" w:rsidP="00B96323">
      <w:pPr>
        <w:spacing w:after="0" w:line="276" w:lineRule="auto"/>
        <w:ind w:left="720"/>
        <w:jc w:val="both"/>
        <w:rPr>
          <w:rFonts w:ascii="Verdana" w:hAnsi="Verdana"/>
        </w:rPr>
      </w:pPr>
    </w:p>
    <w:p w14:paraId="25CFE4E9" w14:textId="77777777" w:rsidR="00B96323" w:rsidRDefault="00B96323" w:rsidP="00B96323">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9"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338D97F6" w14:textId="77777777" w:rsidR="00B96323" w:rsidRPr="00116940" w:rsidRDefault="00B96323" w:rsidP="00B96323">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A0B7F9F" w14:textId="77777777" w:rsidR="00B96323" w:rsidRPr="008746BD" w:rsidRDefault="00B96323" w:rsidP="00B96323">
      <w:pPr>
        <w:spacing w:after="0" w:line="276" w:lineRule="auto"/>
        <w:jc w:val="both"/>
        <w:rPr>
          <w:rFonts w:ascii="Verdana" w:hAnsi="Verdana"/>
        </w:rPr>
      </w:pPr>
    </w:p>
    <w:p w14:paraId="062BED01" w14:textId="77777777" w:rsidR="00B96323" w:rsidRPr="00116940" w:rsidRDefault="00B96323" w:rsidP="00B96323">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E2FE49A" w14:textId="77777777" w:rsidR="00B96323" w:rsidRPr="00116940" w:rsidRDefault="00B96323" w:rsidP="00B96323">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E61CC59" w14:textId="77777777" w:rsidR="00B96323" w:rsidRPr="00116940" w:rsidRDefault="00B96323" w:rsidP="00B96323">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8E95B75" w14:textId="77777777" w:rsidR="00B96323" w:rsidRDefault="00B96323" w:rsidP="00B96323">
      <w:pPr>
        <w:spacing w:after="0" w:line="276" w:lineRule="auto"/>
        <w:jc w:val="both"/>
        <w:rPr>
          <w:rFonts w:ascii="Verdana" w:hAnsi="Verdana"/>
          <w:lang w:val="es-MX"/>
        </w:rPr>
      </w:pPr>
    </w:p>
    <w:p w14:paraId="1930205A" w14:textId="77777777" w:rsidR="002629E0" w:rsidRPr="002629E0" w:rsidRDefault="002629E0" w:rsidP="002629E0">
      <w:pPr>
        <w:spacing w:after="0" w:line="276" w:lineRule="auto"/>
        <w:jc w:val="both"/>
        <w:rPr>
          <w:rFonts w:ascii="Verdana" w:hAnsi="Verdana"/>
          <w:lang w:val="es-ES_tradnl"/>
        </w:rPr>
      </w:pPr>
      <w:r w:rsidRPr="002629E0">
        <w:rPr>
          <w:rFonts w:ascii="Verdana" w:hAnsi="Verdana"/>
        </w:rPr>
        <w:t xml:space="preserve">Este concepto tiene el alcance previsto en el artículo 28 del Código de Procedimiento Administrativo y de lo Contencioso Administrativo </w:t>
      </w:r>
      <w:r w:rsidRPr="002629E0">
        <w:rPr>
          <w:rFonts w:ascii="Verdana" w:hAnsi="Verdana"/>
          <w:lang w:val="es-ES_tradnl"/>
        </w:rPr>
        <w:t>y las expresiones aquí utilizadas con mayúscula inicial deben ser entendidas con el significado que les otorga el artículo 2.2.1.1.1.3.1. del Decreto 1082 de 2015.</w:t>
      </w:r>
    </w:p>
    <w:p w14:paraId="2A1CD4D6" w14:textId="77777777" w:rsidR="002629E0" w:rsidRPr="002629E0" w:rsidRDefault="002629E0" w:rsidP="00B96323">
      <w:pPr>
        <w:spacing w:after="0" w:line="276" w:lineRule="auto"/>
        <w:jc w:val="both"/>
        <w:rPr>
          <w:rFonts w:ascii="Verdana" w:hAnsi="Verdana"/>
          <w:lang w:val="es-ES_tradnl"/>
        </w:rPr>
      </w:pPr>
    </w:p>
    <w:p w14:paraId="6B666B59" w14:textId="3F89F22F" w:rsidR="00B96323" w:rsidRPr="00330029" w:rsidRDefault="00B96323" w:rsidP="00B96323">
      <w:pPr>
        <w:spacing w:after="0" w:line="276" w:lineRule="auto"/>
        <w:jc w:val="both"/>
        <w:rPr>
          <w:rFonts w:ascii="Verdana" w:hAnsi="Verdana"/>
          <w:lang w:val="es-MX"/>
        </w:rPr>
      </w:pPr>
      <w:r w:rsidRPr="00E02524">
        <w:rPr>
          <w:rFonts w:ascii="Verdana" w:hAnsi="Verdana"/>
          <w:lang w:val="es-MX"/>
        </w:rPr>
        <w:t>Cordialmente,</w:t>
      </w:r>
    </w:p>
    <w:p w14:paraId="533118FC" w14:textId="3B96D6EF" w:rsidR="00B96323" w:rsidRDefault="00B96323" w:rsidP="00B96323">
      <w:pPr>
        <w:spacing w:after="0" w:line="256" w:lineRule="auto"/>
        <w:jc w:val="center"/>
        <w:rPr>
          <w:rFonts w:ascii="Verdana" w:eastAsia="Calibri" w:hAnsi="Verdana" w:cs="Times New Roman"/>
        </w:rPr>
      </w:pPr>
    </w:p>
    <w:p w14:paraId="1D986BDE" w14:textId="646FDECF" w:rsidR="00B96323" w:rsidRDefault="00E4260A" w:rsidP="00B96323">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32C38D0F" wp14:editId="1EAADE76">
            <wp:extent cx="3031701" cy="1428398"/>
            <wp:effectExtent l="0" t="0" r="0" b="635"/>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045701" cy="1434994"/>
                    </a:xfrm>
                    <a:prstGeom prst="rect">
                      <a:avLst/>
                    </a:prstGeom>
                  </pic:spPr>
                </pic:pic>
              </a:graphicData>
            </a:graphic>
          </wp:inline>
        </w:drawing>
      </w:r>
    </w:p>
    <w:p w14:paraId="7B6EE1D6" w14:textId="77777777" w:rsidR="00B96323" w:rsidRDefault="00B96323" w:rsidP="00B96323">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B96323" w:rsidRPr="005644FE" w14:paraId="147E877C" w14:textId="77777777" w:rsidTr="00B5338C">
        <w:trPr>
          <w:trHeight w:val="288"/>
        </w:trPr>
        <w:tc>
          <w:tcPr>
            <w:tcW w:w="893" w:type="dxa"/>
            <w:vAlign w:val="center"/>
            <w:hideMark/>
          </w:tcPr>
          <w:p w14:paraId="67DAC5CD" w14:textId="77777777" w:rsidR="00B96323" w:rsidRPr="005644FE" w:rsidRDefault="00B96323" w:rsidP="00B5338C">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EE33B70" w14:textId="77777777" w:rsidR="00B96323" w:rsidRPr="005644FE" w:rsidRDefault="00B96323" w:rsidP="00B5338C">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7E6C1C17" w14:textId="77777777" w:rsidR="00B96323" w:rsidRPr="005644FE" w:rsidRDefault="00B96323" w:rsidP="00B5338C">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B96323" w:rsidRPr="005644FE" w14:paraId="58A87CFF" w14:textId="77777777" w:rsidTr="00B5338C">
        <w:trPr>
          <w:trHeight w:val="330"/>
        </w:trPr>
        <w:tc>
          <w:tcPr>
            <w:tcW w:w="893" w:type="dxa"/>
            <w:vAlign w:val="center"/>
            <w:hideMark/>
          </w:tcPr>
          <w:p w14:paraId="55204D87" w14:textId="77777777" w:rsidR="00B96323" w:rsidRPr="005644FE" w:rsidRDefault="00B96323" w:rsidP="00B5338C">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534B17B2" w14:textId="77777777" w:rsidR="00B96323" w:rsidRPr="00147D6A" w:rsidRDefault="00B96323" w:rsidP="00B5338C">
            <w:pPr>
              <w:pStyle w:val="paragraph"/>
              <w:spacing w:before="0" w:beforeAutospacing="0" w:after="0" w:afterAutospacing="0"/>
              <w:contextualSpacing/>
              <w:textAlignment w:val="baseline"/>
              <w:rPr>
                <w:rStyle w:val="normaltextrun"/>
                <w:rFonts w:ascii="Verdana" w:hAnsi="Verdana"/>
                <w:sz w:val="16"/>
                <w:szCs w:val="16"/>
              </w:rPr>
            </w:pPr>
            <w:r w:rsidRPr="00147D6A">
              <w:rPr>
                <w:rStyle w:val="normaltextrun"/>
                <w:rFonts w:ascii="Verdana" w:hAnsi="Verdana"/>
                <w:sz w:val="16"/>
                <w:szCs w:val="16"/>
              </w:rPr>
              <w:t xml:space="preserve">Adriana </w:t>
            </w:r>
            <w:proofErr w:type="spellStart"/>
            <w:r w:rsidRPr="00147D6A">
              <w:rPr>
                <w:rStyle w:val="normaltextrun"/>
                <w:rFonts w:ascii="Verdana" w:hAnsi="Verdana"/>
                <w:sz w:val="16"/>
                <w:szCs w:val="16"/>
              </w:rPr>
              <w:t>Katerine</w:t>
            </w:r>
            <w:proofErr w:type="spellEnd"/>
            <w:r w:rsidRPr="00147D6A">
              <w:rPr>
                <w:rStyle w:val="normaltextrun"/>
                <w:rFonts w:ascii="Verdana" w:hAnsi="Verdana"/>
                <w:sz w:val="16"/>
                <w:szCs w:val="16"/>
              </w:rPr>
              <w:t xml:space="preserve"> López</w:t>
            </w:r>
            <w:r>
              <w:rPr>
                <w:rStyle w:val="normaltextrun"/>
                <w:rFonts w:ascii="Verdana" w:hAnsi="Verdana"/>
                <w:sz w:val="16"/>
                <w:szCs w:val="16"/>
              </w:rPr>
              <w:t xml:space="preserve"> Rodríguez. </w:t>
            </w:r>
          </w:p>
          <w:p w14:paraId="02D8F7D6" w14:textId="77777777" w:rsidR="00B96323" w:rsidRPr="00147D6A" w:rsidRDefault="00B96323" w:rsidP="00B5338C">
            <w:pPr>
              <w:pStyle w:val="paragraph"/>
              <w:spacing w:before="0" w:beforeAutospacing="0" w:after="0" w:afterAutospacing="0"/>
              <w:contextualSpacing/>
              <w:textAlignment w:val="baseline"/>
              <w:rPr>
                <w:rFonts w:ascii="Verdana" w:hAnsi="Verdana" w:cs="Segoe UI"/>
                <w:sz w:val="16"/>
                <w:szCs w:val="16"/>
              </w:rPr>
            </w:pPr>
            <w:r w:rsidRPr="00147D6A">
              <w:rPr>
                <w:rStyle w:val="normaltextrun"/>
                <w:rFonts w:ascii="Verdana" w:hAnsi="Verdana"/>
                <w:sz w:val="16"/>
                <w:szCs w:val="16"/>
              </w:rPr>
              <w:t xml:space="preserve">Contratista Subdirección Gestión Contractual  </w:t>
            </w:r>
          </w:p>
        </w:tc>
      </w:tr>
      <w:tr w:rsidR="00B96323" w:rsidRPr="005644FE" w14:paraId="51E853FC" w14:textId="77777777" w:rsidTr="00B5338C">
        <w:trPr>
          <w:trHeight w:val="300"/>
        </w:trPr>
        <w:tc>
          <w:tcPr>
            <w:tcW w:w="893" w:type="dxa"/>
            <w:vAlign w:val="center"/>
          </w:tcPr>
          <w:p w14:paraId="52D01B94" w14:textId="77777777" w:rsidR="00B96323" w:rsidRPr="005644FE" w:rsidRDefault="00B96323" w:rsidP="00B5338C">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4BEDE8D" w14:textId="77777777" w:rsidR="00B96323" w:rsidRPr="00147D6A" w:rsidRDefault="00B96323" w:rsidP="00B5338C">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796C7C45" w14:textId="77777777" w:rsidR="00B96323" w:rsidRPr="00147D6A" w:rsidRDefault="00B96323" w:rsidP="00B5338C">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1"/>
    </w:tbl>
    <w:p w14:paraId="58EABA32" w14:textId="77777777" w:rsidR="00B96323" w:rsidRPr="0024624F" w:rsidRDefault="00B96323" w:rsidP="00B96323">
      <w:pPr>
        <w:spacing w:after="0"/>
        <w:rPr>
          <w:rFonts w:ascii="Verdana" w:eastAsia="Verdana" w:hAnsi="Verdana" w:cs="Verdana"/>
        </w:rPr>
      </w:pPr>
    </w:p>
    <w:p w14:paraId="3FF5ED3A" w14:textId="77777777" w:rsidR="00B96323" w:rsidRPr="0024624F" w:rsidRDefault="00B96323" w:rsidP="00B96323">
      <w:pPr>
        <w:spacing w:after="0"/>
        <w:rPr>
          <w:rFonts w:ascii="Verdana" w:eastAsia="Verdana" w:hAnsi="Verdana" w:cs="Verdana"/>
        </w:rPr>
      </w:pPr>
    </w:p>
    <w:bookmarkEnd w:id="0"/>
    <w:p w14:paraId="39C2F114" w14:textId="77777777" w:rsidR="00467DA0" w:rsidRPr="0024624F" w:rsidRDefault="00467DA0" w:rsidP="30821638">
      <w:pPr>
        <w:spacing w:after="0"/>
        <w:rPr>
          <w:rFonts w:ascii="Verdana" w:eastAsia="Verdana" w:hAnsi="Verdana" w:cs="Verdana"/>
        </w:rPr>
      </w:pPr>
    </w:p>
    <w:sectPr w:rsidR="00467DA0" w:rsidRPr="0024624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9D49D" w14:textId="77777777" w:rsidR="004D15EB" w:rsidRDefault="004D15EB" w:rsidP="004A1847">
      <w:pPr>
        <w:spacing w:after="0" w:line="240" w:lineRule="auto"/>
      </w:pPr>
      <w:r>
        <w:separator/>
      </w:r>
    </w:p>
  </w:endnote>
  <w:endnote w:type="continuationSeparator" w:id="0">
    <w:p w14:paraId="5D481148" w14:textId="77777777" w:rsidR="004D15EB" w:rsidRDefault="004D15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327E" w14:textId="77777777" w:rsidR="004D15EB" w:rsidRDefault="004D15EB" w:rsidP="004A1847">
      <w:pPr>
        <w:spacing w:after="0" w:line="240" w:lineRule="auto"/>
      </w:pPr>
      <w:r>
        <w:separator/>
      </w:r>
    </w:p>
  </w:footnote>
  <w:footnote w:type="continuationSeparator" w:id="0">
    <w:p w14:paraId="46E22D51" w14:textId="77777777" w:rsidR="004D15EB" w:rsidRDefault="004D15EB" w:rsidP="004A1847">
      <w:pPr>
        <w:spacing w:after="0" w:line="240" w:lineRule="auto"/>
      </w:pPr>
      <w:r>
        <w:continuationSeparator/>
      </w:r>
    </w:p>
  </w:footnote>
  <w:footnote w:id="1">
    <w:p w14:paraId="22B990E9" w14:textId="77777777" w:rsidR="00B96323" w:rsidRPr="00513CDC" w:rsidRDefault="00B96323" w:rsidP="00B96323">
      <w:pPr>
        <w:spacing w:after="0" w:line="240" w:lineRule="auto"/>
        <w:ind w:right="114" w:firstLine="708"/>
        <w:jc w:val="both"/>
        <w:rPr>
          <w:rFonts w:ascii="Verdana" w:hAnsi="Verdana" w:cs="Arial"/>
          <w:sz w:val="16"/>
          <w:szCs w:val="16"/>
        </w:rPr>
      </w:pPr>
      <w:r w:rsidRPr="00513CDC">
        <w:rPr>
          <w:rStyle w:val="Refdenotaalpie"/>
          <w:rFonts w:ascii="Verdana" w:hAnsi="Verdana" w:cs="Arial"/>
          <w:sz w:val="16"/>
          <w:szCs w:val="16"/>
        </w:rPr>
        <w:footnoteRef/>
      </w:r>
      <w:r w:rsidRPr="00513CDC">
        <w:rPr>
          <w:rFonts w:ascii="Verdana" w:hAnsi="Verdana" w:cs="Arial"/>
          <w:sz w:val="16"/>
          <w:szCs w:val="16"/>
        </w:rPr>
        <w:t xml:space="preserve"> “Artículo 69. Se garantiza la autonomía universitaria. Las universidades podrán darse sus directivas y regirse por sus</w:t>
      </w:r>
      <w:r w:rsidRPr="00513CDC">
        <w:rPr>
          <w:rFonts w:ascii="Verdana" w:hAnsi="Verdana" w:cs="Arial"/>
          <w:spacing w:val="-2"/>
          <w:sz w:val="16"/>
          <w:szCs w:val="16"/>
        </w:rPr>
        <w:t xml:space="preserve"> </w:t>
      </w:r>
      <w:r w:rsidRPr="00513CDC">
        <w:rPr>
          <w:rFonts w:ascii="Verdana" w:hAnsi="Verdana" w:cs="Arial"/>
          <w:sz w:val="16"/>
          <w:szCs w:val="16"/>
        </w:rPr>
        <w:t>propios</w:t>
      </w:r>
      <w:r w:rsidRPr="00513CDC">
        <w:rPr>
          <w:rFonts w:ascii="Verdana" w:hAnsi="Verdana" w:cs="Arial"/>
          <w:spacing w:val="-2"/>
          <w:sz w:val="16"/>
          <w:szCs w:val="16"/>
        </w:rPr>
        <w:t xml:space="preserve"> </w:t>
      </w:r>
      <w:r w:rsidRPr="00513CDC">
        <w:rPr>
          <w:rFonts w:ascii="Verdana" w:hAnsi="Verdana" w:cs="Arial"/>
          <w:sz w:val="16"/>
          <w:szCs w:val="16"/>
        </w:rPr>
        <w:t>estatutos,</w:t>
      </w:r>
      <w:r w:rsidRPr="00513CDC">
        <w:rPr>
          <w:rFonts w:ascii="Verdana" w:hAnsi="Verdana" w:cs="Arial"/>
          <w:spacing w:val="-4"/>
          <w:sz w:val="16"/>
          <w:szCs w:val="16"/>
        </w:rPr>
        <w:t xml:space="preserve"> </w:t>
      </w:r>
      <w:r w:rsidRPr="00513CDC">
        <w:rPr>
          <w:rFonts w:ascii="Verdana" w:hAnsi="Verdana" w:cs="Arial"/>
          <w:sz w:val="16"/>
          <w:szCs w:val="16"/>
        </w:rPr>
        <w:t>de</w:t>
      </w:r>
      <w:r w:rsidRPr="00513CDC">
        <w:rPr>
          <w:rFonts w:ascii="Verdana" w:hAnsi="Verdana" w:cs="Arial"/>
          <w:spacing w:val="-4"/>
          <w:sz w:val="16"/>
          <w:szCs w:val="16"/>
        </w:rPr>
        <w:t xml:space="preserve"> </w:t>
      </w:r>
      <w:r w:rsidRPr="00513CDC">
        <w:rPr>
          <w:rFonts w:ascii="Verdana" w:hAnsi="Verdana" w:cs="Arial"/>
          <w:sz w:val="16"/>
          <w:szCs w:val="16"/>
        </w:rPr>
        <w:t>acuerdo</w:t>
      </w:r>
      <w:r w:rsidRPr="00513CDC">
        <w:rPr>
          <w:rFonts w:ascii="Verdana" w:hAnsi="Verdana" w:cs="Arial"/>
          <w:spacing w:val="-4"/>
          <w:sz w:val="16"/>
          <w:szCs w:val="16"/>
        </w:rPr>
        <w:t xml:space="preserve"> </w:t>
      </w:r>
      <w:r w:rsidRPr="00513CDC">
        <w:rPr>
          <w:rFonts w:ascii="Verdana" w:hAnsi="Verdana" w:cs="Arial"/>
          <w:sz w:val="16"/>
          <w:szCs w:val="16"/>
        </w:rPr>
        <w:t>con</w:t>
      </w:r>
      <w:r w:rsidRPr="00513CDC">
        <w:rPr>
          <w:rFonts w:ascii="Verdana" w:hAnsi="Verdana" w:cs="Arial"/>
          <w:spacing w:val="-1"/>
          <w:sz w:val="16"/>
          <w:szCs w:val="16"/>
        </w:rPr>
        <w:t xml:space="preserve"> </w:t>
      </w:r>
      <w:r w:rsidRPr="00513CDC">
        <w:rPr>
          <w:rFonts w:ascii="Verdana" w:hAnsi="Verdana" w:cs="Arial"/>
          <w:sz w:val="16"/>
          <w:szCs w:val="16"/>
        </w:rPr>
        <w:t>la</w:t>
      </w:r>
      <w:r w:rsidRPr="00513CDC">
        <w:rPr>
          <w:rFonts w:ascii="Verdana" w:hAnsi="Verdana" w:cs="Arial"/>
          <w:spacing w:val="-1"/>
          <w:sz w:val="16"/>
          <w:szCs w:val="16"/>
        </w:rPr>
        <w:t xml:space="preserve"> </w:t>
      </w:r>
      <w:r w:rsidRPr="00513CDC">
        <w:rPr>
          <w:rFonts w:ascii="Verdana" w:hAnsi="Verdana" w:cs="Arial"/>
          <w:sz w:val="16"/>
          <w:szCs w:val="16"/>
        </w:rPr>
        <w:t>ley.</w:t>
      </w:r>
      <w:r w:rsidRPr="00513CDC">
        <w:rPr>
          <w:rFonts w:ascii="Verdana" w:hAnsi="Verdana" w:cs="Arial"/>
          <w:spacing w:val="-2"/>
          <w:sz w:val="16"/>
          <w:szCs w:val="16"/>
        </w:rPr>
        <w:t xml:space="preserve"> </w:t>
      </w:r>
      <w:r w:rsidRPr="00513CDC">
        <w:rPr>
          <w:rFonts w:ascii="Verdana" w:hAnsi="Verdana" w:cs="Arial"/>
          <w:sz w:val="16"/>
          <w:szCs w:val="16"/>
        </w:rPr>
        <w:t>La</w:t>
      </w:r>
      <w:r w:rsidRPr="00513CDC">
        <w:rPr>
          <w:rFonts w:ascii="Verdana" w:hAnsi="Verdana" w:cs="Arial"/>
          <w:spacing w:val="-1"/>
          <w:sz w:val="16"/>
          <w:szCs w:val="16"/>
        </w:rPr>
        <w:t xml:space="preserve"> </w:t>
      </w:r>
      <w:r w:rsidRPr="00513CDC">
        <w:rPr>
          <w:rFonts w:ascii="Verdana" w:hAnsi="Verdana" w:cs="Arial"/>
          <w:sz w:val="16"/>
          <w:szCs w:val="16"/>
        </w:rPr>
        <w:t>ley</w:t>
      </w:r>
      <w:r w:rsidRPr="00513CDC">
        <w:rPr>
          <w:rFonts w:ascii="Verdana" w:hAnsi="Verdana" w:cs="Arial"/>
          <w:spacing w:val="-5"/>
          <w:sz w:val="16"/>
          <w:szCs w:val="16"/>
        </w:rPr>
        <w:t xml:space="preserve"> </w:t>
      </w:r>
      <w:r w:rsidRPr="00513CDC">
        <w:rPr>
          <w:rFonts w:ascii="Verdana" w:hAnsi="Verdana" w:cs="Arial"/>
          <w:sz w:val="16"/>
          <w:szCs w:val="16"/>
        </w:rPr>
        <w:t>establecerá</w:t>
      </w:r>
      <w:r w:rsidRPr="00513CDC">
        <w:rPr>
          <w:rFonts w:ascii="Verdana" w:hAnsi="Verdana" w:cs="Arial"/>
          <w:spacing w:val="-1"/>
          <w:sz w:val="16"/>
          <w:szCs w:val="16"/>
        </w:rPr>
        <w:t xml:space="preserve"> </w:t>
      </w:r>
      <w:r w:rsidRPr="00513CDC">
        <w:rPr>
          <w:rFonts w:ascii="Verdana" w:hAnsi="Verdana" w:cs="Arial"/>
          <w:sz w:val="16"/>
          <w:szCs w:val="16"/>
        </w:rPr>
        <w:t>un</w:t>
      </w:r>
      <w:r w:rsidRPr="00513CDC">
        <w:rPr>
          <w:rFonts w:ascii="Verdana" w:hAnsi="Verdana" w:cs="Arial"/>
          <w:spacing w:val="-1"/>
          <w:sz w:val="16"/>
          <w:szCs w:val="16"/>
        </w:rPr>
        <w:t xml:space="preserve"> </w:t>
      </w:r>
      <w:r w:rsidRPr="00513CDC">
        <w:rPr>
          <w:rFonts w:ascii="Verdana" w:hAnsi="Verdana" w:cs="Arial"/>
          <w:sz w:val="16"/>
          <w:szCs w:val="16"/>
        </w:rPr>
        <w:t>régimen</w:t>
      </w:r>
      <w:r w:rsidRPr="00513CDC">
        <w:rPr>
          <w:rFonts w:ascii="Verdana" w:hAnsi="Verdana" w:cs="Arial"/>
          <w:spacing w:val="-4"/>
          <w:sz w:val="16"/>
          <w:szCs w:val="16"/>
        </w:rPr>
        <w:t xml:space="preserve"> </w:t>
      </w:r>
      <w:r w:rsidRPr="00513CDC">
        <w:rPr>
          <w:rFonts w:ascii="Verdana" w:hAnsi="Verdana" w:cs="Arial"/>
          <w:sz w:val="16"/>
          <w:szCs w:val="16"/>
        </w:rPr>
        <w:t>especial</w:t>
      </w:r>
      <w:r w:rsidRPr="00513CDC">
        <w:rPr>
          <w:rFonts w:ascii="Verdana" w:hAnsi="Verdana" w:cs="Arial"/>
          <w:spacing w:val="-5"/>
          <w:sz w:val="16"/>
          <w:szCs w:val="16"/>
        </w:rPr>
        <w:t xml:space="preserve"> </w:t>
      </w:r>
      <w:r w:rsidRPr="00513CDC">
        <w:rPr>
          <w:rFonts w:ascii="Verdana" w:hAnsi="Verdana" w:cs="Arial"/>
          <w:sz w:val="16"/>
          <w:szCs w:val="16"/>
        </w:rPr>
        <w:t>para</w:t>
      </w:r>
      <w:r w:rsidRPr="00513CDC">
        <w:rPr>
          <w:rFonts w:ascii="Verdana" w:hAnsi="Verdana" w:cs="Arial"/>
          <w:spacing w:val="-1"/>
          <w:sz w:val="16"/>
          <w:szCs w:val="16"/>
        </w:rPr>
        <w:t xml:space="preserve"> </w:t>
      </w:r>
      <w:r w:rsidRPr="00513CDC">
        <w:rPr>
          <w:rFonts w:ascii="Verdana" w:hAnsi="Verdana" w:cs="Arial"/>
          <w:sz w:val="16"/>
          <w:szCs w:val="16"/>
        </w:rPr>
        <w:t>las</w:t>
      </w:r>
      <w:r w:rsidRPr="00513CDC">
        <w:rPr>
          <w:rFonts w:ascii="Verdana" w:hAnsi="Verdana" w:cs="Arial"/>
          <w:spacing w:val="-5"/>
          <w:sz w:val="16"/>
          <w:szCs w:val="16"/>
        </w:rPr>
        <w:t xml:space="preserve"> </w:t>
      </w:r>
      <w:r w:rsidRPr="00513CDC">
        <w:rPr>
          <w:rFonts w:ascii="Verdana" w:hAnsi="Verdana" w:cs="Arial"/>
          <w:sz w:val="16"/>
          <w:szCs w:val="16"/>
        </w:rPr>
        <w:t>universidades</w:t>
      </w:r>
      <w:r w:rsidRPr="00513CDC">
        <w:rPr>
          <w:rFonts w:ascii="Verdana" w:hAnsi="Verdana" w:cs="Arial"/>
          <w:spacing w:val="-2"/>
          <w:sz w:val="16"/>
          <w:szCs w:val="16"/>
        </w:rPr>
        <w:t xml:space="preserve"> </w:t>
      </w:r>
      <w:r w:rsidRPr="00513CDC">
        <w:rPr>
          <w:rFonts w:ascii="Verdana" w:hAnsi="Verdana" w:cs="Arial"/>
          <w:sz w:val="16"/>
          <w:szCs w:val="16"/>
        </w:rPr>
        <w:t>del</w:t>
      </w:r>
      <w:r w:rsidRPr="00513CDC">
        <w:rPr>
          <w:rFonts w:ascii="Verdana" w:hAnsi="Verdana" w:cs="Arial"/>
          <w:spacing w:val="-3"/>
          <w:sz w:val="16"/>
          <w:szCs w:val="16"/>
        </w:rPr>
        <w:t xml:space="preserve"> </w:t>
      </w:r>
      <w:r w:rsidRPr="00513CDC">
        <w:rPr>
          <w:rFonts w:ascii="Verdana" w:hAnsi="Verdana" w:cs="Arial"/>
          <w:sz w:val="16"/>
          <w:szCs w:val="16"/>
        </w:rPr>
        <w:t>Estado”.</w:t>
      </w:r>
    </w:p>
    <w:p w14:paraId="43F8F8FC" w14:textId="77777777" w:rsidR="00B96323" w:rsidRPr="00513CDC" w:rsidRDefault="00B96323" w:rsidP="00B96323">
      <w:pPr>
        <w:pStyle w:val="Textonotapie"/>
        <w:jc w:val="both"/>
        <w:rPr>
          <w:rFonts w:ascii="Verdana" w:hAnsi="Verdana" w:cs="Arial"/>
          <w:sz w:val="16"/>
          <w:szCs w:val="16"/>
        </w:rPr>
      </w:pPr>
      <w:r w:rsidRPr="00513CDC">
        <w:rPr>
          <w:rFonts w:ascii="Verdana" w:hAnsi="Verdana" w:cs="Arial"/>
          <w:sz w:val="16"/>
          <w:szCs w:val="16"/>
        </w:rPr>
        <w:tab/>
      </w:r>
    </w:p>
  </w:footnote>
  <w:footnote w:id="2">
    <w:p w14:paraId="4174BA2E" w14:textId="77777777" w:rsidR="00B96323" w:rsidRPr="00513CDC" w:rsidRDefault="00B96323" w:rsidP="00B96323">
      <w:pPr>
        <w:pStyle w:val="Textonotapie"/>
        <w:ind w:firstLine="708"/>
        <w:jc w:val="both"/>
        <w:rPr>
          <w:rFonts w:ascii="Verdana" w:hAnsi="Verdana"/>
          <w:sz w:val="16"/>
          <w:szCs w:val="16"/>
          <w:lang w:val="es-CO"/>
        </w:rPr>
      </w:pPr>
      <w:r w:rsidRPr="00513CDC">
        <w:rPr>
          <w:rStyle w:val="Refdenotaalpie"/>
          <w:rFonts w:ascii="Verdana" w:hAnsi="Verdana"/>
          <w:sz w:val="16"/>
          <w:szCs w:val="16"/>
        </w:rPr>
        <w:footnoteRef/>
      </w:r>
      <w:r w:rsidRPr="00513CDC">
        <w:rPr>
          <w:rFonts w:ascii="Verdana" w:hAnsi="Verdana"/>
          <w:sz w:val="16"/>
          <w:szCs w:val="16"/>
        </w:rPr>
        <w:t xml:space="preserve"> </w:t>
      </w:r>
      <w:r w:rsidRPr="00513CDC">
        <w:rPr>
          <w:rFonts w:ascii="Verdana" w:hAnsi="Verdana"/>
          <w:bCs/>
          <w:sz w:val="16"/>
          <w:szCs w:val="16"/>
          <w:lang w:val="es-CO"/>
        </w:rPr>
        <w:t>Artículo 113.</w:t>
      </w:r>
      <w:r w:rsidRPr="00513CDC">
        <w:rPr>
          <w:rFonts w:ascii="Verdana" w:hAnsi="Verdana"/>
          <w:sz w:val="16"/>
          <w:szCs w:val="16"/>
          <w:lang w:val="es-CO"/>
        </w:rPr>
        <w:t> Son Ramas del Poder Público, la legislativa, la ejecutiva y la judicial. </w:t>
      </w:r>
    </w:p>
    <w:p w14:paraId="3617605C" w14:textId="77777777" w:rsidR="00B96323" w:rsidRPr="00513CDC" w:rsidRDefault="00B96323" w:rsidP="00B96323">
      <w:pPr>
        <w:pStyle w:val="Textonotapie"/>
        <w:ind w:firstLine="708"/>
        <w:jc w:val="both"/>
        <w:rPr>
          <w:rFonts w:ascii="Verdana" w:hAnsi="Verdana"/>
          <w:sz w:val="16"/>
          <w:szCs w:val="16"/>
          <w:lang w:val="es-CO"/>
        </w:rPr>
      </w:pPr>
      <w:r w:rsidRPr="00513CDC">
        <w:rPr>
          <w:rFonts w:ascii="Verdana" w:hAnsi="Verdana"/>
          <w:sz w:val="16"/>
          <w:szCs w:val="16"/>
          <w:lang w:val="es-CO"/>
        </w:rPr>
        <w:t xml:space="preserve">Además de los órganos que las integran existen otros, autónomos e independientes, para el cumplimiento de las demás funciones del Estado. Los diferentes órganos del Estado tienen funciones </w:t>
      </w:r>
      <w:proofErr w:type="gramStart"/>
      <w:r w:rsidRPr="00513CDC">
        <w:rPr>
          <w:rFonts w:ascii="Verdana" w:hAnsi="Verdana"/>
          <w:sz w:val="16"/>
          <w:szCs w:val="16"/>
          <w:lang w:val="es-CO"/>
        </w:rPr>
        <w:t>separadas</w:t>
      </w:r>
      <w:proofErr w:type="gramEnd"/>
      <w:r w:rsidRPr="00513CDC">
        <w:rPr>
          <w:rFonts w:ascii="Verdana" w:hAnsi="Verdana"/>
          <w:sz w:val="16"/>
          <w:szCs w:val="16"/>
          <w:lang w:val="es-CO"/>
        </w:rPr>
        <w:t xml:space="preserve"> pero colaboran armónicamente para la realización de sus fines. </w:t>
      </w:r>
    </w:p>
    <w:p w14:paraId="39D8879C" w14:textId="77777777" w:rsidR="00B96323" w:rsidRPr="00513CDC" w:rsidRDefault="00B96323" w:rsidP="00B96323">
      <w:pPr>
        <w:pStyle w:val="Textonotapie"/>
        <w:jc w:val="both"/>
        <w:rPr>
          <w:rFonts w:ascii="Verdana" w:hAnsi="Verdana"/>
          <w:sz w:val="16"/>
          <w:szCs w:val="16"/>
          <w:lang w:val="es-CO"/>
        </w:rPr>
      </w:pPr>
    </w:p>
  </w:footnote>
  <w:footnote w:id="3">
    <w:p w14:paraId="42D72B83" w14:textId="77777777" w:rsidR="00B96323" w:rsidRPr="00513CDC" w:rsidRDefault="00B96323" w:rsidP="00B96323">
      <w:pPr>
        <w:pStyle w:val="Textonotapie"/>
        <w:ind w:firstLine="708"/>
        <w:jc w:val="both"/>
        <w:rPr>
          <w:rFonts w:ascii="Verdana" w:hAnsi="Verdana" w:cs="Arial"/>
          <w:sz w:val="16"/>
          <w:szCs w:val="16"/>
        </w:rPr>
      </w:pPr>
      <w:r w:rsidRPr="00513CDC">
        <w:rPr>
          <w:rStyle w:val="Refdenotaalpie"/>
          <w:rFonts w:ascii="Verdana" w:hAnsi="Verdana" w:cs="Arial"/>
          <w:sz w:val="16"/>
          <w:szCs w:val="16"/>
        </w:rPr>
        <w:footnoteRef/>
      </w:r>
      <w:r w:rsidRPr="00513CDC">
        <w:rPr>
          <w:rFonts w:ascii="Verdana" w:hAnsi="Verdana" w:cs="Arial"/>
          <w:sz w:val="16"/>
          <w:szCs w:val="16"/>
        </w:rPr>
        <w:t xml:space="preserve"> “Artículo 57. Las universidades estatales u oficiales deben organizarse como entes universitarios autónomos, con régimen especial y vinculados al Ministerio de Educación Nacional en lo que se refiere a las políticas y la planeación del sector educativo.</w:t>
      </w:r>
    </w:p>
    <w:p w14:paraId="53AD1123" w14:textId="77777777" w:rsidR="00B96323" w:rsidRPr="00513CDC" w:rsidRDefault="00B96323" w:rsidP="00B96323">
      <w:pPr>
        <w:pStyle w:val="Textonotapie"/>
        <w:ind w:firstLine="708"/>
        <w:jc w:val="both"/>
        <w:rPr>
          <w:rFonts w:ascii="Verdana" w:hAnsi="Verdana" w:cs="Arial"/>
          <w:sz w:val="16"/>
          <w:szCs w:val="16"/>
        </w:rPr>
      </w:pPr>
      <w:r w:rsidRPr="00513CDC">
        <w:rPr>
          <w:rFonts w:ascii="Verdana" w:hAnsi="Verdana" w:cs="Arial"/>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31774FAC" w14:textId="77777777" w:rsidR="00B96323" w:rsidRPr="00513CDC" w:rsidRDefault="00B96323" w:rsidP="00B96323">
      <w:pPr>
        <w:pStyle w:val="Textonotapie"/>
        <w:jc w:val="both"/>
        <w:rPr>
          <w:rFonts w:ascii="Verdana" w:hAnsi="Verdana" w:cs="Arial"/>
          <w:sz w:val="16"/>
          <w:szCs w:val="16"/>
          <w:lang w:val="es-CO"/>
        </w:rPr>
      </w:pPr>
      <w:r w:rsidRPr="00513CDC">
        <w:rPr>
          <w:rFonts w:ascii="Verdana" w:hAnsi="Verdana" w:cs="Arial"/>
          <w:sz w:val="16"/>
          <w:szCs w:val="16"/>
        </w:rPr>
        <w:tab/>
      </w:r>
      <w:r w:rsidRPr="00513CDC">
        <w:rPr>
          <w:rFonts w:ascii="Verdana" w:hAnsi="Verdana" w:cs="Arial"/>
          <w:sz w:val="16"/>
          <w:szCs w:val="16"/>
          <w:lang w:val="es-CO"/>
        </w:rPr>
        <w:t xml:space="preserve">El carácter especial del régimen de las universidades estatales u </w:t>
      </w:r>
      <w:proofErr w:type="gramStart"/>
      <w:r w:rsidRPr="00513CDC">
        <w:rPr>
          <w:rFonts w:ascii="Verdana" w:hAnsi="Verdana" w:cs="Arial"/>
          <w:sz w:val="16"/>
          <w:szCs w:val="16"/>
          <w:lang w:val="es-CO"/>
        </w:rPr>
        <w:t>oficiales,</w:t>
      </w:r>
      <w:proofErr w:type="gramEnd"/>
      <w:r w:rsidRPr="00513CDC">
        <w:rPr>
          <w:rFonts w:ascii="Verdana" w:hAnsi="Verdana" w:cs="Arial"/>
          <w:sz w:val="16"/>
          <w:szCs w:val="16"/>
          <w:lang w:val="es-CO"/>
        </w:rPr>
        <w:t xml:space="preserve">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493838CC" w14:textId="77777777" w:rsidR="00B96323" w:rsidRPr="00A70144" w:rsidRDefault="00B96323" w:rsidP="00B96323">
      <w:pPr>
        <w:pStyle w:val="Textonotapie"/>
        <w:jc w:val="both"/>
        <w:rPr>
          <w:rFonts w:ascii="Verdana" w:hAnsi="Verdana" w:cs="Arial"/>
          <w:sz w:val="16"/>
          <w:szCs w:val="16"/>
          <w:lang w:val="es-ES"/>
        </w:rPr>
      </w:pPr>
      <w:r w:rsidRPr="00A70144">
        <w:rPr>
          <w:rFonts w:ascii="Verdana" w:hAnsi="Verdana" w:cs="Arial"/>
          <w:sz w:val="16"/>
          <w:szCs w:val="16"/>
          <w:lang w:val="es-ES"/>
        </w:rPr>
        <w:tab/>
      </w:r>
    </w:p>
  </w:footnote>
  <w:footnote w:id="4">
    <w:p w14:paraId="0CE7D69C" w14:textId="77777777" w:rsidR="00B96323" w:rsidRPr="00513CDC" w:rsidRDefault="00B96323" w:rsidP="00B96323">
      <w:pPr>
        <w:spacing w:after="0" w:line="240" w:lineRule="auto"/>
        <w:ind w:right="106" w:firstLine="708"/>
        <w:jc w:val="both"/>
        <w:rPr>
          <w:rFonts w:ascii="Verdana" w:hAnsi="Verdana" w:cs="Arial"/>
          <w:sz w:val="16"/>
          <w:szCs w:val="16"/>
        </w:rPr>
      </w:pPr>
      <w:r w:rsidRPr="00513CDC">
        <w:rPr>
          <w:rStyle w:val="Refdenotaalpie"/>
          <w:rFonts w:ascii="Verdana" w:hAnsi="Verdana" w:cs="Arial"/>
          <w:sz w:val="16"/>
          <w:szCs w:val="16"/>
        </w:rPr>
        <w:footnoteRef/>
      </w:r>
      <w:r w:rsidRPr="00513CDC">
        <w:rPr>
          <w:rFonts w:ascii="Verdana" w:hAnsi="Verdana" w:cs="Arial"/>
          <w:sz w:val="16"/>
          <w:szCs w:val="16"/>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14:paraId="3520D2BF" w14:textId="77777777" w:rsidR="00B96323" w:rsidRPr="00513CDC" w:rsidRDefault="00B96323" w:rsidP="00B96323">
      <w:pPr>
        <w:spacing w:after="0" w:line="240" w:lineRule="auto"/>
        <w:ind w:right="106" w:firstLine="708"/>
        <w:jc w:val="both"/>
        <w:rPr>
          <w:rFonts w:ascii="Verdana" w:hAnsi="Verdana" w:cs="Arial"/>
          <w:sz w:val="16"/>
          <w:szCs w:val="16"/>
        </w:rPr>
      </w:pPr>
    </w:p>
  </w:footnote>
  <w:footnote w:id="5">
    <w:p w14:paraId="4741CC71" w14:textId="77777777" w:rsidR="00B96323" w:rsidRPr="00513CDC" w:rsidRDefault="00B96323" w:rsidP="00B96323">
      <w:pPr>
        <w:spacing w:after="0" w:line="240" w:lineRule="auto"/>
        <w:ind w:right="106" w:firstLine="708"/>
        <w:jc w:val="both"/>
        <w:rPr>
          <w:rFonts w:ascii="Verdana" w:hAnsi="Verdana" w:cs="Arial"/>
          <w:sz w:val="16"/>
          <w:szCs w:val="16"/>
        </w:rPr>
      </w:pPr>
      <w:r w:rsidRPr="00513CDC">
        <w:rPr>
          <w:rStyle w:val="Refdenotaalpie"/>
          <w:rFonts w:ascii="Verdana" w:hAnsi="Verdana" w:cs="Arial"/>
          <w:sz w:val="16"/>
          <w:szCs w:val="16"/>
        </w:rPr>
        <w:footnoteRef/>
      </w:r>
      <w:r w:rsidRPr="00513CDC">
        <w:rPr>
          <w:rFonts w:ascii="Verdana" w:hAnsi="Verdana" w:cs="Arial"/>
          <w:sz w:val="16"/>
          <w:szCs w:val="16"/>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424CE9D6" w14:textId="77777777" w:rsidR="00B96323" w:rsidRPr="00513CDC" w:rsidRDefault="00B96323" w:rsidP="00B96323">
      <w:pPr>
        <w:spacing w:after="0" w:line="240" w:lineRule="auto"/>
        <w:ind w:right="106" w:firstLine="708"/>
        <w:jc w:val="both"/>
        <w:rPr>
          <w:rFonts w:ascii="Verdana" w:hAnsi="Verdana" w:cs="Arial"/>
          <w:sz w:val="16"/>
          <w:szCs w:val="16"/>
        </w:rPr>
      </w:pPr>
    </w:p>
  </w:footnote>
  <w:footnote w:id="6">
    <w:p w14:paraId="1BB387F8" w14:textId="77777777" w:rsidR="00B96323" w:rsidRPr="00513CDC" w:rsidRDefault="00B96323" w:rsidP="00B96323">
      <w:pPr>
        <w:spacing w:after="0" w:line="240" w:lineRule="auto"/>
        <w:ind w:firstLine="708"/>
        <w:jc w:val="both"/>
        <w:rPr>
          <w:rFonts w:ascii="Verdana" w:hAnsi="Verdana" w:cs="Arial"/>
          <w:sz w:val="16"/>
          <w:szCs w:val="16"/>
        </w:rPr>
      </w:pPr>
      <w:r w:rsidRPr="00513CDC">
        <w:rPr>
          <w:rStyle w:val="Refdenotaalpie"/>
          <w:rFonts w:ascii="Verdana" w:hAnsi="Verdana" w:cs="Arial"/>
          <w:sz w:val="16"/>
          <w:szCs w:val="16"/>
        </w:rPr>
        <w:footnoteRef/>
      </w:r>
      <w:r w:rsidRPr="00513CDC">
        <w:rPr>
          <w:rFonts w:ascii="Verdana" w:hAnsi="Verdana" w:cs="Arial"/>
          <w:sz w:val="16"/>
          <w:szCs w:val="16"/>
        </w:rPr>
        <w:t xml:space="preserve"> Corte Constitucional. Sentencia C-121 de 2003. M.P. Clara Inés Vargas Hernández.</w:t>
      </w:r>
    </w:p>
    <w:p w14:paraId="5173E4AC" w14:textId="77777777" w:rsidR="00B96323" w:rsidRPr="00513CDC" w:rsidRDefault="00B96323" w:rsidP="00B96323">
      <w:pPr>
        <w:spacing w:after="0" w:line="240" w:lineRule="auto"/>
        <w:jc w:val="both"/>
        <w:rPr>
          <w:rFonts w:ascii="Verdana" w:hAnsi="Verdana" w:cs="Arial"/>
          <w:sz w:val="16"/>
          <w:szCs w:val="16"/>
        </w:rPr>
      </w:pPr>
      <w:r w:rsidRPr="00513CDC">
        <w:rPr>
          <w:rFonts w:ascii="Verdana" w:hAnsi="Verdana" w:cs="Arial"/>
          <w:sz w:val="16"/>
          <w:szCs w:val="16"/>
        </w:rPr>
        <w:tab/>
      </w:r>
    </w:p>
  </w:footnote>
  <w:footnote w:id="7">
    <w:p w14:paraId="6618816F" w14:textId="77777777" w:rsidR="00B96323" w:rsidRPr="00513CDC" w:rsidRDefault="00B96323" w:rsidP="00B96323">
      <w:pPr>
        <w:spacing w:after="0" w:line="240" w:lineRule="auto"/>
        <w:ind w:left="-1" w:right="110" w:firstLine="709"/>
        <w:jc w:val="both"/>
        <w:rPr>
          <w:rFonts w:ascii="Verdana" w:hAnsi="Verdana" w:cs="Arial"/>
          <w:sz w:val="16"/>
          <w:szCs w:val="16"/>
        </w:rPr>
      </w:pPr>
      <w:r w:rsidRPr="00513CDC">
        <w:rPr>
          <w:rStyle w:val="Refdenotaalpie"/>
          <w:rFonts w:ascii="Verdana" w:hAnsi="Verdana" w:cs="Arial"/>
          <w:sz w:val="16"/>
          <w:szCs w:val="16"/>
        </w:rPr>
        <w:footnoteRef/>
      </w:r>
      <w:r w:rsidRPr="00513CDC">
        <w:rPr>
          <w:rFonts w:ascii="Verdana" w:hAnsi="Verdana" w:cs="Arial"/>
          <w:sz w:val="16"/>
          <w:szCs w:val="16"/>
        </w:rPr>
        <w:t xml:space="preserve"> Corte</w:t>
      </w:r>
      <w:r w:rsidRPr="00513CDC">
        <w:rPr>
          <w:rFonts w:ascii="Verdana" w:hAnsi="Verdana" w:cs="Arial"/>
          <w:spacing w:val="10"/>
          <w:sz w:val="16"/>
          <w:szCs w:val="16"/>
        </w:rPr>
        <w:t xml:space="preserve"> </w:t>
      </w:r>
      <w:r w:rsidRPr="00513CDC">
        <w:rPr>
          <w:rFonts w:ascii="Verdana" w:hAnsi="Verdana" w:cs="Arial"/>
          <w:sz w:val="16"/>
          <w:szCs w:val="16"/>
        </w:rPr>
        <w:t>Constitucional.</w:t>
      </w:r>
      <w:r w:rsidRPr="00513CDC">
        <w:rPr>
          <w:rFonts w:ascii="Verdana" w:hAnsi="Verdana" w:cs="Arial"/>
          <w:spacing w:val="11"/>
          <w:sz w:val="16"/>
          <w:szCs w:val="16"/>
        </w:rPr>
        <w:t xml:space="preserve"> </w:t>
      </w:r>
      <w:r w:rsidRPr="00513CDC">
        <w:rPr>
          <w:rFonts w:ascii="Verdana" w:hAnsi="Verdana" w:cs="Arial"/>
          <w:sz w:val="16"/>
          <w:szCs w:val="16"/>
        </w:rPr>
        <w:t>Sentencia</w:t>
      </w:r>
      <w:r w:rsidRPr="00513CDC">
        <w:rPr>
          <w:rFonts w:ascii="Verdana" w:hAnsi="Verdana" w:cs="Arial"/>
          <w:spacing w:val="10"/>
          <w:sz w:val="16"/>
          <w:szCs w:val="16"/>
        </w:rPr>
        <w:t xml:space="preserve"> </w:t>
      </w:r>
      <w:r w:rsidRPr="00513CDC">
        <w:rPr>
          <w:rFonts w:ascii="Verdana" w:hAnsi="Verdana" w:cs="Arial"/>
          <w:sz w:val="16"/>
          <w:szCs w:val="16"/>
        </w:rPr>
        <w:t>C-1019</w:t>
      </w:r>
      <w:r w:rsidRPr="00513CDC">
        <w:rPr>
          <w:rFonts w:ascii="Verdana" w:hAnsi="Verdana" w:cs="Arial"/>
          <w:spacing w:val="10"/>
          <w:sz w:val="16"/>
          <w:szCs w:val="16"/>
        </w:rPr>
        <w:t xml:space="preserve"> </w:t>
      </w:r>
      <w:r w:rsidRPr="00513CDC">
        <w:rPr>
          <w:rFonts w:ascii="Verdana" w:hAnsi="Verdana" w:cs="Arial"/>
          <w:sz w:val="16"/>
          <w:szCs w:val="16"/>
        </w:rPr>
        <w:t>del</w:t>
      </w:r>
      <w:r w:rsidRPr="00513CDC">
        <w:rPr>
          <w:rFonts w:ascii="Verdana" w:hAnsi="Verdana" w:cs="Arial"/>
          <w:spacing w:val="9"/>
          <w:sz w:val="16"/>
          <w:szCs w:val="16"/>
        </w:rPr>
        <w:t xml:space="preserve"> </w:t>
      </w:r>
      <w:r w:rsidRPr="00513CDC">
        <w:rPr>
          <w:rFonts w:ascii="Verdana" w:hAnsi="Verdana" w:cs="Arial"/>
          <w:sz w:val="16"/>
          <w:szCs w:val="16"/>
        </w:rPr>
        <w:t>28</w:t>
      </w:r>
      <w:r w:rsidRPr="00513CDC">
        <w:rPr>
          <w:rFonts w:ascii="Verdana" w:hAnsi="Verdana" w:cs="Arial"/>
          <w:spacing w:val="10"/>
          <w:sz w:val="16"/>
          <w:szCs w:val="16"/>
        </w:rPr>
        <w:t xml:space="preserve"> </w:t>
      </w:r>
      <w:r w:rsidRPr="00513CDC">
        <w:rPr>
          <w:rFonts w:ascii="Verdana" w:hAnsi="Verdana" w:cs="Arial"/>
          <w:sz w:val="16"/>
          <w:szCs w:val="16"/>
        </w:rPr>
        <w:t>de</w:t>
      </w:r>
      <w:r w:rsidRPr="00513CDC">
        <w:rPr>
          <w:rFonts w:ascii="Verdana" w:hAnsi="Verdana" w:cs="Arial"/>
          <w:spacing w:val="10"/>
          <w:sz w:val="16"/>
          <w:szCs w:val="16"/>
        </w:rPr>
        <w:t xml:space="preserve"> </w:t>
      </w:r>
      <w:r w:rsidRPr="00513CDC">
        <w:rPr>
          <w:rFonts w:ascii="Verdana" w:hAnsi="Verdana" w:cs="Arial"/>
          <w:sz w:val="16"/>
          <w:szCs w:val="16"/>
        </w:rPr>
        <w:t>noviembre</w:t>
      </w:r>
      <w:r w:rsidRPr="00513CDC">
        <w:rPr>
          <w:rFonts w:ascii="Verdana" w:hAnsi="Verdana" w:cs="Arial"/>
          <w:spacing w:val="10"/>
          <w:sz w:val="16"/>
          <w:szCs w:val="16"/>
        </w:rPr>
        <w:t xml:space="preserve"> </w:t>
      </w:r>
      <w:r w:rsidRPr="00513CDC">
        <w:rPr>
          <w:rFonts w:ascii="Verdana" w:hAnsi="Verdana" w:cs="Arial"/>
          <w:sz w:val="16"/>
          <w:szCs w:val="16"/>
        </w:rPr>
        <w:t>de</w:t>
      </w:r>
      <w:r w:rsidRPr="00513CDC">
        <w:rPr>
          <w:rFonts w:ascii="Verdana" w:hAnsi="Verdana" w:cs="Arial"/>
          <w:spacing w:val="10"/>
          <w:sz w:val="16"/>
          <w:szCs w:val="16"/>
        </w:rPr>
        <w:t xml:space="preserve"> </w:t>
      </w:r>
      <w:r w:rsidRPr="00513CDC">
        <w:rPr>
          <w:rFonts w:ascii="Verdana" w:hAnsi="Verdana" w:cs="Arial"/>
          <w:sz w:val="16"/>
          <w:szCs w:val="16"/>
        </w:rPr>
        <w:t>2012.</w:t>
      </w:r>
      <w:r w:rsidRPr="00513CDC">
        <w:rPr>
          <w:rFonts w:ascii="Verdana" w:hAnsi="Verdana" w:cs="Arial"/>
          <w:spacing w:val="10"/>
          <w:sz w:val="16"/>
          <w:szCs w:val="16"/>
        </w:rPr>
        <w:t xml:space="preserve"> </w:t>
      </w:r>
      <w:r w:rsidRPr="00513CDC">
        <w:rPr>
          <w:rFonts w:ascii="Verdana" w:hAnsi="Verdana" w:cs="Arial"/>
          <w:sz w:val="16"/>
          <w:szCs w:val="16"/>
        </w:rPr>
        <w:t>M.P.</w:t>
      </w:r>
      <w:r w:rsidRPr="00513CDC">
        <w:rPr>
          <w:rFonts w:ascii="Verdana" w:hAnsi="Verdana" w:cs="Arial"/>
          <w:spacing w:val="10"/>
          <w:sz w:val="16"/>
          <w:szCs w:val="16"/>
        </w:rPr>
        <w:t xml:space="preserve"> </w:t>
      </w:r>
      <w:r w:rsidRPr="00513CDC">
        <w:rPr>
          <w:rFonts w:ascii="Verdana" w:hAnsi="Verdana" w:cs="Arial"/>
          <w:sz w:val="16"/>
          <w:szCs w:val="16"/>
        </w:rPr>
        <w:t>Mauricio</w:t>
      </w:r>
      <w:r w:rsidRPr="00513CDC">
        <w:rPr>
          <w:rFonts w:ascii="Verdana" w:hAnsi="Verdana" w:cs="Arial"/>
          <w:spacing w:val="8"/>
          <w:sz w:val="16"/>
          <w:szCs w:val="16"/>
        </w:rPr>
        <w:t xml:space="preserve"> </w:t>
      </w:r>
      <w:r w:rsidRPr="00513CDC">
        <w:rPr>
          <w:rFonts w:ascii="Verdana" w:hAnsi="Verdana" w:cs="Arial"/>
          <w:sz w:val="16"/>
          <w:szCs w:val="16"/>
        </w:rPr>
        <w:t>González.</w:t>
      </w:r>
    </w:p>
    <w:p w14:paraId="552A6F31" w14:textId="77777777" w:rsidR="00B96323" w:rsidRPr="00A70144" w:rsidRDefault="00B96323" w:rsidP="00B96323">
      <w:pPr>
        <w:pStyle w:val="Textonotapie"/>
        <w:jc w:val="both"/>
        <w:rPr>
          <w:rFonts w:ascii="Verdana" w:hAnsi="Verdana" w:cs="Arial"/>
          <w:sz w:val="16"/>
          <w:szCs w:val="16"/>
        </w:rPr>
      </w:pPr>
    </w:p>
  </w:footnote>
  <w:footnote w:id="8">
    <w:p w14:paraId="57F88BE8" w14:textId="77777777" w:rsidR="00B96323" w:rsidRPr="00A70144" w:rsidRDefault="00B96323" w:rsidP="00B96323">
      <w:pPr>
        <w:pStyle w:val="Textonotapie"/>
        <w:ind w:firstLine="708"/>
        <w:jc w:val="both"/>
        <w:rPr>
          <w:rFonts w:ascii="Verdana" w:hAnsi="Verdana" w:cs="Arial"/>
          <w:sz w:val="16"/>
          <w:szCs w:val="16"/>
          <w:lang w:val="es-ES_tradnl"/>
        </w:rPr>
      </w:pPr>
      <w:r w:rsidRPr="00A70144">
        <w:rPr>
          <w:rStyle w:val="Refdenotaalpie"/>
          <w:rFonts w:ascii="Verdana" w:hAnsi="Verdana" w:cs="Arial"/>
          <w:sz w:val="16"/>
          <w:szCs w:val="16"/>
        </w:rPr>
        <w:footnoteRef/>
      </w:r>
      <w:r w:rsidRPr="00A70144">
        <w:rPr>
          <w:rFonts w:ascii="Verdana" w:hAnsi="Verdana" w:cs="Arial"/>
          <w:sz w:val="16"/>
          <w:szCs w:val="16"/>
        </w:rPr>
        <w:t xml:space="preserve"> </w:t>
      </w:r>
      <w:r>
        <w:rPr>
          <w:rFonts w:ascii="Verdana" w:hAnsi="Verdana" w:cs="Arial"/>
          <w:sz w:val="16"/>
          <w:szCs w:val="16"/>
        </w:rPr>
        <w:t>Consejo de Estado</w:t>
      </w:r>
      <w:r w:rsidRPr="00A70144">
        <w:rPr>
          <w:rFonts w:ascii="Verdana" w:hAnsi="Verdana" w:cs="Arial"/>
          <w:sz w:val="16"/>
          <w:szCs w:val="16"/>
        </w:rPr>
        <w:t xml:space="preserve">. </w:t>
      </w:r>
      <w:r>
        <w:rPr>
          <w:rFonts w:ascii="Verdana" w:hAnsi="Verdana" w:cs="Arial"/>
          <w:sz w:val="16"/>
          <w:szCs w:val="16"/>
        </w:rPr>
        <w:t xml:space="preserve">Sala de lo Contencioso Administrativo. </w:t>
      </w:r>
      <w:r w:rsidRPr="00A70144">
        <w:rPr>
          <w:rFonts w:ascii="Verdana" w:hAnsi="Verdana" w:cs="Arial"/>
          <w:sz w:val="16"/>
          <w:szCs w:val="16"/>
        </w:rPr>
        <w:t xml:space="preserve">Sección Cuarta. Sentencia del 16 de diciembre de 2008. </w:t>
      </w:r>
      <w:proofErr w:type="spellStart"/>
      <w:r w:rsidRPr="00A70144">
        <w:rPr>
          <w:rFonts w:ascii="Verdana" w:hAnsi="Verdana" w:cs="Arial"/>
          <w:sz w:val="16"/>
          <w:szCs w:val="16"/>
        </w:rPr>
        <w:t>Exp</w:t>
      </w:r>
      <w:proofErr w:type="spellEnd"/>
      <w:r w:rsidRPr="00A70144">
        <w:rPr>
          <w:rFonts w:ascii="Verdana" w:hAnsi="Verdana" w:cs="Arial"/>
          <w:sz w:val="16"/>
          <w:szCs w:val="16"/>
        </w:rPr>
        <w:t>. 16.297. C.P. Martha Teresa Briceño de Valencia</w:t>
      </w:r>
      <w:r>
        <w:rPr>
          <w:rFonts w:ascii="Verdana" w:hAnsi="Verdana" w:cs="Arial"/>
          <w:sz w:val="16"/>
          <w:szCs w:val="16"/>
        </w:rPr>
        <w:t>.</w:t>
      </w:r>
    </w:p>
  </w:footnote>
  <w:footnote w:id="9">
    <w:p w14:paraId="751C2CB4" w14:textId="77777777" w:rsidR="00B96323" w:rsidRPr="00A70144" w:rsidRDefault="00B96323" w:rsidP="00B96323">
      <w:pPr>
        <w:pStyle w:val="Textonotapie"/>
        <w:ind w:firstLine="708"/>
        <w:jc w:val="both"/>
        <w:rPr>
          <w:rFonts w:ascii="Verdana" w:hAnsi="Verdana" w:cs="Arial"/>
          <w:sz w:val="16"/>
          <w:szCs w:val="16"/>
          <w:lang w:val="es-CO"/>
        </w:rPr>
      </w:pPr>
      <w:r w:rsidRPr="00A70144">
        <w:rPr>
          <w:rStyle w:val="Refdenotaalpie"/>
          <w:rFonts w:ascii="Verdana" w:hAnsi="Verdana" w:cs="Arial"/>
          <w:sz w:val="16"/>
          <w:szCs w:val="16"/>
        </w:rPr>
        <w:footnoteRef/>
      </w:r>
      <w:r w:rsidRPr="00A70144">
        <w:rPr>
          <w:rFonts w:ascii="Verdana" w:hAnsi="Verdana" w:cs="Arial"/>
          <w:sz w:val="16"/>
          <w:szCs w:val="16"/>
        </w:rPr>
        <w:t xml:space="preserve"> </w:t>
      </w:r>
      <w:r w:rsidRPr="00A70144">
        <w:rPr>
          <w:rFonts w:ascii="Verdana" w:hAnsi="Verdana" w:cs="Arial"/>
          <w:sz w:val="16"/>
          <w:szCs w:val="16"/>
          <w:lang w:val="es-CO"/>
        </w:rPr>
        <w:t>Consejo de Estado</w:t>
      </w:r>
      <w:r>
        <w:rPr>
          <w:rFonts w:ascii="Verdana" w:hAnsi="Verdana" w:cs="Arial"/>
          <w:sz w:val="16"/>
          <w:szCs w:val="16"/>
          <w:lang w:val="es-CO"/>
        </w:rPr>
        <w:t>.</w:t>
      </w:r>
      <w:r w:rsidRPr="00A70144">
        <w:rPr>
          <w:rFonts w:ascii="Verdana" w:hAnsi="Verdana" w:cs="Arial"/>
          <w:sz w:val="16"/>
          <w:szCs w:val="16"/>
        </w:rPr>
        <w:t xml:space="preserve"> Sala de </w:t>
      </w:r>
      <w:r>
        <w:rPr>
          <w:rFonts w:ascii="Verdana" w:hAnsi="Verdana" w:cs="Arial"/>
          <w:sz w:val="16"/>
          <w:szCs w:val="16"/>
        </w:rPr>
        <w:t>C</w:t>
      </w:r>
      <w:r w:rsidRPr="00A70144">
        <w:rPr>
          <w:rFonts w:ascii="Verdana" w:hAnsi="Verdana" w:cs="Arial"/>
          <w:sz w:val="16"/>
          <w:szCs w:val="16"/>
        </w:rPr>
        <w:t>onsulta y Servicio Civil</w:t>
      </w:r>
      <w:r>
        <w:rPr>
          <w:rFonts w:ascii="Verdana" w:hAnsi="Verdana" w:cs="Arial"/>
          <w:sz w:val="16"/>
          <w:szCs w:val="16"/>
        </w:rPr>
        <w:t>.</w:t>
      </w:r>
      <w:r w:rsidRPr="00A70144">
        <w:rPr>
          <w:rFonts w:ascii="Verdana" w:hAnsi="Verdana" w:cs="Arial"/>
          <w:sz w:val="16"/>
          <w:szCs w:val="16"/>
        </w:rPr>
        <w:t xml:space="preserve"> </w:t>
      </w:r>
      <w:r>
        <w:rPr>
          <w:rFonts w:ascii="Verdana" w:hAnsi="Verdana" w:cs="Arial"/>
          <w:sz w:val="16"/>
          <w:szCs w:val="16"/>
        </w:rPr>
        <w:t>Concepto del</w:t>
      </w:r>
      <w:r w:rsidRPr="00A70144">
        <w:rPr>
          <w:rFonts w:ascii="Verdana" w:hAnsi="Verdana" w:cs="Arial"/>
          <w:sz w:val="16"/>
          <w:szCs w:val="16"/>
          <w:lang w:val="es-CO"/>
        </w:rPr>
        <w:t xml:space="preserve"> 28 de junio de 2012</w:t>
      </w:r>
      <w:r>
        <w:rPr>
          <w:rFonts w:ascii="Verdana" w:hAnsi="Verdana" w:cs="Arial"/>
          <w:sz w:val="16"/>
          <w:szCs w:val="16"/>
          <w:lang w:val="es-CO"/>
        </w:rPr>
        <w:t>. R</w:t>
      </w:r>
      <w:r w:rsidRPr="00A70144">
        <w:rPr>
          <w:rFonts w:ascii="Verdana" w:hAnsi="Verdana" w:cs="Arial"/>
          <w:sz w:val="16"/>
          <w:szCs w:val="16"/>
          <w:lang w:val="es-CO"/>
        </w:rPr>
        <w:t>adicado</w:t>
      </w:r>
      <w:r>
        <w:rPr>
          <w:rFonts w:ascii="Verdana" w:hAnsi="Verdana" w:cs="Arial"/>
          <w:sz w:val="16"/>
          <w:szCs w:val="16"/>
          <w:lang w:val="es-CO"/>
        </w:rPr>
        <w:t>:</w:t>
      </w:r>
      <w:r w:rsidRPr="00A70144">
        <w:rPr>
          <w:rFonts w:ascii="Verdana" w:hAnsi="Verdana" w:cs="Arial"/>
          <w:sz w:val="16"/>
          <w:szCs w:val="16"/>
          <w:lang w:val="es-CO"/>
        </w:rPr>
        <w:t xml:space="preserve"> No. 11001-03-06-000-2012-00016-00(2092), M.P. William Zambrano Cetina.</w:t>
      </w:r>
    </w:p>
    <w:p w14:paraId="54EBE508" w14:textId="77777777" w:rsidR="00B96323" w:rsidRPr="00A70144" w:rsidRDefault="00B96323" w:rsidP="00B96323">
      <w:pPr>
        <w:pStyle w:val="Textonotapie"/>
        <w:ind w:firstLine="708"/>
        <w:jc w:val="both"/>
        <w:rPr>
          <w:rFonts w:ascii="Verdana" w:hAnsi="Verdana" w:cs="Arial"/>
          <w:sz w:val="16"/>
          <w:szCs w:val="16"/>
          <w:lang w:val="es-CO"/>
        </w:rPr>
      </w:pPr>
    </w:p>
  </w:footnote>
  <w:footnote w:id="10">
    <w:p w14:paraId="78BE569E" w14:textId="77777777" w:rsidR="00B96323" w:rsidRPr="000C5622" w:rsidRDefault="00B96323" w:rsidP="00B96323">
      <w:pPr>
        <w:spacing w:after="0" w:line="240" w:lineRule="auto"/>
        <w:ind w:firstLine="709"/>
        <w:jc w:val="both"/>
        <w:rPr>
          <w:rFonts w:ascii="Verdana" w:hAnsi="Verdana" w:cs="Arial"/>
          <w:sz w:val="16"/>
          <w:szCs w:val="16"/>
          <w:lang w:eastAsia="es-ES"/>
        </w:rPr>
      </w:pPr>
      <w:r w:rsidRPr="000C5622">
        <w:rPr>
          <w:rStyle w:val="Refdenotaalpie"/>
          <w:rFonts w:ascii="Verdana" w:hAnsi="Verdana" w:cs="Arial"/>
          <w:color w:val="000000" w:themeColor="text1"/>
          <w:sz w:val="16"/>
          <w:szCs w:val="16"/>
        </w:rPr>
        <w:footnoteRef/>
      </w:r>
      <w:r w:rsidRPr="000C5622">
        <w:rPr>
          <w:rFonts w:ascii="Verdana" w:hAnsi="Verdana" w:cs="Arial"/>
          <w:color w:val="000000" w:themeColor="text1"/>
          <w:sz w:val="16"/>
          <w:szCs w:val="16"/>
        </w:rPr>
        <w:t xml:space="preserve"> Agencia Nacional de Contratación Pública - Colombia Compra Eficiente. Guía para las Entidades Estatales con régimen especial de contratación: </w:t>
      </w:r>
      <w:hyperlink r:id="rId1" w:history="1">
        <w:r w:rsidRPr="000C5622">
          <w:rPr>
            <w:rStyle w:val="Hipervnculo"/>
            <w:rFonts w:ascii="Verdana" w:hAnsi="Verdana" w:cs="Arial"/>
            <w:sz w:val="16"/>
            <w:szCs w:val="16"/>
          </w:rPr>
          <w:t>Guia-para-las-Entidades-Estatales-con-regimen-especial-de-contratacion-Comentarios.pdf</w:t>
        </w:r>
      </w:hyperlink>
      <w:r w:rsidRPr="000C5622">
        <w:rPr>
          <w:rFonts w:ascii="Verdana" w:hAnsi="Verdana" w:cs="Arial"/>
          <w:color w:val="000000" w:themeColor="text1"/>
          <w:sz w:val="16"/>
          <w:szCs w:val="16"/>
        </w:rPr>
        <w:t xml:space="preserve"> </w:t>
      </w:r>
    </w:p>
    <w:p w14:paraId="390DEF20" w14:textId="77777777" w:rsidR="00B96323" w:rsidRPr="000C5622" w:rsidRDefault="00B96323" w:rsidP="00B96323">
      <w:pPr>
        <w:pStyle w:val="Textonotapie"/>
        <w:ind w:firstLine="709"/>
        <w:jc w:val="both"/>
        <w:rPr>
          <w:rFonts w:ascii="Verdana" w:hAnsi="Verdana" w:cs="Arial"/>
          <w:color w:val="000000" w:themeColor="text1"/>
          <w:sz w:val="16"/>
          <w:szCs w:val="16"/>
        </w:rPr>
      </w:pPr>
    </w:p>
  </w:footnote>
  <w:footnote w:id="11">
    <w:p w14:paraId="669B5EB0" w14:textId="77777777" w:rsidR="00B96323" w:rsidRDefault="00B96323" w:rsidP="00B96323">
      <w:pPr>
        <w:pStyle w:val="Textonotapie"/>
        <w:ind w:firstLine="709"/>
        <w:jc w:val="both"/>
        <w:rPr>
          <w:rFonts w:ascii="Verdana" w:hAnsi="Verdana"/>
          <w:sz w:val="16"/>
          <w:szCs w:val="16"/>
          <w:lang w:val="es-CO"/>
        </w:rPr>
      </w:pPr>
      <w:r w:rsidRPr="005A18D1">
        <w:rPr>
          <w:rStyle w:val="Refdenotaalpie"/>
          <w:rFonts w:ascii="Verdana" w:hAnsi="Verdana"/>
          <w:sz w:val="16"/>
          <w:szCs w:val="16"/>
        </w:rPr>
        <w:footnoteRef/>
      </w:r>
      <w:r w:rsidRPr="005A18D1">
        <w:rPr>
          <w:rFonts w:ascii="Verdana" w:hAnsi="Verdana"/>
          <w:sz w:val="16"/>
          <w:szCs w:val="16"/>
        </w:rPr>
        <w:t xml:space="preserve"> </w:t>
      </w:r>
      <w:r w:rsidRPr="005A18D1">
        <w:rPr>
          <w:rFonts w:ascii="Verdana" w:hAnsi="Verdana"/>
          <w:sz w:val="16"/>
          <w:szCs w:val="16"/>
          <w:lang w:val="es-ES"/>
        </w:rPr>
        <w:t xml:space="preserve">Así también lo ha dispuesto el Consejo de Estado al sostener que: </w:t>
      </w:r>
      <w:r>
        <w:rPr>
          <w:rFonts w:ascii="Verdana" w:hAnsi="Verdana"/>
          <w:sz w:val="16"/>
          <w:szCs w:val="16"/>
          <w:lang w:val="es-ES"/>
        </w:rPr>
        <w:t>“</w:t>
      </w:r>
      <w:r w:rsidRPr="005A18D1">
        <w:rPr>
          <w:rFonts w:ascii="Verdana" w:hAnsi="Verdana"/>
          <w:sz w:val="16"/>
          <w:szCs w:val="16"/>
          <w:lang w:val="es-ES"/>
        </w:rPr>
        <w:t>el artículo 13 de la Ley 1150 de 2011 positivizó un regla que se venía decantando por vía doctrinal y jurisprudencial, esto es: que la actividad contractual de las entidades sometidas a un régimen especial de derecho privado u otro régimen especial previsto en la ley está siempre sujeta a los principios de la función administrativa y la gestión fiscal, así como al régimen de inhabilidades e incompatibilidades previstos en el Estatuto General de la Administración Pública.</w:t>
      </w:r>
      <w:r>
        <w:rPr>
          <w:rFonts w:ascii="Verdana" w:hAnsi="Verdana"/>
          <w:sz w:val="16"/>
          <w:szCs w:val="16"/>
          <w:lang w:val="es-ES"/>
        </w:rPr>
        <w:t xml:space="preserve"> (…) </w:t>
      </w:r>
      <w:r w:rsidRPr="005A18D1">
        <w:rPr>
          <w:rFonts w:ascii="Verdana" w:hAnsi="Verdana"/>
          <w:sz w:val="16"/>
          <w:szCs w:val="16"/>
          <w:lang w:val="es-CO"/>
        </w:rPr>
        <w:t>Así las cosas, el régimen excepcional de los contratos que celebran estas entidades es mixto y prevalentemente de derecho privado. Por una parte, implica la aplicación de las normas civiles y comerciales o de las disposiciones especiales previstas para una determinada entidad o materia y, de otra, la aplicación de los principios de la función administrativa y de la gestión fiscal y el régimen de inhabilidades e incompatibilidades regulados por la Ley 80 de 1993 y las normas que lo modifican</w:t>
      </w:r>
      <w:r>
        <w:rPr>
          <w:rFonts w:ascii="Verdana" w:hAnsi="Verdana"/>
          <w:sz w:val="16"/>
          <w:szCs w:val="16"/>
          <w:lang w:val="es-CO"/>
        </w:rPr>
        <w:t xml:space="preserve"> </w:t>
      </w:r>
      <w:r w:rsidRPr="005A18D1">
        <w:rPr>
          <w:rFonts w:ascii="Verdana" w:hAnsi="Verdana"/>
          <w:sz w:val="16"/>
          <w:szCs w:val="16"/>
          <w:lang w:val="es-CO"/>
        </w:rPr>
        <w:t>o adicionan.</w:t>
      </w:r>
      <w:r>
        <w:rPr>
          <w:rFonts w:ascii="Verdana" w:hAnsi="Verdana"/>
          <w:sz w:val="16"/>
          <w:szCs w:val="16"/>
          <w:lang w:val="es-CO"/>
        </w:rPr>
        <w:t xml:space="preserve"> Consejo de Estado. Sala de Consulta y Servicio Civil. 13 de diciembre de 2022. Expediente 2488. C.P: Edgar González López. </w:t>
      </w:r>
    </w:p>
    <w:p w14:paraId="718C6B63" w14:textId="77777777" w:rsidR="00B96323" w:rsidRPr="005A18D1" w:rsidRDefault="00B96323" w:rsidP="00B96323">
      <w:pPr>
        <w:pStyle w:val="Textonotapie"/>
        <w:ind w:firstLine="709"/>
        <w:jc w:val="both"/>
        <w:rPr>
          <w:rFonts w:ascii="Verdana" w:hAnsi="Verdana"/>
          <w:sz w:val="16"/>
          <w:szCs w:val="16"/>
          <w:lang w:val="es-ES"/>
        </w:rPr>
      </w:pPr>
    </w:p>
  </w:footnote>
  <w:footnote w:id="12">
    <w:p w14:paraId="3300B2EC" w14:textId="77777777" w:rsidR="00B96323" w:rsidRPr="003E2347" w:rsidRDefault="00B96323" w:rsidP="00B96323">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bookmarkStart w:id="2" w:name="_Hlk178103192"/>
      <w:r>
        <w:rPr>
          <w:rFonts w:ascii="Verdana" w:hAnsi="Verdana" w:cs="Arial"/>
          <w:color w:val="000000" w:themeColor="text1"/>
          <w:sz w:val="16"/>
          <w:szCs w:val="16"/>
        </w:rPr>
        <w:t>Consejo de Estado. Sala de lo Contencioso Administrativo</w:t>
      </w:r>
      <w:r w:rsidRPr="003E2347">
        <w:rPr>
          <w:rFonts w:ascii="Verdana" w:hAnsi="Verdana" w:cs="Arial"/>
          <w:color w:val="000000" w:themeColor="text1"/>
          <w:sz w:val="16"/>
          <w:szCs w:val="16"/>
        </w:rPr>
        <w:t>. Sección Tercera.</w:t>
      </w:r>
      <w:r>
        <w:rPr>
          <w:rFonts w:ascii="Verdana" w:hAnsi="Verdana" w:cs="Arial"/>
          <w:color w:val="000000" w:themeColor="text1"/>
          <w:sz w:val="16"/>
          <w:szCs w:val="16"/>
        </w:rPr>
        <w:t xml:space="preserve"> Subsección A.</w:t>
      </w:r>
      <w:r w:rsidRPr="003E2347">
        <w:rPr>
          <w:rFonts w:ascii="Verdana" w:hAnsi="Verdana" w:cs="Arial"/>
          <w:color w:val="000000" w:themeColor="text1"/>
          <w:sz w:val="16"/>
          <w:szCs w:val="16"/>
        </w:rPr>
        <w:t xml:space="preserve"> Radicado No. 45.607 del 24 de octubre de 2016. C</w:t>
      </w:r>
      <w:r>
        <w:rPr>
          <w:rFonts w:ascii="Verdana" w:hAnsi="Verdana" w:cs="Arial"/>
          <w:color w:val="000000" w:themeColor="text1"/>
          <w:sz w:val="16"/>
          <w:szCs w:val="16"/>
        </w:rPr>
        <w:t>.P:</w:t>
      </w:r>
      <w:r w:rsidRPr="003E2347">
        <w:rPr>
          <w:rFonts w:ascii="Verdana" w:hAnsi="Verdana" w:cs="Arial"/>
          <w:color w:val="000000" w:themeColor="text1"/>
          <w:sz w:val="16"/>
          <w:szCs w:val="16"/>
        </w:rPr>
        <w:t xml:space="preserve"> Mar</w:t>
      </w:r>
      <w:r>
        <w:rPr>
          <w:rFonts w:ascii="Verdana" w:hAnsi="Verdana" w:cs="Arial"/>
          <w:color w:val="000000" w:themeColor="text1"/>
          <w:sz w:val="16"/>
          <w:szCs w:val="16"/>
        </w:rPr>
        <w:t>ta</w:t>
      </w:r>
      <w:r w:rsidRPr="003E2347">
        <w:rPr>
          <w:rFonts w:ascii="Verdana" w:hAnsi="Verdana" w:cs="Arial"/>
          <w:color w:val="000000" w:themeColor="text1"/>
          <w:sz w:val="16"/>
          <w:szCs w:val="16"/>
        </w:rPr>
        <w:t xml:space="preserve"> Nubia Velásquez Rico.</w:t>
      </w:r>
    </w:p>
    <w:bookmarkEnd w:id="2"/>
    <w:p w14:paraId="3CDCC840" w14:textId="77777777" w:rsidR="00B96323" w:rsidRPr="005A18D1" w:rsidRDefault="00B96323" w:rsidP="00B96323">
      <w:pPr>
        <w:pStyle w:val="Textonotapie"/>
        <w:ind w:firstLine="709"/>
        <w:jc w:val="both"/>
        <w:rPr>
          <w:rFonts w:ascii="Verdana" w:hAnsi="Verdana" w:cs="Arial"/>
          <w:color w:val="000000" w:themeColor="text1"/>
          <w:sz w:val="16"/>
          <w:szCs w:val="16"/>
        </w:rPr>
      </w:pPr>
    </w:p>
  </w:footnote>
  <w:footnote w:id="13">
    <w:p w14:paraId="7CFB01C8" w14:textId="77777777" w:rsidR="00B96323" w:rsidRPr="00BD754A" w:rsidRDefault="00B96323" w:rsidP="00B96323">
      <w:pPr>
        <w:spacing w:after="0" w:line="240" w:lineRule="auto"/>
        <w:ind w:firstLine="709"/>
        <w:jc w:val="both"/>
        <w:rPr>
          <w:rFonts w:ascii="Verdana" w:hAnsi="Verdana" w:cs="Arial"/>
          <w:sz w:val="16"/>
          <w:szCs w:val="16"/>
          <w:lang w:val="es-ES"/>
        </w:rPr>
      </w:pPr>
      <w:r w:rsidRPr="00BD754A">
        <w:rPr>
          <w:rStyle w:val="Refdenotaalpie"/>
          <w:rFonts w:ascii="Verdana" w:hAnsi="Verdana" w:cs="Arial"/>
          <w:sz w:val="16"/>
          <w:szCs w:val="16"/>
        </w:rPr>
        <w:footnoteRef/>
      </w:r>
      <w:r w:rsidRPr="00BD754A">
        <w:rPr>
          <w:rFonts w:ascii="Verdana" w:hAnsi="Verdana" w:cs="Arial"/>
          <w:sz w:val="16"/>
          <w:szCs w:val="16"/>
        </w:rPr>
        <w:t xml:space="preserve"> </w:t>
      </w:r>
      <w:r w:rsidRPr="00BD754A">
        <w:rPr>
          <w:rFonts w:ascii="Verdana" w:hAnsi="Verdana" w:cs="Arial"/>
          <w:sz w:val="16"/>
          <w:szCs w:val="16"/>
          <w:lang w:val="es-ES"/>
        </w:rPr>
        <w:t xml:space="preserve">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w:t>
      </w:r>
      <w:proofErr w:type="gramStart"/>
      <w:r w:rsidRPr="00BD754A">
        <w:rPr>
          <w:rFonts w:ascii="Verdana" w:hAnsi="Verdana" w:cs="Arial"/>
          <w:sz w:val="16"/>
          <w:szCs w:val="16"/>
          <w:lang w:val="es-ES"/>
        </w:rPr>
        <w:t>que</w:t>
      </w:r>
      <w:proofErr w:type="gramEnd"/>
      <w:r w:rsidRPr="00BD754A">
        <w:rPr>
          <w:rFonts w:ascii="Verdana" w:hAnsi="Verdana" w:cs="Arial"/>
          <w:sz w:val="16"/>
          <w:szCs w:val="16"/>
          <w:lang w:val="es-ES"/>
        </w:rPr>
        <w:t xml:space="preserve"> no siendo esenciales en él, se entienden pertenecerle, sin necesidad de una cláusula especial; y son accidentales a un contrato aquellas que ni esencial ni naturalmente le pertenecen, y que se le agregan por medio de cláusulas especiales”.</w:t>
      </w:r>
    </w:p>
    <w:p w14:paraId="4480613F" w14:textId="77777777" w:rsidR="00B96323" w:rsidRPr="00BD754A" w:rsidRDefault="00B96323" w:rsidP="00B96323">
      <w:pPr>
        <w:spacing w:after="0" w:line="240" w:lineRule="auto"/>
        <w:ind w:firstLine="709"/>
        <w:jc w:val="both"/>
        <w:rPr>
          <w:rFonts w:ascii="Verdana" w:hAnsi="Verdana" w:cs="Arial"/>
          <w:sz w:val="16"/>
          <w:szCs w:val="16"/>
          <w:lang w:val="es-ES"/>
        </w:rPr>
      </w:pPr>
    </w:p>
  </w:footnote>
  <w:footnote w:id="14">
    <w:p w14:paraId="0C1F9704" w14:textId="77777777" w:rsidR="00B96323" w:rsidRDefault="00B96323" w:rsidP="00B96323">
      <w:pPr>
        <w:spacing w:after="0" w:line="240" w:lineRule="auto"/>
        <w:ind w:firstLine="709"/>
        <w:jc w:val="both"/>
        <w:rPr>
          <w:rFonts w:ascii="Verdana" w:hAnsi="Verdana" w:cs="Arial"/>
          <w:sz w:val="16"/>
          <w:szCs w:val="16"/>
          <w:lang w:val="es-ES"/>
        </w:rPr>
      </w:pPr>
      <w:r w:rsidRPr="00BD754A">
        <w:rPr>
          <w:rStyle w:val="Refdenotaalpie"/>
          <w:rFonts w:ascii="Verdana" w:hAnsi="Verdana" w:cs="Arial"/>
          <w:sz w:val="16"/>
          <w:szCs w:val="16"/>
        </w:rPr>
        <w:footnoteRef/>
      </w:r>
      <w:r w:rsidRPr="00BD754A">
        <w:rPr>
          <w:rFonts w:ascii="Verdana" w:hAnsi="Verdana" w:cs="Arial"/>
          <w:sz w:val="16"/>
          <w:szCs w:val="16"/>
        </w:rPr>
        <w:t xml:space="preserve"> </w:t>
      </w:r>
      <w:r w:rsidRPr="00BD754A">
        <w:rPr>
          <w:rFonts w:ascii="Verdana" w:hAnsi="Verdana" w:cs="Arial"/>
          <w:sz w:val="16"/>
          <w:szCs w:val="16"/>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p w14:paraId="32F121DC" w14:textId="77777777" w:rsidR="00B96323" w:rsidRPr="00BD754A" w:rsidRDefault="00B96323" w:rsidP="00B96323">
      <w:pPr>
        <w:spacing w:after="0" w:line="240" w:lineRule="auto"/>
        <w:ind w:firstLine="709"/>
        <w:jc w:val="both"/>
        <w:rPr>
          <w:rFonts w:ascii="Verdana" w:hAnsi="Verdana" w:cs="Arial"/>
          <w:sz w:val="16"/>
          <w:szCs w:val="16"/>
          <w:lang w:val="es-ES"/>
        </w:rPr>
      </w:pPr>
    </w:p>
  </w:footnote>
  <w:footnote w:id="15">
    <w:p w14:paraId="67ACD19B" w14:textId="77777777" w:rsidR="00B96323" w:rsidRPr="00BD754A" w:rsidRDefault="00B96323" w:rsidP="00B96323">
      <w:pPr>
        <w:pStyle w:val="Textonotapie"/>
        <w:ind w:firstLine="709"/>
        <w:jc w:val="both"/>
        <w:rPr>
          <w:rFonts w:ascii="Verdana" w:hAnsi="Verdana" w:cs="Arial"/>
          <w:sz w:val="16"/>
          <w:szCs w:val="16"/>
          <w:lang w:val="es-ES"/>
        </w:rPr>
      </w:pPr>
      <w:r w:rsidRPr="00BD754A">
        <w:rPr>
          <w:rStyle w:val="Refdenotaalpie"/>
          <w:rFonts w:ascii="Verdana" w:hAnsi="Verdana" w:cs="Arial"/>
          <w:sz w:val="16"/>
          <w:szCs w:val="16"/>
        </w:rPr>
        <w:footnoteRef/>
      </w:r>
      <w:r w:rsidRPr="00BD754A">
        <w:rPr>
          <w:rFonts w:ascii="Verdana" w:hAnsi="Verdana" w:cs="Arial"/>
          <w:sz w:val="16"/>
          <w:szCs w:val="16"/>
        </w:rPr>
        <w:t xml:space="preserve"> </w:t>
      </w:r>
      <w:r w:rsidRPr="00BD754A">
        <w:rPr>
          <w:rFonts w:ascii="Verdana" w:hAnsi="Verdana" w:cs="Arial"/>
          <w:sz w:val="16"/>
          <w:szCs w:val="16"/>
          <w:lang w:val="es-ES"/>
        </w:rPr>
        <w:t>EXPÓSITO VÉLEZ, Juan Carlos. Forma y contenido del contrato estatal. Bogotá: Universidad Externado de Colombia, 2013. pp. 28-29.</w:t>
      </w:r>
    </w:p>
  </w:footnote>
  <w:footnote w:id="16">
    <w:p w14:paraId="6BF21B98" w14:textId="77777777" w:rsidR="00B96323" w:rsidRPr="00525670" w:rsidRDefault="00B96323" w:rsidP="00B96323">
      <w:pPr>
        <w:pStyle w:val="Textonotapie"/>
        <w:ind w:firstLine="709"/>
        <w:jc w:val="both"/>
        <w:rPr>
          <w:rFonts w:ascii="Verdana" w:hAnsi="Verdana"/>
          <w:sz w:val="16"/>
          <w:szCs w:val="16"/>
        </w:rPr>
      </w:pPr>
      <w:r w:rsidRPr="00525670">
        <w:rPr>
          <w:rStyle w:val="Refdenotaalpie"/>
          <w:rFonts w:ascii="Verdana" w:hAnsi="Verdana"/>
          <w:sz w:val="16"/>
          <w:szCs w:val="16"/>
        </w:rPr>
        <w:footnoteRef/>
      </w:r>
      <w:r w:rsidRPr="00525670">
        <w:rPr>
          <w:rFonts w:ascii="Verdana" w:hAnsi="Verdana"/>
          <w:sz w:val="16"/>
          <w:szCs w:val="16"/>
        </w:rPr>
        <w:t xml:space="preserve"> Consejo de Estado. Sala de lo Contencioso Administrativo. Sección Tercera. Subsección B. Sentencia del 27 de febrero de 2026. </w:t>
      </w:r>
      <w:r w:rsidRPr="00525670">
        <w:rPr>
          <w:rFonts w:ascii="Verdana" w:hAnsi="Verdana"/>
          <w:sz w:val="16"/>
          <w:szCs w:val="16"/>
          <w:lang w:val="es-CO"/>
        </w:rPr>
        <w:t xml:space="preserve">13001-23-33-000-2018-00654-01 (73.215). C.P: Fredy Ibarra Martínez. </w:t>
      </w:r>
    </w:p>
  </w:footnote>
  <w:footnote w:id="17">
    <w:p w14:paraId="421992D3" w14:textId="77777777" w:rsidR="00B96323" w:rsidRDefault="00B96323" w:rsidP="00B96323">
      <w:pPr>
        <w:pStyle w:val="Textonotapie"/>
        <w:ind w:firstLine="709"/>
        <w:jc w:val="both"/>
        <w:rPr>
          <w:rFonts w:ascii="Verdana" w:hAnsi="Verdana" w:cs="Arial"/>
          <w:sz w:val="16"/>
          <w:szCs w:val="16"/>
          <w:lang w:val="es-ES"/>
        </w:rPr>
      </w:pPr>
      <w:r w:rsidRPr="002E5BFE">
        <w:rPr>
          <w:rStyle w:val="Refdenotaalpie"/>
          <w:rFonts w:ascii="Verdana" w:hAnsi="Verdana" w:cs="Arial"/>
          <w:sz w:val="16"/>
          <w:szCs w:val="16"/>
        </w:rPr>
        <w:footnoteRef/>
      </w:r>
      <w:r w:rsidRPr="002E5BFE">
        <w:rPr>
          <w:rFonts w:ascii="Verdana" w:hAnsi="Verdana" w:cs="Arial"/>
          <w:sz w:val="16"/>
          <w:szCs w:val="16"/>
        </w:rPr>
        <w:t xml:space="preserve"> </w:t>
      </w:r>
      <w:r w:rsidRPr="002E5BFE">
        <w:rPr>
          <w:rFonts w:ascii="Verdana" w:eastAsia="Calibri" w:hAnsi="Verdana" w:cs="Arial"/>
          <w:color w:val="000000"/>
          <w:sz w:val="16"/>
          <w:szCs w:val="16"/>
          <w:lang w:val="es-ES_tradnl" w:eastAsia="en-GB"/>
        </w:rPr>
        <w:t xml:space="preserve">A esta conclusión llegó la Sección Tercera del Consejo de Estado 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un contrato de prestación de servicios profesionales se considerara inexistente o viciado de nulidad absoluta. La respuesta del alto tribunal es que no se genera inexistencia ni vicio de nulidad absoluta, sino una eventual responsabilidad en los servidores públicos que incumplieron tal requisito presupuestal. </w:t>
      </w:r>
      <w:r w:rsidRPr="002E5BFE">
        <w:rPr>
          <w:rFonts w:ascii="Verdana" w:hAnsi="Verdana" w:cs="Arial"/>
          <w:sz w:val="16"/>
          <w:szCs w:val="16"/>
          <w:lang w:val="es-ES"/>
        </w:rPr>
        <w:t xml:space="preserve">Consejo de Estado. </w:t>
      </w:r>
      <w:r>
        <w:rPr>
          <w:rFonts w:ascii="Verdana" w:hAnsi="Verdana" w:cs="Arial"/>
          <w:sz w:val="16"/>
          <w:szCs w:val="16"/>
          <w:lang w:val="es-ES"/>
        </w:rPr>
        <w:t xml:space="preserve">Sala de lo Contencioso Administrativo. </w:t>
      </w:r>
      <w:r w:rsidRPr="002E5BFE">
        <w:rPr>
          <w:rFonts w:ascii="Verdana" w:hAnsi="Verdana" w:cs="Arial"/>
          <w:sz w:val="16"/>
          <w:szCs w:val="16"/>
          <w:lang w:val="es-ES"/>
        </w:rPr>
        <w:t xml:space="preserve">Sección Tercera. Subsección C. Sentencia del 12 de agosto de 2014. Expediente: </w:t>
      </w:r>
      <w:r w:rsidRPr="002E5BFE">
        <w:rPr>
          <w:rFonts w:ascii="Verdana" w:hAnsi="Verdana" w:cs="Arial"/>
          <w:iCs/>
          <w:sz w:val="16"/>
          <w:szCs w:val="16"/>
        </w:rPr>
        <w:t>28.565.</w:t>
      </w:r>
      <w:r>
        <w:rPr>
          <w:rFonts w:ascii="Verdana" w:hAnsi="Verdana" w:cs="Arial"/>
          <w:iCs/>
          <w:sz w:val="16"/>
          <w:szCs w:val="16"/>
        </w:rPr>
        <w:t xml:space="preserve"> </w:t>
      </w:r>
      <w:r w:rsidRPr="002E5BFE">
        <w:rPr>
          <w:rFonts w:ascii="Verdana" w:hAnsi="Verdana" w:cs="Arial"/>
          <w:sz w:val="16"/>
          <w:szCs w:val="16"/>
          <w:lang w:val="es-ES"/>
        </w:rPr>
        <w:t>C</w:t>
      </w:r>
      <w:r>
        <w:rPr>
          <w:rFonts w:ascii="Verdana" w:hAnsi="Verdana" w:cs="Arial"/>
          <w:sz w:val="16"/>
          <w:szCs w:val="16"/>
          <w:lang w:val="es-ES"/>
        </w:rPr>
        <w:t>.P:</w:t>
      </w:r>
      <w:r w:rsidRPr="002E5BFE">
        <w:rPr>
          <w:rFonts w:ascii="Verdana" w:hAnsi="Verdana" w:cs="Arial"/>
          <w:sz w:val="16"/>
          <w:szCs w:val="16"/>
          <w:lang w:val="es-ES"/>
        </w:rPr>
        <w:t xml:space="preserve"> Enrique Gil Botero. </w:t>
      </w:r>
    </w:p>
    <w:p w14:paraId="6A228530" w14:textId="77777777" w:rsidR="00B96323" w:rsidRPr="00C24507" w:rsidRDefault="00B96323" w:rsidP="00B96323">
      <w:pPr>
        <w:pStyle w:val="Textonotapie"/>
        <w:ind w:firstLine="709"/>
        <w:jc w:val="both"/>
        <w:rPr>
          <w:rFonts w:ascii="Verdana" w:hAnsi="Verdana" w:cs="Arial"/>
          <w:iCs/>
          <w:sz w:val="16"/>
          <w:szCs w:val="16"/>
        </w:rPr>
      </w:pPr>
    </w:p>
  </w:footnote>
  <w:footnote w:id="18">
    <w:p w14:paraId="495C68CA" w14:textId="77777777" w:rsidR="00B96323" w:rsidRPr="002E5BFE" w:rsidRDefault="00B96323" w:rsidP="00B96323">
      <w:pPr>
        <w:pStyle w:val="Textonotapie"/>
        <w:ind w:firstLine="708"/>
        <w:jc w:val="both"/>
        <w:rPr>
          <w:rFonts w:ascii="Verdana" w:hAnsi="Verdana"/>
          <w:sz w:val="16"/>
          <w:szCs w:val="16"/>
          <w:lang w:val="es-CO"/>
        </w:rPr>
      </w:pPr>
      <w:r w:rsidRPr="002E5BFE">
        <w:rPr>
          <w:rStyle w:val="Refdenotaalpie"/>
          <w:rFonts w:ascii="Verdana" w:hAnsi="Verdana"/>
          <w:sz w:val="16"/>
          <w:szCs w:val="16"/>
        </w:rPr>
        <w:footnoteRef/>
      </w:r>
      <w:r w:rsidRPr="002E5BFE">
        <w:rPr>
          <w:rFonts w:ascii="Verdana" w:hAnsi="Verdana"/>
          <w:sz w:val="16"/>
          <w:szCs w:val="16"/>
        </w:rPr>
        <w:t xml:space="preserve"> </w:t>
      </w:r>
      <w:r w:rsidRPr="002E5BFE">
        <w:rPr>
          <w:rFonts w:ascii="Verdana" w:hAnsi="Verdana" w:cs="Arial"/>
          <w:color w:val="1A1A1A" w:themeColor="background1" w:themeShade="1A"/>
          <w:sz w:val="16"/>
          <w:szCs w:val="16"/>
        </w:rPr>
        <w:t xml:space="preserve">Consejo de Estado. Sala de lo Contencioso Administrativo. Sección Tercera. Subsección A. Sentencia del del 24 de febrero de 2016. </w:t>
      </w:r>
      <w:proofErr w:type="spellStart"/>
      <w:r w:rsidRPr="002E5BFE">
        <w:rPr>
          <w:rFonts w:ascii="Verdana" w:hAnsi="Verdana" w:cs="Arial"/>
          <w:color w:val="1A1A1A" w:themeColor="background1" w:themeShade="1A"/>
          <w:sz w:val="16"/>
          <w:szCs w:val="16"/>
        </w:rPr>
        <w:t>Exp</w:t>
      </w:r>
      <w:proofErr w:type="spellEnd"/>
      <w:r w:rsidRPr="002E5BFE">
        <w:rPr>
          <w:rFonts w:ascii="Verdana" w:hAnsi="Verdana" w:cs="Arial"/>
          <w:color w:val="1A1A1A" w:themeColor="background1" w:themeShade="1A"/>
          <w:sz w:val="16"/>
          <w:szCs w:val="16"/>
        </w:rPr>
        <w:t>. 46.185. C.P. Marta Nubia Velásquez Rico.</w:t>
      </w:r>
    </w:p>
    <w:p w14:paraId="792CEBDD" w14:textId="77777777" w:rsidR="00B96323" w:rsidRPr="002E5BFE" w:rsidRDefault="00B96323" w:rsidP="00B96323">
      <w:pPr>
        <w:pStyle w:val="Textonotapie"/>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BC25EC"/>
    <w:multiLevelType w:val="hybridMultilevel"/>
    <w:tmpl w:val="3F7C0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358431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DD2"/>
    <w:rsid w:val="00082362"/>
    <w:rsid w:val="000A683E"/>
    <w:rsid w:val="000B19B9"/>
    <w:rsid w:val="000D0334"/>
    <w:rsid w:val="000D5DA7"/>
    <w:rsid w:val="000F6486"/>
    <w:rsid w:val="00116940"/>
    <w:rsid w:val="00125105"/>
    <w:rsid w:val="00127233"/>
    <w:rsid w:val="0015699B"/>
    <w:rsid w:val="001A33BF"/>
    <w:rsid w:val="001A3C3F"/>
    <w:rsid w:val="001A3D1E"/>
    <w:rsid w:val="001E4177"/>
    <w:rsid w:val="001F0B24"/>
    <w:rsid w:val="001F7DC6"/>
    <w:rsid w:val="0022400B"/>
    <w:rsid w:val="002421BB"/>
    <w:rsid w:val="0025796E"/>
    <w:rsid w:val="002629E0"/>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67DA0"/>
    <w:rsid w:val="004A1847"/>
    <w:rsid w:val="004A305D"/>
    <w:rsid w:val="004D15EB"/>
    <w:rsid w:val="004F21C4"/>
    <w:rsid w:val="004F685F"/>
    <w:rsid w:val="005566E8"/>
    <w:rsid w:val="00574867"/>
    <w:rsid w:val="00591460"/>
    <w:rsid w:val="005A65E0"/>
    <w:rsid w:val="005C3777"/>
    <w:rsid w:val="005C5CDC"/>
    <w:rsid w:val="005D476C"/>
    <w:rsid w:val="006200BF"/>
    <w:rsid w:val="006219F8"/>
    <w:rsid w:val="006302F7"/>
    <w:rsid w:val="006466A9"/>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28DC"/>
    <w:rsid w:val="008A446D"/>
    <w:rsid w:val="008A575E"/>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96323"/>
    <w:rsid w:val="00BC3D36"/>
    <w:rsid w:val="00BD54A6"/>
    <w:rsid w:val="00BD7F72"/>
    <w:rsid w:val="00BF7425"/>
    <w:rsid w:val="00C04FB3"/>
    <w:rsid w:val="00C11D8B"/>
    <w:rsid w:val="00C15139"/>
    <w:rsid w:val="00C2410E"/>
    <w:rsid w:val="00C330EB"/>
    <w:rsid w:val="00C50D69"/>
    <w:rsid w:val="00C5365C"/>
    <w:rsid w:val="00C754BE"/>
    <w:rsid w:val="00C76B1C"/>
    <w:rsid w:val="00C925AC"/>
    <w:rsid w:val="00CB3C03"/>
    <w:rsid w:val="00CB4BE0"/>
    <w:rsid w:val="00CB6357"/>
    <w:rsid w:val="00CC1B26"/>
    <w:rsid w:val="00D361FD"/>
    <w:rsid w:val="00D423A2"/>
    <w:rsid w:val="00D44E26"/>
    <w:rsid w:val="00D520D8"/>
    <w:rsid w:val="00D5437E"/>
    <w:rsid w:val="00D63AC2"/>
    <w:rsid w:val="00D7383B"/>
    <w:rsid w:val="00D7788A"/>
    <w:rsid w:val="00DA231B"/>
    <w:rsid w:val="00DC39FC"/>
    <w:rsid w:val="00DF5254"/>
    <w:rsid w:val="00E02524"/>
    <w:rsid w:val="00E16408"/>
    <w:rsid w:val="00E20894"/>
    <w:rsid w:val="00E245AB"/>
    <w:rsid w:val="00E2764C"/>
    <w:rsid w:val="00E27F2E"/>
    <w:rsid w:val="00E4260A"/>
    <w:rsid w:val="00E50581"/>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DE9F6A7"/>
    <w:rsid w:val="0EFE6349"/>
    <w:rsid w:val="0FF4CCA8"/>
    <w:rsid w:val="13CFC91B"/>
    <w:rsid w:val="19A2EC2C"/>
    <w:rsid w:val="21779BE6"/>
    <w:rsid w:val="238127E4"/>
    <w:rsid w:val="2859CA1B"/>
    <w:rsid w:val="2C4D2425"/>
    <w:rsid w:val="2DDB9E12"/>
    <w:rsid w:val="2EE1E026"/>
    <w:rsid w:val="30821638"/>
    <w:rsid w:val="32A4F9CF"/>
    <w:rsid w:val="33A1FF93"/>
    <w:rsid w:val="356CEDFD"/>
    <w:rsid w:val="3C591AFD"/>
    <w:rsid w:val="42183F0A"/>
    <w:rsid w:val="52EDCFB8"/>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6323"/>
    <w:rPr>
      <w:rFonts w:ascii="Geomanist Light" w:hAnsi="Geomanist Light"/>
      <w:lang w:val="es-ES"/>
    </w:rPr>
  </w:style>
  <w:style w:type="paragraph" w:customStyle="1" w:styleId="Appelnotedebasde">
    <w:name w:val="Appel note de bas de..."/>
    <w:basedOn w:val="Normal"/>
    <w:link w:val="Refdenotaalpie"/>
    <w:uiPriority w:val="99"/>
    <w:rsid w:val="00B96323"/>
    <w:pPr>
      <w:spacing w:line="240" w:lineRule="exact"/>
    </w:pPr>
    <w:rPr>
      <w:vertAlign w:val="superscript"/>
    </w:rPr>
  </w:style>
  <w:style w:type="character" w:customStyle="1" w:styleId="NormalWebCar">
    <w:name w:val="Normal (Web) Car"/>
    <w:link w:val="NormalWeb"/>
    <w:uiPriority w:val="99"/>
    <w:locked/>
    <w:rsid w:val="00B96323"/>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qFormat/>
    <w:rsid w:val="00B96323"/>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B963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olombiacompra.gov.co/wp-content/uploads/2025/08/Guia-para-las-Entidades-Estatales-con-regimen-especial-de-contratacion-Comentarios.pdf"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enandoiglesia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wp-content/uploads/2025/08/Guia-para-las-Entidades-Estatales-con-regimen-especial-de-contratacion-Comentari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55D7F2-AB32-4B42-AD2F-72FBDFACCC1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44</TotalTime>
  <Pages>21</Pages>
  <Words>6620</Words>
  <Characters>36412</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2026-04-23T23:19:00Z</dcterms:created>
  <dcterms:modified xsi:type="dcterms:W3CDTF">2026-04-24T01:27:00Z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