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C0E5" w14:textId="77777777" w:rsidR="00F600FA" w:rsidRDefault="00F600FA" w:rsidP="00F600FA">
      <w:pPr>
        <w:spacing w:after="0"/>
        <w:jc w:val="both"/>
        <w:rPr>
          <w:rFonts w:ascii="Verdana" w:eastAsia="Calibri" w:hAnsi="Verdana" w:cs="Arial"/>
          <w:b/>
          <w:bCs/>
          <w:lang w:eastAsia="es-ES"/>
        </w:rPr>
      </w:pPr>
      <w:bookmarkStart w:id="0" w:name="_Hlk143780582"/>
      <w:r w:rsidRPr="00F600FA">
        <w:rPr>
          <w:rFonts w:ascii="Verdana" w:eastAsia="Calibri" w:hAnsi="Verdana" w:cs="Arial"/>
          <w:b/>
          <w:bCs/>
          <w:lang w:eastAsia="es-ES"/>
        </w:rPr>
        <w:t xml:space="preserve">LICITACIÓN PÚBLICA – Regla general </w:t>
      </w:r>
    </w:p>
    <w:p w14:paraId="2C0CB751" w14:textId="77777777" w:rsidR="00F600FA" w:rsidRDefault="00F600FA" w:rsidP="00F600FA">
      <w:pPr>
        <w:spacing w:after="0" w:line="240" w:lineRule="auto"/>
        <w:jc w:val="both"/>
        <w:rPr>
          <w:rFonts w:ascii="Verdana" w:eastAsia="Calibri" w:hAnsi="Verdana" w:cs="Arial"/>
          <w:b/>
          <w:bCs/>
          <w:lang w:eastAsia="es-ES"/>
        </w:rPr>
      </w:pPr>
    </w:p>
    <w:p w14:paraId="1B711DBA" w14:textId="10FBF440" w:rsidR="00F600FA" w:rsidRPr="00F600FA" w:rsidRDefault="00F600FA" w:rsidP="00F600FA">
      <w:pPr>
        <w:spacing w:after="0" w:line="240" w:lineRule="auto"/>
        <w:jc w:val="both"/>
        <w:rPr>
          <w:rFonts w:ascii="Verdana" w:hAnsi="Verdana" w:cs="Arial"/>
          <w:color w:val="000000" w:themeColor="text1"/>
          <w:sz w:val="20"/>
          <w:szCs w:val="20"/>
        </w:rPr>
      </w:pPr>
      <w:r w:rsidRPr="00F600FA">
        <w:rPr>
          <w:rFonts w:ascii="Verdana" w:eastAsia="Calibri" w:hAnsi="Verdana" w:cs="Arial"/>
          <w:color w:val="000000"/>
          <w:sz w:val="20"/>
          <w:szCs w:val="20"/>
          <w:lang w:val="es-ES_tradnl" w:eastAsia="es-ES_tradnl"/>
        </w:rPr>
        <w:t>P</w:t>
      </w:r>
      <w:r w:rsidRPr="00F600FA">
        <w:rPr>
          <w:rFonts w:ascii="Verdana" w:hAnsi="Verdana" w:cs="Arial"/>
          <w:sz w:val="20"/>
          <w:szCs w:val="20"/>
          <w:lang w:val="es-ES"/>
        </w:rPr>
        <w:t xml:space="preserve">ara las entidades sometidas al Estatuto General de Contratación de la Administración Pública, los procesos de selección se rigen por </w:t>
      </w:r>
      <w:r w:rsidRPr="00F600FA">
        <w:rPr>
          <w:rFonts w:ascii="Verdana" w:hAnsi="Verdana" w:cs="Arial"/>
          <w:bCs/>
          <w:sz w:val="20"/>
          <w:szCs w:val="20"/>
          <w:lang w:val="es-ES_tradnl"/>
        </w:rPr>
        <w:t>el artículo 2 de la Ley 1150 de 2007</w:t>
      </w:r>
      <w:r w:rsidRPr="00F600FA">
        <w:rPr>
          <w:rFonts w:ascii="Verdana" w:hAnsi="Verdana" w:cs="Arial"/>
          <w:sz w:val="20"/>
          <w:szCs w:val="20"/>
          <w:lang w:val="es-ES"/>
        </w:rPr>
        <w:t xml:space="preserve">. El </w:t>
      </w:r>
      <w:r w:rsidRPr="00F600FA">
        <w:rPr>
          <w:rFonts w:ascii="Verdana" w:eastAsia="Calibri" w:hAnsi="Verdana" w:cs="Arial"/>
          <w:bCs/>
          <w:sz w:val="20"/>
          <w:szCs w:val="20"/>
          <w:lang w:val="es-MX" w:eastAsia="es-ES_tradnl"/>
        </w:rPr>
        <w:t>numeral uno, inciso primero, de la norma citada</w:t>
      </w:r>
      <w:r w:rsidRPr="00F600FA">
        <w:rPr>
          <w:rFonts w:ascii="Verdana" w:hAnsi="Verdana" w:cs="Arial"/>
          <w:bCs/>
          <w:sz w:val="20"/>
          <w:szCs w:val="20"/>
          <w:lang w:val="es-ES_tradnl"/>
        </w:rPr>
        <w:t xml:space="preserve"> </w:t>
      </w:r>
      <w:r w:rsidRPr="00F600FA">
        <w:rPr>
          <w:rFonts w:ascii="Verdana" w:eastAsia="Calibri" w:hAnsi="Verdana" w:cs="Arial"/>
          <w:bCs/>
          <w:sz w:val="20"/>
          <w:szCs w:val="20"/>
          <w:lang w:val="es-MX" w:eastAsia="es-ES_tradnl"/>
        </w:rPr>
        <w:t xml:space="preserve">dispone que “La escogencia del contratista se efectuará por </w:t>
      </w:r>
      <w:r w:rsidRPr="00F600FA">
        <w:rPr>
          <w:rFonts w:ascii="Verdana" w:eastAsia="Calibri" w:hAnsi="Verdana" w:cs="Arial"/>
          <w:bCs/>
          <w:i/>
          <w:iCs/>
          <w:sz w:val="20"/>
          <w:szCs w:val="20"/>
          <w:lang w:val="es-MX" w:eastAsia="es-ES_tradnl"/>
        </w:rPr>
        <w:t>regla general</w:t>
      </w:r>
      <w:r w:rsidRPr="00F600FA">
        <w:rPr>
          <w:rFonts w:ascii="Verdana" w:eastAsia="Calibri" w:hAnsi="Verdana" w:cs="Arial"/>
          <w:bCs/>
          <w:sz w:val="20"/>
          <w:szCs w:val="20"/>
          <w:lang w:val="es-MX" w:eastAsia="es-ES_tradnl"/>
        </w:rPr>
        <w:t xml:space="preserve"> a través de licitación pública, con las </w:t>
      </w:r>
      <w:r w:rsidRPr="00F600FA">
        <w:rPr>
          <w:rFonts w:ascii="Verdana" w:eastAsia="Calibri" w:hAnsi="Verdana" w:cs="Arial"/>
          <w:bCs/>
          <w:i/>
          <w:iCs/>
          <w:sz w:val="20"/>
          <w:szCs w:val="20"/>
          <w:lang w:val="es-MX" w:eastAsia="es-ES_tradnl"/>
        </w:rPr>
        <w:t>excepciones</w:t>
      </w:r>
      <w:r w:rsidRPr="00F600FA">
        <w:rPr>
          <w:rFonts w:ascii="Verdana" w:eastAsia="Calibri" w:hAnsi="Verdana" w:cs="Arial"/>
          <w:bCs/>
          <w:sz w:val="20"/>
          <w:szCs w:val="20"/>
          <w:lang w:val="es-MX" w:eastAsia="es-ES_tradnl"/>
        </w:rPr>
        <w:t xml:space="preserve"> que se señalan en los numerales 2, 3 y 4 del presente artículo”, norma que sustituye el derogado numeral 1 del artículo 24 de la Ley 80 de 1993 sobre el principio de transparencia. </w:t>
      </w:r>
    </w:p>
    <w:p w14:paraId="28229100" w14:textId="77777777" w:rsidR="00F600FA" w:rsidRDefault="00F600FA" w:rsidP="00F600FA">
      <w:pPr>
        <w:spacing w:after="0" w:line="240" w:lineRule="auto"/>
        <w:jc w:val="both"/>
        <w:rPr>
          <w:rFonts w:ascii="Verdana" w:eastAsia="Calibri" w:hAnsi="Verdana" w:cs="Arial"/>
          <w:bCs/>
          <w:sz w:val="20"/>
          <w:szCs w:val="20"/>
          <w:lang w:val="es-MX" w:eastAsia="es-ES_tradnl"/>
        </w:rPr>
      </w:pPr>
    </w:p>
    <w:p w14:paraId="5D8E33CC" w14:textId="2CD5FB9D" w:rsidR="00F600FA" w:rsidRDefault="00F600FA" w:rsidP="00F600FA">
      <w:pPr>
        <w:spacing w:after="0" w:line="240" w:lineRule="auto"/>
        <w:jc w:val="both"/>
        <w:rPr>
          <w:rFonts w:ascii="Verdana" w:eastAsia="Calibri" w:hAnsi="Verdana" w:cs="Arial"/>
          <w:bCs/>
          <w:sz w:val="20"/>
          <w:szCs w:val="20"/>
          <w:lang w:val="es-MX" w:eastAsia="es-ES_tradnl"/>
        </w:rPr>
      </w:pPr>
      <w:r w:rsidRPr="00F600FA">
        <w:rPr>
          <w:rFonts w:ascii="Verdana" w:eastAsia="Calibri" w:hAnsi="Verdana" w:cs="Arial"/>
          <w:bCs/>
          <w:sz w:val="20"/>
          <w:szCs w:val="20"/>
          <w:lang w:val="es-MX" w:eastAsia="es-ES_tradnl"/>
        </w:rPr>
        <w:t>De esta manera,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12A5260B" w14:textId="77777777" w:rsidR="00F600FA" w:rsidRDefault="00F600FA" w:rsidP="00F600FA">
      <w:pPr>
        <w:spacing w:after="0" w:line="240" w:lineRule="auto"/>
        <w:jc w:val="both"/>
        <w:rPr>
          <w:rFonts w:ascii="Verdana" w:eastAsia="Calibri" w:hAnsi="Verdana" w:cs="Arial"/>
          <w:bCs/>
          <w:sz w:val="20"/>
          <w:szCs w:val="20"/>
          <w:lang w:val="es-MX" w:eastAsia="es-ES_tradnl"/>
        </w:rPr>
      </w:pPr>
    </w:p>
    <w:p w14:paraId="48E07341" w14:textId="77777777" w:rsidR="00F600FA" w:rsidRDefault="00F600FA" w:rsidP="00F600FA">
      <w:pPr>
        <w:spacing w:after="0"/>
        <w:jc w:val="both"/>
        <w:rPr>
          <w:rFonts w:ascii="Verdana" w:eastAsia="Calibri" w:hAnsi="Verdana" w:cs="Arial"/>
          <w:b/>
          <w:bCs/>
          <w:lang w:eastAsia="es-ES"/>
        </w:rPr>
      </w:pPr>
      <w:r w:rsidRPr="00F600FA">
        <w:rPr>
          <w:rFonts w:ascii="Verdana" w:eastAsia="Calibri" w:hAnsi="Verdana" w:cs="Arial"/>
          <w:b/>
          <w:bCs/>
          <w:lang w:eastAsia="es-ES"/>
        </w:rPr>
        <w:t xml:space="preserve">LICITACIÓN PÚBLICA – Etapas – Procedimiento reglado </w:t>
      </w:r>
    </w:p>
    <w:p w14:paraId="52BE8F87" w14:textId="77777777" w:rsidR="00F600FA" w:rsidRDefault="00F600FA" w:rsidP="00F600FA">
      <w:pPr>
        <w:spacing w:after="0"/>
        <w:jc w:val="both"/>
        <w:rPr>
          <w:rFonts w:ascii="Verdana" w:eastAsia="Calibri" w:hAnsi="Verdana" w:cs="Arial"/>
          <w:b/>
          <w:bCs/>
          <w:lang w:eastAsia="es-ES"/>
        </w:rPr>
      </w:pPr>
    </w:p>
    <w:p w14:paraId="4DC0161C" w14:textId="77777777" w:rsidR="00F600FA" w:rsidRDefault="00F600FA" w:rsidP="00F600FA">
      <w:pPr>
        <w:spacing w:after="0" w:line="240" w:lineRule="auto"/>
        <w:jc w:val="both"/>
        <w:rPr>
          <w:rFonts w:ascii="Verdana" w:hAnsi="Verdana" w:cs="Arial"/>
          <w:color w:val="000000" w:themeColor="text1"/>
          <w:sz w:val="20"/>
          <w:szCs w:val="20"/>
        </w:rPr>
      </w:pPr>
      <w:r w:rsidRPr="00F600FA">
        <w:rPr>
          <w:rFonts w:ascii="Verdana" w:hAnsi="Verdana" w:cs="Arial"/>
          <w:color w:val="000000" w:themeColor="text1"/>
          <w:sz w:val="20"/>
          <w:szCs w:val="20"/>
        </w:rPr>
        <w:t xml:space="preserve">En relación con la licitación pública, el artículo 30 de la Ley 80 de 1993 definió la estructura del proceso y estableció sus fases. Según esta normativa, se puede distinguir entre la fase de planificación o preparatoria y la licitación propiamente dicha. El inciso 1 del artículo mencionado establece dos momentos en el procedimiento de licitación: por un lado, el relativo a la planificación, ya que la entidad, antes de iniciar el proceso de selección, debe desarrollar los estudios previos que fundamenten técnica y jurídicamente la contratación, de acuerdo con el inciso 12 del artículo 25 de esa ley y el artículo 2.2.1.1.2.1.1 del Decreto 1082 de 2015; por otro lado, se encuentra la etapa de inicio del proceso de selección en sí, que comienza con el acto administrativo de apertura del proceso. Además, el inciso 2 del artículo 30 de la Ley 80 de 1993 impone la obligación de preparar un pliego de condiciones, conforme a lo estipulado en el inciso 5 del artículo 24 de la misma ley y en el artículo 2.2.1.1.2.1.3 del Decreto 1082 de 2015. </w:t>
      </w:r>
    </w:p>
    <w:p w14:paraId="04BEE54F" w14:textId="1B108329" w:rsidR="002B5673" w:rsidRDefault="002B5673" w:rsidP="00F600FA">
      <w:pPr>
        <w:spacing w:after="0" w:line="240" w:lineRule="auto"/>
        <w:jc w:val="both"/>
        <w:rPr>
          <w:rFonts w:ascii="Verdana" w:hAnsi="Verdana" w:cs="Arial"/>
          <w:color w:val="000000" w:themeColor="text1"/>
          <w:sz w:val="20"/>
          <w:szCs w:val="20"/>
        </w:rPr>
      </w:pPr>
    </w:p>
    <w:p w14:paraId="6D2404FD" w14:textId="15E46D55" w:rsidR="002B5673" w:rsidRDefault="002B5673" w:rsidP="00F600FA">
      <w:pPr>
        <w:spacing w:after="0" w:line="240" w:lineRule="auto"/>
        <w:jc w:val="both"/>
        <w:rPr>
          <w:rFonts w:ascii="Verdana" w:eastAsia="Calibri" w:hAnsi="Verdana" w:cs="Arial"/>
          <w:bCs/>
          <w:sz w:val="20"/>
          <w:szCs w:val="20"/>
          <w:lang w:val="es-MX" w:eastAsia="es-ES_tradnl"/>
        </w:rPr>
      </w:pPr>
      <w:r w:rsidRPr="002B5673">
        <w:rPr>
          <w:rFonts w:ascii="Verdana" w:eastAsia="Calibri" w:hAnsi="Verdana" w:cs="Arial"/>
          <w:bCs/>
          <w:sz w:val="20"/>
          <w:szCs w:val="20"/>
          <w:lang w:val="es-MX" w:eastAsia="es-ES_tradnl"/>
        </w:rPr>
        <w:t>Por su parte, el numeral 3 señala que dentro de los 10 o 20 días calendario antes de la apertura de la licitación, la entidad debe publicar hasta 3 avisos para invitar a participar en el proceso de licitación. Los avisos deberán publicarse con intervalos de 2 a 5 días calendario entre cada uno, en la página web de la entidad y en el SECOP</w:t>
      </w:r>
      <w:r>
        <w:rPr>
          <w:rFonts w:ascii="Verdana" w:eastAsia="Calibri" w:hAnsi="Verdana" w:cs="Arial"/>
          <w:bCs/>
          <w:sz w:val="20"/>
          <w:szCs w:val="20"/>
          <w:lang w:val="es-MX" w:eastAsia="es-ES_tradnl"/>
        </w:rPr>
        <w:t xml:space="preserve"> […].</w:t>
      </w:r>
    </w:p>
    <w:p w14:paraId="6526330F" w14:textId="77777777" w:rsidR="002B5673" w:rsidRDefault="002B5673" w:rsidP="00F600FA">
      <w:pPr>
        <w:spacing w:after="0" w:line="240" w:lineRule="auto"/>
        <w:jc w:val="both"/>
        <w:rPr>
          <w:rFonts w:ascii="Verdana" w:eastAsia="Calibri" w:hAnsi="Verdana" w:cs="Arial"/>
          <w:bCs/>
          <w:sz w:val="20"/>
          <w:szCs w:val="20"/>
          <w:lang w:val="es-MX" w:eastAsia="es-ES_tradnl"/>
        </w:rPr>
      </w:pPr>
    </w:p>
    <w:p w14:paraId="5DF10EE0" w14:textId="6C8C78F0" w:rsidR="002B5673" w:rsidRPr="002B5673" w:rsidRDefault="002B5673" w:rsidP="00F600FA">
      <w:pPr>
        <w:spacing w:after="0" w:line="240" w:lineRule="auto"/>
        <w:jc w:val="both"/>
        <w:rPr>
          <w:rFonts w:ascii="Verdana" w:eastAsia="Calibri" w:hAnsi="Verdana" w:cs="Arial"/>
          <w:bCs/>
          <w:sz w:val="20"/>
          <w:szCs w:val="20"/>
          <w:lang w:eastAsia="es-ES_tradnl"/>
        </w:rPr>
      </w:pPr>
      <w:r>
        <w:rPr>
          <w:rFonts w:ascii="Verdana" w:eastAsia="Calibri" w:hAnsi="Verdana" w:cs="Arial"/>
          <w:bCs/>
          <w:sz w:val="20"/>
          <w:szCs w:val="20"/>
          <w:lang w:val="es-MX" w:eastAsia="es-ES_tradnl"/>
        </w:rPr>
        <w:t xml:space="preserve">[…] </w:t>
      </w:r>
      <w:r w:rsidRPr="002B5673">
        <w:rPr>
          <w:rFonts w:ascii="Verdana" w:eastAsia="Calibri" w:hAnsi="Verdana" w:cs="Arial"/>
          <w:bCs/>
          <w:sz w:val="20"/>
          <w:szCs w:val="20"/>
          <w:lang w:val="es-MX" w:eastAsia="es-ES_tradnl"/>
        </w:rPr>
        <w:t xml:space="preserve">Por otro lado, en el proceso de licitación pública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juntamente con los estudios y documentos previos, por no menos de 10 días hábiles anteriores a la apertura del proceso de licitación, –artículos 8 de la Ley 1150 de 2007 y 2.2.1.1.2.1.4. del Decreto 1082 de 2015.  </w:t>
      </w:r>
    </w:p>
    <w:p w14:paraId="446CB707" w14:textId="77777777" w:rsidR="002B5673" w:rsidRPr="002B5673"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lastRenderedPageBreak/>
        <w:t xml:space="preserve">[…] </w:t>
      </w:r>
    </w:p>
    <w:p w14:paraId="0241BB1E" w14:textId="77777777" w:rsidR="002B5673" w:rsidRPr="002B5673" w:rsidRDefault="002B5673" w:rsidP="002B5673">
      <w:pPr>
        <w:spacing w:after="0" w:line="240" w:lineRule="auto"/>
        <w:jc w:val="both"/>
        <w:rPr>
          <w:rFonts w:ascii="Verdana" w:hAnsi="Verdana" w:cs="Arial"/>
          <w:color w:val="000000" w:themeColor="text1"/>
          <w:sz w:val="20"/>
          <w:szCs w:val="20"/>
        </w:rPr>
      </w:pPr>
    </w:p>
    <w:p w14:paraId="36A722EC" w14:textId="2EB41F34" w:rsidR="00F600FA"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t xml:space="preserve">Los artículos 2.2.1.1.1.7.1. y 2.2.1.1.2.1.4. del Decreto 1082 de 2015 establecen otra actuación en la licitación pública,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cronograma del proceso contenido en el “aviso de convocatoria” y en el “proyecto de pliego de condiciones”, la entidad debe responder, de forma motivada, cada una de las observaciones y publicarlas en el SECOP. Posteriormente, la entidad ajustará el pliego de condiciones, de ser procedente, tomando en cuenta, en lo pertinente, las aclaraciones que fueron solicitadas por los interesados y las observaciones. Debe tenerse en cuenta que las respuestas a dichas observaciones se integran al pliego de condiciones, en tanto precisan su alcance y se constituye en una fuente interpretativa del mismo.  </w:t>
      </w:r>
    </w:p>
    <w:p w14:paraId="420E5AA0" w14:textId="77777777" w:rsidR="002B5673" w:rsidRDefault="002B5673" w:rsidP="002B5673">
      <w:pPr>
        <w:spacing w:after="0" w:line="240" w:lineRule="auto"/>
        <w:jc w:val="both"/>
        <w:rPr>
          <w:rFonts w:ascii="Verdana" w:hAnsi="Verdana" w:cs="Arial"/>
          <w:color w:val="000000" w:themeColor="text1"/>
          <w:sz w:val="20"/>
          <w:szCs w:val="20"/>
        </w:rPr>
      </w:pPr>
    </w:p>
    <w:p w14:paraId="08174360" w14:textId="017ECA0B" w:rsidR="002B5673" w:rsidRDefault="002B5673" w:rsidP="002B5673">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 xml:space="preserve">[…] </w:t>
      </w:r>
      <w:r w:rsidRPr="002B5673">
        <w:rPr>
          <w:rFonts w:ascii="Verdana" w:hAnsi="Verdana" w:cs="Arial"/>
          <w:color w:val="000000" w:themeColor="text1"/>
          <w:sz w:val="20"/>
          <w:szCs w:val="20"/>
        </w:rPr>
        <w:t>El artículo 30.1 de la Ley 80 de 1993 establece que el jefe o representante de la entidad ordenará la apertura del proceso de licitación pública mediante un acto administrativo, en la forma prevista en el artículo 2.2.1.1.2.1.5. del Decreto 1082 de 2015, y deberá expedirse el pliego de condiciones definitivo. Con este acto de apertura inicia la etapa de licitación propiamente dicha, en la que –previa resolución de las observaciones que se realicen– los interesados podrán presentar ofertas. Esta etapa fue denominada por el legislador como plazo de licitación, 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w:t>
      </w:r>
    </w:p>
    <w:p w14:paraId="17FAD4D1" w14:textId="77777777" w:rsidR="002B5673" w:rsidRDefault="002B5673" w:rsidP="002B5673">
      <w:pPr>
        <w:spacing w:after="0" w:line="240" w:lineRule="auto"/>
        <w:jc w:val="both"/>
        <w:rPr>
          <w:rFonts w:ascii="Verdana" w:hAnsi="Verdana" w:cs="Arial"/>
          <w:color w:val="000000" w:themeColor="text1"/>
          <w:sz w:val="20"/>
          <w:szCs w:val="20"/>
        </w:rPr>
      </w:pPr>
    </w:p>
    <w:p w14:paraId="4060D4D8" w14:textId="7DEA137E" w:rsidR="002B5673" w:rsidRPr="002B5673" w:rsidRDefault="002B5673" w:rsidP="002B5673">
      <w:pPr>
        <w:spacing w:after="0" w:line="240" w:lineRule="auto"/>
        <w:jc w:val="both"/>
        <w:rPr>
          <w:rFonts w:ascii="Verdana" w:eastAsia="Calibri" w:hAnsi="Verdana" w:cs="Arial"/>
          <w:b/>
          <w:bCs/>
          <w:sz w:val="20"/>
          <w:szCs w:val="20"/>
          <w:lang w:eastAsia="es-ES"/>
        </w:rPr>
      </w:pPr>
      <w:r>
        <w:rPr>
          <w:rFonts w:ascii="Verdana" w:hAnsi="Verdana" w:cs="Arial"/>
          <w:color w:val="000000" w:themeColor="text1"/>
          <w:sz w:val="20"/>
          <w:szCs w:val="20"/>
        </w:rPr>
        <w:t>[…]</w:t>
      </w:r>
    </w:p>
    <w:p w14:paraId="096ADC76" w14:textId="77777777" w:rsidR="00F600FA" w:rsidRDefault="00F600FA" w:rsidP="00F600FA">
      <w:pPr>
        <w:spacing w:after="0"/>
        <w:jc w:val="both"/>
        <w:rPr>
          <w:rFonts w:ascii="Verdana" w:eastAsia="Calibri" w:hAnsi="Verdana" w:cs="Arial"/>
          <w:lang w:eastAsia="es-ES"/>
        </w:rPr>
      </w:pPr>
    </w:p>
    <w:p w14:paraId="1084626A" w14:textId="77777777" w:rsidR="002B5673" w:rsidRPr="002B5673" w:rsidRDefault="002B5673" w:rsidP="002B5673">
      <w:pPr>
        <w:tabs>
          <w:tab w:val="left" w:pos="851"/>
          <w:tab w:val="left" w:pos="1134"/>
        </w:tabs>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t xml:space="preserve">Una vez precluida la oportunidad para presentar ofertas, en el plazo que señala el pliego de condiciones </w:t>
      </w:r>
      <w:r w:rsidRPr="002B5673">
        <w:rPr>
          <w:rFonts w:ascii="Verdana" w:eastAsia="Calibri" w:hAnsi="Verdana" w:cs="Arial"/>
          <w:bCs/>
          <w:color w:val="000000" w:themeColor="text1"/>
          <w:sz w:val="20"/>
          <w:szCs w:val="20"/>
        </w:rPr>
        <w:t>conforme al artículo 30.7 de la Ley 80 de 1993</w:t>
      </w:r>
      <w:r w:rsidRPr="002B5673">
        <w:rPr>
          <w:rFonts w:ascii="Verdana" w:hAnsi="Verdana" w:cs="Arial"/>
          <w:bCs/>
          <w:color w:val="000000" w:themeColor="text1"/>
          <w:sz w:val="20"/>
          <w:szCs w:val="20"/>
        </w:rPr>
        <w:t>,</w:t>
      </w:r>
      <w:r w:rsidRPr="002B5673">
        <w:rPr>
          <w:rFonts w:ascii="Verdana" w:hAnsi="Verdana" w:cs="Arial"/>
          <w:color w:val="000000" w:themeColor="text1"/>
          <w:sz w:val="20"/>
          <w:szCs w:val="20"/>
        </w:rPr>
        <w:t xml:space="preserve"> el comité evaluador de la entidad realizará “los estudios técnicos, económicos y 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w:t>
      </w:r>
    </w:p>
    <w:p w14:paraId="18E506EF" w14:textId="77777777" w:rsidR="002B5673" w:rsidRDefault="002B5673" w:rsidP="002B5673">
      <w:pPr>
        <w:spacing w:after="0" w:line="240" w:lineRule="auto"/>
        <w:jc w:val="both"/>
        <w:rPr>
          <w:rFonts w:ascii="Verdana" w:hAnsi="Verdana" w:cs="Arial"/>
          <w:color w:val="000000" w:themeColor="text1"/>
          <w:sz w:val="20"/>
          <w:szCs w:val="20"/>
        </w:rPr>
      </w:pPr>
    </w:p>
    <w:p w14:paraId="57B70CA6" w14:textId="77777777" w:rsidR="002B5673"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t>Luego, los oferentes podrán presentar las observaciones que crean pertinentes al mencionado informe de evaluación En todo caso, vencido el término para presentar observaciones al informe de evaluación, empieza a correr el plazo para adjudicar el contrato, que hace referencia a la oportunidad que tiene la entidad para seleccionar o escoger la mejor oferta, cuyo término, según el numeral 9 del artículo 30 de la Ley 80 de 1993, es de libre configuración del pliego de condiciones. Durante este lapso se resuelven las observaciones presentadas por los oferentes, es decir, la entidad responderá las observaciones 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w:t>
      </w:r>
    </w:p>
    <w:p w14:paraId="0B2D7621" w14:textId="77777777" w:rsidR="002B5673" w:rsidRDefault="002B5673" w:rsidP="002B5673">
      <w:pPr>
        <w:spacing w:after="0" w:line="240" w:lineRule="auto"/>
        <w:jc w:val="both"/>
        <w:rPr>
          <w:rFonts w:ascii="Verdana" w:hAnsi="Verdana" w:cs="Arial"/>
          <w:color w:val="000000" w:themeColor="text1"/>
          <w:sz w:val="20"/>
          <w:szCs w:val="20"/>
        </w:rPr>
      </w:pPr>
    </w:p>
    <w:p w14:paraId="781CE16F" w14:textId="77777777" w:rsidR="002B5673"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t>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w:t>
      </w:r>
    </w:p>
    <w:p w14:paraId="5AE2CDFA" w14:textId="77777777" w:rsidR="002B5673" w:rsidRDefault="002B5673" w:rsidP="002B5673">
      <w:pPr>
        <w:spacing w:after="0" w:line="240" w:lineRule="auto"/>
        <w:jc w:val="both"/>
        <w:rPr>
          <w:rFonts w:ascii="Verdana" w:hAnsi="Verdana" w:cs="Arial"/>
          <w:color w:val="000000" w:themeColor="text1"/>
          <w:sz w:val="20"/>
          <w:szCs w:val="20"/>
        </w:rPr>
      </w:pPr>
    </w:p>
    <w:p w14:paraId="225AB449" w14:textId="77777777" w:rsidR="002B5673"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i/>
          <w:iCs/>
          <w:color w:val="000000" w:themeColor="text1"/>
          <w:sz w:val="20"/>
          <w:szCs w:val="20"/>
        </w:rPr>
        <w:t>Dentro del plazo para adjudicar el contrato, debe celebrarse la audiencia de</w:t>
      </w:r>
      <w:r w:rsidRPr="002B5673">
        <w:rPr>
          <w:rFonts w:ascii="Verdana" w:hAnsi="Verdana" w:cs="Arial"/>
          <w:color w:val="000000" w:themeColor="text1"/>
          <w:sz w:val="20"/>
          <w:szCs w:val="20"/>
        </w:rPr>
        <w:t xml:space="preserv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esta.</w:t>
      </w:r>
    </w:p>
    <w:p w14:paraId="313ED180" w14:textId="77777777" w:rsidR="002B5673" w:rsidRDefault="002B5673" w:rsidP="002B5673">
      <w:pPr>
        <w:spacing w:after="0" w:line="240" w:lineRule="auto"/>
        <w:jc w:val="both"/>
        <w:rPr>
          <w:rFonts w:ascii="Verdana" w:hAnsi="Verdana" w:cs="Arial"/>
          <w:color w:val="000000" w:themeColor="text1"/>
          <w:sz w:val="20"/>
          <w:szCs w:val="20"/>
        </w:rPr>
      </w:pPr>
    </w:p>
    <w:p w14:paraId="0B4949EC" w14:textId="0CC3090C" w:rsidR="002B5673" w:rsidRPr="002B5673" w:rsidRDefault="002B5673" w:rsidP="002B5673">
      <w:pPr>
        <w:spacing w:after="0" w:line="240" w:lineRule="auto"/>
        <w:jc w:val="both"/>
        <w:rPr>
          <w:rFonts w:ascii="Verdana" w:hAnsi="Verdana" w:cs="Arial"/>
          <w:color w:val="000000" w:themeColor="text1"/>
          <w:sz w:val="20"/>
          <w:szCs w:val="20"/>
        </w:rPr>
      </w:pPr>
      <w:r w:rsidRPr="002B5673">
        <w:rPr>
          <w:rFonts w:ascii="Verdana" w:hAnsi="Verdana" w:cs="Arial"/>
          <w:color w:val="000000" w:themeColor="text1"/>
          <w:sz w:val="20"/>
          <w:szCs w:val="20"/>
        </w:rPr>
        <w:t xml:space="preserve">Finalmente, una vez se adjudica, empieza a correr el </w:t>
      </w:r>
      <w:r w:rsidRPr="002B5673">
        <w:rPr>
          <w:rFonts w:ascii="Verdana" w:hAnsi="Verdana" w:cs="Arial"/>
          <w:i/>
          <w:color w:val="000000" w:themeColor="text1"/>
          <w:sz w:val="20"/>
          <w:szCs w:val="20"/>
        </w:rPr>
        <w:t>plazo para firmar el contrato</w:t>
      </w:r>
      <w:r w:rsidRPr="002B5673">
        <w:rPr>
          <w:rFonts w:ascii="Verdana" w:hAnsi="Verdana" w:cs="Arial"/>
          <w:b/>
          <w:color w:val="000000" w:themeColor="text1"/>
          <w:sz w:val="20"/>
          <w:szCs w:val="20"/>
        </w:rPr>
        <w:t xml:space="preserve">, </w:t>
      </w:r>
      <w:r w:rsidRPr="002B5673">
        <w:rPr>
          <w:rFonts w:ascii="Verdana" w:hAnsi="Verdana" w:cs="Arial"/>
          <w:color w:val="000000" w:themeColor="text1"/>
          <w:sz w:val="20"/>
          <w:szCs w:val="20"/>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341B25C2" w14:textId="77777777" w:rsidR="002B5673" w:rsidRPr="002B5673" w:rsidRDefault="002B5673" w:rsidP="00F600FA">
      <w:pPr>
        <w:spacing w:after="0"/>
        <w:jc w:val="both"/>
        <w:rPr>
          <w:rFonts w:ascii="Verdana" w:eastAsia="Calibri" w:hAnsi="Verdana" w:cs="Arial"/>
          <w:b/>
          <w:bCs/>
          <w:lang w:eastAsia="es-ES"/>
        </w:rPr>
      </w:pPr>
    </w:p>
    <w:p w14:paraId="5A5FEA28" w14:textId="77777777" w:rsidR="00F600FA" w:rsidRDefault="00F600FA" w:rsidP="00F600FA">
      <w:pPr>
        <w:spacing w:after="0"/>
        <w:jc w:val="both"/>
        <w:rPr>
          <w:rFonts w:ascii="Verdana" w:eastAsia="Calibri" w:hAnsi="Verdana" w:cs="Arial"/>
          <w:b/>
          <w:bCs/>
          <w:lang w:eastAsia="es-ES"/>
        </w:rPr>
      </w:pPr>
      <w:r w:rsidRPr="002B5673">
        <w:rPr>
          <w:rFonts w:ascii="Verdana" w:eastAsia="Calibri" w:hAnsi="Verdana" w:cs="Arial"/>
          <w:b/>
          <w:bCs/>
          <w:lang w:eastAsia="es-ES"/>
        </w:rPr>
        <w:t xml:space="preserve">PLAZO DE LICITACIÓN – Alcance </w:t>
      </w:r>
    </w:p>
    <w:p w14:paraId="2D94FE6C" w14:textId="77777777" w:rsidR="002B5673" w:rsidRDefault="002B5673" w:rsidP="00F600FA">
      <w:pPr>
        <w:spacing w:after="0"/>
        <w:jc w:val="both"/>
        <w:rPr>
          <w:rFonts w:ascii="Verdana" w:eastAsia="Calibri" w:hAnsi="Verdana" w:cs="Arial"/>
          <w:b/>
          <w:bCs/>
          <w:lang w:eastAsia="es-ES"/>
        </w:rPr>
      </w:pPr>
    </w:p>
    <w:p w14:paraId="6E6F4F4D" w14:textId="5706AD97" w:rsidR="002B5673" w:rsidRPr="002B5673" w:rsidRDefault="002B5673" w:rsidP="002B5673">
      <w:pPr>
        <w:spacing w:after="0" w:line="240" w:lineRule="auto"/>
        <w:jc w:val="both"/>
        <w:rPr>
          <w:rFonts w:ascii="Verdana" w:hAnsi="Verdana" w:cs="Arial"/>
          <w:bCs/>
          <w:color w:val="000000" w:themeColor="text1"/>
          <w:sz w:val="20"/>
          <w:szCs w:val="20"/>
        </w:rPr>
      </w:pPr>
      <w:r>
        <w:rPr>
          <w:rFonts w:ascii="Verdana" w:hAnsi="Verdana" w:cs="Arial"/>
          <w:bCs/>
          <w:color w:val="000000" w:themeColor="text1"/>
          <w:sz w:val="20"/>
          <w:szCs w:val="20"/>
        </w:rPr>
        <w:t xml:space="preserve">[…] </w:t>
      </w:r>
      <w:r w:rsidRPr="002B5673">
        <w:rPr>
          <w:rFonts w:ascii="Verdana" w:hAnsi="Verdana" w:cs="Arial"/>
          <w:bCs/>
          <w:color w:val="000000" w:themeColor="text1"/>
          <w:sz w:val="20"/>
          <w:szCs w:val="20"/>
        </w:rPr>
        <w:t xml:space="preserve">de conformidad con lo dispuesto en el numeral 5 del artículo 30 la Ley 80 de 1993 el plazo de licitación se entiende como el </w:t>
      </w:r>
      <w:r w:rsidRPr="002B5673">
        <w:rPr>
          <w:rFonts w:ascii="Verdana" w:hAnsi="Verdana" w:cs="Arial"/>
          <w:bCs/>
          <w:i/>
          <w:iCs/>
          <w:color w:val="000000" w:themeColor="text1"/>
          <w:sz w:val="20"/>
          <w:szCs w:val="20"/>
        </w:rPr>
        <w:t xml:space="preserve">“término que debe transcurrir entre la fecha a partir de la cual se pueden presentar propuestas y la de su cierre”, </w:t>
      </w:r>
      <w:r w:rsidRPr="002B5673">
        <w:rPr>
          <w:rFonts w:ascii="Verdana" w:hAnsi="Verdana" w:cs="Arial"/>
          <w:bCs/>
          <w:color w:val="000000" w:themeColor="text1"/>
          <w:sz w:val="20"/>
          <w:szCs w:val="20"/>
        </w:rPr>
        <w:t xml:space="preserve">de esta manera, el término se contabiliza a partir de la fecha que se haya definido en el aviso de convocatoria al indicar que dicho aviso debe contener cierta información en la que se destaca la fecha límite en el que los interesados deben presentar su oferta, el lugar y forma de presentación de la mismas (artículo 2.2.1.1.2.1.2 numeral 6 y 12 del Decreto 1082 de 2015) así como en el contenido del pliego de condiciones (numeral 14 del artículo 2.2.1.1.2.1.3 del Decreto 1082 de 2015). Por lo tanto, el término se contabiliza a partir del plazo que haya dispuesto la entidad estatal para la presentación de las ofertas. </w:t>
      </w:r>
    </w:p>
    <w:p w14:paraId="205E8DE2" w14:textId="77777777" w:rsidR="00472B00" w:rsidRDefault="00F600FA" w:rsidP="002A27C3">
      <w:pPr>
        <w:spacing w:after="0" w:line="240" w:lineRule="auto"/>
        <w:jc w:val="both"/>
        <w:rPr>
          <w:rFonts w:ascii="Verdana" w:eastAsia="Calibri" w:hAnsi="Verdana" w:cs="Arial"/>
          <w:b/>
          <w:bCs/>
          <w:lang w:eastAsia="es-ES"/>
        </w:rPr>
      </w:pPr>
      <w:r w:rsidRPr="00472B00">
        <w:rPr>
          <w:rFonts w:ascii="Verdana" w:eastAsia="Calibri" w:hAnsi="Verdana" w:cs="Arial"/>
          <w:b/>
          <w:bCs/>
          <w:lang w:eastAsia="es-ES"/>
        </w:rPr>
        <w:t xml:space="preserve">PRÓRROGA DEL TÉRMINO PARA PRESENTAR OFERTAS EN LICITACIÓN PÚBLICA – Ley 80 de 1993 artículo 30 numeral 5 inciso 2 </w:t>
      </w:r>
    </w:p>
    <w:p w14:paraId="5236A6ED" w14:textId="77777777" w:rsidR="00472B00" w:rsidRPr="00472B00" w:rsidRDefault="00472B00" w:rsidP="00472B00">
      <w:pPr>
        <w:spacing w:after="0"/>
        <w:jc w:val="both"/>
        <w:rPr>
          <w:rFonts w:ascii="Verdana" w:eastAsia="Calibri" w:hAnsi="Verdana" w:cs="Arial"/>
          <w:b/>
          <w:bCs/>
          <w:sz w:val="20"/>
          <w:szCs w:val="20"/>
          <w:lang w:eastAsia="es-ES"/>
        </w:rPr>
      </w:pPr>
    </w:p>
    <w:p w14:paraId="34B29C94" w14:textId="77777777" w:rsidR="00472B00" w:rsidRDefault="00472B00" w:rsidP="00472B00">
      <w:pPr>
        <w:spacing w:after="0" w:line="240" w:lineRule="auto"/>
        <w:jc w:val="both"/>
        <w:rPr>
          <w:rFonts w:ascii="Verdana" w:eastAsia="Calibri" w:hAnsi="Verdana" w:cs="Arial"/>
          <w:b/>
          <w:bCs/>
          <w:sz w:val="20"/>
          <w:szCs w:val="20"/>
          <w:lang w:eastAsia="es-ES"/>
        </w:rPr>
      </w:pPr>
      <w:r w:rsidRPr="00472B00">
        <w:rPr>
          <w:rFonts w:ascii="Verdana" w:hAnsi="Verdana" w:cs="Arial"/>
          <w:bCs/>
          <w:color w:val="000000" w:themeColor="text1"/>
          <w:sz w:val="20"/>
          <w:szCs w:val="20"/>
        </w:rPr>
        <w:t xml:space="preserve">El artículo 30 numeral 5 inciso segundo indica que </w:t>
      </w:r>
      <w:r w:rsidRPr="00472B00">
        <w:rPr>
          <w:rFonts w:ascii="Verdana" w:hAnsi="Verdana" w:cs="Arial"/>
          <w:bCs/>
          <w:i/>
          <w:iCs/>
          <w:color w:val="000000" w:themeColor="text1"/>
          <w:sz w:val="20"/>
          <w:szCs w:val="20"/>
        </w:rPr>
        <w:t xml:space="preserve">“Cuando lo estime conveniente la entidad interesada, de oficio o a solicitud de un número plural de posibles oferentes, dicho plazo </w:t>
      </w:r>
      <w:r w:rsidRPr="00472B00">
        <w:rPr>
          <w:rFonts w:ascii="Verdana" w:hAnsi="Verdana" w:cs="Arial"/>
          <w:bCs/>
          <w:color w:val="000000" w:themeColor="text1"/>
          <w:sz w:val="20"/>
          <w:szCs w:val="20"/>
        </w:rPr>
        <w:t xml:space="preserve">[entendido el plazo de licitación] </w:t>
      </w:r>
      <w:r w:rsidRPr="00472B00">
        <w:rPr>
          <w:rFonts w:ascii="Verdana" w:hAnsi="Verdana" w:cs="Arial"/>
          <w:bCs/>
          <w:i/>
          <w:iCs/>
          <w:color w:val="000000" w:themeColor="text1"/>
          <w:sz w:val="20"/>
          <w:szCs w:val="20"/>
        </w:rPr>
        <w:t xml:space="preserve">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472B00">
        <w:rPr>
          <w:rFonts w:ascii="Verdana" w:hAnsi="Verdana" w:cs="Arial"/>
          <w:bCs/>
          <w:i/>
          <w:iCs/>
          <w:color w:val="000000" w:themeColor="text1"/>
          <w:sz w:val="20"/>
          <w:szCs w:val="20"/>
        </w:rPr>
        <w:t>del mismo</w:t>
      </w:r>
      <w:proofErr w:type="gramEnd"/>
      <w:r w:rsidRPr="00472B00">
        <w:rPr>
          <w:rFonts w:ascii="Verdana" w:hAnsi="Verdana" w:cs="Arial"/>
          <w:bCs/>
          <w:i/>
          <w:iCs/>
          <w:color w:val="000000" w:themeColor="text1"/>
          <w:sz w:val="20"/>
          <w:szCs w:val="20"/>
        </w:rPr>
        <w:t>. La publicación de estas adendas sólo se podrá realizar en días hábiles y horarios laborales”.</w:t>
      </w:r>
    </w:p>
    <w:p w14:paraId="4A309FEA" w14:textId="77777777" w:rsidR="00472B00" w:rsidRDefault="00472B00" w:rsidP="00472B00">
      <w:pPr>
        <w:spacing w:after="0" w:line="240" w:lineRule="auto"/>
        <w:jc w:val="both"/>
        <w:rPr>
          <w:rFonts w:ascii="Verdana" w:eastAsia="Calibri" w:hAnsi="Verdana" w:cs="Arial"/>
          <w:lang w:eastAsia="es-ES"/>
        </w:rPr>
      </w:pPr>
    </w:p>
    <w:p w14:paraId="12E6F2AB" w14:textId="432DAC1D" w:rsidR="00F600FA" w:rsidRPr="00472B00" w:rsidRDefault="00472B00" w:rsidP="00472B00">
      <w:pPr>
        <w:spacing w:after="0" w:line="240" w:lineRule="auto"/>
        <w:jc w:val="both"/>
        <w:rPr>
          <w:rFonts w:ascii="Verdana" w:eastAsia="Calibri" w:hAnsi="Verdana" w:cs="Arial"/>
          <w:b/>
          <w:bCs/>
          <w:sz w:val="20"/>
          <w:szCs w:val="20"/>
          <w:lang w:eastAsia="es-ES"/>
        </w:rPr>
      </w:pPr>
      <w:r w:rsidRPr="00472B00">
        <w:rPr>
          <w:rFonts w:ascii="Verdana" w:eastAsia="Calibri" w:hAnsi="Verdana" w:cs="Arial"/>
          <w:sz w:val="20"/>
          <w:szCs w:val="20"/>
          <w:lang w:eastAsia="es-ES"/>
        </w:rPr>
        <w:t xml:space="preserve">De conformidad con lo anterior, en los procesos de selección a través de la licitación pública, siempre que lo estime conveniente la entidad, de oficio o por solicitud de un número plural de interesados podrá prorrogar el plazo de licitación antes de su vencimiento, por un término no superior a la mitad del plazo inicialmente fijado en el cronograma contenido en el pliego de condiciones. Por lo tanto, se trata de una potestad de la administración definir en primer lugar si procede con la prórroga del plazo para presentar las </w:t>
      </w:r>
      <w:proofErr w:type="gramStart"/>
      <w:r w:rsidRPr="00472B00">
        <w:rPr>
          <w:rFonts w:ascii="Verdana" w:eastAsia="Calibri" w:hAnsi="Verdana" w:cs="Arial"/>
          <w:sz w:val="20"/>
          <w:szCs w:val="20"/>
          <w:lang w:eastAsia="es-ES"/>
        </w:rPr>
        <w:t>ofertas</w:t>
      </w:r>
      <w:proofErr w:type="gramEnd"/>
      <w:r w:rsidRPr="00472B00">
        <w:rPr>
          <w:rFonts w:ascii="Verdana" w:eastAsia="Calibri" w:hAnsi="Verdana" w:cs="Arial"/>
          <w:sz w:val="20"/>
          <w:szCs w:val="20"/>
          <w:lang w:eastAsia="es-ES"/>
        </w:rPr>
        <w:t xml:space="preserve"> así como el término o plazo para ello, que en todo caso no puede ser superior a la mitad del plazo inicialmente fijado.</w:t>
      </w:r>
    </w:p>
    <w:p w14:paraId="5D548159" w14:textId="77777777" w:rsidR="00472B00" w:rsidRDefault="00472B00" w:rsidP="00F600FA">
      <w:pPr>
        <w:spacing w:after="0"/>
        <w:jc w:val="both"/>
        <w:rPr>
          <w:rFonts w:ascii="Verdana" w:eastAsia="Calibri" w:hAnsi="Verdana" w:cs="Arial"/>
          <w:lang w:eastAsia="es-ES_tradnl"/>
        </w:rPr>
      </w:pPr>
    </w:p>
    <w:p w14:paraId="4AC8448C" w14:textId="4673A382" w:rsidR="00F600FA" w:rsidRDefault="00F600FA" w:rsidP="00F600FA">
      <w:pPr>
        <w:spacing w:after="0"/>
        <w:jc w:val="both"/>
        <w:rPr>
          <w:rFonts w:ascii="Verdana" w:eastAsia="Calibri" w:hAnsi="Verdana" w:cs="Arial"/>
          <w:b/>
          <w:bCs/>
          <w:lang w:eastAsia="es-ES_tradnl"/>
        </w:rPr>
      </w:pPr>
      <w:r w:rsidRPr="00472B00">
        <w:rPr>
          <w:rFonts w:ascii="Verdana" w:eastAsia="Calibri" w:hAnsi="Verdana" w:cs="Arial"/>
          <w:b/>
          <w:bCs/>
          <w:lang w:eastAsia="es-ES_tradnl"/>
        </w:rPr>
        <w:t xml:space="preserve">ADENDAS – Fundamento </w:t>
      </w:r>
    </w:p>
    <w:p w14:paraId="457D31CF" w14:textId="77777777" w:rsidR="00472B00" w:rsidRDefault="00472B00" w:rsidP="00F600FA">
      <w:pPr>
        <w:spacing w:after="0"/>
        <w:jc w:val="both"/>
        <w:rPr>
          <w:rFonts w:ascii="Verdana" w:eastAsia="Calibri" w:hAnsi="Verdana" w:cs="Arial"/>
          <w:b/>
          <w:bCs/>
          <w:lang w:eastAsia="es-ES_tradnl"/>
        </w:rPr>
      </w:pPr>
    </w:p>
    <w:p w14:paraId="0B202FD2" w14:textId="17D020E9" w:rsidR="00472B00" w:rsidRDefault="00DD3113" w:rsidP="00DD3113">
      <w:pPr>
        <w:spacing w:after="0" w:line="240" w:lineRule="auto"/>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 </w:t>
      </w:r>
      <w:r w:rsidRPr="00DD3113">
        <w:rPr>
          <w:rFonts w:ascii="Verdana" w:eastAsia="Arial" w:hAnsi="Verdana" w:cs="Arial"/>
          <w:sz w:val="20"/>
          <w:szCs w:val="20"/>
          <w:lang w:eastAsia="es-ES" w:bidi="es-ES"/>
        </w:rPr>
        <w:t>como lo ha reconocido la jurisprudencia del Consejo de Estado, dichas modificaciones pueden realizarse por medio de cualquier otro documento que contenga</w:t>
      </w:r>
      <w:r w:rsidRPr="00DD3113">
        <w:rPr>
          <w:rFonts w:ascii="Verdana" w:eastAsia="Arial" w:hAnsi="Verdana" w:cs="Arial"/>
          <w:spacing w:val="26"/>
          <w:sz w:val="20"/>
          <w:szCs w:val="20"/>
          <w:lang w:eastAsia="es-ES" w:bidi="es-ES"/>
        </w:rPr>
        <w:t xml:space="preserve"> </w:t>
      </w:r>
      <w:r w:rsidRPr="00DD3113">
        <w:rPr>
          <w:rFonts w:ascii="Verdana" w:eastAsia="Arial" w:hAnsi="Verdana" w:cs="Arial"/>
          <w:sz w:val="20"/>
          <w:szCs w:val="20"/>
          <w:lang w:eastAsia="es-ES" w:bidi="es-ES"/>
        </w:rPr>
        <w:t>la</w:t>
      </w:r>
      <w:r w:rsidRPr="00DD3113">
        <w:rPr>
          <w:rFonts w:ascii="Verdana" w:eastAsia="Arial" w:hAnsi="Verdana" w:cs="Arial"/>
          <w:spacing w:val="27"/>
          <w:sz w:val="20"/>
          <w:szCs w:val="20"/>
          <w:lang w:eastAsia="es-ES" w:bidi="es-ES"/>
        </w:rPr>
        <w:t xml:space="preserve"> </w:t>
      </w:r>
      <w:r w:rsidRPr="00DD3113">
        <w:rPr>
          <w:rFonts w:ascii="Verdana" w:eastAsia="Arial" w:hAnsi="Verdana" w:cs="Arial"/>
          <w:sz w:val="20"/>
          <w:szCs w:val="20"/>
          <w:lang w:eastAsia="es-ES" w:bidi="es-ES"/>
        </w:rPr>
        <w:t>manifestación</w:t>
      </w:r>
      <w:r w:rsidRPr="00DD3113">
        <w:rPr>
          <w:rFonts w:ascii="Verdana" w:eastAsia="Arial" w:hAnsi="Verdana" w:cs="Arial"/>
          <w:spacing w:val="26"/>
          <w:sz w:val="20"/>
          <w:szCs w:val="20"/>
          <w:lang w:eastAsia="es-ES" w:bidi="es-ES"/>
        </w:rPr>
        <w:t xml:space="preserve"> </w:t>
      </w:r>
      <w:r w:rsidRPr="00DD3113">
        <w:rPr>
          <w:rFonts w:ascii="Verdana" w:eastAsia="Arial" w:hAnsi="Verdana" w:cs="Arial"/>
          <w:sz w:val="20"/>
          <w:szCs w:val="20"/>
          <w:lang w:eastAsia="es-ES" w:bidi="es-ES"/>
        </w:rPr>
        <w:t>de</w:t>
      </w:r>
      <w:r w:rsidRPr="00DD3113">
        <w:rPr>
          <w:rFonts w:ascii="Verdana" w:eastAsia="Arial" w:hAnsi="Verdana" w:cs="Arial"/>
          <w:spacing w:val="27"/>
          <w:sz w:val="20"/>
          <w:szCs w:val="20"/>
          <w:lang w:eastAsia="es-ES" w:bidi="es-ES"/>
        </w:rPr>
        <w:t xml:space="preserve"> </w:t>
      </w:r>
      <w:r w:rsidRPr="00DD3113">
        <w:rPr>
          <w:rFonts w:ascii="Verdana" w:eastAsia="Arial" w:hAnsi="Verdana" w:cs="Arial"/>
          <w:sz w:val="20"/>
          <w:szCs w:val="20"/>
          <w:lang w:eastAsia="es-ES" w:bidi="es-ES"/>
        </w:rPr>
        <w:t>voluntad</w:t>
      </w:r>
      <w:r w:rsidRPr="00DD3113">
        <w:rPr>
          <w:rFonts w:ascii="Verdana" w:eastAsia="Arial" w:hAnsi="Verdana" w:cs="Arial"/>
          <w:spacing w:val="27"/>
          <w:sz w:val="20"/>
          <w:szCs w:val="20"/>
          <w:lang w:eastAsia="es-ES" w:bidi="es-ES"/>
        </w:rPr>
        <w:t xml:space="preserve"> </w:t>
      </w:r>
      <w:r w:rsidRPr="00DD3113">
        <w:rPr>
          <w:rFonts w:ascii="Verdana" w:eastAsia="Arial" w:hAnsi="Verdana" w:cs="Arial"/>
          <w:sz w:val="20"/>
          <w:szCs w:val="20"/>
          <w:lang w:eastAsia="es-ES" w:bidi="es-ES"/>
        </w:rPr>
        <w:t>de</w:t>
      </w:r>
      <w:r w:rsidRPr="00DD3113">
        <w:rPr>
          <w:rFonts w:ascii="Verdana" w:eastAsia="Arial" w:hAnsi="Verdana" w:cs="Arial"/>
          <w:spacing w:val="26"/>
          <w:sz w:val="20"/>
          <w:szCs w:val="20"/>
          <w:lang w:eastAsia="es-ES" w:bidi="es-ES"/>
        </w:rPr>
        <w:t xml:space="preserve"> </w:t>
      </w:r>
      <w:r w:rsidRPr="00DD3113">
        <w:rPr>
          <w:rFonts w:ascii="Verdana" w:eastAsia="Arial" w:hAnsi="Verdana" w:cs="Arial"/>
          <w:sz w:val="20"/>
          <w:szCs w:val="20"/>
          <w:lang w:eastAsia="es-ES" w:bidi="es-ES"/>
        </w:rPr>
        <w:t>la</w:t>
      </w:r>
      <w:r w:rsidRPr="00DD3113">
        <w:rPr>
          <w:rFonts w:ascii="Verdana" w:eastAsia="Arial" w:hAnsi="Verdana" w:cs="Arial"/>
          <w:spacing w:val="27"/>
          <w:sz w:val="20"/>
          <w:szCs w:val="20"/>
          <w:lang w:eastAsia="es-ES" w:bidi="es-ES"/>
        </w:rPr>
        <w:t xml:space="preserve"> </w:t>
      </w:r>
      <w:r w:rsidRPr="00DD3113">
        <w:rPr>
          <w:rFonts w:ascii="Verdana" w:eastAsia="Arial" w:hAnsi="Verdana" w:cs="Arial"/>
          <w:sz w:val="20"/>
          <w:szCs w:val="20"/>
          <w:lang w:eastAsia="es-ES" w:bidi="es-ES"/>
        </w:rPr>
        <w:t>entidad</w:t>
      </w:r>
      <w:r w:rsidRPr="00DD3113">
        <w:rPr>
          <w:rFonts w:ascii="Verdana" w:eastAsia="Arial" w:hAnsi="Verdana" w:cs="Arial"/>
          <w:spacing w:val="27"/>
          <w:sz w:val="20"/>
          <w:szCs w:val="20"/>
          <w:lang w:eastAsia="es-ES" w:bidi="es-ES"/>
        </w:rPr>
        <w:t xml:space="preserve"> </w:t>
      </w:r>
      <w:r w:rsidRPr="00DD3113">
        <w:rPr>
          <w:rFonts w:ascii="Verdana" w:eastAsia="Arial" w:hAnsi="Verdana" w:cs="Arial"/>
          <w:sz w:val="20"/>
          <w:szCs w:val="20"/>
          <w:lang w:eastAsia="es-ES" w:bidi="es-ES"/>
        </w:rPr>
        <w:t>de</w:t>
      </w:r>
      <w:r w:rsidRPr="00DD3113">
        <w:rPr>
          <w:rFonts w:ascii="Verdana" w:eastAsia="Arial" w:hAnsi="Verdana" w:cs="Arial"/>
          <w:spacing w:val="26"/>
          <w:sz w:val="20"/>
          <w:szCs w:val="20"/>
          <w:lang w:eastAsia="es-ES" w:bidi="es-ES"/>
        </w:rPr>
        <w:t xml:space="preserve"> </w:t>
      </w:r>
      <w:r w:rsidRPr="00DD3113">
        <w:rPr>
          <w:rFonts w:ascii="Verdana" w:eastAsia="Arial" w:hAnsi="Verdana" w:cs="Arial"/>
          <w:sz w:val="20"/>
          <w:szCs w:val="20"/>
          <w:lang w:eastAsia="es-ES" w:bidi="es-ES"/>
        </w:rPr>
        <w:t>aclarar,</w:t>
      </w:r>
      <w:r w:rsidRPr="00DD3113">
        <w:rPr>
          <w:rFonts w:ascii="Verdana" w:eastAsia="Arial" w:hAnsi="Verdana" w:cs="Arial"/>
          <w:spacing w:val="25"/>
          <w:sz w:val="20"/>
          <w:szCs w:val="20"/>
          <w:lang w:eastAsia="es-ES" w:bidi="es-ES"/>
        </w:rPr>
        <w:t xml:space="preserve"> </w:t>
      </w:r>
      <w:r w:rsidRPr="00DD3113">
        <w:rPr>
          <w:rFonts w:ascii="Verdana" w:eastAsia="Arial" w:hAnsi="Verdana" w:cs="Arial"/>
          <w:sz w:val="20"/>
          <w:szCs w:val="20"/>
          <w:lang w:eastAsia="es-ES" w:bidi="es-ES"/>
        </w:rPr>
        <w:t>añadir,</w:t>
      </w:r>
      <w:r w:rsidRPr="00DD3113">
        <w:rPr>
          <w:rFonts w:ascii="Verdana" w:eastAsia="Arial" w:hAnsi="Verdana" w:cs="Arial"/>
          <w:spacing w:val="25"/>
          <w:sz w:val="20"/>
          <w:szCs w:val="20"/>
          <w:lang w:eastAsia="es-ES" w:bidi="es-ES"/>
        </w:rPr>
        <w:t xml:space="preserve"> </w:t>
      </w:r>
      <w:r w:rsidRPr="00DD3113">
        <w:rPr>
          <w:rFonts w:ascii="Verdana" w:eastAsia="Arial" w:hAnsi="Verdana" w:cs="Arial"/>
          <w:sz w:val="20"/>
          <w:szCs w:val="20"/>
          <w:lang w:eastAsia="es-ES" w:bidi="es-ES"/>
        </w:rPr>
        <w:t xml:space="preserve">adicionar, reemplazar o cambiar un aspecto o condición, incluida en los documentos del procedimiento de contratación, independientemente que a dicho documento se le titule como </w:t>
      </w:r>
      <w:r w:rsidRPr="00DD3113">
        <w:rPr>
          <w:rFonts w:ascii="Verdana" w:eastAsia="Arial" w:hAnsi="Verdana" w:cs="Arial"/>
          <w:i/>
          <w:iCs/>
          <w:sz w:val="20"/>
          <w:szCs w:val="20"/>
          <w:lang w:eastAsia="es-ES" w:bidi="es-ES"/>
        </w:rPr>
        <w:t xml:space="preserve">adenda, </w:t>
      </w:r>
      <w:r w:rsidRPr="00DD3113">
        <w:rPr>
          <w:rFonts w:ascii="Verdana" w:eastAsia="Arial" w:hAnsi="Verdana" w:cs="Arial"/>
          <w:sz w:val="20"/>
          <w:szCs w:val="20"/>
          <w:lang w:eastAsia="es-ES" w:bidi="es-ES"/>
        </w:rPr>
        <w:t>siempre que mediante dicho documento se modifiquen los pliegos de condiciones</w:t>
      </w:r>
      <w:r>
        <w:rPr>
          <w:rFonts w:ascii="Verdana" w:eastAsia="Arial" w:hAnsi="Verdana" w:cs="Arial"/>
          <w:sz w:val="20"/>
          <w:szCs w:val="20"/>
          <w:lang w:eastAsia="es-ES" w:bidi="es-ES"/>
        </w:rPr>
        <w:t>.</w:t>
      </w:r>
    </w:p>
    <w:p w14:paraId="49170333" w14:textId="77777777" w:rsidR="00DD3113" w:rsidRPr="00DD3113" w:rsidRDefault="00DD3113" w:rsidP="00DD3113">
      <w:pPr>
        <w:spacing w:after="0" w:line="240" w:lineRule="auto"/>
        <w:jc w:val="both"/>
        <w:rPr>
          <w:rFonts w:ascii="Verdana" w:eastAsia="Calibri" w:hAnsi="Verdana" w:cs="Arial"/>
          <w:b/>
          <w:bCs/>
          <w:sz w:val="20"/>
          <w:szCs w:val="20"/>
          <w:lang w:eastAsia="es-ES_tradnl"/>
        </w:rPr>
      </w:pPr>
    </w:p>
    <w:p w14:paraId="1EAB5533" w14:textId="0DF32C58" w:rsidR="00F600FA" w:rsidRDefault="00F600FA" w:rsidP="00F600FA">
      <w:pPr>
        <w:spacing w:after="0"/>
        <w:jc w:val="both"/>
        <w:rPr>
          <w:rFonts w:ascii="Verdana" w:eastAsia="Calibri" w:hAnsi="Verdana" w:cs="Arial"/>
          <w:b/>
          <w:bCs/>
          <w:lang w:eastAsia="es-ES_tradnl"/>
        </w:rPr>
      </w:pPr>
      <w:r w:rsidRPr="00DD3113">
        <w:rPr>
          <w:rFonts w:ascii="Verdana" w:eastAsia="Calibri" w:hAnsi="Verdana" w:cs="Arial"/>
          <w:b/>
          <w:bCs/>
          <w:lang w:eastAsia="es-ES_tradnl"/>
        </w:rPr>
        <w:t xml:space="preserve">ADENDAS – Cronograma – Alcance – Límites materiales </w:t>
      </w:r>
    </w:p>
    <w:p w14:paraId="7C6A892D" w14:textId="77777777" w:rsidR="00DD3113" w:rsidRDefault="00DD3113" w:rsidP="00F600FA">
      <w:pPr>
        <w:spacing w:after="0"/>
        <w:jc w:val="both"/>
        <w:rPr>
          <w:rFonts w:ascii="Verdana" w:eastAsia="Calibri" w:hAnsi="Verdana" w:cs="Arial"/>
          <w:b/>
          <w:bCs/>
          <w:lang w:eastAsia="es-ES_tradnl"/>
        </w:rPr>
      </w:pPr>
    </w:p>
    <w:p w14:paraId="5EBE9420" w14:textId="77777777" w:rsidR="00701467" w:rsidRDefault="00701467" w:rsidP="00701467">
      <w:pPr>
        <w:widowControl w:val="0"/>
        <w:autoSpaceDE w:val="0"/>
        <w:autoSpaceDN w:val="0"/>
        <w:spacing w:after="0" w:line="240" w:lineRule="auto"/>
        <w:jc w:val="both"/>
        <w:rPr>
          <w:rFonts w:ascii="Verdana" w:eastAsia="Arial" w:hAnsi="Verdana" w:cs="Arial"/>
          <w:sz w:val="20"/>
          <w:szCs w:val="20"/>
          <w:lang w:eastAsia="es-ES" w:bidi="es-ES"/>
        </w:rPr>
      </w:pPr>
      <w:r w:rsidRPr="00701467">
        <w:rPr>
          <w:rFonts w:ascii="Verdana" w:hAnsi="Verdana"/>
          <w:sz w:val="20"/>
          <w:szCs w:val="20"/>
        </w:rPr>
        <w:t>Aunque l</w:t>
      </w:r>
      <w:r w:rsidRPr="00701467">
        <w:rPr>
          <w:rFonts w:ascii="Verdana" w:eastAsia="Arial" w:hAnsi="Verdana" w:cs="Arial"/>
          <w:sz w:val="20"/>
          <w:szCs w:val="20"/>
          <w:lang w:eastAsia="es-ES" w:bidi="es-ES"/>
        </w:rPr>
        <w:t xml:space="preserve">os límites materiales de las modificaciones de los pliegos de condiciones no están definidos positivamente en la ley, </w:t>
      </w:r>
      <w:r w:rsidRPr="00701467">
        <w:rPr>
          <w:rFonts w:ascii="Verdana" w:hAnsi="Verdana"/>
          <w:sz w:val="20"/>
          <w:szCs w:val="20"/>
        </w:rPr>
        <w:t>d</w:t>
      </w:r>
      <w:r w:rsidRPr="00701467">
        <w:rPr>
          <w:rFonts w:ascii="Verdana" w:eastAsia="Arial" w:hAnsi="Verdana" w:cs="Arial"/>
          <w:sz w:val="20"/>
          <w:szCs w:val="20"/>
          <w:lang w:eastAsia="es-ES" w:bidi="es-ES"/>
        </w:rPr>
        <w:t xml:space="preserve">e conformidad con lo dispuesto en el artículo 30.5 de la Ley 80 de 1993, modificado por el artículo 89 de la Ley 1474 de 2011, y el artículo 2.2.1.1.2.2.1. del Decreto 1082 de 2015, es posible identificar que las entidades pueden realizar (2) tipos de ajustes que den lugar a la expedición de adendas: i) los referidos a las condiciones técnicas, jurídicas y económicas del pliego definitivo y, en general, a cualquier contenido distinto del cronograma del procedimiento de selección, y </w:t>
      </w:r>
      <w:proofErr w:type="spellStart"/>
      <w:r w:rsidRPr="00701467">
        <w:rPr>
          <w:rFonts w:ascii="Verdana" w:eastAsia="Arial" w:hAnsi="Verdana" w:cs="Arial"/>
          <w:sz w:val="20"/>
          <w:szCs w:val="20"/>
          <w:lang w:eastAsia="es-ES" w:bidi="es-ES"/>
        </w:rPr>
        <w:t>ii</w:t>
      </w:r>
      <w:proofErr w:type="spellEnd"/>
      <w:r w:rsidRPr="00701467">
        <w:rPr>
          <w:rFonts w:ascii="Verdana" w:eastAsia="Arial" w:hAnsi="Verdana" w:cs="Arial"/>
          <w:sz w:val="20"/>
          <w:szCs w:val="20"/>
          <w:lang w:eastAsia="es-ES" w:bidi="es-ES"/>
        </w:rPr>
        <w:t>) los del cronograma.</w:t>
      </w:r>
    </w:p>
    <w:p w14:paraId="75294FCE" w14:textId="77777777" w:rsidR="00701467" w:rsidRDefault="00701467" w:rsidP="00701467">
      <w:pPr>
        <w:widowControl w:val="0"/>
        <w:autoSpaceDE w:val="0"/>
        <w:autoSpaceDN w:val="0"/>
        <w:spacing w:after="0" w:line="240" w:lineRule="auto"/>
        <w:jc w:val="both"/>
        <w:rPr>
          <w:rFonts w:ascii="Verdana" w:eastAsia="Arial" w:hAnsi="Verdana" w:cs="Arial"/>
          <w:sz w:val="20"/>
          <w:szCs w:val="20"/>
          <w:lang w:eastAsia="es-ES" w:bidi="es-ES"/>
        </w:rPr>
      </w:pPr>
    </w:p>
    <w:p w14:paraId="670067A9" w14:textId="312A9DC4" w:rsidR="00701467" w:rsidRPr="00701467" w:rsidRDefault="00701467" w:rsidP="00701467">
      <w:pPr>
        <w:widowControl w:val="0"/>
        <w:autoSpaceDE w:val="0"/>
        <w:autoSpaceDN w:val="0"/>
        <w:spacing w:after="0" w:line="240" w:lineRule="auto"/>
        <w:jc w:val="both"/>
        <w:rPr>
          <w:rFonts w:ascii="Verdana" w:eastAsia="Arial" w:hAnsi="Verdana" w:cs="Arial"/>
          <w:sz w:val="20"/>
          <w:szCs w:val="20"/>
          <w:lang w:eastAsia="es-ES" w:bidi="es-ES"/>
        </w:rPr>
      </w:pPr>
      <w:r w:rsidRPr="00701467">
        <w:rPr>
          <w:rFonts w:ascii="Verdana" w:eastAsia="Arial" w:hAnsi="Verdana" w:cs="Arial"/>
          <w:sz w:val="20"/>
          <w:szCs w:val="20"/>
          <w:lang w:eastAsia="es-ES" w:bidi="es-ES"/>
        </w:rPr>
        <w:t>Además, es preciso advertir que las adendas únicamente pueden modificar aspectos de los pliegos que no sean sustanciales. Esto significa que pueden, por ejemplo, cambiar asuntos como el cronograma del proceso, o pueden abrir la posibilidad de que un material no previsto inicialmente sea utilizado en la elaboración de lo que la entidad requiere, siempre que no incida en el presupuesto. En consecuencia, las entidades no pueden cambiar asuntos sustanciales mediante adendas, como es el caso del objeto del contrato, el mecanismo de selección, el presupuesto y aquellos relativos a los factores de calificación.</w:t>
      </w:r>
    </w:p>
    <w:p w14:paraId="6AE285B2" w14:textId="77777777" w:rsidR="00DD3113" w:rsidRDefault="00DD3113" w:rsidP="00F600FA">
      <w:pPr>
        <w:spacing w:after="0"/>
        <w:jc w:val="both"/>
        <w:rPr>
          <w:rFonts w:ascii="Verdana" w:eastAsia="Calibri" w:hAnsi="Verdana" w:cs="Arial"/>
          <w:b/>
          <w:bCs/>
          <w:lang w:eastAsia="es-ES_tradnl"/>
        </w:rPr>
      </w:pPr>
    </w:p>
    <w:p w14:paraId="28F2F7A3" w14:textId="1E1D7371" w:rsidR="00DD3113" w:rsidRPr="00DD3113" w:rsidRDefault="00DD3113" w:rsidP="00F600FA">
      <w:pPr>
        <w:spacing w:after="0"/>
        <w:jc w:val="both"/>
        <w:rPr>
          <w:rFonts w:ascii="Verdana" w:eastAsia="Calibri" w:hAnsi="Verdana" w:cs="Arial"/>
          <w:b/>
          <w:bCs/>
          <w:lang w:eastAsia="es-ES_tradnl"/>
        </w:rPr>
      </w:pPr>
      <w:r w:rsidRPr="00DD3113">
        <w:rPr>
          <w:rFonts w:ascii="Verdana" w:eastAsia="Calibri" w:hAnsi="Verdana" w:cs="Arial"/>
          <w:b/>
          <w:bCs/>
          <w:lang w:eastAsia="es-ES_tradnl"/>
        </w:rPr>
        <w:t>ADENDAS – Cronograma – Alcance – Límites temporales</w:t>
      </w:r>
    </w:p>
    <w:p w14:paraId="30666AE5" w14:textId="77777777" w:rsidR="00DD3113" w:rsidRDefault="00DD3113" w:rsidP="00F600FA">
      <w:pPr>
        <w:spacing w:after="0"/>
        <w:jc w:val="both"/>
        <w:rPr>
          <w:rFonts w:ascii="Verdana" w:eastAsia="Calibri" w:hAnsi="Verdana" w:cs="Arial"/>
          <w:b/>
          <w:bCs/>
          <w:lang w:eastAsia="es-ES_tradnl"/>
        </w:rPr>
      </w:pPr>
    </w:p>
    <w:p w14:paraId="2AF96337" w14:textId="3CB982CF" w:rsidR="00DD3113" w:rsidRDefault="00906F53" w:rsidP="00906F53">
      <w:pPr>
        <w:spacing w:after="0" w:line="240" w:lineRule="auto"/>
        <w:jc w:val="both"/>
        <w:rPr>
          <w:rFonts w:ascii="Verdana" w:eastAsia="Calibri" w:hAnsi="Verdana" w:cs="Arial"/>
          <w:sz w:val="20"/>
          <w:szCs w:val="20"/>
          <w:lang w:eastAsia="es-ES_tradnl"/>
        </w:rPr>
      </w:pPr>
      <w:r w:rsidRPr="00906F53">
        <w:rPr>
          <w:rFonts w:ascii="Verdana" w:eastAsia="Calibri" w:hAnsi="Verdana" w:cs="Arial"/>
          <w:sz w:val="20"/>
          <w:szCs w:val="20"/>
          <w:lang w:eastAsia="es-ES_tradnl"/>
        </w:rPr>
        <w:t>[…] las Entidades Estatales deberán considerar el límite temporal para la expedición de las adendas. Al respecto, el artículo 2.2.1.1.2.2.1 del Decreto 1082 de 2015 estableció que este es de tres (3) días hábiles antes del vencimiento del plazo para presentar ofertas en los procesos de licitación pública. Para las demás modalidades de selección, el límite será de un (1) día hábil antes del vencimiento del plazo para presentar ofertas. Adicionalmente, la norma establece la posibilidad de expedir adendas modificatorias del cronograma después del vencimiento del término de presentación de ofertas y antes de la adjudicación del contrato, sin distinción frente a la modalidad de selección.</w:t>
      </w:r>
    </w:p>
    <w:p w14:paraId="27964249" w14:textId="77777777" w:rsidR="00906F53" w:rsidRDefault="00906F53" w:rsidP="00906F53">
      <w:pPr>
        <w:spacing w:after="0" w:line="240" w:lineRule="auto"/>
        <w:jc w:val="both"/>
        <w:rPr>
          <w:rFonts w:ascii="Verdana" w:eastAsia="Calibri" w:hAnsi="Verdana" w:cs="Arial"/>
          <w:sz w:val="20"/>
          <w:szCs w:val="20"/>
          <w:lang w:eastAsia="es-ES_tradnl"/>
        </w:rPr>
      </w:pPr>
    </w:p>
    <w:p w14:paraId="3B0A5F21" w14:textId="209BA34D" w:rsidR="00906F53" w:rsidRDefault="00906F53" w:rsidP="00906F53">
      <w:pPr>
        <w:spacing w:after="0" w:line="240" w:lineRule="auto"/>
        <w:jc w:val="both"/>
        <w:rPr>
          <w:rFonts w:ascii="Verdana" w:eastAsia="Calibri" w:hAnsi="Verdana" w:cs="Arial"/>
          <w:sz w:val="20"/>
          <w:szCs w:val="20"/>
          <w:lang w:eastAsia="es-ES_tradnl"/>
        </w:rPr>
      </w:pPr>
      <w:r>
        <w:rPr>
          <w:rFonts w:ascii="Verdana" w:eastAsia="Calibri" w:hAnsi="Verdana" w:cs="Arial"/>
          <w:sz w:val="20"/>
          <w:szCs w:val="20"/>
          <w:lang w:eastAsia="es-ES_tradnl"/>
        </w:rPr>
        <w:t>[…]</w:t>
      </w:r>
    </w:p>
    <w:p w14:paraId="2AB7EF1F" w14:textId="77777777" w:rsidR="00906F53" w:rsidRDefault="00906F53" w:rsidP="00906F53">
      <w:pPr>
        <w:spacing w:after="0" w:line="240" w:lineRule="auto"/>
        <w:jc w:val="both"/>
        <w:rPr>
          <w:rFonts w:ascii="Verdana" w:eastAsia="Calibri" w:hAnsi="Verdana" w:cs="Arial"/>
          <w:sz w:val="20"/>
          <w:szCs w:val="20"/>
          <w:lang w:eastAsia="es-ES_tradnl"/>
        </w:rPr>
      </w:pPr>
    </w:p>
    <w:p w14:paraId="3073FD7F" w14:textId="489D91FA" w:rsidR="00906F53" w:rsidRPr="00906F53" w:rsidRDefault="00906F53" w:rsidP="00906F53">
      <w:pPr>
        <w:spacing w:after="0" w:line="240" w:lineRule="auto"/>
        <w:jc w:val="both"/>
        <w:rPr>
          <w:rFonts w:ascii="Verdana" w:eastAsia="Calibri" w:hAnsi="Verdana" w:cs="Arial"/>
          <w:sz w:val="20"/>
          <w:szCs w:val="20"/>
          <w:lang w:eastAsia="es-ES_tradnl"/>
        </w:rPr>
      </w:pPr>
      <w:r w:rsidRPr="00906F53">
        <w:rPr>
          <w:rFonts w:ascii="Verdana" w:eastAsia="Calibri" w:hAnsi="Verdana" w:cs="Arial"/>
          <w:sz w:val="20"/>
          <w:szCs w:val="20"/>
          <w:lang w:eastAsia="es-ES_tradnl"/>
        </w:rPr>
        <w:t>Sin embargo, existen ciertos límites temporales para la expedición y publicación de las adendas respecto de las adendas proferidas antes del cierre del proceso. En primer lugar, es necesario que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establecida específicamente para los procesos de licitación pública en el artículo 30.5 de la Ley 80 de 1993, y reiterada en la norma citada del Decreto 1082 de 2015, en los cuales las adendas no podrán expedirse dentro de los tres (3) días hábiles anteriores en que se tiene previsto el cierre del proceso de selección, de modo que deberán expedirse antes de ese momento.</w:t>
      </w:r>
    </w:p>
    <w:p w14:paraId="174D028F" w14:textId="77777777" w:rsidR="00DD3113" w:rsidRDefault="00DD3113" w:rsidP="00F600FA">
      <w:pPr>
        <w:spacing w:after="0"/>
        <w:jc w:val="both"/>
        <w:rPr>
          <w:rFonts w:ascii="Verdana" w:eastAsia="Calibri" w:hAnsi="Verdana" w:cs="Arial"/>
          <w:b/>
          <w:bCs/>
          <w:lang w:eastAsia="es-ES_tradnl"/>
        </w:rPr>
      </w:pPr>
    </w:p>
    <w:p w14:paraId="2C789A62" w14:textId="5B375108" w:rsidR="00F600FA" w:rsidRDefault="00DD3113" w:rsidP="00906F53">
      <w:pPr>
        <w:spacing w:after="0" w:line="240" w:lineRule="auto"/>
        <w:jc w:val="both"/>
        <w:rPr>
          <w:rFonts w:ascii="Verdana" w:eastAsia="Calibri" w:hAnsi="Verdana" w:cs="Arial"/>
          <w:b/>
          <w:bCs/>
          <w:lang w:eastAsia="es-ES"/>
        </w:rPr>
      </w:pPr>
      <w:r w:rsidRPr="00906F53">
        <w:rPr>
          <w:rFonts w:ascii="Verdana" w:eastAsia="Calibri" w:hAnsi="Verdana" w:cs="Arial"/>
          <w:b/>
          <w:bCs/>
          <w:lang w:eastAsia="es-ES"/>
        </w:rPr>
        <w:t>S</w:t>
      </w:r>
      <w:r w:rsidR="00F600FA" w:rsidRPr="00906F53">
        <w:rPr>
          <w:rFonts w:ascii="Verdana" w:eastAsia="Calibri" w:hAnsi="Verdana" w:cs="Arial"/>
          <w:b/>
          <w:bCs/>
          <w:lang w:eastAsia="es-ES"/>
        </w:rPr>
        <w:t xml:space="preserve">ELECCIÓN ABREVIADA Y CONCURSO DE MÉRITOS - Entrega de ofertas – Plazo – Ampliación – Autonomía – Discrecionalidad – Adendas </w:t>
      </w:r>
    </w:p>
    <w:p w14:paraId="1E1B0170" w14:textId="77777777" w:rsidR="00906F53" w:rsidRDefault="00906F53" w:rsidP="00906F53">
      <w:pPr>
        <w:spacing w:after="0" w:line="240" w:lineRule="auto"/>
        <w:jc w:val="both"/>
        <w:rPr>
          <w:rFonts w:ascii="Verdana" w:eastAsia="Calibri" w:hAnsi="Verdana" w:cs="Arial"/>
          <w:b/>
          <w:bCs/>
          <w:lang w:eastAsia="es-ES"/>
        </w:rPr>
      </w:pPr>
    </w:p>
    <w:p w14:paraId="2601CA88" w14:textId="7BB4D27F" w:rsidR="00A755CB" w:rsidRPr="00A755CB" w:rsidRDefault="00A755CB" w:rsidP="00A755CB">
      <w:pPr>
        <w:spacing w:after="0" w:line="240" w:lineRule="auto"/>
        <w:jc w:val="both"/>
        <w:rPr>
          <w:rFonts w:ascii="Verdana" w:eastAsia="Calibri" w:hAnsi="Verdana" w:cs="Arial"/>
          <w:sz w:val="20"/>
          <w:szCs w:val="20"/>
          <w:lang w:eastAsia="es-ES"/>
        </w:rPr>
      </w:pPr>
      <w:r w:rsidRPr="00A755CB">
        <w:rPr>
          <w:rFonts w:ascii="Verdana" w:eastAsia="Calibri" w:hAnsi="Verdana" w:cs="Arial"/>
          <w:sz w:val="20"/>
          <w:szCs w:val="20"/>
          <w:lang w:val="es-ES" w:eastAsia="es-ES"/>
        </w:rPr>
        <w:t>[…] es posible fundamentar la ampliación del plazo para recibir ofertas en la selección abreviada y en el concurso de méritos en la autonomía y en la discrecionalidad que contiene el artículo 2.2.1.1.2.2.1 del Decreto 1082 de 2015 para modificar el cronograma. La norma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w:t>
      </w:r>
    </w:p>
    <w:p w14:paraId="3C1FE86F" w14:textId="77777777" w:rsidR="00A755CB" w:rsidRDefault="00A755CB" w:rsidP="00A755CB">
      <w:pPr>
        <w:spacing w:after="0" w:line="240" w:lineRule="auto"/>
        <w:jc w:val="both"/>
        <w:rPr>
          <w:rFonts w:ascii="Verdana" w:eastAsia="Calibri" w:hAnsi="Verdana" w:cs="Arial"/>
          <w:sz w:val="20"/>
          <w:szCs w:val="20"/>
          <w:lang w:val="es-ES_tradnl" w:eastAsia="es-ES"/>
        </w:rPr>
      </w:pPr>
    </w:p>
    <w:p w14:paraId="0DBBCD2D" w14:textId="42D3C2E9" w:rsidR="00906F53" w:rsidRDefault="00A755CB" w:rsidP="00906F53">
      <w:pPr>
        <w:spacing w:after="0" w:line="240" w:lineRule="auto"/>
        <w:jc w:val="both"/>
        <w:rPr>
          <w:rFonts w:ascii="Verdana" w:eastAsia="Calibri" w:hAnsi="Verdana" w:cs="Arial"/>
          <w:sz w:val="20"/>
          <w:szCs w:val="20"/>
          <w:lang w:val="es-ES_tradnl" w:eastAsia="es-ES"/>
        </w:rPr>
      </w:pPr>
      <w:r w:rsidRPr="00A755CB">
        <w:rPr>
          <w:rFonts w:ascii="Verdana" w:eastAsia="Calibri" w:hAnsi="Verdana" w:cs="Arial"/>
          <w:sz w:val="20"/>
          <w:szCs w:val="20"/>
          <w:lang w:val="es-ES_tradnl" w:eastAsia="es-ES"/>
        </w:rPr>
        <w:t xml:space="preserve">El entendimiento de la norma citada supone diferenciar entre dos (2) tipos de ajustes: i) los referidos a las condiciones técnicas, jurídicas y económicas del pliego definitivo y </w:t>
      </w:r>
      <w:proofErr w:type="spellStart"/>
      <w:r w:rsidRPr="00A755CB">
        <w:rPr>
          <w:rFonts w:ascii="Verdana" w:eastAsia="Calibri" w:hAnsi="Verdana" w:cs="Arial"/>
          <w:sz w:val="20"/>
          <w:szCs w:val="20"/>
          <w:lang w:val="es-ES_tradnl" w:eastAsia="es-ES"/>
        </w:rPr>
        <w:t>ii</w:t>
      </w:r>
      <w:proofErr w:type="spellEnd"/>
      <w:r w:rsidRPr="00A755CB">
        <w:rPr>
          <w:rFonts w:ascii="Verdana" w:eastAsia="Calibri" w:hAnsi="Verdana" w:cs="Arial"/>
          <w:sz w:val="20"/>
          <w:szCs w:val="20"/>
          <w:lang w:val="es-ES_tradnl" w:eastAsia="es-ES"/>
        </w:rPr>
        <w:t>)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p w14:paraId="219E4F3C" w14:textId="77777777" w:rsidR="00A755CB" w:rsidRPr="00A755CB" w:rsidRDefault="00A755CB" w:rsidP="00906F53">
      <w:pPr>
        <w:spacing w:after="0" w:line="240" w:lineRule="auto"/>
        <w:jc w:val="both"/>
        <w:rPr>
          <w:rFonts w:ascii="Verdana" w:eastAsia="Calibri" w:hAnsi="Verdana" w:cs="Arial"/>
          <w:b/>
          <w:bCs/>
          <w:lang w:eastAsia="es-ES"/>
        </w:rPr>
      </w:pPr>
    </w:p>
    <w:p w14:paraId="1593BC92" w14:textId="29C77380" w:rsidR="00F600FA" w:rsidRPr="00A755CB" w:rsidRDefault="00F600FA" w:rsidP="002A27C3">
      <w:pPr>
        <w:spacing w:after="0" w:line="240" w:lineRule="auto"/>
        <w:jc w:val="both"/>
        <w:rPr>
          <w:rFonts w:ascii="Verdana" w:eastAsia="Calibri" w:hAnsi="Verdana" w:cs="Arial"/>
          <w:b/>
          <w:bCs/>
          <w:lang w:eastAsia="es-ES"/>
        </w:rPr>
      </w:pPr>
      <w:r w:rsidRPr="00A755CB">
        <w:rPr>
          <w:rFonts w:ascii="Verdana" w:eastAsia="Calibri" w:hAnsi="Verdana" w:cs="Arial"/>
          <w:b/>
          <w:bCs/>
          <w:lang w:eastAsia="es-ES"/>
        </w:rPr>
        <w:t xml:space="preserve">SELECCIÓN ABREVIADA Y CONCURSO DE MÉRITOS - Ofertas – Ampliación – Plazo – Límites  </w:t>
      </w:r>
    </w:p>
    <w:p w14:paraId="09A2B12F" w14:textId="77777777" w:rsidR="00F600FA" w:rsidRDefault="00F600FA" w:rsidP="002A27C3">
      <w:pPr>
        <w:spacing w:after="0" w:line="240" w:lineRule="auto"/>
        <w:jc w:val="both"/>
        <w:rPr>
          <w:rFonts w:ascii="Verdana" w:eastAsia="Calibri" w:hAnsi="Verdana" w:cs="Arial"/>
          <w:lang w:eastAsia="es-ES"/>
        </w:rPr>
      </w:pPr>
    </w:p>
    <w:p w14:paraId="1CB808B7" w14:textId="53DC7E39" w:rsidR="00F600FA" w:rsidRDefault="00A755CB" w:rsidP="00A755CB">
      <w:pPr>
        <w:spacing w:after="0" w:line="240" w:lineRule="auto"/>
        <w:jc w:val="both"/>
        <w:rPr>
          <w:rFonts w:ascii="Verdana" w:eastAsia="Verdana" w:hAnsi="Verdana" w:cs="Verdana"/>
        </w:rPr>
      </w:pPr>
      <w:r w:rsidRPr="00906F53">
        <w:rPr>
          <w:rFonts w:ascii="Verdana" w:eastAsia="Calibri" w:hAnsi="Verdana" w:cs="Arial"/>
          <w:sz w:val="20"/>
          <w:szCs w:val="20"/>
          <w:lang w:val="es-ES" w:eastAsia="es-ES"/>
        </w:rPr>
        <w:t xml:space="preserve">[…], aunque [el artículo 2.2.1.1.2.2.1 del Decreto 1082 de 2015] </w:t>
      </w:r>
      <w:r w:rsidRPr="00A755CB">
        <w:rPr>
          <w:rFonts w:ascii="Verdana" w:eastAsia="Calibri" w:hAnsi="Verdana" w:cs="Arial"/>
          <w:sz w:val="20"/>
          <w:szCs w:val="20"/>
          <w:lang w:val="es-ES" w:eastAsia="es-ES"/>
        </w:rPr>
        <w:t xml:space="preserve">autoriza ampliar de los plazos del cronograma, incluido el plazo para la entrega de propuestas, no establece un límite como el previsto para la licitación pública en el artículo 30, numeral 5, del Estatuto General, razón por la cual las entidades tienen un margen de autonomía y de discrecionalidad para establecerlo en el procedimiento de selección abreviada y en el concurso de méritos. Este aspecto es relevante, porque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Por tanto, si bien no existe una limitación preestablecida, la ampliación del plazo para recibir las ofertas debe ser razonable, para garantizar la continuidad de los servicios a cargo de la Administración y la austeridad en los tiempos del proceso de selección –arts. 3 y 25.4 del Estatuto General, respectivamente–.  </w:t>
      </w:r>
    </w:p>
    <w:p w14:paraId="6B3E6F6D" w14:textId="77777777" w:rsidR="00DD3113" w:rsidRDefault="00DD3113" w:rsidP="00F600FA">
      <w:pPr>
        <w:spacing w:after="0"/>
        <w:jc w:val="both"/>
        <w:rPr>
          <w:rFonts w:ascii="Verdana" w:eastAsia="Verdana" w:hAnsi="Verdana" w:cs="Verdana"/>
        </w:rPr>
      </w:pPr>
    </w:p>
    <w:p w14:paraId="67C387C2" w14:textId="77777777" w:rsidR="00DD3113" w:rsidRDefault="00DD3113" w:rsidP="00F600FA">
      <w:pPr>
        <w:spacing w:after="0"/>
        <w:jc w:val="both"/>
        <w:rPr>
          <w:rFonts w:ascii="Verdana" w:eastAsia="Verdana" w:hAnsi="Verdana" w:cs="Verdana"/>
        </w:rPr>
      </w:pPr>
    </w:p>
    <w:p w14:paraId="423D658D" w14:textId="77777777" w:rsidR="00DD3113" w:rsidRDefault="00DD3113" w:rsidP="00F600FA">
      <w:pPr>
        <w:spacing w:after="0"/>
        <w:jc w:val="both"/>
        <w:rPr>
          <w:rFonts w:ascii="Verdana" w:eastAsia="Verdana" w:hAnsi="Verdana" w:cs="Verdana"/>
        </w:rPr>
      </w:pPr>
    </w:p>
    <w:p w14:paraId="40DE7A4D" w14:textId="77777777" w:rsidR="00A755CB" w:rsidRDefault="00A755CB" w:rsidP="00F600FA">
      <w:pPr>
        <w:spacing w:after="0"/>
        <w:jc w:val="both"/>
        <w:rPr>
          <w:rFonts w:ascii="Verdana" w:eastAsia="Verdana" w:hAnsi="Verdana" w:cs="Verdana"/>
        </w:rPr>
      </w:pPr>
    </w:p>
    <w:p w14:paraId="451DEDE2" w14:textId="77777777" w:rsidR="00A755CB" w:rsidRDefault="00A755CB" w:rsidP="00F600FA">
      <w:pPr>
        <w:spacing w:after="0"/>
        <w:jc w:val="both"/>
        <w:rPr>
          <w:rFonts w:ascii="Verdana" w:eastAsia="Verdana" w:hAnsi="Verdana" w:cs="Verdana"/>
        </w:rPr>
      </w:pPr>
    </w:p>
    <w:p w14:paraId="19B76021" w14:textId="77777777" w:rsidR="00A755CB" w:rsidRDefault="00A755CB" w:rsidP="00F600FA">
      <w:pPr>
        <w:spacing w:after="0"/>
        <w:jc w:val="both"/>
        <w:rPr>
          <w:rFonts w:ascii="Verdana" w:eastAsia="Verdana" w:hAnsi="Verdana" w:cs="Verdana"/>
        </w:rPr>
      </w:pPr>
    </w:p>
    <w:p w14:paraId="462166E3" w14:textId="77777777" w:rsidR="00A755CB" w:rsidRDefault="00A755CB" w:rsidP="00F600FA">
      <w:pPr>
        <w:spacing w:after="0"/>
        <w:jc w:val="both"/>
        <w:rPr>
          <w:rFonts w:ascii="Verdana" w:eastAsia="Verdana" w:hAnsi="Verdana" w:cs="Verdana"/>
        </w:rPr>
      </w:pPr>
    </w:p>
    <w:p w14:paraId="442F8BC6" w14:textId="77777777" w:rsidR="00A755CB" w:rsidRDefault="00A755CB" w:rsidP="00F600FA">
      <w:pPr>
        <w:spacing w:after="0"/>
        <w:jc w:val="both"/>
        <w:rPr>
          <w:rFonts w:ascii="Verdana" w:eastAsia="Verdana" w:hAnsi="Verdana" w:cs="Verdana"/>
        </w:rPr>
      </w:pPr>
    </w:p>
    <w:p w14:paraId="2064F5B7" w14:textId="77777777" w:rsidR="00A755CB" w:rsidRDefault="00A755CB" w:rsidP="00F600FA">
      <w:pPr>
        <w:spacing w:after="0"/>
        <w:jc w:val="both"/>
        <w:rPr>
          <w:rFonts w:ascii="Verdana" w:eastAsia="Verdana" w:hAnsi="Verdana" w:cs="Verdana"/>
        </w:rPr>
      </w:pPr>
    </w:p>
    <w:p w14:paraId="347DBAE5" w14:textId="77777777" w:rsidR="00A755CB" w:rsidRDefault="00A755CB" w:rsidP="00F600FA">
      <w:pPr>
        <w:spacing w:after="0"/>
        <w:jc w:val="both"/>
        <w:rPr>
          <w:rFonts w:ascii="Verdana" w:eastAsia="Verdana" w:hAnsi="Verdana" w:cs="Verdana"/>
        </w:rPr>
      </w:pPr>
    </w:p>
    <w:p w14:paraId="4A62302A" w14:textId="77777777" w:rsidR="00A755CB" w:rsidRDefault="00A755CB" w:rsidP="00F600FA">
      <w:pPr>
        <w:spacing w:after="0"/>
        <w:jc w:val="both"/>
        <w:rPr>
          <w:rFonts w:ascii="Verdana" w:eastAsia="Verdana" w:hAnsi="Verdana" w:cs="Verdana"/>
        </w:rPr>
      </w:pPr>
    </w:p>
    <w:p w14:paraId="7DD3E8B3" w14:textId="77777777" w:rsidR="00A755CB" w:rsidRDefault="00A755CB" w:rsidP="00F600FA">
      <w:pPr>
        <w:spacing w:after="0"/>
        <w:jc w:val="both"/>
        <w:rPr>
          <w:rFonts w:ascii="Verdana" w:eastAsia="Verdana" w:hAnsi="Verdana" w:cs="Verdana"/>
        </w:rPr>
      </w:pPr>
    </w:p>
    <w:p w14:paraId="347A9B5C" w14:textId="77777777" w:rsidR="00A755CB" w:rsidRDefault="00A755CB" w:rsidP="00F600FA">
      <w:pPr>
        <w:spacing w:after="0"/>
        <w:jc w:val="both"/>
        <w:rPr>
          <w:rFonts w:ascii="Verdana" w:eastAsia="Verdana" w:hAnsi="Verdana" w:cs="Verdana"/>
        </w:rPr>
      </w:pPr>
    </w:p>
    <w:p w14:paraId="42250E7E" w14:textId="77777777" w:rsidR="00A755CB" w:rsidRDefault="00A755CB" w:rsidP="00F600FA">
      <w:pPr>
        <w:spacing w:after="0"/>
        <w:jc w:val="both"/>
        <w:rPr>
          <w:rFonts w:ascii="Verdana" w:eastAsia="Verdana" w:hAnsi="Verdana" w:cs="Verdana"/>
        </w:rPr>
      </w:pPr>
    </w:p>
    <w:p w14:paraId="659F3F71" w14:textId="77777777" w:rsidR="00A755CB" w:rsidRDefault="00A755CB" w:rsidP="00F600FA">
      <w:pPr>
        <w:spacing w:after="0"/>
        <w:jc w:val="both"/>
        <w:rPr>
          <w:rFonts w:ascii="Verdana" w:eastAsia="Verdana" w:hAnsi="Verdana" w:cs="Verdana"/>
        </w:rPr>
      </w:pPr>
    </w:p>
    <w:p w14:paraId="13115A06" w14:textId="77777777" w:rsidR="002A27C3" w:rsidRDefault="002A27C3" w:rsidP="00F600FA">
      <w:pPr>
        <w:spacing w:after="0"/>
        <w:jc w:val="both"/>
        <w:rPr>
          <w:rFonts w:ascii="Verdana" w:eastAsia="Verdana" w:hAnsi="Verdana" w:cs="Verdana"/>
        </w:rPr>
      </w:pPr>
    </w:p>
    <w:p w14:paraId="63904A2C" w14:textId="77777777" w:rsidR="002A27C3" w:rsidRDefault="002A27C3" w:rsidP="00F600FA">
      <w:pPr>
        <w:spacing w:after="0"/>
        <w:jc w:val="both"/>
        <w:rPr>
          <w:rFonts w:ascii="Verdana" w:eastAsia="Verdana" w:hAnsi="Verdana" w:cs="Verdana"/>
        </w:rPr>
      </w:pPr>
    </w:p>
    <w:p w14:paraId="33DE6697" w14:textId="77777777" w:rsidR="00A755CB" w:rsidRDefault="00A755CB" w:rsidP="00B936CA">
      <w:pPr>
        <w:spacing w:after="0"/>
        <w:rPr>
          <w:rFonts w:ascii="Verdana" w:eastAsia="Verdana" w:hAnsi="Verdana" w:cs="Verdana"/>
        </w:rPr>
      </w:pPr>
    </w:p>
    <w:p w14:paraId="7DCD2F42" w14:textId="5E27B1D7" w:rsidR="00F600FA" w:rsidRDefault="00B936CA" w:rsidP="00B936CA">
      <w:pPr>
        <w:spacing w:after="0"/>
        <w:rPr>
          <w:rFonts w:ascii="Verdana" w:eastAsia="Verdana" w:hAnsi="Verdana" w:cs="Verdana"/>
        </w:rPr>
      </w:pPr>
      <w:r w:rsidRPr="30821638">
        <w:rPr>
          <w:rFonts w:ascii="Verdana" w:eastAsia="Verdana" w:hAnsi="Verdana" w:cs="Verdana"/>
        </w:rPr>
        <w:t xml:space="preserve">Bogotá D.C., </w:t>
      </w:r>
      <w:r w:rsidR="00F600FA">
        <w:rPr>
          <w:rFonts w:ascii="Verdana" w:eastAsia="Verdana" w:hAnsi="Verdana" w:cs="Verdana"/>
        </w:rPr>
        <w:t>29 Abril 2026</w:t>
      </w:r>
    </w:p>
    <w:p w14:paraId="22FF8D94" w14:textId="77777777" w:rsidR="00A755CB" w:rsidRDefault="00F600FA" w:rsidP="00A755CB">
      <w:pPr>
        <w:spacing w:after="0"/>
        <w:jc w:val="right"/>
      </w:pPr>
      <w:r w:rsidRPr="00F600FA">
        <w:rPr>
          <w:noProof/>
        </w:rPr>
        <w:drawing>
          <wp:inline distT="0" distB="0" distL="0" distR="0" wp14:anchorId="0C349213" wp14:editId="43432F2D">
            <wp:extent cx="1481622" cy="406870"/>
            <wp:effectExtent l="0" t="0" r="4445" b="0"/>
            <wp:docPr id="1602519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19361" name=""/>
                    <pic:cNvPicPr/>
                  </pic:nvPicPr>
                  <pic:blipFill>
                    <a:blip r:embed="rId10"/>
                    <a:stretch>
                      <a:fillRect/>
                    </a:stretch>
                  </pic:blipFill>
                  <pic:spPr>
                    <a:xfrm>
                      <a:off x="0" y="0"/>
                      <a:ext cx="1504204" cy="413071"/>
                    </a:xfrm>
                    <a:prstGeom prst="rect">
                      <a:avLst/>
                    </a:prstGeom>
                  </pic:spPr>
                </pic:pic>
              </a:graphicData>
            </a:graphic>
          </wp:inline>
        </w:drawing>
      </w:r>
      <w:r w:rsidR="00B936CA">
        <w:tab/>
      </w:r>
      <w:bookmarkStart w:id="1" w:name="_Hlk214366482"/>
    </w:p>
    <w:p w14:paraId="21F08A91" w14:textId="7174A58A" w:rsidR="00B936CA" w:rsidRPr="00A755CB" w:rsidRDefault="00B936CA" w:rsidP="00A755CB">
      <w:pPr>
        <w:spacing w:after="0"/>
      </w:pPr>
      <w:r>
        <w:rPr>
          <w:rFonts w:ascii="Verdana" w:eastAsia="Calibri" w:hAnsi="Verdana" w:cs="Arial"/>
          <w:b/>
          <w:bCs/>
          <w:lang w:eastAsia="es-ES"/>
        </w:rPr>
        <w:t>Señor (a)</w:t>
      </w:r>
    </w:p>
    <w:p w14:paraId="2400B000" w14:textId="77777777" w:rsidR="00B936CA" w:rsidRPr="00006192" w:rsidRDefault="00B936CA" w:rsidP="00B936CA">
      <w:pPr>
        <w:spacing w:after="0" w:line="240" w:lineRule="auto"/>
        <w:jc w:val="both"/>
      </w:pPr>
      <w:r>
        <w:rPr>
          <w:rFonts w:ascii="Verdana" w:eastAsia="Calibri" w:hAnsi="Verdana" w:cs="Arial"/>
          <w:b/>
          <w:bCs/>
          <w:lang w:eastAsia="es-ES"/>
        </w:rPr>
        <w:t>Anónimo</w:t>
      </w:r>
    </w:p>
    <w:p w14:paraId="496CA2E0" w14:textId="77777777" w:rsidR="00B936CA" w:rsidRDefault="00B936CA" w:rsidP="00B936CA">
      <w:pPr>
        <w:spacing w:after="0" w:line="240" w:lineRule="auto"/>
        <w:jc w:val="both"/>
        <w:rPr>
          <w:rFonts w:ascii="Verdana" w:eastAsia="Calibri" w:hAnsi="Verdana" w:cs="Arial"/>
          <w:b/>
          <w:bCs/>
          <w:color w:val="000000"/>
          <w:lang w:eastAsia="es-ES_tradnl"/>
        </w:rPr>
      </w:pPr>
      <w:hyperlink r:id="rId11" w:history="1">
        <w:r w:rsidRPr="00205D47">
          <w:rPr>
            <w:rStyle w:val="Hipervnculo"/>
            <w:rFonts w:ascii="Verdana" w:eastAsia="Calibri" w:hAnsi="Verdana" w:cs="Arial"/>
            <w:b/>
            <w:bCs/>
            <w:lang w:eastAsia="es-ES_tradnl"/>
          </w:rPr>
          <w:t>mireyajuridica@gmail.com</w:t>
        </w:r>
      </w:hyperlink>
    </w:p>
    <w:p w14:paraId="67B15206" w14:textId="77777777" w:rsidR="00B936CA" w:rsidRPr="003B60E2" w:rsidRDefault="00B936CA" w:rsidP="00B936CA">
      <w:pPr>
        <w:spacing w:after="0" w:line="240" w:lineRule="auto"/>
        <w:jc w:val="both"/>
        <w:rPr>
          <w:rFonts w:ascii="Verdana" w:eastAsia="Calibri" w:hAnsi="Verdana" w:cs="Arial"/>
          <w:color w:val="000000"/>
          <w:lang w:eastAsia="es-ES_tradnl"/>
        </w:rPr>
      </w:pPr>
      <w:r w:rsidRPr="003B60E2">
        <w:rPr>
          <w:rFonts w:ascii="Verdana" w:eastAsia="Calibri" w:hAnsi="Verdana" w:cs="Arial"/>
          <w:color w:val="000000"/>
          <w:lang w:eastAsia="es-ES_tradnl"/>
        </w:rPr>
        <w:t>Ciudad</w:t>
      </w:r>
    </w:p>
    <w:p w14:paraId="18A4AA8A" w14:textId="77777777" w:rsidR="00B936CA" w:rsidRPr="00A75807" w:rsidRDefault="00B936CA" w:rsidP="00B936CA">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936CA" w:rsidRPr="005644FE" w14:paraId="69FE2C4F" w14:textId="77777777" w:rsidTr="00087E80">
        <w:trPr>
          <w:trHeight w:val="162"/>
        </w:trPr>
        <w:tc>
          <w:tcPr>
            <w:tcW w:w="3119" w:type="dxa"/>
          </w:tcPr>
          <w:p w14:paraId="002F3B5D" w14:textId="77777777" w:rsidR="00B936CA" w:rsidRPr="00A75807" w:rsidRDefault="00B936CA" w:rsidP="00087E80">
            <w:pPr>
              <w:jc w:val="both"/>
              <w:rPr>
                <w:rFonts w:ascii="Verdana" w:eastAsia="Calibri" w:hAnsi="Verdana" w:cs="Arial"/>
                <w:b/>
                <w:bCs/>
                <w:color w:val="7030A0"/>
                <w:lang w:eastAsia="es-ES_tradnl"/>
              </w:rPr>
            </w:pPr>
          </w:p>
        </w:tc>
        <w:tc>
          <w:tcPr>
            <w:tcW w:w="5670" w:type="dxa"/>
          </w:tcPr>
          <w:p w14:paraId="2F052059" w14:textId="01D871EB" w:rsidR="00B936CA" w:rsidRPr="005644FE" w:rsidRDefault="00B936CA" w:rsidP="00087E80">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398</w:t>
            </w:r>
            <w:r w:rsidR="006A5372">
              <w:rPr>
                <w:rFonts w:ascii="Verdana" w:eastAsia="Calibri" w:hAnsi="Verdana" w:cs="Arial"/>
                <w:b/>
                <w:bCs/>
                <w:lang w:eastAsia="es-ES"/>
              </w:rPr>
              <w:t>A</w:t>
            </w:r>
            <w:r>
              <w:rPr>
                <w:rFonts w:ascii="Verdana" w:eastAsia="Calibri" w:hAnsi="Verdana" w:cs="Arial"/>
                <w:b/>
                <w:bCs/>
                <w:lang w:eastAsia="es-ES"/>
              </w:rPr>
              <w:t xml:space="preserve"> de 2026</w:t>
            </w:r>
          </w:p>
          <w:p w14:paraId="72B6CDB2" w14:textId="77777777" w:rsidR="00B936CA" w:rsidRPr="005644FE" w:rsidRDefault="00B936CA" w:rsidP="00087E80">
            <w:pPr>
              <w:jc w:val="both"/>
              <w:rPr>
                <w:rFonts w:ascii="Verdana" w:eastAsia="Calibri" w:hAnsi="Verdana" w:cs="Arial"/>
                <w:b/>
                <w:bCs/>
                <w:color w:val="7030A0"/>
                <w:lang w:eastAsia="es-ES"/>
              </w:rPr>
            </w:pPr>
          </w:p>
        </w:tc>
      </w:tr>
      <w:tr w:rsidR="00B936CA" w:rsidRPr="005644FE" w14:paraId="1D9CC444" w14:textId="77777777" w:rsidTr="00087E80">
        <w:trPr>
          <w:trHeight w:val="884"/>
        </w:trPr>
        <w:tc>
          <w:tcPr>
            <w:tcW w:w="3119" w:type="dxa"/>
          </w:tcPr>
          <w:p w14:paraId="56F6BC46" w14:textId="77777777" w:rsidR="00B936CA" w:rsidRPr="005644FE" w:rsidRDefault="00B936CA" w:rsidP="00087E80">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52A1A0A5" w14:textId="77777777" w:rsidR="00B936CA" w:rsidRPr="00E2329D" w:rsidRDefault="00B936CA" w:rsidP="00087E80">
            <w:pPr>
              <w:spacing w:line="276" w:lineRule="auto"/>
              <w:jc w:val="both"/>
              <w:rPr>
                <w:rFonts w:ascii="Verdana" w:eastAsia="Calibri" w:hAnsi="Verdana" w:cs="Arial"/>
                <w:lang w:eastAsia="es-ES"/>
              </w:rPr>
            </w:pPr>
            <w:r>
              <w:rPr>
                <w:rFonts w:ascii="Verdana" w:eastAsia="Calibri" w:hAnsi="Verdana" w:cs="Arial"/>
                <w:lang w:eastAsia="es-ES"/>
              </w:rPr>
              <w:t xml:space="preserve">LICITACIÓN PÚBLICA – Regla general / LICITACIÓN PÚBLICA – Etapas – Procedimiento reglado / PLAZO DE LICITACIÓN – Alcance / PRÓRROGA DEL TÉRMINO PARA PRESENTAR OFERTAS EN LICITACIÓN PÚBLICA – Ley 80 de 1993 artículo 30 numeral 5 inciso 2 / </w:t>
            </w:r>
            <w:r w:rsidRPr="00526681">
              <w:rPr>
                <w:rFonts w:ascii="Verdana" w:eastAsia="Calibri" w:hAnsi="Verdana" w:cs="Arial"/>
                <w:lang w:eastAsia="es-ES_tradnl"/>
              </w:rPr>
              <w:t>ADENDAS – Fundamento / ADENDAS – Cronograma – Alcance – Límites</w:t>
            </w:r>
            <w:r>
              <w:rPr>
                <w:rFonts w:ascii="Verdana" w:eastAsia="Calibri" w:hAnsi="Verdana" w:cs="Arial"/>
                <w:lang w:eastAsia="es-ES_tradnl"/>
              </w:rPr>
              <w:t xml:space="preserve"> materiales</w:t>
            </w:r>
            <w:r w:rsidRPr="00526681">
              <w:rPr>
                <w:rFonts w:ascii="Verdana" w:eastAsia="Calibri" w:hAnsi="Verdana" w:cs="Arial"/>
                <w:lang w:eastAsia="es-ES_tradnl"/>
              </w:rPr>
              <w:t xml:space="preserve"> / ADENDAS – Cronograma – Alcance – Límites</w:t>
            </w:r>
            <w:r>
              <w:rPr>
                <w:rFonts w:ascii="Verdana" w:eastAsia="Calibri" w:hAnsi="Verdana" w:cs="Arial"/>
                <w:lang w:eastAsia="es-ES_tradnl"/>
              </w:rPr>
              <w:t xml:space="preserve"> temporales</w:t>
            </w:r>
            <w:r>
              <w:rPr>
                <w:rFonts w:ascii="Verdana" w:eastAsia="Calibri" w:hAnsi="Verdana" w:cs="Arial"/>
                <w:lang w:eastAsia="es-ES"/>
              </w:rPr>
              <w:t xml:space="preserve"> / SELECCIÓN ABREVIADA Y CONCURSO DE MÉRITOS - </w:t>
            </w:r>
            <w:r w:rsidRPr="00E2329D">
              <w:rPr>
                <w:rFonts w:ascii="Verdana" w:eastAsia="Calibri" w:hAnsi="Verdana" w:cs="Arial"/>
                <w:lang w:eastAsia="es-ES"/>
              </w:rPr>
              <w:t>Entrega de ofertas – Plazo – Ampliación – Autonomía – Discrecionalidad – Adendas</w:t>
            </w:r>
            <w:r>
              <w:rPr>
                <w:rFonts w:ascii="Verdana" w:eastAsia="Calibri" w:hAnsi="Verdana" w:cs="Arial"/>
                <w:lang w:eastAsia="es-ES"/>
              </w:rPr>
              <w:t xml:space="preserve"> / SELECCIÓN ABREVIADA Y CONCURSO DE MÉRITOS - </w:t>
            </w:r>
            <w:r w:rsidRPr="00E2329D">
              <w:rPr>
                <w:rFonts w:ascii="Verdana" w:eastAsia="Calibri" w:hAnsi="Verdana" w:cs="Arial"/>
                <w:lang w:eastAsia="es-ES"/>
              </w:rPr>
              <w:t xml:space="preserve">Ofertas – Ampliación – Plazo – Límites  </w:t>
            </w:r>
          </w:p>
        </w:tc>
      </w:tr>
      <w:tr w:rsidR="00B936CA" w:rsidRPr="005644FE" w14:paraId="3A1DEB1E" w14:textId="77777777" w:rsidTr="00087E80">
        <w:tc>
          <w:tcPr>
            <w:tcW w:w="3119" w:type="dxa"/>
          </w:tcPr>
          <w:p w14:paraId="222234E1" w14:textId="77777777" w:rsidR="00B936CA" w:rsidRPr="005644FE" w:rsidRDefault="00B936CA" w:rsidP="00087E80">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5535CDB" w14:textId="77777777" w:rsidR="00B936CA" w:rsidRPr="00F04657" w:rsidRDefault="00B936CA" w:rsidP="00087E80">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2F1932">
              <w:rPr>
                <w:rFonts w:ascii="Verdana" w:eastAsia="Calibri" w:hAnsi="Verdana" w:cs="Arial"/>
                <w:lang w:eastAsia="es-ES_tradnl"/>
              </w:rPr>
              <w:t>1_2026_03_17_003706</w:t>
            </w:r>
          </w:p>
        </w:tc>
      </w:tr>
    </w:tbl>
    <w:p w14:paraId="28D1A229" w14:textId="77777777" w:rsidR="00B936CA" w:rsidRPr="005644FE" w:rsidRDefault="00B936CA" w:rsidP="00B936CA">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0D46C495" w14:textId="77777777" w:rsidR="00B936CA" w:rsidRPr="005644FE" w:rsidRDefault="00B936CA" w:rsidP="00B936CA">
      <w:pPr>
        <w:spacing w:after="0" w:line="276" w:lineRule="auto"/>
        <w:jc w:val="both"/>
        <w:rPr>
          <w:rFonts w:ascii="Verdana" w:eastAsia="Calibri" w:hAnsi="Verdana" w:cs="Arial"/>
          <w:lang w:eastAsia="es-ES"/>
        </w:rPr>
      </w:pPr>
      <w:r>
        <w:rPr>
          <w:rFonts w:ascii="Verdana" w:eastAsia="Calibri" w:hAnsi="Verdana" w:cs="Arial"/>
          <w:lang w:eastAsia="es-ES"/>
        </w:rPr>
        <w:t xml:space="preserve">Estimado (a) señor (a): </w:t>
      </w:r>
    </w:p>
    <w:p w14:paraId="6EF038C1" w14:textId="77777777" w:rsidR="00B936CA" w:rsidRPr="00783BFE" w:rsidRDefault="00B936CA" w:rsidP="00B936CA">
      <w:pPr>
        <w:spacing w:after="0" w:line="276" w:lineRule="auto"/>
        <w:jc w:val="both"/>
      </w:pPr>
    </w:p>
    <w:p w14:paraId="10BE3FE6" w14:textId="77777777" w:rsidR="00B936CA" w:rsidRDefault="00B936CA" w:rsidP="00B936CA">
      <w:pPr>
        <w:spacing w:after="12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 solicitud de consulta de fecha</w:t>
      </w:r>
      <w:r>
        <w:rPr>
          <w:rFonts w:ascii="Verdana" w:eastAsia="Calibri" w:hAnsi="Verdana" w:cs="Arial"/>
          <w:lang w:eastAsia="es-ES"/>
        </w:rPr>
        <w:t xml:space="preserve"> 17 de marzo de 2026, </w:t>
      </w:r>
      <w:r w:rsidRPr="005644FE">
        <w:rPr>
          <w:rFonts w:ascii="Verdana" w:eastAsia="Calibri" w:hAnsi="Verdana" w:cs="Arial"/>
          <w:lang w:eastAsia="es-ES"/>
        </w:rPr>
        <w:t>en la cual manifiesta lo siguiente:</w:t>
      </w:r>
    </w:p>
    <w:p w14:paraId="6DA610BA" w14:textId="77777777" w:rsidR="00B936CA" w:rsidRPr="00886C89" w:rsidRDefault="00B936CA" w:rsidP="00B936CA">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16DC95ED" w14:textId="77777777" w:rsidR="00B936CA" w:rsidRPr="002F1932" w:rsidRDefault="00B936CA" w:rsidP="00B936CA">
      <w:pPr>
        <w:spacing w:after="0" w:line="240" w:lineRule="auto"/>
        <w:ind w:left="709" w:right="709"/>
        <w:jc w:val="both"/>
        <w:rPr>
          <w:rFonts w:ascii="Verdana" w:hAnsi="Verdana"/>
          <w:sz w:val="20"/>
          <w:szCs w:val="20"/>
        </w:rPr>
      </w:pPr>
      <w:r>
        <w:rPr>
          <w:rFonts w:ascii="Verdana" w:hAnsi="Verdana"/>
          <w:sz w:val="20"/>
          <w:szCs w:val="20"/>
        </w:rPr>
        <w:t xml:space="preserve">“(…) </w:t>
      </w:r>
      <w:r w:rsidRPr="002F1932">
        <w:rPr>
          <w:rFonts w:ascii="Verdana" w:hAnsi="Verdana"/>
          <w:sz w:val="20"/>
          <w:szCs w:val="20"/>
        </w:rPr>
        <w:t>1. Con posterioridad a la expedición de la Ley 1150/07, ¿el art. 30 de</w:t>
      </w:r>
    </w:p>
    <w:p w14:paraId="27705D5F" w14:textId="77777777" w:rsidR="00B936CA" w:rsidRPr="002F1932" w:rsidRDefault="00B936CA" w:rsidP="00B936CA">
      <w:pPr>
        <w:spacing w:after="0" w:line="240" w:lineRule="auto"/>
        <w:ind w:left="709" w:right="709"/>
        <w:jc w:val="both"/>
        <w:rPr>
          <w:rFonts w:ascii="Verdana" w:hAnsi="Verdana"/>
          <w:sz w:val="20"/>
          <w:szCs w:val="20"/>
        </w:rPr>
      </w:pPr>
      <w:r w:rsidRPr="002F1932">
        <w:rPr>
          <w:rFonts w:ascii="Verdana" w:hAnsi="Verdana"/>
          <w:sz w:val="20"/>
          <w:szCs w:val="20"/>
        </w:rPr>
        <w:t>la Ley 80/93 solo aplica a la modalidad “licitación pública” establecida en</w:t>
      </w:r>
    </w:p>
    <w:p w14:paraId="1CBAC8CD" w14:textId="77777777" w:rsidR="00B936CA" w:rsidRPr="002F1932" w:rsidRDefault="00B936CA" w:rsidP="00B936CA">
      <w:pPr>
        <w:spacing w:after="0" w:line="240" w:lineRule="auto"/>
        <w:ind w:left="709" w:right="709"/>
        <w:jc w:val="both"/>
        <w:rPr>
          <w:rFonts w:ascii="Verdana" w:hAnsi="Verdana"/>
          <w:sz w:val="20"/>
          <w:szCs w:val="20"/>
        </w:rPr>
      </w:pPr>
      <w:r w:rsidRPr="002F1932">
        <w:rPr>
          <w:rFonts w:ascii="Verdana" w:hAnsi="Verdana"/>
          <w:sz w:val="20"/>
          <w:szCs w:val="20"/>
        </w:rPr>
        <w:t>el # 1 del art 2 de la ley 1150/07 o aplica a otras modalidades de selección?</w:t>
      </w:r>
    </w:p>
    <w:p w14:paraId="44B6184B" w14:textId="77777777" w:rsidR="00B936CA" w:rsidRPr="002F1932" w:rsidRDefault="00B936CA" w:rsidP="00B936CA">
      <w:pPr>
        <w:spacing w:after="0" w:line="240" w:lineRule="auto"/>
        <w:ind w:left="709" w:right="709"/>
        <w:jc w:val="both"/>
        <w:rPr>
          <w:rFonts w:ascii="Verdana" w:hAnsi="Verdana"/>
          <w:sz w:val="20"/>
          <w:szCs w:val="20"/>
        </w:rPr>
      </w:pPr>
      <w:r w:rsidRPr="002F1932">
        <w:rPr>
          <w:rFonts w:ascii="Verdana" w:hAnsi="Verdana"/>
          <w:sz w:val="20"/>
          <w:szCs w:val="20"/>
        </w:rPr>
        <w:t>2. ¿En el inciso segundo del #5 art 30 ley 80/93, la expresión “plazo</w:t>
      </w:r>
      <w:r>
        <w:rPr>
          <w:rFonts w:ascii="Verdana" w:hAnsi="Verdana"/>
          <w:sz w:val="20"/>
          <w:szCs w:val="20"/>
        </w:rPr>
        <w:t xml:space="preserve"> </w:t>
      </w:r>
      <w:r w:rsidRPr="002F1932">
        <w:rPr>
          <w:rFonts w:ascii="Verdana" w:hAnsi="Verdana"/>
          <w:sz w:val="20"/>
          <w:szCs w:val="20"/>
        </w:rPr>
        <w:t>de la licitación”, entendido como “el término que debe transcurrir entre la</w:t>
      </w:r>
      <w:r>
        <w:rPr>
          <w:rFonts w:ascii="Verdana" w:hAnsi="Verdana"/>
          <w:sz w:val="20"/>
          <w:szCs w:val="20"/>
        </w:rPr>
        <w:t xml:space="preserve"> </w:t>
      </w:r>
      <w:r w:rsidRPr="002F1932">
        <w:rPr>
          <w:rFonts w:ascii="Verdana" w:hAnsi="Verdana"/>
          <w:sz w:val="20"/>
          <w:szCs w:val="20"/>
        </w:rPr>
        <w:t>fecha a partir de la cual se pueden presentar propuestas y la de su</w:t>
      </w:r>
      <w:r>
        <w:rPr>
          <w:rFonts w:ascii="Verdana" w:hAnsi="Verdana"/>
          <w:sz w:val="20"/>
          <w:szCs w:val="20"/>
        </w:rPr>
        <w:t xml:space="preserve"> </w:t>
      </w:r>
      <w:r w:rsidRPr="002F1932">
        <w:rPr>
          <w:rFonts w:ascii="Verdana" w:hAnsi="Verdana"/>
          <w:sz w:val="20"/>
          <w:szCs w:val="20"/>
        </w:rPr>
        <w:t>cierre”, a partir de qué momento o actuación del proceso de selección</w:t>
      </w:r>
      <w:r>
        <w:rPr>
          <w:rFonts w:ascii="Verdana" w:hAnsi="Verdana"/>
          <w:sz w:val="20"/>
          <w:szCs w:val="20"/>
        </w:rPr>
        <w:t xml:space="preserve"> </w:t>
      </w:r>
      <w:r w:rsidRPr="002F1932">
        <w:rPr>
          <w:rFonts w:ascii="Verdana" w:hAnsi="Verdana"/>
          <w:sz w:val="20"/>
          <w:szCs w:val="20"/>
        </w:rPr>
        <w:t>debe contabilizarse?</w:t>
      </w:r>
    </w:p>
    <w:p w14:paraId="18CEDB73" w14:textId="77777777" w:rsidR="00B936CA" w:rsidRPr="002F1932" w:rsidRDefault="00B936CA" w:rsidP="00B936CA">
      <w:pPr>
        <w:spacing w:after="0" w:line="240" w:lineRule="auto"/>
        <w:ind w:left="709" w:right="709"/>
        <w:jc w:val="both"/>
        <w:rPr>
          <w:rFonts w:ascii="Verdana" w:hAnsi="Verdana"/>
          <w:sz w:val="20"/>
          <w:szCs w:val="20"/>
        </w:rPr>
      </w:pPr>
      <w:r w:rsidRPr="002F1932">
        <w:rPr>
          <w:rFonts w:ascii="Verdana" w:hAnsi="Verdana"/>
          <w:sz w:val="20"/>
          <w:szCs w:val="20"/>
        </w:rPr>
        <w:t>3. El inciso segundo del #5 del art 30 de la ley 80/93, en relación con</w:t>
      </w:r>
      <w:r>
        <w:rPr>
          <w:rFonts w:ascii="Verdana" w:hAnsi="Verdana"/>
          <w:sz w:val="20"/>
          <w:szCs w:val="20"/>
        </w:rPr>
        <w:t xml:space="preserve"> </w:t>
      </w:r>
      <w:r w:rsidRPr="002F1932">
        <w:rPr>
          <w:rFonts w:ascii="Verdana" w:hAnsi="Verdana"/>
          <w:sz w:val="20"/>
          <w:szCs w:val="20"/>
        </w:rPr>
        <w:t>la</w:t>
      </w:r>
      <w:r>
        <w:rPr>
          <w:rFonts w:ascii="Verdana" w:hAnsi="Verdana"/>
          <w:sz w:val="20"/>
          <w:szCs w:val="20"/>
        </w:rPr>
        <w:t xml:space="preserve"> </w:t>
      </w:r>
      <w:r w:rsidRPr="002F1932">
        <w:rPr>
          <w:rFonts w:ascii="Verdana" w:hAnsi="Verdana"/>
          <w:sz w:val="20"/>
          <w:szCs w:val="20"/>
        </w:rPr>
        <w:t>prórroga del plazo por un término no superior a la mitad del inicialmente</w:t>
      </w:r>
      <w:r>
        <w:rPr>
          <w:rFonts w:ascii="Verdana" w:hAnsi="Verdana"/>
          <w:sz w:val="20"/>
          <w:szCs w:val="20"/>
        </w:rPr>
        <w:t xml:space="preserve"> </w:t>
      </w:r>
      <w:r w:rsidRPr="002F1932">
        <w:rPr>
          <w:rFonts w:ascii="Verdana" w:hAnsi="Verdana"/>
          <w:sz w:val="20"/>
          <w:szCs w:val="20"/>
        </w:rPr>
        <w:t>fijado para presentar ofertas, ¿conlleva a que en los procesos de licitación</w:t>
      </w:r>
      <w:r>
        <w:rPr>
          <w:rFonts w:ascii="Verdana" w:hAnsi="Verdana"/>
          <w:sz w:val="20"/>
          <w:szCs w:val="20"/>
        </w:rPr>
        <w:t xml:space="preserve"> </w:t>
      </w:r>
      <w:r w:rsidRPr="002F1932">
        <w:rPr>
          <w:rFonts w:ascii="Verdana" w:hAnsi="Verdana"/>
          <w:sz w:val="20"/>
          <w:szCs w:val="20"/>
        </w:rPr>
        <w:t>sólo se pueda ampliar el “plazo de la licitación”, hasta la mitad del</w:t>
      </w:r>
      <w:r>
        <w:rPr>
          <w:rFonts w:ascii="Verdana" w:hAnsi="Verdana"/>
          <w:sz w:val="20"/>
          <w:szCs w:val="20"/>
        </w:rPr>
        <w:t xml:space="preserve"> </w:t>
      </w:r>
      <w:r w:rsidRPr="002F1932">
        <w:rPr>
          <w:rFonts w:ascii="Verdana" w:hAnsi="Verdana"/>
          <w:sz w:val="20"/>
          <w:szCs w:val="20"/>
        </w:rPr>
        <w:t>inicialmente fijado?</w:t>
      </w:r>
    </w:p>
    <w:p w14:paraId="52C59B53" w14:textId="77777777" w:rsidR="00B936CA" w:rsidRPr="00B07F38" w:rsidRDefault="00B936CA" w:rsidP="00B936CA">
      <w:pPr>
        <w:spacing w:after="0" w:line="240" w:lineRule="auto"/>
        <w:ind w:left="709" w:right="709"/>
        <w:jc w:val="both"/>
        <w:rPr>
          <w:rFonts w:ascii="Verdana" w:hAnsi="Verdana"/>
          <w:sz w:val="20"/>
          <w:szCs w:val="20"/>
        </w:rPr>
      </w:pPr>
      <w:r w:rsidRPr="002F1932">
        <w:rPr>
          <w:rFonts w:ascii="Verdana" w:hAnsi="Verdana"/>
          <w:sz w:val="20"/>
          <w:szCs w:val="20"/>
        </w:rPr>
        <w:t>4. ¿La ampliación del “plazo de la licitación” sin superar la mitad del</w:t>
      </w:r>
      <w:r>
        <w:rPr>
          <w:rFonts w:ascii="Verdana" w:hAnsi="Verdana"/>
          <w:sz w:val="20"/>
          <w:szCs w:val="20"/>
        </w:rPr>
        <w:t xml:space="preserve"> </w:t>
      </w:r>
      <w:r w:rsidRPr="002F1932">
        <w:rPr>
          <w:rFonts w:ascii="Verdana" w:hAnsi="Verdana"/>
          <w:sz w:val="20"/>
          <w:szCs w:val="20"/>
        </w:rPr>
        <w:t xml:space="preserve">inicialmente fijado, aplica a concursos de mérito y selección abreviada? </w:t>
      </w:r>
      <w:r w:rsidRPr="00B07F38">
        <w:rPr>
          <w:rFonts w:ascii="Verdana" w:hAnsi="Verdana"/>
          <w:sz w:val="20"/>
          <w:szCs w:val="20"/>
        </w:rPr>
        <w:t>(…)”.</w:t>
      </w:r>
    </w:p>
    <w:p w14:paraId="01E4A31C" w14:textId="77777777" w:rsidR="00B936CA" w:rsidRPr="00647D77" w:rsidRDefault="00B936CA" w:rsidP="00B936CA">
      <w:pPr>
        <w:spacing w:after="0" w:line="276" w:lineRule="auto"/>
        <w:ind w:left="567" w:right="760"/>
        <w:jc w:val="both"/>
        <w:rPr>
          <w:rFonts w:ascii="Verdana" w:hAnsi="Verdana"/>
        </w:rPr>
      </w:pPr>
    </w:p>
    <w:p w14:paraId="3B52287D" w14:textId="77777777" w:rsidR="00B936CA" w:rsidRPr="00F64722" w:rsidRDefault="00B936CA" w:rsidP="00B936CA">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E8098B" w14:textId="77777777" w:rsidR="00B936CA" w:rsidRPr="003B2EA9" w:rsidRDefault="00B936CA" w:rsidP="00B936CA">
      <w:pPr>
        <w:spacing w:after="120" w:line="276" w:lineRule="auto"/>
        <w:ind w:firstLine="709"/>
        <w:jc w:val="both"/>
        <w:rPr>
          <w:rFonts w:ascii="Verdana" w:eastAsia="Calibri" w:hAnsi="Verdana" w:cs="Arial"/>
          <w:lang w:eastAsia="es-ES"/>
        </w:rPr>
      </w:pPr>
      <w:r w:rsidRPr="00CD3A7B">
        <w:rPr>
          <w:rFonts w:ascii="Verdana" w:eastAsia="Calibri" w:hAnsi="Verdana" w:cs="Arial"/>
          <w:color w:val="000000"/>
          <w:lang w:eastAsia="es-ES"/>
        </w:rPr>
        <w:t xml:space="preserve">Conforme lo expuesto, en aras de garantizar el derecho fundamental de petición, </w:t>
      </w:r>
      <w:r w:rsidRPr="003B2EA9">
        <w:rPr>
          <w:rFonts w:ascii="Verdana" w:eastAsia="Calibri" w:hAnsi="Verdana" w:cs="Arial"/>
          <w:color w:val="000000"/>
          <w:lang w:eastAsia="es-ES"/>
        </w:rPr>
        <w:t>se resolverá su petición dentro de los límites de la referida competencia consultiva, esto es, haciendo abstracción del caso particular y concreto señalado en su petición, pero señalando algunas consideraciones sobre las normas generales relacionadas a los problemas jurídicos de su consulta.</w:t>
      </w:r>
      <w:r w:rsidRPr="003B2EA9">
        <w:rPr>
          <w:rFonts w:ascii="Verdana" w:eastAsia="Calibri" w:hAnsi="Verdana" w:cs="Arial"/>
          <w:lang w:eastAsia="es-ES"/>
        </w:rPr>
        <w:t xml:space="preserve">  </w:t>
      </w:r>
    </w:p>
    <w:p w14:paraId="35C30AF0" w14:textId="77777777" w:rsidR="00B936CA" w:rsidRPr="003B2EA9" w:rsidRDefault="00B936CA" w:rsidP="00B936CA">
      <w:pPr>
        <w:spacing w:after="120" w:line="276" w:lineRule="auto"/>
        <w:jc w:val="both"/>
        <w:rPr>
          <w:rFonts w:ascii="Verdana" w:eastAsia="Calibri" w:hAnsi="Verdana" w:cs="Arial"/>
          <w:lang w:eastAsia="es-ES"/>
        </w:rPr>
      </w:pPr>
      <w:r w:rsidRPr="003B2EA9">
        <w:rPr>
          <w:rFonts w:ascii="Verdana" w:eastAsia="Century Gothic" w:hAnsi="Verdana" w:cs="Century Gothic"/>
          <w:b/>
          <w:bCs/>
        </w:rPr>
        <w:t>1. Problema planteado:</w:t>
      </w:r>
    </w:p>
    <w:p w14:paraId="1687732E" w14:textId="77777777" w:rsidR="00B936CA" w:rsidRDefault="00B936CA" w:rsidP="00B936CA">
      <w:pPr>
        <w:spacing w:after="120" w:line="276" w:lineRule="auto"/>
        <w:jc w:val="both"/>
        <w:rPr>
          <w:rFonts w:ascii="Verdana" w:eastAsia="Calibri" w:hAnsi="Verdana" w:cs="Arial"/>
          <w:color w:val="000000"/>
          <w:lang w:eastAsia="es-ES"/>
        </w:rPr>
      </w:pPr>
      <w:r w:rsidRPr="003B2EA9">
        <w:rPr>
          <w:rFonts w:ascii="Verdana" w:eastAsia="Calibri" w:hAnsi="Verdana" w:cs="Arial"/>
          <w:color w:val="000000"/>
          <w:lang w:eastAsia="es-ES"/>
        </w:rPr>
        <w:t>De acuerdo con el contenido de su solicitud, esta Agencia resolverá lo</w:t>
      </w:r>
      <w:r>
        <w:rPr>
          <w:rFonts w:ascii="Verdana" w:eastAsia="Calibri" w:hAnsi="Verdana" w:cs="Arial"/>
          <w:color w:val="000000"/>
          <w:lang w:eastAsia="es-ES"/>
        </w:rPr>
        <w:t>s</w:t>
      </w:r>
      <w:r w:rsidRPr="003B2EA9">
        <w:rPr>
          <w:rFonts w:ascii="Verdana" w:eastAsia="Calibri" w:hAnsi="Verdana" w:cs="Arial"/>
          <w:color w:val="000000"/>
          <w:lang w:eastAsia="es-ES"/>
        </w:rPr>
        <w:t xml:space="preserve"> siguientes problemas jurídicos: i) ¿El contenido del artículo 30 de la Ley 80 de 1993 es aplicable a las demás modalidades de selección? </w:t>
      </w:r>
      <w:proofErr w:type="spellStart"/>
      <w:r w:rsidRPr="003B2EA9">
        <w:rPr>
          <w:rFonts w:ascii="Verdana" w:eastAsia="Calibri" w:hAnsi="Verdana" w:cs="Arial"/>
          <w:color w:val="000000"/>
          <w:lang w:eastAsia="es-ES"/>
        </w:rPr>
        <w:t>ii</w:t>
      </w:r>
      <w:proofErr w:type="spellEnd"/>
      <w:r w:rsidRPr="003B2EA9">
        <w:rPr>
          <w:rFonts w:ascii="Verdana" w:eastAsia="Calibri" w:hAnsi="Verdana" w:cs="Arial"/>
          <w:color w:val="000000"/>
          <w:lang w:eastAsia="es-ES"/>
        </w:rPr>
        <w:t>) ¿A partir de qué momento la expresión plazo de la licitación</w:t>
      </w:r>
      <w:r>
        <w:rPr>
          <w:rFonts w:ascii="Verdana" w:eastAsia="Calibri" w:hAnsi="Verdana" w:cs="Arial"/>
          <w:color w:val="000000"/>
          <w:lang w:eastAsia="es-ES"/>
        </w:rPr>
        <w:t xml:space="preserve"> contenido en el artículo 30 numeral 5 de la Ley 80 de 1993 deber ser contabilizado? </w:t>
      </w:r>
      <w:proofErr w:type="spellStart"/>
      <w:r>
        <w:rPr>
          <w:rFonts w:ascii="Verdana" w:eastAsia="Calibri" w:hAnsi="Verdana" w:cs="Arial"/>
          <w:color w:val="000000"/>
          <w:lang w:eastAsia="es-ES"/>
        </w:rPr>
        <w:t>iii</w:t>
      </w:r>
      <w:proofErr w:type="spellEnd"/>
      <w:r>
        <w:rPr>
          <w:rFonts w:ascii="Verdana" w:eastAsia="Calibri" w:hAnsi="Verdana" w:cs="Arial"/>
          <w:color w:val="000000"/>
          <w:lang w:eastAsia="es-ES"/>
        </w:rPr>
        <w:t xml:space="preserve">) ¿En los procesos de licitación pública se puede ampliar el plazo de la licitación hasta la mitad del término inicialmente fijado? </w:t>
      </w:r>
      <w:proofErr w:type="spellStart"/>
      <w:r>
        <w:rPr>
          <w:rFonts w:ascii="Verdana" w:eastAsia="Calibri" w:hAnsi="Verdana" w:cs="Arial"/>
          <w:color w:val="000000"/>
          <w:lang w:eastAsia="es-ES"/>
        </w:rPr>
        <w:t>iv</w:t>
      </w:r>
      <w:proofErr w:type="spellEnd"/>
      <w:r>
        <w:rPr>
          <w:rFonts w:ascii="Verdana" w:eastAsia="Calibri" w:hAnsi="Verdana" w:cs="Arial"/>
          <w:color w:val="000000"/>
          <w:lang w:eastAsia="es-ES"/>
        </w:rPr>
        <w:t>) ¿La posibilidad de ampliar el plazo aplica para el concurso de méritos y el proceso de selección abreviada?</w:t>
      </w:r>
    </w:p>
    <w:p w14:paraId="655A64F4" w14:textId="77777777" w:rsidR="00B936CA" w:rsidRDefault="00B936CA" w:rsidP="00B936CA">
      <w:pPr>
        <w:spacing w:after="0" w:line="276" w:lineRule="auto"/>
        <w:jc w:val="both"/>
        <w:rPr>
          <w:rFonts w:ascii="Verdana" w:eastAsia="Century Gothic" w:hAnsi="Verdana" w:cs="Century Gothic"/>
          <w:b/>
          <w:bCs/>
        </w:rPr>
      </w:pPr>
      <w:r w:rsidRPr="00B33011">
        <w:rPr>
          <w:rFonts w:ascii="Verdana" w:eastAsia="Century Gothic" w:hAnsi="Verdana" w:cs="Century Gothic"/>
          <w:b/>
          <w:bCs/>
        </w:rPr>
        <w:t>2. Respuesta:</w:t>
      </w:r>
    </w:p>
    <w:tbl>
      <w:tblPr>
        <w:tblStyle w:val="Tablaconcuadrcula"/>
        <w:tblpPr w:leftFromText="141" w:rightFromText="141" w:vertAnchor="text" w:horzAnchor="margin" w:tblpY="155"/>
        <w:tblW w:w="8938" w:type="dxa"/>
        <w:tblLook w:val="04A0" w:firstRow="1" w:lastRow="0" w:firstColumn="1" w:lastColumn="0" w:noHBand="0" w:noVBand="1"/>
      </w:tblPr>
      <w:tblGrid>
        <w:gridCol w:w="8938"/>
      </w:tblGrid>
      <w:tr w:rsidR="00B936CA" w:rsidRPr="00CF6A30" w14:paraId="443160A3" w14:textId="77777777" w:rsidTr="00087E80">
        <w:trPr>
          <w:trHeight w:val="1977"/>
        </w:trPr>
        <w:tc>
          <w:tcPr>
            <w:tcW w:w="8938" w:type="dxa"/>
          </w:tcPr>
          <w:p w14:paraId="57DFDC26" w14:textId="77777777" w:rsidR="00B936CA" w:rsidRPr="00006192" w:rsidRDefault="00B936CA" w:rsidP="00087E80">
            <w:pPr>
              <w:spacing w:after="120" w:line="276" w:lineRule="auto"/>
              <w:jc w:val="both"/>
              <w:rPr>
                <w:rFonts w:ascii="Verdana" w:hAnsi="Verdana"/>
              </w:rPr>
            </w:pPr>
            <w:r w:rsidRPr="00006192">
              <w:rPr>
                <w:rFonts w:ascii="Verdana" w:hAnsi="Verdana"/>
              </w:rPr>
              <w:t xml:space="preserve">i) Para las entidades sometidas al Estatuto General de Contratación de la Administración Pública, los procesos de selección se rigen por el artículo 2 de la Ley 1150 de 2007. El numeral uno, inciso primero, de la norma citada dispone que “La escogencia del contratista se efectuará por regla general a través de licitación pública, con las excepciones que se señalan en los numerales 2, 3 y 4 del presente artículo”, norma que sustituye el derogado numeral 1 del artículo 24 de la Ley 80 de 1993 sobre el principio de transparencia. </w:t>
            </w:r>
          </w:p>
          <w:p w14:paraId="420D9325" w14:textId="77777777" w:rsidR="00B936CA" w:rsidRPr="00006192" w:rsidRDefault="00B936CA" w:rsidP="00B936CA">
            <w:pPr>
              <w:spacing w:after="120" w:line="276" w:lineRule="auto"/>
              <w:ind w:firstLine="709"/>
              <w:jc w:val="both"/>
              <w:rPr>
                <w:rFonts w:ascii="Verdana" w:hAnsi="Verdana"/>
              </w:rPr>
            </w:pPr>
            <w:r w:rsidRPr="00006192">
              <w:rPr>
                <w:rFonts w:ascii="Verdana" w:hAnsi="Verdana"/>
              </w:rPr>
              <w:t xml:space="preserve">De esta manera,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Por lo tanto, los otros procedimientos de selección distintos a la licitación pública cuentan con algunas normas de carácter especial que deberán ser observados por parte de la entidad estatal. </w:t>
            </w:r>
          </w:p>
          <w:p w14:paraId="1DD2B727" w14:textId="77777777" w:rsidR="00B936CA" w:rsidRPr="00006192" w:rsidRDefault="00B936CA" w:rsidP="00087E80">
            <w:pPr>
              <w:spacing w:after="120" w:line="276" w:lineRule="auto"/>
              <w:jc w:val="both"/>
              <w:rPr>
                <w:rFonts w:ascii="Verdana" w:hAnsi="Verdana"/>
              </w:rPr>
            </w:pPr>
            <w:proofErr w:type="spellStart"/>
            <w:r w:rsidRPr="00006192">
              <w:rPr>
                <w:rFonts w:ascii="Verdana" w:hAnsi="Verdana"/>
              </w:rPr>
              <w:t>ii</w:t>
            </w:r>
            <w:proofErr w:type="spellEnd"/>
            <w:r w:rsidRPr="00006192">
              <w:rPr>
                <w:rFonts w:ascii="Verdana" w:hAnsi="Verdana"/>
              </w:rPr>
              <w:t xml:space="preserve">) En cuanto al segundo problema jurídico, de conformidad con lo dispuesto en el numeral 5 del artículo 30 la Ley 80 de 1993 el plazo de licitación se entiende como el “término que debe transcurrir entre la fecha a partir de la cual se pueden presentar propuestas y la de su cierre”, de esta manera, el término se contabiliza a partir de la fecha que se haya definido en el aviso de convocatoria al indicar que dicho aviso debe contener cierta información en la que se destaca la fecha límite en el que los interesados deben presentar su oferta, el lugar y forma de presentación de la mismas (artículo 2.2.1.1.2.1.2 numeral 6 y 12 del Decreto 1082 de 2015) así como en el contenido del pliego de condiciones (numeral 14 del artículo 2.2.1.1.2.1.3 del Decreto 1082 de 2015). Por lo tanto, el término se contabiliza a partir del plazo que haya dispuesto la entidad estatal para la presentación de las ofertas. </w:t>
            </w:r>
          </w:p>
          <w:p w14:paraId="37C91C4C" w14:textId="77777777" w:rsidR="00B936CA" w:rsidRPr="00006192" w:rsidRDefault="00B936CA" w:rsidP="00087E80">
            <w:pPr>
              <w:spacing w:after="120" w:line="276" w:lineRule="auto"/>
              <w:jc w:val="both"/>
              <w:rPr>
                <w:rFonts w:ascii="Verdana" w:hAnsi="Verdana"/>
              </w:rPr>
            </w:pPr>
            <w:proofErr w:type="spellStart"/>
            <w:r w:rsidRPr="00006192">
              <w:rPr>
                <w:rFonts w:ascii="Verdana" w:hAnsi="Verdana"/>
              </w:rPr>
              <w:t>iii</w:t>
            </w:r>
            <w:proofErr w:type="spellEnd"/>
            <w:r w:rsidRPr="00006192">
              <w:rPr>
                <w:rFonts w:ascii="Verdana" w:hAnsi="Verdana"/>
              </w:rPr>
              <w:t xml:space="preserve">) El artículo 30 numeral 5 inciso segundo indica que “Cuando lo estime conveniente la entidad interesada, de oficio o a solicitud de un número plural de posibles oferentes, dicho plazo [entendido el plazo de licitación]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006192">
              <w:rPr>
                <w:rFonts w:ascii="Verdana" w:hAnsi="Verdana"/>
              </w:rPr>
              <w:t>del mismo</w:t>
            </w:r>
            <w:proofErr w:type="gramEnd"/>
            <w:r w:rsidRPr="00006192">
              <w:rPr>
                <w:rFonts w:ascii="Verdana" w:hAnsi="Verdana"/>
              </w:rPr>
              <w:t>. La publicación de estas adendas sólo se podrá realizar en días hábiles y horarios laborales”.</w:t>
            </w:r>
          </w:p>
          <w:p w14:paraId="394F743D" w14:textId="77777777" w:rsidR="00B936CA" w:rsidRPr="00006192" w:rsidRDefault="00B936CA" w:rsidP="00B936CA">
            <w:pPr>
              <w:spacing w:after="120" w:line="276" w:lineRule="auto"/>
              <w:ind w:firstLine="709"/>
              <w:jc w:val="both"/>
              <w:rPr>
                <w:rFonts w:ascii="Verdana" w:hAnsi="Verdana"/>
              </w:rPr>
            </w:pPr>
            <w:r w:rsidRPr="00006192">
              <w:rPr>
                <w:rFonts w:ascii="Verdana" w:hAnsi="Verdana"/>
              </w:rPr>
              <w:t xml:space="preserve">De conformidad con lo anterior, en los procesos de selección a través de la licitación pública, siempre que lo estime conveniente la entidad, de oficio o por solicitud de un número plural de interesados podrá prorrogar el plazo de licitación antes de su vencimiento, por un término no superior a la mitad del plazo inicialmente fijado en el cronograma contenido en el pliego de condiciones. Por lo tanto, se trata de una potestad de la administración definir en primer lugar si procede con la prórroga del plazo para presentar las </w:t>
            </w:r>
            <w:proofErr w:type="gramStart"/>
            <w:r w:rsidRPr="00006192">
              <w:rPr>
                <w:rFonts w:ascii="Verdana" w:hAnsi="Verdana"/>
              </w:rPr>
              <w:t>ofertas</w:t>
            </w:r>
            <w:proofErr w:type="gramEnd"/>
            <w:r w:rsidRPr="00006192">
              <w:rPr>
                <w:rFonts w:ascii="Verdana" w:hAnsi="Verdana"/>
              </w:rPr>
              <w:t xml:space="preserve"> así como el término o plazo para ello, que en todo caso no puede ser superior a la mitad del plazo inicialmente fijado.</w:t>
            </w:r>
          </w:p>
          <w:p w14:paraId="382B1FD4" w14:textId="77777777" w:rsidR="00B936CA" w:rsidRPr="00006192" w:rsidRDefault="00B936CA" w:rsidP="00B936CA">
            <w:pPr>
              <w:spacing w:after="120" w:line="276" w:lineRule="auto"/>
              <w:ind w:firstLine="709"/>
              <w:jc w:val="both"/>
              <w:rPr>
                <w:rFonts w:ascii="Verdana" w:hAnsi="Verdana"/>
              </w:rPr>
            </w:pPr>
            <w:r w:rsidRPr="00006192">
              <w:rPr>
                <w:rFonts w:ascii="Verdana" w:hAnsi="Verdana"/>
              </w:rPr>
              <w:t xml:space="preserve">De cualquier modo, la facultad de modificar los pliegos de condiciones tiene límites materiales y temporales. Aunque los límites materiales de las modificaciones de los pliegos de condiciones no están definidos positivamente en la ley, de conformidad con lo dispuesto en el artículo 30.5 de la Ley 80 de 1993, modificado por el artículo 89 de la Ley 1474 de 2011, y el artículo 2.2.1.1.2.2.1. del Decreto 1082 de 2015, es posible identificar que las entidades pueden realizar (2) tipos de ajustes que den lugar a la expedición de adendas: i) los referidos a las condiciones técnicas, jurídicas y económicas del pliego definitivo y, en general, a cualquier contenido distinto del cronograma del procedimiento de selección, y </w:t>
            </w:r>
            <w:proofErr w:type="spellStart"/>
            <w:r w:rsidRPr="00006192">
              <w:rPr>
                <w:rFonts w:ascii="Verdana" w:hAnsi="Verdana"/>
              </w:rPr>
              <w:t>ii</w:t>
            </w:r>
            <w:proofErr w:type="spellEnd"/>
            <w:r w:rsidRPr="00006192">
              <w:rPr>
                <w:rFonts w:ascii="Verdana" w:hAnsi="Verdana"/>
              </w:rPr>
              <w:t>) los del cronograma.</w:t>
            </w:r>
          </w:p>
          <w:p w14:paraId="6970CF6C" w14:textId="77777777" w:rsidR="00B936CA" w:rsidRPr="00006192" w:rsidRDefault="00B936CA" w:rsidP="00B936CA">
            <w:pPr>
              <w:spacing w:after="120" w:line="276" w:lineRule="auto"/>
              <w:ind w:firstLine="709"/>
              <w:jc w:val="both"/>
              <w:rPr>
                <w:rFonts w:ascii="Verdana" w:hAnsi="Verdana"/>
              </w:rPr>
            </w:pPr>
            <w:r w:rsidRPr="00006192">
              <w:rPr>
                <w:rFonts w:ascii="Verdana" w:hAnsi="Verdana"/>
              </w:rPr>
              <w:t xml:space="preserve">Además, las Entidades Estatales deberán considerar el límite temporal para la expedición de las adendas. Al respecto, el artículo 2.2.1.1.2.2.1 del Decreto 1082 de 2015 estableció que este es de tres (3) días hábiles antes del vencimiento del plazo para presentar ofertas en los procesos de licitación pública. Para las demás modalidades de selección, el límite será de un (1) día hábil antes del vencimiento del plazo para presentar ofertas. Adicionalmente, la norma establece la posibilidad de expedir adendas modificatorias del cronograma después del vencimiento del término de presentación de ofertas y antes de la adjudicación del contrato, sin distinción frente a la modalidad de selección. </w:t>
            </w:r>
          </w:p>
          <w:p w14:paraId="27D2400C" w14:textId="77777777" w:rsidR="00B936CA" w:rsidRPr="00006192" w:rsidRDefault="00B936CA" w:rsidP="00B936CA">
            <w:pPr>
              <w:spacing w:after="120" w:line="276" w:lineRule="auto"/>
              <w:ind w:firstLine="709"/>
              <w:jc w:val="both"/>
              <w:rPr>
                <w:rFonts w:ascii="Verdana" w:hAnsi="Verdana"/>
              </w:rPr>
            </w:pPr>
            <w:r w:rsidRPr="00006192">
              <w:rPr>
                <w:rFonts w:ascii="Verdana" w:hAnsi="Verdana"/>
              </w:rPr>
              <w:t xml:space="preserve">Sin embargo, existen ciertos límites temporales para la expedición y publicación de las adendas respecto de las adendas proferidas antes del cierre del proceso. En primer lugar, es necesario que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establecida específicamente para los procesos de licitación pública en el artículo 30.5 de la Ley 80 de 1993, y reiterada en la norma citada del Decreto 1082 de 2015, en los cuales las adendas no podrán expedirse dentro de los tres (3) días hábiles anteriores en que se tiene previsto el cierre del proceso de selección, de modo que deberán expedirse antes de ese momento. </w:t>
            </w:r>
          </w:p>
          <w:p w14:paraId="47EFCFB8" w14:textId="77777777" w:rsidR="00B936CA" w:rsidRPr="00006192" w:rsidRDefault="00B936CA" w:rsidP="00087E80">
            <w:pPr>
              <w:spacing w:after="120" w:line="276" w:lineRule="auto"/>
              <w:jc w:val="both"/>
              <w:rPr>
                <w:rFonts w:ascii="Verdana" w:hAnsi="Verdana"/>
              </w:rPr>
            </w:pPr>
            <w:proofErr w:type="spellStart"/>
            <w:r w:rsidRPr="00006192">
              <w:rPr>
                <w:rFonts w:ascii="Verdana" w:hAnsi="Verdana"/>
              </w:rPr>
              <w:t>iv</w:t>
            </w:r>
            <w:proofErr w:type="spellEnd"/>
            <w:r w:rsidRPr="00006192">
              <w:rPr>
                <w:rFonts w:ascii="Verdana" w:hAnsi="Verdana"/>
              </w:rPr>
              <w:t xml:space="preserve">) Sobre el cuarto problema jurídico, es posible fundamentar la ampliación del plazo para recibir ofertas en la selección abreviada y en el concurso de méritos en la autonomía y en la discrecionalidad que contiene el artículo 2.2.1.1.2.2.1 del Decreto 1082 de 2015 para modificar el cronograma. La norma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 </w:t>
            </w:r>
          </w:p>
          <w:p w14:paraId="40C3E130" w14:textId="77777777" w:rsidR="00B936CA" w:rsidRDefault="00B936CA" w:rsidP="00B936CA">
            <w:pPr>
              <w:spacing w:after="120" w:line="276" w:lineRule="auto"/>
              <w:ind w:firstLine="709"/>
              <w:jc w:val="both"/>
              <w:rPr>
                <w:rFonts w:ascii="Verdana" w:hAnsi="Verdana"/>
              </w:rPr>
            </w:pPr>
            <w:r w:rsidRPr="00006192">
              <w:rPr>
                <w:rFonts w:ascii="Verdana" w:hAnsi="Verdana"/>
              </w:rPr>
              <w:t xml:space="preserve">El entendimiento de la norma citada supone diferenciar entre dos (2) tipos de ajustes: i) los referidos a las condiciones técnicas, jurídicas y económicas del pliego definitivo y </w:t>
            </w:r>
            <w:proofErr w:type="spellStart"/>
            <w:r w:rsidRPr="00006192">
              <w:rPr>
                <w:rFonts w:ascii="Verdana" w:hAnsi="Verdana"/>
              </w:rPr>
              <w:t>ii</w:t>
            </w:r>
            <w:proofErr w:type="spellEnd"/>
            <w:r w:rsidRPr="00006192">
              <w:rPr>
                <w:rFonts w:ascii="Verdana" w:hAnsi="Verdana"/>
              </w:rPr>
              <w:t>)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p w14:paraId="55048CC0" w14:textId="77777777" w:rsidR="00B936CA" w:rsidRDefault="00B936CA" w:rsidP="00B936CA">
            <w:pPr>
              <w:spacing w:after="120" w:line="276" w:lineRule="auto"/>
              <w:ind w:firstLine="709"/>
              <w:jc w:val="both"/>
              <w:rPr>
                <w:rFonts w:ascii="Verdana" w:hAnsi="Verdana"/>
              </w:rPr>
            </w:pPr>
            <w:r w:rsidRPr="00006192">
              <w:rPr>
                <w:rFonts w:ascii="Verdana" w:hAnsi="Verdana"/>
              </w:rPr>
              <w:t xml:space="preserve">Aunque se podría objetar que la disposición no permite ampliar los términos para recibir las propuestas, lo cierto es que se encuentra incluida en aquella, sobre todo cuando el artículo 2.2.1.1.2.2.1 del Decreto 1082 de 2015 se aplica indistintamente a las ampliaciones de cualquier etapa del procedimiento de selección. Incluso, teniendo en cuenta que el desarrollo del procedimiento selección abreviada le corresponde al reglamento, es razonable fundamentar la posibilidad en esta norma, pues no es correcto afirmar que procede exclusivamente de la ley. </w:t>
            </w:r>
          </w:p>
          <w:p w14:paraId="6C4F95C4" w14:textId="41C8F24F" w:rsidR="00B936CA" w:rsidRPr="00006192" w:rsidRDefault="00B936CA" w:rsidP="00B936CA">
            <w:pPr>
              <w:spacing w:after="120" w:line="276" w:lineRule="auto"/>
              <w:ind w:firstLine="709"/>
              <w:jc w:val="both"/>
              <w:rPr>
                <w:rFonts w:ascii="Verdana" w:hAnsi="Verdana"/>
              </w:rPr>
            </w:pPr>
            <w:r w:rsidRPr="00006192">
              <w:rPr>
                <w:rFonts w:ascii="Verdana" w:hAnsi="Verdana"/>
              </w:rPr>
              <w:t>Finalmente, aunque esta norma autoriza ampliar de los plazos del cronograma, incluido el plazo para la entrega de propuestas, no establece un límite como el previsto para la licitación pública en el artículo 30, numeral 5, del Estatuto General, razón por la cual las entidades tienen un margen de autonomía y de discrecionalidad para establecerlo en el procedimiento de selección abreviada y en el concurso de méritos. Este aspecto es relevante, porque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Por tanto, si bien no existe una limitación preestablecida, la ampliación del plazo para recibir las ofertas debe ser razonable, para garantizar la continuidad de los servicios a cargo de la Administración y la austeridad en los tiempos del proceso de selección –arts. 3 y 25.4 del Estatuto General, respectivamente–.</w:t>
            </w:r>
          </w:p>
        </w:tc>
      </w:tr>
    </w:tbl>
    <w:p w14:paraId="35551E5D" w14:textId="77777777" w:rsidR="00B936CA" w:rsidRDefault="00B936CA" w:rsidP="00B936CA">
      <w:pPr>
        <w:spacing w:after="0" w:line="276" w:lineRule="auto"/>
        <w:jc w:val="both"/>
        <w:rPr>
          <w:rFonts w:ascii="Verdana" w:eastAsia="Century Gothic" w:hAnsi="Verdana" w:cs="Century Gothic"/>
          <w:b/>
          <w:bCs/>
        </w:rPr>
      </w:pPr>
    </w:p>
    <w:p w14:paraId="1D7AA4C3" w14:textId="77777777" w:rsidR="00B936CA" w:rsidRDefault="00B936CA" w:rsidP="00B936CA">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50F918E" w14:textId="77777777" w:rsidR="00B936CA" w:rsidRPr="005644FE" w:rsidRDefault="00B936CA" w:rsidP="00B936CA">
      <w:pPr>
        <w:tabs>
          <w:tab w:val="left" w:pos="142"/>
          <w:tab w:val="left" w:pos="284"/>
        </w:tabs>
        <w:spacing w:after="0" w:line="276" w:lineRule="auto"/>
        <w:jc w:val="both"/>
        <w:rPr>
          <w:rFonts w:ascii="Verdana" w:eastAsia="Century Gothic" w:hAnsi="Verdana" w:cs="Century Gothic"/>
          <w:b/>
          <w:bCs/>
        </w:rPr>
      </w:pPr>
    </w:p>
    <w:p w14:paraId="414F975A" w14:textId="77777777" w:rsidR="00B936CA" w:rsidRDefault="00B936CA" w:rsidP="00B936CA">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256E3C53" w14:textId="77777777" w:rsidR="00B936CA" w:rsidRPr="002167F7" w:rsidRDefault="00B936CA" w:rsidP="00B936CA">
      <w:pPr>
        <w:spacing w:before="120" w:after="120" w:line="276" w:lineRule="auto"/>
        <w:ind w:right="49"/>
        <w:jc w:val="both"/>
        <w:rPr>
          <w:rFonts w:ascii="Verdana" w:eastAsiaTheme="minorEastAsia" w:hAnsi="Verdana" w:cs="Arial"/>
          <w:lang w:val="es-ES" w:eastAsia="es-CO"/>
        </w:rPr>
      </w:pPr>
      <w:r>
        <w:rPr>
          <w:rFonts w:ascii="Verdana" w:eastAsiaTheme="minorEastAsia" w:hAnsi="Verdana" w:cs="Arial"/>
          <w:spacing w:val="-1"/>
          <w:lang w:val="es-ES" w:eastAsia="es-CO"/>
        </w:rPr>
        <w:t>i) Para dar respuesta al primer problema jurídico, resulta importante indicar de manera preliminar que ini</w:t>
      </w:r>
      <w:r w:rsidRPr="002167F7">
        <w:rPr>
          <w:rFonts w:ascii="Verdana" w:eastAsiaTheme="minorEastAsia" w:hAnsi="Verdana" w:cs="Arial"/>
          <w:spacing w:val="-1"/>
          <w:lang w:val="es-ES" w:eastAsia="es-CO"/>
        </w:rPr>
        <w:t>cialmente,</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Ley</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80</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1993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estableció</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tres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procedimientos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selección:</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i)</w:t>
      </w:r>
      <w:r w:rsidRPr="002167F7">
        <w:rPr>
          <w:rFonts w:ascii="Verdana" w:eastAsiaTheme="minorEastAsia" w:hAnsi="Verdana" w:cs="Arial"/>
          <w:spacing w:val="-16"/>
          <w:lang w:val="es-ES" w:eastAsia="es-CO"/>
        </w:rPr>
        <w:t xml:space="preserve"> </w:t>
      </w:r>
      <w:r w:rsidRPr="002167F7">
        <w:rPr>
          <w:rFonts w:ascii="Verdana" w:eastAsiaTheme="minorEastAsia" w:hAnsi="Verdana" w:cs="Arial"/>
          <w:lang w:val="es-ES" w:eastAsia="es-CO"/>
        </w:rPr>
        <w:t xml:space="preserve">licitación o concurso público, </w:t>
      </w:r>
      <w:proofErr w:type="spellStart"/>
      <w:r w:rsidRPr="002167F7">
        <w:rPr>
          <w:rFonts w:ascii="Verdana" w:eastAsiaTheme="minorEastAsia" w:hAnsi="Verdana" w:cs="Arial"/>
          <w:lang w:val="es-ES" w:eastAsia="es-CO"/>
        </w:rPr>
        <w:t>ii</w:t>
      </w:r>
      <w:proofErr w:type="spellEnd"/>
      <w:r w:rsidRPr="002167F7">
        <w:rPr>
          <w:rFonts w:ascii="Verdana" w:eastAsiaTheme="minorEastAsia" w:hAnsi="Verdana" w:cs="Arial"/>
          <w:lang w:val="es-ES" w:eastAsia="es-CO"/>
        </w:rPr>
        <w:t xml:space="preserve">) contratación sin formalidades plenas y </w:t>
      </w:r>
      <w:proofErr w:type="spellStart"/>
      <w:r w:rsidRPr="002167F7">
        <w:rPr>
          <w:rFonts w:ascii="Verdana" w:eastAsiaTheme="minorEastAsia" w:hAnsi="Verdana" w:cs="Arial"/>
          <w:lang w:val="es-ES" w:eastAsia="es-CO"/>
        </w:rPr>
        <w:t>iii</w:t>
      </w:r>
      <w:proofErr w:type="spellEnd"/>
      <w:r w:rsidRPr="002167F7">
        <w:rPr>
          <w:rFonts w:ascii="Verdana" w:eastAsiaTheme="minorEastAsia" w:hAnsi="Verdana" w:cs="Arial"/>
          <w:lang w:val="es-ES" w:eastAsia="es-CO"/>
        </w:rPr>
        <w:t>) contratación directa. Dentro de</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este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esquema,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primero</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regla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general,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pues</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sólo</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posible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acudir</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los</w:t>
      </w:r>
      <w:r w:rsidRPr="002167F7">
        <w:rPr>
          <w:rFonts w:ascii="Verdana" w:eastAsiaTheme="minorEastAsia" w:hAnsi="Verdana" w:cs="Arial"/>
          <w:spacing w:val="-59"/>
          <w:lang w:val="es-ES" w:eastAsia="es-CO"/>
        </w:rPr>
        <w:t xml:space="preserve"> </w:t>
      </w:r>
      <w:r w:rsidRPr="002167F7">
        <w:rPr>
          <w:rFonts w:ascii="Verdana" w:eastAsiaTheme="minorEastAsia" w:hAnsi="Verdana" w:cs="Arial"/>
          <w:lang w:val="es-ES" w:eastAsia="es-CO"/>
        </w:rPr>
        <w:t>demás ante la configuración de causales previamente establecidas por el ordenamiento. En efecto, la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Administración</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carecía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discrecionalidad</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para</w:t>
      </w:r>
      <w:r w:rsidRPr="002167F7">
        <w:rPr>
          <w:rFonts w:ascii="Verdana" w:eastAsiaTheme="minorEastAsia" w:hAnsi="Verdana" w:cs="Arial"/>
          <w:spacing w:val="-3"/>
          <w:lang w:val="es-ES" w:eastAsia="es-CO"/>
        </w:rPr>
        <w:t xml:space="preserve"> </w:t>
      </w:r>
      <w:r w:rsidRPr="002167F7">
        <w:rPr>
          <w:rFonts w:ascii="Verdana" w:eastAsiaTheme="minorEastAsia" w:hAnsi="Verdana" w:cs="Arial"/>
          <w:lang w:val="es-ES" w:eastAsia="es-CO"/>
        </w:rPr>
        <w:t>establecer</w:t>
      </w:r>
      <w:r w:rsidRPr="002167F7">
        <w:rPr>
          <w:rFonts w:ascii="Verdana" w:eastAsiaTheme="minorEastAsia" w:hAnsi="Verdana" w:cs="Arial"/>
          <w:spacing w:val="-4"/>
          <w:lang w:val="es-ES" w:eastAsia="es-CO"/>
        </w:rPr>
        <w:t xml:space="preserve"> estos </w:t>
      </w:r>
      <w:r w:rsidRPr="002167F7">
        <w:rPr>
          <w:rFonts w:ascii="Verdana" w:eastAsiaTheme="minorEastAsia" w:hAnsi="Verdana" w:cs="Arial"/>
          <w:lang w:val="es-ES" w:eastAsia="es-CO"/>
        </w:rPr>
        <w:t>procedimientos</w:t>
      </w:r>
      <w:r w:rsidRPr="002167F7">
        <w:rPr>
          <w:rFonts w:ascii="Verdana" w:eastAsiaTheme="minorEastAsia" w:hAnsi="Verdana" w:cs="Arial"/>
          <w:vertAlign w:val="superscript"/>
          <w:lang w:val="es-ES" w:eastAsia="es-CO"/>
        </w:rPr>
        <w:footnoteReference w:id="1"/>
      </w:r>
      <w:r w:rsidRPr="002167F7">
        <w:rPr>
          <w:rFonts w:ascii="Verdana" w:eastAsiaTheme="minorEastAsia" w:hAnsi="Verdana" w:cs="Arial"/>
          <w:lang w:val="es-ES" w:eastAsia="es-CO"/>
        </w:rPr>
        <w:t>.</w:t>
      </w:r>
    </w:p>
    <w:p w14:paraId="110D13D2" w14:textId="77777777" w:rsidR="00B936CA" w:rsidRPr="002167F7" w:rsidRDefault="00B936CA" w:rsidP="00B936CA">
      <w:pPr>
        <w:spacing w:before="120" w:after="120" w:line="276" w:lineRule="auto"/>
        <w:ind w:right="49" w:firstLine="708"/>
        <w:jc w:val="both"/>
        <w:rPr>
          <w:rFonts w:ascii="Verdana" w:eastAsiaTheme="minorEastAsia" w:hAnsi="Verdana" w:cs="Arial"/>
          <w:lang w:val="es-ES" w:eastAsia="es-CO"/>
        </w:rPr>
      </w:pPr>
      <w:r w:rsidRPr="002167F7">
        <w:rPr>
          <w:rFonts w:ascii="Verdana" w:eastAsiaTheme="minorEastAsia" w:hAnsi="Verdana" w:cs="Arial"/>
          <w:lang w:val="es-ES" w:eastAsia="es-CO"/>
        </w:rPr>
        <w:t>Después del 2007, el ordenamiento reguló nuevos procesos de selección. Con el artículo 2 de la Ley 1150 la licitación pública se convirtió en un</w:t>
      </w:r>
      <w:r>
        <w:rPr>
          <w:rFonts w:ascii="Verdana" w:eastAsiaTheme="minorEastAsia" w:hAnsi="Verdana" w:cs="Arial"/>
          <w:lang w:val="es-ES" w:eastAsia="es-CO"/>
        </w:rPr>
        <w:t xml:space="preserve"> </w:t>
      </w:r>
      <w:r w:rsidRPr="002167F7">
        <w:rPr>
          <w:rFonts w:ascii="Verdana" w:eastAsiaTheme="minorEastAsia" w:hAnsi="Verdana" w:cs="Arial"/>
          <w:lang w:val="es-ES" w:eastAsia="es-CO"/>
        </w:rPr>
        <w:t>procedimiento</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independiente del concurso de méritos, y se creó el procedimiento de selección</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abreviada. Finalmente, con la reforma introducida por la Ley 1474</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de 2011, las modalidades de selección a las que actualmente pueden recurrir las Entidades Estatales para adelantar sus procesos de contratación estatal son: 1) la licitación pública, 2)</w:t>
      </w:r>
      <w:r w:rsidRPr="002167F7">
        <w:rPr>
          <w:rFonts w:ascii="Verdana" w:eastAsiaTheme="minorEastAsia" w:hAnsi="Verdana" w:cs="Arial"/>
          <w:spacing w:val="1"/>
          <w:lang w:val="es-ES" w:eastAsia="es-CO"/>
        </w:rPr>
        <w:t xml:space="preserve"> la </w:t>
      </w:r>
      <w:r w:rsidRPr="002167F7">
        <w:rPr>
          <w:rFonts w:ascii="Verdana" w:eastAsiaTheme="minorEastAsia" w:hAnsi="Verdana" w:cs="Arial"/>
          <w:lang w:val="es-ES" w:eastAsia="es-CO"/>
        </w:rPr>
        <w:t xml:space="preserve">selección abreviada, 3) el concurso de méritos, 4) la mínima cuantía y 5) la contratación directa. </w:t>
      </w:r>
    </w:p>
    <w:p w14:paraId="3DBE26B2" w14:textId="77777777" w:rsidR="00B936CA" w:rsidRPr="00764242" w:rsidRDefault="00B936CA" w:rsidP="00B936CA">
      <w:pPr>
        <w:spacing w:before="120" w:after="120" w:line="276" w:lineRule="auto"/>
        <w:ind w:firstLine="709"/>
        <w:jc w:val="both"/>
        <w:rPr>
          <w:rFonts w:ascii="Verdana" w:hAnsi="Verdana" w:cs="Arial"/>
          <w:color w:val="000000" w:themeColor="text1"/>
        </w:rPr>
      </w:pPr>
      <w:r w:rsidRPr="00185EE9">
        <w:rPr>
          <w:rFonts w:ascii="Verdana" w:eastAsia="Calibri" w:hAnsi="Verdana" w:cs="Arial"/>
          <w:color w:val="000000"/>
          <w:szCs w:val="24"/>
          <w:lang w:val="es-ES_tradnl" w:eastAsia="es-ES_tradnl"/>
        </w:rPr>
        <w:t>P</w:t>
      </w:r>
      <w:r w:rsidRPr="00185EE9">
        <w:rPr>
          <w:rFonts w:ascii="Verdana" w:hAnsi="Verdana" w:cs="Arial"/>
          <w:lang w:val="es-ES"/>
        </w:rPr>
        <w:t xml:space="preserve">ara las entidades sometidas al Estatuto General de Contratación de la Administración Pública, los procesos de selección se rigen por </w:t>
      </w:r>
      <w:r w:rsidRPr="00185EE9">
        <w:rPr>
          <w:rFonts w:ascii="Verdana" w:hAnsi="Verdana" w:cs="Arial"/>
          <w:bCs/>
          <w:lang w:val="es-ES_tradnl"/>
        </w:rPr>
        <w:t>el artículo 2 de la Ley 1150 de 2007</w:t>
      </w:r>
      <w:r w:rsidRPr="00185EE9">
        <w:rPr>
          <w:rFonts w:ascii="Verdana" w:hAnsi="Verdana" w:cs="Arial"/>
          <w:lang w:val="es-ES"/>
        </w:rPr>
        <w:t xml:space="preserve">. El </w:t>
      </w:r>
      <w:r w:rsidRPr="00185EE9">
        <w:rPr>
          <w:rFonts w:ascii="Verdana" w:eastAsia="Calibri" w:hAnsi="Verdana" w:cs="Arial"/>
          <w:bCs/>
          <w:lang w:val="es-MX" w:eastAsia="es-ES_tradnl"/>
        </w:rPr>
        <w:t>numeral uno, inciso primero, de la norma citada</w:t>
      </w:r>
      <w:r w:rsidRPr="00185EE9">
        <w:rPr>
          <w:rFonts w:ascii="Verdana" w:hAnsi="Verdana" w:cs="Arial"/>
          <w:bCs/>
          <w:lang w:val="es-ES_tradnl"/>
        </w:rPr>
        <w:t xml:space="preserve"> </w:t>
      </w:r>
      <w:r w:rsidRPr="00185EE9">
        <w:rPr>
          <w:rFonts w:ascii="Verdana" w:eastAsia="Calibri" w:hAnsi="Verdana" w:cs="Arial"/>
          <w:bCs/>
          <w:lang w:val="es-MX" w:eastAsia="es-ES_tradnl"/>
        </w:rPr>
        <w:t xml:space="preserve">dispone que “La escogencia del contratista se efectuará por </w:t>
      </w:r>
      <w:r w:rsidRPr="00185EE9">
        <w:rPr>
          <w:rFonts w:ascii="Verdana" w:eastAsia="Calibri" w:hAnsi="Verdana" w:cs="Arial"/>
          <w:bCs/>
          <w:i/>
          <w:iCs/>
          <w:lang w:val="es-MX" w:eastAsia="es-ES_tradnl"/>
        </w:rPr>
        <w:t>regla general</w:t>
      </w:r>
      <w:r w:rsidRPr="00185EE9">
        <w:rPr>
          <w:rFonts w:ascii="Verdana" w:eastAsia="Calibri" w:hAnsi="Verdana" w:cs="Arial"/>
          <w:bCs/>
          <w:lang w:val="es-MX" w:eastAsia="es-ES_tradnl"/>
        </w:rPr>
        <w:t xml:space="preserve"> a través de licitación pública, con las </w:t>
      </w:r>
      <w:r w:rsidRPr="00185EE9">
        <w:rPr>
          <w:rFonts w:ascii="Verdana" w:eastAsia="Calibri" w:hAnsi="Verdana" w:cs="Arial"/>
          <w:bCs/>
          <w:i/>
          <w:iCs/>
          <w:lang w:val="es-MX" w:eastAsia="es-ES_tradnl"/>
        </w:rPr>
        <w:t>excepciones</w:t>
      </w:r>
      <w:r w:rsidRPr="00185EE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xml:space="preserve">. </w:t>
      </w:r>
    </w:p>
    <w:p w14:paraId="42DF5879" w14:textId="77777777" w:rsidR="00B936CA" w:rsidRDefault="00B936CA" w:rsidP="00B936CA">
      <w:pPr>
        <w:spacing w:after="120" w:line="276" w:lineRule="auto"/>
        <w:ind w:firstLine="708"/>
        <w:jc w:val="both"/>
        <w:rPr>
          <w:rFonts w:ascii="Verdana" w:eastAsia="Calibri" w:hAnsi="Verdana" w:cs="Arial"/>
          <w:bCs/>
          <w:lang w:val="es-MX" w:eastAsia="es-ES_tradnl"/>
        </w:rPr>
      </w:pPr>
      <w:r>
        <w:rPr>
          <w:rFonts w:ascii="Verdana" w:eastAsia="Calibri" w:hAnsi="Verdana" w:cs="Arial"/>
          <w:bCs/>
          <w:lang w:val="es-MX" w:eastAsia="es-ES_tradnl"/>
        </w:rPr>
        <w:t>De esta manera, s</w:t>
      </w:r>
      <w:r w:rsidRPr="00185EE9">
        <w:rPr>
          <w:rFonts w:ascii="Verdana" w:eastAsia="Calibri" w:hAnsi="Verdana" w:cs="Arial"/>
          <w:bCs/>
          <w:lang w:val="es-MX" w:eastAsia="es-ES_tradnl"/>
        </w:rPr>
        <w:t>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0D5203AF" w14:textId="77777777" w:rsidR="00B936CA" w:rsidRPr="00A92E3A" w:rsidRDefault="00B936CA" w:rsidP="00B936CA">
      <w:pPr>
        <w:spacing w:after="120" w:line="276" w:lineRule="auto"/>
        <w:ind w:firstLine="708"/>
        <w:jc w:val="both"/>
        <w:rPr>
          <w:rFonts w:ascii="Verdana" w:eastAsia="Calibri" w:hAnsi="Verdana" w:cs="Arial"/>
          <w:bCs/>
          <w:lang w:val="es-MX" w:eastAsia="es-ES_tradnl"/>
        </w:rPr>
      </w:pPr>
      <w:r w:rsidRPr="0007375E">
        <w:rPr>
          <w:rFonts w:ascii="Verdana" w:hAnsi="Verdana" w:cs="Arial"/>
          <w:color w:val="000000" w:themeColor="text1"/>
        </w:rPr>
        <w:t xml:space="preserve">En relación con la licitación pública, el artículo 30 de la Ley 80 de 1993 definió la estructura del proceso y estableció sus fases. Según esta normativa, se puede distinguir entre la fase de planificación o preparatoria y la licitación propiamente dicha. El inciso 1 del artículo mencionado establece dos momentos en el procedimiento de licitación: por un lado, </w:t>
      </w:r>
      <w:r>
        <w:rPr>
          <w:rFonts w:ascii="Verdana" w:hAnsi="Verdana" w:cs="Arial"/>
          <w:color w:val="000000" w:themeColor="text1"/>
        </w:rPr>
        <w:t xml:space="preserve">el relativo a la </w:t>
      </w:r>
      <w:r w:rsidRPr="0007375E">
        <w:rPr>
          <w:rFonts w:ascii="Verdana" w:hAnsi="Verdana" w:cs="Arial"/>
          <w:color w:val="000000" w:themeColor="text1"/>
        </w:rPr>
        <w:t xml:space="preserve">planificación, ya que la entidad, antes de iniciar el proceso de selección, debe desarrollar los estudios previos que fundamenten técnica y jurídicamente la contratación, de acuerdo con el inciso 12 del artículo 25 de esa ley y el artículo 2.2.1.1.2.1.1 del Decreto 1082 de 2015; por otro lado, se encuentra la etapa de inicio del proceso de selección en sí, que </w:t>
      </w:r>
      <w:r>
        <w:rPr>
          <w:rFonts w:ascii="Verdana" w:hAnsi="Verdana" w:cs="Arial"/>
          <w:color w:val="000000" w:themeColor="text1"/>
        </w:rPr>
        <w:t>comienza</w:t>
      </w:r>
      <w:r w:rsidRPr="0007375E">
        <w:rPr>
          <w:rFonts w:ascii="Verdana" w:hAnsi="Verdana" w:cs="Arial"/>
          <w:color w:val="000000" w:themeColor="text1"/>
        </w:rPr>
        <w:t xml:space="preserve"> con el acto administrativo de apertura del proceso. Además, el inciso 2 del artículo 30 de la Ley 80 de 1993 impone la obligación de preparar un pliego de condiciones, conforme a lo estipulado en el inciso 5 del artículo 24 de la misma ley y en el artículo 2.2.1.1.2.1.3 del Decreto 1082 de 2015. </w:t>
      </w:r>
    </w:p>
    <w:p w14:paraId="1E640F5E" w14:textId="77777777" w:rsidR="00B936CA" w:rsidRDefault="00B936CA" w:rsidP="00B936CA">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Por su parte, el numeral 3 señala que dentro de los 10 o 20 días calendario antes de la apertura de la licitación, la entidad debe publicar hasta 3 avisos para invitar a participar en el proceso de licitación. Los avisos deberán publicarse con intervalos de 2 a 5 días calendario entre cada uno, en la página web de la entidad y en el SECOP; en defecto de los mecanismos anteriores, en los pequeños poblados, esta publicación debe realizarse por bando o en los principales lugares públicos, por un término de 7 días calendario, uno de los cuales será en el «día de mercado» de la respectiva población. Además, se debe publicar otro aviso que contendrá la información señalada en el artículo 2.2.1.1.2.1.2. del Decreto 1082 de 2015.  </w:t>
      </w:r>
    </w:p>
    <w:p w14:paraId="7FAE44DD" w14:textId="77777777" w:rsidR="00B936CA" w:rsidRDefault="00B936CA" w:rsidP="00B936CA">
      <w:pPr>
        <w:tabs>
          <w:tab w:val="left" w:pos="851"/>
          <w:tab w:val="left" w:pos="1134"/>
        </w:tabs>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Para los procesos de concurso de méritos relativo a conformar lista de precalificados el artículo </w:t>
      </w:r>
      <w:r w:rsidRPr="00851357">
        <w:rPr>
          <w:rFonts w:ascii="Verdana" w:hAnsi="Verdana" w:cs="Arial"/>
          <w:color w:val="000000" w:themeColor="text1"/>
        </w:rPr>
        <w:t xml:space="preserve">2.2.1.2.1.3.4. </w:t>
      </w:r>
      <w:r>
        <w:rPr>
          <w:rFonts w:ascii="Verdana" w:hAnsi="Verdana" w:cs="Arial"/>
          <w:color w:val="000000" w:themeColor="text1"/>
        </w:rPr>
        <w:t xml:space="preserve">del Decreto 1082 de 2015 dispone la forma en que deben ser tramitado el aviso de convocatoria, al igual que para el proceso de selección de mínima cuantía contemplado en el artículo 2.2.1.2.1.5.2 del mismo Decreto (invitación pública). </w:t>
      </w:r>
    </w:p>
    <w:p w14:paraId="5B94C992" w14:textId="77777777" w:rsidR="00B936CA" w:rsidRDefault="00B936CA" w:rsidP="00B936CA">
      <w:pPr>
        <w:tabs>
          <w:tab w:val="left" w:pos="851"/>
          <w:tab w:val="left" w:pos="1134"/>
        </w:tabs>
        <w:spacing w:before="120" w:after="120" w:line="276" w:lineRule="auto"/>
        <w:ind w:firstLine="709"/>
        <w:jc w:val="both"/>
        <w:rPr>
          <w:rFonts w:ascii="Verdana" w:hAnsi="Verdana" w:cs="Arial"/>
          <w:color w:val="000000" w:themeColor="text1"/>
        </w:rPr>
      </w:pPr>
      <w:r>
        <w:rPr>
          <w:rFonts w:ascii="Verdana" w:hAnsi="Verdana" w:cs="Arial"/>
          <w:color w:val="000000" w:themeColor="text1"/>
        </w:rPr>
        <w:t>Por otro lado</w:t>
      </w:r>
      <w:r w:rsidRPr="0007375E">
        <w:rPr>
          <w:rFonts w:ascii="Verdana" w:hAnsi="Verdana" w:cs="Arial"/>
          <w:color w:val="000000" w:themeColor="text1"/>
        </w:rPr>
        <w:t>,</w:t>
      </w:r>
      <w:r>
        <w:rPr>
          <w:rFonts w:ascii="Verdana" w:hAnsi="Verdana" w:cs="Arial"/>
          <w:color w:val="000000" w:themeColor="text1"/>
        </w:rPr>
        <w:t xml:space="preserve"> en el proceso de licitación pública </w:t>
      </w:r>
      <w:r w:rsidRPr="0007375E">
        <w:rPr>
          <w:rFonts w:ascii="Verdana" w:hAnsi="Verdana" w:cs="Arial"/>
          <w:color w:val="000000" w:themeColor="text1"/>
        </w:rPr>
        <w:t>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w:t>
      </w:r>
      <w:r>
        <w:rPr>
          <w:rFonts w:ascii="Verdana" w:hAnsi="Verdana" w:cs="Arial"/>
          <w:color w:val="000000" w:themeColor="text1"/>
        </w:rPr>
        <w:t xml:space="preserve"> </w:t>
      </w:r>
      <w:r w:rsidRPr="0007375E">
        <w:rPr>
          <w:rFonts w:ascii="Verdana" w:hAnsi="Verdana" w:cs="Arial"/>
          <w:color w:val="000000" w:themeColor="text1"/>
        </w:rPr>
        <w:t>Este documento debe publicarse en el SECOP juntamente con los estudios y documentos previos, por no menos de 10 días hábiles anteriores a la apertura del proceso de licitación, –</w:t>
      </w:r>
      <w:bookmarkStart w:id="2" w:name="_Hlk177288477"/>
      <w:r w:rsidRPr="0007375E">
        <w:rPr>
          <w:rFonts w:ascii="Verdana" w:hAnsi="Verdana" w:cs="Arial"/>
          <w:color w:val="000000" w:themeColor="text1"/>
        </w:rPr>
        <w:t>artículos 8</w:t>
      </w:r>
      <w:bookmarkEnd w:id="2"/>
      <w:r w:rsidRPr="0007375E">
        <w:rPr>
          <w:rFonts w:ascii="Verdana" w:hAnsi="Verdana" w:cs="Arial"/>
          <w:color w:val="000000" w:themeColor="text1"/>
        </w:rPr>
        <w:t xml:space="preserve"> de la Ley 1150 de 2007 y 2.2.1.1.2.1.4. del Decreto 1082 de 2015.  </w:t>
      </w:r>
    </w:p>
    <w:p w14:paraId="7605C678" w14:textId="77777777" w:rsidR="00B936CA" w:rsidRDefault="00B936CA" w:rsidP="00B936CA">
      <w:pPr>
        <w:spacing w:after="120" w:line="276" w:lineRule="auto"/>
        <w:ind w:firstLine="709"/>
        <w:jc w:val="both"/>
        <w:rPr>
          <w:rFonts w:ascii="Verdana" w:hAnsi="Verdana" w:cs="Arial"/>
          <w:color w:val="000000"/>
          <w:shd w:val="clear" w:color="auto" w:fill="FFFFFF"/>
          <w:lang w:val="es-ES"/>
        </w:rPr>
      </w:pPr>
      <w:r>
        <w:rPr>
          <w:rFonts w:ascii="Verdana" w:hAnsi="Verdana" w:cs="Arial"/>
          <w:color w:val="000000"/>
          <w:shd w:val="clear" w:color="auto" w:fill="FFFFFF"/>
          <w:lang w:val="es-ES"/>
        </w:rPr>
        <w:t>Así mismo,</w:t>
      </w:r>
      <w:r w:rsidRPr="002167F7">
        <w:rPr>
          <w:rFonts w:ascii="Verdana" w:hAnsi="Verdana" w:cs="Arial"/>
          <w:color w:val="000000"/>
          <w:shd w:val="clear" w:color="auto" w:fill="FFFFFF"/>
          <w:lang w:val="es-ES"/>
        </w:rPr>
        <w:t xml:space="preserve"> las entidades deberán establecer requisitos habilitantes y de calificación para elegir la oferta más favorable, según lo dispuesto en el artículo 5 de la Ley 1150 de 2007. Par</w:t>
      </w:r>
      <w:r>
        <w:rPr>
          <w:rFonts w:ascii="Verdana" w:hAnsi="Verdana" w:cs="Arial"/>
          <w:color w:val="000000"/>
          <w:shd w:val="clear" w:color="auto" w:fill="FFFFFF"/>
          <w:lang w:val="es-ES"/>
        </w:rPr>
        <w:t>a</w:t>
      </w:r>
      <w:r w:rsidRPr="002167F7">
        <w:rPr>
          <w:rFonts w:ascii="Verdana" w:hAnsi="Verdana" w:cs="Arial"/>
          <w:color w:val="000000"/>
          <w:shd w:val="clear" w:color="auto" w:fill="FFFFFF"/>
          <w:lang w:val="es-ES"/>
        </w:rPr>
        <w:t xml:space="preserve"> esto, tendrán en cuenta factores técnicos y económicos, y la oferta más ventajosa será la que resulte de aplicar alguna de las siguientes alternativas:</w:t>
      </w:r>
      <w:r>
        <w:rPr>
          <w:rFonts w:ascii="Verdana" w:hAnsi="Verdana" w:cs="Arial"/>
          <w:color w:val="000000"/>
          <w:shd w:val="clear" w:color="auto" w:fill="FFFFFF"/>
          <w:lang w:val="es-ES"/>
        </w:rPr>
        <w:t xml:space="preserve"> </w:t>
      </w:r>
      <w:r w:rsidRPr="002167F7">
        <w:rPr>
          <w:rFonts w:ascii="Verdana" w:hAnsi="Verdana" w:cs="Arial"/>
          <w:color w:val="000000"/>
          <w:shd w:val="clear" w:color="auto" w:fill="FFFFFF"/>
          <w:lang w:val="es-ES"/>
        </w:rPr>
        <w:t>a) La ponderación de los elementos de calidad y precio soportados en puntajes o fórmulas señaladas en el pliego de condiciones; o b) La ponderación de los elementos de calidad y precio que representen la mejor relación de costo-beneficio para la entidad.</w:t>
      </w:r>
    </w:p>
    <w:p w14:paraId="569BE107" w14:textId="77777777" w:rsidR="00B936CA" w:rsidRDefault="00B936CA" w:rsidP="00B936CA">
      <w:pPr>
        <w:spacing w:after="120" w:line="276" w:lineRule="auto"/>
        <w:ind w:firstLine="709"/>
        <w:jc w:val="both"/>
        <w:rPr>
          <w:rFonts w:ascii="Verdana" w:eastAsia="Arial" w:hAnsi="Verdana" w:cs="Arial"/>
          <w:color w:val="000000"/>
        </w:rPr>
      </w:pPr>
      <w:r>
        <w:rPr>
          <w:rFonts w:ascii="Verdana" w:hAnsi="Verdana" w:cs="Arial"/>
          <w:color w:val="000000"/>
          <w:shd w:val="clear" w:color="auto" w:fill="FFFFFF"/>
          <w:lang w:val="es-ES"/>
        </w:rPr>
        <w:t xml:space="preserve">No </w:t>
      </w:r>
      <w:proofErr w:type="gramStart"/>
      <w:r>
        <w:rPr>
          <w:rFonts w:ascii="Verdana" w:hAnsi="Verdana" w:cs="Arial"/>
          <w:color w:val="000000"/>
          <w:shd w:val="clear" w:color="auto" w:fill="FFFFFF"/>
          <w:lang w:val="es-ES"/>
        </w:rPr>
        <w:t>obstante</w:t>
      </w:r>
      <w:proofErr w:type="gramEnd"/>
      <w:r>
        <w:rPr>
          <w:rFonts w:ascii="Verdana" w:hAnsi="Verdana" w:cs="Arial"/>
          <w:color w:val="000000"/>
          <w:shd w:val="clear" w:color="auto" w:fill="FFFFFF"/>
          <w:lang w:val="es-ES"/>
        </w:rPr>
        <w:t xml:space="preserve"> lo anterior, los requisitos habilitantes y que otorgan puntaje en la generalidad de los procesos de selección deberán ser observados por las entidades estatales conforme a lo dispuesto en el artículo 5 de la Ley 1150 de 2007 y el artículo </w:t>
      </w:r>
      <w:r w:rsidRPr="003F4A18">
        <w:rPr>
          <w:rFonts w:ascii="Verdana" w:eastAsia="Arial" w:hAnsi="Verdana" w:cs="Arial"/>
          <w:color w:val="000000"/>
        </w:rPr>
        <w:t>2.2.1.1.2.2.2 del Decreto 1082 de 2015, modificado por el Decreto 142 de 2023.</w:t>
      </w:r>
    </w:p>
    <w:p w14:paraId="3514B810" w14:textId="77777777" w:rsidR="00B936CA" w:rsidRDefault="00B936CA" w:rsidP="00B936CA">
      <w:pPr>
        <w:spacing w:after="120" w:line="276" w:lineRule="auto"/>
        <w:ind w:firstLine="709"/>
        <w:jc w:val="both"/>
        <w:rPr>
          <w:rFonts w:ascii="Verdana" w:hAnsi="Verdana" w:cs="Arial"/>
          <w:color w:val="000000"/>
          <w:shd w:val="clear" w:color="auto" w:fill="FFFFFF"/>
          <w:lang w:val="es-ES"/>
        </w:rPr>
      </w:pPr>
      <w:r>
        <w:rPr>
          <w:rFonts w:ascii="Verdana" w:eastAsia="Arial" w:hAnsi="Verdana" w:cs="Arial"/>
          <w:color w:val="000000"/>
        </w:rPr>
        <w:t>Para el caso del proceso de selección de mínima cuantía</w:t>
      </w:r>
      <w:r>
        <w:rPr>
          <w:rFonts w:ascii="Verdana" w:hAnsi="Verdana" w:cs="Arial"/>
          <w:color w:val="000000" w:themeColor="text1"/>
        </w:rPr>
        <w:t>, el artículo 2.2.1.2.1.5.1</w:t>
      </w:r>
      <w:r>
        <w:rPr>
          <w:rStyle w:val="Refdenotaalpie"/>
          <w:rFonts w:ascii="Verdana" w:hAnsi="Verdana" w:cs="Arial"/>
          <w:color w:val="000000" w:themeColor="text1"/>
        </w:rPr>
        <w:footnoteReference w:id="3"/>
      </w:r>
      <w:r>
        <w:rPr>
          <w:rFonts w:ascii="Verdana" w:hAnsi="Verdana" w:cs="Arial"/>
          <w:color w:val="000000" w:themeColor="text1"/>
        </w:rPr>
        <w:t xml:space="preserve"> del Decreto 1082 de 2015 define de manera particular el contenido de los estudios previos.</w:t>
      </w:r>
    </w:p>
    <w:p w14:paraId="76E61494" w14:textId="77777777" w:rsidR="00B936CA" w:rsidRDefault="00B936CA" w:rsidP="00B936CA">
      <w:pPr>
        <w:spacing w:after="120" w:line="276" w:lineRule="auto"/>
        <w:ind w:firstLine="709"/>
        <w:jc w:val="both"/>
        <w:rPr>
          <w:rFonts w:ascii="Verdana" w:hAnsi="Verdana" w:cs="Arial"/>
          <w:color w:val="000000" w:themeColor="text1"/>
        </w:rPr>
      </w:pPr>
      <w:r>
        <w:rPr>
          <w:rFonts w:ascii="Verdana" w:hAnsi="Verdana" w:cs="Arial"/>
          <w:color w:val="000000" w:themeColor="text1"/>
        </w:rPr>
        <w:t>Los</w:t>
      </w:r>
      <w:r w:rsidRPr="0007375E">
        <w:rPr>
          <w:rFonts w:ascii="Verdana" w:hAnsi="Verdana" w:cs="Arial"/>
          <w:color w:val="000000" w:themeColor="text1"/>
        </w:rPr>
        <w:t xml:space="preserve"> artículos </w:t>
      </w:r>
      <w:bookmarkStart w:id="3" w:name="_Hlk177288748"/>
      <w:r w:rsidRPr="0007375E">
        <w:rPr>
          <w:rFonts w:ascii="Verdana" w:hAnsi="Verdana" w:cs="Arial"/>
          <w:color w:val="000000" w:themeColor="text1"/>
        </w:rPr>
        <w:t>2.2.1.1.1.7.1</w:t>
      </w:r>
      <w:bookmarkEnd w:id="3"/>
      <w:r w:rsidRPr="0007375E">
        <w:rPr>
          <w:rFonts w:ascii="Verdana" w:hAnsi="Verdana" w:cs="Arial"/>
          <w:color w:val="000000" w:themeColor="text1"/>
        </w:rPr>
        <w:t xml:space="preserve">. y </w:t>
      </w:r>
      <w:bookmarkStart w:id="4" w:name="_Hlk177288766"/>
      <w:r w:rsidRPr="0007375E">
        <w:rPr>
          <w:rFonts w:ascii="Verdana" w:hAnsi="Verdana" w:cs="Arial"/>
          <w:color w:val="000000" w:themeColor="text1"/>
        </w:rPr>
        <w:t>2.2.1.1.2.1.4</w:t>
      </w:r>
      <w:bookmarkEnd w:id="4"/>
      <w:r>
        <w:rPr>
          <w:rStyle w:val="Refdenotaalpie"/>
          <w:rFonts w:ascii="Verdana" w:hAnsi="Verdana" w:cs="Arial"/>
          <w:color w:val="000000" w:themeColor="text1"/>
        </w:rPr>
        <w:footnoteReference w:id="4"/>
      </w:r>
      <w:r w:rsidRPr="0007375E">
        <w:rPr>
          <w:rFonts w:ascii="Verdana" w:hAnsi="Verdana" w:cs="Arial"/>
          <w:color w:val="000000" w:themeColor="text1"/>
        </w:rPr>
        <w:t>. del Decreto 1082 de 2015 establecen otra actuación</w:t>
      </w:r>
      <w:r>
        <w:rPr>
          <w:rFonts w:ascii="Verdana" w:hAnsi="Verdana" w:cs="Arial"/>
          <w:color w:val="000000" w:themeColor="text1"/>
        </w:rPr>
        <w:t xml:space="preserve"> en la licitación pública</w:t>
      </w:r>
      <w:r w:rsidRPr="0007375E">
        <w:rPr>
          <w:rFonts w:ascii="Verdana" w:hAnsi="Verdana" w:cs="Arial"/>
          <w:color w:val="000000" w:themeColor="text1"/>
        </w:rPr>
        <w:t xml:space="preserve">,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cronograma del proceso contenido en el “aviso de convocatoria” y en el “proyecto de pliego de condiciones”, la entidad debe responder, de forma motivada, cada una de las observaciones y publicarlas en el SECOP. Posteriormente, la entidad ajustará el pliego de condiciones, de ser procedente, tomando en cuenta, en lo pertinente, las aclaraciones que fueron solicitadas por los interesados y las observaciones. Debe tenerse en cuenta que las respuestas a dichas observaciones se integran al pliego de condiciones, en tanto precisan su alcance y se constituye en una fuente interpretativa del mismo.  </w:t>
      </w:r>
    </w:p>
    <w:p w14:paraId="73B058A4" w14:textId="77777777" w:rsidR="00B936CA" w:rsidRPr="007A0595" w:rsidRDefault="00B936CA" w:rsidP="00B936CA">
      <w:pPr>
        <w:spacing w:after="120" w:line="276" w:lineRule="auto"/>
        <w:ind w:firstLine="709"/>
        <w:jc w:val="both"/>
        <w:rPr>
          <w:rFonts w:ascii="Verdana" w:hAnsi="Verdana" w:cs="Arial"/>
          <w:color w:val="000000" w:themeColor="text1"/>
          <w:lang w:val="es-ES"/>
        </w:rPr>
      </w:pPr>
      <w:r>
        <w:rPr>
          <w:rFonts w:ascii="Verdana" w:hAnsi="Verdana" w:cs="Arial"/>
          <w:color w:val="000000" w:themeColor="text1"/>
        </w:rPr>
        <w:t>En los eventos en que se inicie el proceso de selección abreviada y concurso de méritos, el artículo 2.2.1.1.2.1.4 del Decreto 1082 de 2015 dispone que los interesados pueden hacer comentarios u observaciones al proyecto de pliegos en un término de cinco (5) días hábiles. En los procesos de selección de mínima cuantía, l</w:t>
      </w:r>
      <w:r w:rsidRPr="007A0595">
        <w:rPr>
          <w:rFonts w:ascii="Verdana" w:hAnsi="Verdana" w:cs="Arial"/>
          <w:color w:val="000000" w:themeColor="text1"/>
          <w:lang w:val="es-ES"/>
        </w:rPr>
        <w:t>as observaciones que presenten los interesados a la invitación deben responderse a más tardar antes del vencimiento del término para presentar las ofertas</w:t>
      </w:r>
      <w:r>
        <w:rPr>
          <w:rFonts w:ascii="Verdana" w:hAnsi="Verdana" w:cs="Arial"/>
          <w:color w:val="000000" w:themeColor="text1"/>
          <w:lang w:val="es-ES"/>
        </w:rPr>
        <w:t xml:space="preserve"> (artículo </w:t>
      </w:r>
      <w:r w:rsidRPr="007A0595">
        <w:rPr>
          <w:rFonts w:ascii="Verdana" w:hAnsi="Verdana" w:cs="Arial"/>
          <w:color w:val="000000" w:themeColor="text1"/>
        </w:rPr>
        <w:t>2.2.1.2.1.5.2 del Decreto 1082 de 2015)</w:t>
      </w:r>
      <w:r w:rsidRPr="007A0595">
        <w:rPr>
          <w:rFonts w:ascii="Verdana" w:hAnsi="Verdana" w:cs="Arial"/>
          <w:color w:val="000000" w:themeColor="text1"/>
          <w:lang w:val="es-ES"/>
        </w:rPr>
        <w:t>.</w:t>
      </w:r>
    </w:p>
    <w:p w14:paraId="4F45748D" w14:textId="77777777" w:rsidR="00B936CA" w:rsidRPr="0007375E" w:rsidRDefault="00B936CA" w:rsidP="00B936CA">
      <w:pPr>
        <w:spacing w:before="120" w:after="120" w:line="276" w:lineRule="auto"/>
        <w:ind w:firstLine="709"/>
        <w:jc w:val="both"/>
        <w:rPr>
          <w:rStyle w:val="normaltextrun"/>
          <w:rFonts w:ascii="Verdana" w:hAnsi="Verdana" w:cs="Arial"/>
          <w:color w:val="000000"/>
          <w:shd w:val="clear" w:color="auto" w:fill="FFFFFF"/>
        </w:rPr>
      </w:pPr>
      <w:r w:rsidRPr="0007375E">
        <w:rPr>
          <w:rFonts w:ascii="Verdana" w:hAnsi="Verdana" w:cs="Arial"/>
          <w:color w:val="000000" w:themeColor="text1"/>
        </w:rPr>
        <w:t xml:space="preserve">El artículo 30.1 de la Ley 80 </w:t>
      </w:r>
      <w:r>
        <w:rPr>
          <w:rFonts w:ascii="Verdana" w:hAnsi="Verdana" w:cs="Arial"/>
          <w:color w:val="000000" w:themeColor="text1"/>
        </w:rPr>
        <w:t xml:space="preserve">de 1993 </w:t>
      </w:r>
      <w:r w:rsidRPr="0007375E">
        <w:rPr>
          <w:rFonts w:ascii="Verdana" w:hAnsi="Verdana" w:cs="Arial"/>
          <w:color w:val="000000" w:themeColor="text1"/>
        </w:rPr>
        <w:t>establece que el jefe o representante de la entidad ordenará la apertura</w:t>
      </w:r>
      <w:r>
        <w:rPr>
          <w:rFonts w:ascii="Verdana" w:hAnsi="Verdana" w:cs="Arial"/>
          <w:color w:val="000000" w:themeColor="text1"/>
        </w:rPr>
        <w:t xml:space="preserve"> del proceso de licitación pública</w:t>
      </w:r>
      <w:r w:rsidRPr="0007375E">
        <w:rPr>
          <w:rFonts w:ascii="Verdana" w:hAnsi="Verdana" w:cs="Arial"/>
          <w:color w:val="000000" w:themeColor="text1"/>
        </w:rPr>
        <w:t xml:space="preserve"> mediante un acto administrativo, en la forma prevista en el artículo </w:t>
      </w:r>
      <w:bookmarkStart w:id="5" w:name="_Hlk177288819"/>
      <w:r w:rsidRPr="0007375E">
        <w:rPr>
          <w:rFonts w:ascii="Verdana" w:hAnsi="Verdana" w:cs="Arial"/>
          <w:color w:val="000000" w:themeColor="text1"/>
        </w:rPr>
        <w:t xml:space="preserve">2.2.1.1.2.1.5. </w:t>
      </w:r>
      <w:bookmarkEnd w:id="5"/>
      <w:r w:rsidRPr="0007375E">
        <w:rPr>
          <w:rFonts w:ascii="Verdana" w:hAnsi="Verdana" w:cs="Arial"/>
          <w:color w:val="000000" w:themeColor="text1"/>
        </w:rPr>
        <w:t xml:space="preserve">del Decreto 1082 de 2015, y deberá expedirse el pliego de condiciones definitivo. Con este acto de apertura inicia la etapa de licitación propiamente dicha, en la que –previa resolución de las observaciones que se realicen– los interesados podrán presentar ofertas. </w:t>
      </w:r>
      <w:r w:rsidRPr="0007375E">
        <w:rPr>
          <w:rStyle w:val="normaltextrun"/>
          <w:rFonts w:ascii="Verdana" w:hAnsi="Verdana" w:cs="Arial"/>
          <w:color w:val="000000"/>
          <w:shd w:val="clear" w:color="auto" w:fill="FFFFFF"/>
        </w:rPr>
        <w:t>Esta etapa fue denominada por el legislador como </w:t>
      </w:r>
      <w:r w:rsidRPr="0007375E">
        <w:rPr>
          <w:rStyle w:val="normaltextrun"/>
          <w:rFonts w:ascii="Verdana" w:hAnsi="Verdana" w:cs="Arial"/>
          <w:i/>
          <w:iCs/>
          <w:color w:val="000000"/>
          <w:shd w:val="clear" w:color="auto" w:fill="FFFFFF"/>
        </w:rPr>
        <w:t>plazo de licitación, </w:t>
      </w:r>
      <w:r w:rsidRPr="0007375E">
        <w:rPr>
          <w:rStyle w:val="normaltextrun"/>
          <w:rFonts w:ascii="Verdana" w:hAnsi="Verdana" w:cs="Arial"/>
          <w:color w:val="000000"/>
          <w:shd w:val="clear" w:color="auto" w:fill="FFFFFF"/>
        </w:rPr>
        <w:t>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3695317F" w14:textId="77777777" w:rsidR="00B936CA" w:rsidRPr="0007375E" w:rsidRDefault="00B936CA" w:rsidP="00B936CA">
      <w:pPr>
        <w:spacing w:before="120" w:after="120" w:line="276" w:lineRule="auto"/>
        <w:ind w:firstLine="708"/>
        <w:jc w:val="both"/>
        <w:rPr>
          <w:rFonts w:ascii="Verdana" w:hAnsi="Verdana" w:cs="Arial"/>
          <w:color w:val="000000" w:themeColor="text1"/>
        </w:rPr>
      </w:pPr>
      <w:r w:rsidRPr="0007375E">
        <w:rPr>
          <w:rFonts w:ascii="Verdana" w:hAnsi="Verdana" w:cs="Arial"/>
          <w:color w:val="000000" w:themeColor="text1"/>
        </w:rPr>
        <w:t>Así las cosas, la entidad pública es quien define el término con que contarán los oferentes para preparar y 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adenda dentro de los 3 días anteriores al cierre de la licitación. De todos modos, el término fijado es perentorio y de obligatorio cumplimiento para los oferentes, como se explicará más adelante en el numeral b de este documento.</w:t>
      </w:r>
    </w:p>
    <w:p w14:paraId="14989AAC" w14:textId="77777777" w:rsidR="00B936CA" w:rsidRPr="0007375E" w:rsidRDefault="00B936CA" w:rsidP="00B936CA">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Es pertinente señalar que en esta etapa de presentación de propuestas se surtirán otras actuaciones. El numeral 4 de la misma disposición establece una de ellas: la audiencia para precisar el alcance de los pliegos de condiciones y de asignación de riesgos. La oportunidad para celebrar esta audiencia es dentro de los tres (3) días hábiles siguientes al inicio del plazo de licitación.</w:t>
      </w:r>
    </w:p>
    <w:p w14:paraId="3D72818A" w14:textId="77777777" w:rsidR="00B936CA" w:rsidRPr="0007375E" w:rsidRDefault="00B936CA" w:rsidP="00B936CA">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Una vez precluida la oportunidad para presentar ofertas, en el plazo que señala el pliego de condiciones </w:t>
      </w:r>
      <w:r w:rsidRPr="0007375E">
        <w:rPr>
          <w:rFonts w:ascii="Verdana" w:eastAsia="Calibri" w:hAnsi="Verdana" w:cs="Arial"/>
          <w:bCs/>
          <w:color w:val="000000" w:themeColor="text1"/>
        </w:rPr>
        <w:t>conforme al artículo 30.7 de la Ley 80 de 1993</w:t>
      </w:r>
      <w:r w:rsidRPr="0007375E">
        <w:rPr>
          <w:rFonts w:ascii="Verdana" w:hAnsi="Verdana" w:cs="Arial"/>
          <w:bCs/>
          <w:color w:val="000000" w:themeColor="text1"/>
        </w:rPr>
        <w:t>,</w:t>
      </w:r>
      <w:r w:rsidRPr="0007375E">
        <w:rPr>
          <w:rFonts w:ascii="Verdana" w:hAnsi="Verdana" w:cs="Arial"/>
          <w:color w:val="000000" w:themeColor="text1"/>
        </w:rPr>
        <w:t xml:space="preserve"> el comité evaluador de la entidad realizará “los estudios técnicos, económicos y 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w:t>
      </w:r>
    </w:p>
    <w:p w14:paraId="6CE068CA" w14:textId="77777777" w:rsidR="00B936CA" w:rsidRPr="00ED28A8" w:rsidRDefault="00B936CA" w:rsidP="00B936CA">
      <w:pPr>
        <w:spacing w:line="276" w:lineRule="auto"/>
        <w:ind w:firstLine="708"/>
        <w:jc w:val="both"/>
        <w:rPr>
          <w:rFonts w:ascii="Verdana" w:hAnsi="Verdana" w:cs="Arial"/>
          <w:color w:val="000000" w:themeColor="text1"/>
        </w:rPr>
      </w:pPr>
      <w:r w:rsidRPr="0007375E">
        <w:rPr>
          <w:rFonts w:ascii="Verdana" w:hAnsi="Verdana" w:cs="Arial"/>
          <w:color w:val="000000" w:themeColor="text1"/>
        </w:rPr>
        <w:t xml:space="preserve">Luego, los oferentes podrán presentar las observaciones que crean pertinentes al mencionado informe de evaluación </w:t>
      </w:r>
      <w:r w:rsidRPr="00ED28A8">
        <w:rPr>
          <w:rFonts w:ascii="Verdana" w:hAnsi="Verdana" w:cs="Arial"/>
          <w:color w:val="000000" w:themeColor="text1"/>
        </w:rPr>
        <w:t>En todo caso, vencido el término para presentar observaciones al informe de evaluación, empieza a correr el plazo para adjudicar el contrato, que hace referencia a la oportunidad que tiene la entidad para seleccionar o escoger la mejor oferta, cuyo término, según el numeral 9 del artículo 30 de la Ley 80 de 1993, es de libre configuración del pliego de condiciones. Durante este lapso se resuelven las observaciones presentadas por los oferentes, es decir, la entidad responderá las observaciones 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w:t>
      </w:r>
    </w:p>
    <w:p w14:paraId="78210F88" w14:textId="77777777" w:rsidR="00B936CA" w:rsidRPr="00ED28A8" w:rsidRDefault="00B936CA" w:rsidP="00B936CA">
      <w:pPr>
        <w:spacing w:line="276" w:lineRule="auto"/>
        <w:ind w:firstLine="708"/>
        <w:jc w:val="both"/>
        <w:rPr>
          <w:rFonts w:ascii="Verdana" w:hAnsi="Verdana" w:cs="Arial"/>
          <w:color w:val="000000" w:themeColor="text1"/>
        </w:rPr>
      </w:pPr>
      <w:r w:rsidRPr="00ED28A8">
        <w:rPr>
          <w:rFonts w:ascii="Verdana" w:hAnsi="Verdana" w:cs="Arial"/>
          <w:color w:val="000000" w:themeColor="text1"/>
        </w:rPr>
        <w:t>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w:t>
      </w:r>
    </w:p>
    <w:p w14:paraId="275DC1E1" w14:textId="77777777" w:rsidR="00B936CA" w:rsidRPr="0007375E" w:rsidRDefault="00B936CA" w:rsidP="00B936CA">
      <w:pPr>
        <w:spacing w:before="120" w:after="120" w:line="276" w:lineRule="auto"/>
        <w:ind w:firstLine="709"/>
        <w:jc w:val="both"/>
        <w:rPr>
          <w:rFonts w:ascii="Verdana" w:hAnsi="Verdana" w:cs="Arial"/>
          <w:color w:val="000000" w:themeColor="text1"/>
        </w:rPr>
      </w:pPr>
      <w:r w:rsidRPr="0007375E">
        <w:rPr>
          <w:rFonts w:ascii="Verdana" w:hAnsi="Verdana" w:cs="Arial"/>
          <w:i/>
          <w:iCs/>
          <w:color w:val="000000" w:themeColor="text1"/>
        </w:rPr>
        <w:t>Dentro del plazo para adjudicar el contrato, debe celebrarse la audiencia de</w:t>
      </w:r>
      <w:r w:rsidRPr="0007375E">
        <w:rPr>
          <w:rFonts w:ascii="Verdana" w:hAnsi="Verdana" w:cs="Arial"/>
          <w:color w:val="000000" w:themeColor="text1"/>
        </w:rPr>
        <w:t xml:space="preserv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esta.</w:t>
      </w:r>
    </w:p>
    <w:p w14:paraId="52E396C0" w14:textId="77777777" w:rsidR="00B936CA" w:rsidRDefault="00B936CA" w:rsidP="00B936CA">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Finalmente, una vez se adjudica, empieza a correr el </w:t>
      </w:r>
      <w:r w:rsidRPr="0007375E">
        <w:rPr>
          <w:rFonts w:ascii="Verdana" w:hAnsi="Verdana" w:cs="Arial"/>
          <w:i/>
          <w:color w:val="000000" w:themeColor="text1"/>
        </w:rPr>
        <w:t>plazo para firmar el contrato</w:t>
      </w:r>
      <w:r w:rsidRPr="0007375E">
        <w:rPr>
          <w:rFonts w:ascii="Verdana" w:hAnsi="Verdana" w:cs="Arial"/>
          <w:b/>
          <w:color w:val="000000" w:themeColor="text1"/>
        </w:rPr>
        <w:t xml:space="preserve">, </w:t>
      </w:r>
      <w:r w:rsidRPr="0007375E">
        <w:rPr>
          <w:rFonts w:ascii="Verdana" w:hAnsi="Verdana" w:cs="Arial"/>
          <w:color w:val="000000" w:themeColor="text1"/>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001B1E91" w14:textId="77777777" w:rsidR="00B936CA" w:rsidRDefault="00B936CA" w:rsidP="00B936CA">
      <w:pPr>
        <w:pStyle w:val="Textoindependiente"/>
        <w:spacing w:before="0" w:after="120" w:line="276" w:lineRule="auto"/>
        <w:ind w:firstLine="709"/>
        <w:jc w:val="both"/>
        <w:rPr>
          <w:rFonts w:ascii="Verdana" w:hAnsi="Verdana" w:cs="Arial"/>
          <w:bCs/>
          <w:color w:val="000000" w:themeColor="text1"/>
          <w:sz w:val="22"/>
          <w:szCs w:val="22"/>
        </w:rPr>
      </w:pPr>
      <w:r>
        <w:rPr>
          <w:rFonts w:ascii="Verdana" w:hAnsi="Verdana" w:cs="Arial"/>
          <w:bCs/>
          <w:color w:val="000000" w:themeColor="text1"/>
          <w:sz w:val="22"/>
          <w:szCs w:val="22"/>
        </w:rPr>
        <w:t xml:space="preserve">En definitiva, el proceso de selección de licitación pública es la regla general para seleccionar al contratista, sin embargo, al existir otras modalidades de selección, éstas se regirán por las normas especiales que para el efecto el Decreto 1082 de 2015 define. </w:t>
      </w:r>
    </w:p>
    <w:p w14:paraId="2B7059D9" w14:textId="77777777" w:rsidR="00B936CA" w:rsidRDefault="00B936CA" w:rsidP="00B936CA">
      <w:pPr>
        <w:spacing w:after="120" w:line="276" w:lineRule="auto"/>
        <w:jc w:val="both"/>
        <w:rPr>
          <w:rFonts w:ascii="Verdana" w:hAnsi="Verdana" w:cs="Arial"/>
          <w:bCs/>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En cuanto al segundo problema jurídico, de conformidad con lo dispuesto en el numeral 5 del artículo 30 la Ley 80 de 1993 el plazo de licitación se entiende como el </w:t>
      </w:r>
      <w:r>
        <w:rPr>
          <w:rFonts w:ascii="Verdana" w:hAnsi="Verdana" w:cs="Arial"/>
          <w:bCs/>
          <w:i/>
          <w:iCs/>
          <w:color w:val="000000" w:themeColor="text1"/>
        </w:rPr>
        <w:t>“</w:t>
      </w:r>
      <w:r w:rsidRPr="003022C7">
        <w:rPr>
          <w:rFonts w:ascii="Verdana" w:hAnsi="Verdana" w:cs="Arial"/>
          <w:bCs/>
          <w:i/>
          <w:iCs/>
          <w:color w:val="000000" w:themeColor="text1"/>
        </w:rPr>
        <w:t>término que debe transcurrir entre la fecha a partir de la cual se pueden presentar propuestas y la de su cierre</w:t>
      </w:r>
      <w:r>
        <w:rPr>
          <w:rFonts w:ascii="Verdana" w:hAnsi="Verdana" w:cs="Arial"/>
          <w:bCs/>
          <w:i/>
          <w:iCs/>
          <w:color w:val="000000" w:themeColor="text1"/>
        </w:rPr>
        <w:t>”</w:t>
      </w:r>
      <w:r w:rsidRPr="003022C7">
        <w:rPr>
          <w:rFonts w:ascii="Verdana" w:hAnsi="Verdana" w:cs="Arial"/>
          <w:bCs/>
          <w:i/>
          <w:iCs/>
          <w:color w:val="000000" w:themeColor="text1"/>
        </w:rPr>
        <w:t>,</w:t>
      </w:r>
      <w:r>
        <w:rPr>
          <w:rFonts w:ascii="Verdana" w:hAnsi="Verdana" w:cs="Arial"/>
          <w:bCs/>
          <w:i/>
          <w:iCs/>
          <w:color w:val="000000" w:themeColor="text1"/>
        </w:rPr>
        <w:t xml:space="preserve"> </w:t>
      </w:r>
      <w:r>
        <w:rPr>
          <w:rFonts w:ascii="Verdana" w:hAnsi="Verdana" w:cs="Arial"/>
          <w:bCs/>
          <w:color w:val="000000" w:themeColor="text1"/>
        </w:rPr>
        <w:t xml:space="preserve">de esta manera, el término se contabiliza a partir de la fecha que se haya definido en el aviso de convocatoria al indicar que dicho aviso debe contener cierta información en la que se destaca la fecha límite en el que los interesados deben presentar su oferta, el lugar y forma de presentación de la mismas (artículo 2.2.1.1.2.1.2 numeral 6 y 12 del Decreto 1082 de 2015) así como en el contenido del pliego de condiciones (numeral 14 del artículo 2.2.1.1.2.1.3 del Decreto 1082 de 2015). Por lo tanto, el término se contabiliza a partir del plazo que haya dispuesto la entidad estatal para la presentación de las ofertas. </w:t>
      </w:r>
    </w:p>
    <w:p w14:paraId="1033A404" w14:textId="77777777" w:rsidR="00B936CA" w:rsidRDefault="00B936CA" w:rsidP="00B936CA">
      <w:pPr>
        <w:spacing w:after="120" w:line="276" w:lineRule="auto"/>
        <w:jc w:val="both"/>
        <w:rPr>
          <w:rFonts w:ascii="Verdana" w:hAnsi="Verdana" w:cs="Arial"/>
          <w:bCs/>
          <w:i/>
          <w:iCs/>
          <w:color w:val="000000" w:themeColor="text1"/>
        </w:rPr>
      </w:pPr>
      <w:proofErr w:type="spellStart"/>
      <w:r>
        <w:rPr>
          <w:rFonts w:ascii="Verdana" w:hAnsi="Verdana" w:cs="Arial"/>
          <w:bCs/>
          <w:color w:val="000000" w:themeColor="text1"/>
        </w:rPr>
        <w:t>iii</w:t>
      </w:r>
      <w:proofErr w:type="spellEnd"/>
      <w:r>
        <w:rPr>
          <w:rFonts w:ascii="Verdana" w:hAnsi="Verdana" w:cs="Arial"/>
          <w:bCs/>
          <w:color w:val="000000" w:themeColor="text1"/>
        </w:rPr>
        <w:t xml:space="preserve">) El artículo 30 numeral 5 inciso segundo indica que </w:t>
      </w:r>
      <w:r>
        <w:rPr>
          <w:rFonts w:ascii="Verdana" w:hAnsi="Verdana" w:cs="Arial"/>
          <w:bCs/>
          <w:i/>
          <w:iCs/>
          <w:color w:val="000000" w:themeColor="text1"/>
        </w:rPr>
        <w:t>“</w:t>
      </w:r>
      <w:r w:rsidRPr="001C1A47">
        <w:rPr>
          <w:rFonts w:ascii="Verdana" w:hAnsi="Verdana" w:cs="Arial"/>
          <w:bCs/>
          <w:i/>
          <w:iCs/>
          <w:color w:val="000000" w:themeColor="text1"/>
        </w:rPr>
        <w:t xml:space="preserve">Cuando lo estime conveniente la entidad interesada, de oficio o a solicitud de un número plural de posibles oferentes, dicho plazo </w:t>
      </w:r>
      <w:r>
        <w:rPr>
          <w:rFonts w:ascii="Verdana" w:hAnsi="Verdana" w:cs="Arial"/>
          <w:bCs/>
          <w:color w:val="000000" w:themeColor="text1"/>
        </w:rPr>
        <w:t xml:space="preserve">[entendido el plazo de licitación] </w:t>
      </w:r>
      <w:r w:rsidRPr="001C1A47">
        <w:rPr>
          <w:rFonts w:ascii="Verdana" w:hAnsi="Verdana" w:cs="Arial"/>
          <w:bCs/>
          <w:i/>
          <w:iCs/>
          <w:color w:val="000000" w:themeColor="text1"/>
        </w:rPr>
        <w:t xml:space="preserve">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1C1A47">
        <w:rPr>
          <w:rFonts w:ascii="Verdana" w:hAnsi="Verdana" w:cs="Arial"/>
          <w:bCs/>
          <w:i/>
          <w:iCs/>
          <w:color w:val="000000" w:themeColor="text1"/>
        </w:rPr>
        <w:t>del mismo</w:t>
      </w:r>
      <w:proofErr w:type="gramEnd"/>
      <w:r w:rsidRPr="001C1A47">
        <w:rPr>
          <w:rFonts w:ascii="Verdana" w:hAnsi="Verdana" w:cs="Arial"/>
          <w:bCs/>
          <w:i/>
          <w:iCs/>
          <w:color w:val="000000" w:themeColor="text1"/>
        </w:rPr>
        <w:t>. La publicación de estas adendas sólo se podrá realizar en días hábiles y horarios laborales</w:t>
      </w:r>
      <w:r>
        <w:rPr>
          <w:rFonts w:ascii="Verdana" w:hAnsi="Verdana" w:cs="Arial"/>
          <w:bCs/>
          <w:i/>
          <w:iCs/>
          <w:color w:val="000000" w:themeColor="text1"/>
        </w:rPr>
        <w:t>”</w:t>
      </w:r>
      <w:r w:rsidRPr="001C1A47">
        <w:rPr>
          <w:rFonts w:ascii="Verdana" w:hAnsi="Verdana" w:cs="Arial"/>
          <w:bCs/>
          <w:i/>
          <w:iCs/>
          <w:color w:val="000000" w:themeColor="text1"/>
        </w:rPr>
        <w:t>.</w:t>
      </w:r>
    </w:p>
    <w:p w14:paraId="2827E893" w14:textId="77777777" w:rsidR="00B936CA" w:rsidRDefault="00B936CA" w:rsidP="00B936CA">
      <w:pPr>
        <w:spacing w:after="120" w:line="276" w:lineRule="auto"/>
        <w:ind w:firstLine="709"/>
        <w:jc w:val="both"/>
        <w:rPr>
          <w:rFonts w:ascii="Verdana" w:hAnsi="Verdana" w:cs="Arial"/>
          <w:bCs/>
          <w:color w:val="000000" w:themeColor="text1"/>
        </w:rPr>
      </w:pPr>
      <w:r>
        <w:rPr>
          <w:rFonts w:ascii="Verdana" w:hAnsi="Verdana" w:cs="Arial"/>
          <w:bCs/>
          <w:color w:val="000000" w:themeColor="text1"/>
        </w:rPr>
        <w:t xml:space="preserve">De conformidad con lo anterior, en los procesos de selección a través de la licitación pública, siempre que lo estime conveniente la entidad, de oficio o por solicitud de un número plural de interesados podrá prorrogar el plazo de licitación antes de su vencimiento, por un término no superior a la mitad del plazo inicialmente fijado en el cronograma contenido en el pliego de condiciones. Por lo tanto, se trata de una potestad de la administración definir en primer lugar si procede con la prórroga del plazo para presentar las </w:t>
      </w:r>
      <w:proofErr w:type="gramStart"/>
      <w:r>
        <w:rPr>
          <w:rFonts w:ascii="Verdana" w:hAnsi="Verdana" w:cs="Arial"/>
          <w:bCs/>
          <w:color w:val="000000" w:themeColor="text1"/>
        </w:rPr>
        <w:t>ofertas</w:t>
      </w:r>
      <w:proofErr w:type="gramEnd"/>
      <w:r>
        <w:rPr>
          <w:rFonts w:ascii="Verdana" w:hAnsi="Verdana" w:cs="Arial"/>
          <w:bCs/>
          <w:color w:val="000000" w:themeColor="text1"/>
        </w:rPr>
        <w:t xml:space="preserve"> así como el término o plazo para ello, que en todo caso no puede ser superior a la mitad del plazo inicialmente fijado.</w:t>
      </w:r>
    </w:p>
    <w:p w14:paraId="1E120EF2" w14:textId="77777777" w:rsidR="00B936CA" w:rsidRDefault="00B936CA" w:rsidP="00B936CA">
      <w:pPr>
        <w:widowControl w:val="0"/>
        <w:autoSpaceDE w:val="0"/>
        <w:autoSpaceDN w:val="0"/>
        <w:spacing w:after="120" w:line="276" w:lineRule="auto"/>
        <w:ind w:firstLine="709"/>
        <w:jc w:val="both"/>
        <w:rPr>
          <w:rFonts w:ascii="Verdana" w:eastAsia="Arial" w:hAnsi="Verdana" w:cs="Arial"/>
          <w:lang w:eastAsia="es-ES" w:bidi="es-ES"/>
        </w:rPr>
      </w:pPr>
      <w:r>
        <w:rPr>
          <w:rFonts w:ascii="Verdana" w:hAnsi="Verdana" w:cs="Arial"/>
          <w:bCs/>
          <w:color w:val="000000" w:themeColor="text1"/>
        </w:rPr>
        <w:t xml:space="preserve">  </w:t>
      </w:r>
      <w:r w:rsidRPr="001C1A47">
        <w:rPr>
          <w:rFonts w:ascii="Verdana" w:hAnsi="Verdana" w:cs="Arial"/>
          <w:bCs/>
          <w:i/>
          <w:iCs/>
          <w:color w:val="000000" w:themeColor="text1"/>
        </w:rPr>
        <w:t> </w:t>
      </w: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5"/>
      </w:r>
      <w:r w:rsidRPr="00526681">
        <w:rPr>
          <w:rFonts w:ascii="Verdana" w:eastAsia="Arial" w:hAnsi="Verdana" w:cs="Arial"/>
          <w:lang w:eastAsia="es-ES" w:bidi="es-ES"/>
        </w:rPr>
        <w:t>.</w:t>
      </w:r>
    </w:p>
    <w:p w14:paraId="35D40E97" w14:textId="77777777" w:rsidR="00B936CA" w:rsidRPr="00DC04E0" w:rsidRDefault="00B936CA" w:rsidP="00B936CA">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5 de la Ley 80 de 1993</w:t>
      </w:r>
      <w:r>
        <w:rPr>
          <w:rFonts w:ascii="Verdana" w:eastAsia="Arial" w:hAnsi="Verdana" w:cs="Arial"/>
          <w:lang w:eastAsia="es-ES" w:bidi="es-ES"/>
        </w:rPr>
        <w:t>,</w:t>
      </w:r>
      <w:r w:rsidRPr="00DC04E0">
        <w:rPr>
          <w:rFonts w:ascii="Verdana" w:eastAsia="Arial" w:hAnsi="Verdana" w:cs="Arial"/>
          <w:lang w:eastAsia="es-ES" w:bidi="es-ES"/>
        </w:rPr>
        <w:t xml:space="preserve"> 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lugar a la expedición de adendas: i) los referidos a las condiciones técnicas, jurídicas y económicas del pliego definitivo y, en general, a cualquier contenido distinto del cronograma del 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w:t>
      </w:r>
      <w:proofErr w:type="spellStart"/>
      <w:r w:rsidRPr="00DC04E0">
        <w:rPr>
          <w:rFonts w:ascii="Verdana" w:eastAsia="Arial" w:hAnsi="Verdana" w:cs="Arial"/>
          <w:lang w:eastAsia="es-ES" w:bidi="es-ES"/>
        </w:rPr>
        <w:t>ii</w:t>
      </w:r>
      <w:proofErr w:type="spellEnd"/>
      <w:r w:rsidRPr="00DC04E0">
        <w:rPr>
          <w:rFonts w:ascii="Verdana" w:eastAsia="Arial" w:hAnsi="Verdana" w:cs="Arial"/>
          <w:lang w:eastAsia="es-ES" w:bidi="es-ES"/>
        </w:rPr>
        <w:t>) los del cronograma.</w:t>
      </w:r>
    </w:p>
    <w:p w14:paraId="234084EF" w14:textId="77777777" w:rsidR="00B936CA" w:rsidRPr="00AE4A2D" w:rsidRDefault="00B936CA" w:rsidP="00B936CA">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Pr>
          <w:rFonts w:ascii="Verdana" w:eastAsia="Calibri" w:hAnsi="Verdana" w:cs="Arial"/>
          <w:lang w:eastAsia="es-CO"/>
        </w:rPr>
        <w:t>únicamente</w:t>
      </w:r>
      <w:r w:rsidRPr="00DC04E0">
        <w:rPr>
          <w:rFonts w:ascii="Verdana" w:eastAsia="Calibri" w:hAnsi="Verdana" w:cs="Arial"/>
          <w:lang w:eastAsia="es-CO"/>
        </w:rPr>
        <w:t xml:space="preserve"> pueden modificar aspectos de los pliegos que </w:t>
      </w:r>
      <w:r w:rsidRPr="00AE4A2D">
        <w:rPr>
          <w:rFonts w:ascii="Verdana" w:eastAsia="Calibri" w:hAnsi="Verdana" w:cs="Arial"/>
          <w:i/>
          <w:iCs/>
          <w:lang w:eastAsia="es-CO"/>
        </w:rPr>
        <w:t>no sean sustanciales</w:t>
      </w:r>
      <w:r>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7D3882A3" w14:textId="77777777" w:rsidR="00B936CA" w:rsidRPr="00DC04E0" w:rsidRDefault="00B936CA" w:rsidP="00B936CA">
      <w:pPr>
        <w:widowControl w:val="0"/>
        <w:autoSpaceDE w:val="0"/>
        <w:autoSpaceDN w:val="0"/>
        <w:spacing w:after="0" w:line="276" w:lineRule="auto"/>
        <w:jc w:val="both"/>
        <w:rPr>
          <w:rFonts w:ascii="Verdana" w:eastAsia="Arial" w:hAnsi="Verdana" w:cs="Arial"/>
          <w:lang w:eastAsia="es-ES" w:bidi="es-ES"/>
        </w:rPr>
      </w:pPr>
    </w:p>
    <w:p w14:paraId="7BF8A1CB" w14:textId="77777777" w:rsidR="00B936CA" w:rsidRPr="00006192" w:rsidRDefault="00B936CA" w:rsidP="00B936CA">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w:t>
      </w:r>
      <w:proofErr w:type="spellStart"/>
      <w:r w:rsidRPr="00E428C0">
        <w:rPr>
          <w:rFonts w:ascii="Verdana" w:eastAsia="Calibri" w:hAnsi="Verdana" w:cs="Arial"/>
          <w:sz w:val="20"/>
          <w:szCs w:val="20"/>
          <w:lang w:val="es-ES"/>
        </w:rPr>
        <w:t>prenegocial</w:t>
      </w:r>
      <w:proofErr w:type="spellEnd"/>
      <w:r w:rsidRPr="00E428C0">
        <w:rPr>
          <w:rFonts w:ascii="Verdana" w:eastAsia="Calibri" w:hAnsi="Verdana" w:cs="Arial"/>
          <w:sz w:val="20"/>
          <w:szCs w:val="20"/>
          <w:lang w:val="es-ES"/>
        </w:rPr>
        <w:t xml:space="preserve"> con carácter vinculante y obligatorio para los partícipes en el proceso de selección y </w:t>
      </w:r>
      <w:proofErr w:type="spellStart"/>
      <w:r w:rsidRPr="00E428C0">
        <w:rPr>
          <w:rFonts w:ascii="Verdana" w:eastAsia="Calibri" w:hAnsi="Verdana" w:cs="Arial"/>
          <w:sz w:val="20"/>
          <w:szCs w:val="20"/>
          <w:lang w:val="es-ES"/>
        </w:rPr>
        <w:t>ii</w:t>
      </w:r>
      <w:proofErr w:type="spellEnd"/>
      <w:r w:rsidRPr="00E428C0">
        <w:rPr>
          <w:rFonts w:ascii="Verdana" w:eastAsia="Calibri" w:hAnsi="Verdana" w:cs="Arial"/>
          <w:sz w:val="20"/>
          <w:szCs w:val="20"/>
          <w:lang w:val="es-ES"/>
        </w:rPr>
        <w:t xml:space="preserve">)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E428C0">
        <w:rPr>
          <w:rStyle w:val="Refdenotaalpie"/>
          <w:rFonts w:ascii="Verdana" w:eastAsia="Calibri" w:hAnsi="Verdana" w:cs="Arial"/>
          <w:sz w:val="20"/>
          <w:szCs w:val="20"/>
          <w:lang w:val="es-ES"/>
        </w:rPr>
        <w:footnoteReference w:id="6"/>
      </w:r>
      <w:r w:rsidRPr="00E428C0">
        <w:rPr>
          <w:rFonts w:ascii="Verdana" w:eastAsia="Calibri" w:hAnsi="Verdana" w:cs="Arial"/>
          <w:sz w:val="20"/>
          <w:szCs w:val="20"/>
          <w:lang w:val="es-ES"/>
        </w:rPr>
        <w:t xml:space="preserve">  [Énfasis fuera de texto en cursiva].</w:t>
      </w:r>
    </w:p>
    <w:p w14:paraId="0C63EF3F" w14:textId="77777777" w:rsidR="00B936CA" w:rsidRDefault="00B936CA" w:rsidP="00B936CA">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i bien no es posible el uso de adendas que permitan la modificación de ciertos aspectos dentro del proceso de selección, como los aspectos 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aritmético o de digitación</w:t>
      </w:r>
      <w:r w:rsidRPr="00DC04E0">
        <w:rPr>
          <w:rStyle w:val="Refdenotaalpie"/>
          <w:rFonts w:ascii="Verdana" w:hAnsi="Verdana" w:cs="Arial"/>
        </w:rPr>
        <w:footnoteReference w:id="7"/>
      </w:r>
      <w:r w:rsidRPr="00DC04E0">
        <w:rPr>
          <w:rFonts w:ascii="Verdana" w:hAnsi="Verdana" w:cs="Arial"/>
        </w:rPr>
        <w:t>, expedir el respectivo acto administrativo de corrección, dada la naturaleza del pliego de condiciones.</w:t>
      </w:r>
    </w:p>
    <w:p w14:paraId="70DDF928" w14:textId="77777777" w:rsidR="00B936CA" w:rsidRPr="003E7CA1" w:rsidRDefault="00B936CA" w:rsidP="00B936CA">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0EAC795B" w14:textId="77777777" w:rsidR="00B936CA" w:rsidRPr="00052CC0" w:rsidRDefault="00B936CA" w:rsidP="00B936CA">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Estatales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09B85B6C" w14:textId="77777777" w:rsidR="00B936CA" w:rsidRPr="00526681" w:rsidRDefault="00B936CA" w:rsidP="00B936CA">
      <w:pPr>
        <w:widowControl w:val="0"/>
        <w:autoSpaceDE w:val="0"/>
        <w:autoSpaceDN w:val="0"/>
        <w:spacing w:before="1" w:after="0" w:line="276" w:lineRule="auto"/>
        <w:ind w:right="107" w:firstLine="708"/>
        <w:jc w:val="both"/>
        <w:rPr>
          <w:rFonts w:ascii="Verdana" w:eastAsia="Arial" w:hAnsi="Verdana" w:cs="Arial"/>
          <w:lang w:eastAsia="es-ES" w:bidi="es-ES"/>
        </w:rPr>
      </w:pPr>
      <w:r>
        <w:rPr>
          <w:rFonts w:ascii="Verdana" w:eastAsia="Arial" w:hAnsi="Verdana" w:cs="Arial"/>
          <w:lang w:eastAsia="es-ES" w:bidi="es-ES"/>
        </w:rPr>
        <w:t>Frente al límite temporal aplicable para la licitación pública, e</w:t>
      </w:r>
      <w:r w:rsidRPr="00526681">
        <w:rPr>
          <w:rFonts w:ascii="Verdana" w:eastAsia="Arial" w:hAnsi="Verdana" w:cs="Arial"/>
          <w:lang w:eastAsia="es-ES" w:bidi="es-ES"/>
        </w:rPr>
        <w:t>l artículo 30, numeral 5, de la Ley 80 de 1993 –modificado por el artículo 89 de la Ley 1474 de 2011–,</w:t>
      </w:r>
      <w:r>
        <w:rPr>
          <w:rFonts w:ascii="Verdana" w:eastAsia="Arial" w:hAnsi="Verdana" w:cs="Arial"/>
          <w:lang w:eastAsia="es-ES" w:bidi="es-ES"/>
        </w:rPr>
        <w:t xml:space="preserve"> </w:t>
      </w:r>
      <w:r w:rsidRPr="00526681">
        <w:rPr>
          <w:rFonts w:ascii="Verdana" w:eastAsia="Arial" w:hAnsi="Verdana" w:cs="Arial"/>
          <w:lang w:eastAsia="es-ES" w:bidi="es-ES"/>
        </w:rPr>
        <w:t>dispone:</w:t>
      </w:r>
    </w:p>
    <w:p w14:paraId="0097FD07" w14:textId="77777777" w:rsidR="00B936CA" w:rsidRPr="00526681" w:rsidRDefault="00B936CA" w:rsidP="00B936CA">
      <w:pPr>
        <w:widowControl w:val="0"/>
        <w:autoSpaceDE w:val="0"/>
        <w:autoSpaceDN w:val="0"/>
        <w:spacing w:before="1" w:after="0" w:line="276" w:lineRule="auto"/>
        <w:ind w:right="107" w:firstLine="708"/>
        <w:jc w:val="both"/>
        <w:rPr>
          <w:rFonts w:ascii="Verdana" w:eastAsia="Arial" w:hAnsi="Verdana" w:cs="Arial"/>
          <w:lang w:eastAsia="es-ES" w:bidi="es-ES"/>
        </w:rPr>
      </w:pPr>
    </w:p>
    <w:p w14:paraId="61D2B142" w14:textId="77777777" w:rsidR="00B936CA" w:rsidRDefault="00B936CA" w:rsidP="00B936CA">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6AE72843" w14:textId="77777777" w:rsidR="00B936CA" w:rsidRPr="002B3E2C" w:rsidRDefault="00B936CA" w:rsidP="00B936CA">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41007E3D" w14:textId="77777777" w:rsidR="00B936CA" w:rsidRPr="002B3E2C" w:rsidRDefault="00B936CA" w:rsidP="00B936CA">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2B3E2C">
        <w:rPr>
          <w:rFonts w:ascii="Verdana" w:eastAsia="Arial" w:hAnsi="Verdana" w:cs="Arial"/>
          <w:sz w:val="20"/>
          <w:szCs w:val="20"/>
          <w:lang w:eastAsia="es-ES" w:bidi="es-ES"/>
        </w:rPr>
        <w:t>del mismo</w:t>
      </w:r>
      <w:proofErr w:type="gramEnd"/>
      <w:r w:rsidRPr="002B3E2C">
        <w:rPr>
          <w:rFonts w:ascii="Verdana" w:eastAsia="Arial" w:hAnsi="Verdana" w:cs="Arial"/>
          <w:sz w:val="20"/>
          <w:szCs w:val="20"/>
          <w:lang w:eastAsia="es-ES" w:bidi="es-ES"/>
        </w:rPr>
        <w:t>. La publicación de estas adendas sólo se podrá realizar en días hábiles y horarios laborales”.</w:t>
      </w:r>
    </w:p>
    <w:p w14:paraId="4AF7B337" w14:textId="77777777" w:rsidR="00B936CA" w:rsidRPr="00526681" w:rsidRDefault="00B936CA" w:rsidP="00B936CA">
      <w:pPr>
        <w:widowControl w:val="0"/>
        <w:autoSpaceDE w:val="0"/>
        <w:autoSpaceDN w:val="0"/>
        <w:spacing w:after="0" w:line="276" w:lineRule="auto"/>
        <w:jc w:val="both"/>
        <w:rPr>
          <w:rFonts w:ascii="Verdana" w:eastAsia="Arial" w:hAnsi="Verdana" w:cs="Arial"/>
          <w:lang w:eastAsia="es-ES" w:bidi="es-ES"/>
        </w:rPr>
      </w:pPr>
    </w:p>
    <w:p w14:paraId="1BA322A5" w14:textId="77777777" w:rsidR="00B936CA" w:rsidRPr="00526681" w:rsidRDefault="00B936CA" w:rsidP="00B936CA">
      <w:pPr>
        <w:widowControl w:val="0"/>
        <w:autoSpaceDE w:val="0"/>
        <w:autoSpaceDN w:val="0"/>
        <w:spacing w:after="0" w:line="276" w:lineRule="auto"/>
        <w:ind w:firstLine="709"/>
        <w:jc w:val="both"/>
        <w:rPr>
          <w:rFonts w:ascii="Verdana" w:eastAsia="Arial" w:hAnsi="Verdana" w:cs="Arial"/>
          <w:lang w:eastAsia="es-ES" w:bidi="es-ES"/>
        </w:rPr>
      </w:pPr>
      <w:r w:rsidRPr="00526681">
        <w:rPr>
          <w:rFonts w:ascii="Verdana" w:eastAsia="Arial" w:hAnsi="Verdana" w:cs="Arial"/>
          <w:lang w:eastAsia="es-ES" w:bidi="es-ES"/>
        </w:rPr>
        <w:t>En armonía con la disposición anterior, el artículo 2.2.1.1.2.2.1. del Decreto 1082 de 2015, establece l</w:t>
      </w:r>
      <w:r>
        <w:rPr>
          <w:rFonts w:ascii="Verdana" w:eastAsia="Arial" w:hAnsi="Verdana" w:cs="Arial"/>
          <w:lang w:eastAsia="es-ES" w:bidi="es-ES"/>
        </w:rPr>
        <w:t>a siguiente regla general para los procesos adelantados mediante otras modalidades de selección</w:t>
      </w:r>
      <w:r w:rsidRPr="00526681">
        <w:rPr>
          <w:rFonts w:ascii="Verdana" w:eastAsia="Arial" w:hAnsi="Verdana" w:cs="Arial"/>
          <w:lang w:eastAsia="es-ES" w:bidi="es-ES"/>
        </w:rPr>
        <w:t>:</w:t>
      </w:r>
    </w:p>
    <w:p w14:paraId="5C74C95D" w14:textId="77777777" w:rsidR="00B936CA" w:rsidRPr="00526681" w:rsidRDefault="00B936CA" w:rsidP="00B936CA">
      <w:pPr>
        <w:widowControl w:val="0"/>
        <w:autoSpaceDE w:val="0"/>
        <w:autoSpaceDN w:val="0"/>
        <w:spacing w:after="0" w:line="276" w:lineRule="auto"/>
        <w:ind w:firstLine="709"/>
        <w:jc w:val="both"/>
        <w:rPr>
          <w:rFonts w:ascii="Verdana" w:hAnsi="Verdana" w:cs="Segoe UI"/>
          <w:sz w:val="18"/>
          <w:szCs w:val="18"/>
          <w:lang w:eastAsia="es-CO"/>
        </w:rPr>
      </w:pPr>
      <w:r w:rsidRPr="00526681">
        <w:rPr>
          <w:rFonts w:ascii="Verdana" w:hAnsi="Verdana" w:cs="Arial"/>
          <w:sz w:val="20"/>
          <w:szCs w:val="20"/>
          <w:lang w:eastAsia="es-CO"/>
        </w:rPr>
        <w:t> </w:t>
      </w:r>
    </w:p>
    <w:p w14:paraId="075DE22F" w14:textId="77777777" w:rsidR="00B936CA" w:rsidRDefault="00B936CA" w:rsidP="00B936CA">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Artículo 2.2.1.1.2.2.1. Modificación de los pliegos de condiciones. La Entidad Estatal puede modificar los pliegos de condiciones a través de Adendas expedidas antes del vencimiento del plazo para presentar ofertas.</w:t>
      </w:r>
    </w:p>
    <w:p w14:paraId="37BAE00B" w14:textId="77777777" w:rsidR="00B936CA" w:rsidRPr="002B3E2C" w:rsidRDefault="00B936CA" w:rsidP="00B936CA">
      <w:pPr>
        <w:spacing w:after="0"/>
        <w:ind w:left="709" w:right="709"/>
        <w:jc w:val="both"/>
        <w:textAlignment w:val="baseline"/>
        <w:rPr>
          <w:rFonts w:ascii="Verdana" w:eastAsia="Calibri" w:hAnsi="Verdana" w:cs="Arial"/>
          <w:sz w:val="20"/>
          <w:szCs w:val="20"/>
        </w:rPr>
      </w:pPr>
    </w:p>
    <w:p w14:paraId="1731DDF7" w14:textId="77777777" w:rsidR="00B936CA" w:rsidRPr="002B3E2C" w:rsidRDefault="00B936CA" w:rsidP="00B936CA">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La Entidad Estatal puede expedir Adendas para modificar el Cronograma una vez vencido el término para la presentación de las ofertas y antes de la adjudicación del contrato.</w:t>
      </w:r>
    </w:p>
    <w:p w14:paraId="6F1D09A5" w14:textId="77777777" w:rsidR="00B936CA" w:rsidRDefault="00B936CA" w:rsidP="00B936CA">
      <w:pPr>
        <w:spacing w:after="0"/>
        <w:ind w:left="709" w:right="709"/>
        <w:jc w:val="both"/>
        <w:textAlignment w:val="baseline"/>
        <w:rPr>
          <w:rFonts w:ascii="Verdana" w:eastAsia="Calibri" w:hAnsi="Verdana" w:cs="Arial"/>
          <w:i/>
          <w:iCs/>
          <w:sz w:val="20"/>
          <w:szCs w:val="20"/>
        </w:rPr>
      </w:pPr>
    </w:p>
    <w:p w14:paraId="4807F2A1" w14:textId="77777777" w:rsidR="00B936CA" w:rsidRDefault="00B936CA" w:rsidP="00B936CA">
      <w:pPr>
        <w:spacing w:after="0"/>
        <w:ind w:left="709" w:right="709"/>
        <w:jc w:val="both"/>
        <w:textAlignment w:val="baseline"/>
        <w:rPr>
          <w:rFonts w:ascii="Verdana" w:eastAsia="Calibri" w:hAnsi="Verdana" w:cs="Arial"/>
          <w:sz w:val="20"/>
          <w:szCs w:val="20"/>
        </w:rPr>
      </w:pPr>
      <w:r w:rsidRPr="002B3E2C">
        <w:rPr>
          <w:rFonts w:ascii="Verdana" w:eastAsia="Calibri" w:hAnsi="Verdana" w:cs="Arial"/>
          <w:i/>
          <w:sz w:val="20"/>
          <w:szCs w:val="20"/>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2B3E2C">
        <w:rPr>
          <w:rFonts w:ascii="Verdana" w:eastAsia="Calibri" w:hAnsi="Verdana" w:cs="Arial"/>
          <w:sz w:val="20"/>
          <w:szCs w:val="20"/>
        </w:rPr>
        <w:t xml:space="preserve"> [Cursiva fuera del original].</w:t>
      </w:r>
    </w:p>
    <w:p w14:paraId="73F3F5B5" w14:textId="77777777" w:rsidR="00B936CA" w:rsidRPr="001270EA" w:rsidRDefault="00B936CA" w:rsidP="00B936CA">
      <w:pPr>
        <w:spacing w:after="0"/>
        <w:ind w:left="709" w:right="709"/>
        <w:jc w:val="both"/>
        <w:textAlignment w:val="baseline"/>
        <w:rPr>
          <w:rFonts w:ascii="Verdana" w:eastAsia="Calibri" w:hAnsi="Verdana" w:cs="Arial"/>
          <w:sz w:val="20"/>
          <w:szCs w:val="20"/>
        </w:rPr>
      </w:pPr>
    </w:p>
    <w:p w14:paraId="71261E2E" w14:textId="77777777" w:rsidR="00B936CA" w:rsidRPr="002B3E2C" w:rsidRDefault="00B936CA" w:rsidP="00B936CA">
      <w:pPr>
        <w:spacing w:after="120" w:line="276" w:lineRule="auto"/>
        <w:ind w:firstLine="708"/>
        <w:jc w:val="both"/>
        <w:rPr>
          <w:rFonts w:ascii="Verdana" w:eastAsia="Calibri" w:hAnsi="Verdana" w:cs="Arial"/>
        </w:rPr>
      </w:pPr>
      <w:r>
        <w:rPr>
          <w:rFonts w:ascii="Verdana" w:eastAsia="Calibri" w:hAnsi="Verdana" w:cs="Arial"/>
        </w:rPr>
        <w:t xml:space="preserve">Como se </w:t>
      </w:r>
      <w:r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6" w:name="_Hlk113271930"/>
      <w:r w:rsidRPr="00526681">
        <w:rPr>
          <w:rFonts w:ascii="Verdana" w:eastAsia="Calibri" w:hAnsi="Verdana" w:cs="Arial"/>
        </w:rPr>
        <w:t>adendas: i) los referidos a las condiciones técnicas, jurídicas y económicas del pliego definitivo</w:t>
      </w:r>
      <w:bookmarkEnd w:id="6"/>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w:t>
      </w:r>
      <w:r w:rsidRPr="00A57016">
        <w:rPr>
          <w:rFonts w:ascii="Verdana" w:eastAsia="Calibri" w:hAnsi="Verdana" w:cs="Arial"/>
        </w:rPr>
        <w:t xml:space="preserve">solo </w:t>
      </w:r>
      <w:r w:rsidRPr="00526681">
        <w:rPr>
          <w:rFonts w:ascii="Verdana" w:eastAsia="Calibri" w:hAnsi="Verdana" w:cs="Arial"/>
        </w:rPr>
        <w:t xml:space="preserve">puede </w:t>
      </w:r>
      <w:r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Pr="00A57016">
        <w:rPr>
          <w:rFonts w:ascii="Verdana" w:eastAsia="Calibri" w:hAnsi="Verdana" w:cs="Arial"/>
        </w:rPr>
        <w:t>.</w:t>
      </w:r>
      <w:r>
        <w:rPr>
          <w:rFonts w:ascii="Verdana" w:eastAsia="Calibri" w:hAnsi="Verdana" w:cs="Arial"/>
        </w:rPr>
        <w:t xml:space="preserve"> </w:t>
      </w:r>
      <w:r w:rsidRPr="00A57016">
        <w:rPr>
          <w:rFonts w:ascii="Verdana" w:eastAsia="Calibri" w:hAnsi="Verdana" w:cs="Arial"/>
        </w:rPr>
        <w:t xml:space="preserve">El </w:t>
      </w:r>
      <w:r>
        <w:rPr>
          <w:rFonts w:ascii="Verdana" w:eastAsia="Calibri" w:hAnsi="Verdana" w:cs="Arial"/>
        </w:rPr>
        <w:t xml:space="preserve">segundo tipo </w:t>
      </w:r>
      <w:r w:rsidRPr="00A57016">
        <w:rPr>
          <w:rFonts w:ascii="Verdana" w:eastAsia="Calibri" w:hAnsi="Verdana" w:cs="Arial"/>
        </w:rPr>
        <w:t xml:space="preserve">– relativo al cronograma – también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8"/>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5E60CD9C" w14:textId="77777777" w:rsidR="00B936CA" w:rsidRPr="00526681" w:rsidRDefault="00B936CA" w:rsidP="00B936CA">
      <w:pPr>
        <w:spacing w:after="120" w:line="276" w:lineRule="auto"/>
        <w:ind w:firstLine="708"/>
        <w:jc w:val="both"/>
        <w:textAlignment w:val="baseline"/>
        <w:rPr>
          <w:rFonts w:ascii="Verdana" w:hAnsi="Verdana" w:cs="Arial"/>
          <w:lang w:eastAsia="es-CO"/>
        </w:rPr>
      </w:pPr>
      <w:bookmarkStart w:id="7"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a.m.</w:t>
      </w:r>
      <w:r w:rsidRPr="00526681">
        <w:rPr>
          <w:rFonts w:ascii="Verdana" w:hAnsi="Verdana" w:cs="Arial"/>
          <w:lang w:eastAsia="es-CO"/>
        </w:rPr>
        <w:t xml:space="preserve"> y las 7:00 </w:t>
      </w:r>
      <w:r w:rsidRPr="00A57016">
        <w:rPr>
          <w:rFonts w:ascii="Verdana" w:hAnsi="Verdana" w:cs="Arial"/>
          <w:lang w:eastAsia="es-CO"/>
        </w:rPr>
        <w:t>p.m.</w:t>
      </w:r>
      <w:r w:rsidRPr="00526681">
        <w:rPr>
          <w:rFonts w:ascii="Verdana" w:hAnsi="Verdana" w:cs="Arial"/>
          <w:lang w:eastAsia="es-CO"/>
        </w:rPr>
        <w:t xml:space="preserve">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y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7"/>
    <w:p w14:paraId="42BCC019" w14:textId="77777777" w:rsidR="00B936CA" w:rsidRPr="00526681" w:rsidRDefault="00B936CA" w:rsidP="00B936CA">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Pr="00A57016">
        <w:rPr>
          <w:rFonts w:ascii="Verdana" w:hAnsi="Verdana" w:cs="Arial"/>
          <w:lang w:eastAsia="es-CO"/>
        </w:rPr>
        <w:t>tres (</w:t>
      </w:r>
      <w:r w:rsidRPr="00526681">
        <w:rPr>
          <w:rFonts w:ascii="Verdana" w:hAnsi="Verdana" w:cs="Arial"/>
          <w:lang w:eastAsia="es-CO"/>
        </w:rPr>
        <w:t>3</w:t>
      </w:r>
      <w:r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un día hábil antes del vencimiento del plazo para presentar ofertas para las demás modalidades de selección</w:t>
      </w:r>
      <w:r>
        <w:rPr>
          <w:rFonts w:ascii="Verdana" w:hAnsi="Verdana" w:cs="Arial"/>
          <w:lang w:eastAsia="es-CO"/>
        </w:rPr>
        <w:t>, incluido el concurso de méritos</w:t>
      </w:r>
      <w:r w:rsidRPr="00A57016">
        <w:rPr>
          <w:rFonts w:ascii="Verdana" w:hAnsi="Verdana" w:cs="Arial"/>
          <w:lang w:eastAsia="es-CO"/>
        </w:rPr>
        <w:t>, al que se refiere en su consulta.</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9"/>
      </w:r>
      <w:r w:rsidRPr="00526681">
        <w:rPr>
          <w:rFonts w:ascii="Verdana" w:hAnsi="Verdana" w:cs="Arial"/>
          <w:lang w:eastAsia="es-CO"/>
        </w:rPr>
        <w:t>.</w:t>
      </w:r>
    </w:p>
    <w:p w14:paraId="5E226489" w14:textId="77777777" w:rsidR="00B936CA" w:rsidRDefault="00B936CA" w:rsidP="00B936CA">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el proceso de contratación estatal debe adelantarse dentro de unas etapas determinadas y respetando los términos procesales establecidos por la ley o el reglamento o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6877B35C" w14:textId="77777777" w:rsidR="00B936CA" w:rsidRDefault="00B936CA" w:rsidP="00B936CA">
      <w:pPr>
        <w:spacing w:after="120" w:line="276" w:lineRule="auto"/>
        <w:ind w:firstLine="708"/>
        <w:jc w:val="both"/>
        <w:rPr>
          <w:rFonts w:ascii="Verdana" w:eastAsia="Calibri" w:hAnsi="Verdana" w:cs="Arial"/>
          <w:color w:val="000000" w:themeColor="text1"/>
        </w:rPr>
      </w:pPr>
      <w:r w:rsidRPr="0074395A">
        <w:rPr>
          <w:rFonts w:ascii="Verdana" w:eastAsia="Arial" w:hAnsi="Verdana" w:cs="Arial"/>
          <w:lang w:eastAsia="es-ES" w:bidi="es-ES"/>
        </w:rPr>
        <w:t>En efecto, las adendas como expresión de la voluntad de la Entidad Estatal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0"/>
      </w:r>
      <w:r w:rsidRPr="0074395A">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11"/>
      </w:r>
      <w:r w:rsidRPr="0074395A">
        <w:rPr>
          <w:rFonts w:ascii="Verdana" w:eastAsia="Arial" w:hAnsi="Verdana" w:cs="Arial"/>
          <w:lang w:eastAsia="es-ES" w:bidi="es-ES"/>
        </w:rPr>
        <w:t>.</w:t>
      </w:r>
    </w:p>
    <w:p w14:paraId="5328B739" w14:textId="77777777" w:rsidR="00B936CA" w:rsidRPr="001270EA" w:rsidRDefault="00B936CA" w:rsidP="00B936CA">
      <w:pPr>
        <w:spacing w:line="276" w:lineRule="auto"/>
        <w:jc w:val="both"/>
        <w:rPr>
          <w:rFonts w:ascii="Verdana" w:eastAsia="Calibri" w:hAnsi="Verdana" w:cs="Arial"/>
          <w:color w:val="000000" w:themeColor="text1"/>
        </w:rPr>
      </w:pPr>
      <w:proofErr w:type="spellStart"/>
      <w:r w:rsidRPr="001270EA">
        <w:rPr>
          <w:rFonts w:ascii="Verdana" w:hAnsi="Verdana" w:cs="Arial"/>
          <w:bCs/>
          <w:color w:val="000000" w:themeColor="text1"/>
        </w:rPr>
        <w:t>iv</w:t>
      </w:r>
      <w:proofErr w:type="spellEnd"/>
      <w:r w:rsidRPr="001270EA">
        <w:rPr>
          <w:rFonts w:ascii="Verdana" w:hAnsi="Verdana" w:cs="Arial"/>
          <w:bCs/>
          <w:color w:val="000000" w:themeColor="text1"/>
        </w:rPr>
        <w:t>)</w:t>
      </w:r>
      <w:r>
        <w:rPr>
          <w:rFonts w:ascii="Verdana" w:hAnsi="Verdana" w:cs="Arial"/>
          <w:bCs/>
          <w:i/>
          <w:iCs/>
          <w:color w:val="000000" w:themeColor="text1"/>
        </w:rPr>
        <w:t xml:space="preserve"> </w:t>
      </w:r>
      <w:r>
        <w:rPr>
          <w:rFonts w:ascii="Verdana" w:hAnsi="Verdana" w:cs="Arial"/>
          <w:bCs/>
          <w:color w:val="000000" w:themeColor="text1"/>
        </w:rPr>
        <w:t>Por último, respecto del cuarto problema jurídico a</w:t>
      </w:r>
      <w:r w:rsidRPr="001270EA">
        <w:rPr>
          <w:rFonts w:ascii="Verdana" w:eastAsia="Calibri" w:hAnsi="Verdana" w:cs="Arial"/>
          <w:color w:val="000000" w:themeColor="text1"/>
        </w:rPr>
        <w:t>poyado en el fundamento normativo de la selección abreviada</w:t>
      </w:r>
      <w:r>
        <w:rPr>
          <w:rFonts w:ascii="Verdana" w:eastAsia="Calibri" w:hAnsi="Verdana" w:cs="Arial"/>
          <w:color w:val="000000" w:themeColor="text1"/>
        </w:rPr>
        <w:t xml:space="preserve"> y del concurso de méritos</w:t>
      </w:r>
      <w:r w:rsidRPr="001270EA">
        <w:rPr>
          <w:rFonts w:ascii="Verdana" w:eastAsia="Calibri" w:hAnsi="Verdana" w:cs="Arial"/>
          <w:color w:val="000000" w:themeColor="text1"/>
        </w:rPr>
        <w:t>, corresponde analizar si es posible ampliar el plazo de recepción de las ofertas y, en caso de ser posible, determinar cuánto tiempo. Estas cuestiones tienen solución clara en la licitación pública, pues –en su redacción inicial– el numeral 5 del artículo 30 de la Ley 80 de 1993 disponía que:</w:t>
      </w:r>
    </w:p>
    <w:p w14:paraId="5C09E7A3" w14:textId="77777777" w:rsidR="00B936CA" w:rsidRPr="001270EA" w:rsidRDefault="00B936CA" w:rsidP="00B936CA">
      <w:pPr>
        <w:spacing w:after="0" w:line="240" w:lineRule="auto"/>
        <w:ind w:left="709" w:right="709"/>
        <w:jc w:val="both"/>
        <w:rPr>
          <w:rFonts w:ascii="Verdana" w:eastAsia="Calibri" w:hAnsi="Verdana" w:cs="Arial"/>
          <w:color w:val="000000" w:themeColor="text1"/>
          <w:sz w:val="20"/>
          <w:szCs w:val="20"/>
        </w:rPr>
      </w:pPr>
      <w:r w:rsidRPr="001270EA">
        <w:rPr>
          <w:rFonts w:ascii="Verdana" w:eastAsia="Calibri" w:hAnsi="Verdana" w:cs="Arial"/>
          <w:color w:val="000000" w:themeColor="text1"/>
          <w:sz w:val="20"/>
          <w:szCs w:val="20"/>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03084191" w14:textId="77777777" w:rsidR="00B936CA" w:rsidRDefault="00B936CA" w:rsidP="00B936CA">
      <w:pPr>
        <w:spacing w:after="0" w:line="240" w:lineRule="auto"/>
        <w:ind w:left="709" w:right="709"/>
        <w:jc w:val="both"/>
        <w:rPr>
          <w:rFonts w:ascii="Verdana" w:eastAsia="Calibri" w:hAnsi="Verdana" w:cs="Arial"/>
          <w:color w:val="000000" w:themeColor="text1"/>
          <w:sz w:val="20"/>
          <w:szCs w:val="20"/>
        </w:rPr>
      </w:pPr>
    </w:p>
    <w:p w14:paraId="6EC819FC" w14:textId="77777777" w:rsidR="00B936CA" w:rsidRDefault="00B936CA" w:rsidP="00B936CA">
      <w:pPr>
        <w:spacing w:after="0" w:line="240" w:lineRule="auto"/>
        <w:ind w:left="709" w:right="709"/>
        <w:jc w:val="both"/>
        <w:rPr>
          <w:rFonts w:ascii="Verdana" w:eastAsia="Calibri" w:hAnsi="Verdana" w:cs="Arial"/>
          <w:color w:val="000000" w:themeColor="text1"/>
          <w:sz w:val="20"/>
          <w:szCs w:val="20"/>
        </w:rPr>
      </w:pPr>
      <w:r w:rsidRPr="001270EA">
        <w:rPr>
          <w:rFonts w:ascii="Verdana" w:eastAsia="Calibri" w:hAnsi="Verdana" w:cs="Arial"/>
          <w:color w:val="000000" w:themeColor="text1"/>
          <w:sz w:val="20"/>
          <w:szCs w:val="20"/>
        </w:rPr>
        <w:t>Cuando lo estime conveniente la entidad interesada o cuando lo soliciten las dos terceras partes de las personas que hayan retirado pliegos de condiciones o términos de referencia, dicho plazo se podrá prorrogar, antes de su vencimiento, por un término no superior a la mitad del inicialmente fijado.</w:t>
      </w:r>
    </w:p>
    <w:p w14:paraId="0D99CF3D" w14:textId="77777777" w:rsidR="00B936CA" w:rsidRPr="001270EA" w:rsidRDefault="00B936CA" w:rsidP="00B936CA">
      <w:pPr>
        <w:spacing w:after="0" w:line="240" w:lineRule="auto"/>
        <w:ind w:left="709" w:right="709"/>
        <w:jc w:val="both"/>
        <w:rPr>
          <w:rFonts w:ascii="Verdana" w:eastAsia="Calibri" w:hAnsi="Verdana" w:cs="Arial"/>
          <w:color w:val="000000" w:themeColor="text1"/>
          <w:sz w:val="20"/>
          <w:szCs w:val="20"/>
        </w:rPr>
      </w:pPr>
    </w:p>
    <w:p w14:paraId="60B016EC" w14:textId="77777777" w:rsidR="00B936CA" w:rsidRPr="001270EA" w:rsidRDefault="00B936CA" w:rsidP="00B936CA">
      <w:pPr>
        <w:spacing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Si bien el artículo 89 de la Ley 1474 de 2011 modific</w:t>
      </w:r>
      <w:r>
        <w:rPr>
          <w:rFonts w:ascii="Verdana" w:eastAsia="Calibri" w:hAnsi="Verdana" w:cs="Arial"/>
          <w:color w:val="000000" w:themeColor="text1"/>
        </w:rPr>
        <w:t>ó</w:t>
      </w:r>
      <w:r w:rsidRPr="001270EA">
        <w:rPr>
          <w:rFonts w:ascii="Verdana" w:eastAsia="Calibri" w:hAnsi="Verdana" w:cs="Arial"/>
          <w:color w:val="000000" w:themeColor="text1"/>
        </w:rPr>
        <w:t xml:space="preserve"> el inciso segundo, limitando la competencia temporal para expedir adendas, mantiene tanto la posibilidad como el término de la ampliación para recibir propuestas. En esta medida, para los procesos de licitación pública:</w:t>
      </w:r>
    </w:p>
    <w:p w14:paraId="5E6C4BAD" w14:textId="77777777" w:rsidR="00B936CA" w:rsidRPr="001270EA" w:rsidRDefault="00B936CA" w:rsidP="00B936CA">
      <w:pPr>
        <w:spacing w:after="0" w:line="240" w:lineRule="auto"/>
        <w:ind w:left="709" w:right="709"/>
        <w:jc w:val="both"/>
        <w:rPr>
          <w:rFonts w:ascii="Verdana" w:eastAsia="Calibri" w:hAnsi="Verdana" w:cs="Arial"/>
          <w:color w:val="000000" w:themeColor="text1"/>
          <w:sz w:val="20"/>
          <w:szCs w:val="20"/>
        </w:rPr>
      </w:pPr>
      <w:r w:rsidRPr="001270EA">
        <w:rPr>
          <w:rFonts w:ascii="Verdana" w:eastAsia="Calibri" w:hAnsi="Verdana" w:cs="Arial"/>
          <w:color w:val="000000" w:themeColor="text1"/>
          <w:sz w:val="20"/>
          <w:szCs w:val="20"/>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1270EA">
        <w:rPr>
          <w:rFonts w:ascii="Verdana" w:eastAsia="Calibri" w:hAnsi="Verdana" w:cs="Arial"/>
          <w:color w:val="000000" w:themeColor="text1"/>
          <w:sz w:val="20"/>
          <w:szCs w:val="20"/>
        </w:rPr>
        <w:t>del mismo</w:t>
      </w:r>
      <w:proofErr w:type="gramEnd"/>
      <w:r w:rsidRPr="001270EA">
        <w:rPr>
          <w:rFonts w:ascii="Verdana" w:eastAsia="Calibri" w:hAnsi="Verdana" w:cs="Arial"/>
          <w:color w:val="000000" w:themeColor="text1"/>
          <w:sz w:val="20"/>
          <w:szCs w:val="20"/>
        </w:rPr>
        <w:t>. La publicación de estas adendas sólo se podrá realizar en días hábiles y horarios laborales».</w:t>
      </w:r>
    </w:p>
    <w:p w14:paraId="7BA013EB" w14:textId="77777777" w:rsidR="00B936CA" w:rsidRPr="001270EA" w:rsidRDefault="00B936CA" w:rsidP="00B936CA">
      <w:pPr>
        <w:ind w:left="709" w:right="709"/>
        <w:jc w:val="both"/>
        <w:rPr>
          <w:rFonts w:ascii="Verdana" w:eastAsia="Calibri" w:hAnsi="Verdana" w:cs="Arial"/>
          <w:color w:val="000000" w:themeColor="text1"/>
        </w:rPr>
      </w:pPr>
      <w:r w:rsidRPr="001270EA">
        <w:rPr>
          <w:rFonts w:ascii="Verdana" w:eastAsia="Calibri" w:hAnsi="Verdana" w:cs="Arial"/>
          <w:color w:val="000000" w:themeColor="text1"/>
        </w:rPr>
        <w:t xml:space="preserve"> </w:t>
      </w:r>
    </w:p>
    <w:p w14:paraId="47292A0A"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Por su parte, aunque la selección abreviada </w:t>
      </w:r>
      <w:r>
        <w:rPr>
          <w:rFonts w:ascii="Verdana" w:eastAsia="Calibri" w:hAnsi="Verdana" w:cs="Arial"/>
          <w:color w:val="000000" w:themeColor="text1"/>
        </w:rPr>
        <w:t xml:space="preserve">y el concurso de méritos </w:t>
      </w:r>
      <w:r w:rsidRPr="001270EA">
        <w:rPr>
          <w:rFonts w:ascii="Verdana" w:eastAsia="Calibri" w:hAnsi="Verdana" w:cs="Arial"/>
          <w:color w:val="000000" w:themeColor="text1"/>
        </w:rPr>
        <w:t>cuenta con algunos aspectos regulados en el artículo 2, parágrafo 2, de la Ley 1150 de 2007</w:t>
      </w:r>
      <w:r w:rsidRPr="001270EA">
        <w:rPr>
          <w:rStyle w:val="Refdenotaalpie"/>
          <w:rFonts w:ascii="Verdana" w:eastAsia="Calibri" w:hAnsi="Verdana" w:cs="Arial"/>
          <w:color w:val="000000" w:themeColor="text1"/>
        </w:rPr>
        <w:footnoteReference w:id="12"/>
      </w:r>
      <w:r>
        <w:rPr>
          <w:rFonts w:ascii="Verdana" w:eastAsia="Calibri" w:hAnsi="Verdana" w:cs="Arial"/>
          <w:color w:val="000000" w:themeColor="text1"/>
        </w:rPr>
        <w:t xml:space="preserve"> y numeral 3</w:t>
      </w:r>
      <w:r>
        <w:rPr>
          <w:rStyle w:val="Refdenotaalpie"/>
          <w:rFonts w:ascii="Verdana" w:eastAsia="Calibri" w:hAnsi="Verdana" w:cs="Arial"/>
          <w:color w:val="000000" w:themeColor="text1"/>
        </w:rPr>
        <w:footnoteReference w:id="13"/>
      </w:r>
      <w:r>
        <w:rPr>
          <w:rFonts w:ascii="Verdana" w:eastAsia="Calibri" w:hAnsi="Verdana" w:cs="Arial"/>
          <w:color w:val="000000" w:themeColor="text1"/>
        </w:rPr>
        <w:t xml:space="preserve"> de la misma normatividad, respectivamente</w:t>
      </w:r>
      <w:r w:rsidRPr="001270EA">
        <w:rPr>
          <w:rFonts w:ascii="Verdana" w:eastAsia="Calibri" w:hAnsi="Verdana" w:cs="Arial"/>
          <w:color w:val="000000" w:themeColor="text1"/>
        </w:rPr>
        <w:t>, parte importante del trámite depende del reglamento. No obstante, el Decreto 1082 de 2015 tampoco contiene una respuesta satisfactoria a la pregunta planteada, pues la posibilidad de ampliar del término para recibir las ofertas no lo reguló en el procedimiento de selección abreviada</w:t>
      </w:r>
      <w:r>
        <w:rPr>
          <w:rFonts w:ascii="Verdana" w:eastAsia="Calibri" w:hAnsi="Verdana" w:cs="Arial"/>
          <w:color w:val="000000" w:themeColor="text1"/>
        </w:rPr>
        <w:t xml:space="preserve"> ni del concurso de méritos</w:t>
      </w:r>
      <w:r w:rsidRPr="001270EA">
        <w:rPr>
          <w:rFonts w:ascii="Verdana" w:eastAsia="Calibri" w:hAnsi="Verdana" w:cs="Arial"/>
          <w:color w:val="000000" w:themeColor="text1"/>
        </w:rPr>
        <w:t>. Podría pensarse que –salvo en la licitación– no es posible ampliar este plazo, porque no existe una autorización normativa en el procedimiento selección abreviada</w:t>
      </w:r>
      <w:r>
        <w:rPr>
          <w:rFonts w:ascii="Verdana" w:eastAsia="Calibri" w:hAnsi="Verdana" w:cs="Arial"/>
          <w:color w:val="000000" w:themeColor="text1"/>
        </w:rPr>
        <w:t xml:space="preserve"> ni de concurso de méritos</w:t>
      </w:r>
      <w:r w:rsidRPr="001270EA">
        <w:rPr>
          <w:rFonts w:ascii="Verdana" w:eastAsia="Calibri" w:hAnsi="Verdana" w:cs="Arial"/>
          <w:color w:val="000000" w:themeColor="text1"/>
        </w:rPr>
        <w:t xml:space="preserve">, por lo que sería contrario al principio de legalidad aplicarlo, pues </w:t>
      </w:r>
      <w:r>
        <w:rPr>
          <w:rFonts w:ascii="Verdana" w:eastAsia="Calibri" w:hAnsi="Verdana" w:cs="Arial"/>
          <w:color w:val="000000" w:themeColor="text1"/>
        </w:rPr>
        <w:t>“</w:t>
      </w:r>
      <w:r w:rsidRPr="001270EA">
        <w:rPr>
          <w:rFonts w:ascii="Verdana" w:eastAsia="Calibri" w:hAnsi="Verdana" w:cs="Arial"/>
          <w:color w:val="000000" w:themeColor="text1"/>
        </w:rPr>
        <w:t>lo que no está expresamente permitido, se encuentra prohibido</w:t>
      </w:r>
      <w:r>
        <w:rPr>
          <w:rFonts w:ascii="Verdana" w:eastAsia="Calibri" w:hAnsi="Verdana" w:cs="Arial"/>
          <w:color w:val="000000" w:themeColor="text1"/>
        </w:rPr>
        <w:t>”</w:t>
      </w:r>
      <w:r w:rsidRPr="001270EA">
        <w:rPr>
          <w:rFonts w:ascii="Verdana" w:eastAsia="Calibri" w:hAnsi="Verdana" w:cs="Arial"/>
          <w:color w:val="000000" w:themeColor="text1"/>
        </w:rPr>
        <w:t xml:space="preserve">. Esta posición se apoyaría en el artículo 25, numerales 2 y 4, de la Ley 80 de 1993, en el sentido que </w:t>
      </w:r>
      <w:r>
        <w:rPr>
          <w:rFonts w:ascii="Verdana" w:eastAsia="Calibri" w:hAnsi="Verdana" w:cs="Arial"/>
          <w:color w:val="000000" w:themeColor="text1"/>
        </w:rPr>
        <w:t>“</w:t>
      </w:r>
      <w:r w:rsidRPr="001270EA">
        <w:rPr>
          <w:rFonts w:ascii="Verdana" w:eastAsia="Calibri" w:hAnsi="Verdana" w:cs="Arial"/>
          <w:color w:val="000000" w:themeColor="text1"/>
        </w:rPr>
        <w:t xml:space="preserve">Las normas de los procedimientos contractuales se interpretarán de tal manera que no den ocasión a seguir trámites distintos y adicionales a los expresamente previstos </w:t>
      </w:r>
      <w:r>
        <w:rPr>
          <w:rFonts w:ascii="Verdana" w:eastAsia="Calibri" w:hAnsi="Verdana" w:cs="Arial"/>
          <w:color w:val="000000" w:themeColor="text1"/>
        </w:rPr>
        <w:t>(…)”</w:t>
      </w:r>
      <w:r w:rsidRPr="001270EA">
        <w:rPr>
          <w:rFonts w:ascii="Verdana" w:eastAsia="Calibri" w:hAnsi="Verdana" w:cs="Arial"/>
          <w:color w:val="000000" w:themeColor="text1"/>
        </w:rPr>
        <w:t xml:space="preserve"> y que </w:t>
      </w:r>
      <w:r>
        <w:rPr>
          <w:rFonts w:ascii="Verdana" w:eastAsia="Calibri" w:hAnsi="Verdana" w:cs="Arial"/>
          <w:color w:val="000000" w:themeColor="text1"/>
        </w:rPr>
        <w:t>“</w:t>
      </w:r>
      <w:r w:rsidRPr="001270EA">
        <w:rPr>
          <w:rFonts w:ascii="Verdana" w:eastAsia="Calibri" w:hAnsi="Verdana" w:cs="Arial"/>
          <w:color w:val="000000" w:themeColor="text1"/>
        </w:rPr>
        <w:t xml:space="preserve">Los trámites se adelantarán con austeridad de tiempo, medios y gastos </w:t>
      </w:r>
      <w:r>
        <w:rPr>
          <w:rFonts w:ascii="Verdana" w:eastAsia="Calibri" w:hAnsi="Verdana" w:cs="Arial"/>
          <w:color w:val="000000" w:themeColor="text1"/>
        </w:rPr>
        <w:t>(…)”</w:t>
      </w:r>
      <w:r w:rsidRPr="001270EA">
        <w:rPr>
          <w:rFonts w:ascii="Verdana" w:eastAsia="Calibri" w:hAnsi="Verdana" w:cs="Arial"/>
          <w:color w:val="000000" w:themeColor="text1"/>
        </w:rPr>
        <w:t xml:space="preserve">, argumento que se complementaría con la idea de que la selección abreviada </w:t>
      </w:r>
      <w:r>
        <w:rPr>
          <w:rFonts w:ascii="Verdana" w:eastAsia="Calibri" w:hAnsi="Verdana" w:cs="Arial"/>
          <w:color w:val="000000" w:themeColor="text1"/>
        </w:rPr>
        <w:t xml:space="preserve">por ejemplo, </w:t>
      </w:r>
      <w:r w:rsidRPr="001270EA">
        <w:rPr>
          <w:rFonts w:ascii="Verdana" w:eastAsia="Calibri" w:hAnsi="Verdana" w:cs="Arial"/>
          <w:color w:val="000000" w:themeColor="text1"/>
        </w:rPr>
        <w:t xml:space="preserve">constituye un procedimiento simplificado que, en busca de la eficiencia y eficacia en el trámite, rechaza la ampliación de términos. </w:t>
      </w:r>
    </w:p>
    <w:p w14:paraId="113E8B4A"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Por razones prácticas y jurídicas, la Subdirección de Gestión Contractual no comparte la anterior interpretación. De un lado, porque desconoce la existencia de situaciones que imponen a las entidades ampliar algunos plazos de los procedimientos de selección. Y de otro lado, porque es necesario considerar que el numeral 2 del artículo 25 del Estatuto General sólo prohíbe incluir etapas distintas o adicionales a las dispuestas previamente en la ley. La precisión es importante porque la ampliación no crea una etapa, sino que amplía el plazo de la existente, esto es, el término que tienen los oferentes para entregar las propuestas. </w:t>
      </w:r>
    </w:p>
    <w:p w14:paraId="27725E91"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Adicionalmente, si bien el principio de economía también obliga a optimizar el tiempo en los procesos de selección, el numeral 4 del artículo 25 del Estatuto General tampoco prohíbe ampliar los términos, pues teniendo en cuenta que la Administración es las m</w:t>
      </w:r>
      <w:r>
        <w:rPr>
          <w:rFonts w:ascii="Verdana" w:eastAsia="Calibri" w:hAnsi="Verdana" w:cs="Arial"/>
          <w:color w:val="000000" w:themeColor="text1"/>
        </w:rPr>
        <w:t>á</w:t>
      </w:r>
      <w:r w:rsidRPr="001270EA">
        <w:rPr>
          <w:rFonts w:ascii="Verdana" w:eastAsia="Calibri" w:hAnsi="Verdana" w:cs="Arial"/>
          <w:color w:val="000000" w:themeColor="text1"/>
        </w:rPr>
        <w:t>s interesada en que el procedimiento culmine con la adjudicación, la norma citada sugiere que las ampliaciones sean razonables. En el caso específico, un mayor plazo para presentar propuestas se relaciona con la participación de los oferentes, lo cual disminuye el riesgo declarar desierto el procedimiento de selección.</w:t>
      </w:r>
    </w:p>
    <w:p w14:paraId="69A29B7E"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A la luz de la argumentación precedente, podría considerarse que las entidades pueden ampliar el plazo para recibir las ofertas en la selección abreviada</w:t>
      </w:r>
      <w:r>
        <w:rPr>
          <w:rFonts w:ascii="Verdana" w:eastAsia="Calibri" w:hAnsi="Verdana" w:cs="Arial"/>
          <w:color w:val="000000" w:themeColor="text1"/>
        </w:rPr>
        <w:t xml:space="preserve"> y en el concurso de méritos</w:t>
      </w:r>
      <w:r w:rsidRPr="001270EA">
        <w:rPr>
          <w:rFonts w:ascii="Verdana" w:eastAsia="Calibri" w:hAnsi="Verdana" w:cs="Arial"/>
          <w:color w:val="000000" w:themeColor="text1"/>
        </w:rPr>
        <w:t xml:space="preserve">. Sin embargo, la vinculación positiva al principio de legalidad exige que esta facultad tenga fundamento normativo expreso, pues de la ausencia de prohibición no se infiere esta posibilidad. Al respecto, esta atribución podría fundamentarse por lo menos en dos (2) puntos de vista: i) en la aplicación analógica del artículo 30, numeral 5, de la Ley 80 de 1993 o </w:t>
      </w:r>
      <w:proofErr w:type="spellStart"/>
      <w:r w:rsidRPr="001270EA">
        <w:rPr>
          <w:rFonts w:ascii="Verdana" w:eastAsia="Calibri" w:hAnsi="Verdana" w:cs="Arial"/>
          <w:color w:val="000000" w:themeColor="text1"/>
        </w:rPr>
        <w:t>ii</w:t>
      </w:r>
      <w:proofErr w:type="spellEnd"/>
      <w:r w:rsidRPr="001270EA">
        <w:rPr>
          <w:rFonts w:ascii="Verdana" w:eastAsia="Calibri" w:hAnsi="Verdana" w:cs="Arial"/>
          <w:color w:val="000000" w:themeColor="text1"/>
        </w:rPr>
        <w:t>) en la autonomía y discrecionalidad que concede el artículo 2.2.1.1.2.2.1 del Decreto 1</w:t>
      </w:r>
      <w:r>
        <w:rPr>
          <w:rFonts w:ascii="Verdana" w:eastAsia="Calibri" w:hAnsi="Verdana" w:cs="Arial"/>
          <w:color w:val="000000" w:themeColor="text1"/>
        </w:rPr>
        <w:t>0</w:t>
      </w:r>
      <w:r w:rsidRPr="001270EA">
        <w:rPr>
          <w:rFonts w:ascii="Verdana" w:eastAsia="Calibri" w:hAnsi="Verdana" w:cs="Arial"/>
          <w:color w:val="000000" w:themeColor="text1"/>
        </w:rPr>
        <w:t xml:space="preserve">82 de 2015 para modificar el cronograma del proceso de selección a través las adendas. </w:t>
      </w:r>
    </w:p>
    <w:p w14:paraId="1E34212B"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En lo que respecta al primer punto de vista, esto es, la aplicación analógica del artículo 30, numeral 5, del Estatuto, este argumento podría soportarse en que tanto la licitación como selección abreviada </w:t>
      </w:r>
      <w:r>
        <w:rPr>
          <w:rFonts w:ascii="Verdana" w:eastAsia="Calibri" w:hAnsi="Verdana" w:cs="Arial"/>
          <w:color w:val="000000" w:themeColor="text1"/>
        </w:rPr>
        <w:t xml:space="preserve">y el concurso de méritos </w:t>
      </w:r>
      <w:r w:rsidRPr="001270EA">
        <w:rPr>
          <w:rFonts w:ascii="Verdana" w:eastAsia="Calibri" w:hAnsi="Verdana" w:cs="Arial"/>
          <w:color w:val="000000" w:themeColor="text1"/>
        </w:rPr>
        <w:t xml:space="preserve">siguen los mismos principios. Lo anterior resultaría de extender la definición del parágrafo del artículo 30 pues si a través de la licitación </w:t>
      </w:r>
      <w:r>
        <w:rPr>
          <w:rFonts w:ascii="Verdana" w:eastAsia="Calibri" w:hAnsi="Verdana" w:cs="Arial"/>
          <w:color w:val="000000" w:themeColor="text1"/>
        </w:rPr>
        <w:t>“(…)</w:t>
      </w:r>
      <w:r w:rsidRPr="001270EA">
        <w:rPr>
          <w:rFonts w:ascii="Verdana" w:eastAsia="Calibri" w:hAnsi="Verdana" w:cs="Arial"/>
          <w:color w:val="000000" w:themeColor="text1"/>
        </w:rPr>
        <w:t xml:space="preserve"> la entidad estatal formula públicamente una convocatoria para que, en igualdad de oportunidades, los interesados presenten sus ofertas y seleccione entre ellas la más favorable</w:t>
      </w:r>
      <w:r>
        <w:rPr>
          <w:rFonts w:ascii="Verdana" w:eastAsia="Calibri" w:hAnsi="Verdana" w:cs="Arial"/>
          <w:color w:val="000000" w:themeColor="text1"/>
        </w:rPr>
        <w:t>”</w:t>
      </w:r>
      <w:r w:rsidRPr="001270EA">
        <w:rPr>
          <w:rFonts w:ascii="Verdana" w:eastAsia="Calibri" w:hAnsi="Verdana" w:cs="Arial"/>
          <w:color w:val="000000" w:themeColor="text1"/>
        </w:rPr>
        <w:t>, situación idéntica se presenta en la mínima y la menor cuantía, la subasta inversa, el concurso, etc., excluyendo especialmente la contratación directa porque no existe pluralidad de oferentes. Sin embargo, esta postura no es aceptable, ya que se trata de procedimientos de selección completamente diferentes, razón por la cual en la medida que la licitación pública</w:t>
      </w:r>
      <w:r>
        <w:rPr>
          <w:rFonts w:ascii="Verdana" w:eastAsia="Calibri" w:hAnsi="Verdana" w:cs="Arial"/>
          <w:color w:val="000000" w:themeColor="text1"/>
        </w:rPr>
        <w:t>,</w:t>
      </w:r>
      <w:r w:rsidRPr="001270EA">
        <w:rPr>
          <w:rFonts w:ascii="Verdana" w:eastAsia="Calibri" w:hAnsi="Verdana" w:cs="Arial"/>
          <w:color w:val="000000" w:themeColor="text1"/>
        </w:rPr>
        <w:t xml:space="preserve"> la selección abreviada</w:t>
      </w:r>
      <w:r>
        <w:rPr>
          <w:rFonts w:ascii="Verdana" w:eastAsia="Calibri" w:hAnsi="Verdana" w:cs="Arial"/>
          <w:color w:val="000000" w:themeColor="text1"/>
        </w:rPr>
        <w:t xml:space="preserve"> y el concurso de méritos</w:t>
      </w:r>
      <w:r w:rsidRPr="001270EA">
        <w:rPr>
          <w:rFonts w:ascii="Verdana" w:eastAsia="Calibri" w:hAnsi="Verdana" w:cs="Arial"/>
          <w:color w:val="000000" w:themeColor="text1"/>
        </w:rPr>
        <w:t xml:space="preserve"> no se adelantan de la misma manera, es incorrecto aplicar analógicamente las normas de la primera </w:t>
      </w:r>
      <w:r>
        <w:rPr>
          <w:rFonts w:ascii="Verdana" w:eastAsia="Calibri" w:hAnsi="Verdana" w:cs="Arial"/>
          <w:color w:val="000000" w:themeColor="text1"/>
        </w:rPr>
        <w:t>a los otros procesos</w:t>
      </w:r>
      <w:r w:rsidRPr="001270EA">
        <w:rPr>
          <w:rFonts w:ascii="Verdana" w:eastAsia="Calibri" w:hAnsi="Verdana" w:cs="Arial"/>
          <w:color w:val="000000" w:themeColor="text1"/>
        </w:rPr>
        <w:t xml:space="preserve">. </w:t>
      </w:r>
    </w:p>
    <w:p w14:paraId="50E933C7"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En cuanto al segundo punto de vista, </w:t>
      </w:r>
      <w:bookmarkStart w:id="8" w:name="_Hlk39175118"/>
      <w:r w:rsidRPr="001270EA">
        <w:rPr>
          <w:rFonts w:ascii="Verdana" w:eastAsia="Calibri" w:hAnsi="Verdana" w:cs="Arial"/>
          <w:color w:val="000000" w:themeColor="text1"/>
        </w:rPr>
        <w:t xml:space="preserve">descartada la aplicación de la analogía, es posible fundamentar la ampliación del plazo para recibir ofertas en la selección abreviada </w:t>
      </w:r>
      <w:r>
        <w:rPr>
          <w:rFonts w:ascii="Verdana" w:eastAsia="Calibri" w:hAnsi="Verdana" w:cs="Arial"/>
          <w:color w:val="000000" w:themeColor="text1"/>
        </w:rPr>
        <w:t xml:space="preserve">y en el concurso de méritos </w:t>
      </w:r>
      <w:r w:rsidRPr="001270EA">
        <w:rPr>
          <w:rFonts w:ascii="Verdana" w:eastAsia="Calibri" w:hAnsi="Verdana" w:cs="Arial"/>
          <w:color w:val="000000" w:themeColor="text1"/>
        </w:rPr>
        <w:t xml:space="preserve">en la autonomía y en la discrecionalidad que contiene el artículo 2.2.1.1.2.2.1 del Decreto 1082 de 2015 para modificar el cronograma. La norma dispone, en lo pertinente, que </w:t>
      </w:r>
      <w:r>
        <w:rPr>
          <w:rFonts w:ascii="Verdana" w:eastAsia="Calibri" w:hAnsi="Verdana" w:cs="Arial"/>
          <w:color w:val="000000" w:themeColor="text1"/>
        </w:rPr>
        <w:t>“</w:t>
      </w:r>
      <w:r w:rsidRPr="001270EA">
        <w:rPr>
          <w:rFonts w:ascii="Verdana" w:eastAsia="Calibri" w:hAnsi="Verdana" w:cs="Arial"/>
          <w:color w:val="000000" w:themeColor="text1"/>
        </w:rPr>
        <w:t>La Entidad Estatal puede modificar los pliegos de condiciones a través de Adendas expedidas antes del vencimiento del plazo para presentar ofertas</w:t>
      </w:r>
      <w:r>
        <w:rPr>
          <w:rFonts w:ascii="Verdana" w:eastAsia="Calibri" w:hAnsi="Verdana" w:cs="Arial"/>
          <w:color w:val="000000" w:themeColor="text1"/>
        </w:rPr>
        <w:t>”</w:t>
      </w:r>
      <w:r w:rsidRPr="001270EA">
        <w:rPr>
          <w:rFonts w:ascii="Verdana" w:eastAsia="Calibri" w:hAnsi="Verdana" w:cs="Arial"/>
          <w:color w:val="000000" w:themeColor="text1"/>
        </w:rPr>
        <w:t xml:space="preserve"> y que </w:t>
      </w:r>
      <w:r>
        <w:rPr>
          <w:rFonts w:ascii="Verdana" w:eastAsia="Calibri" w:hAnsi="Verdana" w:cs="Arial"/>
          <w:color w:val="000000" w:themeColor="text1"/>
        </w:rPr>
        <w:t>“</w:t>
      </w:r>
      <w:r w:rsidRPr="001270EA">
        <w:rPr>
          <w:rFonts w:ascii="Verdana" w:eastAsia="Calibri" w:hAnsi="Verdana" w:cs="Arial"/>
          <w:color w:val="000000" w:themeColor="text1"/>
        </w:rPr>
        <w:t>La Entidad Estatal puede expedir Adendas para modificar el Cronograma una vez vencido el término para la presentación de las ofertas y antes de la adjudicación del contrato</w:t>
      </w:r>
      <w:r>
        <w:rPr>
          <w:rFonts w:ascii="Verdana" w:eastAsia="Calibri" w:hAnsi="Verdana" w:cs="Arial"/>
          <w:color w:val="000000" w:themeColor="text1"/>
        </w:rPr>
        <w:t>”</w:t>
      </w:r>
      <w:r w:rsidRPr="001270EA">
        <w:rPr>
          <w:rFonts w:ascii="Verdana" w:eastAsia="Calibri" w:hAnsi="Verdana" w:cs="Arial"/>
          <w:color w:val="000000" w:themeColor="text1"/>
        </w:rPr>
        <w:t xml:space="preserve">. </w:t>
      </w:r>
    </w:p>
    <w:p w14:paraId="1D744C3C"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El entendimiento de la norma citada supone diferenciar entre dos (2) tipos de ajustes: i) los referidos a las condiciones técnicas, jurídicas y económicas del pliego definitivo y </w:t>
      </w:r>
      <w:proofErr w:type="spellStart"/>
      <w:r w:rsidRPr="001270EA">
        <w:rPr>
          <w:rFonts w:ascii="Verdana" w:eastAsia="Calibri" w:hAnsi="Verdana" w:cs="Arial"/>
          <w:color w:val="000000" w:themeColor="text1"/>
        </w:rPr>
        <w:t>ii</w:t>
      </w:r>
      <w:proofErr w:type="spellEnd"/>
      <w:r w:rsidRPr="001270EA">
        <w:rPr>
          <w:rFonts w:ascii="Verdana" w:eastAsia="Calibri" w:hAnsi="Verdana" w:cs="Arial"/>
          <w:color w:val="000000" w:themeColor="text1"/>
        </w:rPr>
        <w:t>)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p w14:paraId="119D65B4" w14:textId="77777777" w:rsidR="00B936CA" w:rsidRPr="001270EA" w:rsidRDefault="00B936CA" w:rsidP="00B936CA">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Aunque se podría objetar que la disposición no permite ampliar los términos para recibir las propuestas, lo cierto es que se encuentra incluida en aquella, sobre todo cuando el artículo 2.2.1.1.2.2.1 del Decreto 1082 de 2015 se aplica indistintamente a las ampliaciones de cualquier etapa del procedimiento de selección. Incluso, teniendo en cuenta que el desarrollo del procedimiento selección abreviada le corresponde al reglamento, es razonable fundamentar la posibilidad en esta norma, pues no es correcto afirmar que procede exclusivamente de la ley. </w:t>
      </w:r>
    </w:p>
    <w:p w14:paraId="5E535DF1" w14:textId="77777777" w:rsidR="00B936CA" w:rsidRDefault="00B936CA" w:rsidP="00B936CA">
      <w:pPr>
        <w:spacing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Finalmente, </w:t>
      </w:r>
      <w:bookmarkStart w:id="9" w:name="_Hlk39597260"/>
      <w:r w:rsidRPr="001270EA">
        <w:rPr>
          <w:rFonts w:ascii="Verdana" w:eastAsia="Calibri" w:hAnsi="Verdana" w:cs="Arial"/>
          <w:color w:val="000000" w:themeColor="text1"/>
        </w:rPr>
        <w:t xml:space="preserve">aunque esta norma autoriza ampliar de los plazos del cronograma, incluido el plazo para la entrega de propuestas, no establece un límite como el previsto para la licitación pública en </w:t>
      </w:r>
      <w:bookmarkStart w:id="10" w:name="_Hlk39172778"/>
      <w:r w:rsidRPr="001270EA">
        <w:rPr>
          <w:rFonts w:ascii="Verdana" w:eastAsia="Calibri" w:hAnsi="Verdana" w:cs="Arial"/>
          <w:color w:val="000000" w:themeColor="text1"/>
        </w:rPr>
        <w:t>el artículo 30, numeral 5, del Estatuto General</w:t>
      </w:r>
      <w:bookmarkEnd w:id="10"/>
      <w:r w:rsidRPr="001270EA">
        <w:rPr>
          <w:rFonts w:ascii="Verdana" w:eastAsia="Calibri" w:hAnsi="Verdana" w:cs="Arial"/>
          <w:color w:val="000000" w:themeColor="text1"/>
        </w:rPr>
        <w:t>, razón por la cual las entidades tienen un margen de autonomía y de discrecionalidad para establecerlo en el procedimiento de selección abreviada</w:t>
      </w:r>
      <w:r>
        <w:rPr>
          <w:rFonts w:ascii="Verdana" w:eastAsia="Calibri" w:hAnsi="Verdana" w:cs="Arial"/>
          <w:color w:val="000000" w:themeColor="text1"/>
        </w:rPr>
        <w:t xml:space="preserve"> y en el concurso de méritos</w:t>
      </w:r>
      <w:r w:rsidRPr="001270EA">
        <w:rPr>
          <w:rFonts w:ascii="Verdana" w:eastAsia="Calibri" w:hAnsi="Verdana" w:cs="Arial"/>
          <w:color w:val="000000" w:themeColor="text1"/>
        </w:rPr>
        <w:t xml:space="preserve">. Este aspecto es relevante, porque el artículo 44 de la Ley 1437 de 2011 –aplicable en los procedimientos contractuales en virtud del artículo 77 de la Ley 80 de 1993– dispone que </w:t>
      </w:r>
      <w:r>
        <w:rPr>
          <w:rFonts w:ascii="Verdana" w:eastAsia="Calibri" w:hAnsi="Verdana" w:cs="Arial"/>
          <w:color w:val="000000" w:themeColor="text1"/>
        </w:rPr>
        <w:t>“</w:t>
      </w:r>
      <w:r w:rsidRPr="001270EA">
        <w:rPr>
          <w:rFonts w:ascii="Verdana" w:eastAsia="Calibri" w:hAnsi="Verdana" w:cs="Arial"/>
          <w:color w:val="000000" w:themeColor="text1"/>
        </w:rPr>
        <w:t>En la medida en que el contenido de una decisión de carácter general o particular sea discrecional, debe ser adecuada a los fines de la norma que la autoriza, y proporcional a los hechos que le sirven de causa</w:t>
      </w:r>
      <w:r>
        <w:rPr>
          <w:rFonts w:ascii="Verdana" w:eastAsia="Calibri" w:hAnsi="Verdana" w:cs="Arial"/>
          <w:color w:val="000000" w:themeColor="text1"/>
        </w:rPr>
        <w:t>”</w:t>
      </w:r>
      <w:r w:rsidRPr="001270EA">
        <w:rPr>
          <w:rFonts w:ascii="Verdana" w:eastAsia="Calibri" w:hAnsi="Verdana" w:cs="Arial"/>
          <w:color w:val="000000" w:themeColor="text1"/>
        </w:rPr>
        <w:t xml:space="preserve">. Por tanto, si bien no existe una limitación preestablecida, la ampliación del plazo para recibir las ofertas debe ser razonable, para garantizar la continuidad de los servicios a cargo de la Administración y la austeridad en los tiempos del proceso de selección –arts. 3 y 25.4 del Estatuto General, respectivamente–.  </w:t>
      </w:r>
      <w:bookmarkEnd w:id="8"/>
      <w:bookmarkEnd w:id="9"/>
    </w:p>
    <w:p w14:paraId="3F47BF31" w14:textId="77777777" w:rsidR="00B936CA" w:rsidRPr="001A16D9" w:rsidRDefault="00B936CA" w:rsidP="00B936CA">
      <w:pPr>
        <w:spacing w:line="276" w:lineRule="auto"/>
        <w:ind w:firstLine="708"/>
        <w:jc w:val="both"/>
        <w:rPr>
          <w:rFonts w:ascii="Verdana" w:eastAsia="Calibri" w:hAnsi="Verdana" w:cs="Arial"/>
          <w:color w:val="000000" w:themeColor="text1"/>
        </w:rPr>
      </w:pPr>
      <w:r w:rsidRPr="00A97278">
        <w:rPr>
          <w:rFonts w:ascii="Verdana" w:hAnsi="Verdana" w:cs="Arial"/>
          <w:bCs/>
          <w:color w:val="000000" w:themeColor="text1"/>
        </w:rPr>
        <w:t>Al margen de la explicación precedente, debe advertirse que el análisis requerido para resolver problemas específicos en torno a la gestión contractual de las entidades públicas</w:t>
      </w:r>
      <w:r>
        <w:rPr>
          <w:rFonts w:ascii="Verdana" w:hAnsi="Verdana" w:cs="Arial"/>
          <w:bCs/>
          <w:color w:val="000000" w:themeColor="text1"/>
        </w:rPr>
        <w:t xml:space="preserve"> </w:t>
      </w:r>
      <w:r w:rsidRPr="00A97278">
        <w:rPr>
          <w:rFonts w:ascii="Verdana" w:hAnsi="Verdana" w:cs="Arial"/>
          <w:bCs/>
          <w:color w:val="000000" w:themeColor="text1"/>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E7E9012" w14:textId="77777777" w:rsidR="00B936CA" w:rsidRDefault="00B936CA" w:rsidP="00B936CA">
      <w:pPr>
        <w:spacing w:after="0" w:line="276" w:lineRule="auto"/>
        <w:ind w:firstLine="709"/>
        <w:jc w:val="both"/>
        <w:rPr>
          <w:rFonts w:ascii="Verdana" w:hAnsi="Verdana" w:cs="Arial"/>
          <w:bCs/>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869D124" w14:textId="77777777" w:rsidR="00B936CA" w:rsidRPr="00BF168D" w:rsidRDefault="00B936CA" w:rsidP="00B936CA">
      <w:pPr>
        <w:spacing w:after="0" w:line="276" w:lineRule="auto"/>
        <w:ind w:firstLine="709"/>
        <w:jc w:val="both"/>
        <w:rPr>
          <w:rFonts w:ascii="Verdana" w:hAnsi="Verdana" w:cs="Arial"/>
          <w:bCs/>
          <w:color w:val="000000" w:themeColor="text1"/>
        </w:rPr>
      </w:pPr>
    </w:p>
    <w:p w14:paraId="2E891A4F" w14:textId="77777777" w:rsidR="00B936CA" w:rsidRDefault="00B936CA" w:rsidP="00B936CA">
      <w:pPr>
        <w:spacing w:after="0" w:line="276" w:lineRule="auto"/>
        <w:jc w:val="both"/>
        <w:rPr>
          <w:rFonts w:ascii="Verdana" w:eastAsia="Century Gothic" w:hAnsi="Verdana" w:cs="Century Gothic"/>
          <w:b/>
          <w:bCs/>
        </w:rPr>
      </w:pPr>
      <w:bookmarkStart w:id="11"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1"/>
    </w:p>
    <w:p w14:paraId="5CC3266F" w14:textId="77777777" w:rsidR="00B936CA" w:rsidRPr="000B6E79" w:rsidRDefault="00B936CA" w:rsidP="00B936CA">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36CA" w:rsidRPr="002D2C18" w14:paraId="40D387C2" w14:textId="77777777" w:rsidTr="00087E80">
        <w:trPr>
          <w:trHeight w:val="56"/>
          <w:jc w:val="center"/>
        </w:trPr>
        <w:tc>
          <w:tcPr>
            <w:tcW w:w="8647" w:type="dxa"/>
          </w:tcPr>
          <w:p w14:paraId="45A65314" w14:textId="77777777" w:rsidR="00B936CA"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80 de 1993. Artículos 25, 30.</w:t>
            </w:r>
          </w:p>
          <w:p w14:paraId="18CE0F8B" w14:textId="77777777" w:rsidR="00B936CA"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1150 de 2007. Artículo 2.</w:t>
            </w:r>
          </w:p>
          <w:p w14:paraId="343702D7" w14:textId="77777777" w:rsidR="00B936CA"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1437 de 2011. Artículos 44, 45.</w:t>
            </w:r>
          </w:p>
          <w:p w14:paraId="3D74C68D" w14:textId="77777777" w:rsidR="00B936CA"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1474 de 2011. Artículo 89.</w:t>
            </w:r>
          </w:p>
          <w:p w14:paraId="43F1DDE6" w14:textId="77777777" w:rsidR="00B936CA" w:rsidRPr="002F26F2"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Decreto 1082 de 2015. Artículos </w:t>
            </w:r>
            <w:r w:rsidRPr="0007375E">
              <w:rPr>
                <w:rFonts w:ascii="Verdana" w:hAnsi="Verdana" w:cs="Arial"/>
                <w:color w:val="000000" w:themeColor="text1"/>
              </w:rPr>
              <w:t>2.2.1.1.2.1</w:t>
            </w:r>
            <w:r>
              <w:rPr>
                <w:rFonts w:ascii="Verdana" w:hAnsi="Verdana" w:cs="Arial"/>
                <w:color w:val="000000" w:themeColor="text1"/>
              </w:rPr>
              <w:t xml:space="preserve">.1, </w:t>
            </w:r>
            <w:r w:rsidRPr="0007375E">
              <w:rPr>
                <w:rFonts w:ascii="Verdana" w:hAnsi="Verdana" w:cs="Arial"/>
                <w:color w:val="000000" w:themeColor="text1"/>
              </w:rPr>
              <w:t>2.2.1.1.2.1.2</w:t>
            </w:r>
            <w:r>
              <w:rPr>
                <w:rFonts w:ascii="Verdana" w:hAnsi="Verdana" w:cs="Arial"/>
                <w:color w:val="000000" w:themeColor="text1"/>
              </w:rPr>
              <w:t xml:space="preserve">, </w:t>
            </w:r>
            <w:r w:rsidRPr="0007375E">
              <w:rPr>
                <w:rFonts w:ascii="Verdana" w:hAnsi="Verdana" w:cs="Arial"/>
                <w:color w:val="000000" w:themeColor="text1"/>
              </w:rPr>
              <w:t>2.2.1.1.2.1.3</w:t>
            </w:r>
            <w:r>
              <w:rPr>
                <w:rFonts w:ascii="Verdana" w:hAnsi="Verdana" w:cs="Arial"/>
                <w:color w:val="000000" w:themeColor="text1"/>
              </w:rPr>
              <w:t xml:space="preserve">, </w:t>
            </w:r>
            <w:r w:rsidRPr="0007375E">
              <w:rPr>
                <w:rFonts w:ascii="Verdana" w:hAnsi="Verdana" w:cs="Arial"/>
                <w:color w:val="000000" w:themeColor="text1"/>
              </w:rPr>
              <w:t>2.2.1.1.2.1.4</w:t>
            </w:r>
            <w:r>
              <w:rPr>
                <w:rFonts w:ascii="Verdana" w:hAnsi="Verdana" w:cs="Arial"/>
                <w:color w:val="000000" w:themeColor="text1"/>
              </w:rPr>
              <w:t xml:space="preserve">, </w:t>
            </w:r>
            <w:r w:rsidRPr="00DC04E0">
              <w:rPr>
                <w:rFonts w:ascii="Verdana" w:eastAsia="Arial" w:hAnsi="Verdana" w:cs="Arial"/>
                <w:lang w:eastAsia="es-ES" w:bidi="es-ES"/>
              </w:rPr>
              <w:t>2.2.1.1.2.2.1</w:t>
            </w:r>
            <w:r>
              <w:rPr>
                <w:rFonts w:ascii="Verdana" w:eastAsia="Arial" w:hAnsi="Verdana" w:cs="Arial"/>
                <w:lang w:eastAsia="es-ES" w:bidi="es-ES"/>
              </w:rPr>
              <w:t xml:space="preserve">, </w:t>
            </w:r>
            <w:r>
              <w:rPr>
                <w:rFonts w:ascii="Verdana" w:hAnsi="Verdana" w:cs="Arial"/>
                <w:bCs/>
                <w:color w:val="000000" w:themeColor="text1"/>
              </w:rPr>
              <w:t xml:space="preserve">2.2.1.1.2.1.2, </w:t>
            </w:r>
            <w:r w:rsidRPr="0007375E">
              <w:rPr>
                <w:rFonts w:ascii="Verdana" w:hAnsi="Verdana" w:cs="Arial"/>
                <w:color w:val="000000" w:themeColor="text1"/>
              </w:rPr>
              <w:t>2.2.1.1.2.2.3</w:t>
            </w:r>
            <w:r>
              <w:rPr>
                <w:rFonts w:ascii="Verdana" w:hAnsi="Verdana" w:cs="Arial"/>
                <w:color w:val="000000" w:themeColor="text1"/>
              </w:rPr>
              <w:t xml:space="preserve">, </w:t>
            </w:r>
            <w:r w:rsidRPr="00851357">
              <w:rPr>
                <w:rFonts w:ascii="Verdana" w:hAnsi="Verdana" w:cs="Arial"/>
                <w:color w:val="000000" w:themeColor="text1"/>
              </w:rPr>
              <w:t>2.2.1.2.1.3.4</w:t>
            </w:r>
            <w:r>
              <w:rPr>
                <w:rFonts w:ascii="Verdana" w:hAnsi="Verdana" w:cs="Arial"/>
                <w:color w:val="000000" w:themeColor="text1"/>
              </w:rPr>
              <w:t xml:space="preserve">, 2.2.1.2.1.5.2, </w:t>
            </w:r>
            <w:r w:rsidRPr="0007375E">
              <w:rPr>
                <w:rFonts w:ascii="Verdana" w:hAnsi="Verdana" w:cs="Arial"/>
                <w:color w:val="000000" w:themeColor="text1"/>
              </w:rPr>
              <w:t>2.2.1.1.1.7.1</w:t>
            </w:r>
            <w:r>
              <w:rPr>
                <w:rFonts w:ascii="Verdana" w:hAnsi="Verdana" w:cs="Arial"/>
                <w:color w:val="000000" w:themeColor="text1"/>
              </w:rPr>
              <w:t>.</w:t>
            </w:r>
          </w:p>
          <w:p w14:paraId="30DA8FC1" w14:textId="77777777" w:rsidR="00B936CA" w:rsidRPr="002F26F2" w:rsidRDefault="00B936CA" w:rsidP="00B936CA">
            <w:pPr>
              <w:pStyle w:val="Prrafodelista"/>
              <w:numPr>
                <w:ilvl w:val="0"/>
                <w:numId w:val="16"/>
              </w:numPr>
              <w:spacing w:after="120" w:line="276" w:lineRule="auto"/>
              <w:jc w:val="both"/>
              <w:rPr>
                <w:rFonts w:ascii="Verdana" w:hAnsi="Verdana" w:cs="Arial"/>
                <w:lang w:eastAsia="es-ES"/>
              </w:rPr>
            </w:pPr>
            <w:r w:rsidRPr="002F26F2">
              <w:rPr>
                <w:rFonts w:ascii="Verdana" w:hAnsi="Verdana" w:cs="Arial"/>
                <w:lang w:eastAsia="es-ES"/>
              </w:rPr>
              <w:t xml:space="preserve">Consejo de Estado. Sala de lo Contencioso Administrativo. Sección Tercera. Subsección A, </w:t>
            </w:r>
            <w:r>
              <w:rPr>
                <w:rFonts w:ascii="Verdana" w:hAnsi="Verdana" w:cs="Arial"/>
                <w:lang w:eastAsia="es-ES"/>
              </w:rPr>
              <w:t>Sentencia del</w:t>
            </w:r>
            <w:r w:rsidRPr="002F26F2">
              <w:rPr>
                <w:rFonts w:ascii="Verdana" w:hAnsi="Verdana" w:cs="Arial"/>
                <w:lang w:eastAsia="es-ES"/>
              </w:rPr>
              <w:t xml:space="preserve"> de septiembre de 2013, expediente No. 30.571, C.P: Mauricio Fajardo Gómez</w:t>
            </w:r>
            <w:r>
              <w:rPr>
                <w:rFonts w:ascii="Verdana" w:hAnsi="Verdana" w:cs="Arial"/>
                <w:lang w:eastAsia="es-ES"/>
              </w:rPr>
              <w:t>.</w:t>
            </w:r>
          </w:p>
          <w:p w14:paraId="4BC9B8BA" w14:textId="2DC3C01A" w:rsidR="00B936CA"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Consejo de Estado. Sala de lo Contencioso Administrativo.</w:t>
            </w:r>
            <w:r w:rsidRPr="002F26F2">
              <w:rPr>
                <w:rFonts w:ascii="Verdana" w:hAnsi="Verdana" w:cs="Arial"/>
                <w:lang w:eastAsia="es-ES"/>
              </w:rPr>
              <w:t xml:space="preserve"> Sección Tercera.</w:t>
            </w:r>
            <w:r>
              <w:rPr>
                <w:rFonts w:ascii="Verdana" w:hAnsi="Verdana" w:cs="Arial"/>
                <w:lang w:eastAsia="es-ES"/>
              </w:rPr>
              <w:t xml:space="preserve"> Subsección B. </w:t>
            </w:r>
            <w:r w:rsidRPr="002F26F2">
              <w:rPr>
                <w:rFonts w:ascii="Verdana" w:hAnsi="Verdana" w:cs="Arial"/>
                <w:lang w:eastAsia="es-ES"/>
              </w:rPr>
              <w:t xml:space="preserve">Sentencia de 20 de febrero de 2014. </w:t>
            </w:r>
            <w:proofErr w:type="spellStart"/>
            <w:r w:rsidRPr="002F26F2">
              <w:rPr>
                <w:rFonts w:ascii="Verdana" w:hAnsi="Verdana" w:cs="Arial"/>
                <w:lang w:eastAsia="es-ES"/>
              </w:rPr>
              <w:t>Exp</w:t>
            </w:r>
            <w:proofErr w:type="spellEnd"/>
            <w:r w:rsidRPr="002F26F2">
              <w:rPr>
                <w:rFonts w:ascii="Verdana" w:hAnsi="Verdana" w:cs="Arial"/>
                <w:lang w:eastAsia="es-ES"/>
              </w:rPr>
              <w:t xml:space="preserve">. 28.342. </w:t>
            </w:r>
            <w:r>
              <w:rPr>
                <w:rFonts w:ascii="Verdana" w:hAnsi="Verdana" w:cs="Arial"/>
                <w:lang w:eastAsia="es-ES"/>
              </w:rPr>
              <w:t>C</w:t>
            </w:r>
            <w:r w:rsidRPr="002F26F2">
              <w:rPr>
                <w:rFonts w:ascii="Verdana" w:hAnsi="Verdana" w:cs="Arial"/>
                <w:lang w:eastAsia="es-ES"/>
              </w:rPr>
              <w:t>.P</w:t>
            </w:r>
            <w:r w:rsidR="00931B0A">
              <w:rPr>
                <w:rFonts w:ascii="Verdana" w:hAnsi="Verdana" w:cs="Arial"/>
                <w:lang w:eastAsia="es-ES"/>
              </w:rPr>
              <w:t>:</w:t>
            </w:r>
            <w:r w:rsidRPr="002F26F2">
              <w:rPr>
                <w:rFonts w:ascii="Verdana" w:hAnsi="Verdana" w:cs="Arial"/>
                <w:lang w:eastAsia="es-ES"/>
              </w:rPr>
              <w:tab/>
            </w:r>
            <w:r w:rsidR="00931B0A">
              <w:rPr>
                <w:rFonts w:ascii="Verdana" w:hAnsi="Verdana" w:cs="Arial"/>
                <w:lang w:eastAsia="es-ES"/>
              </w:rPr>
              <w:t xml:space="preserve"> </w:t>
            </w:r>
            <w:r w:rsidRPr="002F26F2">
              <w:rPr>
                <w:rFonts w:ascii="Verdana" w:hAnsi="Verdana" w:cs="Arial"/>
                <w:lang w:eastAsia="es-ES"/>
              </w:rPr>
              <w:t>Stella Conto Diaz Del Castillo.</w:t>
            </w:r>
          </w:p>
          <w:p w14:paraId="14C09AB4" w14:textId="77777777" w:rsidR="00B936CA" w:rsidRPr="004E4583" w:rsidRDefault="00B936CA" w:rsidP="00B936CA">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Consejo de Estado.</w:t>
            </w:r>
            <w:r w:rsidRPr="004E4583">
              <w:rPr>
                <w:rFonts w:ascii="Verdana" w:hAnsi="Verdana" w:cs="Arial"/>
                <w:lang w:eastAsia="es-ES"/>
              </w:rPr>
              <w:t xml:space="preserve"> </w:t>
            </w:r>
            <w:r>
              <w:rPr>
                <w:rFonts w:ascii="Verdana" w:hAnsi="Verdana" w:cs="Arial"/>
                <w:lang w:eastAsia="es-ES"/>
              </w:rPr>
              <w:t xml:space="preserve">Sala de lo Contencioso Administrativo. </w:t>
            </w:r>
            <w:r w:rsidRPr="004E4583">
              <w:rPr>
                <w:rFonts w:ascii="Verdana" w:hAnsi="Verdana" w:cs="Arial"/>
                <w:lang w:eastAsia="es-ES"/>
              </w:rPr>
              <w:t xml:space="preserve">Sección </w:t>
            </w:r>
            <w:r>
              <w:rPr>
                <w:rFonts w:ascii="Verdana" w:hAnsi="Verdana" w:cs="Arial"/>
                <w:lang w:eastAsia="es-ES"/>
              </w:rPr>
              <w:t>T</w:t>
            </w:r>
            <w:r w:rsidRPr="004E4583">
              <w:rPr>
                <w:rFonts w:ascii="Verdana" w:hAnsi="Verdana" w:cs="Arial"/>
                <w:lang w:eastAsia="es-ES"/>
              </w:rPr>
              <w:t>ercera. Subsección A. Sentencia del 4 de julio de 2023. Radicación: 250002336000201800853 01 (69280)</w:t>
            </w:r>
            <w:r>
              <w:rPr>
                <w:rFonts w:ascii="Verdana" w:hAnsi="Verdana" w:cs="Arial"/>
                <w:lang w:eastAsia="es-ES"/>
              </w:rPr>
              <w:t xml:space="preserve">. C.P: Marta Nubia Velásquez Rico. </w:t>
            </w:r>
          </w:p>
          <w:p w14:paraId="3BFBAAC8" w14:textId="77777777" w:rsidR="00B936CA" w:rsidRPr="00033152" w:rsidRDefault="00B936CA" w:rsidP="00B936CA">
            <w:pPr>
              <w:pStyle w:val="Prrafodelista"/>
              <w:numPr>
                <w:ilvl w:val="0"/>
                <w:numId w:val="16"/>
              </w:numPr>
              <w:spacing w:after="120" w:line="276" w:lineRule="auto"/>
              <w:jc w:val="both"/>
              <w:rPr>
                <w:rFonts w:ascii="Verdana" w:hAnsi="Verdana" w:cs="Arial"/>
                <w:lang w:eastAsia="es-ES"/>
              </w:rPr>
            </w:pPr>
            <w:r w:rsidRPr="004E4583">
              <w:rPr>
                <w:rFonts w:ascii="Verdana" w:hAnsi="Verdana" w:cs="Arial"/>
                <w:lang w:eastAsia="es-ES"/>
              </w:rPr>
              <w:t>PALACIO HINCAPÉ, Juan Ángel. La contratación de las entidades estatales. Séptima Edición. Medellín: Librería Jurídica Sánchez, 2014.</w:t>
            </w:r>
          </w:p>
        </w:tc>
      </w:tr>
    </w:tbl>
    <w:p w14:paraId="0E0BF3CC" w14:textId="77777777" w:rsidR="00B936CA" w:rsidRDefault="00B936CA" w:rsidP="00B936CA">
      <w:pPr>
        <w:tabs>
          <w:tab w:val="left" w:pos="142"/>
          <w:tab w:val="left" w:pos="284"/>
          <w:tab w:val="left" w:pos="3828"/>
        </w:tabs>
        <w:spacing w:after="0" w:line="276" w:lineRule="auto"/>
        <w:jc w:val="both"/>
        <w:rPr>
          <w:rFonts w:ascii="Verdana" w:eastAsia="Century Gothic" w:hAnsi="Verdana" w:cs="Century Gothic"/>
          <w:b/>
          <w:bCs/>
        </w:rPr>
      </w:pPr>
    </w:p>
    <w:p w14:paraId="7E609ECC" w14:textId="5451E0D1" w:rsidR="00B936CA" w:rsidRPr="00F600FA" w:rsidRDefault="00B936CA" w:rsidP="00F600FA">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r w:rsidR="00F600FA">
        <w:rPr>
          <w:rFonts w:ascii="Verdana" w:eastAsia="Century Gothic" w:hAnsi="Verdana" w:cs="Century Gothic"/>
          <w:b/>
          <w:bCs/>
        </w:rPr>
        <w:t xml:space="preserve"> </w:t>
      </w:r>
      <w:r w:rsidRPr="00EC62E6">
        <w:rPr>
          <w:rFonts w:ascii="Verdana" w:hAnsi="Verdana" w:cs="Arial"/>
          <w:shd w:val="clear" w:color="auto" w:fill="FFFFFF"/>
        </w:rPr>
        <w:t xml:space="preserve">Esta Subdirección se ha pronunciado sobre las etapas dentro del proceso de selección de licitación Pública en los conceptos </w:t>
      </w:r>
      <w:r w:rsidRPr="00EC62E6">
        <w:rPr>
          <w:rFonts w:ascii="Verdana" w:eastAsia="Calibri" w:hAnsi="Verdana" w:cs="Arial"/>
        </w:rPr>
        <w:t>C-201 del 13 de mayo de 2020</w:t>
      </w:r>
      <w:r w:rsidRPr="00EC62E6">
        <w:rPr>
          <w:rFonts w:ascii="Verdana" w:hAnsi="Verdana" w:cs="Arial"/>
          <w:bCs/>
          <w:shd w:val="clear" w:color="auto" w:fill="FFFFFF"/>
          <w:lang w:val="es-ES"/>
        </w:rPr>
        <w:t xml:space="preserve">, C-431 del 16 de septiembre de 204, C-852 del 19 de agosto de 2025, C-401 del 27 de marzo de 2026, </w:t>
      </w:r>
      <w:r w:rsidRPr="00EC62E6">
        <w:rPr>
          <w:rStyle w:val="normaltextrun"/>
          <w:rFonts w:ascii="Verdana" w:hAnsi="Verdana" w:cs="Arial"/>
          <w:bCs/>
          <w:shd w:val="clear" w:color="auto" w:fill="FFFFFF"/>
          <w:lang w:val="es-ES"/>
        </w:rPr>
        <w:t>entre otros.</w:t>
      </w:r>
      <w:r w:rsidRPr="00EC62E6">
        <w:rPr>
          <w:rFonts w:ascii="Verdana" w:hAnsi="Verdana" w:cs="Arial"/>
          <w:bCs/>
          <w:shd w:val="clear" w:color="auto" w:fill="FFFFFF"/>
          <w:lang w:val="es-ES"/>
        </w:rPr>
        <w:t xml:space="preserve"> Así mismo, se ha pronunciado sobre la posibilidad de modificar el cronograma fijado en el</w:t>
      </w:r>
      <w:r>
        <w:rPr>
          <w:rFonts w:ascii="Verdana" w:hAnsi="Verdana" w:cs="Arial"/>
          <w:bCs/>
          <w:shd w:val="clear" w:color="auto" w:fill="FFFFFF"/>
          <w:lang w:val="es-ES"/>
        </w:rPr>
        <w:t xml:space="preserve"> pliego de condiciones en los conceptos C</w:t>
      </w:r>
      <w:r>
        <w:rPr>
          <w:rFonts w:ascii="Verdana" w:eastAsia="Aptos" w:hAnsi="Verdana" w:cs="Arial"/>
          <w:shd w:val="clear" w:color="auto" w:fill="FFFFFF"/>
          <w:lang w:val="es-ES"/>
        </w:rPr>
        <w:t>-674 del 18 de noviembre de 2020, C-564 del 8 de septiembre de 2022, C-519 del 13 de septiembre de 2022, C-647 del 5 de octubre de 2022, C-705 de 25 de octubre de 2022, C-817 del 5 de diciembre de 2022, C-882 del 21 de diciembre de 2022, C-218 del 13 de julio de 2023</w:t>
      </w:r>
      <w:r w:rsidRPr="00AC4E53">
        <w:rPr>
          <w:rStyle w:val="normaltextrun"/>
          <w:rFonts w:ascii="Verdana" w:hAnsi="Verdana" w:cs="Calibri"/>
          <w:shd w:val="clear" w:color="auto" w:fill="FFFFFF"/>
        </w:rPr>
        <w:t>,</w:t>
      </w:r>
      <w:r>
        <w:rPr>
          <w:rStyle w:val="normaltextrun"/>
          <w:rFonts w:ascii="Verdana" w:hAnsi="Verdana" w:cs="Calibri"/>
          <w:shd w:val="clear" w:color="auto" w:fill="FFFFFF"/>
        </w:rPr>
        <w:t xml:space="preserve"> C- 383 del 20 de septiembre de 2023, </w:t>
      </w:r>
      <w:r>
        <w:rPr>
          <w:rFonts w:ascii="Verdana" w:eastAsia="Aptos" w:hAnsi="Verdana" w:cs="Arial"/>
          <w:shd w:val="clear" w:color="auto" w:fill="FFFFFF"/>
          <w:lang w:val="es-ES"/>
        </w:rPr>
        <w:t xml:space="preserve">C-299 del 21 de agosto de 2024, C-432 del 16 de septiembre de 2024, </w:t>
      </w:r>
      <w:r>
        <w:rPr>
          <w:rStyle w:val="normaltextrun"/>
          <w:rFonts w:ascii="Verdana" w:hAnsi="Verdana" w:cs="Calibri"/>
          <w:shd w:val="clear" w:color="auto" w:fill="FFFFFF"/>
        </w:rPr>
        <w:t xml:space="preserve">C-393 del 9 de septiembre de 2024, C-782 del 18 de noviembre de 2024, C-1020 del 27 de diciembre de 2024, C-117 del 10 de marzo de 2025, C-593 del 24 de junio de 2025, </w:t>
      </w:r>
      <w:r>
        <w:rPr>
          <w:rFonts w:ascii="Verdana" w:hAnsi="Verdana" w:cs="Arial"/>
          <w:bCs/>
          <w:shd w:val="clear" w:color="auto" w:fill="FFFFFF"/>
          <w:lang w:val="es-ES"/>
        </w:rPr>
        <w:t xml:space="preserve">C-763 del 22 de julio de 2025, entre otros. Por último, respecto de la posibilidad de ampliar el tiempo de la presentación de las propuestas en el concepto </w:t>
      </w:r>
      <w:r w:rsidRPr="00827859">
        <w:rPr>
          <w:rFonts w:ascii="Verdana" w:hAnsi="Verdana" w:cs="Arial"/>
          <w:bCs/>
          <w:shd w:val="clear" w:color="auto" w:fill="FFFFFF"/>
          <w:lang w:val="es-ES_tradnl"/>
        </w:rPr>
        <w:t>C-139 del 31 de marzo de 2020</w:t>
      </w:r>
      <w:r>
        <w:rPr>
          <w:rFonts w:ascii="Verdana" w:hAnsi="Verdana" w:cs="Arial"/>
          <w:bCs/>
          <w:shd w:val="clear" w:color="auto" w:fill="FFFFFF"/>
          <w:lang w:val="es-ES_tradnl"/>
        </w:rPr>
        <w:t xml:space="preserve">, </w:t>
      </w:r>
      <w:r>
        <w:rPr>
          <w:rFonts w:ascii="Verdana" w:hAnsi="Verdana" w:cs="Arial"/>
          <w:bCs/>
          <w:shd w:val="clear" w:color="auto" w:fill="FFFFFF"/>
          <w:lang w:val="es-ES"/>
        </w:rPr>
        <w:t xml:space="preserve">C-002 del 5 de mayo de 2020, entre otros. </w:t>
      </w:r>
      <w:r w:rsidRPr="008E7EF7">
        <w:rPr>
          <w:rFonts w:ascii="Verdana" w:hAnsi="Verdana" w:cs="Arial"/>
        </w:rPr>
        <w:t xml:space="preserve">Estos y otros </w:t>
      </w:r>
      <w:r w:rsidRPr="008E7EF7">
        <w:rPr>
          <w:rFonts w:ascii="Verdana" w:hAnsi="Verdana"/>
        </w:rPr>
        <w:t>conceptos se encuentran disponibles para consulta en el Sistema de relatoría de la Agencia, al cual se puede acceder a través del siguiente enlace:</w:t>
      </w:r>
      <w:r w:rsidRPr="00827859">
        <w:t xml:space="preserve"> </w:t>
      </w:r>
      <w:hyperlink r:id="rId12" w:history="1">
        <w:r w:rsidRPr="00D56DDB">
          <w:rPr>
            <w:rStyle w:val="Hipervnculo"/>
            <w:rFonts w:ascii="Verdana" w:hAnsi="Verdana" w:cs="Arial"/>
            <w:shd w:val="clear" w:color="auto" w:fill="FFFFFF"/>
          </w:rPr>
          <w:t>https://relatoria.colombiacompra.gov.co/busqueda/conceptos</w:t>
        </w:r>
      </w:hyperlink>
      <w:r w:rsidRPr="00D56DDB">
        <w:rPr>
          <w:rFonts w:ascii="Verdana" w:hAnsi="Verdana" w:cs="Arial"/>
          <w:shd w:val="clear" w:color="auto" w:fill="FFFFFF"/>
        </w:rPr>
        <w:t>.</w:t>
      </w:r>
      <w:r w:rsidRPr="00D56DDB">
        <w:rPr>
          <w:rFonts w:ascii="Verdana" w:hAnsi="Verdana" w:cs="Arial"/>
          <w:color w:val="FF0000"/>
          <w:shd w:val="clear" w:color="auto" w:fill="FFFFFF"/>
        </w:rPr>
        <w:t xml:space="preserve"> </w:t>
      </w:r>
      <w:r w:rsidRPr="00D56DDB">
        <w:rPr>
          <w:rFonts w:ascii="Verdana" w:hAnsi="Verdana" w:cs="Arial"/>
          <w:color w:val="000000" w:themeColor="text1"/>
          <w:shd w:val="clear" w:color="auto" w:fill="FFFFFF"/>
        </w:rPr>
        <w:t>  </w:t>
      </w:r>
    </w:p>
    <w:p w14:paraId="63E3F252" w14:textId="77777777" w:rsidR="00B936CA" w:rsidRDefault="00B936CA" w:rsidP="00B936CA">
      <w:pPr>
        <w:widowControl w:val="0"/>
        <w:autoSpaceDE w:val="0"/>
        <w:autoSpaceDN w:val="0"/>
        <w:spacing w:after="120" w:line="276" w:lineRule="auto"/>
        <w:jc w:val="both"/>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8746BD">
          <w:rPr>
            <w:rStyle w:val="Hipervnculo"/>
            <w:rFonts w:ascii="Verdana" w:hAnsi="Verdana"/>
          </w:rPr>
          <w:t>https://formacionvirtual.colombiacompra.gov.co/mod/page/view.php?id=3718</w:t>
        </w:r>
      </w:hyperlink>
    </w:p>
    <w:p w14:paraId="3AD4180B" w14:textId="77777777" w:rsidR="00B936CA" w:rsidRPr="00827859" w:rsidRDefault="00B936CA" w:rsidP="00B936CA">
      <w:pPr>
        <w:widowControl w:val="0"/>
        <w:autoSpaceDE w:val="0"/>
        <w:autoSpaceDN w:val="0"/>
        <w:spacing w:after="120" w:line="276" w:lineRule="auto"/>
        <w:jc w:val="both"/>
        <w:rPr>
          <w:rStyle w:val="Hipervnculo"/>
          <w:rFonts w:ascii="Verdana" w:hAnsi="Verdana" w:cs="Arial"/>
          <w:bCs/>
          <w:color w:val="auto"/>
          <w:u w:val="none"/>
          <w:shd w:val="clear" w:color="auto" w:fill="FFFFFF"/>
          <w:lang w:val="es-ES"/>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8746BD">
        <w:rPr>
          <w:rFonts w:ascii="Verdana" w:hAnsi="Verdana"/>
        </w:rPr>
        <w:t xml:space="preserve">Consulta y descarga los documentos aquí: </w:t>
      </w:r>
      <w:hyperlink r:id="rId14" w:tgtFrame="_new" w:history="1">
        <w:r w:rsidRPr="008746BD">
          <w:rPr>
            <w:rStyle w:val="Hipervnculo"/>
            <w:rFonts w:ascii="Verdana" w:hAnsi="Verdana"/>
          </w:rPr>
          <w:t>https://www.colombiacompra.gov.co/normativa-y-relatoria/documentos-tipo</w:t>
        </w:r>
      </w:hyperlink>
    </w:p>
    <w:p w14:paraId="75AB392E" w14:textId="77777777" w:rsidR="00B936CA" w:rsidRDefault="00B936CA" w:rsidP="00B936CA">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5"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4BD9C16" w14:textId="77777777" w:rsidR="00B936CA" w:rsidRPr="007A3DD4" w:rsidRDefault="00B936CA" w:rsidP="00B936CA">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3919D3EE" w14:textId="77777777" w:rsidR="00B936CA" w:rsidRPr="00116940" w:rsidRDefault="00B936CA" w:rsidP="00B936CA">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EE4266E" w14:textId="77777777" w:rsidR="00B936CA" w:rsidRPr="00116940" w:rsidRDefault="00B936CA" w:rsidP="00B936CA">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01A3230E" w14:textId="77777777" w:rsidR="00B936CA" w:rsidRPr="00116940" w:rsidRDefault="00B936CA" w:rsidP="00B936CA">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6A84826F" w14:textId="77777777" w:rsidR="00B936CA" w:rsidRPr="00116940" w:rsidRDefault="00B936CA" w:rsidP="00B936CA">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03211F97" w14:textId="77777777" w:rsidR="00C51E7A" w:rsidRDefault="00C51E7A" w:rsidP="00C51E7A">
      <w:pPr>
        <w:spacing w:after="0" w:line="240" w:lineRule="auto"/>
        <w:jc w:val="both"/>
        <w:rPr>
          <w:rFonts w:ascii="Verdana" w:hAnsi="Verdana"/>
        </w:rPr>
      </w:pPr>
    </w:p>
    <w:p w14:paraId="4F51000A" w14:textId="0268A225" w:rsidR="00B936CA" w:rsidRDefault="00B936CA" w:rsidP="00B936CA">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717B66A8" w14:textId="77777777" w:rsidR="00B936CA" w:rsidRPr="00116940" w:rsidRDefault="00B936CA" w:rsidP="00B936CA">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61E31DF" w14:textId="77777777" w:rsidR="00B936CA" w:rsidRPr="008746BD" w:rsidRDefault="00B936CA" w:rsidP="00C51E7A">
      <w:pPr>
        <w:spacing w:after="0" w:line="240" w:lineRule="auto"/>
        <w:jc w:val="both"/>
        <w:rPr>
          <w:rFonts w:ascii="Verdana" w:hAnsi="Verdana"/>
        </w:rPr>
      </w:pPr>
    </w:p>
    <w:p w14:paraId="6F6BEEC8" w14:textId="77777777" w:rsidR="00B936CA" w:rsidRPr="00116940" w:rsidRDefault="00B936CA" w:rsidP="00B936CA">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AB46665" w14:textId="77777777" w:rsidR="00B936CA" w:rsidRPr="00116940" w:rsidRDefault="00B936CA" w:rsidP="00B936CA">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5C8EE5C" w14:textId="77777777" w:rsidR="00B936CA" w:rsidRPr="00116940" w:rsidRDefault="00B936CA" w:rsidP="00B936CA">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980B2C3" w14:textId="77777777" w:rsidR="00B936CA" w:rsidRPr="00330029" w:rsidRDefault="00B936CA" w:rsidP="00B936CA">
      <w:pPr>
        <w:spacing w:after="0" w:line="276" w:lineRule="auto"/>
        <w:jc w:val="both"/>
        <w:rPr>
          <w:rFonts w:ascii="Verdana" w:hAnsi="Verdana"/>
          <w:lang w:val="es-MX"/>
        </w:rPr>
      </w:pPr>
      <w:r w:rsidRPr="00E02524">
        <w:rPr>
          <w:rFonts w:ascii="Verdana" w:hAnsi="Verdana"/>
          <w:lang w:val="es-MX"/>
        </w:rPr>
        <w:t>Cordialmente,</w:t>
      </w:r>
    </w:p>
    <w:p w14:paraId="0956E405" w14:textId="642A8877" w:rsidR="00B936CA" w:rsidRDefault="00B936CA" w:rsidP="00B936CA">
      <w:pPr>
        <w:spacing w:after="0" w:line="256" w:lineRule="auto"/>
        <w:jc w:val="center"/>
        <w:rPr>
          <w:rFonts w:ascii="Verdana" w:eastAsia="Calibri" w:hAnsi="Verdana" w:cs="Times New Roman"/>
        </w:rPr>
      </w:pPr>
    </w:p>
    <w:p w14:paraId="65764CFC" w14:textId="6A555F0D" w:rsidR="00B936CA" w:rsidRDefault="00F600FA" w:rsidP="00B936CA">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682C56FA" wp14:editId="13CB9002">
            <wp:extent cx="2862777" cy="1348808"/>
            <wp:effectExtent l="0" t="0" r="0" b="381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2881908" cy="1357822"/>
                    </a:xfrm>
                    <a:prstGeom prst="rect">
                      <a:avLst/>
                    </a:prstGeom>
                  </pic:spPr>
                </pic:pic>
              </a:graphicData>
            </a:graphic>
          </wp:inline>
        </w:drawing>
      </w:r>
    </w:p>
    <w:p w14:paraId="06745018" w14:textId="77777777" w:rsidR="00B936CA" w:rsidRDefault="00B936CA" w:rsidP="00B936CA">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936CA" w:rsidRPr="005644FE" w14:paraId="268CE668" w14:textId="77777777" w:rsidTr="00087E80">
        <w:trPr>
          <w:trHeight w:val="288"/>
        </w:trPr>
        <w:tc>
          <w:tcPr>
            <w:tcW w:w="893" w:type="dxa"/>
            <w:vAlign w:val="center"/>
            <w:hideMark/>
          </w:tcPr>
          <w:p w14:paraId="37315574" w14:textId="77777777" w:rsidR="00B936CA" w:rsidRPr="005644FE" w:rsidRDefault="00B936CA" w:rsidP="00087E80">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AA80779" w14:textId="77777777" w:rsidR="00B936CA" w:rsidRPr="005644FE" w:rsidRDefault="00B936CA" w:rsidP="00087E80">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1B339FF9" w14:textId="77777777" w:rsidR="00B936CA" w:rsidRPr="005644FE" w:rsidRDefault="00B936CA" w:rsidP="00087E80">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B936CA" w:rsidRPr="005644FE" w14:paraId="5A8E37CC" w14:textId="77777777" w:rsidTr="00087E80">
        <w:trPr>
          <w:trHeight w:val="330"/>
        </w:trPr>
        <w:tc>
          <w:tcPr>
            <w:tcW w:w="893" w:type="dxa"/>
            <w:vAlign w:val="center"/>
            <w:hideMark/>
          </w:tcPr>
          <w:p w14:paraId="066FDA2F" w14:textId="77777777" w:rsidR="00B936CA" w:rsidRPr="005644FE" w:rsidRDefault="00B936CA" w:rsidP="00087E80">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C11EB9C" w14:textId="77777777" w:rsidR="00B936CA" w:rsidRPr="00147D6A" w:rsidRDefault="00B936CA" w:rsidP="00087E80">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26886B6F" w14:textId="77777777" w:rsidR="00B936CA" w:rsidRPr="00147D6A" w:rsidRDefault="00B936CA" w:rsidP="00087E80">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B936CA" w:rsidRPr="005644FE" w14:paraId="06ED8BD3" w14:textId="77777777" w:rsidTr="00087E80">
        <w:trPr>
          <w:trHeight w:val="300"/>
        </w:trPr>
        <w:tc>
          <w:tcPr>
            <w:tcW w:w="893" w:type="dxa"/>
            <w:vAlign w:val="center"/>
          </w:tcPr>
          <w:p w14:paraId="1CFF68F9" w14:textId="77777777" w:rsidR="00B936CA" w:rsidRPr="005644FE" w:rsidRDefault="00B936CA" w:rsidP="00087E80">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D6AE676" w14:textId="77777777" w:rsidR="00B936CA" w:rsidRPr="00147D6A" w:rsidRDefault="00B936CA" w:rsidP="00087E80">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5917F3B7" w14:textId="77777777" w:rsidR="00B936CA" w:rsidRPr="00147D6A" w:rsidRDefault="00B936CA" w:rsidP="00087E80">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1"/>
    </w:tbl>
    <w:p w14:paraId="6219D70C" w14:textId="77777777" w:rsidR="00B936CA" w:rsidRPr="0024624F" w:rsidRDefault="00B936CA" w:rsidP="00B936CA">
      <w:pPr>
        <w:spacing w:after="0"/>
        <w:rPr>
          <w:rFonts w:ascii="Verdana" w:eastAsia="Verdana" w:hAnsi="Verdana" w:cs="Verdana"/>
        </w:rPr>
      </w:pPr>
    </w:p>
    <w:bookmarkEnd w:id="0"/>
    <w:p w14:paraId="145BC672" w14:textId="77777777" w:rsidR="00B936CA" w:rsidRPr="0024624F" w:rsidRDefault="00B936CA" w:rsidP="00B936CA">
      <w:pPr>
        <w:spacing w:after="0"/>
        <w:rPr>
          <w:rFonts w:ascii="Verdana" w:eastAsia="Verdana" w:hAnsi="Verdana" w:cs="Verdana"/>
        </w:rPr>
      </w:pPr>
    </w:p>
    <w:p w14:paraId="0F293BF4" w14:textId="7CFF4277" w:rsidR="00127233" w:rsidRPr="00B936CA" w:rsidRDefault="00127233" w:rsidP="00B936CA"/>
    <w:sectPr w:rsidR="00127233" w:rsidRPr="00B936CA"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DA916" w14:textId="77777777" w:rsidR="00AA172B" w:rsidRDefault="00AA172B" w:rsidP="004A1847">
      <w:pPr>
        <w:spacing w:after="0" w:line="240" w:lineRule="auto"/>
      </w:pPr>
      <w:r>
        <w:separator/>
      </w:r>
    </w:p>
  </w:endnote>
  <w:endnote w:type="continuationSeparator" w:id="0">
    <w:p w14:paraId="21058F46" w14:textId="77777777" w:rsidR="00AA172B" w:rsidRDefault="00AA172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81D23" w14:textId="77777777" w:rsidR="00AA172B" w:rsidRDefault="00AA172B" w:rsidP="004A1847">
      <w:pPr>
        <w:spacing w:after="0" w:line="240" w:lineRule="auto"/>
      </w:pPr>
      <w:r>
        <w:separator/>
      </w:r>
    </w:p>
  </w:footnote>
  <w:footnote w:type="continuationSeparator" w:id="0">
    <w:p w14:paraId="06D42E76" w14:textId="77777777" w:rsidR="00AA172B" w:rsidRDefault="00AA172B" w:rsidP="004A1847">
      <w:pPr>
        <w:spacing w:after="0" w:line="240" w:lineRule="auto"/>
      </w:pPr>
      <w:r>
        <w:continuationSeparator/>
      </w:r>
    </w:p>
  </w:footnote>
  <w:footnote w:id="1">
    <w:p w14:paraId="27CF90BF" w14:textId="77777777" w:rsidR="00B936CA" w:rsidRDefault="00B936CA" w:rsidP="00B936CA">
      <w:pPr>
        <w:pStyle w:val="Textonotapie"/>
        <w:snapToGrid w:val="0"/>
        <w:ind w:firstLine="708"/>
        <w:contextualSpacing/>
        <w:jc w:val="both"/>
        <w:rPr>
          <w:rFonts w:ascii="Verdana" w:hAnsi="Verdana" w:cs="Arial"/>
          <w:sz w:val="16"/>
          <w:szCs w:val="16"/>
        </w:rPr>
      </w:pPr>
      <w:r w:rsidRPr="006C6F13">
        <w:rPr>
          <w:rStyle w:val="Refdenotaalpie"/>
          <w:rFonts w:ascii="Verdana" w:hAnsi="Verdana" w:cs="Arial"/>
          <w:sz w:val="16"/>
          <w:szCs w:val="16"/>
        </w:rPr>
        <w:footnoteRef/>
      </w:r>
      <w:r w:rsidRPr="006C6F13">
        <w:rPr>
          <w:rFonts w:ascii="Verdana" w:hAnsi="Verdana" w:cs="Arial"/>
          <w:sz w:val="16"/>
          <w:szCs w:val="16"/>
        </w:rPr>
        <w:t xml:space="preserve"> De hecho, en la exposición de motivos se explicó lo siguiente: “El proyecto mantiene como regla</w:t>
      </w:r>
      <w:r w:rsidRPr="006C6F13">
        <w:rPr>
          <w:rFonts w:ascii="Verdana" w:hAnsi="Verdana" w:cs="Arial"/>
          <w:spacing w:val="1"/>
          <w:sz w:val="16"/>
          <w:szCs w:val="16"/>
        </w:rPr>
        <w:t xml:space="preserve"> </w:t>
      </w:r>
      <w:r w:rsidRPr="006C6F13">
        <w:rPr>
          <w:rFonts w:ascii="Verdana" w:hAnsi="Verdana" w:cs="Arial"/>
          <w:sz w:val="16"/>
          <w:szCs w:val="16"/>
        </w:rPr>
        <w:t>general la utilización de procedimientos reglados de selección objetiva del contratista [...], lo que afirma la</w:t>
      </w:r>
      <w:r w:rsidRPr="006C6F13">
        <w:rPr>
          <w:rFonts w:ascii="Verdana" w:hAnsi="Verdana" w:cs="Arial"/>
          <w:spacing w:val="1"/>
          <w:sz w:val="16"/>
          <w:szCs w:val="16"/>
        </w:rPr>
        <w:t xml:space="preserve"> </w:t>
      </w:r>
      <w:r w:rsidRPr="006C6F13">
        <w:rPr>
          <w:rFonts w:ascii="Verdana" w:hAnsi="Verdana" w:cs="Arial"/>
          <w:sz w:val="16"/>
          <w:szCs w:val="16"/>
        </w:rPr>
        <w:t>ordenación que sobre la materia ha mantenido nuestra legislación desde el Código Fiscal de 1873 en cuanto</w:t>
      </w:r>
      <w:r w:rsidRPr="006C6F13">
        <w:rPr>
          <w:rFonts w:ascii="Verdana" w:hAnsi="Verdana" w:cs="Arial"/>
          <w:spacing w:val="1"/>
          <w:sz w:val="16"/>
          <w:szCs w:val="16"/>
        </w:rPr>
        <w:t xml:space="preserve"> </w:t>
      </w:r>
      <w:r w:rsidRPr="006C6F13">
        <w:rPr>
          <w:rFonts w:ascii="Verdana" w:hAnsi="Verdana" w:cs="Arial"/>
          <w:sz w:val="16"/>
          <w:szCs w:val="16"/>
        </w:rPr>
        <w:t>que</w:t>
      </w:r>
      <w:r w:rsidRPr="006C6F13">
        <w:rPr>
          <w:rFonts w:ascii="Verdana" w:hAnsi="Verdana" w:cs="Arial"/>
          <w:spacing w:val="1"/>
          <w:sz w:val="16"/>
          <w:szCs w:val="16"/>
        </w:rPr>
        <w:t xml:space="preserve"> </w:t>
      </w:r>
      <w:r w:rsidRPr="006C6F13">
        <w:rPr>
          <w:rFonts w:ascii="Verdana" w:hAnsi="Verdana" w:cs="Arial"/>
          <w:sz w:val="16"/>
          <w:szCs w:val="16"/>
        </w:rPr>
        <w:t>su</w:t>
      </w:r>
      <w:r w:rsidRPr="006C6F13">
        <w:rPr>
          <w:rFonts w:ascii="Verdana" w:hAnsi="Verdana" w:cs="Arial"/>
          <w:spacing w:val="1"/>
          <w:sz w:val="16"/>
          <w:szCs w:val="16"/>
        </w:rPr>
        <w:t xml:space="preserve"> </w:t>
      </w:r>
      <w:r w:rsidRPr="006C6F13">
        <w:rPr>
          <w:rFonts w:ascii="Verdana" w:hAnsi="Verdana" w:cs="Arial"/>
          <w:sz w:val="16"/>
          <w:szCs w:val="16"/>
        </w:rPr>
        <w:t>justificación</w:t>
      </w:r>
      <w:r w:rsidRPr="006C6F13">
        <w:rPr>
          <w:rFonts w:ascii="Verdana" w:hAnsi="Verdana" w:cs="Arial"/>
          <w:spacing w:val="1"/>
          <w:sz w:val="16"/>
          <w:szCs w:val="16"/>
        </w:rPr>
        <w:t xml:space="preserve"> </w:t>
      </w:r>
      <w:r w:rsidRPr="006C6F13">
        <w:rPr>
          <w:rFonts w:ascii="Verdana" w:hAnsi="Verdana" w:cs="Arial"/>
          <w:sz w:val="16"/>
          <w:szCs w:val="16"/>
        </w:rPr>
        <w:t>estriba,</w:t>
      </w:r>
      <w:r w:rsidRPr="006C6F13">
        <w:rPr>
          <w:rFonts w:ascii="Verdana" w:hAnsi="Verdana" w:cs="Arial"/>
          <w:spacing w:val="1"/>
          <w:sz w:val="16"/>
          <w:szCs w:val="16"/>
        </w:rPr>
        <w:t xml:space="preserve"> </w:t>
      </w:r>
      <w:r w:rsidRPr="006C6F13">
        <w:rPr>
          <w:rFonts w:ascii="Verdana" w:hAnsi="Verdana" w:cs="Arial"/>
          <w:sz w:val="16"/>
          <w:szCs w:val="16"/>
        </w:rPr>
        <w:t>esencialmente,</w:t>
      </w:r>
      <w:r w:rsidRPr="006C6F13">
        <w:rPr>
          <w:rFonts w:ascii="Verdana" w:hAnsi="Verdana" w:cs="Arial"/>
          <w:spacing w:val="1"/>
          <w:sz w:val="16"/>
          <w:szCs w:val="16"/>
        </w:rPr>
        <w:t xml:space="preserve"> </w:t>
      </w:r>
      <w:r w:rsidRPr="006C6F13">
        <w:rPr>
          <w:rFonts w:ascii="Verdana" w:hAnsi="Verdana" w:cs="Arial"/>
          <w:sz w:val="16"/>
          <w:szCs w:val="16"/>
        </w:rPr>
        <w:t>en</w:t>
      </w:r>
      <w:r w:rsidRPr="006C6F13">
        <w:rPr>
          <w:rFonts w:ascii="Verdana" w:hAnsi="Verdana" w:cs="Arial"/>
          <w:spacing w:val="1"/>
          <w:sz w:val="16"/>
          <w:szCs w:val="16"/>
        </w:rPr>
        <w:t xml:space="preserve"> </w:t>
      </w:r>
      <w:r w:rsidRPr="006C6F13">
        <w:rPr>
          <w:rFonts w:ascii="Verdana" w:hAnsi="Verdana" w:cs="Arial"/>
          <w:sz w:val="16"/>
          <w:szCs w:val="16"/>
        </w:rPr>
        <w:t>los</w:t>
      </w:r>
      <w:r w:rsidRPr="006C6F13">
        <w:rPr>
          <w:rFonts w:ascii="Verdana" w:hAnsi="Verdana" w:cs="Arial"/>
          <w:spacing w:val="1"/>
          <w:sz w:val="16"/>
          <w:szCs w:val="16"/>
        </w:rPr>
        <w:t xml:space="preserve"> </w:t>
      </w:r>
      <w:r w:rsidRPr="006C6F13">
        <w:rPr>
          <w:rFonts w:ascii="Verdana" w:hAnsi="Verdana" w:cs="Arial"/>
          <w:sz w:val="16"/>
          <w:szCs w:val="16"/>
        </w:rPr>
        <w:t>conceptos</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seguridad,</w:t>
      </w:r>
      <w:r w:rsidRPr="006C6F13">
        <w:rPr>
          <w:rFonts w:ascii="Verdana" w:hAnsi="Verdana" w:cs="Arial"/>
          <w:spacing w:val="1"/>
          <w:sz w:val="16"/>
          <w:szCs w:val="16"/>
        </w:rPr>
        <w:t xml:space="preserve"> </w:t>
      </w:r>
      <w:r w:rsidRPr="006C6F13">
        <w:rPr>
          <w:rFonts w:ascii="Verdana" w:hAnsi="Verdana" w:cs="Arial"/>
          <w:sz w:val="16"/>
          <w:szCs w:val="16"/>
        </w:rPr>
        <w:t>corrección</w:t>
      </w:r>
      <w:r w:rsidRPr="006C6F13">
        <w:rPr>
          <w:rFonts w:ascii="Verdana" w:hAnsi="Verdana" w:cs="Arial"/>
          <w:spacing w:val="1"/>
          <w:sz w:val="16"/>
          <w:szCs w:val="16"/>
        </w:rPr>
        <w:t xml:space="preserve"> </w:t>
      </w:r>
      <w:r w:rsidRPr="006C6F13">
        <w:rPr>
          <w:rFonts w:ascii="Verdana" w:hAnsi="Verdana" w:cs="Arial"/>
          <w:sz w:val="16"/>
          <w:szCs w:val="16"/>
        </w:rPr>
        <w:t>y</w:t>
      </w:r>
      <w:r w:rsidRPr="006C6F13">
        <w:rPr>
          <w:rFonts w:ascii="Verdana" w:hAnsi="Verdana" w:cs="Arial"/>
          <w:spacing w:val="1"/>
          <w:sz w:val="16"/>
          <w:szCs w:val="16"/>
        </w:rPr>
        <w:t xml:space="preserve"> </w:t>
      </w:r>
      <w:r w:rsidRPr="006C6F13">
        <w:rPr>
          <w:rFonts w:ascii="Verdana" w:hAnsi="Verdana" w:cs="Arial"/>
          <w:sz w:val="16"/>
          <w:szCs w:val="16"/>
        </w:rPr>
        <w:t>moralidad</w:t>
      </w:r>
      <w:r w:rsidRPr="006C6F13">
        <w:rPr>
          <w:rFonts w:ascii="Verdana" w:hAnsi="Verdana" w:cs="Arial"/>
          <w:spacing w:val="1"/>
          <w:sz w:val="16"/>
          <w:szCs w:val="16"/>
        </w:rPr>
        <w:t xml:space="preserve"> </w:t>
      </w:r>
      <w:r w:rsidRPr="006C6F13">
        <w:rPr>
          <w:rFonts w:ascii="Verdana" w:hAnsi="Verdana" w:cs="Arial"/>
          <w:sz w:val="16"/>
          <w:szCs w:val="16"/>
        </w:rPr>
        <w:t>administrativas, así como en el principio de igualdad de oportunidades para que cualquier persona que esté en</w:t>
      </w:r>
      <w:r w:rsidRPr="006C6F13">
        <w:rPr>
          <w:rFonts w:ascii="Verdana" w:hAnsi="Verdana" w:cs="Arial"/>
          <w:spacing w:val="1"/>
          <w:sz w:val="16"/>
          <w:szCs w:val="16"/>
        </w:rPr>
        <w:t xml:space="preserve"> </w:t>
      </w:r>
      <w:r w:rsidRPr="006C6F13">
        <w:rPr>
          <w:rFonts w:ascii="Verdana" w:hAnsi="Verdana" w:cs="Arial"/>
          <w:spacing w:val="-1"/>
          <w:sz w:val="16"/>
          <w:szCs w:val="16"/>
        </w:rPr>
        <w:t>posibilidad</w:t>
      </w:r>
      <w:r w:rsidRPr="006C6F13">
        <w:rPr>
          <w:rFonts w:ascii="Verdana" w:hAnsi="Verdana" w:cs="Arial"/>
          <w:spacing w:val="-13"/>
          <w:sz w:val="16"/>
          <w:szCs w:val="16"/>
        </w:rPr>
        <w:t xml:space="preserve"> </w:t>
      </w:r>
      <w:r w:rsidRPr="006C6F13">
        <w:rPr>
          <w:rFonts w:ascii="Verdana" w:hAnsi="Verdana" w:cs="Arial"/>
          <w:spacing w:val="-1"/>
          <w:sz w:val="16"/>
          <w:szCs w:val="16"/>
        </w:rPr>
        <w:t>de</w:t>
      </w:r>
      <w:r w:rsidRPr="006C6F13">
        <w:rPr>
          <w:rFonts w:ascii="Verdana" w:hAnsi="Verdana" w:cs="Arial"/>
          <w:spacing w:val="-13"/>
          <w:sz w:val="16"/>
          <w:szCs w:val="16"/>
        </w:rPr>
        <w:t xml:space="preserve"> </w:t>
      </w:r>
      <w:r w:rsidRPr="006C6F13">
        <w:rPr>
          <w:rFonts w:ascii="Verdana" w:hAnsi="Verdana" w:cs="Arial"/>
          <w:spacing w:val="-1"/>
          <w:sz w:val="16"/>
          <w:szCs w:val="16"/>
        </w:rPr>
        <w:t>contratar</w:t>
      </w:r>
      <w:r w:rsidRPr="006C6F13">
        <w:rPr>
          <w:rFonts w:ascii="Verdana" w:hAnsi="Verdana" w:cs="Arial"/>
          <w:spacing w:val="-13"/>
          <w:sz w:val="16"/>
          <w:szCs w:val="16"/>
        </w:rPr>
        <w:t xml:space="preserve"> </w:t>
      </w:r>
      <w:r w:rsidRPr="006C6F13">
        <w:rPr>
          <w:rFonts w:ascii="Verdana" w:hAnsi="Verdana" w:cs="Arial"/>
          <w:spacing w:val="-1"/>
          <w:sz w:val="16"/>
          <w:szCs w:val="16"/>
        </w:rPr>
        <w:t>con</w:t>
      </w:r>
      <w:r w:rsidRPr="006C6F13">
        <w:rPr>
          <w:rFonts w:ascii="Verdana" w:hAnsi="Verdana" w:cs="Arial"/>
          <w:spacing w:val="-13"/>
          <w:sz w:val="16"/>
          <w:szCs w:val="16"/>
        </w:rPr>
        <w:t xml:space="preserve"> </w:t>
      </w:r>
      <w:r w:rsidRPr="006C6F13">
        <w:rPr>
          <w:rFonts w:ascii="Verdana" w:hAnsi="Verdana" w:cs="Arial"/>
          <w:spacing w:val="-1"/>
          <w:sz w:val="16"/>
          <w:szCs w:val="16"/>
        </w:rPr>
        <w:t>la</w:t>
      </w:r>
      <w:r w:rsidRPr="006C6F13">
        <w:rPr>
          <w:rFonts w:ascii="Verdana" w:hAnsi="Verdana" w:cs="Arial"/>
          <w:spacing w:val="-13"/>
          <w:sz w:val="16"/>
          <w:szCs w:val="16"/>
        </w:rPr>
        <w:t xml:space="preserve"> </w:t>
      </w:r>
      <w:r w:rsidRPr="006C6F13">
        <w:rPr>
          <w:rFonts w:ascii="Verdana" w:hAnsi="Verdana" w:cs="Arial"/>
          <w:spacing w:val="-1"/>
          <w:sz w:val="16"/>
          <w:szCs w:val="16"/>
        </w:rPr>
        <w:t>administración</w:t>
      </w:r>
      <w:r w:rsidRPr="006C6F13">
        <w:rPr>
          <w:rFonts w:ascii="Verdana" w:hAnsi="Verdana" w:cs="Arial"/>
          <w:spacing w:val="-13"/>
          <w:sz w:val="16"/>
          <w:szCs w:val="16"/>
        </w:rPr>
        <w:t xml:space="preserve"> </w:t>
      </w:r>
      <w:r w:rsidRPr="006C6F13">
        <w:rPr>
          <w:rFonts w:ascii="Verdana" w:hAnsi="Verdana" w:cs="Arial"/>
          <w:spacing w:val="-1"/>
          <w:sz w:val="16"/>
          <w:szCs w:val="16"/>
        </w:rPr>
        <w:t>tenga</w:t>
      </w:r>
      <w:r w:rsidRPr="006C6F13">
        <w:rPr>
          <w:rFonts w:ascii="Verdana" w:hAnsi="Verdana" w:cs="Arial"/>
          <w:spacing w:val="-12"/>
          <w:sz w:val="16"/>
          <w:szCs w:val="16"/>
        </w:rPr>
        <w:t xml:space="preserve"> </w:t>
      </w:r>
      <w:r w:rsidRPr="006C6F13">
        <w:rPr>
          <w:rFonts w:ascii="Verdana" w:hAnsi="Verdana" w:cs="Arial"/>
          <w:spacing w:val="-1"/>
          <w:sz w:val="16"/>
          <w:szCs w:val="16"/>
        </w:rPr>
        <w:t>acceso</w:t>
      </w:r>
      <w:r w:rsidRPr="006C6F13">
        <w:rPr>
          <w:rFonts w:ascii="Verdana" w:hAnsi="Verdana" w:cs="Arial"/>
          <w:spacing w:val="-13"/>
          <w:sz w:val="16"/>
          <w:szCs w:val="16"/>
        </w:rPr>
        <w:t xml:space="preserve"> </w:t>
      </w:r>
      <w:r w:rsidRPr="006C6F13">
        <w:rPr>
          <w:rFonts w:ascii="Verdana" w:hAnsi="Verdana" w:cs="Arial"/>
          <w:spacing w:val="-1"/>
          <w:sz w:val="16"/>
          <w:szCs w:val="16"/>
        </w:rPr>
        <w:t>a</w:t>
      </w:r>
      <w:r w:rsidRPr="006C6F13">
        <w:rPr>
          <w:rFonts w:ascii="Verdana" w:hAnsi="Verdana" w:cs="Arial"/>
          <w:spacing w:val="-13"/>
          <w:sz w:val="16"/>
          <w:szCs w:val="16"/>
        </w:rPr>
        <w:t xml:space="preserve"> </w:t>
      </w:r>
      <w:r w:rsidRPr="006C6F13">
        <w:rPr>
          <w:rFonts w:ascii="Verdana" w:hAnsi="Verdana" w:cs="Arial"/>
          <w:spacing w:val="-1"/>
          <w:sz w:val="16"/>
          <w:szCs w:val="16"/>
        </w:rPr>
        <w:t>ella”</w:t>
      </w:r>
      <w:r w:rsidRPr="006C6F13">
        <w:rPr>
          <w:rFonts w:ascii="Verdana" w:hAnsi="Verdana" w:cs="Arial"/>
          <w:spacing w:val="-13"/>
          <w:sz w:val="16"/>
          <w:szCs w:val="16"/>
        </w:rPr>
        <w:t xml:space="preserve"> </w:t>
      </w:r>
      <w:r w:rsidRPr="006C6F13">
        <w:rPr>
          <w:rFonts w:ascii="Verdana" w:hAnsi="Verdana" w:cs="Arial"/>
          <w:spacing w:val="-1"/>
          <w:sz w:val="16"/>
          <w:szCs w:val="16"/>
        </w:rPr>
        <w:t>(CONGRESO</w:t>
      </w:r>
      <w:r w:rsidRPr="006C6F13">
        <w:rPr>
          <w:rFonts w:ascii="Verdana" w:hAnsi="Verdana" w:cs="Arial"/>
          <w:spacing w:val="-13"/>
          <w:sz w:val="16"/>
          <w:szCs w:val="16"/>
        </w:rPr>
        <w:t xml:space="preserve"> </w:t>
      </w:r>
      <w:r w:rsidRPr="006C6F13">
        <w:rPr>
          <w:rFonts w:ascii="Verdana" w:hAnsi="Verdana" w:cs="Arial"/>
          <w:sz w:val="16"/>
          <w:szCs w:val="16"/>
        </w:rPr>
        <w:t>DE</w:t>
      </w:r>
      <w:r w:rsidRPr="006C6F13">
        <w:rPr>
          <w:rFonts w:ascii="Verdana" w:hAnsi="Verdana" w:cs="Arial"/>
          <w:spacing w:val="-13"/>
          <w:sz w:val="16"/>
          <w:szCs w:val="16"/>
        </w:rPr>
        <w:t xml:space="preserve"> </w:t>
      </w:r>
      <w:r w:rsidRPr="006C6F13">
        <w:rPr>
          <w:rFonts w:ascii="Verdana" w:hAnsi="Verdana" w:cs="Arial"/>
          <w:sz w:val="16"/>
          <w:szCs w:val="16"/>
        </w:rPr>
        <w:t>LA</w:t>
      </w:r>
      <w:r w:rsidRPr="006C6F13">
        <w:rPr>
          <w:rFonts w:ascii="Verdana" w:hAnsi="Verdana" w:cs="Arial"/>
          <w:spacing w:val="-13"/>
          <w:sz w:val="16"/>
          <w:szCs w:val="16"/>
        </w:rPr>
        <w:t xml:space="preserve"> </w:t>
      </w:r>
      <w:r w:rsidRPr="006C6F13">
        <w:rPr>
          <w:rFonts w:ascii="Verdana" w:hAnsi="Verdana" w:cs="Arial"/>
          <w:sz w:val="16"/>
          <w:szCs w:val="16"/>
        </w:rPr>
        <w:t>REPÚBLICA.</w:t>
      </w:r>
      <w:r w:rsidRPr="006C6F13">
        <w:rPr>
          <w:rFonts w:ascii="Verdana" w:hAnsi="Verdana" w:cs="Arial"/>
          <w:spacing w:val="-13"/>
          <w:sz w:val="16"/>
          <w:szCs w:val="16"/>
        </w:rPr>
        <w:t xml:space="preserve"> </w:t>
      </w:r>
      <w:r w:rsidRPr="006C6F13">
        <w:rPr>
          <w:rFonts w:ascii="Verdana" w:hAnsi="Verdana" w:cs="Arial"/>
          <w:sz w:val="16"/>
          <w:szCs w:val="16"/>
        </w:rPr>
        <w:t>Exposición</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motivos</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la</w:t>
      </w:r>
      <w:r w:rsidRPr="006C6F13">
        <w:rPr>
          <w:rFonts w:ascii="Verdana" w:hAnsi="Verdana" w:cs="Arial"/>
          <w:spacing w:val="-2"/>
          <w:sz w:val="16"/>
          <w:szCs w:val="16"/>
        </w:rPr>
        <w:t xml:space="preserve"> </w:t>
      </w:r>
      <w:r w:rsidRPr="006C6F13">
        <w:rPr>
          <w:rFonts w:ascii="Verdana" w:hAnsi="Verdana" w:cs="Arial"/>
          <w:sz w:val="16"/>
          <w:szCs w:val="16"/>
        </w:rPr>
        <w:t>Ley</w:t>
      </w:r>
      <w:r w:rsidRPr="006C6F13">
        <w:rPr>
          <w:rFonts w:ascii="Verdana" w:hAnsi="Verdana" w:cs="Arial"/>
          <w:spacing w:val="-2"/>
          <w:sz w:val="16"/>
          <w:szCs w:val="16"/>
        </w:rPr>
        <w:t xml:space="preserve"> </w:t>
      </w:r>
      <w:r w:rsidRPr="006C6F13">
        <w:rPr>
          <w:rFonts w:ascii="Verdana" w:hAnsi="Verdana" w:cs="Arial"/>
          <w:sz w:val="16"/>
          <w:szCs w:val="16"/>
        </w:rPr>
        <w:t>80</w:t>
      </w:r>
      <w:r w:rsidRPr="006C6F13">
        <w:rPr>
          <w:rFonts w:ascii="Verdana" w:hAnsi="Verdana" w:cs="Arial"/>
          <w:spacing w:val="-1"/>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1993.</w:t>
      </w:r>
      <w:r w:rsidRPr="006C6F13">
        <w:rPr>
          <w:rFonts w:ascii="Verdana" w:hAnsi="Verdana" w:cs="Arial"/>
          <w:spacing w:val="-1"/>
          <w:sz w:val="16"/>
          <w:szCs w:val="16"/>
        </w:rPr>
        <w:t xml:space="preserve"> </w:t>
      </w:r>
      <w:r w:rsidRPr="006C6F13">
        <w:rPr>
          <w:rFonts w:ascii="Verdana" w:hAnsi="Verdana" w:cs="Arial"/>
          <w:sz w:val="16"/>
          <w:szCs w:val="16"/>
        </w:rPr>
        <w:t>Gaceta</w:t>
      </w:r>
      <w:r w:rsidRPr="006C6F13">
        <w:rPr>
          <w:rFonts w:ascii="Verdana" w:hAnsi="Verdana" w:cs="Arial"/>
          <w:spacing w:val="-2"/>
          <w:sz w:val="16"/>
          <w:szCs w:val="16"/>
        </w:rPr>
        <w:t xml:space="preserve"> </w:t>
      </w:r>
      <w:r w:rsidRPr="006C6F13">
        <w:rPr>
          <w:rFonts w:ascii="Verdana" w:hAnsi="Verdana" w:cs="Arial"/>
          <w:sz w:val="16"/>
          <w:szCs w:val="16"/>
        </w:rPr>
        <w:t>del</w:t>
      </w:r>
      <w:r w:rsidRPr="006C6F13">
        <w:rPr>
          <w:rFonts w:ascii="Verdana" w:hAnsi="Verdana" w:cs="Arial"/>
          <w:spacing w:val="-2"/>
          <w:sz w:val="16"/>
          <w:szCs w:val="16"/>
        </w:rPr>
        <w:t xml:space="preserve"> </w:t>
      </w:r>
      <w:r w:rsidRPr="006C6F13">
        <w:rPr>
          <w:rFonts w:ascii="Verdana" w:hAnsi="Verdana" w:cs="Arial"/>
          <w:sz w:val="16"/>
          <w:szCs w:val="16"/>
        </w:rPr>
        <w:t>Congreso</w:t>
      </w:r>
      <w:r w:rsidRPr="006C6F13">
        <w:rPr>
          <w:rFonts w:ascii="Verdana" w:hAnsi="Verdana" w:cs="Arial"/>
          <w:spacing w:val="-1"/>
          <w:sz w:val="16"/>
          <w:szCs w:val="16"/>
        </w:rPr>
        <w:t xml:space="preserve"> </w:t>
      </w:r>
      <w:r w:rsidRPr="006C6F13">
        <w:rPr>
          <w:rFonts w:ascii="Verdana" w:hAnsi="Verdana" w:cs="Arial"/>
          <w:sz w:val="16"/>
          <w:szCs w:val="16"/>
        </w:rPr>
        <w:t>No.</w:t>
      </w:r>
      <w:r w:rsidRPr="006C6F13">
        <w:rPr>
          <w:rFonts w:ascii="Verdana" w:hAnsi="Verdana" w:cs="Arial"/>
          <w:spacing w:val="-2"/>
          <w:sz w:val="16"/>
          <w:szCs w:val="16"/>
        </w:rPr>
        <w:t xml:space="preserve"> </w:t>
      </w:r>
      <w:r w:rsidRPr="006C6F13">
        <w:rPr>
          <w:rFonts w:ascii="Verdana" w:hAnsi="Verdana" w:cs="Arial"/>
          <w:sz w:val="16"/>
          <w:szCs w:val="16"/>
        </w:rPr>
        <w:t>75</w:t>
      </w:r>
      <w:r w:rsidRPr="006C6F13">
        <w:rPr>
          <w:rFonts w:ascii="Verdana" w:hAnsi="Verdana" w:cs="Arial"/>
          <w:spacing w:val="-1"/>
          <w:sz w:val="16"/>
          <w:szCs w:val="16"/>
        </w:rPr>
        <w:t xml:space="preserve"> </w:t>
      </w:r>
      <w:r w:rsidRPr="006C6F13">
        <w:rPr>
          <w:rFonts w:ascii="Verdana" w:hAnsi="Verdana" w:cs="Arial"/>
          <w:sz w:val="16"/>
          <w:szCs w:val="16"/>
        </w:rPr>
        <w:t>del</w:t>
      </w:r>
      <w:r w:rsidRPr="006C6F13">
        <w:rPr>
          <w:rFonts w:ascii="Verdana" w:hAnsi="Verdana" w:cs="Arial"/>
          <w:spacing w:val="-2"/>
          <w:sz w:val="16"/>
          <w:szCs w:val="16"/>
        </w:rPr>
        <w:t xml:space="preserve"> </w:t>
      </w:r>
      <w:r w:rsidRPr="006C6F13">
        <w:rPr>
          <w:rFonts w:ascii="Verdana" w:hAnsi="Verdana" w:cs="Arial"/>
          <w:sz w:val="16"/>
          <w:szCs w:val="16"/>
        </w:rPr>
        <w:t>23</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1"/>
          <w:sz w:val="16"/>
          <w:szCs w:val="16"/>
        </w:rPr>
        <w:t xml:space="preserve"> </w:t>
      </w:r>
      <w:r w:rsidRPr="006C6F13">
        <w:rPr>
          <w:rFonts w:ascii="Verdana" w:hAnsi="Verdana" w:cs="Arial"/>
          <w:sz w:val="16"/>
          <w:szCs w:val="16"/>
        </w:rPr>
        <w:t>septiembre</w:t>
      </w:r>
      <w:r w:rsidRPr="006C6F13">
        <w:rPr>
          <w:rFonts w:ascii="Verdana" w:hAnsi="Verdana" w:cs="Arial"/>
          <w:spacing w:val="-2"/>
          <w:sz w:val="16"/>
          <w:szCs w:val="16"/>
        </w:rPr>
        <w:t xml:space="preserve"> </w:t>
      </w:r>
      <w:r w:rsidRPr="006C6F13">
        <w:rPr>
          <w:rFonts w:ascii="Verdana" w:hAnsi="Verdana" w:cs="Arial"/>
          <w:sz w:val="16"/>
          <w:szCs w:val="16"/>
        </w:rPr>
        <w:t>de</w:t>
      </w:r>
      <w:r w:rsidRPr="006C6F13">
        <w:rPr>
          <w:rFonts w:ascii="Verdana" w:hAnsi="Verdana" w:cs="Arial"/>
          <w:spacing w:val="-2"/>
          <w:sz w:val="16"/>
          <w:szCs w:val="16"/>
        </w:rPr>
        <w:t xml:space="preserve"> </w:t>
      </w:r>
      <w:r w:rsidRPr="006C6F13">
        <w:rPr>
          <w:rFonts w:ascii="Verdana" w:hAnsi="Verdana" w:cs="Arial"/>
          <w:sz w:val="16"/>
          <w:szCs w:val="16"/>
        </w:rPr>
        <w:t>1992).</w:t>
      </w:r>
    </w:p>
    <w:p w14:paraId="60F0C0E9" w14:textId="77777777" w:rsidR="00B936CA" w:rsidRPr="006C6F13" w:rsidRDefault="00B936CA" w:rsidP="00B936CA">
      <w:pPr>
        <w:pStyle w:val="Textonotapie"/>
        <w:snapToGrid w:val="0"/>
        <w:ind w:firstLine="708"/>
        <w:contextualSpacing/>
        <w:jc w:val="both"/>
        <w:rPr>
          <w:rFonts w:ascii="Verdana" w:hAnsi="Verdana" w:cs="Arial"/>
          <w:sz w:val="16"/>
          <w:szCs w:val="16"/>
        </w:rPr>
      </w:pPr>
    </w:p>
  </w:footnote>
  <w:footnote w:id="2">
    <w:p w14:paraId="0F258D1B" w14:textId="77777777" w:rsidR="00B936CA" w:rsidRPr="006755D1" w:rsidRDefault="00B936CA" w:rsidP="00B936CA">
      <w:pPr>
        <w:pStyle w:val="Textonotapie"/>
        <w:ind w:firstLine="708"/>
        <w:jc w:val="both"/>
        <w:rPr>
          <w:rFonts w:ascii="Verdana" w:hAnsi="Verdana" w:cs="Arial"/>
          <w:sz w:val="16"/>
          <w:szCs w:val="16"/>
        </w:rPr>
      </w:pPr>
      <w:r w:rsidRPr="006755D1">
        <w:rPr>
          <w:rStyle w:val="Refdenotaalpie"/>
          <w:rFonts w:ascii="Verdana" w:hAnsi="Verdana" w:cs="Arial"/>
          <w:sz w:val="16"/>
          <w:szCs w:val="16"/>
        </w:rPr>
        <w:footnoteRef/>
      </w:r>
      <w:r w:rsidRPr="006755D1">
        <w:rPr>
          <w:rFonts w:ascii="Verdana" w:hAnsi="Verdana" w:cs="Arial"/>
          <w:sz w:val="16"/>
          <w:szCs w:val="16"/>
        </w:rPr>
        <w:t xml:space="preserve"> El inciso primero de norma disponía que, conforme al principio de transparencia, “</w:t>
      </w:r>
      <w:r w:rsidRPr="006755D1">
        <w:rPr>
          <w:rFonts w:ascii="Verdana" w:hAnsi="Verdana" w:cs="Arial"/>
          <w:i/>
          <w:iCs/>
          <w:sz w:val="16"/>
          <w:szCs w:val="16"/>
        </w:rPr>
        <w:t>La escogencia del contratista se efectuará siempre a través de licitación o concurso públicos</w:t>
      </w:r>
      <w:r w:rsidRPr="006755D1">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2EA2EBD9" w14:textId="77777777" w:rsidR="00B936CA" w:rsidRDefault="00B936CA" w:rsidP="00B936CA">
      <w:pPr>
        <w:pStyle w:val="Textonotapie"/>
        <w:ind w:firstLine="709"/>
        <w:jc w:val="both"/>
        <w:rPr>
          <w:rFonts w:ascii="Verdana" w:hAnsi="Verdana"/>
          <w:sz w:val="16"/>
          <w:szCs w:val="16"/>
          <w:lang w:val="es-CO"/>
        </w:rPr>
      </w:pPr>
      <w:r w:rsidRPr="00831772">
        <w:rPr>
          <w:rStyle w:val="Refdenotaalpie"/>
          <w:rFonts w:ascii="Verdana" w:hAnsi="Verdana"/>
          <w:sz w:val="16"/>
          <w:szCs w:val="16"/>
        </w:rPr>
        <w:footnoteRef/>
      </w:r>
      <w:r w:rsidRPr="00831772">
        <w:rPr>
          <w:rFonts w:ascii="Verdana" w:hAnsi="Verdana"/>
          <w:sz w:val="16"/>
          <w:szCs w:val="16"/>
        </w:rPr>
        <w:t xml:space="preserve"> </w:t>
      </w:r>
      <w:r w:rsidRPr="00831772">
        <w:rPr>
          <w:rFonts w:ascii="Verdana" w:hAnsi="Verdana"/>
          <w:b/>
          <w:bCs/>
          <w:sz w:val="16"/>
          <w:szCs w:val="16"/>
          <w:lang w:val="es-CO"/>
        </w:rPr>
        <w:t>Artículo 2.2.1.2.1.5.1. </w:t>
      </w:r>
      <w:r w:rsidRPr="00831772">
        <w:rPr>
          <w:rFonts w:ascii="Verdana" w:hAnsi="Verdana"/>
          <w:b/>
          <w:bCs/>
          <w:i/>
          <w:iCs/>
          <w:sz w:val="16"/>
          <w:szCs w:val="16"/>
          <w:lang w:val="es-CO"/>
        </w:rPr>
        <w:t>Estudios previos para la contratación de mínima cuantía.</w:t>
      </w:r>
      <w:r w:rsidRPr="00831772">
        <w:rPr>
          <w:rFonts w:ascii="Verdana" w:hAnsi="Verdana"/>
          <w:sz w:val="16"/>
          <w:szCs w:val="16"/>
          <w:lang w:val="es-CO"/>
        </w:rPr>
        <w:t> La Entidad Estatal debe elaborar unos estudios previos que deben contener, como mínimo, lo siguiente:</w:t>
      </w:r>
    </w:p>
    <w:p w14:paraId="3B3EAFA9"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1. La descripción de la necesidad que pretende satisfacer con la contratación.</w:t>
      </w:r>
    </w:p>
    <w:p w14:paraId="6EE5B956"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2. La descripción del objeto a contratar identificado con el cuarto nivel del Clasificador de Bienes y Servicios, de ser posible, o de lo contrario con el tercer nivel</w:t>
      </w:r>
      <w:r>
        <w:rPr>
          <w:rFonts w:ascii="Verdana" w:hAnsi="Verdana"/>
          <w:sz w:val="16"/>
          <w:szCs w:val="16"/>
          <w:lang w:val="es-CO"/>
        </w:rPr>
        <w:t>.</w:t>
      </w:r>
    </w:p>
    <w:p w14:paraId="7E041B5D"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3. Las condiciones técnicas exigidas.</w:t>
      </w:r>
    </w:p>
    <w:p w14:paraId="7E9ABA30"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4. El valor estimado del contrato y su justificación.</w:t>
      </w:r>
    </w:p>
    <w:p w14:paraId="10E5C9F0"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5. El plazo de ejecución del contrato.</w:t>
      </w:r>
    </w:p>
    <w:p w14:paraId="5A80B176" w14:textId="77777777" w:rsidR="00B936CA" w:rsidRPr="00831772" w:rsidRDefault="00B936CA" w:rsidP="00B936CA">
      <w:pPr>
        <w:pStyle w:val="Textonotapie"/>
        <w:ind w:firstLine="709"/>
        <w:jc w:val="both"/>
        <w:rPr>
          <w:rFonts w:ascii="Verdana" w:hAnsi="Verdana"/>
          <w:sz w:val="16"/>
          <w:szCs w:val="16"/>
          <w:lang w:val="es-CO"/>
        </w:rPr>
      </w:pPr>
      <w:r w:rsidRPr="00831772">
        <w:rPr>
          <w:rFonts w:ascii="Verdana" w:hAnsi="Verdana"/>
          <w:sz w:val="16"/>
          <w:szCs w:val="16"/>
          <w:lang w:val="es-CO"/>
        </w:rPr>
        <w:t>6. El certificado de disponibilidad presupuestal que respalda la contratación. </w:t>
      </w:r>
    </w:p>
    <w:p w14:paraId="1624DB54" w14:textId="77777777" w:rsidR="00B936CA" w:rsidRDefault="00B936CA" w:rsidP="00B936CA">
      <w:pPr>
        <w:pStyle w:val="Textonotapie"/>
        <w:ind w:firstLine="709"/>
        <w:jc w:val="both"/>
        <w:rPr>
          <w:rFonts w:ascii="Verdana" w:hAnsi="Verdana"/>
          <w:sz w:val="16"/>
          <w:szCs w:val="16"/>
          <w:lang w:val="es-CO"/>
        </w:rPr>
      </w:pPr>
      <w:r w:rsidRPr="00831772">
        <w:rPr>
          <w:rFonts w:ascii="Verdana" w:hAnsi="Verdana"/>
          <w:b/>
          <w:bCs/>
          <w:sz w:val="16"/>
          <w:szCs w:val="16"/>
          <w:lang w:val="es-CO"/>
        </w:rPr>
        <w:t>Parágrafo</w:t>
      </w:r>
      <w:r w:rsidRPr="00831772">
        <w:rPr>
          <w:rFonts w:ascii="Verdana" w:hAnsi="Verdana"/>
          <w:sz w:val="16"/>
          <w:szCs w:val="16"/>
          <w:lang w:val="es-CO"/>
        </w:rPr>
        <w:t>. Dentro de las condiciones técnicas exigidas se podrán incluir aspectos ambientales y sociales en los términos establecidos en el parágrafo del artículo 2.2.1.1.2.2.2. del presente decreto. </w:t>
      </w:r>
    </w:p>
    <w:p w14:paraId="1EFEE8BB" w14:textId="77777777" w:rsidR="00B936CA" w:rsidRPr="00831772" w:rsidRDefault="00B936CA" w:rsidP="00B936CA">
      <w:pPr>
        <w:pStyle w:val="Textonotapie"/>
        <w:ind w:firstLine="709"/>
        <w:jc w:val="both"/>
        <w:rPr>
          <w:rFonts w:ascii="Verdana" w:hAnsi="Verdana"/>
          <w:sz w:val="16"/>
          <w:szCs w:val="16"/>
          <w:lang w:val="es-CO"/>
        </w:rPr>
      </w:pPr>
    </w:p>
  </w:footnote>
  <w:footnote w:id="4">
    <w:p w14:paraId="3432FECA" w14:textId="77777777" w:rsidR="00B936CA" w:rsidRPr="00831772" w:rsidRDefault="00B936CA" w:rsidP="00B936CA">
      <w:pPr>
        <w:pStyle w:val="Textonotapie"/>
        <w:ind w:firstLine="709"/>
        <w:jc w:val="both"/>
        <w:rPr>
          <w:rFonts w:ascii="Verdana" w:hAnsi="Verdana"/>
          <w:sz w:val="16"/>
          <w:szCs w:val="16"/>
          <w:lang w:val="es-ES"/>
        </w:rPr>
      </w:pPr>
      <w:r w:rsidRPr="00831772">
        <w:rPr>
          <w:rStyle w:val="Refdenotaalpie"/>
          <w:rFonts w:ascii="Verdana" w:hAnsi="Verdana"/>
          <w:sz w:val="16"/>
          <w:szCs w:val="16"/>
        </w:rPr>
        <w:footnoteRef/>
      </w:r>
      <w:r w:rsidRPr="00831772">
        <w:rPr>
          <w:rFonts w:ascii="Verdana" w:hAnsi="Verdana"/>
          <w:sz w:val="16"/>
          <w:szCs w:val="16"/>
        </w:rPr>
        <w:t xml:space="preserve"> </w:t>
      </w:r>
      <w:r w:rsidRPr="00831772">
        <w:rPr>
          <w:rFonts w:ascii="Verdana" w:hAnsi="Verdana"/>
          <w:b/>
          <w:bCs/>
          <w:sz w:val="16"/>
          <w:szCs w:val="16"/>
          <w:lang w:val="es-CO"/>
        </w:rPr>
        <w:t>Artículo 2.2.1.1.2.1.4. </w:t>
      </w:r>
      <w:r w:rsidRPr="00831772">
        <w:rPr>
          <w:rFonts w:ascii="Verdana" w:hAnsi="Verdana"/>
          <w:b/>
          <w:bCs/>
          <w:i/>
          <w:iCs/>
          <w:sz w:val="16"/>
          <w:szCs w:val="16"/>
          <w:lang w:val="es-CO"/>
        </w:rPr>
        <w:t>Observaciones al proyecto de pliegos de condiciones.</w:t>
      </w:r>
      <w:r w:rsidRPr="00831772">
        <w:rPr>
          <w:rFonts w:ascii="Verdana" w:hAnsi="Verdana"/>
          <w:sz w:val="16"/>
          <w:szCs w:val="16"/>
          <w:lang w:val="es-CO"/>
        </w:rPr>
        <w:t xml:space="preserve"> Los interesados pueden hacer comentarios al proyecto de pliegos de condiciones a partir de la fecha de publicación de </w:t>
      </w:r>
      <w:r w:rsidRPr="00831772">
        <w:rPr>
          <w:rFonts w:ascii="Verdana" w:hAnsi="Verdana"/>
          <w:sz w:val="16"/>
          <w:szCs w:val="16"/>
          <w:lang w:val="es-CO"/>
        </w:rPr>
        <w:t>los mismos: (a) durante un término de diez (10) días hábiles en la licitación pública; y (b) durante un término de cinco (5) días hábiles en la selección abreviada y el concurso de méritos. </w:t>
      </w:r>
    </w:p>
  </w:footnote>
  <w:footnote w:id="5">
    <w:p w14:paraId="23654F58" w14:textId="77777777" w:rsidR="00B936CA" w:rsidRPr="002F26F2" w:rsidRDefault="00B936CA" w:rsidP="00B936CA">
      <w:pPr>
        <w:spacing w:after="0" w:line="240" w:lineRule="auto"/>
        <w:ind w:firstLine="720"/>
        <w:jc w:val="both"/>
        <w:rPr>
          <w:rFonts w:ascii="Verdana" w:hAnsi="Verdana" w:cs="Arial"/>
          <w:color w:val="000000" w:themeColor="text1"/>
          <w:sz w:val="16"/>
          <w:szCs w:val="16"/>
        </w:rPr>
      </w:pPr>
      <w:r w:rsidRPr="002F26F2">
        <w:rPr>
          <w:rStyle w:val="Refdenotaalpie"/>
          <w:rFonts w:ascii="Verdana" w:hAnsi="Verdana" w:cs="Arial"/>
          <w:color w:val="000000" w:themeColor="text1"/>
          <w:sz w:val="16"/>
          <w:szCs w:val="16"/>
        </w:rPr>
        <w:footnoteRef/>
      </w:r>
      <w:r w:rsidRPr="002F26F2">
        <w:rPr>
          <w:rFonts w:ascii="Verdana" w:hAnsi="Verdana" w:cs="Arial"/>
          <w:color w:val="000000" w:themeColor="text1"/>
          <w:sz w:val="16"/>
          <w:szCs w:val="16"/>
        </w:rPr>
        <w:t xml:space="preserve"> En la sentencia </w:t>
      </w:r>
      <w:r>
        <w:rPr>
          <w:rFonts w:ascii="Verdana" w:hAnsi="Verdana" w:cs="Arial"/>
          <w:color w:val="000000" w:themeColor="text1"/>
          <w:sz w:val="16"/>
          <w:szCs w:val="16"/>
        </w:rPr>
        <w:t xml:space="preserve">del Consejo de Estado. Sala de lo Contencioso Administrativo. </w:t>
      </w:r>
      <w:r w:rsidRPr="002F26F2">
        <w:rPr>
          <w:rFonts w:ascii="Verdana" w:hAnsi="Verdana" w:cs="Arial"/>
          <w:color w:val="000000" w:themeColor="text1"/>
          <w:sz w:val="16"/>
          <w:szCs w:val="16"/>
        </w:rPr>
        <w:t>Sección Tercera</w:t>
      </w:r>
      <w:r>
        <w:rPr>
          <w:rFonts w:ascii="Verdana" w:hAnsi="Verdana" w:cs="Arial"/>
          <w:color w:val="000000" w:themeColor="text1"/>
          <w:sz w:val="16"/>
          <w:szCs w:val="16"/>
        </w:rPr>
        <w:t>.</w:t>
      </w:r>
      <w:r w:rsidRPr="002F26F2">
        <w:rPr>
          <w:rFonts w:ascii="Verdana" w:hAnsi="Verdana" w:cs="Arial"/>
          <w:color w:val="000000" w:themeColor="text1"/>
          <w:sz w:val="16"/>
          <w:szCs w:val="16"/>
        </w:rPr>
        <w:t xml:space="preserve"> Subsección A</w:t>
      </w:r>
      <w:r>
        <w:rPr>
          <w:rFonts w:ascii="Verdana" w:hAnsi="Verdana" w:cs="Arial"/>
          <w:color w:val="000000" w:themeColor="text1"/>
          <w:sz w:val="16"/>
          <w:szCs w:val="16"/>
        </w:rPr>
        <w:t>,</w:t>
      </w:r>
      <w:r w:rsidRPr="002F26F2">
        <w:rPr>
          <w:rFonts w:ascii="Verdana" w:hAnsi="Verdana" w:cs="Arial"/>
          <w:color w:val="000000" w:themeColor="text1"/>
          <w:sz w:val="16"/>
          <w:szCs w:val="16"/>
        </w:rPr>
        <w:t xml:space="preserve"> del 16 de septiembre de 2013, expediente No. 30.571, C.P</w:t>
      </w:r>
      <w:r>
        <w:rPr>
          <w:rFonts w:ascii="Verdana" w:hAnsi="Verdana" w:cs="Arial"/>
          <w:color w:val="000000" w:themeColor="text1"/>
          <w:sz w:val="16"/>
          <w:szCs w:val="16"/>
        </w:rPr>
        <w:t>:</w:t>
      </w:r>
      <w:r w:rsidRPr="002F26F2">
        <w:rPr>
          <w:rFonts w:ascii="Verdana" w:hAnsi="Verdana" w:cs="Arial"/>
          <w:color w:val="000000" w:themeColor="text1"/>
          <w:sz w:val="16"/>
          <w:szCs w:val="16"/>
        </w:rPr>
        <w:t xml:space="preserve"> Mauricio Fajardo Gómez, el Consejo de Estado se pronunció sobre la fuerza vinculante que tienen las respuestas a las observaciones y solicitud de aclaración a los pliegos de condiciones:</w:t>
      </w:r>
    </w:p>
    <w:p w14:paraId="00A1B325" w14:textId="77777777" w:rsidR="00B936CA" w:rsidRPr="002F26F2" w:rsidRDefault="00B936CA" w:rsidP="00B936CA">
      <w:pPr>
        <w:spacing w:after="0" w:line="240" w:lineRule="auto"/>
        <w:ind w:firstLine="720"/>
        <w:jc w:val="both"/>
        <w:rPr>
          <w:rFonts w:ascii="Verdana" w:hAnsi="Verdana" w:cs="Arial"/>
          <w:color w:val="000000" w:themeColor="text1"/>
          <w:sz w:val="16"/>
          <w:szCs w:val="16"/>
        </w:rPr>
      </w:pPr>
      <w:r w:rsidRPr="002F26F2">
        <w:rPr>
          <w:rFonts w:ascii="Verdana" w:hAnsi="Verdana" w:cs="Arial"/>
          <w:color w:val="000000" w:themeColor="text1"/>
          <w:sz w:val="16"/>
          <w:szCs w:val="16"/>
          <w:u w:val="single" w:color="4E4D4D"/>
        </w:rPr>
        <w:t xml:space="preserve"> </w:t>
      </w:r>
      <w:r w:rsidRPr="002F26F2">
        <w:rPr>
          <w:rFonts w:ascii="Verdana" w:hAnsi="Verdana" w:cs="Arial"/>
          <w:color w:val="000000" w:themeColor="text1"/>
          <w:sz w:val="16"/>
          <w:szCs w:val="16"/>
        </w:rPr>
        <w:t>“5.2. De la fuerza vinculante de las respuestas a las solicitudes de aclaraciones en relación con los términos de referencia.</w:t>
      </w:r>
    </w:p>
    <w:p w14:paraId="5662538E" w14:textId="77777777" w:rsidR="00B936CA" w:rsidRPr="002F26F2" w:rsidRDefault="00B936CA" w:rsidP="00B936CA">
      <w:pPr>
        <w:spacing w:after="0" w:line="240" w:lineRule="auto"/>
        <w:ind w:firstLine="720"/>
        <w:jc w:val="both"/>
        <w:rPr>
          <w:rFonts w:ascii="Verdana" w:hAnsi="Verdana" w:cs="Arial"/>
          <w:color w:val="000000" w:themeColor="text1"/>
          <w:sz w:val="16"/>
          <w:szCs w:val="16"/>
        </w:rPr>
      </w:pPr>
      <w:r w:rsidRPr="002F26F2">
        <w:rPr>
          <w:rFonts w:ascii="Verdana" w:hAnsi="Verdana" w:cs="Arial"/>
          <w:color w:val="000000" w:themeColor="text1"/>
          <w:sz w:val="16"/>
          <w:szCs w:val="16"/>
        </w:rPr>
        <w:t>[…]</w:t>
      </w:r>
    </w:p>
    <w:p w14:paraId="152C4282" w14:textId="77777777" w:rsidR="00B936CA" w:rsidRPr="002F26F2" w:rsidRDefault="00B936CA" w:rsidP="00B936CA">
      <w:pPr>
        <w:spacing w:after="0" w:line="240" w:lineRule="auto"/>
        <w:ind w:firstLine="720"/>
        <w:jc w:val="both"/>
        <w:rPr>
          <w:rFonts w:ascii="Verdana" w:hAnsi="Verdana" w:cs="Arial"/>
          <w:color w:val="000000" w:themeColor="text1"/>
          <w:sz w:val="16"/>
          <w:szCs w:val="16"/>
        </w:rPr>
      </w:pPr>
      <w:r w:rsidRPr="002F26F2">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2F26F2">
        <w:rPr>
          <w:rFonts w:ascii="Verdana" w:hAnsi="Verdana" w:cs="Arial"/>
          <w:color w:val="000000" w:themeColor="text1"/>
          <w:spacing w:val="-11"/>
          <w:sz w:val="16"/>
          <w:szCs w:val="16"/>
        </w:rPr>
        <w:t xml:space="preserve"> </w:t>
      </w:r>
      <w:r w:rsidRPr="002F26F2">
        <w:rPr>
          <w:rFonts w:ascii="Verdana" w:hAnsi="Verdana" w:cs="Arial"/>
          <w:color w:val="000000" w:themeColor="text1"/>
          <w:sz w:val="16"/>
          <w:szCs w:val="16"/>
        </w:rPr>
        <w:t>oferentes.</w:t>
      </w:r>
    </w:p>
    <w:p w14:paraId="5E0044F3" w14:textId="77777777" w:rsidR="00B936CA" w:rsidRPr="002F26F2" w:rsidRDefault="00B936CA" w:rsidP="00B936CA">
      <w:pPr>
        <w:spacing w:after="0" w:line="240" w:lineRule="auto"/>
        <w:ind w:firstLine="720"/>
        <w:jc w:val="both"/>
        <w:rPr>
          <w:sz w:val="16"/>
          <w:szCs w:val="16"/>
        </w:rPr>
      </w:pPr>
      <w:r w:rsidRPr="002F26F2">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2F26F2">
        <w:rPr>
          <w:rFonts w:ascii="Verdana" w:hAnsi="Verdana" w:cs="Arial"/>
          <w:color w:val="000000" w:themeColor="text1"/>
          <w:spacing w:val="-20"/>
          <w:sz w:val="16"/>
          <w:szCs w:val="16"/>
        </w:rPr>
        <w:t xml:space="preserve"> </w:t>
      </w:r>
      <w:r w:rsidRPr="002F26F2">
        <w:rPr>
          <w:rFonts w:ascii="Verdana" w:hAnsi="Verdana" w:cs="Arial"/>
          <w:color w:val="000000" w:themeColor="text1"/>
          <w:sz w:val="16"/>
          <w:szCs w:val="16"/>
        </w:rPr>
        <w:t>condiciones”.</w:t>
      </w:r>
    </w:p>
  </w:footnote>
  <w:footnote w:id="6">
    <w:p w14:paraId="4B62024E" w14:textId="77777777" w:rsidR="00B936CA" w:rsidRPr="00EC62E6" w:rsidRDefault="00B936CA" w:rsidP="00B936CA">
      <w:pPr>
        <w:pStyle w:val="Textonotapie"/>
        <w:ind w:firstLine="567"/>
        <w:jc w:val="both"/>
        <w:rPr>
          <w:rFonts w:ascii="Verdana" w:hAnsi="Verdana" w:cs="Arial"/>
          <w:color w:val="000000"/>
          <w:sz w:val="16"/>
          <w:szCs w:val="16"/>
        </w:rPr>
      </w:pPr>
      <w:r w:rsidRPr="00EC62E6">
        <w:rPr>
          <w:rStyle w:val="Refdenotaalpie"/>
          <w:rFonts w:ascii="Verdana" w:hAnsi="Verdana" w:cs="Arial"/>
          <w:sz w:val="16"/>
          <w:szCs w:val="16"/>
        </w:rPr>
        <w:footnoteRef/>
      </w:r>
      <w:r w:rsidRPr="00EC62E6">
        <w:rPr>
          <w:rFonts w:ascii="Verdana" w:hAnsi="Verdana" w:cs="Arial"/>
          <w:sz w:val="16"/>
          <w:szCs w:val="16"/>
        </w:rPr>
        <w:t xml:space="preserve"> </w:t>
      </w:r>
      <w:r w:rsidRPr="00EC62E6">
        <w:rPr>
          <w:rFonts w:ascii="Verdana" w:hAnsi="Verdana" w:cs="Arial"/>
          <w:color w:val="000000"/>
          <w:sz w:val="16"/>
          <w:szCs w:val="16"/>
        </w:rPr>
        <w:t xml:space="preserve">Consejo de Estado. Sala de lo Contencioso Administrativo. Sección Tercera. Subsección B. Sentencia de 20 de febrero de 2014. </w:t>
      </w:r>
      <w:r w:rsidRPr="00EC62E6">
        <w:rPr>
          <w:rFonts w:ascii="Verdana" w:hAnsi="Verdana" w:cs="Arial"/>
          <w:color w:val="000000"/>
          <w:sz w:val="16"/>
          <w:szCs w:val="16"/>
        </w:rPr>
        <w:t>Exp. 28.342. C.P: Stella Conto Diaz Del Castillo.</w:t>
      </w:r>
    </w:p>
    <w:p w14:paraId="09FF56FC" w14:textId="77777777" w:rsidR="00B936CA" w:rsidRPr="00EC62E6" w:rsidRDefault="00B936CA" w:rsidP="00B936CA">
      <w:pPr>
        <w:pStyle w:val="Textonotapie"/>
        <w:ind w:firstLine="567"/>
        <w:jc w:val="both"/>
        <w:rPr>
          <w:rFonts w:ascii="Verdana" w:hAnsi="Verdana" w:cs="Arial"/>
          <w:sz w:val="16"/>
          <w:szCs w:val="16"/>
          <w:lang w:val="es-CO"/>
        </w:rPr>
      </w:pPr>
    </w:p>
  </w:footnote>
  <w:footnote w:id="7">
    <w:p w14:paraId="23B8C390" w14:textId="77777777" w:rsidR="00B936CA" w:rsidRPr="00EC62E6" w:rsidRDefault="00B936CA" w:rsidP="00B936CA">
      <w:pPr>
        <w:pStyle w:val="Textonotapie"/>
        <w:ind w:firstLine="567"/>
        <w:rPr>
          <w:rFonts w:ascii="Verdana" w:hAnsi="Verdana"/>
          <w:sz w:val="16"/>
          <w:szCs w:val="16"/>
          <w:lang w:val="es-ES"/>
        </w:rPr>
      </w:pPr>
      <w:r w:rsidRPr="00EC62E6">
        <w:rPr>
          <w:rStyle w:val="Refdenotaalpie"/>
          <w:rFonts w:ascii="Verdana" w:hAnsi="Verdana"/>
          <w:sz w:val="16"/>
          <w:szCs w:val="16"/>
        </w:rPr>
        <w:footnoteRef/>
      </w:r>
      <w:r w:rsidRPr="00EC62E6">
        <w:rPr>
          <w:rFonts w:ascii="Verdana" w:hAnsi="Verdana"/>
          <w:sz w:val="16"/>
          <w:szCs w:val="16"/>
        </w:rPr>
        <w:t xml:space="preserve"> Ley 1437 de 2011, artículo 45.</w:t>
      </w:r>
    </w:p>
  </w:footnote>
  <w:footnote w:id="8">
    <w:p w14:paraId="02331FC4" w14:textId="77777777" w:rsidR="00B936CA" w:rsidRPr="00EC62E6" w:rsidRDefault="00B936CA" w:rsidP="00B936CA">
      <w:pPr>
        <w:pStyle w:val="Textonotapie"/>
        <w:ind w:firstLine="708"/>
        <w:jc w:val="both"/>
        <w:rPr>
          <w:rFonts w:ascii="Verdana" w:hAnsi="Verdana" w:cs="Arial"/>
          <w:color w:val="000000" w:themeColor="text1"/>
          <w:sz w:val="16"/>
          <w:szCs w:val="16"/>
          <w:lang w:val="es-ES"/>
        </w:rPr>
      </w:pPr>
      <w:r w:rsidRPr="00EC62E6">
        <w:rPr>
          <w:rStyle w:val="Refdenotaalpie"/>
          <w:rFonts w:ascii="Verdana" w:hAnsi="Verdana" w:cs="Arial"/>
          <w:color w:val="000000" w:themeColor="text1"/>
          <w:sz w:val="16"/>
          <w:szCs w:val="16"/>
        </w:rPr>
        <w:footnoteRef/>
      </w:r>
      <w:r w:rsidRPr="00EC62E6">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9">
    <w:p w14:paraId="7E565B5F" w14:textId="77777777" w:rsidR="00B936CA" w:rsidRDefault="00B936CA" w:rsidP="00B936CA">
      <w:pPr>
        <w:pStyle w:val="Textonotapie"/>
        <w:ind w:firstLine="708"/>
        <w:jc w:val="both"/>
        <w:rPr>
          <w:rFonts w:ascii="Verdana" w:hAnsi="Verdana" w:cs="Arial"/>
          <w:color w:val="000000" w:themeColor="text1"/>
          <w:sz w:val="16"/>
          <w:szCs w:val="16"/>
          <w:shd w:val="clear" w:color="auto" w:fill="FFFFFF"/>
        </w:rPr>
      </w:pPr>
      <w:r w:rsidRPr="00EC62E6">
        <w:rPr>
          <w:rStyle w:val="Refdenotaalpie"/>
          <w:rFonts w:ascii="Verdana" w:hAnsi="Verdana" w:cs="Arial"/>
          <w:color w:val="000000" w:themeColor="text1"/>
          <w:sz w:val="16"/>
          <w:szCs w:val="16"/>
        </w:rPr>
        <w:footnoteRef/>
      </w:r>
      <w:r w:rsidRPr="00EC62E6">
        <w:rPr>
          <w:rFonts w:ascii="Verdana" w:hAnsi="Verdana" w:cs="Arial"/>
          <w:color w:val="000000" w:themeColor="text1"/>
          <w:sz w:val="16"/>
          <w:szCs w:val="16"/>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EC62E6">
        <w:rPr>
          <w:rFonts w:ascii="Verdana" w:hAnsi="Verdana" w:cs="Arial"/>
          <w:color w:val="000000" w:themeColor="text1"/>
          <w:sz w:val="16"/>
          <w:szCs w:val="16"/>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EC62E6">
        <w:rPr>
          <w:rFonts w:ascii="Verdana" w:hAnsi="Verdana" w:cs="Arial"/>
          <w:i/>
          <w:iCs/>
          <w:color w:val="000000" w:themeColor="text1"/>
          <w:sz w:val="16"/>
          <w:szCs w:val="16"/>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EC62E6">
        <w:rPr>
          <w:rFonts w:ascii="Verdana" w:hAnsi="Verdana" w:cs="Arial"/>
          <w:color w:val="000000" w:themeColor="text1"/>
          <w:sz w:val="16"/>
          <w:szCs w:val="16"/>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51FC3C0E" w14:textId="77777777" w:rsidR="00B936CA" w:rsidRPr="00EC62E6" w:rsidRDefault="00B936CA" w:rsidP="00B936CA">
      <w:pPr>
        <w:pStyle w:val="Textonotapie"/>
        <w:ind w:firstLine="708"/>
        <w:jc w:val="both"/>
        <w:rPr>
          <w:rFonts w:ascii="Verdana" w:hAnsi="Verdana" w:cs="Arial"/>
          <w:color w:val="000000" w:themeColor="text1"/>
          <w:sz w:val="16"/>
          <w:szCs w:val="16"/>
          <w:lang w:val="es-CO"/>
        </w:rPr>
      </w:pPr>
    </w:p>
  </w:footnote>
  <w:footnote w:id="10">
    <w:p w14:paraId="5498CF42" w14:textId="77777777" w:rsidR="00B936CA" w:rsidRPr="004E4583" w:rsidRDefault="00B936CA" w:rsidP="00B936CA">
      <w:pPr>
        <w:spacing w:after="0" w:line="240" w:lineRule="auto"/>
        <w:ind w:firstLine="709"/>
        <w:jc w:val="both"/>
        <w:rPr>
          <w:rFonts w:ascii="Verdana" w:hAnsi="Verdana" w:cs="Arial"/>
          <w:sz w:val="16"/>
          <w:szCs w:val="16"/>
          <w:lang w:eastAsia="es-ES"/>
        </w:rPr>
      </w:pPr>
      <w:r w:rsidRPr="004E4583">
        <w:rPr>
          <w:rStyle w:val="Refdenotaalpie"/>
          <w:rFonts w:ascii="Verdana" w:hAnsi="Verdana"/>
          <w:sz w:val="16"/>
          <w:szCs w:val="16"/>
        </w:rPr>
        <w:footnoteRef/>
      </w:r>
      <w:r w:rsidRPr="004E4583">
        <w:rPr>
          <w:rFonts w:ascii="Verdana" w:hAnsi="Verdana"/>
          <w:sz w:val="16"/>
          <w:szCs w:val="16"/>
        </w:rPr>
        <w:t xml:space="preserve"> </w:t>
      </w:r>
      <w:r w:rsidRPr="004E4583">
        <w:rPr>
          <w:rFonts w:ascii="Verdana" w:hAnsi="Verdana" w:cs="Arial"/>
          <w:sz w:val="16"/>
          <w:szCs w:val="16"/>
          <w:lang w:eastAsia="es-ES"/>
        </w:rPr>
        <w:t xml:space="preserve">Consejo de Estado. Sala de lo Contencioso Administrativo. Sección Tercera. Subsección A. Sentencia del 4 de julio de 2023. Radicación: 250002336000201800853 01 (69280). C.P: Marta Nubia Velásquez Rico. </w:t>
      </w:r>
    </w:p>
    <w:p w14:paraId="0553FF95" w14:textId="77777777" w:rsidR="00B936CA" w:rsidRPr="002B3E2C" w:rsidRDefault="00B936CA" w:rsidP="00B936CA">
      <w:pPr>
        <w:pStyle w:val="Textonotapie"/>
        <w:ind w:firstLine="709"/>
        <w:rPr>
          <w:rFonts w:ascii="Verdana" w:hAnsi="Verdana"/>
          <w:sz w:val="14"/>
          <w:szCs w:val="14"/>
          <w:lang w:val="es-ES"/>
        </w:rPr>
      </w:pPr>
    </w:p>
  </w:footnote>
  <w:footnote w:id="11">
    <w:p w14:paraId="02809A20" w14:textId="77777777" w:rsidR="00B936CA" w:rsidRPr="001270EA" w:rsidRDefault="00B936CA" w:rsidP="00B936CA">
      <w:pPr>
        <w:pStyle w:val="Textonotapie"/>
        <w:ind w:firstLine="709"/>
        <w:jc w:val="both"/>
        <w:rPr>
          <w:rFonts w:ascii="Verdana" w:hAnsi="Verdana"/>
          <w:sz w:val="16"/>
          <w:szCs w:val="16"/>
        </w:rPr>
      </w:pPr>
      <w:r w:rsidRPr="001270EA">
        <w:rPr>
          <w:rStyle w:val="Refdenotaalpie"/>
          <w:rFonts w:ascii="Verdana" w:hAnsi="Verdana"/>
          <w:sz w:val="16"/>
          <w:szCs w:val="16"/>
        </w:rPr>
        <w:footnoteRef/>
      </w:r>
      <w:r w:rsidRPr="001270EA">
        <w:rPr>
          <w:rFonts w:ascii="Verdana" w:hAnsi="Verdana"/>
          <w:sz w:val="16"/>
          <w:szCs w:val="16"/>
        </w:rPr>
        <w:t xml:space="preserve"> </w:t>
      </w:r>
      <w:r>
        <w:rPr>
          <w:rFonts w:ascii="Verdana" w:hAnsi="Verdana"/>
          <w:sz w:val="16"/>
          <w:szCs w:val="16"/>
        </w:rPr>
        <w:t>Consejo de Estado. Sala de lo Contencioso Administrativo.</w:t>
      </w:r>
      <w:r w:rsidRPr="001270EA">
        <w:rPr>
          <w:rFonts w:ascii="Verdana" w:hAnsi="Verdana"/>
          <w:sz w:val="16"/>
          <w:szCs w:val="16"/>
        </w:rPr>
        <w:t xml:space="preserve"> Sección Tercera. Sentencia de 20 de febrero de 2014. </w:t>
      </w:r>
      <w:r w:rsidRPr="001270EA">
        <w:rPr>
          <w:rFonts w:ascii="Verdana" w:hAnsi="Verdana"/>
          <w:sz w:val="16"/>
          <w:szCs w:val="16"/>
        </w:rPr>
        <w:t xml:space="preserve">Exp. 28.342. M.P Stella Conto Diaz Del Castillo. </w:t>
      </w:r>
    </w:p>
  </w:footnote>
  <w:footnote w:id="12">
    <w:p w14:paraId="1AA56A6F" w14:textId="77777777" w:rsidR="00B936CA" w:rsidRPr="00B77B29" w:rsidRDefault="00B936CA" w:rsidP="00B936CA">
      <w:pPr>
        <w:pStyle w:val="Textonotapie"/>
        <w:ind w:firstLine="708"/>
        <w:jc w:val="both"/>
        <w:rPr>
          <w:rFonts w:ascii="Verdana" w:hAnsi="Verdana" w:cs="Arial"/>
          <w:color w:val="000000" w:themeColor="text1"/>
          <w:sz w:val="16"/>
          <w:szCs w:val="16"/>
        </w:rPr>
      </w:pPr>
      <w:r w:rsidRPr="00B77B29">
        <w:rPr>
          <w:rStyle w:val="Refdenotaalpie"/>
          <w:rFonts w:ascii="Verdana" w:hAnsi="Verdana"/>
          <w:color w:val="000000" w:themeColor="text1"/>
          <w:sz w:val="16"/>
          <w:szCs w:val="16"/>
        </w:rPr>
        <w:footnoteRef/>
      </w:r>
      <w:r w:rsidRPr="00B77B29">
        <w:rPr>
          <w:rFonts w:ascii="Verdana" w:hAnsi="Verdana"/>
          <w:color w:val="000000" w:themeColor="text1"/>
          <w:sz w:val="16"/>
          <w:szCs w:val="16"/>
        </w:rPr>
        <w:t xml:space="preserve"> </w:t>
      </w:r>
      <w:r w:rsidRPr="00B77B29">
        <w:rPr>
          <w:rFonts w:ascii="Verdana" w:hAnsi="Verdana" w:cs="Arial"/>
          <w:color w:val="000000" w:themeColor="text1"/>
          <w:sz w:val="16"/>
          <w:szCs w:val="16"/>
        </w:rPr>
        <w:t>El parágrafo 2 del artículo 2 de la Ley 1150 dispone: «El procedimiento aplicable para la ejecución de cada una de las causales a que se refiere el numeral 2° del presente artículo, deberá observar los principios de transparencia, economía, responsabilidad y las siguientes reglas:</w:t>
      </w:r>
    </w:p>
    <w:p w14:paraId="56F0EFA1" w14:textId="77777777" w:rsidR="00B936CA" w:rsidRPr="00B77B29" w:rsidRDefault="00B936CA" w:rsidP="00B936CA">
      <w:pPr>
        <w:pStyle w:val="Textonotapie"/>
        <w:ind w:firstLine="708"/>
        <w:jc w:val="both"/>
        <w:rPr>
          <w:rFonts w:ascii="Verdana" w:hAnsi="Verdana" w:cs="Arial"/>
          <w:color w:val="000000" w:themeColor="text1"/>
          <w:sz w:val="16"/>
          <w:szCs w:val="16"/>
        </w:rPr>
      </w:pPr>
      <w:r w:rsidRPr="00B77B29">
        <w:rPr>
          <w:rFonts w:ascii="Verdana" w:hAnsi="Verdana" w:cs="Arial"/>
          <w:color w:val="000000" w:themeColor="text1"/>
          <w:sz w:val="16"/>
          <w:szCs w:val="16"/>
        </w:rPr>
        <w:t>»1. Se dará publicidad a todos los procedimientos y actos.</w:t>
      </w:r>
    </w:p>
    <w:p w14:paraId="7425D305" w14:textId="77777777" w:rsidR="00B936CA" w:rsidRPr="00B77B29" w:rsidRDefault="00B936CA" w:rsidP="00B936CA">
      <w:pPr>
        <w:pStyle w:val="Textonotapie"/>
        <w:ind w:firstLine="708"/>
        <w:jc w:val="both"/>
        <w:rPr>
          <w:rFonts w:ascii="Verdana" w:hAnsi="Verdana" w:cs="Arial"/>
          <w:color w:val="000000" w:themeColor="text1"/>
          <w:sz w:val="16"/>
          <w:szCs w:val="16"/>
        </w:rPr>
      </w:pPr>
      <w:r w:rsidRPr="00B77B29">
        <w:rPr>
          <w:rFonts w:ascii="Verdana" w:hAnsi="Verdana" w:cs="Arial"/>
          <w:color w:val="000000" w:themeColor="text1"/>
          <w:sz w:val="16"/>
          <w:szCs w:val="16"/>
        </w:rPr>
        <w:t>»2. Para la selección a la que se refiere el literal b) del numeral 2° del presente artículo, será principio general la convocatoria pública y se podrán utilizar mecanismos de sorteo en audiencia pública, para definir el número de participantes en el proceso de selección correspondiente cuando el número de manifestaciones de interés sea superior a diez (10).</w:t>
      </w:r>
    </w:p>
    <w:p w14:paraId="6A1D575B" w14:textId="77777777" w:rsidR="00B936CA" w:rsidRPr="00B77B29" w:rsidRDefault="00B936CA" w:rsidP="00B936CA">
      <w:pPr>
        <w:pStyle w:val="Textonotapie"/>
        <w:ind w:firstLine="708"/>
        <w:jc w:val="both"/>
        <w:rPr>
          <w:rFonts w:ascii="Verdana" w:hAnsi="Verdana" w:cs="Arial"/>
          <w:color w:val="000000" w:themeColor="text1"/>
          <w:sz w:val="16"/>
          <w:szCs w:val="16"/>
        </w:rPr>
      </w:pPr>
      <w:r w:rsidRPr="00B77B29">
        <w:rPr>
          <w:rFonts w:ascii="Verdana" w:hAnsi="Verdana" w:cs="Arial"/>
          <w:color w:val="000000" w:themeColor="text1"/>
          <w:sz w:val="16"/>
          <w:szCs w:val="16"/>
        </w:rPr>
        <w:t>»Será responsabilidad del representante legal de la entidad estatal, adoptar las medidas necesarias con el propósito de garantizar la pulcritud del respectivo sorteo.</w:t>
      </w:r>
    </w:p>
    <w:p w14:paraId="02AD37AC" w14:textId="77777777" w:rsidR="00B936CA" w:rsidRPr="00B77B29" w:rsidRDefault="00B936CA" w:rsidP="00B936CA">
      <w:pPr>
        <w:pStyle w:val="Textonotapie"/>
        <w:ind w:firstLine="708"/>
        <w:jc w:val="both"/>
        <w:rPr>
          <w:rFonts w:ascii="Verdana" w:hAnsi="Verdana" w:cs="Arial"/>
          <w:color w:val="000000" w:themeColor="text1"/>
          <w:sz w:val="16"/>
          <w:szCs w:val="16"/>
        </w:rPr>
      </w:pPr>
      <w:r w:rsidRPr="00B77B29">
        <w:rPr>
          <w:rFonts w:ascii="Verdana" w:hAnsi="Verdana" w:cs="Arial"/>
          <w:color w:val="000000" w:themeColor="text1"/>
          <w:sz w:val="16"/>
          <w:szCs w:val="16"/>
        </w:rPr>
        <w:t>»3. Sin excepción, las ofertas presentadas dentro de cada uno de los procesos de selección, deberán ser evaluadas de manera objetiva, aplicando en forma exclusiva las reglas contenidas en los pliegos de condiciones o sus equivalentes. Para la selección a la que se refiere el literal a) del numeral 2° del presente artículo, no serán aplicables los artículos 2° y 3° de la Ley 816 de 2003».</w:t>
      </w:r>
    </w:p>
  </w:footnote>
  <w:footnote w:id="13">
    <w:p w14:paraId="4A3D6D64" w14:textId="77777777" w:rsidR="00B936CA" w:rsidRPr="00B77B29" w:rsidRDefault="00B936CA" w:rsidP="00B936CA">
      <w:pPr>
        <w:pStyle w:val="Textonotapie"/>
        <w:jc w:val="both"/>
        <w:rPr>
          <w:rFonts w:ascii="Verdana" w:hAnsi="Verdana"/>
          <w:sz w:val="16"/>
          <w:szCs w:val="16"/>
        </w:rPr>
      </w:pPr>
    </w:p>
    <w:p w14:paraId="319A801B" w14:textId="77777777" w:rsidR="00B936CA" w:rsidRPr="00B77B29" w:rsidRDefault="00B936CA" w:rsidP="00B936CA">
      <w:pPr>
        <w:pStyle w:val="Textonotapie"/>
        <w:ind w:firstLine="709"/>
        <w:jc w:val="both"/>
        <w:rPr>
          <w:rFonts w:ascii="Verdana" w:hAnsi="Verdana"/>
          <w:sz w:val="16"/>
          <w:szCs w:val="16"/>
          <w:lang w:val="es-CO"/>
        </w:rPr>
      </w:pPr>
      <w:r w:rsidRPr="00B77B29">
        <w:rPr>
          <w:rStyle w:val="Refdenotaalpie"/>
          <w:rFonts w:ascii="Verdana" w:hAnsi="Verdana"/>
          <w:sz w:val="16"/>
          <w:szCs w:val="16"/>
        </w:rPr>
        <w:footnoteRef/>
      </w:r>
      <w:r w:rsidRPr="00B77B29">
        <w:rPr>
          <w:rFonts w:ascii="Verdana" w:hAnsi="Verdana"/>
          <w:sz w:val="16"/>
          <w:szCs w:val="16"/>
        </w:rPr>
        <w:t xml:space="preserve"> </w:t>
      </w:r>
      <w:r w:rsidRPr="00B77B29">
        <w:rPr>
          <w:rFonts w:ascii="Verdana" w:hAnsi="Verdana"/>
          <w:sz w:val="16"/>
          <w:szCs w:val="16"/>
          <w:lang w:val="es-CO"/>
        </w:rPr>
        <w:t>3. </w:t>
      </w:r>
      <w:r w:rsidRPr="00B77B29">
        <w:rPr>
          <w:rFonts w:ascii="Verdana" w:hAnsi="Verdana"/>
          <w:b/>
          <w:bCs/>
          <w:sz w:val="16"/>
          <w:szCs w:val="16"/>
          <w:lang w:val="es-CO"/>
        </w:rPr>
        <w:t>Concurso de méritos. </w:t>
      </w:r>
      <w:r w:rsidRPr="00B77B29">
        <w:rPr>
          <w:rFonts w:ascii="Verdana" w:hAnsi="Verdana"/>
          <w:sz w:val="16"/>
          <w:szCs w:val="16"/>
          <w:lang w:val="es-CO"/>
        </w:rPr>
        <w:t>&lt;Numeral modificado por el artículo </w:t>
      </w:r>
      <w:hyperlink r:id="rId1" w:anchor="219" w:history="1">
        <w:r w:rsidRPr="00B77B29">
          <w:rPr>
            <w:rStyle w:val="Hipervnculo"/>
            <w:rFonts w:ascii="Verdana" w:hAnsi="Verdana"/>
            <w:sz w:val="16"/>
            <w:szCs w:val="16"/>
            <w:lang w:val="es-CO"/>
          </w:rPr>
          <w:t>219</w:t>
        </w:r>
      </w:hyperlink>
      <w:r w:rsidRPr="00B77B29">
        <w:rPr>
          <w:rFonts w:ascii="Verdana" w:hAnsi="Verdana"/>
          <w:sz w:val="16"/>
          <w:szCs w:val="16"/>
          <w:lang w:val="es-CO"/>
        </w:rPr>
        <w:t xml:space="preserve"> del Decreto 19 de 2012. El nuevo texto es el siguiente:&gt; Corresponde a </w:t>
      </w:r>
      <w:r w:rsidRPr="00B77B29">
        <w:rPr>
          <w:rFonts w:ascii="Verdana" w:hAnsi="Verdana"/>
          <w:sz w:val="16"/>
          <w:szCs w:val="16"/>
          <w:lang w:val="es-CO"/>
        </w:rPr>
        <w:t>Ia modalidad prevista para Ia selección de consultores o proyectos, en Ia que se podrán utilizar sistemas de concurso abierto o de precalificación. En este último caso, Ia conformación de Ia lista de precalificados se hará mediante convocatoria pública, permitiéndose establecer listas limitadas de oferentes mediante resolución motivada, que se entenderá notificada en estrados a los interesados, en Ia audiencia pública de conformación de Ia lista, utilizando para el efecto, entre otros, criterios de experiencia, capacidad intelectual y de organización de los proponentes, según sea el caso.</w:t>
      </w:r>
    </w:p>
    <w:p w14:paraId="0F315012" w14:textId="77777777" w:rsidR="00B936CA" w:rsidRPr="00B77B29" w:rsidRDefault="00B936CA" w:rsidP="00B936CA">
      <w:pPr>
        <w:pStyle w:val="Textonotapie"/>
        <w:jc w:val="both"/>
        <w:rPr>
          <w:rFonts w:ascii="Verdana" w:hAnsi="Verdana"/>
          <w:sz w:val="16"/>
          <w:szCs w:val="16"/>
          <w:lang w:val="es-CO"/>
        </w:rPr>
      </w:pPr>
      <w:r w:rsidRPr="00B77B29">
        <w:rPr>
          <w:rFonts w:ascii="Verdana" w:hAnsi="Verdana"/>
          <w:sz w:val="16"/>
          <w:szCs w:val="16"/>
          <w:lang w:val="es-CO"/>
        </w:rPr>
        <w:t>De conformidad con las condiciones que señale el reglamento, en desarrollo de estos procesos de selección, las propuestas técnicas o de proyectos podrán ser presentadas en forma anónima ante un jurado plural, impar deliberante y calificado</w:t>
      </w:r>
    </w:p>
    <w:p w14:paraId="71D98838" w14:textId="77777777" w:rsidR="00B936CA" w:rsidRPr="00B77B29" w:rsidRDefault="00B936CA" w:rsidP="00B936CA">
      <w:pPr>
        <w:pStyle w:val="Textonotapie"/>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BC25EC"/>
    <w:multiLevelType w:val="hybridMultilevel"/>
    <w:tmpl w:val="3F7C0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358431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111A"/>
    <w:rsid w:val="00116940"/>
    <w:rsid w:val="00125105"/>
    <w:rsid w:val="00127233"/>
    <w:rsid w:val="0015699B"/>
    <w:rsid w:val="001A33BF"/>
    <w:rsid w:val="001E4177"/>
    <w:rsid w:val="001F0B24"/>
    <w:rsid w:val="001F7DC6"/>
    <w:rsid w:val="0022400B"/>
    <w:rsid w:val="002421BB"/>
    <w:rsid w:val="0025796E"/>
    <w:rsid w:val="002707A2"/>
    <w:rsid w:val="00275C90"/>
    <w:rsid w:val="002951A0"/>
    <w:rsid w:val="002962BC"/>
    <w:rsid w:val="002A093D"/>
    <w:rsid w:val="002A0DD0"/>
    <w:rsid w:val="002A27C3"/>
    <w:rsid w:val="002A49AC"/>
    <w:rsid w:val="002A64FD"/>
    <w:rsid w:val="002B5673"/>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2B00"/>
    <w:rsid w:val="004A1847"/>
    <w:rsid w:val="004A305D"/>
    <w:rsid w:val="004F21C4"/>
    <w:rsid w:val="004F685F"/>
    <w:rsid w:val="005566E8"/>
    <w:rsid w:val="00574867"/>
    <w:rsid w:val="00591460"/>
    <w:rsid w:val="00591BB7"/>
    <w:rsid w:val="005A65E0"/>
    <w:rsid w:val="005C3777"/>
    <w:rsid w:val="005C5CDC"/>
    <w:rsid w:val="005D476C"/>
    <w:rsid w:val="006200BF"/>
    <w:rsid w:val="006219F8"/>
    <w:rsid w:val="006302F7"/>
    <w:rsid w:val="00646B9F"/>
    <w:rsid w:val="00665D70"/>
    <w:rsid w:val="006900D9"/>
    <w:rsid w:val="006A5372"/>
    <w:rsid w:val="00701467"/>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6F53"/>
    <w:rsid w:val="00923EEF"/>
    <w:rsid w:val="00931B0A"/>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5323"/>
    <w:rsid w:val="00A67631"/>
    <w:rsid w:val="00A755CB"/>
    <w:rsid w:val="00AA172B"/>
    <w:rsid w:val="00AB0ADB"/>
    <w:rsid w:val="00B00C0E"/>
    <w:rsid w:val="00B01B1A"/>
    <w:rsid w:val="00B0381D"/>
    <w:rsid w:val="00B4290C"/>
    <w:rsid w:val="00B44A47"/>
    <w:rsid w:val="00B72CD3"/>
    <w:rsid w:val="00B72FFF"/>
    <w:rsid w:val="00B936CA"/>
    <w:rsid w:val="00BA3DAD"/>
    <w:rsid w:val="00BC3D36"/>
    <w:rsid w:val="00BD54A6"/>
    <w:rsid w:val="00BD7F72"/>
    <w:rsid w:val="00BF7425"/>
    <w:rsid w:val="00C04FB3"/>
    <w:rsid w:val="00C11D8B"/>
    <w:rsid w:val="00C15139"/>
    <w:rsid w:val="00C330EB"/>
    <w:rsid w:val="00C50D69"/>
    <w:rsid w:val="00C51E7A"/>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3113"/>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00FA"/>
    <w:rsid w:val="00F666C4"/>
    <w:rsid w:val="00F76AFC"/>
    <w:rsid w:val="00F94681"/>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36CA"/>
    <w:rPr>
      <w:rFonts w:ascii="Geomanist Light" w:hAnsi="Geomanist Light"/>
      <w:lang w:val="es-ES"/>
    </w:rPr>
  </w:style>
  <w:style w:type="paragraph" w:customStyle="1" w:styleId="Appelnotedebasde">
    <w:name w:val="Appel note de bas de..."/>
    <w:basedOn w:val="Normal"/>
    <w:link w:val="Refdenotaalpie"/>
    <w:uiPriority w:val="99"/>
    <w:rsid w:val="00B936CA"/>
    <w:pPr>
      <w:spacing w:line="240" w:lineRule="exact"/>
    </w:pPr>
    <w:rPr>
      <w:vertAlign w:val="superscript"/>
    </w:rPr>
  </w:style>
  <w:style w:type="paragraph" w:styleId="Textoindependiente">
    <w:name w:val="Body Text"/>
    <w:basedOn w:val="Normal"/>
    <w:link w:val="TextoindependienteCar"/>
    <w:qFormat/>
    <w:rsid w:val="00B936CA"/>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B936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reyajuridica@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C8962A2-3E96-4B26-96DA-D459328A461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72</TotalTime>
  <Pages>33</Pages>
  <Words>11567</Words>
  <Characters>63624</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2023-01-10T21:18:00Z</cp:lastPrinted>
  <dcterms:created xsi:type="dcterms:W3CDTF">2026-04-29T18:38:00Z</dcterms:created>
  <dcterms:modified xsi:type="dcterms:W3CDTF">2026-05-04T14:16:00Z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