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AE61A" w14:textId="77777777" w:rsidR="0063680E" w:rsidRPr="00B02109" w:rsidRDefault="0063680E" w:rsidP="0063680E">
      <w:pPr>
        <w:spacing w:after="0"/>
        <w:rPr>
          <w:rFonts w:ascii="Verdana" w:hAnsi="Verdana" w:cs="Arial"/>
          <w:b/>
          <w:bCs/>
          <w:color w:val="000000" w:themeColor="text1"/>
          <w:lang w:val="es-ES_tradnl"/>
        </w:rPr>
      </w:pPr>
      <w:bookmarkStart w:id="0" w:name="_Hlk172124853"/>
      <w:bookmarkStart w:id="1" w:name="_Hlk143780582"/>
      <w:r w:rsidRPr="00B02109">
        <w:rPr>
          <w:rFonts w:ascii="Verdana" w:hAnsi="Verdana" w:cs="Arial"/>
          <w:b/>
          <w:bCs/>
          <w:color w:val="000000" w:themeColor="text1"/>
          <w:lang w:val="es-ES_tradnl"/>
        </w:rPr>
        <w:t xml:space="preserve">CONVOCATORIAS LIMITADAS A MIPYME - Requisitos </w:t>
      </w:r>
    </w:p>
    <w:p w14:paraId="13CA37B5" w14:textId="77777777" w:rsidR="0063680E" w:rsidRPr="00B02109" w:rsidRDefault="0063680E" w:rsidP="0063680E">
      <w:pPr>
        <w:spacing w:after="0"/>
        <w:rPr>
          <w:rFonts w:ascii="Verdana" w:hAnsi="Verdana" w:cs="Arial"/>
          <w:b/>
          <w:bCs/>
          <w:color w:val="000000" w:themeColor="text1"/>
          <w:lang w:val="es-ES_tradnl"/>
        </w:rPr>
      </w:pPr>
    </w:p>
    <w:p w14:paraId="4FC7E070" w14:textId="77777777" w:rsidR="0063680E" w:rsidRPr="00B02109" w:rsidRDefault="0063680E" w:rsidP="0063680E">
      <w:pPr>
        <w:spacing w:after="120" w:line="276" w:lineRule="auto"/>
        <w:jc w:val="both"/>
        <w:rPr>
          <w:rFonts w:ascii="Verdana" w:eastAsia="Calibri" w:hAnsi="Verdana" w:cs="Arial"/>
          <w:sz w:val="20"/>
          <w:szCs w:val="20"/>
          <w:lang w:val="es-ES"/>
        </w:rPr>
      </w:pPr>
      <w:r w:rsidRPr="00B02109">
        <w:rPr>
          <w:rFonts w:ascii="Verdana" w:eastAsia="Calibri" w:hAnsi="Verdana" w:cs="Arial"/>
          <w:sz w:val="20"/>
          <w:szCs w:val="20"/>
          <w:lang w:val="es-ES"/>
        </w:rPr>
        <w:t xml:space="preserve">El artículo 2.2.1.2.4.2.2. del Decreto 1082 de 2015 –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w:t>
      </w:r>
    </w:p>
    <w:p w14:paraId="41F9FFAE" w14:textId="77777777" w:rsidR="0063680E" w:rsidRPr="00B02109" w:rsidRDefault="0063680E" w:rsidP="0063680E">
      <w:pPr>
        <w:spacing w:after="120" w:line="276" w:lineRule="auto"/>
        <w:jc w:val="both"/>
        <w:rPr>
          <w:rFonts w:ascii="Verdana" w:eastAsia="Calibri" w:hAnsi="Verdana" w:cs="Arial"/>
          <w:sz w:val="20"/>
          <w:szCs w:val="20"/>
          <w:lang w:val="es-ES_tradnl"/>
        </w:rPr>
      </w:pPr>
      <w:r w:rsidRPr="00B02109">
        <w:rPr>
          <w:rFonts w:ascii="Verdana" w:eastAsia="Calibri" w:hAnsi="Verdana" w:cs="Arial"/>
          <w:sz w:val="20"/>
          <w:szCs w:val="20"/>
          <w:lang w:val="es-ES_tradnl"/>
        </w:rPr>
        <w:t>(…)</w:t>
      </w:r>
    </w:p>
    <w:p w14:paraId="2ED28BA1" w14:textId="77777777" w:rsidR="0063680E" w:rsidRPr="00B02109" w:rsidRDefault="0063680E" w:rsidP="0063680E">
      <w:pPr>
        <w:spacing w:after="120" w:line="276" w:lineRule="auto"/>
        <w:jc w:val="both"/>
        <w:rPr>
          <w:rFonts w:ascii="Verdana" w:eastAsia="Calibri" w:hAnsi="Verdana" w:cs="Arial"/>
          <w:sz w:val="20"/>
          <w:szCs w:val="20"/>
          <w:lang w:val="es-ES_tradnl"/>
        </w:rPr>
      </w:pPr>
      <w:r w:rsidRPr="00B02109">
        <w:rPr>
          <w:rFonts w:ascii="Verdana" w:eastAsia="Calibri" w:hAnsi="Verdana" w:cs="Arial"/>
          <w:sz w:val="20"/>
          <w:szCs w:val="20"/>
          <w:lang w:val="es-ES_tradnl"/>
        </w:rPr>
        <w:t xml:space="preserve">Deben concurrir los siguientes requisitos: </w:t>
      </w:r>
    </w:p>
    <w:p w14:paraId="5E437C06" w14:textId="77777777" w:rsidR="0063680E" w:rsidRPr="00B02109" w:rsidRDefault="0063680E" w:rsidP="0063680E">
      <w:pPr>
        <w:spacing w:after="120" w:line="276" w:lineRule="auto"/>
        <w:jc w:val="both"/>
        <w:rPr>
          <w:rFonts w:ascii="Verdana" w:eastAsia="Calibri" w:hAnsi="Verdana" w:cs="Arial"/>
          <w:sz w:val="20"/>
          <w:szCs w:val="20"/>
          <w:lang w:val="es-ES_tradnl"/>
        </w:rPr>
      </w:pPr>
      <w:r w:rsidRPr="00B0210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DF9D888" w14:textId="77777777" w:rsidR="0063680E" w:rsidRPr="00B02109" w:rsidRDefault="0063680E" w:rsidP="0063680E">
      <w:pPr>
        <w:spacing w:after="0"/>
        <w:jc w:val="both"/>
        <w:rPr>
          <w:rFonts w:ascii="Verdana" w:hAnsi="Verdana" w:cs="Arial"/>
          <w:b/>
          <w:color w:val="000000" w:themeColor="text1"/>
          <w:lang w:val="es-ES"/>
        </w:rPr>
      </w:pPr>
      <w:r w:rsidRPr="00B02109">
        <w:rPr>
          <w:rFonts w:ascii="Verdana" w:eastAsia="Calibri" w:hAnsi="Verdana" w:cs="Arial"/>
          <w:sz w:val="20"/>
          <w:szCs w:val="20"/>
          <w:lang w:val="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54F4B7E4" w14:textId="77777777" w:rsidR="0063680E" w:rsidRPr="001D30BE" w:rsidRDefault="0063680E" w:rsidP="0063680E">
      <w:pPr>
        <w:spacing w:after="0"/>
        <w:rPr>
          <w:rFonts w:ascii="Verdana" w:hAnsi="Verdana"/>
        </w:rPr>
      </w:pPr>
    </w:p>
    <w:p w14:paraId="4B3F818A"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5E59718F"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28666067"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7A8D2702" w14:textId="77777777" w:rsidR="0063680E" w:rsidRDefault="0063680E" w:rsidP="0063680E">
      <w:pPr>
        <w:spacing w:after="0" w:line="276" w:lineRule="auto"/>
        <w:rPr>
          <w:rFonts w:ascii="Verdana" w:eastAsia="Calibri" w:hAnsi="Verdana" w:cs="Arial"/>
          <w:sz w:val="21"/>
          <w:szCs w:val="21"/>
          <w:lang w:val="es-ES_tradnl" w:eastAsia="es-ES"/>
        </w:rPr>
      </w:pPr>
    </w:p>
    <w:p w14:paraId="3347B422" w14:textId="77777777" w:rsidR="00A231B4" w:rsidRDefault="00A231B4" w:rsidP="0063680E">
      <w:pPr>
        <w:spacing w:after="0" w:line="276" w:lineRule="auto"/>
        <w:rPr>
          <w:rFonts w:ascii="Verdana" w:hAnsi="Verdana"/>
        </w:rPr>
      </w:pPr>
    </w:p>
    <w:p w14:paraId="1A959D63" w14:textId="218B9C6D" w:rsidR="00A231B4" w:rsidRDefault="00A231B4" w:rsidP="0063680E">
      <w:pPr>
        <w:spacing w:after="0" w:line="276" w:lineRule="auto"/>
        <w:rPr>
          <w:rFonts w:ascii="Verdana" w:hAnsi="Verdana"/>
        </w:rPr>
      </w:pPr>
    </w:p>
    <w:p w14:paraId="03FCC483" w14:textId="77777777" w:rsidR="000C2796" w:rsidRDefault="000C2796" w:rsidP="0063680E">
      <w:pPr>
        <w:spacing w:after="0" w:line="276" w:lineRule="auto"/>
        <w:rPr>
          <w:rFonts w:ascii="Verdana" w:hAnsi="Verdana"/>
        </w:rPr>
      </w:pPr>
    </w:p>
    <w:p w14:paraId="0556A260" w14:textId="77777777" w:rsidR="00A231B4" w:rsidRDefault="00A231B4" w:rsidP="0063680E">
      <w:pPr>
        <w:spacing w:after="0" w:line="276" w:lineRule="auto"/>
        <w:rPr>
          <w:rFonts w:ascii="Verdana" w:hAnsi="Verdana"/>
        </w:rPr>
      </w:pPr>
    </w:p>
    <w:p w14:paraId="419FA34C" w14:textId="77777777" w:rsidR="00B02109" w:rsidRDefault="00B02109" w:rsidP="0063680E">
      <w:pPr>
        <w:spacing w:after="0" w:line="276" w:lineRule="auto"/>
        <w:rPr>
          <w:rFonts w:ascii="Verdana" w:hAnsi="Verdana"/>
        </w:rPr>
      </w:pPr>
    </w:p>
    <w:p w14:paraId="0D00F66C" w14:textId="77777777" w:rsidR="00B02109" w:rsidRDefault="00B02109" w:rsidP="0063680E">
      <w:pPr>
        <w:spacing w:after="0" w:line="276" w:lineRule="auto"/>
        <w:rPr>
          <w:rFonts w:ascii="Verdana" w:hAnsi="Verdana"/>
        </w:rPr>
      </w:pPr>
    </w:p>
    <w:p w14:paraId="36A7D43A" w14:textId="77777777" w:rsidR="00B02109" w:rsidRDefault="00B02109" w:rsidP="0063680E">
      <w:pPr>
        <w:spacing w:after="0" w:line="276" w:lineRule="auto"/>
        <w:rPr>
          <w:rFonts w:ascii="Verdana" w:hAnsi="Verdana"/>
        </w:rPr>
      </w:pPr>
    </w:p>
    <w:p w14:paraId="141E5E88" w14:textId="78FA5550" w:rsidR="0063680E" w:rsidRDefault="00A231B4" w:rsidP="0063680E">
      <w:pPr>
        <w:spacing w:after="0" w:line="276" w:lineRule="auto"/>
        <w:rPr>
          <w:rFonts w:ascii="Verdana" w:hAnsi="Verdana"/>
        </w:rPr>
      </w:pPr>
      <w:r w:rsidRPr="0044528D">
        <w:rPr>
          <w:rFonts w:ascii="Verdana" w:hAnsi="Verdana"/>
        </w:rPr>
        <w:lastRenderedPageBreak/>
        <w:t xml:space="preserve">Bogotá D.C., </w:t>
      </w:r>
      <w:r>
        <w:rPr>
          <w:rFonts w:ascii="Verdana" w:hAnsi="Verdana"/>
        </w:rPr>
        <w:t>10 de septiembre de 2024</w:t>
      </w:r>
    </w:p>
    <w:p w14:paraId="07674EEC" w14:textId="77777777" w:rsidR="00CE7F32" w:rsidRDefault="00CE7F32" w:rsidP="0063680E">
      <w:pPr>
        <w:spacing w:after="0" w:line="276" w:lineRule="auto"/>
        <w:rPr>
          <w:rFonts w:ascii="Verdana" w:hAnsi="Verdana"/>
        </w:rPr>
      </w:pPr>
    </w:p>
    <w:p w14:paraId="667560C2" w14:textId="4EB66956" w:rsidR="00CE7F32" w:rsidRDefault="00CE7F32" w:rsidP="00CE7F32">
      <w:pPr>
        <w:spacing w:after="0" w:line="276" w:lineRule="auto"/>
        <w:jc w:val="right"/>
        <w:rPr>
          <w:rFonts w:ascii="Verdana" w:eastAsia="Calibri" w:hAnsi="Verdana" w:cs="Arial"/>
          <w:sz w:val="21"/>
          <w:szCs w:val="21"/>
          <w:lang w:val="es-ES_tradnl" w:eastAsia="es-ES"/>
        </w:rPr>
      </w:pPr>
      <w:r w:rsidRPr="00CE7F32">
        <w:rPr>
          <w:rFonts w:ascii="Verdana" w:eastAsia="Calibri" w:hAnsi="Verdana" w:cs="Arial"/>
          <w:noProof/>
          <w:sz w:val="21"/>
          <w:szCs w:val="21"/>
          <w:lang w:val="es-ES_tradnl" w:eastAsia="es-ES"/>
        </w:rPr>
        <w:drawing>
          <wp:inline distT="0" distB="0" distL="0" distR="0" wp14:anchorId="46F3F470" wp14:editId="4A74723F">
            <wp:extent cx="2953162" cy="771633"/>
            <wp:effectExtent l="0" t="0" r="0" b="9525"/>
            <wp:docPr id="18273516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51634" name="Imagen 1" descr="Texto&#10;&#10;Descripción generada automáticamente"/>
                    <pic:cNvPicPr/>
                  </pic:nvPicPr>
                  <pic:blipFill>
                    <a:blip r:embed="rId11"/>
                    <a:stretch>
                      <a:fillRect/>
                    </a:stretch>
                  </pic:blipFill>
                  <pic:spPr>
                    <a:xfrm>
                      <a:off x="0" y="0"/>
                      <a:ext cx="2953162" cy="771633"/>
                    </a:xfrm>
                    <a:prstGeom prst="rect">
                      <a:avLst/>
                    </a:prstGeom>
                  </pic:spPr>
                </pic:pic>
              </a:graphicData>
            </a:graphic>
          </wp:inline>
        </w:drawing>
      </w:r>
    </w:p>
    <w:p w14:paraId="6C1D42F9" w14:textId="77777777" w:rsidR="0063680E" w:rsidRPr="00985BF7" w:rsidRDefault="0063680E" w:rsidP="0063680E">
      <w:pPr>
        <w:spacing w:after="0" w:line="276" w:lineRule="auto"/>
        <w:rPr>
          <w:rFonts w:ascii="Verdana" w:eastAsia="Calibri" w:hAnsi="Verdana" w:cs="Arial"/>
          <w:sz w:val="21"/>
          <w:szCs w:val="21"/>
          <w:lang w:val="es-ES_tradnl" w:eastAsia="es-ES"/>
        </w:rPr>
      </w:pPr>
    </w:p>
    <w:p w14:paraId="399F33CF" w14:textId="77777777" w:rsidR="0063680E" w:rsidRDefault="0063680E" w:rsidP="0063680E">
      <w:pPr>
        <w:spacing w:after="0" w:line="276" w:lineRule="auto"/>
        <w:jc w:val="both"/>
        <w:rPr>
          <w:rFonts w:ascii="Verdana" w:eastAsia="Calibri" w:hAnsi="Verdana" w:cs="Arial"/>
          <w:lang w:val="es-ES" w:eastAsia="es-ES"/>
        </w:rPr>
      </w:pPr>
    </w:p>
    <w:p w14:paraId="65024A88" w14:textId="77777777" w:rsidR="0063680E" w:rsidRPr="005B3F16" w:rsidRDefault="0063680E" w:rsidP="0063680E">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Señor</w:t>
      </w:r>
      <w:r>
        <w:rPr>
          <w:rFonts w:ascii="Verdana" w:eastAsia="Calibri" w:hAnsi="Verdana" w:cs="Arial"/>
          <w:lang w:val="es-ES" w:eastAsia="es-ES"/>
        </w:rPr>
        <w:t>a</w:t>
      </w:r>
    </w:p>
    <w:p w14:paraId="23F227BD" w14:textId="77777777" w:rsidR="0063680E" w:rsidRPr="00C91213" w:rsidRDefault="0063680E" w:rsidP="0063680E">
      <w:pPr>
        <w:spacing w:after="0" w:line="240" w:lineRule="auto"/>
        <w:rPr>
          <w:rFonts w:ascii="Verdana" w:hAnsi="Verdana" w:cs="Arial"/>
          <w:b/>
          <w:bCs/>
        </w:rPr>
      </w:pPr>
      <w:r w:rsidRPr="00C91213">
        <w:rPr>
          <w:rFonts w:ascii="Verdana" w:hAnsi="Verdana" w:cs="Arial"/>
          <w:b/>
          <w:bCs/>
        </w:rPr>
        <w:t xml:space="preserve">LUISA MARIA BOLAÑOS GOMEZ </w:t>
      </w:r>
    </w:p>
    <w:p w14:paraId="1BEB3975" w14:textId="77777777" w:rsidR="0063680E" w:rsidRDefault="00EC55E6" w:rsidP="0063680E">
      <w:pPr>
        <w:spacing w:after="0" w:line="240" w:lineRule="auto"/>
        <w:rPr>
          <w:rFonts w:ascii="Verdana" w:hAnsi="Verdana" w:cs="Arial"/>
        </w:rPr>
      </w:pPr>
      <w:hyperlink r:id="rId12" w:history="1">
        <w:r w:rsidR="0063680E" w:rsidRPr="00C867A1">
          <w:rPr>
            <w:rStyle w:val="Hipervnculo"/>
            <w:rFonts w:ascii="Verdana" w:hAnsi="Verdana" w:cs="Arial"/>
          </w:rPr>
          <w:t>luissamaaria@outlook.com</w:t>
        </w:r>
      </w:hyperlink>
    </w:p>
    <w:p w14:paraId="2A07EF08" w14:textId="77777777" w:rsidR="0063680E" w:rsidRPr="003D5069" w:rsidRDefault="0063680E" w:rsidP="0063680E">
      <w:pPr>
        <w:spacing w:after="0" w:line="240" w:lineRule="auto"/>
        <w:rPr>
          <w:rFonts w:ascii="Verdana" w:hAnsi="Verdana" w:cs="Arial"/>
        </w:rPr>
      </w:pPr>
      <w:r>
        <w:rPr>
          <w:rFonts w:ascii="Verdana" w:hAnsi="Verdana" w:cs="Arial"/>
        </w:rPr>
        <w:t>Puerto Asís - Putumayo</w:t>
      </w:r>
    </w:p>
    <w:p w14:paraId="0D69E239" w14:textId="77777777" w:rsidR="0063680E" w:rsidRPr="000807E2" w:rsidRDefault="0063680E" w:rsidP="0063680E">
      <w:pPr>
        <w:spacing w:after="0" w:line="276"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680E" w:rsidRPr="005B3F16" w14:paraId="1B4F2906" w14:textId="77777777" w:rsidTr="00E60793">
        <w:trPr>
          <w:trHeight w:val="884"/>
        </w:trPr>
        <w:tc>
          <w:tcPr>
            <w:tcW w:w="2689" w:type="dxa"/>
          </w:tcPr>
          <w:p w14:paraId="32184FCB" w14:textId="77777777" w:rsidR="0063680E" w:rsidRPr="000807E2" w:rsidRDefault="0063680E" w:rsidP="00E60793">
            <w:pPr>
              <w:spacing w:line="276" w:lineRule="auto"/>
              <w:jc w:val="both"/>
              <w:rPr>
                <w:rFonts w:ascii="Verdana" w:eastAsia="Calibri" w:hAnsi="Verdana" w:cs="Arial"/>
                <w:b/>
                <w:bCs/>
                <w:lang w:eastAsia="es-ES_tradnl"/>
              </w:rPr>
            </w:pPr>
          </w:p>
        </w:tc>
        <w:tc>
          <w:tcPr>
            <w:tcW w:w="6100" w:type="dxa"/>
          </w:tcPr>
          <w:p w14:paraId="69B9E33A" w14:textId="77777777" w:rsidR="0063680E" w:rsidRPr="005B3F16" w:rsidRDefault="0063680E" w:rsidP="00E60793">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 xml:space="preserve">Concepto C- </w:t>
            </w:r>
            <w:r>
              <w:rPr>
                <w:rFonts w:ascii="Verdana" w:eastAsia="Calibri" w:hAnsi="Verdana" w:cs="Arial"/>
                <w:b/>
                <w:bCs/>
                <w:lang w:val="es-ES" w:eastAsia="es-ES"/>
              </w:rPr>
              <w:t>399</w:t>
            </w:r>
            <w:r w:rsidRPr="005B3F16">
              <w:rPr>
                <w:rFonts w:ascii="Verdana" w:eastAsia="Calibri" w:hAnsi="Verdana" w:cs="Arial"/>
                <w:b/>
                <w:bCs/>
                <w:lang w:val="es-ES" w:eastAsia="es-ES"/>
              </w:rPr>
              <w:t xml:space="preserve"> de 2024</w:t>
            </w:r>
          </w:p>
        </w:tc>
      </w:tr>
      <w:tr w:rsidR="0063680E" w:rsidRPr="005B3F16" w14:paraId="50DCD6FF" w14:textId="77777777" w:rsidTr="00E60793">
        <w:trPr>
          <w:trHeight w:val="884"/>
        </w:trPr>
        <w:tc>
          <w:tcPr>
            <w:tcW w:w="2689" w:type="dxa"/>
          </w:tcPr>
          <w:p w14:paraId="46E595CF" w14:textId="77777777" w:rsidR="0063680E" w:rsidRPr="005B3F16" w:rsidRDefault="0063680E" w:rsidP="00E60793">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70B0FCBD" w14:textId="4963F5E2" w:rsidR="0063680E" w:rsidRPr="004D70E1" w:rsidRDefault="0063680E" w:rsidP="00E60793">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CONVOCATORIAS LIMITADAS A MIPYME </w:t>
            </w:r>
            <w:r>
              <w:rPr>
                <w:rFonts w:ascii="Arial" w:eastAsiaTheme="minorHAnsi" w:hAnsi="Arial" w:cs="Arial"/>
                <w:b/>
                <w:bCs/>
                <w:color w:val="000000" w:themeColor="text1"/>
                <w:sz w:val="22"/>
                <w:szCs w:val="22"/>
                <w:lang w:val="es-ES_tradnl" w:eastAsia="en-US"/>
              </w:rPr>
              <w:t>-</w:t>
            </w:r>
            <w:r w:rsidR="00C32A26">
              <w:rPr>
                <w:rFonts w:ascii="Arial" w:eastAsiaTheme="minorHAnsi" w:hAnsi="Arial" w:cs="Arial"/>
                <w:b/>
                <w:bCs/>
                <w:color w:val="000000" w:themeColor="text1"/>
                <w:sz w:val="22"/>
                <w:szCs w:val="22"/>
                <w:lang w:val="es-ES_tradnl" w:eastAsia="en-US"/>
              </w:rPr>
              <w:t xml:space="preserve"> </w:t>
            </w:r>
            <w:bookmarkStart w:id="2" w:name="_GoBack"/>
            <w:bookmarkEnd w:id="2"/>
            <w:r>
              <w:rPr>
                <w:rFonts w:ascii="Arial" w:eastAsiaTheme="minorHAnsi" w:hAnsi="Arial" w:cs="Arial"/>
                <w:b/>
                <w:bCs/>
                <w:color w:val="000000" w:themeColor="text1"/>
                <w:sz w:val="22"/>
                <w:szCs w:val="22"/>
                <w:lang w:val="es-ES_tradnl" w:eastAsia="en-US"/>
              </w:rPr>
              <w:t xml:space="preserve">Requisitos  </w:t>
            </w:r>
          </w:p>
        </w:tc>
      </w:tr>
      <w:tr w:rsidR="0063680E" w:rsidRPr="005B3F16" w14:paraId="07012C69" w14:textId="77777777" w:rsidTr="00E60793">
        <w:tc>
          <w:tcPr>
            <w:tcW w:w="2689" w:type="dxa"/>
          </w:tcPr>
          <w:p w14:paraId="4330C3B0" w14:textId="77777777" w:rsidR="0063680E" w:rsidRPr="005B3F16" w:rsidRDefault="0063680E" w:rsidP="00E60793">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40D0029E" w14:textId="77777777" w:rsidR="0063680E" w:rsidRPr="005B3F16" w:rsidRDefault="0063680E" w:rsidP="00E60793">
            <w:pPr>
              <w:spacing w:line="276" w:lineRule="auto"/>
              <w:jc w:val="both"/>
              <w:rPr>
                <w:rFonts w:ascii="Verdana" w:hAnsi="Verdana" w:cs="Arial"/>
              </w:rPr>
            </w:pPr>
            <w:r w:rsidRPr="005B3F16">
              <w:rPr>
                <w:rFonts w:ascii="Verdana" w:hAnsi="Verdana" w:cs="Arial"/>
              </w:rPr>
              <w:t xml:space="preserve">Respuesta a consulta con radicado No. </w:t>
            </w:r>
            <w:r w:rsidRPr="00EB5042">
              <w:rPr>
                <w:rFonts w:ascii="Verdana" w:hAnsi="Verdana" w:cs="Arial"/>
              </w:rPr>
              <w:t>P20240716007715</w:t>
            </w:r>
          </w:p>
        </w:tc>
      </w:tr>
    </w:tbl>
    <w:p w14:paraId="531176C9" w14:textId="77777777" w:rsidR="0063680E" w:rsidRPr="005B3F16" w:rsidRDefault="0063680E" w:rsidP="0063680E">
      <w:pPr>
        <w:spacing w:after="0" w:line="276" w:lineRule="auto"/>
        <w:jc w:val="both"/>
        <w:rPr>
          <w:rFonts w:ascii="Verdana" w:eastAsia="Calibri" w:hAnsi="Verdana" w:cs="Arial"/>
          <w:lang w:val="es-ES_tradnl" w:eastAsia="es-ES_tradnl"/>
        </w:rPr>
      </w:pPr>
    </w:p>
    <w:p w14:paraId="6006D12A" w14:textId="77777777" w:rsidR="0063680E" w:rsidRPr="005B3F16" w:rsidRDefault="0063680E" w:rsidP="0063680E">
      <w:pPr>
        <w:spacing w:after="0" w:line="276" w:lineRule="auto"/>
        <w:jc w:val="both"/>
        <w:rPr>
          <w:rFonts w:ascii="Verdana" w:eastAsia="Calibri" w:hAnsi="Verdana" w:cs="Arial"/>
          <w:lang w:val="es-ES_tradnl" w:eastAsia="es-ES_tradnl"/>
        </w:rPr>
      </w:pPr>
    </w:p>
    <w:p w14:paraId="0093116D" w14:textId="77777777" w:rsidR="0063680E" w:rsidRPr="005B3F16" w:rsidRDefault="0063680E" w:rsidP="0063680E">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Estimad</w:t>
      </w:r>
      <w:r>
        <w:rPr>
          <w:rFonts w:ascii="Verdana" w:eastAsia="Calibri" w:hAnsi="Verdana" w:cs="Arial"/>
          <w:lang w:val="es-ES" w:eastAsia="es-ES"/>
        </w:rPr>
        <w:t>a Señora Luisa María</w:t>
      </w:r>
      <w:r w:rsidRPr="005B3F16">
        <w:rPr>
          <w:rFonts w:ascii="Verdana" w:eastAsia="Calibri" w:hAnsi="Verdana" w:cs="Arial"/>
          <w:lang w:val="es-ES" w:eastAsia="es-ES"/>
        </w:rPr>
        <w:t xml:space="preserve">: </w:t>
      </w:r>
    </w:p>
    <w:p w14:paraId="25103BEB" w14:textId="77777777" w:rsidR="0063680E" w:rsidRPr="005B3F16" w:rsidRDefault="0063680E" w:rsidP="0063680E">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7AD77E7C" w14:textId="77777777" w:rsidR="0063680E" w:rsidRPr="005B3F16" w:rsidRDefault="0063680E" w:rsidP="0063680E">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26 </w:t>
      </w:r>
      <w:r w:rsidRPr="005B3F16">
        <w:rPr>
          <w:rFonts w:ascii="Verdana" w:eastAsia="Calibri" w:hAnsi="Verdana" w:cs="Arial"/>
          <w:lang w:val="es-ES" w:eastAsia="es-ES"/>
        </w:rPr>
        <w:t xml:space="preserve">de julio de 2024, en la cual manifiesta lo siguiente: </w:t>
      </w:r>
    </w:p>
    <w:p w14:paraId="381C57C4" w14:textId="77777777" w:rsidR="0063680E" w:rsidRPr="005B3F16" w:rsidRDefault="0063680E" w:rsidP="0063680E">
      <w:pPr>
        <w:pStyle w:val="Prrafodelista"/>
        <w:tabs>
          <w:tab w:val="left" w:pos="142"/>
          <w:tab w:val="left" w:pos="284"/>
        </w:tabs>
        <w:spacing w:line="276" w:lineRule="auto"/>
        <w:ind w:left="0"/>
        <w:jc w:val="both"/>
        <w:rPr>
          <w:rFonts w:ascii="Verdana" w:hAnsi="Verdana" w:cs="Arial"/>
        </w:rPr>
      </w:pPr>
    </w:p>
    <w:p w14:paraId="325FCE0D" w14:textId="77777777" w:rsidR="0063680E" w:rsidRPr="005B3F16" w:rsidRDefault="0063680E" w:rsidP="0063680E">
      <w:pPr>
        <w:autoSpaceDE w:val="0"/>
        <w:autoSpaceDN w:val="0"/>
        <w:adjustRightInd w:val="0"/>
        <w:spacing w:after="0" w:line="276" w:lineRule="auto"/>
        <w:ind w:left="709" w:right="709"/>
        <w:jc w:val="both"/>
        <w:rPr>
          <w:rFonts w:ascii="Verdana" w:hAnsi="Verdana" w:cs="Arial"/>
          <w:sz w:val="21"/>
          <w:szCs w:val="21"/>
        </w:rPr>
      </w:pPr>
      <w:bookmarkStart w:id="3" w:name="_Hlk95313578"/>
      <w:r w:rsidRPr="005B3F16">
        <w:rPr>
          <w:rFonts w:ascii="Verdana" w:hAnsi="Verdana" w:cs="Arial"/>
          <w:sz w:val="21"/>
          <w:szCs w:val="21"/>
        </w:rPr>
        <w:t>“</w:t>
      </w:r>
      <w:bookmarkEnd w:id="3"/>
      <w:r w:rsidRPr="006C2A3F">
        <w:rPr>
          <w:rFonts w:ascii="Verdana" w:hAnsi="Verdana" w:cs="Arial"/>
          <w:sz w:val="21"/>
          <w:szCs w:val="21"/>
        </w:rPr>
        <w:t xml:space="preserve">DE ACUERDO A LA NORMATIVIDAD CONTRACTUAL SOBRE LIMITACIÓN A MIPYMES SURGEN DOS DUDAS: 1. SI PARA SER MIPYMES DEBE TENER 1 AÑO DE EXISTENCIA Y 2. SE PUEDE LIMITAR </w:t>
      </w:r>
      <w:r w:rsidRPr="006C2A3F">
        <w:rPr>
          <w:rFonts w:ascii="Verdana" w:hAnsi="Verdana" w:cs="Arial"/>
          <w:sz w:val="21"/>
          <w:szCs w:val="21"/>
        </w:rPr>
        <w:lastRenderedPageBreak/>
        <w:t>EL PROCESO A MIPYMES CON UN AÑO DE EXISTENCIA Y LIMITAR A MIPYMES DOMICILIADAS EN EL LUGAR DE EJECUCIÓN? ES DECIR QUE, ¿SI LIMITO POR ESTA ÚLTIMA ES OBLIGAGORIO QUE TAMBIÉN TENGA UN AÑO DE EXISTENCIA O LA CONDICIÓN SOLO ES QUE TENGA SU DOMICILIO EN EL LUGAR DE EJECUCIÓN? LO CUAL CONLLEVA A QUE TRATE DE DOS ESPECIES DE LIMITACIONES</w:t>
      </w:r>
      <w:r w:rsidRPr="005B3F16">
        <w:rPr>
          <w:rFonts w:ascii="Verdana" w:hAnsi="Verdana" w:cs="Arial"/>
          <w:sz w:val="21"/>
          <w:szCs w:val="21"/>
        </w:rPr>
        <w:t>”</w:t>
      </w:r>
    </w:p>
    <w:p w14:paraId="20708604" w14:textId="77777777" w:rsidR="0063680E" w:rsidRPr="005B3F16" w:rsidRDefault="0063680E" w:rsidP="0063680E">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t xml:space="preserve"> (sic).</w:t>
      </w:r>
    </w:p>
    <w:p w14:paraId="17D21143" w14:textId="77777777" w:rsidR="0063680E" w:rsidRPr="005B3F16" w:rsidRDefault="0063680E" w:rsidP="0063680E">
      <w:pPr>
        <w:pStyle w:val="Prrafodelista"/>
        <w:tabs>
          <w:tab w:val="left" w:pos="142"/>
          <w:tab w:val="left" w:pos="284"/>
        </w:tabs>
        <w:spacing w:line="276" w:lineRule="auto"/>
        <w:ind w:left="0"/>
        <w:jc w:val="both"/>
        <w:rPr>
          <w:rFonts w:ascii="Verdana" w:eastAsia="Century Gothic" w:hAnsi="Verdana" w:cs="Century Gothic"/>
          <w:b/>
          <w:bCs/>
        </w:rPr>
      </w:pPr>
    </w:p>
    <w:p w14:paraId="70ECE797" w14:textId="77777777" w:rsidR="0063680E" w:rsidRPr="005B3F16" w:rsidRDefault="0063680E" w:rsidP="0063680E">
      <w:pPr>
        <w:spacing w:after="120" w:line="276" w:lineRule="auto"/>
        <w:ind w:firstLine="709"/>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4B7D8B29" w14:textId="77777777" w:rsidR="0063680E" w:rsidRPr="005B3F16" w:rsidRDefault="0063680E" w:rsidP="0063680E">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A506EC0" w14:textId="77777777" w:rsidR="0063680E" w:rsidRPr="005B3F16" w:rsidRDefault="0063680E" w:rsidP="0063680E">
      <w:pPr>
        <w:spacing w:after="0" w:line="276" w:lineRule="auto"/>
        <w:ind w:firstLine="709"/>
        <w:jc w:val="both"/>
        <w:rPr>
          <w:rFonts w:ascii="Verdana" w:eastAsia="Calibri" w:hAnsi="Verdana" w:cs="Arial"/>
          <w:lang w:val="es-ES" w:eastAsia="es-ES"/>
        </w:rPr>
      </w:pPr>
    </w:p>
    <w:p w14:paraId="6AB580D5" w14:textId="77777777" w:rsidR="0063680E" w:rsidRPr="005B3F16" w:rsidRDefault="0063680E" w:rsidP="0063680E">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501C575A" w14:textId="77777777" w:rsidR="0063680E" w:rsidRPr="005B3F16" w:rsidRDefault="0063680E" w:rsidP="0063680E">
      <w:pPr>
        <w:tabs>
          <w:tab w:val="left" w:pos="426"/>
        </w:tabs>
        <w:spacing w:after="0" w:line="276" w:lineRule="auto"/>
        <w:jc w:val="both"/>
        <w:rPr>
          <w:rFonts w:ascii="Verdana" w:eastAsia="Century Gothic" w:hAnsi="Verdana" w:cs="Century Gothic"/>
          <w:lang w:val="es-ES"/>
        </w:rPr>
      </w:pPr>
    </w:p>
    <w:p w14:paraId="6A4FE7B7" w14:textId="77777777" w:rsidR="0063680E" w:rsidRPr="005B3F16" w:rsidRDefault="0063680E" w:rsidP="0063680E">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sidRPr="005307B9">
        <w:rPr>
          <w:rFonts w:ascii="Verdana" w:hAnsi="Verdana" w:cs="Arial"/>
          <w:sz w:val="21"/>
          <w:szCs w:val="21"/>
        </w:rPr>
        <w:t>Cuáles</w:t>
      </w:r>
      <w:r>
        <w:rPr>
          <w:rFonts w:ascii="Verdana" w:hAnsi="Verdana" w:cs="Arial"/>
          <w:sz w:val="21"/>
          <w:szCs w:val="21"/>
        </w:rPr>
        <w:t xml:space="preserve"> son los </w:t>
      </w:r>
      <w:r w:rsidRPr="00221EA7">
        <w:rPr>
          <w:rFonts w:ascii="Verdana" w:hAnsi="Verdana" w:cs="Arial"/>
          <w:sz w:val="21"/>
          <w:szCs w:val="21"/>
        </w:rPr>
        <w:t>criterios que debe seguir la entidad</w:t>
      </w:r>
      <w:r>
        <w:rPr>
          <w:rFonts w:ascii="Verdana" w:hAnsi="Verdana" w:cs="Arial"/>
          <w:sz w:val="21"/>
          <w:szCs w:val="21"/>
        </w:rPr>
        <w:t xml:space="preserve"> </w:t>
      </w:r>
      <w:r w:rsidRPr="00221EA7">
        <w:rPr>
          <w:rFonts w:ascii="Verdana" w:hAnsi="Verdana" w:cs="Arial"/>
          <w:sz w:val="21"/>
          <w:szCs w:val="21"/>
        </w:rPr>
        <w:t>contratante para</w:t>
      </w:r>
      <w:r>
        <w:rPr>
          <w:rFonts w:ascii="Verdana" w:hAnsi="Verdana" w:cs="Arial"/>
          <w:sz w:val="21"/>
          <w:szCs w:val="21"/>
        </w:rPr>
        <w:t xml:space="preserve"> limitar un</w:t>
      </w:r>
      <w:r w:rsidRPr="00221EA7">
        <w:rPr>
          <w:rFonts w:ascii="Verdana" w:hAnsi="Verdana" w:cs="Arial"/>
          <w:sz w:val="21"/>
          <w:szCs w:val="21"/>
        </w:rPr>
        <w:t xml:space="preserve"> proceso a Mipymes</w:t>
      </w:r>
      <w:r w:rsidRPr="008D40C5">
        <w:rPr>
          <w:rFonts w:ascii="Verdana" w:eastAsia="Century Gothic" w:hAnsi="Verdana" w:cs="Century Gothic"/>
        </w:rPr>
        <w:t>?</w:t>
      </w:r>
    </w:p>
    <w:p w14:paraId="16795763" w14:textId="77777777" w:rsidR="0063680E" w:rsidRPr="005B3F16" w:rsidRDefault="0063680E" w:rsidP="0063680E">
      <w:pPr>
        <w:spacing w:after="0" w:line="276" w:lineRule="auto"/>
        <w:jc w:val="both"/>
        <w:rPr>
          <w:rFonts w:ascii="Verdana" w:eastAsia="Calibri" w:hAnsi="Verdana" w:cs="Arial"/>
          <w:lang w:val="es-ES"/>
        </w:rPr>
      </w:pPr>
    </w:p>
    <w:p w14:paraId="481A26C3" w14:textId="77777777" w:rsidR="0063680E" w:rsidRPr="005B3F16"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2E4DF0B7" w14:textId="77777777" w:rsidR="0063680E" w:rsidRPr="005B3F16" w:rsidRDefault="0063680E" w:rsidP="0063680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3680E" w:rsidRPr="005B3F16" w14:paraId="6688F017" w14:textId="77777777" w:rsidTr="00E60793">
        <w:tc>
          <w:tcPr>
            <w:tcW w:w="8828" w:type="dxa"/>
            <w:shd w:val="clear" w:color="auto" w:fill="auto"/>
          </w:tcPr>
          <w:p w14:paraId="7F186934" w14:textId="77777777" w:rsidR="0063680E" w:rsidRPr="009D1CA9" w:rsidRDefault="0063680E" w:rsidP="00E60793">
            <w:pPr>
              <w:spacing w:after="120" w:line="276" w:lineRule="auto"/>
              <w:jc w:val="both"/>
              <w:rPr>
                <w:rFonts w:ascii="Verdana" w:eastAsia="Century Gothic" w:hAnsi="Verdana" w:cs="Century Gothic"/>
              </w:rPr>
            </w:pPr>
            <w:r w:rsidRPr="0077109D">
              <w:rPr>
                <w:rFonts w:ascii="Verdana" w:eastAsia="Century Gothic" w:hAnsi="Verdana" w:cs="Century Gothic"/>
              </w:rPr>
              <w:t xml:space="preserve">El Decreto 1860 del 24 de diciembre de 2021 </w:t>
            </w:r>
            <w:r>
              <w:rPr>
                <w:rFonts w:ascii="Verdana" w:eastAsia="Century Gothic" w:hAnsi="Verdana" w:cs="Century Gothic"/>
              </w:rPr>
              <w:t>“</w:t>
            </w:r>
            <w:r w:rsidRPr="0077109D">
              <w:rPr>
                <w:rFonts w:ascii="Verdana" w:eastAsia="Century Gothic" w:hAnsi="Verdana" w:cs="Century Gothic"/>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Verdana" w:eastAsia="Century Gothic" w:hAnsi="Verdana" w:cs="Century Gothic"/>
              </w:rPr>
              <w:t xml:space="preserve"> “</w:t>
            </w:r>
            <w:r w:rsidRPr="009C0942">
              <w:rPr>
                <w:rFonts w:ascii="Verdana" w:eastAsia="Century Gothic" w:hAnsi="Verdana" w:cs="Century Gothic"/>
                <w:lang w:val="es-ES_tradnl"/>
              </w:rPr>
              <w:t xml:space="preserve">señala que  todos los procesos de contratación, independientemente de la modalidad de selección, las entidades estatales, cualquiera que sea su régimen de contratación, los patrimonios autónomos constituidos por entidades estatales y los particulares que ejecuten recursos públicos, deberán limitar las convocatorias con pluralidad de oferentes a Mipymes colombianas, una vez concurran </w:t>
            </w:r>
            <w:r w:rsidRPr="00B36D4B">
              <w:rPr>
                <w:rFonts w:ascii="Verdana" w:eastAsia="Century Gothic" w:hAnsi="Verdana" w:cs="Century Gothic"/>
                <w:u w:val="single"/>
                <w:lang w:val="es-ES_tradnl"/>
              </w:rPr>
              <w:t>todos</w:t>
            </w:r>
            <w:r w:rsidRPr="009C0942">
              <w:rPr>
                <w:rFonts w:ascii="Verdana" w:eastAsia="Century Gothic" w:hAnsi="Verdana" w:cs="Century Gothic"/>
                <w:lang w:val="es-ES_tradnl"/>
              </w:rPr>
              <w:t xml:space="preserve"> los requisitos</w:t>
            </w:r>
            <w:r>
              <w:rPr>
                <w:rFonts w:ascii="Verdana" w:eastAsia="Century Gothic" w:hAnsi="Verdana" w:cs="Century Gothic"/>
                <w:lang w:val="es-ES_tradnl"/>
              </w:rPr>
              <w:t xml:space="preserve"> indicados en la norma </w:t>
            </w:r>
            <w:r w:rsidRPr="009C0942">
              <w:rPr>
                <w:rFonts w:ascii="Verdana" w:eastAsia="Century Gothic" w:hAnsi="Verdana" w:cs="Century Gothic"/>
                <w:lang w:val="es-ES_tradnl"/>
              </w:rPr>
              <w:t>y siempre que cuenten con mínimo un (1) año de existencia.</w:t>
            </w:r>
          </w:p>
        </w:tc>
      </w:tr>
    </w:tbl>
    <w:p w14:paraId="2E6F9A78" w14:textId="77777777" w:rsidR="0063680E" w:rsidRPr="005B3F16" w:rsidRDefault="0063680E" w:rsidP="0063680E">
      <w:pPr>
        <w:tabs>
          <w:tab w:val="left" w:pos="142"/>
          <w:tab w:val="left" w:pos="284"/>
        </w:tabs>
        <w:spacing w:after="0" w:line="276" w:lineRule="auto"/>
        <w:jc w:val="both"/>
        <w:rPr>
          <w:rFonts w:ascii="Verdana" w:eastAsia="Century Gothic" w:hAnsi="Verdana" w:cs="Century Gothic"/>
          <w:b/>
          <w:bCs/>
          <w:lang w:val="es-ES"/>
        </w:rPr>
      </w:pPr>
    </w:p>
    <w:p w14:paraId="0A85A798" w14:textId="77777777" w:rsidR="0063680E" w:rsidRPr="005B3F16" w:rsidRDefault="0063680E" w:rsidP="0063680E">
      <w:pPr>
        <w:spacing w:after="120" w:line="276" w:lineRule="auto"/>
        <w:ind w:firstLine="708"/>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447B15F6" w14:textId="77777777" w:rsidR="0063680E" w:rsidRDefault="0063680E" w:rsidP="0063680E">
      <w:pPr>
        <w:spacing w:after="120" w:line="276" w:lineRule="auto"/>
        <w:ind w:firstLine="708"/>
        <w:jc w:val="both"/>
        <w:rPr>
          <w:rFonts w:ascii="Verdana" w:eastAsia="Calibri" w:hAnsi="Verdana" w:cs="Arial"/>
          <w:lang w:val="es-ES"/>
        </w:rPr>
      </w:pPr>
      <w:r w:rsidRPr="005B3F16">
        <w:rPr>
          <w:rFonts w:ascii="Verdana" w:eastAsia="Calibri" w:hAnsi="Verdana" w:cs="Arial"/>
          <w:lang w:val="es-ES"/>
        </w:rPr>
        <w:t>Lo anterior se sustenta en las siguientes consideraciones:</w:t>
      </w:r>
    </w:p>
    <w:p w14:paraId="41064A7F" w14:textId="77777777" w:rsidR="0063680E" w:rsidRDefault="0063680E" w:rsidP="0063680E">
      <w:pPr>
        <w:spacing w:after="120" w:line="276" w:lineRule="auto"/>
        <w:ind w:firstLine="708"/>
        <w:jc w:val="both"/>
        <w:rPr>
          <w:rFonts w:ascii="Verdana" w:eastAsia="Calibri" w:hAnsi="Verdana" w:cs="Arial"/>
          <w:lang w:val="es-ES"/>
        </w:rPr>
      </w:pPr>
    </w:p>
    <w:p w14:paraId="2964B298"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reglamento entre otras cosas las convocatorias limitadas a Mipyme. De esta manera, el artículo 5 modifico los artículos 2.2.1.2.4.2.2., 2.2.1.2.4.2.3. y 2.2.1.2.4.2.4. de la Subsección 2 de la Sección 4 del Capítulo 2 del Título 1 de la Parte 2 del Libro 2 del Decreto 1082 de 2015, por lo que reglamenta este asunto con fundamento en lo establecido en el artículo 34 de la Ley 2069 de 2020.</w:t>
      </w:r>
    </w:p>
    <w:p w14:paraId="17243D80"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Teniendo en cuenta lo anterior, la nueva Subsección 2 a que se hizo referencia contiene los siguientes artículos: i) 2.2.1.2.4.2.2. que consagra los requisitos para limitar la convocatoria de los procesos de contratación con pluralidad de oferentes a las Mipyme </w:t>
      </w:r>
      <w:r w:rsidRPr="5860ED9E">
        <w:rPr>
          <w:rFonts w:ascii="Verdana" w:eastAsia="Calibri" w:hAnsi="Verdana" w:cs="Arial"/>
        </w:rPr>
        <w:lastRenderedPageBreak/>
        <w:t xml:space="preserve">colombianas con mínimo un (1) año de existencia, ii) 2.2.1.2.4.2.3. que desarrolla las convocatorias limitadas a Mipyme colombianas que tengan domicilio en los departamentos o municipios en donde se va a ejecutar el contrato, y </w:t>
      </w:r>
      <w:proofErr w:type="spellStart"/>
      <w:r w:rsidRPr="5860ED9E">
        <w:rPr>
          <w:rFonts w:ascii="Verdana" w:eastAsia="Calibri" w:hAnsi="Verdana" w:cs="Arial"/>
        </w:rPr>
        <w:t>iii</w:t>
      </w:r>
      <w:proofErr w:type="spellEnd"/>
      <w:r w:rsidRPr="5860ED9E">
        <w:rPr>
          <w:rFonts w:ascii="Verdana" w:eastAsia="Calibri" w:hAnsi="Verdana" w:cs="Arial"/>
        </w:rPr>
        <w:t>) 2.2.1.2.4.2.4. que regula la acreditación de requisitos para participar en convocatorias limitadas.</w:t>
      </w:r>
    </w:p>
    <w:p w14:paraId="64580787"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El artículo 5 del Decreto 1860 de 2021, que modifica los artículos del Decreto 1082 de 2015 expuestos en el párrafo anterior, constituye la reglamentación del artículo 34 de la Ley 2069 de 2020, al desarrollar las reglas aplicables a las convocatorias limitadas a Mipyme. En este sentido, las disposiciones anteriores constituyen la nueva regulación de las convocatorias limitadas a Mipyme.</w:t>
      </w:r>
    </w:p>
    <w:p w14:paraId="2025B072"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Por su parte, el artículo 8 del Decreto 1860 del 24 de diciembre de 2021 sometió a un plazo la entrada en vigencia de sus disposiciones, al señalar que “aplicarán a los procedimientos de selección cuya invitación, aviso de convocatoria o documento equivalente se publique a los tres (3) meses contados a partir de su expedición”. En consecuencia, actualmente las entidades estatales, los patrimonios autónomos constituidos por estas y los particulares que ejecuten recursos públicos, pueden adoptar convocatorias limitadas a Mipymes, puesto que el artículo 5 del Decreto 1860 de 2021 que modifica los artículos 2.2.1.2.4.2.2., 2.2.1.2.4.2.3. y 2.2.1.2.4.2.4. del Decreto 1082 de 2015 entró en vigencia a partir del 24 de marzo de 2022 y, como se explicó, las disposiciones originales del Decreto 1082 de 2015 que regulaban este asunto perdieron vigencia con ocasión de la expedición de la Ley 2069 de 2020.</w:t>
      </w:r>
    </w:p>
    <w:p w14:paraId="60EEB631"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Precisado lo anterior, conviene realizar el análisis de los requisitos para limitar la convocatoria de los procesos de contratación a las Mipyme colombianas, así como la acreditación de los requisitos para participar en dichas convocatorias tratándose de persona natural y persona jurídica conforme a las modificaciones del Decreto 1860 de 2021.</w:t>
      </w:r>
    </w:p>
    <w:p w14:paraId="40D05928"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lastRenderedPageBreak/>
        <w:t xml:space="preserve">El artículo 2.2.1.2.4.2.2. del Decreto 1082 de 2015 –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13F927D4" w14:textId="77777777" w:rsidR="0063680E" w:rsidRDefault="0063680E" w:rsidP="0063680E">
      <w:pPr>
        <w:pStyle w:val="Prrafodelista"/>
        <w:spacing w:after="120" w:line="276" w:lineRule="auto"/>
        <w:ind w:left="1428"/>
        <w:jc w:val="both"/>
        <w:rPr>
          <w:rFonts w:ascii="Verdana" w:eastAsia="Calibri" w:hAnsi="Verdana" w:cs="Arial"/>
          <w:lang w:val="es-ES_tradnl"/>
        </w:rPr>
      </w:pPr>
    </w:p>
    <w:p w14:paraId="5879B0C1" w14:textId="77777777" w:rsidR="0063680E" w:rsidRPr="00997480" w:rsidRDefault="0063680E" w:rsidP="0063680E">
      <w:pPr>
        <w:pStyle w:val="Prrafodelista"/>
        <w:spacing w:after="120" w:line="276" w:lineRule="auto"/>
        <w:ind w:left="1428"/>
        <w:jc w:val="both"/>
        <w:rPr>
          <w:rFonts w:ascii="Verdana" w:eastAsia="Calibri" w:hAnsi="Verdana" w:cs="Arial"/>
          <w:sz w:val="21"/>
          <w:szCs w:val="21"/>
          <w:lang w:val="es-ES_tradnl"/>
        </w:rPr>
      </w:pPr>
      <w:r w:rsidRPr="00997480">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4F7EB38E" w14:textId="77777777" w:rsidR="0063680E" w:rsidRPr="00997480"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4ABB2773"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lastRenderedPageBreak/>
        <w:t>Parágrafo. Las cooperativas y demás entidades de economía solidaria, siempre que tengan la calidad de Mipyme, podrán solicitar y participar en las convocatorias limitadas en las mismas condiciones dispuestas en el presente artículo”.</w:t>
      </w:r>
    </w:p>
    <w:p w14:paraId="08E550F4" w14:textId="77777777" w:rsidR="0063680E" w:rsidRPr="00997480" w:rsidRDefault="0063680E" w:rsidP="0063680E">
      <w:pPr>
        <w:pStyle w:val="Prrafodelista"/>
        <w:numPr>
          <w:ilvl w:val="0"/>
          <w:numId w:val="20"/>
        </w:numPr>
        <w:spacing w:after="120" w:line="276" w:lineRule="auto"/>
        <w:jc w:val="both"/>
        <w:rPr>
          <w:rFonts w:ascii="Verdana" w:eastAsia="Calibri" w:hAnsi="Verdana" w:cs="Arial"/>
          <w:sz w:val="21"/>
          <w:szCs w:val="21"/>
        </w:rPr>
      </w:pPr>
      <w:r w:rsidRPr="5860ED9E">
        <w:rPr>
          <w:rFonts w:ascii="Verdana" w:eastAsia="Calibri" w:hAnsi="Verdana" w:cs="Arial"/>
        </w:rPr>
        <w:t xml:space="preserve">Según se evidencia, el numeral primero limita cuantitativamente los procesos contractuales que son susceptibles de limitarse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w:t>
      </w:r>
      <w:proofErr w:type="gramStart"/>
      <w:r w:rsidRPr="5860ED9E">
        <w:rPr>
          <w:rFonts w:ascii="Verdana" w:eastAsia="Calibri" w:hAnsi="Verdana" w:cs="Arial"/>
        </w:rPr>
        <w:t>Turismo .</w:t>
      </w:r>
      <w:proofErr w:type="gramEnd"/>
      <w:r w:rsidRPr="5860ED9E">
        <w:rPr>
          <w:rFonts w:ascii="Verdana" w:eastAsia="Calibri" w:hAnsi="Verdana" w:cs="Arial"/>
        </w:rPr>
        <w:t xml:space="preserve">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del proceso de contratación. Además, la norma señala que, tratándose de personas jurídicas, las solicitudes solo las podrán realizar Mipyme, cuyo objeto social les permita ejecutar el contrato relacionado con el proceso contractual. Así mismo, este artículo incluye a las cooperativas y demás entidades de economía solidaria dentro de los sujetos que pueden solicitar y participar en las convocatorias limitadas a Mipyme, siempre que estas cumplan con las condiciones señaladas en el artículo. </w:t>
      </w:r>
    </w:p>
    <w:p w14:paraId="605F62E0" w14:textId="77777777" w:rsidR="0063680E" w:rsidRPr="002C13E7" w:rsidRDefault="0063680E" w:rsidP="0063680E">
      <w:pPr>
        <w:pStyle w:val="Prrafodelista"/>
        <w:numPr>
          <w:ilvl w:val="0"/>
          <w:numId w:val="20"/>
        </w:numPr>
        <w:spacing w:after="120" w:line="276" w:lineRule="auto"/>
        <w:jc w:val="both"/>
        <w:rPr>
          <w:rFonts w:ascii="Verdana" w:eastAsia="Calibri" w:hAnsi="Verdana" w:cs="Arial"/>
          <w:sz w:val="21"/>
          <w:szCs w:val="21"/>
        </w:rPr>
      </w:pPr>
      <w:r w:rsidRPr="5860ED9E">
        <w:rPr>
          <w:rFonts w:ascii="Verdana" w:eastAsia="Calibri" w:hAnsi="Verdana" w:cs="Arial"/>
        </w:rPr>
        <w:t xml:space="preserve">De otro lado, en relación con la acreditación de requisitos para participar en convocatorias limitadas, el artículo 2.2.1.2.4.2.4. del Decreto 1082 de 2015 –modificado por el Decreto 1860 de 2021–, establece lo siguiente: Artículo 2.2.1.2.4.2.4. Acreditación de requisitos para participar en convocatorias limitadas. La Mipyme colombianas deben acreditar que tiene el tamaño empresarial establecido por la ley de la siguiente manera: </w:t>
      </w:r>
    </w:p>
    <w:p w14:paraId="46611B18" w14:textId="77777777" w:rsidR="0063680E" w:rsidRDefault="0063680E" w:rsidP="0063680E">
      <w:pPr>
        <w:pStyle w:val="Prrafodelista"/>
        <w:spacing w:after="120" w:line="276" w:lineRule="auto"/>
        <w:ind w:left="1428"/>
        <w:jc w:val="both"/>
        <w:rPr>
          <w:rFonts w:ascii="Verdana" w:eastAsia="Calibri" w:hAnsi="Verdana" w:cs="Arial"/>
          <w:lang w:val="es-ES_tradnl"/>
        </w:rPr>
      </w:pPr>
    </w:p>
    <w:p w14:paraId="16593AE4" w14:textId="77777777" w:rsidR="0063680E"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 xml:space="preserve">“1. Las personas naturales mediante certificación expedida por ellos y un contador público, adjuntando copia del registro mercantil. </w:t>
      </w:r>
    </w:p>
    <w:p w14:paraId="78350821" w14:textId="77777777" w:rsidR="0063680E"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lastRenderedPageBreak/>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2585C8E2"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Parágrafo 1. En todo caso, las Mipyme también podrán acreditar esta condición con la copia del certificado del Registro Único de Proponentes, el cual deberá encontrarse vigente y en firme al momento de su presentación.</w:t>
      </w:r>
    </w:p>
    <w:p w14:paraId="1878595A"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5C087D9A"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p>
    <w:p w14:paraId="4CC767B8" w14:textId="77777777" w:rsidR="0063680E" w:rsidRPr="002C13E7"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Parágrafo 4. Los incentivos previstos en los artículos 2.2.1.2.4.2.2 y 2.2.1.2.4.2.3 de este Decreto no excluyen la aplicación de los criterios diferenciales para los emprendimientos y empresas de mujeres en el sistema de compras públicas. (Cursiva fuera del original)”.</w:t>
      </w:r>
    </w:p>
    <w:p w14:paraId="18E2D177" w14:textId="77777777" w:rsidR="0063680E" w:rsidRPr="000F26BC" w:rsidRDefault="0063680E" w:rsidP="0063680E">
      <w:pPr>
        <w:spacing w:after="120" w:line="276" w:lineRule="auto"/>
        <w:ind w:firstLine="708"/>
        <w:jc w:val="both"/>
        <w:rPr>
          <w:rFonts w:ascii="Verdana" w:eastAsia="Calibri" w:hAnsi="Verdana" w:cs="Arial"/>
          <w:lang w:val="es-ES_tradnl"/>
        </w:rPr>
      </w:pPr>
    </w:p>
    <w:p w14:paraId="508A90FB"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Para analizar el alcance de esta norma, resulta de especial relevancia determinar la definición y clasificación de las Mipyme conforme al marco jurídico que lo regula. Así, de conformidad con el artículo 2 de La Ley 905 de 2004, modificado por el artículo 43 de la Ley 1450 de 2011, se entiende por empresa «toda unidad de </w:t>
      </w:r>
      <w:r w:rsidRPr="5860ED9E">
        <w:rPr>
          <w:rFonts w:ascii="Verdana" w:eastAsia="Calibri" w:hAnsi="Verdana" w:cs="Arial"/>
        </w:rPr>
        <w:lastRenderedPageBreak/>
        <w:t>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p>
    <w:p w14:paraId="6EE8C359"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Para tales efectos, el Decreto 957 de 2019, que adicionó al Decreto 1074 de 2015, reglamentó la clasificación de las micro, pequeñas, medianas y grandes empresas, teniendo en cuenta para ello como criterio exclusivo el de ventas brutas, asimilado al de ingresos por actividades ordinarias anuales. En tal sentido, el artículo 2.2.1.13.2.2 de este decreto definió rangos para determinar el valor de los ingresos por actividades ordinarias anuales de acuerdo con el sector económico que se trate. Para la aplicación de los incentivos en el sistema de compras públicas, el parágrafo del artículo 2.2.1.13.2.4. ibidem dispuso que la acreditación del tamaño empresarial se efectuará de acuerdo con lo previsto en el artículo 2.2.1.2.4.2.4 del Decreto 1082 de 2015 y demás normas que lo aclaren, modifiquen o adicionen.</w:t>
      </w:r>
    </w:p>
    <w:p w14:paraId="729B2930"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4587FA04" w14:textId="77777777" w:rsidR="0063680E" w:rsidRPr="00AB1685"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Ahora bien, como se indicó en líneas anteriores, para efectos de las convocatorias limitadas a Mipyme colombianas del sistema de compras públicas, el artículo 2.2.1.2.4.2.4 del Decreto 1082 de 2015 –modificado por el Decreto 1860 de 2021– determina la forma en la que se debe acreditar el tamaño empresarial, tratándose de </w:t>
      </w:r>
      <w:r w:rsidRPr="5860ED9E">
        <w:rPr>
          <w:rFonts w:ascii="Verdana" w:eastAsia="Calibri" w:hAnsi="Verdana" w:cs="Arial"/>
        </w:rPr>
        <w:lastRenderedPageBreak/>
        <w:t>persona natural y persona jurídica. Esta acreditación se debe realizar tanto para solicitar la limitación de la convocatoria como para participar en el proceso de selección una vez esta se haya limitado a Mipyme.</w:t>
      </w:r>
    </w:p>
    <w:p w14:paraId="0C8F54BB" w14:textId="77777777" w:rsidR="0063680E" w:rsidRPr="005B3F16" w:rsidRDefault="0063680E" w:rsidP="0063680E">
      <w:pPr>
        <w:spacing w:after="0" w:line="276" w:lineRule="auto"/>
        <w:jc w:val="both"/>
        <w:rPr>
          <w:rFonts w:ascii="Verdana" w:eastAsia="Calibri" w:hAnsi="Verdana" w:cs="Arial"/>
          <w:lang w:val="es-ES"/>
        </w:rPr>
      </w:pPr>
    </w:p>
    <w:p w14:paraId="71B24546" w14:textId="77777777" w:rsidR="0063680E" w:rsidRPr="005B3F16" w:rsidRDefault="0063680E" w:rsidP="0063680E">
      <w:pPr>
        <w:widowControl w:val="0"/>
        <w:autoSpaceDE w:val="0"/>
        <w:autoSpaceDN w:val="0"/>
        <w:spacing w:after="0" w:line="276" w:lineRule="auto"/>
        <w:jc w:val="both"/>
        <w:rPr>
          <w:rFonts w:ascii="Verdana" w:hAnsi="Verdana" w:cs="Arial"/>
        </w:rPr>
      </w:pPr>
    </w:p>
    <w:p w14:paraId="5F18893C" w14:textId="77777777" w:rsidR="0063680E"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Referencias normativas, jurisprudenciales y otras fuentes:</w:t>
      </w:r>
    </w:p>
    <w:p w14:paraId="4B55B7E9" w14:textId="77777777" w:rsidR="0063680E" w:rsidRPr="005B3F16" w:rsidRDefault="0063680E" w:rsidP="0063680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27D3BD0" w14:textId="77777777" w:rsidR="0063680E" w:rsidRPr="005B3F16" w:rsidRDefault="0063680E" w:rsidP="0063680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3680E" w:rsidRPr="005B3F16" w14:paraId="4A10FF65" w14:textId="77777777" w:rsidTr="00E60793">
        <w:trPr>
          <w:trHeight w:val="870"/>
        </w:trPr>
        <w:tc>
          <w:tcPr>
            <w:tcW w:w="8647" w:type="dxa"/>
          </w:tcPr>
          <w:p w14:paraId="096C700F" w14:textId="77777777" w:rsidR="0063680E" w:rsidRPr="00954FFD"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Decreto 1860 de 2021</w:t>
            </w:r>
            <w:r>
              <w:rPr>
                <w:rFonts w:ascii="Verdana" w:hAnsi="Verdana" w:cs="Arial"/>
                <w:color w:val="000000" w:themeColor="text1"/>
                <w:lang w:val="es-ES_tradnl"/>
              </w:rPr>
              <w:t xml:space="preserve"> artículo 5 </w:t>
            </w:r>
          </w:p>
          <w:p w14:paraId="2013AC98" w14:textId="77777777" w:rsidR="0063680E" w:rsidRPr="002E53D2"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Ley 1150 de 2007</w:t>
            </w:r>
            <w:r>
              <w:rPr>
                <w:rFonts w:ascii="Verdana" w:hAnsi="Verdana" w:cs="Arial"/>
                <w:color w:val="000000" w:themeColor="text1"/>
                <w:lang w:val="es-ES_tradnl"/>
              </w:rPr>
              <w:t xml:space="preserve"> artículo 12.</w:t>
            </w:r>
            <w:r w:rsidRPr="00AB1685">
              <w:rPr>
                <w:rFonts w:ascii="Verdana" w:eastAsia="Calibri" w:hAnsi="Verdana" w:cs="Arial"/>
                <w:lang w:val="es-ES_tradnl"/>
              </w:rPr>
              <w:t xml:space="preserve"> </w:t>
            </w:r>
          </w:p>
          <w:p w14:paraId="2DD0FF17" w14:textId="77777777" w:rsidR="0063680E" w:rsidRPr="002E53D2"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AB1685">
              <w:rPr>
                <w:rFonts w:ascii="Verdana" w:eastAsia="Calibri" w:hAnsi="Verdana" w:cs="Arial"/>
                <w:lang w:val="es-ES_tradnl"/>
              </w:rPr>
              <w:t>Decreto 1082 de 2015 artículo</w:t>
            </w:r>
            <w:r>
              <w:rPr>
                <w:rFonts w:ascii="Verdana" w:eastAsia="Calibri" w:hAnsi="Verdana" w:cs="Arial"/>
                <w:lang w:val="es-ES_tradnl"/>
              </w:rPr>
              <w:t xml:space="preserve">s, </w:t>
            </w:r>
            <w:r w:rsidRPr="00B92534">
              <w:rPr>
                <w:rFonts w:ascii="Verdana" w:eastAsia="Calibri" w:hAnsi="Verdana" w:cs="Arial"/>
                <w:lang w:val="es-ES_tradnl"/>
              </w:rPr>
              <w:t>2.2.1.2.4.2.2., 2.2.1.2.4.2.3</w:t>
            </w:r>
            <w:r w:rsidRPr="00AB1685">
              <w:rPr>
                <w:rFonts w:ascii="Verdana" w:eastAsia="Calibri" w:hAnsi="Verdana" w:cs="Arial"/>
                <w:lang w:val="es-ES_tradnl"/>
              </w:rPr>
              <w:t xml:space="preserve"> 2.2.1.2.4.2.4</w:t>
            </w:r>
            <w:r>
              <w:rPr>
                <w:rFonts w:ascii="Verdana" w:eastAsia="Calibri" w:hAnsi="Verdana" w:cs="Arial"/>
                <w:lang w:val="es-ES_tradnl"/>
              </w:rPr>
              <w:t>.</w:t>
            </w:r>
            <w:r w:rsidRPr="002C13E7">
              <w:rPr>
                <w:rFonts w:ascii="Verdana" w:eastAsia="Calibri" w:hAnsi="Verdana" w:cs="Arial"/>
                <w:lang w:val="es-ES_tradnl"/>
              </w:rPr>
              <w:t xml:space="preserve"> </w:t>
            </w:r>
          </w:p>
          <w:p w14:paraId="45D6CDDA" w14:textId="77777777" w:rsidR="0063680E" w:rsidRPr="005B3F16"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2C13E7">
              <w:rPr>
                <w:rFonts w:ascii="Verdana" w:eastAsia="Calibri" w:hAnsi="Verdana" w:cs="Arial"/>
                <w:lang w:val="es-ES_tradnl"/>
              </w:rPr>
              <w:t>Ley 1450 de 2011</w:t>
            </w:r>
            <w:r>
              <w:rPr>
                <w:rFonts w:ascii="Verdana" w:eastAsia="Calibri" w:hAnsi="Verdana" w:cs="Arial"/>
                <w:lang w:val="es-ES_tradnl"/>
              </w:rPr>
              <w:t xml:space="preserve"> artículo 43. </w:t>
            </w:r>
          </w:p>
          <w:p w14:paraId="5CA3FC62" w14:textId="77777777" w:rsidR="0063680E" w:rsidRPr="005B3F16"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rPr>
              <w:t xml:space="preserve">Circular Externa Única del 27 de diciembre de 2023. Disponible en: </w:t>
            </w:r>
            <w:hyperlink r:id="rId13" w:history="1">
              <w:r w:rsidRPr="005B3F16">
                <w:rPr>
                  <w:rStyle w:val="Hipervnculo"/>
                  <w:rFonts w:ascii="Verdana" w:hAnsi="Verdana" w:cs="Arial"/>
                </w:rPr>
                <w:t>https://www.colombiacompra.gov.co/sites/cce_public/files/cce_circulares/circular_externa_unica_version_3_vf49.pdf</w:t>
              </w:r>
            </w:hyperlink>
            <w:r w:rsidRPr="005B3F16">
              <w:rPr>
                <w:rFonts w:ascii="Verdana" w:hAnsi="Verdana" w:cs="Arial"/>
              </w:rPr>
              <w:t xml:space="preserve"> </w:t>
            </w:r>
          </w:p>
          <w:p w14:paraId="1A1633CA"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Resolución </w:t>
            </w:r>
            <w:r w:rsidRPr="005B3F16">
              <w:rPr>
                <w:rFonts w:ascii="Verdana" w:eastAsia="Times New Roman" w:hAnsi="Verdana" w:cs="Arial"/>
                <w:lang w:val="es-ES_tradnl" w:eastAsia="es-ES"/>
              </w:rPr>
              <w:t xml:space="preserve">219 de 2021 de la Agencia Nacional de Contratación Pública–Colombia Compra Eficiente–. Disponible en: </w:t>
            </w:r>
            <w:hyperlink r:id="rId14" w:history="1">
              <w:r w:rsidRPr="005B3F16">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5B3F16">
              <w:rPr>
                <w:rFonts w:ascii="Verdana" w:eastAsia="Times New Roman" w:hAnsi="Verdana" w:cs="Arial"/>
                <w:lang w:val="es-ES_tradnl" w:eastAsia="es-ES"/>
              </w:rPr>
              <w:t xml:space="preserve"> </w:t>
            </w:r>
          </w:p>
          <w:p w14:paraId="60CD8D58"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Jurisprudencia del Consejo de Estado. Disponible en: </w:t>
            </w:r>
            <w:hyperlink r:id="rId15" w:history="1">
              <w:r w:rsidRPr="005B3F16">
                <w:rPr>
                  <w:rStyle w:val="Hipervnculo"/>
                  <w:rFonts w:ascii="Verdana" w:hAnsi="Verdana" w:cs="Arial"/>
                </w:rPr>
                <w:t>https://relatoria.colombiacompra.gov.co/providencias-consejo-de-estado/</w:t>
              </w:r>
            </w:hyperlink>
            <w:r w:rsidRPr="005B3F16">
              <w:rPr>
                <w:rFonts w:ascii="Verdana" w:hAnsi="Verdana" w:cs="Arial"/>
              </w:rPr>
              <w:t xml:space="preserve"> </w:t>
            </w:r>
          </w:p>
          <w:p w14:paraId="48B45551"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Guías y manuales expedidos por la ANCP-CCE. Disponible en:</w:t>
            </w:r>
            <w:r w:rsidRPr="005B3F16">
              <w:rPr>
                <w:rFonts w:ascii="Verdana" w:hAnsi="Verdana"/>
              </w:rPr>
              <w:t xml:space="preserve"> </w:t>
            </w:r>
            <w:hyperlink r:id="rId16" w:history="1">
              <w:r w:rsidRPr="005B3F16">
                <w:rPr>
                  <w:rStyle w:val="Hipervnculo"/>
                  <w:rFonts w:ascii="Verdana" w:hAnsi="Verdana" w:cs="Arial"/>
                </w:rPr>
                <w:t>https://www.colombiacompra.gov.co/manuales-guias-y-pliegos-tipo/manuales-y-guias</w:t>
              </w:r>
            </w:hyperlink>
            <w:r w:rsidRPr="005B3F16">
              <w:rPr>
                <w:rFonts w:ascii="Verdana" w:hAnsi="Verdana" w:cs="Arial"/>
              </w:rPr>
              <w:t xml:space="preserve"> </w:t>
            </w:r>
          </w:p>
          <w:p w14:paraId="4939D0ED" w14:textId="77777777" w:rsidR="0063680E" w:rsidRPr="005B3F16" w:rsidRDefault="0063680E" w:rsidP="00E60793">
            <w:pPr>
              <w:widowControl w:val="0"/>
              <w:autoSpaceDE w:val="0"/>
              <w:autoSpaceDN w:val="0"/>
              <w:spacing w:after="120" w:line="276" w:lineRule="auto"/>
              <w:ind w:left="360"/>
              <w:jc w:val="both"/>
              <w:rPr>
                <w:rFonts w:ascii="Verdana" w:hAnsi="Verdana" w:cs="Arial"/>
              </w:rPr>
            </w:pPr>
          </w:p>
        </w:tc>
      </w:tr>
    </w:tbl>
    <w:p w14:paraId="0922A3BB" w14:textId="77777777" w:rsidR="0063680E" w:rsidRPr="005B3F16" w:rsidRDefault="0063680E" w:rsidP="0063680E">
      <w:pPr>
        <w:widowControl w:val="0"/>
        <w:autoSpaceDE w:val="0"/>
        <w:autoSpaceDN w:val="0"/>
        <w:spacing w:after="0" w:line="276" w:lineRule="auto"/>
        <w:jc w:val="both"/>
        <w:rPr>
          <w:rFonts w:ascii="Verdana" w:hAnsi="Verdana" w:cs="Arial"/>
        </w:rPr>
      </w:pPr>
    </w:p>
    <w:p w14:paraId="10EFEED7" w14:textId="77777777" w:rsidR="0063680E" w:rsidRPr="005B3F16" w:rsidRDefault="0063680E" w:rsidP="0063680E">
      <w:pPr>
        <w:widowControl w:val="0"/>
        <w:autoSpaceDE w:val="0"/>
        <w:autoSpaceDN w:val="0"/>
        <w:spacing w:after="0" w:line="276" w:lineRule="auto"/>
        <w:jc w:val="both"/>
        <w:rPr>
          <w:rFonts w:ascii="Verdana" w:hAnsi="Verdana" w:cs="Arial"/>
        </w:rPr>
      </w:pPr>
    </w:p>
    <w:p w14:paraId="5FAA6088" w14:textId="77777777" w:rsidR="0063680E" w:rsidRPr="005B3F16" w:rsidRDefault="0063680E" w:rsidP="0063680E">
      <w:pPr>
        <w:widowControl w:val="0"/>
        <w:autoSpaceDE w:val="0"/>
        <w:autoSpaceDN w:val="0"/>
        <w:spacing w:after="0" w:line="276" w:lineRule="auto"/>
        <w:jc w:val="both"/>
        <w:rPr>
          <w:rFonts w:ascii="Verdana" w:hAnsi="Verdana" w:cs="Arial"/>
        </w:rPr>
      </w:pPr>
    </w:p>
    <w:p w14:paraId="2646249D" w14:textId="77777777" w:rsidR="0063680E" w:rsidRPr="005B3F16"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6BF76164" w14:textId="77777777" w:rsidR="0063680E" w:rsidRPr="005B3F16" w:rsidRDefault="0063680E" w:rsidP="0063680E">
      <w:pPr>
        <w:widowControl w:val="0"/>
        <w:autoSpaceDE w:val="0"/>
        <w:autoSpaceDN w:val="0"/>
        <w:spacing w:after="0" w:line="276" w:lineRule="auto"/>
        <w:jc w:val="both"/>
        <w:rPr>
          <w:rFonts w:ascii="Verdana" w:hAnsi="Verdana" w:cs="Arial"/>
        </w:rPr>
      </w:pPr>
    </w:p>
    <w:p w14:paraId="0C6028AD" w14:textId="77777777" w:rsidR="0063680E" w:rsidRPr="005B3F16" w:rsidRDefault="0063680E" w:rsidP="0063680E">
      <w:pPr>
        <w:widowControl w:val="0"/>
        <w:autoSpaceDE w:val="0"/>
        <w:autoSpaceDN w:val="0"/>
        <w:spacing w:after="0" w:line="276" w:lineRule="auto"/>
        <w:jc w:val="both"/>
        <w:rPr>
          <w:rFonts w:ascii="Verdana" w:hAnsi="Verdana" w:cs="Arial"/>
        </w:rPr>
      </w:pPr>
      <w:r w:rsidRPr="005B3F16">
        <w:rPr>
          <w:rFonts w:ascii="Verdana" w:hAnsi="Verdana" w:cs="Arial"/>
        </w:rPr>
        <w:t>La Agencia Nacional de Contratación Pública – Colombia Compra Eficiente, se ha pronunciado sobre  las limitaciones territoriales de convocatorias a Mipyme en 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w:t>
      </w:r>
      <w:r>
        <w:rPr>
          <w:rFonts w:ascii="Verdana" w:hAnsi="Verdana" w:cs="Arial"/>
        </w:rPr>
        <w:t xml:space="preserve">, C -094 del 19 de junio de 2024 </w:t>
      </w:r>
      <w:r w:rsidRPr="005B3F16">
        <w:rPr>
          <w:rFonts w:ascii="Verdana" w:eastAsia="Calibri" w:hAnsi="Verdana"/>
          <w:lang w:val="es-ES_tradnl"/>
        </w:rPr>
        <w:t>. Es</w:t>
      </w:r>
      <w:r w:rsidRPr="005B3F16">
        <w:rPr>
          <w:rFonts w:ascii="Verdana" w:eastAsia="Calibri" w:hAnsi="Verdana" w:cs="Arial"/>
          <w:lang w:val="es-ES_tradnl"/>
        </w:rPr>
        <w:t>tos y otros conceptos se encuentran disponibles para consulta en el Sistema de relatoría de la Agencia, al cual se puede acceder a través del siguiente enlace:</w:t>
      </w:r>
      <w:r w:rsidRPr="005B3F16">
        <w:rPr>
          <w:rFonts w:ascii="Verdana" w:eastAsia="Calibri" w:hAnsi="Verdana"/>
          <w:lang w:val="es-ES_tradnl"/>
        </w:rPr>
        <w:t xml:space="preserve"> </w:t>
      </w:r>
    </w:p>
    <w:p w14:paraId="60052553" w14:textId="77777777" w:rsidR="0063680E" w:rsidRPr="005B3F16" w:rsidRDefault="0063680E" w:rsidP="0063680E">
      <w:pPr>
        <w:widowControl w:val="0"/>
        <w:autoSpaceDE w:val="0"/>
        <w:autoSpaceDN w:val="0"/>
        <w:spacing w:after="0" w:line="276" w:lineRule="auto"/>
        <w:jc w:val="both"/>
        <w:rPr>
          <w:rFonts w:ascii="Verdana" w:eastAsia="Calibri" w:hAnsi="Verdana"/>
          <w:lang w:val="es-ES_tradnl"/>
        </w:rPr>
      </w:pPr>
    </w:p>
    <w:p w14:paraId="4075CEFF" w14:textId="77777777" w:rsidR="0063680E" w:rsidRDefault="00EC55E6" w:rsidP="0063680E">
      <w:pPr>
        <w:widowControl w:val="0"/>
        <w:autoSpaceDE w:val="0"/>
        <w:autoSpaceDN w:val="0"/>
        <w:spacing w:after="0" w:line="276" w:lineRule="auto"/>
        <w:jc w:val="both"/>
        <w:rPr>
          <w:rFonts w:ascii="Verdana" w:eastAsia="Calibri" w:hAnsi="Verdana"/>
          <w:lang w:val="es-ES_tradnl"/>
        </w:rPr>
      </w:pPr>
      <w:hyperlink r:id="rId17" w:history="1">
        <w:r w:rsidR="0063680E" w:rsidRPr="005B3F16">
          <w:rPr>
            <w:rStyle w:val="Hipervnculo"/>
            <w:rFonts w:ascii="Verdana" w:eastAsia="Calibri" w:hAnsi="Verdana"/>
            <w:lang w:val="es-ES_tradnl"/>
          </w:rPr>
          <w:t>https://relatoria.colombiacompra.gov.co/busqueda/conceptos</w:t>
        </w:r>
      </w:hyperlink>
      <w:r w:rsidR="0063680E" w:rsidRPr="005B3F16">
        <w:rPr>
          <w:rFonts w:ascii="Verdana" w:eastAsia="Calibri" w:hAnsi="Verdana"/>
          <w:lang w:val="es-ES_tradnl"/>
        </w:rPr>
        <w:t xml:space="preserve">. </w:t>
      </w:r>
    </w:p>
    <w:p w14:paraId="0292F16B" w14:textId="77777777" w:rsidR="0063680E" w:rsidRDefault="0063680E" w:rsidP="0063680E">
      <w:pPr>
        <w:widowControl w:val="0"/>
        <w:autoSpaceDE w:val="0"/>
        <w:autoSpaceDN w:val="0"/>
        <w:spacing w:after="0" w:line="276" w:lineRule="auto"/>
        <w:jc w:val="both"/>
        <w:rPr>
          <w:rFonts w:ascii="Verdana" w:eastAsia="Calibri" w:hAnsi="Verdana"/>
          <w:lang w:val="es-ES_tradnl"/>
        </w:rPr>
      </w:pPr>
    </w:p>
    <w:p w14:paraId="5A44551C" w14:textId="77777777" w:rsidR="0063680E" w:rsidRPr="00EB2AE4" w:rsidRDefault="0063680E" w:rsidP="0063680E">
      <w:pPr>
        <w:widowControl w:val="0"/>
        <w:autoSpaceDE w:val="0"/>
        <w:autoSpaceDN w:val="0"/>
        <w:spacing w:after="0" w:line="276" w:lineRule="auto"/>
        <w:jc w:val="both"/>
        <w:rPr>
          <w:rFonts w:ascii="Verdana" w:eastAsia="Calibri" w:hAnsi="Verdana"/>
        </w:rPr>
      </w:pPr>
      <w:r w:rsidRPr="00EB2AE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ooltip="Dirección URL original: https://relatoria.colombiacompra.gov.co/. Haga clic o pulse si confía en este vínculo." w:history="1">
        <w:r w:rsidRPr="00EB2AE4">
          <w:rPr>
            <w:rStyle w:val="Hipervnculo"/>
            <w:rFonts w:ascii="Verdana" w:eastAsia="Calibri" w:hAnsi="Verdana"/>
          </w:rPr>
          <w:t>https://relatoria.colombiacompra.gov.co/</w:t>
        </w:r>
      </w:hyperlink>
      <w:r w:rsidRPr="00EB2AE4">
        <w:rPr>
          <w:rFonts w:ascii="Verdana" w:eastAsia="Calibri" w:hAnsi="Verdana"/>
        </w:rPr>
        <w:t> . Te invitamos también a revisar la tercera edición del  Boletín de Relatoría de 2024 en el cual podrás consultar en detalle el marco normativo de documentos tipo: </w:t>
      </w:r>
      <w:hyperlink r:id="rId19" w:tooltip="Dirección URL original: https://www.colombiacompra.gov.co/sites/cce_public/files/files_2020/boletin_de_realtoria_iii.pdf. Haga clic o pulse si confía en este vínculo." w:history="1">
        <w:r w:rsidRPr="00EB2AE4">
          <w:rPr>
            <w:rStyle w:val="Hipervnculo"/>
            <w:rFonts w:ascii="Verdana" w:eastAsia="Calibri" w:hAnsi="Verdana"/>
          </w:rPr>
          <w:t>https://www.colombiacompra.gov.co/sites/cce_public/files/files_2020/boletin_de_realtoria_iii.pdf</w:t>
        </w:r>
      </w:hyperlink>
      <w:r w:rsidRPr="00EB2AE4">
        <w:rPr>
          <w:rFonts w:ascii="Verdana" w:eastAsia="Calibri" w:hAnsi="Verdana"/>
        </w:rPr>
        <w:t> ".  </w:t>
      </w:r>
    </w:p>
    <w:p w14:paraId="0A81F8B5" w14:textId="77777777" w:rsidR="0063680E" w:rsidRPr="005B3F16" w:rsidRDefault="0063680E" w:rsidP="0063680E">
      <w:pPr>
        <w:widowControl w:val="0"/>
        <w:autoSpaceDE w:val="0"/>
        <w:autoSpaceDN w:val="0"/>
        <w:spacing w:after="0" w:line="276" w:lineRule="auto"/>
        <w:jc w:val="both"/>
        <w:rPr>
          <w:rFonts w:ascii="Verdana" w:eastAsia="Calibri" w:hAnsi="Verdana"/>
          <w:lang w:val="es-ES_tradnl"/>
        </w:rPr>
      </w:pPr>
    </w:p>
    <w:p w14:paraId="372EE097" w14:textId="77777777" w:rsidR="0063680E" w:rsidRPr="005B3F16" w:rsidRDefault="0063680E" w:rsidP="0063680E">
      <w:pPr>
        <w:widowControl w:val="0"/>
        <w:autoSpaceDE w:val="0"/>
        <w:autoSpaceDN w:val="0"/>
        <w:spacing w:after="0" w:line="276" w:lineRule="auto"/>
        <w:jc w:val="both"/>
        <w:rPr>
          <w:rFonts w:ascii="Verdana" w:eastAsia="Calibri" w:hAnsi="Verdana" w:cs="Arial"/>
          <w:lang w:val="es-ES_tradnl"/>
        </w:rPr>
      </w:pPr>
    </w:p>
    <w:p w14:paraId="1C6ADA79"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4A4C10B9" w14:textId="77777777" w:rsidR="0063680E" w:rsidRPr="005B3F16" w:rsidRDefault="0063680E" w:rsidP="0063680E">
      <w:pPr>
        <w:spacing w:after="0" w:line="276" w:lineRule="auto"/>
        <w:jc w:val="both"/>
        <w:rPr>
          <w:rFonts w:ascii="Verdana" w:eastAsia="Calibri" w:hAnsi="Verdana" w:cs="Arial"/>
          <w:lang w:val="es-ES_tradnl"/>
        </w:rPr>
      </w:pPr>
    </w:p>
    <w:p w14:paraId="632A6EF5"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lastRenderedPageBreak/>
        <w:t xml:space="preserve">Twitter: @colombiacompra </w:t>
      </w:r>
    </w:p>
    <w:p w14:paraId="6DEFA077" w14:textId="77777777" w:rsidR="0063680E" w:rsidRPr="005B3F16" w:rsidRDefault="0063680E" w:rsidP="0063680E">
      <w:pPr>
        <w:spacing w:after="0" w:line="276" w:lineRule="auto"/>
        <w:jc w:val="both"/>
        <w:rPr>
          <w:rFonts w:ascii="Verdana" w:eastAsia="Calibri" w:hAnsi="Verdana" w:cs="Arial"/>
          <w:lang w:val="es-ES"/>
        </w:rPr>
      </w:pPr>
      <w:r w:rsidRPr="2F5E6258">
        <w:rPr>
          <w:rFonts w:ascii="Verdana" w:eastAsia="Calibri" w:hAnsi="Verdana" w:cs="Arial"/>
          <w:lang w:val="es-ES"/>
        </w:rPr>
        <w:t xml:space="preserve">Facebook: </w:t>
      </w:r>
      <w:proofErr w:type="spellStart"/>
      <w:r w:rsidRPr="2F5E6258">
        <w:rPr>
          <w:rFonts w:ascii="Verdana" w:eastAsia="Calibri" w:hAnsi="Verdana" w:cs="Arial"/>
          <w:lang w:val="es-ES"/>
        </w:rPr>
        <w:t>ColombiaCompraEficiente</w:t>
      </w:r>
      <w:proofErr w:type="spellEnd"/>
    </w:p>
    <w:p w14:paraId="1CEBF1EA"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@colombiacompraeficiente_cce</w:t>
      </w:r>
    </w:p>
    <w:p w14:paraId="22AC5B14" w14:textId="77777777" w:rsidR="0063680E" w:rsidRPr="005B3F16" w:rsidRDefault="0063680E" w:rsidP="0063680E">
      <w:pPr>
        <w:widowControl w:val="0"/>
        <w:autoSpaceDE w:val="0"/>
        <w:autoSpaceDN w:val="0"/>
        <w:spacing w:after="0" w:line="276" w:lineRule="auto"/>
        <w:jc w:val="both"/>
        <w:rPr>
          <w:rFonts w:ascii="Verdana" w:eastAsia="Calibri" w:hAnsi="Verdana" w:cs="Arial"/>
          <w:lang w:val="es-ES_tradnl"/>
        </w:rPr>
      </w:pPr>
    </w:p>
    <w:p w14:paraId="492EC32A" w14:textId="77777777" w:rsidR="0063680E" w:rsidRPr="005B3F16" w:rsidRDefault="0063680E" w:rsidP="0063680E">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2202053E" w14:textId="77777777" w:rsidR="0063680E" w:rsidRPr="005B3F16" w:rsidRDefault="0063680E" w:rsidP="0063680E">
      <w:pPr>
        <w:widowControl w:val="0"/>
        <w:autoSpaceDE w:val="0"/>
        <w:autoSpaceDN w:val="0"/>
        <w:spacing w:after="0" w:line="276" w:lineRule="auto"/>
        <w:jc w:val="both"/>
        <w:rPr>
          <w:rFonts w:ascii="Verdana" w:hAnsi="Verdana" w:cs="Arial"/>
        </w:rPr>
      </w:pPr>
    </w:p>
    <w:p w14:paraId="428FCCFA" w14:textId="77777777" w:rsidR="0063680E" w:rsidRPr="005B3F16" w:rsidRDefault="0063680E" w:rsidP="0063680E">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010E96BD" w14:textId="77777777" w:rsidR="0063680E" w:rsidRDefault="0063680E" w:rsidP="00131D3D">
      <w:pPr>
        <w:spacing w:line="276" w:lineRule="auto"/>
        <w:rPr>
          <w:rFonts w:ascii="Century Gothic" w:hAnsi="Century Gothic"/>
          <w:noProof/>
        </w:rPr>
      </w:pPr>
    </w:p>
    <w:p w14:paraId="27B98988" w14:textId="0BEE320F" w:rsidR="0063680E" w:rsidRPr="00113CC5" w:rsidRDefault="00131D3D" w:rsidP="0063680E">
      <w:pPr>
        <w:spacing w:line="276" w:lineRule="auto"/>
        <w:jc w:val="center"/>
      </w:pPr>
      <w:r w:rsidRPr="0065791A">
        <w:rPr>
          <w:rFonts w:ascii="Century Gothic" w:hAnsi="Century Gothic"/>
          <w:noProof/>
        </w:rPr>
        <w:drawing>
          <wp:inline distT="0" distB="0" distL="0" distR="0" wp14:anchorId="4C031C53" wp14:editId="2E6282CE">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680E" w:rsidRPr="005B3F16" w14:paraId="0D485506" w14:textId="77777777" w:rsidTr="13AB2AF9">
        <w:trPr>
          <w:trHeight w:val="315"/>
        </w:trPr>
        <w:tc>
          <w:tcPr>
            <w:tcW w:w="893" w:type="dxa"/>
            <w:vAlign w:val="center"/>
            <w:hideMark/>
          </w:tcPr>
          <w:p w14:paraId="13DDFB14"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5F5F6FC"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0810F309"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63680E" w:rsidRPr="005B3F16" w14:paraId="4220D3E8" w14:textId="77777777" w:rsidTr="13AB2AF9">
        <w:trPr>
          <w:trHeight w:val="330"/>
        </w:trPr>
        <w:tc>
          <w:tcPr>
            <w:tcW w:w="893" w:type="dxa"/>
            <w:vAlign w:val="center"/>
            <w:hideMark/>
          </w:tcPr>
          <w:p w14:paraId="2AF275DD"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A058FB" w14:textId="77777777" w:rsidR="0063680E" w:rsidRPr="005B3F16" w:rsidRDefault="0063680E" w:rsidP="13AB2AF9">
            <w:pPr>
              <w:pStyle w:val="paragraph"/>
              <w:spacing w:before="0" w:beforeAutospacing="0" w:after="0" w:afterAutospacing="0" w:line="276" w:lineRule="auto"/>
              <w:contextualSpacing/>
              <w:textAlignment w:val="baseline"/>
              <w:rPr>
                <w:rFonts w:ascii="Verdana" w:eastAsia="Calibri" w:hAnsi="Verdana" w:cs="Arial"/>
                <w:sz w:val="16"/>
                <w:szCs w:val="16"/>
                <w:lang w:val="es-ES" w:eastAsia="en-US"/>
              </w:rPr>
            </w:pPr>
            <w:r w:rsidRPr="13AB2AF9">
              <w:rPr>
                <w:rFonts w:ascii="Verdana" w:eastAsia="Calibri" w:hAnsi="Verdana" w:cs="Arial"/>
                <w:sz w:val="16"/>
                <w:szCs w:val="16"/>
                <w:lang w:val="es-ES" w:eastAsia="en-US"/>
              </w:rPr>
              <w:t>Adriana Katerine Lopez Rodriguez</w:t>
            </w:r>
          </w:p>
          <w:p w14:paraId="4C8269C7" w14:textId="77777777" w:rsidR="0063680E" w:rsidRPr="005B3F16" w:rsidRDefault="0063680E" w:rsidP="00E60793">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63680E" w:rsidRPr="005B3F16" w14:paraId="2BC2E59D" w14:textId="77777777" w:rsidTr="13AB2AF9">
        <w:trPr>
          <w:trHeight w:val="300"/>
        </w:trPr>
        <w:tc>
          <w:tcPr>
            <w:tcW w:w="893" w:type="dxa"/>
            <w:vAlign w:val="center"/>
          </w:tcPr>
          <w:p w14:paraId="006E323E"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8A2887" w14:textId="77777777" w:rsidR="0063680E" w:rsidRPr="005B3F16" w:rsidRDefault="0063680E" w:rsidP="00E60793">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Carolina Quintero Gacharná</w:t>
            </w:r>
          </w:p>
          <w:p w14:paraId="354178C5"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6EEF712A" w14:textId="77777777" w:rsidR="0063680E" w:rsidRPr="005B3F16" w:rsidRDefault="0063680E" w:rsidP="0063680E">
      <w:pPr>
        <w:spacing w:after="0" w:line="276" w:lineRule="auto"/>
        <w:rPr>
          <w:rFonts w:ascii="Verdana" w:eastAsia="Times New Roman" w:hAnsi="Verdana" w:cs="Arial"/>
          <w:sz w:val="24"/>
          <w:szCs w:val="24"/>
          <w:lang w:eastAsia="es-ES"/>
        </w:rPr>
      </w:pPr>
    </w:p>
    <w:p w14:paraId="72D5587F" w14:textId="77777777" w:rsidR="0063680E" w:rsidRPr="005B3F16" w:rsidRDefault="0063680E" w:rsidP="0063680E">
      <w:pPr>
        <w:spacing w:line="276" w:lineRule="auto"/>
        <w:rPr>
          <w:rFonts w:ascii="Verdana" w:hAnsi="Verdana"/>
        </w:rPr>
      </w:pPr>
    </w:p>
    <w:p w14:paraId="7DB0E882" w14:textId="77777777" w:rsidR="0063680E" w:rsidRPr="005B3F16" w:rsidRDefault="0063680E" w:rsidP="0063680E">
      <w:pPr>
        <w:spacing w:after="0" w:line="276" w:lineRule="auto"/>
        <w:jc w:val="both"/>
        <w:rPr>
          <w:rFonts w:ascii="Verdana" w:hAnsi="Verdana"/>
        </w:rPr>
      </w:pPr>
    </w:p>
    <w:bookmarkEnd w:id="0"/>
    <w:p w14:paraId="06D4C47B" w14:textId="77777777" w:rsidR="0063680E" w:rsidRPr="005B3F16" w:rsidRDefault="0063680E" w:rsidP="0063680E">
      <w:pPr>
        <w:spacing w:line="276" w:lineRule="auto"/>
        <w:rPr>
          <w:rFonts w:ascii="Verdana" w:hAnsi="Verdana"/>
        </w:rPr>
      </w:pPr>
    </w:p>
    <w:p w14:paraId="2B8262E6" w14:textId="77777777" w:rsidR="0063680E" w:rsidRPr="0044528D" w:rsidRDefault="0063680E" w:rsidP="0063680E">
      <w:pPr>
        <w:spacing w:after="0"/>
        <w:rPr>
          <w:rFonts w:ascii="Verdana" w:hAnsi="Verdana"/>
        </w:rPr>
      </w:pPr>
    </w:p>
    <w:p w14:paraId="4418DE95" w14:textId="77777777" w:rsidR="0063680E" w:rsidRPr="00A815BF" w:rsidRDefault="0063680E" w:rsidP="0063680E"/>
    <w:p w14:paraId="091FC97B" w14:textId="77777777" w:rsidR="0063680E" w:rsidRPr="0044528D" w:rsidRDefault="0063680E" w:rsidP="0063680E">
      <w:pPr>
        <w:spacing w:after="0"/>
        <w:rPr>
          <w:rFonts w:ascii="Verdana" w:hAnsi="Verdana"/>
        </w:rPr>
      </w:pPr>
    </w:p>
    <w:p w14:paraId="238134E0" w14:textId="77777777" w:rsidR="0063680E" w:rsidRPr="00290D28" w:rsidRDefault="0063680E" w:rsidP="0063680E"/>
    <w:bookmarkEnd w:id="1"/>
    <w:p w14:paraId="2ED629E7" w14:textId="77777777" w:rsidR="0063680E" w:rsidRPr="0044528D" w:rsidRDefault="0063680E" w:rsidP="0063680E">
      <w:pPr>
        <w:spacing w:after="0"/>
        <w:rPr>
          <w:rFonts w:ascii="Verdana" w:hAnsi="Verdana"/>
        </w:rPr>
      </w:pPr>
    </w:p>
    <w:p w14:paraId="0083C991" w14:textId="5C765C2F" w:rsidR="5D8505AD" w:rsidRPr="0063680E" w:rsidRDefault="5D8505AD" w:rsidP="0063680E"/>
    <w:sectPr w:rsidR="5D8505AD" w:rsidRPr="0063680E"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53498" w14:textId="77777777" w:rsidR="00EC55E6" w:rsidRDefault="00EC55E6" w:rsidP="00B30448">
      <w:pPr>
        <w:spacing w:after="0" w:line="240" w:lineRule="auto"/>
      </w:pPr>
      <w:r>
        <w:separator/>
      </w:r>
    </w:p>
  </w:endnote>
  <w:endnote w:type="continuationSeparator" w:id="0">
    <w:p w14:paraId="5B0EA05E" w14:textId="77777777" w:rsidR="00EC55E6" w:rsidRDefault="00EC55E6" w:rsidP="00B30448">
      <w:pPr>
        <w:spacing w:after="0" w:line="240" w:lineRule="auto"/>
      </w:pPr>
      <w:r>
        <w:continuationSeparator/>
      </w:r>
    </w:p>
  </w:endnote>
  <w:endnote w:type="continuationNotice" w:id="1">
    <w:p w14:paraId="1DC951D1" w14:textId="77777777" w:rsidR="00EC55E6" w:rsidRDefault="00EC55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E4CFB" w14:textId="77777777" w:rsidR="00EC55E6" w:rsidRDefault="00EC55E6" w:rsidP="00B30448">
      <w:pPr>
        <w:spacing w:after="0" w:line="240" w:lineRule="auto"/>
      </w:pPr>
      <w:r>
        <w:separator/>
      </w:r>
    </w:p>
  </w:footnote>
  <w:footnote w:type="continuationSeparator" w:id="0">
    <w:p w14:paraId="3798AB36" w14:textId="77777777" w:rsidR="00EC55E6" w:rsidRDefault="00EC55E6" w:rsidP="00B30448">
      <w:pPr>
        <w:spacing w:after="0" w:line="240" w:lineRule="auto"/>
      </w:pPr>
      <w:r>
        <w:continuationSeparator/>
      </w:r>
    </w:p>
  </w:footnote>
  <w:footnote w:type="continuationNotice" w:id="1">
    <w:p w14:paraId="7EA8D52A" w14:textId="77777777" w:rsidR="00EC55E6" w:rsidRDefault="00EC55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1"/>
  </w:num>
  <w:num w:numId="5">
    <w:abstractNumId w:val="12"/>
  </w:num>
  <w:num w:numId="6">
    <w:abstractNumId w:val="2"/>
  </w:num>
  <w:num w:numId="7">
    <w:abstractNumId w:val="7"/>
  </w:num>
  <w:num w:numId="8">
    <w:abstractNumId w:val="10"/>
  </w:num>
  <w:num w:numId="9">
    <w:abstractNumId w:val="15"/>
  </w:num>
  <w:num w:numId="10">
    <w:abstractNumId w:val="14"/>
  </w:num>
  <w:num w:numId="11">
    <w:abstractNumId w:val="16"/>
  </w:num>
  <w:num w:numId="12">
    <w:abstractNumId w:val="18"/>
  </w:num>
  <w:num w:numId="13">
    <w:abstractNumId w:val="17"/>
  </w:num>
  <w:num w:numId="14">
    <w:abstractNumId w:val="0"/>
  </w:num>
  <w:num w:numId="15">
    <w:abstractNumId w:val="5"/>
  </w:num>
  <w:num w:numId="16">
    <w:abstractNumId w:val="6"/>
  </w:num>
  <w:num w:numId="17">
    <w:abstractNumId w:val="9"/>
  </w:num>
  <w:num w:numId="18">
    <w:abstractNumId w:val="13"/>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1025F"/>
    <w:rsid w:val="00011A77"/>
    <w:rsid w:val="0001222D"/>
    <w:rsid w:val="000135EB"/>
    <w:rsid w:val="00015D2B"/>
    <w:rsid w:val="00023823"/>
    <w:rsid w:val="0002558A"/>
    <w:rsid w:val="00031584"/>
    <w:rsid w:val="00032A0E"/>
    <w:rsid w:val="00037347"/>
    <w:rsid w:val="00040A35"/>
    <w:rsid w:val="0004369A"/>
    <w:rsid w:val="000442CC"/>
    <w:rsid w:val="00045B79"/>
    <w:rsid w:val="00047A3C"/>
    <w:rsid w:val="000556D4"/>
    <w:rsid w:val="000716AB"/>
    <w:rsid w:val="00082E4C"/>
    <w:rsid w:val="000849D5"/>
    <w:rsid w:val="0008528F"/>
    <w:rsid w:val="00090E20"/>
    <w:rsid w:val="000A6E0C"/>
    <w:rsid w:val="000A70FA"/>
    <w:rsid w:val="000A7A56"/>
    <w:rsid w:val="000B1FF7"/>
    <w:rsid w:val="000B2513"/>
    <w:rsid w:val="000B4024"/>
    <w:rsid w:val="000B5FFE"/>
    <w:rsid w:val="000B7A87"/>
    <w:rsid w:val="000C2796"/>
    <w:rsid w:val="000C3C51"/>
    <w:rsid w:val="000C7262"/>
    <w:rsid w:val="000D2A7F"/>
    <w:rsid w:val="000D49FB"/>
    <w:rsid w:val="000D4FCE"/>
    <w:rsid w:val="000E0386"/>
    <w:rsid w:val="000E505B"/>
    <w:rsid w:val="000E670C"/>
    <w:rsid w:val="000F26BC"/>
    <w:rsid w:val="000F2DCB"/>
    <w:rsid w:val="001079A9"/>
    <w:rsid w:val="0011037E"/>
    <w:rsid w:val="00113CC5"/>
    <w:rsid w:val="00124D0E"/>
    <w:rsid w:val="00126FA8"/>
    <w:rsid w:val="00127A6D"/>
    <w:rsid w:val="00131D3D"/>
    <w:rsid w:val="001363C7"/>
    <w:rsid w:val="00141511"/>
    <w:rsid w:val="00141AC5"/>
    <w:rsid w:val="00146B11"/>
    <w:rsid w:val="00147A04"/>
    <w:rsid w:val="00150EAB"/>
    <w:rsid w:val="0015476D"/>
    <w:rsid w:val="00161E13"/>
    <w:rsid w:val="00164AE0"/>
    <w:rsid w:val="00165E83"/>
    <w:rsid w:val="00166CD7"/>
    <w:rsid w:val="001706BC"/>
    <w:rsid w:val="0017120C"/>
    <w:rsid w:val="00172F3A"/>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E2B8E"/>
    <w:rsid w:val="001E588D"/>
    <w:rsid w:val="001E5CC4"/>
    <w:rsid w:val="001F3F48"/>
    <w:rsid w:val="001F51B2"/>
    <w:rsid w:val="002000AA"/>
    <w:rsid w:val="00203EBB"/>
    <w:rsid w:val="00204109"/>
    <w:rsid w:val="0021026D"/>
    <w:rsid w:val="00211E6E"/>
    <w:rsid w:val="00212A46"/>
    <w:rsid w:val="0021401D"/>
    <w:rsid w:val="002146B8"/>
    <w:rsid w:val="00214AB9"/>
    <w:rsid w:val="00215516"/>
    <w:rsid w:val="00221EA7"/>
    <w:rsid w:val="00223573"/>
    <w:rsid w:val="00235798"/>
    <w:rsid w:val="00244C79"/>
    <w:rsid w:val="002527C2"/>
    <w:rsid w:val="002536F1"/>
    <w:rsid w:val="00270443"/>
    <w:rsid w:val="00270EE2"/>
    <w:rsid w:val="00272972"/>
    <w:rsid w:val="0028252D"/>
    <w:rsid w:val="00285F49"/>
    <w:rsid w:val="00286491"/>
    <w:rsid w:val="00290D28"/>
    <w:rsid w:val="00291A05"/>
    <w:rsid w:val="002A097D"/>
    <w:rsid w:val="002A0F8D"/>
    <w:rsid w:val="002A65BB"/>
    <w:rsid w:val="002B2253"/>
    <w:rsid w:val="002B3F8E"/>
    <w:rsid w:val="002B6E44"/>
    <w:rsid w:val="002C13E7"/>
    <w:rsid w:val="002D5318"/>
    <w:rsid w:val="002D580F"/>
    <w:rsid w:val="002E1DB5"/>
    <w:rsid w:val="002E53D2"/>
    <w:rsid w:val="002F3468"/>
    <w:rsid w:val="002F378B"/>
    <w:rsid w:val="002F66C5"/>
    <w:rsid w:val="002F6CCB"/>
    <w:rsid w:val="00300925"/>
    <w:rsid w:val="0030126A"/>
    <w:rsid w:val="00304090"/>
    <w:rsid w:val="0030461E"/>
    <w:rsid w:val="00306319"/>
    <w:rsid w:val="00312E41"/>
    <w:rsid w:val="0032756A"/>
    <w:rsid w:val="003304E0"/>
    <w:rsid w:val="00334EF8"/>
    <w:rsid w:val="00336408"/>
    <w:rsid w:val="00340DFB"/>
    <w:rsid w:val="0034404F"/>
    <w:rsid w:val="003471E6"/>
    <w:rsid w:val="00356980"/>
    <w:rsid w:val="00362845"/>
    <w:rsid w:val="003639DA"/>
    <w:rsid w:val="00367462"/>
    <w:rsid w:val="00371ECA"/>
    <w:rsid w:val="00372748"/>
    <w:rsid w:val="0037332A"/>
    <w:rsid w:val="00373624"/>
    <w:rsid w:val="0037524E"/>
    <w:rsid w:val="0038151A"/>
    <w:rsid w:val="0039082A"/>
    <w:rsid w:val="00390C21"/>
    <w:rsid w:val="003A37BD"/>
    <w:rsid w:val="003A4044"/>
    <w:rsid w:val="003B6D94"/>
    <w:rsid w:val="003C0DF9"/>
    <w:rsid w:val="003C4C96"/>
    <w:rsid w:val="003C55E0"/>
    <w:rsid w:val="003C70A0"/>
    <w:rsid w:val="003D111E"/>
    <w:rsid w:val="003D5069"/>
    <w:rsid w:val="003E36FF"/>
    <w:rsid w:val="003F519B"/>
    <w:rsid w:val="0040153B"/>
    <w:rsid w:val="00404EAA"/>
    <w:rsid w:val="0040544F"/>
    <w:rsid w:val="00406A19"/>
    <w:rsid w:val="0041222D"/>
    <w:rsid w:val="0041483E"/>
    <w:rsid w:val="00415369"/>
    <w:rsid w:val="004221C8"/>
    <w:rsid w:val="00430492"/>
    <w:rsid w:val="004313D3"/>
    <w:rsid w:val="00432FFE"/>
    <w:rsid w:val="00437D03"/>
    <w:rsid w:val="0044773D"/>
    <w:rsid w:val="00450BE7"/>
    <w:rsid w:val="00462D21"/>
    <w:rsid w:val="00466731"/>
    <w:rsid w:val="0046741E"/>
    <w:rsid w:val="00467611"/>
    <w:rsid w:val="00467EA6"/>
    <w:rsid w:val="00472CC6"/>
    <w:rsid w:val="0048026E"/>
    <w:rsid w:val="004807A9"/>
    <w:rsid w:val="004813EE"/>
    <w:rsid w:val="00484FBA"/>
    <w:rsid w:val="00490C3E"/>
    <w:rsid w:val="00493278"/>
    <w:rsid w:val="004943D9"/>
    <w:rsid w:val="004A0E7B"/>
    <w:rsid w:val="004A2F28"/>
    <w:rsid w:val="004A3498"/>
    <w:rsid w:val="004A4E52"/>
    <w:rsid w:val="004B02A1"/>
    <w:rsid w:val="004B0C45"/>
    <w:rsid w:val="004C0AB2"/>
    <w:rsid w:val="004C1619"/>
    <w:rsid w:val="004C1A26"/>
    <w:rsid w:val="004C1CC9"/>
    <w:rsid w:val="004C3755"/>
    <w:rsid w:val="004C4485"/>
    <w:rsid w:val="004D11AF"/>
    <w:rsid w:val="004D70E1"/>
    <w:rsid w:val="00500DFA"/>
    <w:rsid w:val="005019AA"/>
    <w:rsid w:val="005021BB"/>
    <w:rsid w:val="005139E7"/>
    <w:rsid w:val="005147DA"/>
    <w:rsid w:val="00515FB5"/>
    <w:rsid w:val="00516273"/>
    <w:rsid w:val="005207F7"/>
    <w:rsid w:val="0052365C"/>
    <w:rsid w:val="00524FF4"/>
    <w:rsid w:val="00525260"/>
    <w:rsid w:val="005271EB"/>
    <w:rsid w:val="005307B9"/>
    <w:rsid w:val="005361F5"/>
    <w:rsid w:val="005426DB"/>
    <w:rsid w:val="00544644"/>
    <w:rsid w:val="0055082B"/>
    <w:rsid w:val="00552503"/>
    <w:rsid w:val="00552B57"/>
    <w:rsid w:val="00557DA1"/>
    <w:rsid w:val="005619CF"/>
    <w:rsid w:val="0056322C"/>
    <w:rsid w:val="0057586E"/>
    <w:rsid w:val="00586562"/>
    <w:rsid w:val="0058743A"/>
    <w:rsid w:val="005928B4"/>
    <w:rsid w:val="00595F2E"/>
    <w:rsid w:val="005A3718"/>
    <w:rsid w:val="005A4DB0"/>
    <w:rsid w:val="005A7B8E"/>
    <w:rsid w:val="005B012B"/>
    <w:rsid w:val="005B0C87"/>
    <w:rsid w:val="005B0E15"/>
    <w:rsid w:val="005B3F16"/>
    <w:rsid w:val="005B439B"/>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529E"/>
    <w:rsid w:val="00606D1F"/>
    <w:rsid w:val="0061690E"/>
    <w:rsid w:val="00627361"/>
    <w:rsid w:val="0063017E"/>
    <w:rsid w:val="00631B28"/>
    <w:rsid w:val="0063680E"/>
    <w:rsid w:val="0064094C"/>
    <w:rsid w:val="006450EE"/>
    <w:rsid w:val="00645B90"/>
    <w:rsid w:val="00650991"/>
    <w:rsid w:val="006511D7"/>
    <w:rsid w:val="006528D6"/>
    <w:rsid w:val="00653E3C"/>
    <w:rsid w:val="00663D75"/>
    <w:rsid w:val="0066531E"/>
    <w:rsid w:val="00670AEF"/>
    <w:rsid w:val="00673FF4"/>
    <w:rsid w:val="00675678"/>
    <w:rsid w:val="00676A8B"/>
    <w:rsid w:val="00677012"/>
    <w:rsid w:val="006825B4"/>
    <w:rsid w:val="00682AF2"/>
    <w:rsid w:val="00683410"/>
    <w:rsid w:val="006864DF"/>
    <w:rsid w:val="006A1D37"/>
    <w:rsid w:val="006A3C8A"/>
    <w:rsid w:val="006A7552"/>
    <w:rsid w:val="006B5953"/>
    <w:rsid w:val="006B7A81"/>
    <w:rsid w:val="006C2A3F"/>
    <w:rsid w:val="006C4BAC"/>
    <w:rsid w:val="006C52F3"/>
    <w:rsid w:val="006D570B"/>
    <w:rsid w:val="006D702C"/>
    <w:rsid w:val="006E1F18"/>
    <w:rsid w:val="006E343E"/>
    <w:rsid w:val="006E7F37"/>
    <w:rsid w:val="006F3B81"/>
    <w:rsid w:val="006F4F79"/>
    <w:rsid w:val="00705B37"/>
    <w:rsid w:val="00711FD9"/>
    <w:rsid w:val="00735062"/>
    <w:rsid w:val="00745400"/>
    <w:rsid w:val="00746BA5"/>
    <w:rsid w:val="00750D05"/>
    <w:rsid w:val="00751D23"/>
    <w:rsid w:val="007534D1"/>
    <w:rsid w:val="007543AA"/>
    <w:rsid w:val="00770577"/>
    <w:rsid w:val="0077109D"/>
    <w:rsid w:val="00777666"/>
    <w:rsid w:val="0078159B"/>
    <w:rsid w:val="0078296B"/>
    <w:rsid w:val="00782E10"/>
    <w:rsid w:val="00785951"/>
    <w:rsid w:val="0078706B"/>
    <w:rsid w:val="00790836"/>
    <w:rsid w:val="00796F7F"/>
    <w:rsid w:val="00797131"/>
    <w:rsid w:val="007A3C1D"/>
    <w:rsid w:val="007A4193"/>
    <w:rsid w:val="007A7935"/>
    <w:rsid w:val="007B285D"/>
    <w:rsid w:val="007C6BC6"/>
    <w:rsid w:val="007F243A"/>
    <w:rsid w:val="00807D79"/>
    <w:rsid w:val="00813634"/>
    <w:rsid w:val="00822821"/>
    <w:rsid w:val="00831C29"/>
    <w:rsid w:val="008430A8"/>
    <w:rsid w:val="008431EA"/>
    <w:rsid w:val="008431EF"/>
    <w:rsid w:val="008468E0"/>
    <w:rsid w:val="00865FBA"/>
    <w:rsid w:val="00871B59"/>
    <w:rsid w:val="00875457"/>
    <w:rsid w:val="00876251"/>
    <w:rsid w:val="00877D03"/>
    <w:rsid w:val="00877E96"/>
    <w:rsid w:val="008806CA"/>
    <w:rsid w:val="008815E5"/>
    <w:rsid w:val="00881D8B"/>
    <w:rsid w:val="0088517E"/>
    <w:rsid w:val="00887B37"/>
    <w:rsid w:val="008909B9"/>
    <w:rsid w:val="00891DFC"/>
    <w:rsid w:val="00895737"/>
    <w:rsid w:val="008A1534"/>
    <w:rsid w:val="008A49EE"/>
    <w:rsid w:val="008B12B4"/>
    <w:rsid w:val="008B7914"/>
    <w:rsid w:val="008C5D2A"/>
    <w:rsid w:val="008C7AF4"/>
    <w:rsid w:val="008D1EB8"/>
    <w:rsid w:val="008D40C5"/>
    <w:rsid w:val="008D529F"/>
    <w:rsid w:val="008D7EDD"/>
    <w:rsid w:val="008F02FB"/>
    <w:rsid w:val="008F5CC8"/>
    <w:rsid w:val="009003F0"/>
    <w:rsid w:val="0090505B"/>
    <w:rsid w:val="009061B8"/>
    <w:rsid w:val="00906A90"/>
    <w:rsid w:val="0091008B"/>
    <w:rsid w:val="00911EA2"/>
    <w:rsid w:val="00916C7D"/>
    <w:rsid w:val="00923D6E"/>
    <w:rsid w:val="0092575D"/>
    <w:rsid w:val="009341DA"/>
    <w:rsid w:val="00937C6B"/>
    <w:rsid w:val="00937DE6"/>
    <w:rsid w:val="009430F9"/>
    <w:rsid w:val="009442E8"/>
    <w:rsid w:val="009457B6"/>
    <w:rsid w:val="009466BA"/>
    <w:rsid w:val="00946BD0"/>
    <w:rsid w:val="00951593"/>
    <w:rsid w:val="00952B88"/>
    <w:rsid w:val="00953F42"/>
    <w:rsid w:val="0095426C"/>
    <w:rsid w:val="00954FFD"/>
    <w:rsid w:val="00962196"/>
    <w:rsid w:val="00970087"/>
    <w:rsid w:val="00971074"/>
    <w:rsid w:val="0097374B"/>
    <w:rsid w:val="009802EE"/>
    <w:rsid w:val="0098266D"/>
    <w:rsid w:val="00985BF7"/>
    <w:rsid w:val="00987B8D"/>
    <w:rsid w:val="00993749"/>
    <w:rsid w:val="00995D86"/>
    <w:rsid w:val="00997480"/>
    <w:rsid w:val="009A5453"/>
    <w:rsid w:val="009B1186"/>
    <w:rsid w:val="009B4D94"/>
    <w:rsid w:val="009B5E47"/>
    <w:rsid w:val="009C0942"/>
    <w:rsid w:val="009C2871"/>
    <w:rsid w:val="009C7CB5"/>
    <w:rsid w:val="009D1CA9"/>
    <w:rsid w:val="009D2600"/>
    <w:rsid w:val="009D3C33"/>
    <w:rsid w:val="009D7DDD"/>
    <w:rsid w:val="009D7F3A"/>
    <w:rsid w:val="009E0355"/>
    <w:rsid w:val="009E4885"/>
    <w:rsid w:val="009F5A6D"/>
    <w:rsid w:val="009F778E"/>
    <w:rsid w:val="00A030C4"/>
    <w:rsid w:val="00A03E81"/>
    <w:rsid w:val="00A07DB6"/>
    <w:rsid w:val="00A101E9"/>
    <w:rsid w:val="00A10A73"/>
    <w:rsid w:val="00A115F6"/>
    <w:rsid w:val="00A170B3"/>
    <w:rsid w:val="00A223D5"/>
    <w:rsid w:val="00A231B4"/>
    <w:rsid w:val="00A37D1C"/>
    <w:rsid w:val="00A47318"/>
    <w:rsid w:val="00A5453E"/>
    <w:rsid w:val="00A55848"/>
    <w:rsid w:val="00A558E2"/>
    <w:rsid w:val="00A56F6C"/>
    <w:rsid w:val="00A57278"/>
    <w:rsid w:val="00A679CB"/>
    <w:rsid w:val="00A76C8C"/>
    <w:rsid w:val="00A815BF"/>
    <w:rsid w:val="00A85F30"/>
    <w:rsid w:val="00A9099E"/>
    <w:rsid w:val="00A91FB7"/>
    <w:rsid w:val="00A9298F"/>
    <w:rsid w:val="00AA0351"/>
    <w:rsid w:val="00AA0DA9"/>
    <w:rsid w:val="00AA132B"/>
    <w:rsid w:val="00AA489E"/>
    <w:rsid w:val="00AA5F4A"/>
    <w:rsid w:val="00AB1685"/>
    <w:rsid w:val="00AB1984"/>
    <w:rsid w:val="00AB52B1"/>
    <w:rsid w:val="00AC1CAB"/>
    <w:rsid w:val="00AC4CB3"/>
    <w:rsid w:val="00AC780D"/>
    <w:rsid w:val="00AD036B"/>
    <w:rsid w:val="00AD1996"/>
    <w:rsid w:val="00AD4099"/>
    <w:rsid w:val="00AD4901"/>
    <w:rsid w:val="00AE3817"/>
    <w:rsid w:val="00AE5EC3"/>
    <w:rsid w:val="00AE6A98"/>
    <w:rsid w:val="00B02109"/>
    <w:rsid w:val="00B02FE0"/>
    <w:rsid w:val="00B057B6"/>
    <w:rsid w:val="00B118C5"/>
    <w:rsid w:val="00B20C92"/>
    <w:rsid w:val="00B27516"/>
    <w:rsid w:val="00B30448"/>
    <w:rsid w:val="00B306BC"/>
    <w:rsid w:val="00B34786"/>
    <w:rsid w:val="00B36D4B"/>
    <w:rsid w:val="00B400EC"/>
    <w:rsid w:val="00B40162"/>
    <w:rsid w:val="00B41ACE"/>
    <w:rsid w:val="00B50156"/>
    <w:rsid w:val="00B518AD"/>
    <w:rsid w:val="00B60A96"/>
    <w:rsid w:val="00B678EC"/>
    <w:rsid w:val="00B67B55"/>
    <w:rsid w:val="00B73DDD"/>
    <w:rsid w:val="00B75AC0"/>
    <w:rsid w:val="00B76C94"/>
    <w:rsid w:val="00B772D0"/>
    <w:rsid w:val="00B836EA"/>
    <w:rsid w:val="00B84C05"/>
    <w:rsid w:val="00B8722C"/>
    <w:rsid w:val="00B91B81"/>
    <w:rsid w:val="00B92534"/>
    <w:rsid w:val="00B96147"/>
    <w:rsid w:val="00B97135"/>
    <w:rsid w:val="00BB3072"/>
    <w:rsid w:val="00BC2C91"/>
    <w:rsid w:val="00BC7632"/>
    <w:rsid w:val="00BD45A0"/>
    <w:rsid w:val="00BD48A9"/>
    <w:rsid w:val="00BD630F"/>
    <w:rsid w:val="00BD7EC6"/>
    <w:rsid w:val="00BE3E91"/>
    <w:rsid w:val="00BE45FE"/>
    <w:rsid w:val="00BE50C7"/>
    <w:rsid w:val="00BE56E6"/>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2A26"/>
    <w:rsid w:val="00C371DF"/>
    <w:rsid w:val="00C42055"/>
    <w:rsid w:val="00C44B4C"/>
    <w:rsid w:val="00C46734"/>
    <w:rsid w:val="00C47A86"/>
    <w:rsid w:val="00C53220"/>
    <w:rsid w:val="00C65562"/>
    <w:rsid w:val="00C80A50"/>
    <w:rsid w:val="00C86C21"/>
    <w:rsid w:val="00C91213"/>
    <w:rsid w:val="00CA3347"/>
    <w:rsid w:val="00CA41EF"/>
    <w:rsid w:val="00CA4C80"/>
    <w:rsid w:val="00CB28AD"/>
    <w:rsid w:val="00CB365F"/>
    <w:rsid w:val="00CB47BC"/>
    <w:rsid w:val="00CC0EB4"/>
    <w:rsid w:val="00CC15C9"/>
    <w:rsid w:val="00CC2531"/>
    <w:rsid w:val="00CC299A"/>
    <w:rsid w:val="00CD03E3"/>
    <w:rsid w:val="00CD1564"/>
    <w:rsid w:val="00CD3DF5"/>
    <w:rsid w:val="00CD4B04"/>
    <w:rsid w:val="00CD738B"/>
    <w:rsid w:val="00CE617B"/>
    <w:rsid w:val="00CE6BDA"/>
    <w:rsid w:val="00CE7F32"/>
    <w:rsid w:val="00CF26FF"/>
    <w:rsid w:val="00D03DBE"/>
    <w:rsid w:val="00D072C0"/>
    <w:rsid w:val="00D131D2"/>
    <w:rsid w:val="00D33A2B"/>
    <w:rsid w:val="00D34C82"/>
    <w:rsid w:val="00D3515F"/>
    <w:rsid w:val="00D3757A"/>
    <w:rsid w:val="00D504A9"/>
    <w:rsid w:val="00D5206D"/>
    <w:rsid w:val="00D53CEB"/>
    <w:rsid w:val="00D60078"/>
    <w:rsid w:val="00D70209"/>
    <w:rsid w:val="00D7177D"/>
    <w:rsid w:val="00D75B62"/>
    <w:rsid w:val="00D81311"/>
    <w:rsid w:val="00D82DC5"/>
    <w:rsid w:val="00D8632B"/>
    <w:rsid w:val="00D9095F"/>
    <w:rsid w:val="00D93CA6"/>
    <w:rsid w:val="00D94796"/>
    <w:rsid w:val="00DB1F59"/>
    <w:rsid w:val="00DB201E"/>
    <w:rsid w:val="00DB5D94"/>
    <w:rsid w:val="00DC075F"/>
    <w:rsid w:val="00DC0E68"/>
    <w:rsid w:val="00DC5D8C"/>
    <w:rsid w:val="00DC744B"/>
    <w:rsid w:val="00DD25ED"/>
    <w:rsid w:val="00DD68B2"/>
    <w:rsid w:val="00DE0D6E"/>
    <w:rsid w:val="00DE3E5A"/>
    <w:rsid w:val="00DE70B4"/>
    <w:rsid w:val="00DF6F0B"/>
    <w:rsid w:val="00E02347"/>
    <w:rsid w:val="00E15AB6"/>
    <w:rsid w:val="00E1610C"/>
    <w:rsid w:val="00E16D73"/>
    <w:rsid w:val="00E23E9E"/>
    <w:rsid w:val="00E24098"/>
    <w:rsid w:val="00E25722"/>
    <w:rsid w:val="00E27851"/>
    <w:rsid w:val="00E27F0A"/>
    <w:rsid w:val="00E4231E"/>
    <w:rsid w:val="00E4302C"/>
    <w:rsid w:val="00E44AC7"/>
    <w:rsid w:val="00E45F4B"/>
    <w:rsid w:val="00E50E08"/>
    <w:rsid w:val="00E60A16"/>
    <w:rsid w:val="00E63247"/>
    <w:rsid w:val="00E82B6E"/>
    <w:rsid w:val="00E83657"/>
    <w:rsid w:val="00E92110"/>
    <w:rsid w:val="00E94258"/>
    <w:rsid w:val="00E947BD"/>
    <w:rsid w:val="00E96C18"/>
    <w:rsid w:val="00EA0B9C"/>
    <w:rsid w:val="00EA1DF7"/>
    <w:rsid w:val="00EA2E61"/>
    <w:rsid w:val="00EA2F35"/>
    <w:rsid w:val="00EA7D7F"/>
    <w:rsid w:val="00EB01B5"/>
    <w:rsid w:val="00EB02F4"/>
    <w:rsid w:val="00EB2FA2"/>
    <w:rsid w:val="00EB5042"/>
    <w:rsid w:val="00EB6E2D"/>
    <w:rsid w:val="00EB769A"/>
    <w:rsid w:val="00EC18E1"/>
    <w:rsid w:val="00EC3A35"/>
    <w:rsid w:val="00EC55E6"/>
    <w:rsid w:val="00ED2BF0"/>
    <w:rsid w:val="00EE17F2"/>
    <w:rsid w:val="00EE3138"/>
    <w:rsid w:val="00EF2AC7"/>
    <w:rsid w:val="00EF400A"/>
    <w:rsid w:val="00EF6BE4"/>
    <w:rsid w:val="00EF6E5D"/>
    <w:rsid w:val="00F00499"/>
    <w:rsid w:val="00F02B61"/>
    <w:rsid w:val="00F04EA4"/>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3BE2"/>
    <w:rsid w:val="00F55684"/>
    <w:rsid w:val="00F64D5A"/>
    <w:rsid w:val="00F675FB"/>
    <w:rsid w:val="00F709CD"/>
    <w:rsid w:val="00F720B1"/>
    <w:rsid w:val="00F906F4"/>
    <w:rsid w:val="00FA0716"/>
    <w:rsid w:val="00FA57A0"/>
    <w:rsid w:val="00FB4629"/>
    <w:rsid w:val="00FB6FB1"/>
    <w:rsid w:val="00FB7063"/>
    <w:rsid w:val="00FC302F"/>
    <w:rsid w:val="00FC3C8D"/>
    <w:rsid w:val="00FC5FA1"/>
    <w:rsid w:val="00FC7056"/>
    <w:rsid w:val="00FD4B34"/>
    <w:rsid w:val="00FE1A00"/>
    <w:rsid w:val="00FE3091"/>
    <w:rsid w:val="00FF150C"/>
    <w:rsid w:val="024D7E2C"/>
    <w:rsid w:val="0D2EB883"/>
    <w:rsid w:val="0D8163B6"/>
    <w:rsid w:val="13A69650"/>
    <w:rsid w:val="13AB2AF9"/>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luissamaaria@outlook.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757DE403-C8A7-4B02-852C-E3995CD56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3418</Words>
  <Characters>18804</Characters>
  <Application>Microsoft Office Word</Application>
  <DocSecurity>0</DocSecurity>
  <Lines>156</Lines>
  <Paragraphs>44</Paragraphs>
  <ScaleCrop>false</ScaleCrop>
  <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5</cp:revision>
  <dcterms:created xsi:type="dcterms:W3CDTF">2024-09-11T15:51:00Z</dcterms:created>
  <dcterms:modified xsi:type="dcterms:W3CDTF">2024-09-11T15:59:00Z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