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22C2F" w14:textId="2D7EBDAB" w:rsidR="00994A03" w:rsidRPr="00000F46" w:rsidRDefault="0034177C" w:rsidP="00702774">
      <w:pPr>
        <w:spacing w:line="276" w:lineRule="auto"/>
        <w:jc w:val="right"/>
        <w:rPr>
          <w:rFonts w:ascii="Arial" w:hAnsi="Arial" w:cs="Arial"/>
          <w:b/>
          <w:bCs/>
          <w:color w:val="000000" w:themeColor="text1"/>
          <w:sz w:val="16"/>
          <w:szCs w:val="16"/>
          <w:lang w:val="es-CO" w:eastAsia="es-ES"/>
        </w:rPr>
      </w:pPr>
      <w:bookmarkStart w:id="0" w:name="_Hlk28946138"/>
      <w:bookmarkStart w:id="1" w:name="_Hlk29548183"/>
      <w:r w:rsidRPr="00000F46">
        <w:rPr>
          <w:rFonts w:ascii="Arial" w:hAnsi="Arial" w:cs="Arial"/>
          <w:b/>
          <w:bCs/>
          <w:color w:val="000000" w:themeColor="text1"/>
          <w:sz w:val="16"/>
          <w:szCs w:val="16"/>
          <w:lang w:val="es-CO" w:eastAsia="es-ES"/>
        </w:rPr>
        <w:t>CCE-DES-FM-17</w:t>
      </w:r>
    </w:p>
    <w:p w14:paraId="73E438D2" w14:textId="77777777" w:rsidR="00000F46" w:rsidRPr="00892FB1" w:rsidRDefault="00000F46" w:rsidP="00702774">
      <w:pPr>
        <w:jc w:val="both"/>
        <w:rPr>
          <w:rFonts w:ascii="Arial" w:eastAsia="Calibri" w:hAnsi="Arial" w:cs="Arial"/>
          <w:b/>
          <w:bCs/>
          <w:color w:val="000000" w:themeColor="text1"/>
          <w:sz w:val="16"/>
          <w:szCs w:val="16"/>
          <w:lang w:val="es-CO"/>
        </w:rPr>
      </w:pPr>
    </w:p>
    <w:p w14:paraId="3EE85DF5" w14:textId="00CA81DA" w:rsidR="00D306D7" w:rsidRPr="004F1C8A" w:rsidRDefault="00D306D7" w:rsidP="00702774">
      <w:pPr>
        <w:jc w:val="both"/>
        <w:rPr>
          <w:rFonts w:ascii="Arial" w:eastAsia="Calibri" w:hAnsi="Arial" w:cs="Arial"/>
          <w:b/>
          <w:bCs/>
          <w:color w:val="000000" w:themeColor="text1"/>
          <w:sz w:val="22"/>
          <w:lang w:val="es-CO"/>
        </w:rPr>
      </w:pPr>
      <w:r w:rsidRPr="004F1C8A">
        <w:rPr>
          <w:rFonts w:ascii="Arial" w:eastAsia="Calibri" w:hAnsi="Arial" w:cs="Arial"/>
          <w:b/>
          <w:bCs/>
          <w:color w:val="000000" w:themeColor="text1"/>
          <w:sz w:val="22"/>
          <w:lang w:val="es-CO"/>
        </w:rPr>
        <w:t xml:space="preserve">EXPERIENCIA – Registro Único de Proponentes – Forma de Acreditación </w:t>
      </w:r>
    </w:p>
    <w:p w14:paraId="736952CC" w14:textId="77777777" w:rsidR="00D306D7" w:rsidRPr="004F1C8A" w:rsidRDefault="00D306D7" w:rsidP="00FB69DA">
      <w:pPr>
        <w:jc w:val="both"/>
        <w:rPr>
          <w:rFonts w:ascii="Arial" w:eastAsia="Calibri" w:hAnsi="Arial" w:cs="Arial"/>
          <w:color w:val="000000" w:themeColor="text1"/>
          <w:sz w:val="20"/>
          <w:szCs w:val="20"/>
          <w:lang w:val="es-CO"/>
        </w:rPr>
      </w:pPr>
    </w:p>
    <w:p w14:paraId="2A9A514D" w14:textId="42FAE04B" w:rsidR="00D306D7" w:rsidRPr="004F1C8A" w:rsidRDefault="00D306D7" w:rsidP="00FB69DA">
      <w:pPr>
        <w:jc w:val="both"/>
        <w:rPr>
          <w:rFonts w:ascii="Arial" w:eastAsia="Calibri" w:hAnsi="Arial" w:cs="Arial"/>
          <w:color w:val="000000" w:themeColor="text1"/>
          <w:sz w:val="20"/>
          <w:szCs w:val="20"/>
          <w:lang w:val="es-CO"/>
        </w:rPr>
      </w:pPr>
      <w:r w:rsidRPr="004F1C8A">
        <w:rPr>
          <w:rFonts w:ascii="Arial" w:eastAsia="Calibri" w:hAnsi="Arial" w:cs="Arial"/>
          <w:color w:val="000000" w:themeColor="text1"/>
          <w:sz w:val="20"/>
          <w:szCs w:val="20"/>
          <w:lang w:val="es-CO"/>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7D2DADBE" w14:textId="77777777" w:rsidR="00D306D7" w:rsidRPr="004F1C8A" w:rsidRDefault="00D306D7">
      <w:pPr>
        <w:pStyle w:val="Default"/>
        <w:rPr>
          <w:b/>
          <w:bCs/>
          <w:color w:val="000000" w:themeColor="text1"/>
          <w:sz w:val="20"/>
          <w:szCs w:val="20"/>
        </w:rPr>
      </w:pPr>
    </w:p>
    <w:p w14:paraId="5C6F49C2" w14:textId="77777777" w:rsidR="00D306D7" w:rsidRPr="004F1C8A" w:rsidRDefault="00D306D7">
      <w:pPr>
        <w:pStyle w:val="Default"/>
        <w:jc w:val="both"/>
        <w:rPr>
          <w:b/>
          <w:bCs/>
          <w:color w:val="000000" w:themeColor="text1"/>
          <w:sz w:val="22"/>
          <w:szCs w:val="22"/>
        </w:rPr>
      </w:pPr>
      <w:r w:rsidRPr="004F1C8A">
        <w:rPr>
          <w:b/>
          <w:bCs/>
          <w:color w:val="000000" w:themeColor="text1"/>
          <w:sz w:val="22"/>
          <w:szCs w:val="22"/>
        </w:rPr>
        <w:t xml:space="preserve">EXPERIENCIA – Nociones Generales – Registro Único de Proponentes – Exceptuados de inscripción </w:t>
      </w:r>
    </w:p>
    <w:p w14:paraId="346D7B82" w14:textId="77777777" w:rsidR="00D306D7" w:rsidRPr="004F1C8A" w:rsidRDefault="00D306D7">
      <w:pPr>
        <w:pStyle w:val="Default"/>
        <w:rPr>
          <w:color w:val="000000" w:themeColor="text1"/>
          <w:sz w:val="22"/>
          <w:szCs w:val="22"/>
        </w:rPr>
      </w:pPr>
    </w:p>
    <w:p w14:paraId="60CD21D4" w14:textId="2C14C9CD" w:rsidR="00FB69DA" w:rsidRPr="004F1C8A" w:rsidRDefault="00D306D7" w:rsidP="00F503A5">
      <w:pPr>
        <w:spacing w:after="120"/>
        <w:jc w:val="both"/>
        <w:rPr>
          <w:rFonts w:ascii="Arial" w:hAnsi="Arial" w:cs="Arial"/>
          <w:color w:val="000000" w:themeColor="text1"/>
          <w:sz w:val="20"/>
          <w:szCs w:val="20"/>
          <w:lang w:val="es-CO"/>
        </w:rPr>
      </w:pPr>
      <w:r w:rsidRPr="004F1C8A">
        <w:rPr>
          <w:rFonts w:ascii="Arial" w:hAnsi="Arial" w:cs="Arial"/>
          <w:color w:val="000000" w:themeColor="text1"/>
          <w:sz w:val="20"/>
          <w:szCs w:val="20"/>
          <w:lang w:val="es-CO"/>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0242939B" w14:textId="7DC8F54A" w:rsidR="00D306D7" w:rsidRPr="004F1C8A" w:rsidRDefault="00D306D7" w:rsidP="00F503A5">
      <w:pPr>
        <w:jc w:val="both"/>
        <w:rPr>
          <w:rFonts w:ascii="Arial" w:hAnsi="Arial" w:cs="Arial"/>
          <w:color w:val="000000" w:themeColor="text1"/>
          <w:sz w:val="20"/>
          <w:szCs w:val="20"/>
          <w:lang w:val="es-CO"/>
        </w:rPr>
      </w:pPr>
      <w:r w:rsidRPr="004F1C8A">
        <w:rPr>
          <w:rFonts w:ascii="Arial" w:hAnsi="Arial" w:cs="Arial"/>
          <w:color w:val="000000" w:themeColor="text1"/>
          <w:sz w:val="20"/>
          <w:szCs w:val="20"/>
          <w:lang w:val="es-CO"/>
        </w:rPr>
        <w:t xml:space="preserve">Como se dijo, la norma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p>
    <w:p w14:paraId="2177067B" w14:textId="6E40540E" w:rsidR="00D306D7" w:rsidRPr="004F1C8A" w:rsidRDefault="00D306D7" w:rsidP="00F503A5">
      <w:pPr>
        <w:jc w:val="both"/>
        <w:rPr>
          <w:rFonts w:ascii="Arial" w:hAnsi="Arial" w:cs="Arial"/>
          <w:color w:val="000000" w:themeColor="text1"/>
          <w:sz w:val="20"/>
          <w:szCs w:val="20"/>
          <w:lang w:val="es-CO"/>
        </w:rPr>
      </w:pPr>
    </w:p>
    <w:p w14:paraId="63664487" w14:textId="77777777" w:rsidR="00D306D7" w:rsidRPr="004F1C8A" w:rsidRDefault="00D306D7" w:rsidP="00F503A5">
      <w:pPr>
        <w:jc w:val="both"/>
        <w:rPr>
          <w:rFonts w:ascii="Arial" w:eastAsia="Calibri" w:hAnsi="Arial" w:cs="Arial"/>
          <w:b/>
          <w:sz w:val="22"/>
          <w:lang w:val="es-CO"/>
        </w:rPr>
      </w:pPr>
      <w:r w:rsidRPr="004F1C8A">
        <w:rPr>
          <w:rFonts w:ascii="Arial" w:eastAsia="Calibri" w:hAnsi="Arial" w:cs="Arial"/>
          <w:b/>
          <w:sz w:val="22"/>
          <w:lang w:val="es-CO"/>
        </w:rPr>
        <w:t xml:space="preserve">REGISTRO ÚNICO DE PROPONENTES </w:t>
      </w:r>
      <w:r w:rsidRPr="004F1C8A">
        <w:rPr>
          <w:rFonts w:ascii="Arial" w:eastAsia="Calibri" w:hAnsi="Arial" w:cs="Arial"/>
          <w:b/>
          <w:color w:val="000000" w:themeColor="text1"/>
          <w:sz w:val="22"/>
          <w:lang w:val="es-CO"/>
        </w:rPr>
        <w:t>–</w:t>
      </w:r>
      <w:r w:rsidRPr="004F1C8A">
        <w:rPr>
          <w:rFonts w:ascii="Arial" w:eastAsia="Calibri" w:hAnsi="Arial" w:cs="Arial"/>
          <w:b/>
          <w:sz w:val="22"/>
          <w:lang w:val="es-CO"/>
        </w:rPr>
        <w:t xml:space="preserve"> Sujetos obligados </w:t>
      </w:r>
      <w:r w:rsidRPr="004F1C8A">
        <w:rPr>
          <w:rFonts w:ascii="Arial" w:eastAsia="Calibri" w:hAnsi="Arial" w:cs="Arial"/>
          <w:b/>
          <w:color w:val="000000" w:themeColor="text1"/>
          <w:sz w:val="22"/>
          <w:lang w:val="es-CO"/>
        </w:rPr>
        <w:t>–</w:t>
      </w:r>
      <w:r w:rsidRPr="004F1C8A">
        <w:rPr>
          <w:rFonts w:ascii="Arial" w:eastAsia="Calibri" w:hAnsi="Arial" w:cs="Arial"/>
          <w:b/>
          <w:sz w:val="22"/>
          <w:lang w:val="es-CO"/>
        </w:rPr>
        <w:t xml:space="preserve"> Lugar de inscripción</w:t>
      </w:r>
    </w:p>
    <w:p w14:paraId="655FDEAF" w14:textId="77777777" w:rsidR="00D306D7" w:rsidRPr="004F1C8A" w:rsidRDefault="00D306D7" w:rsidP="00F503A5">
      <w:pPr>
        <w:jc w:val="both"/>
        <w:rPr>
          <w:rFonts w:ascii="Arial" w:hAnsi="Arial" w:cs="Arial"/>
          <w:sz w:val="20"/>
          <w:szCs w:val="20"/>
          <w:lang w:val="es-CO"/>
        </w:rPr>
      </w:pPr>
    </w:p>
    <w:p w14:paraId="29EED224" w14:textId="51057D9D" w:rsidR="00D306D7" w:rsidRPr="004F1C8A" w:rsidRDefault="00D306D7" w:rsidP="00F503A5">
      <w:pPr>
        <w:jc w:val="both"/>
        <w:rPr>
          <w:rFonts w:ascii="Arial" w:hAnsi="Arial" w:cs="Arial"/>
          <w:sz w:val="20"/>
          <w:szCs w:val="20"/>
          <w:lang w:val="es-CO"/>
        </w:rPr>
      </w:pPr>
      <w:r w:rsidRPr="004F1C8A">
        <w:rPr>
          <w:rFonts w:ascii="Arial" w:hAnsi="Arial" w:cs="Arial"/>
          <w:sz w:val="20"/>
          <w:szCs w:val="20"/>
          <w:lang w:val="es-CO"/>
        </w:rPr>
        <w:t>En primer lugar, sobre los sujetos que deben inscribirse en el RUP, la norma es amplia, esto es, incluye a cualquier persona, natural o jurídica, nacional o extranjera</w:t>
      </w:r>
      <w:r w:rsidR="006A62EB">
        <w:rPr>
          <w:rFonts w:ascii="Arial" w:hAnsi="Arial" w:cs="Arial"/>
          <w:sz w:val="20"/>
          <w:szCs w:val="20"/>
          <w:lang w:val="es-CO"/>
        </w:rPr>
        <w:t>,</w:t>
      </w:r>
      <w:r w:rsidRPr="004F1C8A">
        <w:rPr>
          <w:rFonts w:ascii="Arial" w:hAnsi="Arial" w:cs="Arial"/>
          <w:sz w:val="20"/>
          <w:szCs w:val="20"/>
          <w:lang w:val="es-CO"/>
        </w:rPr>
        <w:t xml:space="preserve"> que tenga domicilio o sucursal en el país, quienes tienen la obligación de registrase en el RUP, en dos casos: a) </w:t>
      </w:r>
      <w:r w:rsidR="006A62EB">
        <w:rPr>
          <w:rFonts w:ascii="Arial" w:hAnsi="Arial" w:cs="Arial"/>
          <w:sz w:val="20"/>
          <w:szCs w:val="20"/>
          <w:lang w:val="es-CO"/>
        </w:rPr>
        <w:t xml:space="preserve">cuando </w:t>
      </w:r>
      <w:r w:rsidRPr="004F1C8A">
        <w:rPr>
          <w:rFonts w:ascii="Arial" w:hAnsi="Arial" w:cs="Arial"/>
          <w:sz w:val="20"/>
          <w:szCs w:val="20"/>
          <w:lang w:val="es-CO"/>
        </w:rPr>
        <w:t xml:space="preserve">pretendan celebrar contratos estatales y b) </w:t>
      </w:r>
      <w:r w:rsidR="006A62EB">
        <w:rPr>
          <w:rFonts w:ascii="Arial" w:hAnsi="Arial" w:cs="Arial"/>
          <w:sz w:val="20"/>
          <w:szCs w:val="20"/>
          <w:lang w:val="es-CO"/>
        </w:rPr>
        <w:t xml:space="preserve">cuando </w:t>
      </w:r>
      <w:r w:rsidRPr="004F1C8A">
        <w:rPr>
          <w:rFonts w:ascii="Arial" w:hAnsi="Arial" w:cs="Arial"/>
          <w:sz w:val="20"/>
          <w:szCs w:val="20"/>
          <w:lang w:val="es-CO"/>
        </w:rPr>
        <w:t>el procedimiento de contratación sea de aquellos en los cuales no se exceptúa el RUP, de acuerdo con el inciso 2 del artículo 6 de la Ley 1150 de 2007. En segundo lugar, la norma señala que quienes cumplan las características y condiciones enunciadas, deben inscribirse en el RUP de la Cámara de Comercio del lugar donde el sujeto tenga su domicilio principal.</w:t>
      </w:r>
    </w:p>
    <w:p w14:paraId="5AD2F9C9" w14:textId="77777777" w:rsidR="00D306D7" w:rsidRPr="004F1C8A" w:rsidRDefault="00D306D7">
      <w:pPr>
        <w:jc w:val="both"/>
        <w:rPr>
          <w:rFonts w:ascii="Arial" w:hAnsi="Arial" w:cs="Arial"/>
          <w:sz w:val="22"/>
          <w:lang w:val="es-CO"/>
        </w:rPr>
      </w:pPr>
    </w:p>
    <w:p w14:paraId="277366E0" w14:textId="77777777" w:rsidR="00D306D7" w:rsidRPr="004F1C8A" w:rsidRDefault="00D306D7">
      <w:pPr>
        <w:jc w:val="both"/>
        <w:rPr>
          <w:rFonts w:ascii="Arial" w:eastAsia="Calibri" w:hAnsi="Arial" w:cs="Arial"/>
          <w:b/>
          <w:sz w:val="22"/>
          <w:lang w:val="es-CO"/>
        </w:rPr>
      </w:pPr>
      <w:r w:rsidRPr="004F1C8A">
        <w:rPr>
          <w:rFonts w:ascii="Arial" w:eastAsia="Calibri" w:hAnsi="Arial" w:cs="Arial"/>
          <w:b/>
          <w:sz w:val="22"/>
          <w:lang w:val="es-CO"/>
        </w:rPr>
        <w:t xml:space="preserve">REGISTRO ÚNICO DE PROPONENTES </w:t>
      </w:r>
      <w:r w:rsidRPr="004F1C8A">
        <w:rPr>
          <w:rFonts w:ascii="Arial" w:eastAsia="Calibri" w:hAnsi="Arial" w:cs="Arial"/>
          <w:b/>
          <w:color w:val="000000" w:themeColor="text1"/>
          <w:sz w:val="22"/>
          <w:lang w:val="es-CO"/>
        </w:rPr>
        <w:t>–</w:t>
      </w:r>
      <w:r w:rsidRPr="004F1C8A">
        <w:rPr>
          <w:rFonts w:ascii="Arial" w:eastAsia="Calibri" w:hAnsi="Arial" w:cs="Arial"/>
          <w:b/>
          <w:sz w:val="22"/>
          <w:lang w:val="es-CO"/>
        </w:rPr>
        <w:t xml:space="preserve"> Excepciones </w:t>
      </w:r>
      <w:r w:rsidRPr="004F1C8A">
        <w:rPr>
          <w:rFonts w:ascii="Arial" w:eastAsia="Calibri" w:hAnsi="Arial" w:cs="Arial"/>
          <w:b/>
          <w:color w:val="000000" w:themeColor="text1"/>
          <w:sz w:val="22"/>
          <w:lang w:val="es-CO"/>
        </w:rPr>
        <w:t>–</w:t>
      </w:r>
      <w:r w:rsidRPr="004F1C8A">
        <w:rPr>
          <w:rFonts w:ascii="Arial" w:eastAsia="Calibri" w:hAnsi="Arial" w:cs="Arial"/>
          <w:b/>
          <w:sz w:val="22"/>
          <w:lang w:val="es-CO"/>
        </w:rPr>
        <w:t xml:space="preserve"> Verificación sin RUP</w:t>
      </w:r>
    </w:p>
    <w:p w14:paraId="113E7552" w14:textId="77777777" w:rsidR="00D306D7" w:rsidRPr="004F1C8A" w:rsidRDefault="00D306D7">
      <w:pPr>
        <w:jc w:val="both"/>
        <w:rPr>
          <w:rFonts w:ascii="Arial" w:eastAsia="Calibri" w:hAnsi="Arial" w:cs="Arial"/>
          <w:sz w:val="20"/>
          <w:szCs w:val="20"/>
          <w:lang w:val="es-CO"/>
        </w:rPr>
      </w:pPr>
    </w:p>
    <w:p w14:paraId="24278B61" w14:textId="36C8F7EB" w:rsidR="00D306D7" w:rsidRPr="004F1C8A" w:rsidRDefault="00D306D7">
      <w:pPr>
        <w:jc w:val="both"/>
        <w:rPr>
          <w:rFonts w:ascii="Arial" w:hAnsi="Arial" w:cs="Arial"/>
          <w:sz w:val="20"/>
          <w:szCs w:val="20"/>
          <w:lang w:val="es-CO"/>
        </w:rPr>
      </w:pPr>
      <w:r w:rsidRPr="004F1C8A">
        <w:rPr>
          <w:rFonts w:ascii="Arial" w:hAnsi="Arial" w:cs="Arial"/>
          <w:sz w:val="20"/>
          <w:szCs w:val="20"/>
          <w:lang w:val="es-CO"/>
        </w:rPr>
        <w:t>No obstante lo anterior, el RUP no es exigible en algunos procesos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56DBBA87" w14:textId="468FA3CF" w:rsidR="00D306D7" w:rsidRPr="004F1C8A" w:rsidRDefault="00D306D7">
      <w:pPr>
        <w:jc w:val="both"/>
        <w:rPr>
          <w:rFonts w:ascii="Arial" w:hAnsi="Arial" w:cs="Arial"/>
          <w:sz w:val="20"/>
          <w:szCs w:val="20"/>
          <w:lang w:val="es-CO"/>
        </w:rPr>
      </w:pPr>
    </w:p>
    <w:p w14:paraId="0F8C2314" w14:textId="6A073EE1" w:rsidR="00D306D7" w:rsidRDefault="00D306D7" w:rsidP="630EA80F">
      <w:pPr>
        <w:jc w:val="both"/>
        <w:rPr>
          <w:rFonts w:ascii="Arial" w:eastAsia="Calibri" w:hAnsi="Arial" w:cs="Arial"/>
          <w:b/>
          <w:bCs/>
          <w:sz w:val="22"/>
          <w:lang w:val="es-CO"/>
        </w:rPr>
      </w:pPr>
      <w:r w:rsidRPr="630EA80F">
        <w:rPr>
          <w:rFonts w:ascii="Arial" w:eastAsia="Calibri" w:hAnsi="Arial" w:cs="Arial"/>
          <w:b/>
          <w:bCs/>
          <w:sz w:val="22"/>
          <w:lang w:val="es-CO"/>
        </w:rPr>
        <w:lastRenderedPageBreak/>
        <w:t xml:space="preserve">REGISTRO ÚNICO DE PROPONENTES </w:t>
      </w:r>
      <w:r w:rsidRPr="630EA80F">
        <w:rPr>
          <w:rFonts w:ascii="Arial" w:eastAsia="Calibri" w:hAnsi="Arial" w:cs="Arial"/>
          <w:b/>
          <w:bCs/>
          <w:color w:val="000000" w:themeColor="text1"/>
          <w:sz w:val="22"/>
          <w:lang w:val="es-CO"/>
        </w:rPr>
        <w:t>–</w:t>
      </w:r>
      <w:r w:rsidRPr="630EA80F">
        <w:rPr>
          <w:rFonts w:ascii="Arial" w:eastAsia="Calibri" w:hAnsi="Arial" w:cs="Arial"/>
          <w:b/>
          <w:bCs/>
          <w:sz w:val="22"/>
          <w:lang w:val="es-CO"/>
        </w:rPr>
        <w:t xml:space="preserve"> Excepciones – Exigencia </w:t>
      </w:r>
      <w:r w:rsidR="1DB182FA" w:rsidRPr="630EA80F">
        <w:rPr>
          <w:rFonts w:ascii="Arial" w:eastAsia="Arial" w:hAnsi="Arial" w:cs="Arial"/>
          <w:b/>
          <w:bCs/>
          <w:sz w:val="22"/>
          <w:lang w:val="es-MX"/>
        </w:rPr>
        <w:t>–</w:t>
      </w:r>
      <w:r w:rsidRPr="630EA80F">
        <w:rPr>
          <w:rFonts w:ascii="Arial" w:eastAsia="Calibri" w:hAnsi="Arial" w:cs="Arial"/>
          <w:b/>
          <w:bCs/>
          <w:sz w:val="22"/>
          <w:lang w:val="es-CO"/>
        </w:rPr>
        <w:t xml:space="preserve"> Entidades</w:t>
      </w:r>
      <w:r w:rsidR="6B796882" w:rsidRPr="630EA80F">
        <w:rPr>
          <w:rFonts w:ascii="Arial" w:eastAsia="Calibri" w:hAnsi="Arial" w:cs="Arial"/>
          <w:b/>
          <w:bCs/>
          <w:sz w:val="22"/>
          <w:lang w:val="es-CO"/>
        </w:rPr>
        <w:t xml:space="preserve"> estatales</w:t>
      </w:r>
      <w:r w:rsidRPr="630EA80F">
        <w:rPr>
          <w:rFonts w:ascii="Arial" w:eastAsia="Calibri" w:hAnsi="Arial" w:cs="Arial"/>
          <w:b/>
          <w:bCs/>
          <w:sz w:val="22"/>
          <w:lang w:val="es-CO"/>
        </w:rPr>
        <w:t xml:space="preserve"> </w:t>
      </w:r>
      <w:r w:rsidR="005664D3" w:rsidRPr="630EA80F">
        <w:rPr>
          <w:rFonts w:ascii="Arial" w:eastAsia="Calibri" w:hAnsi="Arial" w:cs="Arial"/>
          <w:b/>
          <w:bCs/>
          <w:sz w:val="22"/>
          <w:lang w:val="es-CO"/>
        </w:rPr>
        <w:t>– Contratos de Con</w:t>
      </w:r>
      <w:r w:rsidR="00116E4E" w:rsidRPr="630EA80F">
        <w:rPr>
          <w:rFonts w:ascii="Arial" w:eastAsia="Calibri" w:hAnsi="Arial" w:cs="Arial"/>
          <w:b/>
          <w:bCs/>
          <w:sz w:val="22"/>
          <w:lang w:val="es-CO"/>
        </w:rPr>
        <w:t>cesión</w:t>
      </w:r>
    </w:p>
    <w:p w14:paraId="15309A36" w14:textId="77777777" w:rsidR="00242BE3" w:rsidRPr="004F1C8A" w:rsidRDefault="00242BE3">
      <w:pPr>
        <w:jc w:val="both"/>
        <w:rPr>
          <w:rFonts w:ascii="Arial" w:eastAsia="Calibri" w:hAnsi="Arial" w:cs="Arial"/>
          <w:b/>
          <w:sz w:val="22"/>
          <w:lang w:val="es-CO"/>
        </w:rPr>
      </w:pPr>
    </w:p>
    <w:p w14:paraId="3D43AEAC" w14:textId="27500AE1" w:rsidR="00242BE3" w:rsidRDefault="00242BE3" w:rsidP="00F503A5">
      <w:pPr>
        <w:spacing w:after="120"/>
        <w:jc w:val="both"/>
        <w:rPr>
          <w:rFonts w:ascii="Arial" w:hAnsi="Arial" w:cs="Arial"/>
          <w:color w:val="000000" w:themeColor="text1"/>
          <w:sz w:val="20"/>
          <w:szCs w:val="20"/>
          <w:lang w:val="es-CO"/>
        </w:rPr>
      </w:pPr>
      <w:r w:rsidRPr="00242BE3">
        <w:rPr>
          <w:rFonts w:ascii="Arial" w:hAnsi="Arial" w:cs="Arial"/>
          <w:color w:val="000000" w:themeColor="text1"/>
          <w:sz w:val="20"/>
          <w:szCs w:val="20"/>
          <w:lang w:val="es-CO"/>
        </w:rPr>
        <w:t>[…] frente a la solicitud del RUP por parte de la entidad contratante a los proponentes exceptuados de estar inscritos en él, para esta Subdirección es claro que tal exigencia no fue establecida por el legislador; por lo tanto, no le es dable al operador jurídico limitar la concurrencia a los procesos de selección mencionados en la norma, que no son sujeto de registro ni de clasificación.</w:t>
      </w:r>
    </w:p>
    <w:p w14:paraId="1E5D0303" w14:textId="3AB846E0" w:rsidR="003B2C3E" w:rsidRPr="004F1C8A" w:rsidRDefault="003B2C3E" w:rsidP="00F503A5">
      <w:pPr>
        <w:jc w:val="both"/>
        <w:rPr>
          <w:rFonts w:ascii="Arial" w:hAnsi="Arial" w:cs="Arial"/>
          <w:color w:val="000000" w:themeColor="text1"/>
          <w:sz w:val="20"/>
          <w:szCs w:val="20"/>
          <w:lang w:val="es-CO"/>
        </w:rPr>
      </w:pPr>
      <w:r w:rsidRPr="004F1C8A">
        <w:rPr>
          <w:rFonts w:ascii="Arial" w:hAnsi="Arial" w:cs="Arial"/>
          <w:color w:val="000000" w:themeColor="text1"/>
          <w:sz w:val="20"/>
          <w:szCs w:val="20"/>
          <w:lang w:val="es-CO"/>
        </w:rPr>
        <w:t>La anterior postura tiene como base lo consagrado en el numeral 15 de la Ley 80 de 1993 en donde se señala:</w:t>
      </w:r>
      <w:r w:rsidR="001904AE">
        <w:rPr>
          <w:rFonts w:ascii="Arial" w:hAnsi="Arial" w:cs="Arial"/>
          <w:color w:val="000000" w:themeColor="text1"/>
          <w:sz w:val="20"/>
          <w:szCs w:val="20"/>
          <w:lang w:val="es-CO"/>
        </w:rPr>
        <w:t xml:space="preserve"> </w:t>
      </w:r>
      <w:r w:rsidRPr="004F1C8A">
        <w:rPr>
          <w:rFonts w:ascii="Arial" w:hAnsi="Arial" w:cs="Arial"/>
          <w:color w:val="000000" w:themeColor="text1"/>
          <w:sz w:val="20"/>
          <w:szCs w:val="20"/>
          <w:lang w:val="es-CO"/>
        </w:rPr>
        <w:t>«Las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001904AE">
        <w:rPr>
          <w:rFonts w:ascii="Arial" w:hAnsi="Arial" w:cs="Arial"/>
          <w:color w:val="000000" w:themeColor="text1"/>
          <w:sz w:val="20"/>
          <w:szCs w:val="20"/>
          <w:lang w:val="es-CO"/>
        </w:rPr>
        <w:t>.</w:t>
      </w:r>
      <w:r w:rsidRPr="004F1C8A">
        <w:rPr>
          <w:rFonts w:ascii="Arial" w:hAnsi="Arial" w:cs="Arial"/>
          <w:color w:val="000000" w:themeColor="text1"/>
          <w:sz w:val="20"/>
          <w:szCs w:val="20"/>
          <w:lang w:val="es-CO"/>
        </w:rPr>
        <w:t xml:space="preserve"> </w:t>
      </w:r>
      <w:r w:rsidR="001904AE">
        <w:rPr>
          <w:rFonts w:ascii="Arial" w:hAnsi="Arial" w:cs="Arial"/>
          <w:color w:val="000000" w:themeColor="text1"/>
          <w:sz w:val="20"/>
          <w:szCs w:val="20"/>
          <w:lang w:val="es-CO"/>
        </w:rPr>
        <w:t>E</w:t>
      </w:r>
      <w:r w:rsidRPr="004F1C8A">
        <w:rPr>
          <w:rFonts w:ascii="Arial" w:hAnsi="Arial" w:cs="Arial"/>
          <w:color w:val="000000" w:themeColor="text1"/>
          <w:sz w:val="20"/>
          <w:szCs w:val="20"/>
          <w:lang w:val="es-CO"/>
        </w:rPr>
        <w:t>n consecuencia, el inciso segundo del artículo 6 de la Ley 1150 de 2007 sustrajo de tal exigencia del registro y clasificación a los contratos enlistados con anterioridad. Adicionalmente, resulta oportuno hacer mención al numeral segundo del citado artículo del Estatuto General de</w:t>
      </w:r>
      <w:r w:rsidR="004F08B5">
        <w:rPr>
          <w:rFonts w:ascii="Arial" w:hAnsi="Arial" w:cs="Arial"/>
          <w:color w:val="000000" w:themeColor="text1"/>
          <w:sz w:val="20"/>
          <w:szCs w:val="20"/>
          <w:lang w:val="es-CO"/>
        </w:rPr>
        <w:t xml:space="preserve"> Contratación de la Administración Pública</w:t>
      </w:r>
      <w:r w:rsidRPr="004F1C8A">
        <w:rPr>
          <w:rFonts w:ascii="Arial" w:hAnsi="Arial" w:cs="Arial"/>
          <w:color w:val="000000" w:themeColor="text1"/>
          <w:sz w:val="20"/>
          <w:szCs w:val="20"/>
          <w:lang w:val="es-CO"/>
        </w:rPr>
        <w:t>, en el entendido de que las normas de los procedimientos contractuales se interpretarán de tal forma que no den ocasión a seguir trámites distintos y adicionales a los expresamente previstos, así pues, solicitar e</w:t>
      </w:r>
      <w:r w:rsidR="00C345A1">
        <w:rPr>
          <w:rFonts w:ascii="Arial" w:hAnsi="Arial" w:cs="Arial"/>
          <w:color w:val="000000" w:themeColor="text1"/>
          <w:sz w:val="20"/>
          <w:szCs w:val="20"/>
          <w:lang w:val="es-CO"/>
        </w:rPr>
        <w:t>l</w:t>
      </w:r>
      <w:r w:rsidRPr="004F1C8A">
        <w:rPr>
          <w:rFonts w:ascii="Arial" w:hAnsi="Arial" w:cs="Arial"/>
          <w:color w:val="000000" w:themeColor="text1"/>
          <w:sz w:val="20"/>
          <w:szCs w:val="20"/>
          <w:lang w:val="es-CO"/>
        </w:rPr>
        <w:t xml:space="preserve"> RUP en los casos </w:t>
      </w:r>
      <w:r w:rsidR="00C345A1">
        <w:rPr>
          <w:rFonts w:ascii="Arial" w:hAnsi="Arial" w:cs="Arial"/>
          <w:color w:val="000000" w:themeColor="text1"/>
          <w:sz w:val="20"/>
          <w:szCs w:val="20"/>
          <w:lang w:val="es-CO"/>
        </w:rPr>
        <w:t xml:space="preserve">que no lo requieren, </w:t>
      </w:r>
      <w:r w:rsidRPr="004F1C8A">
        <w:rPr>
          <w:rFonts w:ascii="Arial" w:hAnsi="Arial" w:cs="Arial"/>
          <w:color w:val="000000" w:themeColor="text1"/>
          <w:sz w:val="20"/>
          <w:szCs w:val="20"/>
          <w:lang w:val="es-CO"/>
        </w:rPr>
        <w:t>señalados en la ley, implica una interpretación restrictiva y equ</w:t>
      </w:r>
      <w:r w:rsidR="00C345A1">
        <w:rPr>
          <w:rFonts w:ascii="Arial" w:hAnsi="Arial" w:cs="Arial"/>
          <w:color w:val="000000" w:themeColor="text1"/>
          <w:sz w:val="20"/>
          <w:szCs w:val="20"/>
          <w:lang w:val="es-CO"/>
        </w:rPr>
        <w:t>í</w:t>
      </w:r>
      <w:r w:rsidRPr="004F1C8A">
        <w:rPr>
          <w:rFonts w:ascii="Arial" w:hAnsi="Arial" w:cs="Arial"/>
          <w:color w:val="000000" w:themeColor="text1"/>
          <w:sz w:val="20"/>
          <w:szCs w:val="20"/>
          <w:lang w:val="es-CO"/>
        </w:rPr>
        <w:t xml:space="preserve">voca de los postulados normativos, que limita la concurrencia de oferentes a los procesos de selección. Como se </w:t>
      </w:r>
      <w:r w:rsidR="004F1C8A" w:rsidRPr="004F1C8A">
        <w:rPr>
          <w:rFonts w:ascii="Arial" w:hAnsi="Arial" w:cs="Arial"/>
          <w:color w:val="000000" w:themeColor="text1"/>
          <w:sz w:val="20"/>
          <w:szCs w:val="20"/>
          <w:lang w:val="es-CO"/>
        </w:rPr>
        <w:t>explicó</w:t>
      </w:r>
      <w:r w:rsidRPr="004F1C8A">
        <w:rPr>
          <w:rFonts w:ascii="Arial" w:hAnsi="Arial" w:cs="Arial"/>
          <w:color w:val="000000" w:themeColor="text1"/>
          <w:sz w:val="20"/>
          <w:szCs w:val="20"/>
          <w:lang w:val="es-CO"/>
        </w:rPr>
        <w:t xml:space="preserve"> en apartes superiores, la entidad puede disponer de otros mecanismos idóneos, ajenos al RUP, para verificar las condiciones de capacidad jurídica, técnica, financiera y organizacional de los oferentes. </w:t>
      </w:r>
    </w:p>
    <w:p w14:paraId="2BA1391E" w14:textId="22E53812" w:rsidR="002C2D5A" w:rsidRPr="002C2D5A" w:rsidRDefault="002C2D5A" w:rsidP="002C2D5A">
      <w:pPr>
        <w:autoSpaceDE w:val="0"/>
        <w:autoSpaceDN w:val="0"/>
        <w:adjustRightInd w:val="0"/>
        <w:rPr>
          <w:rFonts w:ascii="Arial" w:hAnsi="Arial" w:cs="Arial"/>
          <w:color w:val="000000"/>
          <w:sz w:val="20"/>
          <w:szCs w:val="20"/>
          <w:lang w:val="es-CO"/>
        </w:rPr>
      </w:pPr>
    </w:p>
    <w:p w14:paraId="4EA4BE04" w14:textId="77777777" w:rsidR="002C2D5A" w:rsidRPr="002C2D5A" w:rsidRDefault="002C2D5A" w:rsidP="002C2D5A">
      <w:pPr>
        <w:autoSpaceDE w:val="0"/>
        <w:autoSpaceDN w:val="0"/>
        <w:adjustRightInd w:val="0"/>
        <w:rPr>
          <w:rFonts w:ascii="Arial" w:hAnsi="Arial" w:cs="Arial"/>
          <w:color w:val="000000"/>
          <w:sz w:val="20"/>
          <w:szCs w:val="20"/>
          <w:lang w:val="es-CO"/>
        </w:rPr>
      </w:pPr>
    </w:p>
    <w:p w14:paraId="788E3AE5" w14:textId="025215C0" w:rsidR="0064295D" w:rsidRPr="004F1C8A" w:rsidRDefault="002C2D5A" w:rsidP="002C2D5A">
      <w:pPr>
        <w:rPr>
          <w:rFonts w:ascii="Arial" w:hAnsi="Arial" w:cs="Arial"/>
          <w:b/>
          <w:sz w:val="22"/>
          <w:lang w:val="es-CO"/>
        </w:rPr>
      </w:pPr>
      <w:r w:rsidRPr="002C2D5A">
        <w:rPr>
          <w:rFonts w:ascii="Arial" w:hAnsi="Arial" w:cs="Arial"/>
          <w:color w:val="000000"/>
          <w:sz w:val="22"/>
          <w:lang w:val="es-CO"/>
        </w:rPr>
        <w:t xml:space="preserve">Bogotá D.C., </w:t>
      </w:r>
      <w:r w:rsidRPr="002C2D5A">
        <w:rPr>
          <w:rFonts w:ascii="Arial" w:hAnsi="Arial" w:cs="Arial"/>
          <w:b/>
          <w:bCs/>
          <w:color w:val="000000"/>
          <w:sz w:val="22"/>
          <w:lang w:val="es-CO"/>
        </w:rPr>
        <w:t>30/06/2020 Hora 20:15:59s</w:t>
      </w:r>
    </w:p>
    <w:p w14:paraId="6D7166A6" w14:textId="3E0A72E1" w:rsidR="0064295D" w:rsidRPr="004F1C8A" w:rsidRDefault="0064295D" w:rsidP="0064295D">
      <w:pPr>
        <w:jc w:val="right"/>
        <w:rPr>
          <w:rFonts w:ascii="Arial" w:hAnsi="Arial" w:cs="Arial"/>
          <w:b/>
          <w:sz w:val="22"/>
          <w:lang w:val="es-CO"/>
        </w:rPr>
      </w:pPr>
      <w:proofErr w:type="spellStart"/>
      <w:r w:rsidRPr="004F1C8A">
        <w:rPr>
          <w:rFonts w:ascii="Arial" w:hAnsi="Arial" w:cs="Arial"/>
          <w:b/>
          <w:sz w:val="22"/>
          <w:lang w:val="es-CO"/>
        </w:rPr>
        <w:t>N°</w:t>
      </w:r>
      <w:proofErr w:type="spellEnd"/>
      <w:r w:rsidRPr="004F1C8A">
        <w:rPr>
          <w:rFonts w:ascii="Arial" w:hAnsi="Arial" w:cs="Arial"/>
          <w:b/>
          <w:sz w:val="22"/>
          <w:lang w:val="es-CO"/>
        </w:rPr>
        <w:t xml:space="preserve"> Radicado: </w:t>
      </w:r>
      <w:r w:rsidR="0078680D">
        <w:rPr>
          <w:rFonts w:ascii="Arial" w:hAnsi="Arial" w:cs="Arial"/>
          <w:b/>
          <w:sz w:val="22"/>
          <w:lang w:val="es-CO"/>
        </w:rPr>
        <w:t>2202013000005634</w:t>
      </w:r>
    </w:p>
    <w:p w14:paraId="3FC2DC10" w14:textId="77777777" w:rsidR="002C2D5A" w:rsidRDefault="002C2D5A" w:rsidP="00A97435">
      <w:pPr>
        <w:pStyle w:val="Sinespaciado"/>
        <w:rPr>
          <w:rFonts w:ascii="Arial" w:hAnsi="Arial" w:cs="Arial"/>
          <w:color w:val="000000" w:themeColor="text1"/>
          <w:sz w:val="22"/>
          <w:lang w:val="es-CO"/>
        </w:rPr>
      </w:pPr>
    </w:p>
    <w:p w14:paraId="506C3D03" w14:textId="0C9809F6" w:rsidR="001215D3" w:rsidRPr="004F1C8A" w:rsidRDefault="00E6565C" w:rsidP="00A97435">
      <w:pPr>
        <w:pStyle w:val="Sinespaciado"/>
        <w:rPr>
          <w:rFonts w:ascii="Arial" w:hAnsi="Arial" w:cs="Arial"/>
          <w:color w:val="000000" w:themeColor="text1"/>
          <w:sz w:val="22"/>
          <w:lang w:val="es-CO"/>
        </w:rPr>
      </w:pPr>
      <w:r w:rsidRPr="004F1C8A">
        <w:rPr>
          <w:rFonts w:ascii="Arial" w:hAnsi="Arial" w:cs="Arial"/>
          <w:color w:val="000000" w:themeColor="text1"/>
          <w:sz w:val="22"/>
          <w:lang w:val="es-CO"/>
        </w:rPr>
        <w:t>Señor</w:t>
      </w:r>
    </w:p>
    <w:p w14:paraId="0144FCCB" w14:textId="7AA4F41F" w:rsidR="006C10B1" w:rsidRPr="004F1C8A" w:rsidRDefault="007A6994" w:rsidP="00A97435">
      <w:pPr>
        <w:pStyle w:val="Sinespaciado"/>
        <w:rPr>
          <w:rFonts w:ascii="Arial" w:hAnsi="Arial" w:cs="Arial"/>
          <w:b/>
          <w:bCs/>
          <w:color w:val="000000" w:themeColor="text1"/>
          <w:sz w:val="22"/>
          <w:lang w:val="es-CO"/>
        </w:rPr>
      </w:pPr>
      <w:proofErr w:type="spellStart"/>
      <w:r w:rsidRPr="004F1C8A">
        <w:rPr>
          <w:rFonts w:ascii="Arial" w:hAnsi="Arial" w:cs="Arial"/>
          <w:b/>
          <w:bCs/>
          <w:color w:val="000000" w:themeColor="text1"/>
          <w:sz w:val="22"/>
          <w:lang w:val="es-CO"/>
        </w:rPr>
        <w:t>Hector</w:t>
      </w:r>
      <w:proofErr w:type="spellEnd"/>
      <w:r w:rsidRPr="004F1C8A">
        <w:rPr>
          <w:rFonts w:ascii="Arial" w:hAnsi="Arial" w:cs="Arial"/>
          <w:b/>
          <w:bCs/>
          <w:color w:val="000000" w:themeColor="text1"/>
          <w:sz w:val="22"/>
          <w:lang w:val="es-CO"/>
        </w:rPr>
        <w:t xml:space="preserve"> Andrés Moreno</w:t>
      </w:r>
      <w:r w:rsidRPr="004F1C8A">
        <w:rPr>
          <w:rFonts w:ascii="Arial" w:hAnsi="Arial" w:cs="Arial"/>
          <w:b/>
          <w:bCs/>
          <w:color w:val="000000" w:themeColor="text1"/>
          <w:sz w:val="22"/>
          <w:lang w:val="es-CO"/>
        </w:rPr>
        <w:tab/>
      </w:r>
      <w:r w:rsidRPr="004F1C8A">
        <w:rPr>
          <w:rFonts w:ascii="Arial" w:hAnsi="Arial" w:cs="Arial"/>
          <w:b/>
          <w:bCs/>
          <w:color w:val="000000" w:themeColor="text1"/>
          <w:sz w:val="22"/>
          <w:lang w:val="es-CO"/>
        </w:rPr>
        <w:tab/>
      </w:r>
    </w:p>
    <w:p w14:paraId="359C48BE" w14:textId="64213027" w:rsidR="00A37FB6" w:rsidRPr="004F1C8A" w:rsidRDefault="007A6994" w:rsidP="00A97435">
      <w:pPr>
        <w:pStyle w:val="Sinespaciado"/>
        <w:rPr>
          <w:rFonts w:ascii="Arial" w:hAnsi="Arial" w:cs="Arial"/>
          <w:color w:val="000000" w:themeColor="text1"/>
          <w:sz w:val="22"/>
          <w:lang w:val="es-CO"/>
        </w:rPr>
      </w:pPr>
      <w:r w:rsidRPr="004F1C8A">
        <w:rPr>
          <w:rFonts w:ascii="Arial" w:hAnsi="Arial" w:cs="Arial"/>
          <w:color w:val="000000" w:themeColor="text1"/>
          <w:sz w:val="22"/>
          <w:lang w:val="es-CO"/>
        </w:rPr>
        <w:t xml:space="preserve">Bogotá D.C </w:t>
      </w:r>
    </w:p>
    <w:p w14:paraId="479F6A3A" w14:textId="093E3813" w:rsidR="00A37FB6" w:rsidRPr="004F1C8A" w:rsidRDefault="00AD1B0F" w:rsidP="008A2025">
      <w:pPr>
        <w:spacing w:before="120" w:after="120" w:line="276" w:lineRule="auto"/>
        <w:jc w:val="center"/>
        <w:rPr>
          <w:rFonts w:ascii="Arial" w:eastAsia="Calibri" w:hAnsi="Arial" w:cs="Arial"/>
          <w:b/>
          <w:color w:val="000000" w:themeColor="text1"/>
          <w:sz w:val="22"/>
          <w:lang w:val="es-CO"/>
        </w:rPr>
      </w:pPr>
      <w:r w:rsidRPr="004F1C8A">
        <w:rPr>
          <w:rFonts w:ascii="Arial" w:eastAsia="Calibri" w:hAnsi="Arial" w:cs="Arial"/>
          <w:b/>
          <w:color w:val="000000" w:themeColor="text1"/>
          <w:sz w:val="22"/>
          <w:lang w:val="es-CO"/>
        </w:rPr>
        <w:t>Concepto C</w:t>
      </w:r>
      <w:r w:rsidRPr="004F1C8A">
        <w:rPr>
          <w:rFonts w:ascii="Arial" w:eastAsia="Calibri" w:hAnsi="Arial" w:cs="Arial"/>
          <w:color w:val="000000" w:themeColor="text1"/>
          <w:sz w:val="22"/>
          <w:lang w:val="es-CO"/>
        </w:rPr>
        <w:t xml:space="preserve"> ─</w:t>
      </w:r>
      <w:r w:rsidRPr="004F1C8A">
        <w:rPr>
          <w:rFonts w:ascii="Arial" w:eastAsia="Calibri" w:hAnsi="Arial" w:cs="Arial"/>
          <w:b/>
          <w:color w:val="000000" w:themeColor="text1"/>
          <w:sz w:val="22"/>
          <w:lang w:val="es-CO"/>
        </w:rPr>
        <w:t xml:space="preserve"> </w:t>
      </w:r>
      <w:r w:rsidR="007A6994" w:rsidRPr="004F1C8A">
        <w:rPr>
          <w:rFonts w:ascii="Arial" w:eastAsia="Calibri" w:hAnsi="Arial" w:cs="Arial"/>
          <w:b/>
          <w:color w:val="000000" w:themeColor="text1"/>
          <w:sz w:val="22"/>
          <w:lang w:val="es-CO"/>
        </w:rPr>
        <w:t>400</w:t>
      </w:r>
      <w:r w:rsidR="00A37FB6" w:rsidRPr="004F1C8A">
        <w:rPr>
          <w:rFonts w:ascii="Arial" w:eastAsia="Calibri" w:hAnsi="Arial" w:cs="Arial"/>
          <w:b/>
          <w:color w:val="000000" w:themeColor="text1"/>
          <w:sz w:val="22"/>
          <w:lang w:val="es-CO"/>
        </w:rPr>
        <w:t xml:space="preserve"> de 2020</w:t>
      </w:r>
    </w:p>
    <w:p w14:paraId="49BB1EAB" w14:textId="77777777" w:rsidR="00A37FB6" w:rsidRPr="004F1C8A" w:rsidRDefault="00A37FB6" w:rsidP="008A2025">
      <w:pPr>
        <w:spacing w:before="120" w:after="120" w:line="276" w:lineRule="auto"/>
        <w:rPr>
          <w:rFonts w:ascii="Arial" w:eastAsia="Calibri" w:hAnsi="Arial" w:cs="Arial"/>
          <w:color w:val="000000" w:themeColor="text1"/>
          <w:sz w:val="22"/>
          <w:lang w:val="es-CO"/>
        </w:rPr>
      </w:pPr>
    </w:p>
    <w:tbl>
      <w:tblPr>
        <w:tblStyle w:val="Tablaconcuadrcula"/>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4"/>
        <w:gridCol w:w="6206"/>
      </w:tblGrid>
      <w:tr w:rsidR="004D58A4" w:rsidRPr="004F1C8A" w14:paraId="20C2FA60" w14:textId="77777777" w:rsidTr="004D58A4">
        <w:trPr>
          <w:trHeight w:val="1006"/>
        </w:trPr>
        <w:tc>
          <w:tcPr>
            <w:tcW w:w="2614" w:type="dxa"/>
            <w:hideMark/>
          </w:tcPr>
          <w:p w14:paraId="2A9459AB" w14:textId="77777777" w:rsidR="00A37FB6" w:rsidRPr="004F1C8A" w:rsidRDefault="00A37FB6" w:rsidP="008A2025">
            <w:pPr>
              <w:spacing w:before="120" w:after="120" w:line="276" w:lineRule="auto"/>
              <w:rPr>
                <w:rFonts w:ascii="Arial" w:eastAsia="Calibri" w:hAnsi="Arial" w:cs="Arial"/>
                <w:color w:val="000000" w:themeColor="text1"/>
                <w:sz w:val="22"/>
                <w:lang w:val="es-CO"/>
              </w:rPr>
            </w:pPr>
            <w:r w:rsidRPr="004F1C8A">
              <w:rPr>
                <w:rFonts w:ascii="Arial" w:eastAsia="Calibri" w:hAnsi="Arial" w:cs="Arial"/>
                <w:b/>
                <w:color w:val="000000" w:themeColor="text1"/>
                <w:sz w:val="22"/>
                <w:lang w:val="es-CO"/>
              </w:rPr>
              <w:t>Temas:</w:t>
            </w:r>
            <w:r w:rsidRPr="004F1C8A">
              <w:rPr>
                <w:rFonts w:ascii="Arial" w:eastAsia="Calibri" w:hAnsi="Arial" w:cs="Arial"/>
                <w:color w:val="000000" w:themeColor="text1"/>
                <w:sz w:val="22"/>
                <w:lang w:val="es-CO"/>
              </w:rPr>
              <w:t xml:space="preserve">           </w:t>
            </w:r>
          </w:p>
          <w:p w14:paraId="1840BCE8" w14:textId="77777777" w:rsidR="00A37FB6" w:rsidRPr="004F1C8A" w:rsidRDefault="00A37FB6" w:rsidP="008A2025">
            <w:pPr>
              <w:spacing w:before="120" w:after="120" w:line="276" w:lineRule="auto"/>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t xml:space="preserve">                           </w:t>
            </w:r>
          </w:p>
        </w:tc>
        <w:tc>
          <w:tcPr>
            <w:tcW w:w="6206" w:type="dxa"/>
            <w:hideMark/>
          </w:tcPr>
          <w:p w14:paraId="2AF66729" w14:textId="295AA9CC" w:rsidR="00D306D7" w:rsidRPr="004F1C8A" w:rsidRDefault="00D306D7" w:rsidP="00D306D7">
            <w:pPr>
              <w:jc w:val="both"/>
              <w:rPr>
                <w:rFonts w:ascii="Arial" w:eastAsia="Calibri" w:hAnsi="Arial" w:cs="Arial"/>
                <w:sz w:val="22"/>
                <w:lang w:val="es-CO"/>
              </w:rPr>
            </w:pPr>
            <w:r w:rsidRPr="004F1C8A">
              <w:rPr>
                <w:rFonts w:ascii="Arial" w:eastAsia="Calibri" w:hAnsi="Arial" w:cs="Arial"/>
                <w:color w:val="000000" w:themeColor="text1"/>
                <w:sz w:val="22"/>
                <w:lang w:val="es-CO"/>
              </w:rPr>
              <w:t xml:space="preserve">EXPERIENCIA – Registro Único de Proponentes – Forma de Acreditación / </w:t>
            </w:r>
            <w:r w:rsidRPr="004F1C8A">
              <w:rPr>
                <w:rFonts w:ascii="Arial" w:hAnsi="Arial" w:cs="Arial"/>
                <w:color w:val="000000" w:themeColor="text1"/>
                <w:sz w:val="22"/>
                <w:lang w:val="es-CO"/>
              </w:rPr>
              <w:t xml:space="preserve">EXPERIENCIA – Nociones Generales – Registro Único de Proponentes – Exceptuados de inscripción / </w:t>
            </w:r>
            <w:r w:rsidRPr="004F1C8A">
              <w:rPr>
                <w:rFonts w:ascii="Arial" w:eastAsia="Calibri" w:hAnsi="Arial" w:cs="Arial"/>
                <w:sz w:val="22"/>
                <w:lang w:val="es-CO"/>
              </w:rPr>
              <w:t xml:space="preserve">REGISTRO ÚNICO DE PROPONENTES </w:t>
            </w:r>
            <w:r w:rsidRPr="004F1C8A">
              <w:rPr>
                <w:rFonts w:ascii="Arial" w:eastAsia="Calibri" w:hAnsi="Arial" w:cs="Arial"/>
                <w:color w:val="000000" w:themeColor="text1"/>
                <w:sz w:val="22"/>
                <w:lang w:val="es-CO"/>
              </w:rPr>
              <w:t>–</w:t>
            </w:r>
            <w:r w:rsidRPr="004F1C8A">
              <w:rPr>
                <w:rFonts w:ascii="Arial" w:eastAsia="Calibri" w:hAnsi="Arial" w:cs="Arial"/>
                <w:sz w:val="22"/>
                <w:lang w:val="es-CO"/>
              </w:rPr>
              <w:t xml:space="preserve"> Sujetos obligados </w:t>
            </w:r>
            <w:r w:rsidRPr="004F1C8A">
              <w:rPr>
                <w:rFonts w:ascii="Arial" w:eastAsia="Calibri" w:hAnsi="Arial" w:cs="Arial"/>
                <w:color w:val="000000" w:themeColor="text1"/>
                <w:sz w:val="22"/>
                <w:lang w:val="es-CO"/>
              </w:rPr>
              <w:t>–</w:t>
            </w:r>
            <w:r w:rsidRPr="004F1C8A">
              <w:rPr>
                <w:rFonts w:ascii="Arial" w:eastAsia="Calibri" w:hAnsi="Arial" w:cs="Arial"/>
                <w:sz w:val="22"/>
                <w:lang w:val="es-CO"/>
              </w:rPr>
              <w:t xml:space="preserve"> Lugar de inscripción / REGISTRO ÚNICO DE PROPONENTES </w:t>
            </w:r>
            <w:r w:rsidRPr="004F1C8A">
              <w:rPr>
                <w:rFonts w:ascii="Arial" w:eastAsia="Calibri" w:hAnsi="Arial" w:cs="Arial"/>
                <w:color w:val="000000" w:themeColor="text1"/>
                <w:sz w:val="22"/>
                <w:lang w:val="es-CO"/>
              </w:rPr>
              <w:t>–</w:t>
            </w:r>
            <w:r w:rsidRPr="004F1C8A">
              <w:rPr>
                <w:rFonts w:ascii="Arial" w:eastAsia="Calibri" w:hAnsi="Arial" w:cs="Arial"/>
                <w:sz w:val="22"/>
                <w:lang w:val="es-CO"/>
              </w:rPr>
              <w:t xml:space="preserve"> Excepciones </w:t>
            </w:r>
            <w:r w:rsidRPr="004F1C8A">
              <w:rPr>
                <w:rFonts w:ascii="Arial" w:eastAsia="Calibri" w:hAnsi="Arial" w:cs="Arial"/>
                <w:color w:val="000000" w:themeColor="text1"/>
                <w:sz w:val="22"/>
                <w:lang w:val="es-CO"/>
              </w:rPr>
              <w:t>–</w:t>
            </w:r>
            <w:r w:rsidRPr="004F1C8A">
              <w:rPr>
                <w:rFonts w:ascii="Arial" w:eastAsia="Calibri" w:hAnsi="Arial" w:cs="Arial"/>
                <w:sz w:val="22"/>
                <w:lang w:val="es-CO"/>
              </w:rPr>
              <w:t xml:space="preserve"> Verificación sin RUP / REGISTRO ÚNICO DE PROPONENTES </w:t>
            </w:r>
            <w:r w:rsidRPr="004F1C8A">
              <w:rPr>
                <w:rFonts w:ascii="Arial" w:eastAsia="Calibri" w:hAnsi="Arial" w:cs="Arial"/>
                <w:color w:val="000000" w:themeColor="text1"/>
                <w:sz w:val="22"/>
                <w:lang w:val="es-CO"/>
              </w:rPr>
              <w:t>–</w:t>
            </w:r>
            <w:r w:rsidRPr="004F1C8A">
              <w:rPr>
                <w:rFonts w:ascii="Arial" w:eastAsia="Calibri" w:hAnsi="Arial" w:cs="Arial"/>
                <w:sz w:val="22"/>
                <w:lang w:val="es-CO"/>
              </w:rPr>
              <w:t xml:space="preserve"> Excepciones – Exigencia por parte de Entidades </w:t>
            </w:r>
          </w:p>
          <w:p w14:paraId="2F11DE4D" w14:textId="49E057D3" w:rsidR="00D306D7" w:rsidRPr="004F1C8A" w:rsidRDefault="00D306D7" w:rsidP="00D306D7">
            <w:pPr>
              <w:jc w:val="both"/>
              <w:rPr>
                <w:rFonts w:ascii="Arial" w:eastAsia="Calibri" w:hAnsi="Arial" w:cs="Arial"/>
                <w:b/>
                <w:bCs/>
                <w:color w:val="000000" w:themeColor="text1"/>
                <w:sz w:val="22"/>
                <w:lang w:val="es-CO"/>
              </w:rPr>
            </w:pPr>
          </w:p>
          <w:p w14:paraId="069BC436" w14:textId="30F7D778" w:rsidR="00A37FB6" w:rsidRPr="004F1C8A" w:rsidRDefault="00A37FB6" w:rsidP="003A3A09">
            <w:pPr>
              <w:jc w:val="both"/>
              <w:rPr>
                <w:rFonts w:ascii="Arial" w:hAnsi="Arial" w:cs="Arial"/>
                <w:color w:val="000000" w:themeColor="text1"/>
                <w:sz w:val="22"/>
                <w:highlight w:val="yellow"/>
                <w:lang w:val="es-CO"/>
              </w:rPr>
            </w:pPr>
          </w:p>
        </w:tc>
      </w:tr>
      <w:tr w:rsidR="004D58A4" w:rsidRPr="004F1C8A" w14:paraId="62473A71" w14:textId="77777777" w:rsidTr="004D58A4">
        <w:trPr>
          <w:trHeight w:val="521"/>
        </w:trPr>
        <w:tc>
          <w:tcPr>
            <w:tcW w:w="2614" w:type="dxa"/>
          </w:tcPr>
          <w:p w14:paraId="730BF589" w14:textId="77777777" w:rsidR="00A37FB6" w:rsidRPr="004F1C8A" w:rsidRDefault="00A37FB6" w:rsidP="008A2025">
            <w:pPr>
              <w:spacing w:before="120" w:after="120" w:line="276" w:lineRule="auto"/>
              <w:rPr>
                <w:rFonts w:ascii="Arial" w:eastAsia="Calibri" w:hAnsi="Arial" w:cs="Arial"/>
                <w:b/>
                <w:color w:val="000000" w:themeColor="text1"/>
                <w:sz w:val="22"/>
                <w:lang w:val="es-CO"/>
              </w:rPr>
            </w:pPr>
            <w:r w:rsidRPr="004F1C8A">
              <w:rPr>
                <w:rFonts w:ascii="Arial" w:eastAsia="Calibri" w:hAnsi="Arial" w:cs="Arial"/>
                <w:b/>
                <w:color w:val="000000" w:themeColor="text1"/>
                <w:sz w:val="22"/>
                <w:lang w:val="es-CO"/>
              </w:rPr>
              <w:t>Radicación:</w:t>
            </w:r>
            <w:r w:rsidRPr="004F1C8A">
              <w:rPr>
                <w:rFonts w:ascii="Arial" w:eastAsia="Calibri" w:hAnsi="Arial" w:cs="Arial"/>
                <w:color w:val="000000" w:themeColor="text1"/>
                <w:sz w:val="22"/>
                <w:lang w:val="es-CO"/>
              </w:rPr>
              <w:t xml:space="preserve">                              </w:t>
            </w:r>
          </w:p>
        </w:tc>
        <w:tc>
          <w:tcPr>
            <w:tcW w:w="6206" w:type="dxa"/>
          </w:tcPr>
          <w:p w14:paraId="2CD77F9B" w14:textId="34298D26" w:rsidR="00A37FB6" w:rsidRPr="004F1C8A" w:rsidRDefault="00AD1B0F" w:rsidP="008A2025">
            <w:pPr>
              <w:spacing w:before="120" w:after="120" w:line="276" w:lineRule="auto"/>
              <w:jc w:val="both"/>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t>Respuesta a consulta #</w:t>
            </w:r>
            <w:r w:rsidR="007A6994" w:rsidRPr="004F1C8A">
              <w:rPr>
                <w:rFonts w:ascii="Arial" w:eastAsia="Calibri" w:hAnsi="Arial" w:cs="Arial"/>
                <w:color w:val="000000" w:themeColor="text1"/>
                <w:sz w:val="22"/>
                <w:lang w:val="es-CO"/>
              </w:rPr>
              <w:t xml:space="preserve"> 4202012000004502</w:t>
            </w:r>
          </w:p>
        </w:tc>
      </w:tr>
    </w:tbl>
    <w:p w14:paraId="11CC0E21" w14:textId="77777777" w:rsidR="00965ED6" w:rsidRPr="004F1C8A" w:rsidRDefault="00965ED6" w:rsidP="00DB22BC">
      <w:pPr>
        <w:spacing w:line="276" w:lineRule="auto"/>
        <w:rPr>
          <w:rFonts w:ascii="Arial" w:eastAsia="Calibri" w:hAnsi="Arial" w:cs="Arial"/>
          <w:color w:val="000000" w:themeColor="text1"/>
          <w:sz w:val="22"/>
          <w:lang w:val="es-CO"/>
        </w:rPr>
      </w:pPr>
    </w:p>
    <w:p w14:paraId="2F0DA2F5" w14:textId="311C802C" w:rsidR="00A37FB6" w:rsidRPr="004F1C8A" w:rsidRDefault="00E6565C" w:rsidP="00DB22BC">
      <w:pPr>
        <w:spacing w:line="276" w:lineRule="auto"/>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t>Estimado</w:t>
      </w:r>
      <w:r w:rsidR="00834F2E" w:rsidRPr="004F1C8A">
        <w:rPr>
          <w:rFonts w:ascii="Arial" w:eastAsia="Calibri" w:hAnsi="Arial" w:cs="Arial"/>
          <w:color w:val="000000" w:themeColor="text1"/>
          <w:sz w:val="22"/>
          <w:lang w:val="es-CO"/>
        </w:rPr>
        <w:t xml:space="preserve"> señor</w:t>
      </w:r>
      <w:r w:rsidR="00F93FC0" w:rsidRPr="004F1C8A">
        <w:rPr>
          <w:rFonts w:ascii="Arial" w:eastAsia="Calibri" w:hAnsi="Arial" w:cs="Arial"/>
          <w:color w:val="000000" w:themeColor="text1"/>
          <w:sz w:val="22"/>
          <w:lang w:val="es-CO"/>
        </w:rPr>
        <w:t xml:space="preserve"> </w:t>
      </w:r>
      <w:r w:rsidR="007A6994" w:rsidRPr="004F1C8A">
        <w:rPr>
          <w:rFonts w:ascii="Arial" w:eastAsia="Calibri" w:hAnsi="Arial" w:cs="Arial"/>
          <w:color w:val="000000" w:themeColor="text1"/>
          <w:sz w:val="22"/>
          <w:lang w:val="es-CO"/>
        </w:rPr>
        <w:t>Moreno</w:t>
      </w:r>
      <w:r w:rsidR="00F93FC0" w:rsidRPr="004F1C8A">
        <w:rPr>
          <w:rFonts w:ascii="Arial" w:eastAsia="Calibri" w:hAnsi="Arial" w:cs="Arial"/>
          <w:color w:val="000000" w:themeColor="text1"/>
          <w:sz w:val="22"/>
          <w:lang w:val="es-CO"/>
        </w:rPr>
        <w:t>:</w:t>
      </w:r>
    </w:p>
    <w:p w14:paraId="5C46C846" w14:textId="77777777" w:rsidR="00965ED6" w:rsidRPr="004F1C8A" w:rsidRDefault="00965ED6" w:rsidP="00DB22BC">
      <w:pPr>
        <w:spacing w:line="276" w:lineRule="auto"/>
        <w:rPr>
          <w:rFonts w:ascii="Arial" w:eastAsia="Calibri" w:hAnsi="Arial" w:cs="Arial"/>
          <w:color w:val="000000" w:themeColor="text1"/>
          <w:sz w:val="22"/>
          <w:lang w:val="es-CO"/>
        </w:rPr>
      </w:pPr>
    </w:p>
    <w:p w14:paraId="7C0ECF63" w14:textId="6641DB3F" w:rsidR="00DB22BC" w:rsidRPr="004F1C8A" w:rsidRDefault="00A37FB6" w:rsidP="00965ED6">
      <w:pPr>
        <w:spacing w:line="276" w:lineRule="auto"/>
        <w:ind w:right="49"/>
        <w:jc w:val="both"/>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lastRenderedPageBreak/>
        <w:t xml:space="preserve">La Agencia Nacional de Contratación Pública ―Colombia Compra Eficiente― responde su consulta </w:t>
      </w:r>
      <w:r w:rsidR="004141CB" w:rsidRPr="004F1C8A">
        <w:rPr>
          <w:rFonts w:ascii="Arial" w:eastAsia="Calibri" w:hAnsi="Arial" w:cs="Arial"/>
          <w:color w:val="000000" w:themeColor="text1"/>
          <w:sz w:val="22"/>
          <w:lang w:val="es-CO"/>
        </w:rPr>
        <w:t>del</w:t>
      </w:r>
      <w:r w:rsidR="009D270F" w:rsidRPr="004F1C8A">
        <w:rPr>
          <w:rFonts w:ascii="Arial" w:eastAsia="Calibri" w:hAnsi="Arial" w:cs="Arial"/>
          <w:color w:val="000000" w:themeColor="text1"/>
          <w:sz w:val="22"/>
          <w:lang w:val="es-CO"/>
        </w:rPr>
        <w:t xml:space="preserve"> </w:t>
      </w:r>
      <w:r w:rsidR="007A6994" w:rsidRPr="004F1C8A">
        <w:rPr>
          <w:rFonts w:ascii="Arial" w:eastAsia="Calibri" w:hAnsi="Arial" w:cs="Arial"/>
          <w:color w:val="000000" w:themeColor="text1"/>
          <w:sz w:val="22"/>
          <w:lang w:val="es-CO"/>
        </w:rPr>
        <w:t xml:space="preserve">03 de </w:t>
      </w:r>
      <w:r w:rsidR="00C94F14" w:rsidRPr="004F1C8A">
        <w:rPr>
          <w:rFonts w:ascii="Arial" w:eastAsia="Calibri" w:hAnsi="Arial" w:cs="Arial"/>
          <w:color w:val="000000" w:themeColor="text1"/>
          <w:sz w:val="22"/>
          <w:lang w:val="es-CO"/>
        </w:rPr>
        <w:t>junio de</w:t>
      </w:r>
      <w:r w:rsidR="004141CB" w:rsidRPr="004F1C8A">
        <w:rPr>
          <w:rFonts w:ascii="Arial" w:eastAsia="Calibri" w:hAnsi="Arial" w:cs="Arial"/>
          <w:color w:val="000000" w:themeColor="text1"/>
          <w:sz w:val="22"/>
          <w:lang w:val="es-CO"/>
        </w:rPr>
        <w:t xml:space="preserve"> 2020</w:t>
      </w:r>
      <w:r w:rsidRPr="004F1C8A">
        <w:rPr>
          <w:rFonts w:ascii="Arial" w:eastAsia="Calibri" w:hAnsi="Arial" w:cs="Arial"/>
          <w:color w:val="000000" w:themeColor="text1"/>
          <w:sz w:val="22"/>
          <w:lang w:val="es-CO"/>
        </w:rPr>
        <w:t xml:space="preserve">, en ejercicio de la competencia otorgada por el numeral 8 del artículo 11 y el numeral 5 del artículo 3 del Decreto Ley 4170 de 2011. </w:t>
      </w:r>
    </w:p>
    <w:p w14:paraId="59939D73" w14:textId="77777777" w:rsidR="009D270F" w:rsidRPr="004F1C8A" w:rsidRDefault="009D270F" w:rsidP="00DB22BC">
      <w:pPr>
        <w:pStyle w:val="Prrafodelista"/>
        <w:tabs>
          <w:tab w:val="left" w:pos="284"/>
        </w:tabs>
        <w:spacing w:line="276" w:lineRule="auto"/>
        <w:ind w:left="0"/>
        <w:contextualSpacing w:val="0"/>
        <w:jc w:val="both"/>
        <w:rPr>
          <w:rFonts w:ascii="Arial" w:eastAsia="Calibri" w:hAnsi="Arial" w:cs="Arial"/>
          <w:b/>
          <w:color w:val="000000" w:themeColor="text1"/>
          <w:sz w:val="22"/>
          <w:lang w:val="es-CO"/>
        </w:rPr>
      </w:pPr>
    </w:p>
    <w:p w14:paraId="737E2623" w14:textId="77777777" w:rsidR="00A37FB6" w:rsidRPr="004F1C8A" w:rsidRDefault="00A37FB6" w:rsidP="00DB22BC">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lang w:val="es-CO"/>
        </w:rPr>
      </w:pPr>
      <w:r w:rsidRPr="004F1C8A">
        <w:rPr>
          <w:rFonts w:ascii="Arial" w:eastAsia="Calibri" w:hAnsi="Arial" w:cs="Arial"/>
          <w:b/>
          <w:color w:val="000000" w:themeColor="text1"/>
          <w:sz w:val="22"/>
          <w:lang w:val="es-CO"/>
        </w:rPr>
        <w:t xml:space="preserve">Problemas planteados </w:t>
      </w:r>
    </w:p>
    <w:p w14:paraId="498A026D" w14:textId="77777777" w:rsidR="00A37FB6" w:rsidRPr="004F1C8A" w:rsidRDefault="00A37FB6" w:rsidP="00DB22BC">
      <w:pPr>
        <w:tabs>
          <w:tab w:val="left" w:pos="426"/>
        </w:tabs>
        <w:spacing w:line="276" w:lineRule="auto"/>
        <w:jc w:val="both"/>
        <w:rPr>
          <w:rFonts w:ascii="Arial" w:eastAsia="Calibri" w:hAnsi="Arial" w:cs="Arial"/>
          <w:b/>
          <w:color w:val="000000" w:themeColor="text1"/>
          <w:sz w:val="22"/>
          <w:lang w:val="es-CO"/>
        </w:rPr>
      </w:pPr>
    </w:p>
    <w:p w14:paraId="1EE37290" w14:textId="4A83CEE0" w:rsidR="00B06B88" w:rsidRPr="007B7725" w:rsidRDefault="00A012AD" w:rsidP="007B7725">
      <w:pPr>
        <w:spacing w:line="276" w:lineRule="auto"/>
        <w:jc w:val="both"/>
        <w:rPr>
          <w:color w:val="000000" w:themeColor="text1"/>
          <w:sz w:val="22"/>
        </w:rPr>
      </w:pPr>
      <w:r w:rsidRPr="007B7725">
        <w:rPr>
          <w:rFonts w:ascii="Arial" w:hAnsi="Arial" w:cs="Arial"/>
          <w:color w:val="000000" w:themeColor="text1"/>
          <w:sz w:val="22"/>
          <w:lang w:val="es-CO"/>
        </w:rPr>
        <w:t xml:space="preserve">En relación </w:t>
      </w:r>
      <w:bookmarkStart w:id="2" w:name="_Hlk34161996"/>
      <w:r w:rsidR="00B06B88" w:rsidRPr="007B7725">
        <w:rPr>
          <w:rFonts w:ascii="Arial" w:hAnsi="Arial" w:cs="Arial"/>
          <w:color w:val="000000" w:themeColor="text1"/>
          <w:sz w:val="22"/>
          <w:lang w:val="es-CO"/>
        </w:rPr>
        <w:t>los procesos exceptuados de</w:t>
      </w:r>
      <w:r w:rsidR="004B15F4">
        <w:rPr>
          <w:rFonts w:ascii="Arial" w:hAnsi="Arial" w:cs="Arial"/>
          <w:color w:val="000000" w:themeColor="text1"/>
          <w:sz w:val="22"/>
          <w:lang w:val="es-CO"/>
        </w:rPr>
        <w:t xml:space="preserve"> inscribirse </w:t>
      </w:r>
      <w:r w:rsidR="00B06B88" w:rsidRPr="007B7725">
        <w:rPr>
          <w:rFonts w:ascii="Arial" w:hAnsi="Arial" w:cs="Arial"/>
          <w:color w:val="000000" w:themeColor="text1"/>
          <w:sz w:val="22"/>
          <w:lang w:val="es-CO"/>
        </w:rPr>
        <w:t>en el RUP, el peticionario realiza las siguientes preguntas</w:t>
      </w:r>
      <w:r w:rsidR="00B31D85" w:rsidRPr="007B7725">
        <w:rPr>
          <w:rFonts w:ascii="Arial" w:hAnsi="Arial" w:cs="Arial"/>
          <w:color w:val="000000" w:themeColor="text1"/>
          <w:sz w:val="22"/>
          <w:lang w:val="es-CO"/>
        </w:rPr>
        <w:t>:</w:t>
      </w:r>
      <w:r w:rsidR="00A37FB6" w:rsidRPr="007B7725">
        <w:rPr>
          <w:rFonts w:ascii="Arial" w:hAnsi="Arial" w:cs="Arial"/>
          <w:color w:val="000000" w:themeColor="text1"/>
          <w:sz w:val="22"/>
          <w:lang w:val="es-CO"/>
        </w:rPr>
        <w:t xml:space="preserve"> </w:t>
      </w:r>
      <w:bookmarkEnd w:id="2"/>
      <w:r w:rsidR="001370F9" w:rsidRPr="007B7725">
        <w:rPr>
          <w:rFonts w:ascii="Arial" w:hAnsi="Arial" w:cs="Arial"/>
          <w:color w:val="000000" w:themeColor="text1"/>
          <w:sz w:val="22"/>
          <w:lang w:val="es-CO"/>
        </w:rPr>
        <w:t xml:space="preserve">i) </w:t>
      </w:r>
      <w:r w:rsidR="00B06B88" w:rsidRPr="007B7725">
        <w:rPr>
          <w:rFonts w:ascii="Arial" w:hAnsi="Arial" w:cs="Arial"/>
          <w:color w:val="000000" w:themeColor="text1"/>
          <w:sz w:val="22"/>
          <w:lang w:val="es-CO"/>
        </w:rPr>
        <w:t xml:space="preserve">¿Es posible que una entidad solicite el Registro Único de Proponentes en el marco de un proceso para suscribir un contrato de concesión o existe obligación legal de </w:t>
      </w:r>
      <w:r w:rsidR="004F1C8A" w:rsidRPr="007B7725">
        <w:rPr>
          <w:rFonts w:ascii="Arial" w:hAnsi="Arial" w:cs="Arial"/>
          <w:color w:val="000000" w:themeColor="text1"/>
          <w:sz w:val="22"/>
          <w:lang w:val="es-CO"/>
        </w:rPr>
        <w:t>no hacerlo</w:t>
      </w:r>
      <w:r w:rsidR="00B06B88" w:rsidRPr="007B7725">
        <w:rPr>
          <w:rFonts w:ascii="Arial" w:hAnsi="Arial" w:cs="Arial"/>
          <w:color w:val="000000" w:themeColor="text1"/>
          <w:sz w:val="22"/>
          <w:lang w:val="es-CO"/>
        </w:rPr>
        <w:t xml:space="preserve">?  </w:t>
      </w:r>
      <w:proofErr w:type="spellStart"/>
      <w:r w:rsidR="00B06B88" w:rsidRPr="007B7725">
        <w:rPr>
          <w:rFonts w:ascii="Arial" w:hAnsi="Arial" w:cs="Arial"/>
          <w:color w:val="000000" w:themeColor="text1"/>
          <w:sz w:val="22"/>
          <w:lang w:val="es-CO"/>
        </w:rPr>
        <w:t>ii</w:t>
      </w:r>
      <w:proofErr w:type="spellEnd"/>
      <w:r w:rsidR="00B06B88" w:rsidRPr="007B7725">
        <w:rPr>
          <w:rFonts w:ascii="Arial" w:hAnsi="Arial" w:cs="Arial"/>
          <w:color w:val="000000" w:themeColor="text1"/>
          <w:sz w:val="22"/>
          <w:lang w:val="es-CO"/>
        </w:rPr>
        <w:t>) ¿En caso de que en el proceso de concesión solicite RUP, puede generar</w:t>
      </w:r>
      <w:r w:rsidR="006B4FE8">
        <w:rPr>
          <w:rFonts w:ascii="Arial" w:hAnsi="Arial" w:cs="Arial"/>
          <w:color w:val="000000" w:themeColor="text1"/>
          <w:sz w:val="22"/>
          <w:lang w:val="es-CO"/>
        </w:rPr>
        <w:t>l</w:t>
      </w:r>
      <w:r w:rsidR="00B06B88" w:rsidRPr="007B7725">
        <w:rPr>
          <w:rFonts w:ascii="Arial" w:hAnsi="Arial" w:cs="Arial"/>
          <w:color w:val="000000" w:themeColor="text1"/>
          <w:sz w:val="22"/>
          <w:lang w:val="es-CO"/>
        </w:rPr>
        <w:t>e a la entidad responsabilidades disciplinarias, administrativas o de algún tipo?</w:t>
      </w:r>
    </w:p>
    <w:p w14:paraId="662C63CB" w14:textId="77777777" w:rsidR="00B06B88" w:rsidRPr="004F1C8A" w:rsidRDefault="00B06B88" w:rsidP="00DB22BC">
      <w:pPr>
        <w:tabs>
          <w:tab w:val="left" w:pos="426"/>
        </w:tabs>
        <w:spacing w:line="276" w:lineRule="auto"/>
        <w:jc w:val="both"/>
        <w:rPr>
          <w:rFonts w:ascii="Arial" w:eastAsia="Calibri" w:hAnsi="Arial" w:cs="Arial"/>
          <w:color w:val="000000" w:themeColor="text1"/>
          <w:sz w:val="22"/>
          <w:lang w:val="es-CO"/>
        </w:rPr>
      </w:pPr>
    </w:p>
    <w:p w14:paraId="6A32A1B1" w14:textId="77777777" w:rsidR="00A37FB6" w:rsidRPr="004F1C8A" w:rsidRDefault="00A37FB6" w:rsidP="001127DA">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lang w:val="es-CO"/>
        </w:rPr>
      </w:pPr>
      <w:r w:rsidRPr="004F1C8A">
        <w:rPr>
          <w:rFonts w:ascii="Arial" w:eastAsia="Calibri" w:hAnsi="Arial" w:cs="Arial"/>
          <w:b/>
          <w:color w:val="000000" w:themeColor="text1"/>
          <w:sz w:val="22"/>
          <w:lang w:val="es-CO"/>
        </w:rPr>
        <w:t>Consideraciones</w:t>
      </w:r>
    </w:p>
    <w:p w14:paraId="28692669" w14:textId="77777777" w:rsidR="00495590" w:rsidRPr="004F1C8A" w:rsidRDefault="00495590" w:rsidP="001127DA">
      <w:pPr>
        <w:tabs>
          <w:tab w:val="left" w:pos="426"/>
        </w:tabs>
        <w:spacing w:line="276" w:lineRule="auto"/>
        <w:jc w:val="both"/>
        <w:rPr>
          <w:rFonts w:ascii="Arial" w:eastAsia="Calibri" w:hAnsi="Arial" w:cs="Arial"/>
          <w:b/>
          <w:color w:val="000000" w:themeColor="text1"/>
          <w:sz w:val="22"/>
          <w:lang w:val="es-CO"/>
        </w:rPr>
      </w:pPr>
    </w:p>
    <w:p w14:paraId="0DF5844E" w14:textId="20B3D7AD" w:rsidR="00DB201F" w:rsidRPr="004F1C8A" w:rsidRDefault="00DB201F" w:rsidP="001127DA">
      <w:pPr>
        <w:spacing w:line="276" w:lineRule="auto"/>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La Agencia Nacional de Contratación Pública – Colombia Compra Eficiente, se pronunció en el concepto </w:t>
      </w:r>
      <w:r w:rsidR="00726482" w:rsidRPr="004F1C8A">
        <w:rPr>
          <w:rFonts w:ascii="Arial" w:hAnsi="Arial" w:cs="Arial"/>
          <w:color w:val="000000" w:themeColor="text1"/>
          <w:sz w:val="22"/>
          <w:lang w:val="es-CO"/>
        </w:rPr>
        <w:t>C – 051</w:t>
      </w:r>
      <w:r w:rsidR="0050403E" w:rsidRPr="004F1C8A">
        <w:rPr>
          <w:rFonts w:ascii="Arial" w:hAnsi="Arial" w:cs="Arial"/>
          <w:color w:val="000000" w:themeColor="text1"/>
          <w:sz w:val="22"/>
          <w:lang w:val="es-CO"/>
        </w:rPr>
        <w:t xml:space="preserve"> de</w:t>
      </w:r>
      <w:r w:rsidR="00726482" w:rsidRPr="004F1C8A">
        <w:rPr>
          <w:rFonts w:ascii="Arial" w:hAnsi="Arial" w:cs="Arial"/>
          <w:color w:val="000000" w:themeColor="text1"/>
          <w:sz w:val="22"/>
          <w:lang w:val="es-CO"/>
        </w:rPr>
        <w:t>l 2 de marzo de</w:t>
      </w:r>
      <w:r w:rsidR="0050403E" w:rsidRPr="004F1C8A">
        <w:rPr>
          <w:rFonts w:ascii="Arial" w:hAnsi="Arial" w:cs="Arial"/>
          <w:color w:val="000000" w:themeColor="text1"/>
          <w:sz w:val="22"/>
          <w:lang w:val="es-CO"/>
        </w:rPr>
        <w:t xml:space="preserve"> 2020</w:t>
      </w:r>
      <w:r w:rsidR="00D306D7" w:rsidRPr="004F1C8A">
        <w:rPr>
          <w:rFonts w:ascii="Arial" w:hAnsi="Arial" w:cs="Arial"/>
          <w:color w:val="000000" w:themeColor="text1"/>
          <w:sz w:val="22"/>
          <w:lang w:val="es-CO"/>
        </w:rPr>
        <w:t xml:space="preserve"> y C-113 del </w:t>
      </w:r>
      <w:r w:rsidR="00C846DE" w:rsidRPr="004F1C8A">
        <w:rPr>
          <w:rFonts w:ascii="Arial" w:hAnsi="Arial" w:cs="Arial"/>
          <w:color w:val="000000" w:themeColor="text1"/>
          <w:sz w:val="22"/>
          <w:lang w:val="es-CO"/>
        </w:rPr>
        <w:t>25 de marzo de 2020</w:t>
      </w:r>
      <w:r w:rsidR="0050403E" w:rsidRPr="004F1C8A">
        <w:rPr>
          <w:rFonts w:ascii="Arial" w:hAnsi="Arial" w:cs="Arial"/>
          <w:color w:val="000000" w:themeColor="text1"/>
          <w:sz w:val="22"/>
          <w:lang w:val="es-CO"/>
        </w:rPr>
        <w:t>, sobre la experiencia en proc</w:t>
      </w:r>
      <w:r w:rsidR="006B38CC" w:rsidRPr="004F1C8A">
        <w:rPr>
          <w:rFonts w:ascii="Arial" w:hAnsi="Arial" w:cs="Arial"/>
          <w:color w:val="000000" w:themeColor="text1"/>
          <w:sz w:val="22"/>
          <w:lang w:val="es-CO"/>
        </w:rPr>
        <w:t>edimientos</w:t>
      </w:r>
      <w:r w:rsidR="0050403E" w:rsidRPr="004F1C8A">
        <w:rPr>
          <w:rFonts w:ascii="Arial" w:hAnsi="Arial" w:cs="Arial"/>
          <w:color w:val="000000" w:themeColor="text1"/>
          <w:sz w:val="22"/>
          <w:lang w:val="es-CO"/>
        </w:rPr>
        <w:t xml:space="preserve"> exceptuados de </w:t>
      </w:r>
      <w:r w:rsidR="00290227" w:rsidRPr="004F1C8A">
        <w:rPr>
          <w:rFonts w:ascii="Arial" w:hAnsi="Arial" w:cs="Arial"/>
          <w:color w:val="000000" w:themeColor="text1"/>
          <w:sz w:val="22"/>
          <w:lang w:val="es-CO"/>
        </w:rPr>
        <w:t xml:space="preserve">inscripción en el RUP y su forma de acreditación en estos </w:t>
      </w:r>
      <w:r w:rsidR="006B38CC" w:rsidRPr="004F1C8A">
        <w:rPr>
          <w:rFonts w:ascii="Arial" w:hAnsi="Arial" w:cs="Arial"/>
          <w:color w:val="000000" w:themeColor="text1"/>
          <w:sz w:val="22"/>
          <w:lang w:val="es-CO"/>
        </w:rPr>
        <w:t xml:space="preserve">procedimientos </w:t>
      </w:r>
      <w:r w:rsidR="00290227" w:rsidRPr="004F1C8A">
        <w:rPr>
          <w:rFonts w:ascii="Arial" w:hAnsi="Arial" w:cs="Arial"/>
          <w:color w:val="000000" w:themeColor="text1"/>
          <w:sz w:val="22"/>
          <w:lang w:val="es-CO"/>
        </w:rPr>
        <w:t xml:space="preserve">de </w:t>
      </w:r>
      <w:r w:rsidR="006B38CC" w:rsidRPr="004F1C8A">
        <w:rPr>
          <w:rFonts w:ascii="Arial" w:hAnsi="Arial" w:cs="Arial"/>
          <w:color w:val="000000" w:themeColor="text1"/>
          <w:sz w:val="22"/>
          <w:lang w:val="es-CO"/>
        </w:rPr>
        <w:t>selección</w:t>
      </w:r>
      <w:r w:rsidR="00290227" w:rsidRPr="004F1C8A">
        <w:rPr>
          <w:rFonts w:ascii="Arial" w:hAnsi="Arial" w:cs="Arial"/>
          <w:color w:val="000000" w:themeColor="text1"/>
          <w:sz w:val="22"/>
          <w:lang w:val="es-CO"/>
        </w:rPr>
        <w:t xml:space="preserve">. </w:t>
      </w:r>
      <w:r w:rsidRPr="004F1C8A">
        <w:rPr>
          <w:rFonts w:ascii="Arial" w:hAnsi="Arial" w:cs="Arial"/>
          <w:color w:val="000000" w:themeColor="text1"/>
          <w:sz w:val="22"/>
          <w:lang w:val="es-CO"/>
        </w:rPr>
        <w:t xml:space="preserve">La tesis desarrollada se expone a continuación. </w:t>
      </w:r>
    </w:p>
    <w:p w14:paraId="202FE2EE" w14:textId="0CC71ABC" w:rsidR="00DB201F" w:rsidRPr="004F1C8A" w:rsidRDefault="00DB201F" w:rsidP="001127DA">
      <w:pPr>
        <w:spacing w:line="276" w:lineRule="auto"/>
        <w:jc w:val="both"/>
        <w:rPr>
          <w:rFonts w:ascii="Arial" w:hAnsi="Arial" w:cs="Arial"/>
          <w:color w:val="000000" w:themeColor="text1"/>
          <w:sz w:val="22"/>
          <w:highlight w:val="yellow"/>
          <w:lang w:val="es-CO"/>
        </w:rPr>
      </w:pPr>
    </w:p>
    <w:p w14:paraId="33EF981A" w14:textId="7A4E387D" w:rsidR="0044590E" w:rsidRPr="004F1C8A" w:rsidRDefault="00D306D7" w:rsidP="007B7725">
      <w:pPr>
        <w:pStyle w:val="Prrafodelista"/>
        <w:tabs>
          <w:tab w:val="left" w:pos="284"/>
        </w:tabs>
        <w:spacing w:line="276" w:lineRule="auto"/>
        <w:ind w:left="0"/>
        <w:jc w:val="both"/>
        <w:rPr>
          <w:rFonts w:ascii="Arial" w:eastAsia="Calibri" w:hAnsi="Arial" w:cs="Arial"/>
          <w:b/>
          <w:sz w:val="22"/>
          <w:lang w:val="es-CO"/>
        </w:rPr>
      </w:pPr>
      <w:r w:rsidRPr="004F1C8A">
        <w:rPr>
          <w:rFonts w:ascii="Arial" w:eastAsia="Calibri" w:hAnsi="Arial" w:cs="Arial"/>
          <w:b/>
          <w:sz w:val="22"/>
          <w:lang w:val="es-CO"/>
        </w:rPr>
        <w:t>2.1 Características</w:t>
      </w:r>
      <w:r w:rsidR="0044590E" w:rsidRPr="004F1C8A">
        <w:rPr>
          <w:rFonts w:ascii="Arial" w:eastAsia="Calibri" w:hAnsi="Arial" w:cs="Arial"/>
          <w:b/>
          <w:sz w:val="22"/>
          <w:lang w:val="es-CO"/>
        </w:rPr>
        <w:t xml:space="preserve"> del RUP y sujetos que deben registrarse</w:t>
      </w:r>
    </w:p>
    <w:p w14:paraId="16FDB69D" w14:textId="77777777" w:rsidR="00AD36E1" w:rsidRDefault="00AD36E1" w:rsidP="00AD36E1">
      <w:pPr>
        <w:spacing w:after="120" w:line="276" w:lineRule="auto"/>
        <w:jc w:val="both"/>
        <w:rPr>
          <w:rFonts w:ascii="Arial" w:eastAsia="Calibri" w:hAnsi="Arial" w:cs="Arial"/>
          <w:sz w:val="22"/>
          <w:lang w:val="es-CO"/>
        </w:rPr>
      </w:pPr>
    </w:p>
    <w:p w14:paraId="1E3CA138" w14:textId="580E452F" w:rsidR="0044590E" w:rsidRPr="00870068" w:rsidRDefault="0044590E" w:rsidP="007B7725">
      <w:pPr>
        <w:spacing w:after="120" w:line="276" w:lineRule="auto"/>
        <w:jc w:val="both"/>
        <w:rPr>
          <w:rFonts w:ascii="Arial" w:eastAsia="Calibri" w:hAnsi="Arial" w:cs="Arial"/>
          <w:sz w:val="22"/>
          <w:lang w:val="es-CO"/>
        </w:rPr>
      </w:pPr>
      <w:r w:rsidRPr="00870068">
        <w:rPr>
          <w:rFonts w:ascii="Arial" w:eastAsia="Calibri" w:hAnsi="Arial" w:cs="Arial"/>
          <w:sz w:val="22"/>
          <w:lang w:val="es-CO"/>
        </w:rPr>
        <w:t xml:space="preserve">La Agencia Nacional de Contratación Pública ― Colombia Compra Eficiente, en el concepto con radicado No. 4201912000004669 del 26 de agosto de 2019, </w:t>
      </w:r>
      <w:r w:rsidR="00870068" w:rsidRPr="00870068">
        <w:rPr>
          <w:rStyle w:val="normaltextrun"/>
          <w:rFonts w:ascii="Arial" w:hAnsi="Arial" w:cs="Arial"/>
          <w:color w:val="000000"/>
          <w:sz w:val="22"/>
          <w:bdr w:val="none" w:sz="0" w:space="0" w:color="auto" w:frame="1"/>
          <w:lang w:val="es-MX"/>
        </w:rPr>
        <w:t xml:space="preserve">C </w:t>
      </w:r>
      <w:r w:rsidR="00870068" w:rsidRPr="00870068">
        <w:rPr>
          <w:rFonts w:ascii="Arial" w:eastAsia="Calibri" w:hAnsi="Arial" w:cs="Arial"/>
          <w:color w:val="000000" w:themeColor="text1"/>
          <w:sz w:val="22"/>
          <w:lang w:val="es-CO"/>
        </w:rPr>
        <w:t>–</w:t>
      </w:r>
      <w:r w:rsidR="00870068" w:rsidRPr="00870068">
        <w:rPr>
          <w:rStyle w:val="normaltextrun"/>
          <w:rFonts w:ascii="Arial" w:hAnsi="Arial" w:cs="Arial"/>
          <w:color w:val="000000"/>
          <w:sz w:val="22"/>
          <w:bdr w:val="none" w:sz="0" w:space="0" w:color="auto" w:frame="1"/>
          <w:lang w:val="es-MX"/>
        </w:rPr>
        <w:softHyphen/>
      </w:r>
      <w:r w:rsidR="00870068" w:rsidRPr="00870068">
        <w:rPr>
          <w:rStyle w:val="normaltextrun"/>
          <w:rFonts w:ascii="Arial" w:hAnsi="Arial" w:cs="Arial"/>
          <w:color w:val="000000"/>
          <w:sz w:val="22"/>
          <w:bdr w:val="none" w:sz="0" w:space="0" w:color="auto" w:frame="1"/>
          <w:lang w:val="es-MX"/>
        </w:rPr>
        <w:softHyphen/>
        <w:t xml:space="preserve"> 120 del 3 de febrero de 2020 y C </w:t>
      </w:r>
      <w:r w:rsidR="00870068" w:rsidRPr="00870068">
        <w:rPr>
          <w:rFonts w:ascii="Arial" w:eastAsia="Calibri" w:hAnsi="Arial" w:cs="Arial"/>
          <w:color w:val="000000" w:themeColor="text1"/>
          <w:sz w:val="22"/>
          <w:lang w:val="es-CO"/>
        </w:rPr>
        <w:t>–</w:t>
      </w:r>
      <w:r w:rsidR="00870068" w:rsidRPr="00870068">
        <w:rPr>
          <w:rStyle w:val="normaltextrun"/>
          <w:rFonts w:ascii="Arial" w:hAnsi="Arial" w:cs="Arial"/>
          <w:color w:val="000000"/>
          <w:sz w:val="22"/>
          <w:bdr w:val="none" w:sz="0" w:space="0" w:color="auto" w:frame="1"/>
          <w:lang w:val="es-MX"/>
        </w:rPr>
        <w:t xml:space="preserve"> 031 del 6 de febrero de 2020, C </w:t>
      </w:r>
      <w:r w:rsidR="00870068" w:rsidRPr="00870068">
        <w:rPr>
          <w:rFonts w:ascii="Arial" w:eastAsia="Calibri" w:hAnsi="Arial" w:cs="Arial"/>
          <w:color w:val="000000" w:themeColor="text1"/>
          <w:sz w:val="22"/>
          <w:lang w:val="es-CO"/>
        </w:rPr>
        <w:t xml:space="preserve">– 098 del 16 de marzo de 2020 </w:t>
      </w:r>
      <w:r w:rsidRPr="00870068">
        <w:rPr>
          <w:rFonts w:ascii="Arial" w:eastAsia="Calibri" w:hAnsi="Arial" w:cs="Arial"/>
          <w:sz w:val="22"/>
          <w:lang w:val="es-CO"/>
        </w:rPr>
        <w:t xml:space="preserve">estudió el RUP y sus características. La tesis desarrollada se expone a continuación. </w:t>
      </w:r>
    </w:p>
    <w:p w14:paraId="32B70DF6" w14:textId="0DC127F9" w:rsidR="0044590E" w:rsidRPr="004F1C8A" w:rsidRDefault="0044590E" w:rsidP="007B7725">
      <w:pPr>
        <w:spacing w:before="120" w:line="276" w:lineRule="auto"/>
        <w:ind w:firstLine="709"/>
        <w:jc w:val="both"/>
        <w:rPr>
          <w:rFonts w:ascii="Arial" w:hAnsi="Arial" w:cs="Arial"/>
          <w:sz w:val="22"/>
          <w:lang w:val="es-CO"/>
        </w:rPr>
      </w:pPr>
      <w:r w:rsidRPr="004F1C8A">
        <w:rPr>
          <w:rFonts w:ascii="Arial" w:hAnsi="Arial" w:cs="Arial"/>
          <w:sz w:val="22"/>
          <w:lang w:val="es-CO"/>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46273946" w14:textId="77777777" w:rsidR="0044590E" w:rsidRPr="004F1C8A" w:rsidRDefault="0044590E" w:rsidP="007B7725">
      <w:pPr>
        <w:spacing w:line="276" w:lineRule="auto"/>
        <w:ind w:firstLine="709"/>
        <w:jc w:val="both"/>
        <w:rPr>
          <w:rFonts w:ascii="Arial" w:hAnsi="Arial" w:cs="Arial"/>
          <w:sz w:val="22"/>
          <w:lang w:val="es-CO"/>
        </w:rPr>
      </w:pPr>
    </w:p>
    <w:p w14:paraId="339F6FC2" w14:textId="77777777" w:rsidR="0044590E" w:rsidRPr="004F1C8A" w:rsidRDefault="0044590E" w:rsidP="007B7725">
      <w:pPr>
        <w:tabs>
          <w:tab w:val="left" w:pos="8505"/>
        </w:tabs>
        <w:spacing w:after="120"/>
        <w:ind w:left="709" w:right="709"/>
        <w:jc w:val="both"/>
        <w:rPr>
          <w:rFonts w:ascii="Arial" w:hAnsi="Arial" w:cs="Arial"/>
          <w:sz w:val="21"/>
          <w:szCs w:val="21"/>
          <w:lang w:val="es-CO"/>
        </w:rPr>
      </w:pPr>
      <w:r w:rsidRPr="004F1C8A">
        <w:rPr>
          <w:rFonts w:ascii="Arial" w:hAnsi="Arial" w:cs="Arial"/>
          <w:sz w:val="21"/>
          <w:szCs w:val="21"/>
          <w:lang w:val="es-CO"/>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w:t>
      </w:r>
      <w:r w:rsidRPr="004F1C8A">
        <w:rPr>
          <w:rFonts w:ascii="Arial" w:hAnsi="Arial" w:cs="Arial"/>
          <w:sz w:val="21"/>
          <w:szCs w:val="21"/>
          <w:lang w:val="es-CO"/>
        </w:rPr>
        <w:lastRenderedPageBreak/>
        <w:t>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4F1C8A">
        <w:rPr>
          <w:rStyle w:val="Refdenotaalpie"/>
          <w:rFonts w:ascii="Arial" w:hAnsi="Arial" w:cs="Arial"/>
          <w:sz w:val="21"/>
          <w:szCs w:val="21"/>
          <w:lang w:val="es-CO"/>
        </w:rPr>
        <w:footnoteReference w:id="1"/>
      </w:r>
      <w:r w:rsidRPr="004F1C8A">
        <w:rPr>
          <w:rFonts w:ascii="Arial" w:hAnsi="Arial" w:cs="Arial"/>
          <w:sz w:val="21"/>
          <w:szCs w:val="21"/>
          <w:lang w:val="es-CO"/>
        </w:rPr>
        <w:t>.</w:t>
      </w:r>
    </w:p>
    <w:p w14:paraId="068F33B5" w14:textId="77777777" w:rsidR="0044590E" w:rsidRPr="004F1C8A" w:rsidRDefault="0044590E" w:rsidP="007B7725">
      <w:pPr>
        <w:spacing w:line="276" w:lineRule="auto"/>
        <w:jc w:val="both"/>
        <w:rPr>
          <w:rFonts w:ascii="Arial" w:hAnsi="Arial" w:cs="Arial"/>
          <w:sz w:val="22"/>
          <w:lang w:val="es-CO"/>
        </w:rPr>
      </w:pPr>
    </w:p>
    <w:p w14:paraId="3EBF4C25" w14:textId="77777777" w:rsidR="0044590E" w:rsidRPr="004F1C8A" w:rsidRDefault="0044590E" w:rsidP="007B7725">
      <w:pPr>
        <w:spacing w:after="120" w:line="276" w:lineRule="auto"/>
        <w:ind w:firstLine="709"/>
        <w:jc w:val="both"/>
        <w:rPr>
          <w:rFonts w:ascii="Arial" w:hAnsi="Arial" w:cs="Arial"/>
          <w:sz w:val="22"/>
          <w:lang w:val="es-CO"/>
        </w:rPr>
      </w:pPr>
      <w:r w:rsidRPr="004F1C8A">
        <w:rPr>
          <w:rFonts w:ascii="Arial" w:hAnsi="Arial" w:cs="Arial"/>
          <w:sz w:val="22"/>
          <w:lang w:val="es-CO"/>
        </w:rPr>
        <w:t>La Ley 1150 de 2007, en el numeral 6.1 del artículo 6, al determinar las características aplicables al RUP, establece que el Registro Único de Proponentes es plena prueba de la información que contiene</w:t>
      </w:r>
      <w:r w:rsidRPr="004F1C8A">
        <w:rPr>
          <w:rStyle w:val="Refdenotaalpie"/>
          <w:rFonts w:ascii="Arial" w:hAnsi="Arial" w:cs="Arial"/>
          <w:sz w:val="22"/>
          <w:lang w:val="es-CO"/>
        </w:rPr>
        <w:footnoteReference w:id="2"/>
      </w:r>
      <w:r w:rsidRPr="004F1C8A">
        <w:rPr>
          <w:rFonts w:ascii="Arial" w:hAnsi="Arial" w:cs="Arial"/>
          <w:sz w:val="22"/>
          <w:lang w:val="es-CO"/>
        </w:rPr>
        <w:t>. Por su parte, el artículo 5.1, al fijar los criterios que deben tener en cuenta las entidades estatales para garantizar la selección objetiva, dispone que las Cámaras de Comercio harán la verificación de la información suministrada por las personas naturales o jurídicas para la inscripción en el Registro, información que debe ser tenida en cuenta por las entidades en los procedimientos de contratación en los que es exigible el RUP</w:t>
      </w:r>
      <w:r w:rsidRPr="004F1C8A">
        <w:rPr>
          <w:rStyle w:val="Refdenotaalpie"/>
          <w:rFonts w:ascii="Arial" w:hAnsi="Arial" w:cs="Arial"/>
          <w:sz w:val="22"/>
          <w:lang w:val="es-CO"/>
        </w:rPr>
        <w:footnoteReference w:id="3"/>
      </w:r>
      <w:r w:rsidRPr="004F1C8A">
        <w:rPr>
          <w:rFonts w:ascii="Arial" w:hAnsi="Arial" w:cs="Arial"/>
          <w:sz w:val="22"/>
          <w:lang w:val="es-CO"/>
        </w:rPr>
        <w:t>.</w:t>
      </w:r>
    </w:p>
    <w:p w14:paraId="4BD8F36B" w14:textId="77777777" w:rsidR="0044590E" w:rsidRPr="004F1C8A" w:rsidRDefault="0044590E" w:rsidP="0044590E">
      <w:pPr>
        <w:spacing w:before="120" w:after="120" w:line="276" w:lineRule="auto"/>
        <w:ind w:firstLine="708"/>
        <w:jc w:val="both"/>
        <w:rPr>
          <w:rFonts w:ascii="Arial" w:hAnsi="Arial" w:cs="Arial"/>
          <w:sz w:val="22"/>
          <w:lang w:val="es-CO"/>
        </w:rPr>
      </w:pPr>
      <w:r w:rsidRPr="004F1C8A">
        <w:rPr>
          <w:rFonts w:ascii="Arial" w:hAnsi="Arial" w:cs="Arial"/>
          <w:sz w:val="22"/>
          <w:lang w:val="es-CO"/>
        </w:rPr>
        <w:t xml:space="preserve">De esta forma, la capacidad jurídica y las condiciones de experiencia, capacidad financiera y de organización de los proponentes deberán ser verificadas exclusivamente a través del Registro Único de Proponentes, pues de acuerdo con lo expuesto, este </w:t>
      </w:r>
      <w:r w:rsidRPr="004F1C8A">
        <w:rPr>
          <w:rFonts w:ascii="Arial" w:hAnsi="Arial" w:cs="Arial"/>
          <w:sz w:val="22"/>
          <w:lang w:val="es-CO"/>
        </w:rPr>
        <w:lastRenderedPageBreak/>
        <w:t>documento es plena prueba de la información financiera, de experiencia y de capacidad acreditada por la persona natural o jurídica; y así también lo confirmó el Consejo de Estado</w:t>
      </w:r>
      <w:r w:rsidRPr="004F1C8A">
        <w:rPr>
          <w:rStyle w:val="Refdenotaalpie"/>
          <w:rFonts w:ascii="Arial" w:hAnsi="Arial" w:cs="Arial"/>
          <w:sz w:val="22"/>
          <w:lang w:val="es-CO"/>
        </w:rPr>
        <w:footnoteReference w:id="4"/>
      </w:r>
      <w:r w:rsidRPr="004F1C8A">
        <w:rPr>
          <w:rFonts w:ascii="Arial" w:hAnsi="Arial" w:cs="Arial"/>
          <w:sz w:val="22"/>
          <w:lang w:val="es-CO"/>
        </w:rPr>
        <w:t xml:space="preserve">. </w:t>
      </w:r>
    </w:p>
    <w:p w14:paraId="5CFF30C0" w14:textId="77777777" w:rsidR="0044590E" w:rsidRPr="004F1C8A" w:rsidRDefault="0044590E" w:rsidP="0044590E">
      <w:pPr>
        <w:spacing w:before="120" w:after="120" w:line="276" w:lineRule="auto"/>
        <w:ind w:firstLine="708"/>
        <w:jc w:val="both"/>
        <w:rPr>
          <w:rFonts w:ascii="Arial" w:hAnsi="Arial" w:cs="Arial"/>
          <w:sz w:val="22"/>
          <w:lang w:val="es-CO"/>
        </w:rPr>
      </w:pPr>
      <w:r w:rsidRPr="004F1C8A">
        <w:rPr>
          <w:rFonts w:ascii="Arial" w:hAnsi="Arial" w:cs="Arial"/>
          <w:sz w:val="22"/>
          <w:lang w:val="es-CO"/>
        </w:rPr>
        <w:t>No obstante lo anterior,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4F1C8A">
        <w:rPr>
          <w:rStyle w:val="Refdenotaalpie"/>
          <w:rFonts w:ascii="Arial" w:hAnsi="Arial" w:cs="Arial"/>
          <w:sz w:val="22"/>
          <w:lang w:val="es-CO"/>
        </w:rPr>
        <w:footnoteReference w:id="5"/>
      </w:r>
      <w:r w:rsidRPr="004F1C8A">
        <w:rPr>
          <w:rFonts w:ascii="Arial" w:hAnsi="Arial" w:cs="Arial"/>
          <w:sz w:val="22"/>
          <w:lang w:val="es-CO"/>
        </w:rPr>
        <w:t xml:space="preserve">. </w:t>
      </w:r>
    </w:p>
    <w:p w14:paraId="44FE30A2" w14:textId="352DDF12" w:rsidR="0044590E" w:rsidRPr="004F1C8A" w:rsidRDefault="0044590E" w:rsidP="0044590E">
      <w:pPr>
        <w:spacing w:before="120" w:after="120" w:line="276" w:lineRule="auto"/>
        <w:ind w:firstLine="708"/>
        <w:jc w:val="both"/>
        <w:rPr>
          <w:rFonts w:ascii="Arial" w:hAnsi="Arial" w:cs="Arial"/>
          <w:sz w:val="22"/>
          <w:lang w:val="es-CO"/>
        </w:rPr>
      </w:pPr>
      <w:r w:rsidRPr="004F1C8A">
        <w:rPr>
          <w:rFonts w:ascii="Arial" w:hAnsi="Arial" w:cs="Arial"/>
          <w:sz w:val="22"/>
          <w:lang w:val="es-CO"/>
        </w:rPr>
        <w:t>Adicionalmente, el artículo 6 de la Ley 1150 de 2007</w:t>
      </w:r>
      <w:r w:rsidRPr="004F1C8A">
        <w:rPr>
          <w:rStyle w:val="Refdenotaalpie"/>
          <w:rFonts w:ascii="Arial" w:hAnsi="Arial" w:cs="Arial"/>
          <w:sz w:val="22"/>
          <w:lang w:val="es-CO"/>
        </w:rPr>
        <w:footnoteReference w:id="6"/>
      </w:r>
      <w:r w:rsidRPr="004F1C8A">
        <w:rPr>
          <w:rFonts w:ascii="Arial" w:hAnsi="Arial" w:cs="Arial"/>
          <w:sz w:val="22"/>
          <w:lang w:val="es-CO"/>
        </w:rPr>
        <w:t xml:space="preserve"> establece que cuando sea necesario verificar requisitos o información que no reposa en RUP, la entidad podrá solicitar información adicional  ̶ por ejemplo, longitudes de obra, especificaciones técnicas, etc. ̶  s</w:t>
      </w:r>
      <w:r w:rsidR="008F159F">
        <w:rPr>
          <w:rFonts w:ascii="Arial" w:hAnsi="Arial" w:cs="Arial"/>
          <w:sz w:val="22"/>
          <w:lang w:val="es-CO"/>
        </w:rPr>
        <w:t>o</w:t>
      </w:r>
      <w:r w:rsidRPr="004F1C8A">
        <w:rPr>
          <w:rFonts w:ascii="Arial" w:hAnsi="Arial" w:cs="Arial"/>
          <w:sz w:val="22"/>
          <w:lang w:val="es-CO"/>
        </w:rPr>
        <w:t>lo para complementar la información contenida en el RUP.</w:t>
      </w:r>
    </w:p>
    <w:p w14:paraId="669C8C7E" w14:textId="3BD376BA" w:rsidR="0044590E" w:rsidRPr="004F1C8A" w:rsidRDefault="0044590E" w:rsidP="0044590E">
      <w:pPr>
        <w:spacing w:before="120" w:after="120" w:line="276" w:lineRule="auto"/>
        <w:ind w:firstLine="708"/>
        <w:jc w:val="both"/>
        <w:rPr>
          <w:rFonts w:ascii="Arial" w:hAnsi="Arial" w:cs="Arial"/>
          <w:sz w:val="22"/>
          <w:lang w:val="es-CO"/>
        </w:rPr>
      </w:pPr>
      <w:r w:rsidRPr="004F1C8A">
        <w:rPr>
          <w:rFonts w:ascii="Arial" w:hAnsi="Arial" w:cs="Arial"/>
          <w:sz w:val="22"/>
          <w:lang w:val="es-CO"/>
        </w:rPr>
        <w:t xml:space="preserve">En la exposición de motivos del Proyecto de Ley que modificó la Ley 80 de 1993 se expresa la necesidad de establecer excepciones a la regla general de la exigencia del Registro Único de Proponentes a las personas naturales o jurídicas que deseen participar </w:t>
      </w:r>
      <w:r w:rsidRPr="004F1C8A">
        <w:rPr>
          <w:rFonts w:ascii="Arial" w:hAnsi="Arial" w:cs="Arial"/>
          <w:sz w:val="22"/>
          <w:lang w:val="es-CO"/>
        </w:rPr>
        <w:lastRenderedPageBreak/>
        <w:t>en los procedimientos de contratación de las entidades estatales. Establece que la Cámara de Comercio fungirá como verificadora de la información habilitante, sin perjuicio de que las entidades estatales verifiquen la información contenida en el RUP en relación con los requisitos solicitados en el pliego de condiciones</w:t>
      </w:r>
      <w:r w:rsidRPr="004F1C8A">
        <w:rPr>
          <w:rStyle w:val="Refdenotaalpie"/>
          <w:rFonts w:ascii="Arial" w:hAnsi="Arial" w:cs="Arial"/>
          <w:sz w:val="22"/>
          <w:lang w:val="es-CO"/>
        </w:rPr>
        <w:footnoteReference w:id="7"/>
      </w:r>
      <w:r w:rsidRPr="004F1C8A">
        <w:rPr>
          <w:rFonts w:ascii="Arial" w:hAnsi="Arial" w:cs="Arial"/>
          <w:sz w:val="22"/>
          <w:lang w:val="es-CO"/>
        </w:rPr>
        <w:t>.</w:t>
      </w:r>
    </w:p>
    <w:p w14:paraId="1EC6AF38" w14:textId="22BA120A" w:rsidR="0044590E" w:rsidRPr="004F1C8A" w:rsidRDefault="0044590E" w:rsidP="0044590E">
      <w:pPr>
        <w:spacing w:before="120" w:after="120" w:line="276" w:lineRule="auto"/>
        <w:ind w:firstLine="708"/>
        <w:jc w:val="both"/>
        <w:rPr>
          <w:rFonts w:ascii="Arial" w:hAnsi="Arial" w:cs="Arial"/>
          <w:sz w:val="22"/>
          <w:lang w:val="es-CO"/>
        </w:rPr>
      </w:pPr>
      <w:r w:rsidRPr="004F1C8A">
        <w:rPr>
          <w:rFonts w:ascii="Arial" w:hAnsi="Arial" w:cs="Arial"/>
          <w:sz w:val="22"/>
          <w:lang w:val="es-CO"/>
        </w:rPr>
        <w:t xml:space="preserve">En los casos mencionados, como las entidades no pueden solicitar el RUP, y por ende no podrían verificar las condiciones de experiencia, capacidad financiera y de organización de los proponentes, deben recurrir a otros medios de prueba que garanticen la selección objetiva, siempre que sean adecuados y proporcionales, para promover la libre participación de los oferentes. </w:t>
      </w:r>
    </w:p>
    <w:p w14:paraId="473CAAF8" w14:textId="77A23B6E" w:rsidR="0044590E" w:rsidRPr="004F1C8A" w:rsidRDefault="0044590E" w:rsidP="0044590E">
      <w:pPr>
        <w:spacing w:before="120" w:after="120" w:line="276" w:lineRule="auto"/>
        <w:ind w:firstLine="708"/>
        <w:jc w:val="both"/>
        <w:rPr>
          <w:rFonts w:ascii="Arial" w:hAnsi="Arial" w:cs="Arial"/>
          <w:sz w:val="22"/>
          <w:lang w:val="es-CO"/>
        </w:rPr>
      </w:pPr>
      <w:r w:rsidRPr="004F1C8A">
        <w:rPr>
          <w:rFonts w:ascii="Arial" w:hAnsi="Arial" w:cs="Arial"/>
          <w:sz w:val="22"/>
          <w:lang w:val="es-CO"/>
        </w:rPr>
        <w:t xml:space="preserve">Ahora bien, es necesario analizar el inciso 1 del artículo 6 de la Ley 1150 de 2007, que regula: i) los sujetos que deben inscribirse en el RUP y </w:t>
      </w:r>
      <w:proofErr w:type="spellStart"/>
      <w:r w:rsidRPr="004F1C8A">
        <w:rPr>
          <w:rFonts w:ascii="Arial" w:hAnsi="Arial" w:cs="Arial"/>
          <w:sz w:val="22"/>
          <w:lang w:val="es-CO"/>
        </w:rPr>
        <w:t>ii</w:t>
      </w:r>
      <w:proofErr w:type="spellEnd"/>
      <w:r w:rsidRPr="004F1C8A">
        <w:rPr>
          <w:rFonts w:ascii="Arial" w:hAnsi="Arial" w:cs="Arial"/>
          <w:sz w:val="22"/>
          <w:lang w:val="es-CO"/>
        </w:rPr>
        <w:t xml:space="preserve">) el lugar donde deben realizarlo. En primer lugar, sobre los sujetos que deben inscribirse en el RUP, la norma es amplia, esto es, incluye a cualquier persona, natural o jurídica, nacional o extranjera que tenga domicilio o sucursal en el país, quienes tienen la obligación de registrase en el RUP, en dos casos: a) </w:t>
      </w:r>
      <w:r w:rsidR="00581656">
        <w:rPr>
          <w:rFonts w:ascii="Arial" w:hAnsi="Arial" w:cs="Arial"/>
          <w:sz w:val="22"/>
          <w:lang w:val="es-CO"/>
        </w:rPr>
        <w:t xml:space="preserve">cuando </w:t>
      </w:r>
      <w:r w:rsidRPr="004F1C8A">
        <w:rPr>
          <w:rFonts w:ascii="Arial" w:hAnsi="Arial" w:cs="Arial"/>
          <w:sz w:val="22"/>
          <w:lang w:val="es-CO"/>
        </w:rPr>
        <w:t xml:space="preserve">pretendan celebrar contratos estatales y b) </w:t>
      </w:r>
      <w:r w:rsidR="00581656">
        <w:rPr>
          <w:rFonts w:ascii="Arial" w:hAnsi="Arial" w:cs="Arial"/>
          <w:sz w:val="22"/>
          <w:lang w:val="es-CO"/>
        </w:rPr>
        <w:t xml:space="preserve">cuando </w:t>
      </w:r>
      <w:r w:rsidRPr="004F1C8A">
        <w:rPr>
          <w:rFonts w:ascii="Arial" w:hAnsi="Arial" w:cs="Arial"/>
          <w:sz w:val="22"/>
          <w:lang w:val="es-CO"/>
        </w:rPr>
        <w:t>el procedimiento de contratación sea de aquellos en los cuales no se exceptúa el RUP, de acuerdo con el inciso 2 del artículo 6 de la Ley 1150 de 2007</w:t>
      </w:r>
      <w:r w:rsidRPr="004F1C8A">
        <w:rPr>
          <w:rStyle w:val="Refdenotaalpie"/>
          <w:rFonts w:ascii="Arial" w:hAnsi="Arial" w:cs="Arial"/>
          <w:sz w:val="22"/>
          <w:lang w:val="es-CO"/>
        </w:rPr>
        <w:footnoteReference w:id="8"/>
      </w:r>
      <w:r w:rsidRPr="004F1C8A">
        <w:rPr>
          <w:rFonts w:ascii="Arial" w:hAnsi="Arial" w:cs="Arial"/>
          <w:sz w:val="22"/>
          <w:lang w:val="es-CO"/>
        </w:rPr>
        <w:t xml:space="preserve">. En segundo lugar, la norma </w:t>
      </w:r>
      <w:r w:rsidRPr="004F1C8A">
        <w:rPr>
          <w:rFonts w:ascii="Arial" w:hAnsi="Arial" w:cs="Arial"/>
          <w:sz w:val="22"/>
          <w:lang w:val="es-CO"/>
        </w:rPr>
        <w:lastRenderedPageBreak/>
        <w:t>señala que quienes cumplan las características y condiciones enunciadas, deben inscribirse en el RUP de la Cámara de Comercio del lugar donde el sujeto tenga su domicilio principal.</w:t>
      </w:r>
    </w:p>
    <w:p w14:paraId="7D77CBB3" w14:textId="3A7E9876" w:rsidR="0044590E" w:rsidRPr="004F1C8A" w:rsidRDefault="0044590E" w:rsidP="0044590E">
      <w:pPr>
        <w:spacing w:before="120" w:after="120" w:line="276" w:lineRule="auto"/>
        <w:ind w:firstLine="708"/>
        <w:jc w:val="both"/>
        <w:rPr>
          <w:rFonts w:ascii="Arial" w:hAnsi="Arial" w:cs="Arial"/>
          <w:sz w:val="22"/>
          <w:lang w:val="es-CO"/>
        </w:rPr>
      </w:pPr>
      <w:r w:rsidRPr="004F1C8A">
        <w:rPr>
          <w:rFonts w:ascii="Arial" w:hAnsi="Arial" w:cs="Arial"/>
          <w:sz w:val="22"/>
          <w:lang w:val="es-CO"/>
        </w:rPr>
        <w:t>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4F1C8A">
        <w:rPr>
          <w:rStyle w:val="Refdenotaalpie"/>
          <w:rFonts w:ascii="Arial" w:hAnsi="Arial" w:cs="Arial"/>
          <w:sz w:val="22"/>
          <w:lang w:val="es-CO"/>
        </w:rPr>
        <w:footnoteReference w:id="9"/>
      </w:r>
      <w:r w:rsidRPr="004F1C8A">
        <w:rPr>
          <w:rFonts w:ascii="Arial" w:hAnsi="Arial" w:cs="Arial"/>
          <w:sz w:val="22"/>
          <w:lang w:val="es-CO"/>
        </w:rPr>
        <w:t>.</w:t>
      </w:r>
    </w:p>
    <w:p w14:paraId="77CE8989" w14:textId="03B4E5E8" w:rsidR="0044590E" w:rsidRPr="004F1C8A" w:rsidRDefault="0044590E" w:rsidP="007B7725">
      <w:pPr>
        <w:spacing w:before="120" w:line="276" w:lineRule="auto"/>
        <w:ind w:firstLine="709"/>
        <w:jc w:val="both"/>
        <w:rPr>
          <w:rFonts w:ascii="Arial" w:hAnsi="Arial" w:cs="Arial"/>
          <w:sz w:val="22"/>
          <w:lang w:val="es-CO"/>
        </w:rPr>
      </w:pPr>
      <w:r w:rsidRPr="004F1C8A">
        <w:rPr>
          <w:rFonts w:ascii="Arial" w:hAnsi="Arial" w:cs="Arial"/>
          <w:sz w:val="22"/>
          <w:lang w:val="es-CO"/>
        </w:rPr>
        <w:t xml:space="preserve">Teniendo en cuenta la naturaleza jurídica de las </w:t>
      </w:r>
      <w:r w:rsidR="00E26E52">
        <w:rPr>
          <w:rFonts w:ascii="Arial" w:hAnsi="Arial" w:cs="Arial"/>
          <w:sz w:val="22"/>
          <w:lang w:val="es-CO"/>
        </w:rPr>
        <w:t>c</w:t>
      </w:r>
      <w:r w:rsidRPr="004F1C8A">
        <w:rPr>
          <w:rFonts w:ascii="Arial" w:hAnsi="Arial" w:cs="Arial"/>
          <w:sz w:val="22"/>
          <w:lang w:val="es-CO"/>
        </w:rPr>
        <w:t xml:space="preserve">ámaras de </w:t>
      </w:r>
      <w:r w:rsidR="00E26E52">
        <w:rPr>
          <w:rFonts w:ascii="Arial" w:hAnsi="Arial" w:cs="Arial"/>
          <w:sz w:val="22"/>
          <w:lang w:val="es-CO"/>
        </w:rPr>
        <w:t>c</w:t>
      </w:r>
      <w:r w:rsidRPr="004F1C8A">
        <w:rPr>
          <w:rFonts w:ascii="Arial" w:hAnsi="Arial" w:cs="Arial"/>
          <w:sz w:val="22"/>
          <w:lang w:val="es-CO"/>
        </w:rPr>
        <w:t>omercio, que</w:t>
      </w:r>
      <w:r w:rsidR="00CB1EA1">
        <w:rPr>
          <w:rFonts w:ascii="Arial" w:hAnsi="Arial" w:cs="Arial"/>
          <w:sz w:val="22"/>
          <w:lang w:val="es-CO"/>
        </w:rPr>
        <w:t>,</w:t>
      </w:r>
      <w:r w:rsidRPr="004F1C8A">
        <w:rPr>
          <w:rFonts w:ascii="Arial" w:hAnsi="Arial" w:cs="Arial"/>
          <w:sz w:val="22"/>
          <w:lang w:val="es-CO"/>
        </w:rPr>
        <w:t xml:space="preserve"> de acuerdo con el Código de Comercio</w:t>
      </w:r>
      <w:r w:rsidR="00CB1EA1">
        <w:rPr>
          <w:rFonts w:ascii="Arial" w:hAnsi="Arial" w:cs="Arial"/>
          <w:sz w:val="22"/>
          <w:lang w:val="es-CO"/>
        </w:rPr>
        <w:t>,</w:t>
      </w:r>
      <w:r w:rsidRPr="004F1C8A">
        <w:rPr>
          <w:rFonts w:ascii="Arial" w:hAnsi="Arial" w:cs="Arial"/>
          <w:sz w:val="22"/>
          <w:lang w:val="es-CO"/>
        </w:rPr>
        <w:t xml:space="preserve"> son personas jurídicas</w:t>
      </w:r>
      <w:r w:rsidRPr="004F1C8A">
        <w:rPr>
          <w:rStyle w:val="Refdenotaalpie"/>
          <w:rFonts w:ascii="Arial" w:hAnsi="Arial" w:cs="Arial"/>
          <w:sz w:val="22"/>
          <w:lang w:val="es-CO"/>
        </w:rPr>
        <w:footnoteReference w:id="10"/>
      </w:r>
      <w:r w:rsidRPr="004F1C8A">
        <w:rPr>
          <w:rFonts w:ascii="Arial" w:hAnsi="Arial" w:cs="Arial"/>
          <w:sz w:val="22"/>
          <w:lang w:val="es-CO"/>
        </w:rPr>
        <w:t>, están incluidas en el inciso 1 del artículo 6 de la Ley 1150 de 2007. E</w:t>
      </w:r>
      <w:r w:rsidR="00CB1EA1">
        <w:rPr>
          <w:rFonts w:ascii="Arial" w:hAnsi="Arial" w:cs="Arial"/>
          <w:sz w:val="22"/>
          <w:lang w:val="es-CO"/>
        </w:rPr>
        <w:t>llo e</w:t>
      </w:r>
      <w:r w:rsidRPr="004F1C8A">
        <w:rPr>
          <w:rFonts w:ascii="Arial" w:hAnsi="Arial" w:cs="Arial"/>
          <w:sz w:val="22"/>
          <w:lang w:val="es-CO"/>
        </w:rPr>
        <w:t>s así</w:t>
      </w:r>
      <w:r w:rsidR="00CB1EA1">
        <w:rPr>
          <w:rFonts w:ascii="Arial" w:hAnsi="Arial" w:cs="Arial"/>
          <w:sz w:val="22"/>
          <w:lang w:val="es-CO"/>
        </w:rPr>
        <w:t>,</w:t>
      </w:r>
      <w:r w:rsidRPr="004F1C8A">
        <w:rPr>
          <w:rFonts w:ascii="Arial" w:hAnsi="Arial" w:cs="Arial"/>
          <w:sz w:val="22"/>
          <w:lang w:val="es-CO"/>
        </w:rPr>
        <w:t xml:space="preserve"> teniendo en cuenta que la norma no las excluye. Sin embargo, el RUP no se requiere para los contratos y procedimientos enunciados en el inciso 2 del artículo 6 de la Ley 1150 de 2007, por lo cual las </w:t>
      </w:r>
      <w:r w:rsidR="00CB1EA1">
        <w:rPr>
          <w:rFonts w:ascii="Arial" w:hAnsi="Arial" w:cs="Arial"/>
          <w:sz w:val="22"/>
          <w:lang w:val="es-CO"/>
        </w:rPr>
        <w:t>c</w:t>
      </w:r>
      <w:r w:rsidRPr="004F1C8A">
        <w:rPr>
          <w:rFonts w:ascii="Arial" w:hAnsi="Arial" w:cs="Arial"/>
          <w:sz w:val="22"/>
          <w:lang w:val="es-CO"/>
        </w:rPr>
        <w:t xml:space="preserve">ámaras de </w:t>
      </w:r>
      <w:r w:rsidR="00E26E52">
        <w:rPr>
          <w:rFonts w:ascii="Arial" w:hAnsi="Arial" w:cs="Arial"/>
          <w:sz w:val="22"/>
          <w:lang w:val="es-CO"/>
        </w:rPr>
        <w:t>c</w:t>
      </w:r>
      <w:r w:rsidRPr="004F1C8A">
        <w:rPr>
          <w:rFonts w:ascii="Arial" w:hAnsi="Arial" w:cs="Arial"/>
          <w:sz w:val="22"/>
          <w:lang w:val="es-CO"/>
        </w:rPr>
        <w:t>omercio no deben registrarse para participar en lo señalado allí.</w:t>
      </w:r>
    </w:p>
    <w:p w14:paraId="15DF398C" w14:textId="77777777" w:rsidR="000A055B" w:rsidRPr="004F1C8A" w:rsidRDefault="000A055B" w:rsidP="00754D2B">
      <w:pPr>
        <w:spacing w:line="276" w:lineRule="auto"/>
        <w:ind w:firstLine="708"/>
        <w:jc w:val="both"/>
        <w:rPr>
          <w:rFonts w:ascii="Arial" w:eastAsia="Calibri" w:hAnsi="Arial" w:cs="Arial"/>
          <w:color w:val="000000" w:themeColor="text1"/>
          <w:sz w:val="22"/>
          <w:lang w:val="es-CO"/>
        </w:rPr>
      </w:pPr>
    </w:p>
    <w:p w14:paraId="223B5337" w14:textId="77777777" w:rsidR="00495590" w:rsidRPr="004F1C8A" w:rsidRDefault="00495590" w:rsidP="00754D2B">
      <w:pPr>
        <w:spacing w:line="276" w:lineRule="auto"/>
        <w:jc w:val="both"/>
        <w:rPr>
          <w:rFonts w:ascii="Arial" w:eastAsia="Calibri" w:hAnsi="Arial" w:cs="Arial"/>
          <w:b/>
          <w:color w:val="000000" w:themeColor="text1"/>
          <w:sz w:val="22"/>
          <w:lang w:val="es-CO"/>
        </w:rPr>
      </w:pPr>
      <w:r w:rsidRPr="004F1C8A">
        <w:rPr>
          <w:rFonts w:ascii="Arial" w:eastAsia="Calibri" w:hAnsi="Arial" w:cs="Arial"/>
          <w:b/>
          <w:color w:val="000000" w:themeColor="text1"/>
          <w:sz w:val="22"/>
          <w:lang w:val="es-CO"/>
        </w:rPr>
        <w:t>2.2 Experiencia en la contratación pública: aproximación general al concepto y consideraciones del ente rector de la contratación pública</w:t>
      </w:r>
    </w:p>
    <w:p w14:paraId="58F434B4" w14:textId="77777777" w:rsidR="00495590" w:rsidRPr="004F1C8A" w:rsidRDefault="00495590" w:rsidP="00754D2B">
      <w:pPr>
        <w:spacing w:line="276" w:lineRule="auto"/>
        <w:jc w:val="both"/>
        <w:rPr>
          <w:rFonts w:ascii="Arial" w:eastAsia="Calibri" w:hAnsi="Arial" w:cs="Arial"/>
          <w:b/>
          <w:color w:val="000000" w:themeColor="text1"/>
          <w:sz w:val="22"/>
          <w:lang w:val="es-CO"/>
        </w:rPr>
      </w:pPr>
    </w:p>
    <w:p w14:paraId="2B96C16C" w14:textId="77777777" w:rsidR="00495590" w:rsidRPr="004F1C8A" w:rsidRDefault="00495590" w:rsidP="00754D2B">
      <w:pPr>
        <w:spacing w:line="276" w:lineRule="auto"/>
        <w:jc w:val="both"/>
        <w:rPr>
          <w:rFonts w:ascii="Arial" w:eastAsia="Calibri" w:hAnsi="Arial" w:cs="Arial"/>
          <w:b/>
          <w:color w:val="000000" w:themeColor="text1"/>
          <w:sz w:val="22"/>
          <w:lang w:val="es-CO"/>
        </w:rPr>
      </w:pPr>
      <w:r w:rsidRPr="004F1C8A">
        <w:rPr>
          <w:rFonts w:ascii="Arial" w:eastAsia="Calibri" w:hAnsi="Arial" w:cs="Arial"/>
          <w:b/>
          <w:color w:val="000000" w:themeColor="text1"/>
          <w:sz w:val="22"/>
          <w:lang w:val="es-CO"/>
        </w:rPr>
        <w:t>a) Norma general</w:t>
      </w:r>
    </w:p>
    <w:p w14:paraId="51871284" w14:textId="77777777" w:rsidR="00495590" w:rsidRPr="004F1C8A" w:rsidRDefault="00495590" w:rsidP="00754D2B">
      <w:pPr>
        <w:spacing w:line="276" w:lineRule="auto"/>
        <w:jc w:val="both"/>
        <w:rPr>
          <w:rFonts w:ascii="Arial" w:eastAsia="Calibri" w:hAnsi="Arial" w:cs="Arial"/>
          <w:b/>
          <w:color w:val="000000" w:themeColor="text1"/>
          <w:sz w:val="22"/>
          <w:lang w:val="es-CO"/>
        </w:rPr>
      </w:pPr>
    </w:p>
    <w:p w14:paraId="45DE3A54" w14:textId="292A3318" w:rsidR="00495590" w:rsidRPr="004F1C8A" w:rsidRDefault="00495590" w:rsidP="007B7725">
      <w:pPr>
        <w:spacing w:after="120" w:line="276" w:lineRule="auto"/>
        <w:jc w:val="both"/>
        <w:rPr>
          <w:rFonts w:ascii="Arial" w:eastAsia="Calibri" w:hAnsi="Arial" w:cs="Arial"/>
          <w:color w:val="000000" w:themeColor="text1"/>
          <w:sz w:val="22"/>
          <w:highlight w:val="yellow"/>
          <w:lang w:val="es-CO"/>
        </w:rPr>
      </w:pPr>
      <w:r w:rsidRPr="004F1C8A">
        <w:rPr>
          <w:rFonts w:ascii="Arial" w:eastAsia="Calibri" w:hAnsi="Arial" w:cs="Arial"/>
          <w:color w:val="000000" w:themeColor="text1"/>
          <w:sz w:val="22"/>
          <w:lang w:val="es-CO"/>
        </w:rPr>
        <w:t>La Ley 1150 de 2007, en el artículo 5</w:t>
      </w:r>
      <w:r w:rsidR="00C24589" w:rsidRPr="004F1C8A">
        <w:rPr>
          <w:rStyle w:val="Refdenotaalpie"/>
          <w:rFonts w:ascii="Arial" w:eastAsia="Calibri" w:hAnsi="Arial" w:cs="Arial"/>
          <w:color w:val="000000" w:themeColor="text1"/>
          <w:sz w:val="22"/>
          <w:lang w:val="es-CO"/>
        </w:rPr>
        <w:footnoteReference w:id="11"/>
      </w:r>
      <w:r w:rsidRPr="004F1C8A">
        <w:rPr>
          <w:rFonts w:ascii="Arial" w:eastAsia="Calibri" w:hAnsi="Arial" w:cs="Arial"/>
          <w:color w:val="000000" w:themeColor="text1"/>
          <w:sz w:val="22"/>
          <w:lang w:val="es-CO"/>
        </w:rPr>
        <w:t xml:space="preserve">, establece los requisitos habilitantes para participar en un procedimiento contractual, dentro de los cuales se destaca la experiencia, y cuyo </w:t>
      </w:r>
      <w:r w:rsidRPr="004F1C8A">
        <w:rPr>
          <w:rFonts w:ascii="Arial" w:eastAsia="Calibri" w:hAnsi="Arial" w:cs="Arial"/>
          <w:color w:val="000000" w:themeColor="text1"/>
          <w:sz w:val="22"/>
          <w:lang w:val="es-CO"/>
        </w:rPr>
        <w:lastRenderedPageBreak/>
        <w:t>propósito es que las entidades fijen unos requisitos mínimos que debe tener y acreditar el proponente, para que la entidad pueda verificar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4F1C8A">
        <w:rPr>
          <w:rFonts w:ascii="Arial" w:eastAsia="Calibri" w:hAnsi="Arial" w:cs="Arial"/>
          <w:color w:val="000000" w:themeColor="text1"/>
          <w:sz w:val="22"/>
          <w:vertAlign w:val="superscript"/>
          <w:lang w:val="es-CO"/>
        </w:rPr>
        <w:footnoteReference w:id="12"/>
      </w:r>
      <w:r w:rsidRPr="004F1C8A">
        <w:rPr>
          <w:rFonts w:ascii="Arial" w:eastAsia="Calibri" w:hAnsi="Arial" w:cs="Arial"/>
          <w:color w:val="000000" w:themeColor="text1"/>
          <w:sz w:val="22"/>
          <w:lang w:val="es-CO"/>
        </w:rPr>
        <w:t>.</w:t>
      </w:r>
    </w:p>
    <w:p w14:paraId="79708353" w14:textId="77777777" w:rsidR="00495590" w:rsidRPr="004F1C8A" w:rsidRDefault="00495590" w:rsidP="006D478D">
      <w:pPr>
        <w:spacing w:before="120" w:after="120" w:line="276" w:lineRule="auto"/>
        <w:ind w:firstLine="708"/>
        <w:jc w:val="both"/>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t>La experiencia que se deriva de los contratos que el proponente ha celebrado y ejecutado con diferentes contratantes, sin importar la naturaleza de estos, se verifica con el Registro Único de Proponentes (RUP)</w:t>
      </w:r>
      <w:r w:rsidRPr="004F1C8A">
        <w:rPr>
          <w:rFonts w:ascii="Arial" w:eastAsia="Calibri" w:hAnsi="Arial" w:cs="Arial"/>
          <w:color w:val="000000" w:themeColor="text1"/>
          <w:sz w:val="22"/>
          <w:vertAlign w:val="superscript"/>
          <w:lang w:val="es-CO"/>
        </w:rPr>
        <w:footnoteReference w:id="13"/>
      </w:r>
      <w:r w:rsidRPr="004F1C8A">
        <w:rPr>
          <w:rFonts w:ascii="Arial" w:eastAsia="Calibri" w:hAnsi="Arial" w:cs="Arial"/>
          <w:color w:val="000000" w:themeColor="text1"/>
          <w:sz w:val="22"/>
          <w:lang w:val="es-CO"/>
        </w:rPr>
        <w:t>, cuando este certificado sea exigible de acuerdo con la ley, en el cual constan los requisitos habilitantes que se evalúan exclusivamente con este documento, que es su plena prueba, sin que le sea posible a la entidad o al proponente solicitar o aportar otra documentación</w:t>
      </w:r>
      <w:r w:rsidRPr="004F1C8A">
        <w:rPr>
          <w:rFonts w:ascii="Arial" w:eastAsia="Calibri" w:hAnsi="Arial" w:cs="Arial"/>
          <w:color w:val="000000" w:themeColor="text1"/>
          <w:sz w:val="22"/>
          <w:vertAlign w:val="superscript"/>
          <w:lang w:val="es-CO"/>
        </w:rPr>
        <w:footnoteReference w:id="14"/>
      </w:r>
      <w:r w:rsidRPr="004F1C8A">
        <w:rPr>
          <w:rFonts w:ascii="Arial" w:eastAsia="Calibri" w:hAnsi="Arial" w:cs="Arial"/>
          <w:color w:val="000000" w:themeColor="text1"/>
          <w:sz w:val="22"/>
          <w:lang w:val="es-CO"/>
        </w:rPr>
        <w:t>.</w:t>
      </w:r>
    </w:p>
    <w:p w14:paraId="56117C01" w14:textId="52F6E121" w:rsidR="00BF5A02" w:rsidRPr="004F1C8A" w:rsidRDefault="00495590" w:rsidP="00726482">
      <w:pPr>
        <w:spacing w:line="276" w:lineRule="auto"/>
        <w:ind w:firstLine="708"/>
        <w:jc w:val="both"/>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4F1C8A">
        <w:rPr>
          <w:rFonts w:ascii="Arial" w:eastAsia="Calibri" w:hAnsi="Arial" w:cs="Arial"/>
          <w:color w:val="000000" w:themeColor="text1"/>
          <w:sz w:val="22"/>
          <w:vertAlign w:val="superscript"/>
          <w:lang w:val="es-CO"/>
        </w:rPr>
        <w:footnoteReference w:id="15"/>
      </w:r>
      <w:r w:rsidRPr="004F1C8A">
        <w:rPr>
          <w:rFonts w:ascii="Arial" w:eastAsia="Calibri" w:hAnsi="Arial" w:cs="Arial"/>
          <w:color w:val="000000" w:themeColor="text1"/>
          <w:sz w:val="22"/>
          <w:lang w:val="es-CO"/>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77CF2779" w14:textId="77777777" w:rsidR="00BF5A02" w:rsidRPr="004F1C8A" w:rsidRDefault="00BF5A02" w:rsidP="00BF5A02">
      <w:pPr>
        <w:spacing w:line="276" w:lineRule="auto"/>
        <w:jc w:val="both"/>
        <w:rPr>
          <w:rFonts w:ascii="Arial" w:eastAsia="Calibri" w:hAnsi="Arial" w:cs="Arial"/>
          <w:color w:val="000000" w:themeColor="text1"/>
          <w:sz w:val="22"/>
          <w:lang w:val="es-CO"/>
        </w:rPr>
      </w:pPr>
    </w:p>
    <w:p w14:paraId="7B1AD1F5" w14:textId="77777777" w:rsidR="00495590" w:rsidRPr="004F1C8A" w:rsidRDefault="00495590" w:rsidP="00BF5A02">
      <w:pPr>
        <w:spacing w:line="276" w:lineRule="auto"/>
        <w:jc w:val="both"/>
        <w:rPr>
          <w:rFonts w:ascii="Arial" w:eastAsia="Calibri" w:hAnsi="Arial" w:cs="Arial"/>
          <w:b/>
          <w:bCs/>
          <w:color w:val="000000" w:themeColor="text1"/>
          <w:sz w:val="22"/>
          <w:lang w:val="es-CO"/>
        </w:rPr>
      </w:pPr>
      <w:r w:rsidRPr="004F1C8A">
        <w:rPr>
          <w:rFonts w:ascii="Arial" w:eastAsia="Calibri" w:hAnsi="Arial" w:cs="Arial"/>
          <w:b/>
          <w:bCs/>
          <w:color w:val="000000" w:themeColor="text1"/>
          <w:sz w:val="22"/>
          <w:lang w:val="es-CO"/>
        </w:rPr>
        <w:t>b) Consideraciones de Colombia Compra Eficiente respecto de la experiencia</w:t>
      </w:r>
    </w:p>
    <w:p w14:paraId="4EF5918C" w14:textId="77777777" w:rsidR="00495590" w:rsidRPr="004F1C8A" w:rsidRDefault="00495590" w:rsidP="00BF5A02">
      <w:pPr>
        <w:spacing w:line="276" w:lineRule="auto"/>
        <w:jc w:val="both"/>
        <w:rPr>
          <w:rFonts w:ascii="Arial" w:eastAsia="Calibri" w:hAnsi="Arial" w:cs="Arial"/>
          <w:b/>
          <w:bCs/>
          <w:color w:val="000000" w:themeColor="text1"/>
          <w:sz w:val="22"/>
          <w:lang w:val="es-CO"/>
        </w:rPr>
      </w:pPr>
    </w:p>
    <w:p w14:paraId="731D627A" w14:textId="3D7859F5" w:rsidR="008B0720" w:rsidRPr="004F1C8A" w:rsidRDefault="008B0720" w:rsidP="007B7725">
      <w:pPr>
        <w:spacing w:after="120" w:line="276" w:lineRule="auto"/>
        <w:jc w:val="both"/>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tiene la experiencia es en razón a su participación, con anterioridad, en actividades que le permitieron conocer cómo</w:t>
      </w:r>
      <w:r w:rsidR="009709B7" w:rsidRPr="004F1C8A">
        <w:rPr>
          <w:rFonts w:ascii="Arial" w:eastAsia="Calibri" w:hAnsi="Arial" w:cs="Arial"/>
          <w:color w:val="000000" w:themeColor="text1"/>
          <w:sz w:val="22"/>
          <w:lang w:val="es-CO"/>
        </w:rPr>
        <w:t xml:space="preserve"> ejecutar el objeto contractual</w:t>
      </w:r>
      <w:r w:rsidRPr="004F1C8A">
        <w:rPr>
          <w:rFonts w:ascii="Arial" w:eastAsia="Calibri" w:hAnsi="Arial" w:cs="Arial"/>
          <w:color w:val="000000" w:themeColor="text1"/>
          <w:sz w:val="22"/>
          <w:lang w:val="es-CO"/>
        </w:rPr>
        <w:t xml:space="preserve"> que la entidad pretende </w:t>
      </w:r>
      <w:r w:rsidR="009709B7" w:rsidRPr="004F1C8A">
        <w:rPr>
          <w:rFonts w:ascii="Arial" w:eastAsia="Calibri" w:hAnsi="Arial" w:cs="Arial"/>
          <w:color w:val="000000" w:themeColor="text1"/>
          <w:sz w:val="22"/>
          <w:lang w:val="es-CO"/>
        </w:rPr>
        <w:t>ejecutar</w:t>
      </w:r>
      <w:r w:rsidRPr="004F1C8A">
        <w:rPr>
          <w:rStyle w:val="Refdenotaalpie"/>
          <w:rFonts w:ascii="Arial" w:eastAsia="Calibri" w:hAnsi="Arial" w:cs="Arial"/>
          <w:color w:val="000000" w:themeColor="text1"/>
          <w:sz w:val="22"/>
          <w:lang w:val="es-CO"/>
        </w:rPr>
        <w:footnoteReference w:id="16"/>
      </w:r>
      <w:r w:rsidRPr="004F1C8A">
        <w:rPr>
          <w:rFonts w:ascii="Arial" w:eastAsia="Calibri" w:hAnsi="Arial" w:cs="Arial"/>
          <w:color w:val="000000" w:themeColor="text1"/>
          <w:sz w:val="22"/>
          <w:lang w:val="es-CO"/>
        </w:rPr>
        <w:t>.</w:t>
      </w:r>
    </w:p>
    <w:p w14:paraId="4957E392" w14:textId="36FE26A1" w:rsidR="008B0720" w:rsidRPr="004F1C8A" w:rsidRDefault="008B0720" w:rsidP="006D478D">
      <w:pPr>
        <w:spacing w:before="120" w:after="120" w:line="276" w:lineRule="auto"/>
        <w:ind w:firstLine="709"/>
        <w:jc w:val="both"/>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lastRenderedPageBreak/>
        <w:t>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w:t>
      </w:r>
      <w:r w:rsidR="008C42DC">
        <w:rPr>
          <w:rFonts w:ascii="Arial" w:eastAsia="Calibri" w:hAnsi="Arial" w:cs="Arial"/>
          <w:color w:val="000000" w:themeColor="text1"/>
          <w:sz w:val="22"/>
          <w:lang w:val="es-CO"/>
        </w:rPr>
        <w:t>.</w:t>
      </w:r>
      <w:r w:rsidRPr="004F1C8A">
        <w:rPr>
          <w:rFonts w:ascii="Arial" w:eastAsia="Calibri" w:hAnsi="Arial" w:cs="Arial"/>
          <w:color w:val="000000" w:themeColor="text1"/>
          <w:sz w:val="22"/>
          <w:lang w:val="es-CO"/>
        </w:rPr>
        <w:t xml:space="preserve"> </w:t>
      </w:r>
      <w:r w:rsidR="008C42DC">
        <w:rPr>
          <w:rFonts w:ascii="Arial" w:eastAsia="Calibri" w:hAnsi="Arial" w:cs="Arial"/>
          <w:color w:val="000000" w:themeColor="text1"/>
          <w:sz w:val="22"/>
          <w:lang w:val="es-CO"/>
        </w:rPr>
        <w:t>E</w:t>
      </w:r>
      <w:r w:rsidRPr="004F1C8A">
        <w:rPr>
          <w:rFonts w:ascii="Arial" w:eastAsia="Calibri" w:hAnsi="Arial" w:cs="Arial"/>
          <w:color w:val="000000" w:themeColor="text1"/>
          <w:sz w:val="22"/>
          <w:lang w:val="es-CO"/>
        </w:rPr>
        <w:t xml:space="preserve">n este caso la experiencia no deja de ser </w:t>
      </w:r>
      <w:r w:rsidR="004F1C8A" w:rsidRPr="004F1C8A">
        <w:rPr>
          <w:rFonts w:ascii="Arial" w:eastAsia="Calibri" w:hAnsi="Arial" w:cs="Arial"/>
          <w:color w:val="000000" w:themeColor="text1"/>
          <w:sz w:val="22"/>
          <w:lang w:val="es-CO"/>
        </w:rPr>
        <w:t>personal,</w:t>
      </w:r>
      <w:r w:rsidRPr="004F1C8A">
        <w:rPr>
          <w:rFonts w:ascii="Arial" w:eastAsia="Calibri" w:hAnsi="Arial" w:cs="Arial"/>
          <w:color w:val="000000" w:themeColor="text1"/>
          <w:sz w:val="22"/>
          <w:lang w:val="es-CO"/>
        </w:rPr>
        <w:t xml:space="preserve"> sino que es proporcional a la participación como miembro de un consorcio o unión temporal, </w:t>
      </w:r>
      <w:r w:rsidR="0005151E">
        <w:rPr>
          <w:rFonts w:ascii="Arial" w:eastAsia="Calibri" w:hAnsi="Arial" w:cs="Arial"/>
          <w:color w:val="000000" w:themeColor="text1"/>
          <w:sz w:val="22"/>
          <w:lang w:val="es-CO"/>
        </w:rPr>
        <w:t>en los que,</w:t>
      </w:r>
      <w:r w:rsidRPr="004F1C8A">
        <w:rPr>
          <w:rFonts w:ascii="Arial" w:eastAsia="Calibri" w:hAnsi="Arial" w:cs="Arial"/>
          <w:color w:val="000000" w:themeColor="text1"/>
          <w:sz w:val="22"/>
          <w:lang w:val="es-CO"/>
        </w:rPr>
        <w:t xml:space="preserve"> por ser esquemas asociativos</w:t>
      </w:r>
      <w:r w:rsidR="0005151E">
        <w:rPr>
          <w:rFonts w:ascii="Arial" w:eastAsia="Calibri" w:hAnsi="Arial" w:cs="Arial"/>
          <w:color w:val="000000" w:themeColor="text1"/>
          <w:sz w:val="22"/>
          <w:lang w:val="es-CO"/>
        </w:rPr>
        <w:t>,</w:t>
      </w:r>
      <w:r w:rsidRPr="004F1C8A">
        <w:rPr>
          <w:rFonts w:ascii="Arial" w:eastAsia="Calibri" w:hAnsi="Arial" w:cs="Arial"/>
          <w:color w:val="000000" w:themeColor="text1"/>
          <w:sz w:val="22"/>
          <w:lang w:val="es-CO"/>
        </w:rPr>
        <w:t xml:space="preserve"> la experiencia es compartida. Por otra parte, la Agencia recomienda que la experiencia que se solicite sea proporcional y no igual al objeto que se va a contratar, ya que esto puede limitar la participación de los proveedores</w:t>
      </w:r>
      <w:r w:rsidR="00331F56">
        <w:rPr>
          <w:rFonts w:ascii="Arial" w:eastAsia="Calibri" w:hAnsi="Arial" w:cs="Arial"/>
          <w:color w:val="000000" w:themeColor="text1"/>
          <w:sz w:val="22"/>
          <w:lang w:val="es-CO"/>
        </w:rPr>
        <w:t>,</w:t>
      </w:r>
      <w:r w:rsidRPr="004F1C8A">
        <w:rPr>
          <w:rFonts w:ascii="Arial" w:eastAsia="Calibri" w:hAnsi="Arial" w:cs="Arial"/>
          <w:color w:val="000000" w:themeColor="text1"/>
          <w:sz w:val="22"/>
          <w:lang w:val="es-CO"/>
        </w:rPr>
        <w:t xml:space="preserve"> por no haber ejecutado un objeto igual pero sí similar, que puede funcionar para las exigencias de la entidad ayudando a que exista pluralidad de oferentes. Finalmente, se pueden extraer conclusiones relevantes en relación con los rasgos característicos de la experiencia: </w:t>
      </w:r>
    </w:p>
    <w:p w14:paraId="4BC23E9E" w14:textId="77777777" w:rsidR="008B0720" w:rsidRPr="004F1C8A" w:rsidRDefault="008B0720" w:rsidP="006D478D">
      <w:pPr>
        <w:spacing w:before="120" w:after="120" w:line="276" w:lineRule="auto"/>
        <w:ind w:firstLine="709"/>
        <w:jc w:val="both"/>
        <w:rPr>
          <w:rFonts w:ascii="Arial" w:eastAsia="Calibri" w:hAnsi="Arial" w:cs="Arial"/>
          <w:color w:val="000000" w:themeColor="text1"/>
          <w:sz w:val="22"/>
          <w:lang w:val="es-CO"/>
        </w:rPr>
      </w:pPr>
      <w:r w:rsidRPr="004F1C8A">
        <w:rPr>
          <w:rFonts w:ascii="Arial" w:eastAsia="Calibri" w:hAnsi="Arial" w:cs="Arial"/>
          <w:color w:val="000000" w:themeColor="text1"/>
          <w:sz w:val="22"/>
          <w:lang w:val="es-CO"/>
        </w:rPr>
        <w:t>i) La experiencia es personal, esto es, se adquiere participando, directa o indirectamente, sin que sea posible no participar y tener una experiencia que no es propia.</w:t>
      </w:r>
    </w:p>
    <w:p w14:paraId="7CCB5A06" w14:textId="77777777" w:rsidR="00E36114" w:rsidRPr="004F1C8A" w:rsidRDefault="008B0720" w:rsidP="006D478D">
      <w:pPr>
        <w:spacing w:before="120" w:after="120" w:line="276" w:lineRule="auto"/>
        <w:ind w:firstLine="709"/>
        <w:jc w:val="both"/>
        <w:rPr>
          <w:rFonts w:ascii="Arial" w:eastAsia="Calibri" w:hAnsi="Arial" w:cs="Arial"/>
          <w:color w:val="000000" w:themeColor="text1"/>
          <w:sz w:val="22"/>
          <w:lang w:val="es-CO"/>
        </w:rPr>
      </w:pPr>
      <w:proofErr w:type="spellStart"/>
      <w:r w:rsidRPr="004F1C8A">
        <w:rPr>
          <w:rFonts w:ascii="Arial" w:eastAsia="Calibri" w:hAnsi="Arial" w:cs="Arial"/>
          <w:color w:val="000000" w:themeColor="text1"/>
          <w:sz w:val="22"/>
          <w:lang w:val="es-CO"/>
        </w:rPr>
        <w:t>ii</w:t>
      </w:r>
      <w:proofErr w:type="spellEnd"/>
      <w:r w:rsidRPr="004F1C8A">
        <w:rPr>
          <w:rFonts w:ascii="Arial" w:eastAsia="Calibri" w:hAnsi="Arial" w:cs="Arial"/>
          <w:color w:val="000000" w:themeColor="text1"/>
          <w:sz w:val="22"/>
          <w:lang w:val="es-CO"/>
        </w:rPr>
        <w:t xml:space="preserve">) La experiencia se puede compartir, sin que la compartida se entienda suya, ya que dentro del procedimiento contractual se reflejará que esa persona tiene la experiencia de otra, como es el caso de la que aportan los socios a las sociedades con menos de 3 años de constitución, lo cual constará en el RUP; o de las figuras asociativas  ̶ </w:t>
      </w:r>
      <w:r w:rsidR="006D478D" w:rsidRPr="004F1C8A">
        <w:rPr>
          <w:rFonts w:ascii="Arial" w:eastAsia="Calibri" w:hAnsi="Arial" w:cs="Arial"/>
          <w:color w:val="000000" w:themeColor="text1"/>
          <w:sz w:val="22"/>
          <w:lang w:val="es-CO"/>
        </w:rPr>
        <w:t xml:space="preserve"> </w:t>
      </w:r>
      <w:r w:rsidRPr="004F1C8A">
        <w:rPr>
          <w:rFonts w:ascii="Arial" w:eastAsia="Calibri" w:hAnsi="Arial" w:cs="Arial"/>
          <w:color w:val="000000" w:themeColor="text1"/>
          <w:sz w:val="22"/>
          <w:lang w:val="es-CO"/>
        </w:rPr>
        <w:t>consorcios y uniones temporales ̶  que se verificará en el documento privado de constitución.</w:t>
      </w:r>
    </w:p>
    <w:p w14:paraId="06C224F3" w14:textId="4B404CB3" w:rsidR="008B0720" w:rsidRPr="004F1C8A" w:rsidRDefault="006D478D" w:rsidP="006D478D">
      <w:pPr>
        <w:spacing w:before="120" w:after="120" w:line="276" w:lineRule="auto"/>
        <w:ind w:firstLine="709"/>
        <w:jc w:val="both"/>
        <w:rPr>
          <w:rFonts w:ascii="Arial" w:eastAsia="Calibri" w:hAnsi="Arial" w:cs="Arial"/>
          <w:color w:val="000000" w:themeColor="text1"/>
          <w:sz w:val="22"/>
          <w:lang w:val="es-CO"/>
        </w:rPr>
      </w:pPr>
      <w:proofErr w:type="spellStart"/>
      <w:r w:rsidRPr="004F1C8A">
        <w:rPr>
          <w:rFonts w:ascii="Arial" w:eastAsia="Calibri" w:hAnsi="Arial" w:cs="Arial"/>
          <w:color w:val="000000" w:themeColor="text1"/>
          <w:sz w:val="22"/>
          <w:lang w:val="es-CO"/>
        </w:rPr>
        <w:lastRenderedPageBreak/>
        <w:t>i</w:t>
      </w:r>
      <w:r w:rsidR="008B0720" w:rsidRPr="004F1C8A">
        <w:rPr>
          <w:rFonts w:ascii="Arial" w:eastAsia="Calibri" w:hAnsi="Arial" w:cs="Arial"/>
          <w:color w:val="000000" w:themeColor="text1"/>
          <w:sz w:val="22"/>
          <w:lang w:val="es-CO"/>
        </w:rPr>
        <w:t>ii</w:t>
      </w:r>
      <w:proofErr w:type="spellEnd"/>
      <w:r w:rsidR="008B0720" w:rsidRPr="004F1C8A">
        <w:rPr>
          <w:rFonts w:ascii="Arial" w:eastAsia="Calibri" w:hAnsi="Arial" w:cs="Arial"/>
          <w:color w:val="000000" w:themeColor="text1"/>
          <w:sz w:val="22"/>
          <w:lang w:val="es-CO"/>
        </w:rPr>
        <w:t xml:space="preserve">) La experiencia se puede transferir, y es diferente a compartir, puesto que implica que la experiencia de una persona se traslada a otra, y esta última acredita esa experiencia como propia, lo cual es el caso de algunas figuras y reformas estatutarias. </w:t>
      </w:r>
    </w:p>
    <w:p w14:paraId="61103F8A" w14:textId="77777777" w:rsidR="008B0720" w:rsidRPr="004F1C8A" w:rsidRDefault="008B0720" w:rsidP="006D478D">
      <w:pPr>
        <w:spacing w:before="120" w:after="120" w:line="276" w:lineRule="auto"/>
        <w:ind w:firstLine="709"/>
        <w:jc w:val="both"/>
        <w:rPr>
          <w:rFonts w:ascii="Arial" w:eastAsia="Calibri" w:hAnsi="Arial" w:cs="Arial"/>
          <w:color w:val="000000" w:themeColor="text1"/>
          <w:sz w:val="22"/>
          <w:lang w:val="es-CO"/>
        </w:rPr>
      </w:pPr>
      <w:proofErr w:type="spellStart"/>
      <w:r w:rsidRPr="004F1C8A">
        <w:rPr>
          <w:rFonts w:ascii="Arial" w:eastAsia="Calibri" w:hAnsi="Arial" w:cs="Arial"/>
          <w:color w:val="000000" w:themeColor="text1"/>
          <w:sz w:val="22"/>
          <w:lang w:val="es-CO"/>
        </w:rPr>
        <w:t>iv</w:t>
      </w:r>
      <w:proofErr w:type="spellEnd"/>
      <w:r w:rsidRPr="004F1C8A">
        <w:rPr>
          <w:rFonts w:ascii="Arial" w:eastAsia="Calibri" w:hAnsi="Arial" w:cs="Arial"/>
          <w:color w:val="000000" w:themeColor="text1"/>
          <w:sz w:val="22"/>
          <w:lang w:val="es-CO"/>
        </w:rPr>
        <w:t>) Cuando la persona que adquirió la experiencia desaparece o se liquida, no es posible que comparta o transfiera su experiencia, porque al ser personal sigue la suerte de quien la adquirió.</w:t>
      </w:r>
    </w:p>
    <w:p w14:paraId="476272FD" w14:textId="38B643B9" w:rsidR="008B0720" w:rsidRPr="004F1C8A" w:rsidRDefault="008B0720" w:rsidP="006D478D">
      <w:pPr>
        <w:spacing w:before="120" w:after="120" w:line="276" w:lineRule="auto"/>
        <w:ind w:firstLine="709"/>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Ahora, el Registro Único de Proponentes </w:t>
      </w:r>
      <w:r w:rsidRPr="004F1C8A">
        <w:rPr>
          <w:rFonts w:ascii="Arial" w:eastAsia="Calibri" w:hAnsi="Arial" w:cs="Arial"/>
          <w:color w:val="000000" w:themeColor="text1"/>
          <w:sz w:val="22"/>
          <w:lang w:val="es-CO"/>
        </w:rPr>
        <w:t xml:space="preserve">― </w:t>
      </w:r>
      <w:r w:rsidRPr="004F1C8A">
        <w:rPr>
          <w:rFonts w:ascii="Arial" w:hAnsi="Arial" w:cs="Arial"/>
          <w:color w:val="000000" w:themeColor="text1"/>
          <w:sz w:val="22"/>
          <w:lang w:val="es-CO"/>
        </w:rPr>
        <w:t>RUP fue creado por el artículo 6 de la Ley 1150 de 2007, y se constituye como el medio idóneo para verificar las condiciones de los proponentes en procesos de contratación pública. Este registro, conforme a lo señalado por la Corte Constitucional</w:t>
      </w:r>
      <w:r w:rsidRPr="004F1C8A">
        <w:rPr>
          <w:rStyle w:val="Refdenotaalpie"/>
          <w:rFonts w:ascii="Arial" w:hAnsi="Arial" w:cs="Arial"/>
          <w:color w:val="000000" w:themeColor="text1"/>
          <w:sz w:val="22"/>
          <w:lang w:val="es-CO"/>
        </w:rPr>
        <w:footnoteReference w:id="17"/>
      </w:r>
      <w:r w:rsidRPr="004F1C8A">
        <w:rPr>
          <w:rFonts w:ascii="Arial" w:hAnsi="Arial" w:cs="Arial"/>
          <w:color w:val="000000" w:themeColor="text1"/>
          <w:sz w:val="22"/>
          <w:lang w:val="es-CO"/>
        </w:rPr>
        <w:t xml:space="preserve">, por atribución legal es administrado por las Cámaras de Comercio y la actividad relacionada en el mismo está «sometido a los principios de la función administrativa y de contratación estatal». </w:t>
      </w:r>
    </w:p>
    <w:p w14:paraId="26E2364B" w14:textId="4F1CC99A" w:rsidR="008B0720" w:rsidRPr="004F1C8A" w:rsidRDefault="008B0720" w:rsidP="006D478D">
      <w:pPr>
        <w:spacing w:before="120" w:after="120" w:line="276" w:lineRule="auto"/>
        <w:ind w:firstLine="705"/>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w:t>
      </w:r>
      <w:r w:rsidR="002F3435">
        <w:rPr>
          <w:rFonts w:ascii="Arial" w:hAnsi="Arial" w:cs="Arial"/>
          <w:color w:val="000000" w:themeColor="text1"/>
          <w:sz w:val="22"/>
          <w:lang w:val="es-CO"/>
        </w:rPr>
        <w:t>c</w:t>
      </w:r>
      <w:r w:rsidRPr="004F1C8A">
        <w:rPr>
          <w:rFonts w:ascii="Arial" w:hAnsi="Arial" w:cs="Arial"/>
          <w:color w:val="000000" w:themeColor="text1"/>
          <w:sz w:val="22"/>
          <w:lang w:val="es-CO"/>
        </w:rPr>
        <w:t xml:space="preserve">ámaras para verificarlas. </w:t>
      </w:r>
    </w:p>
    <w:p w14:paraId="4F49A1AE" w14:textId="0D0BFEF5" w:rsidR="008B0720" w:rsidRPr="004F1C8A" w:rsidRDefault="008B0720" w:rsidP="006D478D">
      <w:pPr>
        <w:spacing w:before="120" w:after="120" w:line="276" w:lineRule="auto"/>
        <w:ind w:left="180" w:firstLine="525"/>
        <w:jc w:val="both"/>
        <w:rPr>
          <w:rFonts w:ascii="Arial" w:hAnsi="Arial" w:cs="Arial"/>
          <w:color w:val="000000" w:themeColor="text1"/>
          <w:sz w:val="22"/>
          <w:lang w:val="es-CO"/>
        </w:rPr>
      </w:pPr>
      <w:r w:rsidRPr="004F1C8A">
        <w:rPr>
          <w:rFonts w:ascii="Arial" w:hAnsi="Arial" w:cs="Arial"/>
          <w:color w:val="000000" w:themeColor="text1"/>
          <w:sz w:val="22"/>
          <w:lang w:val="es-CO"/>
        </w:rPr>
        <w:t>Como se dijo, la norma impuso la obligación a todos los pr</w:t>
      </w:r>
      <w:r w:rsidR="009709B7" w:rsidRPr="004F1C8A">
        <w:rPr>
          <w:rFonts w:ascii="Arial" w:hAnsi="Arial" w:cs="Arial"/>
          <w:color w:val="000000" w:themeColor="text1"/>
          <w:sz w:val="22"/>
          <w:lang w:val="es-CO"/>
        </w:rPr>
        <w:t>oponentes de inscribirse en el R</w:t>
      </w:r>
      <w:r w:rsidRPr="004F1C8A">
        <w:rPr>
          <w:rFonts w:ascii="Arial" w:hAnsi="Arial" w:cs="Arial"/>
          <w:color w:val="000000" w:themeColor="text1"/>
          <w:sz w:val="22"/>
          <w:lang w:val="es-CO"/>
        </w:rPr>
        <w:t xml:space="preserve">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p>
    <w:p w14:paraId="56CC6029" w14:textId="20ACE2F8" w:rsidR="008B0720" w:rsidRPr="004F1C8A" w:rsidRDefault="008B0720" w:rsidP="006D478D">
      <w:pPr>
        <w:spacing w:before="120" w:after="120" w:line="276" w:lineRule="auto"/>
        <w:jc w:val="both"/>
        <w:rPr>
          <w:rFonts w:ascii="Arial" w:hAnsi="Arial" w:cs="Arial"/>
          <w:color w:val="000000" w:themeColor="text1"/>
          <w:sz w:val="22"/>
          <w:lang w:val="es-CO"/>
        </w:rPr>
      </w:pPr>
      <w:r w:rsidRPr="004F1C8A">
        <w:rPr>
          <w:rFonts w:ascii="Arial" w:hAnsi="Arial" w:cs="Arial"/>
          <w:color w:val="000000" w:themeColor="text1"/>
          <w:sz w:val="22"/>
          <w:lang w:val="es-CO"/>
        </w:rPr>
        <w:tab/>
        <w:t xml:space="preserve">Asimismo, correlativo a este deber de los proponentes, la norma impuso a las cámaras de comercio la obligación de verificar los requisitos habilitantes de quienes se registren en dicha base de datos. El inciso 2 del numeral 6.1. le otorga carácter de plena prueba a la información contenida en el registro que haya sido verificada por las </w:t>
      </w:r>
      <w:r w:rsidR="00FD3CFA">
        <w:rPr>
          <w:rFonts w:ascii="Arial" w:hAnsi="Arial" w:cs="Arial"/>
          <w:color w:val="000000" w:themeColor="text1"/>
          <w:sz w:val="22"/>
          <w:lang w:val="es-CO"/>
        </w:rPr>
        <w:t>c</w:t>
      </w:r>
      <w:r w:rsidRPr="004F1C8A">
        <w:rPr>
          <w:rFonts w:ascii="Arial" w:hAnsi="Arial" w:cs="Arial"/>
          <w:color w:val="000000" w:themeColor="text1"/>
          <w:sz w:val="22"/>
          <w:lang w:val="es-CO"/>
        </w:rPr>
        <w:t xml:space="preserve">ámaras de </w:t>
      </w:r>
      <w:r w:rsidR="00FD3CFA">
        <w:rPr>
          <w:rFonts w:ascii="Arial" w:hAnsi="Arial" w:cs="Arial"/>
          <w:color w:val="000000" w:themeColor="text1"/>
          <w:sz w:val="22"/>
          <w:lang w:val="es-CO"/>
        </w:rPr>
        <w:t>c</w:t>
      </w:r>
      <w:r w:rsidRPr="004F1C8A">
        <w:rPr>
          <w:rFonts w:ascii="Arial" w:hAnsi="Arial" w:cs="Arial"/>
          <w:color w:val="000000" w:themeColor="text1"/>
          <w:sz w:val="22"/>
          <w:lang w:val="es-CO"/>
        </w:rPr>
        <w:t xml:space="preserve">omercio y, además, consagró una especie de tarifa legal respecto de la acreditación de los requisitos habilitantes, pues señala que la verificación de las condiciones de que trata el numeral 1 el artículo 5 de la Ley 1150 de 2007 se demostrará «exclusivamente con el respectivo certificado del RUP en donde deberán constar dichas condiciones». </w:t>
      </w:r>
    </w:p>
    <w:p w14:paraId="6B03D083" w14:textId="0C7A6474" w:rsidR="008B0720" w:rsidRPr="004F1C8A" w:rsidRDefault="008B0720" w:rsidP="006D478D">
      <w:pPr>
        <w:spacing w:before="120" w:after="120" w:line="276" w:lineRule="auto"/>
        <w:ind w:firstLine="709"/>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Como consecuencia de lo anterior, la norma dispone que a las entidades les está prohibido exigir otros documentos para efectuar la inscripción en el registro, salvo lo dispuesto en el inciso 3 del numeral 6.1.del artículo 6 de la Ley 1150 de 2007, en el que se </w:t>
      </w:r>
      <w:r w:rsidRPr="004F1C8A">
        <w:rPr>
          <w:rFonts w:ascii="Arial" w:hAnsi="Arial" w:cs="Arial"/>
          <w:color w:val="000000" w:themeColor="text1"/>
          <w:sz w:val="22"/>
          <w:lang w:val="es-CO"/>
        </w:rPr>
        <w:lastRenderedPageBreak/>
        <w:t xml:space="preserve">prevé que la entidad podrá verificar requisitos adicionales a los contenidos en el registro cuando se requiera en virtud de la naturaleza del objeto a contratar. La misma norma señala que solo en este último evento la entidad podrá hacer la verificación en forma directa, es decir, cuando por el objeto del contrato se requieran verificar requisitos adicionales a los contenidos en el registro.  </w:t>
      </w:r>
    </w:p>
    <w:p w14:paraId="4C16AD74" w14:textId="1C173D05" w:rsidR="00965ED6" w:rsidRPr="004F1C8A" w:rsidRDefault="008B0720" w:rsidP="007B7725">
      <w:pPr>
        <w:spacing w:before="120" w:line="276" w:lineRule="auto"/>
        <w:ind w:firstLine="709"/>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De lo anterior se puede concluir que la regla general es que la experiencia se acredita a través del RUP y, en consecuencia, la evaluación de experiencia, como requisito habilitante, no puede ser evaluada nuevamente por la entidad pública a partir de otros criterios distintos a los señalados en el Registro Único. </w:t>
      </w:r>
    </w:p>
    <w:bookmarkEnd w:id="0"/>
    <w:bookmarkEnd w:id="1"/>
    <w:p w14:paraId="47E7193A" w14:textId="77777777" w:rsidR="009709B7" w:rsidRPr="004F1C8A" w:rsidRDefault="009709B7" w:rsidP="00BF5A02">
      <w:pPr>
        <w:spacing w:line="276" w:lineRule="auto"/>
        <w:jc w:val="both"/>
        <w:rPr>
          <w:rFonts w:ascii="Arial" w:hAnsi="Arial" w:cs="Arial"/>
          <w:color w:val="000000" w:themeColor="text1"/>
          <w:sz w:val="22"/>
          <w:lang w:val="es-CO"/>
        </w:rPr>
      </w:pPr>
    </w:p>
    <w:p w14:paraId="609C4D8B" w14:textId="1245B481" w:rsidR="00AD1B0F" w:rsidRPr="004F1C8A" w:rsidRDefault="004202F3" w:rsidP="00BF5A02">
      <w:pPr>
        <w:spacing w:line="276" w:lineRule="auto"/>
        <w:jc w:val="both"/>
        <w:rPr>
          <w:rFonts w:ascii="Arial" w:hAnsi="Arial" w:cs="Arial"/>
          <w:b/>
          <w:color w:val="000000" w:themeColor="text1"/>
          <w:sz w:val="22"/>
          <w:lang w:val="es-CO"/>
        </w:rPr>
      </w:pPr>
      <w:r w:rsidRPr="004F1C8A">
        <w:rPr>
          <w:rFonts w:ascii="Arial" w:hAnsi="Arial" w:cs="Arial"/>
          <w:b/>
          <w:color w:val="000000" w:themeColor="text1"/>
          <w:sz w:val="22"/>
          <w:lang w:val="es-CO"/>
        </w:rPr>
        <w:t>2.</w:t>
      </w:r>
      <w:r w:rsidR="00C846DE" w:rsidRPr="004F1C8A">
        <w:rPr>
          <w:rFonts w:ascii="Arial" w:hAnsi="Arial" w:cs="Arial"/>
          <w:b/>
          <w:color w:val="000000" w:themeColor="text1"/>
          <w:sz w:val="22"/>
          <w:lang w:val="es-CO"/>
        </w:rPr>
        <w:t>3</w:t>
      </w:r>
      <w:r w:rsidRPr="004F1C8A">
        <w:rPr>
          <w:rFonts w:ascii="Arial" w:hAnsi="Arial" w:cs="Arial"/>
          <w:b/>
          <w:color w:val="000000" w:themeColor="text1"/>
          <w:sz w:val="22"/>
          <w:lang w:val="es-CO"/>
        </w:rPr>
        <w:t>.</w:t>
      </w:r>
      <w:r w:rsidR="00AD1B0F" w:rsidRPr="004F1C8A">
        <w:rPr>
          <w:rFonts w:ascii="Arial" w:hAnsi="Arial" w:cs="Arial"/>
          <w:b/>
          <w:color w:val="000000" w:themeColor="text1"/>
          <w:sz w:val="22"/>
          <w:lang w:val="es-CO"/>
        </w:rPr>
        <w:t xml:space="preserve"> Acreditación de experiencia en las excepciones al RUP </w:t>
      </w:r>
    </w:p>
    <w:p w14:paraId="6757C2E8" w14:textId="77777777" w:rsidR="00AD1B0F" w:rsidRPr="004F1C8A" w:rsidRDefault="00AD1B0F" w:rsidP="00BF5A02">
      <w:pPr>
        <w:spacing w:line="276" w:lineRule="auto"/>
        <w:ind w:firstLine="709"/>
        <w:jc w:val="both"/>
        <w:rPr>
          <w:rFonts w:ascii="Arial" w:hAnsi="Arial" w:cs="Arial"/>
          <w:color w:val="000000" w:themeColor="text1"/>
          <w:sz w:val="22"/>
          <w:lang w:val="es-CO"/>
        </w:rPr>
      </w:pPr>
    </w:p>
    <w:p w14:paraId="3C93A529" w14:textId="7CA644CA" w:rsidR="00AD1B0F" w:rsidRPr="004F1C8A" w:rsidRDefault="00AD1B0F" w:rsidP="00BF5A02">
      <w:pPr>
        <w:spacing w:line="276" w:lineRule="auto"/>
        <w:jc w:val="both"/>
        <w:rPr>
          <w:rFonts w:ascii="Arial" w:hAnsi="Arial" w:cs="Arial"/>
          <w:color w:val="000000" w:themeColor="text1"/>
          <w:sz w:val="22"/>
          <w:lang w:val="es-CO"/>
        </w:rPr>
      </w:pPr>
      <w:r w:rsidRPr="004F1C8A">
        <w:rPr>
          <w:rFonts w:ascii="Arial" w:hAnsi="Arial" w:cs="Arial"/>
          <w:color w:val="000000" w:themeColor="text1"/>
          <w:sz w:val="22"/>
          <w:lang w:val="es-CO"/>
        </w:rPr>
        <w:t>La acreditación de la experiencia en los procesos de contratación que no requieren del RUP se estudi</w:t>
      </w:r>
      <w:r w:rsidR="009709B7" w:rsidRPr="004F1C8A">
        <w:rPr>
          <w:rFonts w:ascii="Arial" w:hAnsi="Arial" w:cs="Arial"/>
          <w:color w:val="000000" w:themeColor="text1"/>
          <w:sz w:val="22"/>
          <w:lang w:val="es-CO"/>
        </w:rPr>
        <w:t>ó</w:t>
      </w:r>
      <w:r w:rsidRPr="004F1C8A">
        <w:rPr>
          <w:rFonts w:ascii="Arial" w:hAnsi="Arial" w:cs="Arial"/>
          <w:color w:val="000000" w:themeColor="text1"/>
          <w:sz w:val="22"/>
          <w:lang w:val="es-CO"/>
        </w:rPr>
        <w:t xml:space="preserve"> por esta Subdirección en </w:t>
      </w:r>
      <w:r w:rsidR="009F67A3" w:rsidRPr="004F1C8A">
        <w:rPr>
          <w:rFonts w:ascii="Arial" w:hAnsi="Arial" w:cs="Arial"/>
          <w:color w:val="000000" w:themeColor="text1"/>
          <w:sz w:val="22"/>
          <w:lang w:val="es-CO"/>
        </w:rPr>
        <w:t>el</w:t>
      </w:r>
      <w:r w:rsidRPr="004F1C8A">
        <w:rPr>
          <w:rFonts w:ascii="Arial" w:hAnsi="Arial" w:cs="Arial"/>
          <w:color w:val="000000" w:themeColor="text1"/>
          <w:sz w:val="22"/>
          <w:lang w:val="es-CO"/>
        </w:rPr>
        <w:t xml:space="preserve"> concepto con radicado No. 4201913000006797 del 19 de noviembre de 2019</w:t>
      </w:r>
      <w:r w:rsidR="009F67A3" w:rsidRPr="004F1C8A">
        <w:rPr>
          <w:rFonts w:ascii="Arial" w:hAnsi="Arial" w:cs="Arial"/>
          <w:color w:val="000000" w:themeColor="text1"/>
          <w:sz w:val="22"/>
          <w:lang w:val="es-CO"/>
        </w:rPr>
        <w:t xml:space="preserve"> y </w:t>
      </w:r>
      <w:r w:rsidR="005D7F2B" w:rsidRPr="004F1C8A">
        <w:rPr>
          <w:rFonts w:ascii="Arial" w:hAnsi="Arial" w:cs="Arial"/>
          <w:color w:val="000000" w:themeColor="text1"/>
          <w:sz w:val="22"/>
          <w:lang w:val="es-CO"/>
        </w:rPr>
        <w:t xml:space="preserve">en </w:t>
      </w:r>
      <w:r w:rsidR="000E4110">
        <w:rPr>
          <w:rFonts w:ascii="Arial" w:hAnsi="Arial" w:cs="Arial"/>
          <w:color w:val="000000" w:themeColor="text1"/>
          <w:sz w:val="22"/>
          <w:lang w:val="es-CO"/>
        </w:rPr>
        <w:t>los</w:t>
      </w:r>
      <w:r w:rsidR="000E4110" w:rsidRPr="004F1C8A">
        <w:rPr>
          <w:rFonts w:ascii="Arial" w:hAnsi="Arial" w:cs="Arial"/>
          <w:color w:val="000000" w:themeColor="text1"/>
          <w:sz w:val="22"/>
          <w:lang w:val="es-CO"/>
        </w:rPr>
        <w:t xml:space="preserve"> </w:t>
      </w:r>
      <w:r w:rsidR="005D7F2B" w:rsidRPr="004F1C8A">
        <w:rPr>
          <w:rFonts w:ascii="Arial" w:hAnsi="Arial" w:cs="Arial"/>
          <w:color w:val="000000" w:themeColor="text1"/>
          <w:sz w:val="22"/>
          <w:lang w:val="es-CO"/>
        </w:rPr>
        <w:t>concepto</w:t>
      </w:r>
      <w:r w:rsidR="000E4110">
        <w:rPr>
          <w:rFonts w:ascii="Arial" w:hAnsi="Arial" w:cs="Arial"/>
          <w:color w:val="000000" w:themeColor="text1"/>
          <w:sz w:val="22"/>
          <w:lang w:val="es-CO"/>
        </w:rPr>
        <w:t>s</w:t>
      </w:r>
      <w:r w:rsidR="005D7F2B" w:rsidRPr="004F1C8A">
        <w:rPr>
          <w:rFonts w:ascii="Arial" w:hAnsi="Arial" w:cs="Arial"/>
          <w:color w:val="000000" w:themeColor="text1"/>
          <w:sz w:val="22"/>
          <w:lang w:val="es-CO"/>
        </w:rPr>
        <w:t xml:space="preserve"> identificado</w:t>
      </w:r>
      <w:r w:rsidR="000E4110">
        <w:rPr>
          <w:rFonts w:ascii="Arial" w:hAnsi="Arial" w:cs="Arial"/>
          <w:color w:val="000000" w:themeColor="text1"/>
          <w:sz w:val="22"/>
          <w:lang w:val="es-CO"/>
        </w:rPr>
        <w:t>s</w:t>
      </w:r>
      <w:r w:rsidR="005D7F2B" w:rsidRPr="004F1C8A">
        <w:rPr>
          <w:rFonts w:ascii="Arial" w:hAnsi="Arial" w:cs="Arial"/>
          <w:color w:val="000000" w:themeColor="text1"/>
          <w:sz w:val="22"/>
          <w:lang w:val="es-CO"/>
        </w:rPr>
        <w:t xml:space="preserve"> con radicado No.</w:t>
      </w:r>
      <w:r w:rsidR="009709B7" w:rsidRPr="004F1C8A">
        <w:rPr>
          <w:rFonts w:ascii="Arial" w:hAnsi="Arial" w:cs="Arial"/>
          <w:color w:val="000000" w:themeColor="text1"/>
          <w:sz w:val="22"/>
          <w:lang w:val="es-CO"/>
        </w:rPr>
        <w:t xml:space="preserve"> C–051 de 2 de marzo </w:t>
      </w:r>
      <w:r w:rsidR="0084660A" w:rsidRPr="004F1C8A">
        <w:rPr>
          <w:rFonts w:ascii="Arial" w:hAnsi="Arial" w:cs="Arial"/>
          <w:color w:val="000000" w:themeColor="text1"/>
          <w:sz w:val="22"/>
          <w:lang w:val="es-CO"/>
        </w:rPr>
        <w:t>de 2020</w:t>
      </w:r>
      <w:r w:rsidR="005664D3" w:rsidRPr="004F1C8A">
        <w:rPr>
          <w:rFonts w:ascii="Arial" w:hAnsi="Arial" w:cs="Arial"/>
          <w:color w:val="000000" w:themeColor="text1"/>
          <w:sz w:val="22"/>
          <w:lang w:val="es-CO"/>
        </w:rPr>
        <w:t xml:space="preserve"> y C-113 </w:t>
      </w:r>
      <w:r w:rsidR="004F1C8A" w:rsidRPr="004F1C8A">
        <w:rPr>
          <w:rFonts w:ascii="Arial" w:hAnsi="Arial" w:cs="Arial"/>
          <w:color w:val="000000" w:themeColor="text1"/>
          <w:sz w:val="22"/>
          <w:lang w:val="es-CO"/>
        </w:rPr>
        <w:t>del 25</w:t>
      </w:r>
      <w:r w:rsidR="005664D3" w:rsidRPr="004F1C8A">
        <w:rPr>
          <w:rFonts w:ascii="Arial" w:hAnsi="Arial" w:cs="Arial"/>
          <w:color w:val="000000" w:themeColor="text1"/>
          <w:sz w:val="22"/>
          <w:lang w:val="es-CO"/>
        </w:rPr>
        <w:t xml:space="preserve"> de marzo de 2020</w:t>
      </w:r>
      <w:r w:rsidRPr="004F1C8A">
        <w:rPr>
          <w:rFonts w:ascii="Arial" w:hAnsi="Arial" w:cs="Arial"/>
          <w:color w:val="000000" w:themeColor="text1"/>
          <w:sz w:val="22"/>
          <w:lang w:val="es-CO"/>
        </w:rPr>
        <w:t>, de acuerdo con los argumentos que se presentan a co</w:t>
      </w:r>
      <w:r w:rsidR="009F1F65" w:rsidRPr="004F1C8A">
        <w:rPr>
          <w:rFonts w:ascii="Arial" w:hAnsi="Arial" w:cs="Arial"/>
          <w:color w:val="000000" w:themeColor="text1"/>
          <w:sz w:val="22"/>
          <w:lang w:val="es-CO"/>
        </w:rPr>
        <w:t xml:space="preserve">ntinuación. </w:t>
      </w:r>
    </w:p>
    <w:p w14:paraId="60DA78A2" w14:textId="44E61097" w:rsidR="00AD1B0F" w:rsidRPr="004F1C8A" w:rsidRDefault="00AD1B0F" w:rsidP="00242BE3">
      <w:pPr>
        <w:spacing w:before="120" w:after="120" w:line="276" w:lineRule="auto"/>
        <w:ind w:firstLine="708"/>
        <w:jc w:val="both"/>
        <w:rPr>
          <w:rFonts w:ascii="Arial" w:hAnsi="Arial" w:cs="Arial"/>
          <w:color w:val="000000" w:themeColor="text1"/>
          <w:sz w:val="22"/>
          <w:lang w:val="es-CO"/>
        </w:rPr>
      </w:pPr>
      <w:r w:rsidRPr="004F1C8A">
        <w:rPr>
          <w:rFonts w:ascii="Arial" w:hAnsi="Arial" w:cs="Arial"/>
          <w:color w:val="000000" w:themeColor="text1"/>
          <w:sz w:val="22"/>
          <w:lang w:val="es-CO"/>
        </w:rPr>
        <w:t>El Registro Único de Proponentes no es exigible en todos los p</w:t>
      </w:r>
      <w:r w:rsidR="00540DF9" w:rsidRPr="004F1C8A">
        <w:rPr>
          <w:rFonts w:ascii="Arial" w:hAnsi="Arial" w:cs="Arial"/>
          <w:color w:val="000000" w:themeColor="text1"/>
          <w:sz w:val="22"/>
          <w:lang w:val="es-CO"/>
        </w:rPr>
        <w:t>rocesos de selección. El</w:t>
      </w:r>
      <w:r w:rsidRPr="004F1C8A">
        <w:rPr>
          <w:rFonts w:ascii="Arial" w:hAnsi="Arial" w:cs="Arial"/>
          <w:color w:val="000000" w:themeColor="text1"/>
          <w:sz w:val="22"/>
          <w:lang w:val="es-CO"/>
        </w:rPr>
        <w:t xml:space="preserve"> inciso</w:t>
      </w:r>
      <w:r w:rsidR="00540DF9" w:rsidRPr="004F1C8A">
        <w:rPr>
          <w:rFonts w:ascii="Arial" w:hAnsi="Arial" w:cs="Arial"/>
          <w:color w:val="000000" w:themeColor="text1"/>
          <w:sz w:val="22"/>
          <w:lang w:val="es-CO"/>
        </w:rPr>
        <w:t xml:space="preserve"> segundo</w:t>
      </w:r>
      <w:r w:rsidRPr="004F1C8A">
        <w:rPr>
          <w:rFonts w:ascii="Arial" w:hAnsi="Arial" w:cs="Arial"/>
          <w:color w:val="000000" w:themeColor="text1"/>
          <w:sz w:val="22"/>
          <w:lang w:val="es-CO"/>
        </w:rPr>
        <w:t xml:space="preserve"> del artículo 6 de la Ley 1150 de 2007 señala los casos en los que no se requerirá el R</w:t>
      </w:r>
      <w:r w:rsidR="00540DF9" w:rsidRPr="004F1C8A">
        <w:rPr>
          <w:rFonts w:ascii="Arial" w:hAnsi="Arial" w:cs="Arial"/>
          <w:color w:val="000000" w:themeColor="text1"/>
          <w:sz w:val="22"/>
          <w:lang w:val="es-CO"/>
        </w:rPr>
        <w:t>egistro Único de Proponentes</w:t>
      </w:r>
      <w:r w:rsidR="00242BE3">
        <w:rPr>
          <w:rStyle w:val="Refdenotaalpie"/>
          <w:rFonts w:ascii="Arial" w:hAnsi="Arial" w:cs="Arial"/>
          <w:color w:val="000000" w:themeColor="text1"/>
          <w:sz w:val="22"/>
          <w:lang w:val="es-CO"/>
        </w:rPr>
        <w:footnoteReference w:id="18"/>
      </w:r>
      <w:r w:rsidR="00242BE3">
        <w:rPr>
          <w:rFonts w:ascii="Arial" w:hAnsi="Arial" w:cs="Arial"/>
          <w:color w:val="000000" w:themeColor="text1"/>
          <w:sz w:val="22"/>
          <w:lang w:val="es-CO"/>
        </w:rPr>
        <w:t xml:space="preserve"> </w:t>
      </w:r>
      <w:r w:rsidRPr="004F1C8A">
        <w:rPr>
          <w:rFonts w:ascii="Arial" w:hAnsi="Arial" w:cs="Arial"/>
          <w:color w:val="000000" w:themeColor="text1"/>
          <w:sz w:val="22"/>
          <w:lang w:val="es-CO"/>
        </w:rPr>
        <w:t xml:space="preserve">La norma señala que en estos eventos las entidades contratantes tienen el deber de verificar las condiciones de capacidad jurídica, técnica, financiera y organizacional de los oferentes. Adicionalmente, en los casos </w:t>
      </w:r>
      <w:r w:rsidR="00691271">
        <w:rPr>
          <w:rFonts w:ascii="Arial" w:hAnsi="Arial" w:cs="Arial"/>
          <w:color w:val="000000" w:themeColor="text1"/>
          <w:sz w:val="22"/>
          <w:lang w:val="es-CO"/>
        </w:rPr>
        <w:t xml:space="preserve">en </w:t>
      </w:r>
      <w:r w:rsidRPr="004F1C8A">
        <w:rPr>
          <w:rFonts w:ascii="Arial" w:hAnsi="Arial" w:cs="Arial"/>
          <w:color w:val="000000" w:themeColor="text1"/>
          <w:sz w:val="22"/>
          <w:lang w:val="es-CO"/>
        </w:rPr>
        <w:t>que sea necesaria la verificación de requisitos o información que no repose en el RUP, la entidad estatal podrá s</w:t>
      </w:r>
      <w:r w:rsidR="00540DF9" w:rsidRPr="004F1C8A">
        <w:rPr>
          <w:rFonts w:ascii="Arial" w:hAnsi="Arial" w:cs="Arial"/>
          <w:color w:val="000000" w:themeColor="text1"/>
          <w:sz w:val="22"/>
          <w:lang w:val="es-CO"/>
        </w:rPr>
        <w:t xml:space="preserve">olicitar información adicional </w:t>
      </w:r>
      <w:r w:rsidR="00540DF9" w:rsidRPr="004F1C8A">
        <w:rPr>
          <w:rFonts w:ascii="Arial" w:eastAsia="Calibri" w:hAnsi="Arial" w:cs="Arial"/>
          <w:color w:val="000000" w:themeColor="text1"/>
          <w:sz w:val="22"/>
          <w:lang w:val="es-CO"/>
        </w:rPr>
        <w:t>―</w:t>
      </w:r>
      <w:r w:rsidRPr="004F1C8A">
        <w:rPr>
          <w:rFonts w:ascii="Arial" w:hAnsi="Arial" w:cs="Arial"/>
          <w:color w:val="000000" w:themeColor="text1"/>
          <w:sz w:val="22"/>
          <w:lang w:val="es-CO"/>
        </w:rPr>
        <w:t>por ejemplo, longitudes de obra, esp</w:t>
      </w:r>
      <w:r w:rsidR="00540DF9" w:rsidRPr="004F1C8A">
        <w:rPr>
          <w:rFonts w:ascii="Arial" w:hAnsi="Arial" w:cs="Arial"/>
          <w:color w:val="000000" w:themeColor="text1"/>
          <w:sz w:val="22"/>
          <w:lang w:val="es-CO"/>
        </w:rPr>
        <w:t xml:space="preserve">ecificaciones técnicas, </w:t>
      </w:r>
      <w:proofErr w:type="spellStart"/>
      <w:r w:rsidR="00540DF9" w:rsidRPr="004F1C8A">
        <w:rPr>
          <w:rFonts w:ascii="Arial" w:hAnsi="Arial" w:cs="Arial"/>
          <w:color w:val="000000" w:themeColor="text1"/>
          <w:sz w:val="22"/>
          <w:lang w:val="es-CO"/>
        </w:rPr>
        <w:t>etc</w:t>
      </w:r>
      <w:proofErr w:type="spellEnd"/>
      <w:r w:rsidR="00540DF9" w:rsidRPr="004F1C8A">
        <w:rPr>
          <w:rFonts w:ascii="Arial" w:eastAsia="Calibri" w:hAnsi="Arial" w:cs="Arial"/>
          <w:color w:val="000000" w:themeColor="text1"/>
          <w:sz w:val="22"/>
          <w:lang w:val="es-CO"/>
        </w:rPr>
        <w:t xml:space="preserve">― </w:t>
      </w:r>
      <w:r w:rsidR="009709B7" w:rsidRPr="004F1C8A">
        <w:rPr>
          <w:rFonts w:ascii="Arial" w:hAnsi="Arial" w:cs="Arial"/>
          <w:color w:val="000000" w:themeColor="text1"/>
          <w:sz w:val="22"/>
          <w:lang w:val="es-CO"/>
        </w:rPr>
        <w:t>so</w:t>
      </w:r>
      <w:r w:rsidRPr="004F1C8A">
        <w:rPr>
          <w:rFonts w:ascii="Arial" w:hAnsi="Arial" w:cs="Arial"/>
          <w:color w:val="000000" w:themeColor="text1"/>
          <w:sz w:val="22"/>
          <w:lang w:val="es-CO"/>
        </w:rPr>
        <w:t xml:space="preserve">lo para complementar la información contenida allí, y con el fin de verificar condiciones adicionales </w:t>
      </w:r>
      <w:r w:rsidR="009F1F65" w:rsidRPr="004F1C8A">
        <w:rPr>
          <w:rFonts w:ascii="Arial" w:hAnsi="Arial" w:cs="Arial"/>
          <w:color w:val="000000" w:themeColor="text1"/>
          <w:sz w:val="22"/>
          <w:lang w:val="es-CO"/>
        </w:rPr>
        <w:t xml:space="preserve">de experiencia del proponente. </w:t>
      </w:r>
    </w:p>
    <w:p w14:paraId="5A58BAE4" w14:textId="292A950F" w:rsidR="00AD1B0F" w:rsidRPr="004F1C8A" w:rsidRDefault="004202F3" w:rsidP="006D478D">
      <w:pPr>
        <w:spacing w:before="120" w:after="120" w:line="276" w:lineRule="auto"/>
        <w:ind w:firstLine="708"/>
        <w:jc w:val="both"/>
        <w:rPr>
          <w:rFonts w:ascii="Arial" w:hAnsi="Arial" w:cs="Arial"/>
          <w:color w:val="000000" w:themeColor="text1"/>
          <w:sz w:val="22"/>
          <w:lang w:val="es-CO"/>
        </w:rPr>
      </w:pPr>
      <w:r w:rsidRPr="004F1C8A">
        <w:rPr>
          <w:rFonts w:ascii="Arial" w:hAnsi="Arial" w:cs="Arial"/>
          <w:color w:val="000000" w:themeColor="text1"/>
          <w:sz w:val="22"/>
          <w:lang w:val="es-CO"/>
        </w:rPr>
        <w:t>De esta forma, so</w:t>
      </w:r>
      <w:r w:rsidR="00AD1B0F" w:rsidRPr="004F1C8A">
        <w:rPr>
          <w:rFonts w:ascii="Arial" w:hAnsi="Arial" w:cs="Arial"/>
          <w:color w:val="000000" w:themeColor="text1"/>
          <w:sz w:val="22"/>
          <w:lang w:val="es-CO"/>
        </w:rPr>
        <w:t>lo en aquellos casos en los que</w:t>
      </w:r>
      <w:r w:rsidR="00691271">
        <w:rPr>
          <w:rFonts w:ascii="Arial" w:hAnsi="Arial" w:cs="Arial"/>
          <w:color w:val="000000" w:themeColor="text1"/>
          <w:sz w:val="22"/>
          <w:lang w:val="es-CO"/>
        </w:rPr>
        <w:t>,</w:t>
      </w:r>
      <w:r w:rsidR="00AD1B0F" w:rsidRPr="004F1C8A">
        <w:rPr>
          <w:rFonts w:ascii="Arial" w:hAnsi="Arial" w:cs="Arial"/>
          <w:color w:val="000000" w:themeColor="text1"/>
          <w:sz w:val="22"/>
          <w:lang w:val="es-CO"/>
        </w:rPr>
        <w:t xml:space="preserve"> por las características del objeto a contratar</w:t>
      </w:r>
      <w:r w:rsidR="00691271">
        <w:rPr>
          <w:rFonts w:ascii="Arial" w:hAnsi="Arial" w:cs="Arial"/>
          <w:color w:val="000000" w:themeColor="text1"/>
          <w:sz w:val="22"/>
          <w:lang w:val="es-CO"/>
        </w:rPr>
        <w:t>,</w:t>
      </w:r>
      <w:r w:rsidR="00AD1B0F" w:rsidRPr="004F1C8A">
        <w:rPr>
          <w:rFonts w:ascii="Arial" w:hAnsi="Arial" w:cs="Arial"/>
          <w:color w:val="000000" w:themeColor="text1"/>
          <w:sz w:val="22"/>
          <w:lang w:val="es-CO"/>
        </w:rPr>
        <w:t xml:space="preserve"> se requiera la verificación de requisitos del proponente</w:t>
      </w:r>
      <w:r w:rsidR="00691271">
        <w:rPr>
          <w:rFonts w:ascii="Arial" w:hAnsi="Arial" w:cs="Arial"/>
          <w:color w:val="000000" w:themeColor="text1"/>
          <w:sz w:val="22"/>
          <w:lang w:val="es-CO"/>
        </w:rPr>
        <w:t>,</w:t>
      </w:r>
      <w:r w:rsidR="00AD1B0F" w:rsidRPr="004F1C8A">
        <w:rPr>
          <w:rFonts w:ascii="Arial" w:hAnsi="Arial" w:cs="Arial"/>
          <w:color w:val="000000" w:themeColor="text1"/>
          <w:sz w:val="22"/>
          <w:lang w:val="es-CO"/>
        </w:rPr>
        <w:t xml:space="preserve"> adicionales a los contenidos en el Registro, la entidad podrá hacer tal verificación en forma directa y solicitar d</w:t>
      </w:r>
      <w:r w:rsidR="009F1F65" w:rsidRPr="004F1C8A">
        <w:rPr>
          <w:rFonts w:ascii="Arial" w:hAnsi="Arial" w:cs="Arial"/>
          <w:color w:val="000000" w:themeColor="text1"/>
          <w:sz w:val="22"/>
          <w:lang w:val="es-CO"/>
        </w:rPr>
        <w:t xml:space="preserve">ocumentos diferentes al mismo. </w:t>
      </w:r>
    </w:p>
    <w:p w14:paraId="5F7AE42F" w14:textId="6515D3F6" w:rsidR="00384A8C" w:rsidRPr="004F1C8A" w:rsidRDefault="00384A8C" w:rsidP="00384A8C">
      <w:pPr>
        <w:spacing w:before="120" w:after="120" w:line="276" w:lineRule="auto"/>
        <w:ind w:firstLine="708"/>
        <w:jc w:val="both"/>
        <w:rPr>
          <w:rFonts w:ascii="Arial" w:hAnsi="Arial" w:cs="Arial"/>
          <w:color w:val="000000" w:themeColor="text1"/>
          <w:sz w:val="22"/>
          <w:lang w:val="es-CO"/>
        </w:rPr>
      </w:pPr>
      <w:r w:rsidRPr="004F1C8A">
        <w:rPr>
          <w:rFonts w:ascii="Arial" w:hAnsi="Arial" w:cs="Arial"/>
          <w:color w:val="000000" w:themeColor="text1"/>
          <w:sz w:val="22"/>
          <w:lang w:val="es-CO"/>
        </w:rPr>
        <w:t>En los casos mencionados, como las entidades no pueden solicitar el RUP, y</w:t>
      </w:r>
      <w:r w:rsidR="00691271">
        <w:rPr>
          <w:rFonts w:ascii="Arial" w:hAnsi="Arial" w:cs="Arial"/>
          <w:color w:val="000000" w:themeColor="text1"/>
          <w:sz w:val="22"/>
          <w:lang w:val="es-CO"/>
        </w:rPr>
        <w:t>,</w:t>
      </w:r>
      <w:r w:rsidRPr="004F1C8A">
        <w:rPr>
          <w:rFonts w:ascii="Arial" w:hAnsi="Arial" w:cs="Arial"/>
          <w:color w:val="000000" w:themeColor="text1"/>
          <w:sz w:val="22"/>
          <w:lang w:val="es-CO"/>
        </w:rPr>
        <w:t xml:space="preserve"> por ende</w:t>
      </w:r>
      <w:r w:rsidR="00691271">
        <w:rPr>
          <w:rFonts w:ascii="Arial" w:hAnsi="Arial" w:cs="Arial"/>
          <w:color w:val="000000" w:themeColor="text1"/>
          <w:sz w:val="22"/>
          <w:lang w:val="es-CO"/>
        </w:rPr>
        <w:t>,</w:t>
      </w:r>
      <w:r w:rsidRPr="004F1C8A">
        <w:rPr>
          <w:rFonts w:ascii="Arial" w:hAnsi="Arial" w:cs="Arial"/>
          <w:color w:val="000000" w:themeColor="text1"/>
          <w:sz w:val="22"/>
          <w:lang w:val="es-CO"/>
        </w:rPr>
        <w:t xml:space="preserve"> no podrían verificar las condiciones de experiencia, capacidad financiera y de organización de los proponentes, </w:t>
      </w:r>
      <w:r w:rsidR="00691271">
        <w:rPr>
          <w:rFonts w:ascii="Arial" w:hAnsi="Arial" w:cs="Arial"/>
          <w:color w:val="000000" w:themeColor="text1"/>
          <w:sz w:val="22"/>
          <w:lang w:val="es-CO"/>
        </w:rPr>
        <w:t xml:space="preserve">aquellas </w:t>
      </w:r>
      <w:r w:rsidRPr="004F1C8A">
        <w:rPr>
          <w:rFonts w:ascii="Arial" w:hAnsi="Arial" w:cs="Arial"/>
          <w:color w:val="000000" w:themeColor="text1"/>
          <w:sz w:val="22"/>
          <w:lang w:val="es-CO"/>
        </w:rPr>
        <w:t xml:space="preserve">deben recurrir a otros medios de prueba que </w:t>
      </w:r>
      <w:r w:rsidRPr="004F1C8A">
        <w:rPr>
          <w:rFonts w:ascii="Arial" w:hAnsi="Arial" w:cs="Arial"/>
          <w:color w:val="000000" w:themeColor="text1"/>
          <w:sz w:val="22"/>
          <w:lang w:val="es-CO"/>
        </w:rPr>
        <w:lastRenderedPageBreak/>
        <w:t>garanticen la selección objetiva, siempre que sean adecuados y proporcionales, para promover la libre participación de los oferentes.</w:t>
      </w:r>
      <w:r w:rsidR="00A13F54" w:rsidRPr="004F1C8A">
        <w:rPr>
          <w:rFonts w:ascii="Arial" w:hAnsi="Arial" w:cs="Arial"/>
          <w:color w:val="000000" w:themeColor="text1"/>
          <w:sz w:val="22"/>
          <w:lang w:val="es-CO"/>
        </w:rPr>
        <w:t xml:space="preserve"> </w:t>
      </w:r>
      <w:r w:rsidR="0044590E" w:rsidRPr="004F1C8A">
        <w:rPr>
          <w:rFonts w:ascii="Arial" w:hAnsi="Arial" w:cs="Arial"/>
          <w:color w:val="000000" w:themeColor="text1"/>
          <w:sz w:val="22"/>
          <w:lang w:val="es-CO"/>
        </w:rPr>
        <w:t xml:space="preserve">Lo </w:t>
      </w:r>
      <w:r w:rsidRPr="004F1C8A">
        <w:rPr>
          <w:rFonts w:ascii="Arial" w:hAnsi="Arial" w:cs="Arial"/>
          <w:color w:val="000000" w:themeColor="text1"/>
          <w:sz w:val="22"/>
          <w:lang w:val="es-CO"/>
        </w:rPr>
        <w:t>anterior fue reafirmado por el Consejo de Estado</w:t>
      </w:r>
      <w:r w:rsidRPr="004F1C8A">
        <w:rPr>
          <w:rStyle w:val="Refdenotaalpie"/>
          <w:rFonts w:ascii="Arial" w:hAnsi="Arial" w:cs="Arial"/>
          <w:color w:val="000000" w:themeColor="text1"/>
          <w:sz w:val="22"/>
          <w:lang w:val="es-CO"/>
        </w:rPr>
        <w:footnoteReference w:id="19"/>
      </w:r>
      <w:r w:rsidRPr="004F1C8A">
        <w:rPr>
          <w:rFonts w:ascii="Arial" w:hAnsi="Arial" w:cs="Arial"/>
          <w:color w:val="000000" w:themeColor="text1"/>
          <w:sz w:val="22"/>
          <w:lang w:val="es-CO"/>
        </w:rPr>
        <w:t xml:space="preserve">, quien enlistó las excepciones en las cuales las entidades tienen la obligación de verificar los requisitos habilitantes de los proponentes, y que se enuncian a continuación: i) no se requerirá el RUP, ni la calificación y clasificación correspondiente, respecto de los proponentes que pretendan celebrar los contratos enunciados en el inciso segundo del artículo 6 de la ley 1150, así como en los eventos de contratación directa, </w:t>
      </w:r>
      <w:proofErr w:type="spellStart"/>
      <w:r w:rsidRPr="004F1C8A">
        <w:rPr>
          <w:rFonts w:ascii="Arial" w:hAnsi="Arial" w:cs="Arial"/>
          <w:color w:val="000000" w:themeColor="text1"/>
          <w:sz w:val="22"/>
          <w:lang w:val="es-CO"/>
        </w:rPr>
        <w:t>ii</w:t>
      </w:r>
      <w:proofErr w:type="spellEnd"/>
      <w:r w:rsidRPr="004F1C8A">
        <w:rPr>
          <w:rFonts w:ascii="Arial" w:hAnsi="Arial" w:cs="Arial"/>
          <w:color w:val="000000" w:themeColor="text1"/>
          <w:sz w:val="22"/>
          <w:lang w:val="es-CO"/>
        </w:rPr>
        <w:t xml:space="preserve">) a las personas naturales extranjeras sin domicilio en el país o de personas jurídicas extranjeras que no tengan establecida sucursal en Colombia, o en aquellos casos en que el proceso de selección haya utilizado sistemas de precalificación y </w:t>
      </w:r>
      <w:proofErr w:type="spellStart"/>
      <w:r w:rsidRPr="004F1C8A">
        <w:rPr>
          <w:rFonts w:ascii="Arial" w:hAnsi="Arial" w:cs="Arial"/>
          <w:color w:val="000000" w:themeColor="text1"/>
          <w:sz w:val="22"/>
          <w:lang w:val="es-CO"/>
        </w:rPr>
        <w:t>iii</w:t>
      </w:r>
      <w:proofErr w:type="spellEnd"/>
      <w:r w:rsidRPr="004F1C8A">
        <w:rPr>
          <w:rFonts w:ascii="Arial" w:hAnsi="Arial" w:cs="Arial"/>
          <w:color w:val="000000" w:themeColor="text1"/>
          <w:sz w:val="22"/>
          <w:lang w:val="es-CO"/>
        </w:rPr>
        <w:t xml:space="preserve">) cuando por las características del objeto a contratar se requiera la verificación de requisitos del proponente adicionales a los contenidos en el RUP. </w:t>
      </w:r>
    </w:p>
    <w:p w14:paraId="34768D2D" w14:textId="3C1BC478" w:rsidR="00AD1B0F" w:rsidRPr="004F1C8A" w:rsidRDefault="0096766E" w:rsidP="006D478D">
      <w:pPr>
        <w:spacing w:before="120" w:after="120" w:line="276" w:lineRule="auto"/>
        <w:ind w:firstLine="709"/>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En este entendido se tiene plenamente definido que el RUP, </w:t>
      </w:r>
      <w:r w:rsidR="00AD1B0F" w:rsidRPr="004F1C8A">
        <w:rPr>
          <w:rFonts w:ascii="Arial" w:hAnsi="Arial" w:cs="Arial"/>
          <w:color w:val="000000" w:themeColor="text1"/>
          <w:sz w:val="22"/>
          <w:lang w:val="es-CO"/>
        </w:rPr>
        <w:t>es obligatorio, por regla general; pero esa obligatoriedad tiene excepciones. En estas excepciones la persona jurídica no está obligada a registrarse para participar en los procesos de selección que la norma excluye del deber de inscribi</w:t>
      </w:r>
      <w:r w:rsidR="00EC3F12" w:rsidRPr="004F1C8A">
        <w:rPr>
          <w:rFonts w:ascii="Arial" w:hAnsi="Arial" w:cs="Arial"/>
          <w:color w:val="000000" w:themeColor="text1"/>
          <w:sz w:val="22"/>
          <w:lang w:val="es-CO"/>
        </w:rPr>
        <w:t>r</w:t>
      </w:r>
      <w:r w:rsidR="00AD1B0F" w:rsidRPr="004F1C8A">
        <w:rPr>
          <w:rFonts w:ascii="Arial" w:hAnsi="Arial" w:cs="Arial"/>
          <w:color w:val="000000" w:themeColor="text1"/>
          <w:sz w:val="22"/>
          <w:lang w:val="es-CO"/>
        </w:rPr>
        <w:t xml:space="preserve">se en el registro. </w:t>
      </w:r>
    </w:p>
    <w:p w14:paraId="036A7A5E" w14:textId="2D01C4FA" w:rsidR="00CB14E9" w:rsidRPr="004F1C8A" w:rsidRDefault="00187C76" w:rsidP="00CB14E9">
      <w:pPr>
        <w:spacing w:before="120" w:after="120" w:line="276" w:lineRule="auto"/>
        <w:ind w:firstLine="709"/>
        <w:jc w:val="both"/>
        <w:rPr>
          <w:rFonts w:ascii="Arial" w:hAnsi="Arial" w:cs="Arial"/>
          <w:color w:val="000000" w:themeColor="text1"/>
          <w:sz w:val="22"/>
          <w:lang w:val="es-CO"/>
        </w:rPr>
      </w:pPr>
      <w:r w:rsidRPr="004F1C8A">
        <w:rPr>
          <w:rFonts w:ascii="Arial" w:hAnsi="Arial" w:cs="Arial"/>
          <w:color w:val="000000" w:themeColor="text1"/>
          <w:sz w:val="22"/>
          <w:lang w:val="es-CO"/>
        </w:rPr>
        <w:t>Ahora bien, frente a la solicitud del RUP por parte de la entidad contratante a los proponentes exceptuados de estar inscritos</w:t>
      </w:r>
      <w:r w:rsidR="00242BE3">
        <w:rPr>
          <w:rFonts w:ascii="Arial" w:hAnsi="Arial" w:cs="Arial"/>
          <w:color w:val="000000" w:themeColor="text1"/>
          <w:sz w:val="22"/>
          <w:lang w:val="es-CO"/>
        </w:rPr>
        <w:t xml:space="preserve"> en él</w:t>
      </w:r>
      <w:r w:rsidRPr="004F1C8A">
        <w:rPr>
          <w:rFonts w:ascii="Arial" w:hAnsi="Arial" w:cs="Arial"/>
          <w:color w:val="000000" w:themeColor="text1"/>
          <w:sz w:val="22"/>
          <w:lang w:val="es-CO"/>
        </w:rPr>
        <w:t xml:space="preserve">, para esta Subdirección es claro que tal exigencia </w:t>
      </w:r>
      <w:r w:rsidR="00B1192C">
        <w:rPr>
          <w:rFonts w:ascii="Arial" w:hAnsi="Arial" w:cs="Arial"/>
          <w:color w:val="000000" w:themeColor="text1"/>
          <w:sz w:val="22"/>
          <w:lang w:val="es-CO"/>
        </w:rPr>
        <w:t xml:space="preserve">no </w:t>
      </w:r>
      <w:r w:rsidRPr="004F1C8A">
        <w:rPr>
          <w:rFonts w:ascii="Arial" w:hAnsi="Arial" w:cs="Arial"/>
          <w:color w:val="000000" w:themeColor="text1"/>
          <w:sz w:val="22"/>
          <w:lang w:val="es-CO"/>
        </w:rPr>
        <w:t xml:space="preserve">fue </w:t>
      </w:r>
      <w:r w:rsidR="003B2C3E" w:rsidRPr="004F1C8A">
        <w:rPr>
          <w:rFonts w:ascii="Arial" w:hAnsi="Arial" w:cs="Arial"/>
          <w:color w:val="000000" w:themeColor="text1"/>
          <w:sz w:val="22"/>
          <w:lang w:val="es-CO"/>
        </w:rPr>
        <w:t>establecida por</w:t>
      </w:r>
      <w:r w:rsidRPr="004F1C8A">
        <w:rPr>
          <w:rFonts w:ascii="Arial" w:hAnsi="Arial" w:cs="Arial"/>
          <w:color w:val="000000" w:themeColor="text1"/>
          <w:sz w:val="22"/>
          <w:lang w:val="es-CO"/>
        </w:rPr>
        <w:t xml:space="preserve"> el legislador</w:t>
      </w:r>
      <w:r w:rsidR="00B1192C">
        <w:rPr>
          <w:rFonts w:ascii="Arial" w:hAnsi="Arial" w:cs="Arial"/>
          <w:color w:val="000000" w:themeColor="text1"/>
          <w:sz w:val="22"/>
          <w:lang w:val="es-CO"/>
        </w:rPr>
        <w:t>;</w:t>
      </w:r>
      <w:r w:rsidRPr="004F1C8A">
        <w:rPr>
          <w:rFonts w:ascii="Arial" w:hAnsi="Arial" w:cs="Arial"/>
          <w:color w:val="000000" w:themeColor="text1"/>
          <w:sz w:val="22"/>
          <w:lang w:val="es-CO"/>
        </w:rPr>
        <w:t xml:space="preserve"> por lo tanto, no le es dable al operador jurídico </w:t>
      </w:r>
      <w:r w:rsidR="003B2C3E" w:rsidRPr="004F1C8A">
        <w:rPr>
          <w:rFonts w:ascii="Arial" w:hAnsi="Arial" w:cs="Arial"/>
          <w:color w:val="000000" w:themeColor="text1"/>
          <w:sz w:val="22"/>
          <w:lang w:val="es-CO"/>
        </w:rPr>
        <w:t>limitar</w:t>
      </w:r>
      <w:r w:rsidR="00C94F14" w:rsidRPr="004F1C8A">
        <w:rPr>
          <w:rFonts w:ascii="Arial" w:hAnsi="Arial" w:cs="Arial"/>
          <w:color w:val="000000" w:themeColor="text1"/>
          <w:sz w:val="22"/>
          <w:lang w:val="es-CO"/>
        </w:rPr>
        <w:t xml:space="preserve"> la</w:t>
      </w:r>
      <w:r w:rsidRPr="004F1C8A">
        <w:rPr>
          <w:rFonts w:ascii="Arial" w:hAnsi="Arial" w:cs="Arial"/>
          <w:color w:val="000000" w:themeColor="text1"/>
          <w:sz w:val="22"/>
          <w:lang w:val="es-CO"/>
        </w:rPr>
        <w:t xml:space="preserve"> concurrencia a los procesos de selección </w:t>
      </w:r>
      <w:r w:rsidR="00CB14E9" w:rsidRPr="004F1C8A">
        <w:rPr>
          <w:rFonts w:ascii="Arial" w:hAnsi="Arial" w:cs="Arial"/>
          <w:color w:val="000000" w:themeColor="text1"/>
          <w:sz w:val="22"/>
          <w:lang w:val="es-CO"/>
        </w:rPr>
        <w:t xml:space="preserve">mencionados en la norma, que no son sujeto de registro ni de clasificación. </w:t>
      </w:r>
    </w:p>
    <w:p w14:paraId="7B9F876F" w14:textId="3E418E9F" w:rsidR="00C94F14" w:rsidRPr="004F1C8A" w:rsidRDefault="00CB14E9" w:rsidP="00C94F14">
      <w:pPr>
        <w:spacing w:before="120" w:after="120" w:line="276" w:lineRule="auto"/>
        <w:ind w:firstLine="709"/>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La anterior postura tiene como base lo consagrado en el numeral 15 de la Ley 80 de 1993 en donde se </w:t>
      </w:r>
      <w:proofErr w:type="spellStart"/>
      <w:r w:rsidRPr="004F1C8A">
        <w:rPr>
          <w:rFonts w:ascii="Arial" w:hAnsi="Arial" w:cs="Arial"/>
          <w:color w:val="000000" w:themeColor="text1"/>
          <w:sz w:val="22"/>
          <w:lang w:val="es-CO"/>
        </w:rPr>
        <w:t>señala:«Las</w:t>
      </w:r>
      <w:proofErr w:type="spellEnd"/>
      <w:r w:rsidRPr="004F1C8A">
        <w:rPr>
          <w:rFonts w:ascii="Arial" w:hAnsi="Arial" w:cs="Arial"/>
          <w:color w:val="000000" w:themeColor="text1"/>
          <w:sz w:val="22"/>
          <w:lang w:val="es-CO"/>
        </w:rPr>
        <w:t xml:space="preserve">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006749E0">
        <w:rPr>
          <w:rFonts w:ascii="Arial" w:hAnsi="Arial" w:cs="Arial"/>
          <w:color w:val="000000" w:themeColor="text1"/>
          <w:sz w:val="22"/>
          <w:lang w:val="es-CO"/>
        </w:rPr>
        <w:t>.</w:t>
      </w:r>
      <w:r w:rsidRPr="004F1C8A">
        <w:rPr>
          <w:rFonts w:ascii="Arial" w:hAnsi="Arial" w:cs="Arial"/>
          <w:color w:val="000000" w:themeColor="text1"/>
          <w:sz w:val="22"/>
          <w:lang w:val="es-CO"/>
        </w:rPr>
        <w:t xml:space="preserve"> </w:t>
      </w:r>
      <w:r w:rsidR="006749E0">
        <w:rPr>
          <w:rFonts w:ascii="Arial" w:hAnsi="Arial" w:cs="Arial"/>
          <w:color w:val="000000" w:themeColor="text1"/>
          <w:sz w:val="22"/>
          <w:lang w:val="es-CO"/>
        </w:rPr>
        <w:t>E</w:t>
      </w:r>
      <w:r w:rsidRPr="004F1C8A">
        <w:rPr>
          <w:rFonts w:ascii="Arial" w:hAnsi="Arial" w:cs="Arial"/>
          <w:color w:val="000000" w:themeColor="text1"/>
          <w:sz w:val="22"/>
          <w:lang w:val="es-CO"/>
        </w:rPr>
        <w:t xml:space="preserve">n consecuencia, el inciso segundo del </w:t>
      </w:r>
      <w:r w:rsidR="00C94F14" w:rsidRPr="004F1C8A">
        <w:rPr>
          <w:rFonts w:ascii="Arial" w:hAnsi="Arial" w:cs="Arial"/>
          <w:color w:val="000000" w:themeColor="text1"/>
          <w:sz w:val="22"/>
          <w:lang w:val="es-CO"/>
        </w:rPr>
        <w:t xml:space="preserve">artículo 6 de la Ley 1150 de 2007 sustrajo de tal exigencia del registro y clasificación a los contratos enlistados con anterioridad. Adicionalmente, resulta oportuno </w:t>
      </w:r>
      <w:r w:rsidR="006749E0">
        <w:rPr>
          <w:rFonts w:ascii="Arial" w:hAnsi="Arial" w:cs="Arial"/>
          <w:color w:val="000000" w:themeColor="text1"/>
          <w:sz w:val="22"/>
          <w:lang w:val="es-CO"/>
        </w:rPr>
        <w:t>mencionar el</w:t>
      </w:r>
      <w:r w:rsidR="00C94F14" w:rsidRPr="004F1C8A">
        <w:rPr>
          <w:rFonts w:ascii="Arial" w:hAnsi="Arial" w:cs="Arial"/>
          <w:color w:val="000000" w:themeColor="text1"/>
          <w:sz w:val="22"/>
          <w:lang w:val="es-CO"/>
        </w:rPr>
        <w:t xml:space="preserve"> numeral segundo del citado artículo del Estatuto General de Contratación</w:t>
      </w:r>
      <w:r w:rsidR="006749E0">
        <w:rPr>
          <w:rFonts w:ascii="Arial" w:hAnsi="Arial" w:cs="Arial"/>
          <w:color w:val="000000" w:themeColor="text1"/>
          <w:sz w:val="22"/>
          <w:lang w:val="es-CO"/>
        </w:rPr>
        <w:t xml:space="preserve"> de la Administración Pública</w:t>
      </w:r>
      <w:r w:rsidR="00C94F14" w:rsidRPr="004F1C8A">
        <w:rPr>
          <w:rFonts w:ascii="Arial" w:hAnsi="Arial" w:cs="Arial"/>
          <w:color w:val="000000" w:themeColor="text1"/>
          <w:sz w:val="22"/>
          <w:lang w:val="es-CO"/>
        </w:rPr>
        <w:t>, en el entendido de que las normas de los procedimientos contractuales se interpretarán de tal forma que no den ocasión a seguir trámites distintos y adicionales a los expresamente previstos</w:t>
      </w:r>
      <w:r w:rsidR="006749E0">
        <w:rPr>
          <w:rFonts w:ascii="Arial" w:hAnsi="Arial" w:cs="Arial"/>
          <w:color w:val="000000" w:themeColor="text1"/>
          <w:sz w:val="22"/>
          <w:lang w:val="es-CO"/>
        </w:rPr>
        <w:t>.</w:t>
      </w:r>
      <w:r w:rsidR="00C94F14" w:rsidRPr="004F1C8A">
        <w:rPr>
          <w:rFonts w:ascii="Arial" w:hAnsi="Arial" w:cs="Arial"/>
          <w:color w:val="000000" w:themeColor="text1"/>
          <w:sz w:val="22"/>
          <w:lang w:val="es-CO"/>
        </w:rPr>
        <w:t xml:space="preserve"> </w:t>
      </w:r>
      <w:r w:rsidR="006749E0">
        <w:rPr>
          <w:rFonts w:ascii="Arial" w:hAnsi="Arial" w:cs="Arial"/>
          <w:color w:val="000000" w:themeColor="text1"/>
          <w:sz w:val="22"/>
          <w:lang w:val="es-CO"/>
        </w:rPr>
        <w:t>A</w:t>
      </w:r>
      <w:r w:rsidR="00C94F14" w:rsidRPr="004F1C8A">
        <w:rPr>
          <w:rFonts w:ascii="Arial" w:hAnsi="Arial" w:cs="Arial"/>
          <w:color w:val="000000" w:themeColor="text1"/>
          <w:sz w:val="22"/>
          <w:lang w:val="es-CO"/>
        </w:rPr>
        <w:t>sí pues, solicitar e</w:t>
      </w:r>
      <w:r w:rsidR="006749E0">
        <w:rPr>
          <w:rFonts w:ascii="Arial" w:hAnsi="Arial" w:cs="Arial"/>
          <w:color w:val="000000" w:themeColor="text1"/>
          <w:sz w:val="22"/>
          <w:lang w:val="es-CO"/>
        </w:rPr>
        <w:t>l</w:t>
      </w:r>
      <w:r w:rsidR="00C94F14" w:rsidRPr="004F1C8A">
        <w:rPr>
          <w:rFonts w:ascii="Arial" w:hAnsi="Arial" w:cs="Arial"/>
          <w:color w:val="000000" w:themeColor="text1"/>
          <w:sz w:val="22"/>
          <w:lang w:val="es-CO"/>
        </w:rPr>
        <w:t xml:space="preserve"> RUP, en los casos</w:t>
      </w:r>
      <w:r w:rsidR="00850B57">
        <w:rPr>
          <w:rFonts w:ascii="Arial" w:hAnsi="Arial" w:cs="Arial"/>
          <w:color w:val="000000" w:themeColor="text1"/>
          <w:sz w:val="22"/>
          <w:lang w:val="es-CO"/>
        </w:rPr>
        <w:t xml:space="preserve"> que no lo requieren,</w:t>
      </w:r>
      <w:r w:rsidR="00C94F14" w:rsidRPr="004F1C8A">
        <w:rPr>
          <w:rFonts w:ascii="Arial" w:hAnsi="Arial" w:cs="Arial"/>
          <w:color w:val="000000" w:themeColor="text1"/>
          <w:sz w:val="22"/>
          <w:lang w:val="es-CO"/>
        </w:rPr>
        <w:t xml:space="preserve"> señalados en la ley, implica una interpretación </w:t>
      </w:r>
      <w:r w:rsidR="003B2C3E" w:rsidRPr="004F1C8A">
        <w:rPr>
          <w:rFonts w:ascii="Arial" w:hAnsi="Arial" w:cs="Arial"/>
          <w:color w:val="000000" w:themeColor="text1"/>
          <w:sz w:val="22"/>
          <w:lang w:val="es-CO"/>
        </w:rPr>
        <w:t>restrictiva y equ</w:t>
      </w:r>
      <w:r w:rsidR="00850B57">
        <w:rPr>
          <w:rFonts w:ascii="Arial" w:hAnsi="Arial" w:cs="Arial"/>
          <w:color w:val="000000" w:themeColor="text1"/>
          <w:sz w:val="22"/>
          <w:lang w:val="es-CO"/>
        </w:rPr>
        <w:t>í</w:t>
      </w:r>
      <w:r w:rsidR="003B2C3E" w:rsidRPr="004F1C8A">
        <w:rPr>
          <w:rFonts w:ascii="Arial" w:hAnsi="Arial" w:cs="Arial"/>
          <w:color w:val="000000" w:themeColor="text1"/>
          <w:sz w:val="22"/>
          <w:lang w:val="es-CO"/>
        </w:rPr>
        <w:t xml:space="preserve">voca de los postulados normativos, que limita la concurrencia de oferentes a los procesos de selección. Como se </w:t>
      </w:r>
      <w:r w:rsidR="004F1C8A" w:rsidRPr="004F1C8A">
        <w:rPr>
          <w:rFonts w:ascii="Arial" w:hAnsi="Arial" w:cs="Arial"/>
          <w:color w:val="000000" w:themeColor="text1"/>
          <w:sz w:val="22"/>
          <w:lang w:val="es-CO"/>
        </w:rPr>
        <w:lastRenderedPageBreak/>
        <w:t>explicó</w:t>
      </w:r>
      <w:r w:rsidR="003B2C3E" w:rsidRPr="004F1C8A">
        <w:rPr>
          <w:rFonts w:ascii="Arial" w:hAnsi="Arial" w:cs="Arial"/>
          <w:color w:val="000000" w:themeColor="text1"/>
          <w:sz w:val="22"/>
          <w:lang w:val="es-CO"/>
        </w:rPr>
        <w:t xml:space="preserve"> en apartes superiores, la entidad puede disponer de otros mecanismos idóneos, ajenos al RUP, para verificar las condiciones de capacidad jurídica, técnica, financiera y organizacional de los oferentes.</w:t>
      </w:r>
      <w:r w:rsidR="00C94F14" w:rsidRPr="004F1C8A">
        <w:rPr>
          <w:rFonts w:ascii="Arial" w:hAnsi="Arial" w:cs="Arial"/>
          <w:color w:val="000000" w:themeColor="text1"/>
          <w:sz w:val="22"/>
          <w:lang w:val="es-CO"/>
        </w:rPr>
        <w:t xml:space="preserve"> </w:t>
      </w:r>
    </w:p>
    <w:p w14:paraId="3D3C67FD" w14:textId="3D8DA5CA" w:rsidR="00CB14E9" w:rsidRPr="004F1C8A" w:rsidRDefault="00CB14E9" w:rsidP="00BF5A02">
      <w:pPr>
        <w:spacing w:line="276" w:lineRule="auto"/>
        <w:ind w:firstLine="709"/>
        <w:jc w:val="both"/>
        <w:rPr>
          <w:rFonts w:ascii="Arial" w:hAnsi="Arial" w:cs="Arial"/>
          <w:color w:val="000000" w:themeColor="text1"/>
          <w:sz w:val="22"/>
          <w:lang w:val="es-CO"/>
        </w:rPr>
      </w:pPr>
    </w:p>
    <w:p w14:paraId="4D8FF84F" w14:textId="68856107" w:rsidR="00AD1B0F" w:rsidRPr="004F1C8A" w:rsidRDefault="00AD1B0F" w:rsidP="009709B7">
      <w:pPr>
        <w:spacing w:line="276" w:lineRule="auto"/>
        <w:ind w:firstLine="709"/>
        <w:jc w:val="both"/>
        <w:rPr>
          <w:rFonts w:ascii="Arial" w:hAnsi="Arial" w:cs="Arial"/>
          <w:b/>
          <w:color w:val="000000" w:themeColor="text1"/>
          <w:sz w:val="22"/>
          <w:lang w:val="es-CO"/>
        </w:rPr>
      </w:pPr>
      <w:r w:rsidRPr="004F1C8A">
        <w:rPr>
          <w:rFonts w:ascii="Arial" w:hAnsi="Arial" w:cs="Arial"/>
          <w:b/>
          <w:color w:val="000000" w:themeColor="text1"/>
          <w:sz w:val="22"/>
          <w:lang w:val="es-CO"/>
        </w:rPr>
        <w:t>3.</w:t>
      </w:r>
      <w:r w:rsidRPr="004F1C8A">
        <w:rPr>
          <w:rFonts w:ascii="Arial" w:hAnsi="Arial" w:cs="Arial"/>
          <w:b/>
          <w:color w:val="000000" w:themeColor="text1"/>
          <w:sz w:val="22"/>
          <w:lang w:val="es-CO"/>
        </w:rPr>
        <w:tab/>
        <w:t xml:space="preserve">Respuesta </w:t>
      </w:r>
    </w:p>
    <w:p w14:paraId="560A32E9" w14:textId="77777777" w:rsidR="009709B7" w:rsidRPr="004F1C8A" w:rsidRDefault="009709B7" w:rsidP="009709B7">
      <w:pPr>
        <w:spacing w:line="276" w:lineRule="auto"/>
        <w:ind w:left="709" w:right="709" w:firstLine="709"/>
        <w:jc w:val="both"/>
        <w:rPr>
          <w:rFonts w:ascii="Arial" w:hAnsi="Arial" w:cs="Arial"/>
          <w:color w:val="000000" w:themeColor="text1"/>
          <w:sz w:val="22"/>
          <w:lang w:val="es-CO"/>
        </w:rPr>
      </w:pPr>
    </w:p>
    <w:p w14:paraId="768DF06E" w14:textId="79331C45" w:rsidR="009709B7" w:rsidRPr="004F1C8A" w:rsidRDefault="00C94F14" w:rsidP="00D306D7">
      <w:pPr>
        <w:pStyle w:val="Default"/>
        <w:ind w:left="709" w:right="709"/>
        <w:jc w:val="both"/>
        <w:rPr>
          <w:rFonts w:eastAsia="Calibri"/>
          <w:color w:val="000000" w:themeColor="text1"/>
          <w:sz w:val="21"/>
          <w:szCs w:val="21"/>
        </w:rPr>
      </w:pPr>
      <w:r w:rsidRPr="004F1C8A">
        <w:rPr>
          <w:rFonts w:eastAsia="Calibri"/>
          <w:color w:val="000000" w:themeColor="text1"/>
          <w:sz w:val="21"/>
          <w:szCs w:val="21"/>
        </w:rPr>
        <w:t xml:space="preserve">¿Es posible que una entidad solicite el Registro Único de Proponentes en el marco de un proceso para suscribir un contrato de concesión o existe obligación legal de </w:t>
      </w:r>
      <w:r w:rsidR="00E02A74" w:rsidRPr="004F1C8A">
        <w:rPr>
          <w:rFonts w:eastAsia="Calibri"/>
          <w:color w:val="000000" w:themeColor="text1"/>
          <w:sz w:val="21"/>
          <w:szCs w:val="21"/>
        </w:rPr>
        <w:t>no hacerlo</w:t>
      </w:r>
      <w:r w:rsidRPr="004F1C8A">
        <w:rPr>
          <w:rFonts w:eastAsia="Calibri"/>
          <w:color w:val="000000" w:themeColor="text1"/>
          <w:sz w:val="21"/>
          <w:szCs w:val="21"/>
        </w:rPr>
        <w:t xml:space="preserve">?  </w:t>
      </w:r>
    </w:p>
    <w:p w14:paraId="3E3B7185" w14:textId="77777777" w:rsidR="00C94F14" w:rsidRPr="004F1C8A" w:rsidRDefault="00C94F14" w:rsidP="00C94F14">
      <w:pPr>
        <w:pStyle w:val="Default"/>
        <w:ind w:left="1080"/>
        <w:jc w:val="both"/>
        <w:rPr>
          <w:rFonts w:eastAsia="Calibri"/>
          <w:color w:val="000000" w:themeColor="text1"/>
          <w:sz w:val="22"/>
        </w:rPr>
      </w:pPr>
    </w:p>
    <w:p w14:paraId="0F0C99A8" w14:textId="29951CCD" w:rsidR="00E02A74" w:rsidRPr="004F1C8A" w:rsidRDefault="00E02A74" w:rsidP="51039359">
      <w:pPr>
        <w:spacing w:before="120" w:after="120" w:line="276" w:lineRule="auto"/>
        <w:jc w:val="both"/>
        <w:rPr>
          <w:rFonts w:ascii="Arial" w:hAnsi="Arial" w:cs="Arial"/>
          <w:color w:val="000000" w:themeColor="text1"/>
          <w:sz w:val="22"/>
          <w:lang w:val="es-CO"/>
        </w:rPr>
      </w:pPr>
      <w:r w:rsidRPr="51039359">
        <w:rPr>
          <w:rFonts w:ascii="Arial" w:hAnsi="Arial" w:cs="Arial"/>
          <w:color w:val="000000" w:themeColor="text1"/>
          <w:sz w:val="22"/>
          <w:lang w:val="es-CO"/>
        </w:rPr>
        <w:t>Los procesos exceptuados de registro y clasificación en el Registro Único de Proponentes se encuentran defi</w:t>
      </w:r>
      <w:r w:rsidR="021165AB" w:rsidRPr="51039359">
        <w:rPr>
          <w:rFonts w:ascii="Arial" w:hAnsi="Arial" w:cs="Arial"/>
          <w:color w:val="000000" w:themeColor="text1"/>
          <w:sz w:val="22"/>
          <w:lang w:val="es-CO"/>
        </w:rPr>
        <w:t>nidos</w:t>
      </w:r>
      <w:r w:rsidRPr="51039359">
        <w:rPr>
          <w:rFonts w:ascii="Arial" w:hAnsi="Arial" w:cs="Arial"/>
          <w:color w:val="000000" w:themeColor="text1"/>
          <w:sz w:val="22"/>
          <w:lang w:val="es-CO"/>
        </w:rPr>
        <w:t xml:space="preserve"> de forma taxativa en la Ley 1150 de 2011</w:t>
      </w:r>
      <w:r w:rsidR="002273B7" w:rsidRPr="51039359">
        <w:rPr>
          <w:rFonts w:ascii="Arial" w:hAnsi="Arial" w:cs="Arial"/>
          <w:color w:val="000000" w:themeColor="text1"/>
          <w:sz w:val="22"/>
          <w:lang w:val="es-CO"/>
        </w:rPr>
        <w:t>.</w:t>
      </w:r>
      <w:r w:rsidRPr="51039359">
        <w:rPr>
          <w:rFonts w:ascii="Arial" w:hAnsi="Arial" w:cs="Arial"/>
          <w:color w:val="000000" w:themeColor="text1"/>
          <w:sz w:val="22"/>
          <w:lang w:val="es-CO"/>
        </w:rPr>
        <w:t xml:space="preserve"> </w:t>
      </w:r>
      <w:r w:rsidR="002273B7" w:rsidRPr="51039359">
        <w:rPr>
          <w:rFonts w:ascii="Arial" w:hAnsi="Arial" w:cs="Arial"/>
          <w:color w:val="000000" w:themeColor="text1"/>
          <w:sz w:val="22"/>
          <w:lang w:val="es-CO"/>
        </w:rPr>
        <w:t>Uno de ellos tiene que ver con la celebración de contratos de concesión. P</w:t>
      </w:r>
      <w:r w:rsidRPr="51039359">
        <w:rPr>
          <w:rFonts w:ascii="Arial" w:hAnsi="Arial" w:cs="Arial"/>
          <w:color w:val="000000" w:themeColor="text1"/>
          <w:sz w:val="22"/>
          <w:lang w:val="es-CO"/>
        </w:rPr>
        <w:t>or lo tanto, no le es posible al operador jurídico limitar la concurrencia de los proponentes con exigencias que no ha</w:t>
      </w:r>
      <w:r w:rsidR="004F1C8A" w:rsidRPr="51039359">
        <w:rPr>
          <w:rFonts w:ascii="Arial" w:hAnsi="Arial" w:cs="Arial"/>
          <w:color w:val="000000" w:themeColor="text1"/>
          <w:sz w:val="22"/>
          <w:lang w:val="es-CO"/>
        </w:rPr>
        <w:t>n</w:t>
      </w:r>
      <w:r w:rsidRPr="51039359">
        <w:rPr>
          <w:rFonts w:ascii="Arial" w:hAnsi="Arial" w:cs="Arial"/>
          <w:color w:val="000000" w:themeColor="text1"/>
          <w:sz w:val="22"/>
          <w:lang w:val="es-CO"/>
        </w:rPr>
        <w:t xml:space="preserve"> sido </w:t>
      </w:r>
      <w:r w:rsidR="004F1C8A" w:rsidRPr="51039359">
        <w:rPr>
          <w:rFonts w:ascii="Arial" w:hAnsi="Arial" w:cs="Arial"/>
          <w:color w:val="000000" w:themeColor="text1"/>
          <w:sz w:val="22"/>
          <w:lang w:val="es-CO"/>
        </w:rPr>
        <w:t>descritas</w:t>
      </w:r>
      <w:r w:rsidRPr="51039359">
        <w:rPr>
          <w:rFonts w:ascii="Arial" w:hAnsi="Arial" w:cs="Arial"/>
          <w:color w:val="000000" w:themeColor="text1"/>
          <w:sz w:val="22"/>
          <w:lang w:val="es-CO"/>
        </w:rPr>
        <w:t xml:space="preserve"> </w:t>
      </w:r>
      <w:r w:rsidR="004F1C8A" w:rsidRPr="51039359">
        <w:rPr>
          <w:rFonts w:ascii="Arial" w:hAnsi="Arial" w:cs="Arial"/>
          <w:color w:val="000000" w:themeColor="text1"/>
          <w:sz w:val="22"/>
          <w:lang w:val="es-CO"/>
        </w:rPr>
        <w:t>en</w:t>
      </w:r>
      <w:r w:rsidRPr="51039359">
        <w:rPr>
          <w:rFonts w:ascii="Arial" w:hAnsi="Arial" w:cs="Arial"/>
          <w:color w:val="000000" w:themeColor="text1"/>
          <w:sz w:val="22"/>
          <w:lang w:val="es-CO"/>
        </w:rPr>
        <w:t xml:space="preserve"> la ley. </w:t>
      </w:r>
    </w:p>
    <w:p w14:paraId="4E98C6A9" w14:textId="2A4C54F7" w:rsidR="009709B7" w:rsidRPr="004F1C8A" w:rsidRDefault="00E02A74" w:rsidP="00E02A74">
      <w:pPr>
        <w:tabs>
          <w:tab w:val="left" w:pos="709"/>
        </w:tabs>
        <w:spacing w:before="120" w:after="120" w:line="276" w:lineRule="auto"/>
        <w:ind w:firstLine="709"/>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  Es preciso recordar que, si bien las </w:t>
      </w:r>
      <w:r w:rsidR="00D306D7" w:rsidRPr="004F1C8A">
        <w:rPr>
          <w:rFonts w:ascii="Arial" w:hAnsi="Arial" w:cs="Arial"/>
          <w:color w:val="000000" w:themeColor="text1"/>
          <w:sz w:val="22"/>
          <w:lang w:val="es-CO"/>
        </w:rPr>
        <w:t>entidades no</w:t>
      </w:r>
      <w:r w:rsidR="009709B7" w:rsidRPr="004F1C8A">
        <w:rPr>
          <w:rFonts w:ascii="Arial" w:hAnsi="Arial" w:cs="Arial"/>
          <w:color w:val="000000" w:themeColor="text1"/>
          <w:sz w:val="22"/>
          <w:lang w:val="es-CO"/>
        </w:rPr>
        <w:t xml:space="preserve"> pueden solicitar el RUP</w:t>
      </w:r>
      <w:r w:rsidR="00EE635B" w:rsidRPr="004F1C8A">
        <w:rPr>
          <w:rFonts w:ascii="Arial" w:hAnsi="Arial" w:cs="Arial"/>
          <w:color w:val="000000" w:themeColor="text1"/>
          <w:sz w:val="22"/>
          <w:lang w:val="es-CO"/>
        </w:rPr>
        <w:t xml:space="preserve"> en estos procedimientos de selección</w:t>
      </w:r>
      <w:r w:rsidR="009709B7" w:rsidRPr="004F1C8A">
        <w:rPr>
          <w:rFonts w:ascii="Arial" w:hAnsi="Arial" w:cs="Arial"/>
          <w:color w:val="000000" w:themeColor="text1"/>
          <w:sz w:val="22"/>
          <w:lang w:val="es-CO"/>
        </w:rPr>
        <w:t xml:space="preserve"> y</w:t>
      </w:r>
      <w:r w:rsidR="00EE635B" w:rsidRPr="004F1C8A">
        <w:rPr>
          <w:rFonts w:ascii="Arial" w:hAnsi="Arial" w:cs="Arial"/>
          <w:color w:val="000000" w:themeColor="text1"/>
          <w:sz w:val="22"/>
          <w:lang w:val="es-CO"/>
        </w:rPr>
        <w:t>,</w:t>
      </w:r>
      <w:r w:rsidR="009709B7" w:rsidRPr="004F1C8A">
        <w:rPr>
          <w:rFonts w:ascii="Arial" w:hAnsi="Arial" w:cs="Arial"/>
          <w:color w:val="000000" w:themeColor="text1"/>
          <w:sz w:val="22"/>
          <w:lang w:val="es-CO"/>
        </w:rPr>
        <w:t xml:space="preserve"> por ende</w:t>
      </w:r>
      <w:r w:rsidR="00EE635B" w:rsidRPr="004F1C8A">
        <w:rPr>
          <w:rFonts w:ascii="Arial" w:hAnsi="Arial" w:cs="Arial"/>
          <w:color w:val="000000" w:themeColor="text1"/>
          <w:sz w:val="22"/>
          <w:lang w:val="es-CO"/>
        </w:rPr>
        <w:t>,</w:t>
      </w:r>
      <w:r w:rsidR="009709B7" w:rsidRPr="004F1C8A">
        <w:rPr>
          <w:rFonts w:ascii="Arial" w:hAnsi="Arial" w:cs="Arial"/>
          <w:color w:val="000000" w:themeColor="text1"/>
          <w:sz w:val="22"/>
          <w:lang w:val="es-CO"/>
        </w:rPr>
        <w:t xml:space="preserve"> no podrían verificar las condiciones de experiencia, capacidad financiera y de organización de los proponentes</w:t>
      </w:r>
      <w:r w:rsidR="00EE635B" w:rsidRPr="004F1C8A">
        <w:rPr>
          <w:rFonts w:ascii="Arial" w:hAnsi="Arial" w:cs="Arial"/>
          <w:color w:val="000000" w:themeColor="text1"/>
          <w:sz w:val="22"/>
          <w:lang w:val="es-CO"/>
        </w:rPr>
        <w:t xml:space="preserve"> con base en dicho registro,</w:t>
      </w:r>
      <w:r w:rsidR="009709B7" w:rsidRPr="004F1C8A">
        <w:rPr>
          <w:rFonts w:ascii="Arial" w:hAnsi="Arial" w:cs="Arial"/>
          <w:color w:val="000000" w:themeColor="text1"/>
          <w:sz w:val="22"/>
          <w:lang w:val="es-CO"/>
        </w:rPr>
        <w:t xml:space="preserve"> </w:t>
      </w:r>
      <w:r w:rsidR="0035094E" w:rsidRPr="004F1C8A">
        <w:rPr>
          <w:rFonts w:ascii="Arial" w:hAnsi="Arial" w:cs="Arial"/>
          <w:color w:val="000000" w:themeColor="text1"/>
          <w:sz w:val="22"/>
          <w:lang w:val="es-CO"/>
        </w:rPr>
        <w:t xml:space="preserve">en el pliego de condiciones las entidades públicas </w:t>
      </w:r>
      <w:r w:rsidR="009709B7" w:rsidRPr="004F1C8A">
        <w:rPr>
          <w:rFonts w:ascii="Arial" w:hAnsi="Arial" w:cs="Arial"/>
          <w:color w:val="000000" w:themeColor="text1"/>
          <w:sz w:val="22"/>
          <w:lang w:val="es-CO"/>
        </w:rPr>
        <w:t xml:space="preserve">deben </w:t>
      </w:r>
      <w:r w:rsidR="00EE635B" w:rsidRPr="004F1C8A">
        <w:rPr>
          <w:rFonts w:ascii="Arial" w:hAnsi="Arial" w:cs="Arial"/>
          <w:color w:val="000000" w:themeColor="text1"/>
          <w:sz w:val="22"/>
          <w:lang w:val="es-CO"/>
        </w:rPr>
        <w:t>incluir</w:t>
      </w:r>
      <w:r w:rsidR="009709B7" w:rsidRPr="004F1C8A">
        <w:rPr>
          <w:rFonts w:ascii="Arial" w:hAnsi="Arial" w:cs="Arial"/>
          <w:color w:val="000000" w:themeColor="text1"/>
          <w:sz w:val="22"/>
          <w:lang w:val="es-CO"/>
        </w:rPr>
        <w:t xml:space="preserve"> otros medios de prueba que garanticen </w:t>
      </w:r>
      <w:r w:rsidR="00EE635B" w:rsidRPr="004F1C8A">
        <w:rPr>
          <w:rFonts w:ascii="Arial" w:hAnsi="Arial" w:cs="Arial"/>
          <w:color w:val="000000" w:themeColor="text1"/>
          <w:sz w:val="22"/>
          <w:lang w:val="es-CO"/>
        </w:rPr>
        <w:t>la adecuada verificación de los requisitos exigidos en el pliego. Tratándose de la experiencia, la entidad puede solicitar en los pliegos de condiciones</w:t>
      </w:r>
      <w:r w:rsidR="00C3240C" w:rsidRPr="004F1C8A">
        <w:rPr>
          <w:rFonts w:ascii="Arial" w:hAnsi="Arial" w:cs="Arial"/>
          <w:color w:val="000000" w:themeColor="text1"/>
          <w:sz w:val="22"/>
          <w:lang w:val="es-CO"/>
        </w:rPr>
        <w:t xml:space="preserve"> </w:t>
      </w:r>
      <w:r w:rsidR="00EE635B" w:rsidRPr="004F1C8A">
        <w:rPr>
          <w:rFonts w:ascii="Arial" w:hAnsi="Arial" w:cs="Arial"/>
          <w:color w:val="000000" w:themeColor="text1"/>
          <w:sz w:val="22"/>
          <w:lang w:val="es-CO"/>
        </w:rPr>
        <w:t>que los proponentes aporten</w:t>
      </w:r>
      <w:r w:rsidR="00C3240C" w:rsidRPr="004F1C8A">
        <w:rPr>
          <w:rFonts w:ascii="Arial" w:hAnsi="Arial" w:cs="Arial"/>
          <w:color w:val="000000" w:themeColor="text1"/>
          <w:sz w:val="22"/>
          <w:lang w:val="es-CO"/>
        </w:rPr>
        <w:t xml:space="preserve"> certificados de la experiencia de los bienes, obras o servicios </w:t>
      </w:r>
      <w:r w:rsidR="0035094E" w:rsidRPr="004F1C8A">
        <w:rPr>
          <w:rFonts w:ascii="Arial" w:hAnsi="Arial" w:cs="Arial"/>
          <w:color w:val="000000" w:themeColor="text1"/>
          <w:sz w:val="22"/>
          <w:lang w:val="es-CO"/>
        </w:rPr>
        <w:t>que</w:t>
      </w:r>
      <w:r w:rsidR="00EE635B" w:rsidRPr="004F1C8A">
        <w:rPr>
          <w:rFonts w:ascii="Arial" w:hAnsi="Arial" w:cs="Arial"/>
          <w:color w:val="000000" w:themeColor="text1"/>
          <w:sz w:val="22"/>
          <w:lang w:val="es-CO"/>
        </w:rPr>
        <w:t xml:space="preserve"> ejecutó, incluyendo la información requerida en cada caso, </w:t>
      </w:r>
      <w:r w:rsidR="004F1C8A" w:rsidRPr="004F1C8A">
        <w:rPr>
          <w:rFonts w:ascii="Arial" w:hAnsi="Arial" w:cs="Arial"/>
          <w:color w:val="000000" w:themeColor="text1"/>
          <w:sz w:val="22"/>
          <w:lang w:val="es-CO"/>
        </w:rPr>
        <w:t>de acuerdo con</w:t>
      </w:r>
      <w:r w:rsidR="00EE635B" w:rsidRPr="004F1C8A">
        <w:rPr>
          <w:rFonts w:ascii="Arial" w:hAnsi="Arial" w:cs="Arial"/>
          <w:color w:val="000000" w:themeColor="text1"/>
          <w:sz w:val="22"/>
          <w:lang w:val="es-CO"/>
        </w:rPr>
        <w:t xml:space="preserve"> la experiencia que la entidad considere conveniente exigir. A</w:t>
      </w:r>
      <w:r w:rsidR="004F1C8A">
        <w:rPr>
          <w:rFonts w:ascii="Arial" w:hAnsi="Arial" w:cs="Arial"/>
          <w:color w:val="000000" w:themeColor="text1"/>
          <w:sz w:val="22"/>
          <w:lang w:val="es-CO"/>
        </w:rPr>
        <w:t>simismo</w:t>
      </w:r>
      <w:r w:rsidR="00EE635B" w:rsidRPr="004F1C8A">
        <w:rPr>
          <w:rFonts w:ascii="Arial" w:hAnsi="Arial" w:cs="Arial"/>
          <w:color w:val="000000" w:themeColor="text1"/>
          <w:sz w:val="22"/>
          <w:lang w:val="es-CO"/>
        </w:rPr>
        <w:t>, podrá incluir que la experiencia se acredite con copia de los contratos, adiciones, actas de recibo, liquidaciones o cualquier otro documento idóneo que soporte la experiencia de los proponentes. En todo caso, en el pliego de condiciones se deben establecer los mecanismos y medios de prueba mediante los cuales se acreditará la experiencia.</w:t>
      </w:r>
    </w:p>
    <w:p w14:paraId="1B2F03CC" w14:textId="77777777" w:rsidR="00D306D7" w:rsidRPr="004F1C8A" w:rsidRDefault="00D306D7" w:rsidP="00D306D7">
      <w:pPr>
        <w:spacing w:before="120" w:after="120" w:line="276" w:lineRule="auto"/>
        <w:ind w:firstLine="708"/>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Así pues, las entidades contratantes tienen del deber de verificar las condiciones de capacidad jurídica, técnica, financiera y organizacional de los oferentes, que podrá acreditarse con las certificaciones que aporten los proponentes al proceso de contratación y la entidad estatal podrá solicitar información adicional </w:t>
      </w:r>
      <w:r w:rsidRPr="004F1C8A">
        <w:rPr>
          <w:rFonts w:ascii="Arial" w:eastAsia="Calibri" w:hAnsi="Arial" w:cs="Arial"/>
          <w:color w:val="000000" w:themeColor="text1"/>
          <w:sz w:val="22"/>
          <w:lang w:val="es-CO"/>
        </w:rPr>
        <w:t>―</w:t>
      </w:r>
      <w:r w:rsidRPr="004F1C8A">
        <w:rPr>
          <w:rFonts w:ascii="Arial" w:hAnsi="Arial" w:cs="Arial"/>
          <w:color w:val="000000" w:themeColor="text1"/>
          <w:sz w:val="22"/>
          <w:lang w:val="es-CO"/>
        </w:rPr>
        <w:t xml:space="preserve">por ejemplo, longitudes de obra, especificaciones técnicas, </w:t>
      </w:r>
      <w:proofErr w:type="spellStart"/>
      <w:r w:rsidRPr="004F1C8A">
        <w:rPr>
          <w:rFonts w:ascii="Arial" w:hAnsi="Arial" w:cs="Arial"/>
          <w:color w:val="000000" w:themeColor="text1"/>
          <w:sz w:val="22"/>
          <w:lang w:val="es-CO"/>
        </w:rPr>
        <w:t>etc</w:t>
      </w:r>
      <w:proofErr w:type="spellEnd"/>
      <w:r w:rsidRPr="004F1C8A">
        <w:rPr>
          <w:rFonts w:ascii="Arial" w:eastAsia="Calibri" w:hAnsi="Arial" w:cs="Arial"/>
          <w:color w:val="000000" w:themeColor="text1"/>
          <w:sz w:val="22"/>
          <w:lang w:val="es-CO"/>
        </w:rPr>
        <w:t>―</w:t>
      </w:r>
      <w:r w:rsidRPr="004F1C8A">
        <w:rPr>
          <w:rFonts w:ascii="Arial" w:hAnsi="Arial" w:cs="Arial"/>
          <w:color w:val="000000" w:themeColor="text1"/>
          <w:sz w:val="22"/>
          <w:lang w:val="es-CO"/>
        </w:rPr>
        <w:t xml:space="preserve"> con el fin de verificar condiciones de experiencia del proponente. </w:t>
      </w:r>
    </w:p>
    <w:p w14:paraId="21DB219E" w14:textId="75B16739" w:rsidR="00C3240C" w:rsidRPr="004F1C8A" w:rsidRDefault="0035094E" w:rsidP="009709B7">
      <w:pPr>
        <w:spacing w:line="276" w:lineRule="auto"/>
        <w:jc w:val="both"/>
        <w:rPr>
          <w:rFonts w:ascii="Arial" w:hAnsi="Arial" w:cs="Arial"/>
          <w:color w:val="000000" w:themeColor="text1"/>
          <w:sz w:val="22"/>
          <w:lang w:val="es-CO"/>
        </w:rPr>
      </w:pPr>
      <w:r w:rsidRPr="004F1C8A">
        <w:rPr>
          <w:rFonts w:ascii="Arial" w:hAnsi="Arial" w:cs="Arial"/>
          <w:color w:val="000000" w:themeColor="text1"/>
          <w:sz w:val="22"/>
          <w:lang w:val="es-CO"/>
        </w:rPr>
        <w:t xml:space="preserve"> </w:t>
      </w:r>
    </w:p>
    <w:p w14:paraId="75611DD8" w14:textId="672C1632" w:rsidR="00C94F14" w:rsidRPr="004F1C8A" w:rsidRDefault="00C94F14" w:rsidP="00D306D7">
      <w:pPr>
        <w:pStyle w:val="Default"/>
        <w:ind w:left="709" w:right="709"/>
        <w:jc w:val="both"/>
        <w:rPr>
          <w:color w:val="auto"/>
          <w:sz w:val="21"/>
          <w:szCs w:val="21"/>
        </w:rPr>
      </w:pPr>
      <w:r w:rsidRPr="004F1C8A">
        <w:rPr>
          <w:color w:val="auto"/>
          <w:sz w:val="21"/>
          <w:szCs w:val="21"/>
        </w:rPr>
        <w:t>¿En caso de que en el proceso de concesión solicite RUP, puede generare a la entidad responsabilidades disciplinarias, administrativas o de algún tipo?</w:t>
      </w:r>
    </w:p>
    <w:p w14:paraId="29C2DB76" w14:textId="77777777" w:rsidR="00C94F14" w:rsidRPr="004F1C8A" w:rsidRDefault="00C94F14" w:rsidP="00D306D7">
      <w:pPr>
        <w:tabs>
          <w:tab w:val="left" w:pos="426"/>
        </w:tabs>
        <w:ind w:left="709" w:right="709"/>
        <w:jc w:val="both"/>
        <w:rPr>
          <w:rFonts w:ascii="Arial" w:eastAsia="Calibri" w:hAnsi="Arial" w:cs="Arial"/>
          <w:color w:val="000000" w:themeColor="text1"/>
          <w:sz w:val="21"/>
          <w:szCs w:val="21"/>
          <w:lang w:val="es-CO"/>
        </w:rPr>
      </w:pPr>
    </w:p>
    <w:p w14:paraId="166B421D" w14:textId="172A7E1A" w:rsidR="00D306D7" w:rsidRPr="004F1C8A" w:rsidRDefault="00D306D7" w:rsidP="00384A8C">
      <w:pPr>
        <w:spacing w:before="120" w:after="120" w:line="276" w:lineRule="auto"/>
        <w:jc w:val="both"/>
        <w:rPr>
          <w:rFonts w:ascii="Arial" w:eastAsia="Arial" w:hAnsi="Arial" w:cs="Arial"/>
          <w:sz w:val="22"/>
          <w:lang w:val="es-CO"/>
        </w:rPr>
      </w:pPr>
      <w:r w:rsidRPr="004F1C8A">
        <w:rPr>
          <w:rFonts w:ascii="Arial" w:eastAsia="Arial" w:hAnsi="Arial" w:cs="Arial"/>
          <w:sz w:val="22"/>
          <w:lang w:val="es-CO"/>
        </w:rPr>
        <w:lastRenderedPageBreak/>
        <w:t>De conformidad con la competencia otorgada según el numeral 8 del artículo 11 y numeral 5 del artículo 3 del Decreto Ley 4170 de 2011, la Agencia Nacional de Contratación Pública Colombia Compra Eficiente atiende consultas relativas a temas contractuales en lo que se refiere a la aplicación de normas de carácter general en materia de compras y contratación pública; por tal motivo, Colombia Compra Eficiente carece de competencia para decidir sobre la legalidad de las decisiones tomadas por las entidades estatales con ocasión de su actividad contractual, o para pronunciarse respecto de actuaciones contractuales específicas.</w:t>
      </w:r>
    </w:p>
    <w:p w14:paraId="0F8C901F" w14:textId="52AB55FB" w:rsidR="00A37FB6" w:rsidRPr="004F1C8A" w:rsidRDefault="00AD1B0F" w:rsidP="008A2025">
      <w:pPr>
        <w:spacing w:before="120" w:after="120" w:line="276" w:lineRule="auto"/>
        <w:jc w:val="both"/>
        <w:rPr>
          <w:rFonts w:ascii="Arial" w:hAnsi="Arial" w:cs="Arial"/>
          <w:color w:val="000000" w:themeColor="text1"/>
          <w:sz w:val="22"/>
          <w:lang w:val="es-CO"/>
        </w:rPr>
      </w:pPr>
      <w:r w:rsidRPr="004F1C8A">
        <w:rPr>
          <w:rFonts w:ascii="Arial" w:hAnsi="Arial" w:cs="Arial"/>
          <w:color w:val="000000" w:themeColor="text1"/>
          <w:sz w:val="22"/>
          <w:lang w:val="es-CO"/>
        </w:rPr>
        <w:t>Este concepto tiene el alcance previsto en el artículo 28 del Código de Procedimiento Administrativo y de lo Contencioso Administrativo.</w:t>
      </w:r>
      <w:r w:rsidR="00A37FB6" w:rsidRPr="004F1C8A">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194B9AB">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4F1C8A" w:rsidRDefault="00A37FB6" w:rsidP="008A2025">
      <w:pPr>
        <w:spacing w:before="120" w:after="120" w:line="276" w:lineRule="auto"/>
        <w:rPr>
          <w:rFonts w:ascii="Arial" w:eastAsia="Times New Roman" w:hAnsi="Arial" w:cs="Arial"/>
          <w:color w:val="000000" w:themeColor="text1"/>
          <w:sz w:val="22"/>
          <w:lang w:val="es-CO" w:eastAsia="es-CO"/>
        </w:rPr>
      </w:pPr>
      <w:r w:rsidRPr="004F1C8A">
        <w:rPr>
          <w:rFonts w:ascii="Arial" w:eastAsia="Times New Roman" w:hAnsi="Arial" w:cs="Arial"/>
          <w:color w:val="000000" w:themeColor="text1"/>
          <w:sz w:val="22"/>
          <w:lang w:val="es-CO" w:eastAsia="es-CO"/>
        </w:rPr>
        <w:t>Atentamente,</w:t>
      </w:r>
    </w:p>
    <w:p w14:paraId="57DD1EBD" w14:textId="4E06A642" w:rsidR="00746E08" w:rsidRPr="004F1C8A" w:rsidRDefault="004B0E37" w:rsidP="008A2025">
      <w:pPr>
        <w:spacing w:before="120" w:after="120" w:line="276" w:lineRule="auto"/>
        <w:jc w:val="center"/>
        <w:rPr>
          <w:rFonts w:ascii="Arial" w:eastAsia="Times New Roman" w:hAnsi="Arial" w:cs="Arial"/>
          <w:color w:val="000000" w:themeColor="text1"/>
          <w:sz w:val="22"/>
          <w:lang w:val="es-CO" w:eastAsia="es-CO"/>
        </w:rPr>
      </w:pPr>
      <w:r>
        <w:rPr>
          <w:noProof/>
        </w:rPr>
        <w:drawing>
          <wp:inline distT="0" distB="0" distL="0" distR="0" wp14:anchorId="70251089" wp14:editId="381C4A11">
            <wp:extent cx="2773144" cy="988695"/>
            <wp:effectExtent l="0" t="0" r="0" b="0"/>
            <wp:docPr id="84954455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D58A4" w:rsidRPr="004F1C8A" w14:paraId="469202AF" w14:textId="77777777" w:rsidTr="008F0344">
        <w:trPr>
          <w:trHeight w:val="315"/>
        </w:trPr>
        <w:tc>
          <w:tcPr>
            <w:tcW w:w="812" w:type="dxa"/>
            <w:vAlign w:val="center"/>
            <w:hideMark/>
          </w:tcPr>
          <w:p w14:paraId="3F62A0B3" w14:textId="77777777" w:rsidR="00746E08" w:rsidRPr="004F1C8A" w:rsidRDefault="00746E08" w:rsidP="001F4991">
            <w:pPr>
              <w:pStyle w:val="Sinespaciado"/>
              <w:rPr>
                <w:rFonts w:ascii="Arial" w:hAnsi="Arial" w:cs="Arial"/>
                <w:color w:val="000000" w:themeColor="text1"/>
                <w:sz w:val="16"/>
                <w:szCs w:val="16"/>
                <w:lang w:val="es-CO" w:eastAsia="es-ES"/>
              </w:rPr>
            </w:pPr>
            <w:r w:rsidRPr="004F1C8A">
              <w:rPr>
                <w:rFonts w:ascii="Arial" w:hAnsi="Arial" w:cs="Arial"/>
                <w:color w:val="000000" w:themeColor="text1"/>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45BBD40F" w14:textId="196A3C46" w:rsidR="00746E08" w:rsidRPr="004F1C8A" w:rsidRDefault="00E02A74" w:rsidP="001F4991">
            <w:pPr>
              <w:pStyle w:val="Sinespaciado"/>
              <w:rPr>
                <w:rFonts w:ascii="Arial" w:hAnsi="Arial" w:cs="Arial"/>
                <w:color w:val="000000" w:themeColor="text1"/>
                <w:sz w:val="16"/>
                <w:szCs w:val="16"/>
                <w:lang w:val="es-CO" w:eastAsia="es-ES"/>
              </w:rPr>
            </w:pPr>
            <w:r w:rsidRPr="004F1C8A">
              <w:rPr>
                <w:rFonts w:ascii="Arial" w:hAnsi="Arial" w:cs="Arial"/>
                <w:color w:val="000000" w:themeColor="text1"/>
                <w:sz w:val="16"/>
                <w:szCs w:val="16"/>
                <w:lang w:val="es-CO" w:eastAsia="es-ES"/>
              </w:rPr>
              <w:t>Omar Germán Mejía Olmos</w:t>
            </w:r>
          </w:p>
          <w:p w14:paraId="51C325E7" w14:textId="6734F849" w:rsidR="00746E08" w:rsidRPr="004F1C8A" w:rsidRDefault="008F0344" w:rsidP="001F4991">
            <w:pPr>
              <w:pStyle w:val="Sinespaciado"/>
              <w:rPr>
                <w:rFonts w:ascii="Arial" w:hAnsi="Arial" w:cs="Arial"/>
                <w:color w:val="000000" w:themeColor="text1"/>
                <w:sz w:val="16"/>
                <w:szCs w:val="16"/>
                <w:lang w:val="es-CO" w:eastAsia="es-ES"/>
              </w:rPr>
            </w:pPr>
            <w:r w:rsidRPr="004F1C8A">
              <w:rPr>
                <w:rFonts w:ascii="Arial" w:hAnsi="Arial" w:cs="Arial"/>
                <w:color w:val="000000" w:themeColor="text1"/>
                <w:sz w:val="16"/>
                <w:szCs w:val="16"/>
                <w:lang w:val="es-CO" w:eastAsia="es-ES"/>
              </w:rPr>
              <w:t>Contratista Subdirección de Gestión Contractual</w:t>
            </w:r>
          </w:p>
        </w:tc>
      </w:tr>
      <w:tr w:rsidR="004D58A4" w:rsidRPr="004F1C8A" w14:paraId="10BC78E8" w14:textId="77777777" w:rsidTr="008F0344">
        <w:trPr>
          <w:trHeight w:val="330"/>
        </w:trPr>
        <w:tc>
          <w:tcPr>
            <w:tcW w:w="812" w:type="dxa"/>
            <w:vAlign w:val="center"/>
            <w:hideMark/>
          </w:tcPr>
          <w:p w14:paraId="6A7DBF66" w14:textId="77777777" w:rsidR="00746E08" w:rsidRPr="004F1C8A" w:rsidRDefault="00746E08" w:rsidP="001F4991">
            <w:pPr>
              <w:pStyle w:val="Sinespaciado"/>
              <w:rPr>
                <w:rFonts w:ascii="Arial" w:hAnsi="Arial" w:cs="Arial"/>
                <w:color w:val="000000" w:themeColor="text1"/>
                <w:sz w:val="16"/>
                <w:szCs w:val="16"/>
                <w:lang w:val="es-CO" w:eastAsia="es-ES"/>
              </w:rPr>
            </w:pPr>
            <w:r w:rsidRPr="004F1C8A">
              <w:rPr>
                <w:rFonts w:ascii="Arial" w:hAnsi="Arial" w:cs="Arial"/>
                <w:color w:val="000000" w:themeColor="text1"/>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3A81FF" w14:textId="405BC448" w:rsidR="00E02A74" w:rsidRPr="004F1C8A" w:rsidRDefault="00D914C5" w:rsidP="00E02A74">
            <w:pPr>
              <w:pStyle w:val="Sinespaciado"/>
              <w:rPr>
                <w:rFonts w:ascii="Arial" w:hAnsi="Arial" w:cs="Arial"/>
                <w:color w:val="000000" w:themeColor="text1"/>
                <w:sz w:val="16"/>
                <w:szCs w:val="16"/>
                <w:lang w:val="es-CO" w:eastAsia="es-ES"/>
              </w:rPr>
            </w:pPr>
            <w:r>
              <w:rPr>
                <w:rFonts w:ascii="Arial" w:hAnsi="Arial" w:cs="Arial"/>
                <w:color w:val="000000" w:themeColor="text1"/>
                <w:sz w:val="16"/>
                <w:szCs w:val="16"/>
                <w:lang w:val="es-CO" w:eastAsia="es-ES"/>
              </w:rPr>
              <w:t>Cristian Andrés Díaz Díez</w:t>
            </w:r>
          </w:p>
          <w:p w14:paraId="19E8BD8D" w14:textId="1B85D035" w:rsidR="00746E08" w:rsidRPr="004F1C8A" w:rsidRDefault="00D914C5" w:rsidP="00E02A74">
            <w:pPr>
              <w:pStyle w:val="Sinespaciado"/>
              <w:rPr>
                <w:rFonts w:ascii="Arial" w:hAnsi="Arial" w:cs="Arial"/>
                <w:color w:val="000000" w:themeColor="text1"/>
                <w:sz w:val="16"/>
                <w:szCs w:val="16"/>
                <w:lang w:val="es-CO" w:eastAsia="es-ES"/>
              </w:rPr>
            </w:pPr>
            <w:r>
              <w:rPr>
                <w:rFonts w:ascii="Arial" w:hAnsi="Arial" w:cs="Arial"/>
                <w:color w:val="000000" w:themeColor="text1"/>
                <w:sz w:val="16"/>
                <w:szCs w:val="16"/>
                <w:lang w:val="es-CO" w:eastAsia="es-ES"/>
              </w:rPr>
              <w:t xml:space="preserve">Contratista, </w:t>
            </w:r>
            <w:r w:rsidR="00E02A74" w:rsidRPr="004F1C8A">
              <w:rPr>
                <w:rFonts w:ascii="Arial" w:hAnsi="Arial" w:cs="Arial"/>
                <w:color w:val="000000" w:themeColor="text1"/>
                <w:sz w:val="16"/>
                <w:szCs w:val="16"/>
                <w:lang w:val="es-CO" w:eastAsia="es-ES"/>
              </w:rPr>
              <w:t>Subdirec</w:t>
            </w:r>
            <w:r>
              <w:rPr>
                <w:rFonts w:ascii="Arial" w:hAnsi="Arial" w:cs="Arial"/>
                <w:color w:val="000000" w:themeColor="text1"/>
                <w:sz w:val="16"/>
                <w:szCs w:val="16"/>
                <w:lang w:val="es-CO" w:eastAsia="es-ES"/>
              </w:rPr>
              <w:t>ción</w:t>
            </w:r>
            <w:r w:rsidR="00E02A74" w:rsidRPr="004F1C8A">
              <w:rPr>
                <w:rFonts w:ascii="Arial" w:hAnsi="Arial" w:cs="Arial"/>
                <w:color w:val="000000" w:themeColor="text1"/>
                <w:sz w:val="16"/>
                <w:szCs w:val="16"/>
                <w:lang w:val="es-CO" w:eastAsia="es-ES"/>
              </w:rPr>
              <w:t xml:space="preserve"> de Gestión Contractual</w:t>
            </w:r>
          </w:p>
        </w:tc>
      </w:tr>
      <w:tr w:rsidR="001F4991" w:rsidRPr="004F1C8A" w14:paraId="50741B38" w14:textId="77777777" w:rsidTr="008F0344">
        <w:trPr>
          <w:trHeight w:val="300"/>
        </w:trPr>
        <w:tc>
          <w:tcPr>
            <w:tcW w:w="812" w:type="dxa"/>
            <w:vAlign w:val="center"/>
            <w:hideMark/>
          </w:tcPr>
          <w:p w14:paraId="297715FA" w14:textId="77777777" w:rsidR="00746E08" w:rsidRPr="004F1C8A" w:rsidRDefault="00746E08" w:rsidP="001F4991">
            <w:pPr>
              <w:pStyle w:val="Sinespaciado"/>
              <w:rPr>
                <w:rFonts w:ascii="Arial" w:hAnsi="Arial" w:cs="Arial"/>
                <w:color w:val="000000" w:themeColor="text1"/>
                <w:sz w:val="16"/>
                <w:szCs w:val="16"/>
                <w:lang w:val="es-CO" w:eastAsia="es-ES"/>
              </w:rPr>
            </w:pPr>
            <w:r w:rsidRPr="004F1C8A">
              <w:rPr>
                <w:rFonts w:ascii="Arial" w:hAnsi="Arial" w:cs="Arial"/>
                <w:color w:val="000000" w:themeColor="text1"/>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4F1C8A" w:rsidRDefault="00746E08" w:rsidP="001F4991">
            <w:pPr>
              <w:pStyle w:val="Sinespaciado"/>
              <w:rPr>
                <w:rFonts w:ascii="Arial" w:hAnsi="Arial" w:cs="Arial"/>
                <w:color w:val="000000" w:themeColor="text1"/>
                <w:sz w:val="16"/>
                <w:szCs w:val="16"/>
                <w:lang w:val="es-CO" w:eastAsia="es-ES"/>
              </w:rPr>
            </w:pPr>
            <w:r w:rsidRPr="004F1C8A">
              <w:rPr>
                <w:rFonts w:ascii="Arial" w:hAnsi="Arial" w:cs="Arial"/>
                <w:color w:val="000000" w:themeColor="text1"/>
                <w:sz w:val="16"/>
                <w:szCs w:val="16"/>
                <w:lang w:val="es-CO" w:eastAsia="es-ES"/>
              </w:rPr>
              <w:t>Fabián Gonzalo Marín Cortés</w:t>
            </w:r>
          </w:p>
          <w:p w14:paraId="17847B1F" w14:textId="71EB0D70" w:rsidR="00746E08" w:rsidRPr="004F1C8A" w:rsidRDefault="00746E08" w:rsidP="001F4991">
            <w:pPr>
              <w:pStyle w:val="Sinespaciado"/>
              <w:rPr>
                <w:rFonts w:ascii="Arial" w:hAnsi="Arial" w:cs="Arial"/>
                <w:color w:val="000000" w:themeColor="text1"/>
                <w:sz w:val="16"/>
                <w:szCs w:val="16"/>
                <w:lang w:val="es-CO" w:eastAsia="es-ES"/>
              </w:rPr>
            </w:pPr>
            <w:r w:rsidRPr="004F1C8A">
              <w:rPr>
                <w:rFonts w:ascii="Arial" w:hAnsi="Arial" w:cs="Arial"/>
                <w:color w:val="000000" w:themeColor="text1"/>
                <w:sz w:val="16"/>
                <w:szCs w:val="16"/>
                <w:lang w:val="es-CO" w:eastAsia="es-ES"/>
              </w:rPr>
              <w:t>Subdirector de Gestión Contractual</w:t>
            </w:r>
          </w:p>
        </w:tc>
      </w:tr>
    </w:tbl>
    <w:p w14:paraId="299FEDB9" w14:textId="77777777" w:rsidR="00540DF9" w:rsidRPr="004F1C8A" w:rsidRDefault="00540DF9" w:rsidP="008A2025">
      <w:pPr>
        <w:spacing w:before="120" w:after="120" w:line="276" w:lineRule="auto"/>
        <w:rPr>
          <w:rFonts w:ascii="Arial" w:eastAsia="Times New Roman" w:hAnsi="Arial" w:cs="Arial"/>
          <w:color w:val="000000" w:themeColor="text1"/>
          <w:sz w:val="22"/>
          <w:lang w:val="es-CO" w:eastAsia="es-ES"/>
        </w:rPr>
      </w:pPr>
    </w:p>
    <w:sectPr w:rsidR="00540DF9" w:rsidRPr="004F1C8A"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2A535C" w14:textId="77777777" w:rsidR="00CE63FC" w:rsidRDefault="00CE63FC">
      <w:r>
        <w:separator/>
      </w:r>
    </w:p>
  </w:endnote>
  <w:endnote w:type="continuationSeparator" w:id="0">
    <w:p w14:paraId="780237CD" w14:textId="77777777" w:rsidR="00CE63FC" w:rsidRDefault="00CE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560147" w:rsidRDefault="00560147" w:rsidP="00322937">
    <w:pPr>
      <w:pStyle w:val="Sinespaciado"/>
      <w:jc w:val="right"/>
      <w:rPr>
        <w:rFonts w:ascii="Arial" w:hAnsi="Arial" w:cs="Arial"/>
        <w:sz w:val="18"/>
        <w:szCs w:val="18"/>
      </w:rPr>
    </w:pPr>
  </w:p>
  <w:p w14:paraId="7A3785F3" w14:textId="430F26E4" w:rsidR="00560147" w:rsidRPr="008217B7" w:rsidRDefault="0056014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B0E37">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B0E37">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560147" w:rsidRDefault="630EA80F" w:rsidP="00322937">
    <w:pPr>
      <w:pStyle w:val="Piedepgina"/>
      <w:jc w:val="center"/>
    </w:pPr>
    <w:r>
      <w:rPr>
        <w:noProof/>
      </w:rPr>
      <w:drawing>
        <wp:inline distT="0" distB="0" distL="0" distR="0" wp14:anchorId="608B196D" wp14:editId="6507724C">
          <wp:extent cx="3700130" cy="519139"/>
          <wp:effectExtent l="0" t="0" r="0" b="0"/>
          <wp:docPr id="2045459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560147" w:rsidRDefault="00560147" w:rsidP="007B0854">
    <w:pPr>
      <w:pStyle w:val="Piedepgina"/>
      <w:jc w:val="center"/>
    </w:pPr>
  </w:p>
  <w:p w14:paraId="6C0EFC49" w14:textId="77777777" w:rsidR="00560147" w:rsidRPr="007B0854" w:rsidRDefault="00560147"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615FCC" w14:textId="77777777" w:rsidR="00CE63FC" w:rsidRDefault="00CE63FC">
      <w:r>
        <w:separator/>
      </w:r>
    </w:p>
  </w:footnote>
  <w:footnote w:type="continuationSeparator" w:id="0">
    <w:p w14:paraId="1B0E4D5E" w14:textId="77777777" w:rsidR="00CE63FC" w:rsidRDefault="00CE63FC">
      <w:r>
        <w:continuationSeparator/>
      </w:r>
    </w:p>
  </w:footnote>
  <w:footnote w:id="1">
    <w:p w14:paraId="497F422F" w14:textId="77777777" w:rsidR="0044590E" w:rsidRPr="004D6618" w:rsidRDefault="0044590E" w:rsidP="0044590E">
      <w:pPr>
        <w:pStyle w:val="Textonotapie"/>
        <w:ind w:firstLine="708"/>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Consejo de Estado. Sección Tercera. Subsección B. Sentencia del 6 de junio de 2013. Radicado No. 25151. Consejera Ponente: Stella Conto Díaz del Castillo.</w:t>
      </w:r>
    </w:p>
    <w:p w14:paraId="321AD0D4" w14:textId="77777777" w:rsidR="0044590E" w:rsidRPr="004D6618" w:rsidRDefault="0044590E" w:rsidP="0044590E">
      <w:pPr>
        <w:pStyle w:val="Textonotapie"/>
        <w:ind w:firstLine="708"/>
        <w:jc w:val="both"/>
        <w:rPr>
          <w:rFonts w:ascii="Arial" w:hAnsi="Arial" w:cs="Arial"/>
          <w:sz w:val="19"/>
          <w:szCs w:val="19"/>
        </w:rPr>
      </w:pPr>
    </w:p>
  </w:footnote>
  <w:footnote w:id="2">
    <w:p w14:paraId="49CA20FE" w14:textId="77777777" w:rsidR="0044590E" w:rsidRPr="004D6618" w:rsidRDefault="0044590E" w:rsidP="0044590E">
      <w:pPr>
        <w:pStyle w:val="Textonotapie"/>
        <w:ind w:firstLine="708"/>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Ley 1150 de 2007: «Artículo 6. De la verificación de las condiciones de los proponentes.</w:t>
      </w:r>
    </w:p>
    <w:p w14:paraId="6A609127"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15AD800E"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»6.1. […]</w:t>
      </w:r>
    </w:p>
    <w:p w14:paraId="3C16485E"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DE3093A"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9E5D00F"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106BAF10" w14:textId="77777777" w:rsidR="0044590E" w:rsidRPr="004D6618" w:rsidRDefault="0044590E" w:rsidP="0044590E">
      <w:pPr>
        <w:pStyle w:val="Textonotapie"/>
        <w:ind w:firstLine="708"/>
        <w:jc w:val="both"/>
        <w:rPr>
          <w:rFonts w:ascii="Arial" w:hAnsi="Arial" w:cs="Arial"/>
          <w:sz w:val="19"/>
          <w:szCs w:val="19"/>
        </w:rPr>
      </w:pPr>
    </w:p>
  </w:footnote>
  <w:footnote w:id="3">
    <w:p w14:paraId="0E27A39A"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Ley 1150 de 2007: «Artículo 5. De la selección objetiva.</w:t>
      </w:r>
      <w:r w:rsidRPr="004D6618">
        <w:rPr>
          <w:rFonts w:ascii="Arial" w:eastAsia="Times New Roman" w:hAnsi="Arial" w:cs="Arial"/>
          <w:sz w:val="19"/>
          <w:szCs w:val="19"/>
          <w:lang w:val="es-CO" w:eastAsia="es-CO"/>
        </w:rPr>
        <w:t xml:space="preserve"> </w:t>
      </w:r>
    </w:p>
    <w:p w14:paraId="21BBF38F"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427B79A9"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5F71187"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4268264F" w14:textId="77777777" w:rsidR="0044590E" w:rsidRPr="004D6618" w:rsidRDefault="0044590E" w:rsidP="0044590E">
      <w:pPr>
        <w:pStyle w:val="Textonotapie"/>
        <w:ind w:firstLine="708"/>
        <w:jc w:val="both"/>
        <w:rPr>
          <w:rFonts w:ascii="Arial" w:hAnsi="Arial" w:cs="Arial"/>
          <w:sz w:val="19"/>
          <w:szCs w:val="19"/>
        </w:rPr>
      </w:pPr>
    </w:p>
  </w:footnote>
  <w:footnote w:id="4">
    <w:p w14:paraId="30927C5E" w14:textId="77777777" w:rsidR="0044590E" w:rsidRPr="004D6618" w:rsidRDefault="0044590E" w:rsidP="0044590E">
      <w:pPr>
        <w:pStyle w:val="Textonotapie"/>
        <w:ind w:firstLine="708"/>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Consejo de Estado. Sección Tercera. Subsección A. Sentencia del 12 de febrero de 2014. Radicado No. 31.753. Consejero Ponente: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7EB9E98D" w14:textId="77777777" w:rsidR="0044590E" w:rsidRPr="004D6618" w:rsidRDefault="0044590E" w:rsidP="0044590E">
      <w:pPr>
        <w:pStyle w:val="Textonotapie"/>
        <w:jc w:val="both"/>
        <w:rPr>
          <w:rFonts w:ascii="Arial" w:hAnsi="Arial" w:cs="Arial"/>
          <w:sz w:val="19"/>
          <w:szCs w:val="19"/>
        </w:rPr>
      </w:pPr>
    </w:p>
  </w:footnote>
  <w:footnote w:id="5">
    <w:p w14:paraId="3D41CA66"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 xml:space="preserve">Ley 1150 de 2007: «Artículo 6.  De la verificación de las condiciones de los proponentes. </w:t>
      </w:r>
    </w:p>
    <w:p w14:paraId="1FFE6E6B"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7EDEBDA8"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21EDE7A"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3549BF52" w14:textId="77777777" w:rsidR="0044590E" w:rsidRPr="004D6618" w:rsidRDefault="0044590E" w:rsidP="0044590E">
      <w:pPr>
        <w:pStyle w:val="Textonotapie"/>
        <w:ind w:firstLine="708"/>
        <w:jc w:val="both"/>
        <w:rPr>
          <w:rFonts w:ascii="Arial" w:hAnsi="Arial" w:cs="Arial"/>
          <w:sz w:val="19"/>
          <w:szCs w:val="19"/>
          <w:lang w:val="es-CO"/>
        </w:rPr>
      </w:pPr>
    </w:p>
  </w:footnote>
  <w:footnote w:id="6">
    <w:p w14:paraId="693D6DD3"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 xml:space="preserve">Ley 1150 de 2007: «Artículo 6. De la verificación de las condiciones de los proponentes. </w:t>
      </w:r>
    </w:p>
    <w:p w14:paraId="74AB2AF7"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659C3479"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495F1C8" w14:textId="77777777" w:rsidR="0044590E"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776947BD"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p>
  </w:footnote>
  <w:footnote w:id="7">
    <w:p w14:paraId="1CF225CF"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10A12B54"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Fonts w:ascii="Arial" w:hAnsi="Arial" w:cs="Arial"/>
          <w:sz w:val="19"/>
          <w:szCs w:val="19"/>
        </w:rPr>
        <w:t>«</w:t>
      </w:r>
      <w:r w:rsidRPr="004D6618">
        <w:rPr>
          <w:rFonts w:ascii="Arial" w:eastAsia="Times New Roman" w:hAnsi="Arial" w:cs="Arial"/>
          <w:sz w:val="19"/>
          <w:szCs w:val="19"/>
          <w:lang w:val="es-CO"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8">
    <w:p w14:paraId="619E720D" w14:textId="77777777" w:rsidR="0044590E" w:rsidRPr="004D6618" w:rsidRDefault="0044590E" w:rsidP="0044590E">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68A561C" w14:textId="77777777" w:rsidR="0044590E" w:rsidRPr="004D6618" w:rsidRDefault="0044590E" w:rsidP="0044590E">
      <w:pPr>
        <w:pStyle w:val="Textonotapie"/>
        <w:ind w:firstLine="567"/>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54162D8A" w14:textId="77777777" w:rsidR="0044590E" w:rsidRPr="004D6618" w:rsidRDefault="0044590E" w:rsidP="0044590E">
      <w:pPr>
        <w:pStyle w:val="Textonotapie"/>
        <w:ind w:firstLine="567"/>
        <w:jc w:val="both"/>
        <w:rPr>
          <w:rFonts w:ascii="Arial" w:hAnsi="Arial" w:cs="Arial"/>
          <w:sz w:val="19"/>
          <w:szCs w:val="19"/>
        </w:rPr>
      </w:pPr>
    </w:p>
  </w:footnote>
  <w:footnote w:id="9">
    <w:p w14:paraId="71DDD7E7" w14:textId="77777777" w:rsidR="0044590E" w:rsidRPr="004D6618" w:rsidRDefault="0044590E" w:rsidP="0044590E">
      <w:pPr>
        <w:pStyle w:val="Textonotapie"/>
        <w:ind w:firstLine="567"/>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Decreto 1082 de 2015:</w:t>
      </w:r>
      <w:r w:rsidRPr="004D6618">
        <w:rPr>
          <w:rFonts w:ascii="Arial" w:hAnsi="Arial" w:cs="Arial"/>
          <w:sz w:val="19"/>
          <w:szCs w:val="19"/>
        </w:rPr>
        <w:t xml:space="preserve"> </w:t>
      </w:r>
      <w:r w:rsidRPr="004D6618">
        <w:rPr>
          <w:rFonts w:ascii="Arial" w:eastAsia="Times New Roman" w:hAnsi="Arial" w:cs="Arial"/>
          <w:sz w:val="19"/>
          <w:szCs w:val="19"/>
          <w:lang w:val="es-CO"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66B0B1C6" w14:textId="77777777" w:rsidR="0044590E" w:rsidRPr="004D6618" w:rsidRDefault="0044590E" w:rsidP="0044590E">
      <w:pPr>
        <w:pStyle w:val="Textonotapie"/>
        <w:ind w:firstLine="567"/>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23A0F8AF" w14:textId="77777777" w:rsidR="0044590E" w:rsidRPr="004D6618" w:rsidRDefault="0044590E" w:rsidP="0044590E">
      <w:pPr>
        <w:pStyle w:val="Textonotapie"/>
        <w:ind w:firstLine="567"/>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»Los inscritos en el RUP pueden en cualquier momento solicitar a la cámara de comercio cancelar su inscripción».</w:t>
      </w:r>
    </w:p>
    <w:p w14:paraId="71711FCC" w14:textId="77777777" w:rsidR="0044590E" w:rsidRPr="004D6618" w:rsidRDefault="0044590E" w:rsidP="0044590E">
      <w:pPr>
        <w:pStyle w:val="Textonotapie"/>
        <w:ind w:firstLine="567"/>
        <w:jc w:val="both"/>
        <w:rPr>
          <w:rFonts w:ascii="Arial" w:hAnsi="Arial" w:cs="Arial"/>
          <w:sz w:val="19"/>
          <w:szCs w:val="19"/>
        </w:rPr>
      </w:pPr>
    </w:p>
  </w:footnote>
  <w:footnote w:id="10">
    <w:p w14:paraId="1BDDC73A" w14:textId="77777777" w:rsidR="0044590E" w:rsidRPr="004D6618" w:rsidRDefault="0044590E" w:rsidP="0044590E">
      <w:pPr>
        <w:pStyle w:val="Textonotapie"/>
        <w:ind w:firstLine="567"/>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Código de Comercio: «Artículo 78. Definición de cámara de comercio. Las cámaras de comercio son instituciones de orden legal con personería jurídica, creadas por el Gobierno Nacional, de oficio o a petición de los comerciantes del territorio donde hayan de operar. Dichas entidades serán representadas por sus respectivos presidentes».</w:t>
      </w:r>
    </w:p>
    <w:p w14:paraId="2630C820" w14:textId="77777777" w:rsidR="0044590E" w:rsidRPr="004D6618" w:rsidRDefault="0044590E" w:rsidP="0044590E">
      <w:pPr>
        <w:pStyle w:val="Textonotapie"/>
        <w:ind w:firstLine="567"/>
        <w:jc w:val="both"/>
        <w:rPr>
          <w:rFonts w:ascii="Arial" w:hAnsi="Arial" w:cs="Arial"/>
          <w:sz w:val="19"/>
          <w:szCs w:val="19"/>
        </w:rPr>
      </w:pPr>
    </w:p>
  </w:footnote>
  <w:footnote w:id="11">
    <w:p w14:paraId="4BB25C21" w14:textId="268A76C0" w:rsidR="00A32BD5" w:rsidRPr="004D58A4" w:rsidRDefault="00C24589" w:rsidP="006D478D">
      <w:pPr>
        <w:pStyle w:val="Textonotapie"/>
        <w:ind w:firstLine="709"/>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w:t>
      </w:r>
      <w:r w:rsidR="00442D24" w:rsidRPr="004D58A4">
        <w:rPr>
          <w:rFonts w:ascii="Arial" w:hAnsi="Arial" w:cs="Arial"/>
          <w:color w:val="000000" w:themeColor="text1"/>
          <w:sz w:val="19"/>
          <w:szCs w:val="19"/>
        </w:rPr>
        <w:t>«</w:t>
      </w:r>
      <w:r w:rsidR="006D478D" w:rsidRPr="004D58A4">
        <w:rPr>
          <w:rFonts w:ascii="Arial" w:hAnsi="Arial" w:cs="Arial"/>
          <w:color w:val="000000" w:themeColor="text1"/>
          <w:sz w:val="19"/>
          <w:szCs w:val="19"/>
        </w:rPr>
        <w:t>Artículo 5. De la selección objetiva.</w:t>
      </w:r>
      <w:r w:rsidR="00A32BD5" w:rsidRPr="004D58A4">
        <w:rPr>
          <w:rFonts w:ascii="Arial" w:hAnsi="Arial" w:cs="Arial"/>
          <w:color w:val="000000" w:themeColor="text1"/>
          <w:sz w:val="19"/>
          <w:szCs w:val="19"/>
        </w:rPr>
        <w:t xml:space="preserve">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4B3A758" w14:textId="3CD92F31" w:rsidR="00C24589" w:rsidRPr="004D58A4" w:rsidRDefault="00442D24" w:rsidP="006D478D">
      <w:pPr>
        <w:pStyle w:val="Textonotapie"/>
        <w:ind w:firstLine="709"/>
        <w:jc w:val="both"/>
        <w:rPr>
          <w:rFonts w:ascii="Arial" w:hAnsi="Arial" w:cs="Arial"/>
          <w:color w:val="000000" w:themeColor="text1"/>
          <w:sz w:val="19"/>
          <w:szCs w:val="19"/>
        </w:rPr>
      </w:pPr>
      <w:r w:rsidRPr="004D58A4">
        <w:rPr>
          <w:rFonts w:ascii="Arial" w:hAnsi="Arial" w:cs="Arial"/>
          <w:color w:val="000000" w:themeColor="text1"/>
          <w:sz w:val="19"/>
          <w:szCs w:val="19"/>
        </w:rPr>
        <w:t>»</w:t>
      </w:r>
      <w:r w:rsidR="00A32BD5" w:rsidRPr="004D58A4">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4D58A4">
        <w:rPr>
          <w:rFonts w:ascii="Arial" w:hAnsi="Arial" w:cs="Arial"/>
          <w:color w:val="000000" w:themeColor="text1"/>
          <w:sz w:val="19"/>
          <w:szCs w:val="19"/>
        </w:rPr>
        <w:t>».</w:t>
      </w:r>
    </w:p>
    <w:p w14:paraId="55656BB6" w14:textId="77777777" w:rsidR="00BF5A02" w:rsidRPr="004D58A4" w:rsidRDefault="00BF5A02" w:rsidP="006D478D">
      <w:pPr>
        <w:pStyle w:val="Textonotapie"/>
        <w:ind w:firstLine="709"/>
        <w:jc w:val="both"/>
        <w:rPr>
          <w:rFonts w:ascii="Arial" w:hAnsi="Arial" w:cs="Arial"/>
          <w:color w:val="000000" w:themeColor="text1"/>
          <w:sz w:val="19"/>
          <w:szCs w:val="19"/>
          <w:lang w:val="es-CO"/>
        </w:rPr>
      </w:pPr>
    </w:p>
  </w:footnote>
  <w:footnote w:id="12">
    <w:p w14:paraId="043171BF" w14:textId="1EBC7E66"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7E55BE3" w14:textId="77777777" w:rsidR="00560147" w:rsidRPr="004D58A4" w:rsidRDefault="00560147" w:rsidP="006D478D">
      <w:pPr>
        <w:pStyle w:val="Textonotapie"/>
        <w:ind w:firstLine="708"/>
        <w:jc w:val="both"/>
        <w:rPr>
          <w:rFonts w:ascii="Arial" w:hAnsi="Arial" w:cs="Arial"/>
          <w:color w:val="000000" w:themeColor="text1"/>
          <w:sz w:val="19"/>
          <w:szCs w:val="19"/>
        </w:rPr>
      </w:pPr>
    </w:p>
  </w:footnote>
  <w:footnote w:id="13">
    <w:p w14:paraId="53020E43" w14:textId="6C419751"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7D435074" w14:textId="38B3FEC5" w:rsidR="00560147" w:rsidRPr="004D58A4" w:rsidRDefault="00DA5C47"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p w14:paraId="1A7276C4" w14:textId="77777777" w:rsidR="00560147" w:rsidRPr="004D58A4" w:rsidRDefault="00560147" w:rsidP="006D478D">
      <w:pPr>
        <w:pStyle w:val="Textonotapie"/>
        <w:ind w:firstLine="708"/>
        <w:jc w:val="both"/>
        <w:rPr>
          <w:rFonts w:ascii="Arial" w:hAnsi="Arial" w:cs="Arial"/>
          <w:color w:val="000000" w:themeColor="text1"/>
          <w:sz w:val="19"/>
          <w:szCs w:val="19"/>
        </w:rPr>
      </w:pPr>
    </w:p>
  </w:footnote>
  <w:footnote w:id="14">
    <w:p w14:paraId="41698710" w14:textId="05619042"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A5161B4" w14:textId="5D699DB4" w:rsidR="00DA5C47" w:rsidRPr="004D58A4" w:rsidRDefault="00DA5C47"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w:t>
      </w:r>
      <w:r w:rsidRPr="004D58A4">
        <w:rPr>
          <w:rFonts w:ascii="Arial" w:hAnsi="Arial" w:cs="Arial"/>
          <w:color w:val="000000" w:themeColor="text1"/>
          <w:sz w:val="19"/>
          <w:szCs w:val="19"/>
        </w:rPr>
        <w:t xml:space="preserve">r la inscripción en el registro. </w:t>
      </w:r>
    </w:p>
    <w:p w14:paraId="343481C4" w14:textId="4AA75F48" w:rsidR="00560147" w:rsidRPr="004D58A4" w:rsidRDefault="00DA5C47"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p w14:paraId="5D631165" w14:textId="77777777" w:rsidR="00560147" w:rsidRPr="004D58A4" w:rsidRDefault="00560147" w:rsidP="006D478D">
      <w:pPr>
        <w:pStyle w:val="Textonotapie"/>
        <w:jc w:val="both"/>
        <w:rPr>
          <w:rFonts w:ascii="Arial" w:hAnsi="Arial" w:cs="Arial"/>
          <w:color w:val="000000" w:themeColor="text1"/>
          <w:sz w:val="19"/>
          <w:szCs w:val="19"/>
        </w:rPr>
      </w:pPr>
    </w:p>
  </w:footnote>
  <w:footnote w:id="15">
    <w:p w14:paraId="440E554A" w14:textId="482F7B64"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0391CC" w14:textId="1CECAE41" w:rsidR="00560147" w:rsidRPr="004D58A4" w:rsidRDefault="00780223"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1.    Si es una persona natural:</w:t>
      </w:r>
    </w:p>
    <w:p w14:paraId="53FD3D10" w14:textId="68018232" w:rsidR="00560147" w:rsidRPr="004D58A4" w:rsidRDefault="00780223"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»1</w:t>
      </w:r>
      <w:r w:rsidR="00560147" w:rsidRPr="004D58A4">
        <w:rPr>
          <w:rFonts w:ascii="Arial" w:hAnsi="Arial" w:cs="Arial"/>
          <w:color w:val="000000" w:themeColor="text1"/>
          <w:sz w:val="19"/>
          <w:szCs w:val="19"/>
        </w:rPr>
        <w:t>.1. Bienes, obras y servicios que ofrecerá a las Entidades Estatales, identificados con el Clasificador de Bienes y Servicios en el tercer nivel.</w:t>
      </w:r>
    </w:p>
    <w:p w14:paraId="1FDBC9D7" w14:textId="0CCEDD71" w:rsidR="00560147" w:rsidRPr="004D58A4" w:rsidRDefault="00780223"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4DDAFBF8" w14:textId="77777777" w:rsidR="00560147" w:rsidRPr="004D58A4" w:rsidRDefault="00560147" w:rsidP="006D478D">
      <w:pPr>
        <w:pStyle w:val="Textonotapie"/>
        <w:ind w:firstLine="708"/>
        <w:jc w:val="both"/>
        <w:rPr>
          <w:rFonts w:ascii="Arial" w:hAnsi="Arial" w:cs="Arial"/>
          <w:color w:val="000000" w:themeColor="text1"/>
          <w:sz w:val="19"/>
          <w:szCs w:val="19"/>
        </w:rPr>
      </w:pPr>
    </w:p>
  </w:footnote>
  <w:footnote w:id="16">
    <w:p w14:paraId="5115F18C" w14:textId="4D1FE791" w:rsidR="008B0720" w:rsidRPr="004D58A4" w:rsidRDefault="008B0720"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009709B7" w:rsidRPr="004D58A4">
        <w:rPr>
          <w:rFonts w:ascii="Arial" w:hAnsi="Arial" w:cs="Arial"/>
          <w:color w:val="000000" w:themeColor="text1"/>
          <w:sz w:val="19"/>
          <w:szCs w:val="19"/>
        </w:rPr>
        <w:t xml:space="preserve"> </w:t>
      </w:r>
      <w:r w:rsidRPr="004D58A4">
        <w:rPr>
          <w:rFonts w:ascii="Arial" w:hAnsi="Arial" w:cs="Arial"/>
          <w:color w:val="000000" w:themeColor="text1"/>
          <w:sz w:val="19"/>
          <w:szCs w:val="19"/>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1E07926" w14:textId="77777777" w:rsidR="008B0720" w:rsidRPr="004D58A4" w:rsidRDefault="008B0720"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w:t>
      </w:r>
    </w:p>
    <w:p w14:paraId="2B949939" w14:textId="77777777" w:rsidR="008B0720" w:rsidRPr="004D58A4" w:rsidRDefault="008B0720" w:rsidP="006D478D">
      <w:pPr>
        <w:pStyle w:val="Textonotapie"/>
        <w:jc w:val="both"/>
        <w:rPr>
          <w:rFonts w:ascii="Arial" w:hAnsi="Arial" w:cs="Arial"/>
          <w:color w:val="000000" w:themeColor="text1"/>
          <w:sz w:val="19"/>
          <w:szCs w:val="19"/>
        </w:rPr>
      </w:pPr>
      <w:r w:rsidRPr="004D58A4">
        <w:rPr>
          <w:rFonts w:ascii="Arial" w:hAnsi="Arial" w:cs="Arial"/>
          <w:color w:val="000000" w:themeColor="text1"/>
          <w:sz w:val="19"/>
          <w:szCs w:val="19"/>
        </w:rPr>
        <w:t>la participación en proponentes plurales. Esta experiencia se obtiene con contratantes públicos, privados, nacionales o extranjeros. No hay límite frente al número de contratos o a la fecha en la cual estos fueron celebrados.</w:t>
      </w:r>
    </w:p>
    <w:p w14:paraId="7EC6E131" w14:textId="77777777" w:rsidR="008B0720" w:rsidRPr="004D58A4" w:rsidRDefault="008B0720"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p>
    <w:p w14:paraId="2EBA0B90" w14:textId="77777777" w:rsidR="008B0720" w:rsidRPr="004D58A4" w:rsidRDefault="008B0720"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325A6968" w14:textId="77777777" w:rsidR="008B0720" w:rsidRPr="004D58A4" w:rsidRDefault="008B0720"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18A894E" w14:textId="77777777" w:rsidR="008B0720" w:rsidRPr="004D58A4" w:rsidRDefault="008B0720" w:rsidP="006D478D">
      <w:pPr>
        <w:pStyle w:val="Textonotapie"/>
        <w:jc w:val="both"/>
        <w:rPr>
          <w:rFonts w:ascii="Arial" w:hAnsi="Arial" w:cs="Arial"/>
          <w:color w:val="000000" w:themeColor="text1"/>
          <w:sz w:val="19"/>
          <w:szCs w:val="19"/>
        </w:rPr>
      </w:pPr>
    </w:p>
  </w:footnote>
  <w:footnote w:id="17">
    <w:p w14:paraId="4AC25CF6" w14:textId="77777777" w:rsidR="008B0720" w:rsidRPr="004D58A4" w:rsidRDefault="008B0720" w:rsidP="006D478D">
      <w:pPr>
        <w:pStyle w:val="Textonotapie"/>
        <w:ind w:firstLine="708"/>
        <w:jc w:val="both"/>
        <w:rPr>
          <w:rFonts w:ascii="Arial" w:hAnsi="Arial" w:cs="Arial"/>
          <w:color w:val="000000" w:themeColor="text1"/>
          <w:sz w:val="19"/>
          <w:szCs w:val="19"/>
          <w:lang w:val="es-CO"/>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Corte Constitucional. </w:t>
      </w:r>
      <w:r w:rsidRPr="004D58A4">
        <w:rPr>
          <w:rFonts w:ascii="Arial" w:hAnsi="Arial" w:cs="Arial"/>
          <w:color w:val="000000" w:themeColor="text1"/>
          <w:sz w:val="19"/>
          <w:szCs w:val="19"/>
          <w:lang w:val="es-CO"/>
        </w:rPr>
        <w:t xml:space="preserve">Sentencia C </w:t>
      </w:r>
      <w:r w:rsidRPr="004D58A4">
        <w:rPr>
          <w:rFonts w:ascii="Arial" w:eastAsia="Calibri" w:hAnsi="Arial" w:cs="Arial"/>
          <w:color w:val="000000" w:themeColor="text1"/>
          <w:sz w:val="19"/>
          <w:szCs w:val="19"/>
        </w:rPr>
        <w:t xml:space="preserve">― </w:t>
      </w:r>
      <w:r w:rsidRPr="004D58A4">
        <w:rPr>
          <w:rFonts w:ascii="Arial" w:hAnsi="Arial" w:cs="Arial"/>
          <w:color w:val="000000" w:themeColor="text1"/>
          <w:sz w:val="19"/>
          <w:szCs w:val="19"/>
          <w:lang w:val="es-CO"/>
        </w:rPr>
        <w:t xml:space="preserve">259 de 11 de marzo 2008. M.P. Jaime Córdoba Triviño. </w:t>
      </w:r>
    </w:p>
  </w:footnote>
  <w:footnote w:id="18">
    <w:p w14:paraId="491746CC" w14:textId="22CF3485" w:rsidR="00242BE3" w:rsidRPr="00242BE3" w:rsidRDefault="00242BE3" w:rsidP="00242BE3">
      <w:pPr>
        <w:pStyle w:val="Textonotapie"/>
        <w:ind w:firstLine="851"/>
        <w:jc w:val="both"/>
      </w:pPr>
      <w:r>
        <w:rPr>
          <w:rStyle w:val="Refdenotaalpie"/>
        </w:rPr>
        <w:footnoteRef/>
      </w:r>
      <w:r>
        <w:t xml:space="preserve"> </w:t>
      </w:r>
      <w:r w:rsidRPr="004F1C8A">
        <w:rPr>
          <w:rFonts w:ascii="Arial" w:hAnsi="Arial" w:cs="Arial"/>
          <w:color w:val="000000" w:themeColor="text1"/>
          <w:sz w:val="22"/>
          <w:lang w:val="es-CO"/>
        </w:rPr>
        <w:t xml:space="preserve"> </w:t>
      </w:r>
      <w:r w:rsidRPr="00242BE3">
        <w:rPr>
          <w:rFonts w:ascii="Arial" w:hAnsi="Arial" w:cs="Arial"/>
          <w:color w:val="000000" w:themeColor="text1"/>
          <w:sz w:val="19"/>
          <w:szCs w:val="19"/>
          <w:lang w:val="es-CO"/>
        </w:rPr>
        <w:t>Ley 1150 de 2007</w:t>
      </w:r>
      <w:r>
        <w:rPr>
          <w:rFonts w:ascii="Arial" w:hAnsi="Arial" w:cs="Arial"/>
          <w:color w:val="000000" w:themeColor="text1"/>
          <w:sz w:val="19"/>
          <w:szCs w:val="19"/>
          <w:lang w:val="es-CO"/>
        </w:rPr>
        <w:t xml:space="preserve">. </w:t>
      </w:r>
      <w:r w:rsidRPr="00242BE3">
        <w:rPr>
          <w:rFonts w:ascii="Arial" w:hAnsi="Arial" w:cs="Arial"/>
          <w:color w:val="000000" w:themeColor="text1"/>
          <w:sz w:val="19"/>
          <w:szCs w:val="19"/>
          <w:lang w:val="es-CO"/>
        </w:rPr>
        <w:t xml:space="preserve"> Artículo 6</w:t>
      </w:r>
      <w:r>
        <w:rPr>
          <w:rFonts w:ascii="Arial" w:hAnsi="Arial" w:cs="Arial"/>
          <w:color w:val="000000" w:themeColor="text1"/>
          <w:sz w:val="19"/>
          <w:szCs w:val="19"/>
          <w:lang w:val="es-CO"/>
        </w:rPr>
        <w:t xml:space="preserve">: </w:t>
      </w:r>
      <w:r w:rsidRPr="00242BE3">
        <w:rPr>
          <w:rFonts w:ascii="Arial" w:hAnsi="Arial" w:cs="Arial"/>
          <w:color w:val="000000" w:themeColor="text1"/>
          <w:sz w:val="19"/>
          <w:szCs w:val="19"/>
          <w:lang w:val="es-CO"/>
        </w:rPr>
        <w:t xml:space="preserve">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p>
  </w:footnote>
  <w:footnote w:id="19">
    <w:p w14:paraId="79E8C635" w14:textId="77777777" w:rsidR="00384A8C" w:rsidRPr="004D58A4" w:rsidRDefault="00384A8C" w:rsidP="00384A8C">
      <w:pPr>
        <w:pStyle w:val="Textonotapie"/>
        <w:ind w:firstLine="709"/>
        <w:jc w:val="both"/>
        <w:rPr>
          <w:rFonts w:ascii="Arial" w:hAnsi="Arial" w:cs="Arial"/>
          <w:color w:val="000000" w:themeColor="text1"/>
          <w:sz w:val="19"/>
          <w:szCs w:val="19"/>
        </w:rPr>
      </w:pPr>
    </w:p>
    <w:p w14:paraId="7208DD0E" w14:textId="77777777" w:rsidR="00384A8C" w:rsidRPr="004D58A4" w:rsidRDefault="00384A8C" w:rsidP="00384A8C">
      <w:pPr>
        <w:pStyle w:val="Textonotapie"/>
        <w:ind w:firstLine="709"/>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w:t>
      </w:r>
      <w:r w:rsidRPr="004D58A4">
        <w:rPr>
          <w:rFonts w:ascii="Arial" w:hAnsi="Arial" w:cs="Arial"/>
          <w:color w:val="000000" w:themeColor="text1"/>
          <w:sz w:val="19"/>
          <w:szCs w:val="19"/>
          <w:lang w:eastAsia="es-CO"/>
        </w:rPr>
        <w:t>Consejo de Estado. Sala de Consulta y Servicio Civil. Consulta con Radicación número: 11001-03-06-000-2010-00034-00(1992) del 20 de mayo de 2010. Consejero Ponente: Enrique José Arboleda Perdomo.</w:t>
      </w:r>
    </w:p>
    <w:p w14:paraId="59156163" w14:textId="77777777" w:rsidR="00384A8C" w:rsidRPr="004D58A4" w:rsidRDefault="00384A8C" w:rsidP="00384A8C">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560147" w:rsidRDefault="00560147">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70E76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4671F8A"/>
    <w:multiLevelType w:val="hybridMultilevel"/>
    <w:tmpl w:val="B958F672"/>
    <w:lvl w:ilvl="0" w:tplc="D9D45C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2285240"/>
    <w:multiLevelType w:val="hybridMultilevel"/>
    <w:tmpl w:val="08866486"/>
    <w:lvl w:ilvl="0" w:tplc="76F63008">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F46"/>
    <w:rsid w:val="00007BA0"/>
    <w:rsid w:val="00020441"/>
    <w:rsid w:val="00030BF5"/>
    <w:rsid w:val="0005151E"/>
    <w:rsid w:val="00084B97"/>
    <w:rsid w:val="00085D81"/>
    <w:rsid w:val="00087955"/>
    <w:rsid w:val="000942EB"/>
    <w:rsid w:val="000A055B"/>
    <w:rsid w:val="000B103F"/>
    <w:rsid w:val="000C5BE9"/>
    <w:rsid w:val="000D6E16"/>
    <w:rsid w:val="000E1D80"/>
    <w:rsid w:val="000E4110"/>
    <w:rsid w:val="000F14E8"/>
    <w:rsid w:val="00100BDA"/>
    <w:rsid w:val="00103915"/>
    <w:rsid w:val="00104DFA"/>
    <w:rsid w:val="001127DA"/>
    <w:rsid w:val="00116AB5"/>
    <w:rsid w:val="00116E4E"/>
    <w:rsid w:val="001215D3"/>
    <w:rsid w:val="00121D82"/>
    <w:rsid w:val="00122B23"/>
    <w:rsid w:val="00134EE1"/>
    <w:rsid w:val="0013664C"/>
    <w:rsid w:val="001370F9"/>
    <w:rsid w:val="00137FFA"/>
    <w:rsid w:val="0014082D"/>
    <w:rsid w:val="001421D9"/>
    <w:rsid w:val="00144D16"/>
    <w:rsid w:val="00151DD8"/>
    <w:rsid w:val="001540F3"/>
    <w:rsid w:val="00171E65"/>
    <w:rsid w:val="00187055"/>
    <w:rsid w:val="00187C76"/>
    <w:rsid w:val="001904AE"/>
    <w:rsid w:val="0019378B"/>
    <w:rsid w:val="001A21E3"/>
    <w:rsid w:val="001A5D9D"/>
    <w:rsid w:val="001B0444"/>
    <w:rsid w:val="001B0FFB"/>
    <w:rsid w:val="001C4DFD"/>
    <w:rsid w:val="001D586A"/>
    <w:rsid w:val="001E229D"/>
    <w:rsid w:val="001E7A7B"/>
    <w:rsid w:val="001F31A0"/>
    <w:rsid w:val="001F3B67"/>
    <w:rsid w:val="001F4991"/>
    <w:rsid w:val="0020632A"/>
    <w:rsid w:val="002110EB"/>
    <w:rsid w:val="00211338"/>
    <w:rsid w:val="0021583F"/>
    <w:rsid w:val="00224319"/>
    <w:rsid w:val="002273B7"/>
    <w:rsid w:val="00234B84"/>
    <w:rsid w:val="002356D9"/>
    <w:rsid w:val="00236D5C"/>
    <w:rsid w:val="00242BE3"/>
    <w:rsid w:val="00247B09"/>
    <w:rsid w:val="00290227"/>
    <w:rsid w:val="002938A9"/>
    <w:rsid w:val="002A26DD"/>
    <w:rsid w:val="002B128E"/>
    <w:rsid w:val="002C2D5A"/>
    <w:rsid w:val="002C40EB"/>
    <w:rsid w:val="002C4C0C"/>
    <w:rsid w:val="002D1466"/>
    <w:rsid w:val="002D3025"/>
    <w:rsid w:val="002D5AB6"/>
    <w:rsid w:val="002D6F6E"/>
    <w:rsid w:val="002F3435"/>
    <w:rsid w:val="003033BA"/>
    <w:rsid w:val="00315B3D"/>
    <w:rsid w:val="00322937"/>
    <w:rsid w:val="00331F56"/>
    <w:rsid w:val="00340A4D"/>
    <w:rsid w:val="0034177C"/>
    <w:rsid w:val="0034680A"/>
    <w:rsid w:val="0035094E"/>
    <w:rsid w:val="00353DD5"/>
    <w:rsid w:val="00354ABB"/>
    <w:rsid w:val="003557F9"/>
    <w:rsid w:val="00384A8C"/>
    <w:rsid w:val="00386456"/>
    <w:rsid w:val="00390405"/>
    <w:rsid w:val="003A0878"/>
    <w:rsid w:val="003A27D9"/>
    <w:rsid w:val="003A3A09"/>
    <w:rsid w:val="003A44BF"/>
    <w:rsid w:val="003A581E"/>
    <w:rsid w:val="003A7D27"/>
    <w:rsid w:val="003B2C3E"/>
    <w:rsid w:val="003C657E"/>
    <w:rsid w:val="003C66C5"/>
    <w:rsid w:val="003E19BD"/>
    <w:rsid w:val="00400F44"/>
    <w:rsid w:val="004141CB"/>
    <w:rsid w:val="00414AD7"/>
    <w:rsid w:val="004202F3"/>
    <w:rsid w:val="004233A7"/>
    <w:rsid w:val="004237D3"/>
    <w:rsid w:val="00423F9F"/>
    <w:rsid w:val="00425776"/>
    <w:rsid w:val="00430473"/>
    <w:rsid w:val="004422D6"/>
    <w:rsid w:val="00442D24"/>
    <w:rsid w:val="00445011"/>
    <w:rsid w:val="0044590E"/>
    <w:rsid w:val="00445C85"/>
    <w:rsid w:val="00453F59"/>
    <w:rsid w:val="00467646"/>
    <w:rsid w:val="0047298C"/>
    <w:rsid w:val="00475DDA"/>
    <w:rsid w:val="0049241A"/>
    <w:rsid w:val="00495590"/>
    <w:rsid w:val="00496148"/>
    <w:rsid w:val="00496AB0"/>
    <w:rsid w:val="004A34D2"/>
    <w:rsid w:val="004A6F32"/>
    <w:rsid w:val="004B0E37"/>
    <w:rsid w:val="004B15F4"/>
    <w:rsid w:val="004B29D7"/>
    <w:rsid w:val="004B6465"/>
    <w:rsid w:val="004C029B"/>
    <w:rsid w:val="004D12D1"/>
    <w:rsid w:val="004D58A4"/>
    <w:rsid w:val="004F08B5"/>
    <w:rsid w:val="004F1C8A"/>
    <w:rsid w:val="004F5271"/>
    <w:rsid w:val="0050403E"/>
    <w:rsid w:val="0051074C"/>
    <w:rsid w:val="00513AF2"/>
    <w:rsid w:val="0053038F"/>
    <w:rsid w:val="00534B0A"/>
    <w:rsid w:val="00540DF9"/>
    <w:rsid w:val="0054413A"/>
    <w:rsid w:val="005564CA"/>
    <w:rsid w:val="00560147"/>
    <w:rsid w:val="0056182B"/>
    <w:rsid w:val="005664D3"/>
    <w:rsid w:val="005756AA"/>
    <w:rsid w:val="00581656"/>
    <w:rsid w:val="00590AB7"/>
    <w:rsid w:val="005A41AA"/>
    <w:rsid w:val="005D51FA"/>
    <w:rsid w:val="005D791B"/>
    <w:rsid w:val="005D7F2B"/>
    <w:rsid w:val="005E3A91"/>
    <w:rsid w:val="00601414"/>
    <w:rsid w:val="00614817"/>
    <w:rsid w:val="00615A0B"/>
    <w:rsid w:val="00617C23"/>
    <w:rsid w:val="00620910"/>
    <w:rsid w:val="006250FE"/>
    <w:rsid w:val="00633DBF"/>
    <w:rsid w:val="00634A2A"/>
    <w:rsid w:val="0063643E"/>
    <w:rsid w:val="0064295D"/>
    <w:rsid w:val="0064300C"/>
    <w:rsid w:val="00655371"/>
    <w:rsid w:val="00655904"/>
    <w:rsid w:val="006749E0"/>
    <w:rsid w:val="00677888"/>
    <w:rsid w:val="00691271"/>
    <w:rsid w:val="0069632F"/>
    <w:rsid w:val="00697665"/>
    <w:rsid w:val="006A4C1A"/>
    <w:rsid w:val="006A62EB"/>
    <w:rsid w:val="006A7CB5"/>
    <w:rsid w:val="006A7FD0"/>
    <w:rsid w:val="006B38CC"/>
    <w:rsid w:val="006B4FE8"/>
    <w:rsid w:val="006B5AE8"/>
    <w:rsid w:val="006C10B1"/>
    <w:rsid w:val="006C28A0"/>
    <w:rsid w:val="006D478D"/>
    <w:rsid w:val="006D7687"/>
    <w:rsid w:val="006E0572"/>
    <w:rsid w:val="006E47A2"/>
    <w:rsid w:val="006F1068"/>
    <w:rsid w:val="006F1595"/>
    <w:rsid w:val="006F21A6"/>
    <w:rsid w:val="006F4C35"/>
    <w:rsid w:val="00702774"/>
    <w:rsid w:val="00702F65"/>
    <w:rsid w:val="00705631"/>
    <w:rsid w:val="007061E5"/>
    <w:rsid w:val="00711CA6"/>
    <w:rsid w:val="00715EAA"/>
    <w:rsid w:val="00721013"/>
    <w:rsid w:val="0072620C"/>
    <w:rsid w:val="00726482"/>
    <w:rsid w:val="00742DD2"/>
    <w:rsid w:val="00746E08"/>
    <w:rsid w:val="00747C96"/>
    <w:rsid w:val="0075094E"/>
    <w:rsid w:val="007522E8"/>
    <w:rsid w:val="00754D2B"/>
    <w:rsid w:val="007558E5"/>
    <w:rsid w:val="0075647A"/>
    <w:rsid w:val="00761F85"/>
    <w:rsid w:val="007634AD"/>
    <w:rsid w:val="00765B1B"/>
    <w:rsid w:val="0077035F"/>
    <w:rsid w:val="00780223"/>
    <w:rsid w:val="0078122E"/>
    <w:rsid w:val="007843E9"/>
    <w:rsid w:val="0078680D"/>
    <w:rsid w:val="00795647"/>
    <w:rsid w:val="007A6994"/>
    <w:rsid w:val="007B0854"/>
    <w:rsid w:val="007B7725"/>
    <w:rsid w:val="007C0569"/>
    <w:rsid w:val="007D1375"/>
    <w:rsid w:val="007D5F39"/>
    <w:rsid w:val="007F45ED"/>
    <w:rsid w:val="007F6B46"/>
    <w:rsid w:val="007F7227"/>
    <w:rsid w:val="007F72CB"/>
    <w:rsid w:val="008015A9"/>
    <w:rsid w:val="008217B7"/>
    <w:rsid w:val="008305BD"/>
    <w:rsid w:val="0083119B"/>
    <w:rsid w:val="00834F2E"/>
    <w:rsid w:val="00836EAB"/>
    <w:rsid w:val="00842A04"/>
    <w:rsid w:val="0084660A"/>
    <w:rsid w:val="0084729C"/>
    <w:rsid w:val="0085092D"/>
    <w:rsid w:val="00850B57"/>
    <w:rsid w:val="00850F79"/>
    <w:rsid w:val="00854D9C"/>
    <w:rsid w:val="008637AD"/>
    <w:rsid w:val="00864800"/>
    <w:rsid w:val="00870068"/>
    <w:rsid w:val="00885025"/>
    <w:rsid w:val="00887347"/>
    <w:rsid w:val="00892FB1"/>
    <w:rsid w:val="0089774F"/>
    <w:rsid w:val="008A2025"/>
    <w:rsid w:val="008B0720"/>
    <w:rsid w:val="008B3DC3"/>
    <w:rsid w:val="008B6C3E"/>
    <w:rsid w:val="008C35A2"/>
    <w:rsid w:val="008C42DC"/>
    <w:rsid w:val="008C6F1E"/>
    <w:rsid w:val="008D447D"/>
    <w:rsid w:val="008E1C15"/>
    <w:rsid w:val="008F0344"/>
    <w:rsid w:val="008F159F"/>
    <w:rsid w:val="008F1CC1"/>
    <w:rsid w:val="008F4BBA"/>
    <w:rsid w:val="008F538E"/>
    <w:rsid w:val="009047C5"/>
    <w:rsid w:val="00911F2C"/>
    <w:rsid w:val="00936F9C"/>
    <w:rsid w:val="0095385A"/>
    <w:rsid w:val="00965ED6"/>
    <w:rsid w:val="0096766E"/>
    <w:rsid w:val="009709B7"/>
    <w:rsid w:val="00981E73"/>
    <w:rsid w:val="00994A03"/>
    <w:rsid w:val="009B0496"/>
    <w:rsid w:val="009B6C88"/>
    <w:rsid w:val="009C16BC"/>
    <w:rsid w:val="009C1C08"/>
    <w:rsid w:val="009D270F"/>
    <w:rsid w:val="009E15AC"/>
    <w:rsid w:val="009F1F65"/>
    <w:rsid w:val="009F59C2"/>
    <w:rsid w:val="009F67A3"/>
    <w:rsid w:val="009F773B"/>
    <w:rsid w:val="00A012AD"/>
    <w:rsid w:val="00A02E64"/>
    <w:rsid w:val="00A13407"/>
    <w:rsid w:val="00A13F54"/>
    <w:rsid w:val="00A16DE4"/>
    <w:rsid w:val="00A24560"/>
    <w:rsid w:val="00A25B36"/>
    <w:rsid w:val="00A32BD5"/>
    <w:rsid w:val="00A34538"/>
    <w:rsid w:val="00A37FB6"/>
    <w:rsid w:val="00A41034"/>
    <w:rsid w:val="00A42B53"/>
    <w:rsid w:val="00A51D72"/>
    <w:rsid w:val="00A64726"/>
    <w:rsid w:val="00A82284"/>
    <w:rsid w:val="00A82FDF"/>
    <w:rsid w:val="00A84A7F"/>
    <w:rsid w:val="00A97435"/>
    <w:rsid w:val="00AA08E7"/>
    <w:rsid w:val="00AA442B"/>
    <w:rsid w:val="00AA669D"/>
    <w:rsid w:val="00AB13DC"/>
    <w:rsid w:val="00AC411A"/>
    <w:rsid w:val="00AD1AE4"/>
    <w:rsid w:val="00AD1B0F"/>
    <w:rsid w:val="00AD36E1"/>
    <w:rsid w:val="00AE4A81"/>
    <w:rsid w:val="00AF0EB4"/>
    <w:rsid w:val="00B06B88"/>
    <w:rsid w:val="00B1192C"/>
    <w:rsid w:val="00B13EC0"/>
    <w:rsid w:val="00B16584"/>
    <w:rsid w:val="00B17662"/>
    <w:rsid w:val="00B22E22"/>
    <w:rsid w:val="00B31D85"/>
    <w:rsid w:val="00B525CB"/>
    <w:rsid w:val="00B63872"/>
    <w:rsid w:val="00B63CB2"/>
    <w:rsid w:val="00B64EDB"/>
    <w:rsid w:val="00B67884"/>
    <w:rsid w:val="00B7315F"/>
    <w:rsid w:val="00B7754B"/>
    <w:rsid w:val="00B91B8E"/>
    <w:rsid w:val="00BA6A67"/>
    <w:rsid w:val="00BD78FE"/>
    <w:rsid w:val="00BE6F12"/>
    <w:rsid w:val="00BF000A"/>
    <w:rsid w:val="00BF5A02"/>
    <w:rsid w:val="00C1780C"/>
    <w:rsid w:val="00C2112D"/>
    <w:rsid w:val="00C24589"/>
    <w:rsid w:val="00C27BE7"/>
    <w:rsid w:val="00C3240C"/>
    <w:rsid w:val="00C32D37"/>
    <w:rsid w:val="00C345A1"/>
    <w:rsid w:val="00C37664"/>
    <w:rsid w:val="00C54347"/>
    <w:rsid w:val="00C56F7B"/>
    <w:rsid w:val="00C645A5"/>
    <w:rsid w:val="00C81089"/>
    <w:rsid w:val="00C846DE"/>
    <w:rsid w:val="00C874F1"/>
    <w:rsid w:val="00C93025"/>
    <w:rsid w:val="00C94F14"/>
    <w:rsid w:val="00C96EF8"/>
    <w:rsid w:val="00CB14E9"/>
    <w:rsid w:val="00CB1EA1"/>
    <w:rsid w:val="00CC00CD"/>
    <w:rsid w:val="00CC722B"/>
    <w:rsid w:val="00CD2774"/>
    <w:rsid w:val="00CE63FC"/>
    <w:rsid w:val="00D01760"/>
    <w:rsid w:val="00D16E39"/>
    <w:rsid w:val="00D223B6"/>
    <w:rsid w:val="00D306D7"/>
    <w:rsid w:val="00D43E86"/>
    <w:rsid w:val="00D4701E"/>
    <w:rsid w:val="00D60327"/>
    <w:rsid w:val="00D72E9D"/>
    <w:rsid w:val="00D759C6"/>
    <w:rsid w:val="00D75C60"/>
    <w:rsid w:val="00D80A14"/>
    <w:rsid w:val="00D82CE5"/>
    <w:rsid w:val="00D914C5"/>
    <w:rsid w:val="00DA23DB"/>
    <w:rsid w:val="00DA5AB1"/>
    <w:rsid w:val="00DA5C47"/>
    <w:rsid w:val="00DB201F"/>
    <w:rsid w:val="00DB22BC"/>
    <w:rsid w:val="00DB37B0"/>
    <w:rsid w:val="00DB4F3B"/>
    <w:rsid w:val="00DC62E5"/>
    <w:rsid w:val="00DD735D"/>
    <w:rsid w:val="00DE3119"/>
    <w:rsid w:val="00DF236B"/>
    <w:rsid w:val="00E02A74"/>
    <w:rsid w:val="00E02B77"/>
    <w:rsid w:val="00E11604"/>
    <w:rsid w:val="00E13AB8"/>
    <w:rsid w:val="00E25CB3"/>
    <w:rsid w:val="00E26E52"/>
    <w:rsid w:val="00E273BC"/>
    <w:rsid w:val="00E2785A"/>
    <w:rsid w:val="00E3158C"/>
    <w:rsid w:val="00E33B62"/>
    <w:rsid w:val="00E36114"/>
    <w:rsid w:val="00E4143A"/>
    <w:rsid w:val="00E41DF1"/>
    <w:rsid w:val="00E6565C"/>
    <w:rsid w:val="00E912A7"/>
    <w:rsid w:val="00E95AD1"/>
    <w:rsid w:val="00E97DF3"/>
    <w:rsid w:val="00EB4232"/>
    <w:rsid w:val="00EB526A"/>
    <w:rsid w:val="00EC3F12"/>
    <w:rsid w:val="00EE32AB"/>
    <w:rsid w:val="00EE59B5"/>
    <w:rsid w:val="00EE635B"/>
    <w:rsid w:val="00EF08C1"/>
    <w:rsid w:val="00EF5AC9"/>
    <w:rsid w:val="00EF79E1"/>
    <w:rsid w:val="00F3643D"/>
    <w:rsid w:val="00F44415"/>
    <w:rsid w:val="00F4560B"/>
    <w:rsid w:val="00F4797F"/>
    <w:rsid w:val="00F503A5"/>
    <w:rsid w:val="00F61F29"/>
    <w:rsid w:val="00F72C2F"/>
    <w:rsid w:val="00F84899"/>
    <w:rsid w:val="00F84E70"/>
    <w:rsid w:val="00F859F0"/>
    <w:rsid w:val="00F93FC0"/>
    <w:rsid w:val="00F94C9C"/>
    <w:rsid w:val="00FA2231"/>
    <w:rsid w:val="00FA73A5"/>
    <w:rsid w:val="00FB69DA"/>
    <w:rsid w:val="00FB6FB9"/>
    <w:rsid w:val="00FD3CFA"/>
    <w:rsid w:val="00FE141E"/>
    <w:rsid w:val="00FE1858"/>
    <w:rsid w:val="00FE42ED"/>
    <w:rsid w:val="00FE6086"/>
    <w:rsid w:val="00FF28DC"/>
    <w:rsid w:val="00FF5407"/>
    <w:rsid w:val="021165AB"/>
    <w:rsid w:val="1DB182FA"/>
    <w:rsid w:val="51039359"/>
    <w:rsid w:val="630EA80F"/>
    <w:rsid w:val="6B79688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2F3"/>
    <w:pPr>
      <w:spacing w:after="0" w:line="240" w:lineRule="auto"/>
    </w:pPr>
    <w:rPr>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33A7"/>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870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032313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50763475">
      <w:bodyDiv w:val="1"/>
      <w:marLeft w:val="0"/>
      <w:marRight w:val="0"/>
      <w:marTop w:val="0"/>
      <w:marBottom w:val="0"/>
      <w:divBdr>
        <w:top w:val="none" w:sz="0" w:space="0" w:color="auto"/>
        <w:left w:val="none" w:sz="0" w:space="0" w:color="auto"/>
        <w:bottom w:val="none" w:sz="0" w:space="0" w:color="auto"/>
        <w:right w:val="none" w:sz="0" w:space="0" w:color="auto"/>
      </w:divBdr>
    </w:div>
    <w:div w:id="90264112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626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16F287B-9A9B-4D52-AEA4-6F4CDF0EE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B54829A0-21DC-4A7D-98B1-76E2DEBE7FA0}">
  <ds:schemaRefs>
    <ds:schemaRef ds:uri="http://schemas.openxmlformats.org/officeDocument/2006/bibliography"/>
  </ds:schemaRefs>
</ds:datastoreItem>
</file>

<file path=customXml/itemProps4.xml><?xml version="1.0" encoding="utf-8"?>
<ds:datastoreItem xmlns:ds="http://schemas.openxmlformats.org/officeDocument/2006/customXml" ds:itemID="{36982408-3E06-4B97-80B4-C77FE94B74E2}">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15</Pages>
  <Words>4690</Words>
  <Characters>25799</Characters>
  <Application>Microsoft Office Word</Application>
  <DocSecurity>0</DocSecurity>
  <Lines>214</Lines>
  <Paragraphs>60</Paragraphs>
  <ScaleCrop>false</ScaleCrop>
  <Company/>
  <LinksUpToDate>false</LinksUpToDate>
  <CharactersWithSpaces>30429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Mejía Olmos</dc:creator>
  <cp:lastModifiedBy>Carlos Mario Castrillón Endo</cp:lastModifiedBy>
  <cp:revision>9</cp:revision>
  <cp:lastPrinted>2020-03-05T11:15:00Z</cp:lastPrinted>
  <dcterms:created xsi:type="dcterms:W3CDTF">2020-07-07T20:27:00Z</dcterms:created>
  <dcterms:modified xsi:type="dcterms:W3CDTF">2020-08-06T19:15:00Z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