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F6DDF" w14:textId="77777777" w:rsidR="0006642C" w:rsidRPr="0063204C" w:rsidRDefault="0006642C" w:rsidP="0006642C">
      <w:pPr>
        <w:jc w:val="right"/>
        <w:rPr>
          <w:rFonts w:ascii="Arial" w:hAnsi="Arial" w:cs="Arial"/>
          <w:b/>
          <w:color w:val="000000" w:themeColor="text1"/>
          <w:sz w:val="16"/>
          <w:szCs w:val="16"/>
          <w:lang w:eastAsia="es-ES"/>
        </w:rPr>
      </w:pPr>
      <w:r w:rsidRPr="007A0123">
        <w:rPr>
          <w:rFonts w:ascii="Arial" w:hAnsi="Arial" w:cs="Arial"/>
          <w:b/>
          <w:color w:val="000000" w:themeColor="text1"/>
          <w:sz w:val="16"/>
          <w:szCs w:val="16"/>
          <w:lang w:eastAsia="es-ES"/>
        </w:rPr>
        <w:t>CCE-DES-FM-17</w:t>
      </w:r>
    </w:p>
    <w:p w14:paraId="51870D34" w14:textId="77777777" w:rsidR="0006642C" w:rsidRDefault="0006642C" w:rsidP="0006642C">
      <w:pPr>
        <w:spacing w:line="276" w:lineRule="auto"/>
        <w:rPr>
          <w:rFonts w:ascii="Arial" w:eastAsia="Calibri" w:hAnsi="Arial" w:cs="Arial"/>
          <w:b/>
          <w:color w:val="000000" w:themeColor="text1"/>
          <w:sz w:val="22"/>
        </w:rPr>
      </w:pPr>
    </w:p>
    <w:p w14:paraId="45127435" w14:textId="77777777" w:rsidR="0006642C" w:rsidRDefault="0006642C" w:rsidP="0006642C">
      <w:pPr>
        <w:spacing w:line="276" w:lineRule="auto"/>
        <w:rPr>
          <w:rFonts w:ascii="Arial" w:eastAsia="Calibri" w:hAnsi="Arial" w:cs="Arial"/>
          <w:b/>
          <w:color w:val="000000" w:themeColor="text1"/>
          <w:sz w:val="22"/>
        </w:rPr>
      </w:pPr>
      <w:r>
        <w:rPr>
          <w:rFonts w:ascii="Arial" w:eastAsia="Calibri" w:hAnsi="Arial" w:cs="Arial"/>
          <w:b/>
          <w:color w:val="000000" w:themeColor="text1"/>
          <w:sz w:val="22"/>
        </w:rPr>
        <w:t xml:space="preserve">CAPACIDAD RESIDUAL – Definición </w:t>
      </w:r>
    </w:p>
    <w:p w14:paraId="7000F9CE" w14:textId="77777777" w:rsidR="0006642C" w:rsidRDefault="0006642C" w:rsidP="0006642C">
      <w:pPr>
        <w:spacing w:line="276" w:lineRule="auto"/>
        <w:rPr>
          <w:rFonts w:ascii="Arial" w:eastAsia="Calibri" w:hAnsi="Arial" w:cs="Arial"/>
          <w:b/>
          <w:color w:val="000000" w:themeColor="text1"/>
          <w:sz w:val="22"/>
        </w:rPr>
      </w:pPr>
    </w:p>
    <w:p w14:paraId="707C4AE5" w14:textId="77777777" w:rsidR="0006642C" w:rsidRPr="003E5A91" w:rsidRDefault="0006642C" w:rsidP="00D93C28">
      <w:pPr>
        <w:pStyle w:val="Textoindependiente"/>
        <w:jc w:val="both"/>
        <w:rPr>
          <w:lang w:val="es-CO"/>
        </w:rPr>
      </w:pPr>
      <w:r w:rsidRPr="003E5A91">
        <w:rPr>
          <w:lang w:val="es-CO"/>
        </w:rPr>
        <w:t>La capacidad residual es una aptitud que se exige a los oferentes en los procesos de selección contractual 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 El Consejo de Estado ha definido la capacidad residual como «la diferencia que existe entre el potencial de contratación que se tiene y los compromisos que haya adquirido y que se encuentren en ejecución, para la fecha de presentación de la oferta».</w:t>
      </w:r>
    </w:p>
    <w:p w14:paraId="6B522528" w14:textId="77777777" w:rsidR="0006642C" w:rsidRPr="003E5A91" w:rsidRDefault="0006642C" w:rsidP="00D93C28">
      <w:pPr>
        <w:pStyle w:val="Textoindependiente"/>
        <w:jc w:val="both"/>
        <w:rPr>
          <w:lang w:val="es-CO"/>
        </w:rPr>
      </w:pPr>
      <w:r w:rsidRPr="003E5A91">
        <w:rPr>
          <w:lang w:val="es-CO"/>
        </w:rPr>
        <w:t>Teniendo en cuenta lo anterior, esta Agencia ha considerado que la capacidad residual hace referencia a la suficiencia que se predica del proponente para asumir nuevas obligaciones que se derivan del contrato objeto del proceso de contratación, en relación con las obligaciones que ha adquirido simultáneamente en contratos ya perfeccionados y en ejecución.</w:t>
      </w:r>
    </w:p>
    <w:p w14:paraId="49685403" w14:textId="77777777" w:rsidR="0006642C" w:rsidRDefault="0006642C" w:rsidP="0006642C">
      <w:pPr>
        <w:spacing w:line="276" w:lineRule="auto"/>
        <w:rPr>
          <w:rFonts w:ascii="Arial" w:eastAsia="Calibri" w:hAnsi="Arial" w:cs="Arial"/>
          <w:b/>
          <w:color w:val="000000" w:themeColor="text1"/>
          <w:sz w:val="22"/>
        </w:rPr>
      </w:pPr>
    </w:p>
    <w:p w14:paraId="426BC0E5" w14:textId="198B48CB" w:rsidR="0006642C" w:rsidRDefault="0006642C" w:rsidP="0006642C">
      <w:pPr>
        <w:spacing w:line="276" w:lineRule="auto"/>
        <w:rPr>
          <w:rFonts w:ascii="Arial" w:eastAsia="Calibri" w:hAnsi="Arial" w:cs="Arial"/>
          <w:b/>
          <w:color w:val="000000" w:themeColor="text1"/>
          <w:sz w:val="22"/>
        </w:rPr>
      </w:pPr>
      <w:r>
        <w:rPr>
          <w:rFonts w:ascii="Arial" w:eastAsia="Calibri" w:hAnsi="Arial" w:cs="Arial"/>
          <w:b/>
          <w:color w:val="000000" w:themeColor="text1"/>
          <w:sz w:val="22"/>
        </w:rPr>
        <w:t xml:space="preserve">CAPACIDAD RESIDUAL – </w:t>
      </w:r>
      <w:r w:rsidR="005177B3">
        <w:rPr>
          <w:rFonts w:ascii="Arial" w:eastAsia="Calibri" w:hAnsi="Arial" w:cs="Arial"/>
          <w:b/>
          <w:color w:val="000000" w:themeColor="text1"/>
          <w:sz w:val="22"/>
        </w:rPr>
        <w:t xml:space="preserve">Experiencia </w:t>
      </w:r>
      <w:r>
        <w:rPr>
          <w:rFonts w:ascii="Arial" w:eastAsia="Calibri" w:hAnsi="Arial" w:cs="Arial"/>
          <w:b/>
          <w:color w:val="000000" w:themeColor="text1"/>
          <w:sz w:val="22"/>
        </w:rPr>
        <w:t xml:space="preserve">– Acreditación </w:t>
      </w:r>
    </w:p>
    <w:p w14:paraId="3AD3E7CF" w14:textId="77777777" w:rsidR="0006642C" w:rsidRDefault="0006642C" w:rsidP="0006642C">
      <w:pPr>
        <w:spacing w:line="276" w:lineRule="auto"/>
        <w:rPr>
          <w:rFonts w:ascii="Arial" w:eastAsia="Calibri" w:hAnsi="Arial" w:cs="Arial"/>
          <w:b/>
          <w:color w:val="000000" w:themeColor="text1"/>
          <w:sz w:val="22"/>
        </w:rPr>
      </w:pPr>
    </w:p>
    <w:p w14:paraId="6E70C923" w14:textId="77777777" w:rsidR="0006642C" w:rsidRPr="00C05B06" w:rsidRDefault="0006642C" w:rsidP="005177B3">
      <w:pPr>
        <w:pStyle w:val="Textoindependiente"/>
        <w:tabs>
          <w:tab w:val="left" w:pos="993"/>
        </w:tabs>
        <w:jc w:val="both"/>
        <w:rPr>
          <w:lang w:val="es-CO"/>
        </w:rPr>
      </w:pPr>
      <w:r w:rsidRPr="00C05B06">
        <w:rPr>
          <w:lang w:val="es-CO"/>
        </w:rPr>
        <w:t xml:space="preserve">Para efectos de calcular la capacidad residual −no para la experiencia general que deben acreditar los proponentes según la Matriz 1 de los documentos tipo−, corresponde según la Guía analizada,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  </w:t>
      </w:r>
    </w:p>
    <w:p w14:paraId="77E134DA" w14:textId="77777777" w:rsidR="0006642C" w:rsidRPr="00C05B06" w:rsidRDefault="0006642C" w:rsidP="005177B3">
      <w:pPr>
        <w:pStyle w:val="Textoindependiente"/>
        <w:jc w:val="both"/>
      </w:pPr>
      <w:r w:rsidRPr="00C05B06">
        <w:rPr>
          <w:lang w:val="es-CO"/>
        </w:rPr>
        <w:t>No obstante lo explicado hasta este lugar</w:t>
      </w:r>
      <w:r w:rsidRPr="00C05B06">
        <w:t xml:space="preserve">, cabe realizar algunas precisiones en relación con los Documentos Tipo de mínima cuantía para obras de infraestructura de transporte, teniendo en cuenta, entre otras cosas, que en los procedimientos de selección de mínima cuantía no es obligatoria la inscripción en el RUP, por lo que es importante destacar algunos contenidos de estos documentos tipo relacionados con la forma como los proponentes acreditan su capacidad residual. </w:t>
      </w:r>
    </w:p>
    <w:p w14:paraId="15B59A31" w14:textId="77777777" w:rsidR="0006642C" w:rsidRDefault="0006642C" w:rsidP="0006642C">
      <w:pPr>
        <w:jc w:val="both"/>
        <w:rPr>
          <w:rFonts w:ascii="Arial" w:eastAsia="Calibri" w:hAnsi="Arial" w:cs="Arial"/>
          <w:b/>
          <w:color w:val="000000" w:themeColor="text1"/>
          <w:sz w:val="22"/>
        </w:rPr>
      </w:pPr>
    </w:p>
    <w:p w14:paraId="72E8FB2D" w14:textId="77777777" w:rsidR="0006642C" w:rsidRDefault="0006642C" w:rsidP="0006642C">
      <w:pPr>
        <w:spacing w:line="276" w:lineRule="auto"/>
        <w:rPr>
          <w:rFonts w:ascii="Arial" w:eastAsia="Calibri" w:hAnsi="Arial" w:cs="Arial"/>
          <w:b/>
          <w:color w:val="000000" w:themeColor="text1"/>
          <w:sz w:val="22"/>
        </w:rPr>
      </w:pPr>
      <w:r>
        <w:rPr>
          <w:rFonts w:ascii="Arial" w:eastAsia="Calibri" w:hAnsi="Arial" w:cs="Arial"/>
          <w:b/>
          <w:color w:val="000000" w:themeColor="text1"/>
          <w:sz w:val="22"/>
        </w:rPr>
        <w:t xml:space="preserve">REGISTRO ÚNICO DE PROPOPENTES – Excepciones </w:t>
      </w:r>
    </w:p>
    <w:p w14:paraId="6EF8E215" w14:textId="77777777" w:rsidR="0006642C" w:rsidRDefault="0006642C" w:rsidP="0006642C">
      <w:pPr>
        <w:spacing w:line="276" w:lineRule="auto"/>
        <w:rPr>
          <w:rFonts w:ascii="Arial" w:eastAsia="Calibri" w:hAnsi="Arial" w:cs="Arial"/>
          <w:b/>
          <w:color w:val="000000" w:themeColor="text1"/>
          <w:sz w:val="22"/>
        </w:rPr>
      </w:pPr>
    </w:p>
    <w:p w14:paraId="5D063FD4" w14:textId="77777777" w:rsidR="0006642C" w:rsidRPr="003E5A91" w:rsidRDefault="0006642C" w:rsidP="005177B3">
      <w:pPr>
        <w:jc w:val="both"/>
        <w:rPr>
          <w:rFonts w:ascii="Arial" w:eastAsia="Calibri" w:hAnsi="Arial" w:cs="Arial"/>
          <w:bCs/>
          <w:sz w:val="20"/>
          <w:szCs w:val="20"/>
          <w:highlight w:val="yellow"/>
        </w:rPr>
      </w:pPr>
      <w:r w:rsidRPr="003E5A91">
        <w:rPr>
          <w:rFonts w:ascii="Arial" w:eastAsia="Calibri" w:hAnsi="Arial" w:cs="Arial"/>
          <w:bCs/>
          <w:sz w:val="20"/>
          <w:szCs w:val="20"/>
        </w:rPr>
        <w:t>El Registro Único de Proponentes 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53CBA020" w14:textId="77777777" w:rsidR="0006642C" w:rsidRPr="003E5A91" w:rsidRDefault="0006642C" w:rsidP="005177B3">
      <w:pPr>
        <w:pStyle w:val="Textoindependiente"/>
        <w:jc w:val="both"/>
        <w:rPr>
          <w:rFonts w:eastAsia="Calibri"/>
          <w:lang w:val="es-CO"/>
        </w:rPr>
      </w:pPr>
      <w:r w:rsidRPr="003E5A91">
        <w:rPr>
          <w:rFonts w:eastAsia="Calibri"/>
          <w:lang w:val="es-CO"/>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14:paraId="45CACBFC" w14:textId="77777777" w:rsidR="0006642C" w:rsidRDefault="0006642C" w:rsidP="0006642C">
      <w:pPr>
        <w:pStyle w:val="Textoindependiente"/>
        <w:spacing w:line="276" w:lineRule="auto"/>
        <w:jc w:val="both"/>
        <w:rPr>
          <w:rFonts w:eastAsia="Calibri"/>
          <w:sz w:val="22"/>
          <w:szCs w:val="22"/>
          <w:lang w:val="es-CO"/>
        </w:rPr>
      </w:pPr>
    </w:p>
    <w:p w14:paraId="10004CA7" w14:textId="0265A01A" w:rsidR="0006642C" w:rsidRDefault="0006642C" w:rsidP="0006642C">
      <w:pPr>
        <w:jc w:val="right"/>
      </w:pPr>
      <w:r>
        <w:lastRenderedPageBreak/>
        <w:fldChar w:fldCharType="begin"/>
      </w:r>
      <w:r w:rsidR="006C7D27">
        <w:instrText xml:space="preserve"> INCLUDEPICTURE "https://cceficiente.sharepoint.com/var/folders/tb/0fmk9b510f57pz5rwhv8lnpw0000gp/T/com.microsoft.Word/WebArchiveCopyPasteTempFiles/page1image1623903200" \* MERGEFORMAT </w:instrText>
      </w:r>
      <w:r>
        <w:fldChar w:fldCharType="separate"/>
      </w:r>
      <w:r>
        <w:rPr>
          <w:noProof/>
        </w:rPr>
        <w:drawing>
          <wp:inline distT="0" distB="0" distL="0" distR="0" wp14:anchorId="0D3E33E5" wp14:editId="2659A299">
            <wp:extent cx="2401570" cy="612775"/>
            <wp:effectExtent l="0" t="0" r="0" b="0"/>
            <wp:docPr id="4" name="Imagen 4" descr="page1image1623903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6239032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1570" cy="612775"/>
                    </a:xfrm>
                    <a:prstGeom prst="rect">
                      <a:avLst/>
                    </a:prstGeom>
                    <a:noFill/>
                    <a:ln>
                      <a:noFill/>
                    </a:ln>
                  </pic:spPr>
                </pic:pic>
              </a:graphicData>
            </a:graphic>
          </wp:inline>
        </w:drawing>
      </w:r>
      <w:r>
        <w:fldChar w:fldCharType="end"/>
      </w:r>
    </w:p>
    <w:p w14:paraId="76896ECB" w14:textId="77777777" w:rsidR="0006642C" w:rsidRDefault="0006642C" w:rsidP="0006642C">
      <w:pPr>
        <w:spacing w:line="276" w:lineRule="auto"/>
        <w:jc w:val="right"/>
        <w:rPr>
          <w:rFonts w:ascii="Arial" w:hAnsi="Arial" w:cs="Arial"/>
          <w:b/>
          <w:bCs/>
          <w:sz w:val="22"/>
        </w:rPr>
      </w:pPr>
    </w:p>
    <w:p w14:paraId="116C5091" w14:textId="77777777" w:rsidR="0006642C" w:rsidRDefault="0006642C" w:rsidP="0006642C">
      <w:pPr>
        <w:spacing w:line="276" w:lineRule="auto"/>
        <w:jc w:val="right"/>
        <w:rPr>
          <w:rFonts w:ascii="Arial" w:hAnsi="Arial" w:cs="Arial"/>
          <w:b/>
          <w:bCs/>
          <w:sz w:val="22"/>
        </w:rPr>
      </w:pPr>
    </w:p>
    <w:p w14:paraId="035B9708" w14:textId="77777777" w:rsidR="0006642C" w:rsidRDefault="0006642C" w:rsidP="0006642C">
      <w:pPr>
        <w:rPr>
          <w:rFonts w:ascii="Arial" w:eastAsia="Calibri" w:hAnsi="Arial" w:cs="Arial"/>
          <w:color w:val="000000" w:themeColor="text1"/>
          <w:sz w:val="22"/>
        </w:rPr>
      </w:pPr>
      <w:r w:rsidRPr="001B0D3D">
        <w:rPr>
          <w:rFonts w:ascii="Arial" w:eastAsia="Calibri" w:hAnsi="Arial" w:cs="Arial"/>
          <w:color w:val="000000" w:themeColor="text1"/>
          <w:sz w:val="22"/>
        </w:rPr>
        <w:t>Señor</w:t>
      </w:r>
    </w:p>
    <w:p w14:paraId="6BBDC4E7" w14:textId="12AE4FBF" w:rsidR="0006642C" w:rsidRPr="0093085B" w:rsidRDefault="00D76E67" w:rsidP="0006642C">
      <w:pPr>
        <w:rPr>
          <w:rFonts w:ascii="Arial" w:eastAsia="Calibri" w:hAnsi="Arial" w:cs="Arial"/>
          <w:b/>
          <w:bCs/>
          <w:color w:val="000000" w:themeColor="text1"/>
          <w:sz w:val="22"/>
        </w:rPr>
      </w:pPr>
      <w:proofErr w:type="spellStart"/>
      <w:r>
        <w:rPr>
          <w:rFonts w:ascii="Arial" w:eastAsia="Calibri" w:hAnsi="Arial" w:cs="Arial"/>
          <w:b/>
          <w:bCs/>
          <w:color w:val="000000" w:themeColor="text1"/>
          <w:sz w:val="22"/>
        </w:rPr>
        <w:t>Muhamar</w:t>
      </w:r>
      <w:proofErr w:type="spellEnd"/>
      <w:r>
        <w:rPr>
          <w:rFonts w:ascii="Arial" w:eastAsia="Calibri" w:hAnsi="Arial" w:cs="Arial"/>
          <w:b/>
          <w:bCs/>
          <w:color w:val="000000" w:themeColor="text1"/>
          <w:sz w:val="22"/>
        </w:rPr>
        <w:t xml:space="preserve"> Antonio Ospino Varela</w:t>
      </w:r>
    </w:p>
    <w:p w14:paraId="6A37B831" w14:textId="77777777" w:rsidR="0006642C" w:rsidRPr="001B0D3D" w:rsidRDefault="0006642C" w:rsidP="0006642C">
      <w:pPr>
        <w:rPr>
          <w:rFonts w:ascii="Arial" w:eastAsia="Calibri" w:hAnsi="Arial" w:cs="Arial"/>
          <w:color w:val="000000" w:themeColor="text1"/>
          <w:sz w:val="22"/>
        </w:rPr>
      </w:pPr>
      <w:r>
        <w:rPr>
          <w:rFonts w:ascii="Arial" w:eastAsia="Calibri" w:hAnsi="Arial" w:cs="Arial"/>
          <w:color w:val="000000" w:themeColor="text1"/>
          <w:sz w:val="22"/>
        </w:rPr>
        <w:t xml:space="preserve">Barranquilla, Atlántico </w:t>
      </w:r>
    </w:p>
    <w:p w14:paraId="76A22DC1" w14:textId="77777777" w:rsidR="0006642C" w:rsidRPr="001B0D3D" w:rsidRDefault="0006642C" w:rsidP="0006642C">
      <w:pPr>
        <w:rPr>
          <w:rFonts w:ascii="Arial" w:eastAsia="Calibri" w:hAnsi="Arial" w:cs="Arial"/>
          <w:color w:val="000000" w:themeColor="text1"/>
          <w:sz w:val="22"/>
        </w:rPr>
      </w:pPr>
    </w:p>
    <w:p w14:paraId="46C22BEA" w14:textId="77777777" w:rsidR="0006642C" w:rsidRPr="001B0D3D" w:rsidRDefault="0006642C" w:rsidP="0006642C">
      <w:pPr>
        <w:rPr>
          <w:rFonts w:ascii="Arial" w:eastAsia="Calibri" w:hAnsi="Arial" w:cs="Arial"/>
          <w:b/>
          <w:color w:val="000000" w:themeColor="text1"/>
          <w:sz w:val="22"/>
        </w:rPr>
      </w:pPr>
    </w:p>
    <w:p w14:paraId="221B91F1" w14:textId="77777777" w:rsidR="0006642C" w:rsidRPr="001B0D3D" w:rsidRDefault="0006642C" w:rsidP="0006642C">
      <w:pPr>
        <w:rPr>
          <w:rFonts w:ascii="Arial" w:eastAsia="Calibri" w:hAnsi="Arial" w:cs="Arial"/>
          <w:b/>
          <w:color w:val="000000" w:themeColor="text1"/>
          <w:sz w:val="22"/>
        </w:rPr>
      </w:pPr>
      <w:r>
        <w:rPr>
          <w:rFonts w:ascii="Arial" w:eastAsia="Calibri" w:hAnsi="Arial" w:cs="Arial"/>
          <w:b/>
          <w:color w:val="000000" w:themeColor="text1"/>
          <w:sz w:val="22"/>
        </w:rPr>
        <w:t xml:space="preserve">                                            Concepto C – 400 de 2021 </w:t>
      </w:r>
    </w:p>
    <w:p w14:paraId="16BA8D8A" w14:textId="77777777" w:rsidR="0006642C" w:rsidRDefault="0006642C" w:rsidP="0006642C">
      <w:pPr>
        <w:jc w:val="center"/>
        <w:rPr>
          <w:rFonts w:ascii="Arial" w:eastAsia="Calibri" w:hAnsi="Arial" w:cs="Arial"/>
          <w:b/>
          <w:color w:val="000000" w:themeColor="text1"/>
          <w:sz w:val="22"/>
        </w:rPr>
      </w:pPr>
    </w:p>
    <w:p w14:paraId="0DD4A973" w14:textId="77777777" w:rsidR="0006642C" w:rsidRPr="001B0D3D" w:rsidRDefault="0006642C" w:rsidP="0006642C">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6642C" w:rsidRPr="0063204C" w14:paraId="7FB828CB" w14:textId="77777777" w:rsidTr="00E63C75">
        <w:trPr>
          <w:trHeight w:val="1387"/>
        </w:trPr>
        <w:tc>
          <w:tcPr>
            <w:tcW w:w="2689" w:type="dxa"/>
          </w:tcPr>
          <w:p w14:paraId="32754ABD" w14:textId="77777777" w:rsidR="0006642C" w:rsidRPr="001B0D3D" w:rsidRDefault="0006642C" w:rsidP="00E63C75">
            <w:pPr>
              <w:rPr>
                <w:rFonts w:ascii="Arial" w:eastAsia="Calibri" w:hAnsi="Arial" w:cs="Arial"/>
                <w:color w:val="000000" w:themeColor="text1"/>
              </w:rPr>
            </w:pPr>
            <w:r w:rsidRPr="001B0D3D">
              <w:rPr>
                <w:rFonts w:ascii="Arial" w:eastAsia="Calibri" w:hAnsi="Arial" w:cs="Arial"/>
                <w:b/>
                <w:color w:val="000000" w:themeColor="text1"/>
              </w:rPr>
              <w:t>Temas:</w:t>
            </w:r>
            <w:r w:rsidRPr="001B0D3D">
              <w:rPr>
                <w:rFonts w:ascii="Arial" w:eastAsia="Calibri" w:hAnsi="Arial" w:cs="Arial"/>
                <w:color w:val="000000" w:themeColor="text1"/>
              </w:rPr>
              <w:t xml:space="preserve">                                      </w:t>
            </w:r>
          </w:p>
        </w:tc>
        <w:tc>
          <w:tcPr>
            <w:tcW w:w="6237" w:type="dxa"/>
          </w:tcPr>
          <w:p w14:paraId="58C103B5" w14:textId="77777777" w:rsidR="0006642C" w:rsidRPr="003E5A91" w:rsidRDefault="0006642C" w:rsidP="00E63C75">
            <w:pPr>
              <w:pStyle w:val="Textoindependiente"/>
              <w:spacing w:line="276" w:lineRule="auto"/>
              <w:jc w:val="both"/>
              <w:rPr>
                <w:rFonts w:eastAsia="Calibri"/>
                <w:bCs/>
                <w:color w:val="000000" w:themeColor="text1"/>
              </w:rPr>
            </w:pPr>
            <w:r w:rsidRPr="003E5A91">
              <w:rPr>
                <w:rFonts w:eastAsia="Calibri"/>
                <w:bCs/>
                <w:color w:val="000000" w:themeColor="text1"/>
                <w:sz w:val="22"/>
              </w:rPr>
              <w:t xml:space="preserve">CAPACIDAD RESIDUAL – Definición </w:t>
            </w:r>
            <w:r w:rsidRPr="003E5A91">
              <w:rPr>
                <w:rFonts w:eastAsia="Calibri"/>
                <w:bCs/>
                <w:color w:val="000000" w:themeColor="text1"/>
              </w:rPr>
              <w:t xml:space="preserve">/ </w:t>
            </w:r>
            <w:r w:rsidRPr="003E5A91">
              <w:rPr>
                <w:rFonts w:eastAsia="Calibri"/>
                <w:bCs/>
                <w:color w:val="000000" w:themeColor="text1"/>
                <w:sz w:val="22"/>
              </w:rPr>
              <w:t xml:space="preserve">CAPACIDAD RESIDUAL – EXPERIENCIA – Acreditación </w:t>
            </w:r>
            <w:r w:rsidRPr="003E5A91">
              <w:rPr>
                <w:rFonts w:eastAsia="Calibri"/>
                <w:bCs/>
                <w:color w:val="000000" w:themeColor="text1"/>
              </w:rPr>
              <w:t xml:space="preserve">/ </w:t>
            </w:r>
            <w:r w:rsidRPr="003E5A91">
              <w:rPr>
                <w:rFonts w:eastAsia="Calibri"/>
                <w:bCs/>
                <w:color w:val="000000" w:themeColor="text1"/>
                <w:sz w:val="22"/>
              </w:rPr>
              <w:t xml:space="preserve">REGISTRO ÚNICO DE PROPOPENTES – Excepciones </w:t>
            </w:r>
          </w:p>
        </w:tc>
      </w:tr>
      <w:tr w:rsidR="0006642C" w:rsidRPr="001B0D3D" w14:paraId="18505FF0" w14:textId="77777777" w:rsidTr="00E63C75">
        <w:tc>
          <w:tcPr>
            <w:tcW w:w="2689" w:type="dxa"/>
          </w:tcPr>
          <w:p w14:paraId="5701DF1E" w14:textId="77777777" w:rsidR="0006642C" w:rsidRPr="001B0D3D" w:rsidRDefault="0006642C" w:rsidP="00E63C75">
            <w:pPr>
              <w:rPr>
                <w:rFonts w:ascii="Arial" w:eastAsia="Calibri" w:hAnsi="Arial" w:cs="Arial"/>
                <w:color w:val="000000" w:themeColor="text1"/>
              </w:rPr>
            </w:pPr>
            <w:r w:rsidRPr="001B0D3D">
              <w:rPr>
                <w:rFonts w:ascii="Arial" w:eastAsia="Calibri" w:hAnsi="Arial" w:cs="Arial"/>
                <w:b/>
                <w:color w:val="000000" w:themeColor="text1"/>
              </w:rPr>
              <w:t>Radicación:</w:t>
            </w:r>
            <w:r w:rsidRPr="001B0D3D">
              <w:rPr>
                <w:rFonts w:ascii="Arial" w:eastAsia="Calibri" w:hAnsi="Arial" w:cs="Arial"/>
                <w:color w:val="000000" w:themeColor="text1"/>
              </w:rPr>
              <w:t xml:space="preserve">                              </w:t>
            </w:r>
          </w:p>
        </w:tc>
        <w:tc>
          <w:tcPr>
            <w:tcW w:w="6237" w:type="dxa"/>
          </w:tcPr>
          <w:p w14:paraId="7DD966F9" w14:textId="77777777" w:rsidR="0006642C" w:rsidRPr="001B0D3D" w:rsidRDefault="0006642C" w:rsidP="00E63C75">
            <w:pPr>
              <w:rPr>
                <w:rFonts w:ascii="Arial" w:eastAsia="Calibri" w:hAnsi="Arial" w:cs="Arial"/>
                <w:color w:val="000000" w:themeColor="text1"/>
              </w:rPr>
            </w:pPr>
            <w:r w:rsidRPr="001B0D3D">
              <w:rPr>
                <w:rFonts w:ascii="Arial" w:eastAsia="Calibri" w:hAnsi="Arial" w:cs="Arial"/>
                <w:color w:val="000000" w:themeColor="text1"/>
              </w:rPr>
              <w:t xml:space="preserve">Respuesta a consulta </w:t>
            </w:r>
            <w:r>
              <w:rPr>
                <w:rFonts w:ascii="Arial" w:eastAsia="Calibri" w:hAnsi="Arial" w:cs="Arial"/>
                <w:color w:val="000000" w:themeColor="text1"/>
              </w:rPr>
              <w:t>P20210712006122</w:t>
            </w:r>
          </w:p>
        </w:tc>
      </w:tr>
    </w:tbl>
    <w:p w14:paraId="5E7D28DE" w14:textId="77777777" w:rsidR="0006642C" w:rsidRDefault="0006642C" w:rsidP="0006642C">
      <w:pPr>
        <w:spacing w:line="276" w:lineRule="auto"/>
        <w:rPr>
          <w:rFonts w:ascii="Arial" w:eastAsia="Calibri" w:hAnsi="Arial" w:cs="Arial"/>
          <w:color w:val="000000" w:themeColor="text1"/>
          <w:sz w:val="22"/>
        </w:rPr>
      </w:pPr>
    </w:p>
    <w:p w14:paraId="0295ACB6" w14:textId="77777777" w:rsidR="0006642C" w:rsidRPr="001B0D3D" w:rsidRDefault="0006642C" w:rsidP="0006642C">
      <w:pPr>
        <w:spacing w:line="276" w:lineRule="auto"/>
        <w:rPr>
          <w:rFonts w:ascii="Arial" w:eastAsia="Calibri" w:hAnsi="Arial" w:cs="Arial"/>
          <w:color w:val="000000" w:themeColor="text1"/>
          <w:sz w:val="22"/>
        </w:rPr>
      </w:pPr>
    </w:p>
    <w:p w14:paraId="430F7059" w14:textId="0991BDAD" w:rsidR="0006642C" w:rsidRPr="001B0D3D" w:rsidRDefault="0006642C" w:rsidP="0006642C">
      <w:pPr>
        <w:tabs>
          <w:tab w:val="left" w:pos="3736"/>
        </w:tabs>
        <w:spacing w:line="276" w:lineRule="auto"/>
        <w:rPr>
          <w:rFonts w:ascii="Arial" w:eastAsia="Calibri" w:hAnsi="Arial" w:cs="Arial"/>
          <w:color w:val="000000" w:themeColor="text1"/>
          <w:sz w:val="22"/>
        </w:rPr>
      </w:pPr>
      <w:r w:rsidRPr="001B0D3D">
        <w:rPr>
          <w:rFonts w:ascii="Arial" w:eastAsia="Calibri" w:hAnsi="Arial" w:cs="Arial"/>
          <w:color w:val="000000" w:themeColor="text1"/>
          <w:sz w:val="22"/>
        </w:rPr>
        <w:t>Estimad</w:t>
      </w:r>
      <w:r>
        <w:rPr>
          <w:rFonts w:ascii="Arial" w:eastAsia="Calibri" w:hAnsi="Arial" w:cs="Arial"/>
          <w:color w:val="000000" w:themeColor="text1"/>
          <w:sz w:val="22"/>
        </w:rPr>
        <w:t>o</w:t>
      </w:r>
      <w:r w:rsidRPr="001B0D3D">
        <w:rPr>
          <w:rFonts w:ascii="Arial" w:eastAsia="Calibri" w:hAnsi="Arial" w:cs="Arial"/>
          <w:color w:val="000000" w:themeColor="text1"/>
          <w:sz w:val="22"/>
        </w:rPr>
        <w:t xml:space="preserve"> señor</w:t>
      </w:r>
      <w:r w:rsidR="00D76E67">
        <w:rPr>
          <w:rFonts w:ascii="Arial" w:eastAsia="Calibri" w:hAnsi="Arial" w:cs="Arial"/>
          <w:color w:val="000000" w:themeColor="text1"/>
          <w:sz w:val="22"/>
        </w:rPr>
        <w:t xml:space="preserve"> Ospino</w:t>
      </w:r>
      <w:r>
        <w:rPr>
          <w:rFonts w:ascii="Arial" w:eastAsia="Calibri" w:hAnsi="Arial" w:cs="Arial"/>
          <w:color w:val="000000" w:themeColor="text1"/>
          <w:sz w:val="22"/>
        </w:rPr>
        <w:t>:</w:t>
      </w:r>
      <w:r w:rsidRPr="001B0D3D">
        <w:rPr>
          <w:rFonts w:ascii="Arial" w:eastAsia="Calibri" w:hAnsi="Arial" w:cs="Arial"/>
          <w:color w:val="000000" w:themeColor="text1"/>
          <w:sz w:val="22"/>
        </w:rPr>
        <w:tab/>
      </w:r>
    </w:p>
    <w:p w14:paraId="4255E2F2" w14:textId="77777777" w:rsidR="0006642C" w:rsidRPr="001B0D3D" w:rsidRDefault="0006642C" w:rsidP="0006642C">
      <w:pPr>
        <w:spacing w:line="276" w:lineRule="auto"/>
        <w:rPr>
          <w:rFonts w:ascii="Arial" w:eastAsia="Calibri" w:hAnsi="Arial" w:cs="Arial"/>
          <w:color w:val="000000" w:themeColor="text1"/>
          <w:sz w:val="22"/>
        </w:rPr>
      </w:pPr>
    </w:p>
    <w:p w14:paraId="73F03BDF" w14:textId="77777777" w:rsidR="0006642C" w:rsidRPr="001B0D3D" w:rsidRDefault="0006642C" w:rsidP="0006642C">
      <w:pPr>
        <w:spacing w:line="276" w:lineRule="auto"/>
        <w:jc w:val="both"/>
        <w:rPr>
          <w:rFonts w:ascii="Arial" w:eastAsia="Calibri" w:hAnsi="Arial" w:cs="Arial"/>
          <w:color w:val="000000" w:themeColor="text1"/>
          <w:sz w:val="22"/>
        </w:rPr>
      </w:pPr>
      <w:r w:rsidRPr="001B0D3D">
        <w:rPr>
          <w:rFonts w:ascii="Arial" w:eastAsia="Calibri" w:hAnsi="Arial" w:cs="Arial"/>
          <w:color w:val="000000" w:themeColor="text1"/>
          <w:sz w:val="22"/>
        </w:rPr>
        <w:t xml:space="preserve">La Agencia Nacional de Contratación Pública </w:t>
      </w:r>
      <w:r>
        <w:rPr>
          <w:rFonts w:ascii="Arial" w:eastAsia="Calibri" w:hAnsi="Arial" w:cs="Arial"/>
          <w:color w:val="000000" w:themeColor="text1"/>
          <w:sz w:val="22"/>
        </w:rPr>
        <w:t xml:space="preserve">– </w:t>
      </w:r>
      <w:r w:rsidRPr="001B0D3D">
        <w:rPr>
          <w:rFonts w:ascii="Arial" w:eastAsia="Calibri" w:hAnsi="Arial" w:cs="Arial"/>
          <w:color w:val="000000" w:themeColor="text1"/>
          <w:sz w:val="22"/>
        </w:rPr>
        <w:t>Colombia Compra Eficiente responde</w:t>
      </w:r>
      <w:r>
        <w:rPr>
          <w:rFonts w:ascii="Arial" w:eastAsia="Calibri" w:hAnsi="Arial" w:cs="Arial"/>
          <w:color w:val="000000" w:themeColor="text1"/>
          <w:sz w:val="22"/>
        </w:rPr>
        <w:t xml:space="preserve"> a su consulta del 12 de julio de 2021</w:t>
      </w:r>
      <w:r w:rsidRPr="001B0D3D">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6235D1AC" w14:textId="77777777" w:rsidR="0006642C" w:rsidRPr="001B0D3D" w:rsidRDefault="0006642C" w:rsidP="0006642C">
      <w:pPr>
        <w:pStyle w:val="Prrafodelista"/>
        <w:spacing w:line="276" w:lineRule="auto"/>
        <w:ind w:left="0"/>
        <w:rPr>
          <w:rFonts w:ascii="Arial" w:eastAsia="Calibri" w:hAnsi="Arial" w:cs="Arial"/>
          <w:color w:val="000000" w:themeColor="text1"/>
          <w:sz w:val="22"/>
        </w:rPr>
      </w:pPr>
    </w:p>
    <w:p w14:paraId="45B99078" w14:textId="77777777" w:rsidR="0006642C" w:rsidRPr="006C0EA1" w:rsidRDefault="0006642C" w:rsidP="0006642C">
      <w:pPr>
        <w:tabs>
          <w:tab w:val="left" w:pos="0"/>
        </w:tabs>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 xml:space="preserve">1. </w:t>
      </w:r>
      <w:r w:rsidRPr="006C0EA1">
        <w:rPr>
          <w:rFonts w:ascii="Arial" w:eastAsia="Calibri" w:hAnsi="Arial" w:cs="Arial"/>
          <w:b/>
          <w:color w:val="000000" w:themeColor="text1"/>
          <w:sz w:val="22"/>
        </w:rPr>
        <w:t>Problema planteado</w:t>
      </w:r>
    </w:p>
    <w:p w14:paraId="7AE83564" w14:textId="77777777" w:rsidR="0006642C" w:rsidRPr="0093085B" w:rsidRDefault="0006642C" w:rsidP="0006642C">
      <w:pPr>
        <w:rPr>
          <w:rFonts w:ascii="Arial" w:eastAsia="Calibri" w:hAnsi="Arial" w:cs="Arial"/>
          <w:color w:val="000000" w:themeColor="text1"/>
          <w:sz w:val="22"/>
        </w:rPr>
      </w:pPr>
    </w:p>
    <w:p w14:paraId="39552973" w14:textId="77777777" w:rsidR="0006642C" w:rsidRDefault="0006642C" w:rsidP="0006642C">
      <w:pPr>
        <w:rPr>
          <w:rFonts w:ascii="Arial" w:eastAsia="Calibri" w:hAnsi="Arial" w:cs="Arial"/>
          <w:sz w:val="22"/>
          <w:szCs w:val="22"/>
        </w:rPr>
      </w:pPr>
      <w:r w:rsidRPr="0093085B">
        <w:rPr>
          <w:rFonts w:ascii="Arial" w:eastAsia="Calibri" w:hAnsi="Arial" w:cs="Arial"/>
          <w:sz w:val="22"/>
          <w:szCs w:val="22"/>
        </w:rPr>
        <w:t>Usted formula la</w:t>
      </w:r>
      <w:r>
        <w:rPr>
          <w:rFonts w:ascii="Arial" w:eastAsia="Calibri" w:hAnsi="Arial" w:cs="Arial"/>
          <w:sz w:val="22"/>
          <w:szCs w:val="22"/>
        </w:rPr>
        <w:t>s</w:t>
      </w:r>
      <w:r w:rsidRPr="0093085B">
        <w:rPr>
          <w:rFonts w:ascii="Arial" w:eastAsia="Calibri" w:hAnsi="Arial" w:cs="Arial"/>
          <w:sz w:val="22"/>
          <w:szCs w:val="22"/>
        </w:rPr>
        <w:t xml:space="preserve"> siguiente</w:t>
      </w:r>
      <w:r>
        <w:rPr>
          <w:rFonts w:ascii="Arial" w:eastAsia="Calibri" w:hAnsi="Arial" w:cs="Arial"/>
          <w:sz w:val="22"/>
          <w:szCs w:val="22"/>
        </w:rPr>
        <w:t>s</w:t>
      </w:r>
      <w:r w:rsidRPr="0093085B">
        <w:rPr>
          <w:rFonts w:ascii="Arial" w:eastAsia="Calibri" w:hAnsi="Arial" w:cs="Arial"/>
          <w:sz w:val="22"/>
          <w:szCs w:val="22"/>
        </w:rPr>
        <w:t xml:space="preserve"> pregunta</w:t>
      </w:r>
      <w:r>
        <w:rPr>
          <w:rFonts w:ascii="Arial" w:eastAsia="Calibri" w:hAnsi="Arial" w:cs="Arial"/>
          <w:sz w:val="22"/>
          <w:szCs w:val="22"/>
        </w:rPr>
        <w:t>s</w:t>
      </w:r>
      <w:r w:rsidRPr="0093085B">
        <w:rPr>
          <w:rFonts w:ascii="Arial" w:eastAsia="Calibri" w:hAnsi="Arial" w:cs="Arial"/>
          <w:sz w:val="22"/>
          <w:szCs w:val="22"/>
        </w:rPr>
        <w:t xml:space="preserve">: </w:t>
      </w:r>
    </w:p>
    <w:p w14:paraId="1323FED1" w14:textId="77777777" w:rsidR="0006642C" w:rsidRDefault="0006642C" w:rsidP="0006642C">
      <w:pPr>
        <w:rPr>
          <w:rFonts w:ascii="Arial" w:eastAsia="Calibri" w:hAnsi="Arial" w:cs="Arial"/>
          <w:sz w:val="22"/>
          <w:szCs w:val="22"/>
        </w:rPr>
      </w:pPr>
    </w:p>
    <w:p w14:paraId="66F349D3" w14:textId="77777777" w:rsidR="0006642C" w:rsidRPr="003E5A91" w:rsidRDefault="0006642C" w:rsidP="0006642C">
      <w:pPr>
        <w:pStyle w:val="Prrafodelista"/>
        <w:numPr>
          <w:ilvl w:val="0"/>
          <w:numId w:val="1"/>
        </w:numPr>
        <w:ind w:right="709"/>
        <w:jc w:val="both"/>
        <w:rPr>
          <w:rFonts w:ascii="Arial" w:hAnsi="Arial" w:cs="Arial"/>
          <w:color w:val="000000"/>
          <w:sz w:val="21"/>
          <w:szCs w:val="21"/>
        </w:rPr>
      </w:pPr>
      <w:r>
        <w:rPr>
          <w:rFonts w:ascii="Arial" w:eastAsia="Calibri" w:hAnsi="Arial" w:cs="Arial"/>
          <w:sz w:val="22"/>
        </w:rPr>
        <w:t>«</w:t>
      </w:r>
      <w:r w:rsidRPr="0093085B">
        <w:rPr>
          <w:rFonts w:ascii="Arial" w:eastAsia="Calibri" w:hAnsi="Arial" w:cs="Arial"/>
          <w:sz w:val="22"/>
        </w:rPr>
        <w:t>¿</w:t>
      </w:r>
      <w:r w:rsidRPr="003E5A91">
        <w:rPr>
          <w:rFonts w:ascii="Arial" w:hAnsi="Arial" w:cs="Arial"/>
          <w:color w:val="000000"/>
          <w:sz w:val="21"/>
          <w:szCs w:val="21"/>
          <w:bdr w:val="none" w:sz="0" w:space="0" w:color="auto" w:frame="1"/>
        </w:rPr>
        <w:t>En procesos de selección de mínima cuantía por documento tipo (infraestructura de transporte) se requiere acreditar capacidad residual, ¿para realizar este cálculo para propósitos del factor experiencia, es necesario que el proponente tenga Registro Único de Proponentes, teniendo en cuenta el valor total de experiencia de contratos inscritos en el segmento 72</w:t>
      </w:r>
      <w:r>
        <w:rPr>
          <w:rFonts w:ascii="Arial" w:hAnsi="Arial" w:cs="Arial"/>
          <w:sz w:val="22"/>
        </w:rPr>
        <w:t>?».</w:t>
      </w:r>
    </w:p>
    <w:p w14:paraId="1E6422CF" w14:textId="77777777" w:rsidR="0006642C" w:rsidRPr="003E5A91" w:rsidRDefault="0006642C" w:rsidP="0006642C">
      <w:pPr>
        <w:pStyle w:val="Prrafodelista"/>
        <w:numPr>
          <w:ilvl w:val="0"/>
          <w:numId w:val="1"/>
        </w:numPr>
        <w:ind w:right="709"/>
        <w:jc w:val="both"/>
        <w:rPr>
          <w:rFonts w:ascii="Arial" w:hAnsi="Arial" w:cs="Arial"/>
          <w:color w:val="000000"/>
          <w:sz w:val="21"/>
          <w:szCs w:val="21"/>
        </w:rPr>
      </w:pPr>
      <w:r w:rsidRPr="003E5A91">
        <w:rPr>
          <w:rFonts w:ascii="Arial" w:eastAsia="Calibri" w:hAnsi="Arial" w:cs="Arial"/>
          <w:sz w:val="22"/>
        </w:rPr>
        <w:t>«¿</w:t>
      </w:r>
      <w:r w:rsidRPr="003E5A91">
        <w:rPr>
          <w:rFonts w:ascii="Arial" w:hAnsi="Arial" w:cs="Arial"/>
          <w:color w:val="000000"/>
          <w:sz w:val="21"/>
          <w:szCs w:val="21"/>
          <w:bdr w:val="none" w:sz="0" w:space="0" w:color="auto" w:frame="1"/>
        </w:rPr>
        <w:t>El factor capacidad financiera (CF) para propósitos de la capacidad residual (índice de liquidez) y capacidad de organización (ingresos operacionales), ¿es obligatorio solicitar estados financieros para proponentes persona natural no obligados a llevar contabilidad y sin Registro Único de Proponentes</w:t>
      </w:r>
      <w:r w:rsidRPr="003E5A91">
        <w:rPr>
          <w:rFonts w:ascii="Arial" w:hAnsi="Arial" w:cs="Arial"/>
          <w:sz w:val="22"/>
        </w:rPr>
        <w:t>?».</w:t>
      </w:r>
    </w:p>
    <w:p w14:paraId="02981C0C" w14:textId="77777777" w:rsidR="0006642C" w:rsidRDefault="0006642C" w:rsidP="0006642C">
      <w:pPr>
        <w:rPr>
          <w:rFonts w:ascii="Arial" w:eastAsia="Calibri" w:hAnsi="Arial" w:cs="Arial"/>
          <w:b/>
          <w:color w:val="000000" w:themeColor="text1"/>
          <w:sz w:val="22"/>
        </w:rPr>
      </w:pPr>
    </w:p>
    <w:p w14:paraId="2078985B" w14:textId="77777777" w:rsidR="0006642C" w:rsidRDefault="0006642C" w:rsidP="0006642C">
      <w:pPr>
        <w:rPr>
          <w:rFonts w:ascii="Arial" w:eastAsia="Calibri" w:hAnsi="Arial" w:cs="Arial"/>
          <w:b/>
          <w:color w:val="000000" w:themeColor="text1"/>
          <w:sz w:val="22"/>
        </w:rPr>
      </w:pPr>
    </w:p>
    <w:p w14:paraId="4D79A40A" w14:textId="77777777" w:rsidR="0006642C" w:rsidRPr="001B0D3D" w:rsidRDefault="0006642C" w:rsidP="0006642C">
      <w:pPr>
        <w:rPr>
          <w:rFonts w:ascii="Arial" w:eastAsia="Calibri" w:hAnsi="Arial" w:cs="Arial"/>
          <w:b/>
          <w:color w:val="000000" w:themeColor="text1"/>
          <w:sz w:val="22"/>
        </w:rPr>
      </w:pPr>
    </w:p>
    <w:p w14:paraId="4E970154" w14:textId="77777777" w:rsidR="0006642C" w:rsidRPr="006C0EA1" w:rsidRDefault="0006642C" w:rsidP="0006642C">
      <w:pPr>
        <w:spacing w:line="276" w:lineRule="auto"/>
        <w:jc w:val="both"/>
        <w:rPr>
          <w:rFonts w:ascii="Arial" w:eastAsia="Calibri" w:hAnsi="Arial" w:cs="Arial"/>
          <w:color w:val="000000" w:themeColor="text1"/>
          <w:sz w:val="22"/>
        </w:rPr>
      </w:pPr>
      <w:r>
        <w:rPr>
          <w:rFonts w:ascii="Arial" w:eastAsia="Calibri" w:hAnsi="Arial" w:cs="Arial"/>
          <w:b/>
          <w:color w:val="000000" w:themeColor="text1"/>
          <w:sz w:val="22"/>
        </w:rPr>
        <w:t xml:space="preserve">2. </w:t>
      </w:r>
      <w:r w:rsidRPr="006C0EA1">
        <w:rPr>
          <w:rFonts w:ascii="Arial" w:eastAsia="Calibri" w:hAnsi="Arial" w:cs="Arial"/>
          <w:b/>
          <w:color w:val="000000" w:themeColor="text1"/>
          <w:sz w:val="22"/>
        </w:rPr>
        <w:t>Consideraciones</w:t>
      </w:r>
    </w:p>
    <w:p w14:paraId="121ACA5C" w14:textId="77777777" w:rsidR="0006642C" w:rsidRPr="00ED0F53" w:rsidRDefault="0006642C" w:rsidP="0006642C">
      <w:pPr>
        <w:pStyle w:val="Prrafodelista"/>
        <w:ind w:left="284"/>
        <w:jc w:val="both"/>
        <w:rPr>
          <w:rFonts w:ascii="Arial" w:eastAsia="Calibri" w:hAnsi="Arial" w:cs="Arial"/>
          <w:color w:val="000000" w:themeColor="text1"/>
          <w:sz w:val="22"/>
        </w:rPr>
      </w:pPr>
    </w:p>
    <w:p w14:paraId="28D1F2E8" w14:textId="77777777" w:rsidR="0006642C" w:rsidRDefault="0006642C" w:rsidP="0006642C">
      <w:pPr>
        <w:spacing w:after="120" w:line="276" w:lineRule="auto"/>
        <w:jc w:val="both"/>
        <w:rPr>
          <w:rFonts w:ascii="Arial" w:hAnsi="Arial" w:cs="Arial"/>
          <w:bCs/>
          <w:sz w:val="22"/>
        </w:rPr>
      </w:pPr>
      <w:r>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19606CB3" w14:textId="77777777" w:rsidR="0006642C" w:rsidRDefault="0006642C" w:rsidP="0006642C">
      <w:pPr>
        <w:tabs>
          <w:tab w:val="left" w:pos="426"/>
        </w:tabs>
        <w:spacing w:after="120" w:line="276" w:lineRule="auto"/>
        <w:jc w:val="both"/>
        <w:rPr>
          <w:rFonts w:ascii="Arial" w:eastAsia="Calibri" w:hAnsi="Arial" w:cs="Arial"/>
          <w:bCs/>
          <w:sz w:val="22"/>
        </w:rPr>
      </w:pPr>
      <w:r>
        <w:rPr>
          <w:rFonts w:ascii="Arial" w:hAnsi="Arial" w:cs="Arial"/>
          <w:sz w:val="22"/>
          <w:lang w:val="es-ES"/>
        </w:rPr>
        <w:tab/>
      </w:r>
      <w:r>
        <w:rPr>
          <w:rFonts w:ascii="Arial" w:hAnsi="Arial" w:cs="Arial"/>
          <w:sz w:val="22"/>
          <w:lang w:val="es-ES"/>
        </w:rPr>
        <w:tab/>
        <w:t>Es necesario tener en cuenta que esta entidad solo tiene competencia para responder solicitudes sobre la aplicación de normas de carácter general en materia de compras y contratación pública</w:t>
      </w:r>
      <w:r w:rsidRPr="00162BC5">
        <w:rPr>
          <w:rFonts w:ascii="Arial" w:hAnsi="Arial" w:cs="Arial"/>
          <w:sz w:val="22"/>
          <w:vertAlign w:val="superscript"/>
          <w:lang w:val="es-ES"/>
        </w:rPr>
        <w:footnoteReference w:id="1"/>
      </w:r>
      <w:r>
        <w:rPr>
          <w:rFonts w:ascii="Arial" w:hAnsi="Arial" w:cs="Arial"/>
          <w:sz w:val="22"/>
          <w:lang w:val="es-ES"/>
        </w:rPr>
        <w:t xml:space="preserve">. Esta </w:t>
      </w:r>
      <w:r w:rsidRPr="00162BC5">
        <w:rPr>
          <w:rFonts w:ascii="Arial" w:hAnsi="Arial" w:cs="Arial"/>
          <w:sz w:val="22"/>
          <w:lang w:val="es-ES"/>
        </w:rPr>
        <w:t>se fija con límites claros, con el objeto de evitar que la Agencia actúe como una instancia de validación de las actuaciones de las entidades sujetas a la Ley 80 de 1993 o de los demás participantes de la contratación pública</w:t>
      </w:r>
      <w:r>
        <w:rPr>
          <w:rFonts w:ascii="Arial" w:hAnsi="Arial" w:cs="Arial"/>
          <w:sz w:val="22"/>
          <w:lang w:val="es-ES"/>
        </w:rPr>
        <w:t>.</w:t>
      </w:r>
    </w:p>
    <w:p w14:paraId="2336CE45" w14:textId="77777777" w:rsidR="0006642C" w:rsidRPr="00217435" w:rsidRDefault="0006642C" w:rsidP="0006642C">
      <w:pPr>
        <w:spacing w:after="120" w:line="276" w:lineRule="auto"/>
        <w:ind w:firstLine="709"/>
        <w:jc w:val="both"/>
        <w:rPr>
          <w:rFonts w:ascii="Arial" w:eastAsia="Calibri" w:hAnsi="Arial" w:cs="Arial"/>
          <w:b/>
          <w:sz w:val="22"/>
          <w:lang w:val="es-ES"/>
        </w:rPr>
      </w:pPr>
      <w:r>
        <w:rPr>
          <w:rFonts w:ascii="Arial" w:eastAsia="Calibri" w:hAnsi="Arial" w:cs="Arial"/>
          <w:color w:val="000000" w:themeColor="text1"/>
          <w:sz w:val="22"/>
          <w:lang w:val="es-ES"/>
        </w:rPr>
        <w:t>Por ello, la Agencia –dentro de los límites de sus atribuciones– resolverá la consulta conforme a las normas generales en materia de contratación estatal. Con este objetivo se analizarán los siguientes temas:</w:t>
      </w:r>
      <w:r w:rsidRPr="001B0D3D">
        <w:rPr>
          <w:rFonts w:ascii="Arial" w:eastAsia="Calibri" w:hAnsi="Arial" w:cs="Arial"/>
          <w:color w:val="000000" w:themeColor="text1"/>
          <w:sz w:val="22"/>
        </w:rPr>
        <w:t xml:space="preserve"> </w:t>
      </w:r>
      <w:r>
        <w:rPr>
          <w:rFonts w:ascii="Arial" w:eastAsia="Calibri" w:hAnsi="Arial" w:cs="Arial"/>
          <w:color w:val="000000" w:themeColor="text1"/>
          <w:sz w:val="22"/>
        </w:rPr>
        <w:t>i) naturaleza de los documentos tipo y su inalterabilidad, ii) generalidades del Registro Único de Proponentes y los procesos donde no es exigible; y iii) la c</w:t>
      </w:r>
      <w:r w:rsidRPr="004D5F3A">
        <w:rPr>
          <w:rFonts w:ascii="Arial" w:eastAsia="Calibri" w:hAnsi="Arial" w:cs="Arial"/>
          <w:color w:val="000000" w:themeColor="text1"/>
          <w:sz w:val="22"/>
        </w:rPr>
        <w:t>apacidad residual en los procedimientos de selección para celebrar contratos de obra pública</w:t>
      </w:r>
      <w:r>
        <w:rPr>
          <w:rFonts w:ascii="Arial" w:eastAsia="Calibri" w:hAnsi="Arial" w:cs="Arial"/>
          <w:color w:val="000000" w:themeColor="text1"/>
          <w:sz w:val="22"/>
        </w:rPr>
        <w:t>, donde se estudiarán algunas particularidades de</w:t>
      </w:r>
      <w:r w:rsidRPr="004D5F3A">
        <w:rPr>
          <w:rFonts w:ascii="Arial" w:eastAsia="Calibri" w:hAnsi="Arial" w:cs="Arial"/>
          <w:color w:val="000000" w:themeColor="text1"/>
          <w:sz w:val="22"/>
        </w:rPr>
        <w:t xml:space="preserve"> </w:t>
      </w:r>
      <w:r>
        <w:rPr>
          <w:rFonts w:ascii="Arial" w:eastAsia="Calibri" w:hAnsi="Arial" w:cs="Arial"/>
          <w:color w:val="000000" w:themeColor="text1"/>
          <w:sz w:val="22"/>
        </w:rPr>
        <w:t>l</w:t>
      </w:r>
      <w:r w:rsidRPr="004D5F3A">
        <w:rPr>
          <w:rFonts w:ascii="Arial" w:eastAsia="Calibri" w:hAnsi="Arial" w:cs="Arial"/>
          <w:color w:val="000000" w:themeColor="text1"/>
          <w:sz w:val="22"/>
        </w:rPr>
        <w:t>os documentos tipo de mínima cuantía de obra de infraestructura de transporte</w:t>
      </w:r>
      <w:r>
        <w:rPr>
          <w:rFonts w:ascii="Arial" w:eastAsia="Calibri" w:hAnsi="Arial" w:cs="Arial"/>
          <w:color w:val="000000" w:themeColor="text1"/>
          <w:sz w:val="22"/>
        </w:rPr>
        <w:t>.</w:t>
      </w:r>
      <w:r w:rsidRPr="004D5F3A">
        <w:rPr>
          <w:rFonts w:ascii="Arial" w:eastAsia="Calibri" w:hAnsi="Arial" w:cs="Arial"/>
          <w:color w:val="000000" w:themeColor="text1"/>
          <w:sz w:val="22"/>
        </w:rPr>
        <w:t xml:space="preserve"> </w:t>
      </w:r>
    </w:p>
    <w:p w14:paraId="0893EC3C" w14:textId="77777777" w:rsidR="0006642C" w:rsidRDefault="0006642C" w:rsidP="0006642C">
      <w:pPr>
        <w:spacing w:before="120" w:line="276" w:lineRule="auto"/>
        <w:ind w:firstLine="708"/>
        <w:jc w:val="both"/>
        <w:rPr>
          <w:rFonts w:ascii="Arial" w:eastAsia="Calibri" w:hAnsi="Arial" w:cs="Arial"/>
          <w:sz w:val="22"/>
        </w:rPr>
      </w:pPr>
      <w:r>
        <w:rPr>
          <w:rFonts w:ascii="Arial" w:eastAsia="Calibri" w:hAnsi="Arial" w:cs="Arial"/>
          <w:sz w:val="22"/>
        </w:rPr>
        <w:t xml:space="preserve">Esta </w:t>
      </w:r>
      <w:r w:rsidRPr="00A03FAB">
        <w:rPr>
          <w:rFonts w:ascii="Arial" w:eastAsia="Calibri" w:hAnsi="Arial" w:cs="Arial"/>
          <w:sz w:val="22"/>
        </w:rPr>
        <w:t xml:space="preserve">Agencia se ha pronunciado sobre la capacidad residual y la forma </w:t>
      </w:r>
      <w:r>
        <w:rPr>
          <w:rFonts w:ascii="Arial" w:eastAsia="Calibri" w:hAnsi="Arial" w:cs="Arial"/>
          <w:sz w:val="22"/>
        </w:rPr>
        <w:t>como esta se debe acreditar</w:t>
      </w:r>
      <w:r w:rsidRPr="00A03FAB">
        <w:rPr>
          <w:rFonts w:ascii="Arial" w:eastAsia="Calibri" w:hAnsi="Arial" w:cs="Arial"/>
          <w:sz w:val="22"/>
        </w:rPr>
        <w:t xml:space="preserve"> en los conceptos 2201913000006275</w:t>
      </w:r>
      <w:r>
        <w:rPr>
          <w:rFonts w:ascii="Arial" w:eastAsia="Calibri" w:hAnsi="Arial" w:cs="Arial"/>
          <w:sz w:val="22"/>
        </w:rPr>
        <w:t xml:space="preserve"> del </w:t>
      </w:r>
      <w:r w:rsidRPr="00A03FAB">
        <w:rPr>
          <w:rFonts w:ascii="Arial" w:eastAsia="Calibri" w:hAnsi="Arial" w:cs="Arial"/>
          <w:sz w:val="22"/>
        </w:rPr>
        <w:t xml:space="preserve">27 de agosto y el 20 y 26 </w:t>
      </w:r>
      <w:r>
        <w:rPr>
          <w:rFonts w:ascii="Arial" w:eastAsia="Calibri" w:hAnsi="Arial" w:cs="Arial"/>
          <w:sz w:val="22"/>
        </w:rPr>
        <w:t xml:space="preserve">del </w:t>
      </w:r>
      <w:r w:rsidRPr="00A03FAB">
        <w:rPr>
          <w:rFonts w:ascii="Arial" w:eastAsia="Calibri" w:hAnsi="Arial" w:cs="Arial"/>
          <w:sz w:val="22"/>
        </w:rPr>
        <w:t>2 de diciembre de 2019 −radicados Nos., 2201913000009465, 2201913000009642 y 2201913000009640−; así como en los conceptos C–02</w:t>
      </w:r>
      <w:r>
        <w:rPr>
          <w:rFonts w:ascii="Arial" w:eastAsia="Calibri" w:hAnsi="Arial" w:cs="Arial"/>
          <w:sz w:val="22"/>
        </w:rPr>
        <w:t>2 del 20 de febrero de 2020,</w:t>
      </w:r>
      <w:r w:rsidRPr="00A03FAB">
        <w:rPr>
          <w:rFonts w:ascii="Arial" w:eastAsia="Calibri" w:hAnsi="Arial" w:cs="Arial"/>
          <w:sz w:val="22"/>
        </w:rPr>
        <w:t xml:space="preserve"> C–089</w:t>
      </w:r>
      <w:r>
        <w:rPr>
          <w:rFonts w:ascii="Arial" w:eastAsia="Calibri" w:hAnsi="Arial" w:cs="Arial"/>
          <w:sz w:val="22"/>
        </w:rPr>
        <w:t xml:space="preserve"> del 4 de marzo de 2020</w:t>
      </w:r>
      <w:r w:rsidRPr="00A03FAB">
        <w:rPr>
          <w:rFonts w:ascii="Arial" w:eastAsia="Calibri" w:hAnsi="Arial" w:cs="Arial"/>
          <w:sz w:val="22"/>
        </w:rPr>
        <w:t>, C–112</w:t>
      </w:r>
      <w:r>
        <w:rPr>
          <w:rFonts w:ascii="Arial" w:eastAsia="Calibri" w:hAnsi="Arial" w:cs="Arial"/>
          <w:sz w:val="22"/>
        </w:rPr>
        <w:t xml:space="preserve"> del 16 de marzo del 2020</w:t>
      </w:r>
      <w:r w:rsidRPr="00A03FAB">
        <w:rPr>
          <w:rFonts w:ascii="Arial" w:eastAsia="Calibri" w:hAnsi="Arial" w:cs="Arial"/>
          <w:sz w:val="22"/>
        </w:rPr>
        <w:t>, C–133</w:t>
      </w:r>
      <w:r>
        <w:rPr>
          <w:rFonts w:ascii="Arial" w:eastAsia="Calibri" w:hAnsi="Arial" w:cs="Arial"/>
          <w:sz w:val="22"/>
        </w:rPr>
        <w:t xml:space="preserve"> del 25 de marzo del 2020</w:t>
      </w:r>
      <w:r w:rsidRPr="00A03FAB">
        <w:rPr>
          <w:rFonts w:ascii="Arial" w:eastAsia="Calibri" w:hAnsi="Arial" w:cs="Arial"/>
          <w:sz w:val="22"/>
        </w:rPr>
        <w:t>, C–194 de 2020</w:t>
      </w:r>
      <w:r>
        <w:rPr>
          <w:rFonts w:ascii="Arial" w:eastAsia="Calibri" w:hAnsi="Arial" w:cs="Arial"/>
          <w:sz w:val="22"/>
        </w:rPr>
        <w:t xml:space="preserve"> del 21 de abril de 2020, </w:t>
      </w:r>
      <w:r w:rsidRPr="00A03FAB">
        <w:rPr>
          <w:rFonts w:ascii="Arial" w:eastAsia="Calibri" w:hAnsi="Arial" w:cs="Arial"/>
          <w:sz w:val="22"/>
        </w:rPr>
        <w:t>C–326 de</w:t>
      </w:r>
      <w:r>
        <w:rPr>
          <w:rFonts w:ascii="Arial" w:eastAsia="Calibri" w:hAnsi="Arial" w:cs="Arial"/>
          <w:sz w:val="22"/>
        </w:rPr>
        <w:t>l 9 de junio de</w:t>
      </w:r>
      <w:r w:rsidRPr="00A03FAB">
        <w:rPr>
          <w:rFonts w:ascii="Arial" w:eastAsia="Calibri" w:hAnsi="Arial" w:cs="Arial"/>
          <w:sz w:val="22"/>
        </w:rPr>
        <w:t xml:space="preserve"> 2020</w:t>
      </w:r>
      <w:r>
        <w:rPr>
          <w:rFonts w:ascii="Arial" w:eastAsia="Calibri" w:hAnsi="Arial" w:cs="Arial"/>
          <w:sz w:val="22"/>
        </w:rPr>
        <w:t xml:space="preserve"> y</w:t>
      </w:r>
      <w:r w:rsidRPr="00A03FAB">
        <w:rPr>
          <w:rFonts w:ascii="Arial" w:eastAsia="Calibri" w:hAnsi="Arial" w:cs="Arial"/>
          <w:sz w:val="22"/>
        </w:rPr>
        <w:t xml:space="preserve"> C-446 del 6 de julio de 2020.</w:t>
      </w:r>
      <w:r>
        <w:rPr>
          <w:rFonts w:ascii="Arial" w:eastAsia="Calibri" w:hAnsi="Arial" w:cs="Arial"/>
          <w:sz w:val="22"/>
        </w:rPr>
        <w:t xml:space="preserve"> Además, recientemente se expidieron los conceptos C-045 del 5 de marzo de 2021 y C-003 del 26 de marzo de 2021.</w:t>
      </w:r>
      <w:r w:rsidRPr="00A03FAB">
        <w:rPr>
          <w:rFonts w:ascii="Arial" w:eastAsia="Calibri" w:hAnsi="Arial" w:cs="Arial"/>
          <w:sz w:val="22"/>
        </w:rPr>
        <w:t xml:space="preserve"> La</w:t>
      </w:r>
      <w:r>
        <w:rPr>
          <w:rFonts w:ascii="Arial" w:eastAsia="Calibri" w:hAnsi="Arial" w:cs="Arial"/>
          <w:sz w:val="22"/>
        </w:rPr>
        <w:t>s</w:t>
      </w:r>
      <w:r w:rsidRPr="00A03FAB">
        <w:rPr>
          <w:rFonts w:ascii="Arial" w:eastAsia="Calibri" w:hAnsi="Arial" w:cs="Arial"/>
          <w:sz w:val="22"/>
        </w:rPr>
        <w:t xml:space="preserve"> tesis propuesta</w:t>
      </w:r>
      <w:r>
        <w:rPr>
          <w:rFonts w:ascii="Arial" w:eastAsia="Calibri" w:hAnsi="Arial" w:cs="Arial"/>
          <w:sz w:val="22"/>
        </w:rPr>
        <w:t>s</w:t>
      </w:r>
      <w:r w:rsidRPr="00A03FAB">
        <w:rPr>
          <w:rFonts w:ascii="Arial" w:eastAsia="Calibri" w:hAnsi="Arial" w:cs="Arial"/>
          <w:sz w:val="22"/>
        </w:rPr>
        <w:t xml:space="preserve"> </w:t>
      </w:r>
      <w:r>
        <w:rPr>
          <w:rFonts w:ascii="Arial" w:eastAsia="Calibri" w:hAnsi="Arial" w:cs="Arial"/>
          <w:sz w:val="22"/>
        </w:rPr>
        <w:t xml:space="preserve">en dichos conceptos se reiteran </w:t>
      </w:r>
      <w:r w:rsidRPr="00A03FAB">
        <w:rPr>
          <w:rFonts w:ascii="Arial" w:eastAsia="Calibri" w:hAnsi="Arial" w:cs="Arial"/>
          <w:sz w:val="22"/>
        </w:rPr>
        <w:t>y, en lo necesario, se complementa</w:t>
      </w:r>
      <w:r>
        <w:rPr>
          <w:rFonts w:ascii="Arial" w:eastAsia="Calibri" w:hAnsi="Arial" w:cs="Arial"/>
          <w:sz w:val="22"/>
        </w:rPr>
        <w:t>n</w:t>
      </w:r>
      <w:r w:rsidRPr="00A03FAB">
        <w:rPr>
          <w:rFonts w:ascii="Arial" w:eastAsia="Calibri" w:hAnsi="Arial" w:cs="Arial"/>
          <w:sz w:val="22"/>
        </w:rPr>
        <w:t xml:space="preserve"> con</w:t>
      </w:r>
      <w:r>
        <w:rPr>
          <w:rFonts w:ascii="Arial" w:eastAsia="Calibri" w:hAnsi="Arial" w:cs="Arial"/>
          <w:sz w:val="22"/>
        </w:rPr>
        <w:t>forme a</w:t>
      </w:r>
      <w:r w:rsidRPr="00A03FAB">
        <w:rPr>
          <w:rFonts w:ascii="Arial" w:eastAsia="Calibri" w:hAnsi="Arial" w:cs="Arial"/>
          <w:sz w:val="22"/>
        </w:rPr>
        <w:t xml:space="preserve"> las siguientes consideraciones</w:t>
      </w:r>
      <w:r>
        <w:rPr>
          <w:rFonts w:ascii="Arial" w:eastAsia="Calibri" w:hAnsi="Arial" w:cs="Arial"/>
          <w:sz w:val="22"/>
        </w:rPr>
        <w:t>.</w:t>
      </w:r>
    </w:p>
    <w:p w14:paraId="2DDA71FF" w14:textId="77777777" w:rsidR="0006642C" w:rsidRDefault="0006642C" w:rsidP="0006642C">
      <w:pPr>
        <w:spacing w:line="276" w:lineRule="auto"/>
        <w:jc w:val="both"/>
        <w:rPr>
          <w:rFonts w:ascii="Arial" w:eastAsia="Calibri" w:hAnsi="Arial" w:cs="Arial"/>
          <w:sz w:val="22"/>
        </w:rPr>
      </w:pPr>
    </w:p>
    <w:p w14:paraId="3053FFF5" w14:textId="77777777" w:rsidR="0006642C" w:rsidRDefault="0006642C" w:rsidP="0006642C">
      <w:pPr>
        <w:spacing w:line="276" w:lineRule="auto"/>
        <w:jc w:val="both"/>
        <w:rPr>
          <w:rFonts w:ascii="Arial" w:eastAsia="Calibri" w:hAnsi="Arial" w:cs="Arial"/>
          <w:sz w:val="22"/>
        </w:rPr>
      </w:pPr>
    </w:p>
    <w:p w14:paraId="218F15F3" w14:textId="77777777" w:rsidR="0006642C" w:rsidRDefault="0006642C" w:rsidP="0006642C">
      <w:pPr>
        <w:spacing w:line="276" w:lineRule="auto"/>
        <w:jc w:val="both"/>
        <w:rPr>
          <w:rFonts w:ascii="Arial" w:eastAsia="Calibri" w:hAnsi="Arial" w:cs="Arial"/>
          <w:sz w:val="22"/>
        </w:rPr>
      </w:pPr>
    </w:p>
    <w:p w14:paraId="0949CABF" w14:textId="77777777" w:rsidR="0006642C" w:rsidRDefault="0006642C" w:rsidP="0006642C">
      <w:pPr>
        <w:spacing w:line="276" w:lineRule="auto"/>
        <w:jc w:val="both"/>
        <w:rPr>
          <w:rFonts w:ascii="Arial" w:eastAsia="Calibri" w:hAnsi="Arial" w:cs="Arial"/>
          <w:sz w:val="22"/>
        </w:rPr>
      </w:pPr>
    </w:p>
    <w:p w14:paraId="6EF3AF17" w14:textId="77777777" w:rsidR="0006642C" w:rsidRDefault="0006642C" w:rsidP="0006642C">
      <w:pPr>
        <w:spacing w:line="276" w:lineRule="auto"/>
        <w:jc w:val="both"/>
        <w:rPr>
          <w:rFonts w:ascii="Arial" w:eastAsia="Calibri" w:hAnsi="Arial" w:cs="Arial"/>
          <w:b/>
          <w:bCs/>
          <w:sz w:val="22"/>
        </w:rPr>
      </w:pPr>
      <w:r w:rsidRPr="003E5A91">
        <w:rPr>
          <w:rFonts w:ascii="Arial" w:eastAsia="Calibri" w:hAnsi="Arial" w:cs="Arial"/>
          <w:b/>
          <w:bCs/>
          <w:sz w:val="22"/>
        </w:rPr>
        <w:t xml:space="preserve">2.1. Naturaleza de los documentos tipo y su carácter de inalterabilidad </w:t>
      </w:r>
    </w:p>
    <w:p w14:paraId="1590FDEB" w14:textId="77777777" w:rsidR="0006642C" w:rsidRDefault="0006642C" w:rsidP="0006642C">
      <w:pPr>
        <w:spacing w:line="276" w:lineRule="auto"/>
        <w:jc w:val="both"/>
        <w:rPr>
          <w:rFonts w:ascii="Arial" w:eastAsia="Calibri" w:hAnsi="Arial" w:cs="Arial"/>
          <w:b/>
          <w:bCs/>
          <w:sz w:val="22"/>
        </w:rPr>
      </w:pPr>
    </w:p>
    <w:p w14:paraId="7669DDE2" w14:textId="77777777" w:rsidR="0006642C" w:rsidRPr="003E5A91" w:rsidRDefault="0006642C" w:rsidP="0006642C">
      <w:pPr>
        <w:spacing w:before="120" w:after="120" w:line="276" w:lineRule="auto"/>
        <w:jc w:val="both"/>
        <w:rPr>
          <w:rFonts w:ascii="Arial" w:hAnsi="Arial" w:cs="Arial"/>
          <w:color w:val="000000"/>
          <w:sz w:val="22"/>
          <w:szCs w:val="22"/>
          <w:lang w:val="es-ES_tradnl"/>
        </w:rPr>
      </w:pPr>
      <w:r w:rsidRPr="003E5A91">
        <w:rPr>
          <w:rFonts w:ascii="Arial" w:hAnsi="Arial" w:cs="Arial"/>
          <w:color w:val="000000"/>
          <w:sz w:val="22"/>
          <w:szCs w:val="22"/>
          <w:lang w:val="es-ES_tradnl"/>
        </w:rPr>
        <w:t>La adopción de los documentos tipo obligatorios en el ordenamiento jurídico colombiano se incluyó por primera vez en el parágrafo 3 del artículo 2 de la Ley 1150 de 2007</w:t>
      </w:r>
      <w:r w:rsidRPr="003E5A91">
        <w:rPr>
          <w:rStyle w:val="Refdenotaalpie"/>
          <w:rFonts w:ascii="Arial" w:hAnsi="Arial" w:cs="Arial"/>
          <w:color w:val="000000"/>
          <w:sz w:val="22"/>
          <w:szCs w:val="22"/>
          <w:lang w:val="es-ES_tradnl"/>
        </w:rPr>
        <w:footnoteReference w:id="2"/>
      </w:r>
      <w:r w:rsidRPr="003E5A91">
        <w:rPr>
          <w:rFonts w:ascii="Arial" w:hAnsi="Arial" w:cs="Arial"/>
          <w:color w:val="000000"/>
          <w:sz w:val="22"/>
          <w:szCs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56722C2C" w14:textId="77777777" w:rsidR="0006642C" w:rsidRPr="003E5A91" w:rsidRDefault="0006642C" w:rsidP="0006642C">
      <w:pPr>
        <w:spacing w:before="120" w:after="120" w:line="276" w:lineRule="auto"/>
        <w:ind w:firstLine="709"/>
        <w:jc w:val="both"/>
        <w:rPr>
          <w:rFonts w:ascii="Arial" w:hAnsi="Arial" w:cs="Arial"/>
          <w:color w:val="000000"/>
          <w:sz w:val="22"/>
          <w:szCs w:val="22"/>
          <w:lang w:val="es-ES_tradnl"/>
        </w:rPr>
      </w:pPr>
      <w:r w:rsidRPr="003E5A91">
        <w:rPr>
          <w:rFonts w:ascii="Arial" w:hAnsi="Arial" w:cs="Arial"/>
          <w:color w:val="000000"/>
          <w:sz w:val="22"/>
          <w:szCs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75158499" w14:textId="77777777" w:rsidR="0006642C" w:rsidRPr="003E5A91" w:rsidRDefault="0006642C" w:rsidP="0006642C">
      <w:pPr>
        <w:spacing w:before="120" w:after="120" w:line="276" w:lineRule="auto"/>
        <w:ind w:firstLine="709"/>
        <w:jc w:val="both"/>
        <w:rPr>
          <w:rFonts w:ascii="Arial" w:hAnsi="Arial" w:cs="Arial"/>
          <w:color w:val="000000"/>
          <w:sz w:val="22"/>
          <w:szCs w:val="22"/>
          <w:lang w:val="es-ES_tradnl"/>
        </w:rPr>
      </w:pPr>
      <w:r w:rsidRPr="003E5A91">
        <w:rPr>
          <w:rFonts w:ascii="Arial" w:hAnsi="Arial" w:cs="Arial"/>
          <w:color w:val="000000"/>
          <w:sz w:val="22"/>
          <w:szCs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3E5A91">
        <w:rPr>
          <w:rStyle w:val="Refdenotaalpie"/>
          <w:rFonts w:ascii="Arial" w:hAnsi="Arial" w:cs="Arial"/>
          <w:color w:val="000000"/>
          <w:sz w:val="22"/>
          <w:szCs w:val="22"/>
          <w:lang w:val="es-ES_tradnl"/>
        </w:rPr>
        <w:footnoteReference w:id="3"/>
      </w:r>
      <w:r w:rsidRPr="003E5A91">
        <w:rPr>
          <w:rFonts w:ascii="Arial" w:hAnsi="Arial" w:cs="Arial"/>
          <w:color w:val="000000"/>
          <w:sz w:val="22"/>
          <w:szCs w:val="22"/>
          <w:lang w:val="es-ES_tradnl"/>
        </w:rPr>
        <w:t>.</w:t>
      </w:r>
    </w:p>
    <w:p w14:paraId="558CE202" w14:textId="77777777" w:rsidR="0006642C" w:rsidRPr="003E5A91" w:rsidRDefault="0006642C" w:rsidP="0006642C">
      <w:pPr>
        <w:spacing w:before="120" w:after="120" w:line="276" w:lineRule="auto"/>
        <w:ind w:firstLine="709"/>
        <w:jc w:val="both"/>
        <w:rPr>
          <w:rFonts w:ascii="Arial" w:hAnsi="Arial" w:cs="Arial"/>
          <w:color w:val="000000"/>
          <w:sz w:val="22"/>
          <w:szCs w:val="22"/>
          <w:lang w:val="es-ES_tradnl"/>
        </w:rPr>
      </w:pPr>
      <w:r w:rsidRPr="003E5A91">
        <w:rPr>
          <w:rFonts w:ascii="Arial" w:hAnsi="Arial" w:cs="Arial"/>
          <w:color w:val="000000"/>
          <w:sz w:val="22"/>
          <w:szCs w:val="22"/>
          <w:lang w:val="es-ES_tradnl"/>
        </w:rPr>
        <w:lastRenderedPageBreak/>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18C74D75" w14:textId="77777777" w:rsidR="0006642C" w:rsidRPr="003E5A91" w:rsidRDefault="0006642C" w:rsidP="0006642C">
      <w:pPr>
        <w:spacing w:before="120" w:after="120" w:line="276" w:lineRule="auto"/>
        <w:ind w:firstLine="709"/>
        <w:jc w:val="both"/>
        <w:rPr>
          <w:rFonts w:ascii="Arial" w:hAnsi="Arial" w:cs="Arial"/>
          <w:color w:val="000000"/>
          <w:sz w:val="22"/>
          <w:szCs w:val="22"/>
          <w:lang w:val="es-ES_tradnl"/>
        </w:rPr>
      </w:pPr>
      <w:r w:rsidRPr="003E5A91">
        <w:rPr>
          <w:rFonts w:ascii="Arial" w:hAnsi="Arial" w:cs="Arial"/>
          <w:color w:val="000000"/>
          <w:sz w:val="22"/>
          <w:szCs w:val="22"/>
          <w:lang w:val="es-ES_tradnl"/>
        </w:rPr>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30F3361B" w14:textId="77777777" w:rsidR="0006642C" w:rsidRPr="003E5A91" w:rsidRDefault="0006642C" w:rsidP="0006642C">
      <w:pPr>
        <w:spacing w:before="120" w:after="120" w:line="276" w:lineRule="auto"/>
        <w:ind w:firstLine="709"/>
        <w:jc w:val="both"/>
        <w:rPr>
          <w:rFonts w:ascii="Arial" w:hAnsi="Arial" w:cs="Arial"/>
          <w:color w:val="000000"/>
          <w:sz w:val="22"/>
          <w:szCs w:val="22"/>
          <w:lang w:val="es-ES_tradnl"/>
        </w:rPr>
      </w:pPr>
      <w:r w:rsidRPr="003E5A91">
        <w:rPr>
          <w:rFonts w:ascii="Arial" w:hAnsi="Arial" w:cs="Arial"/>
          <w:color w:val="000000"/>
          <w:sz w:val="22"/>
          <w:szCs w:val="22"/>
          <w:lang w:val="es-ES_tradnl"/>
        </w:rPr>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0" w:name="_Hlk48665985"/>
      <w:r w:rsidRPr="003E5A91">
        <w:rPr>
          <w:rFonts w:ascii="Arial" w:hAnsi="Arial" w:cs="Arial"/>
          <w:color w:val="000000"/>
          <w:sz w:val="22"/>
          <w:szCs w:val="22"/>
          <w:lang w:val="es-ES_tradnl"/>
        </w:rPr>
        <w:t>y los criterios de escogencia, elementos propios del procedimiento de selección del contratista, materia en la que existe reserva de ley y que no se encuentra atribuida a la regulación de las entidades territoriales</w:t>
      </w:r>
      <w:bookmarkEnd w:id="0"/>
      <w:r w:rsidRPr="003E5A91">
        <w:rPr>
          <w:rFonts w:ascii="Arial" w:hAnsi="Arial" w:cs="Arial"/>
          <w:color w:val="000000"/>
          <w:sz w:val="22"/>
          <w:szCs w:val="22"/>
          <w:lang w:val="es-ES_tradnl"/>
        </w:rPr>
        <w:t xml:space="preserve">. De igual manera, se establece que esta autonomía se garantiza con la identificación autónoma de sus necesidades y la configuración de los elementos del contrato. </w:t>
      </w:r>
    </w:p>
    <w:p w14:paraId="7D6F70EA" w14:textId="77777777" w:rsidR="0006642C" w:rsidRPr="003E5A91" w:rsidRDefault="0006642C" w:rsidP="0006642C">
      <w:pPr>
        <w:pStyle w:val="Normal11pt"/>
        <w:spacing w:before="120" w:after="120" w:line="276" w:lineRule="auto"/>
        <w:ind w:left="0" w:firstLine="709"/>
        <w:rPr>
          <w:rFonts w:eastAsia="Calibri"/>
          <w:color w:val="000000" w:themeColor="text1"/>
        </w:rPr>
      </w:pPr>
      <w:r w:rsidRPr="003E5A91">
        <w:rPr>
          <w:rFonts w:eastAsia="Calibri"/>
          <w:color w:val="000000" w:themeColor="text1"/>
        </w:rPr>
        <w:t>Por otra parte</w:t>
      </w:r>
      <w:r w:rsidRPr="003E5A91">
        <w:rPr>
          <w:rFonts w:eastAsia="Calibri"/>
          <w:i/>
          <w:iCs/>
          <w:color w:val="000000" w:themeColor="text1"/>
        </w:rPr>
        <w:t>,</w:t>
      </w:r>
      <w:r w:rsidRPr="003E5A91">
        <w:rPr>
          <w:rFonts w:eastAsia="Calibri"/>
          <w:color w:val="000000" w:themeColor="text1"/>
        </w:rPr>
        <w:t xml:space="preserve"> debe tenerse en cuenta que la Ley 2022 de 2020 fue sancionada por el </w:t>
      </w:r>
      <w:proofErr w:type="gramStart"/>
      <w:r w:rsidRPr="003E5A91">
        <w:rPr>
          <w:rFonts w:eastAsia="Calibri"/>
          <w:color w:val="000000" w:themeColor="text1"/>
        </w:rPr>
        <w:t>Presidente</w:t>
      </w:r>
      <w:proofErr w:type="gramEnd"/>
      <w:r w:rsidRPr="003E5A91">
        <w:rPr>
          <w:rFonts w:eastAsia="Calibri"/>
          <w:color w:val="000000" w:themeColor="text1"/>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w:t>
      </w:r>
      <w:r w:rsidRPr="003E5A91">
        <w:rPr>
          <w:rFonts w:eastAsia="Calibri"/>
          <w:color w:val="000000" w:themeColor="text1"/>
        </w:rPr>
        <w:lastRenderedPageBreak/>
        <w:t xml:space="preserve">actualizan los Documentos Tipo para los procesos de selección de licitación de obra pública de infraestructura de transporte y se deroga la Resolución 0045 de 2020». </w:t>
      </w:r>
    </w:p>
    <w:p w14:paraId="374BA94F" w14:textId="77777777" w:rsidR="0006642C" w:rsidRPr="0072339F" w:rsidRDefault="0006642C" w:rsidP="0006642C">
      <w:pPr>
        <w:pStyle w:val="Normal11pt"/>
        <w:spacing w:before="120" w:line="276" w:lineRule="auto"/>
        <w:ind w:left="0" w:firstLine="708"/>
        <w:rPr>
          <w:rFonts w:eastAsia="Calibri"/>
          <w:color w:val="000000" w:themeColor="text1"/>
        </w:rPr>
      </w:pPr>
      <w:r w:rsidRPr="003E5A91">
        <w:rPr>
          <w:rFonts w:eastAsia="Calibri"/>
          <w:color w:val="000000" w:themeColor="text1"/>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3E5A91">
        <w:rPr>
          <w:rFonts w:eastAsia="Calibri"/>
          <w:color w:val="000000" w:themeColor="text1"/>
        </w:rPr>
        <w:t>entró en vigencia</w:t>
      </w:r>
      <w:proofErr w:type="gramEnd"/>
      <w:r w:rsidRPr="003E5A91">
        <w:rPr>
          <w:rFonts w:eastAsia="Calibri"/>
          <w:color w:val="000000" w:themeColor="text1"/>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w:t>
      </w:r>
      <w:r>
        <w:rPr>
          <w:rFonts w:eastAsia="Calibri"/>
          <w:color w:val="000000" w:themeColor="text1"/>
        </w:rPr>
        <w:t xml:space="preserve"> </w:t>
      </w:r>
      <w:r w:rsidRPr="0072339F">
        <w:rPr>
          <w:rFonts w:eastAsia="Calibri"/>
          <w:color w:val="000000" w:themeColor="text1"/>
        </w:rPr>
        <w:t xml:space="preserve">Recientemente se expidió la Resolución 161 de 2021 «Por la cual se modifican los documentos tipo adoptados por la Agencia Nacional de Contratación Pública - Colombia Compra Eficiente», esta última versión de los pliegos tipo rige desde el 28 de junio de 2021. </w:t>
      </w:r>
    </w:p>
    <w:p w14:paraId="6CAB0F8B" w14:textId="77777777" w:rsidR="0006642C" w:rsidRPr="003E5A91" w:rsidRDefault="0006642C" w:rsidP="0006642C">
      <w:pPr>
        <w:pStyle w:val="Normal11pt"/>
        <w:spacing w:before="120" w:line="276" w:lineRule="auto"/>
        <w:ind w:left="0" w:firstLine="708"/>
        <w:rPr>
          <w:rFonts w:eastAsia="Calibri"/>
          <w:color w:val="000000" w:themeColor="text1"/>
        </w:rPr>
      </w:pPr>
      <w:r w:rsidRPr="003E5A91">
        <w:rPr>
          <w:rFonts w:eastAsia="Calibri"/>
          <w:color w:val="000000" w:themeColor="text1"/>
        </w:rPr>
        <w:t xml:space="preserve">En síntesis, hasta el momento se han expedido los siguientes documentos tipo que son obligatorios para todas las entidades sometidas al Estatuto General de Contratación de la Administración Pública: </w:t>
      </w:r>
    </w:p>
    <w:p w14:paraId="79802B26" w14:textId="77777777" w:rsidR="0006642C" w:rsidRPr="00825F64" w:rsidRDefault="0006642C" w:rsidP="0006642C">
      <w:pPr>
        <w:spacing w:before="120" w:line="276" w:lineRule="auto"/>
        <w:ind w:firstLine="709"/>
        <w:jc w:val="both"/>
        <w:rPr>
          <w:rFonts w:ascii="Arial" w:eastAsia="Calibri" w:hAnsi="Arial" w:cs="Arial"/>
          <w:color w:val="000000"/>
          <w:sz w:val="22"/>
          <w:szCs w:val="22"/>
          <w:lang w:val="es-ES_tradnl" w:eastAsia="es-ES"/>
        </w:rPr>
      </w:pPr>
      <w:r w:rsidRPr="00825F64">
        <w:rPr>
          <w:rFonts w:ascii="Arial" w:eastAsia="Calibri" w:hAnsi="Arial" w:cs="Arial"/>
          <w:color w:val="000000"/>
          <w:sz w:val="22"/>
          <w:szCs w:val="22"/>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4504411F" w14:textId="77777777" w:rsidR="0006642C" w:rsidRPr="00825F64" w:rsidRDefault="0006642C" w:rsidP="0006642C">
      <w:pPr>
        <w:spacing w:before="120" w:line="276" w:lineRule="auto"/>
        <w:ind w:firstLine="709"/>
        <w:jc w:val="both"/>
        <w:rPr>
          <w:rFonts w:ascii="Arial" w:eastAsia="Calibri" w:hAnsi="Arial" w:cs="Arial"/>
          <w:color w:val="000000"/>
          <w:sz w:val="22"/>
          <w:szCs w:val="22"/>
          <w:lang w:val="es-ES_tradnl" w:eastAsia="es-ES"/>
        </w:rPr>
      </w:pPr>
      <w:r w:rsidRPr="00825F64">
        <w:rPr>
          <w:rFonts w:ascii="Arial" w:eastAsia="Calibri" w:hAnsi="Arial" w:cs="Arial"/>
          <w:color w:val="000000"/>
          <w:sz w:val="22"/>
          <w:szCs w:val="22"/>
          <w:lang w:val="es-ES_tradnl" w:eastAsia="es-ES"/>
        </w:rPr>
        <w:t>ii) Documentos tipo para licitación de obra pública de infraestructura de transporte –versión 2–, obligatorios para los procesos cuyo aviso de convocatoria se haya publicado desde el 10 de marzo de 2020.</w:t>
      </w:r>
    </w:p>
    <w:p w14:paraId="4F4326E4" w14:textId="77777777" w:rsidR="0006642C" w:rsidRPr="00825F64" w:rsidRDefault="0006642C" w:rsidP="0006642C">
      <w:pPr>
        <w:spacing w:before="120" w:line="276" w:lineRule="auto"/>
        <w:ind w:firstLine="709"/>
        <w:jc w:val="both"/>
        <w:rPr>
          <w:rFonts w:ascii="Arial" w:eastAsia="Calibri" w:hAnsi="Arial" w:cs="Arial"/>
          <w:color w:val="000000"/>
          <w:sz w:val="22"/>
          <w:szCs w:val="22"/>
          <w:lang w:val="es-ES_tradnl" w:eastAsia="es-ES"/>
        </w:rPr>
      </w:pPr>
      <w:r w:rsidRPr="00825F64">
        <w:rPr>
          <w:rFonts w:ascii="Arial" w:eastAsia="Calibri" w:hAnsi="Arial" w:cs="Arial"/>
          <w:color w:val="000000"/>
          <w:sz w:val="22"/>
          <w:szCs w:val="22"/>
          <w:lang w:val="es-ES_tradnl" w:eastAsia="es-ES"/>
        </w:rPr>
        <w:t>iii) Documentos tipo para licitación de obra pública de infraestructura de transporte –versión 3–, obligatorios para los procesos cuyo aviso de convocatoria se haya publicado desde el 1 de enero de 2021.</w:t>
      </w:r>
    </w:p>
    <w:p w14:paraId="5E37D07E" w14:textId="77777777" w:rsidR="0006642C" w:rsidRPr="00825F64" w:rsidRDefault="0006642C" w:rsidP="0006642C">
      <w:pPr>
        <w:spacing w:before="120" w:line="276" w:lineRule="auto"/>
        <w:ind w:firstLine="709"/>
        <w:jc w:val="both"/>
        <w:rPr>
          <w:rFonts w:ascii="Arial" w:eastAsia="Calibri" w:hAnsi="Arial" w:cs="Arial"/>
          <w:color w:val="000000"/>
          <w:sz w:val="22"/>
          <w:szCs w:val="22"/>
          <w:lang w:val="es-ES_tradnl" w:eastAsia="es-ES"/>
        </w:rPr>
      </w:pPr>
      <w:r w:rsidRPr="00825F64">
        <w:rPr>
          <w:rFonts w:ascii="Arial" w:eastAsia="Calibri" w:hAnsi="Arial" w:cs="Arial"/>
          <w:color w:val="000000"/>
          <w:sz w:val="22"/>
          <w:szCs w:val="22"/>
          <w:lang w:val="es-ES_tradnl" w:eastAsia="es-ES"/>
        </w:rPr>
        <w:t>iv) Documentos tipo para procesos de selección abreviada de menor cuantía de infraestructura de transporte –versión 1–, obligatorios para los procesos cuyo aviso de convocatoria se haya publicado desde el 17 de febrero de 2020.</w:t>
      </w:r>
    </w:p>
    <w:p w14:paraId="1E465F8C" w14:textId="77777777" w:rsidR="0006642C" w:rsidRPr="00825F64" w:rsidRDefault="0006642C" w:rsidP="0006642C">
      <w:pPr>
        <w:spacing w:before="120" w:line="276" w:lineRule="auto"/>
        <w:ind w:firstLine="709"/>
        <w:jc w:val="both"/>
        <w:rPr>
          <w:rFonts w:ascii="Arial" w:eastAsia="Calibri" w:hAnsi="Arial" w:cs="Arial"/>
          <w:color w:val="000000"/>
          <w:sz w:val="22"/>
          <w:szCs w:val="22"/>
          <w:lang w:val="es-ES_tradnl" w:eastAsia="es-ES"/>
        </w:rPr>
      </w:pPr>
      <w:r w:rsidRPr="00825F64">
        <w:rPr>
          <w:rFonts w:ascii="Arial" w:eastAsia="Calibri" w:hAnsi="Arial" w:cs="Arial"/>
          <w:color w:val="000000"/>
          <w:sz w:val="22"/>
          <w:szCs w:val="22"/>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0CCC354F" w14:textId="77777777" w:rsidR="0006642C" w:rsidRPr="00825F64" w:rsidRDefault="0006642C" w:rsidP="0006642C">
      <w:pPr>
        <w:spacing w:before="120" w:line="276" w:lineRule="auto"/>
        <w:ind w:firstLine="709"/>
        <w:jc w:val="both"/>
        <w:rPr>
          <w:rFonts w:ascii="Arial" w:eastAsia="Calibri" w:hAnsi="Arial" w:cs="Arial"/>
          <w:color w:val="000000"/>
          <w:sz w:val="22"/>
          <w:szCs w:val="22"/>
          <w:lang w:val="es-ES_tradnl" w:eastAsia="es-ES"/>
        </w:rPr>
      </w:pPr>
      <w:r w:rsidRPr="00825F64">
        <w:rPr>
          <w:rFonts w:ascii="Arial" w:eastAsia="Calibri" w:hAnsi="Arial" w:cs="Arial"/>
          <w:color w:val="000000"/>
          <w:sz w:val="22"/>
          <w:szCs w:val="22"/>
          <w:lang w:val="es-ES_tradnl" w:eastAsia="es-ES"/>
        </w:rPr>
        <w:lastRenderedPageBreak/>
        <w:t>vi) Documentos tipo para procesos de mínima cuantía de infraestructura de transporte, obligatorios para los procesos cuya invitación pública se haya publicado a partir del 10 de junio de 2020.</w:t>
      </w:r>
    </w:p>
    <w:p w14:paraId="1125DB10" w14:textId="77777777" w:rsidR="0006642C" w:rsidRPr="00825F64" w:rsidRDefault="0006642C" w:rsidP="0006642C">
      <w:pPr>
        <w:spacing w:before="120" w:line="276" w:lineRule="auto"/>
        <w:ind w:firstLine="709"/>
        <w:jc w:val="both"/>
        <w:rPr>
          <w:rFonts w:ascii="Arial" w:eastAsia="Calibri" w:hAnsi="Arial" w:cs="Arial"/>
          <w:color w:val="000000"/>
          <w:sz w:val="22"/>
          <w:szCs w:val="22"/>
          <w:lang w:val="es-ES_tradnl" w:eastAsia="es-ES"/>
        </w:rPr>
      </w:pPr>
      <w:r w:rsidRPr="00825F64">
        <w:rPr>
          <w:rFonts w:ascii="Arial" w:eastAsia="Calibri" w:hAnsi="Arial" w:cs="Arial"/>
          <w:color w:val="000000"/>
          <w:sz w:val="22"/>
          <w:szCs w:val="22"/>
          <w:lang w:val="es-ES_tradnl"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7451B399" w14:textId="77777777" w:rsidR="0006642C" w:rsidRPr="00825F64" w:rsidRDefault="0006642C" w:rsidP="0006642C">
      <w:pPr>
        <w:spacing w:before="120" w:line="276" w:lineRule="auto"/>
        <w:ind w:firstLine="709"/>
        <w:jc w:val="both"/>
        <w:rPr>
          <w:rFonts w:ascii="Arial" w:eastAsia="Calibri" w:hAnsi="Arial" w:cs="Arial"/>
          <w:color w:val="000000"/>
          <w:sz w:val="22"/>
          <w:szCs w:val="22"/>
          <w:lang w:val="es-ES_tradnl" w:eastAsia="es-ES"/>
        </w:rPr>
      </w:pPr>
      <w:r w:rsidRPr="00825F64">
        <w:rPr>
          <w:rFonts w:ascii="Arial" w:eastAsia="Calibri" w:hAnsi="Arial" w:cs="Arial"/>
          <w:color w:val="000000"/>
          <w:sz w:val="22"/>
          <w:szCs w:val="22"/>
          <w:lang w:val="es-ES_tradnl" w:eastAsia="es-ES"/>
        </w:rPr>
        <w:t>viii)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7D63FD06" w14:textId="77777777" w:rsidR="0006642C" w:rsidRPr="00825F64" w:rsidRDefault="0006642C" w:rsidP="0006642C">
      <w:pPr>
        <w:spacing w:before="120" w:line="276" w:lineRule="auto"/>
        <w:ind w:firstLine="709"/>
        <w:jc w:val="both"/>
        <w:rPr>
          <w:rFonts w:ascii="Arial" w:eastAsia="Calibri" w:hAnsi="Arial" w:cs="Arial"/>
          <w:color w:val="000000"/>
          <w:sz w:val="22"/>
          <w:szCs w:val="22"/>
          <w:lang w:val="es-ES_tradnl" w:eastAsia="es-ES"/>
        </w:rPr>
      </w:pPr>
      <w:r w:rsidRPr="00825F64">
        <w:rPr>
          <w:rFonts w:ascii="Arial" w:eastAsia="Calibri" w:hAnsi="Arial" w:cs="Arial"/>
          <w:color w:val="000000"/>
          <w:sz w:val="22"/>
          <w:szCs w:val="22"/>
          <w:lang w:val="es-ES_tradnl" w:eastAsia="es-ES"/>
        </w:rPr>
        <w:t>ix) Documentos tipo para procesos de licitación pública para obras de infraestructura de agua potable y saneamiento básico, obligatorios para los procesos cuyo aviso de convocatoria se haya publicado desde el 11 de diciembre de 2020.</w:t>
      </w:r>
    </w:p>
    <w:p w14:paraId="7FEEC689" w14:textId="77777777" w:rsidR="0006642C" w:rsidRPr="00825F64" w:rsidRDefault="0006642C" w:rsidP="0006642C">
      <w:pPr>
        <w:spacing w:before="120" w:after="120" w:line="276" w:lineRule="auto"/>
        <w:ind w:firstLine="709"/>
        <w:jc w:val="both"/>
        <w:rPr>
          <w:rFonts w:ascii="Arial" w:eastAsia="Calibri" w:hAnsi="Arial" w:cs="Arial"/>
          <w:color w:val="000000"/>
          <w:sz w:val="22"/>
          <w:szCs w:val="22"/>
          <w:lang w:val="es-ES_tradnl" w:eastAsia="es-ES"/>
        </w:rPr>
      </w:pPr>
      <w:r w:rsidRPr="00825F64">
        <w:rPr>
          <w:rFonts w:ascii="Arial" w:eastAsia="Calibri" w:hAnsi="Arial" w:cs="Arial"/>
          <w:color w:val="000000"/>
          <w:sz w:val="22"/>
          <w:szCs w:val="22"/>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0643839D" w14:textId="77777777" w:rsidR="0006642C" w:rsidRPr="00825F64" w:rsidRDefault="0006642C" w:rsidP="0006642C">
      <w:pPr>
        <w:spacing w:before="120" w:after="120" w:line="276" w:lineRule="auto"/>
        <w:ind w:firstLine="709"/>
        <w:jc w:val="both"/>
        <w:rPr>
          <w:rFonts w:ascii="Arial" w:eastAsia="Calibri" w:hAnsi="Arial" w:cs="Arial"/>
          <w:color w:val="000000"/>
          <w:sz w:val="22"/>
          <w:szCs w:val="22"/>
          <w:lang w:val="es-ES_tradnl" w:eastAsia="es-ES"/>
        </w:rPr>
      </w:pPr>
      <w:r w:rsidRPr="00825F64">
        <w:rPr>
          <w:rFonts w:ascii="Arial" w:eastAsia="Calibri" w:hAnsi="Arial" w:cs="Arial"/>
          <w:color w:val="000000"/>
          <w:sz w:val="22"/>
          <w:szCs w:val="22"/>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671CCBAA" w14:textId="77777777" w:rsidR="0006642C" w:rsidRPr="00825F64" w:rsidRDefault="0006642C" w:rsidP="0006642C">
      <w:pPr>
        <w:spacing w:after="120" w:line="276" w:lineRule="auto"/>
        <w:ind w:firstLine="709"/>
        <w:jc w:val="both"/>
        <w:rPr>
          <w:rFonts w:ascii="Arial" w:eastAsia="Calibri" w:hAnsi="Arial" w:cs="Arial"/>
          <w:color w:val="000000"/>
          <w:sz w:val="22"/>
          <w:szCs w:val="22"/>
          <w:lang w:val="es-ES_tradnl" w:eastAsia="es-ES"/>
        </w:rPr>
      </w:pPr>
      <w:r w:rsidRPr="00825F64">
        <w:rPr>
          <w:rFonts w:ascii="Arial" w:eastAsia="Calibri" w:hAnsi="Arial" w:cs="Arial"/>
          <w:color w:val="000000"/>
          <w:sz w:val="22"/>
          <w:szCs w:val="22"/>
          <w:lang w:val="es-ES_tradnl" w:eastAsia="es-ES"/>
        </w:rPr>
        <w:t>xii) Documentos tipo para los procesos de licitación de obra pública de infraestructura social, concretamente, para infraestructura en el sector educativo, obligatorios para los procesos cuyo aviso de convocatoria se publiquen desde el 30 de agosto de 2021.</w:t>
      </w:r>
    </w:p>
    <w:p w14:paraId="56BE2A59" w14:textId="77777777" w:rsidR="0006642C" w:rsidRPr="00A03A61" w:rsidRDefault="0006642C" w:rsidP="0006642C">
      <w:pPr>
        <w:spacing w:before="120" w:line="276" w:lineRule="auto"/>
        <w:ind w:firstLine="708"/>
        <w:jc w:val="both"/>
        <w:rPr>
          <w:rFonts w:ascii="Arial" w:hAnsi="Arial" w:cs="Arial"/>
          <w:sz w:val="22"/>
          <w:shd w:val="clear" w:color="auto" w:fill="FFFFFF"/>
          <w:lang w:val="es-ES_tradnl"/>
        </w:rPr>
      </w:pPr>
      <w:r w:rsidRPr="00A03A61">
        <w:rPr>
          <w:rFonts w:ascii="Arial" w:hAnsi="Arial" w:cs="Arial"/>
          <w:sz w:val="22"/>
          <w:shd w:val="clear" w:color="auto" w:fill="FFFFFF"/>
          <w:lang w:val="es-ES_tradnl"/>
        </w:rPr>
        <w:t>Todas las resoluciones expedidas por la Agencia Nacional de Contratación Pública – Colombia Compra Eficiente, mediante las cuales se han adoptado los documentos tipo, consagran la regla de la inalterabilidad</w:t>
      </w:r>
      <w:r w:rsidRPr="00A03A61">
        <w:rPr>
          <w:rStyle w:val="Refdenotaalpie"/>
          <w:rFonts w:ascii="Arial" w:hAnsi="Arial" w:cs="Arial"/>
          <w:sz w:val="22"/>
          <w:shd w:val="clear" w:color="auto" w:fill="FFFFFF"/>
          <w:lang w:val="es-ES_tradnl"/>
        </w:rPr>
        <w:footnoteReference w:id="4"/>
      </w:r>
      <w:r w:rsidRPr="00A03A61">
        <w:rPr>
          <w:rFonts w:ascii="Arial" w:hAnsi="Arial" w:cs="Arial"/>
          <w:sz w:val="22"/>
          <w:shd w:val="clear" w:color="auto" w:fill="FFFFFF"/>
          <w:lang w:val="es-ES_tradnl"/>
        </w:rPr>
        <w:t xml:space="preserve">. Esta prohibición consiste en que las entidades estatales no pueden incluir o modificar en los </w:t>
      </w:r>
      <w:r w:rsidRPr="00A03A61">
        <w:rPr>
          <w:rFonts w:ascii="Arial" w:hAnsi="Arial" w:cs="Arial"/>
          <w:i/>
          <w:iCs/>
          <w:sz w:val="22"/>
          <w:shd w:val="clear" w:color="auto" w:fill="FFFFFF"/>
          <w:lang w:val="es-ES_tradnl"/>
        </w:rPr>
        <w:t>Documentos del Proceso</w:t>
      </w:r>
      <w:r w:rsidRPr="00A03A61">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en estos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w:t>
      </w:r>
      <w:r w:rsidRPr="00A03A61">
        <w:rPr>
          <w:rFonts w:ascii="Arial" w:hAnsi="Arial" w:cs="Arial"/>
          <w:sz w:val="22"/>
          <w:shd w:val="clear" w:color="auto" w:fill="FFFFFF"/>
          <w:lang w:val="es-ES_tradnl"/>
        </w:rPr>
        <w:lastRenderedPageBreak/>
        <w:t>selección, solo podrán modificarlos en los aspectos en que los documentos tipo específicamente lo permitan.</w:t>
      </w:r>
    </w:p>
    <w:p w14:paraId="586B8042" w14:textId="77777777" w:rsidR="0006642C" w:rsidRPr="00A03A61" w:rsidRDefault="0006642C" w:rsidP="0006642C">
      <w:pPr>
        <w:spacing w:before="120" w:line="276" w:lineRule="auto"/>
        <w:ind w:firstLine="709"/>
        <w:jc w:val="both"/>
        <w:rPr>
          <w:rFonts w:ascii="Arial" w:hAnsi="Arial" w:cs="Arial"/>
          <w:sz w:val="22"/>
          <w:shd w:val="clear" w:color="auto" w:fill="FFFFFF"/>
          <w:lang w:val="es-ES_tradnl"/>
        </w:rPr>
      </w:pPr>
      <w:r w:rsidRPr="00A03A61">
        <w:rPr>
          <w:rFonts w:ascii="Arial" w:hAnsi="Arial" w:cs="Arial"/>
          <w:sz w:val="22"/>
          <w:shd w:val="clear" w:color="auto" w:fill="FFFFFF"/>
          <w:lang w:val="es-ES_tradnl"/>
        </w:rPr>
        <w:t>El fundamento legal vigente de la regla de la inalterabilidad se encuentra en el artículo 1 de la Ley 2022 de 2020, según el cual «</w:t>
      </w:r>
      <w:r w:rsidRPr="00A03A61">
        <w:rPr>
          <w:rFonts w:ascii="Arial" w:hAnsi="Arial" w:cs="Arial"/>
          <w:sz w:val="22"/>
          <w:lang w:val="es-ES_tradnl"/>
        </w:rPr>
        <w:t xml:space="preserve">[…] </w:t>
      </w:r>
      <w:r w:rsidRPr="00A03A61">
        <w:rPr>
          <w:rFonts w:ascii="Arial" w:hAnsi="Arial" w:cs="Arial"/>
          <w:sz w:val="22"/>
          <w:shd w:val="clear" w:color="auto" w:fill="FFFFFF"/>
          <w:lang w:val="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2F243B58" w14:textId="77777777" w:rsidR="0006642C" w:rsidRPr="00A03A61" w:rsidRDefault="0006642C" w:rsidP="0006642C">
      <w:pPr>
        <w:spacing w:before="120" w:after="120" w:line="276" w:lineRule="auto"/>
        <w:ind w:firstLine="709"/>
        <w:jc w:val="both"/>
        <w:rPr>
          <w:rFonts w:ascii="Arial" w:hAnsi="Arial" w:cs="Arial"/>
          <w:sz w:val="22"/>
          <w:shd w:val="clear" w:color="auto" w:fill="FFFFFF"/>
          <w:lang w:val="es-ES_tradnl"/>
        </w:rPr>
      </w:pPr>
      <w:r w:rsidRPr="00A03A61">
        <w:rPr>
          <w:rFonts w:ascii="Arial" w:hAnsi="Arial" w:cs="Arial"/>
          <w:sz w:val="22"/>
          <w:shd w:val="clear" w:color="auto" w:fill="FFFFFF"/>
          <w:lang w:val="es-ES_tradnl"/>
        </w:rPr>
        <w:t>Conforme a lo anterior,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w:t>
      </w:r>
    </w:p>
    <w:p w14:paraId="1C0570DE" w14:textId="77777777" w:rsidR="0006642C" w:rsidRPr="00A03A61" w:rsidRDefault="0006642C" w:rsidP="0006642C">
      <w:pPr>
        <w:spacing w:before="120" w:line="276" w:lineRule="auto"/>
        <w:ind w:firstLine="709"/>
        <w:jc w:val="both"/>
        <w:rPr>
          <w:rFonts w:ascii="Arial" w:eastAsia="Calibri" w:hAnsi="Arial" w:cs="Arial"/>
          <w:bCs/>
          <w:sz w:val="22"/>
        </w:rPr>
      </w:pPr>
      <w:r>
        <w:rPr>
          <w:rFonts w:ascii="Arial" w:eastAsia="Calibri" w:hAnsi="Arial" w:cs="Arial"/>
          <w:bCs/>
          <w:sz w:val="22"/>
        </w:rPr>
        <w:t>De esta manera, l</w:t>
      </w:r>
      <w:r w:rsidRPr="00A03A61">
        <w:rPr>
          <w:rFonts w:ascii="Arial" w:eastAsia="Calibri" w:hAnsi="Arial" w:cs="Arial"/>
          <w:bCs/>
          <w:sz w:val="22"/>
        </w:rPr>
        <w:t xml:space="preserve">a regla general frente la aplicación </w:t>
      </w:r>
      <w:r>
        <w:rPr>
          <w:rFonts w:ascii="Arial" w:eastAsia="Calibri" w:hAnsi="Arial" w:cs="Arial"/>
          <w:bCs/>
          <w:sz w:val="22"/>
        </w:rPr>
        <w:t>de los documentos tipo</w:t>
      </w:r>
      <w:r w:rsidRPr="00A03A61">
        <w:rPr>
          <w:rFonts w:ascii="Arial" w:eastAsia="Calibri" w:hAnsi="Arial" w:cs="Arial"/>
          <w:bCs/>
          <w:sz w:val="22"/>
        </w:rPr>
        <w:t xml:space="preserve"> es su inalterabilidad, </w:t>
      </w:r>
      <w:r>
        <w:rPr>
          <w:rFonts w:ascii="Arial" w:eastAsia="Calibri" w:hAnsi="Arial" w:cs="Arial"/>
          <w:bCs/>
          <w:sz w:val="22"/>
        </w:rPr>
        <w:t>lo que sucede, entre otras cosas, con los «documentos base» por lo que las entidades estatales no</w:t>
      </w:r>
      <w:r w:rsidRPr="00A03A61">
        <w:rPr>
          <w:rFonts w:ascii="Arial" w:eastAsia="Calibri" w:hAnsi="Arial" w:cs="Arial"/>
          <w:bCs/>
          <w:sz w:val="22"/>
        </w:rPr>
        <w:t xml:space="preserv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de infraestructura de transporte, caso en el que se podrá incluir experiencia adicional de manera excepcional; y, además, cuando el </w:t>
      </w:r>
      <w:r>
        <w:rPr>
          <w:rFonts w:ascii="Arial" w:eastAsia="Calibri" w:hAnsi="Arial" w:cs="Arial"/>
          <w:bCs/>
          <w:sz w:val="22"/>
        </w:rPr>
        <w:t>documento</w:t>
      </w:r>
      <w:r w:rsidRPr="00A03A61">
        <w:rPr>
          <w:rFonts w:ascii="Arial" w:eastAsia="Calibri" w:hAnsi="Arial" w:cs="Arial"/>
          <w:bCs/>
          <w:sz w:val="22"/>
        </w:rPr>
        <w:t xml:space="preserve"> tipo de forma expresa lo permita, es decir, en los aspectos incluidos en corchetes y resaltados en gris. </w:t>
      </w:r>
    </w:p>
    <w:p w14:paraId="17C7BC95" w14:textId="77777777" w:rsidR="0006642C" w:rsidRDefault="0006642C" w:rsidP="0006642C">
      <w:pPr>
        <w:spacing w:before="120" w:line="276" w:lineRule="auto"/>
        <w:ind w:firstLine="709"/>
        <w:jc w:val="both"/>
        <w:rPr>
          <w:rFonts w:ascii="Arial" w:eastAsia="Calibri" w:hAnsi="Arial" w:cs="Arial"/>
          <w:bCs/>
          <w:sz w:val="22"/>
        </w:rPr>
      </w:pPr>
      <w:r w:rsidRPr="00A03A61">
        <w:rPr>
          <w:rFonts w:ascii="Arial" w:eastAsia="Calibri" w:hAnsi="Arial" w:cs="Arial"/>
          <w:bCs/>
          <w:sz w:val="22"/>
        </w:rPr>
        <w:t xml:space="preserve">Este principio de inalterabilidad también es aplicable a los formatos y anexos implementados junto con el «Documento Base», los cuales deben ser usados para desarrollar el procedimiento de contratación y que los proponentes acrediten los diferentes requisitos establecidos para participar en él.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649A61FD" w14:textId="77777777" w:rsidR="0006642C" w:rsidRDefault="0006642C" w:rsidP="0006642C">
      <w:pPr>
        <w:spacing w:before="120" w:line="276" w:lineRule="auto"/>
        <w:ind w:firstLine="709"/>
        <w:jc w:val="both"/>
        <w:rPr>
          <w:rFonts w:ascii="Arial" w:eastAsia="Calibri" w:hAnsi="Arial" w:cs="Arial"/>
          <w:bCs/>
          <w:sz w:val="22"/>
        </w:rPr>
      </w:pPr>
    </w:p>
    <w:p w14:paraId="11AE1A27" w14:textId="77777777" w:rsidR="0006642C" w:rsidRPr="003E5A91" w:rsidRDefault="0006642C" w:rsidP="0006642C">
      <w:pPr>
        <w:tabs>
          <w:tab w:val="left" w:pos="0"/>
        </w:tabs>
        <w:spacing w:line="276" w:lineRule="auto"/>
        <w:jc w:val="both"/>
        <w:rPr>
          <w:rFonts w:ascii="Arial" w:eastAsia="Calibri" w:hAnsi="Arial" w:cs="Arial"/>
          <w:b/>
          <w:color w:val="000000" w:themeColor="text1"/>
          <w:sz w:val="22"/>
          <w:szCs w:val="22"/>
          <w:lang w:val="es-ES_tradnl"/>
        </w:rPr>
      </w:pPr>
      <w:r w:rsidRPr="003E5A91">
        <w:rPr>
          <w:rFonts w:ascii="Arial" w:eastAsia="Calibri" w:hAnsi="Arial" w:cs="Arial"/>
          <w:b/>
          <w:color w:val="000000" w:themeColor="text1"/>
          <w:sz w:val="22"/>
          <w:szCs w:val="22"/>
          <w:lang w:val="es-ES_tradnl"/>
        </w:rPr>
        <w:t>2.</w:t>
      </w:r>
      <w:r>
        <w:rPr>
          <w:rFonts w:ascii="Arial" w:eastAsia="Calibri" w:hAnsi="Arial" w:cs="Arial"/>
          <w:b/>
          <w:color w:val="000000" w:themeColor="text1"/>
          <w:sz w:val="22"/>
          <w:szCs w:val="22"/>
          <w:lang w:val="es-ES_tradnl"/>
        </w:rPr>
        <w:t>2</w:t>
      </w:r>
      <w:r w:rsidRPr="003E5A91">
        <w:rPr>
          <w:rFonts w:ascii="Arial" w:eastAsia="Calibri" w:hAnsi="Arial" w:cs="Arial"/>
          <w:b/>
          <w:color w:val="000000" w:themeColor="text1"/>
          <w:sz w:val="22"/>
          <w:szCs w:val="22"/>
          <w:lang w:val="es-ES_tradnl"/>
        </w:rPr>
        <w:t xml:space="preserve">. </w:t>
      </w:r>
      <w:r>
        <w:rPr>
          <w:rFonts w:ascii="Arial" w:eastAsia="Calibri" w:hAnsi="Arial" w:cs="Arial"/>
          <w:b/>
          <w:color w:val="000000" w:themeColor="text1"/>
          <w:sz w:val="22"/>
          <w:szCs w:val="22"/>
          <w:lang w:val="es-ES_tradnl"/>
        </w:rPr>
        <w:t xml:space="preserve">Generalidades del </w:t>
      </w:r>
      <w:r w:rsidRPr="003E5A91">
        <w:rPr>
          <w:rFonts w:ascii="Arial" w:eastAsia="Calibri" w:hAnsi="Arial" w:cs="Arial"/>
          <w:b/>
          <w:color w:val="000000" w:themeColor="text1"/>
          <w:sz w:val="22"/>
          <w:szCs w:val="22"/>
          <w:lang w:val="es-ES_tradnl"/>
        </w:rPr>
        <w:t>Registro Único de Proponentes</w:t>
      </w:r>
      <w:r>
        <w:rPr>
          <w:rFonts w:ascii="Arial" w:eastAsia="Calibri" w:hAnsi="Arial" w:cs="Arial"/>
          <w:b/>
          <w:color w:val="000000" w:themeColor="text1"/>
          <w:sz w:val="22"/>
          <w:szCs w:val="22"/>
          <w:lang w:val="es-ES_tradnl"/>
        </w:rPr>
        <w:t>. Procesos en los que no es exigible</w:t>
      </w:r>
    </w:p>
    <w:p w14:paraId="5F2E0B94" w14:textId="77777777" w:rsidR="0006642C" w:rsidRPr="003E5A91" w:rsidRDefault="0006642C" w:rsidP="0006642C">
      <w:pPr>
        <w:tabs>
          <w:tab w:val="left" w:pos="0"/>
        </w:tabs>
        <w:spacing w:line="276" w:lineRule="auto"/>
        <w:jc w:val="both"/>
        <w:rPr>
          <w:rFonts w:ascii="Arial" w:eastAsia="Calibri" w:hAnsi="Arial" w:cs="Arial"/>
          <w:b/>
          <w:color w:val="000000" w:themeColor="text1"/>
          <w:sz w:val="22"/>
          <w:szCs w:val="22"/>
          <w:lang w:val="es-ES_tradnl"/>
        </w:rPr>
      </w:pPr>
    </w:p>
    <w:p w14:paraId="047F1C90" w14:textId="77777777" w:rsidR="0006642C" w:rsidRPr="003E5A91" w:rsidRDefault="0006642C" w:rsidP="0006642C">
      <w:pPr>
        <w:spacing w:before="120" w:after="120" w:line="276" w:lineRule="auto"/>
        <w:jc w:val="both"/>
        <w:rPr>
          <w:rFonts w:ascii="Arial" w:eastAsia="Calibri" w:hAnsi="Arial" w:cs="Arial"/>
          <w:bCs/>
          <w:sz w:val="22"/>
          <w:szCs w:val="22"/>
          <w:highlight w:val="yellow"/>
        </w:rPr>
      </w:pPr>
      <w:r w:rsidRPr="003E5A91">
        <w:rPr>
          <w:rFonts w:ascii="Arial" w:eastAsia="Calibri" w:hAnsi="Arial" w:cs="Arial"/>
          <w:bCs/>
          <w:sz w:val="22"/>
          <w:szCs w:val="22"/>
        </w:rPr>
        <w:t xml:space="preserve">El Registro Único de Proponentes es el documento donde consta la información relacionada con las personas naturales y jurídicas, que tiene por objeto consolidar la información </w:t>
      </w:r>
      <w:r w:rsidRPr="003E5A91">
        <w:rPr>
          <w:rFonts w:ascii="Arial" w:eastAsia="Calibri" w:hAnsi="Arial" w:cs="Arial"/>
          <w:bCs/>
          <w:sz w:val="22"/>
          <w:szCs w:val="22"/>
        </w:rPr>
        <w:lastRenderedPageBreak/>
        <w:t>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1B777417" w14:textId="77777777" w:rsidR="0006642C" w:rsidRPr="003E5A91" w:rsidRDefault="0006642C" w:rsidP="0006642C">
      <w:pPr>
        <w:spacing w:after="120" w:line="276" w:lineRule="auto"/>
        <w:ind w:firstLine="708"/>
        <w:contextualSpacing/>
        <w:jc w:val="both"/>
        <w:rPr>
          <w:rFonts w:ascii="Arial" w:eastAsia="Calibri" w:hAnsi="Arial" w:cs="Arial"/>
          <w:sz w:val="22"/>
          <w:szCs w:val="22"/>
        </w:rPr>
      </w:pPr>
      <w:r w:rsidRPr="003E5A91">
        <w:rPr>
          <w:rFonts w:ascii="Arial" w:eastAsia="Calibri" w:hAnsi="Arial" w:cs="Arial"/>
          <w:bCs/>
          <w:sz w:val="22"/>
          <w:szCs w:val="22"/>
        </w:rPr>
        <w:t>La Ley 1150 de 2007 –numeral 6.1 del artículo 6–, al determinar las características aplicables al RUP, cualifica la información plasmada en él, al</w:t>
      </w:r>
      <w:r w:rsidRPr="003E5A91">
        <w:rPr>
          <w:rFonts w:ascii="Arial" w:eastAsia="Calibri" w:hAnsi="Arial" w:cs="Arial"/>
          <w:sz w:val="22"/>
          <w:szCs w:val="22"/>
        </w:rPr>
        <w:t xml:space="preserve"> establecer que constituye plena prueba de lo que contiene</w:t>
      </w:r>
      <w:r w:rsidRPr="003E5A91">
        <w:rPr>
          <w:rFonts w:ascii="Arial" w:eastAsia="Calibri" w:hAnsi="Arial" w:cs="Arial"/>
          <w:sz w:val="22"/>
          <w:szCs w:val="22"/>
          <w:vertAlign w:val="superscript"/>
        </w:rPr>
        <w:footnoteReference w:id="5"/>
      </w:r>
      <w:r w:rsidRPr="003E5A91">
        <w:rPr>
          <w:rFonts w:ascii="Arial" w:eastAsia="Calibri" w:hAnsi="Arial" w:cs="Arial"/>
          <w:sz w:val="22"/>
          <w:szCs w:val="22"/>
          <w:vertAlign w:val="subscript"/>
        </w:rPr>
        <w:t>.</w:t>
      </w:r>
      <w:r w:rsidRPr="003E5A91">
        <w:rPr>
          <w:rFonts w:ascii="Arial" w:eastAsia="Calibri" w:hAnsi="Arial" w:cs="Arial"/>
          <w:sz w:val="22"/>
          <w:szCs w:val="22"/>
        </w:rPr>
        <w:t xml:space="preserv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r w:rsidRPr="003E5A91">
        <w:rPr>
          <w:rFonts w:ascii="Arial" w:eastAsia="Calibri" w:hAnsi="Arial" w:cs="Arial"/>
          <w:sz w:val="22"/>
          <w:szCs w:val="22"/>
          <w:vertAlign w:val="superscript"/>
        </w:rPr>
        <w:footnoteReference w:id="6"/>
      </w:r>
      <w:r w:rsidRPr="003E5A91">
        <w:rPr>
          <w:rFonts w:ascii="Arial" w:eastAsia="Calibri" w:hAnsi="Arial" w:cs="Arial"/>
          <w:sz w:val="22"/>
          <w:szCs w:val="22"/>
        </w:rPr>
        <w:t>.</w:t>
      </w:r>
    </w:p>
    <w:p w14:paraId="50AD5D89" w14:textId="77777777" w:rsidR="0006642C" w:rsidRPr="003E5A91" w:rsidRDefault="0006642C" w:rsidP="0006642C">
      <w:pPr>
        <w:pStyle w:val="Textoindependiente"/>
        <w:spacing w:before="120" w:after="120" w:line="276" w:lineRule="auto"/>
        <w:ind w:firstLine="709"/>
        <w:jc w:val="both"/>
        <w:rPr>
          <w:rFonts w:eastAsia="Calibri"/>
          <w:sz w:val="22"/>
          <w:szCs w:val="22"/>
          <w:lang w:val="es-CO"/>
        </w:rPr>
      </w:pPr>
      <w:r w:rsidRPr="003E5A91">
        <w:rPr>
          <w:rFonts w:eastAsia="Calibri"/>
          <w:sz w:val="22"/>
          <w:szCs w:val="22"/>
          <w:lang w:val="es-CO"/>
        </w:rPr>
        <w:t>En este sentido, 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w:t>
      </w:r>
    </w:p>
    <w:p w14:paraId="25EA400A" w14:textId="77777777" w:rsidR="0006642C" w:rsidRPr="003E5A91" w:rsidRDefault="0006642C" w:rsidP="0006642C">
      <w:pPr>
        <w:pStyle w:val="Textoindependiente"/>
        <w:spacing w:before="120" w:after="120" w:line="276" w:lineRule="auto"/>
        <w:ind w:firstLine="709"/>
        <w:jc w:val="both"/>
        <w:rPr>
          <w:rFonts w:eastAsia="Calibri"/>
          <w:sz w:val="22"/>
          <w:szCs w:val="22"/>
          <w:lang w:val="es-CO"/>
        </w:rPr>
      </w:pPr>
      <w:r w:rsidRPr="003E5A91">
        <w:rPr>
          <w:rFonts w:eastAsia="Calibri"/>
          <w:sz w:val="22"/>
          <w:szCs w:val="22"/>
          <w:lang w:val="es-CO"/>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3E5A91">
        <w:rPr>
          <w:rFonts w:eastAsia="Calibri"/>
          <w:sz w:val="22"/>
          <w:szCs w:val="22"/>
          <w:vertAlign w:val="superscript"/>
          <w:lang w:val="es-CO"/>
        </w:rPr>
        <w:footnoteReference w:id="7"/>
      </w:r>
      <w:r>
        <w:rPr>
          <w:rFonts w:eastAsia="Calibri"/>
          <w:sz w:val="22"/>
          <w:szCs w:val="22"/>
          <w:lang w:val="es-CO"/>
        </w:rPr>
        <w:t>.</w:t>
      </w:r>
    </w:p>
    <w:p w14:paraId="26A78F5C" w14:textId="77777777" w:rsidR="0006642C" w:rsidRPr="00A03A61" w:rsidRDefault="0006642C" w:rsidP="0006642C">
      <w:pPr>
        <w:spacing w:line="276" w:lineRule="auto"/>
        <w:ind w:firstLine="709"/>
        <w:jc w:val="both"/>
        <w:rPr>
          <w:rFonts w:ascii="Arial" w:eastAsia="Calibri" w:hAnsi="Arial" w:cs="Arial"/>
          <w:bCs/>
          <w:sz w:val="22"/>
        </w:rPr>
      </w:pPr>
    </w:p>
    <w:p w14:paraId="05337A17" w14:textId="77777777" w:rsidR="0006642C" w:rsidRDefault="0006642C" w:rsidP="0006642C">
      <w:pPr>
        <w:tabs>
          <w:tab w:val="left" w:pos="426"/>
          <w:tab w:val="left" w:pos="851"/>
        </w:tabs>
        <w:spacing w:line="276" w:lineRule="auto"/>
        <w:jc w:val="both"/>
        <w:rPr>
          <w:rStyle w:val="apple-converted-space"/>
          <w:rFonts w:ascii="Arial" w:hAnsi="Arial" w:cs="Arial"/>
          <w:b/>
          <w:bCs/>
          <w:color w:val="000000"/>
          <w:sz w:val="22"/>
          <w:szCs w:val="22"/>
          <w:bdr w:val="none" w:sz="0" w:space="0" w:color="auto" w:frame="1"/>
        </w:rPr>
      </w:pPr>
      <w:r w:rsidRPr="007230A2">
        <w:rPr>
          <w:rFonts w:ascii="Arial" w:hAnsi="Arial" w:cs="Arial"/>
          <w:b/>
          <w:bCs/>
          <w:color w:val="000000"/>
          <w:sz w:val="22"/>
          <w:szCs w:val="22"/>
          <w:bdr w:val="none" w:sz="0" w:space="0" w:color="auto" w:frame="1"/>
        </w:rPr>
        <w:t>2.</w:t>
      </w:r>
      <w:r>
        <w:rPr>
          <w:rFonts w:ascii="Arial" w:hAnsi="Arial" w:cs="Arial"/>
          <w:b/>
          <w:bCs/>
          <w:color w:val="000000"/>
          <w:sz w:val="22"/>
          <w:szCs w:val="22"/>
          <w:bdr w:val="none" w:sz="0" w:space="0" w:color="auto" w:frame="1"/>
        </w:rPr>
        <w:t>3</w:t>
      </w:r>
      <w:r w:rsidRPr="007230A2">
        <w:rPr>
          <w:rFonts w:ascii="Arial" w:hAnsi="Arial" w:cs="Arial"/>
          <w:b/>
          <w:bCs/>
          <w:color w:val="000000"/>
          <w:sz w:val="22"/>
          <w:szCs w:val="22"/>
          <w:bdr w:val="none" w:sz="0" w:space="0" w:color="auto" w:frame="1"/>
        </w:rPr>
        <w:t>.</w:t>
      </w:r>
      <w:r w:rsidRPr="007230A2">
        <w:rPr>
          <w:rStyle w:val="apple-converted-space"/>
          <w:rFonts w:ascii="Arial" w:hAnsi="Arial" w:cs="Arial"/>
          <w:b/>
          <w:bCs/>
          <w:color w:val="000000"/>
          <w:sz w:val="22"/>
          <w:szCs w:val="22"/>
          <w:bdr w:val="none" w:sz="0" w:space="0" w:color="auto" w:frame="1"/>
        </w:rPr>
        <w:t> </w:t>
      </w:r>
      <w:r>
        <w:rPr>
          <w:rStyle w:val="apple-converted-space"/>
          <w:rFonts w:ascii="Arial" w:hAnsi="Arial" w:cs="Arial"/>
          <w:b/>
          <w:bCs/>
          <w:color w:val="000000"/>
          <w:sz w:val="22"/>
          <w:szCs w:val="22"/>
          <w:bdr w:val="none" w:sz="0" w:space="0" w:color="auto" w:frame="1"/>
        </w:rPr>
        <w:t xml:space="preserve">Capacidad residual en los procedimientos de selección para celebrar contratos de obra pública. Los documentos tipo de mínima cuantía de obra de infraestructura de transporte </w:t>
      </w:r>
      <w:r w:rsidRPr="007230A2">
        <w:rPr>
          <w:rStyle w:val="apple-converted-space"/>
          <w:rFonts w:ascii="Arial" w:hAnsi="Arial" w:cs="Arial"/>
          <w:b/>
          <w:bCs/>
          <w:color w:val="000000"/>
          <w:sz w:val="22"/>
          <w:szCs w:val="22"/>
          <w:bdr w:val="none" w:sz="0" w:space="0" w:color="auto" w:frame="1"/>
        </w:rPr>
        <w:t xml:space="preserve"> </w:t>
      </w:r>
    </w:p>
    <w:p w14:paraId="22DF8AA4" w14:textId="77777777" w:rsidR="0006642C" w:rsidRPr="004F4910" w:rsidRDefault="0006642C" w:rsidP="0006642C">
      <w:pPr>
        <w:pStyle w:val="Textoindependiente"/>
        <w:spacing w:line="276" w:lineRule="auto"/>
        <w:ind w:right="51"/>
        <w:jc w:val="both"/>
        <w:rPr>
          <w:sz w:val="22"/>
          <w:szCs w:val="22"/>
          <w:lang w:val="es-CO"/>
        </w:rPr>
      </w:pPr>
    </w:p>
    <w:p w14:paraId="74D67796" w14:textId="77777777" w:rsidR="0006642C" w:rsidRPr="004F4910" w:rsidRDefault="0006642C" w:rsidP="0006642C">
      <w:pPr>
        <w:pStyle w:val="Textoindependiente"/>
        <w:spacing w:line="276" w:lineRule="auto"/>
        <w:jc w:val="both"/>
        <w:rPr>
          <w:sz w:val="22"/>
          <w:szCs w:val="22"/>
          <w:lang w:val="es-CO"/>
        </w:rPr>
      </w:pPr>
      <w:r w:rsidRPr="004F4910">
        <w:rPr>
          <w:sz w:val="22"/>
          <w:szCs w:val="22"/>
          <w:lang w:val="es-CO"/>
        </w:rPr>
        <w:t xml:space="preserve">La capacidad residual es una aptitud que se exige a los oferentes </w:t>
      </w:r>
      <w:r>
        <w:rPr>
          <w:sz w:val="22"/>
          <w:szCs w:val="22"/>
          <w:lang w:val="es-CO"/>
        </w:rPr>
        <w:t xml:space="preserve">en los procesos de selección contractual </w:t>
      </w:r>
      <w:r w:rsidRPr="004F4910">
        <w:rPr>
          <w:sz w:val="22"/>
          <w:szCs w:val="22"/>
          <w:lang w:val="es-CO"/>
        </w:rPr>
        <w:t xml:space="preserve">con el objetivo de establecer o determinar si </w:t>
      </w:r>
      <w:r>
        <w:rPr>
          <w:sz w:val="22"/>
          <w:szCs w:val="22"/>
          <w:lang w:val="es-CO"/>
        </w:rPr>
        <w:t>é</w:t>
      </w:r>
      <w:r w:rsidRPr="004F4910">
        <w:rPr>
          <w:sz w:val="22"/>
          <w:szCs w:val="22"/>
          <w:lang w:val="es-CO"/>
        </w:rPr>
        <w:t xml:space="preserve">stos pueden o no cumplir de manera oportuna y a cabalidad con las obligaciones derivadas del contrato de obra pública, sin que los demás compromisos contractuales que hubieran adquirido afecten </w:t>
      </w:r>
      <w:r>
        <w:rPr>
          <w:sz w:val="22"/>
          <w:szCs w:val="22"/>
          <w:lang w:val="es-CO"/>
        </w:rPr>
        <w:t>su capacidad para</w:t>
      </w:r>
      <w:r w:rsidRPr="004F4910">
        <w:rPr>
          <w:sz w:val="22"/>
          <w:szCs w:val="22"/>
          <w:lang w:val="es-CO"/>
        </w:rPr>
        <w:t xml:space="preserve"> cumplir con el objeto del contrato que está en proceso de selección</w:t>
      </w:r>
      <w:r w:rsidRPr="004F4910">
        <w:rPr>
          <w:rStyle w:val="Refdenotaalpie"/>
          <w:sz w:val="22"/>
          <w:szCs w:val="22"/>
          <w:lang w:val="es-CO"/>
        </w:rPr>
        <w:footnoteReference w:id="8"/>
      </w:r>
      <w:r w:rsidRPr="004F4910">
        <w:rPr>
          <w:sz w:val="22"/>
          <w:szCs w:val="22"/>
          <w:lang w:val="es-CO"/>
        </w:rPr>
        <w:t>. El Consejo de Estado ha definido la capacidad residual como «la diferencia que existe entre el potencial de contratación que se tiene y los compromisos que haya adquirido y que se encuentren en ejecución, para la fecha de presentación de la oferta»</w:t>
      </w:r>
      <w:r w:rsidRPr="004F4910">
        <w:rPr>
          <w:rStyle w:val="Refdenotaalpie"/>
          <w:sz w:val="22"/>
          <w:szCs w:val="22"/>
          <w:lang w:val="es-CO"/>
        </w:rPr>
        <w:footnoteReference w:id="9"/>
      </w:r>
      <w:r w:rsidRPr="004F4910">
        <w:rPr>
          <w:sz w:val="22"/>
          <w:szCs w:val="22"/>
          <w:lang w:val="es-CO"/>
        </w:rPr>
        <w:t>.</w:t>
      </w:r>
    </w:p>
    <w:p w14:paraId="62B6B6AB" w14:textId="77777777" w:rsidR="0006642C" w:rsidRPr="004F4910" w:rsidRDefault="0006642C" w:rsidP="0006642C">
      <w:pPr>
        <w:pStyle w:val="Textoindependiente"/>
        <w:spacing w:before="120" w:after="120" w:line="276" w:lineRule="auto"/>
        <w:ind w:firstLine="709"/>
        <w:jc w:val="both"/>
        <w:rPr>
          <w:sz w:val="22"/>
          <w:szCs w:val="22"/>
          <w:lang w:val="es-CO"/>
        </w:rPr>
      </w:pPr>
      <w:r w:rsidRPr="004F4910">
        <w:rPr>
          <w:sz w:val="22"/>
          <w:szCs w:val="22"/>
          <w:lang w:val="es-CO"/>
        </w:rPr>
        <w:t xml:space="preserve">Teniendo en cuenta lo </w:t>
      </w:r>
      <w:r>
        <w:rPr>
          <w:sz w:val="22"/>
          <w:szCs w:val="22"/>
          <w:lang w:val="es-CO"/>
        </w:rPr>
        <w:t>anterior</w:t>
      </w:r>
      <w:r w:rsidRPr="004F4910">
        <w:rPr>
          <w:sz w:val="22"/>
          <w:szCs w:val="22"/>
          <w:lang w:val="es-CO"/>
        </w:rPr>
        <w:t xml:space="preserve">, </w:t>
      </w:r>
      <w:r>
        <w:rPr>
          <w:sz w:val="22"/>
          <w:szCs w:val="22"/>
          <w:lang w:val="es-CO"/>
        </w:rPr>
        <w:t>esta</w:t>
      </w:r>
      <w:r w:rsidRPr="004F4910">
        <w:rPr>
          <w:sz w:val="22"/>
          <w:szCs w:val="22"/>
          <w:lang w:val="es-CO"/>
        </w:rPr>
        <w:t xml:space="preserve"> Agencia </w:t>
      </w:r>
      <w:r>
        <w:rPr>
          <w:sz w:val="22"/>
          <w:szCs w:val="22"/>
          <w:lang w:val="es-CO"/>
        </w:rPr>
        <w:t xml:space="preserve">ha considerado </w:t>
      </w:r>
      <w:r w:rsidRPr="004F4910">
        <w:rPr>
          <w:sz w:val="22"/>
          <w:szCs w:val="22"/>
          <w:lang w:val="es-CO"/>
        </w:rPr>
        <w:t>que la capacidad residual hace referencia a la suficiencia que se predica del proponente para asumir nuevas obligaciones que se derivan del contrato objeto del proceso de contratación, en relación con las obligaciones que ha adquirido simultáneamente</w:t>
      </w:r>
      <w:r>
        <w:rPr>
          <w:sz w:val="22"/>
          <w:szCs w:val="22"/>
          <w:lang w:val="es-CO"/>
        </w:rPr>
        <w:t xml:space="preserve"> en contratos ya perfeccionados y en ejecución</w:t>
      </w:r>
      <w:r w:rsidRPr="004F4910">
        <w:rPr>
          <w:sz w:val="22"/>
          <w:szCs w:val="22"/>
          <w:lang w:val="es-CO"/>
        </w:rPr>
        <w:t>.</w:t>
      </w:r>
    </w:p>
    <w:p w14:paraId="168A9DA8" w14:textId="77777777" w:rsidR="0006642C" w:rsidRPr="004F4910" w:rsidRDefault="0006642C" w:rsidP="0006642C">
      <w:pPr>
        <w:pStyle w:val="Textoindependiente"/>
        <w:spacing w:before="120" w:line="276" w:lineRule="auto"/>
        <w:ind w:firstLine="709"/>
        <w:jc w:val="both"/>
        <w:rPr>
          <w:sz w:val="22"/>
          <w:szCs w:val="22"/>
          <w:lang w:val="es-CO"/>
        </w:rPr>
      </w:pPr>
      <w:r>
        <w:rPr>
          <w:sz w:val="22"/>
          <w:szCs w:val="22"/>
          <w:lang w:val="es-CO"/>
        </w:rPr>
        <w:t>Al respecto, l</w:t>
      </w:r>
      <w:r w:rsidRPr="004F4910">
        <w:rPr>
          <w:sz w:val="22"/>
          <w:szCs w:val="22"/>
          <w:lang w:val="es-CO"/>
        </w:rPr>
        <w:t xml:space="preserve">a Ley 1150 de 2007 establece que la capacidad residual de los interesados en participar en procesos de selección para contratos de obra </w:t>
      </w:r>
      <w:r>
        <w:rPr>
          <w:sz w:val="22"/>
          <w:szCs w:val="22"/>
          <w:lang w:val="es-CO"/>
        </w:rPr>
        <w:t xml:space="preserve">pública </w:t>
      </w:r>
      <w:r w:rsidRPr="004F4910">
        <w:rPr>
          <w:sz w:val="22"/>
          <w:szCs w:val="22"/>
          <w:lang w:val="es-CO"/>
        </w:rPr>
        <w:t>deberá ser igual o superior a</w:t>
      </w:r>
      <w:r>
        <w:rPr>
          <w:sz w:val="22"/>
          <w:szCs w:val="22"/>
          <w:lang w:val="es-CO"/>
        </w:rPr>
        <w:t xml:space="preserve"> </w:t>
      </w:r>
      <w:r w:rsidRPr="004F4910">
        <w:rPr>
          <w:sz w:val="22"/>
          <w:szCs w:val="22"/>
          <w:lang w:val="es-CO"/>
        </w:rPr>
        <w:t>l</w:t>
      </w:r>
      <w:r>
        <w:rPr>
          <w:sz w:val="22"/>
          <w:szCs w:val="22"/>
          <w:lang w:val="es-CO"/>
        </w:rPr>
        <w:t>a</w:t>
      </w:r>
      <w:r w:rsidRPr="004F4910">
        <w:rPr>
          <w:sz w:val="22"/>
          <w:szCs w:val="22"/>
          <w:lang w:val="es-CO"/>
        </w:rPr>
        <w:t xml:space="preserve"> que la entidad ha establecido en los pliegos de condiciones, en los siguientes términos:</w:t>
      </w:r>
    </w:p>
    <w:p w14:paraId="5ECF0035" w14:textId="77777777" w:rsidR="0006642C" w:rsidRPr="004F4910" w:rsidRDefault="0006642C" w:rsidP="0006642C">
      <w:pPr>
        <w:pStyle w:val="Textoindependiente"/>
        <w:ind w:right="49"/>
        <w:rPr>
          <w:sz w:val="22"/>
          <w:szCs w:val="22"/>
          <w:lang w:val="es-CO"/>
        </w:rPr>
      </w:pPr>
    </w:p>
    <w:p w14:paraId="4647EAB6" w14:textId="77777777" w:rsidR="0006642C" w:rsidRPr="00D8413E" w:rsidRDefault="0006642C" w:rsidP="0006642C">
      <w:pPr>
        <w:pStyle w:val="Textoindependiente"/>
        <w:ind w:left="709" w:right="709"/>
        <w:jc w:val="both"/>
        <w:rPr>
          <w:sz w:val="21"/>
          <w:szCs w:val="21"/>
          <w:lang w:val="es-CO"/>
        </w:rPr>
      </w:pPr>
      <w:r w:rsidRPr="004F4910">
        <w:rPr>
          <w:rFonts w:eastAsia="Calibri"/>
          <w:color w:val="000000" w:themeColor="text1"/>
          <w:sz w:val="21"/>
          <w:szCs w:val="21"/>
        </w:rPr>
        <w:t>«</w:t>
      </w:r>
      <w:r w:rsidRPr="00D8413E">
        <w:rPr>
          <w:sz w:val="21"/>
          <w:szCs w:val="21"/>
          <w:lang w:val="es-CO"/>
        </w:rPr>
        <w:t xml:space="preserve">Artículo 6. De la verificación de las condiciones de los proponentes. Todas las personas naturales o jurídicas nacionales o extranjeras domiciliadas o con sucursal en Colombia, que aspiren a celebrar contratos con las entidades </w:t>
      </w:r>
      <w:r w:rsidRPr="00D8413E">
        <w:rPr>
          <w:sz w:val="21"/>
          <w:szCs w:val="21"/>
          <w:lang w:val="es-CO"/>
        </w:rPr>
        <w:lastRenderedPageBreak/>
        <w:t>estatales, se inscribirán en el Registro único de Proponentes del Registro Único Empresarial de la Cámara de Comercio con jurisdicción en su domicilio</w:t>
      </w:r>
      <w:r w:rsidRPr="00D8413E">
        <w:rPr>
          <w:spacing w:val="-3"/>
          <w:sz w:val="21"/>
          <w:szCs w:val="21"/>
          <w:lang w:val="es-CO"/>
        </w:rPr>
        <w:t xml:space="preserve"> </w:t>
      </w:r>
      <w:r w:rsidRPr="00D8413E">
        <w:rPr>
          <w:sz w:val="21"/>
          <w:szCs w:val="21"/>
          <w:lang w:val="es-CO"/>
        </w:rPr>
        <w:t>principal.</w:t>
      </w:r>
    </w:p>
    <w:p w14:paraId="500432D0" w14:textId="77777777" w:rsidR="0006642C" w:rsidRPr="00D8413E" w:rsidRDefault="0006642C" w:rsidP="0006642C">
      <w:pPr>
        <w:pStyle w:val="Textoindependiente"/>
        <w:ind w:left="709" w:right="709"/>
        <w:rPr>
          <w:sz w:val="21"/>
          <w:szCs w:val="21"/>
          <w:lang w:val="es-CO"/>
        </w:rPr>
      </w:pPr>
      <w:r w:rsidRPr="00D8413E">
        <w:rPr>
          <w:sz w:val="21"/>
          <w:szCs w:val="21"/>
          <w:lang w:val="es-CO"/>
        </w:rPr>
        <w:t>(…)</w:t>
      </w:r>
    </w:p>
    <w:p w14:paraId="4C1E4894" w14:textId="77777777" w:rsidR="0006642C" w:rsidRPr="00D8413E" w:rsidRDefault="0006642C" w:rsidP="0006642C">
      <w:pPr>
        <w:pStyle w:val="Textoindependiente"/>
        <w:spacing w:before="2"/>
        <w:ind w:left="709" w:right="709"/>
        <w:rPr>
          <w:sz w:val="21"/>
          <w:szCs w:val="21"/>
          <w:lang w:val="es-CO"/>
        </w:rPr>
      </w:pPr>
    </w:p>
    <w:p w14:paraId="40D328A3" w14:textId="77777777" w:rsidR="0006642C" w:rsidRPr="004F4910" w:rsidRDefault="0006642C" w:rsidP="0006642C">
      <w:pPr>
        <w:pStyle w:val="Textoindependiente"/>
        <w:ind w:left="709" w:right="709"/>
        <w:jc w:val="both"/>
        <w:rPr>
          <w:sz w:val="22"/>
          <w:szCs w:val="22"/>
          <w:lang w:val="es-CO"/>
        </w:rPr>
      </w:pPr>
      <w:r w:rsidRPr="00D8413E">
        <w:rPr>
          <w:sz w:val="21"/>
          <w:szCs w:val="21"/>
          <w:lang w:val="es-CO"/>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r w:rsidRPr="004F4910">
        <w:rPr>
          <w:sz w:val="22"/>
          <w:szCs w:val="22"/>
          <w:lang w:val="es-CO"/>
        </w:rPr>
        <w:t>.</w:t>
      </w:r>
      <w:r w:rsidRPr="00FB4D30">
        <w:rPr>
          <w:rFonts w:eastAsia="Calibri"/>
          <w:color w:val="000000" w:themeColor="text1"/>
          <w:sz w:val="21"/>
          <w:szCs w:val="21"/>
        </w:rPr>
        <w:t>»</w:t>
      </w:r>
    </w:p>
    <w:p w14:paraId="7FCACB01" w14:textId="77777777" w:rsidR="0006642C" w:rsidRPr="004F4910" w:rsidRDefault="0006642C" w:rsidP="0006642C">
      <w:pPr>
        <w:pStyle w:val="Textoindependiente"/>
        <w:ind w:right="49"/>
        <w:rPr>
          <w:sz w:val="22"/>
          <w:szCs w:val="22"/>
          <w:lang w:val="es-CO"/>
        </w:rPr>
      </w:pPr>
    </w:p>
    <w:p w14:paraId="21DAE4BE" w14:textId="77777777" w:rsidR="0006642C" w:rsidRPr="004F4910" w:rsidRDefault="0006642C" w:rsidP="0006642C">
      <w:pPr>
        <w:pStyle w:val="Textoindependiente"/>
        <w:spacing w:before="120" w:after="120" w:line="276" w:lineRule="auto"/>
        <w:ind w:firstLine="709"/>
        <w:jc w:val="both"/>
        <w:rPr>
          <w:sz w:val="22"/>
          <w:szCs w:val="22"/>
          <w:lang w:val="es-CO"/>
        </w:rPr>
      </w:pPr>
      <w:r>
        <w:rPr>
          <w:sz w:val="22"/>
          <w:szCs w:val="22"/>
          <w:lang w:val="es-CO"/>
        </w:rPr>
        <w:t>A su turno, e</w:t>
      </w:r>
      <w:r w:rsidRPr="004F4910">
        <w:rPr>
          <w:sz w:val="22"/>
          <w:szCs w:val="22"/>
          <w:lang w:val="es-CO"/>
        </w:rPr>
        <w:t>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se lee en la misma disposición, «[…] se deberá calcular mediante la evaluación de los siguientes factores: Experiencia (E), Capacidad Financiera (CF), Capacidad Técnica (CT), y Capacidad de Organización (CO)».</w:t>
      </w:r>
    </w:p>
    <w:p w14:paraId="65861EC5" w14:textId="77777777" w:rsidR="0006642C" w:rsidRPr="004F4910" w:rsidRDefault="0006642C" w:rsidP="0006642C">
      <w:pPr>
        <w:pStyle w:val="Textoindependiente"/>
        <w:spacing w:before="120" w:after="120" w:line="276" w:lineRule="auto"/>
        <w:ind w:firstLine="709"/>
        <w:jc w:val="both"/>
        <w:rPr>
          <w:sz w:val="22"/>
          <w:szCs w:val="22"/>
          <w:lang w:val="es-CO"/>
        </w:rPr>
      </w:pPr>
      <w:r>
        <w:rPr>
          <w:sz w:val="22"/>
          <w:szCs w:val="22"/>
          <w:lang w:val="es-CO"/>
        </w:rPr>
        <w:t>Por su parte, e</w:t>
      </w:r>
      <w:r w:rsidRPr="004F4910">
        <w:rPr>
          <w:sz w:val="22"/>
          <w:szCs w:val="22"/>
          <w:lang w:val="es-CO"/>
        </w:rPr>
        <w:t xml:space="preserve">l artículo 2.2.1.1.1.6.4 del Decreto 1082 de 2015 </w:t>
      </w:r>
      <w:r>
        <w:rPr>
          <w:sz w:val="22"/>
          <w:szCs w:val="22"/>
          <w:lang w:val="es-CO"/>
        </w:rPr>
        <w:t>dispuso</w:t>
      </w:r>
      <w:r w:rsidRPr="004F4910">
        <w:rPr>
          <w:sz w:val="22"/>
          <w:szCs w:val="22"/>
          <w:lang w:val="es-CO"/>
        </w:rPr>
        <w:t xml:space="preserve"> que las entidades estatales deben calcular la capacidad residual conforme a la metodología definida por Colombia Compre Eficiente y precisó que, para tales fines, resulta necesario tener en cuenta los factores de: i) experiencia; ii) capacidad financiera; iii) capacidad técnica; iv) capacidad de organización; y v) los saldos de los contratos en ejecución, así:</w:t>
      </w:r>
    </w:p>
    <w:p w14:paraId="65574BEC" w14:textId="77777777" w:rsidR="0006642C" w:rsidRPr="004F4910" w:rsidRDefault="0006642C" w:rsidP="0006642C">
      <w:pPr>
        <w:pStyle w:val="Textoindependiente"/>
        <w:spacing w:before="8"/>
        <w:ind w:right="49"/>
        <w:rPr>
          <w:sz w:val="22"/>
          <w:szCs w:val="22"/>
          <w:lang w:val="es-CO"/>
        </w:rPr>
      </w:pPr>
    </w:p>
    <w:p w14:paraId="61088D33" w14:textId="77777777" w:rsidR="0006642C" w:rsidRPr="00D8413E" w:rsidRDefault="0006642C" w:rsidP="0006642C">
      <w:pPr>
        <w:pStyle w:val="Textoindependiente"/>
        <w:ind w:left="709" w:right="709"/>
        <w:jc w:val="both"/>
        <w:rPr>
          <w:sz w:val="21"/>
          <w:szCs w:val="21"/>
          <w:lang w:val="es-CO"/>
        </w:rPr>
      </w:pPr>
      <w:r w:rsidRPr="004F4910">
        <w:rPr>
          <w:rFonts w:eastAsia="Calibri"/>
          <w:color w:val="000000" w:themeColor="text1"/>
          <w:sz w:val="21"/>
          <w:szCs w:val="21"/>
        </w:rPr>
        <w:t>«</w:t>
      </w:r>
      <w:r w:rsidRPr="00D8413E">
        <w:rPr>
          <w:sz w:val="21"/>
          <w:szCs w:val="21"/>
          <w:lang w:val="es-CO"/>
        </w:rPr>
        <w:t>Artículo 2.2.1.1.1.6.4. Capacidad Residual. El interesado en celebrar contratos de obra pública con Entidades Estatales debe acreditar su Capacidad Residual o K de Contratación con los siguientes documentos: (…)</w:t>
      </w:r>
    </w:p>
    <w:p w14:paraId="201DD005" w14:textId="77777777" w:rsidR="0006642C" w:rsidRPr="00D8413E" w:rsidRDefault="0006642C" w:rsidP="0006642C">
      <w:pPr>
        <w:pStyle w:val="Textoindependiente"/>
        <w:ind w:left="709" w:right="760"/>
        <w:rPr>
          <w:sz w:val="21"/>
          <w:szCs w:val="21"/>
          <w:lang w:val="es-CO"/>
        </w:rPr>
      </w:pPr>
    </w:p>
    <w:p w14:paraId="32C21846" w14:textId="77777777" w:rsidR="0006642C" w:rsidRPr="004F4910" w:rsidRDefault="0006642C" w:rsidP="0006642C">
      <w:pPr>
        <w:pStyle w:val="Textoindependiente"/>
        <w:ind w:left="709" w:right="709"/>
        <w:jc w:val="both"/>
        <w:rPr>
          <w:sz w:val="22"/>
          <w:szCs w:val="22"/>
          <w:lang w:val="es-CO"/>
        </w:rPr>
      </w:pPr>
      <w:r w:rsidRPr="00D8413E">
        <w:rPr>
          <w:sz w:val="21"/>
          <w:szCs w:val="21"/>
          <w:lang w:val="es-CO"/>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r w:rsidRPr="00FB4D30">
        <w:rPr>
          <w:rFonts w:eastAsia="Calibri"/>
          <w:color w:val="000000" w:themeColor="text1"/>
          <w:sz w:val="21"/>
          <w:szCs w:val="21"/>
        </w:rPr>
        <w:t>»</w:t>
      </w:r>
    </w:p>
    <w:p w14:paraId="5B2A01B5" w14:textId="77777777" w:rsidR="0006642C" w:rsidRPr="004F4910" w:rsidRDefault="0006642C" w:rsidP="0006642C">
      <w:pPr>
        <w:pStyle w:val="Textoindependiente"/>
        <w:ind w:right="49"/>
        <w:rPr>
          <w:sz w:val="22"/>
          <w:szCs w:val="22"/>
          <w:lang w:val="es-CO"/>
        </w:rPr>
      </w:pPr>
    </w:p>
    <w:p w14:paraId="75905325" w14:textId="77777777" w:rsidR="0006642C" w:rsidRPr="004F4910" w:rsidRDefault="0006642C" w:rsidP="0006642C">
      <w:pPr>
        <w:pStyle w:val="Textoindependiente"/>
        <w:spacing w:line="276" w:lineRule="auto"/>
        <w:ind w:firstLine="709"/>
        <w:jc w:val="both"/>
        <w:rPr>
          <w:sz w:val="22"/>
          <w:szCs w:val="22"/>
          <w:lang w:val="es-CO"/>
        </w:rPr>
      </w:pPr>
      <w:r w:rsidRPr="004F4910">
        <w:rPr>
          <w:sz w:val="22"/>
          <w:szCs w:val="22"/>
          <w:lang w:val="es-CO"/>
        </w:rPr>
        <w:t xml:space="preserve">De conformidad con lo anterior, </w:t>
      </w:r>
      <w:r>
        <w:rPr>
          <w:sz w:val="22"/>
          <w:szCs w:val="22"/>
          <w:lang w:val="es-CO"/>
        </w:rPr>
        <w:t xml:space="preserve">esta </w:t>
      </w:r>
      <w:r w:rsidRPr="004F4910">
        <w:rPr>
          <w:sz w:val="22"/>
          <w:szCs w:val="22"/>
          <w:lang w:val="es-CO"/>
        </w:rPr>
        <w:t xml:space="preserve">Agencia expidió la «Guía para Determinar y Verificar la Capacidad Residual del Proponente en los Procesos de Contratación de Obra Pública». </w:t>
      </w:r>
      <w:r>
        <w:rPr>
          <w:sz w:val="22"/>
          <w:szCs w:val="22"/>
          <w:lang w:val="es-CO"/>
        </w:rPr>
        <w:t>En e</w:t>
      </w:r>
      <w:r w:rsidRPr="004F4910">
        <w:rPr>
          <w:sz w:val="22"/>
          <w:szCs w:val="22"/>
          <w:lang w:val="es-CO"/>
        </w:rPr>
        <w:t>ste documento</w:t>
      </w:r>
      <w:r>
        <w:rPr>
          <w:sz w:val="22"/>
          <w:szCs w:val="22"/>
          <w:lang w:val="es-CO"/>
        </w:rPr>
        <w:t xml:space="preserve"> se</w:t>
      </w:r>
      <w:r w:rsidRPr="004F4910">
        <w:rPr>
          <w:sz w:val="22"/>
          <w:szCs w:val="22"/>
          <w:lang w:val="es-CO"/>
        </w:rPr>
        <w:t xml:space="preserve"> establece, entre otras cuestiones, que a la entidad contratante </w:t>
      </w:r>
      <w:r>
        <w:rPr>
          <w:sz w:val="22"/>
          <w:szCs w:val="22"/>
          <w:lang w:val="es-CO"/>
        </w:rPr>
        <w:t xml:space="preserve">le </w:t>
      </w:r>
      <w:r w:rsidRPr="004F4910">
        <w:rPr>
          <w:sz w:val="22"/>
          <w:szCs w:val="22"/>
          <w:lang w:val="es-CO"/>
        </w:rPr>
        <w:t>corresponde, primero, establecer la capacidad residual del proceso de contratación «CRPC» y, segundo, determinar si los proponentes cumplen con la capacidad residual del proceso de contratación, claro está, teniendo en cuenta la siguiente información aportada por el proponente:</w:t>
      </w:r>
    </w:p>
    <w:p w14:paraId="3CD29CD7" w14:textId="77777777" w:rsidR="0006642C" w:rsidRPr="004F4910" w:rsidRDefault="0006642C" w:rsidP="0006642C">
      <w:pPr>
        <w:pStyle w:val="Textoindependiente"/>
        <w:ind w:left="709" w:right="760"/>
        <w:jc w:val="both"/>
        <w:rPr>
          <w:sz w:val="22"/>
          <w:szCs w:val="22"/>
          <w:lang w:val="es-CO"/>
        </w:rPr>
      </w:pPr>
    </w:p>
    <w:p w14:paraId="76D7BB3E" w14:textId="77777777" w:rsidR="0006642C" w:rsidRPr="004F4910" w:rsidRDefault="0006642C" w:rsidP="0006642C">
      <w:pPr>
        <w:pStyle w:val="Textoindependiente"/>
        <w:numPr>
          <w:ilvl w:val="0"/>
          <w:numId w:val="2"/>
        </w:numPr>
        <w:tabs>
          <w:tab w:val="left" w:pos="993"/>
        </w:tabs>
        <w:ind w:left="709" w:right="709" w:firstLine="0"/>
        <w:jc w:val="both"/>
        <w:rPr>
          <w:sz w:val="22"/>
          <w:szCs w:val="22"/>
          <w:lang w:val="es-CO"/>
        </w:rPr>
      </w:pPr>
      <w:r w:rsidRPr="004F4910">
        <w:rPr>
          <w:sz w:val="22"/>
          <w:szCs w:val="22"/>
          <w:lang w:val="es-CO"/>
        </w:rPr>
        <w:t>La lista de los Contratos en Ejecución, así como el valor y plazo de tales contratos.</w:t>
      </w:r>
    </w:p>
    <w:p w14:paraId="4D37433E" w14:textId="77777777" w:rsidR="0006642C" w:rsidRPr="004F4910" w:rsidRDefault="0006642C" w:rsidP="0006642C">
      <w:pPr>
        <w:pStyle w:val="Textoindependiente"/>
        <w:tabs>
          <w:tab w:val="left" w:pos="993"/>
        </w:tabs>
        <w:ind w:left="709" w:right="709"/>
        <w:jc w:val="both"/>
        <w:rPr>
          <w:sz w:val="22"/>
          <w:szCs w:val="22"/>
          <w:lang w:val="es-CO"/>
        </w:rPr>
      </w:pPr>
    </w:p>
    <w:p w14:paraId="5C1B75F7" w14:textId="77777777" w:rsidR="0006642C" w:rsidRPr="004F4910" w:rsidRDefault="0006642C" w:rsidP="0006642C">
      <w:pPr>
        <w:pStyle w:val="Textoindependiente"/>
        <w:numPr>
          <w:ilvl w:val="0"/>
          <w:numId w:val="2"/>
        </w:numPr>
        <w:tabs>
          <w:tab w:val="left" w:pos="993"/>
        </w:tabs>
        <w:ind w:left="709" w:right="709" w:firstLine="0"/>
        <w:jc w:val="both"/>
        <w:rPr>
          <w:sz w:val="22"/>
          <w:szCs w:val="22"/>
          <w:lang w:val="es-CO"/>
        </w:rPr>
      </w:pPr>
      <w:r w:rsidRPr="004F4910">
        <w:rPr>
          <w:sz w:val="22"/>
          <w:szCs w:val="22"/>
          <w:lang w:val="es-CO"/>
        </w:rPr>
        <w:t>La lista de los Contratos en Ejecución, suscritos por sociedades, consorcios o uniones temporales, en los cuales el proponente tenga participación, así como el valor y plazo de tales contratos.</w:t>
      </w:r>
    </w:p>
    <w:p w14:paraId="248979C5" w14:textId="77777777" w:rsidR="0006642C" w:rsidRPr="004F4910" w:rsidRDefault="0006642C" w:rsidP="0006642C">
      <w:pPr>
        <w:pStyle w:val="Textoindependiente"/>
        <w:tabs>
          <w:tab w:val="left" w:pos="993"/>
        </w:tabs>
        <w:ind w:right="709"/>
        <w:jc w:val="both"/>
        <w:rPr>
          <w:sz w:val="22"/>
          <w:szCs w:val="22"/>
          <w:lang w:val="es-CO"/>
        </w:rPr>
      </w:pPr>
    </w:p>
    <w:p w14:paraId="491149C4" w14:textId="77777777" w:rsidR="0006642C" w:rsidRPr="004F4910" w:rsidRDefault="0006642C" w:rsidP="0006642C">
      <w:pPr>
        <w:pStyle w:val="Textoindependiente"/>
        <w:numPr>
          <w:ilvl w:val="0"/>
          <w:numId w:val="2"/>
        </w:numPr>
        <w:tabs>
          <w:tab w:val="left" w:pos="993"/>
        </w:tabs>
        <w:ind w:left="709" w:right="709" w:firstLine="0"/>
        <w:jc w:val="both"/>
        <w:rPr>
          <w:sz w:val="22"/>
          <w:szCs w:val="22"/>
          <w:lang w:val="es-CO"/>
        </w:rPr>
      </w:pPr>
      <w:r w:rsidRPr="004F4910">
        <w:rPr>
          <w:sz w:val="22"/>
          <w:szCs w:val="22"/>
          <w:lang w:val="es-CO"/>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3747BDD1" w14:textId="77777777" w:rsidR="0006642C" w:rsidRPr="004F4910" w:rsidRDefault="0006642C" w:rsidP="0006642C">
      <w:pPr>
        <w:pStyle w:val="Textoindependiente"/>
        <w:spacing w:line="276" w:lineRule="auto"/>
        <w:ind w:right="51" w:firstLine="709"/>
        <w:jc w:val="both"/>
        <w:rPr>
          <w:sz w:val="22"/>
          <w:szCs w:val="22"/>
          <w:lang w:val="es-CO"/>
        </w:rPr>
      </w:pPr>
    </w:p>
    <w:p w14:paraId="5649DE0E" w14:textId="77777777" w:rsidR="0006642C" w:rsidRPr="004F4910" w:rsidRDefault="0006642C" w:rsidP="0006642C">
      <w:pPr>
        <w:pStyle w:val="Textoindependiente"/>
        <w:spacing w:line="276" w:lineRule="auto"/>
        <w:ind w:firstLine="709"/>
        <w:jc w:val="both"/>
        <w:rPr>
          <w:sz w:val="22"/>
          <w:szCs w:val="22"/>
          <w:lang w:val="es-CO"/>
        </w:rPr>
      </w:pPr>
      <w:r w:rsidRPr="004F4910">
        <w:rPr>
          <w:sz w:val="22"/>
          <w:szCs w:val="22"/>
          <w:lang w:val="es-CO"/>
        </w:rPr>
        <w:t>Ahora bien, para lo primero, esto es, para establecer la capacidad residual del proceso de contratación «CRPC», se debe determinar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6AD8A4D6" w14:textId="77777777" w:rsidR="0006642C" w:rsidRPr="004F4910" w:rsidRDefault="0006642C" w:rsidP="0006642C">
      <w:pPr>
        <w:pStyle w:val="Textoindependiente"/>
        <w:spacing w:before="120" w:line="276" w:lineRule="auto"/>
        <w:ind w:firstLine="709"/>
        <w:jc w:val="both"/>
        <w:rPr>
          <w:sz w:val="22"/>
          <w:szCs w:val="22"/>
          <w:lang w:val="es-CO"/>
        </w:rPr>
      </w:pPr>
      <w:r w:rsidRPr="004F4910">
        <w:rPr>
          <w:sz w:val="22"/>
          <w:szCs w:val="22"/>
          <w:lang w:val="es-CO"/>
        </w:rPr>
        <w:t xml:space="preserve">Para lo segundo, es decir, </w:t>
      </w:r>
      <w:r>
        <w:rPr>
          <w:sz w:val="22"/>
          <w:szCs w:val="22"/>
          <w:lang w:val="es-CO"/>
        </w:rPr>
        <w:t xml:space="preserve">para </w:t>
      </w:r>
      <w:r w:rsidRPr="004F4910">
        <w:rPr>
          <w:sz w:val="22"/>
          <w:szCs w:val="22"/>
          <w:lang w:val="es-CO"/>
        </w:rPr>
        <w:t>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fórmula:</w:t>
      </w:r>
    </w:p>
    <w:p w14:paraId="14389936" w14:textId="77777777" w:rsidR="0006642C" w:rsidRPr="004F4910" w:rsidRDefault="0006642C" w:rsidP="0006642C">
      <w:pPr>
        <w:pStyle w:val="Textoindependiente"/>
        <w:tabs>
          <w:tab w:val="left" w:pos="709"/>
          <w:tab w:val="left" w:pos="8080"/>
        </w:tabs>
        <w:spacing w:before="10"/>
        <w:ind w:right="49"/>
        <w:rPr>
          <w:sz w:val="22"/>
          <w:szCs w:val="22"/>
          <w:lang w:val="es-CO"/>
        </w:rPr>
      </w:pPr>
      <w:r w:rsidRPr="004F4910">
        <w:rPr>
          <w:noProof/>
          <w:sz w:val="22"/>
          <w:szCs w:val="22"/>
          <w:lang w:val="es-CO" w:eastAsia="es-ES_tradnl"/>
        </w:rPr>
        <w:drawing>
          <wp:anchor distT="0" distB="0" distL="0" distR="0" simplePos="0" relativeHeight="251659264" behindDoc="0" locked="0" layoutInCell="1" allowOverlap="1" wp14:anchorId="57BF8938" wp14:editId="6A0007AD">
            <wp:simplePos x="0" y="0"/>
            <wp:positionH relativeFrom="page">
              <wp:posOffset>1545590</wp:posOffset>
            </wp:positionH>
            <wp:positionV relativeFrom="paragraph">
              <wp:posOffset>160655</wp:posOffset>
            </wp:positionV>
            <wp:extent cx="4638040" cy="67437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4638040" cy="674370"/>
                    </a:xfrm>
                    <a:prstGeom prst="rect">
                      <a:avLst/>
                    </a:prstGeom>
                  </pic:spPr>
                </pic:pic>
              </a:graphicData>
            </a:graphic>
            <wp14:sizeRelH relativeFrom="margin">
              <wp14:pctWidth>0</wp14:pctWidth>
            </wp14:sizeRelH>
          </wp:anchor>
        </w:drawing>
      </w:r>
    </w:p>
    <w:p w14:paraId="5A5A5CA5" w14:textId="77777777" w:rsidR="0006642C" w:rsidRPr="004F4910" w:rsidRDefault="0006642C" w:rsidP="0006642C">
      <w:pPr>
        <w:pStyle w:val="Textoindependiente"/>
        <w:spacing w:before="120" w:after="120" w:line="276" w:lineRule="auto"/>
        <w:ind w:firstLine="709"/>
        <w:jc w:val="both"/>
        <w:rPr>
          <w:sz w:val="22"/>
          <w:szCs w:val="22"/>
          <w:lang w:val="es-CO"/>
        </w:rPr>
      </w:pPr>
      <w:r w:rsidRPr="004F4910">
        <w:rPr>
          <w:sz w:val="22"/>
          <w:szCs w:val="22"/>
          <w:lang w:val="es-CO"/>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57A11057" w14:textId="77777777" w:rsidR="0006642C" w:rsidRPr="004F4910" w:rsidRDefault="0006642C" w:rsidP="0006642C">
      <w:pPr>
        <w:pStyle w:val="Textoindependiente"/>
        <w:numPr>
          <w:ilvl w:val="0"/>
          <w:numId w:val="3"/>
        </w:numPr>
        <w:tabs>
          <w:tab w:val="left" w:pos="993"/>
        </w:tabs>
        <w:spacing w:before="120" w:line="276" w:lineRule="auto"/>
        <w:ind w:left="0" w:firstLine="709"/>
        <w:jc w:val="both"/>
        <w:rPr>
          <w:i/>
          <w:iCs/>
          <w:sz w:val="22"/>
          <w:szCs w:val="22"/>
          <w:lang w:val="es-CO"/>
        </w:rPr>
      </w:pPr>
      <w:r w:rsidRPr="004F4910">
        <w:rPr>
          <w:i/>
          <w:iCs/>
          <w:sz w:val="22"/>
          <w:szCs w:val="22"/>
          <w:lang w:val="es-CO"/>
        </w:rPr>
        <w:t>Capacidad financiera.</w:t>
      </w:r>
      <w:r w:rsidRPr="004F4910">
        <w:rPr>
          <w:sz w:val="22"/>
          <w:szCs w:val="22"/>
          <w:lang w:val="es-CO"/>
        </w:rPr>
        <w:t xml:space="preserve"> Se mide por el «índice de liquidez» y este, a su vez, corresponde al resultado de dividir el «activo corriente» sobre el «pasivo corriente». El resultado puede ser calificado entre 20 y </w:t>
      </w:r>
      <w:r>
        <w:rPr>
          <w:sz w:val="22"/>
          <w:szCs w:val="22"/>
          <w:lang w:val="es-CO"/>
        </w:rPr>
        <w:t>40</w:t>
      </w:r>
      <w:r w:rsidRPr="004F4910">
        <w:rPr>
          <w:sz w:val="22"/>
          <w:szCs w:val="22"/>
          <w:lang w:val="es-CO"/>
        </w:rPr>
        <w:t xml:space="preserve"> puntos, según se explica en la Guía.</w:t>
      </w:r>
    </w:p>
    <w:p w14:paraId="58FCB0BF" w14:textId="77777777" w:rsidR="0006642C" w:rsidRPr="004F4910" w:rsidRDefault="0006642C" w:rsidP="0006642C">
      <w:pPr>
        <w:pStyle w:val="Textoindependiente"/>
        <w:numPr>
          <w:ilvl w:val="0"/>
          <w:numId w:val="3"/>
        </w:numPr>
        <w:tabs>
          <w:tab w:val="left" w:pos="993"/>
        </w:tabs>
        <w:spacing w:before="120" w:line="276" w:lineRule="auto"/>
        <w:ind w:left="0" w:firstLine="709"/>
        <w:jc w:val="both"/>
        <w:rPr>
          <w:i/>
          <w:iCs/>
          <w:sz w:val="22"/>
          <w:szCs w:val="22"/>
          <w:lang w:val="es-CO"/>
        </w:rPr>
      </w:pPr>
      <w:r w:rsidRPr="004F4910">
        <w:rPr>
          <w:i/>
          <w:iCs/>
          <w:sz w:val="22"/>
          <w:szCs w:val="22"/>
          <w:lang w:val="es-CO"/>
        </w:rPr>
        <w:lastRenderedPageBreak/>
        <w:t>Capacidad técnica</w:t>
      </w:r>
      <w:r w:rsidRPr="004F4910">
        <w:rPr>
          <w:sz w:val="22"/>
          <w:szCs w:val="22"/>
          <w:lang w:val="es-CO"/>
        </w:rPr>
        <w:t>. Se determina teniendo en cuenta el número de socios y profesionales de la arquitectura, ingeniería y geología vinculados mediante una relación laboral o contractual. El puntaje a asignar, según la Guía, oscila entre 20 y 40 puntos. Para tales fines, se aclara, el proponente diligenciar</w:t>
      </w:r>
      <w:r>
        <w:rPr>
          <w:sz w:val="22"/>
          <w:szCs w:val="22"/>
          <w:lang w:val="es-CO"/>
        </w:rPr>
        <w:t>á</w:t>
      </w:r>
      <w:r w:rsidRPr="004F4910">
        <w:rPr>
          <w:sz w:val="22"/>
          <w:szCs w:val="22"/>
          <w:lang w:val="es-CO"/>
        </w:rPr>
        <w:t xml:space="preserve"> el Anexo 2 de la «Guía para Determinar y Verificar la Capacidad Residual del Proponente en los Procesos de Contratación de Obra Pública» −este es diferente al Anexo 2 de los Documentos Tipo−.</w:t>
      </w:r>
    </w:p>
    <w:p w14:paraId="711572BD" w14:textId="77777777" w:rsidR="0006642C" w:rsidRPr="004F4910" w:rsidRDefault="0006642C" w:rsidP="0006642C">
      <w:pPr>
        <w:pStyle w:val="Textoindependiente"/>
        <w:numPr>
          <w:ilvl w:val="0"/>
          <w:numId w:val="3"/>
        </w:numPr>
        <w:tabs>
          <w:tab w:val="left" w:pos="993"/>
        </w:tabs>
        <w:spacing w:before="120" w:line="276" w:lineRule="auto"/>
        <w:ind w:left="0" w:firstLine="709"/>
        <w:jc w:val="both"/>
        <w:rPr>
          <w:i/>
          <w:iCs/>
          <w:sz w:val="22"/>
          <w:szCs w:val="22"/>
          <w:lang w:val="es-CO"/>
        </w:rPr>
      </w:pPr>
      <w:r w:rsidRPr="004F4910">
        <w:rPr>
          <w:i/>
          <w:iCs/>
          <w:sz w:val="22"/>
          <w:szCs w:val="22"/>
          <w:lang w:val="es-CO"/>
        </w:rPr>
        <w:t>Capacidad de organización</w:t>
      </w:r>
      <w:r w:rsidRPr="004F4910">
        <w:rPr>
          <w:sz w:val="22"/>
          <w:szCs w:val="22"/>
          <w:lang w:val="es-CO"/>
        </w:rPr>
        <w:t>. Corresponde a los ingresos operacionales, según el siguiente cuadro:</w:t>
      </w:r>
    </w:p>
    <w:p w14:paraId="5EDFB751" w14:textId="77777777" w:rsidR="0006642C" w:rsidRPr="004F4910" w:rsidRDefault="0006642C" w:rsidP="0006642C">
      <w:pPr>
        <w:pStyle w:val="Textoindependiente"/>
        <w:tabs>
          <w:tab w:val="left" w:pos="993"/>
        </w:tabs>
        <w:spacing w:before="120" w:line="276" w:lineRule="auto"/>
        <w:ind w:left="709" w:right="51"/>
        <w:jc w:val="both"/>
        <w:rPr>
          <w:i/>
          <w:iCs/>
          <w:sz w:val="22"/>
          <w:szCs w:val="22"/>
          <w:lang w:val="es-CO"/>
        </w:rPr>
      </w:pPr>
    </w:p>
    <w:tbl>
      <w:tblPr>
        <w:tblStyle w:val="Tablaconcuadrcula"/>
        <w:tblW w:w="7366" w:type="dxa"/>
        <w:tblInd w:w="709" w:type="dxa"/>
        <w:tblLook w:val="04A0" w:firstRow="1" w:lastRow="0" w:firstColumn="1" w:lastColumn="0" w:noHBand="0" w:noVBand="1"/>
      </w:tblPr>
      <w:tblGrid>
        <w:gridCol w:w="4053"/>
        <w:gridCol w:w="3313"/>
      </w:tblGrid>
      <w:tr w:rsidR="0006642C" w:rsidRPr="004F4910" w14:paraId="7C76CECD" w14:textId="77777777" w:rsidTr="00E63C75">
        <w:tc>
          <w:tcPr>
            <w:tcW w:w="4053" w:type="dxa"/>
            <w:shd w:val="clear" w:color="auto" w:fill="D9D9D9" w:themeFill="background1" w:themeFillShade="D9"/>
          </w:tcPr>
          <w:p w14:paraId="4788859A" w14:textId="77777777" w:rsidR="0006642C" w:rsidRPr="004F4910" w:rsidRDefault="0006642C" w:rsidP="00E63C75">
            <w:pPr>
              <w:pStyle w:val="Textoindependiente"/>
              <w:tabs>
                <w:tab w:val="left" w:pos="993"/>
              </w:tabs>
              <w:spacing w:before="120" w:line="276" w:lineRule="auto"/>
              <w:ind w:right="51"/>
              <w:jc w:val="center"/>
              <w:rPr>
                <w:b/>
                <w:bCs/>
                <w:sz w:val="22"/>
                <w:szCs w:val="22"/>
                <w:lang w:val="es-CO"/>
              </w:rPr>
            </w:pPr>
            <w:r w:rsidRPr="004F4910">
              <w:rPr>
                <w:b/>
                <w:bCs/>
                <w:sz w:val="22"/>
                <w:szCs w:val="22"/>
                <w:lang w:val="es-CO"/>
              </w:rPr>
              <w:t>Años de información financiera</w:t>
            </w:r>
          </w:p>
        </w:tc>
        <w:tc>
          <w:tcPr>
            <w:tcW w:w="3313" w:type="dxa"/>
            <w:shd w:val="clear" w:color="auto" w:fill="D9D9D9" w:themeFill="background1" w:themeFillShade="D9"/>
          </w:tcPr>
          <w:p w14:paraId="5B7A435B" w14:textId="77777777" w:rsidR="0006642C" w:rsidRPr="004F4910" w:rsidRDefault="0006642C" w:rsidP="00E63C75">
            <w:pPr>
              <w:pStyle w:val="Textoindependiente"/>
              <w:tabs>
                <w:tab w:val="left" w:pos="993"/>
              </w:tabs>
              <w:spacing w:before="120" w:line="276" w:lineRule="auto"/>
              <w:ind w:right="51"/>
              <w:jc w:val="center"/>
              <w:rPr>
                <w:b/>
                <w:bCs/>
                <w:sz w:val="22"/>
                <w:szCs w:val="22"/>
                <w:lang w:val="es-CO"/>
              </w:rPr>
            </w:pPr>
            <w:r w:rsidRPr="004F4910">
              <w:rPr>
                <w:b/>
                <w:bCs/>
                <w:sz w:val="22"/>
                <w:szCs w:val="22"/>
                <w:lang w:val="es-CO"/>
              </w:rPr>
              <w:t>Capacidad de organización</w:t>
            </w:r>
          </w:p>
        </w:tc>
      </w:tr>
      <w:tr w:rsidR="0006642C" w:rsidRPr="004F4910" w14:paraId="285D811F" w14:textId="77777777" w:rsidTr="00E63C75">
        <w:tc>
          <w:tcPr>
            <w:tcW w:w="4053" w:type="dxa"/>
          </w:tcPr>
          <w:p w14:paraId="74E87905" w14:textId="77777777" w:rsidR="0006642C" w:rsidRPr="004F4910" w:rsidRDefault="0006642C" w:rsidP="00E63C75">
            <w:pPr>
              <w:pStyle w:val="Textoindependiente"/>
              <w:tabs>
                <w:tab w:val="left" w:pos="993"/>
              </w:tabs>
              <w:spacing w:before="120" w:line="276" w:lineRule="auto"/>
              <w:ind w:right="51"/>
              <w:jc w:val="both"/>
              <w:rPr>
                <w:sz w:val="22"/>
                <w:szCs w:val="22"/>
                <w:lang w:val="es-CO"/>
              </w:rPr>
            </w:pPr>
            <w:r w:rsidRPr="004F4910">
              <w:rPr>
                <w:sz w:val="22"/>
                <w:szCs w:val="22"/>
                <w:lang w:val="es-CO"/>
              </w:rPr>
              <w:t>Cinco (5) años o más</w:t>
            </w:r>
          </w:p>
        </w:tc>
        <w:tc>
          <w:tcPr>
            <w:tcW w:w="3313" w:type="dxa"/>
          </w:tcPr>
          <w:p w14:paraId="15779A0C" w14:textId="77777777" w:rsidR="0006642C" w:rsidRPr="004F4910" w:rsidRDefault="0006642C" w:rsidP="00E63C75">
            <w:pPr>
              <w:pStyle w:val="Textoindependiente"/>
              <w:tabs>
                <w:tab w:val="left" w:pos="993"/>
              </w:tabs>
              <w:spacing w:before="120" w:line="276" w:lineRule="auto"/>
              <w:ind w:right="51"/>
              <w:jc w:val="both"/>
              <w:rPr>
                <w:sz w:val="22"/>
                <w:szCs w:val="22"/>
                <w:lang w:val="es-CO"/>
              </w:rPr>
            </w:pPr>
            <w:r w:rsidRPr="004F4910">
              <w:rPr>
                <w:sz w:val="22"/>
                <w:szCs w:val="22"/>
                <w:lang w:val="es-CO"/>
              </w:rPr>
              <w:t>Mayor ingreso operacional de los últimos cinco años</w:t>
            </w:r>
          </w:p>
        </w:tc>
      </w:tr>
      <w:tr w:rsidR="0006642C" w:rsidRPr="004F4910" w14:paraId="1D218E26" w14:textId="77777777" w:rsidTr="00E63C75">
        <w:tc>
          <w:tcPr>
            <w:tcW w:w="4053" w:type="dxa"/>
          </w:tcPr>
          <w:p w14:paraId="262F5609" w14:textId="77777777" w:rsidR="0006642C" w:rsidRPr="004F4910" w:rsidRDefault="0006642C" w:rsidP="00E63C75">
            <w:pPr>
              <w:pStyle w:val="Textoindependiente"/>
              <w:tabs>
                <w:tab w:val="left" w:pos="993"/>
              </w:tabs>
              <w:spacing w:before="120" w:line="276" w:lineRule="auto"/>
              <w:ind w:right="51"/>
              <w:jc w:val="both"/>
              <w:rPr>
                <w:sz w:val="22"/>
                <w:szCs w:val="22"/>
                <w:lang w:val="es-CO"/>
              </w:rPr>
            </w:pPr>
            <w:r w:rsidRPr="004F4910">
              <w:rPr>
                <w:sz w:val="22"/>
                <w:szCs w:val="22"/>
                <w:lang w:val="es-CO"/>
              </w:rPr>
              <w:t>Entre uno (1) y cinco (5) años</w:t>
            </w:r>
          </w:p>
        </w:tc>
        <w:tc>
          <w:tcPr>
            <w:tcW w:w="3313" w:type="dxa"/>
          </w:tcPr>
          <w:p w14:paraId="01044D99" w14:textId="77777777" w:rsidR="0006642C" w:rsidRPr="004F4910" w:rsidRDefault="0006642C" w:rsidP="00E63C75">
            <w:pPr>
              <w:pStyle w:val="Textoindependiente"/>
              <w:tabs>
                <w:tab w:val="left" w:pos="993"/>
              </w:tabs>
              <w:spacing w:before="120" w:line="276" w:lineRule="auto"/>
              <w:ind w:right="51"/>
              <w:jc w:val="both"/>
              <w:rPr>
                <w:sz w:val="22"/>
                <w:szCs w:val="22"/>
                <w:lang w:val="es-CO"/>
              </w:rPr>
            </w:pPr>
            <w:r w:rsidRPr="004F4910">
              <w:rPr>
                <w:sz w:val="22"/>
                <w:szCs w:val="22"/>
                <w:lang w:val="es-CO"/>
              </w:rPr>
              <w:t>Mayor ingreso operacional de los años de vida del oferente</w:t>
            </w:r>
          </w:p>
        </w:tc>
      </w:tr>
      <w:tr w:rsidR="0006642C" w:rsidRPr="004F4910" w14:paraId="4BE161CD" w14:textId="77777777" w:rsidTr="00E63C75">
        <w:tc>
          <w:tcPr>
            <w:tcW w:w="4053" w:type="dxa"/>
          </w:tcPr>
          <w:p w14:paraId="2B56F7B0" w14:textId="77777777" w:rsidR="0006642C" w:rsidRPr="004F4910" w:rsidRDefault="0006642C" w:rsidP="00E63C75">
            <w:pPr>
              <w:pStyle w:val="Textoindependiente"/>
              <w:tabs>
                <w:tab w:val="left" w:pos="993"/>
              </w:tabs>
              <w:spacing w:before="120" w:line="276" w:lineRule="auto"/>
              <w:ind w:right="51"/>
              <w:jc w:val="both"/>
              <w:rPr>
                <w:sz w:val="22"/>
                <w:szCs w:val="22"/>
                <w:lang w:val="es-CO"/>
              </w:rPr>
            </w:pPr>
            <w:r w:rsidRPr="004F4910">
              <w:rPr>
                <w:sz w:val="22"/>
                <w:szCs w:val="22"/>
                <w:lang w:val="es-CO"/>
              </w:rPr>
              <w:t>Menos de un (1) año</w:t>
            </w:r>
          </w:p>
        </w:tc>
        <w:tc>
          <w:tcPr>
            <w:tcW w:w="3313" w:type="dxa"/>
          </w:tcPr>
          <w:p w14:paraId="4268DC8A" w14:textId="77777777" w:rsidR="0006642C" w:rsidRPr="004F4910" w:rsidRDefault="0006642C" w:rsidP="00E63C75">
            <w:pPr>
              <w:pStyle w:val="Textoindependiente"/>
              <w:tabs>
                <w:tab w:val="left" w:pos="993"/>
              </w:tabs>
              <w:spacing w:before="120" w:line="276" w:lineRule="auto"/>
              <w:ind w:right="51"/>
              <w:jc w:val="both"/>
              <w:rPr>
                <w:sz w:val="22"/>
                <w:szCs w:val="22"/>
                <w:lang w:val="es-CO"/>
              </w:rPr>
            </w:pPr>
            <w:r w:rsidRPr="004F4910">
              <w:rPr>
                <w:sz w:val="22"/>
                <w:szCs w:val="22"/>
                <w:lang w:val="es-CO"/>
              </w:rPr>
              <w:t>USD 125.000</w:t>
            </w:r>
          </w:p>
        </w:tc>
      </w:tr>
    </w:tbl>
    <w:p w14:paraId="2071D888" w14:textId="77777777" w:rsidR="0006642C" w:rsidRPr="004F4910" w:rsidRDefault="0006642C" w:rsidP="0006642C">
      <w:pPr>
        <w:pStyle w:val="Textoindependiente"/>
        <w:tabs>
          <w:tab w:val="left" w:pos="993"/>
        </w:tabs>
        <w:spacing w:before="120" w:line="276" w:lineRule="auto"/>
        <w:ind w:left="709" w:right="51"/>
        <w:jc w:val="both"/>
        <w:rPr>
          <w:i/>
          <w:iCs/>
          <w:sz w:val="22"/>
          <w:szCs w:val="22"/>
          <w:lang w:val="es-CO"/>
        </w:rPr>
      </w:pPr>
    </w:p>
    <w:p w14:paraId="4A8C91D4" w14:textId="77777777" w:rsidR="0006642C" w:rsidRPr="004F4910" w:rsidRDefault="0006642C" w:rsidP="0006642C">
      <w:pPr>
        <w:pStyle w:val="Textoindependiente"/>
        <w:numPr>
          <w:ilvl w:val="0"/>
          <w:numId w:val="3"/>
        </w:numPr>
        <w:tabs>
          <w:tab w:val="left" w:pos="993"/>
        </w:tabs>
        <w:spacing w:before="120" w:line="276" w:lineRule="auto"/>
        <w:ind w:left="0" w:firstLine="709"/>
        <w:jc w:val="both"/>
        <w:rPr>
          <w:sz w:val="22"/>
          <w:szCs w:val="22"/>
          <w:lang w:val="es-CO"/>
        </w:rPr>
      </w:pPr>
      <w:r w:rsidRPr="004F4910">
        <w:rPr>
          <w:i/>
          <w:iCs/>
          <w:sz w:val="22"/>
          <w:szCs w:val="22"/>
          <w:lang w:val="es-CO"/>
        </w:rPr>
        <w:t>Saldos de los contratos en ejecución</w:t>
      </w:r>
      <w:r w:rsidRPr="004F4910">
        <w:rPr>
          <w:sz w:val="22"/>
          <w:szCs w:val="22"/>
          <w:lang w:val="es-CO"/>
        </w:rPr>
        <w:t>.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0DC3433E" w14:textId="77777777" w:rsidR="0006642C" w:rsidRPr="0092607F" w:rsidRDefault="0006642C" w:rsidP="0006642C">
      <w:pPr>
        <w:pStyle w:val="Textoindependiente"/>
        <w:numPr>
          <w:ilvl w:val="0"/>
          <w:numId w:val="3"/>
        </w:numPr>
        <w:tabs>
          <w:tab w:val="left" w:pos="993"/>
        </w:tabs>
        <w:spacing w:before="120" w:line="276" w:lineRule="auto"/>
        <w:ind w:left="0" w:firstLine="709"/>
        <w:jc w:val="both"/>
        <w:rPr>
          <w:sz w:val="22"/>
          <w:szCs w:val="22"/>
          <w:lang w:val="es-CO"/>
        </w:rPr>
      </w:pPr>
      <w:r w:rsidRPr="00255CC5">
        <w:rPr>
          <w:i/>
          <w:iCs/>
          <w:sz w:val="22"/>
          <w:szCs w:val="22"/>
          <w:lang w:val="es-CO"/>
        </w:rPr>
        <w:t>Experiencia</w:t>
      </w:r>
      <w:r w:rsidRPr="00255CC5">
        <w:rPr>
          <w:sz w:val="22"/>
          <w:szCs w:val="22"/>
          <w:lang w:val="es-CO"/>
        </w:rPr>
        <w:t xml:space="preserve">. Para </w:t>
      </w:r>
      <w:r w:rsidRPr="0092607F">
        <w:rPr>
          <w:sz w:val="22"/>
          <w:szCs w:val="22"/>
          <w:lang w:val="es-CO"/>
        </w:rPr>
        <w:t xml:space="preserve">efectos </w:t>
      </w:r>
      <w:r w:rsidRPr="00F2712B">
        <w:rPr>
          <w:sz w:val="22"/>
          <w:szCs w:val="22"/>
          <w:lang w:val="es-CO"/>
        </w:rPr>
        <w:t>de calcular</w:t>
      </w:r>
      <w:r w:rsidRPr="00255CC5">
        <w:rPr>
          <w:sz w:val="22"/>
          <w:szCs w:val="22"/>
          <w:lang w:val="es-CO"/>
        </w:rPr>
        <w:t xml:space="preserve"> la capacidad residual −no para l</w:t>
      </w:r>
      <w:r w:rsidRPr="0092607F">
        <w:rPr>
          <w:sz w:val="22"/>
          <w:szCs w:val="22"/>
          <w:lang w:val="es-CO"/>
        </w:rPr>
        <w:t>a experiencia general que debe</w:t>
      </w:r>
      <w:r>
        <w:rPr>
          <w:sz w:val="22"/>
          <w:szCs w:val="22"/>
          <w:lang w:val="es-CO"/>
        </w:rPr>
        <w:t>n</w:t>
      </w:r>
      <w:r w:rsidRPr="00255CC5">
        <w:rPr>
          <w:sz w:val="22"/>
          <w:szCs w:val="22"/>
          <w:lang w:val="es-CO"/>
        </w:rPr>
        <w:t xml:space="preserve"> acreditar </w:t>
      </w:r>
      <w:r>
        <w:rPr>
          <w:sz w:val="22"/>
          <w:szCs w:val="22"/>
          <w:lang w:val="es-CO"/>
        </w:rPr>
        <w:t>los proponentes</w:t>
      </w:r>
      <w:r w:rsidRPr="00255CC5">
        <w:rPr>
          <w:sz w:val="22"/>
          <w:szCs w:val="22"/>
          <w:lang w:val="es-CO"/>
        </w:rPr>
        <w:t xml:space="preserve"> según la Matriz 1</w:t>
      </w:r>
      <w:r>
        <w:rPr>
          <w:sz w:val="22"/>
          <w:szCs w:val="22"/>
          <w:lang w:val="es-CO"/>
        </w:rPr>
        <w:t xml:space="preserve"> de los documentos tipo</w:t>
      </w:r>
      <w:r w:rsidRPr="00255CC5">
        <w:rPr>
          <w:sz w:val="22"/>
          <w:szCs w:val="22"/>
          <w:lang w:val="es-CO"/>
        </w:rPr>
        <w:t>−</w:t>
      </w:r>
      <w:r w:rsidRPr="0092607F">
        <w:rPr>
          <w:sz w:val="22"/>
          <w:szCs w:val="22"/>
          <w:lang w:val="es-CO"/>
        </w:rPr>
        <w:t>, corresponde</w:t>
      </w:r>
      <w:r>
        <w:rPr>
          <w:sz w:val="22"/>
          <w:szCs w:val="22"/>
          <w:lang w:val="es-CO"/>
        </w:rPr>
        <w:t xml:space="preserve"> según la Guía analizada,</w:t>
      </w:r>
      <w:r w:rsidRPr="00255CC5">
        <w:rPr>
          <w:sz w:val="22"/>
          <w:szCs w:val="22"/>
          <w:lang w:val="es-CO"/>
        </w:rPr>
        <w:t xml:space="preserve"> de un lado, a la relación entre «el valor total en pesos de los contratos relacionados con la actividad de la construcción inscritos por el proponente en el Registro Ún</w:t>
      </w:r>
      <w:r w:rsidRPr="0092607F">
        <w:rPr>
          <w:sz w:val="22"/>
          <w:szCs w:val="22"/>
          <w:lang w:val="es-CO"/>
        </w:rPr>
        <w:t xml:space="preserve">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  </w:t>
      </w:r>
    </w:p>
    <w:p w14:paraId="16F7511B" w14:textId="77777777" w:rsidR="0006642C" w:rsidRPr="00F2712B" w:rsidRDefault="0006642C" w:rsidP="0006642C">
      <w:pPr>
        <w:pStyle w:val="Textoindependiente"/>
        <w:spacing w:before="120" w:line="276" w:lineRule="auto"/>
        <w:ind w:firstLine="708"/>
        <w:jc w:val="both"/>
        <w:rPr>
          <w:sz w:val="22"/>
          <w:szCs w:val="22"/>
        </w:rPr>
      </w:pPr>
      <w:r w:rsidRPr="00F2712B">
        <w:rPr>
          <w:sz w:val="22"/>
          <w:szCs w:val="22"/>
          <w:lang w:val="es-CO"/>
        </w:rPr>
        <w:t>No obstante</w:t>
      </w:r>
      <w:r w:rsidRPr="00255CC5">
        <w:rPr>
          <w:sz w:val="22"/>
          <w:szCs w:val="22"/>
          <w:lang w:val="es-CO"/>
        </w:rPr>
        <w:t xml:space="preserve"> lo </w:t>
      </w:r>
      <w:r w:rsidRPr="00F2712B">
        <w:rPr>
          <w:sz w:val="22"/>
          <w:szCs w:val="22"/>
          <w:lang w:val="es-CO"/>
        </w:rPr>
        <w:t>explicado hasta este lugar</w:t>
      </w:r>
      <w:r w:rsidRPr="00255CC5">
        <w:rPr>
          <w:sz w:val="22"/>
          <w:szCs w:val="22"/>
        </w:rPr>
        <w:t xml:space="preserve">, </w:t>
      </w:r>
      <w:r w:rsidRPr="0092607F">
        <w:rPr>
          <w:sz w:val="22"/>
          <w:szCs w:val="22"/>
        </w:rPr>
        <w:t xml:space="preserve">cabe </w:t>
      </w:r>
      <w:r w:rsidRPr="00F2712B">
        <w:rPr>
          <w:sz w:val="22"/>
          <w:szCs w:val="22"/>
        </w:rPr>
        <w:t xml:space="preserve">realizar algunas </w:t>
      </w:r>
      <w:r w:rsidRPr="00255CC5">
        <w:rPr>
          <w:sz w:val="22"/>
          <w:szCs w:val="22"/>
        </w:rPr>
        <w:t>precis</w:t>
      </w:r>
      <w:r w:rsidRPr="00F2712B">
        <w:rPr>
          <w:sz w:val="22"/>
          <w:szCs w:val="22"/>
        </w:rPr>
        <w:t xml:space="preserve">iones en relación con los Documentos Tipo de mínima cuantía para obras de infraestructura de transporte, teniendo en cuenta, entre otras cosas, que en los procedimientos de selección de mínima cuantía no es obligatoria la inscripción en el RUP, por lo que es importante destacar algunos contenidos de estos documentos tipo relacionados con la forma como los proponentes acreditan su capacidad residual. </w:t>
      </w:r>
    </w:p>
    <w:p w14:paraId="28EF3966" w14:textId="77777777" w:rsidR="0006642C" w:rsidRDefault="0006642C" w:rsidP="0006642C">
      <w:pPr>
        <w:pStyle w:val="Textoindependiente"/>
        <w:spacing w:before="120" w:line="276" w:lineRule="auto"/>
        <w:ind w:firstLine="708"/>
        <w:jc w:val="both"/>
        <w:rPr>
          <w:sz w:val="22"/>
          <w:szCs w:val="22"/>
          <w:lang w:val="es-CO"/>
        </w:rPr>
      </w:pPr>
      <w:r w:rsidRPr="00F2712B">
        <w:rPr>
          <w:sz w:val="22"/>
          <w:szCs w:val="22"/>
        </w:rPr>
        <w:lastRenderedPageBreak/>
        <w:t>En armonía con lo anterior, vale la pena destacar</w:t>
      </w:r>
      <w:r>
        <w:rPr>
          <w:sz w:val="22"/>
          <w:szCs w:val="22"/>
        </w:rPr>
        <w:t xml:space="preserve"> particularmente</w:t>
      </w:r>
      <w:r w:rsidRPr="00F2712B">
        <w:rPr>
          <w:sz w:val="22"/>
          <w:szCs w:val="22"/>
        </w:rPr>
        <w:t xml:space="preserve"> lo señalado en </w:t>
      </w:r>
      <w:r w:rsidRPr="0092607F">
        <w:rPr>
          <w:sz w:val="22"/>
          <w:szCs w:val="22"/>
        </w:rPr>
        <w:t>el formato 5 de</w:t>
      </w:r>
      <w:r w:rsidRPr="00F2712B">
        <w:rPr>
          <w:sz w:val="22"/>
          <w:szCs w:val="22"/>
        </w:rPr>
        <w:t xml:space="preserve"> este</w:t>
      </w:r>
      <w:r w:rsidRPr="0092607F">
        <w:rPr>
          <w:sz w:val="22"/>
          <w:szCs w:val="22"/>
        </w:rPr>
        <w:t xml:space="preserve"> documento</w:t>
      </w:r>
      <w:r w:rsidRPr="00F2712B">
        <w:rPr>
          <w:sz w:val="22"/>
          <w:szCs w:val="22"/>
        </w:rPr>
        <w:t xml:space="preserve"> tipo. En este sentido, mediante dicho formato se permite que las entidades establezcan los formatos o documentos que los proponentes deben presentar para acreditar distintos contenidos de la capacidad residual; </w:t>
      </w:r>
      <w:r>
        <w:rPr>
          <w:sz w:val="22"/>
          <w:szCs w:val="22"/>
        </w:rPr>
        <w:t>aunque</w:t>
      </w:r>
      <w:r w:rsidRPr="00F2712B">
        <w:rPr>
          <w:sz w:val="22"/>
          <w:szCs w:val="22"/>
        </w:rPr>
        <w:t xml:space="preserve"> deba respetarse lo regulado en el documento base de la invitación. </w:t>
      </w:r>
      <w:r>
        <w:rPr>
          <w:sz w:val="22"/>
          <w:szCs w:val="22"/>
        </w:rPr>
        <w:t>De esta manera</w:t>
      </w:r>
      <w:r w:rsidRPr="00F2712B">
        <w:rPr>
          <w:sz w:val="22"/>
          <w:szCs w:val="22"/>
        </w:rPr>
        <w:t>, en el formato 5 se señala que</w:t>
      </w:r>
      <w:r w:rsidRPr="0092607F">
        <w:rPr>
          <w:sz w:val="22"/>
          <w:szCs w:val="22"/>
        </w:rPr>
        <w:t>: «</w:t>
      </w:r>
      <w:r w:rsidRPr="0092607F">
        <w:rPr>
          <w:sz w:val="22"/>
          <w:szCs w:val="22"/>
          <w:lang w:val="es-CO"/>
        </w:rPr>
        <w:t>L</w:t>
      </w:r>
      <w:r w:rsidRPr="0092607F">
        <w:rPr>
          <w:rFonts w:eastAsiaTheme="minorHAnsi"/>
          <w:sz w:val="22"/>
          <w:szCs w:val="22"/>
          <w:lang w:val="es-MX"/>
        </w:rPr>
        <w:t>a entidad estatal deberá estructurar los formatos para la verificación de la capacidad residual utilizando los formatos y la metodología señalada en la “Guía para Determinar y Verificar la Capacidad Residual del Proponente en los Procesos de Contratación de Obra Pública” de la Agencia Nacional de Contratación Pública - Colombia Compra Eficiente</w:t>
      </w:r>
      <w:r w:rsidRPr="0092607F">
        <w:rPr>
          <w:sz w:val="22"/>
          <w:szCs w:val="22"/>
        </w:rPr>
        <w:t>»</w:t>
      </w:r>
      <w:r w:rsidRPr="0092607F">
        <w:rPr>
          <w:sz w:val="22"/>
          <w:szCs w:val="22"/>
          <w:lang w:val="es-CO"/>
        </w:rPr>
        <w:t>.</w:t>
      </w:r>
      <w:r>
        <w:rPr>
          <w:sz w:val="22"/>
          <w:szCs w:val="22"/>
          <w:lang w:val="es-CO"/>
        </w:rPr>
        <w:t xml:space="preserve"> </w:t>
      </w:r>
    </w:p>
    <w:p w14:paraId="7C79C78E" w14:textId="77777777" w:rsidR="0006642C" w:rsidRDefault="0006642C" w:rsidP="0006642C">
      <w:pPr>
        <w:pStyle w:val="Textoindependiente"/>
        <w:spacing w:before="120" w:line="276" w:lineRule="auto"/>
        <w:ind w:firstLine="708"/>
        <w:jc w:val="both"/>
        <w:rPr>
          <w:sz w:val="22"/>
          <w:szCs w:val="22"/>
          <w:lang w:val="es-CO"/>
        </w:rPr>
      </w:pPr>
      <w:r>
        <w:rPr>
          <w:sz w:val="22"/>
          <w:szCs w:val="22"/>
          <w:lang w:val="es-CO"/>
        </w:rPr>
        <w:t>En lo que tiene que ver con la experiencia para efectos de calcular la capacidad residual, en el literal b) del numeral 4.7.2. del «documento base» de invitación, se señala que «</w:t>
      </w:r>
      <w:r w:rsidRPr="00AE69D7">
        <w:rPr>
          <w:sz w:val="22"/>
          <w:szCs w:val="22"/>
          <w:lang w:val="es-CO"/>
        </w:rPr>
        <w:t>Para acreditar el factor (E), el proponente debe diligenciar el Formato 5 – Capacidad residual el cual contiene los contratos inscritos en el segmento 72 y su valor total en Pesos</w:t>
      </w:r>
      <w:r>
        <w:rPr>
          <w:sz w:val="22"/>
          <w:szCs w:val="22"/>
          <w:lang w:val="es-CO"/>
        </w:rPr>
        <w:t xml:space="preserve"> </w:t>
      </w:r>
      <w:r w:rsidRPr="00AE69D7">
        <w:rPr>
          <w:sz w:val="22"/>
          <w:szCs w:val="22"/>
          <w:lang w:val="es-CO"/>
        </w:rPr>
        <w:t>Colombianos liquidados con el SMMLV. Así mismo, el presupuesto oficial estimado debe ser liquidado con el SMMLV para el año de publicación del pliego de condiciones definitivo del proceso de contratación. De igual forma, el proponente entregará los certificados de los contratos enunciados en este formato para verificar la información diligenciada</w:t>
      </w:r>
      <w:r>
        <w:rPr>
          <w:sz w:val="22"/>
          <w:szCs w:val="22"/>
          <w:lang w:val="es-CO"/>
        </w:rPr>
        <w:t>»</w:t>
      </w:r>
      <w:r w:rsidRPr="00AE69D7">
        <w:rPr>
          <w:sz w:val="22"/>
          <w:szCs w:val="22"/>
          <w:lang w:val="es-CO"/>
        </w:rPr>
        <w:t>.</w:t>
      </w:r>
    </w:p>
    <w:p w14:paraId="66E99A0E" w14:textId="77777777" w:rsidR="0006642C" w:rsidRDefault="0006642C" w:rsidP="0006642C">
      <w:pPr>
        <w:pStyle w:val="Textoindependiente"/>
        <w:spacing w:before="120" w:line="276" w:lineRule="auto"/>
        <w:ind w:firstLine="708"/>
        <w:jc w:val="both"/>
        <w:rPr>
          <w:rFonts w:eastAsia="Calibri"/>
          <w:sz w:val="22"/>
        </w:rPr>
      </w:pPr>
      <w:r>
        <w:rPr>
          <w:sz w:val="22"/>
          <w:szCs w:val="22"/>
          <w:lang w:val="es-CO"/>
        </w:rPr>
        <w:t xml:space="preserve">De acuerdo con lo anterior, corresponderá a la entidad que adelanta el procedimiento de mínima cuantía, definir en el Formato 5 los documentos y anexos que deberá aportar el proponente para efectos de calcular su capacidad residual, particularmente en lo que tiene que ver con el componente de experiencia, de modo que la entidad podrá establecer allí un anexo similar al incluido en el anexo 1 de </w:t>
      </w:r>
      <w:r w:rsidRPr="0092607F">
        <w:rPr>
          <w:sz w:val="22"/>
          <w:szCs w:val="22"/>
          <w:lang w:val="es-CO"/>
        </w:rPr>
        <w:t xml:space="preserve">la </w:t>
      </w:r>
      <w:r>
        <w:rPr>
          <w:sz w:val="22"/>
          <w:szCs w:val="22"/>
          <w:lang w:val="es-CO"/>
        </w:rPr>
        <w:t>«</w:t>
      </w:r>
      <w:r w:rsidRPr="0092607F">
        <w:rPr>
          <w:sz w:val="22"/>
          <w:szCs w:val="22"/>
          <w:lang w:val="es-CO"/>
        </w:rPr>
        <w:t>Guía para Determinar y Verificar la Capacidad Residual del Proponente en los Procesos de Contratación de Obra Pública</w:t>
      </w:r>
      <w:r>
        <w:rPr>
          <w:sz w:val="22"/>
          <w:szCs w:val="22"/>
          <w:lang w:val="es-CO"/>
        </w:rPr>
        <w:t>», de manera que mediante ellos se acrediten los requisitos para calcular la capacidad residual.</w:t>
      </w:r>
    </w:p>
    <w:p w14:paraId="2AC7F483" w14:textId="77777777" w:rsidR="0006642C" w:rsidRDefault="0006642C" w:rsidP="0006642C">
      <w:pPr>
        <w:pStyle w:val="Textoindependiente"/>
        <w:spacing w:before="120" w:after="120" w:line="276" w:lineRule="auto"/>
        <w:ind w:firstLine="709"/>
        <w:jc w:val="both"/>
        <w:rPr>
          <w:sz w:val="22"/>
          <w:szCs w:val="22"/>
          <w:lang w:val="es-CO"/>
        </w:rPr>
      </w:pPr>
      <w:r>
        <w:rPr>
          <w:sz w:val="22"/>
          <w:szCs w:val="22"/>
          <w:lang w:val="es-CO"/>
        </w:rPr>
        <w:t>En este contexto, r</w:t>
      </w:r>
      <w:r w:rsidRPr="004F4910">
        <w:rPr>
          <w:sz w:val="22"/>
          <w:szCs w:val="22"/>
          <w:lang w:val="es-CO"/>
        </w:rPr>
        <w:t xml:space="preserve">esulta </w:t>
      </w:r>
      <w:r>
        <w:rPr>
          <w:sz w:val="22"/>
          <w:szCs w:val="22"/>
          <w:lang w:val="es-CO"/>
        </w:rPr>
        <w:t>oportuno</w:t>
      </w:r>
      <w:r w:rsidRPr="004F4910">
        <w:rPr>
          <w:sz w:val="22"/>
          <w:szCs w:val="22"/>
          <w:lang w:val="es-CO"/>
        </w:rPr>
        <w:t xml:space="preserve"> precisar que</w:t>
      </w:r>
      <w:r>
        <w:rPr>
          <w:sz w:val="22"/>
          <w:szCs w:val="22"/>
          <w:lang w:val="es-CO"/>
        </w:rPr>
        <w:t>,</w:t>
      </w:r>
      <w:r w:rsidRPr="004F4910">
        <w:rPr>
          <w:sz w:val="22"/>
          <w:szCs w:val="22"/>
          <w:lang w:val="es-CO"/>
        </w:rPr>
        <w:t xml:space="preserve"> si bien es cierto la entidad estatal </w:t>
      </w:r>
      <w:r>
        <w:rPr>
          <w:sz w:val="22"/>
          <w:szCs w:val="22"/>
          <w:lang w:val="es-CO"/>
        </w:rPr>
        <w:t xml:space="preserve">es </w:t>
      </w:r>
      <w:r w:rsidRPr="004F4910">
        <w:rPr>
          <w:sz w:val="22"/>
          <w:szCs w:val="22"/>
          <w:lang w:val="es-CO"/>
        </w:rPr>
        <w:t>la que debe calcular la capacidad residual de los proponentes, también lo es que estos últimos, como se</w:t>
      </w:r>
      <w:r>
        <w:rPr>
          <w:sz w:val="22"/>
          <w:szCs w:val="22"/>
          <w:lang w:val="es-CO"/>
        </w:rPr>
        <w:t xml:space="preserve"> referenció</w:t>
      </w:r>
      <w:r w:rsidRPr="004F4910">
        <w:rPr>
          <w:sz w:val="22"/>
          <w:szCs w:val="22"/>
          <w:lang w:val="es-CO"/>
        </w:rPr>
        <w:t xml:space="preserve">, tienen </w:t>
      </w:r>
      <w:r>
        <w:rPr>
          <w:sz w:val="22"/>
          <w:szCs w:val="22"/>
          <w:lang w:val="es-CO"/>
        </w:rPr>
        <w:t xml:space="preserve">la </w:t>
      </w:r>
      <w:r w:rsidRPr="004F4910">
        <w:rPr>
          <w:sz w:val="22"/>
          <w:szCs w:val="22"/>
          <w:lang w:val="es-CO"/>
        </w:rPr>
        <w:t>carga</w:t>
      </w:r>
      <w:r>
        <w:rPr>
          <w:sz w:val="22"/>
          <w:szCs w:val="22"/>
          <w:lang w:val="es-CO"/>
        </w:rPr>
        <w:t xml:space="preserve"> de</w:t>
      </w:r>
      <w:r w:rsidRPr="004F4910">
        <w:rPr>
          <w:sz w:val="22"/>
          <w:szCs w:val="22"/>
          <w:lang w:val="es-CO"/>
        </w:rPr>
        <w:t xml:space="preserve"> aportar los documentos para acreditar su capacidad residual</w:t>
      </w:r>
      <w:r w:rsidRPr="004F4910">
        <w:rPr>
          <w:rStyle w:val="Refdenotaalpie"/>
          <w:sz w:val="22"/>
          <w:szCs w:val="22"/>
          <w:lang w:val="es-CO"/>
        </w:rPr>
        <w:footnoteReference w:id="10"/>
      </w:r>
      <w:r w:rsidRPr="004F4910">
        <w:rPr>
          <w:sz w:val="22"/>
          <w:szCs w:val="22"/>
          <w:lang w:val="es-CO"/>
        </w:rPr>
        <w:t xml:space="preserve">. </w:t>
      </w:r>
    </w:p>
    <w:p w14:paraId="53FC0EDE" w14:textId="77777777" w:rsidR="0006642C" w:rsidRDefault="0006642C" w:rsidP="0006642C">
      <w:pPr>
        <w:spacing w:before="120"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En igual sentido, congruente con lo expuesto dentro del documento base de invitación, en el numeral 4.7.2. se estableció la forma en la que se calcula la capacidad residual del proponente. De manera concreta, en lo que tiene que ver con el componente capacidad financiera (CF), el literal c) establece que «</w:t>
      </w:r>
      <w:r w:rsidRPr="00E27326">
        <w:rPr>
          <w:rFonts w:ascii="Arial" w:eastAsia="Calibri" w:hAnsi="Arial" w:cs="Arial"/>
          <w:color w:val="000000" w:themeColor="text1"/>
          <w:sz w:val="22"/>
          <w:lang w:val="es-ES_tradnl"/>
        </w:rPr>
        <w:t>Para verificar el índice de liquidez de los oferentes se deberá tener en cuenta la siguiente información</w:t>
      </w:r>
      <w:r>
        <w:rPr>
          <w:rFonts w:ascii="Arial" w:eastAsia="Calibri" w:hAnsi="Arial" w:cs="Arial"/>
          <w:color w:val="000000" w:themeColor="text1"/>
          <w:sz w:val="22"/>
          <w:lang w:val="es-ES_tradnl"/>
        </w:rPr>
        <w:t>»,</w:t>
      </w:r>
      <w:r w:rsidRPr="00E27326">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es decir, que los proponentes deben cumplir con dichos requisitos: </w:t>
      </w:r>
    </w:p>
    <w:p w14:paraId="07D34D38" w14:textId="77777777" w:rsidR="0006642C" w:rsidRPr="003E5A91" w:rsidRDefault="0006642C" w:rsidP="0006642C">
      <w:pPr>
        <w:spacing w:line="276" w:lineRule="auto"/>
        <w:ind w:firstLine="708"/>
        <w:jc w:val="both"/>
        <w:rPr>
          <w:rFonts w:ascii="Arial" w:eastAsia="Calibri" w:hAnsi="Arial" w:cs="Arial"/>
          <w:color w:val="000000" w:themeColor="text1"/>
          <w:sz w:val="21"/>
          <w:szCs w:val="21"/>
          <w:lang w:val="es-ES_tradnl"/>
        </w:rPr>
      </w:pPr>
    </w:p>
    <w:p w14:paraId="50460667" w14:textId="77777777" w:rsidR="0006642C" w:rsidRPr="003E5A91" w:rsidRDefault="0006642C" w:rsidP="0006642C">
      <w:pPr>
        <w:pStyle w:val="Prrafodelista"/>
        <w:widowControl w:val="0"/>
        <w:numPr>
          <w:ilvl w:val="0"/>
          <w:numId w:val="5"/>
        </w:numPr>
        <w:spacing w:after="160"/>
        <w:ind w:left="709" w:right="709" w:firstLine="0"/>
        <w:jc w:val="both"/>
        <w:rPr>
          <w:rFonts w:ascii="Arial" w:hAnsi="Arial" w:cs="Arial"/>
          <w:color w:val="000000" w:themeColor="text1"/>
          <w:sz w:val="21"/>
          <w:szCs w:val="21"/>
          <w:lang w:val="es-ES"/>
        </w:rPr>
      </w:pPr>
      <w:r w:rsidRPr="003E5A91">
        <w:rPr>
          <w:rFonts w:ascii="Arial" w:hAnsi="Arial" w:cs="Arial"/>
          <w:color w:val="000000" w:themeColor="text1"/>
          <w:sz w:val="21"/>
          <w:szCs w:val="21"/>
          <w:lang w:val="es-ES"/>
        </w:rPr>
        <w:t xml:space="preserve">El estado de situación financiera (balance general) con fecha de corte a 31 de diciembre de </w:t>
      </w:r>
      <w:r w:rsidRPr="003E5A91">
        <w:rPr>
          <w:rFonts w:ascii="Arial" w:hAnsi="Arial" w:cs="Arial"/>
          <w:color w:val="000000" w:themeColor="text1"/>
          <w:sz w:val="21"/>
          <w:szCs w:val="21"/>
          <w:highlight w:val="lightGray"/>
          <w:lang w:val="es-ES"/>
        </w:rPr>
        <w:t>[identificar el año]</w:t>
      </w:r>
      <w:r w:rsidRPr="003E5A91" w:rsidDel="00141B63">
        <w:rPr>
          <w:rFonts w:ascii="Arial" w:hAnsi="Arial" w:cs="Arial"/>
          <w:color w:val="000000" w:themeColor="text1"/>
          <w:sz w:val="21"/>
          <w:szCs w:val="21"/>
          <w:lang w:val="es-ES"/>
        </w:rPr>
        <w:t xml:space="preserve"> </w:t>
      </w:r>
      <w:r w:rsidRPr="003E5A91">
        <w:rPr>
          <w:rFonts w:ascii="Arial" w:hAnsi="Arial" w:cs="Arial"/>
          <w:color w:val="000000" w:themeColor="text1"/>
          <w:sz w:val="21"/>
          <w:szCs w:val="21"/>
          <w:lang w:val="es-ES"/>
        </w:rPr>
        <w:t xml:space="preserve">o 31 de diciembre de </w:t>
      </w:r>
      <w:r w:rsidRPr="003E5A91">
        <w:rPr>
          <w:rFonts w:ascii="Arial" w:hAnsi="Arial" w:cs="Arial"/>
          <w:color w:val="000000" w:themeColor="text1"/>
          <w:sz w:val="21"/>
          <w:szCs w:val="21"/>
          <w:highlight w:val="lightGray"/>
          <w:lang w:val="es-ES"/>
        </w:rPr>
        <w:t>[identificar el año]</w:t>
      </w:r>
      <w:r w:rsidRPr="003E5A91">
        <w:rPr>
          <w:rFonts w:ascii="Arial" w:hAnsi="Arial" w:cs="Arial"/>
          <w:color w:val="000000" w:themeColor="text1"/>
          <w:sz w:val="21"/>
          <w:szCs w:val="21"/>
          <w:lang w:val="es-ES"/>
        </w:rPr>
        <w:t>. Debidamente firmado por el interesado o su representante legal y el revisor fiscal si está obligado a tenerlo, o el auditor o contador si no está obligado a tener revisor fiscal.</w:t>
      </w:r>
    </w:p>
    <w:p w14:paraId="29708BF0" w14:textId="77777777" w:rsidR="0006642C" w:rsidRPr="003E5A91" w:rsidRDefault="0006642C" w:rsidP="0006642C">
      <w:pPr>
        <w:pStyle w:val="Prrafodelista"/>
        <w:widowControl w:val="0"/>
        <w:numPr>
          <w:ilvl w:val="0"/>
          <w:numId w:val="5"/>
        </w:numPr>
        <w:spacing w:after="160"/>
        <w:ind w:left="709" w:right="709" w:firstLine="0"/>
        <w:jc w:val="both"/>
        <w:rPr>
          <w:rFonts w:ascii="Arial" w:hAnsi="Arial" w:cs="Arial"/>
          <w:color w:val="000000" w:themeColor="text1"/>
          <w:sz w:val="21"/>
          <w:szCs w:val="21"/>
          <w:lang w:val="es-ES"/>
        </w:rPr>
      </w:pPr>
      <w:r w:rsidRPr="003E5A91">
        <w:rPr>
          <w:rFonts w:ascii="Arial" w:hAnsi="Arial" w:cs="Arial"/>
          <w:color w:val="000000" w:themeColor="text1"/>
          <w:sz w:val="21"/>
          <w:szCs w:val="21"/>
          <w:lang w:val="es-ES"/>
        </w:rPr>
        <w:t xml:space="preserve">Estado de resultado integral (estado de resultados), con fecha de corte a </w:t>
      </w:r>
      <w:r w:rsidRPr="003E5A91">
        <w:rPr>
          <w:rFonts w:ascii="Arial" w:hAnsi="Arial" w:cs="Arial"/>
          <w:color w:val="000000" w:themeColor="text1"/>
          <w:sz w:val="21"/>
          <w:szCs w:val="21"/>
          <w:highlight w:val="lightGray"/>
          <w:lang w:val="es-ES"/>
        </w:rPr>
        <w:t>[identificar el año]</w:t>
      </w:r>
      <w:r w:rsidRPr="003E5A91" w:rsidDel="00141B63">
        <w:rPr>
          <w:rFonts w:ascii="Arial" w:hAnsi="Arial" w:cs="Arial"/>
          <w:color w:val="000000" w:themeColor="text1"/>
          <w:sz w:val="21"/>
          <w:szCs w:val="21"/>
          <w:lang w:val="es-ES"/>
        </w:rPr>
        <w:t xml:space="preserve"> </w:t>
      </w:r>
      <w:r w:rsidRPr="003E5A91">
        <w:rPr>
          <w:rFonts w:ascii="Arial" w:hAnsi="Arial" w:cs="Arial"/>
          <w:color w:val="000000" w:themeColor="text1"/>
          <w:sz w:val="21"/>
          <w:szCs w:val="21"/>
          <w:lang w:val="es-ES"/>
        </w:rPr>
        <w:t xml:space="preserve">o 31 de diciembre de </w:t>
      </w:r>
      <w:r w:rsidRPr="003E5A91">
        <w:rPr>
          <w:rFonts w:ascii="Arial" w:hAnsi="Arial" w:cs="Arial"/>
          <w:color w:val="000000" w:themeColor="text1"/>
          <w:sz w:val="21"/>
          <w:szCs w:val="21"/>
          <w:highlight w:val="lightGray"/>
          <w:lang w:val="es-ES"/>
        </w:rPr>
        <w:t>[identificar el año]</w:t>
      </w:r>
      <w:r w:rsidRPr="003E5A91">
        <w:rPr>
          <w:rFonts w:ascii="Arial" w:hAnsi="Arial" w:cs="Arial"/>
          <w:color w:val="000000" w:themeColor="text1"/>
          <w:sz w:val="21"/>
          <w:szCs w:val="21"/>
          <w:lang w:val="es-ES"/>
        </w:rPr>
        <w:t>. Debidamente firmado por el interesado o su representante legal y el revisor fiscal si está obligado a tenerlo, o el auditor o contador si no está obligado a tener revisor fiscal.</w:t>
      </w:r>
    </w:p>
    <w:p w14:paraId="5DB54CF4" w14:textId="77777777" w:rsidR="0006642C" w:rsidRPr="003E5A91" w:rsidRDefault="0006642C" w:rsidP="0006642C">
      <w:pPr>
        <w:pStyle w:val="Prrafodelista"/>
        <w:widowControl w:val="0"/>
        <w:numPr>
          <w:ilvl w:val="0"/>
          <w:numId w:val="5"/>
        </w:numPr>
        <w:spacing w:after="160"/>
        <w:ind w:left="709" w:right="709" w:firstLine="0"/>
        <w:jc w:val="both"/>
        <w:rPr>
          <w:rFonts w:ascii="Arial" w:hAnsi="Arial" w:cs="Arial"/>
          <w:color w:val="000000" w:themeColor="text1"/>
          <w:sz w:val="21"/>
          <w:szCs w:val="21"/>
          <w:lang w:val="es-ES"/>
        </w:rPr>
      </w:pPr>
      <w:r w:rsidRPr="003E5A91">
        <w:rPr>
          <w:rFonts w:ascii="Arial" w:hAnsi="Arial" w:cs="Arial"/>
          <w:color w:val="000000" w:themeColor="text1"/>
          <w:sz w:val="21"/>
          <w:szCs w:val="21"/>
          <w:lang w:val="es-ES"/>
        </w:rPr>
        <w:t>Certificación debidamente diligenciada por el interesado o su representante legal y el revisor fiscal si está obligado a tenerlo, o el auditor o contador si no está obligado a tener revisor fiscal en donde indiquen expresamente el valor los gastos de intereses si el valor es $ 0 indicarlo en dicha certificación.</w:t>
      </w:r>
    </w:p>
    <w:p w14:paraId="0F561385" w14:textId="77777777" w:rsidR="0006642C" w:rsidRPr="00F2712B" w:rsidRDefault="0006642C" w:rsidP="0006642C">
      <w:pPr>
        <w:pStyle w:val="Prrafodelista"/>
        <w:widowControl w:val="0"/>
        <w:numPr>
          <w:ilvl w:val="0"/>
          <w:numId w:val="5"/>
        </w:numPr>
        <w:ind w:left="709" w:right="709" w:firstLine="0"/>
        <w:contextualSpacing w:val="0"/>
        <w:jc w:val="both"/>
        <w:rPr>
          <w:rFonts w:ascii="Arial" w:hAnsi="Arial" w:cs="Arial"/>
          <w:color w:val="000000" w:themeColor="text1"/>
          <w:sz w:val="21"/>
          <w:szCs w:val="21"/>
          <w:lang w:val="es-ES"/>
        </w:rPr>
      </w:pPr>
      <w:r w:rsidRPr="003E5A91">
        <w:rPr>
          <w:rFonts w:ascii="Arial" w:hAnsi="Arial" w:cs="Arial"/>
          <w:color w:val="000000" w:themeColor="text1"/>
          <w:sz w:val="21"/>
          <w:szCs w:val="21"/>
          <w:lang w:val="es-ES"/>
        </w:rPr>
        <w:t>Copia de la tarjeta profesional y certificado de antecedentes disciplinarios vigentes de los contadores públicos, revisores fiscales, contadores independientes (externos), quienes suscribieron los documentos señalados en el presente literal</w:t>
      </w:r>
      <w:r w:rsidRPr="003E5A91">
        <w:rPr>
          <w:rFonts w:ascii="Arial" w:hAnsi="Arial" w:cs="Arial"/>
          <w:color w:val="000000" w:themeColor="text1"/>
          <w:sz w:val="21"/>
          <w:szCs w:val="21"/>
          <w:lang w:val="es-ES_tradnl"/>
        </w:rPr>
        <w:t>».</w:t>
      </w:r>
    </w:p>
    <w:p w14:paraId="743797DA" w14:textId="77777777" w:rsidR="0006642C" w:rsidRDefault="0006642C" w:rsidP="0006642C">
      <w:pPr>
        <w:widowControl w:val="0"/>
        <w:ind w:left="709" w:right="709"/>
        <w:jc w:val="both"/>
        <w:rPr>
          <w:rFonts w:ascii="Arial" w:hAnsi="Arial" w:cs="Arial"/>
          <w:color w:val="000000" w:themeColor="text1"/>
          <w:sz w:val="21"/>
          <w:szCs w:val="21"/>
          <w:lang w:val="es-ES"/>
        </w:rPr>
      </w:pPr>
    </w:p>
    <w:p w14:paraId="13C96B6D" w14:textId="77777777" w:rsidR="0006642C" w:rsidRDefault="0006642C" w:rsidP="0006642C">
      <w:pPr>
        <w:widowControl w:val="0"/>
        <w:spacing w:before="120" w:line="276" w:lineRule="auto"/>
        <w:ind w:firstLine="709"/>
        <w:jc w:val="both"/>
        <w:rPr>
          <w:rFonts w:ascii="Arial" w:hAnsi="Arial" w:cs="Arial"/>
          <w:color w:val="000000" w:themeColor="text1"/>
          <w:sz w:val="22"/>
          <w:szCs w:val="22"/>
          <w:lang w:val="es-ES"/>
        </w:rPr>
      </w:pPr>
      <w:r w:rsidRPr="00F2712B">
        <w:rPr>
          <w:rFonts w:ascii="Arial" w:hAnsi="Arial" w:cs="Arial"/>
          <w:color w:val="000000" w:themeColor="text1"/>
          <w:sz w:val="22"/>
          <w:szCs w:val="22"/>
          <w:lang w:val="es-ES"/>
        </w:rPr>
        <w:t xml:space="preserve">De forma similar a lo anterior, en el literal a) del numeral 4.7.2. del documento base de invitación se señala la información que debe ser aportada por los proponentes para </w:t>
      </w:r>
      <w:r>
        <w:rPr>
          <w:rFonts w:ascii="Arial" w:hAnsi="Arial" w:cs="Arial"/>
          <w:color w:val="000000" w:themeColor="text1"/>
          <w:sz w:val="22"/>
          <w:szCs w:val="22"/>
          <w:lang w:val="es-ES"/>
        </w:rPr>
        <w:t>acreditar la capacidad de organización para efectos de calcular la capacidad residual, sin perjuicio de los formatos que establezca la entidad en el Formato 5. En efecto, allí se establecen los documentos que deben presentar los interesados, sin que se realicen distinciones en relación con algún tipo de proponente en particular</w:t>
      </w:r>
      <w:r>
        <w:rPr>
          <w:rStyle w:val="Refdenotaalpie"/>
          <w:rFonts w:ascii="Arial" w:hAnsi="Arial" w:cs="Arial"/>
          <w:color w:val="000000" w:themeColor="text1"/>
          <w:sz w:val="22"/>
          <w:szCs w:val="22"/>
          <w:lang w:val="es-ES"/>
        </w:rPr>
        <w:footnoteReference w:id="11"/>
      </w:r>
      <w:r>
        <w:rPr>
          <w:rFonts w:ascii="Arial" w:hAnsi="Arial" w:cs="Arial"/>
          <w:color w:val="000000" w:themeColor="text1"/>
          <w:sz w:val="22"/>
          <w:szCs w:val="22"/>
          <w:lang w:val="es-ES"/>
        </w:rPr>
        <w:t>.</w:t>
      </w:r>
    </w:p>
    <w:p w14:paraId="312AF75C" w14:textId="77777777" w:rsidR="0006642C" w:rsidRPr="003E5A91" w:rsidRDefault="0006642C" w:rsidP="0006642C">
      <w:pPr>
        <w:widowControl w:val="0"/>
        <w:spacing w:before="120" w:line="276" w:lineRule="auto"/>
        <w:ind w:firstLine="709"/>
        <w:jc w:val="both"/>
        <w:rPr>
          <w:rFonts w:ascii="Arial" w:hAnsi="Arial" w:cs="Arial"/>
          <w:color w:val="000000" w:themeColor="text1"/>
          <w:sz w:val="22"/>
          <w:szCs w:val="22"/>
          <w:lang w:val="es-ES"/>
        </w:rPr>
      </w:pPr>
      <w:r w:rsidRPr="003E5A91">
        <w:rPr>
          <w:rFonts w:ascii="Arial" w:hAnsi="Arial" w:cs="Arial"/>
          <w:color w:val="000000" w:themeColor="text1"/>
          <w:sz w:val="22"/>
          <w:szCs w:val="22"/>
          <w:lang w:val="es-ES"/>
        </w:rPr>
        <w:lastRenderedPageBreak/>
        <w:t xml:space="preserve">Con base en </w:t>
      </w:r>
      <w:r>
        <w:rPr>
          <w:rFonts w:ascii="Arial" w:hAnsi="Arial" w:cs="Arial"/>
          <w:color w:val="000000" w:themeColor="text1"/>
          <w:sz w:val="22"/>
          <w:szCs w:val="22"/>
          <w:lang w:val="es-ES"/>
        </w:rPr>
        <w:t xml:space="preserve">el contenido del documento base de invitación se puede observar que allí se establecen los documentos y la información que debe ser presentada por los proponentes en relación con la experiencia, la capacidad financiera y de organización para efectos de calcular la capacidad residual. En relación con este aspecto es importante señalar que allí no se realizan distinciones respecto a proponentes concretos, por lo que todos ellos deberán acreditar su capacidad financiera y capacidad de organización, para efectos de calcular la capacidad residual, de acuerdo los documentos indicados en el documento base, sin perjuicio de lo que la entidad estatal establezca en el Formato 5. </w:t>
      </w:r>
    </w:p>
    <w:p w14:paraId="58605831" w14:textId="77777777" w:rsidR="0006642C" w:rsidRDefault="0006642C" w:rsidP="0006642C">
      <w:pPr>
        <w:pStyle w:val="Textoindependiente"/>
        <w:spacing w:line="276" w:lineRule="auto"/>
        <w:jc w:val="both"/>
        <w:rPr>
          <w:rFonts w:eastAsia="Calibri"/>
          <w:b/>
          <w:color w:val="000000" w:themeColor="text1"/>
          <w:sz w:val="22"/>
          <w:lang w:val="es-ES_tradnl"/>
        </w:rPr>
      </w:pPr>
    </w:p>
    <w:p w14:paraId="03242C7E" w14:textId="77777777" w:rsidR="0006642C" w:rsidRPr="006C0EA1" w:rsidRDefault="0006642C" w:rsidP="0006642C">
      <w:pPr>
        <w:tabs>
          <w:tab w:val="left" w:pos="709"/>
        </w:tabs>
        <w:spacing w:line="276" w:lineRule="auto"/>
        <w:jc w:val="both"/>
        <w:rPr>
          <w:rFonts w:ascii="Arial" w:eastAsia="Calibri" w:hAnsi="Arial" w:cs="Arial"/>
          <w:b/>
          <w:sz w:val="22"/>
          <w:lang w:val="es-ES_tradnl"/>
        </w:rPr>
      </w:pPr>
      <w:r>
        <w:rPr>
          <w:rFonts w:ascii="Arial" w:eastAsia="Calibri" w:hAnsi="Arial" w:cs="Arial"/>
          <w:b/>
          <w:sz w:val="22"/>
          <w:lang w:val="es-ES_tradnl"/>
        </w:rPr>
        <w:t xml:space="preserve">3. </w:t>
      </w:r>
      <w:r w:rsidRPr="006C0EA1">
        <w:rPr>
          <w:rFonts w:ascii="Arial" w:eastAsia="Calibri" w:hAnsi="Arial" w:cs="Arial"/>
          <w:b/>
          <w:sz w:val="22"/>
          <w:lang w:val="es-ES_tradnl"/>
        </w:rPr>
        <w:t>Respuesta</w:t>
      </w:r>
    </w:p>
    <w:p w14:paraId="1DCB8557" w14:textId="77777777" w:rsidR="0006642C" w:rsidRPr="0093085B" w:rsidRDefault="0006642C" w:rsidP="0006642C">
      <w:pPr>
        <w:tabs>
          <w:tab w:val="left" w:pos="709"/>
        </w:tabs>
        <w:spacing w:line="276" w:lineRule="auto"/>
        <w:ind w:left="709" w:right="709"/>
        <w:jc w:val="both"/>
        <w:rPr>
          <w:rFonts w:ascii="Arial" w:eastAsia="Calibri" w:hAnsi="Arial" w:cs="Arial"/>
          <w:b/>
          <w:sz w:val="21"/>
          <w:szCs w:val="21"/>
          <w:lang w:val="es-ES_tradnl"/>
        </w:rPr>
      </w:pPr>
    </w:p>
    <w:p w14:paraId="23C70A7D" w14:textId="77777777" w:rsidR="0006642C" w:rsidRPr="00145C1D" w:rsidRDefault="0006642C" w:rsidP="0006642C">
      <w:pPr>
        <w:pStyle w:val="Prrafodelista"/>
        <w:numPr>
          <w:ilvl w:val="0"/>
          <w:numId w:val="4"/>
        </w:numPr>
        <w:ind w:right="709"/>
        <w:jc w:val="both"/>
        <w:rPr>
          <w:rFonts w:ascii="Arial" w:hAnsi="Arial" w:cs="Arial"/>
          <w:color w:val="000000"/>
          <w:sz w:val="21"/>
          <w:szCs w:val="21"/>
        </w:rPr>
      </w:pPr>
      <w:r>
        <w:rPr>
          <w:rFonts w:ascii="Arial" w:eastAsia="Calibri" w:hAnsi="Arial" w:cs="Arial"/>
          <w:sz w:val="22"/>
        </w:rPr>
        <w:t>«</w:t>
      </w:r>
      <w:r w:rsidRPr="0093085B">
        <w:rPr>
          <w:rFonts w:ascii="Arial" w:eastAsia="Calibri" w:hAnsi="Arial" w:cs="Arial"/>
          <w:sz w:val="22"/>
        </w:rPr>
        <w:t>¿</w:t>
      </w:r>
      <w:r w:rsidRPr="00145C1D">
        <w:rPr>
          <w:rFonts w:ascii="Arial" w:hAnsi="Arial" w:cs="Arial"/>
          <w:color w:val="000000"/>
          <w:sz w:val="21"/>
          <w:szCs w:val="21"/>
          <w:bdr w:val="none" w:sz="0" w:space="0" w:color="auto" w:frame="1"/>
        </w:rPr>
        <w:t>En procesos de selección de mínima cuantía por documento tipo (infraestructura de transporte) se requiere acreditar capacidad residual, ¿para realizar este cálculo para propósitos del factor experiencia, es necesario que el proponente tenga Registro Único de Proponentes, teniendo en cuenta el valor total de experiencia de contratos inscritos en el segmento 72</w:t>
      </w:r>
      <w:r>
        <w:rPr>
          <w:rFonts w:ascii="Arial" w:hAnsi="Arial" w:cs="Arial"/>
          <w:sz w:val="22"/>
        </w:rPr>
        <w:t>?».</w:t>
      </w:r>
    </w:p>
    <w:p w14:paraId="25EA2A83" w14:textId="77777777" w:rsidR="0006642C" w:rsidRPr="0093085B" w:rsidRDefault="0006642C" w:rsidP="0006642C">
      <w:pPr>
        <w:ind w:left="709" w:right="709"/>
        <w:jc w:val="both"/>
        <w:rPr>
          <w:rFonts w:ascii="Arial" w:eastAsia="Calibri" w:hAnsi="Arial" w:cs="Arial"/>
          <w:sz w:val="21"/>
          <w:szCs w:val="21"/>
        </w:rPr>
      </w:pPr>
    </w:p>
    <w:p w14:paraId="236DB9E9" w14:textId="77777777" w:rsidR="0006642C" w:rsidRDefault="0006642C" w:rsidP="0006642C">
      <w:pPr>
        <w:pStyle w:val="Textoindependiente"/>
        <w:spacing w:before="120" w:line="276" w:lineRule="auto"/>
        <w:jc w:val="both"/>
        <w:rPr>
          <w:sz w:val="22"/>
          <w:szCs w:val="22"/>
        </w:rPr>
      </w:pPr>
      <w:r w:rsidRPr="003E5A91">
        <w:rPr>
          <w:color w:val="000000"/>
          <w:sz w:val="22"/>
          <w:szCs w:val="22"/>
          <w:bdr w:val="none" w:sz="0" w:space="0" w:color="auto" w:frame="1"/>
        </w:rPr>
        <w:t>Con base en las consideraciones</w:t>
      </w:r>
      <w:r>
        <w:rPr>
          <w:color w:val="000000"/>
          <w:sz w:val="22"/>
          <w:szCs w:val="22"/>
          <w:bdr w:val="none" w:sz="0" w:space="0" w:color="auto" w:frame="1"/>
        </w:rPr>
        <w:t xml:space="preserve"> anteriores</w:t>
      </w:r>
      <w:r w:rsidRPr="003E5A91">
        <w:rPr>
          <w:color w:val="000000"/>
          <w:sz w:val="22"/>
          <w:szCs w:val="22"/>
          <w:bdr w:val="none" w:sz="0" w:space="0" w:color="auto" w:frame="1"/>
        </w:rPr>
        <w:t>, respecto del Registro Único de Proponentes –RUP–</w:t>
      </w:r>
      <w:r>
        <w:rPr>
          <w:color w:val="000000"/>
          <w:sz w:val="22"/>
          <w:szCs w:val="22"/>
          <w:bdr w:val="none" w:sz="0" w:space="0" w:color="auto" w:frame="1"/>
        </w:rPr>
        <w:t>,</w:t>
      </w:r>
      <w:r w:rsidRPr="003E5A91">
        <w:rPr>
          <w:color w:val="000000"/>
          <w:sz w:val="22"/>
          <w:szCs w:val="22"/>
          <w:bdr w:val="none" w:sz="0" w:space="0" w:color="auto" w:frame="1"/>
        </w:rPr>
        <w:t xml:space="preserve"> es necesario </w:t>
      </w:r>
      <w:r>
        <w:rPr>
          <w:color w:val="000000"/>
          <w:sz w:val="22"/>
          <w:szCs w:val="22"/>
          <w:bdr w:val="none" w:sz="0" w:space="0" w:color="auto" w:frame="1"/>
        </w:rPr>
        <w:t>señalar</w:t>
      </w:r>
      <w:r w:rsidRPr="003E5A91">
        <w:rPr>
          <w:color w:val="000000"/>
          <w:sz w:val="22"/>
          <w:szCs w:val="22"/>
          <w:bdr w:val="none" w:sz="0" w:space="0" w:color="auto" w:frame="1"/>
        </w:rPr>
        <w:t xml:space="preserve"> que en nuestro ordenamiento jurídico existe una clara excepción, prevista en el artículo 6 de la Ley 1150 de 2007, según la cual en los procesos de mínima cuantía no se </w:t>
      </w:r>
      <w:r>
        <w:rPr>
          <w:color w:val="000000"/>
          <w:sz w:val="22"/>
          <w:szCs w:val="22"/>
          <w:bdr w:val="none" w:sz="0" w:space="0" w:color="auto" w:frame="1"/>
        </w:rPr>
        <w:t>exigirá</w:t>
      </w:r>
      <w:r w:rsidRPr="003E5A91">
        <w:rPr>
          <w:color w:val="000000"/>
          <w:sz w:val="22"/>
          <w:szCs w:val="22"/>
          <w:bdr w:val="none" w:sz="0" w:space="0" w:color="auto" w:frame="1"/>
        </w:rPr>
        <w:t xml:space="preserve"> dicha inscripción. </w:t>
      </w:r>
      <w:r w:rsidRPr="00A753F4">
        <w:rPr>
          <w:sz w:val="22"/>
          <w:szCs w:val="22"/>
        </w:rPr>
        <w:t>En armonía con lo anterior, vale la pena destacar</w:t>
      </w:r>
      <w:r>
        <w:rPr>
          <w:sz w:val="22"/>
          <w:szCs w:val="22"/>
        </w:rPr>
        <w:t xml:space="preserve"> particularmente</w:t>
      </w:r>
      <w:r w:rsidRPr="00A753F4">
        <w:rPr>
          <w:sz w:val="22"/>
          <w:szCs w:val="22"/>
        </w:rPr>
        <w:t xml:space="preserve"> lo señalado en el formato 5 </w:t>
      </w:r>
      <w:r>
        <w:rPr>
          <w:sz w:val="22"/>
          <w:szCs w:val="22"/>
        </w:rPr>
        <w:t>del documento tipo de mínima cuantía de obras de infraestructura de transporte</w:t>
      </w:r>
      <w:r w:rsidRPr="00A753F4">
        <w:rPr>
          <w:sz w:val="22"/>
          <w:szCs w:val="22"/>
        </w:rPr>
        <w:t xml:space="preserve">. En este sentido, mediante dicho formato se permite que las entidades establezcan los formatos o documentos que los proponentes deben presentar para acreditar distintos contenidos de la capacidad residual; </w:t>
      </w:r>
      <w:r>
        <w:rPr>
          <w:sz w:val="22"/>
          <w:szCs w:val="22"/>
        </w:rPr>
        <w:t>aunque</w:t>
      </w:r>
      <w:r w:rsidRPr="00A753F4">
        <w:rPr>
          <w:sz w:val="22"/>
          <w:szCs w:val="22"/>
        </w:rPr>
        <w:t xml:space="preserve"> deba </w:t>
      </w:r>
      <w:r w:rsidRPr="00A753F4">
        <w:rPr>
          <w:sz w:val="22"/>
          <w:szCs w:val="22"/>
        </w:rPr>
        <w:lastRenderedPageBreak/>
        <w:t xml:space="preserve">respetarse lo regulado en el documento base de la invitación. </w:t>
      </w:r>
    </w:p>
    <w:p w14:paraId="4381DCB6" w14:textId="77777777" w:rsidR="0006642C" w:rsidRDefault="0006642C" w:rsidP="0006642C">
      <w:pPr>
        <w:pStyle w:val="Textoindependiente"/>
        <w:spacing w:before="120" w:line="276" w:lineRule="auto"/>
        <w:ind w:firstLine="708"/>
        <w:jc w:val="both"/>
        <w:rPr>
          <w:sz w:val="22"/>
          <w:szCs w:val="22"/>
          <w:lang w:val="es-CO"/>
        </w:rPr>
      </w:pPr>
      <w:r w:rsidRPr="00A753F4">
        <w:rPr>
          <w:sz w:val="22"/>
          <w:szCs w:val="22"/>
        </w:rPr>
        <w:t>Sin perjuicio de ello, en el formato 5 se señala que: «</w:t>
      </w:r>
      <w:r w:rsidRPr="00A753F4">
        <w:rPr>
          <w:sz w:val="22"/>
          <w:szCs w:val="22"/>
          <w:lang w:val="es-CO"/>
        </w:rPr>
        <w:t>L</w:t>
      </w:r>
      <w:r w:rsidRPr="00A753F4">
        <w:rPr>
          <w:rFonts w:eastAsiaTheme="minorHAnsi"/>
          <w:sz w:val="22"/>
          <w:szCs w:val="22"/>
          <w:lang w:val="es-MX"/>
        </w:rPr>
        <w:t>a entidad estatal deberá estructurar los formatos para la verificación de la capacidad residual utilizando los formatos y la metodología señalada en la “Guía para Determinar y Verificar la Capacidad Residual del Proponente en los Procesos de Contratación de Obra Pública” de la Agencia Nacional de Contratación Pública - Colombia Compra Eficiente</w:t>
      </w:r>
      <w:r w:rsidRPr="00A753F4">
        <w:rPr>
          <w:sz w:val="22"/>
          <w:szCs w:val="22"/>
        </w:rPr>
        <w:t>»</w:t>
      </w:r>
      <w:r w:rsidRPr="00A753F4">
        <w:rPr>
          <w:sz w:val="22"/>
          <w:szCs w:val="22"/>
          <w:lang w:val="es-CO"/>
        </w:rPr>
        <w:t>.</w:t>
      </w:r>
      <w:r>
        <w:rPr>
          <w:sz w:val="22"/>
          <w:szCs w:val="22"/>
          <w:lang w:val="es-CO"/>
        </w:rPr>
        <w:t xml:space="preserve"> </w:t>
      </w:r>
    </w:p>
    <w:p w14:paraId="67FD0D61" w14:textId="77777777" w:rsidR="0006642C" w:rsidRDefault="0006642C" w:rsidP="0006642C">
      <w:pPr>
        <w:pStyle w:val="Textoindependiente"/>
        <w:spacing w:before="120" w:line="276" w:lineRule="auto"/>
        <w:ind w:firstLine="708"/>
        <w:jc w:val="both"/>
        <w:rPr>
          <w:sz w:val="22"/>
          <w:szCs w:val="22"/>
          <w:lang w:val="es-CO"/>
        </w:rPr>
      </w:pPr>
      <w:r>
        <w:rPr>
          <w:sz w:val="22"/>
          <w:szCs w:val="22"/>
          <w:lang w:val="es-CO"/>
        </w:rPr>
        <w:t>De esta manera, en lo que tiene que ver con la experiencia para efectos de calcular la capacidad residual, en el literal b) del numeral 4.7.2. del «documento base» de invitación, se señala que «</w:t>
      </w:r>
      <w:r w:rsidRPr="00AE69D7">
        <w:rPr>
          <w:sz w:val="22"/>
          <w:szCs w:val="22"/>
          <w:lang w:val="es-CO"/>
        </w:rPr>
        <w:t>Para acreditar el factor (E), el proponente debe diligenciar el Formato 5 – Capacidad residual el cual contiene los contratos inscritos en el segmento 72 y su valor total en Pesos</w:t>
      </w:r>
      <w:r>
        <w:rPr>
          <w:sz w:val="22"/>
          <w:szCs w:val="22"/>
          <w:lang w:val="es-CO"/>
        </w:rPr>
        <w:t xml:space="preserve"> </w:t>
      </w:r>
      <w:r w:rsidRPr="00AE69D7">
        <w:rPr>
          <w:sz w:val="22"/>
          <w:szCs w:val="22"/>
          <w:lang w:val="es-CO"/>
        </w:rPr>
        <w:t>Colombianos liquidados con el SMMLV. Así mismo, el presupuesto oficial estimado debe ser liquidado con el SMMLV para el año de publicación del pliego de condiciones definitivo del proceso de contratación. De igual forma, el proponente entregará los certificados de los contratos enunciados en este formato para verificar la información diligenciada</w:t>
      </w:r>
      <w:r>
        <w:rPr>
          <w:sz w:val="22"/>
          <w:szCs w:val="22"/>
          <w:lang w:val="es-CO"/>
        </w:rPr>
        <w:t>»</w:t>
      </w:r>
      <w:r w:rsidRPr="00AE69D7">
        <w:rPr>
          <w:sz w:val="22"/>
          <w:szCs w:val="22"/>
          <w:lang w:val="es-CO"/>
        </w:rPr>
        <w:t>.</w:t>
      </w:r>
    </w:p>
    <w:p w14:paraId="71F72537" w14:textId="77777777" w:rsidR="0006642C" w:rsidRDefault="0006642C" w:rsidP="0006642C">
      <w:pPr>
        <w:pStyle w:val="Textoindependiente"/>
        <w:spacing w:before="120" w:line="276" w:lineRule="auto"/>
        <w:ind w:firstLine="708"/>
        <w:jc w:val="both"/>
        <w:rPr>
          <w:rFonts w:eastAsia="Calibri"/>
          <w:sz w:val="22"/>
        </w:rPr>
      </w:pPr>
      <w:r>
        <w:rPr>
          <w:sz w:val="22"/>
          <w:szCs w:val="22"/>
          <w:lang w:val="es-CO"/>
        </w:rPr>
        <w:t xml:space="preserve">De acuerdo con lo anterior, corresponderá a la entidad que adelanta el procedimiento de mínima cuantía, definir en el Formato 5 los documentos y anexos que deberá aportar el proponente para efectos de calcular su capacidad residual, particularmente en lo que tiene que ver con el componente de experiencia, de modo que la entidad podrá establecer allí un anexo similar al incluido en el anexo 1 de </w:t>
      </w:r>
      <w:r w:rsidRPr="0092607F">
        <w:rPr>
          <w:sz w:val="22"/>
          <w:szCs w:val="22"/>
          <w:lang w:val="es-CO"/>
        </w:rPr>
        <w:t xml:space="preserve">la </w:t>
      </w:r>
      <w:r>
        <w:rPr>
          <w:sz w:val="22"/>
          <w:szCs w:val="22"/>
          <w:lang w:val="es-CO"/>
        </w:rPr>
        <w:t>«</w:t>
      </w:r>
      <w:r w:rsidRPr="0092607F">
        <w:rPr>
          <w:sz w:val="22"/>
          <w:szCs w:val="22"/>
          <w:lang w:val="es-CO"/>
        </w:rPr>
        <w:t>Guía para Determinar y Verificar la Capacidad Residual del Proponente en los Procesos de Contratación de Obra Pública</w:t>
      </w:r>
      <w:r>
        <w:rPr>
          <w:sz w:val="22"/>
          <w:szCs w:val="22"/>
          <w:lang w:val="es-CO"/>
        </w:rPr>
        <w:t>», de manera que mediante ellos se acrediten los requisitos para calcular la capacidad residual.</w:t>
      </w:r>
    </w:p>
    <w:p w14:paraId="315BAD29" w14:textId="77777777" w:rsidR="0006642C" w:rsidRDefault="0006642C" w:rsidP="0006642C">
      <w:pPr>
        <w:spacing w:line="276" w:lineRule="auto"/>
        <w:jc w:val="both"/>
        <w:rPr>
          <w:sz w:val="22"/>
          <w:szCs w:val="22"/>
        </w:rPr>
      </w:pPr>
    </w:p>
    <w:p w14:paraId="250ED33D" w14:textId="77777777" w:rsidR="0006642C" w:rsidRPr="003E5A91" w:rsidRDefault="0006642C" w:rsidP="0006642C">
      <w:pPr>
        <w:pStyle w:val="Prrafodelista"/>
        <w:numPr>
          <w:ilvl w:val="0"/>
          <w:numId w:val="4"/>
        </w:numPr>
        <w:ind w:left="1429" w:right="709"/>
        <w:jc w:val="both"/>
        <w:rPr>
          <w:rFonts w:ascii="Arial" w:hAnsi="Arial" w:cs="Arial"/>
          <w:color w:val="000000"/>
          <w:sz w:val="21"/>
          <w:szCs w:val="21"/>
        </w:rPr>
      </w:pPr>
      <w:r w:rsidRPr="003E5A91">
        <w:rPr>
          <w:rFonts w:ascii="Arial" w:eastAsia="Calibri" w:hAnsi="Arial" w:cs="Arial"/>
          <w:sz w:val="22"/>
        </w:rPr>
        <w:t>«¿</w:t>
      </w:r>
      <w:r w:rsidRPr="003E5A91">
        <w:rPr>
          <w:rFonts w:ascii="Arial" w:hAnsi="Arial" w:cs="Arial"/>
          <w:color w:val="000000"/>
          <w:sz w:val="21"/>
          <w:szCs w:val="21"/>
          <w:bdr w:val="none" w:sz="0" w:space="0" w:color="auto" w:frame="1"/>
        </w:rPr>
        <w:t>El factor capacidad financiera (CF) para propósitos de la capacidad residual (índice de liquidez) y capacidad de organización (ingresos operacionales), ¿es obligatorio solicitar estados financieros para proponentes persona natural no obligados a llevar contabilidad y sin Registro Único de Proponentes</w:t>
      </w:r>
      <w:r w:rsidRPr="003E5A91">
        <w:rPr>
          <w:rFonts w:ascii="Arial" w:hAnsi="Arial" w:cs="Arial"/>
          <w:sz w:val="22"/>
        </w:rPr>
        <w:t>?».</w:t>
      </w:r>
    </w:p>
    <w:p w14:paraId="44CAA0BA" w14:textId="77777777" w:rsidR="0006642C" w:rsidRPr="003E5A91" w:rsidRDefault="0006642C" w:rsidP="0006642C">
      <w:pPr>
        <w:pStyle w:val="Prrafodelista"/>
        <w:ind w:left="1429" w:right="709"/>
        <w:jc w:val="both"/>
        <w:rPr>
          <w:rFonts w:ascii="Arial" w:hAnsi="Arial" w:cs="Arial"/>
          <w:color w:val="000000"/>
          <w:sz w:val="21"/>
          <w:szCs w:val="21"/>
        </w:rPr>
      </w:pPr>
    </w:p>
    <w:p w14:paraId="2C84EA0C" w14:textId="77777777" w:rsidR="0006642C" w:rsidRPr="00145C1D" w:rsidRDefault="0006642C" w:rsidP="0006642C">
      <w:pPr>
        <w:spacing w:line="276" w:lineRule="auto"/>
        <w:ind w:right="49"/>
        <w:jc w:val="both"/>
        <w:rPr>
          <w:rFonts w:ascii="Arial" w:hAnsi="Arial" w:cs="Arial"/>
          <w:color w:val="000000"/>
          <w:sz w:val="22"/>
          <w:szCs w:val="22"/>
        </w:rPr>
      </w:pPr>
      <w:r>
        <w:rPr>
          <w:rFonts w:ascii="Arial" w:hAnsi="Arial" w:cs="Arial"/>
          <w:color w:val="000000"/>
          <w:sz w:val="22"/>
          <w:szCs w:val="22"/>
          <w:bdr w:val="none" w:sz="0" w:space="0" w:color="auto" w:frame="1"/>
        </w:rPr>
        <w:t xml:space="preserve">Respecto de la segunda pregunta, </w:t>
      </w:r>
      <w:r w:rsidRPr="00145C1D">
        <w:rPr>
          <w:rFonts w:ascii="Arial" w:hAnsi="Arial" w:cs="Arial"/>
          <w:color w:val="000000"/>
          <w:sz w:val="22"/>
          <w:szCs w:val="22"/>
          <w:bdr w:val="none" w:sz="0" w:space="0" w:color="auto" w:frame="1"/>
          <w:lang w:val="es-ES"/>
        </w:rPr>
        <w:t xml:space="preserve">es necesario precisar que para el caso de los procesos de contratación de mínima cuantía adelantados en observancia de los </w:t>
      </w:r>
      <w:r>
        <w:rPr>
          <w:rFonts w:ascii="Arial" w:hAnsi="Arial" w:cs="Arial"/>
          <w:color w:val="000000"/>
          <w:sz w:val="22"/>
          <w:szCs w:val="22"/>
          <w:bdr w:val="none" w:sz="0" w:space="0" w:color="auto" w:frame="1"/>
          <w:lang w:val="es-ES"/>
        </w:rPr>
        <w:t>documentos</w:t>
      </w:r>
      <w:r w:rsidRPr="00145C1D">
        <w:rPr>
          <w:rFonts w:ascii="Arial" w:hAnsi="Arial" w:cs="Arial"/>
          <w:color w:val="000000"/>
          <w:sz w:val="22"/>
          <w:szCs w:val="22"/>
          <w:bdr w:val="none" w:sz="0" w:space="0" w:color="auto" w:frame="1"/>
          <w:lang w:val="es-ES"/>
        </w:rPr>
        <w:t xml:space="preserve"> tipo de infraestructura de transporte rige el carácter de inalterabilidad de los mismos, es decir, todas las entidades estatales sometidas al Estatuto General de Contratación de la Administración Pública deberán ceñirse al documento tipo del proceso de selección que pretenden adelantar, sin que puedan alterar su contenido, incluir o modificar las condiciones habilitantes, los factores técnicos y económicos de escogencia y los sistemas de ponderación distintos a los señalados en los Documentos Tipo. </w:t>
      </w:r>
    </w:p>
    <w:p w14:paraId="0213861C" w14:textId="77777777" w:rsidR="0006642C" w:rsidRDefault="0006642C" w:rsidP="0006642C">
      <w:pPr>
        <w:spacing w:before="120" w:line="276" w:lineRule="auto"/>
        <w:ind w:right="49" w:firstLine="708"/>
        <w:jc w:val="both"/>
        <w:rPr>
          <w:rFonts w:ascii="Arial" w:hAnsi="Arial" w:cs="Arial"/>
          <w:color w:val="000000"/>
          <w:sz w:val="22"/>
          <w:szCs w:val="22"/>
          <w:bdr w:val="none" w:sz="0" w:space="0" w:color="auto" w:frame="1"/>
        </w:rPr>
      </w:pPr>
      <w:r w:rsidRPr="003E5A91">
        <w:rPr>
          <w:rFonts w:ascii="Arial" w:hAnsi="Arial" w:cs="Arial"/>
          <w:color w:val="000000" w:themeColor="text1"/>
          <w:sz w:val="22"/>
          <w:szCs w:val="22"/>
          <w:lang w:val="es-ES"/>
        </w:rPr>
        <w:lastRenderedPageBreak/>
        <w:t xml:space="preserve">Con base en </w:t>
      </w:r>
      <w:r>
        <w:rPr>
          <w:rFonts w:ascii="Arial" w:hAnsi="Arial" w:cs="Arial"/>
          <w:color w:val="000000" w:themeColor="text1"/>
          <w:sz w:val="22"/>
          <w:szCs w:val="22"/>
          <w:lang w:val="es-ES"/>
        </w:rPr>
        <w:t>el contenido del documento base de invitación, particularmente lo establecido en el numeral 4.7.2. se puede observar que allí se establecen los documentos y la información que debe ser presentada por los proponentes en relación con la experiencia, la capacidad residual y de organización para efectos de calcular la capacidad residual. En relación con este aspecto es importante señalar que allí no se realizan distinciones respecto de proponentes concretos, por lo que todos ellos deberán acreditar su capacidad financiera y capacidad de organización, para efectos de calcular la capacidad residual, de acuerdo con la información establecida en el documento base; sin perjuicio de lo que la entidad estatal señale en el Formato 5.</w:t>
      </w:r>
    </w:p>
    <w:p w14:paraId="420C990B" w14:textId="77777777" w:rsidR="0006642C" w:rsidRPr="003E5A91" w:rsidRDefault="0006642C" w:rsidP="0006642C">
      <w:pPr>
        <w:spacing w:before="120" w:line="276" w:lineRule="auto"/>
        <w:ind w:right="49" w:firstLine="708"/>
        <w:jc w:val="both"/>
        <w:rPr>
          <w:rFonts w:ascii="Arial" w:hAnsi="Arial" w:cs="Arial"/>
          <w:color w:val="000000"/>
          <w:sz w:val="22"/>
          <w:szCs w:val="22"/>
          <w:bdr w:val="none" w:sz="0" w:space="0" w:color="auto" w:frame="1"/>
        </w:rPr>
      </w:pPr>
    </w:p>
    <w:p w14:paraId="78580FAA" w14:textId="77777777" w:rsidR="0006642C" w:rsidRPr="007E42BC" w:rsidRDefault="0006642C" w:rsidP="0006642C">
      <w:pPr>
        <w:pStyle w:val="xmsonospacing"/>
        <w:spacing w:before="0" w:beforeAutospacing="0" w:after="0" w:afterAutospacing="0" w:line="276" w:lineRule="auto"/>
        <w:jc w:val="both"/>
        <w:rPr>
          <w:rFonts w:ascii="Arial" w:hAnsi="Arial" w:cs="Arial"/>
          <w:color w:val="000000"/>
          <w:sz w:val="22"/>
          <w:szCs w:val="22"/>
        </w:rPr>
      </w:pPr>
    </w:p>
    <w:p w14:paraId="655DE757" w14:textId="77777777" w:rsidR="0006642C" w:rsidRPr="007A0123" w:rsidRDefault="0006642C" w:rsidP="0006642C">
      <w:pPr>
        <w:spacing w:line="276" w:lineRule="auto"/>
        <w:jc w:val="both"/>
        <w:rPr>
          <w:rFonts w:ascii="Arial" w:eastAsia="Calibri" w:hAnsi="Arial" w:cs="Arial"/>
          <w:color w:val="000000" w:themeColor="text1"/>
          <w:sz w:val="22"/>
        </w:rPr>
      </w:pPr>
      <w:r w:rsidRPr="007A0123">
        <w:rPr>
          <w:rFonts w:ascii="Arial" w:eastAsia="Calibri" w:hAnsi="Arial" w:cs="Arial"/>
          <w:color w:val="000000" w:themeColor="text1"/>
          <w:sz w:val="22"/>
          <w:szCs w:val="22"/>
        </w:rPr>
        <w:t>Este concepto tiene el alcance previsto en el artículo 28 del Cód</w:t>
      </w:r>
      <w:r w:rsidRPr="007A0123">
        <w:rPr>
          <w:rFonts w:ascii="Arial" w:eastAsia="Calibri" w:hAnsi="Arial" w:cs="Arial"/>
          <w:color w:val="000000" w:themeColor="text1"/>
          <w:sz w:val="22"/>
        </w:rPr>
        <w:t>igo de Procedimiento Administrativo y de lo Contencioso Administrativo.</w:t>
      </w:r>
    </w:p>
    <w:p w14:paraId="5E80D4BD" w14:textId="77777777" w:rsidR="0006642C" w:rsidRPr="007A0123" w:rsidRDefault="0006642C" w:rsidP="0006642C">
      <w:pPr>
        <w:jc w:val="both"/>
        <w:rPr>
          <w:rFonts w:ascii="Arial" w:eastAsia="Calibri" w:hAnsi="Arial" w:cs="Arial"/>
          <w:color w:val="000000" w:themeColor="text1"/>
          <w:sz w:val="22"/>
        </w:rPr>
      </w:pPr>
    </w:p>
    <w:p w14:paraId="0F6E323A" w14:textId="77777777" w:rsidR="0006642C" w:rsidRPr="007A0123" w:rsidRDefault="0006642C" w:rsidP="0006642C">
      <w:pPr>
        <w:jc w:val="both"/>
        <w:rPr>
          <w:rFonts w:ascii="Arial" w:hAnsi="Arial" w:cs="Arial"/>
          <w:color w:val="000000" w:themeColor="text1"/>
          <w:sz w:val="22"/>
          <w:lang w:eastAsia="es-CO"/>
        </w:rPr>
      </w:pPr>
      <w:r w:rsidRPr="007A0123">
        <w:rPr>
          <w:rFonts w:ascii="Arial" w:hAnsi="Arial" w:cs="Arial"/>
          <w:color w:val="000000" w:themeColor="text1"/>
          <w:sz w:val="22"/>
          <w:lang w:eastAsia="es-CO"/>
        </w:rPr>
        <w:t>Atentamente,</w:t>
      </w:r>
    </w:p>
    <w:p w14:paraId="11898D33" w14:textId="70D0B257" w:rsidR="0006642C" w:rsidRPr="007A0123" w:rsidRDefault="0006642C" w:rsidP="0006642C">
      <w:pPr>
        <w:jc w:val="center"/>
        <w:rPr>
          <w:rFonts w:ascii="Arial" w:hAnsi="Arial" w:cs="Arial"/>
          <w:color w:val="000000" w:themeColor="text1"/>
          <w:sz w:val="18"/>
          <w:szCs w:val="20"/>
          <w:lang w:eastAsia="es-CO"/>
        </w:rPr>
      </w:pPr>
      <w:r w:rsidRPr="00FC4438">
        <w:rPr>
          <w:noProof/>
        </w:rPr>
        <w:drawing>
          <wp:inline distT="0" distB="0" distL="0" distR="0" wp14:anchorId="1156B310" wp14:editId="46201F3D">
            <wp:extent cx="2514600" cy="111442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14600" cy="1114425"/>
                    </a:xfrm>
                    <a:prstGeom prst="rect">
                      <a:avLst/>
                    </a:prstGeom>
                  </pic:spPr>
                </pic:pic>
              </a:graphicData>
            </a:graphic>
          </wp:inline>
        </w:drawing>
      </w:r>
    </w:p>
    <w:p w14:paraId="64FAA4DB" w14:textId="77777777" w:rsidR="0006642C" w:rsidRPr="007A0123" w:rsidRDefault="0006642C" w:rsidP="0006642C">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6642C" w:rsidRPr="007A0123" w14:paraId="7660C81D" w14:textId="77777777" w:rsidTr="00E63C75">
        <w:trPr>
          <w:trHeight w:val="315"/>
        </w:trPr>
        <w:tc>
          <w:tcPr>
            <w:tcW w:w="812" w:type="dxa"/>
            <w:vAlign w:val="center"/>
            <w:hideMark/>
          </w:tcPr>
          <w:p w14:paraId="7E9362C3" w14:textId="77777777" w:rsidR="0006642C" w:rsidRPr="007A0123" w:rsidRDefault="0006642C" w:rsidP="00E63C75">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740C0AF" w14:textId="77777777" w:rsidR="0006642C" w:rsidRPr="007A0123" w:rsidRDefault="0006642C" w:rsidP="00E63C75">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 xml:space="preserve">Camilo Perdomo Villamil </w:t>
            </w:r>
          </w:p>
          <w:p w14:paraId="0A2CDE82" w14:textId="77777777" w:rsidR="0006642C" w:rsidRPr="007A0123" w:rsidRDefault="0006642C" w:rsidP="00E63C75">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Contratista de la Subdirección de Gestión Contractual</w:t>
            </w:r>
          </w:p>
        </w:tc>
      </w:tr>
      <w:tr w:rsidR="0006642C" w:rsidRPr="007A0123" w14:paraId="0E78BF51" w14:textId="77777777" w:rsidTr="00E63C75">
        <w:trPr>
          <w:trHeight w:val="330"/>
        </w:trPr>
        <w:tc>
          <w:tcPr>
            <w:tcW w:w="812" w:type="dxa"/>
            <w:vAlign w:val="center"/>
            <w:hideMark/>
          </w:tcPr>
          <w:p w14:paraId="79E9E4C9" w14:textId="77777777" w:rsidR="0006642C" w:rsidRPr="007A0123" w:rsidRDefault="0006642C" w:rsidP="00E63C75">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FAF4B9" w14:textId="77777777" w:rsidR="0006642C" w:rsidRPr="007A0123" w:rsidRDefault="0006642C" w:rsidP="00E63C75">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Sebastián Ramírez </w:t>
            </w:r>
          </w:p>
          <w:p w14:paraId="628B20DE" w14:textId="77777777" w:rsidR="0006642C" w:rsidRPr="007A0123" w:rsidRDefault="0006642C" w:rsidP="00E63C75">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Gestor T1-1</w:t>
            </w:r>
            <w:r>
              <w:rPr>
                <w:rFonts w:ascii="Arial" w:hAnsi="Arial" w:cs="Arial"/>
                <w:color w:val="000000" w:themeColor="text1"/>
                <w:sz w:val="16"/>
                <w:szCs w:val="16"/>
                <w:lang w:eastAsia="es-ES"/>
              </w:rPr>
              <w:t>1</w:t>
            </w:r>
            <w:r w:rsidRPr="007A0123">
              <w:rPr>
                <w:rFonts w:ascii="Arial" w:hAnsi="Arial" w:cs="Arial"/>
                <w:color w:val="000000" w:themeColor="text1"/>
                <w:sz w:val="16"/>
                <w:szCs w:val="16"/>
                <w:lang w:eastAsia="es-ES"/>
              </w:rPr>
              <w:t xml:space="preserve"> de la Subdirección de Gestión Contractual</w:t>
            </w:r>
          </w:p>
        </w:tc>
      </w:tr>
      <w:tr w:rsidR="0006642C" w:rsidRPr="003F6D32" w14:paraId="14955ECF" w14:textId="77777777" w:rsidTr="00E63C75">
        <w:trPr>
          <w:trHeight w:val="300"/>
        </w:trPr>
        <w:tc>
          <w:tcPr>
            <w:tcW w:w="812" w:type="dxa"/>
            <w:vAlign w:val="center"/>
            <w:hideMark/>
          </w:tcPr>
          <w:p w14:paraId="495031A9" w14:textId="77777777" w:rsidR="0006642C" w:rsidRPr="007A0123" w:rsidRDefault="0006642C" w:rsidP="00E63C75">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48DF2D1" w14:textId="77777777" w:rsidR="0006642C" w:rsidRPr="007A0123" w:rsidRDefault="0006642C" w:rsidP="00E63C75">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Jorge Augusto Tirado Navarro</w:t>
            </w:r>
          </w:p>
          <w:p w14:paraId="74A90E45" w14:textId="77777777" w:rsidR="0006642C" w:rsidRPr="006C15D5" w:rsidRDefault="0006642C" w:rsidP="00E63C75">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Subdirector de Gestión Contractual ANCP – CCE</w:t>
            </w:r>
          </w:p>
        </w:tc>
      </w:tr>
    </w:tbl>
    <w:p w14:paraId="4162FAD9" w14:textId="77777777" w:rsidR="0006642C" w:rsidRDefault="0006642C" w:rsidP="0006642C"/>
    <w:p w14:paraId="43960094" w14:textId="77777777" w:rsidR="0006642C" w:rsidRDefault="0006642C"/>
    <w:sectPr w:rsidR="0006642C"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88326" w14:textId="77777777" w:rsidR="00A10434" w:rsidRDefault="00A10434" w:rsidP="0006642C">
      <w:r>
        <w:separator/>
      </w:r>
    </w:p>
  </w:endnote>
  <w:endnote w:type="continuationSeparator" w:id="0">
    <w:p w14:paraId="5F27E9B2" w14:textId="77777777" w:rsidR="00A10434" w:rsidRDefault="00A10434" w:rsidP="00066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6E485" w14:textId="77777777" w:rsidR="00387886" w:rsidRDefault="006C7D27" w:rsidP="007F1895">
    <w:pPr>
      <w:pStyle w:val="Sinespaciado"/>
      <w:jc w:val="right"/>
      <w:rPr>
        <w:rFonts w:ascii="Arial" w:hAnsi="Arial" w:cs="Arial"/>
        <w:sz w:val="18"/>
        <w:szCs w:val="18"/>
      </w:rPr>
    </w:pPr>
  </w:p>
  <w:p w14:paraId="46E977E4" w14:textId="77777777" w:rsidR="00387886" w:rsidRDefault="006C7D27" w:rsidP="007F1895">
    <w:pPr>
      <w:pStyle w:val="Sinespaciado"/>
      <w:jc w:val="right"/>
      <w:rPr>
        <w:rFonts w:ascii="Arial" w:hAnsi="Arial" w:cs="Arial"/>
        <w:sz w:val="18"/>
        <w:szCs w:val="18"/>
      </w:rPr>
    </w:pPr>
  </w:p>
  <w:p w14:paraId="05A93ACD" w14:textId="77777777" w:rsidR="00387886" w:rsidRPr="008217B7" w:rsidRDefault="00A10434"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8417D33" w14:textId="77777777" w:rsidR="00387886" w:rsidRDefault="00A10434" w:rsidP="007F1895">
    <w:pPr>
      <w:pStyle w:val="Piedepgina"/>
      <w:jc w:val="center"/>
      <w:rPr>
        <w:lang w:val="es-ES"/>
      </w:rPr>
    </w:pPr>
    <w:r>
      <w:rPr>
        <w:noProof/>
      </w:rPr>
      <w:drawing>
        <wp:inline distT="0" distB="0" distL="0" distR="0" wp14:anchorId="3500234E" wp14:editId="615727FF">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36CE63F" w14:textId="77777777" w:rsidR="00387886" w:rsidRPr="00E756AC" w:rsidRDefault="006C7D27" w:rsidP="007F1895">
    <w:pPr>
      <w:pStyle w:val="Piedepgina"/>
      <w:jc w:val="center"/>
      <w:rPr>
        <w:sz w:val="18"/>
        <w:szCs w:val="18"/>
        <w:lang w:val="es-ES"/>
      </w:rPr>
    </w:pPr>
  </w:p>
  <w:p w14:paraId="53C9B4C2" w14:textId="77777777" w:rsidR="00387886" w:rsidRPr="00E756AC" w:rsidRDefault="006C7D27"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FD11A" w14:textId="77777777" w:rsidR="00A10434" w:rsidRDefault="00A10434" w:rsidP="0006642C">
      <w:r>
        <w:separator/>
      </w:r>
    </w:p>
  </w:footnote>
  <w:footnote w:type="continuationSeparator" w:id="0">
    <w:p w14:paraId="4CDB69D0" w14:textId="77777777" w:rsidR="00A10434" w:rsidRDefault="00A10434" w:rsidP="0006642C">
      <w:r>
        <w:continuationSeparator/>
      </w:r>
    </w:p>
  </w:footnote>
  <w:footnote w:id="1">
    <w:p w14:paraId="1E336BFD" w14:textId="77777777" w:rsidR="0006642C" w:rsidRPr="00255CC5" w:rsidRDefault="0006642C" w:rsidP="0006642C">
      <w:pPr>
        <w:pStyle w:val="Textonotapie"/>
        <w:ind w:firstLine="708"/>
        <w:jc w:val="both"/>
        <w:rPr>
          <w:rFonts w:ascii="Arial" w:hAnsi="Arial" w:cs="Arial"/>
          <w:sz w:val="19"/>
          <w:szCs w:val="19"/>
          <w:lang w:val="es-ES"/>
        </w:rPr>
      </w:pPr>
      <w:r w:rsidRPr="00255CC5">
        <w:rPr>
          <w:rStyle w:val="Refdenotaalpie"/>
          <w:rFonts w:ascii="Arial" w:hAnsi="Arial" w:cs="Arial"/>
          <w:sz w:val="19"/>
          <w:szCs w:val="19"/>
        </w:rPr>
        <w:footnoteRef/>
      </w:r>
      <w:r w:rsidRPr="00255CC5">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55CC5">
        <w:rPr>
          <w:rFonts w:ascii="Arial" w:hAnsi="Arial" w:cs="Arial"/>
          <w:i/>
          <w:iCs/>
          <w:sz w:val="19"/>
          <w:szCs w:val="19"/>
        </w:rPr>
        <w:t xml:space="preserve">ibidem </w:t>
      </w:r>
      <w:r w:rsidRPr="00255CC5">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35C29138" w14:textId="77777777" w:rsidR="0006642C" w:rsidRPr="00255CC5" w:rsidRDefault="0006642C" w:rsidP="0006642C">
      <w:pPr>
        <w:pStyle w:val="Textonotapie"/>
        <w:ind w:firstLine="709"/>
        <w:jc w:val="both"/>
        <w:rPr>
          <w:rFonts w:ascii="Arial" w:hAnsi="Arial" w:cs="Arial"/>
          <w:sz w:val="19"/>
          <w:szCs w:val="19"/>
        </w:rPr>
      </w:pPr>
      <w:r w:rsidRPr="00255CC5">
        <w:rPr>
          <w:rStyle w:val="Refdenotaalpie"/>
          <w:rFonts w:ascii="Arial" w:hAnsi="Arial" w:cs="Arial"/>
          <w:sz w:val="19"/>
          <w:szCs w:val="19"/>
        </w:rPr>
        <w:footnoteRef/>
      </w:r>
      <w:r w:rsidRPr="00255CC5">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0449CFB0" w14:textId="77777777" w:rsidR="0006642C" w:rsidRPr="00255CC5" w:rsidRDefault="0006642C" w:rsidP="0006642C">
      <w:pPr>
        <w:pStyle w:val="Textonotapie"/>
        <w:ind w:firstLine="709"/>
        <w:jc w:val="both"/>
        <w:rPr>
          <w:rFonts w:ascii="Arial" w:hAnsi="Arial" w:cs="Arial"/>
          <w:sz w:val="19"/>
          <w:szCs w:val="19"/>
          <w:lang w:val="es-CO"/>
        </w:rPr>
      </w:pPr>
    </w:p>
  </w:footnote>
  <w:footnote w:id="3">
    <w:p w14:paraId="1EB14B36" w14:textId="77777777" w:rsidR="0006642C" w:rsidRPr="00255CC5" w:rsidRDefault="0006642C" w:rsidP="0006642C">
      <w:pPr>
        <w:pStyle w:val="Textonotapie"/>
        <w:ind w:firstLine="709"/>
        <w:jc w:val="both"/>
        <w:rPr>
          <w:rFonts w:ascii="Arial" w:hAnsi="Arial" w:cs="Arial"/>
          <w:sz w:val="19"/>
          <w:szCs w:val="19"/>
        </w:rPr>
      </w:pPr>
      <w:r w:rsidRPr="00255CC5">
        <w:rPr>
          <w:rStyle w:val="Refdenotaalpie"/>
          <w:rFonts w:ascii="Arial" w:hAnsi="Arial" w:cs="Arial"/>
          <w:sz w:val="19"/>
          <w:szCs w:val="19"/>
        </w:rPr>
        <w:footnoteRef/>
      </w:r>
      <w:r w:rsidRPr="00255CC5">
        <w:rPr>
          <w:rFonts w:ascii="Arial" w:hAnsi="Arial" w:cs="Arial"/>
          <w:sz w:val="19"/>
          <w:szCs w:val="19"/>
        </w:rPr>
        <w:t xml:space="preserve"> </w:t>
      </w:r>
      <w:r w:rsidRPr="00255CC5">
        <w:rPr>
          <w:rFonts w:ascii="Arial" w:hAnsi="Arial" w:cs="Arial"/>
          <w:sz w:val="19"/>
          <w:szCs w:val="19"/>
          <w:lang w:val="es-CO"/>
        </w:rPr>
        <w:t xml:space="preserve">Ley 1882 de 2018: «Artículo 4. </w:t>
      </w:r>
      <w:r w:rsidRPr="00255CC5">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129F19E8" w14:textId="77777777" w:rsidR="0006642C" w:rsidRPr="00255CC5" w:rsidRDefault="0006642C" w:rsidP="0006642C">
      <w:pPr>
        <w:pStyle w:val="Textonotapie"/>
        <w:ind w:firstLine="709"/>
        <w:jc w:val="both"/>
        <w:rPr>
          <w:rFonts w:ascii="Arial" w:hAnsi="Arial" w:cs="Arial"/>
          <w:sz w:val="19"/>
          <w:szCs w:val="19"/>
          <w:lang w:val="es-CO"/>
        </w:rPr>
      </w:pPr>
      <w:r w:rsidRPr="00255CC5">
        <w:rPr>
          <w:rFonts w:ascii="Arial" w:hAnsi="Arial" w:cs="Arial"/>
          <w:sz w:val="19"/>
          <w:szCs w:val="19"/>
          <w:lang w:val="es-CO"/>
        </w:rPr>
        <w:t>»La facultad de adoptar documentos tipo la tendrá el Gobierno nacional, cuando lo considere necesario, en relación con otros contratos o procesos de selección.</w:t>
      </w:r>
    </w:p>
    <w:p w14:paraId="7CB19119" w14:textId="77777777" w:rsidR="0006642C" w:rsidRPr="00255CC5" w:rsidRDefault="0006642C" w:rsidP="0006642C">
      <w:pPr>
        <w:pStyle w:val="Textonotapie"/>
        <w:ind w:firstLine="709"/>
        <w:jc w:val="both"/>
        <w:rPr>
          <w:rFonts w:ascii="Arial" w:hAnsi="Arial" w:cs="Arial"/>
          <w:sz w:val="19"/>
          <w:szCs w:val="19"/>
          <w:lang w:val="es-CO"/>
        </w:rPr>
      </w:pPr>
      <w:r w:rsidRPr="00255CC5">
        <w:rPr>
          <w:rFonts w:ascii="Arial" w:hAnsi="Arial" w:cs="Arial"/>
          <w:sz w:val="19"/>
          <w:szCs w:val="19"/>
          <w:lang w:val="es-CO"/>
        </w:rPr>
        <w:t>»Los pliegos tipo se adoptarán por categorías de acuerdo con la cuantía de la contratación, según la reglamentación que expida el Gobierno nacional».</w:t>
      </w:r>
    </w:p>
    <w:p w14:paraId="431878A6" w14:textId="77777777" w:rsidR="0006642C" w:rsidRPr="00255CC5" w:rsidRDefault="0006642C" w:rsidP="0006642C">
      <w:pPr>
        <w:pStyle w:val="Textonotapie"/>
        <w:ind w:firstLine="709"/>
        <w:jc w:val="both"/>
        <w:rPr>
          <w:rFonts w:ascii="Arial" w:hAnsi="Arial" w:cs="Arial"/>
          <w:sz w:val="19"/>
          <w:szCs w:val="19"/>
          <w:lang w:val="es-CO"/>
        </w:rPr>
      </w:pPr>
    </w:p>
  </w:footnote>
  <w:footnote w:id="4">
    <w:p w14:paraId="1CD948DB" w14:textId="77777777" w:rsidR="0006642C" w:rsidRPr="00255CC5" w:rsidRDefault="0006642C" w:rsidP="0006642C">
      <w:pPr>
        <w:pStyle w:val="Textonotapie"/>
        <w:ind w:firstLine="709"/>
        <w:jc w:val="both"/>
        <w:rPr>
          <w:rFonts w:ascii="Arial" w:hAnsi="Arial" w:cs="Arial"/>
          <w:color w:val="000000" w:themeColor="text1"/>
          <w:sz w:val="19"/>
          <w:szCs w:val="19"/>
          <w:lang w:val="es-ES"/>
        </w:rPr>
      </w:pPr>
      <w:r w:rsidRPr="00255CC5">
        <w:rPr>
          <w:rStyle w:val="Refdenotaalpie"/>
          <w:rFonts w:ascii="Arial" w:hAnsi="Arial" w:cs="Arial"/>
          <w:color w:val="000000" w:themeColor="text1"/>
          <w:sz w:val="19"/>
          <w:szCs w:val="19"/>
        </w:rPr>
        <w:footnoteRef/>
      </w:r>
      <w:r w:rsidRPr="00255CC5">
        <w:rPr>
          <w:rFonts w:ascii="Arial" w:hAnsi="Arial" w:cs="Arial"/>
          <w:color w:val="000000" w:themeColor="text1"/>
          <w:sz w:val="19"/>
          <w:szCs w:val="19"/>
        </w:rPr>
        <w:t xml:space="preserve"> </w:t>
      </w:r>
      <w:r w:rsidRPr="00255CC5">
        <w:rPr>
          <w:rFonts w:ascii="Arial" w:hAnsi="Arial" w:cs="Arial"/>
          <w:color w:val="000000" w:themeColor="text1"/>
          <w:sz w:val="19"/>
          <w:szCs w:val="19"/>
          <w:lang w:val="es-ES"/>
        </w:rPr>
        <w:t>En cuanto a las resoluciones vigentes, dicha regla se observa en el artículo 3 de las Resoluciones 240, 241, 248, 249, 256 y 269 de 2020, así como en el artículo 2 de la Resolución 094 de 2020.</w:t>
      </w:r>
    </w:p>
  </w:footnote>
  <w:footnote w:id="5">
    <w:p w14:paraId="56CCB726" w14:textId="77777777" w:rsidR="0006642C" w:rsidRPr="00255CC5" w:rsidRDefault="0006642C" w:rsidP="0006642C">
      <w:pPr>
        <w:ind w:firstLine="707"/>
        <w:jc w:val="both"/>
        <w:rPr>
          <w:rFonts w:ascii="Arial" w:hAnsi="Arial" w:cs="Arial"/>
          <w:sz w:val="19"/>
          <w:szCs w:val="19"/>
        </w:rPr>
      </w:pPr>
      <w:r w:rsidRPr="00255CC5">
        <w:rPr>
          <w:rStyle w:val="Refdenotaalpie"/>
          <w:rFonts w:ascii="Arial" w:hAnsi="Arial" w:cs="Arial"/>
          <w:sz w:val="19"/>
          <w:szCs w:val="19"/>
        </w:rPr>
        <w:footnoteRef/>
      </w:r>
      <w:r w:rsidRPr="00255CC5">
        <w:rPr>
          <w:rFonts w:ascii="Arial" w:hAnsi="Arial" w:cs="Arial"/>
          <w:sz w:val="19"/>
          <w:szCs w:val="19"/>
        </w:rPr>
        <w:t xml:space="preserve">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footnote>
  <w:footnote w:id="6">
    <w:p w14:paraId="069B127C" w14:textId="77777777" w:rsidR="0006642C" w:rsidRPr="00255CC5" w:rsidRDefault="0006642C" w:rsidP="0006642C">
      <w:pPr>
        <w:ind w:firstLine="707"/>
        <w:jc w:val="both"/>
        <w:rPr>
          <w:rFonts w:ascii="Arial" w:hAnsi="Arial" w:cs="Arial"/>
          <w:sz w:val="19"/>
          <w:szCs w:val="19"/>
        </w:rPr>
      </w:pPr>
      <w:r w:rsidRPr="00255CC5">
        <w:rPr>
          <w:rStyle w:val="Refdenotaalpie"/>
          <w:rFonts w:ascii="Arial" w:hAnsi="Arial" w:cs="Arial"/>
          <w:sz w:val="19"/>
          <w:szCs w:val="19"/>
        </w:rPr>
        <w:footnoteRef/>
      </w:r>
      <w:r w:rsidRPr="00255CC5">
        <w:rPr>
          <w:rFonts w:ascii="Arial" w:hAnsi="Arial" w:cs="Arial"/>
          <w:sz w:val="19"/>
          <w:szCs w:val="19"/>
        </w:rPr>
        <w:t xml:space="preserve"> «1.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7">
    <w:p w14:paraId="0620E52F" w14:textId="77777777" w:rsidR="0006642C" w:rsidRPr="00255CC5" w:rsidRDefault="0006642C" w:rsidP="0006642C">
      <w:pPr>
        <w:ind w:firstLine="707"/>
        <w:jc w:val="both"/>
        <w:rPr>
          <w:rFonts w:ascii="Arial" w:hAnsi="Arial" w:cs="Arial"/>
          <w:sz w:val="19"/>
          <w:szCs w:val="19"/>
        </w:rPr>
      </w:pPr>
      <w:r w:rsidRPr="00255CC5">
        <w:rPr>
          <w:rStyle w:val="Refdenotaalpie"/>
          <w:rFonts w:ascii="Arial" w:hAnsi="Arial" w:cs="Arial"/>
          <w:sz w:val="19"/>
          <w:szCs w:val="19"/>
        </w:rPr>
        <w:footnoteRef/>
      </w:r>
      <w:r w:rsidRPr="00255CC5">
        <w:rPr>
          <w:rFonts w:ascii="Arial" w:hAnsi="Arial" w:cs="Arial"/>
          <w:sz w:val="19"/>
          <w:szCs w:val="19"/>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w:t>
      </w:r>
      <w:r w:rsidRPr="00255CC5">
        <w:rPr>
          <w:rFonts w:ascii="Arial" w:hAnsi="Arial" w:cs="Arial"/>
          <w:spacing w:val="-16"/>
          <w:sz w:val="19"/>
          <w:szCs w:val="19"/>
        </w:rPr>
        <w:t xml:space="preserve"> </w:t>
      </w:r>
      <w:r w:rsidRPr="00255CC5">
        <w:rPr>
          <w:rFonts w:ascii="Arial" w:hAnsi="Arial" w:cs="Arial"/>
          <w:sz w:val="19"/>
          <w:szCs w:val="19"/>
        </w:rPr>
        <w:t>proponentes».</w:t>
      </w:r>
    </w:p>
    <w:p w14:paraId="3704F026" w14:textId="77777777" w:rsidR="0006642C" w:rsidRPr="00255CC5" w:rsidRDefault="0006642C" w:rsidP="0006642C">
      <w:pPr>
        <w:pStyle w:val="Textonotapie"/>
        <w:jc w:val="both"/>
        <w:rPr>
          <w:rFonts w:ascii="Arial" w:hAnsi="Arial" w:cs="Arial"/>
          <w:sz w:val="19"/>
          <w:szCs w:val="19"/>
        </w:rPr>
      </w:pPr>
    </w:p>
  </w:footnote>
  <w:footnote w:id="8">
    <w:p w14:paraId="537DC4DC" w14:textId="77777777" w:rsidR="0006642C" w:rsidRPr="00255CC5" w:rsidRDefault="0006642C" w:rsidP="0006642C">
      <w:pPr>
        <w:ind w:right="49" w:firstLine="720"/>
        <w:jc w:val="both"/>
        <w:rPr>
          <w:rFonts w:ascii="Arial" w:hAnsi="Arial" w:cs="Arial"/>
          <w:color w:val="000000" w:themeColor="text1"/>
          <w:sz w:val="19"/>
          <w:szCs w:val="19"/>
        </w:rPr>
      </w:pPr>
      <w:r w:rsidRPr="00255CC5">
        <w:rPr>
          <w:rStyle w:val="Refdenotaalpie"/>
          <w:rFonts w:ascii="Arial" w:hAnsi="Arial" w:cs="Arial"/>
          <w:color w:val="000000" w:themeColor="text1"/>
          <w:sz w:val="19"/>
          <w:szCs w:val="19"/>
        </w:rPr>
        <w:footnoteRef/>
      </w:r>
      <w:r w:rsidRPr="00255CC5">
        <w:rPr>
          <w:rFonts w:ascii="Arial" w:hAnsi="Arial" w:cs="Arial"/>
          <w:color w:val="000000" w:themeColor="text1"/>
          <w:sz w:val="19"/>
          <w:szCs w:val="19"/>
        </w:rPr>
        <w:t xml:space="preserve"> 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255CC5">
        <w:rPr>
          <w:rFonts w:ascii="Arial" w:hAnsi="Arial" w:cs="Arial"/>
          <w:color w:val="000000" w:themeColor="text1"/>
          <w:spacing w:val="-14"/>
          <w:sz w:val="19"/>
          <w:szCs w:val="19"/>
        </w:rPr>
        <w:t xml:space="preserve"> </w:t>
      </w:r>
      <w:r w:rsidRPr="00255CC5">
        <w:rPr>
          <w:rFonts w:ascii="Arial" w:hAnsi="Arial" w:cs="Arial"/>
          <w:color w:val="000000" w:themeColor="text1"/>
          <w:sz w:val="19"/>
          <w:szCs w:val="19"/>
        </w:rPr>
        <w:t>utilizados.</w:t>
      </w:r>
    </w:p>
    <w:p w14:paraId="1AF60AB5" w14:textId="77777777" w:rsidR="0006642C" w:rsidRPr="00255CC5" w:rsidRDefault="0006642C" w:rsidP="0006642C">
      <w:pPr>
        <w:ind w:right="49" w:firstLine="708"/>
        <w:jc w:val="both"/>
        <w:rPr>
          <w:rFonts w:ascii="Arial" w:hAnsi="Arial" w:cs="Arial"/>
          <w:color w:val="000000" w:themeColor="text1"/>
          <w:sz w:val="19"/>
          <w:szCs w:val="19"/>
        </w:rPr>
      </w:pPr>
      <w:r w:rsidRPr="00255CC5">
        <w:rPr>
          <w:rFonts w:ascii="Arial" w:hAnsi="Arial" w:cs="Arial"/>
          <w:color w:val="000000" w:themeColor="text1"/>
          <w:sz w:val="19"/>
          <w:szCs w:val="19"/>
        </w:rPr>
        <w:t>[…]</w:t>
      </w:r>
    </w:p>
    <w:p w14:paraId="6C0592F9" w14:textId="77777777" w:rsidR="0006642C" w:rsidRPr="00255CC5" w:rsidRDefault="0006642C" w:rsidP="0006642C">
      <w:pPr>
        <w:ind w:right="49" w:firstLine="708"/>
        <w:jc w:val="both"/>
        <w:rPr>
          <w:rFonts w:ascii="Arial" w:hAnsi="Arial" w:cs="Arial"/>
          <w:color w:val="000000" w:themeColor="text1"/>
          <w:sz w:val="19"/>
          <w:szCs w:val="19"/>
        </w:rPr>
      </w:pPr>
      <w:r w:rsidRPr="00255CC5">
        <w:rPr>
          <w:rFonts w:ascii="Arial"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p>
    <w:p w14:paraId="2CE456C4" w14:textId="77777777" w:rsidR="0006642C" w:rsidRPr="00255CC5" w:rsidRDefault="0006642C" w:rsidP="0006642C">
      <w:pPr>
        <w:ind w:right="49" w:firstLine="708"/>
        <w:jc w:val="both"/>
        <w:rPr>
          <w:rFonts w:ascii="Arial" w:hAnsi="Arial" w:cs="Arial"/>
          <w:color w:val="000000" w:themeColor="text1"/>
          <w:sz w:val="19"/>
          <w:szCs w:val="19"/>
        </w:rPr>
      </w:pPr>
    </w:p>
  </w:footnote>
  <w:footnote w:id="9">
    <w:p w14:paraId="4EE15DDE" w14:textId="77777777" w:rsidR="0006642C" w:rsidRPr="00255CC5" w:rsidRDefault="0006642C" w:rsidP="0006642C">
      <w:pPr>
        <w:ind w:right="49" w:firstLine="720"/>
        <w:jc w:val="both"/>
        <w:rPr>
          <w:rFonts w:ascii="Arial" w:hAnsi="Arial" w:cs="Arial"/>
          <w:color w:val="000000" w:themeColor="text1"/>
          <w:sz w:val="19"/>
          <w:szCs w:val="19"/>
        </w:rPr>
      </w:pPr>
      <w:r w:rsidRPr="00255CC5">
        <w:rPr>
          <w:rStyle w:val="Refdenotaalpie"/>
          <w:rFonts w:ascii="Arial" w:hAnsi="Arial" w:cs="Arial"/>
          <w:color w:val="000000" w:themeColor="text1"/>
          <w:sz w:val="19"/>
          <w:szCs w:val="19"/>
        </w:rPr>
        <w:footnoteRef/>
      </w:r>
      <w:r w:rsidRPr="00255CC5">
        <w:rPr>
          <w:rFonts w:ascii="Arial" w:hAnsi="Arial" w:cs="Arial"/>
          <w:color w:val="000000" w:themeColor="text1"/>
          <w:sz w:val="19"/>
          <w:szCs w:val="19"/>
        </w:rPr>
        <w:t xml:space="preserve"> Consejo de Estado. Sección Tercera. Providencia del 26 de junio de 2003. Exp. 13.354.</w:t>
      </w:r>
    </w:p>
    <w:p w14:paraId="36DADE1F" w14:textId="77777777" w:rsidR="0006642C" w:rsidRPr="00255CC5" w:rsidRDefault="0006642C" w:rsidP="0006642C">
      <w:pPr>
        <w:pStyle w:val="Textonotapie"/>
        <w:ind w:right="49"/>
        <w:jc w:val="both"/>
        <w:rPr>
          <w:rFonts w:ascii="Arial" w:hAnsi="Arial" w:cs="Arial"/>
          <w:color w:val="000000" w:themeColor="text1"/>
          <w:sz w:val="19"/>
          <w:szCs w:val="19"/>
          <w:lang w:val="es-CO"/>
        </w:rPr>
      </w:pPr>
    </w:p>
  </w:footnote>
  <w:footnote w:id="10">
    <w:p w14:paraId="05882840" w14:textId="77777777" w:rsidR="0006642C" w:rsidRPr="00255CC5" w:rsidRDefault="0006642C" w:rsidP="0006642C">
      <w:pPr>
        <w:ind w:right="49" w:firstLine="708"/>
        <w:jc w:val="both"/>
        <w:rPr>
          <w:rFonts w:ascii="Arial" w:hAnsi="Arial" w:cs="Arial"/>
          <w:color w:val="000000" w:themeColor="text1"/>
          <w:sz w:val="19"/>
          <w:szCs w:val="19"/>
        </w:rPr>
      </w:pPr>
      <w:r w:rsidRPr="00255CC5">
        <w:rPr>
          <w:rStyle w:val="Refdenotaalpie"/>
          <w:rFonts w:ascii="Arial" w:hAnsi="Arial" w:cs="Arial"/>
          <w:color w:val="000000" w:themeColor="text1"/>
          <w:sz w:val="19"/>
          <w:szCs w:val="19"/>
        </w:rPr>
        <w:footnoteRef/>
      </w:r>
      <w:r w:rsidRPr="00255CC5">
        <w:rPr>
          <w:rFonts w:ascii="Arial" w:hAnsi="Arial" w:cs="Arial"/>
          <w:color w:val="000000" w:themeColor="text1"/>
          <w:sz w:val="19"/>
          <w:szCs w:val="19"/>
        </w:rPr>
        <w:t xml:space="preserve"> Decreto 1082 de 2015. «Artículo 2.2.1.1.1.6.4. Capacidad Residual. El interesado en celebrar contratos de obra pública con Entidades Estatales debe acreditar su Capacidad Residual o K de Contratación con los siguientes</w:t>
      </w:r>
      <w:r w:rsidRPr="00255CC5">
        <w:rPr>
          <w:rFonts w:ascii="Arial" w:hAnsi="Arial" w:cs="Arial"/>
          <w:color w:val="000000" w:themeColor="text1"/>
          <w:spacing w:val="-3"/>
          <w:sz w:val="19"/>
          <w:szCs w:val="19"/>
        </w:rPr>
        <w:t xml:space="preserve"> </w:t>
      </w:r>
      <w:r w:rsidRPr="00255CC5">
        <w:rPr>
          <w:rFonts w:ascii="Arial" w:hAnsi="Arial" w:cs="Arial"/>
          <w:color w:val="000000" w:themeColor="text1"/>
          <w:sz w:val="19"/>
          <w:szCs w:val="19"/>
        </w:rPr>
        <w:t>documentos:</w:t>
      </w:r>
    </w:p>
    <w:p w14:paraId="537CE2AF" w14:textId="77777777" w:rsidR="0006642C" w:rsidRPr="00255CC5" w:rsidRDefault="0006642C" w:rsidP="0006642C">
      <w:pPr>
        <w:ind w:right="49" w:firstLine="708"/>
        <w:jc w:val="both"/>
        <w:rPr>
          <w:rFonts w:ascii="Arial" w:hAnsi="Arial" w:cs="Arial"/>
          <w:color w:val="000000" w:themeColor="text1"/>
          <w:sz w:val="19"/>
          <w:szCs w:val="19"/>
        </w:rPr>
      </w:pPr>
      <w:r w:rsidRPr="00255CC5">
        <w:rPr>
          <w:rFonts w:ascii="Arial"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w:t>
      </w:r>
      <w:r w:rsidRPr="00255CC5">
        <w:rPr>
          <w:rFonts w:ascii="Arial" w:hAnsi="Arial" w:cs="Arial"/>
          <w:color w:val="000000" w:themeColor="text1"/>
          <w:spacing w:val="-4"/>
          <w:sz w:val="19"/>
          <w:szCs w:val="19"/>
        </w:rPr>
        <w:t xml:space="preserve"> </w:t>
      </w:r>
      <w:r w:rsidRPr="00255CC5">
        <w:rPr>
          <w:rFonts w:ascii="Arial" w:hAnsi="Arial" w:cs="Arial"/>
          <w:color w:val="000000" w:themeColor="text1"/>
          <w:sz w:val="19"/>
          <w:szCs w:val="19"/>
        </w:rPr>
        <w:t>concesionarios.</w:t>
      </w:r>
    </w:p>
    <w:p w14:paraId="79113FB1" w14:textId="77777777" w:rsidR="0006642C" w:rsidRPr="00255CC5" w:rsidRDefault="0006642C" w:rsidP="0006642C">
      <w:pPr>
        <w:ind w:right="49" w:firstLine="708"/>
        <w:jc w:val="both"/>
        <w:rPr>
          <w:rFonts w:ascii="Arial" w:hAnsi="Arial" w:cs="Arial"/>
          <w:color w:val="000000" w:themeColor="text1"/>
          <w:sz w:val="19"/>
          <w:szCs w:val="19"/>
        </w:rPr>
      </w:pPr>
      <w:r w:rsidRPr="00255CC5">
        <w:rPr>
          <w:rFonts w:ascii="Arial"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25C56DA0" w14:textId="77777777" w:rsidR="0006642C" w:rsidRPr="00255CC5" w:rsidRDefault="0006642C" w:rsidP="0006642C">
      <w:pPr>
        <w:ind w:right="49" w:firstLine="708"/>
        <w:jc w:val="both"/>
        <w:rPr>
          <w:rFonts w:ascii="Arial" w:hAnsi="Arial" w:cs="Arial"/>
          <w:color w:val="000000" w:themeColor="text1"/>
          <w:sz w:val="19"/>
          <w:szCs w:val="19"/>
        </w:rPr>
      </w:pPr>
      <w:r w:rsidRPr="00255CC5">
        <w:rPr>
          <w:rFonts w:ascii="Arial"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220B6493" w14:textId="77777777" w:rsidR="0006642C" w:rsidRPr="00255CC5" w:rsidRDefault="0006642C" w:rsidP="0006642C">
      <w:pPr>
        <w:pStyle w:val="Textonotapie"/>
        <w:ind w:right="49"/>
        <w:jc w:val="both"/>
        <w:rPr>
          <w:rFonts w:ascii="Arial" w:hAnsi="Arial" w:cs="Arial"/>
          <w:color w:val="000000" w:themeColor="text1"/>
          <w:sz w:val="19"/>
          <w:szCs w:val="19"/>
        </w:rPr>
      </w:pPr>
    </w:p>
  </w:footnote>
  <w:footnote w:id="11">
    <w:p w14:paraId="2A1E1FE3" w14:textId="77777777" w:rsidR="0006642C" w:rsidRPr="00F2712B" w:rsidRDefault="0006642C" w:rsidP="0006642C">
      <w:pPr>
        <w:pStyle w:val="Textonotapie"/>
        <w:ind w:firstLine="708"/>
        <w:jc w:val="both"/>
        <w:rPr>
          <w:rFonts w:ascii="Arial" w:hAnsi="Arial" w:cs="Arial"/>
          <w:sz w:val="19"/>
          <w:szCs w:val="19"/>
        </w:rPr>
      </w:pPr>
      <w:r w:rsidRPr="00F2712B">
        <w:rPr>
          <w:rStyle w:val="Refdenotaalpie"/>
          <w:rFonts w:ascii="Arial" w:hAnsi="Arial" w:cs="Arial"/>
          <w:sz w:val="19"/>
          <w:szCs w:val="19"/>
        </w:rPr>
        <w:footnoteRef/>
      </w:r>
      <w:r w:rsidRPr="00F2712B">
        <w:rPr>
          <w:rFonts w:ascii="Arial" w:hAnsi="Arial" w:cs="Arial"/>
          <w:sz w:val="19"/>
          <w:szCs w:val="19"/>
        </w:rPr>
        <w:t xml:space="preserve"> En efecto, el literal a) del numeral 4.7.2., luego de señalar algunos aspectos que se deben tener en cuenta frente a la capacidad de organización, señala:</w:t>
      </w:r>
    </w:p>
    <w:p w14:paraId="60BA220D" w14:textId="77777777" w:rsidR="0006642C" w:rsidRPr="00F2712B" w:rsidRDefault="0006642C" w:rsidP="0006642C">
      <w:pPr>
        <w:spacing w:line="276" w:lineRule="auto"/>
        <w:ind w:firstLine="708"/>
        <w:jc w:val="both"/>
        <w:rPr>
          <w:rFonts w:ascii="Arial" w:eastAsia="Wingdings" w:hAnsi="Arial" w:cs="Arial"/>
          <w:color w:val="000000" w:themeColor="text1"/>
          <w:sz w:val="19"/>
          <w:szCs w:val="19"/>
        </w:rPr>
      </w:pPr>
      <w:r>
        <w:rPr>
          <w:rFonts w:ascii="Arial" w:hAnsi="Arial" w:cs="Arial"/>
          <w:color w:val="000000" w:themeColor="text1"/>
          <w:sz w:val="19"/>
          <w:szCs w:val="19"/>
        </w:rPr>
        <w:t>»</w:t>
      </w:r>
      <w:r w:rsidRPr="00F2712B">
        <w:rPr>
          <w:rFonts w:ascii="Arial" w:hAnsi="Arial" w:cs="Arial"/>
          <w:color w:val="000000" w:themeColor="text1"/>
          <w:sz w:val="19"/>
          <w:szCs w:val="19"/>
        </w:rPr>
        <w:t>Para</w:t>
      </w:r>
      <w:r w:rsidRPr="00F2712B">
        <w:rPr>
          <w:rFonts w:ascii="Arial" w:eastAsia="Wingdings" w:hAnsi="Arial" w:cs="Arial"/>
          <w:color w:val="000000" w:themeColor="text1"/>
          <w:sz w:val="19"/>
          <w:szCs w:val="19"/>
        </w:rPr>
        <w:t xml:space="preserve"> </w:t>
      </w:r>
      <w:r w:rsidRPr="00F2712B">
        <w:rPr>
          <w:rFonts w:ascii="Arial" w:hAnsi="Arial" w:cs="Arial"/>
          <w:color w:val="000000" w:themeColor="text1"/>
          <w:sz w:val="19"/>
          <w:szCs w:val="19"/>
        </w:rPr>
        <w:t>acreditar</w:t>
      </w:r>
      <w:r w:rsidRPr="00F2712B">
        <w:rPr>
          <w:rFonts w:ascii="Arial" w:eastAsia="Wingdings" w:hAnsi="Arial" w:cs="Arial"/>
          <w:color w:val="000000" w:themeColor="text1"/>
          <w:sz w:val="19"/>
          <w:szCs w:val="19"/>
        </w:rPr>
        <w:t xml:space="preserve"> </w:t>
      </w:r>
      <w:r w:rsidRPr="00F2712B">
        <w:rPr>
          <w:rFonts w:ascii="Arial" w:hAnsi="Arial" w:cs="Arial"/>
          <w:color w:val="000000" w:themeColor="text1"/>
          <w:sz w:val="19"/>
          <w:szCs w:val="19"/>
        </w:rPr>
        <w:t>el</w:t>
      </w:r>
      <w:r w:rsidRPr="00F2712B">
        <w:rPr>
          <w:rFonts w:ascii="Arial" w:eastAsia="Wingdings" w:hAnsi="Arial" w:cs="Arial"/>
          <w:color w:val="000000" w:themeColor="text1"/>
          <w:sz w:val="19"/>
          <w:szCs w:val="19"/>
        </w:rPr>
        <w:t xml:space="preserve"> </w:t>
      </w:r>
      <w:r w:rsidRPr="00F2712B">
        <w:rPr>
          <w:rFonts w:ascii="Arial" w:hAnsi="Arial" w:cs="Arial"/>
          <w:color w:val="000000" w:themeColor="text1"/>
          <w:sz w:val="19"/>
          <w:szCs w:val="19"/>
        </w:rPr>
        <w:t>factor</w:t>
      </w:r>
      <w:r w:rsidRPr="00F2712B">
        <w:rPr>
          <w:rFonts w:ascii="Arial" w:eastAsia="Wingdings" w:hAnsi="Arial" w:cs="Arial"/>
          <w:color w:val="000000" w:themeColor="text1"/>
          <w:sz w:val="19"/>
          <w:szCs w:val="19"/>
        </w:rPr>
        <w:t xml:space="preserve"> </w:t>
      </w:r>
      <w:r w:rsidRPr="00F2712B">
        <w:rPr>
          <w:rFonts w:ascii="Arial" w:hAnsi="Arial" w:cs="Arial"/>
          <w:color w:val="000000" w:themeColor="text1"/>
          <w:sz w:val="19"/>
          <w:szCs w:val="19"/>
        </w:rPr>
        <w:t>(CO)</w:t>
      </w:r>
      <w:r w:rsidRPr="00F2712B">
        <w:rPr>
          <w:rFonts w:ascii="Arial" w:eastAsia="Wingdings" w:hAnsi="Arial" w:cs="Arial"/>
          <w:color w:val="000000" w:themeColor="text1"/>
          <w:sz w:val="19"/>
          <w:szCs w:val="19"/>
        </w:rPr>
        <w:t xml:space="preserve"> </w:t>
      </w:r>
      <w:r w:rsidRPr="00F2712B">
        <w:rPr>
          <w:rFonts w:ascii="Arial" w:hAnsi="Arial" w:cs="Arial"/>
          <w:color w:val="000000" w:themeColor="text1"/>
          <w:sz w:val="19"/>
          <w:szCs w:val="19"/>
        </w:rPr>
        <w:t>el</w:t>
      </w:r>
      <w:r w:rsidRPr="00F2712B">
        <w:rPr>
          <w:rFonts w:ascii="Arial" w:eastAsia="Wingdings" w:hAnsi="Arial" w:cs="Arial"/>
          <w:color w:val="000000" w:themeColor="text1"/>
          <w:sz w:val="19"/>
          <w:szCs w:val="19"/>
        </w:rPr>
        <w:t xml:space="preserve"> </w:t>
      </w:r>
      <w:r w:rsidRPr="00F2712B">
        <w:rPr>
          <w:rFonts w:ascii="Arial" w:hAnsi="Arial" w:cs="Arial"/>
          <w:color w:val="000000" w:themeColor="text1"/>
          <w:sz w:val="19"/>
          <w:szCs w:val="19"/>
        </w:rPr>
        <w:t>proponente</w:t>
      </w:r>
      <w:r w:rsidRPr="00F2712B">
        <w:rPr>
          <w:rFonts w:ascii="Arial" w:eastAsia="Wingdings" w:hAnsi="Arial" w:cs="Arial"/>
          <w:color w:val="000000" w:themeColor="text1"/>
          <w:sz w:val="19"/>
          <w:szCs w:val="19"/>
        </w:rPr>
        <w:t xml:space="preserve"> </w:t>
      </w:r>
      <w:r w:rsidRPr="00F2712B">
        <w:rPr>
          <w:rFonts w:ascii="Arial" w:hAnsi="Arial" w:cs="Arial"/>
          <w:color w:val="000000" w:themeColor="text1"/>
          <w:sz w:val="19"/>
          <w:szCs w:val="19"/>
        </w:rPr>
        <w:t>debe</w:t>
      </w:r>
      <w:r w:rsidRPr="00F2712B">
        <w:rPr>
          <w:rFonts w:ascii="Arial" w:eastAsia="Wingdings" w:hAnsi="Arial" w:cs="Arial"/>
          <w:color w:val="000000" w:themeColor="text1"/>
          <w:sz w:val="19"/>
          <w:szCs w:val="19"/>
        </w:rPr>
        <w:t xml:space="preserve"> </w:t>
      </w:r>
      <w:r w:rsidRPr="00F2712B">
        <w:rPr>
          <w:rFonts w:ascii="Arial" w:hAnsi="Arial" w:cs="Arial"/>
          <w:color w:val="000000" w:themeColor="text1"/>
          <w:sz w:val="19"/>
          <w:szCs w:val="19"/>
        </w:rPr>
        <w:t>presentar</w:t>
      </w:r>
      <w:r w:rsidRPr="00F2712B">
        <w:rPr>
          <w:rFonts w:ascii="Arial" w:eastAsia="Wingdings" w:hAnsi="Arial" w:cs="Arial"/>
          <w:color w:val="000000" w:themeColor="text1"/>
          <w:sz w:val="19"/>
          <w:szCs w:val="19"/>
        </w:rPr>
        <w:t xml:space="preserve"> </w:t>
      </w:r>
      <w:r w:rsidRPr="00F2712B">
        <w:rPr>
          <w:rFonts w:ascii="Arial" w:hAnsi="Arial" w:cs="Arial"/>
          <w:color w:val="000000" w:themeColor="text1"/>
          <w:sz w:val="19"/>
          <w:szCs w:val="19"/>
        </w:rPr>
        <w:t>los</w:t>
      </w:r>
      <w:r w:rsidRPr="00F2712B">
        <w:rPr>
          <w:rFonts w:ascii="Arial" w:eastAsia="Wingdings" w:hAnsi="Arial" w:cs="Arial"/>
          <w:color w:val="000000" w:themeColor="text1"/>
          <w:sz w:val="19"/>
          <w:szCs w:val="19"/>
        </w:rPr>
        <w:t xml:space="preserve"> </w:t>
      </w:r>
      <w:r w:rsidRPr="00F2712B">
        <w:rPr>
          <w:rFonts w:ascii="Arial" w:hAnsi="Arial" w:cs="Arial"/>
          <w:color w:val="000000" w:themeColor="text1"/>
          <w:sz w:val="19"/>
          <w:szCs w:val="19"/>
        </w:rPr>
        <w:t>siguientes</w:t>
      </w:r>
      <w:r w:rsidRPr="00F2712B">
        <w:rPr>
          <w:rFonts w:ascii="Arial" w:eastAsia="Wingdings" w:hAnsi="Arial" w:cs="Arial"/>
          <w:color w:val="000000" w:themeColor="text1"/>
          <w:sz w:val="19"/>
          <w:szCs w:val="19"/>
        </w:rPr>
        <w:t xml:space="preserve"> </w:t>
      </w:r>
      <w:r w:rsidRPr="00F2712B">
        <w:rPr>
          <w:rFonts w:ascii="Arial" w:hAnsi="Arial" w:cs="Arial"/>
          <w:color w:val="000000" w:themeColor="text1"/>
          <w:sz w:val="19"/>
          <w:szCs w:val="19"/>
        </w:rPr>
        <w:t>documentos:</w:t>
      </w:r>
      <w:r w:rsidRPr="00F2712B">
        <w:rPr>
          <w:rFonts w:ascii="Arial" w:eastAsia="Wingdings" w:hAnsi="Arial" w:cs="Arial"/>
          <w:color w:val="000000" w:themeColor="text1"/>
          <w:sz w:val="19"/>
          <w:szCs w:val="19"/>
        </w:rPr>
        <w:t xml:space="preserve"> </w:t>
      </w:r>
    </w:p>
    <w:p w14:paraId="5FB93DB7" w14:textId="77777777" w:rsidR="0006642C" w:rsidRPr="00F2712B" w:rsidRDefault="0006642C" w:rsidP="0006642C">
      <w:pPr>
        <w:pStyle w:val="Prrafodelista"/>
        <w:numPr>
          <w:ilvl w:val="0"/>
          <w:numId w:val="6"/>
        </w:numPr>
        <w:ind w:left="426" w:hanging="284"/>
        <w:contextualSpacing w:val="0"/>
        <w:jc w:val="both"/>
        <w:rPr>
          <w:rFonts w:ascii="Arial" w:eastAsia="Wingdings" w:hAnsi="Arial" w:cs="Arial"/>
          <w:color w:val="000000" w:themeColor="text1"/>
          <w:sz w:val="19"/>
          <w:szCs w:val="19"/>
        </w:rPr>
      </w:pPr>
      <w:r>
        <w:rPr>
          <w:rFonts w:ascii="Arial" w:eastAsia="Arial Narrow" w:hAnsi="Arial" w:cs="Arial"/>
          <w:color w:val="000000" w:themeColor="text1"/>
          <w:sz w:val="19"/>
          <w:szCs w:val="19"/>
        </w:rPr>
        <w:t>»</w:t>
      </w:r>
      <w:r w:rsidRPr="00F2712B">
        <w:rPr>
          <w:rFonts w:ascii="Arial" w:eastAsia="Arial Narrow" w:hAnsi="Arial" w:cs="Arial"/>
          <w:color w:val="000000" w:themeColor="text1"/>
          <w:sz w:val="19"/>
          <w:szCs w:val="19"/>
        </w:rPr>
        <w:t>Estado</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de</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resultados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integral</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(estado</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de</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resultados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o</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pérdida</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o</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ganancias),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del</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año inmediatamente anterior y en</w:t>
      </w:r>
      <w:r w:rsidRPr="00F2712B">
        <w:rPr>
          <w:rFonts w:ascii="Arial" w:eastAsia="Wingdings" w:hAnsi="Arial" w:cs="Arial"/>
          <w:color w:val="000000" w:themeColor="text1"/>
          <w:sz w:val="19"/>
          <w:szCs w:val="19"/>
        </w:rPr>
        <w:t xml:space="preserve"> el </w:t>
      </w:r>
      <w:r w:rsidRPr="00F2712B">
        <w:rPr>
          <w:rFonts w:ascii="Arial" w:eastAsia="Arial Narrow" w:hAnsi="Arial" w:cs="Arial"/>
          <w:color w:val="000000" w:themeColor="text1"/>
          <w:sz w:val="19"/>
          <w:szCs w:val="19"/>
        </w:rPr>
        <w:t>que</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haya</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obtenido</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el</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mayor</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ingreso</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operacional</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en</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los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últimos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cinco</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(5)</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años,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debidamente</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firmado</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por</w:t>
      </w:r>
      <w:r w:rsidRPr="00F2712B">
        <w:rPr>
          <w:rFonts w:ascii="Arial" w:eastAsia="Wingdings" w:hAnsi="Arial" w:cs="Arial"/>
          <w:color w:val="000000" w:themeColor="text1"/>
          <w:sz w:val="19"/>
          <w:szCs w:val="19"/>
        </w:rPr>
        <w:t xml:space="preserve"> el interesado o su representante legal y el revisor fiscal si está obligado a tenerlo, o el auditor o contador si no está obligado a tener revisor fiscal.</w:t>
      </w:r>
    </w:p>
    <w:p w14:paraId="60816C05" w14:textId="77777777" w:rsidR="0006642C" w:rsidRPr="00F2712B" w:rsidRDefault="0006642C" w:rsidP="0006642C">
      <w:pPr>
        <w:pStyle w:val="Prrafodelista"/>
        <w:numPr>
          <w:ilvl w:val="0"/>
          <w:numId w:val="6"/>
        </w:numPr>
        <w:ind w:left="426" w:hanging="284"/>
        <w:contextualSpacing w:val="0"/>
        <w:jc w:val="both"/>
        <w:rPr>
          <w:rFonts w:ascii="Arial" w:eastAsia="Wingdings" w:hAnsi="Arial" w:cs="Arial"/>
          <w:color w:val="000000" w:themeColor="text1"/>
          <w:sz w:val="19"/>
          <w:szCs w:val="19"/>
        </w:rPr>
      </w:pPr>
      <w:r>
        <w:rPr>
          <w:rFonts w:ascii="Arial" w:eastAsia="Arial Narrow" w:hAnsi="Arial" w:cs="Arial"/>
          <w:color w:val="000000" w:themeColor="text1"/>
          <w:sz w:val="19"/>
          <w:szCs w:val="19"/>
        </w:rPr>
        <w:t>»</w:t>
      </w:r>
      <w:r w:rsidRPr="00F2712B">
        <w:rPr>
          <w:rFonts w:ascii="Arial" w:eastAsia="Arial Narrow" w:hAnsi="Arial" w:cs="Arial"/>
          <w:color w:val="000000" w:themeColor="text1"/>
          <w:sz w:val="19"/>
          <w:szCs w:val="19"/>
        </w:rPr>
        <w:t>Copia</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de</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la</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tarjeta</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profesional</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y</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certificado</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de</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antecedentes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disciplinarios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vigentes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de</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los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contadores públicos, revisores fiscales, contadores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independientes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(externos),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quienes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suscribieron</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los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documentos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señalados</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en</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el</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presente</w:t>
      </w:r>
      <w:r w:rsidRPr="00F2712B">
        <w:rPr>
          <w:rFonts w:ascii="Arial" w:eastAsia="Wingdings" w:hAnsi="Arial" w:cs="Arial"/>
          <w:color w:val="000000" w:themeColor="text1"/>
          <w:sz w:val="19"/>
          <w:szCs w:val="19"/>
        </w:rPr>
        <w:t xml:space="preserve"> </w:t>
      </w:r>
      <w:r w:rsidRPr="00F2712B">
        <w:rPr>
          <w:rFonts w:ascii="Arial" w:eastAsia="Arial Narrow" w:hAnsi="Arial" w:cs="Arial"/>
          <w:color w:val="000000" w:themeColor="text1"/>
          <w:sz w:val="19"/>
          <w:szCs w:val="19"/>
        </w:rPr>
        <w:t>literal.</w:t>
      </w:r>
      <w:r w:rsidRPr="00F2712B">
        <w:rPr>
          <w:rFonts w:ascii="Arial" w:eastAsia="Wingdings" w:hAnsi="Arial" w:cs="Arial"/>
          <w:color w:val="000000" w:themeColor="text1"/>
          <w:sz w:val="19"/>
          <w:szCs w:val="19"/>
        </w:rPr>
        <w:t xml:space="preserve"> </w:t>
      </w:r>
    </w:p>
    <w:p w14:paraId="6019F426" w14:textId="77777777" w:rsidR="0006642C" w:rsidRPr="00F2712B" w:rsidRDefault="0006642C" w:rsidP="0006642C">
      <w:pPr>
        <w:pStyle w:val="Prrafodelista"/>
        <w:numPr>
          <w:ilvl w:val="0"/>
          <w:numId w:val="6"/>
        </w:numPr>
        <w:ind w:left="426" w:hanging="284"/>
        <w:contextualSpacing w:val="0"/>
        <w:jc w:val="both"/>
        <w:rPr>
          <w:rFonts w:ascii="Arial" w:eastAsia="Arial Narrow" w:hAnsi="Arial" w:cs="Arial"/>
          <w:color w:val="000000" w:themeColor="text1"/>
          <w:sz w:val="19"/>
          <w:szCs w:val="19"/>
        </w:rPr>
      </w:pPr>
      <w:r>
        <w:rPr>
          <w:rFonts w:ascii="Arial" w:eastAsia="Arial Narrow" w:hAnsi="Arial" w:cs="Arial"/>
          <w:color w:val="000000" w:themeColor="text1"/>
          <w:sz w:val="19"/>
          <w:szCs w:val="19"/>
        </w:rPr>
        <w:t>»</w:t>
      </w:r>
      <w:r w:rsidRPr="00F2712B">
        <w:rPr>
          <w:rFonts w:ascii="Arial" w:eastAsia="Arial Narrow" w:hAnsi="Arial" w:cs="Arial"/>
          <w:color w:val="000000" w:themeColor="text1"/>
          <w:sz w:val="19"/>
          <w:szCs w:val="19"/>
        </w:rPr>
        <w:t>Certificación de los estados financieros de la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p>
    <w:p w14:paraId="5EB84B11" w14:textId="77777777" w:rsidR="0006642C" w:rsidRPr="00F2712B" w:rsidRDefault="0006642C" w:rsidP="0006642C">
      <w:pPr>
        <w:pStyle w:val="Prrafodelista"/>
        <w:numPr>
          <w:ilvl w:val="0"/>
          <w:numId w:val="6"/>
        </w:numPr>
        <w:ind w:left="426" w:hanging="284"/>
        <w:contextualSpacing w:val="0"/>
        <w:jc w:val="both"/>
        <w:rPr>
          <w:rFonts w:ascii="Arial" w:eastAsia="Arial Narrow" w:hAnsi="Arial" w:cs="Arial"/>
          <w:color w:val="000000" w:themeColor="text1"/>
          <w:sz w:val="19"/>
          <w:szCs w:val="19"/>
        </w:rPr>
      </w:pPr>
      <w:r>
        <w:rPr>
          <w:rFonts w:ascii="Arial" w:eastAsia="Arial Narrow" w:hAnsi="Arial" w:cs="Arial"/>
          <w:color w:val="000000" w:themeColor="text1"/>
          <w:sz w:val="19"/>
          <w:szCs w:val="19"/>
        </w:rPr>
        <w:t>»</w:t>
      </w:r>
      <w:r w:rsidRPr="00F2712B">
        <w:rPr>
          <w:rFonts w:ascii="Arial" w:eastAsia="Arial Narrow" w:hAnsi="Arial" w:cs="Arial"/>
          <w:color w:val="000000" w:themeColor="text1"/>
          <w:sz w:val="19"/>
          <w:szCs w:val="19"/>
        </w:rPr>
        <w:t xml:space="preserve">Dictamen del revisor fiscal o, a falta de éste, del contador público independiente cuando el proponente esté obligado a ello, del año o en que haya obtenido el mayor ingreso operacional en los últimos cinco (5) años, en los términos descritos en el artículo 38 de la Ley 222 de 1995. </w:t>
      </w:r>
    </w:p>
    <w:p w14:paraId="5F24AF47" w14:textId="77777777" w:rsidR="0006642C" w:rsidRPr="00F2712B" w:rsidRDefault="0006642C" w:rsidP="0006642C">
      <w:pPr>
        <w:pStyle w:val="Prrafodelista"/>
        <w:numPr>
          <w:ilvl w:val="0"/>
          <w:numId w:val="6"/>
        </w:numPr>
        <w:ind w:left="426" w:hanging="284"/>
        <w:contextualSpacing w:val="0"/>
        <w:jc w:val="both"/>
        <w:rPr>
          <w:rFonts w:ascii="Arial" w:eastAsia="Arial Narrow" w:hAnsi="Arial" w:cs="Arial"/>
          <w:color w:val="000000" w:themeColor="text1"/>
          <w:sz w:val="19"/>
          <w:szCs w:val="19"/>
        </w:rPr>
      </w:pPr>
      <w:r>
        <w:rPr>
          <w:rFonts w:ascii="Arial" w:eastAsia="Arial Narrow" w:hAnsi="Arial" w:cs="Arial"/>
          <w:color w:val="000000" w:themeColor="text1"/>
          <w:sz w:val="19"/>
          <w:szCs w:val="19"/>
        </w:rPr>
        <w:t>»</w:t>
      </w:r>
      <w:r w:rsidRPr="00F2712B">
        <w:rPr>
          <w:rFonts w:ascii="Arial" w:eastAsia="Arial Narrow" w:hAnsi="Arial" w:cs="Arial"/>
          <w:color w:val="000000" w:themeColor="text1"/>
          <w:sz w:val="19"/>
          <w:szCs w:val="19"/>
        </w:rPr>
        <w:t>Copia de la tarjeta profesional y certificado de antecedentes disciplinarios vigentes de los contadores públicos, revisores fiscales, contadores independientes (externos), quienes suscribieron los documentos señalados en el presente literal</w:t>
      </w:r>
      <w:r>
        <w:rPr>
          <w:rFonts w:ascii="Arial" w:eastAsia="Arial Narrow" w:hAnsi="Arial" w:cs="Arial"/>
          <w:color w:val="000000" w:themeColor="text1"/>
          <w:sz w:val="19"/>
          <w:szCs w:val="19"/>
        </w:rPr>
        <w:t>»</w:t>
      </w:r>
      <w:r w:rsidRPr="00F2712B">
        <w:rPr>
          <w:rFonts w:ascii="Arial" w:eastAsia="Arial Narrow" w:hAnsi="Arial" w:cs="Arial"/>
          <w:color w:val="000000" w:themeColor="text1"/>
          <w:sz w:val="19"/>
          <w:szCs w:val="19"/>
        </w:rPr>
        <w:t xml:space="preserve">. </w:t>
      </w:r>
    </w:p>
    <w:p w14:paraId="1D652A69" w14:textId="77777777" w:rsidR="0006642C" w:rsidRPr="00F2712B" w:rsidRDefault="0006642C" w:rsidP="0006642C">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8BC09" w14:textId="77777777" w:rsidR="00387886" w:rsidRDefault="00A10434">
    <w:pPr>
      <w:pStyle w:val="Encabezado"/>
    </w:pPr>
    <w:r>
      <w:rPr>
        <w:noProof/>
        <w:lang w:val="es-CO" w:eastAsia="es-CO"/>
      </w:rPr>
      <w:drawing>
        <wp:anchor distT="0" distB="0" distL="114300" distR="114300" simplePos="0" relativeHeight="251659264" behindDoc="1" locked="0" layoutInCell="1" allowOverlap="1" wp14:anchorId="35107D65" wp14:editId="54A765FB">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35E01"/>
    <w:multiLevelType w:val="hybridMultilevel"/>
    <w:tmpl w:val="1F4E4736"/>
    <w:lvl w:ilvl="0" w:tplc="1004B138">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4A487F7B"/>
    <w:multiLevelType w:val="hybridMultilevel"/>
    <w:tmpl w:val="3D0C7AA0"/>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55EA2989"/>
    <w:multiLevelType w:val="hybridMultilevel"/>
    <w:tmpl w:val="AF48CE06"/>
    <w:lvl w:ilvl="0" w:tplc="72BAB26C">
      <w:start w:val="1"/>
      <w:numFmt w:val="lowerRoman"/>
      <w:lvlText w:val="%1)"/>
      <w:lvlJc w:val="left"/>
      <w:pPr>
        <w:ind w:left="1080" w:hanging="720"/>
      </w:pPr>
      <w:rPr>
        <w:rFonts w:ascii="Arial" w:eastAsia="Calibri" w:hAnsi="Arial" w:cs="Arial"/>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D7A51E5"/>
    <w:multiLevelType w:val="hybridMultilevel"/>
    <w:tmpl w:val="AF48CE06"/>
    <w:lvl w:ilvl="0" w:tplc="72BAB26C">
      <w:start w:val="1"/>
      <w:numFmt w:val="lowerRoman"/>
      <w:lvlText w:val="%1)"/>
      <w:lvlJc w:val="left"/>
      <w:pPr>
        <w:ind w:left="1080" w:hanging="720"/>
      </w:pPr>
      <w:rPr>
        <w:rFonts w:ascii="Arial" w:eastAsia="Calibri" w:hAnsi="Arial" w:cs="Arial"/>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5"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42C"/>
    <w:rsid w:val="0006642C"/>
    <w:rsid w:val="005177B3"/>
    <w:rsid w:val="006C7D27"/>
    <w:rsid w:val="00A10434"/>
    <w:rsid w:val="00D76E67"/>
    <w:rsid w:val="00D93C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1C079"/>
  <w15:chartTrackingRefBased/>
  <w15:docId w15:val="{A344BE8D-86D5-5E4D-B93B-5D4E90DFF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42C"/>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6642C"/>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06642C"/>
    <w:rPr>
      <w:szCs w:val="22"/>
      <w:lang w:val="es-MX"/>
    </w:rPr>
  </w:style>
  <w:style w:type="paragraph" w:styleId="Encabezado">
    <w:name w:val="header"/>
    <w:basedOn w:val="Normal"/>
    <w:link w:val="EncabezadoCar"/>
    <w:uiPriority w:val="99"/>
    <w:unhideWhenUsed/>
    <w:rsid w:val="0006642C"/>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06642C"/>
    <w:rPr>
      <w:szCs w:val="22"/>
      <w:lang w:val="es-MX"/>
    </w:rPr>
  </w:style>
  <w:style w:type="table" w:styleId="Tablaconcuadrcula">
    <w:name w:val="Table Grid"/>
    <w:basedOn w:val="Tablanormal"/>
    <w:uiPriority w:val="39"/>
    <w:qFormat/>
    <w:rsid w:val="0006642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6642C"/>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06642C"/>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6642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6642C"/>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06642C"/>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6642C"/>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6642C"/>
    <w:rPr>
      <w:vertAlign w:val="superscript"/>
    </w:rPr>
  </w:style>
  <w:style w:type="paragraph" w:styleId="Textoindependiente">
    <w:name w:val="Body Text"/>
    <w:basedOn w:val="Normal"/>
    <w:link w:val="TextoindependienteCar"/>
    <w:uiPriority w:val="1"/>
    <w:qFormat/>
    <w:rsid w:val="0006642C"/>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06642C"/>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06642C"/>
    <w:pPr>
      <w:spacing w:after="160" w:line="240" w:lineRule="exact"/>
    </w:pPr>
    <w:rPr>
      <w:rFonts w:asciiTheme="minorHAnsi" w:eastAsiaTheme="minorHAnsi" w:hAnsiTheme="minorHAnsi" w:cstheme="minorBidi"/>
      <w:vertAlign w:val="superscript"/>
      <w:lang w:eastAsia="en-US"/>
    </w:rPr>
  </w:style>
  <w:style w:type="character" w:customStyle="1" w:styleId="apple-converted-space">
    <w:name w:val="apple-converted-space"/>
    <w:basedOn w:val="Fuentedeprrafopredeter"/>
    <w:rsid w:val="0006642C"/>
  </w:style>
  <w:style w:type="paragraph" w:customStyle="1" w:styleId="xmsonospacing">
    <w:name w:val="x_msonospacing"/>
    <w:basedOn w:val="Normal"/>
    <w:rsid w:val="0006642C"/>
    <w:pPr>
      <w:spacing w:before="100" w:beforeAutospacing="1" w:after="100" w:afterAutospacing="1"/>
    </w:pPr>
  </w:style>
  <w:style w:type="paragraph" w:customStyle="1" w:styleId="Normal11pt">
    <w:name w:val="Normal + 11 pt"/>
    <w:aliases w:val="Negro,Justificado,Izquierda:  -0,95 cm,Derecha:  0,04 cm"/>
    <w:basedOn w:val="Normal"/>
    <w:uiPriority w:val="99"/>
    <w:rsid w:val="0006642C"/>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D76E67"/>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8FFC31-86A3-41B3-AFE7-652E4AF6019C}">
  <ds:schemaRefs>
    <ds:schemaRef ds:uri="http://schemas.microsoft.com/sharepoint/v3/contenttype/forms"/>
  </ds:schemaRefs>
</ds:datastoreItem>
</file>

<file path=customXml/itemProps2.xml><?xml version="1.0" encoding="utf-8"?>
<ds:datastoreItem xmlns:ds="http://schemas.openxmlformats.org/officeDocument/2006/customXml" ds:itemID="{CC143DBA-4D6C-4568-8AE8-B37E6152133E}">
  <ds:schemaRefs>
    <ds:schemaRef ds:uri="http://schemas.microsoft.com/office/2006/metadata/properties"/>
    <ds:schemaRef ds:uri="http://purl.org/dc/elements/1.1/"/>
    <ds:schemaRef ds:uri="9d85dbaf-23eb-4e57-a637-93dcacc8b1a1"/>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8B790CD0-E0AF-4DD4-887D-658C39D83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6366</Words>
  <Characters>35015</Characters>
  <Application>Microsoft Office Word</Application>
  <DocSecurity>0</DocSecurity>
  <Lines>291</Lines>
  <Paragraphs>82</Paragraphs>
  <ScaleCrop>false</ScaleCrop>
  <Company/>
  <LinksUpToDate>false</LinksUpToDate>
  <CharactersWithSpaces>41299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Nasly Yeana Mosquera Rivas</cp:lastModifiedBy>
  <cp:revision>2</cp:revision>
  <dcterms:created xsi:type="dcterms:W3CDTF">2021-12-13T17:08:00Z</dcterms:created>
  <dcterms:modified xsi:type="dcterms:W3CDTF">2021-12-13T17:08:00Z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