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C78AD" w14:textId="77777777" w:rsidR="009F7516" w:rsidRPr="008557D1" w:rsidRDefault="009F7516" w:rsidP="009F7516">
      <w:pPr>
        <w:spacing w:after="0" w:line="240" w:lineRule="auto"/>
        <w:jc w:val="both"/>
        <w:rPr>
          <w:rFonts w:ascii="Verdana" w:eastAsia="Geomanist Light" w:hAnsi="Verdana" w:cs="Arial"/>
          <w:lang w:val="es-MX"/>
        </w:rPr>
      </w:pPr>
      <w:bookmarkStart w:id="0" w:name="_Hlk143780582"/>
    </w:p>
    <w:p w14:paraId="6F1E4EB9" w14:textId="77777777" w:rsidR="009F7516" w:rsidRPr="008557D1" w:rsidRDefault="009F7516" w:rsidP="009F7516">
      <w:pPr>
        <w:spacing w:after="0" w:line="240" w:lineRule="auto"/>
        <w:jc w:val="both"/>
        <w:rPr>
          <w:rFonts w:ascii="Verdana" w:eastAsia="Calibri" w:hAnsi="Verdana" w:cs="Arial"/>
          <w:b/>
          <w:bCs/>
          <w:color w:val="000000"/>
          <w:kern w:val="2"/>
          <w14:ligatures w14:val="standardContextual"/>
        </w:rPr>
      </w:pPr>
      <w:r w:rsidRPr="008557D1">
        <w:rPr>
          <w:rFonts w:ascii="Verdana" w:eastAsia="Calibri" w:hAnsi="Verdana" w:cs="Arial"/>
          <w:b/>
          <w:bCs/>
          <w:color w:val="000000"/>
          <w:kern w:val="2"/>
          <w14:ligatures w14:val="standardContextual"/>
        </w:rPr>
        <w:t xml:space="preserve">INHABILIDADES E INCOMPATIBILIDADES </w:t>
      </w:r>
      <w:r w:rsidRPr="008557D1">
        <w:rPr>
          <w:rFonts w:ascii="Verdana" w:eastAsia="Calibri" w:hAnsi="Verdana" w:cs="Arial"/>
          <w:b/>
          <w:color w:val="000000"/>
          <w:kern w:val="2"/>
          <w14:ligatures w14:val="standardContextual"/>
        </w:rPr>
        <w:t>–</w:t>
      </w:r>
      <w:r w:rsidRPr="008557D1">
        <w:rPr>
          <w:rFonts w:ascii="Verdana" w:eastAsia="Calibri" w:hAnsi="Verdana" w:cs="Arial"/>
          <w:b/>
          <w:bCs/>
          <w:color w:val="000000"/>
          <w:kern w:val="2"/>
          <w14:ligatures w14:val="standardContextual"/>
        </w:rPr>
        <w:t xml:space="preserve"> Concepto </w:t>
      </w:r>
      <w:r w:rsidRPr="008557D1">
        <w:rPr>
          <w:rFonts w:ascii="Verdana" w:eastAsia="Calibri" w:hAnsi="Verdana" w:cs="Arial"/>
          <w:b/>
          <w:color w:val="000000"/>
          <w:kern w:val="2"/>
          <w14:ligatures w14:val="standardContextual"/>
        </w:rPr>
        <w:t xml:space="preserve">– </w:t>
      </w:r>
      <w:r w:rsidRPr="008557D1">
        <w:rPr>
          <w:rFonts w:ascii="Verdana" w:eastAsia="Calibri" w:hAnsi="Verdana" w:cs="Arial"/>
          <w:b/>
          <w:bCs/>
          <w:color w:val="000000"/>
          <w:kern w:val="2"/>
          <w14:ligatures w14:val="standardContextual"/>
        </w:rPr>
        <w:t xml:space="preserve">Principio de legalidad </w:t>
      </w:r>
      <w:r w:rsidRPr="008557D1">
        <w:rPr>
          <w:rFonts w:ascii="Verdana" w:eastAsia="Calibri" w:hAnsi="Verdana" w:cs="Arial"/>
          <w:b/>
          <w:color w:val="000000"/>
          <w:kern w:val="2"/>
          <w14:ligatures w14:val="standardContextual"/>
        </w:rPr>
        <w:t>–</w:t>
      </w:r>
      <w:r w:rsidRPr="008557D1">
        <w:rPr>
          <w:rFonts w:ascii="Verdana" w:eastAsia="Calibri" w:hAnsi="Verdana" w:cs="Arial"/>
          <w:b/>
          <w:bCs/>
          <w:color w:val="000000"/>
          <w:kern w:val="2"/>
          <w14:ligatures w14:val="standardContextual"/>
        </w:rPr>
        <w:t xml:space="preserve"> Interpretación restrictiva</w:t>
      </w:r>
    </w:p>
    <w:p w14:paraId="78BF1327" w14:textId="77777777" w:rsidR="009F7516" w:rsidRPr="008557D1" w:rsidRDefault="009F7516" w:rsidP="009F7516">
      <w:pPr>
        <w:spacing w:after="0" w:line="240" w:lineRule="auto"/>
        <w:jc w:val="both"/>
        <w:rPr>
          <w:rFonts w:ascii="Verdana" w:eastAsia="Calibri" w:hAnsi="Verdana" w:cs="Arial"/>
          <w:b/>
          <w:bCs/>
          <w:color w:val="000000"/>
          <w:kern w:val="2"/>
          <w14:ligatures w14:val="standardContextual"/>
        </w:rPr>
      </w:pPr>
    </w:p>
    <w:p w14:paraId="554EBA6D" w14:textId="77777777" w:rsidR="009F7516" w:rsidRPr="000523C3" w:rsidRDefault="009F7516" w:rsidP="009F7516">
      <w:pPr>
        <w:spacing w:after="0" w:line="240" w:lineRule="auto"/>
        <w:jc w:val="both"/>
        <w:rPr>
          <w:rFonts w:ascii="Verdana" w:eastAsia="Calibri" w:hAnsi="Verdana" w:cs="Arial"/>
          <w:color w:val="000000"/>
          <w:kern w:val="2"/>
          <w:sz w:val="20"/>
          <w:szCs w:val="20"/>
          <w14:ligatures w14:val="standardContextual"/>
        </w:rPr>
      </w:pPr>
      <w:r w:rsidRPr="000523C3">
        <w:rPr>
          <w:rFonts w:ascii="Verdana" w:eastAsia="Calibri" w:hAnsi="Verdana" w:cs="Arial"/>
          <w:color w:val="000000"/>
          <w:kern w:val="2"/>
          <w:sz w:val="20"/>
          <w:szCs w:val="20"/>
          <w14:ligatures w14:val="standardContextual"/>
        </w:rPr>
        <w:t xml:space="preserve">Las </w:t>
      </w:r>
      <w:r w:rsidRPr="000523C3">
        <w:rPr>
          <w:rFonts w:ascii="Verdana" w:eastAsia="Calibri" w:hAnsi="Verdana" w:cs="Arial"/>
          <w:i/>
          <w:iCs/>
          <w:color w:val="000000"/>
          <w:kern w:val="2"/>
          <w:sz w:val="20"/>
          <w:szCs w:val="20"/>
          <w14:ligatures w14:val="standardContextual"/>
        </w:rPr>
        <w:t>inhabilidades</w:t>
      </w:r>
      <w:r w:rsidRPr="000523C3">
        <w:rPr>
          <w:rFonts w:ascii="Verdana" w:eastAsia="Calibri" w:hAnsi="Verdana" w:cs="Arial"/>
          <w:color w:val="000000"/>
          <w:kern w:val="2"/>
          <w:sz w:val="20"/>
          <w:szCs w:val="20"/>
          <w14:ligatures w14:val="standardContextual"/>
        </w:rPr>
        <w:t xml:space="preserve"> son prohibiciones para concurrir a los procedimientos de selección y para contratar con el Estado, que se derivan de:  i) la existencia de comportamientos reprochables o sanciones anteriormente impuestas, </w:t>
      </w:r>
      <w:proofErr w:type="spellStart"/>
      <w:r w:rsidRPr="000523C3">
        <w:rPr>
          <w:rFonts w:ascii="Verdana" w:eastAsia="Calibri" w:hAnsi="Verdana" w:cs="Arial"/>
          <w:color w:val="000000"/>
          <w:kern w:val="2"/>
          <w:sz w:val="20"/>
          <w:szCs w:val="20"/>
          <w14:ligatures w14:val="standardContextual"/>
        </w:rPr>
        <w:t>ii</w:t>
      </w:r>
      <w:proofErr w:type="spellEnd"/>
      <w:r w:rsidRPr="000523C3">
        <w:rPr>
          <w:rFonts w:ascii="Verdana" w:eastAsia="Calibri" w:hAnsi="Verdana" w:cs="Arial"/>
          <w:color w:val="000000"/>
          <w:kern w:val="2"/>
          <w:sz w:val="20"/>
          <w:szCs w:val="20"/>
          <w14:ligatures w14:val="standardContextual"/>
        </w:rPr>
        <w:t xml:space="preserve">) vínculos personales relativos al parentesco o al estado civil o </w:t>
      </w:r>
      <w:proofErr w:type="spellStart"/>
      <w:r w:rsidRPr="000523C3">
        <w:rPr>
          <w:rFonts w:ascii="Verdana" w:eastAsia="Calibri" w:hAnsi="Verdana" w:cs="Arial"/>
          <w:color w:val="000000"/>
          <w:kern w:val="2"/>
          <w:sz w:val="20"/>
          <w:szCs w:val="20"/>
          <w14:ligatures w14:val="standardContextual"/>
        </w:rPr>
        <w:t>iii</w:t>
      </w:r>
      <w:proofErr w:type="spellEnd"/>
      <w:r w:rsidRPr="000523C3">
        <w:rPr>
          <w:rFonts w:ascii="Verdana" w:eastAsia="Calibri" w:hAnsi="Verdana" w:cs="Arial"/>
          <w:color w:val="000000"/>
          <w:kern w:val="2"/>
          <w:sz w:val="20"/>
          <w:szCs w:val="20"/>
          <w14:ligatures w14:val="standardContextual"/>
        </w:rPr>
        <w:t xml:space="preserve">) una actividad u oficio que se desempeñó en el pasado. De otro lado, las </w:t>
      </w:r>
      <w:r w:rsidRPr="000523C3">
        <w:rPr>
          <w:rFonts w:ascii="Verdana" w:eastAsia="Calibri" w:hAnsi="Verdana" w:cs="Arial"/>
          <w:i/>
          <w:iCs/>
          <w:color w:val="000000"/>
          <w:kern w:val="2"/>
          <w:sz w:val="20"/>
          <w:szCs w:val="20"/>
          <w14:ligatures w14:val="standardContextual"/>
        </w:rPr>
        <w:t>incompatibilidades</w:t>
      </w:r>
      <w:r w:rsidRPr="000523C3">
        <w:rPr>
          <w:rFonts w:ascii="Verdana" w:eastAsia="Calibri" w:hAnsi="Verdana" w:cs="Arial"/>
          <w:color w:val="000000"/>
          <w:kern w:val="2"/>
          <w:sz w:val="20"/>
          <w:szCs w:val="20"/>
          <w14:ligatures w14:val="standardContextua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4852B9CB" w14:textId="77777777" w:rsidR="009F7516" w:rsidRPr="000523C3" w:rsidRDefault="009F7516" w:rsidP="009F7516">
      <w:pPr>
        <w:spacing w:after="120" w:line="240" w:lineRule="auto"/>
        <w:jc w:val="both"/>
        <w:rPr>
          <w:rFonts w:ascii="Verdana" w:eastAsia="Calibri" w:hAnsi="Verdana" w:cs="Arial"/>
          <w:color w:val="000000"/>
          <w:kern w:val="2"/>
          <w:sz w:val="20"/>
          <w:szCs w:val="20"/>
          <w14:ligatures w14:val="standardContextual"/>
        </w:rPr>
      </w:pPr>
      <w:r w:rsidRPr="000523C3">
        <w:rPr>
          <w:rFonts w:ascii="Verdana" w:eastAsia="Calibri" w:hAnsi="Verdana" w:cs="Arial"/>
          <w:color w:val="000000"/>
          <w:kern w:val="2"/>
          <w:sz w:val="20"/>
          <w:szCs w:val="20"/>
          <w14:ligatures w14:val="standardContextual"/>
        </w:rPr>
        <w:t>[…]</w:t>
      </w:r>
    </w:p>
    <w:p w14:paraId="4A1FECF7" w14:textId="18476420" w:rsidR="009F7516" w:rsidRPr="000523C3" w:rsidRDefault="009F7516" w:rsidP="009F7516">
      <w:pPr>
        <w:spacing w:after="0" w:line="240" w:lineRule="auto"/>
        <w:jc w:val="both"/>
        <w:rPr>
          <w:rFonts w:ascii="Verdana" w:eastAsia="Calibri" w:hAnsi="Verdana" w:cs="Arial"/>
          <w:color w:val="000000"/>
          <w:kern w:val="2"/>
          <w:sz w:val="20"/>
          <w:szCs w:val="20"/>
          <w14:ligatures w14:val="standardContextual"/>
        </w:rPr>
      </w:pPr>
      <w:r w:rsidRPr="000523C3">
        <w:rPr>
          <w:rFonts w:ascii="Verdana" w:eastAsia="Calibri" w:hAnsi="Verdana" w:cs="Arial"/>
          <w:color w:val="000000"/>
          <w:kern w:val="2"/>
          <w:sz w:val="20"/>
          <w:szCs w:val="20"/>
          <w14:ligatures w14:val="standardContextual"/>
        </w:rPr>
        <w:t>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45D28E1B" w14:textId="77777777" w:rsidR="009F7516" w:rsidRPr="008557D1" w:rsidRDefault="009F7516" w:rsidP="009F7516">
      <w:pPr>
        <w:spacing w:after="0" w:line="240" w:lineRule="auto"/>
        <w:jc w:val="both"/>
        <w:rPr>
          <w:rFonts w:ascii="Verdana" w:eastAsia="Calibri" w:hAnsi="Verdana" w:cs="Arial"/>
          <w:b/>
          <w:bCs/>
          <w:color w:val="000000"/>
          <w:kern w:val="2"/>
          <w14:ligatures w14:val="standardContextual"/>
        </w:rPr>
      </w:pPr>
    </w:p>
    <w:p w14:paraId="39A27B80" w14:textId="77777777" w:rsidR="009F7516" w:rsidRPr="008557D1" w:rsidRDefault="009F7516" w:rsidP="009F7516">
      <w:pPr>
        <w:spacing w:after="0" w:line="240" w:lineRule="auto"/>
        <w:jc w:val="both"/>
        <w:rPr>
          <w:rFonts w:ascii="Verdana" w:eastAsia="Calibri" w:hAnsi="Verdana" w:cs="Arial"/>
          <w:b/>
          <w:bCs/>
          <w:color w:val="000000"/>
          <w:kern w:val="2"/>
          <w14:ligatures w14:val="standardContextual"/>
        </w:rPr>
      </w:pPr>
      <w:r w:rsidRPr="008557D1">
        <w:rPr>
          <w:rFonts w:ascii="Verdana" w:eastAsia="Calibri" w:hAnsi="Verdana" w:cs="Arial"/>
          <w:b/>
          <w:bCs/>
          <w:color w:val="000000"/>
          <w:kern w:val="2"/>
          <w14:ligatures w14:val="standardContextual"/>
        </w:rPr>
        <w:t>CONFLICTOS DE INTERES – Verificación de cada caso en concreto</w:t>
      </w:r>
    </w:p>
    <w:p w14:paraId="2968A13D" w14:textId="77777777" w:rsidR="009F7516" w:rsidRPr="008557D1" w:rsidRDefault="009F7516" w:rsidP="009F7516">
      <w:pPr>
        <w:spacing w:after="0" w:line="240" w:lineRule="auto"/>
        <w:jc w:val="both"/>
        <w:rPr>
          <w:rFonts w:ascii="Verdana" w:eastAsia="Calibri" w:hAnsi="Verdana" w:cs="Arial"/>
          <w:b/>
          <w:bCs/>
          <w:color w:val="000000"/>
          <w:kern w:val="2"/>
          <w14:ligatures w14:val="standardContextual"/>
        </w:rPr>
      </w:pPr>
    </w:p>
    <w:p w14:paraId="2DFE5C6E" w14:textId="77777777" w:rsidR="009F7516" w:rsidRPr="000523C3" w:rsidRDefault="009F7516" w:rsidP="009F7516">
      <w:pPr>
        <w:spacing w:after="0" w:line="240" w:lineRule="auto"/>
        <w:jc w:val="both"/>
        <w:rPr>
          <w:rFonts w:ascii="Verdana" w:eastAsia="Calibri" w:hAnsi="Verdana" w:cs="Arial"/>
          <w:color w:val="000000"/>
          <w:kern w:val="2"/>
          <w:sz w:val="20"/>
          <w:szCs w:val="20"/>
          <w14:ligatures w14:val="standardContextual"/>
        </w:rPr>
      </w:pPr>
      <w:r w:rsidRPr="000523C3">
        <w:rPr>
          <w:rFonts w:ascii="Verdana" w:eastAsia="Calibri" w:hAnsi="Verdana" w:cs="Arial"/>
          <w:color w:val="000000"/>
          <w:kern w:val="2"/>
          <w:sz w:val="20"/>
          <w:szCs w:val="20"/>
          <w14:ligatures w14:val="standardContextual"/>
        </w:rPr>
        <w:t>Con todo, es importante señalar que, si bien el supuesto de hecho planteado en la consulta no constituye una inhabilidad per se, debe valorarse cada caso en concreto para descartar posibles conflictos de intereses. Es decir, situaciones en las cuales los intereses personales de alguien se opongan a sus deberes. Puede ser el caso de aquellas personas jurídicas que, luego de celebrar un contrato con una entidad estatal, el representante legal de dicha empresa celebre a título personal, en calidad de persona natural, otro contrato con la misma entidad estatal, circunstancia que, aunque no se advierte como una inhabilidad o incompatibilidad en particular, sí podría constituir un conflicto de intereses que afecte el cumplimiento de deberes.</w:t>
      </w:r>
    </w:p>
    <w:p w14:paraId="122CB571" w14:textId="77777777" w:rsidR="009F7516" w:rsidRPr="008557D1" w:rsidRDefault="009F7516" w:rsidP="009F7516">
      <w:pPr>
        <w:spacing w:after="0" w:line="240" w:lineRule="auto"/>
        <w:jc w:val="both"/>
        <w:rPr>
          <w:rFonts w:ascii="Verdana" w:eastAsia="Calibri" w:hAnsi="Verdana" w:cs="Arial"/>
          <w:b/>
          <w:color w:val="000000"/>
          <w:kern w:val="2"/>
          <w14:ligatures w14:val="standardContextual"/>
        </w:rPr>
      </w:pPr>
    </w:p>
    <w:p w14:paraId="58395C7B" w14:textId="77777777" w:rsidR="009F7516" w:rsidRPr="008557D1" w:rsidRDefault="009F7516" w:rsidP="009F7516">
      <w:pPr>
        <w:spacing w:after="0" w:line="240" w:lineRule="auto"/>
        <w:jc w:val="both"/>
        <w:rPr>
          <w:rFonts w:ascii="Verdana" w:eastAsia="Calibri" w:hAnsi="Verdana" w:cs="Arial"/>
          <w:b/>
          <w:color w:val="000000"/>
          <w:kern w:val="2"/>
          <w14:ligatures w14:val="standardContextual"/>
        </w:rPr>
      </w:pPr>
    </w:p>
    <w:p w14:paraId="2B9DCFDF" w14:textId="77777777" w:rsidR="009F7516" w:rsidRPr="008557D1" w:rsidRDefault="009F7516" w:rsidP="009F7516">
      <w:pPr>
        <w:spacing w:after="0" w:line="240" w:lineRule="auto"/>
        <w:rPr>
          <w:rFonts w:ascii="Verdana" w:eastAsia="Geomanist Light" w:hAnsi="Verdana" w:cs="Arial"/>
          <w:lang w:val="es-MX"/>
        </w:rPr>
      </w:pPr>
    </w:p>
    <w:p w14:paraId="603C7B25" w14:textId="77777777" w:rsidR="009F7516" w:rsidRPr="008557D1" w:rsidRDefault="009F7516" w:rsidP="009F7516">
      <w:pPr>
        <w:spacing w:after="0" w:line="240" w:lineRule="auto"/>
        <w:rPr>
          <w:rFonts w:ascii="Verdana" w:eastAsia="Geomanist Light" w:hAnsi="Verdana" w:cs="Arial"/>
          <w:lang w:val="es-MX"/>
        </w:rPr>
      </w:pPr>
    </w:p>
    <w:p w14:paraId="0B4D322E" w14:textId="77777777" w:rsidR="009F7516" w:rsidRPr="008557D1" w:rsidRDefault="009F7516" w:rsidP="009F7516">
      <w:pPr>
        <w:spacing w:after="0" w:line="240" w:lineRule="auto"/>
        <w:rPr>
          <w:rFonts w:ascii="Verdana" w:eastAsia="Geomanist Light" w:hAnsi="Verdana" w:cs="Arial"/>
          <w:lang w:val="es-MX"/>
        </w:rPr>
      </w:pPr>
    </w:p>
    <w:p w14:paraId="2B8ACC3B" w14:textId="77777777" w:rsidR="009F7516" w:rsidRPr="008557D1" w:rsidRDefault="009F7516" w:rsidP="009F7516">
      <w:pPr>
        <w:spacing w:after="0" w:line="240" w:lineRule="auto"/>
        <w:rPr>
          <w:rFonts w:ascii="Verdana" w:eastAsia="Geomanist Light" w:hAnsi="Verdana" w:cs="Arial"/>
          <w:lang w:val="es-MX"/>
        </w:rPr>
      </w:pPr>
    </w:p>
    <w:p w14:paraId="6AEAD552" w14:textId="77777777" w:rsidR="000523C3" w:rsidRDefault="000523C3" w:rsidP="009F7516">
      <w:pPr>
        <w:spacing w:after="0" w:line="240" w:lineRule="auto"/>
        <w:jc w:val="both"/>
        <w:rPr>
          <w:rFonts w:ascii="Verdana" w:eastAsia="Geomanist Light" w:hAnsi="Verdana" w:cs="Arial"/>
        </w:rPr>
      </w:pPr>
    </w:p>
    <w:p w14:paraId="6F08F8F8" w14:textId="77777777" w:rsidR="000523C3" w:rsidRDefault="000523C3" w:rsidP="009F7516">
      <w:pPr>
        <w:spacing w:after="0" w:line="240" w:lineRule="auto"/>
        <w:jc w:val="both"/>
        <w:rPr>
          <w:rFonts w:ascii="Verdana" w:eastAsia="Geomanist Light" w:hAnsi="Verdana" w:cs="Arial"/>
        </w:rPr>
      </w:pPr>
    </w:p>
    <w:p w14:paraId="413AAB9B" w14:textId="77777777" w:rsidR="000523C3" w:rsidRDefault="000523C3" w:rsidP="009F7516">
      <w:pPr>
        <w:spacing w:after="0" w:line="240" w:lineRule="auto"/>
        <w:jc w:val="both"/>
        <w:rPr>
          <w:rFonts w:ascii="Verdana" w:eastAsia="Geomanist Light" w:hAnsi="Verdana" w:cs="Arial"/>
        </w:rPr>
      </w:pPr>
    </w:p>
    <w:p w14:paraId="6BA94AAD" w14:textId="77777777" w:rsidR="000523C3" w:rsidRDefault="000523C3" w:rsidP="009F7516">
      <w:pPr>
        <w:spacing w:after="0" w:line="240" w:lineRule="auto"/>
        <w:jc w:val="both"/>
        <w:rPr>
          <w:rFonts w:ascii="Verdana" w:eastAsia="Geomanist Light" w:hAnsi="Verdana" w:cs="Arial"/>
        </w:rPr>
      </w:pPr>
    </w:p>
    <w:p w14:paraId="7769FFEE" w14:textId="77777777" w:rsidR="000523C3" w:rsidRDefault="000523C3" w:rsidP="009F7516">
      <w:pPr>
        <w:spacing w:after="0" w:line="240" w:lineRule="auto"/>
        <w:jc w:val="both"/>
        <w:rPr>
          <w:rFonts w:ascii="Verdana" w:eastAsia="Geomanist Light" w:hAnsi="Verdana" w:cs="Arial"/>
        </w:rPr>
      </w:pPr>
    </w:p>
    <w:p w14:paraId="06C9ABC9" w14:textId="1B65EBE4" w:rsidR="009F7516" w:rsidRPr="008557D1" w:rsidRDefault="009F7516" w:rsidP="009F7516">
      <w:pPr>
        <w:spacing w:after="0" w:line="240" w:lineRule="auto"/>
        <w:jc w:val="both"/>
        <w:rPr>
          <w:rFonts w:ascii="Verdana" w:eastAsia="Calibri" w:hAnsi="Verdana" w:cs="Arial"/>
          <w:lang w:val="es-ES"/>
        </w:rPr>
      </w:pPr>
      <w:r w:rsidRPr="008557D1">
        <w:rPr>
          <w:rFonts w:ascii="Verdana" w:eastAsia="Geomanist Light" w:hAnsi="Verdana" w:cs="Arial"/>
        </w:rPr>
        <w:lastRenderedPageBreak/>
        <w:t xml:space="preserve">Bogotá D.C., </w:t>
      </w:r>
      <w:r w:rsidR="000523C3">
        <w:rPr>
          <w:rFonts w:ascii="Verdana" w:eastAsia="Geomanist Light" w:hAnsi="Verdana" w:cs="Arial"/>
        </w:rPr>
        <w:t>7</w:t>
      </w:r>
      <w:r w:rsidRPr="008557D1">
        <w:rPr>
          <w:rFonts w:ascii="Verdana" w:eastAsia="Geomanist Light" w:hAnsi="Verdana" w:cs="Arial"/>
        </w:rPr>
        <w:t xml:space="preserve"> </w:t>
      </w:r>
      <w:r w:rsidR="000405B1">
        <w:rPr>
          <w:rFonts w:ascii="Verdana" w:eastAsia="Geomanist Light" w:hAnsi="Verdana" w:cs="Arial"/>
        </w:rPr>
        <w:t>de mayo</w:t>
      </w:r>
      <w:r w:rsidRPr="008557D1">
        <w:rPr>
          <w:rFonts w:ascii="Verdana" w:eastAsia="Geomanist Light" w:hAnsi="Verdana" w:cs="Arial"/>
        </w:rPr>
        <w:t xml:space="preserve"> de 2025</w:t>
      </w:r>
    </w:p>
    <w:p w14:paraId="1F1A81B6" w14:textId="77777777" w:rsidR="009F7516" w:rsidRPr="008557D1" w:rsidRDefault="009F7516" w:rsidP="009F7516">
      <w:pPr>
        <w:spacing w:after="0" w:line="240" w:lineRule="auto"/>
        <w:jc w:val="both"/>
        <w:rPr>
          <w:rFonts w:ascii="Verdana" w:eastAsia="Calibri" w:hAnsi="Verdana" w:cs="Arial"/>
          <w:lang w:val="es-ES" w:eastAsia="es-ES"/>
        </w:rPr>
      </w:pPr>
    </w:p>
    <w:p w14:paraId="56EEE355" w14:textId="701D7C71" w:rsidR="009F7516" w:rsidRPr="008557D1" w:rsidRDefault="000523C3" w:rsidP="009F7516">
      <w:pPr>
        <w:spacing w:after="0" w:line="240" w:lineRule="auto"/>
        <w:jc w:val="both"/>
        <w:rPr>
          <w:rFonts w:ascii="Verdana" w:eastAsia="Calibri" w:hAnsi="Verdana" w:cs="Arial"/>
          <w:lang w:val="es-ES" w:eastAsia="es-ES"/>
        </w:rPr>
      </w:pPr>
      <w:r w:rsidRPr="00293DE1">
        <w:rPr>
          <w:rFonts w:ascii="Verdana" w:eastAsia="Calibri" w:hAnsi="Verdana" w:cs="Arial"/>
          <w:b/>
          <w:noProof/>
          <w:lang w:val="es-ES_tradnl" w:eastAsia="es-ES_tradnl"/>
        </w:rPr>
        <w:drawing>
          <wp:anchor distT="0" distB="0" distL="114300" distR="114300" simplePos="0" relativeHeight="251658240" behindDoc="1" locked="0" layoutInCell="1" allowOverlap="1" wp14:anchorId="588EB44E" wp14:editId="33D48565">
            <wp:simplePos x="0" y="0"/>
            <wp:positionH relativeFrom="margin">
              <wp:posOffset>2648585</wp:posOffset>
            </wp:positionH>
            <wp:positionV relativeFrom="paragraph">
              <wp:posOffset>8890</wp:posOffset>
            </wp:positionV>
            <wp:extent cx="2956560" cy="866140"/>
            <wp:effectExtent l="0" t="0" r="0" b="0"/>
            <wp:wrapSquare wrapText="bothSides"/>
            <wp:docPr id="113750702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07028"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956560" cy="866140"/>
                    </a:xfrm>
                    <a:prstGeom prst="rect">
                      <a:avLst/>
                    </a:prstGeom>
                  </pic:spPr>
                </pic:pic>
              </a:graphicData>
            </a:graphic>
            <wp14:sizeRelH relativeFrom="page">
              <wp14:pctWidth>0</wp14:pctWidth>
            </wp14:sizeRelH>
            <wp14:sizeRelV relativeFrom="page">
              <wp14:pctHeight>0</wp14:pctHeight>
            </wp14:sizeRelV>
          </wp:anchor>
        </w:drawing>
      </w:r>
    </w:p>
    <w:p w14:paraId="259417E9" w14:textId="3EFE0FD7" w:rsidR="009F7516" w:rsidRPr="008557D1" w:rsidRDefault="009F7516" w:rsidP="009F7516">
      <w:pPr>
        <w:spacing w:after="0" w:line="240" w:lineRule="auto"/>
        <w:jc w:val="both"/>
        <w:rPr>
          <w:rFonts w:ascii="Verdana" w:eastAsia="Calibri" w:hAnsi="Verdana" w:cs="Arial"/>
          <w:lang w:val="es-ES" w:eastAsia="es-ES"/>
        </w:rPr>
      </w:pPr>
      <w:r w:rsidRPr="008557D1">
        <w:rPr>
          <w:rFonts w:ascii="Verdana" w:eastAsia="Calibri" w:hAnsi="Verdana" w:cs="Arial"/>
          <w:lang w:val="es-ES" w:eastAsia="es-ES"/>
        </w:rPr>
        <w:t>Señor</w:t>
      </w:r>
    </w:p>
    <w:p w14:paraId="3D660BEE" w14:textId="577CF706" w:rsidR="009F7516" w:rsidRPr="008557D1" w:rsidRDefault="009F7516" w:rsidP="009F7516">
      <w:pPr>
        <w:spacing w:after="0" w:line="240" w:lineRule="auto"/>
        <w:rPr>
          <w:rFonts w:ascii="Verdana" w:eastAsia="Calibri" w:hAnsi="Verdana" w:cs="Arial"/>
          <w:b/>
          <w:lang w:val="es-ES_tradnl" w:eastAsia="es-ES_tradnl"/>
        </w:rPr>
      </w:pPr>
      <w:r w:rsidRPr="008557D1">
        <w:rPr>
          <w:rFonts w:ascii="Verdana" w:eastAsia="Calibri" w:hAnsi="Verdana" w:cs="Arial"/>
          <w:b/>
          <w:lang w:val="es-ES_tradnl" w:eastAsia="es-ES_tradnl"/>
        </w:rPr>
        <w:t xml:space="preserve">Santiago Melo García   </w:t>
      </w:r>
    </w:p>
    <w:p w14:paraId="0EE46B7A" w14:textId="17638EF9" w:rsidR="009F7516" w:rsidRPr="008557D1" w:rsidRDefault="009F7516" w:rsidP="009F7516">
      <w:pPr>
        <w:spacing w:after="0" w:line="240" w:lineRule="auto"/>
        <w:rPr>
          <w:rFonts w:ascii="Verdana" w:eastAsia="Calibri" w:hAnsi="Verdana" w:cs="Arial"/>
          <w:u w:val="single"/>
          <w:lang w:val="es-ES" w:eastAsia="es-ES"/>
        </w:rPr>
      </w:pPr>
      <w:r w:rsidRPr="008557D1">
        <w:rPr>
          <w:rFonts w:ascii="Verdana" w:eastAsia="Calibri" w:hAnsi="Verdana" w:cs="Arial"/>
          <w:lang w:val="es-ES" w:eastAsia="es-ES"/>
        </w:rPr>
        <w:t>Samega_93@hotmail.com</w:t>
      </w:r>
      <w:r w:rsidRPr="008557D1">
        <w:rPr>
          <w:rFonts w:ascii="Verdana" w:eastAsia="Calibri" w:hAnsi="Verdana" w:cs="Arial"/>
          <w:u w:val="single"/>
          <w:lang w:val="es-ES" w:eastAsia="es-ES"/>
        </w:rPr>
        <w:t xml:space="preserve"> </w:t>
      </w:r>
    </w:p>
    <w:p w14:paraId="6BFBDBC5" w14:textId="5A5867FC" w:rsidR="009F7516" w:rsidRPr="008557D1" w:rsidRDefault="009F7516" w:rsidP="009F7516">
      <w:pPr>
        <w:spacing w:after="0" w:line="240" w:lineRule="auto"/>
        <w:rPr>
          <w:rFonts w:ascii="Verdana" w:eastAsia="Calibri" w:hAnsi="Verdana" w:cs="Arial"/>
          <w:b/>
          <w:bCs/>
          <w:lang w:val="es-ES" w:eastAsia="es-ES"/>
        </w:rPr>
      </w:pPr>
      <w:r w:rsidRPr="008557D1">
        <w:rPr>
          <w:rFonts w:ascii="Verdana" w:eastAsia="Calibri" w:hAnsi="Verdana" w:cs="Arial"/>
          <w:lang w:val="es-ES" w:eastAsia="es-ES"/>
        </w:rPr>
        <w:t>Bogotá, Cundinamarca</w:t>
      </w:r>
    </w:p>
    <w:p w14:paraId="382AF41A" w14:textId="57747AF1" w:rsidR="009F7516" w:rsidRPr="008557D1" w:rsidRDefault="009F7516" w:rsidP="009F7516">
      <w:pPr>
        <w:spacing w:after="0" w:line="240" w:lineRule="auto"/>
        <w:rPr>
          <w:rFonts w:ascii="Verdana" w:eastAsia="Calibri" w:hAnsi="Verdana" w:cs="Arial"/>
          <w:b/>
          <w:bCs/>
          <w:lang w:val="es-ES_tradnl" w:eastAsia="es-ES_tradnl"/>
        </w:rPr>
      </w:pPr>
    </w:p>
    <w:p w14:paraId="62E353B3" w14:textId="2D3445F2" w:rsidR="009F7516" w:rsidRPr="008557D1" w:rsidRDefault="009F7516" w:rsidP="009F751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F7516" w:rsidRPr="008557D1" w14:paraId="5BDBBF8B" w14:textId="77777777" w:rsidTr="009F7516">
        <w:trPr>
          <w:trHeight w:val="204"/>
        </w:trPr>
        <w:tc>
          <w:tcPr>
            <w:tcW w:w="2689" w:type="dxa"/>
          </w:tcPr>
          <w:p w14:paraId="460ED417" w14:textId="77777777" w:rsidR="009F7516" w:rsidRPr="008557D1" w:rsidRDefault="009F7516" w:rsidP="009F7516">
            <w:pPr>
              <w:jc w:val="both"/>
              <w:rPr>
                <w:rFonts w:ascii="Verdana" w:eastAsia="Calibri" w:hAnsi="Verdana" w:cs="Arial"/>
                <w:b/>
                <w:bCs/>
                <w:lang w:val="es-ES_tradnl" w:eastAsia="es-ES_tradnl"/>
              </w:rPr>
            </w:pPr>
          </w:p>
        </w:tc>
        <w:tc>
          <w:tcPr>
            <w:tcW w:w="6100" w:type="dxa"/>
          </w:tcPr>
          <w:p w14:paraId="41EB5CEF" w14:textId="1F22FAA0" w:rsidR="009F7516" w:rsidRPr="008557D1" w:rsidRDefault="009F7516" w:rsidP="009F7516">
            <w:pPr>
              <w:jc w:val="both"/>
              <w:rPr>
                <w:rFonts w:ascii="Verdana" w:eastAsia="Calibri" w:hAnsi="Verdana" w:cs="Arial"/>
                <w:b/>
                <w:bCs/>
                <w:lang w:val="es-ES" w:eastAsia="es-ES"/>
              </w:rPr>
            </w:pPr>
            <w:r w:rsidRPr="008557D1">
              <w:rPr>
                <w:rFonts w:ascii="Verdana" w:eastAsia="Calibri" w:hAnsi="Verdana" w:cs="Arial"/>
                <w:b/>
                <w:bCs/>
                <w:lang w:val="es-ES" w:eastAsia="es-ES"/>
              </w:rPr>
              <w:t>Concepto C-400 de 2025</w:t>
            </w:r>
          </w:p>
          <w:p w14:paraId="7D5909D9" w14:textId="77777777" w:rsidR="009F7516" w:rsidRPr="008557D1" w:rsidRDefault="009F7516" w:rsidP="009F7516">
            <w:pPr>
              <w:jc w:val="both"/>
              <w:rPr>
                <w:rFonts w:ascii="Verdana" w:eastAsia="Calibri" w:hAnsi="Verdana" w:cs="Arial"/>
                <w:b/>
                <w:bCs/>
                <w:lang w:val="es-ES" w:eastAsia="es-ES"/>
              </w:rPr>
            </w:pPr>
          </w:p>
        </w:tc>
      </w:tr>
      <w:tr w:rsidR="009F7516" w:rsidRPr="008557D1" w14:paraId="0E046798" w14:textId="77777777" w:rsidTr="009F7516">
        <w:trPr>
          <w:trHeight w:val="884"/>
        </w:trPr>
        <w:tc>
          <w:tcPr>
            <w:tcW w:w="2689" w:type="dxa"/>
          </w:tcPr>
          <w:p w14:paraId="18501F20" w14:textId="77777777" w:rsidR="009F7516" w:rsidRPr="008557D1" w:rsidRDefault="009F7516" w:rsidP="009F7516">
            <w:pPr>
              <w:jc w:val="both"/>
              <w:rPr>
                <w:rFonts w:ascii="Verdana" w:eastAsia="Calibri" w:hAnsi="Verdana" w:cs="Arial"/>
                <w:lang w:val="es-ES_tradnl" w:eastAsia="es-ES_tradnl"/>
              </w:rPr>
            </w:pPr>
            <w:r w:rsidRPr="008557D1">
              <w:rPr>
                <w:rFonts w:ascii="Verdana" w:eastAsia="Calibri" w:hAnsi="Verdana" w:cs="Arial"/>
                <w:b/>
                <w:lang w:val="es-ES_tradnl" w:eastAsia="es-ES_tradnl"/>
              </w:rPr>
              <w:t>Temas:</w:t>
            </w:r>
            <w:r w:rsidRPr="008557D1">
              <w:rPr>
                <w:rFonts w:ascii="Verdana" w:eastAsia="Calibri" w:hAnsi="Verdana" w:cs="Arial"/>
                <w:lang w:val="es-ES_tradnl" w:eastAsia="es-ES_tradnl"/>
              </w:rPr>
              <w:t xml:space="preserve">                   </w:t>
            </w:r>
          </w:p>
        </w:tc>
        <w:tc>
          <w:tcPr>
            <w:tcW w:w="6100" w:type="dxa"/>
          </w:tcPr>
          <w:p w14:paraId="6944C347" w14:textId="26EAF76E" w:rsidR="009F7516" w:rsidRPr="000523C3" w:rsidRDefault="009F7516" w:rsidP="009F7516">
            <w:pPr>
              <w:jc w:val="both"/>
              <w:rPr>
                <w:rFonts w:ascii="Verdana" w:eastAsia="Calibri" w:hAnsi="Verdana" w:cs="Arial"/>
                <w:color w:val="000000"/>
                <w:kern w:val="2"/>
                <w14:ligatures w14:val="standardContextual"/>
              </w:rPr>
            </w:pPr>
            <w:r w:rsidRPr="008557D1">
              <w:rPr>
                <w:rFonts w:ascii="Verdana" w:eastAsia="Calibri" w:hAnsi="Verdana" w:cs="Arial"/>
                <w:color w:val="000000"/>
                <w:kern w:val="2"/>
                <w14:ligatures w14:val="standardContextual"/>
              </w:rPr>
              <w:t>INHABILIDADES E INCOMPATIBILIDADES – Concepto – Principio de legalidad – Interpretación restrictiva / CONFLICTOS DE INTERES – Verificación de cada caso en concreto</w:t>
            </w:r>
          </w:p>
        </w:tc>
      </w:tr>
      <w:tr w:rsidR="009F7516" w:rsidRPr="008557D1" w14:paraId="1A52B611" w14:textId="77777777" w:rsidTr="009F7516">
        <w:tc>
          <w:tcPr>
            <w:tcW w:w="2689" w:type="dxa"/>
          </w:tcPr>
          <w:p w14:paraId="5A06DBCD" w14:textId="77777777" w:rsidR="009F7516" w:rsidRPr="008557D1" w:rsidRDefault="009F7516" w:rsidP="009F7516">
            <w:pPr>
              <w:jc w:val="both"/>
              <w:rPr>
                <w:rFonts w:ascii="Verdana" w:eastAsia="Calibri" w:hAnsi="Verdana" w:cs="Arial"/>
                <w:b/>
                <w:lang w:val="es-ES_tradnl" w:eastAsia="es-ES_tradnl"/>
              </w:rPr>
            </w:pPr>
            <w:r w:rsidRPr="008557D1">
              <w:rPr>
                <w:rFonts w:ascii="Verdana" w:eastAsia="Calibri" w:hAnsi="Verdana" w:cs="Arial"/>
                <w:b/>
                <w:lang w:val="es-ES_tradnl" w:eastAsia="es-ES_tradnl"/>
              </w:rPr>
              <w:t>Radicación:</w:t>
            </w:r>
            <w:r w:rsidRPr="008557D1">
              <w:rPr>
                <w:rFonts w:ascii="Verdana" w:eastAsia="Calibri" w:hAnsi="Verdana" w:cs="Arial"/>
                <w:lang w:val="es-ES_tradnl" w:eastAsia="es-ES_tradnl"/>
              </w:rPr>
              <w:t xml:space="preserve">               </w:t>
            </w:r>
          </w:p>
        </w:tc>
        <w:tc>
          <w:tcPr>
            <w:tcW w:w="6100" w:type="dxa"/>
          </w:tcPr>
          <w:p w14:paraId="542B4068" w14:textId="77777777" w:rsidR="009F7516" w:rsidRPr="008557D1" w:rsidRDefault="009F7516" w:rsidP="009F7516">
            <w:pPr>
              <w:jc w:val="both"/>
              <w:rPr>
                <w:rFonts w:ascii="Verdana" w:eastAsia="Calibri" w:hAnsi="Verdana" w:cs="Arial"/>
                <w:lang w:val="es-ES_tradnl" w:eastAsia="es-ES_tradnl"/>
              </w:rPr>
            </w:pPr>
            <w:r w:rsidRPr="008557D1">
              <w:rPr>
                <w:rFonts w:ascii="Verdana" w:eastAsia="Calibri" w:hAnsi="Verdana" w:cs="Arial"/>
                <w:lang w:val="es-ES_tradnl" w:eastAsia="es-ES_tradnl"/>
              </w:rPr>
              <w:t xml:space="preserve">Respuesta a consulta con radicado No. </w:t>
            </w:r>
            <w:r w:rsidRPr="008557D1">
              <w:rPr>
                <w:rFonts w:ascii="Verdana" w:eastAsia="Calibri" w:hAnsi="Verdana" w:cs="Arial"/>
                <w:lang w:eastAsia="es-ES_tradnl"/>
              </w:rPr>
              <w:t>P20250402003134</w:t>
            </w:r>
          </w:p>
        </w:tc>
      </w:tr>
    </w:tbl>
    <w:p w14:paraId="721F6D4F" w14:textId="77777777" w:rsidR="009F7516" w:rsidRPr="008557D1" w:rsidRDefault="009F7516" w:rsidP="009F7516">
      <w:pPr>
        <w:spacing w:after="0" w:line="240" w:lineRule="auto"/>
        <w:jc w:val="both"/>
        <w:rPr>
          <w:rFonts w:ascii="Verdana" w:eastAsia="Calibri" w:hAnsi="Verdana" w:cs="Arial"/>
          <w:lang w:val="es-ES_tradnl" w:eastAsia="es-ES_tradnl"/>
        </w:rPr>
      </w:pPr>
    </w:p>
    <w:p w14:paraId="3AB16650" w14:textId="77777777" w:rsidR="009F7516" w:rsidRPr="008557D1" w:rsidRDefault="009F7516" w:rsidP="009F7516">
      <w:pPr>
        <w:spacing w:after="0" w:line="240" w:lineRule="auto"/>
        <w:jc w:val="both"/>
        <w:rPr>
          <w:rFonts w:ascii="Verdana" w:eastAsia="Calibri" w:hAnsi="Verdana" w:cs="Arial"/>
          <w:lang w:val="es-ES_tradnl" w:eastAsia="es-ES_tradnl"/>
        </w:rPr>
      </w:pPr>
    </w:p>
    <w:p w14:paraId="42AED338" w14:textId="77777777" w:rsidR="009F7516" w:rsidRPr="008557D1" w:rsidRDefault="009F7516" w:rsidP="009F7516">
      <w:pPr>
        <w:spacing w:after="0" w:line="276" w:lineRule="auto"/>
        <w:jc w:val="both"/>
        <w:rPr>
          <w:rFonts w:ascii="Verdana" w:eastAsia="Calibri" w:hAnsi="Verdana" w:cs="Arial"/>
          <w:lang w:val="es-ES" w:eastAsia="es-ES"/>
        </w:rPr>
      </w:pPr>
      <w:r w:rsidRPr="008557D1">
        <w:rPr>
          <w:rFonts w:ascii="Verdana" w:eastAsia="Calibri" w:hAnsi="Verdana" w:cs="Arial"/>
          <w:lang w:val="es-ES" w:eastAsia="es-ES"/>
        </w:rPr>
        <w:t xml:space="preserve">Estimado señor Melo: </w:t>
      </w:r>
    </w:p>
    <w:p w14:paraId="47E9E21C" w14:textId="77777777" w:rsidR="009F7516" w:rsidRPr="008557D1" w:rsidRDefault="009F7516" w:rsidP="009F7516">
      <w:pPr>
        <w:tabs>
          <w:tab w:val="left" w:pos="3768"/>
        </w:tabs>
        <w:spacing w:after="0" w:line="276" w:lineRule="auto"/>
        <w:jc w:val="both"/>
        <w:rPr>
          <w:rFonts w:ascii="Verdana" w:eastAsia="Calibri" w:hAnsi="Verdana" w:cs="Arial"/>
          <w:lang w:val="es-ES" w:eastAsia="es-ES"/>
        </w:rPr>
      </w:pPr>
      <w:r w:rsidRPr="008557D1">
        <w:rPr>
          <w:rFonts w:ascii="Verdana" w:eastAsia="Calibri" w:hAnsi="Verdana" w:cs="Arial"/>
          <w:lang w:val="es-ES" w:eastAsia="es-ES"/>
        </w:rPr>
        <w:tab/>
      </w:r>
    </w:p>
    <w:p w14:paraId="7294330C" w14:textId="513D1332" w:rsidR="009F7516" w:rsidRPr="008557D1" w:rsidRDefault="009F7516" w:rsidP="009F7516">
      <w:pPr>
        <w:spacing w:after="0" w:line="276" w:lineRule="auto"/>
        <w:jc w:val="both"/>
        <w:rPr>
          <w:rFonts w:ascii="Verdana" w:eastAsia="Calibri" w:hAnsi="Verdana" w:cs="Arial"/>
          <w:lang w:val="es-ES" w:eastAsia="es-ES"/>
        </w:rPr>
      </w:pPr>
      <w:r w:rsidRPr="008557D1">
        <w:rPr>
          <w:rFonts w:ascii="Verdana" w:eastAsia="Calibri" w:hAnsi="Verdana" w:cs="Arial"/>
          <w:lang w:val="es-ES" w:eastAsia="es-ES"/>
        </w:rPr>
        <w:t xml:space="preserve">En ejercicio de la competencia otorgada por los </w:t>
      </w:r>
      <w:bookmarkStart w:id="1" w:name="_Hlk197333154"/>
      <w:r w:rsidRPr="008557D1">
        <w:rPr>
          <w:rFonts w:ascii="Verdana" w:eastAsia="Calibri" w:hAnsi="Verdana" w:cs="Arial"/>
          <w:lang w:val="es-ES" w:eastAsia="es-ES"/>
        </w:rPr>
        <w:t>artículos 3, numeral 5º, y 11, numeral 8º</w:t>
      </w:r>
      <w:bookmarkEnd w:id="1"/>
      <w:r w:rsidRPr="008557D1">
        <w:rPr>
          <w:rFonts w:ascii="Verdana" w:eastAsia="Calibri" w:hAnsi="Verdana" w:cs="Arial"/>
          <w:lang w:val="es-ES" w:eastAsia="es-ES"/>
        </w:rPr>
        <w:t xml:space="preserve">, del Decreto </w:t>
      </w:r>
      <w:bookmarkStart w:id="2" w:name="_Hlk197333145"/>
      <w:r w:rsidRPr="008557D1">
        <w:rPr>
          <w:rFonts w:ascii="Verdana" w:eastAsia="Calibri" w:hAnsi="Verdana" w:cs="Arial"/>
          <w:lang w:val="es-ES" w:eastAsia="es-ES"/>
        </w:rPr>
        <w:t>Ley 4170 de 2011</w:t>
      </w:r>
      <w:bookmarkEnd w:id="2"/>
      <w:r w:rsidRPr="008557D1">
        <w:rPr>
          <w:rFonts w:ascii="Verdana" w:eastAsia="Calibri" w:hAnsi="Verdana" w:cs="Arial"/>
          <w:lang w:val="es-ES" w:eastAsia="es-ES"/>
        </w:rPr>
        <w:t>,</w:t>
      </w:r>
      <w:r w:rsidRPr="008557D1">
        <w:rPr>
          <w:rFonts w:ascii="Verdana" w:eastAsia="Arial MT" w:hAnsi="Verdana" w:cs="Arial MT"/>
          <w:lang w:val="es-ES" w:eastAsia="es-ES"/>
        </w:rPr>
        <w:t xml:space="preserve"> </w:t>
      </w:r>
      <w:r w:rsidRPr="008557D1">
        <w:rPr>
          <w:rFonts w:ascii="Verdana" w:hAnsi="Verdana" w:cs="Arial"/>
        </w:rPr>
        <w:t xml:space="preserve">así como lo establecido en el artículo 4 de la Resolución 1707 de 2018 expedida por esta Entidad, </w:t>
      </w:r>
      <w:r w:rsidRPr="008557D1">
        <w:rPr>
          <w:rFonts w:ascii="Verdana" w:eastAsia="Calibri" w:hAnsi="Verdana" w:cs="Arial"/>
          <w:lang w:val="es-ES" w:eastAsia="es-ES"/>
        </w:rPr>
        <w:t xml:space="preserve">la Agencia Nacional de Contratación Pública – Colombia Compra Eficiente– responde su solicitud de consulta de fecha </w:t>
      </w:r>
      <w:r w:rsidR="00BB5667" w:rsidRPr="008557D1">
        <w:rPr>
          <w:rFonts w:ascii="Verdana" w:eastAsia="Calibri" w:hAnsi="Verdana" w:cs="Arial"/>
          <w:lang w:val="es-ES" w:eastAsia="es-ES"/>
        </w:rPr>
        <w:t>2 de abril</w:t>
      </w:r>
      <w:r w:rsidRPr="008557D1">
        <w:rPr>
          <w:rFonts w:ascii="Verdana" w:eastAsia="Calibri" w:hAnsi="Verdana" w:cs="Arial"/>
          <w:lang w:val="es-ES" w:eastAsia="es-ES"/>
        </w:rPr>
        <w:t xml:space="preserve"> de 2025, en la cual manifiesta lo siguiente: </w:t>
      </w:r>
    </w:p>
    <w:p w14:paraId="3A773C42" w14:textId="77777777" w:rsidR="009F7516" w:rsidRPr="008557D1" w:rsidRDefault="009F7516" w:rsidP="009F751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B4F9535" w14:textId="77777777" w:rsidR="009F7516" w:rsidRPr="008557D1" w:rsidRDefault="009F7516" w:rsidP="009F7516">
      <w:pPr>
        <w:spacing w:after="0" w:line="240" w:lineRule="auto"/>
        <w:ind w:left="709" w:right="709"/>
        <w:jc w:val="both"/>
        <w:rPr>
          <w:rFonts w:ascii="Verdana" w:eastAsia="Century Gothic" w:hAnsi="Verdana" w:cs="Century Gothic"/>
          <w:sz w:val="20"/>
          <w:szCs w:val="20"/>
          <w:lang w:val="es-ES"/>
        </w:rPr>
      </w:pPr>
      <w:bookmarkStart w:id="3" w:name="_Hlk95313578"/>
      <w:r w:rsidRPr="008557D1">
        <w:rPr>
          <w:rFonts w:ascii="Verdana" w:eastAsia="Century Gothic" w:hAnsi="Verdana" w:cs="Century Gothic"/>
          <w:sz w:val="20"/>
          <w:szCs w:val="20"/>
          <w:lang w:val="es-ES"/>
        </w:rPr>
        <w:t>“</w:t>
      </w:r>
      <w:r w:rsidRPr="008557D1">
        <w:rPr>
          <w:rFonts w:ascii="Verdana" w:eastAsia="Century Gothic" w:hAnsi="Verdana" w:cs="Century Gothic"/>
          <w:sz w:val="20"/>
          <w:szCs w:val="20"/>
        </w:rPr>
        <w:t>En ejercicio dela competencia otorgada por el Decreto Ley 4170 de 2011 y 1822 de 2019, así como lo establecido en el artículo 4 de la resolución 1707 de 2018 expedida por esta Agencia, respetuosamente solicito concepto jurídico frente al siguiente tema: Si una persona jurídica, de manera voluntaria realiza una donación, sea en dinero o en especie, a una entidad sin ánimo de lucro legalmente constituida, de tipo asociación en la que su presidente de Junta Directiva tiene vínculo conyugal con un alcalde de un municipio. ¿podría la persona jurídica donante participar en un futuro en un proceso de contratación estatal con el municipio cuyo alcalde es esposo de la presidente de dicha ESAL donataria o se generaría alguna inhabilidad para su participación?</w:t>
      </w:r>
      <w:r w:rsidRPr="008557D1">
        <w:rPr>
          <w:rFonts w:ascii="Verdana" w:eastAsia="Century Gothic" w:hAnsi="Verdana" w:cs="Century Gothic"/>
          <w:sz w:val="20"/>
          <w:szCs w:val="20"/>
          <w:lang w:val="es-ES"/>
        </w:rPr>
        <w:t xml:space="preserve"> </w:t>
      </w:r>
      <w:r w:rsidRPr="008557D1">
        <w:rPr>
          <w:rStyle w:val="normaltextrun"/>
          <w:rFonts w:ascii="Verdana" w:hAnsi="Verdana" w:cs="Arial"/>
          <w:sz w:val="20"/>
          <w:szCs w:val="20"/>
          <w:shd w:val="clear" w:color="auto" w:fill="FFFFFF"/>
          <w:lang w:val="es-ES"/>
        </w:rPr>
        <w:t>[…]</w:t>
      </w:r>
      <w:r w:rsidRPr="008557D1">
        <w:rPr>
          <w:rFonts w:ascii="Verdana" w:eastAsia="Century Gothic" w:hAnsi="Verdana" w:cs="Century Gothic"/>
          <w:sz w:val="20"/>
          <w:szCs w:val="20"/>
          <w:lang w:val="es-ES"/>
        </w:rPr>
        <w:t>”</w:t>
      </w:r>
      <w:bookmarkEnd w:id="3"/>
      <w:r w:rsidRPr="008557D1">
        <w:rPr>
          <w:rFonts w:ascii="Verdana" w:eastAsia="Century Gothic" w:hAnsi="Verdana" w:cs="Century Gothic"/>
          <w:sz w:val="20"/>
          <w:szCs w:val="20"/>
          <w:lang w:val="es-ES"/>
        </w:rPr>
        <w:t>.</w:t>
      </w:r>
    </w:p>
    <w:p w14:paraId="071BD4F2" w14:textId="77777777" w:rsidR="009F7516" w:rsidRPr="008557D1" w:rsidRDefault="009F7516" w:rsidP="009F751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1C4EE5A" w14:textId="77777777" w:rsidR="009F7516" w:rsidRPr="008557D1" w:rsidRDefault="009F7516" w:rsidP="009F7516">
      <w:pPr>
        <w:spacing w:after="120" w:line="276" w:lineRule="auto"/>
        <w:ind w:firstLine="709"/>
        <w:jc w:val="both"/>
        <w:rPr>
          <w:rFonts w:ascii="Verdana" w:eastAsia="Calibri" w:hAnsi="Verdana" w:cs="Arial"/>
          <w:szCs w:val="24"/>
          <w:lang w:val="es-ES_tradnl" w:eastAsia="es-ES_tradnl"/>
        </w:rPr>
      </w:pPr>
      <w:r w:rsidRPr="008557D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8557D1">
        <w:rPr>
          <w:rFonts w:ascii="Verdana" w:eastAsia="Calibri" w:hAnsi="Verdana" w:cs="Arial"/>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557D1">
        <w:rPr>
          <w:rFonts w:ascii="Verdana" w:eastAsia="Calibri" w:hAnsi="Verdana" w:cs="Arial"/>
          <w:szCs w:val="24"/>
          <w:lang w:val="es-ES_tradnl" w:eastAsia="es-ES_tradnl"/>
        </w:rPr>
        <w:tab/>
      </w:r>
    </w:p>
    <w:p w14:paraId="0AF8D382" w14:textId="77777777" w:rsidR="009F7516" w:rsidRPr="008557D1" w:rsidRDefault="009F7516" w:rsidP="009F7516">
      <w:pPr>
        <w:spacing w:after="0" w:line="276" w:lineRule="auto"/>
        <w:ind w:firstLine="709"/>
        <w:jc w:val="both"/>
        <w:rPr>
          <w:rFonts w:ascii="Verdana" w:eastAsia="Calibri" w:hAnsi="Verdana" w:cs="Arial"/>
          <w:lang w:val="es-ES" w:eastAsia="es-ES"/>
        </w:rPr>
      </w:pPr>
      <w:r w:rsidRPr="008557D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06D6C96B" w14:textId="77777777" w:rsidR="009F7516" w:rsidRPr="008557D1" w:rsidRDefault="009F7516" w:rsidP="005F6E54">
      <w:pPr>
        <w:spacing w:after="0" w:line="276" w:lineRule="auto"/>
        <w:ind w:firstLine="709"/>
        <w:jc w:val="both"/>
        <w:rPr>
          <w:rFonts w:ascii="Verdana" w:eastAsia="Calibri" w:hAnsi="Verdana" w:cs="Arial"/>
          <w:lang w:val="es-ES" w:eastAsia="es-ES"/>
        </w:rPr>
      </w:pPr>
    </w:p>
    <w:p w14:paraId="78F9C145" w14:textId="77777777" w:rsidR="009F7516" w:rsidRPr="008557D1" w:rsidRDefault="009F7516" w:rsidP="005F6E5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57D1">
        <w:rPr>
          <w:rFonts w:ascii="Verdana" w:eastAsia="Century Gothic" w:hAnsi="Verdana" w:cs="Century Gothic"/>
          <w:b/>
          <w:bCs/>
        </w:rPr>
        <w:t>Problema planteado:</w:t>
      </w:r>
    </w:p>
    <w:p w14:paraId="20786523" w14:textId="77777777" w:rsidR="009F7516" w:rsidRPr="008557D1" w:rsidRDefault="009F7516" w:rsidP="005F6E54">
      <w:pPr>
        <w:tabs>
          <w:tab w:val="left" w:pos="426"/>
        </w:tabs>
        <w:spacing w:after="0" w:line="276" w:lineRule="auto"/>
        <w:jc w:val="both"/>
        <w:rPr>
          <w:rFonts w:ascii="Verdana" w:eastAsia="Century Gothic" w:hAnsi="Verdana" w:cs="Century Gothic"/>
          <w:lang w:val="es-ES"/>
        </w:rPr>
      </w:pPr>
    </w:p>
    <w:p w14:paraId="45CCA6F0" w14:textId="2F164A05" w:rsidR="009F7516" w:rsidRPr="008557D1" w:rsidRDefault="009F7516" w:rsidP="00896343">
      <w:pPr>
        <w:spacing w:after="0" w:line="276" w:lineRule="auto"/>
        <w:jc w:val="both"/>
        <w:rPr>
          <w:rFonts w:ascii="Verdana" w:eastAsia="Century Gothic" w:hAnsi="Verdana" w:cs="Century Gothic"/>
        </w:rPr>
      </w:pPr>
      <w:r w:rsidRPr="008557D1">
        <w:rPr>
          <w:rFonts w:ascii="Verdana" w:eastAsia="Century Gothic" w:hAnsi="Verdana" w:cs="Century Gothic"/>
        </w:rPr>
        <w:t>De acuerdo con el contenido de su solicitud, esta Agencia resolverá el siguiente problema jurídico: ¿Constituye causal de inhabilidad para contratar con una entidad territorial el hecho de que una persona jurídica, de manera voluntaria, haya realizado una donación (en dinero o en especie) a una entidad sin ánimo de lucro —tipo asociación— cuyo representante legal o presidente de la junta directiva tiene vínculo conyugal con el alcalde del municipio con el que posteriormente se pretende contratar?</w:t>
      </w:r>
    </w:p>
    <w:p w14:paraId="572D1A01" w14:textId="77777777" w:rsidR="009F7516" w:rsidRPr="008557D1" w:rsidRDefault="009F7516" w:rsidP="005F6E54">
      <w:pPr>
        <w:spacing w:after="0" w:line="276" w:lineRule="auto"/>
        <w:jc w:val="both"/>
        <w:rPr>
          <w:rFonts w:ascii="Verdana" w:eastAsia="Calibri" w:hAnsi="Verdana" w:cs="Arial"/>
          <w:lang w:val="es-ES"/>
        </w:rPr>
      </w:pPr>
    </w:p>
    <w:p w14:paraId="784B89E0" w14:textId="77777777" w:rsidR="009F7516" w:rsidRPr="008557D1" w:rsidRDefault="009F7516" w:rsidP="005F6E5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57D1">
        <w:rPr>
          <w:rFonts w:ascii="Verdana" w:eastAsia="Century Gothic" w:hAnsi="Verdana" w:cs="Century Gothic"/>
          <w:b/>
          <w:bCs/>
        </w:rPr>
        <w:t>Respuesta:</w:t>
      </w:r>
    </w:p>
    <w:p w14:paraId="04F55DB3" w14:textId="77777777" w:rsidR="009F7516" w:rsidRPr="008557D1" w:rsidRDefault="009F7516" w:rsidP="005F6E5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F7516" w:rsidRPr="008557D1" w14:paraId="337577E3" w14:textId="77777777" w:rsidTr="009F7516">
        <w:tc>
          <w:tcPr>
            <w:tcW w:w="8828" w:type="dxa"/>
            <w:shd w:val="clear" w:color="auto" w:fill="auto"/>
          </w:tcPr>
          <w:p w14:paraId="5418514D" w14:textId="77777777" w:rsidR="009F7516" w:rsidRPr="008557D1" w:rsidRDefault="009F7516" w:rsidP="00896343">
            <w:pPr>
              <w:spacing w:after="120" w:line="276" w:lineRule="auto"/>
              <w:jc w:val="both"/>
              <w:rPr>
                <w:rFonts w:ascii="Verdana" w:eastAsia="Calibri" w:hAnsi="Verdana" w:cs="Arial"/>
              </w:rPr>
            </w:pPr>
            <w:r w:rsidRPr="008557D1">
              <w:rPr>
                <w:rFonts w:ascii="Verdana" w:eastAsia="Calibri" w:hAnsi="Verdana" w:cs="Arial"/>
              </w:rPr>
              <w:t>Es preciso señalar que el régimen de inhabilidades e incompatibilidades en la contratación estatal está regulado de manera taxativa por la Constitución y la ley, con el propósito de garantizar la moralidad, transparencia, imparcialidad e idoneidad en la función pública y la gestión contractual estatal. Estas restricciones, al afectar derechos fundamentales como el de la igualdad, el debido proceso y la libertad contractual, deben ser interpretadas de forma restrictiva y con sujeción estricta al principio de legalidad.</w:t>
            </w:r>
          </w:p>
          <w:p w14:paraId="7C762388" w14:textId="77777777" w:rsidR="009F7516" w:rsidRPr="008557D1" w:rsidRDefault="009F7516" w:rsidP="00896343">
            <w:pPr>
              <w:spacing w:after="120" w:line="276" w:lineRule="auto"/>
              <w:ind w:firstLine="709"/>
              <w:jc w:val="both"/>
              <w:rPr>
                <w:rFonts w:ascii="Verdana" w:eastAsia="Calibri" w:hAnsi="Verdana" w:cs="Arial"/>
              </w:rPr>
            </w:pPr>
            <w:r w:rsidRPr="008557D1">
              <w:rPr>
                <w:rFonts w:ascii="Verdana" w:eastAsia="Calibri" w:hAnsi="Verdana" w:cs="Arial"/>
              </w:rPr>
              <w:t xml:space="preserve">La jurisprudencia constitucional ha sido clara en señalar que las inhabilidades son limitaciones excepcionales a la capacidad para contratar con </w:t>
            </w:r>
            <w:r w:rsidRPr="008557D1">
              <w:rPr>
                <w:rFonts w:ascii="Verdana" w:eastAsia="Calibri" w:hAnsi="Verdana" w:cs="Arial"/>
              </w:rPr>
              <w:lastRenderedPageBreak/>
              <w:t xml:space="preserve">el Estado, y que su existencia debe derivarse exclusivamente de lo dispuesto en la ley. En este sentido, no es posible interpretar de manera extensiva, por analogía o por finalidad, las causales de inhabilidad, pues ello pondría en riesgo los derechos fundamentales mencionados, contrariando además el principio pro </w:t>
            </w:r>
            <w:proofErr w:type="spellStart"/>
            <w:r w:rsidRPr="008557D1">
              <w:rPr>
                <w:rFonts w:ascii="Verdana" w:eastAsia="Calibri" w:hAnsi="Verdana" w:cs="Arial"/>
              </w:rPr>
              <w:t>libertate</w:t>
            </w:r>
            <w:proofErr w:type="spellEnd"/>
            <w:r w:rsidRPr="008557D1">
              <w:rPr>
                <w:rFonts w:ascii="Verdana" w:eastAsia="Calibri" w:hAnsi="Verdana" w:cs="Arial"/>
              </w:rPr>
              <w:t>.</w:t>
            </w:r>
          </w:p>
          <w:p w14:paraId="2787CEA1" w14:textId="0C9F6184" w:rsidR="002C327D" w:rsidRDefault="009F7516" w:rsidP="002C327D">
            <w:pPr>
              <w:widowControl w:val="0"/>
              <w:autoSpaceDE w:val="0"/>
              <w:autoSpaceDN w:val="0"/>
              <w:spacing w:after="120" w:line="276" w:lineRule="auto"/>
              <w:ind w:firstLine="709"/>
              <w:jc w:val="both"/>
              <w:rPr>
                <w:rFonts w:ascii="Verdana" w:eastAsia="Arial MT" w:hAnsi="Verdana" w:cs="Arial"/>
                <w:lang w:eastAsia="es-ES" w:bidi="es-ES"/>
              </w:rPr>
            </w:pPr>
            <w:r w:rsidRPr="008557D1">
              <w:rPr>
                <w:rFonts w:ascii="Verdana" w:eastAsia="Calibri" w:hAnsi="Verdana" w:cs="Arial"/>
              </w:rPr>
              <w:t>Por tanto, para que pueda predicarse una inhabilidad en el caso planteado en la consulta respecto de la persona jurídica donante, es indispensable que su conducta se enmarque en alguna de las causales previstas en el artículo 8 de la Ley 80 de 1993 u otras normas con fuerza de ley que regulen el régimen de inhabilidades en la contratación estatal</w:t>
            </w:r>
            <w:r w:rsidR="00CF17C4">
              <w:rPr>
                <w:rFonts w:ascii="Verdana" w:eastAsia="Calibri" w:hAnsi="Verdana" w:cs="Arial"/>
              </w:rPr>
              <w:t xml:space="preserve">. </w:t>
            </w:r>
            <w:r w:rsidR="002C327D">
              <w:rPr>
                <w:rFonts w:ascii="Verdana" w:eastAsia="Arial MT" w:hAnsi="Verdana" w:cs="Arial"/>
                <w:lang w:eastAsia="es-ES" w:bidi="es-ES"/>
              </w:rPr>
              <w:t xml:space="preserve"> </w:t>
            </w:r>
          </w:p>
          <w:p w14:paraId="635AF020" w14:textId="4BB63122" w:rsidR="002C327D" w:rsidRPr="008557D1" w:rsidRDefault="002C327D" w:rsidP="002C327D">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A juicio de esta Agencia no se observa una causal</w:t>
            </w:r>
            <w:r w:rsidRPr="008557D1">
              <w:rPr>
                <w:rFonts w:ascii="Verdana" w:eastAsia="Arial MT" w:hAnsi="Verdana" w:cs="Arial"/>
                <w:lang w:eastAsia="es-ES" w:bidi="es-ES"/>
              </w:rPr>
              <w:t xml:space="preserve"> que prohíba la celebración de un contrato de la sociedad que realizó la donación a la entidad sin ánimo de lucro representada por la cónyuge del alcalde de dicha entidad. Sin embargo, la entidad contratante deberá identificar cualquier conducta que pueda llegar a tener la connotación de un conflicto de interés, producto de la concurrencia de intereses antagónicos en el </w:t>
            </w:r>
            <w:r>
              <w:rPr>
                <w:rFonts w:ascii="Verdana" w:eastAsia="Arial MT" w:hAnsi="Verdana" w:cs="Arial"/>
                <w:lang w:eastAsia="es-ES" w:bidi="es-ES"/>
              </w:rPr>
              <w:t>servidor público</w:t>
            </w:r>
            <w:r w:rsidRPr="008557D1">
              <w:rPr>
                <w:rFonts w:ascii="Verdana" w:eastAsia="Arial MT" w:hAnsi="Verdana" w:cs="Arial"/>
                <w:lang w:eastAsia="es-ES" w:bidi="es-ES"/>
              </w:rPr>
              <w:t xml:space="preserve"> que afecten la transparencia de las decisiones que le competen o lo lleven a adoptar determinaciones de aprovechamiento personal, familiar o particular, en detrimento del interés público. En estos casos, es necesario que el conflicto de interés satisfaga los requisitos de</w:t>
            </w:r>
            <w:r w:rsidRPr="008557D1">
              <w:rPr>
                <w:rFonts w:ascii="Verdana" w:eastAsia="Arial MT" w:hAnsi="Verdana" w:cs="Arial"/>
                <w:i/>
                <w:iCs/>
                <w:lang w:eastAsia="es-ES" w:bidi="es-ES"/>
              </w:rPr>
              <w:t xml:space="preserve"> tipicidad</w:t>
            </w:r>
            <w:r w:rsidRPr="008557D1">
              <w:rPr>
                <w:rFonts w:ascii="Verdana" w:eastAsia="Arial MT" w:hAnsi="Verdana" w:cs="Arial"/>
                <w:lang w:eastAsia="es-ES" w:bidi="es-ES"/>
              </w:rPr>
              <w:t xml:space="preserve"> y </w:t>
            </w:r>
            <w:r w:rsidRPr="008557D1">
              <w:rPr>
                <w:rFonts w:ascii="Verdana" w:eastAsia="Arial MT" w:hAnsi="Verdana" w:cs="Arial"/>
                <w:i/>
                <w:iCs/>
                <w:lang w:eastAsia="es-ES" w:bidi="es-ES"/>
              </w:rPr>
              <w:t xml:space="preserve">objetividad. </w:t>
            </w:r>
          </w:p>
          <w:p w14:paraId="46C29FB3" w14:textId="641A3730" w:rsidR="009F7516" w:rsidRPr="008557D1" w:rsidRDefault="002C327D" w:rsidP="009F7516">
            <w:pPr>
              <w:spacing w:line="276" w:lineRule="auto"/>
              <w:ind w:firstLine="709"/>
              <w:jc w:val="both"/>
              <w:rPr>
                <w:rFonts w:ascii="Verdana" w:eastAsia="Calibri" w:hAnsi="Verdana" w:cs="Arial"/>
              </w:rPr>
            </w:pPr>
            <w:r>
              <w:rPr>
                <w:rFonts w:ascii="Verdana" w:eastAsia="Calibri" w:hAnsi="Verdana" w:cs="Arial"/>
              </w:rPr>
              <w:t>En todo caso</w:t>
            </w:r>
            <w:r w:rsidR="009F7516" w:rsidRPr="008557D1">
              <w:rPr>
                <w:rFonts w:ascii="Verdana" w:eastAsia="Calibri" w:hAnsi="Verdana" w:cs="Arial"/>
              </w:rPr>
              <w:t>, corresponderá a la entidad estatal verificar en cada caso concreto que no exista otro tipo de situación fáctica o jurídica que sí pudiera derivar en alguna inhabilidad, incompatibilidad, conflicto de intereses o afectación a los principios de moralidad y transparencia.</w:t>
            </w:r>
          </w:p>
        </w:tc>
      </w:tr>
    </w:tbl>
    <w:p w14:paraId="3C84FB7C" w14:textId="77777777" w:rsidR="009F7516" w:rsidRPr="008557D1" w:rsidRDefault="009F7516" w:rsidP="009F7516">
      <w:pPr>
        <w:tabs>
          <w:tab w:val="left" w:pos="142"/>
          <w:tab w:val="left" w:pos="284"/>
        </w:tabs>
        <w:spacing w:after="0" w:line="276" w:lineRule="auto"/>
        <w:jc w:val="both"/>
        <w:rPr>
          <w:rFonts w:ascii="Verdana" w:eastAsia="Century Gothic" w:hAnsi="Verdana" w:cs="Century Gothic"/>
          <w:b/>
          <w:bCs/>
          <w:lang w:val="es-ES"/>
        </w:rPr>
      </w:pPr>
    </w:p>
    <w:p w14:paraId="54B08A7B" w14:textId="77777777" w:rsidR="009F7516" w:rsidRPr="008557D1" w:rsidRDefault="009F7516" w:rsidP="009F751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57D1">
        <w:rPr>
          <w:rFonts w:ascii="Verdana" w:eastAsia="Century Gothic" w:hAnsi="Verdana" w:cs="Century Gothic"/>
          <w:b/>
          <w:bCs/>
        </w:rPr>
        <w:t>Razones de la respuesta:</w:t>
      </w:r>
    </w:p>
    <w:p w14:paraId="13BD60A3" w14:textId="77777777" w:rsidR="009F7516" w:rsidRPr="008557D1" w:rsidRDefault="009F7516" w:rsidP="009F7516">
      <w:pPr>
        <w:spacing w:after="0" w:line="276" w:lineRule="auto"/>
        <w:jc w:val="both"/>
        <w:rPr>
          <w:rFonts w:ascii="Verdana" w:eastAsia="Calibri" w:hAnsi="Verdana" w:cs="Arial"/>
          <w:lang w:val="es-ES"/>
        </w:rPr>
      </w:pPr>
    </w:p>
    <w:p w14:paraId="6330F96C" w14:textId="77777777" w:rsidR="009F7516" w:rsidRPr="008557D1" w:rsidRDefault="009F7516" w:rsidP="009F7516">
      <w:pPr>
        <w:spacing w:after="0" w:line="276" w:lineRule="auto"/>
        <w:jc w:val="both"/>
        <w:rPr>
          <w:rFonts w:ascii="Verdana" w:eastAsia="Calibri" w:hAnsi="Verdana" w:cs="Arial"/>
          <w:lang w:val="es-ES"/>
        </w:rPr>
      </w:pPr>
      <w:r w:rsidRPr="008557D1">
        <w:rPr>
          <w:rFonts w:ascii="Verdana" w:eastAsia="Calibri" w:hAnsi="Verdana" w:cs="Arial"/>
          <w:lang w:val="es-ES"/>
        </w:rPr>
        <w:t xml:space="preserve">Lo anterior se sustenta en las siguientes consideraciones: </w:t>
      </w:r>
    </w:p>
    <w:p w14:paraId="68DD8484" w14:textId="77777777" w:rsidR="009F7516" w:rsidRPr="008557D1" w:rsidRDefault="009F7516" w:rsidP="009F7516">
      <w:pPr>
        <w:spacing w:after="0" w:line="276" w:lineRule="auto"/>
        <w:jc w:val="both"/>
        <w:rPr>
          <w:rFonts w:ascii="Verdana" w:eastAsia="Calibri" w:hAnsi="Verdana" w:cs="Arial"/>
          <w:lang w:val="es-ES"/>
        </w:rPr>
      </w:pPr>
    </w:p>
    <w:p w14:paraId="1531A575" w14:textId="77777777" w:rsidR="009F7516" w:rsidRPr="008557D1" w:rsidRDefault="009F7516" w:rsidP="00896343">
      <w:pPr>
        <w:widowControl w:val="0"/>
        <w:autoSpaceDE w:val="0"/>
        <w:autoSpaceDN w:val="0"/>
        <w:spacing w:after="120" w:line="276" w:lineRule="auto"/>
        <w:jc w:val="both"/>
        <w:rPr>
          <w:rFonts w:ascii="Verdana" w:eastAsia="Calibri" w:hAnsi="Verdana" w:cs="Arial"/>
          <w:lang w:val="es-ES_tradnl"/>
        </w:rPr>
      </w:pPr>
      <w:r w:rsidRPr="008557D1">
        <w:rPr>
          <w:rFonts w:ascii="Verdana" w:eastAsia="Calibri" w:hAnsi="Verdana" w:cs="Arial"/>
          <w:lang w:val="es-ES_tradnl"/>
        </w:rPr>
        <w:t>En primer lugar, debe advertirse que, las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6FB072F9" w14:textId="77777777" w:rsidR="00F36232" w:rsidRDefault="009F7516" w:rsidP="0040768A">
      <w:pPr>
        <w:widowControl w:val="0"/>
        <w:autoSpaceDE w:val="0"/>
        <w:autoSpaceDN w:val="0"/>
        <w:spacing w:after="120" w:line="276" w:lineRule="auto"/>
        <w:ind w:firstLine="709"/>
        <w:jc w:val="both"/>
        <w:rPr>
          <w:rFonts w:ascii="Verdana" w:eastAsia="Calibri" w:hAnsi="Verdana" w:cs="Arial"/>
          <w:lang w:val="es-ES_tradnl"/>
        </w:rPr>
      </w:pPr>
      <w:r w:rsidRPr="008557D1">
        <w:rPr>
          <w:rFonts w:ascii="Verdana" w:eastAsia="Calibri" w:hAnsi="Verdana" w:cs="Arial"/>
          <w:lang w:val="es-ES_tradnl"/>
        </w:rPr>
        <w:t xml:space="preserve">El régimen de inhabilidades para contratar con el Estado es un conjunto </w:t>
      </w:r>
      <w:r w:rsidRPr="008557D1">
        <w:rPr>
          <w:rFonts w:ascii="Verdana" w:eastAsia="Calibri" w:hAnsi="Verdana" w:cs="Arial"/>
          <w:lang w:val="es-ES_tradnl"/>
        </w:rPr>
        <w:lastRenderedPageBreak/>
        <w:t xml:space="preserve">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w:t>
      </w:r>
    </w:p>
    <w:p w14:paraId="564B7B68" w14:textId="083C4F50" w:rsidR="009F7516" w:rsidRPr="008557D1" w:rsidRDefault="009F7516" w:rsidP="00896343">
      <w:pPr>
        <w:widowControl w:val="0"/>
        <w:autoSpaceDE w:val="0"/>
        <w:autoSpaceDN w:val="0"/>
        <w:spacing w:after="120" w:line="276" w:lineRule="auto"/>
        <w:ind w:firstLine="709"/>
        <w:jc w:val="both"/>
        <w:rPr>
          <w:rFonts w:ascii="Verdana" w:eastAsia="Calibri" w:hAnsi="Verdana" w:cs="Arial"/>
          <w:lang w:val="es-ES_tradnl"/>
        </w:rPr>
      </w:pPr>
      <w:r w:rsidRPr="008557D1">
        <w:rPr>
          <w:rFonts w:ascii="Verdana" w:eastAsia="Calibri" w:hAnsi="Verdana" w:cs="Arial"/>
          <w:lang w:val="es-ES_tradnl"/>
        </w:rPr>
        <w:t>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8557D1">
        <w:rPr>
          <w:rStyle w:val="Refdenotaalpie"/>
          <w:rFonts w:ascii="Verdana" w:eastAsia="Calibri" w:hAnsi="Verdana" w:cs="Arial"/>
          <w:lang w:val="es-ES_tradnl"/>
        </w:rPr>
        <w:footnoteReference w:id="2"/>
      </w:r>
      <w:r w:rsidR="0040768A" w:rsidRPr="008557D1">
        <w:rPr>
          <w:rFonts w:ascii="Verdana" w:eastAsia="Calibri" w:hAnsi="Verdana" w:cs="Arial"/>
          <w:lang w:val="es-ES_tradnl"/>
        </w:rPr>
        <w:t>.</w:t>
      </w:r>
    </w:p>
    <w:p w14:paraId="71441A8C" w14:textId="0A1D95A2" w:rsidR="009F7516" w:rsidRPr="008557D1" w:rsidRDefault="0040768A" w:rsidP="00896343">
      <w:pPr>
        <w:widowControl w:val="0"/>
        <w:autoSpaceDE w:val="0"/>
        <w:autoSpaceDN w:val="0"/>
        <w:spacing w:after="0" w:line="276" w:lineRule="auto"/>
        <w:jc w:val="both"/>
        <w:rPr>
          <w:rFonts w:ascii="Verdana" w:eastAsia="Calibri" w:hAnsi="Verdana" w:cs="Arial"/>
          <w:lang w:val="es-ES_tradnl"/>
        </w:rPr>
      </w:pPr>
      <w:r w:rsidRPr="008557D1">
        <w:rPr>
          <w:rFonts w:ascii="Verdana" w:eastAsia="Calibri" w:hAnsi="Verdana" w:cs="Arial"/>
          <w:lang w:val="es-ES_tradnl"/>
        </w:rPr>
        <w:tab/>
      </w:r>
      <w:r w:rsidR="009F7516" w:rsidRPr="008557D1">
        <w:rPr>
          <w:rFonts w:ascii="Verdana" w:eastAsia="Calibri" w:hAnsi="Verdana" w:cs="Arial"/>
          <w:lang w:val="es-ES_tradnl"/>
        </w:rPr>
        <w:t xml:space="preserve">La consagración de limitaciones que afectan la capacidad jurídica para contratar desarrolla los principios de la función administrativa consagrados en el </w:t>
      </w:r>
      <w:bookmarkStart w:id="4" w:name="_Hlk197333194"/>
      <w:r w:rsidR="009F7516" w:rsidRPr="008557D1">
        <w:rPr>
          <w:rFonts w:ascii="Verdana" w:eastAsia="Calibri" w:hAnsi="Verdana" w:cs="Arial"/>
          <w:lang w:val="es-ES_tradnl"/>
        </w:rPr>
        <w:t>artículo 209</w:t>
      </w:r>
      <w:bookmarkEnd w:id="4"/>
      <w:r w:rsidR="009F7516" w:rsidRPr="008557D1">
        <w:rPr>
          <w:rFonts w:ascii="Verdana" w:eastAsia="Calibri" w:hAnsi="Verdana" w:cs="Arial"/>
          <w:lang w:val="es-ES_tradnl"/>
        </w:rPr>
        <w:t xml:space="preserve"> de la </w:t>
      </w:r>
      <w:bookmarkStart w:id="5" w:name="_Hlk197333187"/>
      <w:r w:rsidR="009F7516" w:rsidRPr="008557D1">
        <w:rPr>
          <w:rFonts w:ascii="Verdana" w:eastAsia="Calibri" w:hAnsi="Verdana" w:cs="Arial"/>
          <w:lang w:val="es-ES_tradnl"/>
        </w:rPr>
        <w:t>Constitución Política</w:t>
      </w:r>
      <w:bookmarkEnd w:id="5"/>
      <w:r w:rsidR="009F7516" w:rsidRPr="008557D1">
        <w:rPr>
          <w:rFonts w:ascii="Verdana" w:eastAsia="Calibri" w:hAnsi="Verdana" w:cs="Arial"/>
          <w:lang w:val="es-ES_tradnl"/>
        </w:rPr>
        <w:t xml:space="preserve">, con especial énfasis el de moralidad. Así lo entiende el Consejo de Estado: </w:t>
      </w:r>
    </w:p>
    <w:p w14:paraId="5CBB5562" w14:textId="77777777" w:rsidR="009F7516" w:rsidRPr="008557D1" w:rsidRDefault="009F7516" w:rsidP="00C40F57">
      <w:pPr>
        <w:widowControl w:val="0"/>
        <w:autoSpaceDE w:val="0"/>
        <w:autoSpaceDN w:val="0"/>
        <w:spacing w:after="0" w:line="276" w:lineRule="auto"/>
        <w:jc w:val="both"/>
        <w:rPr>
          <w:rFonts w:ascii="Verdana" w:eastAsia="Calibri" w:hAnsi="Verdana" w:cs="Arial"/>
          <w:lang w:val="es-ES_tradnl"/>
        </w:rPr>
      </w:pPr>
    </w:p>
    <w:p w14:paraId="19C7796E"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sz w:val="20"/>
          <w:szCs w:val="20"/>
          <w:lang w:val="es-ES_tradnl"/>
        </w:rPr>
      </w:pPr>
      <w:r w:rsidRPr="008557D1">
        <w:rPr>
          <w:rFonts w:ascii="Verdana" w:eastAsia="Calibri" w:hAnsi="Verdana" w:cs="Arial"/>
          <w:sz w:val="20"/>
          <w:szCs w:val="20"/>
          <w:lang w:val="es-ES_tradnl"/>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148A28DC"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lang w:val="es-ES_tradnl"/>
        </w:rPr>
      </w:pPr>
    </w:p>
    <w:p w14:paraId="134E46BB" w14:textId="2C020CA5" w:rsidR="009F7516" w:rsidRPr="008557D1" w:rsidRDefault="009F7516" w:rsidP="00896343">
      <w:pPr>
        <w:widowControl w:val="0"/>
        <w:autoSpaceDE w:val="0"/>
        <w:autoSpaceDN w:val="0"/>
        <w:spacing w:after="0" w:line="240" w:lineRule="auto"/>
        <w:ind w:left="709" w:right="709"/>
        <w:jc w:val="both"/>
        <w:rPr>
          <w:rFonts w:ascii="Verdana" w:eastAsia="Calibri" w:hAnsi="Verdana" w:cs="Arial"/>
          <w:sz w:val="20"/>
          <w:szCs w:val="20"/>
          <w:lang w:val="es-ES_tradnl"/>
        </w:rPr>
      </w:pPr>
      <w:r w:rsidRPr="008557D1">
        <w:rPr>
          <w:rFonts w:ascii="Verdana" w:eastAsia="Calibri" w:hAnsi="Verdana" w:cs="Arial"/>
          <w:sz w:val="20"/>
          <w:szCs w:val="20"/>
          <w:lang w:val="es-ES_tradnl"/>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w:t>
      </w:r>
      <w:r w:rsidRPr="008557D1">
        <w:rPr>
          <w:rFonts w:ascii="Verdana" w:eastAsia="Calibri" w:hAnsi="Verdana" w:cs="Arial"/>
          <w:sz w:val="20"/>
          <w:szCs w:val="20"/>
          <w:lang w:val="es-ES_tradnl"/>
        </w:rPr>
        <w:lastRenderedPageBreak/>
        <w:t>Estado”</w:t>
      </w:r>
      <w:r w:rsidRPr="008557D1">
        <w:rPr>
          <w:rStyle w:val="Refdenotaalpie"/>
          <w:rFonts w:ascii="Verdana" w:eastAsia="Calibri" w:hAnsi="Verdana" w:cs="Arial"/>
          <w:sz w:val="20"/>
          <w:szCs w:val="20"/>
          <w:lang w:val="es-ES_tradnl"/>
        </w:rPr>
        <w:footnoteReference w:id="3"/>
      </w:r>
      <w:r w:rsidR="00C40F57">
        <w:rPr>
          <w:rFonts w:ascii="Verdana" w:eastAsia="Calibri" w:hAnsi="Verdana" w:cs="Arial"/>
          <w:sz w:val="20"/>
          <w:szCs w:val="20"/>
          <w:lang w:val="es-ES_tradnl"/>
        </w:rPr>
        <w:t>.</w:t>
      </w:r>
    </w:p>
    <w:p w14:paraId="3CFC405C" w14:textId="77777777" w:rsidR="009F7516" w:rsidRPr="008557D1" w:rsidRDefault="009F7516" w:rsidP="009F7516">
      <w:pPr>
        <w:widowControl w:val="0"/>
        <w:autoSpaceDE w:val="0"/>
        <w:autoSpaceDN w:val="0"/>
        <w:spacing w:after="0" w:line="276" w:lineRule="auto"/>
        <w:jc w:val="both"/>
        <w:rPr>
          <w:rFonts w:ascii="Verdana" w:eastAsia="Calibri" w:hAnsi="Verdana" w:cs="Arial"/>
          <w:lang w:val="es-ES_tradnl"/>
        </w:rPr>
      </w:pPr>
    </w:p>
    <w:p w14:paraId="47D4C803" w14:textId="65ABD089" w:rsidR="00DC0597" w:rsidRDefault="00CA63ED" w:rsidP="2BE19C99">
      <w:pPr>
        <w:widowControl w:val="0"/>
        <w:autoSpaceDE w:val="0"/>
        <w:autoSpaceDN w:val="0"/>
        <w:spacing w:after="120" w:line="276" w:lineRule="auto"/>
        <w:ind w:firstLine="708"/>
        <w:jc w:val="both"/>
        <w:rPr>
          <w:rFonts w:ascii="Verdana" w:eastAsia="Calibri" w:hAnsi="Verdana" w:cs="Arial"/>
          <w:lang w:val="es-ES"/>
        </w:rPr>
      </w:pPr>
      <w:r w:rsidRPr="2BE19C99">
        <w:rPr>
          <w:rFonts w:ascii="Verdana" w:eastAsia="Calibri" w:hAnsi="Verdana" w:cs="Arial"/>
          <w:lang w:val="es-ES"/>
        </w:rPr>
        <w:t>Conforme lo anterior, s</w:t>
      </w:r>
      <w:r w:rsidR="009F7516" w:rsidRPr="2BE19C99">
        <w:rPr>
          <w:rFonts w:ascii="Verdana" w:eastAsia="Calibri" w:hAnsi="Verdana" w:cs="Arial"/>
          <w:lang w:val="es-ES"/>
        </w:rPr>
        <w:t xml:space="preserve">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w:t>
      </w:r>
    </w:p>
    <w:p w14:paraId="343DEDC0" w14:textId="55A8CD32" w:rsidR="009F7516" w:rsidRPr="008557D1" w:rsidRDefault="009F7516" w:rsidP="009F7516">
      <w:pPr>
        <w:widowControl w:val="0"/>
        <w:autoSpaceDE w:val="0"/>
        <w:autoSpaceDN w:val="0"/>
        <w:spacing w:after="0" w:line="276" w:lineRule="auto"/>
        <w:ind w:firstLine="708"/>
        <w:jc w:val="both"/>
        <w:rPr>
          <w:rFonts w:ascii="Verdana" w:eastAsia="Calibri" w:hAnsi="Verdana" w:cs="Arial"/>
          <w:lang w:val="es-ES_tradnl"/>
        </w:rPr>
      </w:pPr>
      <w:r w:rsidRPr="008557D1">
        <w:rPr>
          <w:rFonts w:ascii="Verdana" w:eastAsia="Calibri" w:hAnsi="Verdana" w:cs="Arial"/>
          <w:lang w:val="es-ES_tradnl"/>
        </w:rPr>
        <w:t xml:space="preserve">La Corte Constitucional ha reconocido que estas limitaciones deben estar justificadas en la salvaguarda del interés general y que su lectura e interpretación es taxativa y restrictiva: </w:t>
      </w:r>
    </w:p>
    <w:p w14:paraId="46D6C0E8" w14:textId="77777777" w:rsidR="009F7516" w:rsidRPr="008557D1" w:rsidRDefault="009F7516" w:rsidP="009F7516">
      <w:pPr>
        <w:widowControl w:val="0"/>
        <w:autoSpaceDE w:val="0"/>
        <w:autoSpaceDN w:val="0"/>
        <w:spacing w:after="0" w:line="276" w:lineRule="auto"/>
        <w:jc w:val="both"/>
        <w:rPr>
          <w:rFonts w:ascii="Verdana" w:eastAsia="Calibri" w:hAnsi="Verdana" w:cs="Arial"/>
          <w:lang w:val="es-ES_tradnl"/>
        </w:rPr>
      </w:pPr>
    </w:p>
    <w:p w14:paraId="37B35C2C" w14:textId="77777777" w:rsidR="009F7516" w:rsidRPr="008557D1" w:rsidRDefault="009F7516" w:rsidP="00896343">
      <w:pPr>
        <w:widowControl w:val="0"/>
        <w:tabs>
          <w:tab w:val="left" w:pos="8647"/>
        </w:tabs>
        <w:autoSpaceDE w:val="0"/>
        <w:autoSpaceDN w:val="0"/>
        <w:spacing w:after="0" w:line="240" w:lineRule="auto"/>
        <w:ind w:left="709" w:right="709"/>
        <w:jc w:val="both"/>
        <w:rPr>
          <w:rFonts w:ascii="Verdana" w:eastAsia="Calibri" w:hAnsi="Verdana" w:cs="Arial"/>
          <w:sz w:val="20"/>
          <w:szCs w:val="20"/>
          <w:lang w:val="es-ES"/>
        </w:rPr>
      </w:pPr>
      <w:r w:rsidRPr="008557D1">
        <w:rPr>
          <w:rFonts w:ascii="Verdana" w:eastAsia="Calibri" w:hAnsi="Verdana" w:cs="Arial"/>
          <w:sz w:val="20"/>
          <w:szCs w:val="20"/>
          <w:lang w:val="es-ES"/>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8557D1">
        <w:rPr>
          <w:rFonts w:ascii="Verdana" w:eastAsia="Calibri" w:hAnsi="Verdana" w:cs="Arial"/>
          <w:sz w:val="20"/>
          <w:szCs w:val="20"/>
          <w:lang w:val="es-ES"/>
        </w:rPr>
        <w:t>incompatibilidades,</w:t>
      </w:r>
      <w:proofErr w:type="gramEnd"/>
      <w:r w:rsidRPr="008557D1">
        <w:rPr>
          <w:rFonts w:ascii="Verdana" w:eastAsia="Calibri" w:hAnsi="Verdana" w:cs="Arial"/>
          <w:sz w:val="20"/>
          <w:szCs w:val="20"/>
          <w:lang w:val="es-ES"/>
        </w:rPr>
        <w:t xml:space="preserve"> se erige en causal de nulidad del contrato celebrado en esas condiciones (ley 80 de 1993, art. 44).</w:t>
      </w:r>
    </w:p>
    <w:p w14:paraId="76E3E04B"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lang w:val="es-ES_tradnl"/>
        </w:rPr>
      </w:pPr>
    </w:p>
    <w:p w14:paraId="1F20950F"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sz w:val="20"/>
          <w:szCs w:val="20"/>
          <w:lang w:val="es-ES_tradnl"/>
        </w:rPr>
      </w:pPr>
      <w:r w:rsidRPr="008557D1">
        <w:rPr>
          <w:rFonts w:ascii="Verdana" w:eastAsia="Calibri" w:hAnsi="Verdana" w:cs="Arial"/>
          <w:sz w:val="20"/>
          <w:szCs w:val="20"/>
          <w:lang w:val="es-ES_tradnl"/>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8557D1">
        <w:rPr>
          <w:rStyle w:val="Refdenotaalpie"/>
          <w:rFonts w:ascii="Verdana" w:eastAsia="Calibri" w:hAnsi="Verdana" w:cs="Arial"/>
          <w:sz w:val="20"/>
          <w:szCs w:val="20"/>
          <w:lang w:val="es-ES_tradnl"/>
        </w:rPr>
        <w:footnoteReference w:id="4"/>
      </w:r>
    </w:p>
    <w:p w14:paraId="40032502" w14:textId="77777777" w:rsidR="009F7516" w:rsidRPr="008557D1" w:rsidRDefault="009F7516" w:rsidP="009F7516">
      <w:pPr>
        <w:widowControl w:val="0"/>
        <w:autoSpaceDE w:val="0"/>
        <w:autoSpaceDN w:val="0"/>
        <w:spacing w:after="0" w:line="276" w:lineRule="auto"/>
        <w:ind w:left="567"/>
        <w:jc w:val="both"/>
        <w:rPr>
          <w:rFonts w:ascii="Verdana" w:eastAsia="Calibri" w:hAnsi="Verdana" w:cs="Arial"/>
          <w:lang w:val="es-ES_tradnl"/>
        </w:rPr>
      </w:pPr>
    </w:p>
    <w:p w14:paraId="53AF9F48" w14:textId="77777777" w:rsidR="009F7516" w:rsidRPr="008557D1" w:rsidRDefault="009F7516" w:rsidP="00896343">
      <w:pPr>
        <w:widowControl w:val="0"/>
        <w:autoSpaceDE w:val="0"/>
        <w:autoSpaceDN w:val="0"/>
        <w:spacing w:after="0" w:line="276" w:lineRule="auto"/>
        <w:ind w:firstLine="567"/>
        <w:jc w:val="both"/>
        <w:rPr>
          <w:rFonts w:ascii="Verdana" w:eastAsia="Calibri" w:hAnsi="Verdana" w:cs="Arial"/>
          <w:lang w:val="es-ES_tradnl"/>
        </w:rPr>
      </w:pPr>
      <w:r w:rsidRPr="008557D1">
        <w:rPr>
          <w:rFonts w:ascii="Verdana" w:eastAsia="Calibri" w:hAnsi="Verdana" w:cs="Arial"/>
          <w:lang w:val="es-ES_tradnl"/>
        </w:rPr>
        <w:t xml:space="preserve">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w:t>
      </w:r>
      <w:r w:rsidRPr="008557D1">
        <w:rPr>
          <w:rFonts w:ascii="Verdana" w:eastAsia="Calibri" w:hAnsi="Verdana" w:cs="Arial"/>
          <w:lang w:val="es-ES_tradnl"/>
        </w:rPr>
        <w:lastRenderedPageBreak/>
        <w:t>Constitución Política, y que en esta materia rige el principio de legalidad:</w:t>
      </w:r>
    </w:p>
    <w:p w14:paraId="137E7A08" w14:textId="77777777" w:rsidR="009F7516" w:rsidRPr="008557D1" w:rsidRDefault="009F7516" w:rsidP="009F7516">
      <w:pPr>
        <w:widowControl w:val="0"/>
        <w:autoSpaceDE w:val="0"/>
        <w:autoSpaceDN w:val="0"/>
        <w:spacing w:after="0" w:line="276" w:lineRule="auto"/>
        <w:jc w:val="both"/>
        <w:rPr>
          <w:rFonts w:ascii="Verdana" w:eastAsia="Calibri" w:hAnsi="Verdana" w:cs="Arial"/>
          <w:lang w:val="es-ES_tradnl"/>
        </w:rPr>
      </w:pPr>
    </w:p>
    <w:p w14:paraId="761C3575"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sz w:val="20"/>
          <w:szCs w:val="20"/>
          <w:lang w:val="es-ES"/>
        </w:rPr>
      </w:pPr>
      <w:r w:rsidRPr="795AA69A">
        <w:rPr>
          <w:rFonts w:ascii="Verdana" w:eastAsia="Calibri" w:hAnsi="Verdana" w:cs="Arial"/>
          <w:sz w:val="20"/>
          <w:szCs w:val="20"/>
          <w:lang w:val="es-E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libértate, sino el de legalidad, el que ordena que la función pública debe someterse estrictamente a lo que disponga la Constitución y la ley (CP art. 6). </w:t>
      </w:r>
    </w:p>
    <w:p w14:paraId="333BBE51"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sz w:val="20"/>
          <w:szCs w:val="20"/>
          <w:lang w:val="es-ES_tradnl"/>
        </w:rPr>
      </w:pPr>
      <w:r w:rsidRPr="008557D1">
        <w:rPr>
          <w:rFonts w:ascii="Verdana" w:eastAsia="Calibri" w:hAnsi="Verdana" w:cs="Arial"/>
          <w:sz w:val="20"/>
          <w:szCs w:val="20"/>
          <w:lang w:val="es-ES_tradnl"/>
        </w:rPr>
        <w:t xml:space="preserve">[…] </w:t>
      </w:r>
    </w:p>
    <w:p w14:paraId="16010A29"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sz w:val="20"/>
          <w:szCs w:val="20"/>
          <w:lang w:val="es-ES"/>
        </w:rPr>
      </w:pPr>
      <w:r w:rsidRPr="795AA69A">
        <w:rPr>
          <w:rFonts w:ascii="Verdana" w:eastAsia="Calibri" w:hAnsi="Verdana" w:cs="Arial"/>
          <w:sz w:val="20"/>
          <w:szCs w:val="20"/>
          <w:lang w:val="es-ES"/>
        </w:rPr>
        <w:t xml:space="preserve">Se comprende con facilidad que el régimen de inhabilidades e </w:t>
      </w:r>
      <w:proofErr w:type="gramStart"/>
      <w:r w:rsidRPr="795AA69A">
        <w:rPr>
          <w:rFonts w:ascii="Verdana" w:eastAsia="Calibri" w:hAnsi="Verdana" w:cs="Arial"/>
          <w:sz w:val="20"/>
          <w:szCs w:val="20"/>
          <w:lang w:val="es-ES"/>
        </w:rPr>
        <w:t>incompatibilidades,</w:t>
      </w:r>
      <w:proofErr w:type="gramEnd"/>
      <w:r w:rsidRPr="795AA69A">
        <w:rPr>
          <w:rFonts w:ascii="Verdana" w:eastAsia="Calibri" w:hAnsi="Verdana" w:cs="Arial"/>
          <w:sz w:val="20"/>
          <w:szCs w:val="20"/>
          <w:lang w:val="es-ES"/>
        </w:rPr>
        <w:t xml:space="preserve"> corresponde a una materia de normal y obligada inclusión en un estatuto contractual. El legislador, a quien se ha confiado expedir el indicado estatuto, tiene, pues, competencia para establecerlo (CP art. 150)”. </w:t>
      </w:r>
      <w:r w:rsidRPr="795AA69A">
        <w:rPr>
          <w:rStyle w:val="Refdenotaalpie"/>
          <w:rFonts w:ascii="Verdana" w:eastAsia="Calibri" w:hAnsi="Verdana" w:cs="Arial"/>
          <w:sz w:val="20"/>
          <w:szCs w:val="20"/>
          <w:lang w:val="es-ES"/>
        </w:rPr>
        <w:footnoteReference w:id="5"/>
      </w:r>
    </w:p>
    <w:p w14:paraId="40EF8D7A" w14:textId="77777777" w:rsidR="009F7516" w:rsidRPr="008557D1" w:rsidRDefault="009F7516" w:rsidP="009F7516">
      <w:pPr>
        <w:widowControl w:val="0"/>
        <w:autoSpaceDE w:val="0"/>
        <w:autoSpaceDN w:val="0"/>
        <w:spacing w:after="0" w:line="276" w:lineRule="auto"/>
        <w:ind w:left="851" w:right="616"/>
        <w:jc w:val="both"/>
        <w:rPr>
          <w:rFonts w:ascii="Verdana" w:eastAsia="Calibri" w:hAnsi="Verdana" w:cs="Arial"/>
          <w:sz w:val="20"/>
          <w:szCs w:val="20"/>
          <w:lang w:val="es-ES_tradnl"/>
        </w:rPr>
      </w:pPr>
    </w:p>
    <w:p w14:paraId="41135F35" w14:textId="0B6BF343" w:rsidR="009F7516" w:rsidRPr="008557D1" w:rsidRDefault="00AE63AF" w:rsidP="00896343">
      <w:pPr>
        <w:widowControl w:val="0"/>
        <w:autoSpaceDE w:val="0"/>
        <w:autoSpaceDN w:val="0"/>
        <w:spacing w:after="120" w:line="276" w:lineRule="auto"/>
        <w:ind w:firstLine="708"/>
        <w:jc w:val="both"/>
        <w:rPr>
          <w:rFonts w:ascii="Verdana" w:eastAsia="Calibri" w:hAnsi="Verdana" w:cs="Arial"/>
          <w:lang w:val="es-ES"/>
        </w:rPr>
      </w:pPr>
      <w:r w:rsidRPr="795AA69A">
        <w:rPr>
          <w:rFonts w:ascii="Verdana" w:eastAsia="Calibri" w:hAnsi="Verdana" w:cs="Arial"/>
          <w:lang w:val="es-ES"/>
        </w:rPr>
        <w:t>Ahora bien, c</w:t>
      </w:r>
      <w:r w:rsidR="009F7516" w:rsidRPr="795AA69A">
        <w:rPr>
          <w:rFonts w:ascii="Verdana" w:eastAsia="Calibri" w:hAnsi="Verdana" w:cs="Arial"/>
          <w:lang w:val="es-ES"/>
        </w:rPr>
        <w:t xml:space="preserve">onviene también distinguir las fuentes de las inhabilidades, las cuales han sido clasificadas en dos (2) grupos: i) inhabilidades-sanción y </w:t>
      </w:r>
      <w:proofErr w:type="spellStart"/>
      <w:r w:rsidR="009F7516" w:rsidRPr="795AA69A">
        <w:rPr>
          <w:rFonts w:ascii="Verdana" w:eastAsia="Calibri" w:hAnsi="Verdana" w:cs="Arial"/>
          <w:lang w:val="es-ES"/>
        </w:rPr>
        <w:t>ii</w:t>
      </w:r>
      <w:proofErr w:type="spellEnd"/>
      <w:r w:rsidR="009F7516" w:rsidRPr="795AA69A">
        <w:rPr>
          <w:rFonts w:ascii="Verdana" w:eastAsia="Calibri" w:hAnsi="Verdana" w:cs="Arial"/>
          <w:lang w:val="es-ES"/>
        </w:rPr>
        <w:t xml:space="preserve">) inhabilidades-requisito. En el </w:t>
      </w:r>
      <w:r w:rsidR="009F7516" w:rsidRPr="00896343">
        <w:rPr>
          <w:rFonts w:ascii="Verdana" w:eastAsia="Calibri" w:hAnsi="Verdana" w:cs="Arial"/>
          <w:i/>
          <w:iCs/>
          <w:lang w:val="es-ES"/>
        </w:rPr>
        <w:t>primer grupo</w:t>
      </w:r>
      <w:r w:rsidR="009F7516" w:rsidRPr="795AA69A">
        <w:rPr>
          <w:rFonts w:ascii="Verdana" w:eastAsia="Calibri" w:hAnsi="Verdana" w:cs="Arial"/>
          <w:lang w:val="es-ES"/>
        </w:rPr>
        <w:t xml:space="preserve"> se encuentran las inhabilidades que surgen como consecuencia de un proceso sancionatorio, en los ámbitos penal, disciplinario, contravencional o de pérdida de investidura. En el </w:t>
      </w:r>
      <w:r w:rsidR="009F7516" w:rsidRPr="00896343">
        <w:rPr>
          <w:rFonts w:ascii="Verdana" w:eastAsia="Calibri" w:hAnsi="Verdana" w:cs="Arial"/>
          <w:i/>
          <w:iCs/>
          <w:lang w:val="es-ES"/>
        </w:rPr>
        <w:t>segundo grupo</w:t>
      </w:r>
      <w:r w:rsidR="009F7516" w:rsidRPr="795AA69A">
        <w:rPr>
          <w:rFonts w:ascii="Verdana" w:eastAsia="Calibri" w:hAnsi="Verdana" w:cs="Arial"/>
          <w:lang w:val="es-ES"/>
        </w:rPr>
        <w:t xml:space="preserve"> están aquellas que no devienen de un proceso sancionatorio, sino de condiciones propias de la persona y garantizan la moralidad, la imparcialidad, la eficacia y la transparencia.</w:t>
      </w:r>
      <w:r w:rsidR="009F7516" w:rsidRPr="795AA69A">
        <w:rPr>
          <w:rStyle w:val="Refdenotaalpie"/>
          <w:rFonts w:ascii="Verdana" w:eastAsia="Calibri" w:hAnsi="Verdana" w:cs="Arial"/>
          <w:lang w:val="es-ES"/>
        </w:rPr>
        <w:footnoteReference w:id="6"/>
      </w:r>
    </w:p>
    <w:p w14:paraId="4BC5BB29" w14:textId="202DB81C" w:rsidR="009F7516" w:rsidRPr="008557D1" w:rsidRDefault="009F7516" w:rsidP="00896343">
      <w:pPr>
        <w:widowControl w:val="0"/>
        <w:autoSpaceDE w:val="0"/>
        <w:autoSpaceDN w:val="0"/>
        <w:spacing w:after="120" w:line="276" w:lineRule="auto"/>
        <w:ind w:firstLine="708"/>
        <w:jc w:val="both"/>
        <w:rPr>
          <w:rFonts w:ascii="Verdana" w:eastAsia="Calibri" w:hAnsi="Verdana" w:cs="Arial"/>
          <w:lang w:val="es-ES_tradnl"/>
        </w:rPr>
      </w:pPr>
      <w:r w:rsidRPr="008557D1">
        <w:rPr>
          <w:rFonts w:ascii="Verdana" w:eastAsia="Calibri" w:hAnsi="Verdana" w:cs="Arial"/>
          <w:lang w:val="es-ES_tradnl"/>
        </w:rPr>
        <w:t xml:space="preserve"> A manera de ejemplo, en materia contractual, los literales c), d) y j) del numeral 1 del artículo 8 de la</w:t>
      </w:r>
      <w:bookmarkStart w:id="6" w:name="_Hlk197333316"/>
      <w:r w:rsidRPr="008557D1">
        <w:rPr>
          <w:rFonts w:ascii="Verdana" w:eastAsia="Calibri" w:hAnsi="Verdana" w:cs="Arial"/>
          <w:lang w:val="es-ES_tradnl"/>
        </w:rPr>
        <w:t xml:space="preserve"> </w:t>
      </w:r>
      <w:bookmarkEnd w:id="6"/>
      <w:r w:rsidRPr="008557D1">
        <w:rPr>
          <w:rFonts w:ascii="Verdana" w:eastAsia="Calibri" w:hAnsi="Verdana" w:cs="Arial"/>
          <w:lang w:val="es-ES_tradnl"/>
        </w:rPr>
        <w:t xml:space="preserve">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425CA819" w14:textId="77777777" w:rsidR="009F7516" w:rsidRPr="008557D1" w:rsidRDefault="009F7516" w:rsidP="00896343">
      <w:pPr>
        <w:widowControl w:val="0"/>
        <w:autoSpaceDE w:val="0"/>
        <w:autoSpaceDN w:val="0"/>
        <w:spacing w:after="120" w:line="276" w:lineRule="auto"/>
        <w:ind w:firstLine="708"/>
        <w:jc w:val="both"/>
        <w:rPr>
          <w:rFonts w:ascii="Verdana" w:eastAsia="Calibri" w:hAnsi="Verdana" w:cs="Arial"/>
          <w:lang w:val="es-ES_tradnl"/>
        </w:rPr>
      </w:pPr>
      <w:r w:rsidRPr="008557D1">
        <w:rPr>
          <w:rFonts w:ascii="Verdana" w:eastAsia="Calibri" w:hAnsi="Verdana" w:cs="Arial"/>
          <w:lang w:val="es-ES_tradnl"/>
        </w:rPr>
        <w:lastRenderedPageBreak/>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3F78A776" w14:textId="40DF804F" w:rsidR="009F7516" w:rsidRPr="008557D1" w:rsidRDefault="009F7516" w:rsidP="00896343">
      <w:pPr>
        <w:widowControl w:val="0"/>
        <w:autoSpaceDE w:val="0"/>
        <w:autoSpaceDN w:val="0"/>
        <w:spacing w:after="120" w:line="276" w:lineRule="auto"/>
        <w:ind w:firstLine="708"/>
        <w:jc w:val="both"/>
        <w:rPr>
          <w:rFonts w:ascii="Verdana" w:eastAsia="Calibri" w:hAnsi="Verdana" w:cs="Arial"/>
          <w:lang w:val="es-ES_tradnl"/>
        </w:rPr>
      </w:pPr>
      <w:r w:rsidRPr="008557D1">
        <w:rPr>
          <w:rFonts w:ascii="Verdana" w:eastAsia="Calibri" w:hAnsi="Verdana" w:cs="Arial"/>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8557D1">
        <w:rPr>
          <w:rFonts w:ascii="Verdana" w:eastAsia="Calibri" w:hAnsi="Verdana" w:cs="Arial"/>
          <w:i/>
          <w:iCs/>
          <w:lang w:val="es-ES_tradnl"/>
        </w:rPr>
        <w:t xml:space="preserve">restrictiva </w:t>
      </w:r>
      <w:r w:rsidRPr="008557D1">
        <w:rPr>
          <w:rStyle w:val="Refdenotaalpie"/>
          <w:rFonts w:ascii="Verdana" w:eastAsia="Calibri" w:hAnsi="Verdana" w:cs="Arial"/>
          <w:i/>
          <w:iCs/>
          <w:lang w:val="es-ES_tradnl"/>
        </w:rPr>
        <w:footnoteReference w:id="7"/>
      </w:r>
      <w:r w:rsidR="006A2568">
        <w:rPr>
          <w:rFonts w:ascii="Verdana" w:eastAsia="Calibri" w:hAnsi="Verdana" w:cs="Arial"/>
          <w:lang w:val="es-ES_tradnl"/>
        </w:rPr>
        <w:t>. S</w:t>
      </w:r>
      <w:r w:rsidRPr="008557D1">
        <w:rPr>
          <w:rFonts w:ascii="Verdana" w:eastAsia="Calibri" w:hAnsi="Verdana" w:cs="Arial"/>
          <w:lang w:val="es-ES_tradnl"/>
        </w:rPr>
        <w:t xml:space="preserve">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2ECEF2A1" w14:textId="77777777" w:rsidR="003C7B47" w:rsidRDefault="009F7516" w:rsidP="00896343">
      <w:pPr>
        <w:widowControl w:val="0"/>
        <w:autoSpaceDE w:val="0"/>
        <w:autoSpaceDN w:val="0"/>
        <w:spacing w:after="120" w:line="276" w:lineRule="auto"/>
        <w:ind w:firstLine="708"/>
        <w:jc w:val="both"/>
        <w:rPr>
          <w:rFonts w:ascii="Verdana" w:eastAsia="Calibri" w:hAnsi="Verdana" w:cs="Arial"/>
          <w:lang w:val="es-ES_tradnl"/>
        </w:rPr>
      </w:pPr>
      <w:r w:rsidRPr="008557D1">
        <w:rPr>
          <w:rFonts w:ascii="Verdana" w:eastAsia="Calibri" w:hAnsi="Verdana" w:cs="Arial"/>
          <w:lang w:val="es-ES_tradnl"/>
        </w:rPr>
        <w:t xml:space="preserve">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 </w:t>
      </w:r>
      <w:r w:rsidRPr="008557D1">
        <w:rPr>
          <w:rStyle w:val="Refdenotaalpie"/>
          <w:rFonts w:ascii="Verdana" w:eastAsia="Calibri" w:hAnsi="Verdana" w:cs="Arial"/>
          <w:lang w:val="es-ES_tradnl"/>
        </w:rPr>
        <w:footnoteReference w:id="8"/>
      </w:r>
      <w:r w:rsidRPr="008557D1">
        <w:rPr>
          <w:rFonts w:ascii="Verdana" w:eastAsia="Calibri" w:hAnsi="Verdana" w:cs="Arial"/>
          <w:lang w:val="es-ES_tradnl"/>
        </w:rPr>
        <w:t xml:space="preserve">. </w:t>
      </w:r>
    </w:p>
    <w:p w14:paraId="7F477A7E" w14:textId="674A7748" w:rsidR="009F7516" w:rsidRPr="008557D1" w:rsidRDefault="009F7516" w:rsidP="009F7516">
      <w:pPr>
        <w:widowControl w:val="0"/>
        <w:autoSpaceDE w:val="0"/>
        <w:autoSpaceDN w:val="0"/>
        <w:spacing w:after="0" w:line="276" w:lineRule="auto"/>
        <w:ind w:firstLine="708"/>
        <w:jc w:val="both"/>
        <w:rPr>
          <w:rFonts w:ascii="Verdana" w:eastAsia="Calibri" w:hAnsi="Verdana" w:cs="Arial"/>
          <w:lang w:val="es-ES_tradnl"/>
        </w:rPr>
      </w:pPr>
      <w:r w:rsidRPr="008557D1">
        <w:rPr>
          <w:rFonts w:ascii="Verdana" w:eastAsia="Calibri" w:hAnsi="Verdana" w:cs="Arial"/>
          <w:lang w:val="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8557D1">
        <w:rPr>
          <w:rStyle w:val="Refdenotaalpie"/>
          <w:rFonts w:ascii="Verdana" w:eastAsia="Calibri" w:hAnsi="Verdana" w:cs="Arial"/>
          <w:lang w:val="es-ES_tradnl"/>
        </w:rPr>
        <w:footnoteReference w:id="9"/>
      </w:r>
      <w:r w:rsidRPr="008557D1">
        <w:rPr>
          <w:rFonts w:ascii="Verdana" w:eastAsia="Calibri" w:hAnsi="Verdana" w:cs="Arial"/>
          <w:lang w:val="es-ES_tradnl"/>
        </w:rPr>
        <w:t xml:space="preserve"> . En tal sentido, la Sección Tercera ha señalado que:</w:t>
      </w:r>
    </w:p>
    <w:p w14:paraId="743328BC" w14:textId="77777777" w:rsidR="009F7516" w:rsidRPr="008557D1" w:rsidRDefault="009F7516" w:rsidP="009F7516">
      <w:pPr>
        <w:widowControl w:val="0"/>
        <w:autoSpaceDE w:val="0"/>
        <w:autoSpaceDN w:val="0"/>
        <w:spacing w:after="0" w:line="276" w:lineRule="auto"/>
        <w:jc w:val="both"/>
        <w:rPr>
          <w:rFonts w:ascii="Verdana" w:eastAsia="Calibri" w:hAnsi="Verdana" w:cs="Arial"/>
          <w:lang w:val="es-ES_tradnl"/>
        </w:rPr>
      </w:pPr>
    </w:p>
    <w:p w14:paraId="69AEA2F7"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sz w:val="20"/>
          <w:szCs w:val="20"/>
          <w:lang w:val="es-ES_tradnl"/>
        </w:rPr>
      </w:pPr>
      <w:r w:rsidRPr="008557D1">
        <w:rPr>
          <w:rFonts w:ascii="Verdana" w:eastAsia="Calibri" w:hAnsi="Verdana" w:cs="Arial"/>
          <w:sz w:val="20"/>
          <w:szCs w:val="20"/>
          <w:lang w:val="es-ES_tradnl"/>
        </w:rPr>
        <w:lastRenderedPageBreak/>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8557D1">
        <w:rPr>
          <w:rStyle w:val="Refdenotaalpie"/>
          <w:rFonts w:ascii="Verdana" w:eastAsia="Calibri" w:hAnsi="Verdana" w:cs="Arial"/>
          <w:sz w:val="20"/>
          <w:szCs w:val="20"/>
          <w:lang w:val="es-ES_tradnl"/>
        </w:rPr>
        <w:footnoteReference w:id="10"/>
      </w:r>
    </w:p>
    <w:p w14:paraId="6BAEC282"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sz w:val="20"/>
          <w:szCs w:val="20"/>
          <w:lang w:val="es-ES_tradnl"/>
        </w:rPr>
      </w:pPr>
    </w:p>
    <w:p w14:paraId="2A68DAD5"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sz w:val="20"/>
          <w:szCs w:val="20"/>
          <w:lang w:val="es-ES_tradnl"/>
        </w:rPr>
      </w:pPr>
      <w:r w:rsidRPr="008557D1">
        <w:rPr>
          <w:rFonts w:ascii="Verdana" w:eastAsia="Calibri" w:hAnsi="Verdana" w:cs="Arial"/>
          <w:sz w:val="20"/>
          <w:szCs w:val="20"/>
          <w:lang w:val="es-ES_tradnl"/>
        </w:rPr>
        <w:t>También ha dicho que:</w:t>
      </w:r>
    </w:p>
    <w:p w14:paraId="139FDC8C"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sz w:val="20"/>
          <w:szCs w:val="20"/>
          <w:lang w:val="es-ES_tradnl"/>
        </w:rPr>
      </w:pPr>
    </w:p>
    <w:p w14:paraId="76DC9F0D" w14:textId="77777777" w:rsidR="009F7516" w:rsidRPr="008557D1" w:rsidRDefault="009F7516" w:rsidP="00896343">
      <w:pPr>
        <w:widowControl w:val="0"/>
        <w:autoSpaceDE w:val="0"/>
        <w:autoSpaceDN w:val="0"/>
        <w:spacing w:after="0" w:line="240" w:lineRule="auto"/>
        <w:ind w:left="709" w:right="709"/>
        <w:jc w:val="both"/>
        <w:rPr>
          <w:rFonts w:ascii="Verdana" w:eastAsia="Calibri" w:hAnsi="Verdana" w:cs="Arial"/>
          <w:sz w:val="20"/>
          <w:szCs w:val="20"/>
          <w:lang w:val="es-ES"/>
        </w:rPr>
      </w:pPr>
      <w:r w:rsidRPr="795AA69A">
        <w:rPr>
          <w:rFonts w:ascii="Verdana" w:eastAsia="Calibri" w:hAnsi="Verdana" w:cs="Arial"/>
          <w:sz w:val="20"/>
          <w:szCs w:val="20"/>
          <w:lang w:val="es-ES"/>
        </w:rPr>
        <w:t xml:space="preserve">[…] la aplicación de estos preceptos exige una interpretación restrictiva, dado que según el principio hermenéutico pro </w:t>
      </w:r>
      <w:proofErr w:type="spellStart"/>
      <w:r w:rsidRPr="795AA69A">
        <w:rPr>
          <w:rFonts w:ascii="Verdana" w:eastAsia="Calibri" w:hAnsi="Verdana" w:cs="Arial"/>
          <w:sz w:val="20"/>
          <w:szCs w:val="20"/>
          <w:lang w:val="es-ES"/>
        </w:rPr>
        <w:t>libertate</w:t>
      </w:r>
      <w:proofErr w:type="spellEnd"/>
      <w:r w:rsidRPr="795AA69A">
        <w:rPr>
          <w:rFonts w:ascii="Verdana" w:eastAsia="Calibri" w:hAnsi="Verdana"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 .</w:t>
      </w:r>
      <w:r w:rsidRPr="795AA69A">
        <w:rPr>
          <w:rStyle w:val="Refdenotaalpie"/>
          <w:rFonts w:ascii="Verdana" w:eastAsia="Calibri" w:hAnsi="Verdana" w:cs="Arial"/>
          <w:sz w:val="20"/>
          <w:szCs w:val="20"/>
          <w:lang w:val="es-ES"/>
        </w:rPr>
        <w:footnoteReference w:id="11"/>
      </w:r>
    </w:p>
    <w:p w14:paraId="08CEBEC5" w14:textId="77777777" w:rsidR="009F7516" w:rsidRPr="008557D1" w:rsidRDefault="009F7516" w:rsidP="009F7516">
      <w:pPr>
        <w:widowControl w:val="0"/>
        <w:autoSpaceDE w:val="0"/>
        <w:autoSpaceDN w:val="0"/>
        <w:spacing w:after="0" w:line="276" w:lineRule="auto"/>
        <w:jc w:val="both"/>
        <w:rPr>
          <w:rFonts w:ascii="Verdana" w:eastAsia="Calibri" w:hAnsi="Verdana" w:cs="Arial"/>
          <w:lang w:val="es-ES_tradnl"/>
        </w:rPr>
      </w:pPr>
    </w:p>
    <w:p w14:paraId="7E794795" w14:textId="63030158" w:rsidR="009F7516" w:rsidRPr="008557D1" w:rsidRDefault="009F7516" w:rsidP="00896343">
      <w:pPr>
        <w:widowControl w:val="0"/>
        <w:autoSpaceDE w:val="0"/>
        <w:autoSpaceDN w:val="0"/>
        <w:spacing w:after="120" w:line="276" w:lineRule="auto"/>
        <w:ind w:firstLine="708"/>
        <w:jc w:val="both"/>
        <w:rPr>
          <w:rFonts w:ascii="Verdana" w:eastAsia="Calibri" w:hAnsi="Verdana" w:cs="Arial"/>
          <w:lang w:val="es-ES"/>
        </w:rPr>
      </w:pPr>
      <w:r w:rsidRPr="795AA69A">
        <w:rPr>
          <w:rFonts w:ascii="Verdana" w:eastAsia="Calibri" w:hAnsi="Verdana" w:cs="Arial"/>
          <w:lang w:val="es-ES"/>
        </w:rPr>
        <w:t>Como se aprecia</w:t>
      </w:r>
      <w:r w:rsidR="003C7B47" w:rsidRPr="795AA69A">
        <w:rPr>
          <w:rFonts w:ascii="Verdana" w:eastAsia="Calibri" w:hAnsi="Verdana" w:cs="Arial"/>
          <w:lang w:val="es-ES"/>
        </w:rPr>
        <w:t xml:space="preserve"> de las normas y la jurisprudencia citada</w:t>
      </w:r>
      <w:r w:rsidRPr="795AA69A">
        <w:rPr>
          <w:rFonts w:ascii="Verdana" w:eastAsia="Calibri" w:hAnsi="Verdana" w:cs="Arial"/>
          <w:lang w:val="es-ES"/>
        </w:rPr>
        <w:t xml:space="preserve">, el principio </w:t>
      </w:r>
      <w:r w:rsidRPr="00896343">
        <w:rPr>
          <w:rFonts w:ascii="Verdana" w:eastAsia="Calibri" w:hAnsi="Verdana" w:cs="Arial"/>
          <w:i/>
          <w:iCs/>
          <w:lang w:val="es-ES"/>
        </w:rPr>
        <w:t xml:space="preserve">pro </w:t>
      </w:r>
      <w:proofErr w:type="spellStart"/>
      <w:r w:rsidRPr="00896343">
        <w:rPr>
          <w:rFonts w:ascii="Verdana" w:eastAsia="Calibri" w:hAnsi="Verdana" w:cs="Arial"/>
          <w:i/>
          <w:iCs/>
          <w:lang w:val="es-ES"/>
        </w:rPr>
        <w:t>libertate</w:t>
      </w:r>
      <w:proofErr w:type="spellEnd"/>
      <w:r w:rsidRPr="795AA69A">
        <w:rPr>
          <w:rFonts w:ascii="Verdana" w:eastAsia="Calibri" w:hAnsi="Verdana" w:cs="Arial"/>
          <w:lang w:val="es-ES"/>
        </w:rPr>
        <w:t xml:space="preserv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2D18AC3E" w14:textId="77777777" w:rsidR="00027481" w:rsidRPr="00896343" w:rsidRDefault="00027481" w:rsidP="00027481">
      <w:pPr>
        <w:spacing w:before="120" w:after="0" w:line="276" w:lineRule="auto"/>
        <w:ind w:firstLine="709"/>
        <w:jc w:val="both"/>
        <w:rPr>
          <w:rFonts w:ascii="Verdana" w:eastAsia="Calibri" w:hAnsi="Verdana" w:cs="Arial"/>
          <w:lang w:val="es-ES_tradnl"/>
        </w:rPr>
      </w:pPr>
      <w:r w:rsidRPr="00896343">
        <w:rPr>
          <w:rFonts w:ascii="Verdana" w:eastAsia="Times New Roman" w:hAnsi="Verdana" w:cs="Arial"/>
          <w:color w:val="000000"/>
          <w:shd w:val="clear" w:color="auto" w:fill="FFFFFF"/>
          <w:lang w:val="es-ES" w:eastAsia="es-ES_tradnl"/>
        </w:rPr>
        <w:t xml:space="preserve">Ahora bien, </w:t>
      </w:r>
      <w:r w:rsidRPr="00896343">
        <w:rPr>
          <w:rFonts w:ascii="Verdana" w:eastAsia="Calibri" w:hAnsi="Verdana" w:cs="Arial"/>
          <w:lang w:val="es-ES_tradnl"/>
        </w:rPr>
        <w:t xml:space="preserve">con la finalidad de resolver las dudas planteadas en su consulta, se estudiará el artículo 8 de la Ley 80 de 1993, el cual reza de la siguiente forma: </w:t>
      </w:r>
    </w:p>
    <w:p w14:paraId="26948E62" w14:textId="77777777" w:rsidR="00027481" w:rsidRPr="00896343" w:rsidRDefault="00027481" w:rsidP="00027481">
      <w:pPr>
        <w:spacing w:after="0" w:line="276" w:lineRule="auto"/>
        <w:ind w:left="709" w:right="902"/>
        <w:jc w:val="both"/>
        <w:rPr>
          <w:rFonts w:ascii="Verdana" w:eastAsia="Aptos" w:hAnsi="Verdana" w:cs="Arial"/>
          <w:lang w:val="es-MX" w:eastAsia="es-MX"/>
        </w:rPr>
      </w:pPr>
      <w:bookmarkStart w:id="7" w:name="8"/>
    </w:p>
    <w:bookmarkEnd w:id="7"/>
    <w:p w14:paraId="2C27007F"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“ARTICULO 8°. DE LAS INHABILIDADES E INCOMPATIBILIDADES PARA CONTRATAR.</w:t>
      </w:r>
    </w:p>
    <w:p w14:paraId="6F4AD922"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2578D4C1"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1°. Son inhábiles para participar en licitaciones o concursos y para celebrar contratos con las entidades estatales:</w:t>
      </w:r>
    </w:p>
    <w:p w14:paraId="2786BD11"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770FFD8E"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lastRenderedPageBreak/>
        <w:t>a) Las personas que se hallen inhabilitadas para contratar por la Constitución y las leyes.</w:t>
      </w:r>
    </w:p>
    <w:p w14:paraId="3B7F1C42"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166BEA91"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b) Quienes participaron en las licitaciones o concursos o celebraron los contratos de que trata el literal anterior estando inhabilitados.</w:t>
      </w:r>
    </w:p>
    <w:p w14:paraId="4512874E"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72DD91E0"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c) Quienes dieron lugar a la declaratoria de caducidad.</w:t>
      </w:r>
    </w:p>
    <w:p w14:paraId="393236B6"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5669B32A"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 xml:space="preserve">d) Quienes en sentencia judicial hayan sido condenados a la pena accesoria de interdicción de derechos y funciones públicas y quienes hayan sido sancionados disciplinariamente con destitución. </w:t>
      </w:r>
    </w:p>
    <w:p w14:paraId="300B444D"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3B4802FB"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e) Quienes sin justa causa se abstengan de suscribir el contrato estatal adjudicado.</w:t>
      </w:r>
    </w:p>
    <w:p w14:paraId="54A73C30"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2EBCD195"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f) Los servidores públicos.</w:t>
      </w:r>
    </w:p>
    <w:p w14:paraId="1CC11A4C"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371A8EEE" w14:textId="77777777" w:rsidR="00027481" w:rsidRPr="00896343" w:rsidRDefault="00027481" w:rsidP="00427B24">
      <w:pPr>
        <w:spacing w:after="0" w:line="240" w:lineRule="auto"/>
        <w:ind w:left="709" w:right="709"/>
        <w:contextualSpacing/>
        <w:jc w:val="both"/>
        <w:rPr>
          <w:rFonts w:ascii="Verdana" w:eastAsia="Aptos" w:hAnsi="Verdana" w:cs="Arial"/>
          <w:i/>
          <w:iCs/>
          <w:sz w:val="20"/>
          <w:szCs w:val="20"/>
          <w:lang w:val="es-MX" w:eastAsia="es-MX"/>
        </w:rPr>
      </w:pPr>
      <w:r w:rsidRPr="00896343">
        <w:rPr>
          <w:rFonts w:ascii="Verdana" w:eastAsia="Aptos" w:hAnsi="Verdana" w:cs="Arial"/>
          <w:i/>
          <w:iCs/>
          <w:sz w:val="20"/>
          <w:szCs w:val="20"/>
          <w:lang w:val="es-MX" w:eastAsia="es-MX"/>
        </w:rPr>
        <w:t>g) Quienes sean cónyuges o compañeros permanentes y quienes se encuentren dentro del segundo grado de consanguinidad o segundo de afinidad con cualquier otra persona que formalmente haya presentado propuesta para una misma licitación.</w:t>
      </w:r>
    </w:p>
    <w:p w14:paraId="10EA1894" w14:textId="77777777" w:rsidR="00027481" w:rsidRPr="00896343" w:rsidRDefault="00027481" w:rsidP="00427B24">
      <w:pPr>
        <w:spacing w:after="0" w:line="240" w:lineRule="auto"/>
        <w:ind w:left="709" w:right="709"/>
        <w:contextualSpacing/>
        <w:jc w:val="both"/>
        <w:rPr>
          <w:rFonts w:ascii="Verdana" w:eastAsia="Aptos" w:hAnsi="Verdana" w:cs="Arial"/>
          <w:i/>
          <w:iCs/>
          <w:sz w:val="20"/>
          <w:szCs w:val="20"/>
          <w:lang w:val="es-MX" w:eastAsia="es-MX"/>
        </w:rPr>
      </w:pPr>
    </w:p>
    <w:p w14:paraId="7FBDB09E" w14:textId="77777777" w:rsidR="00027481" w:rsidRPr="00896343" w:rsidRDefault="00027481" w:rsidP="00427B24">
      <w:pPr>
        <w:spacing w:after="0" w:line="240" w:lineRule="auto"/>
        <w:ind w:left="709" w:right="709"/>
        <w:contextualSpacing/>
        <w:jc w:val="both"/>
        <w:rPr>
          <w:rFonts w:ascii="Verdana" w:eastAsia="Aptos" w:hAnsi="Verdana" w:cs="Arial"/>
          <w:i/>
          <w:iCs/>
          <w:sz w:val="20"/>
          <w:szCs w:val="20"/>
          <w:lang w:val="es-MX" w:eastAsia="es-MX"/>
        </w:rPr>
      </w:pPr>
      <w:r w:rsidRPr="00896343">
        <w:rPr>
          <w:rFonts w:ascii="Verdana" w:eastAsia="Aptos" w:hAnsi="Verdana" w:cs="Arial"/>
          <w:i/>
          <w:iCs/>
          <w:sz w:val="20"/>
          <w:szCs w:val="20"/>
          <w:lang w:val="es-MX" w:eastAsia="es-MX"/>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2B2D88D9"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0CE7B298"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i) Los socios de sociedades de personas a las cuales se haya declarado la caducidad, así como las sociedades de personas de las que aquellos formen parte con posterioridad a dicha declaratoria.</w:t>
      </w:r>
    </w:p>
    <w:p w14:paraId="2FBB28D1"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3A19AB39"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de la de celebración del contrato, o de la de expiración del plazo para su firma.</w:t>
      </w:r>
    </w:p>
    <w:p w14:paraId="05CA869F"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459B3E3B"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 xml:space="preserve">j) Literal reglamentado por el Decreto 1358 de 2020. Literal modificado por la Ley 2014 de 2019, artículo 2º.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w:t>
      </w:r>
      <w:r w:rsidRPr="00896343">
        <w:rPr>
          <w:rFonts w:ascii="Verdana" w:eastAsia="Aptos" w:hAnsi="Verdana" w:cs="Arial"/>
          <w:sz w:val="20"/>
          <w:szCs w:val="20"/>
          <w:lang w:val="es-MX" w:eastAsia="es-MX"/>
        </w:rPr>
        <w:lastRenderedPageBreak/>
        <w:t>Colombia, así como las personas jurídicas que hayan sido declaradas responsables administrativamente por la conducta de soborno transnacional.</w:t>
      </w:r>
    </w:p>
    <w:p w14:paraId="6FAF274F"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2D8405A6"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 xml:space="preserve">Esta inhabilidad procederá preventivamente aún en los casos en los que esté pendiente la decisión sobre la impugnación de la sentencia condenatoria.  </w:t>
      </w:r>
    </w:p>
    <w:p w14:paraId="3CD98633"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7FFE24A5"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Asimismo, la inhabilidad se extenderá a las sociedades de las que hagan parte dichas personas en calidad de administradores, representantes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excepción de las sociedades anónimas abiertas.</w:t>
      </w:r>
    </w:p>
    <w:p w14:paraId="53D0D124"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0CF42E05"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También se considerarán inhabilitadas para contratar, las personas jurídicas sobre las cuales se haya ordenado la suspensión de la personería jurídica en los términos de ley, o cuyos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w:t>
      </w:r>
    </w:p>
    <w:p w14:paraId="0E96246D"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31001C53"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La inhabilidad prevista en este literal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w:t>
      </w:r>
    </w:p>
    <w:p w14:paraId="6C4B74DD"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25CF44E3"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k) Literal adicionado por la Ley 1474 de 2011, artículo 2º. Éste modificado por la Ley 1778 de 2016, artículo 33. Inhabilidad para contratar de quienes financien campañas políticas.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1B928305"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5EB92664"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La inhabilidad se extenderá por todo el período para el cual el candidato fue elegido. Esta causal también operará para las personas que se encuentren dentro del segundo grado de consanguinidad, segundo de afinidad, o primero civil de la persona que ha financiado la campaña política.</w:t>
      </w:r>
    </w:p>
    <w:p w14:paraId="0002A06D"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7FD11DC1"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Esta inhabilidad comprenderá también a las personas jurídicas en las cuales el representante legal, los miembros de junta directiva o cualquiera de sus socios controlantes hayan financiado directamente o por interpuesta persona campañas políticas a la Presidencia de la República, a las gobernaciones, las alcaldías o al Congreso de la República.</w:t>
      </w:r>
    </w:p>
    <w:p w14:paraId="146F831B"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15056C2B"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La inhabilidad contemplada en esta norma no se aplicará respecto de los contratos de prestación de servicios profesionales.</w:t>
      </w:r>
    </w:p>
    <w:p w14:paraId="0C135A6F"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5D80F943"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k) Literal adicionado por la Ley 1474 de 2011, artículo 84, parágrafo 2º. (éste declarado exequible condicionalmente por los cargos analizados por la Corte Constitucional en la Sentencia C-434 de 2013.).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37E76E3C"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447CC70B"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Esta inhabilidad se extenderá por un término de cinco (5) años, contados a partir de la ejecutoria del acto administrativo que así lo declare, previa la actuación administrativa correspondiente.</w:t>
      </w:r>
    </w:p>
    <w:p w14:paraId="01ECC345"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730BF279"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2°. Tampoco podrán participar en licitaciones o concursos ni celebrar contratos estatales con la entidad respectiva:</w:t>
      </w:r>
    </w:p>
    <w:p w14:paraId="2C6205F2"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478AD461"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w:t>
      </w:r>
    </w:p>
    <w:p w14:paraId="3402614F"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5A5BE5E5"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 xml:space="preserve">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w:t>
      </w:r>
      <w:proofErr w:type="spellStart"/>
      <w:r w:rsidRPr="00896343">
        <w:rPr>
          <w:rFonts w:ascii="Verdana" w:eastAsia="Aptos" w:hAnsi="Verdana" w:cs="Arial"/>
          <w:sz w:val="20"/>
          <w:szCs w:val="20"/>
          <w:lang w:val="es-MX" w:eastAsia="es-MX"/>
        </w:rPr>
        <w:t>ejerzan</w:t>
      </w:r>
      <w:proofErr w:type="spellEnd"/>
      <w:r w:rsidRPr="00896343">
        <w:rPr>
          <w:rFonts w:ascii="Verdana" w:eastAsia="Aptos" w:hAnsi="Verdana" w:cs="Arial"/>
          <w:sz w:val="20"/>
          <w:szCs w:val="20"/>
          <w:lang w:val="es-MX" w:eastAsia="es-MX"/>
        </w:rPr>
        <w:t xml:space="preserve"> el control interno o fiscal de la entidad contratante.</w:t>
      </w:r>
    </w:p>
    <w:p w14:paraId="128F6600"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2248BF61"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 xml:space="preserve">c) El cónyuge, compañero o compañera permanente del servidor público en los niveles directivo, asesor, ejecutivo, o de un miembro de la junta o consejo directivo, o de quien ejerza funciones de control interno o de control fiscal.  </w:t>
      </w:r>
    </w:p>
    <w:p w14:paraId="5BE2BA9D"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241DF2BA"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 xml:space="preserve">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w:t>
      </w:r>
      <w:r w:rsidRPr="00896343">
        <w:rPr>
          <w:rFonts w:ascii="Verdana" w:eastAsia="Aptos" w:hAnsi="Verdana" w:cs="Arial"/>
          <w:sz w:val="20"/>
          <w:szCs w:val="20"/>
          <w:lang w:val="es-MX" w:eastAsia="es-MX"/>
        </w:rPr>
        <w:lastRenderedPageBreak/>
        <w:t>miembro de la junta o consejo directivo, o el cónyuge, compañero o compañera permanente o los parientes hasta el segundo grado de consanguinidad, afinidad o civil de cualquiera de ellos, tenga participación o desempeñe cargos de dirección o manejo.</w:t>
      </w:r>
    </w:p>
    <w:p w14:paraId="2BF58D4F"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063ACAF9"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e) Los miembros de las juntas o consejos directivos. Esta incompatibilidad sólo se predica respecto de la entidad a la cual prestan sus servicios y de las del sector administrativo al que la misma esté adscrita o vinculada.</w:t>
      </w:r>
    </w:p>
    <w:p w14:paraId="18895993"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683E08D5"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f) Literal adicionado por la Ley 1474 de 2011, artículo 4º.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p>
    <w:p w14:paraId="2EE5C891"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404C3FD0"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 xml:space="preserve">Esta incompatibilidad también operará para las personas que se encuentren dentro del primer grado de consanguinidad, primero de afinidad, o primero civil del </w:t>
      </w:r>
      <w:proofErr w:type="gramStart"/>
      <w:r w:rsidRPr="00896343">
        <w:rPr>
          <w:rFonts w:ascii="Verdana" w:eastAsia="Aptos" w:hAnsi="Verdana" w:cs="Arial"/>
          <w:sz w:val="20"/>
          <w:szCs w:val="20"/>
          <w:lang w:val="es-MX" w:eastAsia="es-MX"/>
        </w:rPr>
        <w:t>ex empleado</w:t>
      </w:r>
      <w:proofErr w:type="gramEnd"/>
      <w:r w:rsidRPr="00896343">
        <w:rPr>
          <w:rFonts w:ascii="Verdana" w:eastAsia="Aptos" w:hAnsi="Verdana" w:cs="Arial"/>
          <w:sz w:val="20"/>
          <w:szCs w:val="20"/>
          <w:lang w:val="es-MX" w:eastAsia="es-MX"/>
        </w:rPr>
        <w:t xml:space="preserve"> público.</w:t>
      </w:r>
    </w:p>
    <w:p w14:paraId="4838DFEF"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48F3B7B4"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PARAGRAFO 1°. La inhabilidad prevista en el literal d) del ordinal 2°. de este artículo no se aplicará en relación con las corporaciones, asociaciones, fundaciones y sociedades allí mencionadas, cuando por disposición legal o estatutaria el servidor público en los niveles referidos debe desempeñar en ellas cargos de dirección o manejo.</w:t>
      </w:r>
    </w:p>
    <w:p w14:paraId="48DB531A"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210FD6B4"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Inciso adicionado por la Ley 1150 de 2007, artículo 18. En las causales de inhabilidad por parentesco o por matrimonio, los vínculos desaparecen por muerte o por disolución del matrimonio.</w:t>
      </w:r>
    </w:p>
    <w:p w14:paraId="77AC6B17"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2C9537EF"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PARAGRAFO 2°. Para los efectos previstos en este artículo, el Gobierno Nacional determinará que debe entenderse por sociedades anónimas abiertas.</w:t>
      </w:r>
    </w:p>
    <w:p w14:paraId="738F98EC"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p>
    <w:p w14:paraId="66EA926A" w14:textId="77777777" w:rsidR="00027481" w:rsidRPr="00896343" w:rsidRDefault="00027481" w:rsidP="00427B24">
      <w:pPr>
        <w:spacing w:after="0" w:line="240" w:lineRule="auto"/>
        <w:ind w:left="709" w:right="709"/>
        <w:contextualSpacing/>
        <w:jc w:val="both"/>
        <w:rPr>
          <w:rFonts w:ascii="Verdana" w:eastAsia="Aptos" w:hAnsi="Verdana" w:cs="Arial"/>
          <w:sz w:val="20"/>
          <w:szCs w:val="20"/>
          <w:lang w:val="es-MX" w:eastAsia="es-MX"/>
        </w:rPr>
      </w:pPr>
      <w:r w:rsidRPr="00896343">
        <w:rPr>
          <w:rFonts w:ascii="Verdana" w:eastAsia="Aptos" w:hAnsi="Verdana" w:cs="Arial"/>
          <w:sz w:val="20"/>
          <w:szCs w:val="20"/>
          <w:lang w:val="es-MX" w:eastAsia="es-MX"/>
        </w:rPr>
        <w:t>PARÁGRAFO 3º. Adicionado por la Ley 2014 de 2019, artículo 3o. Las inhabilidades e incompatibilidades contempladas en este artículo se aplicarán a cualquier proceso de contratación privada en el que se comprometan recursos públicos”. [Énfasis fuera del texto original]</w:t>
      </w:r>
    </w:p>
    <w:p w14:paraId="4FFFCFF0" w14:textId="77777777" w:rsidR="00027481" w:rsidRPr="00896343" w:rsidRDefault="00027481" w:rsidP="00427B24">
      <w:pPr>
        <w:spacing w:after="0" w:line="276" w:lineRule="auto"/>
        <w:ind w:firstLine="709"/>
        <w:jc w:val="both"/>
        <w:rPr>
          <w:rFonts w:ascii="Verdana" w:eastAsia="Calibri" w:hAnsi="Verdana" w:cs="Arial"/>
          <w:color w:val="000000"/>
          <w:szCs w:val="24"/>
          <w:lang w:val="es-ES_tradnl" w:eastAsia="es-ES_tradnl"/>
        </w:rPr>
      </w:pPr>
    </w:p>
    <w:p w14:paraId="23D90574" w14:textId="7CE1EB71" w:rsidR="00027481" w:rsidRPr="00896343" w:rsidRDefault="00027481" w:rsidP="00027481">
      <w:pPr>
        <w:spacing w:after="120" w:line="276" w:lineRule="auto"/>
        <w:ind w:firstLine="709"/>
        <w:jc w:val="both"/>
        <w:rPr>
          <w:rFonts w:ascii="Verdana" w:eastAsia="Calibri" w:hAnsi="Verdana" w:cs="Arial"/>
          <w:color w:val="000000"/>
          <w:lang w:val="es-ES_tradnl" w:eastAsia="es-ES_tradnl"/>
        </w:rPr>
      </w:pPr>
      <w:bookmarkStart w:id="8" w:name="_Hlk141426805"/>
      <w:r w:rsidRPr="00896343">
        <w:rPr>
          <w:rFonts w:ascii="Verdana" w:eastAsia="Calibri" w:hAnsi="Verdana" w:cs="Arial"/>
          <w:color w:val="000000"/>
          <w:lang w:val="es-ES_tradnl" w:eastAsia="es-ES_tradnl"/>
        </w:rPr>
        <w:t xml:space="preserve">Teniendo en cuenta el objeto de su solicitud, es menester referirse a las </w:t>
      </w:r>
      <w:r w:rsidRPr="00896343">
        <w:rPr>
          <w:rFonts w:ascii="Verdana" w:eastAsia="Calibri" w:hAnsi="Verdana" w:cs="Arial"/>
          <w:lang w:val="es-ES_tradnl"/>
        </w:rPr>
        <w:t>inhabilidades de las personas por vínculos naturales o jurídicos</w:t>
      </w:r>
      <w:bookmarkEnd w:id="8"/>
      <w:r w:rsidRPr="00896343">
        <w:rPr>
          <w:rFonts w:ascii="Verdana" w:eastAsia="Calibri" w:hAnsi="Verdana" w:cs="Arial"/>
          <w:lang w:val="es-ES_tradnl"/>
        </w:rPr>
        <w:t>.</w:t>
      </w:r>
      <w:r w:rsidRPr="00896343">
        <w:rPr>
          <w:rFonts w:ascii="Verdana" w:eastAsia="Calibri" w:hAnsi="Verdana" w:cs="Arial"/>
          <w:color w:val="000000"/>
          <w:lang w:val="es-ES_tradnl" w:eastAsia="es-ES_tradnl"/>
        </w:rPr>
        <w:t xml:space="preserve"> </w:t>
      </w:r>
      <w:r w:rsidRPr="00896343">
        <w:rPr>
          <w:rFonts w:ascii="Verdana" w:eastAsia="Calibri" w:hAnsi="Verdana" w:cs="Arial"/>
          <w:lang w:val="es-ES_tradnl"/>
        </w:rPr>
        <w:t xml:space="preserve">En ese contexto, resulta a bien señalar que el literal g) del numeral 1° del artículo 8 de la Ley 80 de 1993 determina que son inhábiles para participar en </w:t>
      </w:r>
      <w:r w:rsidR="00692B1B" w:rsidRPr="00692B1B">
        <w:rPr>
          <w:rFonts w:ascii="Verdana" w:eastAsia="Calibri" w:hAnsi="Verdana" w:cs="Arial"/>
          <w:lang w:val="es-ES_tradnl"/>
        </w:rPr>
        <w:t xml:space="preserve">procesos de contratación </w:t>
      </w:r>
      <w:r w:rsidRPr="00896343">
        <w:rPr>
          <w:rFonts w:ascii="Verdana" w:eastAsia="Calibri" w:hAnsi="Verdana" w:cs="Arial"/>
          <w:lang w:val="es-ES_tradnl"/>
        </w:rPr>
        <w:t xml:space="preserve">o suscribir contratos con </w:t>
      </w:r>
      <w:r w:rsidR="00692B1B" w:rsidRPr="00692B1B">
        <w:rPr>
          <w:rFonts w:ascii="Verdana" w:eastAsia="Calibri" w:hAnsi="Verdana" w:cs="Arial"/>
          <w:lang w:val="es-ES_tradnl"/>
        </w:rPr>
        <w:t xml:space="preserve">entidades estatales </w:t>
      </w:r>
      <w:r w:rsidRPr="00896343">
        <w:rPr>
          <w:rFonts w:ascii="Verdana" w:eastAsia="Calibri" w:hAnsi="Verdana" w:cs="Arial"/>
          <w:lang w:val="es-ES_tradnl"/>
        </w:rPr>
        <w:t xml:space="preserve">“Quienes sean cónyuges o compañeros permanentes y quiénes se encuentren dentro del segundo grado de </w:t>
      </w:r>
      <w:r w:rsidRPr="00896343">
        <w:rPr>
          <w:rFonts w:ascii="Verdana" w:eastAsia="Calibri" w:hAnsi="Verdana" w:cs="Arial"/>
          <w:lang w:val="es-ES_tradnl"/>
        </w:rPr>
        <w:lastRenderedPageBreak/>
        <w:t xml:space="preserve">consanguinidad o segundo de afinidad con cualquier otra persona que formalmente haya presentado propuesta para una misma licitación”. Similar prohibición, se encuentra en el literal h) del numeral 1 </w:t>
      </w:r>
      <w:r w:rsidRPr="00896343">
        <w:rPr>
          <w:rFonts w:ascii="Verdana" w:eastAsia="Calibri" w:hAnsi="Verdana" w:cs="Arial"/>
          <w:i/>
          <w:iCs/>
          <w:lang w:val="es-ES_tradnl"/>
        </w:rPr>
        <w:t xml:space="preserve">ibidem, </w:t>
      </w:r>
      <w:r w:rsidRPr="00896343">
        <w:rPr>
          <w:rFonts w:ascii="Verdana" w:eastAsia="Calibri" w:hAnsi="Verdana" w:cs="Arial"/>
          <w:lang w:val="es-ES_tradnl"/>
        </w:rPr>
        <w:t>cuando la participación simultánea en el proceso es de sociedades, distintas a las sociedades anónimas abiertas.</w:t>
      </w:r>
    </w:p>
    <w:p w14:paraId="57B2EFC2" w14:textId="77777777" w:rsidR="00027481" w:rsidRPr="00896343" w:rsidRDefault="00027481" w:rsidP="00027481">
      <w:pPr>
        <w:spacing w:after="120" w:line="276" w:lineRule="auto"/>
        <w:jc w:val="both"/>
        <w:rPr>
          <w:rFonts w:ascii="Verdana" w:eastAsia="Calibri" w:hAnsi="Verdana" w:cs="Arial"/>
          <w:lang w:val="es-ES_tradnl"/>
        </w:rPr>
      </w:pPr>
      <w:r w:rsidRPr="00896343">
        <w:rPr>
          <w:rFonts w:ascii="Verdana" w:eastAsia="Calibri" w:hAnsi="Verdana" w:cs="Arial"/>
          <w:lang w:val="es-ES_tradnl"/>
        </w:rPr>
        <w:tab/>
        <w:t>Dichas inhabilidades tienen fundamento en las relaciones familiares o de parentesco, tales como los cónyuges o compañeros permanentes, así como aquellas personas respecto de las cuales se predican relaciones de consanguinidad o afinidad hasta el segundo grado. Esto implica que las referidas causales de inhabilidad se instituyen, única y exclusivamente, con el propósito de limitar la capacidad en la participación en Procesos de Contratación de las denominadas personas naturales</w:t>
      </w:r>
      <w:r w:rsidRPr="00896343">
        <w:rPr>
          <w:rFonts w:ascii="Verdana" w:eastAsia="Calibri" w:hAnsi="Verdana" w:cs="Arial"/>
          <w:vertAlign w:val="superscript"/>
          <w:lang w:val="es-ES"/>
        </w:rPr>
        <w:footnoteReference w:id="12"/>
      </w:r>
      <w:r w:rsidRPr="00896343">
        <w:rPr>
          <w:rFonts w:ascii="Verdana" w:eastAsia="Calibri" w:hAnsi="Verdana" w:cs="Arial"/>
          <w:lang w:val="es-ES"/>
        </w:rPr>
        <w:t>, esto es, sujetos de derechos y obligaciones de la especie humana unidos entre sí, ya sea por vínculos naturales o jurídicos</w:t>
      </w:r>
      <w:r w:rsidRPr="00896343">
        <w:rPr>
          <w:rFonts w:ascii="Verdana" w:eastAsia="Calibri" w:hAnsi="Verdana" w:cs="Arial"/>
          <w:vertAlign w:val="superscript"/>
          <w:lang w:val="es-ES"/>
        </w:rPr>
        <w:footnoteReference w:id="13"/>
      </w:r>
      <w:r w:rsidRPr="00896343">
        <w:rPr>
          <w:rFonts w:ascii="Verdana" w:eastAsia="Calibri" w:hAnsi="Verdana" w:cs="Arial"/>
          <w:lang w:val="es-ES"/>
        </w:rPr>
        <w:t>.</w:t>
      </w:r>
    </w:p>
    <w:p w14:paraId="06A4BD4C" w14:textId="77777777" w:rsidR="00027481" w:rsidRPr="00896343" w:rsidRDefault="00027481" w:rsidP="00027481">
      <w:pPr>
        <w:spacing w:after="120" w:line="276" w:lineRule="auto"/>
        <w:jc w:val="both"/>
        <w:rPr>
          <w:rFonts w:ascii="Verdana" w:eastAsia="Calibri" w:hAnsi="Verdana" w:cs="Arial"/>
          <w:lang w:val="es-ES_tradnl"/>
        </w:rPr>
      </w:pPr>
      <w:r w:rsidRPr="00896343">
        <w:rPr>
          <w:rFonts w:ascii="Verdana" w:eastAsia="Calibri" w:hAnsi="Verdana" w:cs="Arial"/>
          <w:lang w:val="es-ES_tradnl"/>
        </w:rPr>
        <w:tab/>
        <w:t>Los cónyuges son aquellas personas vinculadas entre sí a través del contrato de matrimonio</w:t>
      </w:r>
      <w:r w:rsidRPr="00896343">
        <w:rPr>
          <w:rFonts w:ascii="Verdana" w:eastAsia="Calibri" w:hAnsi="Verdana" w:cs="Arial"/>
          <w:vertAlign w:val="superscript"/>
          <w:lang w:val="es-ES_tradnl"/>
        </w:rPr>
        <w:footnoteReference w:id="14"/>
      </w:r>
      <w:r w:rsidRPr="00896343">
        <w:rPr>
          <w:rFonts w:ascii="Verdana" w:eastAsia="Calibri" w:hAnsi="Verdana" w:cs="Arial"/>
          <w:lang w:val="es-ES_tradnl"/>
        </w:rPr>
        <w:t>, que puede ser civil o religioso. Mientras que los compañeros permanentes son aquellas personas que integran una comunidad de vida, sin estar casados, denominada unión marital de hecho</w:t>
      </w:r>
      <w:r w:rsidRPr="00896343">
        <w:rPr>
          <w:rFonts w:ascii="Verdana" w:eastAsia="Calibri" w:hAnsi="Verdana" w:cs="Arial"/>
          <w:vertAlign w:val="superscript"/>
          <w:lang w:val="es-ES_tradnl"/>
        </w:rPr>
        <w:footnoteReference w:id="15"/>
      </w:r>
      <w:r w:rsidRPr="00896343">
        <w:rPr>
          <w:rFonts w:ascii="Verdana" w:eastAsia="Calibri" w:hAnsi="Verdana" w:cs="Arial"/>
          <w:lang w:val="es-ES_tradnl"/>
        </w:rPr>
        <w:t>. Tratándose de compañeros permanentes, la Corte Constitucional extendió los efectos de la inhabilidad objeto de estudio a las parejas del mismo sexo, considerando la protección o salvaguarda del principio de igualdad</w:t>
      </w:r>
      <w:r w:rsidRPr="00896343">
        <w:rPr>
          <w:rFonts w:ascii="Verdana" w:eastAsia="Calibri" w:hAnsi="Verdana" w:cs="Arial"/>
          <w:vertAlign w:val="superscript"/>
          <w:lang w:val="es-ES_tradnl"/>
        </w:rPr>
        <w:footnoteReference w:id="16"/>
      </w:r>
      <w:r w:rsidRPr="00896343">
        <w:rPr>
          <w:rFonts w:ascii="Verdana" w:eastAsia="Calibri" w:hAnsi="Verdana" w:cs="Arial"/>
          <w:lang w:val="es-ES_tradnl"/>
        </w:rPr>
        <w:t>.</w:t>
      </w:r>
    </w:p>
    <w:p w14:paraId="78FEBB96" w14:textId="77777777" w:rsidR="00027481" w:rsidRPr="00896343" w:rsidRDefault="00027481" w:rsidP="00027481">
      <w:pPr>
        <w:spacing w:after="120" w:line="276" w:lineRule="auto"/>
        <w:jc w:val="both"/>
        <w:rPr>
          <w:rFonts w:ascii="Verdana" w:eastAsia="Calibri" w:hAnsi="Verdana" w:cs="Arial"/>
          <w:lang w:val="es-ES"/>
        </w:rPr>
      </w:pPr>
      <w:r w:rsidRPr="00896343">
        <w:rPr>
          <w:rFonts w:ascii="Verdana" w:eastAsia="Calibri" w:hAnsi="Verdana" w:cs="Arial"/>
          <w:lang w:val="es-ES_tradnl"/>
        </w:rPr>
        <w:tab/>
      </w:r>
      <w:r w:rsidRPr="00896343">
        <w:rPr>
          <w:rFonts w:ascii="Verdana" w:eastAsia="Calibri" w:hAnsi="Verdana" w:cs="Arial"/>
          <w:lang w:val="es-ES"/>
        </w:rPr>
        <w:t xml:space="preserve">De otra parte, en relación con el parentesco, conforme al Código Civil, este se clasifica en parentesco de consanguinidad o parentesco de afinidad. El parentesco de consanguinidad corresponde a la “[…] relación o conexión que existe entre las personas que descienden de un mismo tronco o raíz, o que están </w:t>
      </w:r>
      <w:r w:rsidRPr="00896343">
        <w:rPr>
          <w:rFonts w:ascii="Verdana" w:eastAsia="Calibri" w:hAnsi="Verdana" w:cs="Arial"/>
          <w:lang w:val="es-ES"/>
        </w:rPr>
        <w:lastRenderedPageBreak/>
        <w:t>unidas por los vínculos de la sangre”</w:t>
      </w:r>
      <w:r w:rsidRPr="00896343">
        <w:rPr>
          <w:rFonts w:ascii="Verdana" w:eastAsia="Calibri" w:hAnsi="Verdana" w:cs="Arial"/>
          <w:vertAlign w:val="superscript"/>
          <w:lang w:val="es-ES"/>
        </w:rPr>
        <w:footnoteReference w:id="17"/>
      </w:r>
      <w:r w:rsidRPr="00896343">
        <w:rPr>
          <w:rFonts w:ascii="Verdana" w:eastAsia="Calibri" w:hAnsi="Verdana" w:cs="Arial"/>
          <w:lang w:val="es-ES"/>
        </w:rPr>
        <w:t>. El parentesco de afinidad se refiere a la relación surgida entre una persona y los consanguíneos de su esposo, esposa o compañeros permanentes, según el caso</w:t>
      </w:r>
      <w:r w:rsidRPr="00896343">
        <w:rPr>
          <w:rFonts w:ascii="Verdana" w:eastAsia="Calibri" w:hAnsi="Verdana" w:cs="Arial"/>
          <w:vertAlign w:val="superscript"/>
          <w:lang w:val="es-ES"/>
        </w:rPr>
        <w:footnoteReference w:id="18"/>
      </w:r>
      <w:r w:rsidRPr="00896343">
        <w:rPr>
          <w:rFonts w:ascii="Verdana" w:eastAsia="Calibri" w:hAnsi="Verdana" w:cs="Arial"/>
          <w:lang w:val="es-ES"/>
        </w:rPr>
        <w:t xml:space="preserve">. Es precio señalar que la Corte Constitucional si bien declaró la </w:t>
      </w:r>
      <w:proofErr w:type="spellStart"/>
      <w:r w:rsidRPr="00896343">
        <w:rPr>
          <w:rFonts w:ascii="Verdana" w:eastAsia="Calibri" w:hAnsi="Verdana" w:cs="Arial"/>
          <w:lang w:val="es-ES"/>
        </w:rPr>
        <w:t>inexequibilidad</w:t>
      </w:r>
      <w:proofErr w:type="spellEnd"/>
      <w:r w:rsidRPr="00896343">
        <w:rPr>
          <w:rFonts w:ascii="Verdana" w:eastAsia="Calibri" w:hAnsi="Verdana" w:cs="Arial"/>
          <w:lang w:val="es-ES"/>
        </w:rPr>
        <w:t xml:space="preserve"> del parentesco de afinidad ilegítima, reconoció la vigencia de la denominada afinidad extramatrimonial</w:t>
      </w:r>
      <w:r w:rsidRPr="00896343">
        <w:rPr>
          <w:rFonts w:ascii="Verdana" w:eastAsia="Calibri" w:hAnsi="Verdana" w:cs="Arial"/>
          <w:vertAlign w:val="superscript"/>
          <w:lang w:val="es-ES"/>
        </w:rPr>
        <w:footnoteReference w:id="19"/>
      </w:r>
      <w:r w:rsidRPr="00896343">
        <w:rPr>
          <w:rFonts w:ascii="Verdana" w:eastAsia="Calibri" w:hAnsi="Verdana" w:cs="Arial"/>
          <w:lang w:val="es-ES"/>
        </w:rPr>
        <w:t>.</w:t>
      </w:r>
    </w:p>
    <w:p w14:paraId="5F6F656C" w14:textId="77777777" w:rsidR="00027481" w:rsidRPr="00896343" w:rsidRDefault="00027481" w:rsidP="00027481">
      <w:pPr>
        <w:spacing w:after="120" w:line="276" w:lineRule="auto"/>
        <w:jc w:val="both"/>
        <w:rPr>
          <w:rFonts w:ascii="Verdana" w:eastAsia="Calibri" w:hAnsi="Verdana" w:cs="Arial"/>
          <w:lang w:val="es-ES_tradnl"/>
        </w:rPr>
      </w:pPr>
      <w:r w:rsidRPr="00896343">
        <w:rPr>
          <w:rFonts w:ascii="Verdana" w:eastAsia="Calibri" w:hAnsi="Verdana" w:cs="Arial"/>
          <w:lang w:val="es-ES_tradnl"/>
        </w:rPr>
        <w:tab/>
        <w:t>En cuanto a los grados del parentesco se refiere, ya sea de consanguinidad o de afinidad</w:t>
      </w:r>
      <w:r w:rsidRPr="00896343">
        <w:rPr>
          <w:rFonts w:ascii="Verdana" w:eastAsia="Calibri" w:hAnsi="Verdana" w:cs="Arial"/>
          <w:vertAlign w:val="superscript"/>
          <w:lang w:val="es-ES_tradnl"/>
        </w:rPr>
        <w:footnoteReference w:id="20"/>
      </w:r>
      <w:r w:rsidRPr="00896343">
        <w:rPr>
          <w:rFonts w:ascii="Verdana" w:eastAsia="Calibri" w:hAnsi="Verdana" w:cs="Arial"/>
          <w:lang w:val="es-ES_tradnl"/>
        </w:rPr>
        <w:t>, estos se cuentan en consideración al número de generaciones existentes entre las personas. De esta manera, esta causal de inhabilidad se configura, por ejemplo, respecto de los hermanos, abuelos y nietos, quienes se encuentran en el segundo grado de consanguinidad. Mientras que, en segundo grado de afinidad están los hermanos (cuñados), abuelos y nietos del cónyuge o compañero(a) permanente.</w:t>
      </w:r>
    </w:p>
    <w:p w14:paraId="4305B90A" w14:textId="77777777" w:rsidR="001C3E46" w:rsidRDefault="00027481" w:rsidP="00027481">
      <w:pPr>
        <w:spacing w:before="120" w:after="0" w:line="276" w:lineRule="auto"/>
        <w:ind w:firstLine="709"/>
        <w:jc w:val="both"/>
        <w:rPr>
          <w:rFonts w:ascii="Verdana" w:eastAsia="Calibri" w:hAnsi="Verdana" w:cs="Arial"/>
          <w:lang w:val="es-ES_tradnl" w:eastAsia="es-CO"/>
        </w:rPr>
      </w:pPr>
      <w:r w:rsidRPr="00896343">
        <w:rPr>
          <w:rFonts w:ascii="Verdana" w:eastAsia="Calibri" w:hAnsi="Verdana" w:cs="Arial"/>
          <w:lang w:val="es-ES_tradnl" w:eastAsia="es-CO"/>
        </w:rPr>
        <w:t xml:space="preserve">La Corte Constitucional justifica estas inhabilidades en la medida que garantizan la competencia en igualdad de oportunidades para los proponentes que participan en los </w:t>
      </w:r>
      <w:r w:rsidR="007B2088" w:rsidRPr="007B2088">
        <w:rPr>
          <w:rFonts w:ascii="Verdana" w:eastAsia="Calibri" w:hAnsi="Verdana" w:cs="Arial"/>
          <w:lang w:val="es-ES_tradnl" w:eastAsia="es-CO"/>
        </w:rPr>
        <w:t>procesos de contratación</w:t>
      </w:r>
      <w:r w:rsidRPr="00896343">
        <w:rPr>
          <w:rFonts w:ascii="Verdana" w:eastAsia="Calibri" w:hAnsi="Verdana" w:cs="Arial"/>
          <w:lang w:val="es-ES_tradnl" w:eastAsia="es-CO"/>
        </w:rPr>
        <w:t xml:space="preserve">, así como la selección objetiva del contratista que se traduce en la obtención de mejores condiciones en la celebración del negocio jurídico propuesto por la Entidad Estatal contratante, materializándose los fines de la contratación estatal, especialmente, la satisfacción del interés general. </w:t>
      </w:r>
    </w:p>
    <w:p w14:paraId="372495F0" w14:textId="77777777" w:rsidR="001C3E46" w:rsidRDefault="00027481" w:rsidP="795AA69A">
      <w:pPr>
        <w:spacing w:before="120" w:after="0" w:line="276" w:lineRule="auto"/>
        <w:ind w:firstLine="709"/>
        <w:jc w:val="both"/>
        <w:rPr>
          <w:rFonts w:ascii="Verdana" w:eastAsia="Calibri" w:hAnsi="Verdana" w:cs="Arial"/>
          <w:lang w:val="es-ES" w:eastAsia="es-CO"/>
        </w:rPr>
      </w:pPr>
      <w:r w:rsidRPr="00896343">
        <w:rPr>
          <w:rFonts w:ascii="Verdana" w:eastAsia="Calibri" w:hAnsi="Verdana" w:cs="Arial"/>
          <w:i/>
          <w:iCs/>
          <w:lang w:val="es-ES" w:eastAsia="es-CO"/>
        </w:rPr>
        <w:t>Contrario sensu</w:t>
      </w:r>
      <w:r w:rsidRPr="00896343">
        <w:rPr>
          <w:rFonts w:ascii="Verdana" w:eastAsia="Calibri" w:hAnsi="Verdana" w:cs="Arial"/>
          <w:lang w:val="es-ES" w:eastAsia="es-CO"/>
        </w:rPr>
        <w:t xml:space="preserve">, en virtud de la lealtad e intimidad propias de las relaciones familiares, la participación en </w:t>
      </w:r>
      <w:r w:rsidR="007B2088" w:rsidRPr="795AA69A">
        <w:rPr>
          <w:rFonts w:ascii="Verdana" w:eastAsia="Calibri" w:hAnsi="Verdana" w:cs="Arial"/>
          <w:lang w:val="es-ES" w:eastAsia="es-CO"/>
        </w:rPr>
        <w:t>procesos de contratación</w:t>
      </w:r>
      <w:r w:rsidRPr="00896343">
        <w:rPr>
          <w:rFonts w:ascii="Verdana" w:eastAsia="Calibri" w:hAnsi="Verdana" w:cs="Arial"/>
          <w:lang w:val="es-ES" w:eastAsia="es-CO"/>
        </w:rPr>
        <w:t xml:space="preserve"> de personas unidas por vínculos familiares frustran la igualdad de oportunidades entre los participantes, así como la obtención de mejores condiciones de contratación para el Estado, pues los miembros de una misma familia pueden concertar entre sí con el propósito de hacerse al contrato y obtener un provecho económico, en perjuicio tanto de los demás participantes como del Estado, y en contravía de </w:t>
      </w:r>
      <w:r w:rsidRPr="00896343">
        <w:rPr>
          <w:rFonts w:ascii="Verdana" w:eastAsia="Calibri" w:hAnsi="Verdana" w:cs="Arial"/>
          <w:lang w:val="es-ES" w:eastAsia="es-CO"/>
        </w:rPr>
        <w:lastRenderedPageBreak/>
        <w:t xml:space="preserve">los principios que rigen la contratación pública y la función administrativa, especialmente, los de transparencia y moralidad. </w:t>
      </w:r>
    </w:p>
    <w:p w14:paraId="4F92CADB" w14:textId="53EFF205" w:rsidR="00027481" w:rsidRPr="00896343" w:rsidRDefault="00027481" w:rsidP="00027481">
      <w:pPr>
        <w:spacing w:before="120" w:after="0" w:line="276" w:lineRule="auto"/>
        <w:ind w:firstLine="709"/>
        <w:jc w:val="both"/>
        <w:rPr>
          <w:rFonts w:ascii="Verdana" w:eastAsia="Calibri" w:hAnsi="Verdana" w:cs="Arial"/>
          <w:lang w:val="es-ES_tradnl" w:eastAsia="es-CO"/>
        </w:rPr>
      </w:pPr>
      <w:r w:rsidRPr="00896343">
        <w:rPr>
          <w:rFonts w:ascii="Verdana" w:eastAsia="Calibri" w:hAnsi="Verdana" w:cs="Arial"/>
          <w:lang w:val="es-ES_tradnl" w:eastAsia="es-CO"/>
        </w:rPr>
        <w:t>Por esas razones, la jurisprudencia explica que:</w:t>
      </w:r>
    </w:p>
    <w:p w14:paraId="4D7D1F9B" w14:textId="77777777" w:rsidR="00027481" w:rsidRPr="00896343" w:rsidRDefault="00027481" w:rsidP="00027481">
      <w:pPr>
        <w:spacing w:after="0" w:line="240" w:lineRule="auto"/>
        <w:ind w:left="709" w:right="709"/>
        <w:jc w:val="both"/>
        <w:rPr>
          <w:rFonts w:ascii="Verdana" w:eastAsia="Times New Roman" w:hAnsi="Verdana" w:cs="Arial"/>
          <w:sz w:val="21"/>
          <w:szCs w:val="21"/>
          <w:lang w:eastAsia="es-CO"/>
        </w:rPr>
      </w:pPr>
    </w:p>
    <w:p w14:paraId="5432544D" w14:textId="77777777" w:rsidR="00027481" w:rsidRPr="00896343" w:rsidRDefault="00027481" w:rsidP="00027481">
      <w:pPr>
        <w:spacing w:after="0" w:line="240" w:lineRule="auto"/>
        <w:ind w:left="709" w:right="709"/>
        <w:jc w:val="both"/>
        <w:rPr>
          <w:rFonts w:ascii="Verdana" w:eastAsia="Times New Roman" w:hAnsi="Verdana" w:cs="Arial"/>
          <w:sz w:val="20"/>
          <w:szCs w:val="20"/>
          <w:lang w:eastAsia="es-CO"/>
        </w:rPr>
      </w:pPr>
      <w:r w:rsidRPr="00896343">
        <w:rPr>
          <w:rFonts w:ascii="Verdana" w:eastAsia="Times New Roman" w:hAnsi="Verdana" w:cs="Arial"/>
          <w:sz w:val="20"/>
          <w:szCs w:val="20"/>
          <w:lang w:eastAsia="es-CO"/>
        </w:rPr>
        <w:t xml:space="preserve">“Concluye la Corte que dado que los intereses de los miembros de una </w:t>
      </w:r>
      <w:proofErr w:type="gramStart"/>
      <w:r w:rsidRPr="00896343">
        <w:rPr>
          <w:rFonts w:ascii="Verdana" w:eastAsia="Times New Roman" w:hAnsi="Verdana" w:cs="Arial"/>
          <w:sz w:val="20"/>
          <w:szCs w:val="20"/>
          <w:lang w:eastAsia="es-CO"/>
        </w:rPr>
        <w:t>familia,</w:t>
      </w:r>
      <w:proofErr w:type="gramEnd"/>
      <w:r w:rsidRPr="00896343">
        <w:rPr>
          <w:rFonts w:ascii="Verdana" w:eastAsia="Times New Roman" w:hAnsi="Verdana" w:cs="Arial"/>
          <w:sz w:val="20"/>
          <w:szCs w:val="20"/>
          <w:lang w:eastAsia="es-CO"/>
        </w:rPr>
        <w:t xml:space="preserve"> tienen una alta probabilidad de incidir negativamente en la consecución de los objetivos que el Estado se traza al abrir una licitación o concurso, vale decir, obtener las mejores condiciones y promover al máximo la igualdad de acceso de los particulares, se justifica </w:t>
      </w:r>
      <w:proofErr w:type="gramStart"/>
      <w:r w:rsidRPr="00896343">
        <w:rPr>
          <w:rFonts w:ascii="Verdana" w:eastAsia="Times New Roman" w:hAnsi="Verdana" w:cs="Arial"/>
          <w:sz w:val="20"/>
          <w:szCs w:val="20"/>
          <w:lang w:eastAsia="es-CO"/>
        </w:rPr>
        <w:t>que</w:t>
      </w:r>
      <w:proofErr w:type="gramEnd"/>
      <w:r w:rsidRPr="00896343">
        <w:rPr>
          <w:rFonts w:ascii="Verdana" w:eastAsia="Times New Roman" w:hAnsi="Verdana" w:cs="Arial"/>
          <w:sz w:val="20"/>
          <w:szCs w:val="20"/>
          <w:lang w:eastAsia="es-CO"/>
        </w:rPr>
        <w:t xml:space="preserve"> en este caso, </w:t>
      </w:r>
      <w:proofErr w:type="gramStart"/>
      <w:r w:rsidRPr="00896343">
        <w:rPr>
          <w:rFonts w:ascii="Verdana" w:eastAsia="Times New Roman" w:hAnsi="Verdana" w:cs="Arial"/>
          <w:sz w:val="20"/>
          <w:szCs w:val="20"/>
          <w:lang w:eastAsia="es-CO"/>
        </w:rPr>
        <w:t>en razón del</w:t>
      </w:r>
      <w:proofErr w:type="gramEnd"/>
      <w:r w:rsidRPr="00896343">
        <w:rPr>
          <w:rFonts w:ascii="Verdana" w:eastAsia="Times New Roman" w:hAnsi="Verdana" w:cs="Arial"/>
          <w:sz w:val="20"/>
          <w:szCs w:val="20"/>
          <w:lang w:eastAsia="es-CO"/>
        </w:rPr>
        <w:t xml:space="preserve"> interés general, se dicte una regla que restrinja su participación”</w:t>
      </w:r>
      <w:r w:rsidRPr="00896343">
        <w:rPr>
          <w:rFonts w:ascii="Verdana" w:eastAsia="Calibri" w:hAnsi="Verdana" w:cs="Arial"/>
          <w:sz w:val="20"/>
          <w:szCs w:val="20"/>
          <w:vertAlign w:val="superscript"/>
          <w:lang w:val="es-ES_tradnl" w:eastAsia="es-CO"/>
        </w:rPr>
        <w:t xml:space="preserve"> </w:t>
      </w:r>
      <w:r w:rsidRPr="00896343">
        <w:rPr>
          <w:rFonts w:ascii="Verdana" w:eastAsia="Calibri" w:hAnsi="Verdana" w:cs="Arial"/>
          <w:sz w:val="20"/>
          <w:szCs w:val="20"/>
          <w:vertAlign w:val="superscript"/>
          <w:lang w:val="es-ES_tradnl" w:eastAsia="es-CO"/>
        </w:rPr>
        <w:footnoteReference w:id="21"/>
      </w:r>
      <w:r w:rsidRPr="00896343">
        <w:rPr>
          <w:rFonts w:ascii="Verdana" w:eastAsia="Times New Roman" w:hAnsi="Verdana" w:cs="Arial"/>
          <w:sz w:val="20"/>
          <w:szCs w:val="20"/>
          <w:lang w:eastAsia="es-CO"/>
        </w:rPr>
        <w:t>.</w:t>
      </w:r>
    </w:p>
    <w:p w14:paraId="29D8E365" w14:textId="77777777" w:rsidR="00027481" w:rsidRPr="00896343" w:rsidRDefault="00027481" w:rsidP="00027481">
      <w:pPr>
        <w:spacing w:after="0"/>
        <w:ind w:firstLine="709"/>
        <w:jc w:val="both"/>
        <w:rPr>
          <w:rFonts w:ascii="Verdana" w:eastAsia="Calibri" w:hAnsi="Verdana" w:cs="Arial"/>
          <w:lang w:val="es-ES_tradnl"/>
        </w:rPr>
      </w:pPr>
    </w:p>
    <w:p w14:paraId="00984FDE" w14:textId="77777777" w:rsidR="00027481" w:rsidRPr="00896343" w:rsidRDefault="00027481" w:rsidP="00027481">
      <w:pPr>
        <w:spacing w:after="120" w:line="276" w:lineRule="auto"/>
        <w:ind w:firstLine="709"/>
        <w:jc w:val="both"/>
        <w:rPr>
          <w:rFonts w:ascii="Verdana" w:eastAsia="Calibri" w:hAnsi="Verdana" w:cs="Arial"/>
          <w:lang w:val="es-ES_tradnl"/>
        </w:rPr>
      </w:pPr>
      <w:r w:rsidRPr="00896343">
        <w:rPr>
          <w:rFonts w:ascii="Verdana" w:eastAsia="Calibri" w:hAnsi="Verdana" w:cs="Arial"/>
        </w:rPr>
        <w:t>A su vez, el Consejo de Estado reconoce que, si bien estas inhabilidades son una limitación a la libertad negocial de las personas, las mismas se justifican en la medida que previene la utilización de factores de poder, consecuencia de relaciones familiares, cuyo propósito es obtener un provecho económico individual, en perjuicio del interés general que prevalece en el ejercicio de la función pública</w:t>
      </w:r>
      <w:r w:rsidRPr="00896343">
        <w:rPr>
          <w:rFonts w:ascii="Verdana" w:eastAsia="Calibri" w:hAnsi="Verdana" w:cs="Arial"/>
          <w:vertAlign w:val="superscript"/>
        </w:rPr>
        <w:footnoteReference w:id="22"/>
      </w:r>
      <w:r w:rsidRPr="00896343">
        <w:rPr>
          <w:rFonts w:ascii="Verdana" w:eastAsia="Calibri" w:hAnsi="Verdana" w:cs="Arial"/>
        </w:rPr>
        <w:t>.</w:t>
      </w:r>
      <w:r w:rsidRPr="00896343">
        <w:rPr>
          <w:rFonts w:ascii="Verdana" w:eastAsia="Calibri" w:hAnsi="Verdana" w:cs="Arial"/>
          <w:lang w:val="es-ES_tradnl"/>
        </w:rPr>
        <w:tab/>
      </w:r>
    </w:p>
    <w:p w14:paraId="6E3CB7A2" w14:textId="106DB16B" w:rsidR="00027481" w:rsidRPr="00896343" w:rsidRDefault="00027481" w:rsidP="00027481">
      <w:pPr>
        <w:spacing w:after="120" w:line="276" w:lineRule="auto"/>
        <w:ind w:firstLine="709"/>
        <w:jc w:val="both"/>
        <w:rPr>
          <w:rFonts w:ascii="Verdana" w:eastAsia="Calibri" w:hAnsi="Verdana" w:cs="Arial"/>
          <w:lang w:val="es-ES"/>
        </w:rPr>
      </w:pPr>
      <w:r w:rsidRPr="00896343">
        <w:rPr>
          <w:rFonts w:ascii="Verdana" w:eastAsia="Calibri" w:hAnsi="Verdana" w:cs="Arial"/>
          <w:lang w:val="es-ES"/>
        </w:rPr>
        <w:t xml:space="preserve">Bajo esa orbita, se precisa que las citadas inhabilidades se predican de las personas que ostentan vínculos en los términos expuestos y que presenten formalmente ofertas en un </w:t>
      </w:r>
      <w:r w:rsidR="001C3E46" w:rsidRPr="001C3E46">
        <w:rPr>
          <w:rFonts w:ascii="Verdana" w:eastAsia="Calibri" w:hAnsi="Verdana" w:cs="Arial"/>
          <w:lang w:val="es-ES"/>
        </w:rPr>
        <w:t xml:space="preserve">proceso de contratación </w:t>
      </w:r>
      <w:r w:rsidRPr="00896343">
        <w:rPr>
          <w:rFonts w:ascii="Verdana" w:eastAsia="Calibri" w:hAnsi="Verdana" w:cs="Arial"/>
          <w:lang w:val="es-ES"/>
        </w:rPr>
        <w:t>después que lo ha hecho su esposo, esposa, compañero(a) permanente o algún pariente hasta el segundo grado de consanguinidad o afinidad. Es por eso por lo que, en el artículo 2.2.1.1.2.2.5 del Decreto 1082 de 2015, se dispuso que la Entidad Estatal contratante dejará constancia de la fecha y hora en que recibió las correspondientes ofertas, para establecer cuál fue la primera en el tiempo y/o cual(es) se encuentra(n) inhabilitada(s) acorde al literal g) y h) del numeral 1 del artículo 8 de la Ley 80 de 1993.</w:t>
      </w:r>
    </w:p>
    <w:p w14:paraId="2A5DC6B4" w14:textId="77777777" w:rsidR="00027481" w:rsidRPr="00896343" w:rsidRDefault="00027481" w:rsidP="00027481">
      <w:pPr>
        <w:spacing w:after="120" w:line="276" w:lineRule="auto"/>
        <w:ind w:firstLine="709"/>
        <w:jc w:val="both"/>
        <w:rPr>
          <w:rFonts w:ascii="Verdana" w:eastAsia="Calibri" w:hAnsi="Verdana" w:cs="Arial"/>
          <w:lang w:val="es-ES_tradnl"/>
        </w:rPr>
      </w:pPr>
      <w:r w:rsidRPr="00896343">
        <w:rPr>
          <w:rFonts w:ascii="Verdana" w:eastAsia="Calibri" w:hAnsi="Verdana" w:cs="Arial"/>
          <w:lang w:val="es-ES_tradnl"/>
        </w:rPr>
        <w:t xml:space="preserve">En conclusión, </w:t>
      </w:r>
      <w:bookmarkStart w:id="9" w:name="_Hlk143237097"/>
      <w:r w:rsidRPr="00896343">
        <w:rPr>
          <w:rFonts w:ascii="Verdana" w:eastAsia="Calibri" w:hAnsi="Verdana" w:cs="Arial"/>
          <w:lang w:val="es-ES_tradnl"/>
        </w:rPr>
        <w:t xml:space="preserve">debido a que el régimen de inhabilidades se interpreta de manera restrictiva, las causales de inhabilidad dispuestas en el literal g) y h) del numeral 1° del artículo 8 de la Ley 80 de 1993 </w:t>
      </w:r>
      <w:bookmarkEnd w:id="9"/>
      <w:r w:rsidRPr="00896343">
        <w:rPr>
          <w:rFonts w:ascii="Verdana" w:eastAsia="Calibri" w:hAnsi="Verdana" w:cs="Arial"/>
          <w:lang w:val="es-ES_tradnl"/>
        </w:rPr>
        <w:t>no se aplican al caso puesto en consideración de esta Agencia.</w:t>
      </w:r>
      <w:r w:rsidRPr="00896343">
        <w:rPr>
          <w:rFonts w:ascii="Verdana" w:eastAsia="Calibri" w:hAnsi="Verdana" w:cs="Arial"/>
          <w:lang w:val="es-ES_tradnl"/>
        </w:rPr>
        <w:tab/>
      </w:r>
    </w:p>
    <w:p w14:paraId="2D04BAD6" w14:textId="77777777" w:rsidR="0085527B" w:rsidRPr="00896343" w:rsidRDefault="0085527B" w:rsidP="0085527B">
      <w:pPr>
        <w:spacing w:after="120" w:line="276" w:lineRule="auto"/>
        <w:ind w:firstLine="709"/>
        <w:jc w:val="both"/>
        <w:rPr>
          <w:rFonts w:ascii="Verdana" w:eastAsia="Aptos" w:hAnsi="Verdana" w:cs="Arial"/>
          <w:lang w:eastAsia="es-MX"/>
        </w:rPr>
      </w:pPr>
      <w:r w:rsidRPr="00896343">
        <w:rPr>
          <w:rFonts w:ascii="Verdana" w:eastAsia="Calibri" w:hAnsi="Verdana" w:cs="Arial"/>
          <w:lang w:val="es-ES_tradnl"/>
        </w:rPr>
        <w:lastRenderedPageBreak/>
        <w:t xml:space="preserve">Ahora bien, los literales </w:t>
      </w:r>
      <w:r w:rsidRPr="00896343">
        <w:rPr>
          <w:rFonts w:ascii="Verdana" w:eastAsia="Aptos" w:hAnsi="Verdana" w:cs="Arial"/>
          <w:lang w:eastAsia="es-MX"/>
        </w:rPr>
        <w:t xml:space="preserve">b) y c) del numeral 2° del artículo 8 de la Ley 80 de 1993 consagran dos (2) restricciones para contratar relacionadas con el parentesco. En ese sentido no podrán participar en Procesos de Contratación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así como del cónyuge, compañero o compañera permanente del servidor público en los niveles directivo, asesor, ejecutivo, o de un miembro de la junta o consejo directivo, o de quien ejerza funciones de control interno o de control fiscal.  </w:t>
      </w:r>
    </w:p>
    <w:p w14:paraId="298064B5" w14:textId="7DA482CA" w:rsidR="0085527B" w:rsidRPr="00896343" w:rsidRDefault="0085527B" w:rsidP="0085527B">
      <w:pPr>
        <w:spacing w:after="120" w:line="276" w:lineRule="auto"/>
        <w:ind w:firstLine="709"/>
        <w:jc w:val="both"/>
        <w:rPr>
          <w:rFonts w:ascii="Verdana" w:eastAsia="Calibri" w:hAnsi="Verdana" w:cs="Arial"/>
          <w:color w:val="000000"/>
          <w:lang w:val="es-ES_tradnl" w:eastAsia="es-ES_tradnl"/>
        </w:rPr>
      </w:pPr>
      <w:r w:rsidRPr="00896343">
        <w:rPr>
          <w:rFonts w:ascii="Verdana" w:eastAsia="Calibri" w:hAnsi="Verdana" w:cs="Arial"/>
          <w:color w:val="000000"/>
          <w:lang w:val="es-ES_tradnl" w:eastAsia="es-ES_tradnl"/>
        </w:rPr>
        <w:t xml:space="preserve">Conforme lo expuesto, en cada caso deberá analizarse si un proponente tiene algún tipo de parentesco con un </w:t>
      </w:r>
      <w:r w:rsidRPr="00896343">
        <w:rPr>
          <w:rFonts w:ascii="Verdana" w:eastAsia="Aptos" w:hAnsi="Verdana" w:cs="Arial"/>
          <w:lang w:eastAsia="es-MX"/>
        </w:rPr>
        <w:t xml:space="preserve">servidor público en los niveles directivo, asesor, ejecutivo, o de un miembro de la junta o consejo directivo, o de quien ejerza funciones de control interno o de control fiscal de la </w:t>
      </w:r>
      <w:r w:rsidR="00743355" w:rsidRPr="00743355">
        <w:rPr>
          <w:rFonts w:ascii="Verdana" w:eastAsia="Aptos" w:hAnsi="Verdana" w:cs="Arial"/>
          <w:lang w:eastAsia="es-MX"/>
        </w:rPr>
        <w:t>entidad estatal que adelanta el proceso de contratación.</w:t>
      </w:r>
    </w:p>
    <w:p w14:paraId="2D38395D" w14:textId="77777777" w:rsidR="0037243A" w:rsidRDefault="0085527B" w:rsidP="0085527B">
      <w:pPr>
        <w:spacing w:after="120" w:line="276" w:lineRule="auto"/>
        <w:ind w:firstLine="708"/>
        <w:jc w:val="both"/>
        <w:rPr>
          <w:rFonts w:ascii="Verdana" w:eastAsia="Calibri" w:hAnsi="Verdana" w:cs="Arial"/>
          <w:color w:val="000000"/>
          <w:lang w:val="es-ES_tradnl"/>
        </w:rPr>
      </w:pPr>
      <w:r w:rsidRPr="00896343">
        <w:rPr>
          <w:rFonts w:ascii="Verdana" w:eastAsia="Calibri" w:hAnsi="Verdana" w:cs="Arial"/>
          <w:color w:val="000000"/>
        </w:rPr>
        <w:t>En segundo lugar</w:t>
      </w:r>
      <w:r w:rsidRPr="00896343">
        <w:rPr>
          <w:rFonts w:ascii="Verdana" w:eastAsia="Calibri" w:hAnsi="Verdana" w:cs="Arial"/>
          <w:color w:val="000000"/>
          <w:lang w:val="es-ES_tradnl"/>
        </w:rPr>
        <w:t xml:space="preserve">, </w:t>
      </w:r>
      <w:r w:rsidR="0037243A">
        <w:rPr>
          <w:rFonts w:ascii="Verdana" w:eastAsia="Calibri" w:hAnsi="Verdana" w:cs="Arial"/>
          <w:color w:val="000000"/>
          <w:lang w:val="es-ES_tradnl"/>
        </w:rPr>
        <w:t>resulta fundamental</w:t>
      </w:r>
      <w:r w:rsidRPr="00896343">
        <w:rPr>
          <w:rFonts w:ascii="Verdana" w:eastAsia="Calibri" w:hAnsi="Verdana" w:cs="Arial"/>
          <w:color w:val="000000"/>
          <w:lang w:val="es-ES_tradnl"/>
        </w:rPr>
        <w:t xml:space="preserve"> hace</w:t>
      </w:r>
      <w:r w:rsidR="0037243A">
        <w:rPr>
          <w:rFonts w:ascii="Verdana" w:eastAsia="Calibri" w:hAnsi="Verdana" w:cs="Arial"/>
          <w:color w:val="000000"/>
          <w:lang w:val="es-ES_tradnl"/>
        </w:rPr>
        <w:t>r</w:t>
      </w:r>
      <w:r w:rsidRPr="00896343">
        <w:rPr>
          <w:rFonts w:ascii="Verdana" w:eastAsia="Calibri" w:hAnsi="Verdana" w:cs="Arial"/>
          <w:color w:val="000000"/>
          <w:lang w:val="es-ES_tradnl"/>
        </w:rPr>
        <w:t xml:space="preserve"> referencia al régimen de los conflictos de interés en la contratación estatal</w:t>
      </w:r>
      <w:r w:rsidR="0037243A">
        <w:rPr>
          <w:rFonts w:ascii="Verdana" w:eastAsia="Calibri" w:hAnsi="Verdana" w:cs="Arial"/>
          <w:color w:val="000000"/>
          <w:lang w:val="es-ES_tradnl"/>
        </w:rPr>
        <w:t xml:space="preserve">. Al respecto, </w:t>
      </w:r>
      <w:r w:rsidRPr="00896343">
        <w:rPr>
          <w:rFonts w:ascii="Verdana" w:eastAsia="Calibri" w:hAnsi="Verdana" w:cs="Arial"/>
          <w:color w:val="000000"/>
          <w:lang w:val="es-ES_tradnl"/>
        </w:rPr>
        <w:t xml:space="preserve">debe señalarse que,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w:t>
      </w:r>
    </w:p>
    <w:p w14:paraId="3DA439BD" w14:textId="7DD3462D" w:rsidR="0085527B" w:rsidRPr="00896343" w:rsidRDefault="0085527B" w:rsidP="795AA69A">
      <w:pPr>
        <w:spacing w:after="120" w:line="276" w:lineRule="auto"/>
        <w:ind w:firstLine="708"/>
        <w:jc w:val="both"/>
        <w:rPr>
          <w:rFonts w:ascii="Verdana" w:eastAsia="Calibri" w:hAnsi="Verdana" w:cs="Arial"/>
          <w:color w:val="000000"/>
          <w:lang w:val="es-ES"/>
        </w:rPr>
      </w:pPr>
      <w:r w:rsidRPr="00896343">
        <w:rPr>
          <w:rFonts w:ascii="Verdana" w:eastAsia="Calibri" w:hAnsi="Verdana" w:cs="Arial"/>
          <w:color w:val="000000" w:themeColor="text1"/>
          <w:lang w:val="es-ES"/>
        </w:rPr>
        <w:t xml:space="preserve">En desarrollo de esta directriz, </w:t>
      </w:r>
      <w:bookmarkStart w:id="10" w:name="_Hlk36672204"/>
      <w:r w:rsidRPr="00896343">
        <w:rPr>
          <w:rFonts w:ascii="Verdana" w:eastAsia="Calibri" w:hAnsi="Verdana" w:cs="Arial"/>
          <w:color w:val="000000" w:themeColor="text1"/>
          <w:lang w:val="es-ES"/>
        </w:rPr>
        <w:t xml:space="preserve">el régimen de los </w:t>
      </w:r>
      <w:r w:rsidRPr="00896343">
        <w:rPr>
          <w:rFonts w:ascii="Verdana" w:eastAsia="Calibri" w:hAnsi="Verdana" w:cs="Arial"/>
          <w:i/>
          <w:iCs/>
          <w:color w:val="000000" w:themeColor="text1"/>
          <w:lang w:val="es-ES"/>
        </w:rPr>
        <w:t>conflictos de interés</w:t>
      </w:r>
      <w:r w:rsidRPr="00896343">
        <w:rPr>
          <w:rFonts w:ascii="Verdana" w:eastAsia="Calibri" w:hAnsi="Verdana" w:cs="Arial"/>
          <w:color w:val="000000" w:themeColor="text1"/>
          <w:lang w:val="es-ES"/>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w:t>
      </w:r>
      <w:bookmarkStart w:id="11" w:name="_Hlk36668905"/>
      <w:r w:rsidRPr="00896343">
        <w:rPr>
          <w:rFonts w:ascii="Verdana" w:eastAsia="Calibri" w:hAnsi="Verdana" w:cs="Arial"/>
          <w:color w:val="000000" w:themeColor="text1"/>
          <w:lang w:val="es-ES"/>
        </w:rPr>
        <w:t>concurrencia de intereses antagónicos que afectan la transparencia de las decisiones, al implicar –en detrimento del interés general– el aprovechamiento personal, familiar o particular</w:t>
      </w:r>
      <w:bookmarkEnd w:id="10"/>
      <w:bookmarkEnd w:id="11"/>
      <w:r w:rsidRPr="00896343">
        <w:rPr>
          <w:rFonts w:ascii="Verdana" w:eastAsia="Calibri" w:hAnsi="Verdana" w:cs="Arial"/>
          <w:color w:val="000000"/>
          <w:vertAlign w:val="superscript"/>
          <w:lang w:val="es-ES_tradnl"/>
        </w:rPr>
        <w:footnoteReference w:id="23"/>
      </w:r>
      <w:r w:rsidRPr="00896343">
        <w:rPr>
          <w:rFonts w:ascii="Verdana" w:eastAsia="Calibri" w:hAnsi="Verdana" w:cs="Arial"/>
          <w:color w:val="000000" w:themeColor="text1"/>
          <w:lang w:val="es-ES"/>
        </w:rPr>
        <w:t>.</w:t>
      </w:r>
    </w:p>
    <w:p w14:paraId="00FAE7DF" w14:textId="77777777" w:rsidR="0063336B" w:rsidRDefault="0085527B" w:rsidP="0085527B">
      <w:pPr>
        <w:spacing w:after="120" w:line="276" w:lineRule="auto"/>
        <w:jc w:val="both"/>
        <w:rPr>
          <w:rFonts w:ascii="Verdana" w:eastAsia="Calibri" w:hAnsi="Verdana" w:cs="Arial"/>
          <w:color w:val="000000"/>
          <w:lang w:val="es-ES"/>
        </w:rPr>
      </w:pPr>
      <w:r w:rsidRPr="00896343">
        <w:rPr>
          <w:rFonts w:ascii="Verdana" w:eastAsia="Calibri" w:hAnsi="Verdana" w:cs="Arial"/>
          <w:color w:val="000000"/>
          <w:lang w:val="es-ES_tradnl"/>
        </w:rPr>
        <w:lastRenderedPageBreak/>
        <w:tab/>
      </w:r>
      <w:r w:rsidRPr="00896343">
        <w:rPr>
          <w:rFonts w:ascii="Verdana" w:eastAsia="Calibri" w:hAnsi="Verdana" w:cs="Arial"/>
          <w:color w:val="000000"/>
          <w:lang w:val="es-ES"/>
        </w:rPr>
        <w:t xml:space="preserve">La institución jurídica de los conflictos de interés no está definida con carácter general en el ordenamiento jurídico y tampoco de forma precisa en las normas que regulan la contratación estatal, por lo que es un asunto ausente en el EGCAP. No obstante, existen disposiciones especiales como el régimen de los congresistas, de los concejales o el régimen disciplinario de los servidores públicos, donde se definen causales de conflictos de interés. En todo caso, la satisfacción del principio de moralidad, el deber de probidad y rectitud también se exige a los contratistas. </w:t>
      </w:r>
    </w:p>
    <w:p w14:paraId="6047D429" w14:textId="488A696A" w:rsidR="0085527B" w:rsidRPr="00896343" w:rsidRDefault="0085527B" w:rsidP="00896343">
      <w:pPr>
        <w:spacing w:after="120" w:line="276" w:lineRule="auto"/>
        <w:ind w:firstLine="708"/>
        <w:jc w:val="both"/>
        <w:rPr>
          <w:rFonts w:ascii="Verdana" w:eastAsia="Calibri" w:hAnsi="Verdana" w:cs="Arial"/>
          <w:color w:val="000000"/>
          <w:lang w:val="es-ES"/>
        </w:rPr>
      </w:pPr>
      <w:r w:rsidRPr="00896343">
        <w:rPr>
          <w:rFonts w:ascii="Verdana" w:eastAsia="Calibri" w:hAnsi="Verdana" w:cs="Arial"/>
          <w:color w:val="000000"/>
          <w:lang w:val="es-ES"/>
        </w:rPr>
        <w:t xml:space="preserve">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EGCAP dispone que aquellos obrarán con lealtad y buena fe en las distintas etapas contractuales. </w:t>
      </w:r>
    </w:p>
    <w:p w14:paraId="297B9B83" w14:textId="77777777" w:rsidR="0063336B" w:rsidRDefault="0085527B" w:rsidP="0085527B">
      <w:pPr>
        <w:spacing w:after="120" w:line="276" w:lineRule="auto"/>
        <w:jc w:val="both"/>
        <w:rPr>
          <w:rFonts w:ascii="Verdana" w:eastAsia="Calibri" w:hAnsi="Verdana" w:cs="Arial"/>
          <w:color w:val="000000"/>
          <w:lang w:val="es-ES_tradnl"/>
        </w:rPr>
      </w:pPr>
      <w:r w:rsidRPr="00896343">
        <w:rPr>
          <w:rFonts w:ascii="Verdana" w:eastAsia="Calibri" w:hAnsi="Verdana" w:cs="Arial"/>
          <w:color w:val="000000"/>
          <w:lang w:val="es-ES_tradnl"/>
        </w:rPr>
        <w:tab/>
        <w:t xml:space="preserve">Sin perjuicio de lo anterior,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w:t>
      </w:r>
    </w:p>
    <w:p w14:paraId="3EA31431" w14:textId="295D5BAB" w:rsidR="0085527B" w:rsidRPr="00896343" w:rsidRDefault="0085527B" w:rsidP="00896343">
      <w:pPr>
        <w:spacing w:after="120" w:line="276" w:lineRule="auto"/>
        <w:ind w:firstLine="708"/>
        <w:jc w:val="both"/>
        <w:rPr>
          <w:rFonts w:ascii="Verdana" w:eastAsia="Calibri" w:hAnsi="Verdana" w:cs="Arial"/>
          <w:color w:val="000000"/>
          <w:lang w:val="es-ES_tradnl"/>
        </w:rPr>
      </w:pPr>
      <w:r w:rsidRPr="00896343">
        <w:rPr>
          <w:rFonts w:ascii="Verdana" w:eastAsia="Calibri" w:hAnsi="Verdana" w:cs="Arial"/>
          <w:color w:val="000000"/>
          <w:lang w:val="es-ES_tradnl"/>
        </w:rPr>
        <w:t xml:space="preserve">Por lo </w:t>
      </w:r>
      <w:r w:rsidR="006A3373">
        <w:rPr>
          <w:rFonts w:ascii="Verdana" w:eastAsia="Calibri" w:hAnsi="Verdana" w:cs="Arial"/>
          <w:color w:val="000000"/>
          <w:lang w:val="es-ES_tradnl"/>
        </w:rPr>
        <w:t>expuesto en el párrafo precedente</w:t>
      </w:r>
      <w:r w:rsidRPr="00896343">
        <w:rPr>
          <w:rFonts w:ascii="Verdana" w:eastAsia="Calibri" w:hAnsi="Verdana" w:cs="Arial"/>
          <w:color w:val="000000"/>
          <w:lang w:val="es-ES_tradnl"/>
        </w:rPr>
        <w:t xml:space="preserve">, sus destinatarios no son los proponentes o contratistas particulares que participan en el procedimiento de selección o celebran el contrato con la </w:t>
      </w:r>
      <w:r w:rsidR="006A3373" w:rsidRPr="006A3373">
        <w:rPr>
          <w:rFonts w:ascii="Verdana" w:eastAsia="Calibri" w:hAnsi="Verdana" w:cs="Arial"/>
          <w:color w:val="000000"/>
          <w:lang w:val="es-ES_tradnl"/>
        </w:rPr>
        <w:t>entidad estatal</w:t>
      </w:r>
      <w:r w:rsidRPr="00896343">
        <w:rPr>
          <w:rFonts w:ascii="Verdana" w:eastAsia="Calibri" w:hAnsi="Verdana" w:cs="Arial"/>
          <w:color w:val="000000"/>
          <w:lang w:val="es-ES_tradnl"/>
        </w:rPr>
        <w:t>, sino los servidores mencionados. 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71244A53" w14:textId="5654E864" w:rsidR="009F7516" w:rsidRPr="008557D1" w:rsidRDefault="009F7516" w:rsidP="009F7516">
      <w:pPr>
        <w:widowControl w:val="0"/>
        <w:autoSpaceDE w:val="0"/>
        <w:autoSpaceDN w:val="0"/>
        <w:spacing w:after="120" w:line="276" w:lineRule="auto"/>
        <w:ind w:firstLine="709"/>
        <w:jc w:val="both"/>
        <w:rPr>
          <w:rFonts w:ascii="Verdana" w:eastAsia="Arial MT" w:hAnsi="Verdana" w:cs="Arial"/>
          <w:lang w:eastAsia="es-ES" w:bidi="es-ES"/>
        </w:rPr>
      </w:pPr>
      <w:r w:rsidRPr="008557D1">
        <w:rPr>
          <w:rFonts w:ascii="Verdana" w:eastAsia="Arial MT" w:hAnsi="Verdana" w:cs="Arial"/>
          <w:lang w:eastAsia="es-ES" w:bidi="es-ES"/>
        </w:rPr>
        <w:t xml:space="preserve">En conclusión, </w:t>
      </w:r>
      <w:r w:rsidR="00696797">
        <w:rPr>
          <w:rFonts w:ascii="Verdana" w:eastAsia="Arial MT" w:hAnsi="Verdana" w:cs="Arial"/>
          <w:lang w:eastAsia="es-ES" w:bidi="es-ES"/>
        </w:rPr>
        <w:t>para analizar el caso puesto en consideración de esta Agencia debe</w:t>
      </w:r>
      <w:r w:rsidR="008A041F">
        <w:rPr>
          <w:rFonts w:ascii="Verdana" w:eastAsia="Arial MT" w:hAnsi="Verdana" w:cs="Arial"/>
          <w:lang w:eastAsia="es-ES" w:bidi="es-ES"/>
        </w:rPr>
        <w:t>rá revisarse si se encuadra en una de las</w:t>
      </w:r>
      <w:r w:rsidRPr="008557D1">
        <w:rPr>
          <w:rFonts w:ascii="Verdana" w:eastAsia="Arial MT" w:hAnsi="Verdana" w:cs="Arial"/>
          <w:lang w:eastAsia="es-ES" w:bidi="es-ES"/>
        </w:rPr>
        <w:t xml:space="preserve"> causal</w:t>
      </w:r>
      <w:r w:rsidR="008A041F">
        <w:rPr>
          <w:rFonts w:ascii="Verdana" w:eastAsia="Arial MT" w:hAnsi="Verdana" w:cs="Arial"/>
          <w:lang w:eastAsia="es-ES" w:bidi="es-ES"/>
        </w:rPr>
        <w:t>es</w:t>
      </w:r>
      <w:r w:rsidRPr="008557D1">
        <w:rPr>
          <w:rFonts w:ascii="Verdana" w:eastAsia="Arial MT" w:hAnsi="Verdana" w:cs="Arial"/>
          <w:lang w:eastAsia="es-ES" w:bidi="es-ES"/>
        </w:rPr>
        <w:t xml:space="preserve"> de inhabilidad</w:t>
      </w:r>
      <w:r w:rsidR="008A041F">
        <w:rPr>
          <w:rFonts w:ascii="Verdana" w:eastAsia="Arial MT" w:hAnsi="Verdana" w:cs="Arial"/>
          <w:lang w:eastAsia="es-ES" w:bidi="es-ES"/>
        </w:rPr>
        <w:t xml:space="preserve"> establecidas en el EGCAP. A juicio de esta Agencia no se observa una causal</w:t>
      </w:r>
      <w:r w:rsidRPr="008557D1">
        <w:rPr>
          <w:rFonts w:ascii="Verdana" w:eastAsia="Arial MT" w:hAnsi="Verdana" w:cs="Arial"/>
          <w:lang w:eastAsia="es-ES" w:bidi="es-ES"/>
        </w:rPr>
        <w:t xml:space="preserve"> que prohíba la celebración de un contrato de la sociedad que realizó la donación a la </w:t>
      </w:r>
      <w:r w:rsidRPr="008557D1">
        <w:rPr>
          <w:rFonts w:ascii="Verdana" w:eastAsia="Arial MT" w:hAnsi="Verdana" w:cs="Arial"/>
          <w:lang w:eastAsia="es-ES" w:bidi="es-ES"/>
        </w:rPr>
        <w:lastRenderedPageBreak/>
        <w:t xml:space="preserve">entidad sin ánimo de lucro representada por la cónyuge del alcalde de dicha entidad. Sin embargo, la entidad contratante deberá identificar cualquier conducta que pueda llegar a tener la connotación de un conflicto de interés, producto de la concurrencia de intereses antagónicos en el </w:t>
      </w:r>
      <w:r w:rsidR="00696B5E">
        <w:rPr>
          <w:rFonts w:ascii="Verdana" w:eastAsia="Arial MT" w:hAnsi="Verdana" w:cs="Arial"/>
          <w:lang w:eastAsia="es-ES" w:bidi="es-ES"/>
        </w:rPr>
        <w:t>servidor público</w:t>
      </w:r>
      <w:r w:rsidR="00696B5E" w:rsidRPr="008557D1">
        <w:rPr>
          <w:rFonts w:ascii="Verdana" w:eastAsia="Arial MT" w:hAnsi="Verdana" w:cs="Arial"/>
          <w:lang w:eastAsia="es-ES" w:bidi="es-ES"/>
        </w:rPr>
        <w:t xml:space="preserve"> </w:t>
      </w:r>
      <w:r w:rsidRPr="008557D1">
        <w:rPr>
          <w:rFonts w:ascii="Verdana" w:eastAsia="Arial MT" w:hAnsi="Verdana" w:cs="Arial"/>
          <w:lang w:eastAsia="es-ES" w:bidi="es-ES"/>
        </w:rPr>
        <w:t>que afecten la transparencia de las decisiones que le competen o lo lleven a adoptar determinaciones de aprovechamiento personal, familiar o particular, en detrimento del interés público. En estos casos, es necesario que el conflicto de interés satisfaga los requisitos de</w:t>
      </w:r>
      <w:r w:rsidRPr="008557D1">
        <w:rPr>
          <w:rFonts w:ascii="Verdana" w:eastAsia="Arial MT" w:hAnsi="Verdana" w:cs="Arial"/>
          <w:i/>
          <w:iCs/>
          <w:lang w:eastAsia="es-ES" w:bidi="es-ES"/>
        </w:rPr>
        <w:t xml:space="preserve"> tipicidad</w:t>
      </w:r>
      <w:r w:rsidRPr="008557D1">
        <w:rPr>
          <w:rFonts w:ascii="Verdana" w:eastAsia="Arial MT" w:hAnsi="Verdana" w:cs="Arial"/>
          <w:lang w:eastAsia="es-ES" w:bidi="es-ES"/>
        </w:rPr>
        <w:t xml:space="preserve"> y </w:t>
      </w:r>
      <w:r w:rsidRPr="008557D1">
        <w:rPr>
          <w:rFonts w:ascii="Verdana" w:eastAsia="Arial MT" w:hAnsi="Verdana" w:cs="Arial"/>
          <w:i/>
          <w:iCs/>
          <w:lang w:eastAsia="es-ES" w:bidi="es-ES"/>
        </w:rPr>
        <w:t xml:space="preserve">objetividad. </w:t>
      </w:r>
    </w:p>
    <w:p w14:paraId="0EF02C0E" w14:textId="1FA3583A" w:rsidR="009F7516" w:rsidRPr="008557D1" w:rsidRDefault="009F7516" w:rsidP="009F7516">
      <w:pPr>
        <w:widowControl w:val="0"/>
        <w:autoSpaceDE w:val="0"/>
        <w:autoSpaceDN w:val="0"/>
        <w:spacing w:after="0" w:line="276" w:lineRule="auto"/>
        <w:ind w:firstLine="708"/>
        <w:jc w:val="both"/>
        <w:rPr>
          <w:rFonts w:ascii="Verdana" w:eastAsia="Calibri" w:hAnsi="Verdana" w:cs="Arial"/>
          <w:lang w:val="es-ES_tradnl"/>
        </w:rPr>
      </w:pPr>
      <w:r w:rsidRPr="008557D1">
        <w:rPr>
          <w:rFonts w:ascii="Verdana" w:eastAsia="Calibri" w:hAnsi="Verdana" w:cs="Arial"/>
          <w:lang w:val="es-ES_tradnl"/>
        </w:rPr>
        <w:t xml:space="preserve">Bajo estas consideraciones, corresponde a cada </w:t>
      </w:r>
      <w:r w:rsidR="00696B5E" w:rsidRPr="008557D1">
        <w:rPr>
          <w:rFonts w:ascii="Verdana" w:eastAsia="Calibri" w:hAnsi="Verdana" w:cs="Arial"/>
          <w:lang w:val="es-ES_tradnl"/>
        </w:rPr>
        <w:t>entidad pública</w:t>
      </w:r>
      <w:r w:rsidRPr="008557D1">
        <w:rPr>
          <w:rFonts w:ascii="Verdana" w:eastAsia="Calibri" w:hAnsi="Verdana" w:cs="Arial"/>
          <w:lang w:val="es-ES_tradnl"/>
        </w:rPr>
        <w:t>, en ejercicio de su competencia y previa valoración de los elementos fácticos y jurídicos, determinar la procedencia de una posible solución frente a la situación que se señaló en la consulta.</w:t>
      </w:r>
    </w:p>
    <w:p w14:paraId="2ED6CA96" w14:textId="77777777" w:rsidR="009F7516" w:rsidRPr="008557D1" w:rsidRDefault="009F7516" w:rsidP="009F7516">
      <w:pPr>
        <w:widowControl w:val="0"/>
        <w:autoSpaceDE w:val="0"/>
        <w:autoSpaceDN w:val="0"/>
        <w:spacing w:after="0" w:line="276" w:lineRule="auto"/>
        <w:ind w:firstLine="708"/>
        <w:jc w:val="both"/>
        <w:rPr>
          <w:rFonts w:ascii="Verdana" w:hAnsi="Verdana" w:cs="Arial"/>
        </w:rPr>
      </w:pPr>
    </w:p>
    <w:p w14:paraId="0126AA7F" w14:textId="77777777" w:rsidR="009F7516" w:rsidRPr="008557D1" w:rsidRDefault="009F7516" w:rsidP="009F751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57D1">
        <w:rPr>
          <w:rFonts w:ascii="Verdana" w:eastAsia="Century Gothic" w:hAnsi="Verdana" w:cs="Century Gothic"/>
          <w:b/>
          <w:bCs/>
        </w:rPr>
        <w:t>Referencias normativas, jurisprudenciales y otras fuentes:</w:t>
      </w:r>
    </w:p>
    <w:p w14:paraId="436780FC" w14:textId="77777777" w:rsidR="009F7516" w:rsidRPr="008557D1" w:rsidRDefault="009F7516" w:rsidP="009F751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7516" w:rsidRPr="008557D1" w14:paraId="5DF20662" w14:textId="77777777" w:rsidTr="009F7516">
        <w:trPr>
          <w:trHeight w:val="870"/>
        </w:trPr>
        <w:tc>
          <w:tcPr>
            <w:tcW w:w="8647" w:type="dxa"/>
          </w:tcPr>
          <w:p w14:paraId="74CC1BE3" w14:textId="77777777" w:rsidR="009F7516" w:rsidRPr="00896343" w:rsidRDefault="009F7516" w:rsidP="009F7516">
            <w:pPr>
              <w:pStyle w:val="Prrafodelista"/>
              <w:numPr>
                <w:ilvl w:val="0"/>
                <w:numId w:val="17"/>
              </w:numPr>
              <w:rPr>
                <w:rFonts w:ascii="Verdana" w:hAnsi="Verdana"/>
              </w:rPr>
            </w:pPr>
            <w:r w:rsidRPr="008557D1">
              <w:rPr>
                <w:rFonts w:ascii="Verdana" w:eastAsia="Calibri" w:hAnsi="Verdana" w:cs="Arial"/>
                <w:lang w:val="es-ES_tradnl"/>
              </w:rPr>
              <w:t>Constitución Política, artículo 6, artículo 29 y artículo 209.</w:t>
            </w:r>
          </w:p>
          <w:p w14:paraId="5556BEB0" w14:textId="77777777" w:rsidR="009F7516" w:rsidRPr="00896343" w:rsidRDefault="009F7516" w:rsidP="009F7516">
            <w:pPr>
              <w:pStyle w:val="Prrafodelista"/>
              <w:numPr>
                <w:ilvl w:val="0"/>
                <w:numId w:val="17"/>
              </w:numPr>
              <w:rPr>
                <w:rFonts w:ascii="Verdana" w:hAnsi="Verdana"/>
              </w:rPr>
            </w:pPr>
            <w:r w:rsidRPr="008557D1">
              <w:rPr>
                <w:rFonts w:ascii="Verdana" w:eastAsia="Calibri" w:hAnsi="Verdana" w:cs="Arial"/>
                <w:lang w:val="es-ES_tradnl"/>
              </w:rPr>
              <w:t>Ley 80 de 1993, artículo 8, artículo 9, artículo 12, artículo, artículo 25, artículo 30.</w:t>
            </w:r>
          </w:p>
          <w:p w14:paraId="7BDE3D13" w14:textId="77777777" w:rsidR="009F7516" w:rsidRPr="00896343" w:rsidRDefault="009F7516" w:rsidP="009F7516">
            <w:pPr>
              <w:pStyle w:val="Prrafodelista"/>
              <w:numPr>
                <w:ilvl w:val="0"/>
                <w:numId w:val="17"/>
              </w:numPr>
              <w:rPr>
                <w:rFonts w:ascii="Verdana" w:hAnsi="Verdana"/>
              </w:rPr>
            </w:pPr>
            <w:r w:rsidRPr="008557D1">
              <w:rPr>
                <w:rFonts w:ascii="Verdana" w:eastAsia="Calibri" w:hAnsi="Verdana" w:cs="Arial"/>
                <w:lang w:val="es-ES_tradnl"/>
              </w:rPr>
              <w:t xml:space="preserve">Ley 1150 de 2007, artículo 9.  </w:t>
            </w:r>
          </w:p>
          <w:p w14:paraId="17DA0BA0" w14:textId="77777777" w:rsidR="009F7516" w:rsidRPr="00896343" w:rsidRDefault="009F7516" w:rsidP="009F7516">
            <w:pPr>
              <w:pStyle w:val="Prrafodelista"/>
              <w:numPr>
                <w:ilvl w:val="0"/>
                <w:numId w:val="17"/>
              </w:numPr>
              <w:rPr>
                <w:rFonts w:ascii="Verdana" w:hAnsi="Verdana"/>
              </w:rPr>
            </w:pPr>
            <w:r w:rsidRPr="008557D1">
              <w:rPr>
                <w:rFonts w:ascii="Verdana" w:eastAsia="Calibri" w:hAnsi="Verdana" w:cs="Arial"/>
                <w:lang w:eastAsia="es-ES"/>
              </w:rPr>
              <w:t>Ley 4170 de 2011, artículos 3, numeral 5º, y 11, numeral 8º.</w:t>
            </w:r>
          </w:p>
          <w:p w14:paraId="22FCA735" w14:textId="77777777" w:rsidR="009F7516" w:rsidRPr="008557D1" w:rsidRDefault="009F7516" w:rsidP="009F7516">
            <w:pPr>
              <w:pStyle w:val="Prrafodelista"/>
              <w:widowControl w:val="0"/>
              <w:numPr>
                <w:ilvl w:val="0"/>
                <w:numId w:val="17"/>
              </w:numPr>
              <w:autoSpaceDE w:val="0"/>
              <w:autoSpaceDN w:val="0"/>
              <w:spacing w:after="120"/>
              <w:jc w:val="both"/>
              <w:rPr>
                <w:rFonts w:ascii="Verdana" w:hAnsi="Verdana" w:cs="Arial"/>
              </w:rPr>
            </w:pPr>
            <w:r w:rsidRPr="008557D1">
              <w:rPr>
                <w:rFonts w:ascii="Verdana" w:eastAsia="Calibri" w:hAnsi="Verdana" w:cs="Arial"/>
                <w:lang w:eastAsia="es-ES"/>
              </w:rPr>
              <w:t>Ley 1437 de 2011, artículo 44.</w:t>
            </w:r>
            <w:r w:rsidRPr="008557D1">
              <w:rPr>
                <w:rFonts w:ascii="Verdana" w:hAnsi="Verdana" w:cs="Arial"/>
              </w:rPr>
              <w:t xml:space="preserve"> </w:t>
            </w:r>
          </w:p>
          <w:p w14:paraId="51A76AEE" w14:textId="77777777" w:rsidR="009F7516" w:rsidRPr="008557D1" w:rsidRDefault="009F7516" w:rsidP="009F7516">
            <w:pPr>
              <w:pStyle w:val="Prrafodelista"/>
              <w:widowControl w:val="0"/>
              <w:numPr>
                <w:ilvl w:val="0"/>
                <w:numId w:val="17"/>
              </w:numPr>
              <w:autoSpaceDE w:val="0"/>
              <w:autoSpaceDN w:val="0"/>
              <w:spacing w:after="120"/>
              <w:jc w:val="both"/>
              <w:rPr>
                <w:rFonts w:ascii="Verdana" w:hAnsi="Verdana" w:cs="Arial"/>
                <w:lang w:val="es-CO"/>
              </w:rPr>
            </w:pPr>
            <w:r w:rsidRPr="008557D1">
              <w:rPr>
                <w:rFonts w:ascii="Verdana" w:hAnsi="Verdana" w:cs="Arial"/>
                <w:lang w:val="es-ES_tradnl"/>
              </w:rPr>
              <w:t>Corte Constitucional. Sentencia T-1039 de 2006 Magistrado Ponente: Humberto Sierra Porto</w:t>
            </w:r>
          </w:p>
          <w:p w14:paraId="1EBDFBAA" w14:textId="77777777" w:rsidR="009F7516" w:rsidRPr="008557D1" w:rsidRDefault="009F7516" w:rsidP="009F7516">
            <w:pPr>
              <w:pStyle w:val="Prrafodelista"/>
              <w:widowControl w:val="0"/>
              <w:numPr>
                <w:ilvl w:val="0"/>
                <w:numId w:val="17"/>
              </w:numPr>
              <w:autoSpaceDE w:val="0"/>
              <w:autoSpaceDN w:val="0"/>
              <w:spacing w:after="120"/>
              <w:jc w:val="both"/>
              <w:rPr>
                <w:rFonts w:ascii="Verdana" w:hAnsi="Verdana" w:cs="Arial"/>
                <w:lang w:val="es-CO"/>
              </w:rPr>
            </w:pPr>
            <w:r w:rsidRPr="008557D1">
              <w:rPr>
                <w:rFonts w:ascii="Verdana" w:hAnsi="Verdana" w:cs="Arial"/>
                <w:lang w:val="es-ES_tradnl"/>
              </w:rPr>
              <w:t xml:space="preserve">Consejo de Estado. Sala de Consulta y Servicio Civil. Concepto del 30 de abril de 2015. Expediente: 2251. Consejero Ponente: Álvaro </w:t>
            </w:r>
            <w:proofErr w:type="spellStart"/>
            <w:r w:rsidRPr="008557D1">
              <w:rPr>
                <w:rFonts w:ascii="Verdana" w:hAnsi="Verdana" w:cs="Arial"/>
                <w:lang w:val="es-ES_tradnl"/>
              </w:rPr>
              <w:t>Namén</w:t>
            </w:r>
            <w:proofErr w:type="spellEnd"/>
            <w:r w:rsidRPr="008557D1">
              <w:rPr>
                <w:rFonts w:ascii="Verdana" w:hAnsi="Verdana" w:cs="Arial"/>
                <w:lang w:val="es-ES_tradnl"/>
              </w:rPr>
              <w:t xml:space="preserve"> Vargas</w:t>
            </w:r>
          </w:p>
          <w:p w14:paraId="796C5C01" w14:textId="77777777" w:rsidR="009F7516" w:rsidRPr="008557D1" w:rsidRDefault="009F7516" w:rsidP="009F7516">
            <w:pPr>
              <w:pStyle w:val="Prrafodelista"/>
              <w:widowControl w:val="0"/>
              <w:numPr>
                <w:ilvl w:val="0"/>
                <w:numId w:val="17"/>
              </w:numPr>
              <w:autoSpaceDE w:val="0"/>
              <w:autoSpaceDN w:val="0"/>
              <w:spacing w:after="120"/>
              <w:jc w:val="both"/>
              <w:rPr>
                <w:rFonts w:ascii="Verdana" w:hAnsi="Verdana" w:cs="Arial"/>
                <w:lang w:val="es-CO"/>
              </w:rPr>
            </w:pPr>
            <w:r w:rsidRPr="008557D1">
              <w:rPr>
                <w:rFonts w:ascii="Verdana" w:hAnsi="Verdana" w:cs="Arial"/>
                <w:lang w:val="es-ES_tradnl"/>
              </w:rPr>
              <w:t xml:space="preserve">Consejo de Estado. Sección Tercera. Subsección A. Sentencia del 24 de junio de 2015. </w:t>
            </w:r>
            <w:proofErr w:type="spellStart"/>
            <w:r w:rsidRPr="008557D1">
              <w:rPr>
                <w:rFonts w:ascii="Verdana" w:hAnsi="Verdana" w:cs="Arial"/>
                <w:lang w:val="es-ES_tradnl"/>
              </w:rPr>
              <w:t>Exp</w:t>
            </w:r>
            <w:proofErr w:type="spellEnd"/>
            <w:r w:rsidRPr="008557D1">
              <w:rPr>
                <w:rFonts w:ascii="Verdana" w:hAnsi="Verdana" w:cs="Arial"/>
                <w:lang w:val="es-ES_tradnl"/>
              </w:rPr>
              <w:t>. 40.635. Consejero Ponente: Hernán Andrade Rincón (E).</w:t>
            </w:r>
          </w:p>
          <w:p w14:paraId="4D129BDB" w14:textId="77777777" w:rsidR="009F7516" w:rsidRPr="008557D1" w:rsidRDefault="009F7516" w:rsidP="009F7516">
            <w:pPr>
              <w:pStyle w:val="Prrafodelista"/>
              <w:widowControl w:val="0"/>
              <w:numPr>
                <w:ilvl w:val="0"/>
                <w:numId w:val="17"/>
              </w:numPr>
              <w:autoSpaceDE w:val="0"/>
              <w:autoSpaceDN w:val="0"/>
              <w:spacing w:after="120"/>
              <w:jc w:val="both"/>
              <w:rPr>
                <w:rFonts w:ascii="Verdana" w:hAnsi="Verdana" w:cs="Arial"/>
              </w:rPr>
            </w:pPr>
            <w:r w:rsidRPr="008557D1">
              <w:rPr>
                <w:rFonts w:ascii="Verdana" w:hAnsi="Verdana" w:cs="Arial"/>
                <w:lang w:val="es-ES_tradnl"/>
              </w:rPr>
              <w:t xml:space="preserve">Consejo de Estado. Sección Tercera. Subsección C. Sentencia del 22 de mayo de 2013. </w:t>
            </w:r>
            <w:proofErr w:type="spellStart"/>
            <w:r w:rsidRPr="008557D1">
              <w:rPr>
                <w:rFonts w:ascii="Verdana" w:hAnsi="Verdana" w:cs="Arial"/>
                <w:lang w:val="es-ES_tradnl"/>
              </w:rPr>
              <w:t>Exp</w:t>
            </w:r>
            <w:proofErr w:type="spellEnd"/>
            <w:r w:rsidRPr="008557D1">
              <w:rPr>
                <w:rFonts w:ascii="Verdana" w:hAnsi="Verdana" w:cs="Arial"/>
                <w:lang w:val="es-ES_tradnl"/>
              </w:rPr>
              <w:t xml:space="preserve">. 24.057. Consejera Ponente: Olga </w:t>
            </w:r>
            <w:proofErr w:type="spellStart"/>
            <w:r w:rsidRPr="008557D1">
              <w:rPr>
                <w:rFonts w:ascii="Verdana" w:hAnsi="Verdana" w:cs="Arial"/>
                <w:lang w:val="es-ES_tradnl"/>
              </w:rPr>
              <w:t>Melida</w:t>
            </w:r>
            <w:proofErr w:type="spellEnd"/>
            <w:r w:rsidRPr="008557D1">
              <w:rPr>
                <w:rFonts w:ascii="Verdana" w:hAnsi="Verdana" w:cs="Arial"/>
                <w:lang w:val="es-ES_tradnl"/>
              </w:rPr>
              <w:t xml:space="preserve"> Valle De </w:t>
            </w:r>
            <w:proofErr w:type="spellStart"/>
            <w:r w:rsidRPr="008557D1">
              <w:rPr>
                <w:rFonts w:ascii="Verdana" w:hAnsi="Verdana" w:cs="Arial"/>
                <w:lang w:val="es-ES_tradnl"/>
              </w:rPr>
              <w:t>De</w:t>
            </w:r>
            <w:proofErr w:type="spellEnd"/>
            <w:r w:rsidRPr="008557D1">
              <w:rPr>
                <w:rFonts w:ascii="Verdana" w:hAnsi="Verdana" w:cs="Arial"/>
                <w:lang w:val="es-ES_tradnl"/>
              </w:rPr>
              <w:t xml:space="preserve"> La Hoz.</w:t>
            </w:r>
          </w:p>
        </w:tc>
      </w:tr>
    </w:tbl>
    <w:p w14:paraId="28EBD809" w14:textId="77777777" w:rsidR="009F7516" w:rsidRPr="008557D1" w:rsidRDefault="009F7516" w:rsidP="00896343">
      <w:pPr>
        <w:widowControl w:val="0"/>
        <w:autoSpaceDE w:val="0"/>
        <w:autoSpaceDN w:val="0"/>
        <w:spacing w:after="0" w:line="276" w:lineRule="auto"/>
        <w:jc w:val="both"/>
        <w:rPr>
          <w:rFonts w:ascii="Verdana" w:hAnsi="Verdana" w:cs="Arial"/>
        </w:rPr>
      </w:pPr>
    </w:p>
    <w:p w14:paraId="7ACBA376" w14:textId="77777777" w:rsidR="009F7516" w:rsidRPr="008557D1" w:rsidRDefault="009F7516" w:rsidP="00CD492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557D1">
        <w:rPr>
          <w:rFonts w:ascii="Verdana" w:eastAsia="Century Gothic" w:hAnsi="Verdana" w:cs="Century Gothic"/>
          <w:b/>
          <w:bCs/>
        </w:rPr>
        <w:t>Doctrina de la Agencia Nacional de Contratación Pública:</w:t>
      </w:r>
    </w:p>
    <w:p w14:paraId="714AF008" w14:textId="77777777" w:rsidR="009F7516" w:rsidRPr="008557D1" w:rsidRDefault="009F7516" w:rsidP="00CD4929">
      <w:pPr>
        <w:widowControl w:val="0"/>
        <w:autoSpaceDE w:val="0"/>
        <w:autoSpaceDN w:val="0"/>
        <w:spacing w:after="0" w:line="276" w:lineRule="auto"/>
        <w:jc w:val="both"/>
        <w:rPr>
          <w:rFonts w:ascii="Verdana" w:hAnsi="Verdana" w:cs="Arial"/>
        </w:rPr>
      </w:pPr>
    </w:p>
    <w:p w14:paraId="61817E8A" w14:textId="77777777" w:rsidR="009F7516" w:rsidRPr="008557D1" w:rsidRDefault="009F7516" w:rsidP="009F7516">
      <w:pPr>
        <w:widowControl w:val="0"/>
        <w:autoSpaceDE w:val="0"/>
        <w:autoSpaceDN w:val="0"/>
        <w:spacing w:after="120" w:line="276" w:lineRule="auto"/>
        <w:jc w:val="both"/>
        <w:rPr>
          <w:rFonts w:ascii="Verdana" w:hAnsi="Verdana" w:cs="Arial"/>
        </w:rPr>
      </w:pPr>
      <w:r w:rsidRPr="008557D1">
        <w:rPr>
          <w:rFonts w:ascii="Verdana" w:eastAsia="Calibri" w:hAnsi="Verdana" w:cs="Arial"/>
          <w:lang w:val="es-ES_tradnl" w:eastAsia="es-ES_tradnl"/>
        </w:rPr>
        <w:t xml:space="preserve">Sobre el régimen de inhabilidades e incompatibilidades se pronunció esta Subdirección en los conceptos </w:t>
      </w:r>
      <w:r w:rsidRPr="008557D1">
        <w:rPr>
          <w:rFonts w:ascii="Verdana" w:eastAsia="Calibri" w:hAnsi="Verdana" w:cs="Arial"/>
          <w:lang w:val="es-MX"/>
        </w:rPr>
        <w:t xml:space="preserve">C−402 del 26 de junio de 2020, C−365 del 30 de junio de 2020, C−386 del 24 de julio de 2020, C-585 del 14 de septiembre de 2020, C–592 del 14 de septiembre de 2020, C−551 de 24 de septiembre de </w:t>
      </w:r>
      <w:r w:rsidRPr="008557D1">
        <w:rPr>
          <w:rFonts w:ascii="Verdana" w:eastAsia="Calibri" w:hAnsi="Verdana" w:cs="Arial"/>
          <w:lang w:val="es-MX"/>
        </w:rPr>
        <w:lastRenderedPageBreak/>
        <w:t>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w:t>
      </w:r>
      <w:r w:rsidRPr="008557D1">
        <w:rPr>
          <w:rFonts w:ascii="Verdana" w:hAnsi="Verdana" w:cs="Arial"/>
        </w:rPr>
        <w:t>. También se ha pronunciado sobre el conflicto de interés en los conceptos C-229 del 16 de abril de 2020, C-815 del 18 de febrero de 2021, C-449 del 31 de agosto de 2021, C-288 del 14 de julio de 2023, C-651 del 22 de octubre de 2024, C-680 del 15 de noviembre de 2024, C-693 del 19 de noviembre de 2024 y C-839 del 13 de diciembre de 2024</w:t>
      </w:r>
      <w:r w:rsidRPr="008557D1">
        <w:rPr>
          <w:rFonts w:ascii="Verdana" w:hAnsi="Verdana" w:cs="Arial"/>
          <w:shd w:val="clear" w:color="auto" w:fill="FFFFFF"/>
          <w:lang w:val="es-ES"/>
        </w:rPr>
        <w:t>. Es</w:t>
      </w:r>
      <w:r w:rsidRPr="008557D1">
        <w:rPr>
          <w:rFonts w:ascii="Verdana" w:hAnsi="Verdana"/>
        </w:rPr>
        <w:t>tos y otros conceptos se encuentran disponibles para consulta en el Sistema de relatoría de la Agencia, al cual se puede acceder a través del siguiente enlace:</w:t>
      </w:r>
      <w:r w:rsidRPr="008557D1">
        <w:rPr>
          <w:rFonts w:ascii="Verdana" w:hAnsi="Verdana" w:cs="Arial"/>
          <w:shd w:val="clear" w:color="auto" w:fill="FFFFFF"/>
          <w:lang w:val="es-ES"/>
        </w:rPr>
        <w:t xml:space="preserve"> </w:t>
      </w:r>
      <w:hyperlink r:id="rId11" w:history="1">
        <w:r w:rsidRPr="008557D1">
          <w:rPr>
            <w:rFonts w:ascii="Verdana" w:hAnsi="Verdana" w:cs="Arial"/>
            <w:color w:val="0563C1" w:themeColor="hyperlink"/>
            <w:u w:val="single"/>
            <w:shd w:val="clear" w:color="auto" w:fill="FFFFFF"/>
            <w:lang w:val="es-ES"/>
          </w:rPr>
          <w:t>https://relatoria.colombiacompra.gov.co/busqueda/conceptos</w:t>
        </w:r>
      </w:hyperlink>
      <w:r w:rsidRPr="008557D1">
        <w:rPr>
          <w:rFonts w:ascii="Verdana" w:hAnsi="Verdana" w:cs="Arial"/>
          <w:shd w:val="clear" w:color="auto" w:fill="FFFFFF"/>
          <w:lang w:val="es-ES"/>
        </w:rPr>
        <w:t>.</w:t>
      </w:r>
      <w:r w:rsidRPr="008557D1">
        <w:rPr>
          <w:rFonts w:ascii="Verdana" w:hAnsi="Verdana" w:cs="Arial"/>
          <w:color w:val="FF0000"/>
          <w:shd w:val="clear" w:color="auto" w:fill="FFFFFF"/>
          <w:lang w:val="es-ES"/>
        </w:rPr>
        <w:t xml:space="preserve"> </w:t>
      </w:r>
      <w:r w:rsidRPr="008557D1">
        <w:rPr>
          <w:rFonts w:ascii="Verdana" w:hAnsi="Verdana" w:cs="Arial"/>
          <w:color w:val="000000" w:themeColor="text1"/>
          <w:shd w:val="clear" w:color="auto" w:fill="FFFFFF"/>
        </w:rPr>
        <w:t>  </w:t>
      </w:r>
    </w:p>
    <w:p w14:paraId="3FE054CA" w14:textId="77777777" w:rsidR="009F7516" w:rsidRPr="008557D1" w:rsidRDefault="009F7516" w:rsidP="009F7516">
      <w:pPr>
        <w:spacing w:after="0" w:line="276" w:lineRule="auto"/>
        <w:jc w:val="both"/>
        <w:rPr>
          <w:rFonts w:ascii="Verdana" w:hAnsi="Verdana"/>
        </w:rPr>
      </w:pPr>
    </w:p>
    <w:p w14:paraId="1C21AF5D" w14:textId="77777777" w:rsidR="009F7516" w:rsidRPr="008557D1" w:rsidRDefault="009F7516" w:rsidP="009F7516">
      <w:pPr>
        <w:widowControl w:val="0"/>
        <w:autoSpaceDE w:val="0"/>
        <w:autoSpaceDN w:val="0"/>
        <w:spacing w:after="0" w:line="276" w:lineRule="auto"/>
        <w:jc w:val="both"/>
        <w:rPr>
          <w:rStyle w:val="normaltextrun"/>
          <w:rFonts w:ascii="Verdana" w:hAnsi="Verdana" w:cs="Arial"/>
          <w:shd w:val="clear" w:color="auto" w:fill="FFFFFF"/>
          <w:lang w:val="es-ES"/>
        </w:rPr>
      </w:pPr>
      <w:r w:rsidRPr="008557D1">
        <w:rPr>
          <w:rStyle w:val="normaltextrun"/>
          <w:rFonts w:ascii="Verdana" w:hAnsi="Verdana" w:cs="Arial"/>
          <w:shd w:val="clear" w:color="auto" w:fill="FFFFFF"/>
          <w:lang w:val="es-ES"/>
        </w:rPr>
        <w:t>Es</w:t>
      </w:r>
      <w:r w:rsidRPr="008557D1">
        <w:rPr>
          <w:rFonts w:ascii="Verdana" w:hAnsi="Verdana"/>
        </w:rPr>
        <w:t>tos y otros conceptos se encuentran disponibles para consulta en el Sistema de relatoría de la Agencia, al cual se puede acceder a través del siguiente enlace:</w:t>
      </w:r>
      <w:r w:rsidRPr="008557D1">
        <w:rPr>
          <w:rStyle w:val="normaltextrun"/>
          <w:rFonts w:ascii="Verdana" w:hAnsi="Verdana" w:cs="Arial"/>
          <w:shd w:val="clear" w:color="auto" w:fill="FFFFFF"/>
          <w:lang w:val="es-ES"/>
        </w:rPr>
        <w:t xml:space="preserve"> </w:t>
      </w:r>
      <w:hyperlink r:id="rId12" w:history="1">
        <w:r w:rsidRPr="008557D1">
          <w:rPr>
            <w:rStyle w:val="Hipervnculo"/>
            <w:rFonts w:ascii="Verdana" w:hAnsi="Verdana" w:cs="Arial"/>
            <w:shd w:val="clear" w:color="auto" w:fill="FFFFFF"/>
            <w:lang w:val="es-ES"/>
          </w:rPr>
          <w:t>https://relatoria.colombiacompra.gov.co/busqueda/conceptos</w:t>
        </w:r>
      </w:hyperlink>
      <w:r w:rsidRPr="008557D1">
        <w:rPr>
          <w:rStyle w:val="normaltextrun"/>
          <w:rFonts w:ascii="Verdana" w:hAnsi="Verdana" w:cs="Arial"/>
          <w:shd w:val="clear" w:color="auto" w:fill="FFFFFF"/>
          <w:lang w:val="es-ES"/>
        </w:rPr>
        <w:t xml:space="preserve">. </w:t>
      </w:r>
    </w:p>
    <w:p w14:paraId="6DEF4191" w14:textId="77777777" w:rsidR="009F7516" w:rsidRPr="008557D1" w:rsidRDefault="009F7516" w:rsidP="009F7516">
      <w:pPr>
        <w:widowControl w:val="0"/>
        <w:autoSpaceDE w:val="0"/>
        <w:autoSpaceDN w:val="0"/>
        <w:spacing w:after="0" w:line="276" w:lineRule="auto"/>
        <w:jc w:val="both"/>
        <w:rPr>
          <w:rStyle w:val="normaltextrun"/>
          <w:rFonts w:ascii="Verdana" w:hAnsi="Verdana" w:cs="Arial"/>
          <w:shd w:val="clear" w:color="auto" w:fill="FFFFFF"/>
          <w:lang w:val="es-ES"/>
        </w:rPr>
      </w:pPr>
    </w:p>
    <w:p w14:paraId="2DFF8948" w14:textId="091BC035" w:rsidR="009F7516" w:rsidRPr="008557D1" w:rsidRDefault="009F7516" w:rsidP="009F7516">
      <w:pPr>
        <w:spacing w:after="0" w:line="276" w:lineRule="auto"/>
        <w:jc w:val="both"/>
        <w:rPr>
          <w:rFonts w:ascii="Verdana" w:hAnsi="Verdana"/>
        </w:rPr>
      </w:pPr>
      <w:r w:rsidRPr="008557D1">
        <w:rPr>
          <w:rFonts w:ascii="Verdana" w:hAnsi="Verdana"/>
        </w:rPr>
        <w:t xml:space="preserve">Por último, lo invitamos a seguirnos en las redes sociales en las cuales se difunde información institucional: </w:t>
      </w:r>
    </w:p>
    <w:p w14:paraId="3F42646D" w14:textId="77777777" w:rsidR="009F7516" w:rsidRPr="008557D1" w:rsidRDefault="009F7516" w:rsidP="009F7516">
      <w:pPr>
        <w:spacing w:after="0" w:line="276" w:lineRule="auto"/>
        <w:jc w:val="both"/>
        <w:rPr>
          <w:rFonts w:ascii="Verdana" w:hAnsi="Verdana"/>
        </w:rPr>
      </w:pPr>
    </w:p>
    <w:p w14:paraId="71137832" w14:textId="77777777" w:rsidR="009F7516" w:rsidRPr="008557D1" w:rsidRDefault="009F7516" w:rsidP="009F7516">
      <w:pPr>
        <w:spacing w:after="0" w:line="276" w:lineRule="auto"/>
        <w:jc w:val="both"/>
        <w:rPr>
          <w:rFonts w:ascii="Verdana" w:hAnsi="Verdana"/>
        </w:rPr>
      </w:pPr>
      <w:r w:rsidRPr="008557D1">
        <w:rPr>
          <w:rFonts w:ascii="Verdana" w:hAnsi="Verdana"/>
        </w:rPr>
        <w:t xml:space="preserve">Twitter: </w:t>
      </w:r>
      <w:r w:rsidRPr="008557D1">
        <w:rPr>
          <w:rStyle w:val="Hipervnculo"/>
          <w:rFonts w:ascii="Verdana" w:hAnsi="Verdana"/>
        </w:rPr>
        <w:t>@colombiacompra</w:t>
      </w:r>
      <w:r w:rsidRPr="008557D1">
        <w:rPr>
          <w:rFonts w:ascii="Verdana" w:hAnsi="Verdana"/>
        </w:rPr>
        <w:t xml:space="preserve"> </w:t>
      </w:r>
    </w:p>
    <w:p w14:paraId="12F704C3" w14:textId="77777777" w:rsidR="009F7516" w:rsidRPr="008557D1" w:rsidRDefault="009F7516" w:rsidP="009F7516">
      <w:pPr>
        <w:spacing w:after="0" w:line="276" w:lineRule="auto"/>
        <w:jc w:val="both"/>
        <w:rPr>
          <w:rFonts w:ascii="Verdana" w:hAnsi="Verdana"/>
        </w:rPr>
      </w:pPr>
      <w:r w:rsidRPr="008557D1">
        <w:rPr>
          <w:rFonts w:ascii="Verdana" w:hAnsi="Verdana"/>
        </w:rPr>
        <w:t xml:space="preserve">Facebook: </w:t>
      </w:r>
      <w:proofErr w:type="spellStart"/>
      <w:r w:rsidRPr="008557D1">
        <w:rPr>
          <w:rStyle w:val="Hipervnculo"/>
          <w:rFonts w:ascii="Verdana" w:hAnsi="Verdana"/>
        </w:rPr>
        <w:t>ColombiaCompraEficiente</w:t>
      </w:r>
      <w:proofErr w:type="spellEnd"/>
    </w:p>
    <w:p w14:paraId="297E6437" w14:textId="77777777" w:rsidR="009F7516" w:rsidRPr="008557D1" w:rsidRDefault="009F7516" w:rsidP="009F7516">
      <w:pPr>
        <w:spacing w:after="0" w:line="276" w:lineRule="auto"/>
        <w:jc w:val="both"/>
        <w:rPr>
          <w:rStyle w:val="Hipervnculo"/>
          <w:rFonts w:ascii="Verdana" w:hAnsi="Verdana"/>
        </w:rPr>
      </w:pPr>
      <w:r w:rsidRPr="008557D1">
        <w:rPr>
          <w:rFonts w:ascii="Verdana" w:hAnsi="Verdana"/>
        </w:rPr>
        <w:t xml:space="preserve">LinkedIn: </w:t>
      </w:r>
      <w:r w:rsidRPr="008557D1">
        <w:rPr>
          <w:rStyle w:val="Hipervnculo"/>
          <w:rFonts w:ascii="Verdana" w:hAnsi="Verdana"/>
        </w:rPr>
        <w:t>Agencia Nacional de Contratación Pública - Colombia Compra Eficiente</w:t>
      </w:r>
      <w:r w:rsidRPr="008557D1">
        <w:rPr>
          <w:rFonts w:ascii="Verdana" w:hAnsi="Verdana"/>
        </w:rPr>
        <w:t xml:space="preserve"> Instagram: </w:t>
      </w:r>
      <w:r w:rsidRPr="008557D1">
        <w:rPr>
          <w:rStyle w:val="Hipervnculo"/>
          <w:rFonts w:ascii="Verdana" w:hAnsi="Verdana"/>
        </w:rPr>
        <w:t>@colombiacompraeficiente_cce</w:t>
      </w:r>
    </w:p>
    <w:p w14:paraId="70D74E5F" w14:textId="77777777" w:rsidR="009F7516" w:rsidRPr="008557D1" w:rsidRDefault="009F7516" w:rsidP="009F7516">
      <w:pPr>
        <w:widowControl w:val="0"/>
        <w:autoSpaceDE w:val="0"/>
        <w:autoSpaceDN w:val="0"/>
        <w:spacing w:after="0" w:line="276" w:lineRule="auto"/>
        <w:jc w:val="both"/>
        <w:rPr>
          <w:rFonts w:ascii="Verdana" w:hAnsi="Verdana"/>
        </w:rPr>
      </w:pPr>
    </w:p>
    <w:p w14:paraId="2212ED77" w14:textId="77777777" w:rsidR="009F7516" w:rsidRPr="008557D1" w:rsidRDefault="009F7516" w:rsidP="009F7516">
      <w:pPr>
        <w:widowControl w:val="0"/>
        <w:autoSpaceDE w:val="0"/>
        <w:autoSpaceDN w:val="0"/>
        <w:spacing w:after="0" w:line="276" w:lineRule="auto"/>
        <w:jc w:val="both"/>
        <w:rPr>
          <w:rFonts w:ascii="Verdana" w:hAnsi="Verdana" w:cs="Arial"/>
          <w:lang w:val="es-ES_tradnl"/>
        </w:rPr>
      </w:pPr>
      <w:r w:rsidRPr="008557D1">
        <w:rPr>
          <w:rFonts w:ascii="Verdana" w:hAnsi="Verdana" w:cs="Arial"/>
        </w:rPr>
        <w:t xml:space="preserve">Este concepto tiene el alcance previsto en el artículo 28 del Código de Procedimiento Administrativo y de lo Contencioso Administrativo </w:t>
      </w:r>
      <w:r w:rsidRPr="008557D1">
        <w:rPr>
          <w:rFonts w:ascii="Verdana" w:hAnsi="Verdana" w:cs="Arial"/>
          <w:lang w:val="es-ES_tradnl"/>
        </w:rPr>
        <w:t>y las expresiones aquí utilizadas con mayúscula inicial deben ser entendidas con el significado que les otorga el artículo 2.2.1.1.1.3.1. del Decreto 1082 de 2015.</w:t>
      </w:r>
    </w:p>
    <w:p w14:paraId="4B2CA1B5" w14:textId="77777777" w:rsidR="009F7516" w:rsidRPr="008557D1" w:rsidRDefault="009F7516" w:rsidP="009F7516">
      <w:pPr>
        <w:widowControl w:val="0"/>
        <w:autoSpaceDE w:val="0"/>
        <w:autoSpaceDN w:val="0"/>
        <w:spacing w:after="0" w:line="276" w:lineRule="auto"/>
        <w:jc w:val="both"/>
        <w:rPr>
          <w:rFonts w:ascii="Verdana" w:hAnsi="Verdana" w:cs="Arial"/>
        </w:rPr>
      </w:pPr>
    </w:p>
    <w:p w14:paraId="0A446E6E" w14:textId="77777777" w:rsidR="009F7516" w:rsidRPr="008557D1" w:rsidRDefault="009F7516" w:rsidP="009F7516">
      <w:pPr>
        <w:widowControl w:val="0"/>
        <w:autoSpaceDE w:val="0"/>
        <w:autoSpaceDN w:val="0"/>
        <w:spacing w:after="0" w:line="276" w:lineRule="auto"/>
        <w:jc w:val="both"/>
        <w:rPr>
          <w:rFonts w:ascii="Verdana" w:hAnsi="Verdana" w:cs="Arial"/>
        </w:rPr>
      </w:pPr>
    </w:p>
    <w:p w14:paraId="7E4D24FC" w14:textId="77777777" w:rsidR="009F7516" w:rsidRPr="008557D1" w:rsidRDefault="009F7516" w:rsidP="009F7516">
      <w:pPr>
        <w:spacing w:after="0" w:line="276" w:lineRule="auto"/>
        <w:rPr>
          <w:rFonts w:ascii="Verdana" w:hAnsi="Verdana" w:cs="Arial"/>
          <w:lang w:eastAsia="es-CO"/>
        </w:rPr>
      </w:pPr>
      <w:r w:rsidRPr="008557D1">
        <w:rPr>
          <w:rFonts w:ascii="Verdana" w:eastAsia="Times New Roman" w:hAnsi="Verdana" w:cs="Arial"/>
          <w:lang w:eastAsia="es-CO"/>
        </w:rPr>
        <w:t>Atentamente,</w:t>
      </w:r>
      <w:r w:rsidRPr="008557D1">
        <w:rPr>
          <w:rFonts w:ascii="Verdana" w:hAnsi="Verdana" w:cs="Arial"/>
          <w:lang w:eastAsia="es-CO"/>
        </w:rPr>
        <w:t xml:space="preserve"> </w:t>
      </w:r>
    </w:p>
    <w:p w14:paraId="7090CC22" w14:textId="662E57E1" w:rsidR="009F7516" w:rsidRPr="008557D1" w:rsidRDefault="00293DE1" w:rsidP="009F7516">
      <w:pPr>
        <w:spacing w:line="276" w:lineRule="auto"/>
        <w:jc w:val="center"/>
        <w:rPr>
          <w:rFonts w:ascii="Verdana" w:hAnsi="Verdana" w:cs="Arial"/>
          <w:lang w:val="es-ES_tradnl" w:eastAsia="es-CO"/>
        </w:rPr>
      </w:pPr>
      <w:r>
        <w:rPr>
          <w:rFonts w:ascii="Verdana" w:hAnsi="Verdana" w:cs="Arial"/>
          <w:noProof/>
          <w:lang w:val="es-ES_tradnl" w:eastAsia="es-CO"/>
        </w:rPr>
        <w:drawing>
          <wp:inline distT="0" distB="0" distL="0" distR="0" wp14:anchorId="1AEE40A9" wp14:editId="57B3472F">
            <wp:extent cx="3639058" cy="1343212"/>
            <wp:effectExtent l="0" t="0" r="0" b="0"/>
            <wp:docPr id="37057773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577731"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F7516" w:rsidRPr="008557D1" w14:paraId="7FCF4866" w14:textId="77777777" w:rsidTr="009F7516">
        <w:trPr>
          <w:trHeight w:val="315"/>
        </w:trPr>
        <w:tc>
          <w:tcPr>
            <w:tcW w:w="893" w:type="dxa"/>
            <w:vAlign w:val="center"/>
            <w:hideMark/>
          </w:tcPr>
          <w:p w14:paraId="7DF42677" w14:textId="77777777" w:rsidR="009F7516" w:rsidRPr="008557D1" w:rsidRDefault="009F7516" w:rsidP="00696B5E">
            <w:pPr>
              <w:contextualSpacing/>
              <w:rPr>
                <w:rFonts w:ascii="Verdana" w:hAnsi="Verdana" w:cs="Arial"/>
                <w:sz w:val="16"/>
                <w:szCs w:val="16"/>
                <w:lang w:val="es-ES" w:eastAsia="es-ES"/>
              </w:rPr>
            </w:pPr>
          </w:p>
          <w:p w14:paraId="1A7495A6" w14:textId="77777777" w:rsidR="009F7516" w:rsidRPr="008557D1" w:rsidRDefault="009F7516" w:rsidP="00696B5E">
            <w:pPr>
              <w:contextualSpacing/>
              <w:rPr>
                <w:rFonts w:ascii="Verdana" w:hAnsi="Verdana" w:cs="Arial"/>
                <w:sz w:val="16"/>
                <w:szCs w:val="16"/>
                <w:lang w:val="es-ES" w:eastAsia="es-ES"/>
              </w:rPr>
            </w:pPr>
          </w:p>
          <w:p w14:paraId="059DC2DF" w14:textId="77777777" w:rsidR="009F7516" w:rsidRPr="008557D1" w:rsidRDefault="009F7516" w:rsidP="00696B5E">
            <w:pPr>
              <w:contextualSpacing/>
              <w:rPr>
                <w:rFonts w:ascii="Verdana" w:hAnsi="Verdana" w:cs="Arial"/>
                <w:sz w:val="16"/>
                <w:szCs w:val="16"/>
                <w:lang w:val="es-ES" w:eastAsia="es-ES"/>
              </w:rPr>
            </w:pPr>
          </w:p>
          <w:p w14:paraId="10499605" w14:textId="77777777" w:rsidR="009F7516" w:rsidRPr="008557D1" w:rsidRDefault="009F7516" w:rsidP="00696B5E">
            <w:pPr>
              <w:contextualSpacing/>
              <w:rPr>
                <w:rFonts w:ascii="Verdana" w:hAnsi="Verdana" w:cs="Arial"/>
                <w:sz w:val="16"/>
                <w:szCs w:val="16"/>
                <w:lang w:val="es-ES" w:eastAsia="es-ES"/>
              </w:rPr>
            </w:pPr>
            <w:r w:rsidRPr="008557D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42854A6" w14:textId="77777777" w:rsidR="009F7516" w:rsidRPr="008557D1" w:rsidRDefault="009F7516" w:rsidP="00696B5E">
            <w:pPr>
              <w:contextualSpacing/>
              <w:rPr>
                <w:rFonts w:ascii="Verdana" w:eastAsia="Arial" w:hAnsi="Verdana" w:cs="Arial"/>
                <w:sz w:val="16"/>
                <w:szCs w:val="16"/>
              </w:rPr>
            </w:pPr>
          </w:p>
          <w:p w14:paraId="0A442CB0" w14:textId="77777777" w:rsidR="009F7516" w:rsidRPr="008557D1" w:rsidRDefault="009F7516" w:rsidP="00696B5E">
            <w:pPr>
              <w:contextualSpacing/>
              <w:rPr>
                <w:rFonts w:ascii="Verdana" w:eastAsia="Arial" w:hAnsi="Verdana" w:cs="Arial"/>
                <w:sz w:val="16"/>
                <w:szCs w:val="16"/>
              </w:rPr>
            </w:pPr>
            <w:r w:rsidRPr="008557D1">
              <w:rPr>
                <w:rFonts w:ascii="Verdana" w:eastAsia="Arial" w:hAnsi="Verdana" w:cs="Arial"/>
                <w:sz w:val="16"/>
                <w:szCs w:val="16"/>
              </w:rPr>
              <w:t>Gloria Elizabeth Arango Builes</w:t>
            </w:r>
          </w:p>
          <w:p w14:paraId="7473213E" w14:textId="77777777" w:rsidR="009F7516" w:rsidRPr="008557D1" w:rsidRDefault="009F7516" w:rsidP="00696B5E">
            <w:pPr>
              <w:contextualSpacing/>
              <w:rPr>
                <w:rFonts w:ascii="Verdana" w:eastAsia="Arial" w:hAnsi="Verdana" w:cs="Arial"/>
                <w:sz w:val="16"/>
                <w:szCs w:val="16"/>
              </w:rPr>
            </w:pPr>
            <w:r w:rsidRPr="008557D1">
              <w:rPr>
                <w:rStyle w:val="normaltextrun"/>
                <w:rFonts w:ascii="Verdana" w:eastAsia="Arial" w:hAnsi="Verdana" w:cs="Arial"/>
                <w:sz w:val="16"/>
                <w:szCs w:val="16"/>
              </w:rPr>
              <w:t>Contratista de la Subdirección de Gestión Contractual</w:t>
            </w:r>
          </w:p>
        </w:tc>
      </w:tr>
      <w:tr w:rsidR="009F7516" w:rsidRPr="008557D1" w14:paraId="4C97AFC3" w14:textId="77777777" w:rsidTr="009F7516">
        <w:trPr>
          <w:trHeight w:val="330"/>
        </w:trPr>
        <w:tc>
          <w:tcPr>
            <w:tcW w:w="893" w:type="dxa"/>
            <w:vAlign w:val="center"/>
            <w:hideMark/>
          </w:tcPr>
          <w:p w14:paraId="4E195B14" w14:textId="77777777" w:rsidR="009F7516" w:rsidRPr="008557D1" w:rsidRDefault="009F7516" w:rsidP="00696B5E">
            <w:pPr>
              <w:contextualSpacing/>
              <w:rPr>
                <w:rFonts w:ascii="Verdana" w:hAnsi="Verdana" w:cs="Arial"/>
                <w:sz w:val="16"/>
                <w:szCs w:val="16"/>
                <w:lang w:val="es-ES" w:eastAsia="es-ES"/>
              </w:rPr>
            </w:pPr>
            <w:r w:rsidRPr="008557D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DC7E901" w14:textId="111A0AD4" w:rsidR="009F7516" w:rsidRPr="008557D1" w:rsidRDefault="009F7516" w:rsidP="00696B5E">
            <w:pPr>
              <w:pStyle w:val="paragraph"/>
              <w:spacing w:before="0" w:beforeAutospacing="0" w:after="0" w:afterAutospacing="0"/>
              <w:contextualSpacing/>
              <w:textAlignment w:val="baseline"/>
              <w:rPr>
                <w:rFonts w:ascii="Verdana" w:hAnsi="Verdana" w:cs="Segoe UI"/>
                <w:sz w:val="16"/>
                <w:szCs w:val="16"/>
              </w:rPr>
            </w:pPr>
            <w:r w:rsidRPr="008557D1">
              <w:rPr>
                <w:rFonts w:ascii="Verdana" w:hAnsi="Verdana" w:cs="Segoe UI"/>
                <w:sz w:val="16"/>
                <w:szCs w:val="16"/>
              </w:rPr>
              <w:t xml:space="preserve">Diana </w:t>
            </w:r>
            <w:r w:rsidR="00696B5E">
              <w:rPr>
                <w:rFonts w:ascii="Verdana" w:hAnsi="Verdana" w:cs="Segoe UI"/>
                <w:sz w:val="16"/>
                <w:szCs w:val="16"/>
              </w:rPr>
              <w:t xml:space="preserve">Lucia </w:t>
            </w:r>
            <w:r w:rsidRPr="008557D1">
              <w:rPr>
                <w:rFonts w:ascii="Verdana" w:hAnsi="Verdana" w:cs="Segoe UI"/>
                <w:sz w:val="16"/>
                <w:szCs w:val="16"/>
              </w:rPr>
              <w:t>Saavedra</w:t>
            </w:r>
            <w:r w:rsidR="00696B5E">
              <w:rPr>
                <w:rFonts w:ascii="Verdana" w:hAnsi="Verdana" w:cs="Segoe UI"/>
                <w:sz w:val="16"/>
                <w:szCs w:val="16"/>
              </w:rPr>
              <w:t xml:space="preserve"> Castañeda</w:t>
            </w:r>
          </w:p>
          <w:p w14:paraId="3942A3EE" w14:textId="77777777" w:rsidR="009F7516" w:rsidRPr="008557D1" w:rsidRDefault="009F7516" w:rsidP="00696B5E">
            <w:pPr>
              <w:pStyle w:val="paragraph"/>
              <w:spacing w:before="0" w:beforeAutospacing="0" w:after="0" w:afterAutospacing="0"/>
              <w:contextualSpacing/>
              <w:textAlignment w:val="baseline"/>
              <w:rPr>
                <w:rFonts w:ascii="Verdana" w:hAnsi="Verdana" w:cs="Segoe UI"/>
                <w:sz w:val="16"/>
                <w:szCs w:val="16"/>
              </w:rPr>
            </w:pPr>
            <w:r w:rsidRPr="008557D1">
              <w:rPr>
                <w:rStyle w:val="normaltextrun"/>
                <w:rFonts w:ascii="Verdana" w:hAnsi="Verdana" w:cs="Arial"/>
                <w:sz w:val="16"/>
                <w:szCs w:val="16"/>
                <w:lang w:val="es-ES"/>
              </w:rPr>
              <w:t>Contratista de la Subdirección de Gestión Contractual</w:t>
            </w:r>
            <w:r w:rsidRPr="008557D1">
              <w:rPr>
                <w:rStyle w:val="eop"/>
                <w:rFonts w:ascii="Verdana" w:hAnsi="Verdana" w:cs="Arial"/>
                <w:sz w:val="16"/>
                <w:szCs w:val="16"/>
              </w:rPr>
              <w:t> </w:t>
            </w:r>
          </w:p>
        </w:tc>
      </w:tr>
      <w:tr w:rsidR="009F7516" w:rsidRPr="008557D1" w14:paraId="7FF1849A" w14:textId="77777777" w:rsidTr="009F7516">
        <w:trPr>
          <w:trHeight w:val="300"/>
        </w:trPr>
        <w:tc>
          <w:tcPr>
            <w:tcW w:w="893" w:type="dxa"/>
            <w:vAlign w:val="center"/>
          </w:tcPr>
          <w:p w14:paraId="723E9E8F" w14:textId="77777777" w:rsidR="009F7516" w:rsidRPr="008557D1" w:rsidRDefault="009F7516" w:rsidP="00696B5E">
            <w:pPr>
              <w:contextualSpacing/>
              <w:rPr>
                <w:rFonts w:ascii="Verdana" w:hAnsi="Verdana" w:cs="Arial"/>
                <w:sz w:val="16"/>
                <w:szCs w:val="16"/>
                <w:lang w:val="es-ES" w:eastAsia="es-ES"/>
              </w:rPr>
            </w:pPr>
            <w:r w:rsidRPr="008557D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755C22B" w14:textId="77777777" w:rsidR="009F7516" w:rsidRPr="008557D1" w:rsidRDefault="009F7516" w:rsidP="00696B5E">
            <w:pPr>
              <w:contextualSpacing/>
              <w:rPr>
                <w:rFonts w:ascii="Verdana" w:eastAsia="Calibri" w:hAnsi="Verdana" w:cs="Arial"/>
                <w:sz w:val="16"/>
                <w:szCs w:val="16"/>
                <w:lang w:val="pt-BR" w:eastAsia="es-ES"/>
              </w:rPr>
            </w:pPr>
            <w:r w:rsidRPr="008557D1">
              <w:rPr>
                <w:rFonts w:ascii="Verdana" w:eastAsia="Calibri" w:hAnsi="Verdana" w:cs="Arial"/>
                <w:sz w:val="16"/>
                <w:szCs w:val="16"/>
                <w:lang w:val="pt-BR" w:eastAsia="es-ES"/>
              </w:rPr>
              <w:t xml:space="preserve">Carolina Quintero </w:t>
            </w:r>
            <w:proofErr w:type="spellStart"/>
            <w:r w:rsidRPr="008557D1">
              <w:rPr>
                <w:rFonts w:ascii="Verdana" w:eastAsia="Calibri" w:hAnsi="Verdana" w:cs="Arial"/>
                <w:sz w:val="16"/>
                <w:szCs w:val="16"/>
                <w:lang w:val="pt-BR" w:eastAsia="es-ES"/>
              </w:rPr>
              <w:t>Gacharná</w:t>
            </w:r>
            <w:proofErr w:type="spellEnd"/>
          </w:p>
          <w:p w14:paraId="6006CCF4" w14:textId="77777777" w:rsidR="009F7516" w:rsidRPr="008557D1" w:rsidRDefault="009F7516" w:rsidP="00696B5E">
            <w:pPr>
              <w:contextualSpacing/>
              <w:rPr>
                <w:rFonts w:ascii="Verdana" w:eastAsia="Calibri" w:hAnsi="Verdana" w:cs="Arial"/>
                <w:sz w:val="16"/>
                <w:szCs w:val="16"/>
                <w:lang w:val="pt-BR" w:eastAsia="es-ES"/>
              </w:rPr>
            </w:pPr>
            <w:r w:rsidRPr="008557D1">
              <w:rPr>
                <w:rFonts w:ascii="Verdana" w:eastAsia="Calibri" w:hAnsi="Verdana" w:cs="Arial"/>
                <w:sz w:val="16"/>
                <w:szCs w:val="16"/>
                <w:lang w:eastAsia="es-ES"/>
              </w:rPr>
              <w:t>Subdirectora</w:t>
            </w:r>
            <w:r w:rsidRPr="008557D1">
              <w:rPr>
                <w:rFonts w:ascii="Verdana" w:eastAsia="Calibri" w:hAnsi="Verdana" w:cs="Arial"/>
                <w:sz w:val="16"/>
                <w:szCs w:val="16"/>
                <w:lang w:val="pt-BR" w:eastAsia="es-ES"/>
              </w:rPr>
              <w:t xml:space="preserve"> de Gestión </w:t>
            </w:r>
            <w:proofErr w:type="spellStart"/>
            <w:r w:rsidRPr="008557D1">
              <w:rPr>
                <w:rFonts w:ascii="Verdana" w:eastAsia="Calibri" w:hAnsi="Verdana" w:cs="Arial"/>
                <w:sz w:val="16"/>
                <w:szCs w:val="16"/>
                <w:lang w:val="pt-BR" w:eastAsia="es-ES"/>
              </w:rPr>
              <w:t>Contractual</w:t>
            </w:r>
            <w:proofErr w:type="spellEnd"/>
            <w:r w:rsidRPr="008557D1">
              <w:rPr>
                <w:rFonts w:ascii="Verdana" w:eastAsia="Calibri" w:hAnsi="Verdana" w:cs="Arial"/>
                <w:sz w:val="16"/>
                <w:szCs w:val="16"/>
                <w:lang w:val="pt-BR" w:eastAsia="es-ES"/>
              </w:rPr>
              <w:t xml:space="preserve"> ANCP – CCE</w:t>
            </w:r>
          </w:p>
        </w:tc>
      </w:tr>
      <w:bookmarkEnd w:id="0"/>
    </w:tbl>
    <w:p w14:paraId="6FAF0BCA" w14:textId="77777777" w:rsidR="009F7516" w:rsidRPr="008557D1" w:rsidRDefault="009F7516" w:rsidP="009F7516">
      <w:pPr>
        <w:spacing w:after="0" w:line="240" w:lineRule="auto"/>
        <w:rPr>
          <w:rFonts w:ascii="Verdana" w:eastAsia="Times New Roman" w:hAnsi="Verdana" w:cs="Arial"/>
          <w:sz w:val="24"/>
          <w:szCs w:val="24"/>
          <w:lang w:eastAsia="es-ES"/>
        </w:rPr>
      </w:pPr>
    </w:p>
    <w:p w14:paraId="67DD3F8C" w14:textId="77777777" w:rsidR="009F7516" w:rsidRPr="00896343" w:rsidRDefault="009F7516" w:rsidP="009F7516">
      <w:pPr>
        <w:rPr>
          <w:rFonts w:ascii="Verdana" w:hAnsi="Verdana"/>
        </w:rPr>
      </w:pPr>
    </w:p>
    <w:p w14:paraId="3900974D" w14:textId="77777777" w:rsidR="003D5B0D" w:rsidRPr="00896343" w:rsidRDefault="003D5B0D" w:rsidP="009F7516">
      <w:pPr>
        <w:rPr>
          <w:rFonts w:ascii="Verdana" w:hAnsi="Verdana"/>
        </w:rPr>
      </w:pPr>
    </w:p>
    <w:sectPr w:rsidR="003D5B0D" w:rsidRPr="0089634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2BAF3" w14:textId="77777777" w:rsidR="00CC1847" w:rsidRDefault="00CC1847" w:rsidP="004A1847">
      <w:pPr>
        <w:spacing w:after="0" w:line="240" w:lineRule="auto"/>
      </w:pPr>
      <w:r>
        <w:separator/>
      </w:r>
    </w:p>
  </w:endnote>
  <w:endnote w:type="continuationSeparator" w:id="0">
    <w:p w14:paraId="69791708" w14:textId="77777777" w:rsidR="00CC1847" w:rsidRDefault="00CC1847" w:rsidP="004A1847">
      <w:pPr>
        <w:spacing w:after="0" w:line="240" w:lineRule="auto"/>
      </w:pPr>
      <w:r>
        <w:continuationSeparator/>
      </w:r>
    </w:p>
  </w:endnote>
  <w:endnote w:type="continuationNotice" w:id="1">
    <w:p w14:paraId="69BCDB22" w14:textId="77777777" w:rsidR="00CC1847" w:rsidRDefault="00CC1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4EEAA" w14:textId="77777777" w:rsidR="00CC1847" w:rsidRDefault="00CC1847" w:rsidP="004A1847">
      <w:pPr>
        <w:spacing w:after="0" w:line="240" w:lineRule="auto"/>
      </w:pPr>
      <w:r>
        <w:separator/>
      </w:r>
    </w:p>
  </w:footnote>
  <w:footnote w:type="continuationSeparator" w:id="0">
    <w:p w14:paraId="57735959" w14:textId="77777777" w:rsidR="00CC1847" w:rsidRDefault="00CC1847" w:rsidP="004A1847">
      <w:pPr>
        <w:spacing w:after="0" w:line="240" w:lineRule="auto"/>
      </w:pPr>
      <w:r>
        <w:continuationSeparator/>
      </w:r>
    </w:p>
  </w:footnote>
  <w:footnote w:type="continuationNotice" w:id="1">
    <w:p w14:paraId="13D98E2C" w14:textId="77777777" w:rsidR="00CC1847" w:rsidRDefault="00CC1847">
      <w:pPr>
        <w:spacing w:after="0" w:line="240" w:lineRule="auto"/>
      </w:pPr>
    </w:p>
  </w:footnote>
  <w:footnote w:id="2">
    <w:p w14:paraId="30E7FA4F" w14:textId="77777777" w:rsidR="009F7516" w:rsidRPr="005360B8" w:rsidRDefault="009F7516" w:rsidP="009F7516">
      <w:pPr>
        <w:pStyle w:val="Textonotapie"/>
        <w:contextualSpacing/>
        <w:jc w:val="both"/>
        <w:rPr>
          <w:rFonts w:ascii="Verdana" w:hAnsi="Verdana" w:cs="Arial"/>
          <w:sz w:val="16"/>
          <w:szCs w:val="16"/>
          <w:lang w:val="pt-BR"/>
        </w:rPr>
      </w:pPr>
      <w:r w:rsidRPr="005360B8">
        <w:rPr>
          <w:rStyle w:val="Refdenotaalpie"/>
          <w:rFonts w:ascii="Verdana" w:hAnsi="Verdana"/>
          <w:sz w:val="16"/>
          <w:szCs w:val="16"/>
        </w:rPr>
        <w:footnoteRef/>
      </w:r>
      <w:r w:rsidRPr="005360B8">
        <w:rPr>
          <w:rFonts w:ascii="Verdana" w:hAnsi="Verdana"/>
          <w:sz w:val="16"/>
          <w:szCs w:val="16"/>
        </w:rPr>
        <w:t xml:space="preserve"> </w:t>
      </w:r>
      <w:r w:rsidRPr="005360B8">
        <w:rPr>
          <w:rFonts w:ascii="Verdana" w:hAnsi="Verdana" w:cs="Arial"/>
          <w:sz w:val="16"/>
          <w:szCs w:val="16"/>
          <w:lang w:val="pt-BR"/>
        </w:rPr>
        <w:t xml:space="preserve">Corte Constitucional. Sentencia C-1016 de 2012. M.P. Jorge Iván Palacio. </w:t>
      </w:r>
    </w:p>
    <w:p w14:paraId="4E7A7DF8" w14:textId="77777777" w:rsidR="009F7516" w:rsidRPr="005360B8" w:rsidRDefault="009F7516" w:rsidP="009F7516">
      <w:pPr>
        <w:pStyle w:val="Textonotapie"/>
        <w:rPr>
          <w:lang w:val="es-ES"/>
        </w:rPr>
      </w:pPr>
    </w:p>
  </w:footnote>
  <w:footnote w:id="3">
    <w:p w14:paraId="4C3F61B1" w14:textId="77777777" w:rsidR="009F7516" w:rsidRPr="00E333E3" w:rsidRDefault="009F7516" w:rsidP="009F7516">
      <w:pPr>
        <w:pStyle w:val="Textonotapie"/>
        <w:contextualSpacing/>
        <w:jc w:val="both"/>
        <w:rPr>
          <w:rFonts w:ascii="Verdana" w:hAnsi="Verdana" w:cs="Arial"/>
          <w:sz w:val="16"/>
          <w:szCs w:val="16"/>
          <w:lang w:val="pt-BR"/>
        </w:rPr>
      </w:pPr>
      <w:r w:rsidRPr="00E333E3">
        <w:rPr>
          <w:rStyle w:val="Refdenotaalpie"/>
          <w:rFonts w:ascii="Verdana" w:hAnsi="Verdana"/>
          <w:sz w:val="16"/>
          <w:szCs w:val="16"/>
        </w:rPr>
        <w:footnoteRef/>
      </w:r>
      <w:r w:rsidRPr="00E333E3">
        <w:rPr>
          <w:rFonts w:ascii="Verdana" w:hAnsi="Verdana"/>
          <w:sz w:val="16"/>
          <w:szCs w:val="16"/>
        </w:rPr>
        <w:t xml:space="preserve"> </w:t>
      </w:r>
      <w:r w:rsidRPr="00E333E3">
        <w:rPr>
          <w:rFonts w:ascii="Verdana" w:hAnsi="Verdana" w:cs="Arial"/>
          <w:sz w:val="16"/>
          <w:szCs w:val="16"/>
        </w:rPr>
        <w:t xml:space="preserve">Consejo De Estado. Sección Tercera. Subsección A. Sentencia del 13 de noviembre de 2013. </w:t>
      </w:r>
      <w:r w:rsidRPr="00E333E3">
        <w:rPr>
          <w:rFonts w:ascii="Verdana" w:hAnsi="Verdana" w:cs="Arial"/>
          <w:sz w:val="16"/>
          <w:szCs w:val="16"/>
          <w:lang w:val="pt-BR"/>
        </w:rPr>
        <w:t xml:space="preserve">Rad. 25.646. C.P. Mauricio Fajardo Gómez.  </w:t>
      </w:r>
    </w:p>
    <w:p w14:paraId="3693B1E5" w14:textId="77777777" w:rsidR="009F7516" w:rsidRPr="00E333E3" w:rsidRDefault="009F7516" w:rsidP="009F7516">
      <w:pPr>
        <w:pStyle w:val="Textonotapie"/>
        <w:rPr>
          <w:rFonts w:ascii="Verdana" w:hAnsi="Verdana"/>
          <w:sz w:val="16"/>
          <w:szCs w:val="16"/>
          <w:lang w:val="es-ES"/>
        </w:rPr>
      </w:pPr>
    </w:p>
  </w:footnote>
  <w:footnote w:id="4">
    <w:p w14:paraId="5B1C7BED" w14:textId="77777777" w:rsidR="009F7516" w:rsidRPr="00E333E3" w:rsidRDefault="009F7516" w:rsidP="009F7516">
      <w:pPr>
        <w:pStyle w:val="Textonotapie"/>
        <w:rPr>
          <w:rFonts w:ascii="Verdana" w:hAnsi="Verdana"/>
          <w:sz w:val="16"/>
          <w:szCs w:val="16"/>
          <w:lang w:val="es-ES"/>
        </w:rPr>
      </w:pPr>
      <w:r w:rsidRPr="00E333E3">
        <w:rPr>
          <w:rStyle w:val="Refdenotaalpie"/>
          <w:rFonts w:ascii="Verdana" w:hAnsi="Verdana"/>
          <w:sz w:val="16"/>
          <w:szCs w:val="16"/>
        </w:rPr>
        <w:footnoteRef/>
      </w:r>
      <w:r w:rsidRPr="00E333E3">
        <w:rPr>
          <w:rFonts w:ascii="Verdana" w:hAnsi="Verdana"/>
          <w:sz w:val="16"/>
          <w:szCs w:val="16"/>
        </w:rPr>
        <w:t xml:space="preserve"> Corte Constitucional. Sentencia C-415 de 1994. M.P. Eduardo Cifuentes Muñoz.</w:t>
      </w:r>
    </w:p>
  </w:footnote>
  <w:footnote w:id="5">
    <w:p w14:paraId="6ECB15DA" w14:textId="77777777" w:rsidR="009F7516" w:rsidRPr="004D11CB" w:rsidRDefault="009F7516" w:rsidP="009F7516">
      <w:pPr>
        <w:pStyle w:val="Textonotapie"/>
        <w:rPr>
          <w:rFonts w:ascii="Verdana" w:hAnsi="Verdana"/>
          <w:sz w:val="16"/>
          <w:szCs w:val="16"/>
          <w:lang w:val="es-ES"/>
        </w:rPr>
      </w:pPr>
      <w:r w:rsidRPr="004D11CB">
        <w:rPr>
          <w:rStyle w:val="Refdenotaalpie"/>
          <w:rFonts w:ascii="Verdana" w:hAnsi="Verdana"/>
          <w:sz w:val="16"/>
          <w:szCs w:val="16"/>
        </w:rPr>
        <w:footnoteRef/>
      </w:r>
      <w:r w:rsidRPr="004D11CB">
        <w:rPr>
          <w:rFonts w:ascii="Verdana" w:hAnsi="Verdana"/>
          <w:sz w:val="16"/>
          <w:szCs w:val="16"/>
        </w:rPr>
        <w:t xml:space="preserve"> </w:t>
      </w:r>
      <w:r w:rsidRPr="004D11CB">
        <w:rPr>
          <w:rFonts w:ascii="Verdana" w:hAnsi="Verdana" w:cs="Arial"/>
          <w:sz w:val="16"/>
          <w:szCs w:val="16"/>
          <w:lang w:val="pt-BR"/>
        </w:rPr>
        <w:t>Ibidem.</w:t>
      </w:r>
    </w:p>
  </w:footnote>
  <w:footnote w:id="6">
    <w:p w14:paraId="00123579" w14:textId="77777777" w:rsidR="009F7516" w:rsidRPr="004D11CB" w:rsidRDefault="009F7516" w:rsidP="009F7516">
      <w:pPr>
        <w:pStyle w:val="Textonotapie"/>
        <w:rPr>
          <w:rFonts w:ascii="Verdana" w:hAnsi="Verdana"/>
          <w:sz w:val="16"/>
          <w:szCs w:val="16"/>
          <w:lang w:val="es-ES"/>
        </w:rPr>
      </w:pPr>
      <w:r w:rsidRPr="004D11CB">
        <w:rPr>
          <w:rStyle w:val="Refdenotaalpie"/>
          <w:rFonts w:ascii="Verdana" w:hAnsi="Verdana"/>
          <w:sz w:val="16"/>
          <w:szCs w:val="16"/>
        </w:rPr>
        <w:footnoteRef/>
      </w:r>
      <w:r w:rsidRPr="004D11CB">
        <w:rPr>
          <w:rFonts w:ascii="Verdana" w:hAnsi="Verdana"/>
          <w:sz w:val="16"/>
          <w:szCs w:val="16"/>
        </w:rPr>
        <w:t xml:space="preserve"> </w:t>
      </w:r>
      <w:r w:rsidRPr="004D11CB">
        <w:rPr>
          <w:rFonts w:ascii="Verdana" w:hAnsi="Verdana" w:cs="Arial"/>
          <w:sz w:val="16"/>
          <w:szCs w:val="16"/>
          <w:lang w:val="pt-BR"/>
        </w:rPr>
        <w:t xml:space="preserve">Corte Constitucional. </w:t>
      </w:r>
      <w:r w:rsidRPr="004D11CB">
        <w:rPr>
          <w:rFonts w:ascii="Verdana" w:hAnsi="Verdana" w:cs="Arial"/>
          <w:sz w:val="16"/>
          <w:szCs w:val="16"/>
        </w:rPr>
        <w:t>Sentencia C-780 de 2001. M.P. Jaime Córdoba Triviño.</w:t>
      </w:r>
    </w:p>
  </w:footnote>
  <w:footnote w:id="7">
    <w:p w14:paraId="559A1E60" w14:textId="77777777" w:rsidR="009F7516" w:rsidRPr="004D11CB" w:rsidRDefault="009F7516" w:rsidP="009F7516">
      <w:pPr>
        <w:pStyle w:val="Textonotapie"/>
        <w:rPr>
          <w:rFonts w:ascii="Verdana" w:hAnsi="Verdana"/>
          <w:sz w:val="16"/>
          <w:szCs w:val="16"/>
          <w:lang w:val="es-ES"/>
        </w:rPr>
      </w:pPr>
      <w:r w:rsidRPr="004D11CB">
        <w:rPr>
          <w:rStyle w:val="Refdenotaalpie"/>
          <w:rFonts w:ascii="Verdana" w:hAnsi="Verdana"/>
          <w:sz w:val="16"/>
          <w:szCs w:val="16"/>
        </w:rPr>
        <w:footnoteRef/>
      </w:r>
      <w:r w:rsidRPr="004D11CB">
        <w:rPr>
          <w:rFonts w:ascii="Verdana" w:hAnsi="Verdana"/>
          <w:sz w:val="16"/>
          <w:szCs w:val="16"/>
        </w:rPr>
        <w:t xml:space="preserve"> </w:t>
      </w:r>
      <w:r w:rsidRPr="004D11CB">
        <w:rPr>
          <w:rFonts w:ascii="Verdana" w:hAnsi="Verdana" w:cs="Arial"/>
          <w:sz w:val="16"/>
          <w:szCs w:val="16"/>
          <w:lang w:val="pt-BR"/>
        </w:rPr>
        <w:t>Ibidem</w:t>
      </w:r>
      <w:r w:rsidRPr="004D11CB">
        <w:rPr>
          <w:rFonts w:ascii="Verdana" w:hAnsi="Verdana" w:cs="Arial"/>
          <w:color w:val="000000"/>
          <w:sz w:val="16"/>
          <w:szCs w:val="16"/>
          <w:lang w:val="es-ES"/>
        </w:rPr>
        <w:t>. Página 69.</w:t>
      </w:r>
    </w:p>
  </w:footnote>
  <w:footnote w:id="8">
    <w:p w14:paraId="148C244B" w14:textId="77777777" w:rsidR="009F7516" w:rsidRPr="004D11CB" w:rsidRDefault="009F7516" w:rsidP="009F7516">
      <w:pPr>
        <w:pStyle w:val="Textonotapie"/>
        <w:jc w:val="both"/>
        <w:rPr>
          <w:rFonts w:ascii="Verdana" w:hAnsi="Verdana"/>
          <w:sz w:val="16"/>
          <w:szCs w:val="16"/>
          <w:lang w:val="es-ES"/>
        </w:rPr>
      </w:pPr>
      <w:r>
        <w:rPr>
          <w:rStyle w:val="Refdenotaalpie"/>
        </w:rPr>
        <w:footnoteRef/>
      </w:r>
      <w:r>
        <w:t xml:space="preserve"> </w:t>
      </w:r>
      <w:r w:rsidRPr="004D11CB">
        <w:rPr>
          <w:rFonts w:ascii="Verdana" w:hAnsi="Verdana"/>
          <w:sz w:val="16"/>
          <w:szCs w:val="16"/>
        </w:rPr>
        <w:t xml:space="preserve">Corte Constitucional. Sentencia T-1039 de 2006. </w:t>
      </w:r>
      <w:r w:rsidRPr="00850F05">
        <w:rPr>
          <w:rFonts w:ascii="Verdana" w:hAnsi="Verdana"/>
          <w:sz w:val="16"/>
          <w:szCs w:val="16"/>
          <w:lang w:val="it-IT"/>
        </w:rPr>
        <w:t xml:space="preserve">Magistrado Ponente: Humberto Sierra Porto. </w:t>
      </w:r>
      <w:r w:rsidRPr="004D11CB">
        <w:rPr>
          <w:rFonts w:ascii="Verdana" w:hAnsi="Verdana"/>
          <w:sz w:val="16"/>
          <w:szCs w:val="16"/>
        </w:rPr>
        <w:t>La Corte ha mantenido este criterio en las sentencias: C-903 de 2008. Magistrado Ponente: Jaime Araujo Rentería; C-101 de 2018. Magistrada Ponente Gloria Stella Ortiz Delgado; entre otras.</w:t>
      </w:r>
    </w:p>
  </w:footnote>
  <w:footnote w:id="9">
    <w:p w14:paraId="5F590312" w14:textId="77777777" w:rsidR="009F7516" w:rsidRPr="00E77D0F" w:rsidRDefault="009F7516" w:rsidP="009F7516">
      <w:pPr>
        <w:pStyle w:val="Textonotapie"/>
        <w:rPr>
          <w:rFonts w:ascii="Verdana" w:hAnsi="Verdana"/>
          <w:sz w:val="16"/>
          <w:szCs w:val="16"/>
        </w:rPr>
      </w:pPr>
      <w:r>
        <w:rPr>
          <w:rStyle w:val="Refdenotaalpie"/>
        </w:rPr>
        <w:footnoteRef/>
      </w:r>
      <w:r>
        <w:t xml:space="preserve"> </w:t>
      </w:r>
      <w:r w:rsidRPr="004D11CB">
        <w:rPr>
          <w:rFonts w:ascii="Verdana" w:hAnsi="Verdana"/>
          <w:sz w:val="16"/>
          <w:szCs w:val="16"/>
        </w:rPr>
        <w:t xml:space="preserve">Consejo de Estado. Sala de Consulta y Servicio Civil. Concepto del 30 de abril de 2015. Expediente: 2.251. Consejero Ponente: Álvaro </w:t>
      </w:r>
      <w:proofErr w:type="spellStart"/>
      <w:r w:rsidRPr="004D11CB">
        <w:rPr>
          <w:rFonts w:ascii="Verdana" w:hAnsi="Verdana"/>
          <w:sz w:val="16"/>
          <w:szCs w:val="16"/>
        </w:rPr>
        <w:t>Namén</w:t>
      </w:r>
      <w:proofErr w:type="spellEnd"/>
      <w:r w:rsidRPr="004D11CB">
        <w:rPr>
          <w:rFonts w:ascii="Verdana" w:hAnsi="Verdana"/>
          <w:sz w:val="16"/>
          <w:szCs w:val="16"/>
        </w:rPr>
        <w:t xml:space="preserve"> Vargas.</w:t>
      </w:r>
    </w:p>
  </w:footnote>
  <w:footnote w:id="10">
    <w:p w14:paraId="74D7C1B9" w14:textId="77777777" w:rsidR="009F7516" w:rsidRPr="001C7DC9" w:rsidRDefault="009F7516" w:rsidP="009F7516">
      <w:pPr>
        <w:spacing w:line="240" w:lineRule="auto"/>
        <w:rPr>
          <w:rFonts w:ascii="Verdana" w:hAnsi="Verdana"/>
          <w:kern w:val="2"/>
          <w:sz w:val="16"/>
          <w:szCs w:val="16"/>
          <w:lang w:val="es-MX"/>
          <w14:ligatures w14:val="standardContextual"/>
        </w:rPr>
      </w:pPr>
      <w:r w:rsidRPr="001C7DC9">
        <w:rPr>
          <w:rStyle w:val="Refdenotaalpie"/>
          <w:rFonts w:ascii="Verdana" w:hAnsi="Verdana"/>
          <w:sz w:val="16"/>
          <w:szCs w:val="16"/>
        </w:rPr>
        <w:footnoteRef/>
      </w:r>
      <w:r w:rsidRPr="001C7DC9">
        <w:rPr>
          <w:rFonts w:ascii="Verdana" w:hAnsi="Verdana"/>
          <w:sz w:val="16"/>
          <w:szCs w:val="16"/>
        </w:rPr>
        <w:t xml:space="preserve"> </w:t>
      </w:r>
      <w:r w:rsidRPr="001C7DC9">
        <w:rPr>
          <w:rFonts w:ascii="Verdana" w:hAnsi="Verdana"/>
          <w:kern w:val="2"/>
          <w:sz w:val="16"/>
          <w:szCs w:val="16"/>
          <w:lang w:val="es-MX"/>
          <w14:ligatures w14:val="standardContextual"/>
        </w:rPr>
        <w:t xml:space="preserve">Consejo de Estado. Sección Tercera. Subsección A. Sentencia del 24 de junio de 2015. </w:t>
      </w:r>
      <w:proofErr w:type="spellStart"/>
      <w:r w:rsidRPr="001C7DC9">
        <w:rPr>
          <w:rFonts w:ascii="Verdana" w:hAnsi="Verdana"/>
          <w:kern w:val="2"/>
          <w:sz w:val="16"/>
          <w:szCs w:val="16"/>
          <w:lang w:val="es-MX"/>
          <w14:ligatures w14:val="standardContextual"/>
        </w:rPr>
        <w:t>Exp</w:t>
      </w:r>
      <w:proofErr w:type="spellEnd"/>
      <w:r w:rsidRPr="001C7DC9">
        <w:rPr>
          <w:rFonts w:ascii="Verdana" w:hAnsi="Verdana"/>
          <w:kern w:val="2"/>
          <w:sz w:val="16"/>
          <w:szCs w:val="16"/>
          <w:lang w:val="es-MX"/>
          <w14:ligatures w14:val="standardContextual"/>
        </w:rPr>
        <w:t>. 40.635. Consejero Ponente: Hernán Andrade Rincón (E).</w:t>
      </w:r>
    </w:p>
  </w:footnote>
  <w:footnote w:id="11">
    <w:p w14:paraId="142FBD89" w14:textId="77777777" w:rsidR="009F7516" w:rsidRPr="001C7DC9" w:rsidRDefault="009F7516" w:rsidP="009F7516">
      <w:pPr>
        <w:pStyle w:val="Textonotapie"/>
        <w:rPr>
          <w:rFonts w:ascii="Verdana" w:hAnsi="Verdana"/>
          <w:sz w:val="16"/>
          <w:szCs w:val="16"/>
          <w:lang w:val="es-ES"/>
        </w:rPr>
      </w:pPr>
      <w:r w:rsidRPr="001C7DC9">
        <w:rPr>
          <w:rStyle w:val="Refdenotaalpie"/>
          <w:rFonts w:ascii="Verdana" w:hAnsi="Verdana"/>
          <w:sz w:val="16"/>
          <w:szCs w:val="16"/>
        </w:rPr>
        <w:footnoteRef/>
      </w:r>
      <w:r w:rsidRPr="001C7DC9">
        <w:rPr>
          <w:rFonts w:ascii="Verdana" w:hAnsi="Verdana"/>
          <w:sz w:val="16"/>
          <w:szCs w:val="16"/>
        </w:rPr>
        <w:t xml:space="preserve"> Consejo de Estado. Sección Tercera. Subsección C. Sentencia del 22 de mayo de 2013. </w:t>
      </w:r>
      <w:proofErr w:type="spellStart"/>
      <w:r w:rsidRPr="001C7DC9">
        <w:rPr>
          <w:rFonts w:ascii="Verdana" w:hAnsi="Verdana"/>
          <w:sz w:val="16"/>
          <w:szCs w:val="16"/>
        </w:rPr>
        <w:t>Exp</w:t>
      </w:r>
      <w:proofErr w:type="spellEnd"/>
      <w:r w:rsidRPr="001C7DC9">
        <w:rPr>
          <w:rFonts w:ascii="Verdana" w:hAnsi="Verdana"/>
          <w:sz w:val="16"/>
          <w:szCs w:val="16"/>
        </w:rPr>
        <w:t xml:space="preserve">. 24.057. Consejera Ponente: Olga </w:t>
      </w:r>
      <w:proofErr w:type="spellStart"/>
      <w:r w:rsidRPr="001C7DC9">
        <w:rPr>
          <w:rFonts w:ascii="Verdana" w:hAnsi="Verdana"/>
          <w:sz w:val="16"/>
          <w:szCs w:val="16"/>
        </w:rPr>
        <w:t>Melida</w:t>
      </w:r>
      <w:proofErr w:type="spellEnd"/>
      <w:r w:rsidRPr="001C7DC9">
        <w:rPr>
          <w:rFonts w:ascii="Verdana" w:hAnsi="Verdana"/>
          <w:sz w:val="16"/>
          <w:szCs w:val="16"/>
        </w:rPr>
        <w:t xml:space="preserve"> Valle De </w:t>
      </w:r>
      <w:proofErr w:type="spellStart"/>
      <w:r w:rsidRPr="001C7DC9">
        <w:rPr>
          <w:rFonts w:ascii="Verdana" w:hAnsi="Verdana"/>
          <w:sz w:val="16"/>
          <w:szCs w:val="16"/>
        </w:rPr>
        <w:t>De</w:t>
      </w:r>
      <w:proofErr w:type="spellEnd"/>
      <w:r w:rsidRPr="001C7DC9">
        <w:rPr>
          <w:rFonts w:ascii="Verdana" w:hAnsi="Verdana"/>
          <w:sz w:val="16"/>
          <w:szCs w:val="16"/>
        </w:rPr>
        <w:t xml:space="preserve"> La Hoz.</w:t>
      </w:r>
    </w:p>
  </w:footnote>
  <w:footnote w:id="12">
    <w:p w14:paraId="6A9CA85A"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Style w:val="Refdenotaalpie"/>
          <w:rFonts w:ascii="Century Gothic" w:hAnsi="Century Gothic" w:cs="Arial"/>
          <w:sz w:val="16"/>
          <w:szCs w:val="16"/>
        </w:rPr>
        <w:footnoteRef/>
      </w:r>
      <w:r w:rsidRPr="007A0D4B">
        <w:rPr>
          <w:rFonts w:ascii="Century Gothic" w:hAnsi="Century Gothic" w:cs="Arial"/>
          <w:sz w:val="16"/>
          <w:szCs w:val="16"/>
        </w:rPr>
        <w:t xml:space="preserve"> Código Civil: “Artículo 33. Palabras relacionadas con las personas. La palabra persona en su sentido general se aplica(</w:t>
      </w:r>
      <w:proofErr w:type="spellStart"/>
      <w:r w:rsidRPr="007A0D4B">
        <w:rPr>
          <w:rFonts w:ascii="Century Gothic" w:hAnsi="Century Gothic" w:cs="Arial"/>
          <w:sz w:val="16"/>
          <w:szCs w:val="16"/>
        </w:rPr>
        <w:t>rá</w:t>
      </w:r>
      <w:proofErr w:type="spellEnd"/>
      <w:r w:rsidRPr="007A0D4B">
        <w:rPr>
          <w:rFonts w:ascii="Century Gothic" w:hAnsi="Century Gothic" w:cs="Arial"/>
          <w:sz w:val="16"/>
          <w:szCs w:val="16"/>
        </w:rPr>
        <w:t>) a la especie humana, sin distinción de sexo”.</w:t>
      </w:r>
    </w:p>
    <w:p w14:paraId="16F3710B" w14:textId="77777777" w:rsidR="00027481" w:rsidRPr="007A0D4B" w:rsidRDefault="00027481" w:rsidP="00027481">
      <w:pPr>
        <w:pStyle w:val="Textonotapie"/>
        <w:ind w:firstLine="709"/>
        <w:contextualSpacing/>
        <w:jc w:val="both"/>
        <w:rPr>
          <w:rFonts w:ascii="Century Gothic" w:hAnsi="Century Gothic" w:cs="Arial"/>
          <w:sz w:val="16"/>
          <w:szCs w:val="16"/>
          <w:lang w:val="es-CO"/>
        </w:rPr>
      </w:pPr>
    </w:p>
  </w:footnote>
  <w:footnote w:id="13">
    <w:p w14:paraId="14447F80"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Style w:val="Refdenotaalpie"/>
          <w:rFonts w:ascii="Century Gothic" w:hAnsi="Century Gothic" w:cs="Arial"/>
          <w:sz w:val="16"/>
          <w:szCs w:val="16"/>
        </w:rPr>
        <w:footnoteRef/>
      </w:r>
      <w:r w:rsidRPr="007A0D4B">
        <w:rPr>
          <w:rFonts w:ascii="Century Gothic" w:hAnsi="Century Gothic" w:cs="Arial"/>
          <w:sz w:val="16"/>
          <w:szCs w:val="16"/>
        </w:rPr>
        <w:t>Constitución Política de Colombia: “Artículo 42. La familia es el núcleo fundamental de la sociedad. Se constituye por vínculos naturales o jurídicos, por la decisión libre de un hombre y una mujer de contraer matrimonio o por la voluntad responsable de conformarla”.</w:t>
      </w:r>
    </w:p>
    <w:p w14:paraId="22DC1670" w14:textId="77777777" w:rsidR="00027481" w:rsidRPr="007A0D4B" w:rsidRDefault="00027481" w:rsidP="00027481">
      <w:pPr>
        <w:pStyle w:val="Textonotapie"/>
        <w:ind w:firstLine="709"/>
        <w:contextualSpacing/>
        <w:jc w:val="both"/>
        <w:rPr>
          <w:rFonts w:ascii="Century Gothic" w:hAnsi="Century Gothic" w:cs="Arial"/>
          <w:sz w:val="16"/>
          <w:szCs w:val="16"/>
          <w:lang w:val="es-CO"/>
        </w:rPr>
      </w:pPr>
    </w:p>
  </w:footnote>
  <w:footnote w:id="14">
    <w:p w14:paraId="70557E5B"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Style w:val="Refdenotaalpie"/>
          <w:rFonts w:ascii="Century Gothic" w:hAnsi="Century Gothic" w:cs="Arial"/>
          <w:sz w:val="16"/>
          <w:szCs w:val="16"/>
        </w:rPr>
        <w:footnoteRef/>
      </w:r>
      <w:r w:rsidRPr="007A0D4B">
        <w:rPr>
          <w:rFonts w:ascii="Century Gothic" w:hAnsi="Century Gothic" w:cs="Arial"/>
          <w:sz w:val="16"/>
          <w:szCs w:val="16"/>
        </w:rPr>
        <w:t xml:space="preserve"> Código Civil: “Artículo 113. Definición. El matrimonio es un contrato solemne por el cual un hombre y una mujer se unen con el fin de vivir juntos, de procrear y de auxiliarse mutuamente”.</w:t>
      </w:r>
    </w:p>
    <w:p w14:paraId="1ADD67B1" w14:textId="77777777" w:rsidR="00027481" w:rsidRPr="007A0D4B" w:rsidRDefault="00027481" w:rsidP="00027481">
      <w:pPr>
        <w:pStyle w:val="Textonotapie"/>
        <w:ind w:firstLine="709"/>
        <w:contextualSpacing/>
        <w:jc w:val="both"/>
        <w:rPr>
          <w:rFonts w:ascii="Century Gothic" w:hAnsi="Century Gothic" w:cs="Arial"/>
          <w:sz w:val="16"/>
          <w:szCs w:val="16"/>
          <w:lang w:val="es-CO"/>
        </w:rPr>
      </w:pPr>
    </w:p>
  </w:footnote>
  <w:footnote w:id="15">
    <w:p w14:paraId="3ADFA3E1"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Style w:val="Refdenotaalpie"/>
          <w:rFonts w:ascii="Century Gothic" w:hAnsi="Century Gothic" w:cs="Arial"/>
          <w:sz w:val="16"/>
          <w:szCs w:val="16"/>
        </w:rPr>
        <w:footnoteRef/>
      </w:r>
      <w:r w:rsidRPr="007A0D4B">
        <w:rPr>
          <w:rFonts w:ascii="Century Gothic" w:hAnsi="Century Gothic" w:cs="Arial"/>
          <w:sz w:val="16"/>
          <w:szCs w:val="16"/>
        </w:rPr>
        <w:t xml:space="preserve"> Ley 54 de 1990: “Artículo 1. A partir de la vigencia de la presente Ley y para todos los efectos civiles, se denomina Unión Marital de Hecho, la formada entre un hombre y una mujer, </w:t>
      </w:r>
      <w:proofErr w:type="gramStart"/>
      <w:r w:rsidRPr="007A0D4B">
        <w:rPr>
          <w:rFonts w:ascii="Century Gothic" w:hAnsi="Century Gothic" w:cs="Arial"/>
          <w:sz w:val="16"/>
          <w:szCs w:val="16"/>
        </w:rPr>
        <w:t>que</w:t>
      </w:r>
      <w:proofErr w:type="gramEnd"/>
      <w:r w:rsidRPr="007A0D4B">
        <w:rPr>
          <w:rFonts w:ascii="Century Gothic" w:hAnsi="Century Gothic" w:cs="Arial"/>
          <w:sz w:val="16"/>
          <w:szCs w:val="16"/>
        </w:rPr>
        <w:t xml:space="preserve"> sin estar casados, hacen una comunidad de vida permanente y singular.</w:t>
      </w:r>
    </w:p>
    <w:p w14:paraId="309EB985"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Fonts w:ascii="Century Gothic" w:hAnsi="Century Gothic" w:cs="Arial"/>
          <w:sz w:val="16"/>
          <w:szCs w:val="16"/>
        </w:rPr>
        <w:t>Igualmente, y para todos los efectos civiles, se denominan compañero y compañera permanente, al hombre y la mujer que forman parte de la unión marital de hecho”.</w:t>
      </w:r>
    </w:p>
    <w:p w14:paraId="543FE16E" w14:textId="77777777" w:rsidR="00027481" w:rsidRPr="007A0D4B" w:rsidRDefault="00027481" w:rsidP="00027481">
      <w:pPr>
        <w:pStyle w:val="Textonotapie"/>
        <w:ind w:firstLine="709"/>
        <w:contextualSpacing/>
        <w:jc w:val="both"/>
        <w:rPr>
          <w:rFonts w:ascii="Century Gothic" w:hAnsi="Century Gothic" w:cs="Arial"/>
          <w:sz w:val="16"/>
          <w:szCs w:val="16"/>
          <w:lang w:val="es-CO"/>
        </w:rPr>
      </w:pPr>
    </w:p>
  </w:footnote>
  <w:footnote w:id="16">
    <w:p w14:paraId="31B8290E"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Style w:val="Refdenotaalpie"/>
          <w:rFonts w:ascii="Century Gothic" w:hAnsi="Century Gothic" w:cs="Arial"/>
          <w:sz w:val="16"/>
          <w:szCs w:val="16"/>
        </w:rPr>
        <w:footnoteRef/>
      </w:r>
      <w:r w:rsidRPr="007A0D4B">
        <w:rPr>
          <w:rFonts w:ascii="Century Gothic" w:hAnsi="Century Gothic" w:cs="Arial"/>
          <w:sz w:val="16"/>
          <w:szCs w:val="16"/>
        </w:rPr>
        <w:t xml:space="preserve"> Corte Constitucional. Sentencia C-029 de 2009. M.P. Rodrigo Escobar Gil.</w:t>
      </w:r>
    </w:p>
    <w:p w14:paraId="010BCDBD" w14:textId="77777777" w:rsidR="00027481" w:rsidRPr="007A0D4B" w:rsidRDefault="00027481" w:rsidP="00027481">
      <w:pPr>
        <w:pStyle w:val="Textonotapie"/>
        <w:ind w:firstLine="709"/>
        <w:contextualSpacing/>
        <w:jc w:val="both"/>
        <w:rPr>
          <w:rFonts w:ascii="Century Gothic" w:hAnsi="Century Gothic" w:cs="Arial"/>
          <w:sz w:val="16"/>
          <w:szCs w:val="16"/>
          <w:lang w:val="es-CO"/>
        </w:rPr>
      </w:pPr>
    </w:p>
  </w:footnote>
  <w:footnote w:id="17">
    <w:p w14:paraId="3CE0825C"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Style w:val="Refdenotaalpie"/>
          <w:rFonts w:ascii="Century Gothic" w:hAnsi="Century Gothic" w:cs="Arial"/>
          <w:sz w:val="16"/>
          <w:szCs w:val="16"/>
        </w:rPr>
        <w:footnoteRef/>
      </w:r>
      <w:r w:rsidRPr="007A0D4B">
        <w:rPr>
          <w:rFonts w:ascii="Century Gothic" w:hAnsi="Century Gothic" w:cs="Arial"/>
          <w:sz w:val="16"/>
          <w:szCs w:val="16"/>
        </w:rPr>
        <w:t xml:space="preserve"> Código Civil: “Artículo 36”.</w:t>
      </w:r>
    </w:p>
    <w:p w14:paraId="0BF5CDD5" w14:textId="77777777" w:rsidR="00027481" w:rsidRPr="007A0D4B" w:rsidRDefault="00027481" w:rsidP="00027481">
      <w:pPr>
        <w:pStyle w:val="Textonotapie"/>
        <w:ind w:firstLine="709"/>
        <w:contextualSpacing/>
        <w:jc w:val="both"/>
        <w:rPr>
          <w:rFonts w:ascii="Century Gothic" w:hAnsi="Century Gothic" w:cs="Arial"/>
          <w:sz w:val="16"/>
          <w:szCs w:val="16"/>
          <w:lang w:val="es-CO"/>
        </w:rPr>
      </w:pPr>
    </w:p>
  </w:footnote>
  <w:footnote w:id="18">
    <w:p w14:paraId="6FE60B1D"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Style w:val="Refdenotaalpie"/>
          <w:rFonts w:ascii="Century Gothic" w:hAnsi="Century Gothic" w:cs="Arial"/>
          <w:sz w:val="16"/>
          <w:szCs w:val="16"/>
        </w:rPr>
        <w:footnoteRef/>
      </w:r>
      <w:r w:rsidRPr="007A0D4B">
        <w:rPr>
          <w:rFonts w:ascii="Century Gothic" w:hAnsi="Century Gothic" w:cs="Arial"/>
          <w:sz w:val="16"/>
          <w:szCs w:val="16"/>
        </w:rPr>
        <w:t xml:space="preserve"> Código Civil: “Artículo 36”.</w:t>
      </w:r>
    </w:p>
    <w:p w14:paraId="67455437" w14:textId="77777777" w:rsidR="00027481" w:rsidRPr="007A0D4B" w:rsidRDefault="00027481" w:rsidP="00027481">
      <w:pPr>
        <w:pStyle w:val="Textonotapie"/>
        <w:ind w:firstLine="709"/>
        <w:contextualSpacing/>
        <w:jc w:val="both"/>
        <w:rPr>
          <w:rFonts w:ascii="Century Gothic" w:hAnsi="Century Gothic" w:cs="Arial"/>
          <w:sz w:val="16"/>
          <w:szCs w:val="16"/>
          <w:lang w:val="es-CO"/>
        </w:rPr>
      </w:pPr>
    </w:p>
  </w:footnote>
  <w:footnote w:id="19">
    <w:p w14:paraId="69BCA568"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Style w:val="Refdenotaalpie"/>
          <w:rFonts w:ascii="Century Gothic" w:hAnsi="Century Gothic" w:cs="Arial"/>
          <w:sz w:val="16"/>
          <w:szCs w:val="16"/>
        </w:rPr>
        <w:footnoteRef/>
      </w:r>
      <w:r w:rsidRPr="007A0D4B">
        <w:rPr>
          <w:rFonts w:ascii="Century Gothic" w:hAnsi="Century Gothic" w:cs="Arial"/>
          <w:sz w:val="16"/>
          <w:szCs w:val="16"/>
        </w:rPr>
        <w:t xml:space="preserve"> Corte Constitucional. Sentencia C </w:t>
      </w:r>
      <w:r w:rsidRPr="007A0D4B">
        <w:rPr>
          <w:rFonts w:ascii="Arial" w:hAnsi="Arial" w:cs="Arial"/>
          <w:sz w:val="16"/>
          <w:szCs w:val="16"/>
        </w:rPr>
        <w:t>‒</w:t>
      </w:r>
      <w:r w:rsidRPr="007A0D4B">
        <w:rPr>
          <w:rFonts w:ascii="Century Gothic" w:hAnsi="Century Gothic" w:cs="Arial"/>
          <w:sz w:val="16"/>
          <w:szCs w:val="16"/>
        </w:rPr>
        <w:t xml:space="preserve"> 595 de 1996. M.P. Jorge Arango Mej</w:t>
      </w:r>
      <w:r w:rsidRPr="007A0D4B">
        <w:rPr>
          <w:rFonts w:ascii="Century Gothic" w:hAnsi="Century Gothic" w:cs="Century Gothic"/>
          <w:sz w:val="16"/>
          <w:szCs w:val="16"/>
        </w:rPr>
        <w:t>í</w:t>
      </w:r>
      <w:r w:rsidRPr="007A0D4B">
        <w:rPr>
          <w:rFonts w:ascii="Century Gothic" w:hAnsi="Century Gothic" w:cs="Arial"/>
          <w:sz w:val="16"/>
          <w:szCs w:val="16"/>
        </w:rPr>
        <w:t>a.</w:t>
      </w:r>
    </w:p>
    <w:p w14:paraId="05228869" w14:textId="77777777" w:rsidR="00027481" w:rsidRPr="007A0D4B" w:rsidRDefault="00027481" w:rsidP="00027481">
      <w:pPr>
        <w:pStyle w:val="Textonotapie"/>
        <w:ind w:firstLine="709"/>
        <w:contextualSpacing/>
        <w:jc w:val="both"/>
        <w:rPr>
          <w:rFonts w:ascii="Century Gothic" w:hAnsi="Century Gothic" w:cs="Arial"/>
          <w:sz w:val="16"/>
          <w:szCs w:val="16"/>
          <w:lang w:val="es-CO"/>
        </w:rPr>
      </w:pPr>
    </w:p>
  </w:footnote>
  <w:footnote w:id="20">
    <w:p w14:paraId="18D7E0C4"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Style w:val="Refdenotaalpie"/>
          <w:rFonts w:ascii="Century Gothic" w:hAnsi="Century Gothic" w:cs="Arial"/>
          <w:sz w:val="16"/>
          <w:szCs w:val="16"/>
        </w:rPr>
        <w:footnoteRef/>
      </w:r>
      <w:r w:rsidRPr="007A0D4B">
        <w:rPr>
          <w:rFonts w:ascii="Century Gothic" w:hAnsi="Century Gothic" w:cs="Arial"/>
          <w:sz w:val="16"/>
          <w:szCs w:val="16"/>
        </w:rPr>
        <w:t xml:space="preserve"> Código Civil: “Artículo 37. Grados de consanguinidad. Los grados de consanguinidad entre dos personas se cuentan por el número de generaciones. Así, el nieto está en segundo grado de consanguinidad con el abuelo, y dos primos hermanos en cuarto grado de consanguinidad entre sí”.</w:t>
      </w:r>
    </w:p>
    <w:p w14:paraId="2CD670A8"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Fonts w:ascii="Century Gothic" w:hAnsi="Century Gothic" w:cs="Arial"/>
          <w:sz w:val="16"/>
          <w:szCs w:val="16"/>
        </w:rPr>
        <w:t>[…]</w:t>
      </w:r>
    </w:p>
    <w:p w14:paraId="39ACB260"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Fonts w:ascii="Century Gothic" w:hAnsi="Century Gothic" w:cs="Arial"/>
          <w:sz w:val="16"/>
          <w:szCs w:val="16"/>
        </w:rPr>
        <w:t>“Artículo 47. Afinidad legítima. […] La línea o grado de afinidad legítima de una persona con un consanguíneo de su marido o mujer, se califica por la línea o grado de consanguinidad legítima de dicho marido o mujer con el dicho consanguíneo […]”.</w:t>
      </w:r>
    </w:p>
    <w:p w14:paraId="3143E272" w14:textId="77777777" w:rsidR="00027481" w:rsidRPr="007A0D4B" w:rsidRDefault="00027481" w:rsidP="00027481">
      <w:pPr>
        <w:pStyle w:val="Textonotapie"/>
        <w:ind w:firstLine="709"/>
        <w:contextualSpacing/>
        <w:jc w:val="both"/>
        <w:rPr>
          <w:rFonts w:ascii="Century Gothic" w:hAnsi="Century Gothic" w:cs="Arial"/>
          <w:sz w:val="16"/>
          <w:szCs w:val="16"/>
          <w:lang w:val="es-CO"/>
        </w:rPr>
      </w:pPr>
    </w:p>
  </w:footnote>
  <w:footnote w:id="21">
    <w:p w14:paraId="1452F387"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Style w:val="Refdenotaalpie"/>
          <w:rFonts w:ascii="Century Gothic" w:hAnsi="Century Gothic" w:cs="Arial"/>
          <w:sz w:val="16"/>
          <w:szCs w:val="16"/>
        </w:rPr>
        <w:footnoteRef/>
      </w:r>
      <w:r w:rsidRPr="007A0D4B">
        <w:rPr>
          <w:rFonts w:ascii="Century Gothic" w:hAnsi="Century Gothic" w:cs="Arial"/>
          <w:sz w:val="16"/>
          <w:szCs w:val="16"/>
        </w:rPr>
        <w:t xml:space="preserve"> Corte Constitucional. Sentencia C-415 de 1994. M.P. Eduardo Cifuentes Muñoz.</w:t>
      </w:r>
    </w:p>
    <w:p w14:paraId="4D5539CA" w14:textId="77777777" w:rsidR="00027481" w:rsidRPr="007A0D4B" w:rsidRDefault="00027481" w:rsidP="00027481">
      <w:pPr>
        <w:pStyle w:val="Textonotapie"/>
        <w:ind w:firstLine="709"/>
        <w:contextualSpacing/>
        <w:jc w:val="both"/>
        <w:rPr>
          <w:rFonts w:ascii="Century Gothic" w:hAnsi="Century Gothic" w:cs="Arial"/>
          <w:sz w:val="16"/>
          <w:szCs w:val="16"/>
          <w:lang w:val="es-CO"/>
        </w:rPr>
      </w:pPr>
    </w:p>
  </w:footnote>
  <w:footnote w:id="22">
    <w:p w14:paraId="5996D99E" w14:textId="77777777" w:rsidR="00027481" w:rsidRPr="007A0D4B" w:rsidRDefault="00027481" w:rsidP="00027481">
      <w:pPr>
        <w:pStyle w:val="Textonotapie"/>
        <w:ind w:firstLine="709"/>
        <w:contextualSpacing/>
        <w:jc w:val="both"/>
        <w:rPr>
          <w:rFonts w:ascii="Century Gothic" w:hAnsi="Century Gothic" w:cs="Arial"/>
          <w:sz w:val="16"/>
          <w:szCs w:val="16"/>
        </w:rPr>
      </w:pPr>
      <w:r w:rsidRPr="007A0D4B">
        <w:rPr>
          <w:rStyle w:val="Refdenotaalpie"/>
          <w:rFonts w:ascii="Century Gothic" w:hAnsi="Century Gothic" w:cs="Arial"/>
          <w:sz w:val="16"/>
          <w:szCs w:val="16"/>
        </w:rPr>
        <w:footnoteRef/>
      </w:r>
      <w:r w:rsidRPr="007A0D4B">
        <w:rPr>
          <w:rFonts w:ascii="Century Gothic" w:hAnsi="Century Gothic" w:cs="Arial"/>
          <w:sz w:val="16"/>
          <w:szCs w:val="16"/>
        </w:rPr>
        <w:t xml:space="preserve"> Consejo de Estado. Sección Tercera. Subsección C. Sentencia del 9 de julio de 2014. Rad. 47.830. C.P. Jaime Orlando Santofimio Gamboa.</w:t>
      </w:r>
    </w:p>
    <w:p w14:paraId="0B275712" w14:textId="77777777" w:rsidR="00027481" w:rsidRPr="007A0D4B" w:rsidRDefault="00027481" w:rsidP="00027481">
      <w:pPr>
        <w:pStyle w:val="Textonotapie"/>
        <w:ind w:firstLine="709"/>
        <w:contextualSpacing/>
        <w:jc w:val="both"/>
        <w:rPr>
          <w:rFonts w:ascii="Century Gothic" w:hAnsi="Century Gothic" w:cs="Arial"/>
          <w:sz w:val="16"/>
          <w:szCs w:val="16"/>
          <w:lang w:val="es-CO"/>
        </w:rPr>
      </w:pPr>
    </w:p>
  </w:footnote>
  <w:footnote w:id="23">
    <w:p w14:paraId="7130DF01" w14:textId="77777777" w:rsidR="0085527B" w:rsidRPr="0065478C" w:rsidRDefault="0085527B" w:rsidP="0085527B">
      <w:pPr>
        <w:pStyle w:val="Textonotapie"/>
        <w:ind w:firstLine="708"/>
        <w:contextualSpacing/>
        <w:jc w:val="both"/>
        <w:rPr>
          <w:rFonts w:ascii="Century Gothic" w:hAnsi="Century Gothic" w:cs="Arial"/>
          <w:color w:val="000000"/>
          <w:sz w:val="16"/>
          <w:szCs w:val="16"/>
        </w:rPr>
      </w:pPr>
      <w:r w:rsidRPr="0065478C">
        <w:rPr>
          <w:rStyle w:val="Refdenotaalpie"/>
          <w:rFonts w:ascii="Century Gothic" w:hAnsi="Century Gothic" w:cs="Arial"/>
          <w:color w:val="000000"/>
          <w:sz w:val="16"/>
          <w:szCs w:val="16"/>
        </w:rPr>
        <w:footnoteRef/>
      </w:r>
      <w:r w:rsidRPr="0065478C">
        <w:rPr>
          <w:rFonts w:ascii="Century Gothic" w:hAnsi="Century Gothic" w:cs="Arial"/>
          <w:color w:val="000000"/>
          <w:sz w:val="16"/>
          <w:szCs w:val="16"/>
        </w:rPr>
        <w:t xml:space="preserve"> Consejo de Estado. Sala de Consulta y de Servicio Civil. Concepto del 23 de marzo de 2011. Rad. 2.045. C.P. Enrique José Arboleda Perdomo.</w:t>
      </w:r>
    </w:p>
    <w:p w14:paraId="7AE82883" w14:textId="77777777" w:rsidR="0085527B" w:rsidRPr="0065478C" w:rsidRDefault="0085527B" w:rsidP="0085527B">
      <w:pPr>
        <w:pStyle w:val="Textonotapie"/>
        <w:ind w:firstLine="708"/>
        <w:contextualSpacing/>
        <w:jc w:val="both"/>
        <w:rPr>
          <w:rFonts w:ascii="Century Gothic" w:hAnsi="Century Gothic"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DF31B1"/>
    <w:multiLevelType w:val="hybridMultilevel"/>
    <w:tmpl w:val="4434F53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341274352">
    <w:abstractNumId w:val="0"/>
  </w:num>
  <w:num w:numId="17" w16cid:durableId="4109767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BD9"/>
    <w:rsid w:val="00016F78"/>
    <w:rsid w:val="00027481"/>
    <w:rsid w:val="000405B1"/>
    <w:rsid w:val="00046945"/>
    <w:rsid w:val="000523C3"/>
    <w:rsid w:val="00061B2A"/>
    <w:rsid w:val="00082362"/>
    <w:rsid w:val="000A683E"/>
    <w:rsid w:val="000B19B9"/>
    <w:rsid w:val="000D0334"/>
    <w:rsid w:val="000F260A"/>
    <w:rsid w:val="000F6486"/>
    <w:rsid w:val="00125105"/>
    <w:rsid w:val="00127233"/>
    <w:rsid w:val="001511A0"/>
    <w:rsid w:val="001C3E46"/>
    <w:rsid w:val="001E4177"/>
    <w:rsid w:val="001F7DC6"/>
    <w:rsid w:val="002421BB"/>
    <w:rsid w:val="00251823"/>
    <w:rsid w:val="0025796E"/>
    <w:rsid w:val="002707A2"/>
    <w:rsid w:val="00293DE1"/>
    <w:rsid w:val="002951A0"/>
    <w:rsid w:val="002962BC"/>
    <w:rsid w:val="002A093D"/>
    <w:rsid w:val="002A0DD0"/>
    <w:rsid w:val="002A49AC"/>
    <w:rsid w:val="002A64FD"/>
    <w:rsid w:val="002C327D"/>
    <w:rsid w:val="002C7A84"/>
    <w:rsid w:val="002E4FD9"/>
    <w:rsid w:val="00322A85"/>
    <w:rsid w:val="00324168"/>
    <w:rsid w:val="003448F4"/>
    <w:rsid w:val="00347886"/>
    <w:rsid w:val="0037243A"/>
    <w:rsid w:val="00374F5E"/>
    <w:rsid w:val="00377E3E"/>
    <w:rsid w:val="0038192D"/>
    <w:rsid w:val="003A779E"/>
    <w:rsid w:val="003C7B47"/>
    <w:rsid w:val="003D0F4D"/>
    <w:rsid w:val="003D5B0D"/>
    <w:rsid w:val="003E0499"/>
    <w:rsid w:val="003F3941"/>
    <w:rsid w:val="00406575"/>
    <w:rsid w:val="0040768A"/>
    <w:rsid w:val="00414C74"/>
    <w:rsid w:val="0042722E"/>
    <w:rsid w:val="00427B24"/>
    <w:rsid w:val="0044528D"/>
    <w:rsid w:val="004504F1"/>
    <w:rsid w:val="00456073"/>
    <w:rsid w:val="004613EC"/>
    <w:rsid w:val="004A1847"/>
    <w:rsid w:val="004A305D"/>
    <w:rsid w:val="004F21C4"/>
    <w:rsid w:val="004F685F"/>
    <w:rsid w:val="004F7500"/>
    <w:rsid w:val="00554B20"/>
    <w:rsid w:val="005566E8"/>
    <w:rsid w:val="00574867"/>
    <w:rsid w:val="00591460"/>
    <w:rsid w:val="005A1DE1"/>
    <w:rsid w:val="005B3816"/>
    <w:rsid w:val="005C3777"/>
    <w:rsid w:val="005C5CDC"/>
    <w:rsid w:val="005D476C"/>
    <w:rsid w:val="005F2C87"/>
    <w:rsid w:val="005F6E54"/>
    <w:rsid w:val="006036EE"/>
    <w:rsid w:val="006219F8"/>
    <w:rsid w:val="0063336B"/>
    <w:rsid w:val="00665D70"/>
    <w:rsid w:val="006900D9"/>
    <w:rsid w:val="00692B1B"/>
    <w:rsid w:val="00696797"/>
    <w:rsid w:val="00696B5E"/>
    <w:rsid w:val="006A2568"/>
    <w:rsid w:val="006A3373"/>
    <w:rsid w:val="006D6AE5"/>
    <w:rsid w:val="00706C16"/>
    <w:rsid w:val="00743355"/>
    <w:rsid w:val="00756841"/>
    <w:rsid w:val="007649AB"/>
    <w:rsid w:val="00771D0C"/>
    <w:rsid w:val="007833AC"/>
    <w:rsid w:val="007B2088"/>
    <w:rsid w:val="007B268C"/>
    <w:rsid w:val="007B7171"/>
    <w:rsid w:val="007C0C0F"/>
    <w:rsid w:val="007C3DC2"/>
    <w:rsid w:val="007E5497"/>
    <w:rsid w:val="00806F5F"/>
    <w:rsid w:val="00820278"/>
    <w:rsid w:val="00850F05"/>
    <w:rsid w:val="0085527B"/>
    <w:rsid w:val="008557D1"/>
    <w:rsid w:val="00867F95"/>
    <w:rsid w:val="008779A1"/>
    <w:rsid w:val="008843B6"/>
    <w:rsid w:val="00891928"/>
    <w:rsid w:val="00896343"/>
    <w:rsid w:val="008A041F"/>
    <w:rsid w:val="008A446D"/>
    <w:rsid w:val="008C43C8"/>
    <w:rsid w:val="008D180B"/>
    <w:rsid w:val="008F0EA7"/>
    <w:rsid w:val="00923EEF"/>
    <w:rsid w:val="009250E4"/>
    <w:rsid w:val="009419F9"/>
    <w:rsid w:val="0095685E"/>
    <w:rsid w:val="00961B09"/>
    <w:rsid w:val="00965334"/>
    <w:rsid w:val="0097093E"/>
    <w:rsid w:val="00986AC5"/>
    <w:rsid w:val="009A0DFA"/>
    <w:rsid w:val="009B2D26"/>
    <w:rsid w:val="009C71FA"/>
    <w:rsid w:val="009C72E7"/>
    <w:rsid w:val="009D3058"/>
    <w:rsid w:val="009F3A13"/>
    <w:rsid w:val="009F7516"/>
    <w:rsid w:val="00A10753"/>
    <w:rsid w:val="00A122D3"/>
    <w:rsid w:val="00A17F13"/>
    <w:rsid w:val="00A20739"/>
    <w:rsid w:val="00A33C78"/>
    <w:rsid w:val="00A9188C"/>
    <w:rsid w:val="00AB0ADB"/>
    <w:rsid w:val="00AC2EAB"/>
    <w:rsid w:val="00AE63AF"/>
    <w:rsid w:val="00AE6E50"/>
    <w:rsid w:val="00B01B1A"/>
    <w:rsid w:val="00B6522C"/>
    <w:rsid w:val="00B66319"/>
    <w:rsid w:val="00B72CD3"/>
    <w:rsid w:val="00B72FFF"/>
    <w:rsid w:val="00BB5667"/>
    <w:rsid w:val="00BC3D36"/>
    <w:rsid w:val="00BD7F72"/>
    <w:rsid w:val="00C04FB3"/>
    <w:rsid w:val="00C30A7A"/>
    <w:rsid w:val="00C330EB"/>
    <w:rsid w:val="00C40F57"/>
    <w:rsid w:val="00C41061"/>
    <w:rsid w:val="00C70791"/>
    <w:rsid w:val="00C754BE"/>
    <w:rsid w:val="00C76B1C"/>
    <w:rsid w:val="00CA63ED"/>
    <w:rsid w:val="00CB175E"/>
    <w:rsid w:val="00CB2080"/>
    <w:rsid w:val="00CB6357"/>
    <w:rsid w:val="00CC1847"/>
    <w:rsid w:val="00CC1B26"/>
    <w:rsid w:val="00CD4929"/>
    <w:rsid w:val="00CD523A"/>
    <w:rsid w:val="00CF17C4"/>
    <w:rsid w:val="00D0311B"/>
    <w:rsid w:val="00D423A2"/>
    <w:rsid w:val="00D520D8"/>
    <w:rsid w:val="00D63AC2"/>
    <w:rsid w:val="00D7383B"/>
    <w:rsid w:val="00D80467"/>
    <w:rsid w:val="00DA231B"/>
    <w:rsid w:val="00DC0597"/>
    <w:rsid w:val="00DC39FC"/>
    <w:rsid w:val="00DD5ADB"/>
    <w:rsid w:val="00DE5638"/>
    <w:rsid w:val="00DF5254"/>
    <w:rsid w:val="00E16408"/>
    <w:rsid w:val="00E20894"/>
    <w:rsid w:val="00E245AB"/>
    <w:rsid w:val="00E2764C"/>
    <w:rsid w:val="00E27F2E"/>
    <w:rsid w:val="00E41153"/>
    <w:rsid w:val="00E50AFE"/>
    <w:rsid w:val="00E75C92"/>
    <w:rsid w:val="00E771DC"/>
    <w:rsid w:val="00E8772A"/>
    <w:rsid w:val="00E90F6B"/>
    <w:rsid w:val="00E92C27"/>
    <w:rsid w:val="00EA0E3D"/>
    <w:rsid w:val="00EC38A7"/>
    <w:rsid w:val="00ED14E5"/>
    <w:rsid w:val="00ED1CAE"/>
    <w:rsid w:val="00ED7384"/>
    <w:rsid w:val="00EE1AA8"/>
    <w:rsid w:val="00F31EDC"/>
    <w:rsid w:val="00F36232"/>
    <w:rsid w:val="00F462B3"/>
    <w:rsid w:val="00F5664F"/>
    <w:rsid w:val="00F6323C"/>
    <w:rsid w:val="00F666C4"/>
    <w:rsid w:val="00F76AFC"/>
    <w:rsid w:val="00FA47C0"/>
    <w:rsid w:val="00FB5DD1"/>
    <w:rsid w:val="00FC2B5D"/>
    <w:rsid w:val="00FF1449"/>
    <w:rsid w:val="19E5D95A"/>
    <w:rsid w:val="2BE19C99"/>
    <w:rsid w:val="795AA69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C1C33AD-301F-4CD6-BBA9-B394091F5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F751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F751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23BDD0-DE99-4A64-B727-4137633A8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6994</Words>
  <Characters>38469</Characters>
  <Application>Microsoft Office Word</Application>
  <DocSecurity>0</DocSecurity>
  <Lines>320</Lines>
  <Paragraphs>90</Paragraphs>
  <ScaleCrop>false</ScaleCrop>
  <Company/>
  <LinksUpToDate>false</LinksUpToDate>
  <CharactersWithSpaces>45373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2025-05-07T21:54:00Z</dcterms:created>
  <dcterms:modified xsi:type="dcterms:W3CDTF">2025-05-07T21:54:00Z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