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E61F7" w:rsidR="00BC5E75" w:rsidP="00BC5E75" w:rsidRDefault="00BC5E75" w14:paraId="2D0DFF69" w14:textId="77777777">
      <w:pPr>
        <w:tabs>
          <w:tab w:val="left" w:pos="426"/>
        </w:tabs>
        <w:spacing w:after="0" w:line="240" w:lineRule="auto"/>
        <w:contextualSpacing/>
        <w:jc w:val="both"/>
        <w:rPr>
          <w:rFonts w:ascii="Arial" w:hAnsi="Arial" w:eastAsia="Calibri" w:cs="Arial"/>
          <w:b/>
          <w:bCs/>
          <w:lang w:val="es-MX"/>
        </w:rPr>
      </w:pPr>
      <w:bookmarkStart w:name="_Hlk77152637" w:id="0"/>
      <w:bookmarkStart w:name="_Hlk77157066" w:id="1"/>
      <w:bookmarkStart w:name="_Hlk78821436" w:id="2"/>
      <w:r w:rsidRPr="002E61F7">
        <w:rPr>
          <w:rFonts w:ascii="Arial" w:hAnsi="Arial" w:eastAsia="Calibri" w:cs="Arial"/>
          <w:b/>
          <w:bCs/>
          <w:lang w:val="es-MX"/>
        </w:rPr>
        <w:t>LEY DE GARANTÍAS ELECTORALES ‒ Finalidad</w:t>
      </w:r>
    </w:p>
    <w:p w:rsidRPr="006D076F" w:rsidR="00BC5E75" w:rsidP="00BC5E75" w:rsidRDefault="00BC5E75" w14:paraId="0D0C19F7" w14:textId="77777777">
      <w:pPr>
        <w:tabs>
          <w:tab w:val="left" w:pos="426"/>
        </w:tabs>
        <w:spacing w:after="0" w:line="240" w:lineRule="auto"/>
        <w:contextualSpacing/>
        <w:jc w:val="both"/>
        <w:rPr>
          <w:rFonts w:ascii="Arial" w:hAnsi="Arial" w:eastAsia="Calibri" w:cs="Arial"/>
          <w:b/>
          <w:bCs/>
          <w:sz w:val="20"/>
          <w:szCs w:val="20"/>
          <w:lang w:val="es-MX"/>
        </w:rPr>
      </w:pPr>
    </w:p>
    <w:p w:rsidRPr="006D076F" w:rsidR="00BC5E75" w:rsidP="00BC5E75" w:rsidRDefault="00BC5E75" w14:paraId="244CE2C3" w14:textId="77777777">
      <w:pPr>
        <w:tabs>
          <w:tab w:val="left" w:pos="426"/>
        </w:tabs>
        <w:spacing w:after="0" w:line="240" w:lineRule="auto"/>
        <w:contextualSpacing/>
        <w:jc w:val="both"/>
        <w:rPr>
          <w:rFonts w:ascii="Arial" w:hAnsi="Arial" w:eastAsia="Times New Roman" w:cs="Arial"/>
          <w:bCs/>
          <w:sz w:val="20"/>
          <w:szCs w:val="20"/>
          <w:lang w:val="es-MX" w:eastAsia="es-CO"/>
        </w:rPr>
      </w:pPr>
      <w:r w:rsidRPr="006D076F">
        <w:rPr>
          <w:rFonts w:ascii="Arial" w:hAnsi="Arial" w:eastAsia="Calibri" w:cs="Arial"/>
          <w:noProof/>
          <w:sz w:val="20"/>
          <w:szCs w:val="20"/>
          <w:lang w:val="es-ES_tradnl"/>
        </w:rPr>
        <w:t xml:space="preserve">[…], </w:t>
      </w:r>
      <w:r w:rsidRPr="006D076F">
        <w:rPr>
          <w:rFonts w:ascii="Arial" w:hAnsi="Arial" w:eastAsia="Times New Roman"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6D076F" w:rsidR="00BC5E75" w:rsidP="00BC5E75" w:rsidRDefault="00BC5E75" w14:paraId="34A41800" w14:textId="77777777">
      <w:pPr>
        <w:tabs>
          <w:tab w:val="left" w:pos="426"/>
        </w:tabs>
        <w:spacing w:after="0" w:line="240" w:lineRule="auto"/>
        <w:contextualSpacing/>
        <w:jc w:val="both"/>
        <w:rPr>
          <w:rFonts w:ascii="Arial" w:hAnsi="Arial" w:eastAsia="Calibri" w:cs="Arial"/>
          <w:b/>
          <w:bCs/>
          <w:sz w:val="20"/>
          <w:szCs w:val="20"/>
          <w:lang w:val="es-MX"/>
        </w:rPr>
      </w:pPr>
    </w:p>
    <w:p w:rsidRPr="002E61F7" w:rsidR="00BC5E75" w:rsidP="00BC5E75" w:rsidRDefault="00BC5E75" w14:paraId="16398494" w14:textId="77777777">
      <w:pPr>
        <w:tabs>
          <w:tab w:val="left" w:pos="426"/>
        </w:tabs>
        <w:spacing w:after="0" w:line="240" w:lineRule="auto"/>
        <w:contextualSpacing/>
        <w:jc w:val="both"/>
        <w:rPr>
          <w:rFonts w:ascii="Arial" w:hAnsi="Arial" w:eastAsia="Calibri" w:cs="Arial"/>
          <w:b/>
          <w:bCs/>
          <w:lang w:val="es-MX"/>
        </w:rPr>
      </w:pPr>
      <w:r w:rsidRPr="002E61F7">
        <w:rPr>
          <w:rFonts w:ascii="Arial" w:hAnsi="Arial" w:eastAsia="Calibri" w:cs="Arial"/>
          <w:b/>
          <w:bCs/>
          <w:lang w:val="es-MX"/>
        </w:rPr>
        <w:t>LEY DE GARANTÍAS ELECTORALES ‒</w:t>
      </w:r>
      <w:bookmarkEnd w:id="0"/>
      <w:r w:rsidRPr="002E61F7">
        <w:rPr>
          <w:rFonts w:ascii="Arial" w:hAnsi="Arial" w:eastAsia="Calibri" w:cs="Arial"/>
          <w:b/>
          <w:bCs/>
          <w:lang w:val="es-MX"/>
        </w:rPr>
        <w:t xml:space="preserve"> Tipos de restricciones </w:t>
      </w:r>
      <w:bookmarkStart w:name="_Hlk77157034" w:id="3"/>
      <w:r w:rsidRPr="002E61F7">
        <w:rPr>
          <w:rFonts w:ascii="Arial" w:hAnsi="Arial" w:eastAsia="Calibri" w:cs="Arial"/>
          <w:b/>
          <w:bCs/>
          <w:lang w:val="es-MX"/>
        </w:rPr>
        <w:t xml:space="preserve">‒ </w:t>
      </w:r>
      <w:bookmarkStart w:name="_Hlk77153098" w:id="4"/>
      <w:bookmarkEnd w:id="3"/>
      <w:r w:rsidRPr="002E61F7">
        <w:rPr>
          <w:rFonts w:ascii="Arial" w:hAnsi="Arial" w:eastAsia="Calibri" w:cs="Arial"/>
          <w:b/>
          <w:bCs/>
          <w:lang w:val="es-MX"/>
        </w:rPr>
        <w:t xml:space="preserve">Ámbito temporal </w:t>
      </w:r>
      <w:bookmarkEnd w:id="4"/>
    </w:p>
    <w:p w:rsidRPr="006D076F" w:rsidR="00BC5E75" w:rsidP="00BC5E75" w:rsidRDefault="00BC5E75" w14:paraId="379FEDAB" w14:textId="77777777">
      <w:pPr>
        <w:tabs>
          <w:tab w:val="left" w:pos="426"/>
        </w:tabs>
        <w:spacing w:after="0" w:line="240" w:lineRule="auto"/>
        <w:contextualSpacing/>
        <w:jc w:val="both"/>
        <w:rPr>
          <w:rFonts w:ascii="Arial" w:hAnsi="Arial" w:eastAsia="Calibri" w:cs="Arial"/>
          <w:b/>
          <w:bCs/>
          <w:sz w:val="20"/>
          <w:szCs w:val="20"/>
          <w:lang w:val="es-MX"/>
        </w:rPr>
      </w:pPr>
    </w:p>
    <w:bookmarkEnd w:id="1"/>
    <w:p w:rsidRPr="006D076F" w:rsidR="00BC5E75" w:rsidP="00BC5E75" w:rsidRDefault="00BC5E75" w14:paraId="0D6D930A" w14:textId="77777777">
      <w:pPr>
        <w:spacing w:after="0" w:line="240" w:lineRule="auto"/>
        <w:contextualSpacing/>
        <w:jc w:val="both"/>
        <w:rPr>
          <w:rFonts w:ascii="Arial" w:hAnsi="Arial" w:eastAsia="Arial" w:cs="Arial"/>
          <w:sz w:val="20"/>
          <w:szCs w:val="20"/>
          <w:lang w:val="es-ES" w:eastAsia="es-ES" w:bidi="es-ES"/>
        </w:rPr>
      </w:pPr>
      <w:r w:rsidRPr="006D076F">
        <w:rPr>
          <w:rFonts w:ascii="Arial" w:hAnsi="Arial" w:eastAsia="Calibri" w:cs="Arial"/>
          <w:noProof/>
          <w:sz w:val="20"/>
          <w:szCs w:val="20"/>
          <w:lang w:val="es-ES_tradnl"/>
        </w:rPr>
        <w:t xml:space="preserve">[…] </w:t>
      </w:r>
      <w:bookmarkStart w:name="_Hlk77165666" w:id="5"/>
      <w:r w:rsidRPr="006D076F">
        <w:rPr>
          <w:rFonts w:ascii="Arial" w:hAnsi="Arial" w:eastAsia="Arial" w:cs="Arial"/>
          <w:sz w:val="20"/>
          <w:szCs w:val="20"/>
          <w:lang w:val="es-ES" w:eastAsia="es-ES" w:bidi="es-ES"/>
        </w:rPr>
        <w:t xml:space="preserve">la Ley 996 de 2005 establece dos (2) tipos de restricciones en materia de contratación, las cuales coinciden parcialmente. </w:t>
      </w:r>
      <w:r w:rsidRPr="006D076F">
        <w:rPr>
          <w:rFonts w:ascii="Arial" w:hAnsi="Arial" w:eastAsia="Arial" w:cs="Arial"/>
          <w:i/>
          <w:iCs/>
          <w:sz w:val="20"/>
          <w:szCs w:val="20"/>
          <w:lang w:val="es-ES" w:eastAsia="es-ES" w:bidi="es-ES"/>
        </w:rPr>
        <w:t>En primer lugar</w:t>
      </w:r>
      <w:r w:rsidRPr="006D076F">
        <w:rPr>
          <w:rFonts w:ascii="Arial" w:hAnsi="Arial" w:eastAsia="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076F">
        <w:rPr>
          <w:rFonts w:ascii="Arial" w:hAnsi="Arial" w:eastAsia="Arial" w:cs="Arial"/>
          <w:i/>
          <w:iCs/>
          <w:sz w:val="20"/>
          <w:szCs w:val="20"/>
          <w:lang w:val="es-ES" w:eastAsia="es-ES" w:bidi="es-ES"/>
        </w:rPr>
        <w:t>En segundo lugar</w:t>
      </w:r>
      <w:r w:rsidRPr="006D076F">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00BC5E75" w:rsidP="00BC5E75" w:rsidRDefault="00BC5E75" w14:paraId="3FAE98E9" w14:textId="77777777">
      <w:pPr>
        <w:tabs>
          <w:tab w:val="left" w:pos="426"/>
        </w:tabs>
        <w:spacing w:after="0" w:line="240" w:lineRule="auto"/>
        <w:ind w:left="426" w:hanging="426"/>
        <w:contextualSpacing/>
        <w:jc w:val="both"/>
        <w:rPr>
          <w:rFonts w:ascii="Arial" w:hAnsi="Arial" w:eastAsia="Calibri" w:cs="Arial"/>
          <w:b/>
          <w:bCs/>
          <w:sz w:val="20"/>
          <w:szCs w:val="20"/>
          <w:lang w:val="es-MX"/>
        </w:rPr>
      </w:pPr>
    </w:p>
    <w:p w:rsidRPr="002E61F7" w:rsidR="00BC5E75" w:rsidP="00BC5E75" w:rsidRDefault="00BC5E75" w14:paraId="282CF7EA" w14:textId="77777777">
      <w:pPr>
        <w:tabs>
          <w:tab w:val="left" w:pos="426"/>
        </w:tabs>
        <w:spacing w:after="0" w:line="240" w:lineRule="auto"/>
        <w:ind w:left="426" w:hanging="426"/>
        <w:contextualSpacing/>
        <w:jc w:val="both"/>
        <w:rPr>
          <w:rFonts w:ascii="Arial" w:hAnsi="Arial" w:eastAsia="Calibri" w:cs="Arial"/>
          <w:b/>
          <w:bCs/>
          <w:lang w:val="es-MX"/>
        </w:rPr>
      </w:pPr>
      <w:r w:rsidRPr="002E61F7">
        <w:rPr>
          <w:rFonts w:ascii="Arial" w:hAnsi="Arial" w:eastAsia="Calibri" w:cs="Arial"/>
          <w:b/>
          <w:bCs/>
          <w:lang w:val="es-MX"/>
        </w:rPr>
        <w:t xml:space="preserve">LEY DE GARANTÍAS ELECTORALES ─ Prohibición ‒ </w:t>
      </w:r>
      <w:bookmarkEnd w:id="5"/>
      <w:r w:rsidRPr="002E61F7">
        <w:rPr>
          <w:rFonts w:ascii="Arial" w:hAnsi="Arial" w:eastAsia="Calibri" w:cs="Arial"/>
          <w:b/>
          <w:bCs/>
          <w:lang w:val="es-MX"/>
        </w:rPr>
        <w:t xml:space="preserve">Contratación directa ‒ Alcance </w:t>
      </w:r>
    </w:p>
    <w:p w:rsidRPr="006D076F" w:rsidR="00BC5E75" w:rsidP="00BC5E75" w:rsidRDefault="00BC5E75" w14:paraId="602F9A9B" w14:textId="77777777">
      <w:pPr>
        <w:tabs>
          <w:tab w:val="left" w:pos="426"/>
        </w:tabs>
        <w:spacing w:after="0" w:line="240" w:lineRule="auto"/>
        <w:contextualSpacing/>
        <w:jc w:val="both"/>
        <w:rPr>
          <w:rFonts w:ascii="Arial" w:hAnsi="Arial" w:eastAsia="Calibri" w:cs="Arial"/>
          <w:noProof/>
          <w:sz w:val="20"/>
          <w:szCs w:val="20"/>
          <w:lang w:val="es-MX"/>
        </w:rPr>
      </w:pPr>
    </w:p>
    <w:p w:rsidRPr="006D076F" w:rsidR="00BC5E75" w:rsidP="00BC5E75" w:rsidRDefault="00BC5E75" w14:paraId="1D4B1AE8" w14:textId="77777777">
      <w:pPr>
        <w:spacing w:after="0" w:line="240" w:lineRule="auto"/>
        <w:contextualSpacing/>
        <w:jc w:val="both"/>
        <w:rPr>
          <w:rFonts w:ascii="Arial" w:hAnsi="Arial" w:eastAsia="Times New Roman" w:cs="Arial"/>
          <w:bCs/>
          <w:sz w:val="20"/>
          <w:szCs w:val="20"/>
          <w:lang w:val="es-MX" w:eastAsia="x-none"/>
        </w:rPr>
      </w:pPr>
      <w:r w:rsidRPr="006D076F">
        <w:rPr>
          <w:rFonts w:ascii="Arial" w:hAnsi="Arial" w:eastAsia="Calibri" w:cs="Arial"/>
          <w:noProof/>
          <w:sz w:val="20"/>
          <w:szCs w:val="20"/>
          <w:lang w:val="es-ES_tradnl"/>
        </w:rPr>
        <w:t xml:space="preserve">[…] </w:t>
      </w:r>
      <w:r w:rsidRPr="006D076F">
        <w:rPr>
          <w:rFonts w:ascii="Arial" w:hAnsi="Arial" w:eastAsia="Times New Roman"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D076F">
        <w:rPr>
          <w:rFonts w:ascii="Arial" w:hAnsi="Arial" w:eastAsia="Times New Roman" w:cs="Arial"/>
          <w:sz w:val="20"/>
          <w:szCs w:val="20"/>
          <w:vertAlign w:val="superscript"/>
          <w:lang w:eastAsia="x-none"/>
        </w:rPr>
        <w:t xml:space="preserve"> </w:t>
      </w:r>
    </w:p>
    <w:p w:rsidR="00BC5E75" w:rsidP="00BC5E75" w:rsidRDefault="00BC5E75" w14:paraId="6553EDA7" w14:textId="77777777">
      <w:pPr>
        <w:spacing w:after="0" w:line="240" w:lineRule="auto"/>
        <w:contextualSpacing/>
        <w:jc w:val="both"/>
        <w:rPr>
          <w:rFonts w:ascii="Arial" w:hAnsi="Arial" w:eastAsia="Times New Roman" w:cs="Arial"/>
          <w:bCs/>
          <w:sz w:val="20"/>
          <w:szCs w:val="20"/>
          <w:lang w:val="es-MX" w:eastAsia="x-none"/>
        </w:rPr>
      </w:pPr>
    </w:p>
    <w:p w:rsidRPr="006D076F" w:rsidR="00BC5E75" w:rsidP="00BC5E75" w:rsidRDefault="00BC5E75" w14:paraId="5FD1026C" w14:textId="77777777">
      <w:pPr>
        <w:spacing w:after="0" w:line="240" w:lineRule="auto"/>
        <w:contextualSpacing/>
        <w:jc w:val="both"/>
        <w:rPr>
          <w:rFonts w:ascii="Arial" w:hAnsi="Arial" w:eastAsia="Times New Roman" w:cs="Arial"/>
          <w:sz w:val="20"/>
          <w:szCs w:val="20"/>
          <w:lang w:eastAsia="x-none"/>
        </w:rPr>
      </w:pPr>
      <w:r w:rsidRPr="006D076F">
        <w:rPr>
          <w:rFonts w:ascii="Arial" w:hAnsi="Arial" w:eastAsia="Times New Roman"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6D076F">
        <w:rPr>
          <w:rFonts w:ascii="Arial" w:hAnsi="Arial" w:eastAsia="Times New Roman"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rsidRPr="002E61F7" w:rsidR="00BC5E75" w:rsidP="00BC5E75" w:rsidRDefault="00BC5E75" w14:paraId="7056D282" w14:textId="77777777">
      <w:pPr>
        <w:spacing w:after="0" w:line="240" w:lineRule="auto"/>
        <w:contextualSpacing/>
        <w:jc w:val="both"/>
        <w:rPr>
          <w:rFonts w:ascii="Arial" w:hAnsi="Arial" w:eastAsia="Times New Roman" w:cs="Arial"/>
          <w:lang w:eastAsia="x-none"/>
        </w:rPr>
      </w:pPr>
    </w:p>
    <w:p w:rsidRPr="006D076F" w:rsidR="00BC5E75" w:rsidP="00BC5E75" w:rsidRDefault="00BC5E75" w14:paraId="4DD6A6EF" w14:textId="77777777">
      <w:pPr>
        <w:tabs>
          <w:tab w:val="left" w:pos="426"/>
        </w:tabs>
        <w:spacing w:after="0" w:line="240" w:lineRule="auto"/>
        <w:contextualSpacing/>
        <w:jc w:val="both"/>
        <w:rPr>
          <w:rFonts w:ascii="Arial" w:hAnsi="Arial" w:eastAsia="Calibri" w:cs="Arial"/>
          <w:b/>
          <w:bCs/>
          <w:sz w:val="20"/>
          <w:szCs w:val="20"/>
          <w:lang w:val="es-MX"/>
        </w:rPr>
      </w:pPr>
      <w:r w:rsidRPr="002E61F7">
        <w:rPr>
          <w:rFonts w:ascii="Arial" w:hAnsi="Arial" w:eastAsia="Calibri" w:cs="Arial"/>
          <w:b/>
          <w:bCs/>
          <w:lang w:val="es-MX"/>
        </w:rPr>
        <w:t xml:space="preserve">LEY DE GARANTÍAS ELECTORALES ─ Prohibición ‒ Contratación directa ‒ </w:t>
      </w:r>
      <w:r w:rsidRPr="002E61F7">
        <w:rPr>
          <w:rFonts w:ascii="Arial" w:hAnsi="Arial" w:eastAsia="Times New Roman" w:cs="Arial"/>
          <w:b/>
          <w:bCs/>
          <w:lang w:eastAsia="es-CO"/>
        </w:rPr>
        <w:t>Excepciones</w:t>
      </w:r>
      <w:r w:rsidRPr="002E61F7">
        <w:rPr>
          <w:rFonts w:ascii="Arial" w:hAnsi="Arial" w:eastAsia="Calibri" w:cs="Arial"/>
          <w:b/>
          <w:bCs/>
          <w:lang w:val="es-MX"/>
        </w:rPr>
        <w:t xml:space="preserve"> </w:t>
      </w:r>
    </w:p>
    <w:p w:rsidRPr="006D076F" w:rsidR="00BC5E75" w:rsidP="00BC5E75" w:rsidRDefault="00BC5E75" w14:paraId="3ECEF345" w14:textId="77777777">
      <w:pPr>
        <w:tabs>
          <w:tab w:val="left" w:pos="426"/>
        </w:tabs>
        <w:spacing w:after="0" w:line="240" w:lineRule="auto"/>
        <w:contextualSpacing/>
        <w:jc w:val="both"/>
        <w:rPr>
          <w:rFonts w:ascii="Arial" w:hAnsi="Arial" w:eastAsia="Times New Roman" w:cs="Arial"/>
          <w:sz w:val="20"/>
          <w:szCs w:val="20"/>
          <w:lang w:eastAsia="x-none"/>
        </w:rPr>
      </w:pPr>
    </w:p>
    <w:p w:rsidR="00BC5E75" w:rsidP="00BC5E75" w:rsidRDefault="00BC5E75" w14:paraId="24576CBE" w14:textId="77777777">
      <w:pPr>
        <w:spacing w:after="0" w:line="240" w:lineRule="auto"/>
        <w:contextualSpacing/>
        <w:jc w:val="both"/>
        <w:rPr>
          <w:rFonts w:ascii="Arial" w:hAnsi="Arial" w:eastAsia="Times New Roman" w:cs="Arial"/>
          <w:bCs/>
          <w:sz w:val="20"/>
          <w:szCs w:val="20"/>
          <w:lang w:val="es-MX" w:eastAsia="es-CO"/>
        </w:rPr>
      </w:pPr>
      <w:r w:rsidRPr="006D076F">
        <w:rPr>
          <w:rFonts w:ascii="Arial" w:hAnsi="Arial" w:eastAsia="Calibri" w:cs="Arial"/>
          <w:noProof/>
          <w:sz w:val="20"/>
          <w:szCs w:val="20"/>
          <w:lang w:val="es-ES_tradnl"/>
        </w:rPr>
        <w:t xml:space="preserve">[…] </w:t>
      </w:r>
      <w:r w:rsidRPr="006D076F">
        <w:rPr>
          <w:rFonts w:ascii="Arial" w:hAnsi="Arial" w:eastAsia="Times New Roman"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w:t>
      </w:r>
      <w:r w:rsidRPr="006D076F">
        <w:rPr>
          <w:rFonts w:ascii="Arial" w:hAnsi="Arial" w:eastAsia="Times New Roman" w:cs="Arial"/>
          <w:bCs/>
          <w:sz w:val="20"/>
          <w:szCs w:val="20"/>
          <w:lang w:val="es-MX" w:eastAsia="x-none"/>
        </w:rPr>
        <w:lastRenderedPageBreak/>
        <w:t xml:space="preserve">del Estado; </w:t>
      </w:r>
      <w:proofErr w:type="spellStart"/>
      <w:r w:rsidRPr="006D076F">
        <w:rPr>
          <w:rFonts w:ascii="Arial" w:hAnsi="Arial" w:eastAsia="Times New Roman" w:cs="Arial"/>
          <w:bCs/>
          <w:sz w:val="20"/>
          <w:szCs w:val="20"/>
          <w:lang w:val="es-MX" w:eastAsia="x-none"/>
        </w:rPr>
        <w:t>ii</w:t>
      </w:r>
      <w:proofErr w:type="spellEnd"/>
      <w:r w:rsidRPr="006D076F">
        <w:rPr>
          <w:rFonts w:ascii="Arial" w:hAnsi="Arial" w:eastAsia="Times New Roman" w:cs="Arial"/>
          <w:bCs/>
          <w:sz w:val="20"/>
          <w:szCs w:val="20"/>
          <w:lang w:val="es-MX" w:eastAsia="x-none"/>
        </w:rPr>
        <w:t xml:space="preserve">) los contratos de crédito público; </w:t>
      </w:r>
      <w:proofErr w:type="spellStart"/>
      <w:r w:rsidRPr="006D076F">
        <w:rPr>
          <w:rFonts w:ascii="Arial" w:hAnsi="Arial" w:eastAsia="Times New Roman" w:cs="Arial"/>
          <w:bCs/>
          <w:sz w:val="20"/>
          <w:szCs w:val="20"/>
          <w:lang w:val="es-MX" w:eastAsia="x-none"/>
        </w:rPr>
        <w:t>iii</w:t>
      </w:r>
      <w:proofErr w:type="spellEnd"/>
      <w:r w:rsidRPr="006D076F">
        <w:rPr>
          <w:rFonts w:ascii="Arial" w:hAnsi="Arial" w:eastAsia="Times New Roman" w:cs="Arial"/>
          <w:bCs/>
          <w:sz w:val="20"/>
          <w:szCs w:val="20"/>
          <w:lang w:val="es-MX" w:eastAsia="x-none"/>
        </w:rPr>
        <w:t xml:space="preserve">) los requeridos para cubrir las emergencias educativas, sanitarias y desastres; </w:t>
      </w:r>
      <w:proofErr w:type="spellStart"/>
      <w:r w:rsidRPr="006D076F">
        <w:rPr>
          <w:rFonts w:ascii="Arial" w:hAnsi="Arial" w:eastAsia="Times New Roman" w:cs="Arial"/>
          <w:bCs/>
          <w:sz w:val="20"/>
          <w:szCs w:val="20"/>
          <w:lang w:val="es-MX" w:eastAsia="x-none"/>
        </w:rPr>
        <w:t>iv</w:t>
      </w:r>
      <w:proofErr w:type="spellEnd"/>
      <w:r w:rsidRPr="006D076F">
        <w:rPr>
          <w:rFonts w:ascii="Arial" w:hAnsi="Arial" w:eastAsia="Times New Roman"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D076F">
        <w:rPr>
          <w:rFonts w:ascii="Arial" w:hAnsi="Arial" w:eastAsia="Times New Roman"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6D076F" w:rsidR="00BC5E75" w:rsidP="00BC5E75" w:rsidRDefault="00BC5E75" w14:paraId="48F38439" w14:textId="77777777">
      <w:pPr>
        <w:spacing w:after="0" w:line="240" w:lineRule="auto"/>
        <w:contextualSpacing/>
        <w:jc w:val="both"/>
        <w:rPr>
          <w:rFonts w:ascii="Arial" w:hAnsi="Arial" w:eastAsia="Times New Roman" w:cs="Arial"/>
          <w:bCs/>
          <w:sz w:val="20"/>
          <w:szCs w:val="20"/>
          <w:lang w:val="es-MX" w:eastAsia="es-CO"/>
        </w:rPr>
      </w:pPr>
    </w:p>
    <w:p w:rsidRPr="002E61F7" w:rsidR="00BC5E75" w:rsidP="00BC5E75" w:rsidRDefault="00BC5E75" w14:paraId="41245852" w14:textId="77777777">
      <w:pPr>
        <w:spacing w:after="0" w:line="240" w:lineRule="auto"/>
        <w:contextualSpacing/>
        <w:jc w:val="both"/>
        <w:rPr>
          <w:rFonts w:ascii="Arial" w:hAnsi="Arial" w:eastAsia="Times New Roman" w:cs="Arial"/>
          <w:b/>
          <w:lang w:val="es-ES" w:eastAsia="es-CO"/>
        </w:rPr>
      </w:pPr>
      <w:r w:rsidRPr="002E61F7">
        <w:rPr>
          <w:rFonts w:ascii="Arial" w:hAnsi="Arial" w:eastAsia="Times New Roman" w:cs="Arial"/>
          <w:b/>
          <w:bCs/>
          <w:lang w:eastAsia="es-CO"/>
        </w:rPr>
        <w:t xml:space="preserve">LEY DE GARANTÍAS ELECTORALES </w:t>
      </w:r>
      <w:bookmarkStart w:name="_Hlk77166669" w:id="6"/>
      <w:r w:rsidRPr="002E61F7">
        <w:rPr>
          <w:rFonts w:ascii="Arial" w:hAnsi="Arial" w:eastAsia="Times New Roman" w:cs="Arial"/>
          <w:b/>
          <w:bCs/>
          <w:lang w:eastAsia="es-CO"/>
        </w:rPr>
        <w:t>‒</w:t>
      </w:r>
      <w:bookmarkEnd w:id="6"/>
      <w:r w:rsidRPr="002E61F7">
        <w:rPr>
          <w:rFonts w:ascii="Arial" w:hAnsi="Arial" w:eastAsia="Times New Roman" w:cs="Arial"/>
          <w:b/>
          <w:bCs/>
          <w:lang w:eastAsia="es-CO"/>
        </w:rPr>
        <w:t xml:space="preserve"> </w:t>
      </w:r>
      <w:r w:rsidRPr="002E61F7">
        <w:rPr>
          <w:rFonts w:ascii="Arial" w:hAnsi="Arial" w:eastAsia="Times New Roman" w:cs="Arial"/>
          <w:b/>
          <w:lang w:val="es-ES" w:eastAsia="es-CO"/>
        </w:rPr>
        <w:t xml:space="preserve">Prohibición del artículo 33 </w:t>
      </w:r>
      <w:r w:rsidRPr="002E61F7">
        <w:rPr>
          <w:rFonts w:ascii="Arial" w:hAnsi="Arial" w:eastAsia="Times New Roman" w:cs="Arial"/>
          <w:b/>
          <w:bCs/>
          <w:lang w:eastAsia="es-CO"/>
        </w:rPr>
        <w:t>‒ Destinatarios</w:t>
      </w:r>
    </w:p>
    <w:p w:rsidRPr="006D076F" w:rsidR="00BC5E75" w:rsidP="00BC5E75" w:rsidRDefault="00BC5E75" w14:paraId="2A5D24EC" w14:textId="77777777">
      <w:pPr>
        <w:tabs>
          <w:tab w:val="left" w:pos="426"/>
        </w:tabs>
        <w:spacing w:after="0" w:line="240" w:lineRule="auto"/>
        <w:contextualSpacing/>
        <w:jc w:val="both"/>
        <w:rPr>
          <w:rFonts w:ascii="Arial" w:hAnsi="Arial" w:eastAsia="Calibri" w:cs="Arial"/>
          <w:noProof/>
          <w:sz w:val="20"/>
          <w:szCs w:val="20"/>
          <w:lang w:val="es-ES"/>
        </w:rPr>
      </w:pPr>
    </w:p>
    <w:p w:rsidRPr="006D076F" w:rsidR="00BC5E75" w:rsidP="00BC5E75" w:rsidRDefault="00BC5E75" w14:paraId="525E311F" w14:textId="77777777">
      <w:pPr>
        <w:tabs>
          <w:tab w:val="left" w:pos="426"/>
        </w:tabs>
        <w:spacing w:after="0" w:line="240" w:lineRule="auto"/>
        <w:contextualSpacing/>
        <w:jc w:val="both"/>
        <w:rPr>
          <w:rFonts w:ascii="Arial" w:hAnsi="Arial" w:eastAsia="Times New Roman" w:cs="Arial"/>
          <w:bCs/>
          <w:sz w:val="20"/>
          <w:szCs w:val="20"/>
          <w:lang w:val="es-MX" w:eastAsia="x-none"/>
        </w:rPr>
      </w:pPr>
      <w:r w:rsidRPr="006D076F">
        <w:rPr>
          <w:rFonts w:ascii="Arial" w:hAnsi="Arial" w:eastAsia="Times New Roman"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D076F">
        <w:rPr>
          <w:rFonts w:ascii="Arial" w:hAnsi="Arial" w:eastAsia="Calibri" w:cs="Arial"/>
          <w:sz w:val="20"/>
          <w:szCs w:val="20"/>
          <w:lang w:val="es-MX"/>
        </w:rPr>
        <w:t xml:space="preserve"> </w:t>
      </w:r>
      <w:r w:rsidRPr="006D076F">
        <w:rPr>
          <w:rFonts w:ascii="Arial" w:hAnsi="Arial" w:eastAsia="Times New Roman" w:cs="Arial"/>
          <w:bCs/>
          <w:sz w:val="20"/>
          <w:szCs w:val="20"/>
          <w:lang w:val="es-MX" w:eastAsia="x-none"/>
        </w:rPr>
        <w:t>En efecto, como ha sostenido el Consejo de Estado, el vocablo «todos» utilizado por el legislador comprende</w:t>
      </w:r>
      <w:r w:rsidRPr="006D076F">
        <w:rPr>
          <w:rFonts w:ascii="Arial" w:hAnsi="Arial" w:eastAsia="Calibri" w:cs="Arial"/>
          <w:sz w:val="20"/>
          <w:szCs w:val="20"/>
          <w:lang w:val="es-MX"/>
        </w:rPr>
        <w:t xml:space="preserve"> </w:t>
      </w:r>
      <w:r w:rsidRPr="006D076F">
        <w:rPr>
          <w:rFonts w:ascii="Arial" w:hAnsi="Arial" w:eastAsia="Times New Roman"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6D076F" w:rsidR="00BC5E75" w:rsidP="00BC5E75" w:rsidRDefault="00BC5E75" w14:paraId="028F65BB" w14:textId="77777777">
      <w:pPr>
        <w:tabs>
          <w:tab w:val="left" w:pos="426"/>
        </w:tabs>
        <w:spacing w:after="0" w:line="240" w:lineRule="auto"/>
        <w:contextualSpacing/>
        <w:jc w:val="both"/>
        <w:rPr>
          <w:rFonts w:ascii="Arial" w:hAnsi="Arial" w:eastAsia="Calibri" w:cs="Arial"/>
          <w:sz w:val="20"/>
          <w:szCs w:val="20"/>
          <w:lang w:val="es-MX"/>
        </w:rPr>
      </w:pPr>
    </w:p>
    <w:bookmarkEnd w:id="2"/>
    <w:p w:rsidRPr="006D076F" w:rsidR="00BC5E75" w:rsidP="00BC5E75" w:rsidRDefault="00BC5E75" w14:paraId="7D6579DB" w14:textId="77777777">
      <w:pPr>
        <w:spacing w:after="0" w:line="240" w:lineRule="auto"/>
        <w:contextualSpacing/>
        <w:jc w:val="both"/>
        <w:rPr>
          <w:rFonts w:ascii="Arial" w:hAnsi="Arial" w:eastAsia="Calibri" w:cs="Arial"/>
          <w:sz w:val="20"/>
          <w:szCs w:val="20"/>
          <w:lang w:val="es-MX"/>
        </w:rPr>
      </w:pPr>
    </w:p>
    <w:p w:rsidRPr="006D7E12" w:rsidR="007C773C" w:rsidRDefault="007C773C" w14:paraId="7B9ADF08" w14:textId="77777777">
      <w:pPr>
        <w:rPr>
          <w:rFonts w:ascii="Arial" w:hAnsi="Arial" w:eastAsia="Calibri" w:cs="Arial"/>
          <w:b/>
          <w:bCs/>
          <w:lang w:val="es-MX"/>
        </w:rPr>
      </w:pPr>
      <w:r w:rsidRPr="006D7E12">
        <w:rPr>
          <w:rFonts w:ascii="Arial" w:hAnsi="Arial" w:eastAsia="Calibri" w:cs="Arial"/>
          <w:b/>
          <w:bCs/>
          <w:lang w:val="es-MX"/>
        </w:rPr>
        <w:br w:type="page"/>
      </w:r>
    </w:p>
    <w:p w:rsidRPr="00CB149C" w:rsidR="00883C23" w:rsidP="00CB149C" w:rsidRDefault="00883C23" w14:paraId="378826D0" w14:textId="11EFA71D">
      <w:pPr>
        <w:spacing w:after="0" w:line="276" w:lineRule="auto"/>
        <w:jc w:val="right"/>
        <w:rPr>
          <w:rFonts w:ascii="Arial" w:hAnsi="Arial" w:eastAsia="Calibri" w:cs="Arial"/>
          <w:b/>
          <w:bCs/>
          <w:sz w:val="16"/>
          <w:szCs w:val="16"/>
        </w:rPr>
      </w:pPr>
      <w:r w:rsidRPr="006D7E12">
        <w:rPr>
          <w:rFonts w:ascii="Arial" w:hAnsi="Arial" w:eastAsia="Times New Roman" w:cs="Arial"/>
          <w:b/>
          <w:bCs/>
          <w:sz w:val="16"/>
          <w:szCs w:val="16"/>
          <w:lang w:eastAsia="es-ES"/>
        </w:rPr>
        <w:lastRenderedPageBreak/>
        <w:t>CCE-DES-FM-17</w:t>
      </w:r>
    </w:p>
    <w:p w:rsidR="00B918D9" w:rsidP="004A36F9" w:rsidRDefault="00B918D9" w14:paraId="25AAA676" w14:textId="633DC6BB">
      <w:pPr>
        <w:spacing w:after="0" w:line="240" w:lineRule="auto"/>
        <w:rPr>
          <w:rFonts w:ascii="Arial" w:hAnsi="Arial" w:eastAsia="Calibri" w:cs="Arial"/>
        </w:rPr>
      </w:pPr>
      <w:bookmarkStart w:name="_Hlk96417464" w:id="7"/>
      <w:bookmarkStart w:name="_Hlk100170951" w:id="8"/>
    </w:p>
    <w:p w:rsidR="00B918D9" w:rsidP="4048B3F0" w:rsidRDefault="00B918D9" w14:paraId="66363838" w14:textId="41F461C1">
      <w:pPr>
        <w:pStyle w:val="Normal"/>
        <w:spacing w:after="0" w:line="240" w:lineRule="auto"/>
        <w:ind w:left="6372"/>
        <w:jc w:val="both"/>
      </w:pPr>
      <w:r w:rsidR="4048B3F0">
        <w:drawing>
          <wp:inline wp14:editId="4048B3F0" wp14:anchorId="7B16BB43">
            <wp:extent cx="1609725" cy="447675"/>
            <wp:effectExtent l="0" t="0" r="0" b="0"/>
            <wp:docPr id="1087457107" name="" title=""/>
            <wp:cNvGraphicFramePr>
              <a:graphicFrameLocks noChangeAspect="1"/>
            </wp:cNvGraphicFramePr>
            <a:graphic>
              <a:graphicData uri="http://schemas.openxmlformats.org/drawingml/2006/picture">
                <pic:pic>
                  <pic:nvPicPr>
                    <pic:cNvPr id="0" name=""/>
                    <pic:cNvPicPr/>
                  </pic:nvPicPr>
                  <pic:blipFill>
                    <a:blip r:embed="R11aa882690f046a8">
                      <a:extLst>
                        <a:ext xmlns:a="http://schemas.openxmlformats.org/drawingml/2006/main" uri="{28A0092B-C50C-407E-A947-70E740481C1C}">
                          <a14:useLocalDpi val="0"/>
                        </a:ext>
                      </a:extLst>
                    </a:blip>
                    <a:stretch>
                      <a:fillRect/>
                    </a:stretch>
                  </pic:blipFill>
                  <pic:spPr>
                    <a:xfrm>
                      <a:off x="0" y="0"/>
                      <a:ext cx="1609725" cy="447675"/>
                    </a:xfrm>
                    <a:prstGeom prst="rect">
                      <a:avLst/>
                    </a:prstGeom>
                  </pic:spPr>
                </pic:pic>
              </a:graphicData>
            </a:graphic>
          </wp:inline>
        </w:drawing>
      </w:r>
    </w:p>
    <w:p w:rsidR="4048B3F0" w:rsidP="4048B3F0" w:rsidRDefault="4048B3F0" w14:paraId="2DD32E06" w14:textId="35397A56">
      <w:pPr>
        <w:spacing w:after="0" w:line="240" w:lineRule="auto"/>
        <w:jc w:val="both"/>
        <w:rPr>
          <w:rFonts w:ascii="Arial" w:hAnsi="Arial" w:eastAsia="Calibri" w:cs="Arial"/>
        </w:rPr>
      </w:pPr>
    </w:p>
    <w:p w:rsidR="4048B3F0" w:rsidP="4048B3F0" w:rsidRDefault="4048B3F0" w14:paraId="51B8322B" w14:textId="608E28C3">
      <w:pPr>
        <w:spacing w:after="0" w:line="240" w:lineRule="auto"/>
        <w:jc w:val="both"/>
        <w:rPr>
          <w:rFonts w:ascii="Arial" w:hAnsi="Arial" w:eastAsia="Calibri" w:cs="Arial"/>
        </w:rPr>
      </w:pPr>
    </w:p>
    <w:p w:rsidR="00B918D9" w:rsidP="00883C23" w:rsidRDefault="00B918D9" w14:paraId="2A988759" w14:textId="2C878A1D">
      <w:pPr>
        <w:spacing w:after="0" w:line="240" w:lineRule="auto"/>
        <w:jc w:val="both"/>
        <w:rPr>
          <w:rFonts w:ascii="Arial" w:hAnsi="Arial" w:eastAsia="Calibri" w:cs="Arial"/>
        </w:rPr>
      </w:pPr>
      <w:r w:rsidRPr="4048B3F0" w:rsidR="00B918D9">
        <w:rPr>
          <w:rFonts w:ascii="Arial" w:hAnsi="Arial" w:eastAsia="Calibri" w:cs="Arial"/>
        </w:rPr>
        <w:t>Bogotá D.C., 21 Junio 2022</w:t>
      </w:r>
    </w:p>
    <w:p w:rsidR="00B918D9" w:rsidP="00883C23" w:rsidRDefault="00B918D9" w14:paraId="661322B5" w14:textId="5E5BB1CE">
      <w:pPr>
        <w:spacing w:after="0" w:line="240" w:lineRule="auto"/>
        <w:jc w:val="both"/>
        <w:rPr>
          <w:rFonts w:ascii="Arial" w:hAnsi="Arial" w:eastAsia="Calibri" w:cs="Arial"/>
        </w:rPr>
      </w:pPr>
    </w:p>
    <w:p w:rsidR="00CB149C" w:rsidP="00883C23" w:rsidRDefault="00CB149C" w14:paraId="5A283260" w14:textId="77777777">
      <w:pPr>
        <w:spacing w:after="0" w:line="240" w:lineRule="auto"/>
        <w:jc w:val="both"/>
        <w:rPr>
          <w:rFonts w:ascii="Arial" w:hAnsi="Arial" w:eastAsia="Calibri" w:cs="Arial"/>
        </w:rPr>
      </w:pPr>
    </w:p>
    <w:p w:rsidRPr="006D7E12" w:rsidR="00883C23" w:rsidP="00883C23" w:rsidRDefault="00C30423" w14:paraId="706FBDFB" w14:textId="36E29F2B">
      <w:pPr>
        <w:spacing w:after="0" w:line="240" w:lineRule="auto"/>
        <w:jc w:val="both"/>
        <w:rPr>
          <w:rFonts w:ascii="Arial" w:hAnsi="Arial" w:eastAsia="Calibri" w:cs="Arial"/>
        </w:rPr>
      </w:pPr>
      <w:r>
        <w:rPr>
          <w:rFonts w:ascii="Arial" w:hAnsi="Arial" w:eastAsia="Calibri" w:cs="Arial"/>
        </w:rPr>
        <w:t>Señor</w:t>
      </w:r>
      <w:r w:rsidR="00B95EB6">
        <w:rPr>
          <w:rFonts w:ascii="Arial" w:hAnsi="Arial" w:eastAsia="Calibri" w:cs="Arial"/>
        </w:rPr>
        <w:t>a</w:t>
      </w:r>
    </w:p>
    <w:p w:rsidRPr="006D7E12" w:rsidR="00883C23" w:rsidP="00B95EB6" w:rsidRDefault="00800252" w14:paraId="09D8468A" w14:textId="19866C62">
      <w:pPr>
        <w:spacing w:after="0" w:line="240" w:lineRule="auto"/>
        <w:rPr>
          <w:rFonts w:ascii="Arial" w:hAnsi="Arial" w:eastAsia="Calibri" w:cs="Arial"/>
          <w:b/>
        </w:rPr>
      </w:pPr>
      <w:r w:rsidRPr="00800252">
        <w:rPr>
          <w:rFonts w:ascii="Arial" w:hAnsi="Arial" w:eastAsia="Calibri" w:cs="Arial"/>
          <w:b/>
        </w:rPr>
        <w:t>Juan Pablo Prieto Nieto</w:t>
      </w:r>
    </w:p>
    <w:p w:rsidRPr="006D7E12" w:rsidR="00883C23" w:rsidP="00883C23" w:rsidRDefault="00800252" w14:paraId="4916D574" w14:textId="00B2678B">
      <w:pPr>
        <w:spacing w:after="0" w:line="240" w:lineRule="auto"/>
        <w:jc w:val="both"/>
        <w:rPr>
          <w:rFonts w:ascii="Arial" w:hAnsi="Arial" w:eastAsia="Calibri" w:cs="Arial"/>
        </w:rPr>
      </w:pPr>
      <w:r w:rsidRPr="00800252">
        <w:rPr>
          <w:rFonts w:ascii="Arial" w:hAnsi="Arial" w:eastAsia="Calibri" w:cs="Arial"/>
        </w:rPr>
        <w:t>Funza, Cundinamarca</w:t>
      </w:r>
      <w:r w:rsidRPr="006D7E12" w:rsidR="00883C23">
        <w:rPr>
          <w:rFonts w:ascii="Arial" w:hAnsi="Arial" w:eastAsia="Calibri" w:cs="Arial"/>
        </w:rPr>
        <w:t xml:space="preserve"> </w:t>
      </w:r>
    </w:p>
    <w:p w:rsidRPr="006D7E12" w:rsidR="00CB149C" w:rsidP="00883C23" w:rsidRDefault="00CB149C" w14:paraId="42E4525C" w14:textId="77777777">
      <w:pPr>
        <w:spacing w:after="0" w:line="240" w:lineRule="auto"/>
        <w:jc w:val="both"/>
        <w:rPr>
          <w:rFonts w:ascii="Arial" w:hAnsi="Arial" w:eastAsia="Calibri" w:cs="Arial"/>
        </w:rPr>
      </w:pPr>
    </w:p>
    <w:p w:rsidRPr="006D7E12" w:rsidR="00883C23" w:rsidP="00883C23" w:rsidRDefault="00883C23" w14:paraId="1ADBFDD5" w14:textId="77777777">
      <w:pPr>
        <w:spacing w:after="0" w:line="240" w:lineRule="auto"/>
        <w:jc w:val="both"/>
        <w:rPr>
          <w:rFonts w:ascii="Arial" w:hAnsi="Arial" w:eastAsia="Calibri" w:cs="Arial"/>
        </w:rPr>
      </w:pPr>
    </w:p>
    <w:p w:rsidRPr="006D7E12" w:rsidR="00883C23" w:rsidP="00883C23" w:rsidRDefault="00883C23" w14:paraId="04A59977" w14:textId="793DC146">
      <w:pPr>
        <w:spacing w:after="0" w:line="240" w:lineRule="auto"/>
        <w:jc w:val="both"/>
        <w:rPr>
          <w:rFonts w:ascii="Arial" w:hAnsi="Arial" w:eastAsia="Calibri" w:cs="Arial"/>
        </w:rPr>
      </w:pPr>
      <w:r w:rsidRPr="006D7E12">
        <w:rPr>
          <w:rFonts w:ascii="Arial" w:hAnsi="Arial" w:eastAsia="Calibri" w:cs="Arial"/>
        </w:rPr>
        <w:t xml:space="preserve">                                           </w:t>
      </w:r>
      <w:r w:rsidR="00C6478C">
        <w:rPr>
          <w:rFonts w:ascii="Arial" w:hAnsi="Arial" w:eastAsia="Calibri" w:cs="Arial"/>
        </w:rPr>
        <w:t xml:space="preserve"> </w:t>
      </w:r>
      <w:r w:rsidRPr="006D7E12">
        <w:rPr>
          <w:rFonts w:ascii="Arial" w:hAnsi="Arial" w:eastAsia="Calibri" w:cs="Arial"/>
          <w:b/>
        </w:rPr>
        <w:t xml:space="preserve">Concepto C – </w:t>
      </w:r>
      <w:r w:rsidR="00C62EB0">
        <w:rPr>
          <w:rFonts w:ascii="Arial" w:hAnsi="Arial" w:eastAsia="Calibri" w:cs="Arial"/>
          <w:b/>
        </w:rPr>
        <w:t>401</w:t>
      </w:r>
      <w:r w:rsidRPr="006D7E12">
        <w:rPr>
          <w:rFonts w:ascii="Arial" w:hAnsi="Arial" w:eastAsia="Calibri" w:cs="Arial"/>
          <w:b/>
        </w:rPr>
        <w:t xml:space="preserve"> de 2022</w:t>
      </w:r>
      <w:r w:rsidRPr="006D7E12">
        <w:rPr>
          <w:rFonts w:ascii="Arial" w:hAnsi="Arial" w:eastAsia="Calibri" w:cs="Arial"/>
        </w:rPr>
        <w:t xml:space="preserve"> </w:t>
      </w:r>
    </w:p>
    <w:p w:rsidRPr="006D7E12" w:rsidR="00883C23" w:rsidP="00883C23" w:rsidRDefault="00883C23" w14:paraId="5FFD2FD6" w14:textId="77777777">
      <w:pPr>
        <w:spacing w:after="0" w:line="240" w:lineRule="auto"/>
        <w:jc w:val="both"/>
        <w:rPr>
          <w:rFonts w:ascii="Arial" w:hAnsi="Arial" w:eastAsia="Calibri" w:cs="Arial"/>
          <w:b/>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6D7E12" w:rsidR="000370B6" w:rsidTr="00301B6D" w14:paraId="2218F9C4" w14:textId="77777777">
        <w:trPr>
          <w:trHeight w:val="485"/>
        </w:trPr>
        <w:tc>
          <w:tcPr>
            <w:tcW w:w="2689" w:type="dxa"/>
            <w:hideMark/>
          </w:tcPr>
          <w:p w:rsidRPr="006D7E12" w:rsidR="00883C23" w:rsidP="00883C23" w:rsidRDefault="00883C23" w14:paraId="0F211B22" w14:textId="77777777">
            <w:pPr>
              <w:contextualSpacing/>
              <w:rPr>
                <w:rFonts w:ascii="Arial" w:hAnsi="Arial" w:eastAsia="Calibri" w:cs="Arial"/>
                <w:noProof/>
                <w:lang w:val="es-ES_tradnl"/>
              </w:rPr>
            </w:pPr>
            <w:r w:rsidRPr="006D7E12">
              <w:rPr>
                <w:rFonts w:ascii="Arial" w:hAnsi="Arial" w:eastAsia="Calibri" w:cs="Arial"/>
                <w:b/>
                <w:noProof/>
                <w:lang w:val="es-ES_tradnl"/>
              </w:rPr>
              <w:t>Temas:</w:t>
            </w:r>
            <w:r w:rsidRPr="006D7E12">
              <w:rPr>
                <w:rFonts w:ascii="Arial" w:hAnsi="Arial" w:eastAsia="Calibri" w:cs="Arial"/>
                <w:noProof/>
                <w:lang w:val="es-ES_tradnl"/>
              </w:rPr>
              <w:t xml:space="preserve">        </w:t>
            </w:r>
          </w:p>
        </w:tc>
        <w:tc>
          <w:tcPr>
            <w:tcW w:w="6237" w:type="dxa"/>
            <w:hideMark/>
          </w:tcPr>
          <w:p w:rsidRPr="006D7E12" w:rsidR="00647E66" w:rsidP="001D6442" w:rsidRDefault="00647E66" w14:paraId="660FAC4E" w14:textId="5A86F87C">
            <w:pPr>
              <w:tabs>
                <w:tab w:val="left" w:pos="426"/>
              </w:tabs>
              <w:contextualSpacing/>
              <w:jc w:val="both"/>
              <w:rPr>
                <w:rFonts w:ascii="Arial" w:hAnsi="Arial" w:eastAsia="Calibri" w:cs="Arial"/>
                <w:lang w:val="es-MX"/>
              </w:rPr>
            </w:pPr>
            <w:r w:rsidRPr="006D7E12">
              <w:rPr>
                <w:rFonts w:ascii="Arial" w:hAnsi="Arial" w:eastAsia="Calibri" w:cs="Arial"/>
                <w:lang w:val="es-MX"/>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w:t>
            </w:r>
            <w:r w:rsidRPr="006D7E12">
              <w:rPr>
                <w:rFonts w:ascii="Arial" w:hAnsi="Arial" w:eastAsia="Times New Roman" w:cs="Arial"/>
                <w:lang w:eastAsia="es-CO"/>
              </w:rPr>
              <w:t xml:space="preserve">Excepciones / LEY DE GARANTÍAS ELECTORALES ‒ </w:t>
            </w:r>
            <w:r w:rsidRPr="006D7E12">
              <w:rPr>
                <w:rFonts w:ascii="Arial" w:hAnsi="Arial" w:eastAsia="Times New Roman" w:cs="Arial"/>
                <w:lang w:val="es-ES" w:eastAsia="es-CO"/>
              </w:rPr>
              <w:t xml:space="preserve">Prohibición del artículo 33 </w:t>
            </w:r>
            <w:r w:rsidRPr="006D7E12">
              <w:rPr>
                <w:rFonts w:ascii="Arial" w:hAnsi="Arial" w:eastAsia="Times New Roman" w:cs="Arial"/>
                <w:lang w:eastAsia="es-CO"/>
              </w:rPr>
              <w:t xml:space="preserve">‒ Destinatarios </w:t>
            </w:r>
          </w:p>
          <w:p w:rsidRPr="006D7E12" w:rsidR="00647E66" w:rsidP="00647E66" w:rsidRDefault="00647E66" w14:paraId="7A54573B" w14:textId="4F95C6A9">
            <w:pPr>
              <w:tabs>
                <w:tab w:val="left" w:pos="426"/>
              </w:tabs>
              <w:contextualSpacing/>
              <w:jc w:val="both"/>
              <w:rPr>
                <w:rFonts w:ascii="Arial" w:hAnsi="Arial" w:eastAsia="Calibri" w:cs="Arial"/>
                <w:sz w:val="12"/>
                <w:szCs w:val="12"/>
                <w:lang w:val="es-MX"/>
              </w:rPr>
            </w:pPr>
          </w:p>
          <w:p w:rsidRPr="006D7E12" w:rsidR="00883C23" w:rsidP="00883C23" w:rsidRDefault="00883C23" w14:paraId="0BA70935" w14:textId="77777777">
            <w:pPr>
              <w:spacing w:after="120"/>
              <w:rPr>
                <w:rFonts w:ascii="Arial" w:hAnsi="Arial" w:eastAsia="Calibri" w:cs="Arial"/>
                <w:lang w:val="es-MX"/>
              </w:rPr>
            </w:pPr>
          </w:p>
        </w:tc>
      </w:tr>
      <w:tr w:rsidRPr="006D7E12" w:rsidR="000370B6" w:rsidTr="00301B6D" w14:paraId="222FEFA6" w14:textId="77777777">
        <w:tc>
          <w:tcPr>
            <w:tcW w:w="2689" w:type="dxa"/>
          </w:tcPr>
          <w:p w:rsidRPr="006D7E12" w:rsidR="00883C23" w:rsidP="00883C23" w:rsidRDefault="00883C23" w14:paraId="3332A0EE" w14:textId="77777777">
            <w:pPr>
              <w:contextualSpacing/>
              <w:rPr>
                <w:rFonts w:ascii="Arial" w:hAnsi="Arial" w:eastAsia="Calibri" w:cs="Arial"/>
                <w:b/>
                <w:noProof/>
                <w:lang w:val="es-ES_tradnl"/>
              </w:rPr>
            </w:pPr>
            <w:r w:rsidRPr="006D7E12">
              <w:rPr>
                <w:rFonts w:ascii="Arial" w:hAnsi="Arial" w:eastAsia="Calibri" w:cs="Arial"/>
                <w:b/>
                <w:noProof/>
                <w:lang w:val="es-ES_tradnl"/>
              </w:rPr>
              <w:t>Radicación:</w:t>
            </w:r>
            <w:r w:rsidRPr="006D7E12">
              <w:rPr>
                <w:rFonts w:ascii="Arial" w:hAnsi="Arial" w:eastAsia="Calibri" w:cs="Arial"/>
                <w:noProof/>
                <w:lang w:val="es-ES_tradnl"/>
              </w:rPr>
              <w:t xml:space="preserve">                              </w:t>
            </w:r>
          </w:p>
        </w:tc>
        <w:tc>
          <w:tcPr>
            <w:tcW w:w="6237" w:type="dxa"/>
          </w:tcPr>
          <w:p w:rsidRPr="006D7E12" w:rsidR="00883C23" w:rsidP="00883C23" w:rsidRDefault="00883C23" w14:paraId="3854A44D" w14:textId="6C3E1575">
            <w:pPr>
              <w:contextualSpacing/>
              <w:jc w:val="both"/>
              <w:rPr>
                <w:rFonts w:ascii="Arial" w:hAnsi="Arial" w:eastAsia="Calibri" w:cs="Arial"/>
                <w:noProof/>
                <w:lang w:val="es-ES_tradnl"/>
              </w:rPr>
            </w:pPr>
            <w:r w:rsidRPr="006D7E12">
              <w:rPr>
                <w:rFonts w:ascii="Arial" w:hAnsi="Arial" w:eastAsia="Calibri" w:cs="Arial"/>
                <w:noProof/>
                <w:lang w:val="es-ES_tradnl"/>
              </w:rPr>
              <w:t xml:space="preserve">Respuesta a </w:t>
            </w:r>
            <w:r w:rsidR="00643B0C">
              <w:rPr>
                <w:rFonts w:ascii="Arial" w:hAnsi="Arial" w:eastAsia="Calibri" w:cs="Arial"/>
                <w:noProof/>
                <w:lang w:val="es-ES_tradnl"/>
              </w:rPr>
              <w:t xml:space="preserve">la </w:t>
            </w:r>
            <w:r w:rsidRPr="006D7E12">
              <w:rPr>
                <w:rFonts w:ascii="Arial" w:hAnsi="Arial" w:eastAsia="Calibri" w:cs="Arial"/>
                <w:noProof/>
                <w:lang w:val="es-ES_tradnl"/>
              </w:rPr>
              <w:t>consulta</w:t>
            </w:r>
            <w:r w:rsidR="00480975">
              <w:rPr>
                <w:rFonts w:ascii="Arial" w:hAnsi="Arial" w:eastAsia="Calibri" w:cs="Arial"/>
                <w:noProof/>
                <w:lang w:val="es-ES_tradnl"/>
              </w:rPr>
              <w:t xml:space="preserve"> </w:t>
            </w:r>
            <w:r w:rsidRPr="00800252" w:rsidR="00800252">
              <w:rPr>
                <w:rFonts w:ascii="Arial" w:hAnsi="Arial" w:eastAsia="Calibri" w:cs="Arial"/>
                <w:noProof/>
                <w:lang w:val="es-ES_tradnl"/>
              </w:rPr>
              <w:t>P20220506004485</w:t>
            </w:r>
          </w:p>
        </w:tc>
      </w:tr>
    </w:tbl>
    <w:p w:rsidRPr="006D7E12" w:rsidR="00883C23" w:rsidP="00883C23" w:rsidRDefault="00883C23" w14:paraId="24096655" w14:textId="77777777">
      <w:pPr>
        <w:spacing w:after="0" w:line="240" w:lineRule="auto"/>
        <w:jc w:val="both"/>
        <w:rPr>
          <w:rFonts w:ascii="Arial" w:hAnsi="Arial" w:eastAsia="Calibri" w:cs="Arial"/>
        </w:rPr>
      </w:pPr>
    </w:p>
    <w:p w:rsidRPr="006D7E12" w:rsidR="00883C23" w:rsidP="00883C23" w:rsidRDefault="00883C23" w14:paraId="17A7991B" w14:textId="77777777">
      <w:pPr>
        <w:spacing w:after="0" w:line="240" w:lineRule="auto"/>
        <w:contextualSpacing/>
        <w:jc w:val="both"/>
        <w:rPr>
          <w:rFonts w:ascii="Arial" w:hAnsi="Arial" w:eastAsia="Calibri" w:cs="Arial"/>
        </w:rPr>
      </w:pPr>
    </w:p>
    <w:p w:rsidRPr="006D7E12" w:rsidR="00883C23" w:rsidP="00883C23" w:rsidRDefault="00883C23" w14:paraId="13A96C90" w14:textId="604A29A9">
      <w:pPr>
        <w:spacing w:after="0" w:line="276" w:lineRule="auto"/>
        <w:contextualSpacing/>
        <w:jc w:val="both"/>
        <w:rPr>
          <w:rFonts w:ascii="Arial" w:hAnsi="Arial" w:eastAsia="Calibri" w:cs="Arial"/>
        </w:rPr>
      </w:pPr>
      <w:r w:rsidRPr="006D7E12">
        <w:rPr>
          <w:rFonts w:ascii="Arial" w:hAnsi="Arial" w:eastAsia="Calibri" w:cs="Arial"/>
        </w:rPr>
        <w:t>Estimad</w:t>
      </w:r>
      <w:r w:rsidR="00847981">
        <w:rPr>
          <w:rFonts w:ascii="Arial" w:hAnsi="Arial" w:eastAsia="Calibri" w:cs="Arial"/>
        </w:rPr>
        <w:t>a</w:t>
      </w:r>
      <w:r w:rsidRPr="006D7E12">
        <w:rPr>
          <w:rFonts w:ascii="Arial" w:hAnsi="Arial" w:eastAsia="Calibri" w:cs="Arial"/>
        </w:rPr>
        <w:t xml:space="preserve"> señor</w:t>
      </w:r>
      <w:r w:rsidR="00847981">
        <w:rPr>
          <w:rFonts w:ascii="Arial" w:hAnsi="Arial" w:eastAsia="Calibri" w:cs="Arial"/>
        </w:rPr>
        <w:t>a</w:t>
      </w:r>
      <w:r w:rsidRPr="006D7E12" w:rsidR="000370B6">
        <w:rPr>
          <w:rFonts w:ascii="Arial" w:hAnsi="Arial" w:eastAsia="Calibri" w:cs="Arial"/>
        </w:rPr>
        <w:t xml:space="preserve"> </w:t>
      </w:r>
      <w:r w:rsidRPr="00847981" w:rsidR="00847981">
        <w:rPr>
          <w:rFonts w:ascii="Arial" w:hAnsi="Arial" w:eastAsia="Calibri" w:cs="Arial"/>
        </w:rPr>
        <w:t>Bossa Quintero</w:t>
      </w:r>
      <w:r w:rsidRPr="006D7E12">
        <w:rPr>
          <w:rFonts w:ascii="Arial" w:hAnsi="Arial" w:eastAsia="Calibri" w:cs="Arial"/>
        </w:rPr>
        <w:t>:</w:t>
      </w:r>
    </w:p>
    <w:p w:rsidRPr="006D7E12" w:rsidR="00883C23" w:rsidP="00883C23" w:rsidRDefault="00883C23" w14:paraId="65B69C4A" w14:textId="77777777">
      <w:pPr>
        <w:spacing w:after="0" w:line="276" w:lineRule="auto"/>
        <w:ind w:firstLine="709"/>
        <w:contextualSpacing/>
        <w:jc w:val="both"/>
        <w:rPr>
          <w:rFonts w:ascii="Arial" w:hAnsi="Arial" w:eastAsia="Calibri" w:cs="Arial"/>
        </w:rPr>
      </w:pPr>
    </w:p>
    <w:p w:rsidRPr="006D7E12" w:rsidR="00883C23" w:rsidP="00883C23" w:rsidRDefault="00883C23" w14:paraId="2996A3C4" w14:textId="5E810BF5">
      <w:pPr>
        <w:spacing w:after="0" w:line="276" w:lineRule="auto"/>
        <w:ind w:right="51"/>
        <w:contextualSpacing/>
        <w:jc w:val="both"/>
        <w:rPr>
          <w:rFonts w:ascii="Arial" w:hAnsi="Arial" w:eastAsia="Calibri" w:cs="Arial"/>
        </w:rPr>
      </w:pPr>
      <w:r w:rsidRPr="006D7E12">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6D5220">
        <w:rPr>
          <w:rFonts w:ascii="Arial" w:hAnsi="Arial" w:eastAsia="Calibri" w:cs="Arial"/>
        </w:rPr>
        <w:t>6 de mayo</w:t>
      </w:r>
      <w:r w:rsidR="00583170">
        <w:rPr>
          <w:rFonts w:ascii="Arial" w:hAnsi="Arial" w:eastAsia="Calibri" w:cs="Arial"/>
        </w:rPr>
        <w:t xml:space="preserve"> de</w:t>
      </w:r>
      <w:r w:rsidRPr="006D7E12">
        <w:rPr>
          <w:rFonts w:ascii="Arial" w:hAnsi="Arial" w:eastAsia="Calibri" w:cs="Arial"/>
        </w:rPr>
        <w:t xml:space="preserve"> 2022. </w:t>
      </w:r>
    </w:p>
    <w:p w:rsidRPr="006D7E12" w:rsidR="00883C23" w:rsidP="00883C23" w:rsidRDefault="00883C23" w14:paraId="13156ABA" w14:textId="77777777">
      <w:pPr>
        <w:spacing w:after="0" w:line="276" w:lineRule="auto"/>
        <w:contextualSpacing/>
        <w:jc w:val="both"/>
        <w:rPr>
          <w:rFonts w:ascii="Arial" w:hAnsi="Arial" w:eastAsia="Calibri" w:cs="Arial"/>
        </w:rPr>
      </w:pPr>
    </w:p>
    <w:p w:rsidRPr="006D7E12" w:rsidR="00883C23" w:rsidP="00883C23" w:rsidRDefault="00883C23" w14:paraId="37AC10DA" w14:textId="77777777">
      <w:pPr>
        <w:tabs>
          <w:tab w:val="left" w:pos="284"/>
        </w:tabs>
        <w:spacing w:after="0" w:line="276" w:lineRule="auto"/>
        <w:contextualSpacing/>
        <w:jc w:val="both"/>
        <w:rPr>
          <w:rFonts w:ascii="Arial" w:hAnsi="Arial" w:eastAsia="Calibri" w:cs="Arial"/>
          <w:b/>
        </w:rPr>
      </w:pPr>
      <w:r w:rsidRPr="006D7E12">
        <w:rPr>
          <w:rFonts w:ascii="Arial" w:hAnsi="Arial" w:eastAsia="Calibri" w:cs="Arial"/>
          <w:b/>
        </w:rPr>
        <w:t xml:space="preserve">1. Problema planteado </w:t>
      </w:r>
    </w:p>
    <w:p w:rsidRPr="006D7E12" w:rsidR="00883C23" w:rsidP="00883C23" w:rsidRDefault="00883C23" w14:paraId="5F0F4646" w14:textId="77777777">
      <w:pPr>
        <w:tabs>
          <w:tab w:val="left" w:pos="284"/>
        </w:tabs>
        <w:spacing w:after="0" w:line="276" w:lineRule="auto"/>
        <w:ind w:firstLine="709"/>
        <w:contextualSpacing/>
        <w:jc w:val="both"/>
        <w:rPr>
          <w:rFonts w:ascii="Arial" w:hAnsi="Arial" w:eastAsia="Calibri" w:cs="Arial"/>
          <w:b/>
        </w:rPr>
      </w:pPr>
    </w:p>
    <w:p w:rsidRPr="006D7E12" w:rsidR="00883C23" w:rsidP="00F768FE" w:rsidRDefault="006D5220" w14:paraId="6807C56B" w14:textId="3668A92A">
      <w:pPr>
        <w:spacing w:after="0" w:line="276" w:lineRule="auto"/>
        <w:contextualSpacing/>
        <w:jc w:val="both"/>
        <w:rPr>
          <w:rFonts w:ascii="Arial" w:hAnsi="Arial" w:eastAsia="Times New Roman" w:cs="Arial"/>
          <w:lang w:eastAsia="es-ES_tradnl"/>
        </w:rPr>
      </w:pPr>
      <w:bookmarkStart w:name="_Hlk58917991" w:id="9"/>
      <w:bookmarkStart w:name="_Hlk56103000" w:id="10"/>
      <w:r>
        <w:rPr>
          <w:rFonts w:ascii="Arial" w:hAnsi="Arial" w:eastAsia="Times New Roman" w:cs="Arial"/>
          <w:lang w:eastAsia="es-ES_tradnl"/>
        </w:rPr>
        <w:t>Respecto a</w:t>
      </w:r>
      <w:r w:rsidR="00DE371F">
        <w:rPr>
          <w:rFonts w:ascii="Arial" w:hAnsi="Arial" w:eastAsia="Times New Roman" w:cs="Arial"/>
          <w:lang w:eastAsia="es-ES_tradnl"/>
        </w:rPr>
        <w:t xml:space="preserve"> </w:t>
      </w:r>
      <w:r>
        <w:rPr>
          <w:rFonts w:ascii="Arial" w:hAnsi="Arial" w:eastAsia="Times New Roman" w:cs="Arial"/>
          <w:lang w:eastAsia="es-ES_tradnl"/>
        </w:rPr>
        <w:t>l</w:t>
      </w:r>
      <w:r w:rsidR="00DE371F">
        <w:rPr>
          <w:rFonts w:ascii="Arial" w:hAnsi="Arial" w:eastAsia="Times New Roman" w:cs="Arial"/>
          <w:lang w:eastAsia="es-ES_tradnl"/>
        </w:rPr>
        <w:t>a prohibición de contratación directa prevista en el</w:t>
      </w:r>
      <w:r>
        <w:rPr>
          <w:rFonts w:ascii="Arial" w:hAnsi="Arial" w:eastAsia="Times New Roman" w:cs="Arial"/>
          <w:lang w:eastAsia="es-ES_tradnl"/>
        </w:rPr>
        <w:t xml:space="preserve"> artículo 33 de la Ley de Garantías, u</w:t>
      </w:r>
      <w:r w:rsidRPr="006D7E12" w:rsidR="00883C23">
        <w:rPr>
          <w:rFonts w:ascii="Arial" w:hAnsi="Arial" w:eastAsia="Times New Roman" w:cs="Arial"/>
          <w:lang w:eastAsia="es-ES_tradnl"/>
        </w:rPr>
        <w:t xml:space="preserve">sted realiza la siguiente pregunta: </w:t>
      </w:r>
      <w:r w:rsidR="00F768FE">
        <w:rPr>
          <w:rFonts w:ascii="Arial" w:hAnsi="Arial" w:eastAsia="Times New Roman" w:cs="Arial"/>
          <w:lang w:eastAsia="es-ES_tradnl"/>
        </w:rPr>
        <w:t>«[…]</w:t>
      </w:r>
      <w:r w:rsidRPr="00F768FE" w:rsidR="00F768FE">
        <w:t xml:space="preserve"> </w:t>
      </w:r>
      <w:r w:rsidRPr="00BB3467" w:rsidR="00BB3467">
        <w:rPr>
          <w:rFonts w:ascii="Arial" w:hAnsi="Arial" w:eastAsia="Times New Roman" w:cs="Arial"/>
          <w:lang w:eastAsia="es-ES_tradnl"/>
        </w:rPr>
        <w:t>me permito solicitar a su Despacho, concepto sobre la viabilidad de que una entidad estatal que se r</w:t>
      </w:r>
      <w:r w:rsidR="00FB4701">
        <w:rPr>
          <w:rFonts w:ascii="Arial" w:hAnsi="Arial" w:eastAsia="Times New Roman" w:cs="Arial"/>
          <w:lang w:eastAsia="es-ES_tradnl"/>
        </w:rPr>
        <w:t>ige</w:t>
      </w:r>
      <w:r w:rsidRPr="00BB3467" w:rsidR="00BB3467">
        <w:rPr>
          <w:rFonts w:ascii="Arial" w:hAnsi="Arial" w:eastAsia="Times New Roman" w:cs="Arial"/>
          <w:lang w:eastAsia="es-ES_tradnl"/>
        </w:rPr>
        <w:t xml:space="preserve"> por el Estatuto General de la Contratación suscriba en vigencia de la ley de garantías un acuerdo de cofinanciación de recursos públicos con una entidad encargada de administrativo un patrimonio autónomo</w:t>
      </w:r>
      <w:r w:rsidR="00BB3467">
        <w:rPr>
          <w:rFonts w:ascii="Arial" w:hAnsi="Arial" w:eastAsia="Times New Roman" w:cs="Arial"/>
          <w:lang w:eastAsia="es-ES_tradnl"/>
        </w:rPr>
        <w:t xml:space="preserve"> […]</w:t>
      </w:r>
      <w:r w:rsidR="00F768FE">
        <w:rPr>
          <w:rFonts w:ascii="Arial" w:hAnsi="Arial" w:eastAsia="Times New Roman" w:cs="Arial"/>
          <w:lang w:eastAsia="es-ES_tradnl"/>
        </w:rPr>
        <w:t>».</w:t>
      </w:r>
    </w:p>
    <w:p w:rsidRPr="006D7E12" w:rsidR="00883C23" w:rsidP="005F4339" w:rsidRDefault="00883C23" w14:paraId="0D2D797C" w14:textId="77777777">
      <w:pPr>
        <w:tabs>
          <w:tab w:val="left" w:pos="426"/>
        </w:tabs>
        <w:spacing w:after="0" w:line="276" w:lineRule="auto"/>
        <w:contextualSpacing/>
        <w:jc w:val="both"/>
        <w:rPr>
          <w:rFonts w:ascii="Arial" w:hAnsi="Arial" w:eastAsia="Calibri" w:cs="Arial"/>
        </w:rPr>
      </w:pPr>
    </w:p>
    <w:bookmarkEnd w:id="9"/>
    <w:bookmarkEnd w:id="10"/>
    <w:p w:rsidRPr="006D7E12" w:rsidR="00883C23" w:rsidP="005F4339" w:rsidRDefault="00883C23" w14:paraId="249A34D5" w14:textId="77777777">
      <w:pPr>
        <w:tabs>
          <w:tab w:val="left" w:pos="284"/>
        </w:tabs>
        <w:spacing w:after="0" w:line="276" w:lineRule="auto"/>
        <w:contextualSpacing/>
        <w:jc w:val="both"/>
        <w:rPr>
          <w:rFonts w:ascii="Arial" w:hAnsi="Arial" w:eastAsia="Calibri" w:cs="Arial"/>
          <w:b/>
        </w:rPr>
      </w:pPr>
      <w:r w:rsidRPr="006D7E12">
        <w:rPr>
          <w:rFonts w:ascii="Arial" w:hAnsi="Arial" w:eastAsia="Calibri" w:cs="Arial"/>
          <w:b/>
        </w:rPr>
        <w:t>2. Consideraciones</w:t>
      </w:r>
    </w:p>
    <w:p w:rsidRPr="006D7E12" w:rsidR="00883C23" w:rsidP="005F4339" w:rsidRDefault="00883C23" w14:paraId="4AE99E5A" w14:textId="77777777">
      <w:pPr>
        <w:tabs>
          <w:tab w:val="left" w:pos="426"/>
        </w:tabs>
        <w:spacing w:after="0" w:line="276" w:lineRule="auto"/>
        <w:ind w:firstLine="709"/>
        <w:contextualSpacing/>
        <w:jc w:val="both"/>
        <w:rPr>
          <w:rFonts w:ascii="Arial" w:hAnsi="Arial" w:eastAsia="Calibri" w:cs="Arial"/>
          <w:bCs/>
        </w:rPr>
      </w:pPr>
    </w:p>
    <w:p w:rsidRPr="006D7E12" w:rsidR="00B64ACB" w:rsidP="009A4214" w:rsidRDefault="00B64ACB" w14:paraId="0A3FFB9D" w14:textId="5B147A33">
      <w:pPr>
        <w:spacing w:after="120" w:line="276" w:lineRule="auto"/>
        <w:jc w:val="both"/>
        <w:rPr>
          <w:rFonts w:ascii="Arial" w:hAnsi="Arial" w:cs="Arial"/>
          <w:lang w:val="es-ES"/>
        </w:rPr>
      </w:pPr>
      <w:bookmarkStart w:name="_Hlk96420693" w:id="11"/>
      <w:r w:rsidRPr="006D7E12">
        <w:rPr>
          <w:rFonts w:ascii="Arial" w:hAnsi="Arial" w:cs="Arial"/>
          <w:bCs/>
        </w:rPr>
        <w:lastRenderedPageBreak/>
        <w:t xml:space="preserve">En ejercicio de las competencias establecidas en los artículos 3.5 y 11.8 del Decreto 4170 de 2011, la Agencia Nacional de Contratación Pública – Colombia Compra Eficiente resuelve consultas sobre </w:t>
      </w:r>
      <w:r w:rsidRPr="006D7E12">
        <w:rPr>
          <w:rFonts w:ascii="Arial" w:hAnsi="Arial" w:cs="Arial"/>
          <w:lang w:val="es-ES"/>
        </w:rPr>
        <w:t xml:space="preserve">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2F060E">
        <w:rPr>
          <w:rFonts w:ascii="Arial" w:hAnsi="Arial" w:cs="Arial"/>
          <w:lang w:val="es-ES"/>
        </w:rPr>
        <w:t>concretos</w:t>
      </w:r>
      <w:r w:rsidRPr="006D7E12">
        <w:rPr>
          <w:rFonts w:ascii="Arial" w:hAnsi="Arial" w:cs="Arial"/>
          <w:bCs/>
        </w:rPr>
        <w:t xml:space="preserve"> de todos los partícipes de la contratación estatal</w:t>
      </w:r>
      <w:r w:rsidR="009A4214">
        <w:rPr>
          <w:rFonts w:ascii="Arial" w:hAnsi="Arial" w:cs="Arial"/>
          <w:bCs/>
        </w:rPr>
        <w:t>.</w:t>
      </w:r>
    </w:p>
    <w:p w:rsidR="00B64ACB" w:rsidP="00B64ACB" w:rsidRDefault="00B64ACB" w14:paraId="53A467B6" w14:textId="1DEBA3F6">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1"/>
      </w:r>
      <w:r w:rsidRPr="006D7E12">
        <w:rPr>
          <w:rFonts w:ascii="Arial" w:hAnsi="Arial" w:cs="Arial"/>
          <w:lang w:val="es-ES"/>
        </w:rPr>
        <w:t>. Esta competencia de interpretación de normas generales, por definición, no puede extenderse a la resolución de controversias</w:t>
      </w:r>
      <w:r w:rsidR="00642C80">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rsidRPr="00E714C0" w:rsidR="00E714C0" w:rsidP="00E714C0" w:rsidRDefault="00E714C0" w14:paraId="73FDD6FA" w14:textId="56451782">
      <w:pPr>
        <w:spacing w:before="120" w:line="276" w:lineRule="auto"/>
        <w:ind w:firstLine="708"/>
        <w:jc w:val="both"/>
        <w:rPr>
          <w:rFonts w:ascii="Arial" w:hAnsi="Arial" w:eastAsia="Calibri" w:cs="Arial"/>
          <w:color w:val="000000"/>
        </w:rPr>
      </w:pPr>
      <w:r>
        <w:rPr>
          <w:rFonts w:ascii="Arial" w:hAnsi="Arial" w:eastAsia="Calibri" w:cs="Arial"/>
          <w:bCs/>
          <w:color w:val="000000"/>
          <w:lang w:eastAsia="es-CO"/>
        </w:rPr>
        <w:t xml:space="preserve">Bajo estas consideraciones, corresponde a </w:t>
      </w:r>
      <w:r w:rsidRPr="00524963">
        <w:rPr>
          <w:rFonts w:ascii="Arial" w:hAnsi="Arial" w:eastAsia="Calibri" w:cs="Arial"/>
          <w:bCs/>
          <w:color w:val="000000"/>
          <w:lang w:eastAsia="es-CO"/>
        </w:rPr>
        <w:t>cada entidad pública, en ejercicio de su competencia y previa valoración de los elementos fácticos y jurídicos, determinar si</w:t>
      </w:r>
      <w:r>
        <w:rPr>
          <w:rFonts w:ascii="Arial" w:hAnsi="Arial" w:eastAsia="Calibri" w:cs="Arial"/>
          <w:bCs/>
          <w:color w:val="000000"/>
          <w:lang w:eastAsia="es-CO"/>
        </w:rPr>
        <w:t xml:space="preserve"> es procedente o no la celebración de un determinado contrato en específico. </w:t>
      </w:r>
      <w:r w:rsidRPr="00524963">
        <w:rPr>
          <w:rFonts w:ascii="Arial" w:hAnsi="Arial" w:eastAsia="Calibri" w:cs="Arial"/>
          <w:bCs/>
          <w:color w:val="000000"/>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hAnsi="Arial" w:eastAsia="Calibri" w:cs="Arial"/>
          <w:bCs/>
          <w:color w:val="000000"/>
          <w:lang w:eastAsia="es-CO"/>
        </w:rPr>
        <w:t>.</w:t>
      </w:r>
    </w:p>
    <w:p w:rsidRPr="006D7E12" w:rsidR="00EF6644" w:rsidP="003B045C" w:rsidRDefault="00B64ACB" w14:paraId="7FD6A583" w14:textId="1240F692">
      <w:pPr>
        <w:spacing w:after="120" w:line="276" w:lineRule="auto"/>
        <w:ind w:firstLine="708"/>
        <w:jc w:val="both"/>
        <w:rPr>
          <w:rFonts w:ascii="Arial" w:hAnsi="Arial" w:eastAsia="Calibri" w:cs="Arial"/>
          <w:szCs w:val="24"/>
          <w:lang w:eastAsia="es-ES_tradnl"/>
        </w:rPr>
      </w:pPr>
      <w:r w:rsidRPr="006D7E12">
        <w:rPr>
          <w:rFonts w:ascii="Arial" w:hAnsi="Arial" w:eastAsia="Calibri" w:cs="Arial"/>
        </w:rPr>
        <w:t xml:space="preserve">Sin perjuicio de lo anterior, </w:t>
      </w:r>
      <w:r w:rsidRPr="006D7E12">
        <w:rPr>
          <w:rFonts w:ascii="Arial" w:hAnsi="Arial" w:eastAsia="Calibri" w:cs="Arial"/>
          <w:lang w:val="es-ES"/>
        </w:rPr>
        <w:t xml:space="preserve">la Agencia –dentro de los límites de sus atribuciones, es decir, </w:t>
      </w:r>
      <w:bookmarkStart w:name="_Hlk61025408" w:id="12"/>
      <w:r w:rsidRPr="006D7E12">
        <w:rPr>
          <w:rFonts w:ascii="Arial" w:hAnsi="Arial" w:eastAsia="Calibri" w:cs="Arial"/>
          <w:lang w:val="es-ES"/>
        </w:rPr>
        <w:t xml:space="preserve">haciendo abstracción del caso particular </w:t>
      </w:r>
      <w:bookmarkEnd w:id="12"/>
      <w:r w:rsidRPr="006D7E12">
        <w:rPr>
          <w:rFonts w:ascii="Arial" w:hAnsi="Arial" w:eastAsia="Calibri" w:cs="Arial"/>
          <w:lang w:val="es-ES"/>
        </w:rPr>
        <w:t>expuesto en la petición– resolverá la consulta conforme a las normas generales</w:t>
      </w:r>
      <w:r w:rsidRPr="006D7E12" w:rsidR="00E11379">
        <w:rPr>
          <w:rFonts w:ascii="Arial" w:hAnsi="Arial" w:eastAsia="Calibri" w:cs="Arial"/>
          <w:lang w:val="es-ES"/>
        </w:rPr>
        <w:t xml:space="preserve"> del sistema de compras públicas. </w:t>
      </w:r>
      <w:r w:rsidRPr="006D7E12" w:rsidR="00A116E0">
        <w:rPr>
          <w:rFonts w:ascii="Arial" w:hAnsi="Arial" w:eastAsia="Calibri" w:cs="Arial"/>
          <w:lang w:val="es-ES"/>
        </w:rPr>
        <w:t xml:space="preserve">Con este objetivo se analizarán los siguientes temas: </w:t>
      </w:r>
      <w:r w:rsidRPr="006D7E12" w:rsidR="00A116E0">
        <w:rPr>
          <w:rFonts w:ascii="Arial" w:hAnsi="Arial" w:eastAsia="Calibri" w:cs="Arial"/>
          <w:bCs/>
        </w:rPr>
        <w:t xml:space="preserve">i) definición y finalidad de la Ley de Garantías Electorales, </w:t>
      </w:r>
      <w:proofErr w:type="spellStart"/>
      <w:r w:rsidRPr="006D7E12" w:rsidR="00A116E0">
        <w:rPr>
          <w:rFonts w:ascii="Arial" w:hAnsi="Arial" w:eastAsia="Calibri" w:cs="Arial"/>
          <w:bCs/>
        </w:rPr>
        <w:lastRenderedPageBreak/>
        <w:t>ii</w:t>
      </w:r>
      <w:proofErr w:type="spellEnd"/>
      <w:r w:rsidRPr="006D7E12" w:rsidR="00A116E0">
        <w:rPr>
          <w:rFonts w:ascii="Arial" w:hAnsi="Arial" w:eastAsia="Calibri" w:cs="Arial"/>
          <w:bCs/>
        </w:rPr>
        <w:t xml:space="preserve">) restricciones </w:t>
      </w:r>
      <w:r w:rsidRPr="006D7E12" w:rsidR="00A116E0">
        <w:rPr>
          <w:rFonts w:ascii="Arial" w:hAnsi="Arial" w:eastAsia="Calibri" w:cs="Arial"/>
          <w:bCs/>
          <w:lang w:val="es-MX"/>
        </w:rPr>
        <w:t>para elecciones presidenciales</w:t>
      </w:r>
      <w:r w:rsidR="00620D99">
        <w:rPr>
          <w:rFonts w:ascii="Arial" w:hAnsi="Arial" w:eastAsia="Calibri" w:cs="Arial"/>
          <w:bCs/>
          <w:lang w:val="es-MX"/>
        </w:rPr>
        <w:t xml:space="preserve"> y</w:t>
      </w:r>
      <w:r w:rsidRPr="006D7E12" w:rsidR="00A116E0">
        <w:rPr>
          <w:rFonts w:ascii="Arial" w:hAnsi="Arial" w:eastAsia="Calibri" w:cs="Arial"/>
          <w:bCs/>
          <w:lang w:val="es-MX"/>
        </w:rPr>
        <w:t xml:space="preserve"> </w:t>
      </w:r>
      <w:proofErr w:type="spellStart"/>
      <w:r w:rsidRPr="006D7E12" w:rsidR="00A116E0">
        <w:rPr>
          <w:rFonts w:ascii="Arial" w:hAnsi="Arial" w:eastAsia="Calibri" w:cs="Arial"/>
          <w:bCs/>
          <w:lang w:val="es-MX"/>
        </w:rPr>
        <w:t>iii</w:t>
      </w:r>
      <w:proofErr w:type="spellEnd"/>
      <w:r w:rsidRPr="006D7E12" w:rsidR="00A116E0">
        <w:rPr>
          <w:rFonts w:ascii="Arial" w:hAnsi="Arial" w:eastAsia="Calibri" w:cs="Arial"/>
          <w:bCs/>
          <w:lang w:val="es-MX"/>
        </w:rPr>
        <w:t>) destinatarios de la prohibición del artículo 33 de la Ley 996 de 2005</w:t>
      </w:r>
      <w:r w:rsidR="00620D99">
        <w:rPr>
          <w:rFonts w:ascii="Arial" w:hAnsi="Arial" w:eastAsia="Calibri" w:cs="Arial"/>
          <w:bCs/>
          <w:lang w:val="es-MX"/>
        </w:rPr>
        <w:t>.</w:t>
      </w:r>
    </w:p>
    <w:p w:rsidRPr="006D7E12" w:rsidR="00883C23" w:rsidP="00BE1101" w:rsidRDefault="00883C23" w14:paraId="0E1300EA" w14:textId="59F0C531">
      <w:pPr>
        <w:tabs>
          <w:tab w:val="left" w:pos="426"/>
        </w:tabs>
        <w:spacing w:after="0" w:line="276" w:lineRule="auto"/>
        <w:ind w:firstLine="709"/>
        <w:jc w:val="both"/>
        <w:rPr>
          <w:rFonts w:ascii="Arial" w:hAnsi="Arial" w:eastAsia="Calibri" w:cs="Arial"/>
          <w:bCs/>
        </w:rPr>
      </w:pPr>
      <w:r w:rsidRPr="006D7E12">
        <w:rPr>
          <w:rFonts w:ascii="Arial" w:hAnsi="Arial" w:eastAsia="Calibri"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w:t>
      </w:r>
      <w:r w:rsidRPr="006D7E12" w:rsidR="007C773C">
        <w:rPr>
          <w:rFonts w:ascii="Arial" w:hAnsi="Arial" w:eastAsia="Calibri" w:cs="Arial"/>
          <w:bCs/>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sidR="00C9763D">
        <w:rPr>
          <w:rFonts w:ascii="Arial" w:hAnsi="Arial" w:eastAsia="Calibri" w:cs="Arial"/>
          <w:bCs/>
        </w:rPr>
        <w:t xml:space="preserve">, </w:t>
      </w:r>
      <w:r w:rsidRPr="006D7E12" w:rsidR="007C773C">
        <w:rPr>
          <w:rFonts w:ascii="Arial" w:hAnsi="Arial" w:eastAsia="Calibri" w:cs="Arial"/>
          <w:bCs/>
        </w:rPr>
        <w:t>C-164 del 22 de marzo de 2022</w:t>
      </w:r>
      <w:r w:rsidR="00C9763D">
        <w:rPr>
          <w:rFonts w:ascii="Arial" w:hAnsi="Arial" w:eastAsia="Calibri" w:cs="Arial"/>
          <w:bCs/>
        </w:rPr>
        <w:t xml:space="preserve"> y C-</w:t>
      </w:r>
      <w:r w:rsidR="0016368B">
        <w:rPr>
          <w:rFonts w:ascii="Arial" w:hAnsi="Arial" w:eastAsia="Calibri" w:cs="Arial"/>
          <w:bCs/>
        </w:rPr>
        <w:t xml:space="preserve">172 del </w:t>
      </w:r>
      <w:r w:rsidR="00D64882">
        <w:rPr>
          <w:rFonts w:ascii="Arial" w:hAnsi="Arial" w:eastAsia="Calibri" w:cs="Arial"/>
          <w:bCs/>
        </w:rPr>
        <w:t>7 de abril de 2022</w:t>
      </w:r>
      <w:r w:rsidRPr="006D7E12" w:rsidR="007C773C">
        <w:rPr>
          <w:rFonts w:ascii="Arial" w:hAnsi="Arial" w:eastAsia="Calibri" w:cs="Arial"/>
          <w:bCs/>
        </w:rPr>
        <w:t xml:space="preserve">. </w:t>
      </w:r>
      <w:r w:rsidRPr="006D7E12">
        <w:rPr>
          <w:rFonts w:ascii="Arial" w:hAnsi="Arial" w:eastAsia="Calibri" w:cs="Arial"/>
          <w:bCs/>
        </w:rPr>
        <w:t>La tesis desarrollada en estos conceptos se reitera y complementa a continuación:</w:t>
      </w:r>
    </w:p>
    <w:bookmarkEnd w:id="11"/>
    <w:p w:rsidRPr="006D7E12" w:rsidR="00883C23" w:rsidP="00883C23" w:rsidRDefault="00883C23" w14:paraId="0A16D86B" w14:textId="77777777">
      <w:pPr>
        <w:tabs>
          <w:tab w:val="left" w:pos="426"/>
        </w:tabs>
        <w:spacing w:after="0" w:line="276" w:lineRule="auto"/>
        <w:ind w:firstLine="709"/>
        <w:contextualSpacing/>
        <w:jc w:val="both"/>
        <w:rPr>
          <w:rFonts w:ascii="Arial" w:hAnsi="Arial" w:eastAsia="Calibri" w:cs="Arial"/>
          <w:b/>
          <w:bCs/>
        </w:rPr>
      </w:pPr>
    </w:p>
    <w:p w:rsidRPr="006D7E12" w:rsidR="00883C23" w:rsidP="00883C23" w:rsidRDefault="00883C23" w14:paraId="29793852" w14:textId="77777777">
      <w:pPr>
        <w:tabs>
          <w:tab w:val="left" w:pos="426"/>
        </w:tabs>
        <w:spacing w:after="0" w:line="276" w:lineRule="auto"/>
        <w:contextualSpacing/>
        <w:jc w:val="both"/>
        <w:rPr>
          <w:rFonts w:ascii="Arial" w:hAnsi="Arial" w:eastAsia="Calibri" w:cs="Arial"/>
          <w:b/>
          <w:bCs/>
        </w:rPr>
      </w:pPr>
      <w:r w:rsidRPr="006D7E12">
        <w:rPr>
          <w:rFonts w:ascii="Arial" w:hAnsi="Arial" w:eastAsia="Calibri" w:cs="Arial"/>
          <w:b/>
          <w:bCs/>
        </w:rPr>
        <w:lastRenderedPageBreak/>
        <w:t>2.1. Definición y finalidad de la Ley de Garantías Electorales: alcance de las restricciones</w:t>
      </w:r>
    </w:p>
    <w:p w:rsidRPr="006D7E12" w:rsidR="00883C23" w:rsidP="00883C23" w:rsidRDefault="00883C23" w14:paraId="2A726527" w14:textId="77777777">
      <w:pPr>
        <w:tabs>
          <w:tab w:val="left" w:pos="426"/>
        </w:tabs>
        <w:spacing w:after="0" w:line="276" w:lineRule="auto"/>
        <w:ind w:firstLine="709"/>
        <w:contextualSpacing/>
        <w:jc w:val="both"/>
        <w:rPr>
          <w:rFonts w:ascii="Arial" w:hAnsi="Arial" w:eastAsia="Calibri" w:cs="Arial"/>
          <w:bCs/>
        </w:rPr>
      </w:pPr>
    </w:p>
    <w:p w:rsidRPr="006D7E12" w:rsidR="00883C23" w:rsidP="00883C23" w:rsidRDefault="00883C23" w14:paraId="019F47F6" w14:textId="5528384D">
      <w:pPr>
        <w:tabs>
          <w:tab w:val="left" w:pos="426"/>
        </w:tabs>
        <w:spacing w:after="120" w:line="276" w:lineRule="auto"/>
        <w:jc w:val="both"/>
        <w:rPr>
          <w:rFonts w:ascii="Arial" w:hAnsi="Arial" w:eastAsia="Times New Roman" w:cs="Arial"/>
          <w:bCs/>
          <w:lang w:eastAsia="es-CO"/>
        </w:rPr>
      </w:pPr>
      <w:r w:rsidRPr="006D7E12">
        <w:rPr>
          <w:rFonts w:ascii="Arial" w:hAnsi="Arial" w:eastAsia="Calibri" w:cs="Arial"/>
          <w:bCs/>
        </w:rPr>
        <w:t>El ordenamiento jurídico colombiano contempla previsiones claras para evitar la obtención de beneficios personales en asuntos propios de la administración pública</w:t>
      </w:r>
      <w:r w:rsidRPr="006D7E12">
        <w:rPr>
          <w:rFonts w:ascii="Arial" w:hAnsi="Arial" w:eastAsia="Calibri" w:cs="Arial"/>
          <w:bCs/>
          <w:i/>
          <w:iCs/>
        </w:rPr>
        <w:t xml:space="preserve">. </w:t>
      </w:r>
      <w:r w:rsidRPr="006D7E12">
        <w:rPr>
          <w:rFonts w:ascii="Arial" w:hAnsi="Arial" w:eastAsia="Calibri" w:cs="Arial"/>
          <w:bCs/>
        </w:rPr>
        <w:t xml:space="preserve">Por ejemplo, el artículo 127 de la Constitución Política establece una prohibición contractual a los servidores públicos y en cuanto a aspectos políticos </w:t>
      </w:r>
      <w:r w:rsidRPr="006D7E12" w:rsidR="004916F0">
        <w:rPr>
          <w:rFonts w:ascii="Arial" w:hAnsi="Arial" w:eastAsia="Calibri" w:cs="Arial"/>
          <w:bCs/>
        </w:rPr>
        <w:t>consagra</w:t>
      </w:r>
      <w:r w:rsidRPr="006D7E12">
        <w:rPr>
          <w:rFonts w:ascii="Arial" w:hAnsi="Arial" w:eastAsia="Calibri" w:cs="Arial"/>
          <w:bCs/>
        </w:rPr>
        <w:t xml:space="preserve"> restricciones a ciertos empleados del Estado, incluso en época no electoral</w:t>
      </w:r>
      <w:r w:rsidRPr="006D7E12">
        <w:rPr>
          <w:rFonts w:ascii="Arial" w:hAnsi="Arial" w:eastAsia="Calibri" w:cs="Arial"/>
          <w:bCs/>
          <w:vertAlign w:val="superscript"/>
        </w:rPr>
        <w:footnoteReference w:id="2"/>
      </w:r>
      <w:r w:rsidRPr="006D7E12">
        <w:rPr>
          <w:rFonts w:ascii="Arial" w:hAnsi="Arial" w:eastAsia="Calibri" w:cs="Arial"/>
          <w:bCs/>
        </w:rPr>
        <w:t xml:space="preserve">. </w:t>
      </w:r>
    </w:p>
    <w:p w:rsidRPr="006D7E12" w:rsidR="00883C23" w:rsidP="00883C23" w:rsidRDefault="00883C23" w14:paraId="56986416" w14:textId="77777777">
      <w:pPr>
        <w:tabs>
          <w:tab w:val="left" w:pos="426"/>
        </w:tabs>
        <w:spacing w:after="0" w:line="276" w:lineRule="auto"/>
        <w:ind w:firstLine="709"/>
        <w:jc w:val="both"/>
        <w:rPr>
          <w:rFonts w:ascii="Arial" w:hAnsi="Arial" w:eastAsia="Times New Roman" w:cs="Arial"/>
          <w:bCs/>
          <w:lang w:val="es-MX" w:eastAsia="es-CO"/>
        </w:rPr>
      </w:pPr>
      <w:r w:rsidRPr="006D7E12">
        <w:rPr>
          <w:rFonts w:ascii="Arial" w:hAnsi="Arial" w:eastAsia="Times New Roman" w:cs="Arial"/>
          <w:bCs/>
          <w:lang w:eastAsia="es-CO"/>
        </w:rPr>
        <w:t>En el mismo sentido</w:t>
      </w:r>
      <w:r w:rsidRPr="006D7E12">
        <w:rPr>
          <w:rFonts w:ascii="Arial" w:hAnsi="Arial" w:eastAsia="Times New Roman" w:cs="Arial"/>
          <w:bCs/>
          <w:lang w:val="es-MX" w:eastAsia="es-CO"/>
        </w:rPr>
        <w:t xml:space="preserve">, </w:t>
      </w:r>
      <w:bookmarkStart w:name="_Hlk99576829" w:id="13"/>
      <w:r w:rsidRPr="006D7E12">
        <w:rPr>
          <w:rFonts w:ascii="Arial" w:hAnsi="Arial" w:eastAsia="Times New Roman"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D7E12">
        <w:rPr>
          <w:rFonts w:ascii="Arial" w:hAnsi="Arial" w:eastAsia="Times New Roman" w:cs="Arial"/>
          <w:bCs/>
          <w:vertAlign w:val="superscript"/>
          <w:lang w:val="es-MX" w:eastAsia="es-CO"/>
        </w:rPr>
        <w:footnoteReference w:id="3"/>
      </w:r>
      <w:r w:rsidRPr="006D7E12">
        <w:rPr>
          <w:rFonts w:ascii="Arial" w:hAnsi="Arial" w:eastAsia="Times New Roman"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6D7E12">
        <w:rPr>
          <w:rFonts w:ascii="Arial" w:hAnsi="Arial" w:eastAsia="Calibri" w:cs="Arial"/>
          <w:noProof/>
          <w:lang w:val="es-ES_tradnl"/>
        </w:rPr>
        <w:t xml:space="preserve"> </w:t>
      </w:r>
      <w:bookmarkEnd w:id="13"/>
      <w:r w:rsidRPr="006D7E12">
        <w:rPr>
          <w:rFonts w:ascii="Arial" w:hAnsi="Arial" w:eastAsia="Times New Roman" w:cs="Arial"/>
          <w:bCs/>
          <w:lang w:val="es-MX" w:eastAsia="es-CO"/>
        </w:rPr>
        <w:t>En armonía con lo anterior, la Corte Constitucional ha abordado la definición de la Ley de Garantías Electorales. De esta manera, explica que tiene como propósito:</w:t>
      </w:r>
    </w:p>
    <w:p w:rsidRPr="006D7E12" w:rsidR="00883C23" w:rsidP="00FF661D" w:rsidRDefault="00883C23" w14:paraId="2F4470EB" w14:textId="77777777">
      <w:pPr>
        <w:spacing w:after="0" w:line="276" w:lineRule="auto"/>
        <w:ind w:right="709"/>
        <w:contextualSpacing/>
        <w:jc w:val="both"/>
        <w:rPr>
          <w:rFonts w:ascii="Arial" w:hAnsi="Arial" w:eastAsia="Times New Roman" w:cs="Arial"/>
          <w:sz w:val="21"/>
          <w:szCs w:val="21"/>
          <w:lang w:val="es-ES" w:eastAsia="es-CO"/>
        </w:rPr>
      </w:pPr>
    </w:p>
    <w:p w:rsidRPr="006D7E12" w:rsidR="00FF661D" w:rsidRDefault="00883C23" w14:paraId="692F06F5" w14:textId="6E7BB27D">
      <w:pPr>
        <w:spacing w:after="0" w:line="240" w:lineRule="auto"/>
        <w:ind w:left="709" w:right="709"/>
        <w:contextualSpacing/>
        <w:jc w:val="both"/>
        <w:rPr>
          <w:rFonts w:ascii="Arial" w:hAnsi="Arial" w:eastAsia="Times New Roman" w:cs="Arial"/>
          <w:bCs/>
          <w:sz w:val="21"/>
          <w:szCs w:val="21"/>
          <w:lang w:val="es-MX" w:eastAsia="es-CO"/>
        </w:rPr>
      </w:pPr>
      <w:r w:rsidRPr="006D7E12">
        <w:rPr>
          <w:rFonts w:ascii="Arial" w:hAnsi="Arial" w:eastAsia="Times New Roman" w:cs="Arial"/>
          <w:sz w:val="21"/>
          <w:szCs w:val="21"/>
          <w:lang w:val="es-ES" w:eastAsia="es-CO"/>
        </w:rPr>
        <w:t xml:space="preserve">[…] </w:t>
      </w:r>
      <w:r w:rsidRPr="006D7E12">
        <w:rPr>
          <w:rFonts w:ascii="Arial" w:hAnsi="Arial" w:eastAsia="Times New Roman"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6D7E12" w:rsidR="00883C23" w:rsidP="00FF661D" w:rsidRDefault="00883C23" w14:paraId="4E720956" w14:textId="22DF3CDF">
      <w:pPr>
        <w:spacing w:after="0" w:line="240" w:lineRule="auto"/>
        <w:ind w:left="709" w:right="709"/>
        <w:contextualSpacing/>
        <w:jc w:val="both"/>
        <w:rPr>
          <w:rFonts w:ascii="Arial" w:hAnsi="Arial" w:eastAsia="Times New Roman" w:cs="Arial"/>
          <w:bCs/>
          <w:sz w:val="21"/>
          <w:szCs w:val="21"/>
          <w:lang w:val="es-MX" w:eastAsia="es-CO"/>
        </w:rPr>
      </w:pPr>
      <w:r w:rsidRPr="006D7E12">
        <w:rPr>
          <w:rFonts w:ascii="Arial" w:hAnsi="Arial" w:eastAsia="Times New Roman" w:cs="Arial"/>
          <w:bCs/>
          <w:sz w:val="21"/>
          <w:szCs w:val="21"/>
          <w:lang w:val="es-MX" w:eastAsia="es-CO"/>
        </w:rPr>
        <w:t xml:space="preserve">[…] </w:t>
      </w:r>
    </w:p>
    <w:p w:rsidRPr="006D7E12" w:rsidR="00FF661D" w:rsidP="00BE1101" w:rsidRDefault="00FF661D" w14:paraId="23912079" w14:textId="77777777">
      <w:pPr>
        <w:spacing w:after="0" w:line="240" w:lineRule="auto"/>
        <w:ind w:right="709"/>
        <w:contextualSpacing/>
        <w:jc w:val="both"/>
        <w:rPr>
          <w:rFonts w:ascii="Arial" w:hAnsi="Arial" w:eastAsia="Times New Roman" w:cs="Arial"/>
          <w:bCs/>
          <w:sz w:val="21"/>
          <w:szCs w:val="21"/>
          <w:lang w:val="es-MX" w:eastAsia="es-CO"/>
        </w:rPr>
      </w:pPr>
    </w:p>
    <w:p w:rsidRPr="006D7E12" w:rsidR="00883C23" w:rsidP="00FF661D" w:rsidRDefault="00883C23" w14:paraId="07DD05FB" w14:textId="4C2ADDF0">
      <w:pPr>
        <w:spacing w:after="0" w:line="240" w:lineRule="auto"/>
        <w:ind w:left="709" w:right="709"/>
        <w:contextualSpacing/>
        <w:jc w:val="both"/>
        <w:rPr>
          <w:rFonts w:ascii="Arial" w:hAnsi="Arial" w:eastAsia="Times New Roman" w:cs="Arial"/>
          <w:bCs/>
          <w:sz w:val="21"/>
          <w:szCs w:val="21"/>
          <w:lang w:val="es-MX" w:eastAsia="es-CO"/>
        </w:rPr>
      </w:pPr>
      <w:r w:rsidRPr="006D7E12">
        <w:rPr>
          <w:rFonts w:ascii="Arial" w:hAnsi="Arial" w:eastAsia="Times New Roman" w:cs="Arial"/>
          <w:bCs/>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w:t>
      </w:r>
      <w:r w:rsidRPr="006D7E12">
        <w:rPr>
          <w:rFonts w:ascii="Arial" w:hAnsi="Arial" w:eastAsia="Times New Roman" w:cs="Arial"/>
          <w:bCs/>
          <w:sz w:val="21"/>
          <w:szCs w:val="21"/>
          <w:lang w:val="es-MX" w:eastAsia="es-CO"/>
        </w:rPr>
        <w:lastRenderedPageBreak/>
        <w:t>que, en el debate democrático, sean las ideas y las propuestas las que definan el ascenso al poder, y no el músculo económico de los que se lo disputan.</w:t>
      </w:r>
      <w:r w:rsidRPr="006D7E12">
        <w:rPr>
          <w:rFonts w:ascii="Arial" w:hAnsi="Arial" w:eastAsia="Calibri" w:cs="Arial"/>
          <w:sz w:val="20"/>
          <w:szCs w:val="20"/>
          <w:vertAlign w:val="superscript"/>
          <w:lang w:val="es-MX"/>
        </w:rPr>
        <w:footnoteReference w:id="4"/>
      </w:r>
    </w:p>
    <w:p w:rsidRPr="006D7E12" w:rsidR="00883C23" w:rsidP="00FF661D" w:rsidRDefault="00883C23" w14:paraId="453B2A93" w14:textId="77777777">
      <w:pPr>
        <w:spacing w:after="0" w:line="276" w:lineRule="auto"/>
        <w:ind w:left="709" w:right="709"/>
        <w:contextualSpacing/>
        <w:jc w:val="both"/>
        <w:rPr>
          <w:rFonts w:ascii="Arial" w:hAnsi="Arial" w:eastAsia="Times New Roman" w:cs="Arial"/>
          <w:bCs/>
          <w:sz w:val="21"/>
          <w:szCs w:val="21"/>
          <w:lang w:val="es-MX" w:eastAsia="es-CO"/>
        </w:rPr>
      </w:pPr>
    </w:p>
    <w:p w:rsidRPr="006D7E12" w:rsidR="00883C23" w:rsidP="00883C23" w:rsidRDefault="00883C23" w14:paraId="09DD32AE" w14:textId="1A7B6457">
      <w:pPr>
        <w:spacing w:after="0" w:line="276" w:lineRule="auto"/>
        <w:ind w:firstLine="709"/>
        <w:jc w:val="both"/>
        <w:rPr>
          <w:rFonts w:ascii="Arial" w:hAnsi="Arial" w:eastAsia="Times New Roman" w:cs="Arial"/>
          <w:bCs/>
          <w:lang w:val="es-MX" w:eastAsia="es-CO"/>
        </w:rPr>
      </w:pPr>
      <w:bookmarkStart w:name="_Hlk78818186" w:id="14"/>
      <w:r w:rsidRPr="006D7E12">
        <w:rPr>
          <w:rFonts w:ascii="Arial" w:hAnsi="Arial" w:eastAsia="Times New Roman"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4"/>
      <w:r w:rsidRPr="006D7E12">
        <w:rPr>
          <w:rFonts w:ascii="Arial" w:hAnsi="Arial" w:eastAsia="Times New Roman"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w:t>
      </w:r>
      <w:r w:rsidRPr="006D7E12" w:rsidR="00C0768B">
        <w:rPr>
          <w:rFonts w:ascii="Arial" w:hAnsi="Arial" w:eastAsia="Times New Roman" w:cs="Arial"/>
          <w:bCs/>
          <w:lang w:val="es-MX" w:eastAsia="es-CO"/>
        </w:rPr>
        <w:t xml:space="preserve">, </w:t>
      </w:r>
      <w:r w:rsidRPr="006D7E12">
        <w:rPr>
          <w:rFonts w:ascii="Arial" w:hAnsi="Arial" w:eastAsia="Times New Roman" w:cs="Arial"/>
          <w:bCs/>
          <w:lang w:val="es-MX" w:eastAsia="es-CO"/>
        </w:rPr>
        <w:t>precisó lo siguiente:</w:t>
      </w:r>
    </w:p>
    <w:p w:rsidRPr="006D7E12" w:rsidR="00883C23" w:rsidP="00AC7ED9" w:rsidRDefault="00883C23" w14:paraId="05EDF88F" w14:textId="77777777">
      <w:pPr>
        <w:spacing w:after="0" w:line="276" w:lineRule="auto"/>
        <w:ind w:firstLine="709"/>
        <w:contextualSpacing/>
        <w:jc w:val="both"/>
        <w:rPr>
          <w:rFonts w:ascii="Arial" w:hAnsi="Arial" w:eastAsia="Times New Roman" w:cs="Arial"/>
          <w:bCs/>
          <w:lang w:val="es-MX" w:eastAsia="es-CO"/>
        </w:rPr>
      </w:pPr>
    </w:p>
    <w:p w:rsidRPr="006D7E12" w:rsidR="00883C23" w:rsidP="00AC7ED9" w:rsidRDefault="00883C23" w14:paraId="15653408" w14:textId="77777777">
      <w:pPr>
        <w:spacing w:after="0" w:line="240" w:lineRule="auto"/>
        <w:ind w:left="709" w:right="709"/>
        <w:contextualSpacing/>
        <w:jc w:val="both"/>
        <w:rPr>
          <w:rFonts w:ascii="Arial" w:hAnsi="Arial" w:eastAsia="Times New Roman" w:cs="Arial"/>
          <w:bCs/>
          <w:sz w:val="21"/>
          <w:szCs w:val="21"/>
          <w:lang w:val="es-MX" w:eastAsia="es-CO"/>
        </w:rPr>
      </w:pPr>
      <w:r w:rsidRPr="006D7E12">
        <w:rPr>
          <w:rFonts w:ascii="Arial" w:hAnsi="Arial" w:eastAsia="Times New Roman"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D7E12">
        <w:rPr>
          <w:rFonts w:ascii="Arial" w:hAnsi="Arial" w:eastAsia="Times New Roman" w:cs="Arial"/>
          <w:bCs/>
          <w:sz w:val="21"/>
          <w:szCs w:val="21"/>
          <w:lang w:val="es-MX" w:eastAsia="es-CO"/>
        </w:rPr>
        <w:t>legis</w:t>
      </w:r>
      <w:proofErr w:type="spellEnd"/>
      <w:r w:rsidRPr="006D7E12">
        <w:rPr>
          <w:rFonts w:ascii="Arial" w:hAnsi="Arial" w:eastAsia="Times New Roman"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6D7E12" w:rsidR="00AC7ED9" w:rsidP="00AC7ED9" w:rsidRDefault="00AC7ED9" w14:paraId="74C1990E" w14:textId="77777777">
      <w:pPr>
        <w:spacing w:after="0" w:line="240" w:lineRule="auto"/>
        <w:ind w:left="709" w:right="709"/>
        <w:contextualSpacing/>
        <w:jc w:val="both"/>
        <w:rPr>
          <w:rFonts w:ascii="Arial" w:hAnsi="Arial" w:eastAsia="Times New Roman" w:cs="Arial"/>
          <w:bCs/>
          <w:sz w:val="21"/>
          <w:szCs w:val="21"/>
          <w:lang w:val="es-MX" w:eastAsia="es-CO"/>
        </w:rPr>
      </w:pPr>
    </w:p>
    <w:p w:rsidRPr="006D7E12" w:rsidR="00883C23" w:rsidP="00AC7ED9" w:rsidRDefault="00883C23" w14:paraId="6689E594" w14:textId="47070E6F">
      <w:pPr>
        <w:spacing w:after="0" w:line="240" w:lineRule="auto"/>
        <w:ind w:left="709" w:right="709"/>
        <w:contextualSpacing/>
        <w:jc w:val="both"/>
        <w:rPr>
          <w:rFonts w:ascii="Arial" w:hAnsi="Arial" w:eastAsia="Times New Roman" w:cs="Arial"/>
          <w:bCs/>
          <w:sz w:val="21"/>
          <w:szCs w:val="21"/>
          <w:lang w:val="es-MX" w:eastAsia="es-CO"/>
        </w:rPr>
      </w:pPr>
      <w:r w:rsidRPr="006D7E12">
        <w:rPr>
          <w:rFonts w:ascii="Arial" w:hAnsi="Arial" w:eastAsia="Times New Roman" w:cs="Arial"/>
          <w:bCs/>
          <w:sz w:val="21"/>
          <w:szCs w:val="21"/>
          <w:lang w:val="es-MX" w:eastAsia="es-CO"/>
        </w:rPr>
        <w:t>La jurisprudencia de la Corte Constitucional</w:t>
      </w:r>
      <w:r w:rsidRPr="006D7E12">
        <w:rPr>
          <w:rFonts w:ascii="Arial" w:hAnsi="Arial" w:eastAsia="Times New Roman" w:cs="Arial"/>
          <w:bCs/>
          <w:sz w:val="21"/>
          <w:szCs w:val="21"/>
          <w:vertAlign w:val="superscript"/>
          <w:lang w:val="es-MX" w:eastAsia="es-CO"/>
        </w:rPr>
        <w:footnoteReference w:id="5"/>
      </w:r>
      <w:r w:rsidRPr="006D7E12">
        <w:rPr>
          <w:rFonts w:ascii="Arial" w:hAnsi="Arial" w:eastAsia="Times New Roman" w:cs="Arial"/>
          <w:bCs/>
          <w:sz w:val="21"/>
          <w:szCs w:val="21"/>
          <w:lang w:val="es-MX" w:eastAsia="es-CO"/>
        </w:rPr>
        <w:t> y del Consejo de Estado</w:t>
      </w:r>
      <w:r w:rsidRPr="006D7E12">
        <w:rPr>
          <w:rFonts w:ascii="Arial" w:hAnsi="Arial" w:eastAsia="Times New Roman" w:cs="Arial"/>
          <w:bCs/>
          <w:sz w:val="21"/>
          <w:szCs w:val="21"/>
          <w:vertAlign w:val="superscript"/>
          <w:lang w:val="es-MX" w:eastAsia="es-CO"/>
        </w:rPr>
        <w:footnoteReference w:id="6"/>
      </w:r>
      <w:r w:rsidRPr="006D7E12">
        <w:rPr>
          <w:rFonts w:ascii="Arial" w:hAnsi="Arial" w:eastAsia="Times New Roman"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D7E12">
        <w:rPr>
          <w:rFonts w:ascii="Arial" w:hAnsi="Arial" w:eastAsia="Times New Roman" w:cs="Arial"/>
          <w:bCs/>
          <w:vertAlign w:val="superscript"/>
          <w:lang w:val="es-MX" w:eastAsia="es-CO"/>
        </w:rPr>
        <w:footnoteReference w:id="7"/>
      </w:r>
      <w:r w:rsidRPr="006D7E12">
        <w:rPr>
          <w:rFonts w:ascii="Arial" w:hAnsi="Arial" w:eastAsia="Times New Roman" w:cs="Arial"/>
          <w:bCs/>
          <w:sz w:val="21"/>
          <w:szCs w:val="21"/>
          <w:lang w:val="es-MX" w:eastAsia="es-CO"/>
        </w:rPr>
        <w:t>.</w:t>
      </w:r>
    </w:p>
    <w:p w:rsidRPr="006D7E12" w:rsidR="00883C23" w:rsidP="00AC7ED9" w:rsidRDefault="00883C23" w14:paraId="53395454" w14:textId="77777777">
      <w:pPr>
        <w:spacing w:after="0" w:line="276" w:lineRule="auto"/>
        <w:ind w:right="709"/>
        <w:contextualSpacing/>
        <w:jc w:val="both"/>
        <w:rPr>
          <w:rFonts w:ascii="Arial" w:hAnsi="Arial" w:eastAsia="Times New Roman" w:cs="Arial"/>
          <w:bCs/>
          <w:sz w:val="21"/>
          <w:szCs w:val="21"/>
          <w:lang w:val="es-MX" w:eastAsia="es-CO"/>
        </w:rPr>
      </w:pPr>
    </w:p>
    <w:p w:rsidRPr="006D7E12" w:rsidR="00883C23" w:rsidP="00883C23" w:rsidRDefault="00883C23" w14:paraId="5964F421" w14:textId="4937F5BE">
      <w:pPr>
        <w:spacing w:after="120" w:line="276" w:lineRule="auto"/>
        <w:jc w:val="both"/>
        <w:rPr>
          <w:rFonts w:ascii="Arial" w:hAnsi="Arial" w:eastAsia="Arial" w:cs="Arial"/>
          <w:lang w:val="es-ES" w:eastAsia="es-ES" w:bidi="es-ES"/>
        </w:rPr>
      </w:pPr>
      <w:r w:rsidRPr="006D7E12">
        <w:rPr>
          <w:rFonts w:ascii="Arial" w:hAnsi="Arial" w:eastAsia="Times New Roman" w:cs="Arial"/>
          <w:bCs/>
          <w:lang w:val="es-MX" w:eastAsia="es-CO"/>
        </w:rPr>
        <w:tab/>
      </w:r>
      <w:r w:rsidRPr="006D7E12">
        <w:rPr>
          <w:rFonts w:ascii="Arial" w:hAnsi="Arial" w:eastAsia="Times New Roman" w:cs="Arial"/>
          <w:bCs/>
          <w:lang w:val="es-MX" w:eastAsia="es-CO"/>
        </w:rPr>
        <w:t>De</w:t>
      </w:r>
      <w:r w:rsidRPr="006D7E12">
        <w:rPr>
          <w:rFonts w:ascii="Arial" w:hAnsi="Arial" w:eastAsia="Arial" w:cs="Arial"/>
          <w:lang w:val="es-ES" w:eastAsia="es-ES" w:bidi="es-ES"/>
        </w:rPr>
        <w:t xml:space="preserve"> conformidad con lo anterior, </w:t>
      </w:r>
      <w:bookmarkStart w:name="_Hlk77236098" w:id="15"/>
      <w:bookmarkStart w:name="_Hlk100679383" w:id="16"/>
      <w:r w:rsidRPr="006D7E12">
        <w:rPr>
          <w:rFonts w:ascii="Arial" w:hAnsi="Arial" w:eastAsia="Arial" w:cs="Arial"/>
          <w:lang w:val="es-ES" w:eastAsia="es-ES" w:bidi="es-ES"/>
        </w:rPr>
        <w:t xml:space="preserve">la Ley de Garantías Electorales fijó una serie de regulaciones y prohibiciones dirigidas a los servidores públicos. </w:t>
      </w:r>
      <w:r w:rsidRPr="006D7E12" w:rsidR="00244B1C">
        <w:rPr>
          <w:rFonts w:ascii="Arial" w:hAnsi="Arial" w:eastAsia="Arial" w:cs="Arial"/>
          <w:lang w:val="es-ES" w:eastAsia="es-ES" w:bidi="es-ES"/>
        </w:rPr>
        <w:t>C</w:t>
      </w:r>
      <w:r w:rsidRPr="006D7E12">
        <w:rPr>
          <w:rFonts w:ascii="Arial" w:hAnsi="Arial" w:eastAsia="Arial" w:cs="Arial"/>
          <w:lang w:val="es-ES" w:eastAsia="es-ES" w:bidi="es-ES"/>
        </w:rPr>
        <w:t xml:space="preserve">on la finalidad de preservar </w:t>
      </w:r>
      <w:r w:rsidRPr="006D7E12">
        <w:rPr>
          <w:rFonts w:ascii="Arial" w:hAnsi="Arial" w:eastAsia="Arial" w:cs="Arial"/>
          <w:lang w:val="es-ES" w:eastAsia="es-ES" w:bidi="es-ES"/>
        </w:rPr>
        <w:lastRenderedPageBreak/>
        <w:t>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5"/>
    </w:p>
    <w:p w:rsidRPr="006D7E12" w:rsidR="00883C23" w:rsidP="00883C23" w:rsidRDefault="00883C23" w14:paraId="10F6791F" w14:textId="77777777">
      <w:pPr>
        <w:spacing w:after="120" w:line="276" w:lineRule="auto"/>
        <w:ind w:firstLine="708"/>
        <w:jc w:val="both"/>
        <w:rPr>
          <w:rFonts w:ascii="Arial" w:hAnsi="Arial" w:eastAsia="Calibri" w:cs="Arial"/>
        </w:rPr>
      </w:pPr>
      <w:r w:rsidRPr="006D7E12">
        <w:rPr>
          <w:rFonts w:ascii="Arial" w:hAnsi="Arial" w:eastAsia="Calibri" w:cs="Arial"/>
        </w:rPr>
        <w:t xml:space="preserve">Por un lado, el artículo 33 de la Ley 996 de 2005 prohíbe </w:t>
      </w:r>
      <w:r w:rsidRPr="006D7E12">
        <w:rPr>
          <w:rFonts w:ascii="Arial" w:hAnsi="Arial" w:eastAsia="Calibri" w:cs="Arial"/>
          <w:bCs/>
        </w:rPr>
        <w:t xml:space="preserve">«[…] </w:t>
      </w:r>
      <w:r w:rsidRPr="006D7E12">
        <w:rPr>
          <w:rFonts w:ascii="Arial" w:hAnsi="Arial" w:eastAsia="Calibri" w:cs="Arial"/>
        </w:rPr>
        <w:t>la contratación directa por parte de todos los entes del Estado</w:t>
      </w:r>
      <w:r w:rsidRPr="006D7E12">
        <w:rPr>
          <w:rFonts w:ascii="Arial" w:hAnsi="Arial" w:eastAsia="Calibri" w:cs="Arial"/>
          <w:bCs/>
        </w:rPr>
        <w:t>»</w:t>
      </w:r>
      <w:r w:rsidRPr="006D7E12">
        <w:rPr>
          <w:rFonts w:ascii="Arial" w:hAnsi="Arial" w:eastAsia="Calibri" w:cs="Arial"/>
        </w:rPr>
        <w:t xml:space="preserve"> durante los cuatro (4) meses anteriores a las elecciones presidenciales, salvo </w:t>
      </w:r>
      <w:r w:rsidRPr="006D7E12">
        <w:rPr>
          <w:rFonts w:ascii="Arial" w:hAnsi="Arial" w:eastAsia="Calibri" w:cs="Arial"/>
          <w:bCs/>
        </w:rPr>
        <w:t xml:space="preserve">«[…] </w:t>
      </w:r>
      <w:r w:rsidRPr="006D7E12">
        <w:rPr>
          <w:rFonts w:ascii="Arial" w:hAnsi="Arial"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D7E12">
        <w:rPr>
          <w:rFonts w:ascii="Arial" w:hAnsi="Arial" w:eastAsia="Calibri" w:cs="Arial"/>
          <w:bCs/>
        </w:rPr>
        <w:t>»</w:t>
      </w:r>
      <w:r w:rsidRPr="006D7E12">
        <w:rPr>
          <w:rFonts w:ascii="Arial" w:hAnsi="Arial" w:eastAsia="Calibri" w:cs="Arial"/>
          <w:bCs/>
          <w:vertAlign w:val="superscript"/>
        </w:rPr>
        <w:footnoteReference w:id="8"/>
      </w:r>
      <w:r w:rsidRPr="006D7E12">
        <w:rPr>
          <w:rFonts w:ascii="Arial" w:hAnsi="Arial" w:eastAsia="Calibri" w:cs="Arial"/>
        </w:rPr>
        <w:t>.</w:t>
      </w:r>
    </w:p>
    <w:p w:rsidRPr="006D7E12" w:rsidR="00883C23" w:rsidP="00FF2BA2" w:rsidRDefault="00883C23" w14:paraId="5A9159A6" w14:textId="77777777">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6D7E12">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D7E12">
        <w:rPr>
          <w:rFonts w:ascii="Arial" w:hAnsi="Arial" w:eastAsia="Calibri" w:cs="Arial"/>
          <w:bCs/>
        </w:rPr>
        <w:t xml:space="preserve">«[…] </w:t>
      </w:r>
      <w:r w:rsidRPr="006D7E12">
        <w:rPr>
          <w:rFonts w:ascii="Arial" w:hAnsi="Arial" w:eastAsia="Calibri"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D7E12">
        <w:rPr>
          <w:rFonts w:ascii="Arial" w:hAnsi="Arial" w:eastAsia="Calibri" w:cs="Arial"/>
          <w:bCs/>
          <w:sz w:val="19"/>
          <w:szCs w:val="19"/>
        </w:rPr>
        <w:t>»</w:t>
      </w:r>
      <w:bookmarkEnd w:id="16"/>
      <w:r w:rsidRPr="006D7E12">
        <w:rPr>
          <w:rFonts w:ascii="Arial" w:hAnsi="Arial" w:eastAsia="Calibri" w:cs="Arial"/>
          <w:bCs/>
          <w:sz w:val="19"/>
          <w:szCs w:val="19"/>
          <w:vertAlign w:val="superscript"/>
        </w:rPr>
        <w:footnoteReference w:id="9"/>
      </w:r>
      <w:r w:rsidRPr="006D7E12">
        <w:rPr>
          <w:rFonts w:ascii="Arial" w:hAnsi="Arial" w:eastAsia="Calibri" w:cs="Arial"/>
          <w:lang w:val="es-MX"/>
        </w:rPr>
        <w:t>.</w:t>
      </w:r>
      <w:r w:rsidRPr="006D7E12">
        <w:rPr>
          <w:rFonts w:ascii="Arial" w:hAnsi="Arial" w:eastAsia="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6D7E12" w:rsidR="00883C23" w:rsidP="00FF2BA2" w:rsidRDefault="00883C23" w14:paraId="152928C6" w14:textId="77777777">
      <w:pPr>
        <w:widowControl w:val="0"/>
        <w:autoSpaceDE w:val="0"/>
        <w:autoSpaceDN w:val="0"/>
        <w:spacing w:after="0" w:line="276" w:lineRule="auto"/>
        <w:ind w:left="805" w:right="812"/>
        <w:contextualSpacing/>
        <w:jc w:val="both"/>
        <w:rPr>
          <w:rFonts w:ascii="Arial" w:hAnsi="Arial" w:eastAsia="Arial" w:cs="Arial"/>
          <w:lang w:val="es-ES" w:eastAsia="es-ES" w:bidi="es-ES"/>
        </w:rPr>
      </w:pPr>
    </w:p>
    <w:p w:rsidRPr="006D7E12" w:rsidR="00883C23" w:rsidP="00FF2BA2" w:rsidRDefault="00883C23" w14:paraId="670DE3E2"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6D7E12">
        <w:rPr>
          <w:rFonts w:ascii="Arial" w:hAnsi="Arial" w:eastAsia="Arial" w:cs="Arial"/>
          <w:sz w:val="21"/>
          <w:szCs w:val="21"/>
          <w:lang w:val="es-ES" w:eastAsia="es-ES" w:bidi="es-ES"/>
        </w:rPr>
        <w:t xml:space="preserve">La interpretación sistemática de las disposiciones consagradas en los artículos </w:t>
      </w:r>
      <w:r w:rsidRPr="006D7E12">
        <w:rPr>
          <w:rFonts w:ascii="Arial" w:hAnsi="Arial" w:eastAsia="Arial" w:cs="Arial"/>
          <w:sz w:val="21"/>
          <w:szCs w:val="21"/>
          <w:lang w:val="es-ES" w:eastAsia="es-ES" w:bidi="es-ES"/>
        </w:rPr>
        <w:lastRenderedPageBreak/>
        <w:t xml:space="preserve">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9"/>
      <w:r w:rsidRPr="006D7E12">
        <w:rPr>
          <w:rFonts w:ascii="Arial" w:hAnsi="Arial" w:eastAsia="Arial" w:cs="Arial"/>
          <w:sz w:val="21"/>
          <w:szCs w:val="21"/>
          <w:lang w:val="es-ES" w:eastAsia="es-ES" w:bidi="es-ES"/>
        </w:rPr>
        <w:t>se integran parcialmente</w:t>
      </w:r>
      <w:bookmarkEnd w:id="19"/>
      <w:r w:rsidRPr="006D7E12">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D7E12">
        <w:rPr>
          <w:rFonts w:ascii="Arial" w:hAnsi="Arial" w:eastAsia="Arial" w:cs="Arial"/>
          <w:bCs/>
          <w:sz w:val="21"/>
          <w:szCs w:val="21"/>
          <w:lang w:val="es-ES" w:eastAsia="es-ES" w:bidi="es-ES"/>
        </w:rPr>
        <w:t xml:space="preserve">En cambio, para elecciones en general, excluyendo las correspondientes a </w:t>
      </w:r>
      <w:proofErr w:type="gramStart"/>
      <w:r w:rsidRPr="006D7E12">
        <w:rPr>
          <w:rFonts w:ascii="Arial" w:hAnsi="Arial" w:eastAsia="Arial" w:cs="Arial"/>
          <w:bCs/>
          <w:sz w:val="21"/>
          <w:szCs w:val="21"/>
          <w:lang w:val="es-ES" w:eastAsia="es-ES" w:bidi="es-ES"/>
        </w:rPr>
        <w:t>Presidente</w:t>
      </w:r>
      <w:proofErr w:type="gramEnd"/>
      <w:r w:rsidRPr="006D7E12">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6D7E12">
        <w:rPr>
          <w:rFonts w:ascii="Arial" w:hAnsi="Arial" w:eastAsia="Arial" w:cs="Arial"/>
          <w:sz w:val="21"/>
          <w:szCs w:val="21"/>
          <w:lang w:val="es-ES" w:eastAsia="es-ES" w:bidi="es-ES"/>
        </w:rPr>
        <w:t>.</w:t>
      </w:r>
      <w:r w:rsidRPr="006D7E12">
        <w:rPr>
          <w:rFonts w:ascii="Arial" w:hAnsi="Arial" w:eastAsia="Arial" w:cs="Arial"/>
          <w:sz w:val="21"/>
          <w:szCs w:val="21"/>
          <w:vertAlign w:val="superscript"/>
          <w:lang w:val="es-ES" w:eastAsia="es-ES" w:bidi="es-ES"/>
        </w:rPr>
        <w:footnoteReference w:id="10"/>
      </w:r>
    </w:p>
    <w:p w:rsidRPr="006D7E12" w:rsidR="00883C23" w:rsidP="00FF2BA2" w:rsidRDefault="00883C23" w14:paraId="1AEC3889" w14:textId="77777777">
      <w:pPr>
        <w:widowControl w:val="0"/>
        <w:autoSpaceDE w:val="0"/>
        <w:autoSpaceDN w:val="0"/>
        <w:spacing w:after="0" w:line="276" w:lineRule="auto"/>
        <w:contextualSpacing/>
        <w:rPr>
          <w:rFonts w:ascii="Arial" w:hAnsi="Arial" w:eastAsia="Arial" w:cs="Arial"/>
          <w:lang w:val="es-ES" w:eastAsia="es-ES" w:bidi="es-ES"/>
        </w:rPr>
      </w:pPr>
    </w:p>
    <w:p w:rsidRPr="006D7E12" w:rsidR="00883C23" w:rsidP="00883C23" w:rsidRDefault="00883C23" w14:paraId="734194AB" w14:textId="77777777">
      <w:pPr>
        <w:spacing w:after="120" w:line="276" w:lineRule="auto"/>
        <w:ind w:firstLine="709"/>
        <w:jc w:val="both"/>
        <w:rPr>
          <w:rFonts w:ascii="Arial" w:hAnsi="Arial" w:eastAsia="Arial" w:cs="Arial"/>
          <w:lang w:val="es-ES" w:eastAsia="es-ES" w:bidi="es-ES"/>
        </w:rPr>
      </w:pPr>
      <w:r w:rsidRPr="006D7E12">
        <w:rPr>
          <w:rFonts w:ascii="Arial" w:hAnsi="Arial" w:eastAsia="Arial" w:cs="Arial"/>
          <w:lang w:val="es-ES" w:eastAsia="es-ES" w:bidi="es-ES"/>
        </w:rPr>
        <w:t xml:space="preserve">De conformidad con lo anterior, </w:t>
      </w:r>
      <w:bookmarkStart w:name="_Hlk77236420" w:id="20"/>
      <w:bookmarkStart w:name="_Hlk78818435" w:id="21"/>
      <w:bookmarkStart w:name="_Hlk75780333" w:id="22"/>
      <w:r w:rsidRPr="006D7E12">
        <w:rPr>
          <w:rFonts w:ascii="Arial" w:hAnsi="Arial" w:eastAsia="Arial" w:cs="Arial"/>
          <w:lang w:val="es-ES" w:eastAsia="es-ES" w:bidi="es-ES"/>
        </w:rPr>
        <w:t xml:space="preserve">la Ley 996 de 2005 establece dos (2) tipos de restricciones en materia de contratación, las cuales coinciden parcialmente. </w:t>
      </w:r>
      <w:r w:rsidRPr="006D7E12">
        <w:rPr>
          <w:rFonts w:ascii="Arial" w:hAnsi="Arial" w:eastAsia="Arial" w:cs="Arial"/>
          <w:i/>
          <w:iCs/>
          <w:lang w:val="es-ES" w:eastAsia="es-ES" w:bidi="es-ES"/>
        </w:rPr>
        <w:t>En primer lugar</w:t>
      </w:r>
      <w:r w:rsidRPr="006D7E12">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7E12">
        <w:rPr>
          <w:rFonts w:ascii="Arial" w:hAnsi="Arial" w:eastAsia="Arial" w:cs="Arial"/>
          <w:i/>
          <w:iCs/>
          <w:lang w:val="es-ES" w:eastAsia="es-ES" w:bidi="es-ES"/>
        </w:rPr>
        <w:t>En segundo lugar</w:t>
      </w:r>
      <w:r w:rsidRPr="006D7E12">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0"/>
    </w:p>
    <w:bookmarkEnd w:id="21"/>
    <w:p w:rsidRPr="006D7E12" w:rsidR="00883C23" w:rsidP="00883C23" w:rsidRDefault="00883C23" w14:paraId="35F1471A" w14:textId="77777777">
      <w:pPr>
        <w:spacing w:after="120" w:line="276" w:lineRule="auto"/>
        <w:ind w:firstLine="709"/>
        <w:jc w:val="both"/>
        <w:rPr>
          <w:rFonts w:ascii="Arial" w:hAnsi="Arial" w:eastAsia="Arial" w:cs="Arial"/>
          <w:lang w:val="es-ES" w:eastAsia="es-ES" w:bidi="es-ES"/>
        </w:rPr>
      </w:pPr>
      <w:r w:rsidRPr="006D7E12">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6D7E12">
        <w:rPr>
          <w:rFonts w:ascii="Arial" w:hAnsi="Arial" w:eastAsia="Arial" w:cs="Arial"/>
          <w:lang w:val="es-ES" w:eastAsia="es-ES" w:bidi="es-ES"/>
        </w:rPr>
        <w:t>Presidente</w:t>
      </w:r>
      <w:proofErr w:type="gramEnd"/>
      <w:r w:rsidRPr="006D7E12">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6D7E12">
        <w:rPr>
          <w:rFonts w:ascii="Arial" w:hAnsi="Arial" w:eastAsia="Arial" w:cs="Arial"/>
          <w:lang w:val="es-ES" w:eastAsia="es-ES" w:bidi="es-ES"/>
        </w:rPr>
        <w:t>Presidente</w:t>
      </w:r>
      <w:proofErr w:type="gramEnd"/>
      <w:r w:rsidRPr="006D7E12">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22"/>
    <w:p w:rsidRPr="006D7E12" w:rsidR="00883C23" w:rsidP="00883C23" w:rsidRDefault="00883C23" w14:paraId="04418857" w14:textId="77777777">
      <w:pPr>
        <w:spacing w:after="0" w:line="276" w:lineRule="auto"/>
        <w:ind w:firstLine="708"/>
        <w:jc w:val="both"/>
        <w:rPr>
          <w:rFonts w:ascii="Arial" w:hAnsi="Arial" w:eastAsia="Arial" w:cs="Arial"/>
          <w:lang w:val="es-ES" w:eastAsia="es-ES" w:bidi="es-ES"/>
        </w:rPr>
      </w:pPr>
      <w:r w:rsidRPr="006D7E12">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6D7E12">
        <w:rPr>
          <w:rFonts w:ascii="Arial" w:hAnsi="Arial" w:eastAsia="Arial" w:cs="Arial"/>
          <w:lang w:val="es-ES" w:eastAsia="es-ES" w:bidi="es-ES"/>
        </w:rPr>
        <w:lastRenderedPageBreak/>
        <w:t>Presidente</w:t>
      </w:r>
      <w:proofErr w:type="gramEnd"/>
      <w:r w:rsidRPr="006D7E12">
        <w:rPr>
          <w:rFonts w:ascii="Arial" w:hAnsi="Arial"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6D7E12" w:rsidR="00883C23" w:rsidP="00883C23" w:rsidRDefault="00883C23" w14:paraId="6118278D" w14:textId="77777777">
      <w:pPr>
        <w:spacing w:after="0" w:line="276" w:lineRule="auto"/>
        <w:contextualSpacing/>
        <w:jc w:val="both"/>
        <w:rPr>
          <w:rFonts w:ascii="Arial" w:hAnsi="Arial" w:eastAsia="Times New Roman" w:cs="Arial"/>
          <w:bCs/>
          <w:lang w:val="es-ES" w:eastAsia="es-CO"/>
        </w:rPr>
      </w:pPr>
    </w:p>
    <w:p w:rsidRPr="006D7E12" w:rsidR="00C83CBC" w:rsidP="00C83CBC" w:rsidRDefault="00883C23" w14:paraId="6CC873B5" w14:textId="77777777">
      <w:pPr>
        <w:spacing w:after="0" w:line="276" w:lineRule="auto"/>
        <w:contextualSpacing/>
        <w:jc w:val="both"/>
        <w:rPr>
          <w:rFonts w:ascii="Arial" w:hAnsi="Arial" w:eastAsia="Times New Roman" w:cs="Arial"/>
          <w:b/>
          <w:lang w:val="es-ES" w:eastAsia="es-CO"/>
        </w:rPr>
      </w:pPr>
      <w:r w:rsidRPr="006D7E12">
        <w:rPr>
          <w:rFonts w:ascii="Arial" w:hAnsi="Arial" w:eastAsia="Times New Roman" w:cs="Arial"/>
          <w:b/>
          <w:lang w:val="es-ES" w:eastAsia="es-CO"/>
        </w:rPr>
        <w:t xml:space="preserve">2.2. </w:t>
      </w:r>
      <w:r w:rsidRPr="006D7E12">
        <w:rPr>
          <w:rFonts w:ascii="Arial" w:hAnsi="Arial" w:eastAsia="Times New Roman" w:cs="Arial"/>
          <w:b/>
          <w:bCs/>
          <w:lang w:val="es-MX" w:eastAsia="es-CO"/>
        </w:rPr>
        <w:t>Restricciones en elecciones presidenciales</w:t>
      </w:r>
      <w:r w:rsidRPr="006D7E12" w:rsidR="00C83CBC">
        <w:rPr>
          <w:rFonts w:ascii="Arial" w:hAnsi="Arial" w:eastAsia="Times New Roman" w:cs="Arial"/>
          <w:b/>
          <w:bCs/>
          <w:lang w:val="es-MX" w:eastAsia="es-CO"/>
        </w:rPr>
        <w:t>: prohibición del artículo 33 de la Ley 996 de 2005</w:t>
      </w:r>
    </w:p>
    <w:p w:rsidRPr="006D7E12" w:rsidR="00883C23" w:rsidP="00883C23" w:rsidRDefault="00883C23" w14:paraId="2FE8D1C1" w14:textId="77777777">
      <w:pPr>
        <w:spacing w:after="0" w:line="276" w:lineRule="auto"/>
        <w:contextualSpacing/>
        <w:jc w:val="both"/>
        <w:rPr>
          <w:rFonts w:ascii="Arial" w:hAnsi="Arial" w:eastAsia="Times New Roman" w:cs="Arial"/>
          <w:bCs/>
          <w:lang w:val="es-MX" w:eastAsia="x-none"/>
        </w:rPr>
      </w:pPr>
    </w:p>
    <w:p w:rsidRPr="006D7E12" w:rsidR="00883C23" w:rsidP="00497B71" w:rsidRDefault="00883C23" w14:paraId="11C3B3DB" w14:textId="245EE56F">
      <w:pPr>
        <w:spacing w:after="0" w:line="276" w:lineRule="auto"/>
        <w:contextualSpacing/>
        <w:jc w:val="both"/>
        <w:rPr>
          <w:rFonts w:ascii="Arial" w:hAnsi="Arial" w:eastAsia="Times New Roman" w:cs="Arial"/>
          <w:bCs/>
          <w:lang w:val="es-MX" w:eastAsia="es-CO"/>
        </w:rPr>
      </w:pPr>
      <w:r w:rsidRPr="006D7E12">
        <w:rPr>
          <w:rFonts w:ascii="Arial" w:hAnsi="Arial" w:eastAsia="Times New Roman" w:cs="Arial"/>
          <w:bCs/>
          <w:lang w:val="es-MX" w:eastAsia="x-none"/>
        </w:rPr>
        <w:t xml:space="preserve">El ámbito material de la prohibición contenida </w:t>
      </w:r>
      <w:bookmarkStart w:name="_Hlk75628761" w:id="23"/>
      <w:r w:rsidRPr="006D7E12">
        <w:rPr>
          <w:rFonts w:ascii="Arial" w:hAnsi="Arial" w:eastAsia="Times New Roman" w:cs="Arial"/>
          <w:bCs/>
          <w:lang w:val="es-MX" w:eastAsia="x-none"/>
        </w:rPr>
        <w:t xml:space="preserve">en el artículo 33 de la </w:t>
      </w:r>
      <w:r w:rsidRPr="006D7E12" w:rsidR="00F05D7E">
        <w:rPr>
          <w:rFonts w:ascii="Arial" w:hAnsi="Arial" w:eastAsia="Times New Roman" w:cs="Arial"/>
          <w:bCs/>
          <w:lang w:val="es-MX" w:eastAsia="x-none"/>
        </w:rPr>
        <w:t xml:space="preserve">Ley </w:t>
      </w:r>
      <w:r w:rsidRPr="006D7E12">
        <w:rPr>
          <w:rFonts w:ascii="Arial" w:hAnsi="Arial" w:eastAsia="Times New Roman" w:cs="Arial"/>
          <w:bCs/>
          <w:lang w:val="es-MX" w:eastAsia="x-none"/>
        </w:rPr>
        <w:t xml:space="preserve">996 de 2005 </w:t>
      </w:r>
      <w:bookmarkEnd w:id="23"/>
      <w:r w:rsidRPr="006D7E12">
        <w:rPr>
          <w:rFonts w:ascii="Arial" w:hAnsi="Arial" w:eastAsia="Times New Roman" w:cs="Arial"/>
          <w:bCs/>
          <w:lang w:val="es-MX" w:eastAsia="x-none"/>
        </w:rPr>
        <w:t xml:space="preserve">está delimitado por la expresión </w:t>
      </w:r>
      <w:r w:rsidRPr="006D7E12">
        <w:rPr>
          <w:rFonts w:ascii="Arial" w:hAnsi="Arial" w:eastAsia="Calibri" w:cs="Arial"/>
          <w:bCs/>
          <w:sz w:val="20"/>
          <w:szCs w:val="20"/>
          <w:lang w:val="es-MX"/>
        </w:rPr>
        <w:t>«</w:t>
      </w:r>
      <w:r w:rsidRPr="006D7E12">
        <w:rPr>
          <w:rFonts w:ascii="Arial" w:hAnsi="Arial" w:eastAsia="Times New Roman" w:cs="Arial"/>
          <w:bCs/>
          <w:lang w:val="es-MX" w:eastAsia="x-none"/>
        </w:rPr>
        <w:t>queda prohibida la contratación directa</w:t>
      </w:r>
      <w:r w:rsidRPr="006D7E12">
        <w:rPr>
          <w:rFonts w:ascii="Arial" w:hAnsi="Arial" w:eastAsia="Calibri" w:cs="Arial"/>
          <w:sz w:val="20"/>
          <w:szCs w:val="20"/>
          <w:lang w:val="es-MX"/>
        </w:rPr>
        <w:t>»</w:t>
      </w:r>
      <w:r w:rsidRPr="006D7E12">
        <w:rPr>
          <w:rFonts w:ascii="Arial" w:hAnsi="Arial" w:eastAsia="Times New Roman" w:cs="Arial"/>
          <w:bCs/>
          <w:lang w:val="es-MX" w:eastAsia="x-none"/>
        </w:rPr>
        <w:t>.</w:t>
      </w:r>
      <w:r w:rsidRPr="006D7E12">
        <w:rPr>
          <w:rFonts w:ascii="Arial" w:hAnsi="Arial" w:eastAsia="Times New Roman" w:cs="Arial"/>
          <w:lang w:val="es-MX" w:eastAsia="es-CO"/>
        </w:rPr>
        <w:t xml:space="preserve"> A propósito de </w:t>
      </w:r>
      <w:r w:rsidRPr="006D7E12">
        <w:rPr>
          <w:rFonts w:ascii="Arial" w:hAnsi="Arial" w:eastAsia="Times New Roman" w:cs="Arial"/>
          <w:lang w:eastAsia="es-CO"/>
        </w:rPr>
        <w:t>esta restricción de la Ley de Garantías Electorales, la Sala de Consulta y Servicio Civil del Consejo de Estado ha considerado que:</w:t>
      </w:r>
    </w:p>
    <w:p w:rsidRPr="006D7E12" w:rsidR="00883C23" w:rsidP="00497B71" w:rsidRDefault="00883C23" w14:paraId="1BD78AC3" w14:textId="77777777">
      <w:pPr>
        <w:spacing w:after="0" w:line="276" w:lineRule="auto"/>
        <w:ind w:left="708" w:right="709"/>
        <w:contextualSpacing/>
        <w:jc w:val="both"/>
        <w:rPr>
          <w:rFonts w:ascii="Arial" w:hAnsi="Arial" w:eastAsia="Calibri" w:cs="Arial"/>
          <w:sz w:val="21"/>
          <w:szCs w:val="21"/>
          <w:lang w:val="es-MX"/>
        </w:rPr>
      </w:pPr>
    </w:p>
    <w:p w:rsidRPr="006D7E12" w:rsidR="00883C23" w:rsidP="00497B71" w:rsidRDefault="00883C23" w14:paraId="36F32924" w14:textId="557F0038">
      <w:pPr>
        <w:spacing w:after="0" w:line="240" w:lineRule="auto"/>
        <w:ind w:left="709" w:right="709"/>
        <w:contextualSpacing/>
        <w:jc w:val="both"/>
        <w:rPr>
          <w:rFonts w:ascii="Arial" w:hAnsi="Arial" w:eastAsia="Calibri" w:cs="Arial"/>
          <w:sz w:val="21"/>
          <w:szCs w:val="21"/>
          <w:lang w:val="es-MX"/>
        </w:rPr>
      </w:pPr>
      <w:r w:rsidRPr="006D7E12">
        <w:rPr>
          <w:rFonts w:ascii="Arial" w:hAnsi="Arial" w:eastAsia="Calibri"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D7E12">
        <w:rPr>
          <w:rFonts w:ascii="Arial" w:hAnsi="Arial" w:eastAsia="Times New Roman" w:cs="Arial"/>
          <w:vertAlign w:val="superscript"/>
          <w:lang w:eastAsia="es-CO"/>
        </w:rPr>
        <w:footnoteReference w:id="11"/>
      </w:r>
      <w:r w:rsidRPr="006D7E12">
        <w:rPr>
          <w:rFonts w:ascii="Arial" w:hAnsi="Arial" w:eastAsia="Calibri" w:cs="Arial"/>
          <w:sz w:val="21"/>
          <w:szCs w:val="21"/>
          <w:lang w:val="es-MX"/>
        </w:rPr>
        <w:t>.</w:t>
      </w:r>
    </w:p>
    <w:p w:rsidRPr="006D7E12" w:rsidR="00497B71" w:rsidP="00497B71" w:rsidRDefault="00497B71" w14:paraId="0438593C" w14:textId="77777777">
      <w:pPr>
        <w:spacing w:after="0" w:line="240" w:lineRule="auto"/>
        <w:ind w:left="709" w:right="709"/>
        <w:contextualSpacing/>
        <w:jc w:val="both"/>
        <w:rPr>
          <w:rFonts w:ascii="Arial" w:hAnsi="Arial" w:eastAsia="Calibri" w:cs="Arial"/>
          <w:sz w:val="21"/>
          <w:szCs w:val="21"/>
          <w:lang w:val="es-MX"/>
        </w:rPr>
      </w:pPr>
    </w:p>
    <w:p w:rsidRPr="006D7E12" w:rsidR="00883C23" w:rsidP="00497B71" w:rsidRDefault="00883C23" w14:paraId="297E1CCD" w14:textId="77777777">
      <w:pPr>
        <w:spacing w:after="0" w:line="240" w:lineRule="auto"/>
        <w:ind w:left="708" w:right="709"/>
        <w:contextualSpacing/>
        <w:jc w:val="both"/>
        <w:rPr>
          <w:rFonts w:ascii="Arial" w:hAnsi="Arial" w:eastAsia="Calibri" w:cs="Arial"/>
          <w:sz w:val="21"/>
          <w:szCs w:val="21"/>
          <w:lang w:val="es-MX"/>
        </w:rPr>
      </w:pPr>
      <w:r w:rsidRPr="006D7E12">
        <w:rPr>
          <w:rFonts w:ascii="Arial" w:hAnsi="Arial" w:eastAsia="Calibri" w:cs="Arial"/>
          <w:sz w:val="21"/>
          <w:szCs w:val="21"/>
          <w:lang w:val="es-MX"/>
        </w:rPr>
        <w:t xml:space="preserve">Esta Sala ha entendido </w:t>
      </w:r>
      <w:proofErr w:type="gramStart"/>
      <w:r w:rsidRPr="006D7E12">
        <w:rPr>
          <w:rFonts w:ascii="Arial" w:hAnsi="Arial" w:eastAsia="Calibri" w:cs="Arial"/>
          <w:sz w:val="21"/>
          <w:szCs w:val="21"/>
          <w:lang w:val="es-MX"/>
        </w:rPr>
        <w:t>que</w:t>
      </w:r>
      <w:proofErr w:type="gramEnd"/>
      <w:r w:rsidRPr="006D7E12">
        <w:rPr>
          <w:rFonts w:ascii="Arial" w:hAnsi="Arial" w:eastAsia="Calibri" w:cs="Arial"/>
          <w:sz w:val="21"/>
          <w:szCs w:val="21"/>
          <w:lang w:val="es-MX"/>
        </w:rPr>
        <w:t xml:space="preserve"> para los efectos de la ley de garantías, y dada su finalidad, el enunciado ´contratación directa´ es sinónimo </w:t>
      </w:r>
      <w:bookmarkStart w:name="_Hlk75741738" w:id="26"/>
      <w:r w:rsidRPr="006D7E12">
        <w:rPr>
          <w:rFonts w:ascii="Arial" w:hAnsi="Arial" w:eastAsia="Calibri" w:cs="Arial"/>
          <w:sz w:val="21"/>
          <w:szCs w:val="21"/>
          <w:lang w:val="es-MX"/>
        </w:rPr>
        <w:t xml:space="preserve">de cualquier sistema que no implique convocatoria pública y posibilidad de pluralidad de oferentes, </w:t>
      </w:r>
      <w:bookmarkEnd w:id="26"/>
      <w:r w:rsidRPr="006D7E12">
        <w:rPr>
          <w:rFonts w:ascii="Arial" w:hAnsi="Arial" w:eastAsia="Calibri" w:cs="Arial"/>
          <w:sz w:val="21"/>
          <w:szCs w:val="21"/>
          <w:lang w:val="es-MX"/>
        </w:rPr>
        <w:t>y que, además, no necesariamente hace referencia al procedimiento especial regulado por la ley de contratación estatal, sino a cualquier otro que prescinda de un proceso de licitación pública o concurso</w:t>
      </w:r>
      <w:r w:rsidRPr="006D7E12">
        <w:rPr>
          <w:rFonts w:ascii="Arial" w:hAnsi="Arial" w:eastAsia="Times New Roman" w:cs="Arial"/>
          <w:sz w:val="21"/>
          <w:szCs w:val="21"/>
          <w:vertAlign w:val="superscript"/>
          <w:lang w:val="es-MX"/>
        </w:rPr>
        <w:footnoteReference w:id="12"/>
      </w:r>
      <w:r w:rsidRPr="006D7E12">
        <w:rPr>
          <w:rFonts w:ascii="Arial" w:hAnsi="Arial" w:eastAsia="Times New Roman" w:cs="Arial"/>
          <w:sz w:val="21"/>
          <w:szCs w:val="21"/>
          <w:vertAlign w:val="superscript"/>
          <w:lang w:val="es-MX"/>
        </w:rPr>
        <w:t>.</w:t>
      </w:r>
      <w:r w:rsidRPr="006D7E12">
        <w:rPr>
          <w:rFonts w:ascii="Arial" w:hAnsi="Arial" w:eastAsia="Calibri" w:cs="Arial"/>
          <w:sz w:val="21"/>
          <w:szCs w:val="21"/>
          <w:lang w:val="es-MX"/>
        </w:rPr>
        <w:t xml:space="preserve"> Por tanto, no son materia de la prohibición las demás modalidades de selección previstas en la ley 1150 de 2007, siendo estas, la licitación pública, el concurso de méritos y la selección abreviada, </w:t>
      </w:r>
      <w:r w:rsidRPr="006D7E12">
        <w:rPr>
          <w:rFonts w:ascii="Arial" w:hAnsi="Arial" w:eastAsia="Calibri" w:cs="Arial"/>
          <w:sz w:val="21"/>
          <w:szCs w:val="21"/>
          <w:lang w:val="es-MX"/>
        </w:rPr>
        <w:lastRenderedPageBreak/>
        <w:t>razón por la cual en ese periodo preelectoral de que trata la disposición pueden las entidades públicas seguir contratando bajo estos sistemas. [...]</w:t>
      </w:r>
      <w:r w:rsidRPr="006D7E12">
        <w:rPr>
          <w:rFonts w:ascii="Arial" w:hAnsi="Arial" w:eastAsia="Times New Roman" w:cs="Arial"/>
          <w:vertAlign w:val="superscript"/>
          <w:lang w:eastAsia="es-CO"/>
        </w:rPr>
        <w:footnoteReference w:id="13"/>
      </w:r>
      <w:r w:rsidRPr="006D7E12">
        <w:rPr>
          <w:rFonts w:ascii="Arial" w:hAnsi="Arial" w:eastAsia="Calibri" w:cs="Arial"/>
          <w:sz w:val="21"/>
          <w:szCs w:val="21"/>
          <w:lang w:val="es-MX"/>
        </w:rPr>
        <w:t xml:space="preserve"> .</w:t>
      </w:r>
    </w:p>
    <w:p w:rsidRPr="006D7E12" w:rsidR="00883C23" w:rsidP="00497B71" w:rsidRDefault="00883C23" w14:paraId="6623AC54" w14:textId="77777777">
      <w:pPr>
        <w:shd w:val="clear" w:color="auto" w:fill="FFFFFF"/>
        <w:spacing w:after="0" w:line="276" w:lineRule="auto"/>
        <w:ind w:firstLine="709"/>
        <w:contextualSpacing/>
        <w:jc w:val="both"/>
        <w:rPr>
          <w:rFonts w:ascii="Arial" w:hAnsi="Arial" w:eastAsia="Times New Roman" w:cs="Arial"/>
          <w:lang w:eastAsia="x-none"/>
        </w:rPr>
      </w:pPr>
    </w:p>
    <w:p w:rsidRPr="006D7E12" w:rsidR="00883C23" w:rsidP="00D90D8A" w:rsidRDefault="00883C23" w14:paraId="0196F3C7" w14:textId="77777777">
      <w:pPr>
        <w:spacing w:after="120" w:line="276" w:lineRule="auto"/>
        <w:ind w:firstLine="709"/>
        <w:jc w:val="both"/>
        <w:rPr>
          <w:rFonts w:ascii="Arial" w:hAnsi="Arial" w:eastAsia="Times New Roman" w:cs="Arial"/>
          <w:bCs/>
          <w:lang w:eastAsia="x-none"/>
        </w:rPr>
      </w:pPr>
      <w:bookmarkStart w:name="_Hlk94521748" w:id="28"/>
      <w:r w:rsidRPr="006D7E12">
        <w:rPr>
          <w:rFonts w:ascii="Arial" w:hAnsi="Arial" w:eastAsia="Times New Roman" w:cs="Arial"/>
          <w:lang w:eastAsia="x-none"/>
        </w:rPr>
        <w:t xml:space="preserve">De conformidad con el citado concepto, </w:t>
      </w:r>
      <w:bookmarkStart w:name="_Hlk78818702" w:id="29"/>
      <w:r w:rsidRPr="006D7E12">
        <w:rPr>
          <w:rFonts w:ascii="Arial" w:hAnsi="Arial" w:eastAsia="Times New Roman" w:cs="Arial"/>
          <w:lang w:eastAsia="x-none"/>
        </w:rPr>
        <w:t xml:space="preserve">la prohibición del artículo 33 de la Ley de Garantías Electorales se refiere a </w:t>
      </w:r>
      <w:bookmarkStart w:name="_Hlk74294635" w:id="30"/>
      <w:r w:rsidRPr="006D7E12">
        <w:rPr>
          <w:rFonts w:ascii="Arial" w:hAnsi="Arial" w:eastAsia="Times New Roman" w:cs="Arial"/>
          <w:sz w:val="19"/>
          <w:szCs w:val="19"/>
          <w:lang w:eastAsia="en-GB"/>
        </w:rPr>
        <w:t>«</w:t>
      </w:r>
      <w:bookmarkEnd w:id="30"/>
      <w:r w:rsidRPr="006D7E12">
        <w:rPr>
          <w:rFonts w:ascii="Arial" w:hAnsi="Arial" w:eastAsia="Times New Roman" w:cs="Arial"/>
          <w:lang w:eastAsia="x-none"/>
        </w:rPr>
        <w:t>cualquier sistema que no implique convocatoria pública y posibilidad de pluralidad de oferentes</w:t>
      </w:r>
      <w:bookmarkStart w:name="_Hlk74404754" w:id="31"/>
      <w:r w:rsidRPr="006D7E12">
        <w:rPr>
          <w:rFonts w:ascii="Arial" w:hAnsi="Arial" w:eastAsia="Times New Roman" w:cs="Arial"/>
          <w:lang w:eastAsia="en-GB"/>
        </w:rPr>
        <w:t>»</w:t>
      </w:r>
      <w:bookmarkEnd w:id="31"/>
      <w:r w:rsidRPr="006D7E12">
        <w:rPr>
          <w:rFonts w:ascii="Arial" w:hAnsi="Arial" w:eastAsia="Times New Roman"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8"/>
      <w:bookmarkEnd w:id="29"/>
      <w:r w:rsidRPr="006D7E12">
        <w:rPr>
          <w:rFonts w:ascii="Arial" w:hAnsi="Arial" w:eastAsia="Times New Roman" w:cs="Arial"/>
          <w:lang w:eastAsia="x-none"/>
        </w:rPr>
        <w:t>Esta posición es congruente con la expedición de la Ley 1150 de 2007 que, entre otras reformas, introdujo la selección abreviada, rediseñó el concurso de méritos</w:t>
      </w:r>
      <w:r w:rsidRPr="006D7E12">
        <w:rPr>
          <w:rFonts w:ascii="Arial" w:hAnsi="Arial" w:eastAsia="Times New Roman" w:cs="Arial"/>
          <w:vertAlign w:val="superscript"/>
          <w:lang w:val="en-GB" w:eastAsia="x-none"/>
        </w:rPr>
        <w:footnoteReference w:id="14"/>
      </w:r>
      <w:r w:rsidRPr="006D7E12">
        <w:rPr>
          <w:rFonts w:ascii="Arial" w:hAnsi="Arial" w:eastAsia="Times New Roman" w:cs="Arial"/>
          <w:lang w:eastAsia="x-none"/>
        </w:rPr>
        <w:t xml:space="preserve"> y sistematizó las causales de contratación directa</w:t>
      </w:r>
      <w:r w:rsidRPr="006D7E12">
        <w:rPr>
          <w:rFonts w:ascii="Arial" w:hAnsi="Arial" w:eastAsia="Times New Roman" w:cs="Arial"/>
          <w:vertAlign w:val="superscript"/>
          <w:lang w:val="en-GB" w:eastAsia="x-none"/>
        </w:rPr>
        <w:footnoteReference w:id="15"/>
      </w:r>
      <w:r w:rsidRPr="006D7E12">
        <w:rPr>
          <w:rFonts w:ascii="Arial" w:hAnsi="Arial" w:eastAsia="Times New Roman" w:cs="Arial"/>
          <w:lang w:eastAsia="x-none"/>
        </w:rPr>
        <w:t xml:space="preserve">. </w:t>
      </w:r>
    </w:p>
    <w:p w:rsidRPr="006D7E12" w:rsidR="00883C23" w:rsidP="00D90D8A" w:rsidRDefault="00883C23" w14:paraId="1712C3EE" w14:textId="77777777">
      <w:pPr>
        <w:spacing w:after="120" w:line="276" w:lineRule="auto"/>
        <w:ind w:firstLine="709"/>
        <w:jc w:val="both"/>
        <w:rPr>
          <w:rFonts w:ascii="Arial" w:hAnsi="Arial" w:eastAsia="Times New Roman" w:cs="Arial"/>
          <w:lang w:val="es-MX" w:eastAsia="x-none"/>
        </w:rPr>
      </w:pPr>
      <w:r w:rsidRPr="006D7E12">
        <w:rPr>
          <w:rFonts w:ascii="Arial" w:hAnsi="Arial" w:eastAsia="Times New Roman" w:cs="Arial"/>
          <w:lang w:eastAsia="x-none"/>
        </w:rPr>
        <w:t xml:space="preserve">De esta forma, se ha depurado la noción de </w:t>
      </w:r>
      <w:r w:rsidRPr="006D7E12">
        <w:rPr>
          <w:rFonts w:ascii="Arial" w:hAnsi="Arial" w:eastAsia="Times New Roman" w:cs="Arial"/>
          <w:sz w:val="19"/>
          <w:szCs w:val="19"/>
          <w:lang w:eastAsia="en-GB"/>
        </w:rPr>
        <w:t>«</w:t>
      </w:r>
      <w:r w:rsidRPr="006D7E12">
        <w:rPr>
          <w:rFonts w:ascii="Arial" w:hAnsi="Arial" w:eastAsia="Times New Roman" w:cs="Arial"/>
          <w:lang w:eastAsia="x-none"/>
        </w:rPr>
        <w:t>contratación directa</w:t>
      </w:r>
      <w:r w:rsidRPr="006D7E12">
        <w:rPr>
          <w:rFonts w:ascii="Arial" w:hAnsi="Arial" w:eastAsia="Times New Roman" w:cs="Arial"/>
          <w:lang w:eastAsia="en-GB"/>
        </w:rPr>
        <w:t>»</w:t>
      </w:r>
      <w:r w:rsidRPr="006D7E12">
        <w:rPr>
          <w:rFonts w:ascii="Arial" w:hAnsi="Arial" w:eastAsia="Times New Roman"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6D7E12">
        <w:rPr>
          <w:rFonts w:ascii="Arial" w:hAnsi="Arial" w:eastAsia="Times New Roman" w:cs="Arial"/>
          <w:vertAlign w:val="superscript"/>
          <w:lang w:val="en-GB" w:eastAsia="x-none"/>
        </w:rPr>
        <w:footnoteReference w:id="16"/>
      </w:r>
      <w:r w:rsidRPr="006D7E12">
        <w:rPr>
          <w:rFonts w:ascii="Arial" w:hAnsi="Arial" w:eastAsia="Times New Roman" w:cs="Arial"/>
          <w:lang w:eastAsia="x-none"/>
        </w:rPr>
        <w:t>, han establecido sistemas de contratación que implican convocatoria pública y participación de varios oferentes</w:t>
      </w:r>
      <w:r w:rsidRPr="006D7E12">
        <w:rPr>
          <w:rFonts w:ascii="Arial" w:hAnsi="Arial" w:eastAsia="Times New Roman" w:cs="Arial"/>
          <w:lang w:eastAsia="en-GB"/>
        </w:rPr>
        <w:t>»</w:t>
      </w:r>
      <w:r w:rsidRPr="006D7E12">
        <w:rPr>
          <w:rFonts w:ascii="Arial" w:hAnsi="Arial" w:eastAsia="Times New Roman" w:cs="Arial"/>
          <w:lang w:eastAsia="x-none"/>
        </w:rPr>
        <w:t xml:space="preserve">. </w:t>
      </w:r>
    </w:p>
    <w:p w:rsidRPr="006D7E12" w:rsidR="00883C23" w:rsidP="00D90D8A" w:rsidRDefault="00883C23" w14:paraId="45F34280" w14:textId="77777777">
      <w:pPr>
        <w:spacing w:after="120" w:line="276" w:lineRule="auto"/>
        <w:ind w:firstLine="709"/>
        <w:jc w:val="both"/>
        <w:rPr>
          <w:rFonts w:ascii="Arial" w:hAnsi="Arial" w:eastAsia="Times New Roman" w:cs="Arial"/>
          <w:bCs/>
          <w:lang w:val="es-MX" w:eastAsia="es-CO"/>
        </w:rPr>
      </w:pPr>
      <w:r w:rsidRPr="006D7E12">
        <w:rPr>
          <w:rFonts w:ascii="Arial" w:hAnsi="Arial" w:eastAsia="Times New Roman" w:cs="Arial"/>
          <w:bCs/>
          <w:lang w:val="es-MX" w:eastAsia="x-none"/>
        </w:rPr>
        <w:t>E</w:t>
      </w:r>
      <w:r w:rsidRPr="006D7E12">
        <w:rPr>
          <w:rFonts w:ascii="Arial" w:hAnsi="Arial" w:eastAsia="Times New Roman" w:cs="Arial"/>
          <w:lang w:eastAsia="x-none"/>
        </w:rPr>
        <w:t xml:space="preserve">n efecto, vale la pena mencionar que, </w:t>
      </w:r>
      <w:bookmarkStart w:name="_Hlk75636073" w:id="33"/>
      <w:r w:rsidRPr="006D7E12">
        <w:rPr>
          <w:rFonts w:ascii="Arial" w:hAnsi="Arial" w:eastAsia="Times New Roman"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3"/>
      <w:r w:rsidRPr="006D7E12">
        <w:rPr>
          <w:rFonts w:ascii="Arial" w:hAnsi="Arial" w:eastAsia="Times New Roman" w:cs="Arial"/>
          <w:vertAlign w:val="superscript"/>
          <w:lang w:eastAsia="x-none"/>
        </w:rPr>
        <w:footnoteReference w:id="17"/>
      </w:r>
      <w:r w:rsidRPr="006D7E12">
        <w:rPr>
          <w:rFonts w:ascii="Arial" w:hAnsi="Arial" w:eastAsia="Times New Roman" w:cs="Arial"/>
          <w:lang w:eastAsia="x-none"/>
        </w:rPr>
        <w:t xml:space="preserve">. </w:t>
      </w:r>
    </w:p>
    <w:p w:rsidRPr="006D7E12" w:rsidR="00883C23" w:rsidP="00D90D8A" w:rsidRDefault="00883C23" w14:paraId="204B00F5" w14:textId="66932824">
      <w:pPr>
        <w:spacing w:after="120" w:line="276" w:lineRule="auto"/>
        <w:ind w:firstLine="709"/>
        <w:jc w:val="both"/>
        <w:rPr>
          <w:rFonts w:ascii="Arial" w:hAnsi="Arial" w:eastAsia="Times New Roman" w:cs="Arial"/>
          <w:bCs/>
          <w:lang w:val="es-MX" w:eastAsia="es-CO"/>
        </w:rPr>
      </w:pPr>
      <w:r w:rsidRPr="006D7E12">
        <w:rPr>
          <w:rFonts w:ascii="Arial" w:hAnsi="Arial" w:eastAsia="Times New Roman" w:cs="Arial"/>
          <w:bCs/>
          <w:lang w:val="es-MX" w:eastAsia="es-CO"/>
        </w:rPr>
        <w:t xml:space="preserve">Como se advierte de lo anterior, el Consejo de Estado realiza una interpretación amplia de la contratación directa, para efectos de aplicar las restricciones establecidas en la </w:t>
      </w:r>
      <w:r w:rsidRPr="006D7E12">
        <w:rPr>
          <w:rFonts w:ascii="Arial" w:hAnsi="Arial" w:eastAsia="Times New Roman" w:cs="Arial"/>
          <w:bCs/>
          <w:lang w:val="es-MX" w:eastAsia="es-CO"/>
        </w:rPr>
        <w:lastRenderedPageBreak/>
        <w:t>Ley de Garantías</w:t>
      </w:r>
      <w:r w:rsidRPr="006D7E12" w:rsidR="00F2080B">
        <w:rPr>
          <w:rFonts w:ascii="Arial" w:hAnsi="Arial" w:eastAsia="Times New Roman" w:cs="Arial"/>
          <w:bCs/>
          <w:lang w:val="es-MX" w:eastAsia="es-CO"/>
        </w:rPr>
        <w:t xml:space="preserve"> Electorales</w:t>
      </w:r>
      <w:r w:rsidRPr="006D7E12">
        <w:rPr>
          <w:rFonts w:ascii="Arial" w:hAnsi="Arial" w:eastAsia="Times New Roman" w:cs="Arial"/>
          <w:bCs/>
          <w:lang w:val="es-MX" w:eastAsia="es-CO"/>
        </w:rPr>
        <w:t xml:space="preserve">, al señalar que no solo aplica frente a las entidades sometidas al Estatuto </w:t>
      </w:r>
      <w:r w:rsidRPr="006D7E12" w:rsidR="00F820CB">
        <w:rPr>
          <w:rFonts w:ascii="Arial" w:hAnsi="Arial" w:eastAsia="Times New Roman" w:cs="Arial"/>
          <w:bCs/>
          <w:lang w:val="es-MX" w:eastAsia="es-CO"/>
        </w:rPr>
        <w:t xml:space="preserve">General </w:t>
      </w:r>
      <w:r w:rsidRPr="006D7E12">
        <w:rPr>
          <w:rFonts w:ascii="Arial" w:hAnsi="Arial" w:eastAsia="Times New Roman" w:cs="Arial"/>
          <w:bCs/>
          <w:lang w:val="es-MX" w:eastAsia="es-CO"/>
        </w:rPr>
        <w:t>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6D7E12" w:rsidR="00883C23" w:rsidP="00D90D8A" w:rsidRDefault="00883C23" w14:paraId="787067B4" w14:textId="02DB6001">
      <w:pPr>
        <w:spacing w:after="120" w:line="276" w:lineRule="auto"/>
        <w:ind w:firstLine="709"/>
        <w:jc w:val="both"/>
        <w:rPr>
          <w:rFonts w:ascii="Arial" w:hAnsi="Arial" w:eastAsia="Times New Roman" w:cs="Arial"/>
          <w:bCs/>
          <w:lang w:val="es-MX" w:eastAsia="x-none"/>
        </w:rPr>
      </w:pPr>
      <w:bookmarkStart w:name="_Hlk78818796" w:id="34"/>
      <w:r w:rsidRPr="006D7E12">
        <w:rPr>
          <w:rFonts w:ascii="Arial" w:hAnsi="Arial" w:eastAsia="Times New Roman" w:cs="Arial"/>
          <w:bCs/>
          <w:lang w:val="es-MX" w:eastAsia="x-none"/>
        </w:rPr>
        <w:t xml:space="preserve"> Así las cosas, </w:t>
      </w:r>
      <w:bookmarkStart w:name="_Hlk99577798" w:id="35"/>
      <w:r w:rsidRPr="006D7E12">
        <w:rPr>
          <w:rFonts w:ascii="Arial" w:hAnsi="Arial" w:eastAsia="Times New Roman" w:cs="Arial"/>
          <w:bCs/>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D7E12">
        <w:rPr>
          <w:rFonts w:ascii="Arial" w:hAnsi="Arial" w:eastAsia="Times New Roman" w:cs="Arial"/>
          <w:vertAlign w:val="superscript"/>
          <w:lang w:eastAsia="x-none"/>
        </w:rPr>
        <w:footnoteReference w:id="18"/>
      </w:r>
      <w:r w:rsidRPr="006D7E12">
        <w:rPr>
          <w:rFonts w:ascii="Arial" w:hAnsi="Arial" w:eastAsia="Times New Roman" w:cs="Arial"/>
          <w:bCs/>
          <w:lang w:val="es-MX" w:eastAsia="x-none"/>
        </w:rPr>
        <w:t>.</w:t>
      </w:r>
      <w:r w:rsidRPr="006D7E12">
        <w:rPr>
          <w:rFonts w:ascii="Arial" w:hAnsi="Arial" w:eastAsia="Times New Roman" w:cs="Arial"/>
          <w:vertAlign w:val="superscript"/>
          <w:lang w:eastAsia="x-none"/>
        </w:rPr>
        <w:t xml:space="preserve"> </w:t>
      </w:r>
    </w:p>
    <w:bookmarkEnd w:id="34"/>
    <w:p w:rsidRPr="006D7E12" w:rsidR="00883C23" w:rsidP="00D90D8A" w:rsidRDefault="00883C23" w14:paraId="0B476725" w14:textId="34FEC202">
      <w:pPr>
        <w:spacing w:after="120" w:line="276" w:lineRule="auto"/>
        <w:ind w:firstLine="709"/>
        <w:jc w:val="both"/>
        <w:rPr>
          <w:rFonts w:ascii="Arial" w:hAnsi="Arial" w:eastAsia="Times New Roman" w:cs="Arial"/>
          <w:lang w:eastAsia="x-none"/>
        </w:rPr>
      </w:pPr>
      <w:r w:rsidRPr="006D7E12">
        <w:rPr>
          <w:rFonts w:ascii="Arial" w:hAnsi="Arial" w:eastAsia="Times New Roman"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6D7E12">
        <w:rPr>
          <w:rFonts w:ascii="Arial" w:hAnsi="Arial" w:eastAsia="Times New Roman"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w:t>
      </w:r>
      <w:r w:rsidRPr="006D7E12" w:rsidR="007D7A6D">
        <w:rPr>
          <w:rFonts w:ascii="Arial" w:hAnsi="Arial" w:eastAsia="Times New Roman" w:cs="Arial"/>
          <w:lang w:eastAsia="x-none"/>
        </w:rPr>
        <w:t xml:space="preserve"> pueden</w:t>
      </w:r>
      <w:r w:rsidRPr="006D7E12">
        <w:rPr>
          <w:rFonts w:ascii="Arial" w:hAnsi="Arial" w:eastAsia="Times New Roman" w:cs="Arial"/>
          <w:lang w:eastAsia="x-none"/>
        </w:rPr>
        <w:t xml:space="preserve"> seguir contratando bajo estos sistemas.</w:t>
      </w:r>
    </w:p>
    <w:p w:rsidRPr="006D7E12" w:rsidR="00883C23" w:rsidP="00D90D8A" w:rsidRDefault="00883C23" w14:paraId="4D4CA891" w14:textId="77777777">
      <w:pPr>
        <w:spacing w:after="120" w:line="276" w:lineRule="auto"/>
        <w:ind w:firstLine="709"/>
        <w:jc w:val="both"/>
        <w:rPr>
          <w:rFonts w:ascii="Arial" w:hAnsi="Arial" w:eastAsia="Times New Roman" w:cs="Arial"/>
          <w:bCs/>
          <w:lang w:val="es-MX" w:eastAsia="x-none"/>
        </w:rPr>
      </w:pPr>
      <w:bookmarkStart w:name="_Hlk77237094" w:id="36"/>
      <w:bookmarkEnd w:id="35"/>
      <w:r w:rsidRPr="006D7E12">
        <w:rPr>
          <w:rFonts w:ascii="Arial" w:hAnsi="Arial" w:eastAsia="Times New Roman" w:cs="Arial"/>
          <w:bCs/>
          <w:lang w:val="es-MX" w:eastAsia="es-CO"/>
        </w:rPr>
        <w:t xml:space="preserve">Como en otras oportunidades lo ha manifestado esta Agencia, las prórrogas, modificaciones o adiciones de los contratos suscritos antes de la </w:t>
      </w:r>
      <w:proofErr w:type="gramStart"/>
      <w:r w:rsidRPr="006D7E12">
        <w:rPr>
          <w:rFonts w:ascii="Arial" w:hAnsi="Arial" w:eastAsia="Times New Roman" w:cs="Arial"/>
          <w:bCs/>
          <w:lang w:val="es-MX" w:eastAsia="es-CO"/>
        </w:rPr>
        <w:t>entrada en vigencia</w:t>
      </w:r>
      <w:proofErr w:type="gramEnd"/>
      <w:r w:rsidRPr="006D7E12">
        <w:rPr>
          <w:rFonts w:ascii="Arial" w:hAnsi="Arial" w:eastAsia="Times New Roman" w:cs="Arial"/>
          <w:bCs/>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6"/>
    </w:p>
    <w:p w:rsidRPr="006D7E12" w:rsidR="00883C23" w:rsidP="00D90D8A" w:rsidRDefault="00883C23" w14:paraId="10EBB060" w14:textId="2C6590AF">
      <w:pPr>
        <w:spacing w:after="120" w:line="276" w:lineRule="auto"/>
        <w:ind w:firstLine="709"/>
        <w:jc w:val="both"/>
        <w:rPr>
          <w:rFonts w:ascii="Arial" w:hAnsi="Arial" w:eastAsia="Times New Roman" w:cs="Arial"/>
          <w:bCs/>
          <w:lang w:val="es-MX" w:eastAsia="es-CO"/>
        </w:rPr>
      </w:pPr>
      <w:r w:rsidRPr="006D7E12">
        <w:rPr>
          <w:rFonts w:ascii="Arial" w:hAnsi="Arial" w:eastAsia="Times New Roman" w:cs="Arial"/>
          <w:bCs/>
          <w:lang w:val="es-MX" w:eastAsia="x-none"/>
        </w:rPr>
        <w:t xml:space="preserve">De otro lado, </w:t>
      </w:r>
      <w:bookmarkStart w:name="_Hlk99577887" w:id="37"/>
      <w:bookmarkStart w:name="_Hlk100679762" w:id="38"/>
      <w:r w:rsidRPr="006D7E12">
        <w:rPr>
          <w:rFonts w:ascii="Arial" w:hAnsi="Arial" w:eastAsia="Times New Roman" w:cs="Arial"/>
          <w:bCs/>
          <w:lang w:val="es-MX" w:eastAsia="x-none"/>
        </w:rPr>
        <w:t>las excepciones a la restricción prevista en la Ley de Garantías</w:t>
      </w:r>
      <w:r w:rsidRPr="006D7E12" w:rsidR="00174706">
        <w:rPr>
          <w:rFonts w:ascii="Arial" w:hAnsi="Arial" w:eastAsia="Times New Roman" w:cs="Arial"/>
          <w:bCs/>
          <w:lang w:val="es-MX" w:eastAsia="x-none"/>
        </w:rPr>
        <w:t xml:space="preserve"> Electorales</w:t>
      </w:r>
      <w:r w:rsidRPr="006D7E12">
        <w:rPr>
          <w:rFonts w:ascii="Arial" w:hAnsi="Arial" w:eastAsia="Times New Roman" w:cs="Arial"/>
          <w:bCs/>
          <w:lang w:val="es-MX" w:eastAsia="x-none"/>
        </w:rPr>
        <w:t>,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sidRPr="006D7E12" w:rsidR="00DF5A9D">
        <w:rPr>
          <w:rFonts w:ascii="Arial" w:hAnsi="Arial" w:eastAsia="Times New Roman" w:cs="Arial"/>
          <w:bCs/>
          <w:lang w:val="es-MX" w:eastAsia="x-none"/>
        </w:rPr>
        <w:t>:</w:t>
      </w:r>
      <w:r w:rsidRPr="006D7E12">
        <w:rPr>
          <w:rFonts w:ascii="Arial" w:hAnsi="Arial" w:eastAsia="Times New Roman" w:cs="Arial"/>
          <w:bCs/>
          <w:lang w:val="es-MX" w:eastAsia="x-none"/>
        </w:rPr>
        <w:t xml:space="preserve"> i) la defensa y seguridad del Estado; </w:t>
      </w:r>
      <w:proofErr w:type="spellStart"/>
      <w:r w:rsidRPr="006D7E12">
        <w:rPr>
          <w:rFonts w:ascii="Arial" w:hAnsi="Arial" w:eastAsia="Times New Roman" w:cs="Arial"/>
          <w:bCs/>
          <w:lang w:val="es-MX" w:eastAsia="x-none"/>
        </w:rPr>
        <w:t>ii</w:t>
      </w:r>
      <w:proofErr w:type="spellEnd"/>
      <w:r w:rsidRPr="006D7E12">
        <w:rPr>
          <w:rFonts w:ascii="Arial" w:hAnsi="Arial" w:eastAsia="Times New Roman" w:cs="Arial"/>
          <w:bCs/>
          <w:lang w:val="es-MX" w:eastAsia="x-none"/>
        </w:rPr>
        <w:t xml:space="preserve">) los contratos de crédito público; </w:t>
      </w:r>
      <w:proofErr w:type="spellStart"/>
      <w:r w:rsidRPr="006D7E12">
        <w:rPr>
          <w:rFonts w:ascii="Arial" w:hAnsi="Arial" w:eastAsia="Times New Roman" w:cs="Arial"/>
          <w:bCs/>
          <w:lang w:val="es-MX" w:eastAsia="x-none"/>
        </w:rPr>
        <w:t>iii</w:t>
      </w:r>
      <w:proofErr w:type="spellEnd"/>
      <w:r w:rsidRPr="006D7E12">
        <w:rPr>
          <w:rFonts w:ascii="Arial" w:hAnsi="Arial" w:eastAsia="Times New Roman" w:cs="Arial"/>
          <w:bCs/>
          <w:lang w:val="es-MX" w:eastAsia="x-none"/>
        </w:rPr>
        <w:t xml:space="preserve">) los requeridos para cubrir las emergencias educativas, sanitarias y desastres; </w:t>
      </w:r>
      <w:proofErr w:type="spellStart"/>
      <w:r w:rsidRPr="006D7E12">
        <w:rPr>
          <w:rFonts w:ascii="Arial" w:hAnsi="Arial" w:eastAsia="Times New Roman" w:cs="Arial"/>
          <w:bCs/>
          <w:lang w:val="es-MX" w:eastAsia="x-none"/>
        </w:rPr>
        <w:t>iv</w:t>
      </w:r>
      <w:proofErr w:type="spellEnd"/>
      <w:r w:rsidRPr="006D7E12">
        <w:rPr>
          <w:rFonts w:ascii="Arial" w:hAnsi="Arial" w:eastAsia="Times New Roman"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D7E12">
        <w:rPr>
          <w:rFonts w:ascii="Arial" w:hAnsi="Arial" w:eastAsia="Times New Roman" w:cs="Arial"/>
          <w:bCs/>
          <w:lang w:val="es-MX" w:eastAsia="es-CO"/>
        </w:rPr>
        <w:t xml:space="preserve"> </w:t>
      </w:r>
      <w:r w:rsidRPr="006D7E12" w:rsidR="007D7A6D">
        <w:rPr>
          <w:rFonts w:ascii="Arial" w:hAnsi="Arial" w:eastAsia="Times New Roman" w:cs="Arial"/>
          <w:bCs/>
          <w:lang w:val="es-MX" w:eastAsia="es-CO"/>
        </w:rPr>
        <w:t>E</w:t>
      </w:r>
      <w:r w:rsidRPr="006D7E12">
        <w:rPr>
          <w:rFonts w:ascii="Arial" w:hAnsi="Arial" w:eastAsia="Times New Roman" w:cs="Arial"/>
          <w:bCs/>
          <w:lang w:val="es-MX" w:eastAsia="es-CO"/>
        </w:rPr>
        <w:t xml:space="preserve">s responsabilidad del respectivo </w:t>
      </w:r>
      <w:r w:rsidRPr="006D7E12">
        <w:rPr>
          <w:rFonts w:ascii="Arial" w:hAnsi="Arial" w:eastAsia="Times New Roman" w:cs="Arial"/>
          <w:bCs/>
          <w:lang w:val="es-MX" w:eastAsia="es-CO"/>
        </w:rPr>
        <w:lastRenderedPageBreak/>
        <w:t>ente del Estado, examinar en cada caso la naturaleza de las actividades que adelanta y determinar si las mismas se enmarcan en alguna de las mencionadas excepciones, de manera que se le permita realizar la contratación que necesite en forma directa.</w:t>
      </w:r>
      <w:bookmarkEnd w:id="37"/>
    </w:p>
    <w:bookmarkEnd w:id="38"/>
    <w:p w:rsidRPr="006D7E12" w:rsidR="00883C23" w:rsidP="00883C23" w:rsidRDefault="00883C23" w14:paraId="3CDA035B" w14:textId="64863E82">
      <w:pPr>
        <w:spacing w:after="0" w:line="276" w:lineRule="auto"/>
        <w:ind w:firstLine="708"/>
        <w:jc w:val="both"/>
        <w:rPr>
          <w:rFonts w:ascii="Arial" w:hAnsi="Arial" w:eastAsia="Times New Roman" w:cs="Arial"/>
          <w:bCs/>
          <w:lang w:val="es-MX" w:eastAsia="x-none"/>
        </w:rPr>
      </w:pPr>
      <w:r w:rsidRPr="006D7E12">
        <w:rPr>
          <w:rFonts w:ascii="Arial" w:hAnsi="Arial" w:eastAsia="Times New Roman" w:cs="Arial"/>
          <w:bCs/>
          <w:lang w:val="es-MX" w:eastAsia="x-none"/>
        </w:rPr>
        <w:t>En esta labor es importante tener en cuenta, como lo anotó la Corte Constitucional, en Sentencia C-1153 de noviembre 11 de 2005</w:t>
      </w:r>
      <w:r w:rsidRPr="006D7E12" w:rsidR="00F04513">
        <w:rPr>
          <w:rFonts w:ascii="Calibri" w:hAnsi="Calibri" w:eastAsia="Calibri" w:cs="Times New Roman"/>
          <w:sz w:val="24"/>
          <w:lang w:val="es-MX"/>
        </w:rPr>
        <w:t>,</w:t>
      </w:r>
      <w:r w:rsidRPr="006D7E12">
        <w:rPr>
          <w:rFonts w:ascii="Arial" w:hAnsi="Arial" w:eastAsia="Times New Roman" w:cs="Arial"/>
          <w:bCs/>
          <w:lang w:val="es-MX" w:eastAsia="x-none"/>
        </w:rPr>
        <w:t xml:space="preserve"> </w:t>
      </w:r>
      <w:bookmarkStart w:name="_Hlk74309042" w:id="39"/>
      <w:r w:rsidRPr="006D7E12">
        <w:rPr>
          <w:rFonts w:ascii="Arial" w:hAnsi="Arial" w:eastAsia="Times New Roman" w:cs="Arial"/>
          <w:bCs/>
          <w:lang w:val="es-MX" w:eastAsia="x-none"/>
        </w:rPr>
        <w:t>que «</w:t>
      </w:r>
      <w:bookmarkEnd w:id="39"/>
      <w:r w:rsidRPr="006D7E12">
        <w:rPr>
          <w:rFonts w:ascii="Arial" w:hAnsi="Arial" w:eastAsia="Times New Roman" w:cs="Arial"/>
          <w:bCs/>
          <w:lang w:val="es-MX" w:eastAsia="x-none"/>
        </w:rPr>
        <w:t xml:space="preserve">si bien la limitación garantiza la igualdad de condiciones, también es necesario que tal limitación que pretende la igualdad </w:t>
      </w:r>
      <w:bookmarkStart w:name="_Hlk75768308" w:id="40"/>
      <w:r w:rsidRPr="006D7E12">
        <w:rPr>
          <w:rFonts w:ascii="Arial" w:hAnsi="Arial" w:eastAsia="Times New Roman" w:cs="Arial"/>
          <w:bCs/>
          <w:lang w:val="es-MX" w:eastAsia="x-none"/>
        </w:rPr>
        <w:t>no termine yendo en detrimento de intereses públicos, cuya garantía está en cabeza del ejecutivo, como son los inmersos en las excepciones para la prohibición de contratación</w:t>
      </w:r>
      <w:bookmarkStart w:name="_Hlk74309060" w:id="41"/>
      <w:r w:rsidRPr="006D7E12">
        <w:rPr>
          <w:rFonts w:ascii="Arial" w:hAnsi="Arial" w:eastAsia="Times New Roman" w:cs="Arial"/>
          <w:bCs/>
          <w:lang w:val="es-MX" w:eastAsia="x-none"/>
        </w:rPr>
        <w:t>»</w:t>
      </w:r>
      <w:bookmarkEnd w:id="41"/>
      <w:r w:rsidRPr="006D7E12">
        <w:rPr>
          <w:rFonts w:ascii="Arial" w:hAnsi="Arial" w:eastAsia="Calibri" w:cs="Arial"/>
          <w:vertAlign w:val="superscript"/>
          <w:lang w:val="es-MX"/>
        </w:rPr>
        <w:footnoteReference w:id="19"/>
      </w:r>
      <w:r w:rsidRPr="006D7E12">
        <w:rPr>
          <w:rFonts w:ascii="Arial" w:hAnsi="Arial" w:eastAsia="Times New Roman"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42"/>
      <w:bookmarkEnd w:id="40"/>
    </w:p>
    <w:p w:rsidRPr="006D7E12" w:rsidR="00883C23" w:rsidP="00883C23" w:rsidRDefault="00883C23" w14:paraId="12BF818B" w14:textId="77777777">
      <w:pPr>
        <w:spacing w:after="0" w:line="276" w:lineRule="auto"/>
        <w:ind w:firstLine="708"/>
        <w:jc w:val="both"/>
        <w:rPr>
          <w:rFonts w:ascii="Arial" w:hAnsi="Arial" w:eastAsia="Times New Roman" w:cs="Arial"/>
          <w:bCs/>
          <w:lang w:val="es-MX" w:eastAsia="x-none"/>
        </w:rPr>
      </w:pPr>
    </w:p>
    <w:p w:rsidRPr="006D7E12" w:rsidR="00883C23" w:rsidP="00883C23" w:rsidRDefault="00883C23" w14:paraId="57D96FE9" w14:textId="77777777">
      <w:pPr>
        <w:spacing w:after="0" w:line="276" w:lineRule="auto"/>
        <w:jc w:val="both"/>
        <w:rPr>
          <w:rFonts w:ascii="Arial" w:hAnsi="Arial" w:eastAsia="Times New Roman" w:cs="Arial"/>
          <w:b/>
          <w:lang w:val="es-MX" w:eastAsia="x-none"/>
        </w:rPr>
      </w:pPr>
      <w:r w:rsidRPr="006D7E12">
        <w:rPr>
          <w:rFonts w:ascii="Arial" w:hAnsi="Arial" w:eastAsia="Times New Roman" w:cs="Arial"/>
          <w:b/>
          <w:lang w:val="es-MX" w:eastAsia="x-none"/>
        </w:rPr>
        <w:t>2.3.  Destinatarios de la restricción del artículo 33 de la Ley 996 de 2005</w:t>
      </w:r>
    </w:p>
    <w:p w:rsidRPr="006D7E12" w:rsidR="00883C23" w:rsidP="00883C23" w:rsidRDefault="00883C23" w14:paraId="4BA7233F" w14:textId="77777777">
      <w:pPr>
        <w:spacing w:after="0" w:line="276" w:lineRule="auto"/>
        <w:jc w:val="both"/>
        <w:rPr>
          <w:rFonts w:ascii="Arial" w:hAnsi="Arial" w:eastAsia="Times New Roman" w:cs="Arial"/>
          <w:bCs/>
          <w:lang w:val="es-MX" w:eastAsia="x-none"/>
        </w:rPr>
      </w:pPr>
    </w:p>
    <w:p w:rsidRPr="006D7E12" w:rsidR="00883C23" w:rsidP="00883C23" w:rsidRDefault="00883C23" w14:paraId="66000D6A" w14:textId="0B7C7334">
      <w:pPr>
        <w:spacing w:after="0" w:line="276" w:lineRule="auto"/>
        <w:jc w:val="both"/>
        <w:rPr>
          <w:rFonts w:ascii="Arial" w:hAnsi="Arial" w:eastAsia="Times New Roman" w:cs="Arial"/>
          <w:bCs/>
          <w:lang w:val="es-MX" w:eastAsia="x-none"/>
        </w:rPr>
      </w:pPr>
      <w:bookmarkStart w:name="_Hlk99578018" w:id="43"/>
      <w:r w:rsidRPr="006D7E12">
        <w:rPr>
          <w:rFonts w:ascii="Arial" w:hAnsi="Arial" w:eastAsia="Times New Roman"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D7E12">
        <w:rPr>
          <w:rFonts w:ascii="Calibri" w:hAnsi="Calibri" w:eastAsia="Calibri" w:cs="Times New Roman"/>
          <w:sz w:val="24"/>
          <w:lang w:val="es-MX"/>
        </w:rPr>
        <w:t xml:space="preserve"> </w:t>
      </w:r>
      <w:r w:rsidRPr="006D7E12">
        <w:rPr>
          <w:rFonts w:ascii="Arial" w:hAnsi="Arial" w:eastAsia="Times New Roman" w:cs="Arial"/>
          <w:bCs/>
          <w:lang w:val="es-MX" w:eastAsia="x-none"/>
        </w:rPr>
        <w:t xml:space="preserve">En efecto, como ha sostenido el Consejo de Estado, el vocablo </w:t>
      </w:r>
      <w:bookmarkStart w:name="_Hlk75632581" w:id="44"/>
      <w:r w:rsidRPr="006D7E12">
        <w:rPr>
          <w:rFonts w:ascii="Arial" w:hAnsi="Arial" w:eastAsia="Times New Roman" w:cs="Arial"/>
          <w:bCs/>
          <w:lang w:val="es-MX" w:eastAsia="x-none"/>
        </w:rPr>
        <w:t>«</w:t>
      </w:r>
      <w:bookmarkEnd w:id="44"/>
      <w:r w:rsidRPr="006D7E12">
        <w:rPr>
          <w:rFonts w:ascii="Arial" w:hAnsi="Arial" w:eastAsia="Times New Roman" w:cs="Arial"/>
          <w:bCs/>
          <w:lang w:val="es-MX" w:eastAsia="x-none"/>
        </w:rPr>
        <w:t>todos» utilizado por el legislador comprende</w:t>
      </w:r>
      <w:r w:rsidRPr="006D7E12">
        <w:rPr>
          <w:rFonts w:ascii="Calibri" w:hAnsi="Calibri" w:eastAsia="Calibri" w:cs="Times New Roman"/>
          <w:sz w:val="24"/>
          <w:lang w:val="es-MX"/>
        </w:rPr>
        <w:t xml:space="preserve"> </w:t>
      </w:r>
      <w:r w:rsidRPr="006D7E12">
        <w:rPr>
          <w:rFonts w:ascii="Arial" w:hAnsi="Arial" w:eastAsia="Times New Roman" w:cs="Arial"/>
          <w:bCs/>
          <w:lang w:val="es-MX" w:eastAsia="x-none"/>
        </w:rPr>
        <w:t>a la totalidad de los entes del Estado, sin distinción del régimen jurídico, forma de organización o naturaleza, su pertenencia a una u otra rama del poder público o su autonomía</w:t>
      </w:r>
      <w:bookmarkEnd w:id="42"/>
      <w:r w:rsidRPr="006D7E12">
        <w:rPr>
          <w:rFonts w:ascii="Arial" w:hAnsi="Arial" w:eastAsia="Times New Roman"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43"/>
      <w:r w:rsidRPr="006D7E12">
        <w:rPr>
          <w:rFonts w:ascii="Arial" w:hAnsi="Arial" w:eastAsia="Times New Roman" w:cs="Arial"/>
          <w:bCs/>
          <w:lang w:val="es-MX" w:eastAsia="x-none"/>
        </w:rPr>
        <w:t xml:space="preserve">El Consejo de Estado, en Concepto con radicado 1727 de fecha 20 de febrero de 2006, consideró que: </w:t>
      </w:r>
    </w:p>
    <w:p w:rsidRPr="006D7E12" w:rsidR="00883C23" w:rsidP="00883C23" w:rsidRDefault="00883C23" w14:paraId="2B0F7A12" w14:textId="77777777">
      <w:pPr>
        <w:spacing w:after="0" w:line="276" w:lineRule="auto"/>
        <w:ind w:firstLine="708"/>
        <w:contextualSpacing/>
        <w:jc w:val="both"/>
        <w:rPr>
          <w:rFonts w:ascii="Arial" w:hAnsi="Arial" w:eastAsia="Times New Roman" w:cs="Arial"/>
          <w:bCs/>
          <w:lang w:val="es-MX" w:eastAsia="x-none"/>
        </w:rPr>
      </w:pPr>
    </w:p>
    <w:p w:rsidRPr="006D7E12" w:rsidR="00883C23" w:rsidP="00883C23" w:rsidRDefault="00883C23" w14:paraId="0BCAC0DC" w14:textId="77777777">
      <w:pPr>
        <w:spacing w:after="0" w:line="240" w:lineRule="auto"/>
        <w:ind w:left="708" w:right="709"/>
        <w:contextualSpacing/>
        <w:jc w:val="both"/>
        <w:rPr>
          <w:rFonts w:ascii="Arial" w:hAnsi="Arial" w:eastAsia="Times New Roman" w:cs="Arial"/>
          <w:bCs/>
          <w:sz w:val="21"/>
          <w:szCs w:val="21"/>
          <w:lang w:val="es-MX" w:eastAsia="es-CO"/>
        </w:rPr>
      </w:pPr>
      <w:r w:rsidRPr="006D7E12">
        <w:rPr>
          <w:rFonts w:ascii="Arial" w:hAnsi="Arial" w:eastAsia="Times New Roman" w:cs="Arial"/>
          <w:bCs/>
          <w:sz w:val="21"/>
          <w:szCs w:val="21"/>
          <w:lang w:val="es-MX" w:eastAsia="x-none"/>
        </w:rPr>
        <w:t xml:space="preserve">El artículo 33 de la ley 996 de 2005, </w:t>
      </w:r>
      <w:bookmarkStart w:name="_Hlk75787147" w:id="45"/>
      <w:r w:rsidRPr="006D7E12">
        <w:rPr>
          <w:rFonts w:ascii="Arial" w:hAnsi="Arial" w:eastAsia="Times New Roman" w:cs="Arial"/>
          <w:bCs/>
          <w:sz w:val="21"/>
          <w:szCs w:val="21"/>
          <w:lang w:val="es-MX" w:eastAsia="x-none"/>
        </w:rPr>
        <w:t xml:space="preserve">efectivamente se aplica </w:t>
      </w:r>
      <w:bookmarkStart w:name="_Hlk76074089" w:id="46"/>
      <w:r w:rsidRPr="006D7E12">
        <w:rPr>
          <w:rFonts w:ascii="Arial" w:hAnsi="Arial" w:eastAsia="Times New Roman"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46"/>
      <w:r w:rsidRPr="006D7E12">
        <w:rPr>
          <w:rFonts w:ascii="Arial" w:hAnsi="Arial" w:eastAsia="Times New Roman"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D7E12">
        <w:rPr>
          <w:rFonts w:ascii="Arial" w:hAnsi="Arial" w:eastAsia="Times New Roman" w:cs="Arial"/>
          <w:bCs/>
          <w:sz w:val="21"/>
          <w:szCs w:val="21"/>
          <w:vertAlign w:val="superscript"/>
          <w:lang w:val="es-MX" w:eastAsia="x-none"/>
        </w:rPr>
        <w:footnoteReference w:id="20"/>
      </w:r>
      <w:r w:rsidRPr="006D7E12">
        <w:rPr>
          <w:rFonts w:ascii="Arial" w:hAnsi="Arial" w:eastAsia="Times New Roman" w:cs="Arial"/>
          <w:bCs/>
          <w:sz w:val="21"/>
          <w:szCs w:val="21"/>
          <w:lang w:val="es-MX" w:eastAsia="x-none"/>
        </w:rPr>
        <w:t>.</w:t>
      </w:r>
      <w:r w:rsidRPr="006D7E12">
        <w:rPr>
          <w:rFonts w:ascii="Arial" w:hAnsi="Arial" w:eastAsia="Times New Roman" w:cs="Arial"/>
          <w:bCs/>
          <w:sz w:val="21"/>
          <w:szCs w:val="21"/>
          <w:lang w:val="es-MX" w:eastAsia="es-CO"/>
        </w:rPr>
        <w:t xml:space="preserve"> </w:t>
      </w:r>
    </w:p>
    <w:p w:rsidRPr="006D7E12" w:rsidR="00883C23" w:rsidP="00883C23" w:rsidRDefault="00883C23" w14:paraId="7C5573DC" w14:textId="77777777">
      <w:pPr>
        <w:spacing w:after="0" w:line="276" w:lineRule="auto"/>
        <w:ind w:firstLine="708"/>
        <w:contextualSpacing/>
        <w:jc w:val="both"/>
        <w:rPr>
          <w:rFonts w:ascii="Arial" w:hAnsi="Arial" w:eastAsia="Times New Roman" w:cs="Arial"/>
          <w:bCs/>
          <w:lang w:val="es-MX" w:eastAsia="es-CO"/>
        </w:rPr>
      </w:pPr>
    </w:p>
    <w:p w:rsidRPr="006D7E12" w:rsidR="00883C23" w:rsidP="00883C23" w:rsidRDefault="00883C23" w14:paraId="754ACB1C" w14:textId="77777777">
      <w:pPr>
        <w:spacing w:after="0" w:line="276" w:lineRule="auto"/>
        <w:ind w:firstLine="708"/>
        <w:contextualSpacing/>
        <w:jc w:val="both"/>
        <w:rPr>
          <w:rFonts w:ascii="Arial" w:hAnsi="Arial" w:eastAsia="Calibri" w:cs="Arial"/>
          <w:lang w:val="es-MX"/>
        </w:rPr>
      </w:pPr>
      <w:r w:rsidRPr="006D7E12">
        <w:rPr>
          <w:rFonts w:ascii="Arial" w:hAnsi="Arial" w:eastAsia="Times New Roman" w:cs="Arial"/>
          <w:bCs/>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635823" w:id="47"/>
      <w:r w:rsidRPr="006D7E12">
        <w:rPr>
          <w:rFonts w:ascii="Arial" w:hAnsi="Arial" w:eastAsia="Times New Roman" w:cs="Arial"/>
          <w:bCs/>
          <w:lang w:val="es-MX" w:eastAsia="x-none"/>
        </w:rPr>
        <w:t>»</w:t>
      </w:r>
      <w:bookmarkStart w:name="_Hlk75758868" w:id="48"/>
      <w:bookmarkStart w:name="_Hlk75741220" w:id="49"/>
      <w:bookmarkEnd w:id="47"/>
      <w:r w:rsidRPr="006D7E12">
        <w:rPr>
          <w:rFonts w:ascii="Arial" w:hAnsi="Arial" w:eastAsia="Calibri" w:cs="Arial"/>
          <w:sz w:val="24"/>
          <w:vertAlign w:val="superscript"/>
          <w:lang w:val="es-MX"/>
        </w:rPr>
        <w:footnoteReference w:id="21"/>
      </w:r>
      <w:bookmarkEnd w:id="48"/>
      <w:bookmarkEnd w:id="49"/>
      <w:r w:rsidRPr="006D7E12">
        <w:rPr>
          <w:rFonts w:ascii="Arial" w:hAnsi="Arial" w:eastAsia="Times New Roman" w:cs="Arial"/>
          <w:bCs/>
          <w:lang w:val="es-MX" w:eastAsia="x-none"/>
        </w:rPr>
        <w:t>.</w:t>
      </w:r>
      <w:r w:rsidRPr="006D7E12">
        <w:rPr>
          <w:rFonts w:ascii="Arial" w:hAnsi="Arial" w:eastAsia="Calibri" w:cs="Arial"/>
          <w:lang w:val="es-MX"/>
        </w:rPr>
        <w:t xml:space="preserve"> Sin embargo, debe precisarse el siguiente aspecto que distinguió la Sala de Consulta y Servicio Civil:</w:t>
      </w:r>
    </w:p>
    <w:p w:rsidRPr="006D7E12" w:rsidR="00883C23" w:rsidP="00883C23" w:rsidRDefault="00883C23" w14:paraId="515EEBAE" w14:textId="77777777">
      <w:pPr>
        <w:spacing w:after="0" w:line="276" w:lineRule="auto"/>
        <w:contextualSpacing/>
        <w:jc w:val="both"/>
        <w:rPr>
          <w:rFonts w:ascii="Arial" w:hAnsi="Arial" w:eastAsia="Calibri" w:cs="Arial"/>
          <w:lang w:val="es-MX"/>
        </w:rPr>
      </w:pPr>
    </w:p>
    <w:p w:rsidRPr="006D7E12" w:rsidR="00883C23" w:rsidP="00883C23" w:rsidRDefault="00883C23" w14:paraId="41844B73" w14:textId="77777777">
      <w:pPr>
        <w:spacing w:after="0" w:line="240" w:lineRule="auto"/>
        <w:ind w:left="708" w:right="709"/>
        <w:contextualSpacing/>
        <w:jc w:val="both"/>
        <w:rPr>
          <w:rFonts w:ascii="Arial" w:hAnsi="Arial" w:eastAsia="Calibri" w:cs="Arial"/>
          <w:sz w:val="21"/>
          <w:szCs w:val="21"/>
          <w:lang w:val="es-MX"/>
        </w:rPr>
      </w:pPr>
      <w:bookmarkStart w:name="_Hlk75811446" w:id="51"/>
      <w:r w:rsidRPr="006D7E12">
        <w:rPr>
          <w:rFonts w:ascii="Arial" w:hAnsi="Arial" w:eastAsia="Calibri"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1"/>
      <w:r w:rsidRPr="006D7E12">
        <w:rPr>
          <w:rFonts w:ascii="Arial" w:hAnsi="Arial" w:eastAsia="Calibri" w:cs="Arial"/>
          <w:sz w:val="24"/>
          <w:vertAlign w:val="superscript"/>
          <w:lang w:val="es-MX"/>
        </w:rPr>
        <w:footnoteReference w:id="22"/>
      </w:r>
      <w:r w:rsidRPr="006D7E12">
        <w:rPr>
          <w:rFonts w:ascii="Arial" w:hAnsi="Arial" w:eastAsia="Times New Roman" w:cs="Arial"/>
          <w:bCs/>
          <w:lang w:val="es-MX" w:eastAsia="x-none"/>
        </w:rPr>
        <w:t>.</w:t>
      </w:r>
    </w:p>
    <w:p w:rsidRPr="006D7E12" w:rsidR="00883C23" w:rsidP="00883C23" w:rsidRDefault="00883C23" w14:paraId="0B4F616F" w14:textId="77777777">
      <w:pPr>
        <w:spacing w:after="0" w:line="276" w:lineRule="auto"/>
        <w:contextualSpacing/>
        <w:jc w:val="both"/>
        <w:rPr>
          <w:rFonts w:ascii="Arial" w:hAnsi="Arial" w:eastAsia="Calibri" w:cs="Arial"/>
          <w:lang w:val="es-MX"/>
        </w:rPr>
      </w:pPr>
    </w:p>
    <w:p w:rsidRPr="006D7E12" w:rsidR="00883C23" w:rsidP="00883C23" w:rsidRDefault="00883C23" w14:paraId="7F598CF4" w14:textId="3121CBB7">
      <w:pPr>
        <w:spacing w:after="120" w:line="276" w:lineRule="auto"/>
        <w:ind w:firstLine="709"/>
        <w:jc w:val="both"/>
        <w:rPr>
          <w:rFonts w:ascii="Arial" w:hAnsi="Arial" w:eastAsia="Times New Roman" w:cs="Arial"/>
          <w:bCs/>
          <w:lang w:val="es-MX" w:eastAsia="x-none"/>
        </w:rPr>
      </w:pPr>
      <w:r w:rsidRPr="006D7E12">
        <w:rPr>
          <w:rFonts w:ascii="Arial" w:hAnsi="Arial" w:eastAsia="Calibri" w:cs="Arial"/>
          <w:lang w:val="es-MX"/>
        </w:rPr>
        <w:t>Aplicando este razonamiento,</w:t>
      </w:r>
      <w:bookmarkStart w:name="_Hlk75811096" w:id="52"/>
      <w:r w:rsidRPr="006D7E12">
        <w:rPr>
          <w:rFonts w:ascii="Arial" w:hAnsi="Arial" w:eastAsia="Calibri"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w:t>
      </w:r>
      <w:r w:rsidRPr="006D7E12">
        <w:rPr>
          <w:rFonts w:ascii="Arial" w:hAnsi="Arial" w:eastAsia="Calibri" w:cs="Arial"/>
          <w:lang w:val="es-MX"/>
        </w:rPr>
        <w:lastRenderedPageBreak/>
        <w:t xml:space="preserve">directa, significaría la parálisis de tal actividad de interés público, lo que de ninguna manera es lo querido por la </w:t>
      </w:r>
      <w:r w:rsidRPr="006D7E12" w:rsidR="00004152">
        <w:rPr>
          <w:rFonts w:ascii="Arial" w:hAnsi="Arial" w:eastAsia="Calibri" w:cs="Arial"/>
          <w:lang w:val="es-MX"/>
        </w:rPr>
        <w:t xml:space="preserve">Ley </w:t>
      </w:r>
      <w:r w:rsidRPr="006D7E12">
        <w:rPr>
          <w:rFonts w:ascii="Arial" w:hAnsi="Arial" w:eastAsia="Calibri" w:cs="Arial"/>
          <w:lang w:val="es-MX"/>
        </w:rPr>
        <w:t>996 de 2005</w:t>
      </w:r>
      <w:bookmarkEnd w:id="52"/>
      <w:r w:rsidRPr="006D7E12">
        <w:rPr>
          <w:rFonts w:ascii="Arial" w:hAnsi="Arial" w:eastAsia="Calibri" w:cs="Arial"/>
          <w:lang w:val="es-MX"/>
        </w:rPr>
        <w:t>»</w:t>
      </w:r>
      <w:r w:rsidRPr="006D7E12">
        <w:rPr>
          <w:rFonts w:ascii="Arial" w:hAnsi="Arial" w:eastAsia="Calibri" w:cs="Arial"/>
          <w:sz w:val="24"/>
          <w:vertAlign w:val="superscript"/>
          <w:lang w:val="es-MX"/>
        </w:rPr>
        <w:t xml:space="preserve"> </w:t>
      </w:r>
      <w:r w:rsidRPr="006D7E12">
        <w:rPr>
          <w:rFonts w:ascii="Arial" w:hAnsi="Arial" w:eastAsia="Calibri" w:cs="Arial"/>
          <w:vertAlign w:val="superscript"/>
          <w:lang w:val="es-MX"/>
        </w:rPr>
        <w:footnoteReference w:id="23"/>
      </w:r>
      <w:r w:rsidRPr="006D7E12">
        <w:rPr>
          <w:rFonts w:ascii="Arial" w:hAnsi="Arial" w:eastAsia="Calibri" w:cs="Arial"/>
          <w:lang w:val="es-MX"/>
        </w:rPr>
        <w:t>.</w:t>
      </w:r>
    </w:p>
    <w:p w:rsidRPr="006D7E12" w:rsidR="00883C23" w:rsidP="00883C23" w:rsidRDefault="00883C23" w14:paraId="29815E3C" w14:textId="77777777">
      <w:pPr>
        <w:spacing w:after="0" w:line="276" w:lineRule="auto"/>
        <w:ind w:firstLine="708"/>
        <w:jc w:val="both"/>
        <w:rPr>
          <w:rFonts w:ascii="Arial" w:hAnsi="Arial" w:eastAsia="Times New Roman" w:cs="Arial"/>
          <w:bCs/>
          <w:lang w:val="es-MX" w:eastAsia="x-none"/>
        </w:rPr>
      </w:pPr>
      <w:bookmarkStart w:name="_Hlk77237229" w:id="53"/>
      <w:bookmarkEnd w:id="45"/>
      <w:r w:rsidRPr="006D7E12">
        <w:rPr>
          <w:rFonts w:ascii="Arial" w:hAnsi="Arial" w:eastAsia="Calibri" w:cs="Arial"/>
          <w:lang w:val="es-MX"/>
        </w:rPr>
        <w:t>Por lo tanto, la restricción prevista en la Ley 996 de 200</w:t>
      </w:r>
      <w:bookmarkStart w:name="_Hlk75741539" w:id="54"/>
      <w:r w:rsidRPr="006D7E12">
        <w:rPr>
          <w:rFonts w:ascii="Arial" w:hAnsi="Arial" w:eastAsia="Calibri" w:cs="Arial"/>
          <w:lang w:val="es-MX"/>
        </w:rPr>
        <w:t xml:space="preserve">5, </w:t>
      </w:r>
      <w:r w:rsidRPr="006D7E12">
        <w:rPr>
          <w:rFonts w:ascii="Arial" w:hAnsi="Arial" w:eastAsia="Times New Roman" w:cs="Arial"/>
          <w:bCs/>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53"/>
    <w:bookmarkEnd w:id="54"/>
    <w:p w:rsidRPr="006D7E12" w:rsidR="00667C06" w:rsidP="00E802CA" w:rsidRDefault="00667C06" w14:paraId="7F5B96EF" w14:textId="77777777">
      <w:pPr>
        <w:spacing w:after="0" w:line="276" w:lineRule="auto"/>
        <w:contextualSpacing/>
        <w:jc w:val="both"/>
        <w:rPr>
          <w:rFonts w:ascii="Arial" w:hAnsi="Arial" w:eastAsia="Calibri" w:cs="Arial"/>
          <w:lang w:val="es-ES_tradnl"/>
        </w:rPr>
      </w:pPr>
    </w:p>
    <w:p w:rsidRPr="006D7E12" w:rsidR="00883C23" w:rsidP="00667C06" w:rsidRDefault="00883C23" w14:paraId="2A48EB4D" w14:textId="77777777">
      <w:pPr>
        <w:spacing w:after="0" w:line="276" w:lineRule="auto"/>
        <w:contextualSpacing/>
        <w:jc w:val="both"/>
        <w:rPr>
          <w:rFonts w:ascii="Arial" w:hAnsi="Arial" w:eastAsia="Calibri" w:cs="Arial"/>
          <w:b/>
        </w:rPr>
      </w:pPr>
      <w:r w:rsidRPr="006D7E12">
        <w:rPr>
          <w:rFonts w:ascii="Arial" w:hAnsi="Arial" w:eastAsia="Calibri" w:cs="Arial"/>
          <w:b/>
        </w:rPr>
        <w:t>3. Respuesta</w:t>
      </w:r>
    </w:p>
    <w:p w:rsidRPr="006D7E12" w:rsidR="00883C23" w:rsidP="00667C06" w:rsidRDefault="00883C23" w14:paraId="4A77B27A" w14:textId="77777777">
      <w:pPr>
        <w:spacing w:after="0" w:line="276" w:lineRule="auto"/>
        <w:contextualSpacing/>
        <w:jc w:val="both"/>
        <w:rPr>
          <w:rFonts w:ascii="Arial" w:hAnsi="Arial" w:eastAsia="Calibri" w:cs="Arial"/>
          <w:bCs/>
        </w:rPr>
      </w:pPr>
    </w:p>
    <w:p w:rsidRPr="006D7E12" w:rsidR="004F2E72" w:rsidP="006014D3" w:rsidRDefault="008A2454" w14:paraId="498BF32B" w14:textId="175DE60C">
      <w:pPr>
        <w:spacing w:after="0" w:line="240" w:lineRule="auto"/>
        <w:ind w:left="709" w:right="709"/>
        <w:jc w:val="both"/>
        <w:rPr>
          <w:rFonts w:ascii="Arial" w:hAnsi="Arial" w:eastAsia="Times New Roman" w:cs="Arial"/>
          <w:sz w:val="21"/>
          <w:szCs w:val="21"/>
          <w:shd w:val="clear" w:color="auto" w:fill="FFFFFF"/>
          <w:lang w:eastAsia="es-CO"/>
        </w:rPr>
      </w:pPr>
      <w:bookmarkStart w:name="_Hlk57650395" w:id="55"/>
      <w:r w:rsidRPr="008A2454">
        <w:rPr>
          <w:rFonts w:ascii="Arial" w:hAnsi="Arial" w:eastAsia="Times New Roman" w:cs="Arial"/>
          <w:sz w:val="21"/>
          <w:szCs w:val="21"/>
          <w:shd w:val="clear" w:color="auto" w:fill="FFFFFF"/>
          <w:lang w:eastAsia="es-CO"/>
        </w:rPr>
        <w:t>«[…] me permito solicitar a su Despacho, concepto sobre la viabilidad de que una entidad estatal que se rige por el Estatuto General de la Contratación suscriba en vigencia de la ley de garantías un acuerdo de cofinanciación de recursos públicos con una entidad encargada de administrativo un patrimonio autónomo […]»</w:t>
      </w:r>
      <w:r w:rsidRPr="006D7E12" w:rsidR="000D38A1">
        <w:rPr>
          <w:rFonts w:ascii="Arial" w:hAnsi="Arial" w:eastAsia="Times New Roman" w:cs="Arial"/>
          <w:sz w:val="21"/>
          <w:szCs w:val="21"/>
          <w:shd w:val="clear" w:color="auto" w:fill="FFFFFF"/>
          <w:lang w:eastAsia="es-CO"/>
        </w:rPr>
        <w:t>.</w:t>
      </w:r>
      <w:r w:rsidRPr="006D7E12" w:rsidR="004F2E72">
        <w:rPr>
          <w:rFonts w:ascii="Arial" w:hAnsi="Arial" w:eastAsia="Times New Roman" w:cs="Arial"/>
          <w:sz w:val="21"/>
          <w:szCs w:val="21"/>
          <w:shd w:val="clear" w:color="auto" w:fill="FFFFFF"/>
          <w:lang w:eastAsia="es-CO"/>
        </w:rPr>
        <w:t xml:space="preserve"> </w:t>
      </w:r>
    </w:p>
    <w:p w:rsidRPr="006D7E12" w:rsidR="004F2E72" w:rsidP="00BE1101" w:rsidRDefault="004F2E72" w14:paraId="03A49C47" w14:textId="77777777">
      <w:pPr>
        <w:spacing w:after="0" w:line="276" w:lineRule="auto"/>
        <w:ind w:left="709" w:right="709"/>
        <w:jc w:val="both"/>
        <w:rPr>
          <w:rFonts w:ascii="Arial" w:hAnsi="Arial" w:eastAsia="Times New Roman" w:cs="Arial"/>
          <w:shd w:val="clear" w:color="auto" w:fill="FFFFFF"/>
          <w:lang w:eastAsia="es-CO"/>
        </w:rPr>
      </w:pPr>
    </w:p>
    <w:p w:rsidR="002E6D93" w:rsidP="002E6D93" w:rsidRDefault="00486B76" w14:paraId="6F6449AB" w14:textId="77777777">
      <w:pPr>
        <w:spacing w:after="120"/>
        <w:jc w:val="both"/>
        <w:rPr>
          <w:rFonts w:ascii="Arial" w:hAnsi="Arial" w:eastAsia="Times New Roman" w:cs="Arial"/>
          <w:bCs/>
          <w:lang w:eastAsia="es-CO"/>
        </w:rPr>
      </w:pPr>
      <w:r w:rsidRPr="006D7E12">
        <w:rPr>
          <w:rFonts w:ascii="Arial" w:hAnsi="Arial" w:eastAsia="Times New Roman" w:cs="Arial"/>
          <w:bCs/>
          <w:lang w:val="es-MX" w:eastAsia="es-CO"/>
        </w:rPr>
        <w:t>De acuerdo con la interpretación de las normas generales del sistema de compras públicas</w:t>
      </w:r>
      <w:r w:rsidRPr="00DF33AC" w:rsidR="00DF33AC">
        <w:rPr>
          <w:rFonts w:ascii="Arial" w:hAnsi="Arial" w:eastAsia="Times New Roman" w:cs="Arial"/>
          <w:bCs/>
          <w:lang w:val="es-MX" w:eastAsia="es-CO"/>
        </w:rPr>
        <w:t>, sin perjuicio de cada entidad defina la viabilidad técnica, jurídica y financiera de celebrar determinado contrato estatal en específico,</w:t>
      </w:r>
      <w:r w:rsidRPr="006D7E12">
        <w:rPr>
          <w:rFonts w:ascii="Arial" w:hAnsi="Arial" w:eastAsia="Times New Roman" w:cs="Arial"/>
          <w:bCs/>
          <w:lang w:val="es-MX" w:eastAsia="es-CO"/>
        </w:rPr>
        <w:t xml:space="preserve"> </w:t>
      </w:r>
      <w:r w:rsidRPr="00166B45" w:rsidR="002E6D93">
        <w:rPr>
          <w:rFonts w:ascii="Arial" w:hAnsi="Arial" w:eastAsia="Times New Roman" w:cs="Arial"/>
          <w:bCs/>
          <w:lang w:eastAsia="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166B45" w:rsidR="002E6D93" w:rsidP="002E6D93" w:rsidRDefault="002E6D93" w14:paraId="756B10F1" w14:textId="77777777">
      <w:pPr>
        <w:spacing w:after="120"/>
        <w:ind w:firstLine="708"/>
        <w:jc w:val="both"/>
        <w:rPr>
          <w:rFonts w:ascii="Arial" w:hAnsi="Arial" w:eastAsia="Times New Roman" w:cs="Arial"/>
          <w:bCs/>
          <w:lang w:eastAsia="x-none"/>
        </w:rPr>
      </w:pPr>
      <w:r w:rsidRPr="00166B45">
        <w:rPr>
          <w:rFonts w:ascii="Arial" w:hAnsi="Arial" w:eastAsia="Times New Roman" w:cs="Arial"/>
          <w:bCs/>
          <w:lang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66B45">
        <w:rPr>
          <w:rFonts w:ascii="Arial" w:hAnsi="Arial" w:eastAsia="Times New Roman" w:cs="Arial"/>
          <w:vertAlign w:val="superscript"/>
          <w:lang w:eastAsia="x-none"/>
        </w:rPr>
        <w:t xml:space="preserve"> </w:t>
      </w:r>
      <w:r w:rsidRPr="00166B45">
        <w:rPr>
          <w:rFonts w:ascii="Arial" w:hAnsi="Arial" w:eastAsia="Times New Roman" w:cs="Arial"/>
          <w:bCs/>
          <w:lang w:eastAsia="x-none"/>
        </w:rPr>
        <w:t xml:space="preserve">De lo anterior se desprende que la restricción </w:t>
      </w:r>
      <w:r w:rsidRPr="00166B45">
        <w:rPr>
          <w:rFonts w:ascii="Arial" w:hAnsi="Arial" w:eastAsia="Times New Roman" w:cs="Arial"/>
          <w:bCs/>
          <w:lang w:eastAsia="x-none"/>
        </w:rPr>
        <w:lastRenderedPageBreak/>
        <w:t>aplica para celebrar cualquier contrato de forma directa, esto es, sin que exista un proceso abierto y competitivo.</w:t>
      </w:r>
    </w:p>
    <w:p w:rsidRPr="00166B45" w:rsidR="002E6D93" w:rsidP="002E6D93" w:rsidRDefault="002E6D93" w14:paraId="2775D614" w14:textId="72C6CB38">
      <w:pPr>
        <w:spacing w:after="120"/>
        <w:ind w:firstLine="708"/>
        <w:jc w:val="both"/>
        <w:rPr>
          <w:rFonts w:ascii="Arial" w:hAnsi="Arial" w:eastAsia="Times New Roman" w:cs="Arial"/>
          <w:bCs/>
          <w:lang w:eastAsia="es-CO"/>
        </w:rPr>
      </w:pPr>
      <w:r>
        <w:rPr>
          <w:rFonts w:ascii="Arial" w:hAnsi="Arial" w:eastAsia="Times New Roman" w:cs="Arial"/>
          <w:bCs/>
          <w:lang w:eastAsia="x-none"/>
        </w:rPr>
        <w:t>Asimismo</w:t>
      </w:r>
      <w:r w:rsidRPr="00166B45">
        <w:rPr>
          <w:rFonts w:ascii="Arial" w:hAnsi="Arial" w:eastAsia="Times New Roman" w:cs="Arial"/>
          <w:bCs/>
          <w:lang w:eastAsia="x-none"/>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w:t>
      </w:r>
      <w:r>
        <w:rPr>
          <w:rFonts w:ascii="Arial" w:hAnsi="Arial" w:eastAsia="Times New Roman" w:cs="Arial"/>
          <w:bCs/>
          <w:lang w:eastAsia="x-none"/>
        </w:rPr>
        <w:t>,</w:t>
      </w:r>
      <w:r w:rsidRPr="00166B45">
        <w:rPr>
          <w:rFonts w:ascii="Arial" w:hAnsi="Arial" w:eastAsia="Times New Roman" w:cs="Arial"/>
          <w:bCs/>
          <w:lang w:eastAsia="x-none"/>
        </w:rPr>
        <w:t xml:space="preserve"> en lo referente a</w:t>
      </w:r>
      <w:r>
        <w:rPr>
          <w:rFonts w:ascii="Arial" w:hAnsi="Arial" w:eastAsia="Times New Roman" w:cs="Arial"/>
          <w:bCs/>
          <w:lang w:eastAsia="x-none"/>
        </w:rPr>
        <w:t>:</w:t>
      </w:r>
      <w:r w:rsidRPr="00166B45">
        <w:rPr>
          <w:rFonts w:ascii="Arial" w:hAnsi="Arial" w:eastAsia="Times New Roman" w:cs="Arial"/>
          <w:bCs/>
          <w:lang w:eastAsia="x-none"/>
        </w:rPr>
        <w:t xml:space="preserve"> i) la defensa y seguridad del Estado; </w:t>
      </w:r>
      <w:proofErr w:type="spellStart"/>
      <w:r w:rsidRPr="00166B45">
        <w:rPr>
          <w:rFonts w:ascii="Arial" w:hAnsi="Arial" w:eastAsia="Times New Roman" w:cs="Arial"/>
          <w:bCs/>
          <w:lang w:eastAsia="x-none"/>
        </w:rPr>
        <w:t>ii</w:t>
      </w:r>
      <w:proofErr w:type="spellEnd"/>
      <w:r w:rsidRPr="00166B45">
        <w:rPr>
          <w:rFonts w:ascii="Arial" w:hAnsi="Arial" w:eastAsia="Times New Roman" w:cs="Arial"/>
          <w:bCs/>
          <w:lang w:eastAsia="x-none"/>
        </w:rPr>
        <w:t xml:space="preserve">) los contratos de crédito público; </w:t>
      </w:r>
      <w:proofErr w:type="spellStart"/>
      <w:r w:rsidRPr="00166B45">
        <w:rPr>
          <w:rFonts w:ascii="Arial" w:hAnsi="Arial" w:eastAsia="Times New Roman" w:cs="Arial"/>
          <w:bCs/>
          <w:lang w:eastAsia="x-none"/>
        </w:rPr>
        <w:t>iii</w:t>
      </w:r>
      <w:proofErr w:type="spellEnd"/>
      <w:r w:rsidRPr="00166B45">
        <w:rPr>
          <w:rFonts w:ascii="Arial" w:hAnsi="Arial" w:eastAsia="Times New Roman" w:cs="Arial"/>
          <w:bCs/>
          <w:lang w:eastAsia="x-none"/>
        </w:rPr>
        <w:t xml:space="preserve">) los requeridos para cubrir las emergencias educativas, sanitarias y desastres; </w:t>
      </w:r>
      <w:proofErr w:type="spellStart"/>
      <w:r w:rsidRPr="00166B45">
        <w:rPr>
          <w:rFonts w:ascii="Arial" w:hAnsi="Arial" w:eastAsia="Times New Roman" w:cs="Arial"/>
          <w:bCs/>
          <w:lang w:eastAsia="x-none"/>
        </w:rPr>
        <w:t>iv</w:t>
      </w:r>
      <w:proofErr w:type="spellEnd"/>
      <w:r w:rsidRPr="00166B45">
        <w:rPr>
          <w:rFonts w:ascii="Arial" w:hAnsi="Arial" w:eastAsia="Times New Roman"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166B45">
        <w:rPr>
          <w:rFonts w:ascii="Arial" w:hAnsi="Arial" w:eastAsia="Times New Roman"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524963" w:rsidR="0082747B" w:rsidP="0082747B" w:rsidRDefault="0082747B" w14:paraId="758B68E0" w14:textId="77777777">
      <w:pPr>
        <w:spacing w:before="120" w:line="276" w:lineRule="auto"/>
        <w:ind w:firstLine="708"/>
        <w:jc w:val="both"/>
        <w:rPr>
          <w:rFonts w:ascii="Arial" w:hAnsi="Arial" w:eastAsia="Calibri" w:cs="Arial"/>
          <w:color w:val="000000"/>
        </w:rPr>
      </w:pPr>
      <w:r>
        <w:rPr>
          <w:rFonts w:ascii="Arial" w:hAnsi="Arial" w:eastAsia="Calibri" w:cs="Arial"/>
          <w:bCs/>
          <w:color w:val="000000"/>
          <w:lang w:eastAsia="es-CO"/>
        </w:rPr>
        <w:t xml:space="preserve">Bajo estas consideraciones, corresponde a </w:t>
      </w:r>
      <w:r w:rsidRPr="00524963">
        <w:rPr>
          <w:rFonts w:ascii="Arial" w:hAnsi="Arial" w:eastAsia="Calibri" w:cs="Arial"/>
          <w:bCs/>
          <w:color w:val="000000"/>
          <w:lang w:eastAsia="es-CO"/>
        </w:rPr>
        <w:t>cada entidad pública, en ejercicio de su competencia y previa valoración de los elementos fácticos y jurídicos, determinar si</w:t>
      </w:r>
      <w:r>
        <w:rPr>
          <w:rFonts w:ascii="Arial" w:hAnsi="Arial" w:eastAsia="Calibri" w:cs="Arial"/>
          <w:bCs/>
          <w:color w:val="000000"/>
          <w:lang w:eastAsia="es-CO"/>
        </w:rPr>
        <w:t xml:space="preserve"> es procedente o no la celebración de un determinado contrato en específico. </w:t>
      </w:r>
      <w:r w:rsidRPr="00524963">
        <w:rPr>
          <w:rFonts w:ascii="Arial" w:hAnsi="Arial" w:eastAsia="Calibri" w:cs="Arial"/>
          <w:bCs/>
          <w:color w:val="000000"/>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hAnsi="Arial" w:eastAsia="Calibri" w:cs="Arial"/>
          <w:bCs/>
          <w:color w:val="000000"/>
          <w:lang w:eastAsia="es-CO"/>
        </w:rPr>
        <w:t>.</w:t>
      </w:r>
    </w:p>
    <w:p w:rsidRPr="00CB149C" w:rsidR="00DD3340" w:rsidP="00A86F7F" w:rsidRDefault="00DD3340" w14:paraId="4BB31D38" w14:textId="77777777">
      <w:pPr>
        <w:spacing w:after="0" w:line="276" w:lineRule="auto"/>
        <w:jc w:val="both"/>
        <w:rPr>
          <w:rFonts w:ascii="Arial" w:hAnsi="Arial" w:eastAsia="Calibri" w:cs="Arial"/>
          <w:color w:val="000000" w:themeColor="text1"/>
        </w:rPr>
      </w:pPr>
    </w:p>
    <w:p w:rsidRPr="006D7E12" w:rsidR="00883C23" w:rsidP="00883C23" w:rsidRDefault="00883C23" w14:paraId="43565C37" w14:textId="77777777">
      <w:pPr>
        <w:spacing w:after="0" w:line="276" w:lineRule="auto"/>
        <w:jc w:val="both"/>
        <w:rPr>
          <w:rFonts w:ascii="Times New Roman" w:hAnsi="Times New Roman" w:eastAsia="Times New Roman" w:cs="Times New Roman"/>
          <w:sz w:val="24"/>
          <w:szCs w:val="24"/>
          <w:lang w:eastAsia="es-ES_tradnl"/>
        </w:rPr>
      </w:pPr>
      <w:r w:rsidRPr="006D7E12">
        <w:rPr>
          <w:rFonts w:ascii="Arial" w:hAnsi="Arial" w:eastAsia="Calibri" w:cs="Arial"/>
        </w:rPr>
        <w:t>Este concepto tiene el alcance previsto en el artículo 28 del Código de Procedimiento Administrativo y de lo Contencioso Administrativo.</w:t>
      </w:r>
      <w:r w:rsidRPr="006D7E12">
        <w:rPr>
          <w:rFonts w:ascii="Arial" w:hAnsi="Arial" w:eastAsia="Calibri" w:cs="Arial"/>
          <w:noProof/>
          <w:sz w:val="24"/>
          <w:lang w:eastAsia="es-CO"/>
        </w:rPr>
        <mc:AlternateContent>
          <mc:Choice Requires="wps">
            <w:drawing>
              <wp:anchor distT="0" distB="0" distL="114300" distR="114300" simplePos="0" relativeHeight="251659264" behindDoc="0" locked="0" layoutInCell="1" allowOverlap="1" wp14:anchorId="213D8542" wp14:editId="502E00A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4EEF35D8">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8D8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rsidRPr="006D7E12" w:rsidR="00883C23" w:rsidP="00883C23" w:rsidRDefault="00883C23" w14:paraId="631C94C0" w14:textId="77777777">
      <w:pPr>
        <w:spacing w:after="0" w:line="276" w:lineRule="auto"/>
        <w:jc w:val="both"/>
        <w:rPr>
          <w:rFonts w:ascii="Times New Roman" w:hAnsi="Times New Roman" w:eastAsia="Times New Roman" w:cs="Times New Roman"/>
          <w:sz w:val="24"/>
          <w:szCs w:val="24"/>
          <w:lang w:eastAsia="es-ES_tradnl"/>
        </w:rPr>
      </w:pPr>
    </w:p>
    <w:p w:rsidRPr="006D7E12" w:rsidR="00883C23" w:rsidP="00883C23" w:rsidRDefault="00883C23" w14:paraId="5A8383BB" w14:textId="77777777">
      <w:pPr>
        <w:spacing w:after="200" w:line="276" w:lineRule="auto"/>
        <w:jc w:val="both"/>
        <w:rPr>
          <w:rFonts w:ascii="Arial" w:hAnsi="Arial" w:eastAsia="Times New Roman" w:cs="Arial"/>
          <w:lang w:eastAsia="es-CO"/>
        </w:rPr>
      </w:pPr>
      <w:r w:rsidRPr="006D7E12">
        <w:rPr>
          <w:rFonts w:ascii="Arial" w:hAnsi="Arial" w:eastAsia="Times New Roman" w:cs="Arial"/>
          <w:lang w:eastAsia="es-CO"/>
        </w:rPr>
        <w:t>Atentamente,</w:t>
      </w:r>
    </w:p>
    <w:p w:rsidRPr="00741DEC" w:rsidR="00883C23" w:rsidP="00883C23" w:rsidRDefault="00741DEC" w14:paraId="0261920D" w14:textId="40733A35">
      <w:pPr>
        <w:spacing w:after="200" w:line="276" w:lineRule="auto"/>
        <w:jc w:val="center"/>
        <w:rPr>
          <w:rFonts w:ascii="Arial" w:hAnsi="Arial" w:eastAsia="Times New Roman" w:cs="Arial"/>
          <w:sz w:val="16"/>
          <w:szCs w:val="18"/>
          <w:lang w:val="es-MX" w:eastAsia="es-CO"/>
        </w:rPr>
      </w:pPr>
      <w:r>
        <w:rPr>
          <w:noProof/>
          <w:color w:val="000000" w:themeColor="text1"/>
          <w:lang w:val="es-ES_tradnl"/>
        </w:rPr>
        <w:drawing>
          <wp:inline distT="0" distB="0" distL="0" distR="0" wp14:anchorId="1F8CE6E9" wp14:editId="7B834272">
            <wp:extent cx="2514600" cy="111252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291"/>
      </w:tblGrid>
      <w:tr w:rsidRPr="006D7E12" w:rsidR="006C314F" w:rsidTr="00883C23" w14:paraId="0494A309" w14:textId="77777777">
        <w:trPr>
          <w:trHeight w:val="315"/>
        </w:trPr>
        <w:tc>
          <w:tcPr>
            <w:tcW w:w="812" w:type="dxa"/>
            <w:vAlign w:val="center"/>
            <w:hideMark/>
          </w:tcPr>
          <w:p w:rsidRPr="006D7E12" w:rsidR="00883C23" w:rsidP="00883C23" w:rsidRDefault="00883C23" w14:paraId="742CAC86" w14:textId="77777777">
            <w:pPr>
              <w:rPr>
                <w:rFonts w:ascii="Arial" w:hAnsi="Arial" w:eastAsia="Times New Roman" w:cs="Arial"/>
                <w:sz w:val="16"/>
                <w:szCs w:val="16"/>
                <w:lang w:eastAsia="es-ES"/>
              </w:rPr>
            </w:pPr>
            <w:r w:rsidRPr="006D7E12">
              <w:rPr>
                <w:rFonts w:ascii="Arial" w:hAnsi="Arial" w:eastAsia="Times New Roman" w:cs="Arial"/>
                <w:sz w:val="16"/>
                <w:szCs w:val="16"/>
                <w:lang w:eastAsia="es-ES"/>
              </w:rPr>
              <w:t>Elaboró:</w:t>
            </w:r>
          </w:p>
        </w:tc>
        <w:tc>
          <w:tcPr>
            <w:tcW w:w="4291" w:type="dxa"/>
            <w:tcBorders>
              <w:top w:val="nil"/>
              <w:left w:val="nil"/>
              <w:bottom w:val="dotted" w:color="7F7F7F" w:sz="4" w:space="0"/>
              <w:right w:val="nil"/>
            </w:tcBorders>
            <w:vAlign w:val="center"/>
            <w:hideMark/>
          </w:tcPr>
          <w:p w:rsidR="001E65D0" w:rsidP="00883C23" w:rsidRDefault="001E65D0" w14:paraId="06B35213" w14:textId="77777777">
            <w:pPr>
              <w:rPr>
                <w:rFonts w:ascii="Arial" w:hAnsi="Arial" w:cs="Arial"/>
                <w:sz w:val="16"/>
                <w:szCs w:val="16"/>
                <w:lang w:val="es-ES_tradnl" w:eastAsia="es-ES"/>
              </w:rPr>
            </w:pPr>
            <w:r w:rsidRPr="001E65D0">
              <w:rPr>
                <w:rFonts w:ascii="Arial" w:hAnsi="Arial" w:cs="Arial"/>
                <w:sz w:val="16"/>
                <w:szCs w:val="16"/>
                <w:lang w:val="es-ES_tradnl" w:eastAsia="es-ES"/>
              </w:rPr>
              <w:t>Nina María Padrón Ballestas</w:t>
            </w:r>
          </w:p>
          <w:p w:rsidRPr="006D7E12" w:rsidR="00883C23" w:rsidP="00883C23" w:rsidRDefault="00647E66" w14:paraId="64935E46" w14:textId="77C975A6">
            <w:pPr>
              <w:rPr>
                <w:rFonts w:ascii="Arial" w:hAnsi="Arial" w:eastAsia="Times New Roman" w:cs="Arial"/>
                <w:sz w:val="16"/>
                <w:szCs w:val="16"/>
                <w:lang w:eastAsia="es-ES"/>
              </w:rPr>
            </w:pPr>
            <w:r w:rsidRPr="006D7E12">
              <w:rPr>
                <w:rFonts w:ascii="Arial" w:hAnsi="Arial" w:eastAsia="Times New Roman" w:cs="Arial"/>
                <w:sz w:val="16"/>
                <w:szCs w:val="16"/>
                <w:lang w:eastAsia="es-ES"/>
              </w:rPr>
              <w:t>Contratista</w:t>
            </w:r>
            <w:r w:rsidRPr="006D7E12" w:rsidR="00883C23">
              <w:rPr>
                <w:rFonts w:ascii="Arial" w:hAnsi="Arial" w:eastAsia="Times New Roman" w:cs="Arial"/>
                <w:sz w:val="16"/>
                <w:szCs w:val="16"/>
                <w:lang w:eastAsia="es-ES"/>
              </w:rPr>
              <w:t xml:space="preserve"> de la Subdirección de Gestión Contractual</w:t>
            </w:r>
          </w:p>
        </w:tc>
      </w:tr>
      <w:tr w:rsidRPr="006D7E12" w:rsidR="006C314F" w:rsidTr="00883C23" w14:paraId="6BBD5900" w14:textId="77777777">
        <w:trPr>
          <w:trHeight w:val="330"/>
        </w:trPr>
        <w:tc>
          <w:tcPr>
            <w:tcW w:w="812" w:type="dxa"/>
            <w:vAlign w:val="center"/>
            <w:hideMark/>
          </w:tcPr>
          <w:p w:rsidRPr="006D7E12" w:rsidR="00883C23" w:rsidP="00883C23" w:rsidRDefault="00883C23" w14:paraId="553F508F" w14:textId="77777777">
            <w:pPr>
              <w:rPr>
                <w:rFonts w:ascii="Arial" w:hAnsi="Arial" w:eastAsia="Times New Roman" w:cs="Arial"/>
                <w:sz w:val="16"/>
                <w:szCs w:val="16"/>
                <w:lang w:eastAsia="es-ES"/>
              </w:rPr>
            </w:pPr>
            <w:r w:rsidRPr="006D7E12">
              <w:rPr>
                <w:rFonts w:ascii="Arial" w:hAnsi="Arial" w:eastAsia="Times New Roman" w:cs="Arial"/>
                <w:sz w:val="16"/>
                <w:szCs w:val="16"/>
                <w:lang w:eastAsia="es-ES"/>
              </w:rPr>
              <w:t>Revisó:</w:t>
            </w:r>
          </w:p>
        </w:tc>
        <w:tc>
          <w:tcPr>
            <w:tcW w:w="4291" w:type="dxa"/>
            <w:tcBorders>
              <w:top w:val="dotted" w:color="7F7F7F" w:sz="4" w:space="0"/>
              <w:left w:val="nil"/>
              <w:bottom w:val="dotted" w:color="7F7F7F" w:sz="4" w:space="0"/>
              <w:right w:val="nil"/>
            </w:tcBorders>
            <w:vAlign w:val="center"/>
            <w:hideMark/>
          </w:tcPr>
          <w:p w:rsidRPr="006D7E12" w:rsidR="00883C23" w:rsidP="00883C23" w:rsidRDefault="00883C23" w14:paraId="790251F1" w14:textId="77777777">
            <w:pPr>
              <w:rPr>
                <w:rFonts w:ascii="Arial" w:hAnsi="Arial" w:eastAsia="Times New Roman" w:cs="Arial"/>
                <w:sz w:val="16"/>
                <w:szCs w:val="16"/>
                <w:lang w:eastAsia="es-ES"/>
              </w:rPr>
            </w:pPr>
            <w:r w:rsidRPr="006D7E12">
              <w:rPr>
                <w:rFonts w:ascii="Arial" w:hAnsi="Arial" w:eastAsia="Times New Roman" w:cs="Arial"/>
                <w:sz w:val="16"/>
                <w:szCs w:val="16"/>
                <w:lang w:eastAsia="es-ES"/>
              </w:rPr>
              <w:t>Juan David Montoya Penagos</w:t>
            </w:r>
          </w:p>
          <w:p w:rsidRPr="006D7E12" w:rsidR="00883C23" w:rsidP="00883C23" w:rsidRDefault="00883C23" w14:paraId="690E7C24" w14:textId="77777777">
            <w:pPr>
              <w:rPr>
                <w:rFonts w:ascii="Arial" w:hAnsi="Arial" w:eastAsia="Times New Roman" w:cs="Arial"/>
                <w:sz w:val="16"/>
                <w:szCs w:val="16"/>
                <w:lang w:eastAsia="es-ES"/>
              </w:rPr>
            </w:pPr>
            <w:r w:rsidRPr="006D7E12">
              <w:rPr>
                <w:rFonts w:ascii="Arial" w:hAnsi="Arial" w:eastAsia="Times New Roman" w:cs="Arial"/>
                <w:sz w:val="16"/>
                <w:szCs w:val="16"/>
                <w:lang w:eastAsia="es-ES"/>
              </w:rPr>
              <w:t>Gestor T1-15 de la Subdirección de Gestión Contractual</w:t>
            </w:r>
          </w:p>
        </w:tc>
      </w:tr>
      <w:tr w:rsidRPr="006C314F" w:rsidR="006C314F" w:rsidTr="00883C23" w14:paraId="548E02B4" w14:textId="77777777">
        <w:trPr>
          <w:trHeight w:val="300"/>
        </w:trPr>
        <w:tc>
          <w:tcPr>
            <w:tcW w:w="812" w:type="dxa"/>
            <w:vAlign w:val="center"/>
            <w:hideMark/>
          </w:tcPr>
          <w:p w:rsidRPr="006D7E12" w:rsidR="00883C23" w:rsidP="00883C23" w:rsidRDefault="00883C23" w14:paraId="5A0C52BA" w14:textId="77777777">
            <w:pPr>
              <w:rPr>
                <w:rFonts w:ascii="Arial" w:hAnsi="Arial" w:eastAsia="Times New Roman" w:cs="Arial"/>
                <w:sz w:val="16"/>
                <w:szCs w:val="16"/>
                <w:lang w:eastAsia="es-ES"/>
              </w:rPr>
            </w:pPr>
            <w:r w:rsidRPr="006D7E12">
              <w:rPr>
                <w:rFonts w:ascii="Arial" w:hAnsi="Arial" w:eastAsia="Times New Roman" w:cs="Arial"/>
                <w:sz w:val="16"/>
                <w:szCs w:val="16"/>
                <w:lang w:eastAsia="es-ES"/>
              </w:rPr>
              <w:lastRenderedPageBreak/>
              <w:t>Aprobó:</w:t>
            </w:r>
          </w:p>
        </w:tc>
        <w:tc>
          <w:tcPr>
            <w:tcW w:w="4291" w:type="dxa"/>
            <w:tcBorders>
              <w:top w:val="dotted" w:color="7F7F7F" w:sz="4" w:space="0"/>
              <w:left w:val="nil"/>
              <w:bottom w:val="dotted" w:color="7F7F7F" w:sz="4" w:space="0"/>
              <w:right w:val="nil"/>
            </w:tcBorders>
            <w:vAlign w:val="center"/>
            <w:hideMark/>
          </w:tcPr>
          <w:p w:rsidRPr="00A4774B" w:rsidR="004705F0" w:rsidP="00A4774B" w:rsidRDefault="00A4774B" w14:paraId="163C089A" w14:textId="36A29B02">
            <w:pPr>
              <w:rPr>
                <w:rFonts w:ascii="Arial" w:hAnsi="Arial" w:cs="Arial"/>
                <w:sz w:val="16"/>
                <w:szCs w:val="16"/>
                <w:lang w:val="es-ES_tradnl" w:eastAsia="es-ES"/>
              </w:rPr>
            </w:pPr>
            <w:r w:rsidRPr="00181E53">
              <w:rPr>
                <w:rFonts w:ascii="Arial" w:hAnsi="Arial" w:cs="Arial"/>
                <w:sz w:val="16"/>
                <w:szCs w:val="16"/>
                <w:lang w:val="es-ES_tradnl" w:eastAsia="es-ES"/>
              </w:rPr>
              <w:t>Jorge Augusto Tirado Navarro</w:t>
            </w:r>
          </w:p>
          <w:p w:rsidRPr="006C314F" w:rsidR="00883C23" w:rsidP="004705F0" w:rsidRDefault="004705F0" w14:paraId="0328F00E" w14:textId="7197DEB9">
            <w:pPr>
              <w:rPr>
                <w:rFonts w:ascii="Arial" w:hAnsi="Arial" w:eastAsia="Times New Roman" w:cs="Arial"/>
                <w:sz w:val="16"/>
                <w:szCs w:val="16"/>
                <w:lang w:eastAsia="es-ES"/>
              </w:rPr>
            </w:pPr>
            <w:r w:rsidRPr="006D7E12">
              <w:rPr>
                <w:rFonts w:ascii="Arial" w:hAnsi="Arial" w:eastAsia="Times New Roman" w:cs="Arial"/>
                <w:sz w:val="16"/>
                <w:szCs w:val="16"/>
                <w:lang w:val="es-ES" w:eastAsia="es-ES"/>
              </w:rPr>
              <w:t xml:space="preserve">Subdirector de Gestión Contractual </w:t>
            </w:r>
            <w:r w:rsidR="00A4774B">
              <w:rPr>
                <w:rFonts w:ascii="Arial" w:hAnsi="Arial" w:eastAsia="Times New Roman" w:cs="Arial"/>
                <w:sz w:val="16"/>
                <w:szCs w:val="16"/>
                <w:lang w:val="es-ES" w:eastAsia="es-ES"/>
              </w:rPr>
              <w:t>ANCP – CCE</w:t>
            </w:r>
          </w:p>
        </w:tc>
      </w:tr>
      <w:bookmarkEnd w:id="7"/>
      <w:bookmarkEnd w:id="55"/>
    </w:tbl>
    <w:p w:rsidRPr="006C314F" w:rsidR="00883C23" w:rsidP="00883C23" w:rsidRDefault="00883C23" w14:paraId="670AA761" w14:textId="77777777">
      <w:pPr>
        <w:spacing w:after="120" w:line="276" w:lineRule="auto"/>
        <w:contextualSpacing/>
        <w:jc w:val="both"/>
        <w:rPr>
          <w:rFonts w:ascii="Arial" w:hAnsi="Arial" w:eastAsia="Calibri" w:cs="Arial"/>
          <w:b/>
          <w:bCs/>
          <w:sz w:val="20"/>
          <w:szCs w:val="20"/>
          <w:lang w:val="es-MX"/>
        </w:rPr>
      </w:pPr>
    </w:p>
    <w:bookmarkEnd w:id="8"/>
    <w:p w:rsidRPr="006C314F" w:rsidR="00E71F3C" w:rsidRDefault="00E71F3C" w14:paraId="0EB7EF9B" w14:textId="77777777"/>
    <w:sectPr w:rsidRPr="006C314F" w:rsidR="00E71F3C" w:rsidSect="00BE1101">
      <w:headerReference w:type="default" r:id="rId12"/>
      <w:footerReference w:type="default" r:id="rId13"/>
      <w:pgSz w:w="12240" w:h="15840" w:orient="portrait"/>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0595A" w:rsidP="00883C23" w:rsidRDefault="00F0595A" w14:paraId="1AB8D1D6" w14:textId="77777777">
      <w:pPr>
        <w:spacing w:after="0" w:line="240" w:lineRule="auto"/>
      </w:pPr>
      <w:r>
        <w:separator/>
      </w:r>
    </w:p>
  </w:endnote>
  <w:endnote w:type="continuationSeparator" w:id="0">
    <w:p w:rsidR="00F0595A" w:rsidP="00883C23" w:rsidRDefault="00F0595A" w14:paraId="7DDFEA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01B6D" w:rsidP="00301B6D" w:rsidRDefault="00301B6D" w14:paraId="2DDCDF35" w14:textId="77777777">
    <w:pPr>
      <w:pStyle w:val="Sinespaciado"/>
      <w:rPr>
        <w:rFonts w:ascii="Arial" w:hAnsi="Arial" w:cs="Arial"/>
        <w:sz w:val="18"/>
        <w:szCs w:val="18"/>
      </w:rPr>
    </w:pPr>
  </w:p>
  <w:p w:rsidR="00301B6D" w:rsidP="00301B6D" w:rsidRDefault="00301B6D" w14:paraId="0D6BD032" w14:textId="77777777">
    <w:pPr>
      <w:pStyle w:val="Sinespaciado"/>
      <w:rPr>
        <w:rFonts w:ascii="Arial" w:hAnsi="Arial" w:cs="Arial"/>
        <w:sz w:val="18"/>
        <w:szCs w:val="18"/>
      </w:rPr>
    </w:pPr>
  </w:p>
  <w:p w:rsidRPr="00883C23" w:rsidR="00301B6D" w:rsidP="00301B6D" w:rsidRDefault="00DB1FBD" w14:paraId="7C1EBCC4" w14:textId="77777777">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p>
  <w:p w:rsidR="00301B6D" w:rsidP="00301B6D" w:rsidRDefault="00DB1FBD" w14:paraId="423CAAA8" w14:textId="77777777">
    <w:pPr>
      <w:pStyle w:val="Piedepgina"/>
      <w:jc w:val="center"/>
      <w:rPr>
        <w:lang w:val="es-ES"/>
      </w:rPr>
    </w:pPr>
    <w:r>
      <w:rPr>
        <w:noProof/>
        <w:lang w:val="es-CO" w:eastAsia="es-CO"/>
      </w:rPr>
      <w:drawing>
        <wp:inline distT="0" distB="0" distL="0" distR="0" wp14:anchorId="55A8C681" wp14:editId="46D427A4">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rsidR="00301B6D" w:rsidP="00301B6D" w:rsidRDefault="00301B6D" w14:paraId="2C6BC7D3" w14:textId="77777777">
    <w:pPr>
      <w:pStyle w:val="Piedepgina"/>
      <w:jc w:val="center"/>
      <w:rPr>
        <w:lang w:val="es-ES"/>
      </w:rPr>
    </w:pPr>
  </w:p>
  <w:p w:rsidRPr="007B0854" w:rsidR="00301B6D" w:rsidP="00301B6D" w:rsidRDefault="00301B6D" w14:paraId="3DDDA67F" w14:textId="77777777">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0595A" w:rsidP="00883C23" w:rsidRDefault="00F0595A" w14:paraId="18E50272" w14:textId="77777777">
      <w:pPr>
        <w:spacing w:after="0" w:line="240" w:lineRule="auto"/>
      </w:pPr>
      <w:r>
        <w:separator/>
      </w:r>
    </w:p>
  </w:footnote>
  <w:footnote w:type="continuationSeparator" w:id="0">
    <w:p w:rsidR="00F0595A" w:rsidP="00883C23" w:rsidRDefault="00F0595A" w14:paraId="7D667195" w14:textId="77777777">
      <w:pPr>
        <w:spacing w:after="0" w:line="240" w:lineRule="auto"/>
      </w:pPr>
      <w:r>
        <w:continuationSeparator/>
      </w:r>
    </w:p>
  </w:footnote>
  <w:footnote w:id="1">
    <w:p w:rsidRPr="00CB149C" w:rsidR="00B64ACB" w:rsidP="00D044F7" w:rsidRDefault="00B64ACB" w14:paraId="36A31E4B" w14:textId="77777777">
      <w:pPr>
        <w:pStyle w:val="Textonotapie"/>
        <w:spacing w:after="0" w:line="240" w:lineRule="auto"/>
        <w:ind w:firstLine="708"/>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B149C">
        <w:rPr>
          <w:rFonts w:ascii="Arial" w:hAnsi="Arial" w:cs="Arial"/>
          <w:i/>
          <w:iCs/>
          <w:sz w:val="16"/>
          <w:szCs w:val="16"/>
        </w:rPr>
        <w:t xml:space="preserve">ibidem </w:t>
      </w:r>
      <w:r w:rsidRPr="00CB149C">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w:t>
      </w:r>
    </w:p>
  </w:footnote>
  <w:footnote w:id="2">
    <w:p w:rsidRPr="00CB149C" w:rsidR="00883C23" w:rsidP="00D044F7" w:rsidRDefault="00883C23" w14:paraId="7592975B"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CB149C" w:rsidR="00883C23" w:rsidRDefault="00883C23" w14:paraId="1A6FC354" w14:textId="4BC44309">
      <w:pPr>
        <w:pStyle w:val="Textonotapie"/>
        <w:spacing w:after="0" w:line="240" w:lineRule="auto"/>
        <w:ind w:firstLine="709"/>
        <w:contextualSpacing/>
        <w:rPr>
          <w:rFonts w:ascii="Arial" w:hAnsi="Arial" w:cs="Arial"/>
          <w:sz w:val="16"/>
          <w:szCs w:val="16"/>
        </w:rPr>
      </w:pPr>
      <w:proofErr w:type="gramStart"/>
      <w:r w:rsidRPr="00CB149C">
        <w:rPr>
          <w:rFonts w:ascii="Arial" w:hAnsi="Arial" w:cs="Arial"/>
          <w:sz w:val="16"/>
          <w:szCs w:val="16"/>
        </w:rPr>
        <w:t>»A</w:t>
      </w:r>
      <w:proofErr w:type="gramEnd"/>
      <w:r w:rsidRPr="00CB149C">
        <w:rPr>
          <w:rFonts w:ascii="Arial" w:hAnsi="Arial" w:cs="Arial"/>
          <w:sz w:val="16"/>
          <w:szCs w:val="16"/>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rsidRPr="00CB149C" w:rsidR="00883C23" w:rsidP="00D044F7" w:rsidRDefault="00883C23" w14:paraId="4CA52D34"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Gaceta del Congreso de la República No. 71 del 2005.</w:t>
      </w:r>
    </w:p>
  </w:footnote>
  <w:footnote w:id="4">
    <w:p w:rsidRPr="00CB149C" w:rsidR="00883C23" w:rsidP="00D044F7" w:rsidRDefault="00883C23" w14:paraId="77C40CDD"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 C- 1153 de 2005, M.P. Marco Gerardo Monroy Cabra.</w:t>
      </w:r>
    </w:p>
  </w:footnote>
  <w:footnote w:id="5">
    <w:p w:rsidRPr="00CB149C" w:rsidR="00883C23" w:rsidP="00D044F7" w:rsidRDefault="00883C23" w14:paraId="372E667C"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rsidRPr="00CB149C" w:rsidR="00883C23" w:rsidP="00D044F7" w:rsidRDefault="00883C23" w14:paraId="0A1E619E" w14:textId="77777777">
      <w:pPr>
        <w:pStyle w:val="Textonotapie"/>
        <w:spacing w:after="0" w:line="240" w:lineRule="auto"/>
        <w:ind w:firstLine="709"/>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rsidRPr="00CB149C" w:rsidR="00883C23" w:rsidP="00D044F7" w:rsidRDefault="00883C23" w14:paraId="4A939136"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de fecha 24 de julio de 2013, radicado 2166, </w:t>
      </w:r>
      <w:proofErr w:type="gramStart"/>
      <w:r w:rsidRPr="00CB149C">
        <w:rPr>
          <w:rFonts w:ascii="Arial" w:hAnsi="Arial" w:cs="Arial"/>
          <w:sz w:val="16"/>
          <w:szCs w:val="16"/>
        </w:rPr>
        <w:t>Consejero</w:t>
      </w:r>
      <w:proofErr w:type="gramEnd"/>
      <w:r w:rsidRPr="00CB149C">
        <w:rPr>
          <w:rFonts w:ascii="Arial" w:hAnsi="Arial" w:cs="Arial"/>
          <w:sz w:val="16"/>
          <w:szCs w:val="16"/>
        </w:rPr>
        <w:t xml:space="preserve"> Ponente: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  </w:t>
      </w:r>
    </w:p>
  </w:footnote>
  <w:footnote w:id="8">
    <w:p w:rsidRPr="00CB149C" w:rsidR="00883C23" w:rsidP="00D044F7" w:rsidRDefault="00883C23" w14:paraId="1A36A1E8" w14:textId="77777777">
      <w:pPr>
        <w:spacing w:after="0" w:line="240" w:lineRule="auto"/>
        <w:ind w:firstLine="709"/>
        <w:contextualSpacing/>
        <w:jc w:val="both"/>
        <w:rPr>
          <w:rFonts w:ascii="Arial" w:hAnsi="Arial" w:eastAsia="Times New Roman"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name="33" w:id="17"/>
      <w:r w:rsidRPr="00CB149C">
        <w:rPr>
          <w:rFonts w:ascii="Arial" w:hAnsi="Arial" w:eastAsia="Calibri" w:cs="Arial"/>
          <w:bCs/>
          <w:color w:val="000000"/>
          <w:sz w:val="16"/>
          <w:szCs w:val="16"/>
        </w:rPr>
        <w:t>«</w:t>
      </w:r>
      <w:r w:rsidRPr="00CB149C">
        <w:rPr>
          <w:rFonts w:ascii="Arial" w:hAnsi="Arial" w:eastAsia="Times New Roman" w:cs="Arial"/>
          <w:sz w:val="16"/>
          <w:szCs w:val="16"/>
        </w:rPr>
        <w:t>Artículo 33. Restricciones a la contratación pública.</w:t>
      </w:r>
      <w:bookmarkEnd w:id="17"/>
      <w:r w:rsidRPr="00CB149C">
        <w:rPr>
          <w:rFonts w:ascii="Arial" w:hAnsi="Arial" w:eastAsia="Times New Roman"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CB149C" w:rsidR="00883C23" w:rsidP="00D044F7" w:rsidRDefault="00883C23" w14:paraId="3CEDFA3A" w14:textId="77777777">
      <w:pPr>
        <w:spacing w:after="0" w:line="240" w:lineRule="auto"/>
        <w:ind w:firstLine="709"/>
        <w:contextualSpacing/>
        <w:jc w:val="both"/>
        <w:rPr>
          <w:rFonts w:ascii="Arial" w:hAnsi="Arial" w:eastAsia="Times New Roman" w:cs="Arial"/>
          <w:sz w:val="16"/>
          <w:szCs w:val="16"/>
        </w:rPr>
      </w:pPr>
      <w:r w:rsidRPr="00CB149C">
        <w:rPr>
          <w:rFonts w:ascii="Arial" w:hAnsi="Arial" w:eastAsia="Calibri" w:cs="Arial"/>
          <w:bCs/>
          <w:color w:val="000000"/>
          <w:sz w:val="16"/>
          <w:szCs w:val="16"/>
        </w:rPr>
        <w:t>»</w:t>
      </w:r>
      <w:r w:rsidRPr="00CB149C">
        <w:rPr>
          <w:rFonts w:ascii="Arial" w:hAnsi="Arial" w:eastAsia="Times New Roman"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B149C">
        <w:rPr>
          <w:rFonts w:ascii="Arial" w:hAnsi="Arial" w:eastAsia="Calibri" w:cs="Arial"/>
          <w:bCs/>
          <w:color w:val="000000"/>
          <w:sz w:val="16"/>
          <w:szCs w:val="16"/>
        </w:rPr>
        <w:t>»</w:t>
      </w:r>
      <w:r w:rsidRPr="00CB149C">
        <w:rPr>
          <w:rFonts w:ascii="Arial" w:hAnsi="Arial" w:eastAsia="Times New Roman" w:cs="Arial"/>
          <w:sz w:val="16"/>
          <w:szCs w:val="16"/>
        </w:rPr>
        <w:t>.</w:t>
      </w:r>
    </w:p>
  </w:footnote>
  <w:footnote w:id="9">
    <w:p w:rsidRPr="00CB149C" w:rsidR="00883C23" w:rsidP="00D044F7" w:rsidRDefault="00883C23" w14:paraId="10A55EB6" w14:textId="77777777">
      <w:pPr>
        <w:pStyle w:val="NormalWeb"/>
        <w:spacing w:before="0" w:beforeAutospacing="0" w:after="0" w:afterAutospacing="0" w:line="240" w:lineRule="auto"/>
        <w:ind w:firstLine="709"/>
        <w:contextualSpacing/>
        <w:rPr>
          <w:rFonts w:ascii="Arial" w:hAnsi="Arial" w:cs="Arial"/>
          <w:sz w:val="16"/>
          <w:szCs w:val="16"/>
          <w:lang w:val="es-MX"/>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name="38" w:id="18"/>
      <w:r w:rsidRPr="00CB149C">
        <w:rPr>
          <w:rFonts w:ascii="Arial" w:hAnsi="Arial" w:eastAsia="Calibri" w:cs="Arial"/>
          <w:bCs/>
          <w:color w:val="000000"/>
          <w:sz w:val="16"/>
          <w:szCs w:val="16"/>
        </w:rPr>
        <w:t>«</w:t>
      </w:r>
      <w:r w:rsidRPr="00CB149C">
        <w:rPr>
          <w:rFonts w:ascii="Arial" w:hAnsi="Arial" w:cs="Arial"/>
          <w:sz w:val="16"/>
          <w:szCs w:val="16"/>
          <w:lang w:val="es-MX"/>
        </w:rPr>
        <w:t>Artículo 38. Prohibiciones para los servidores públicos. A los empleados del Estado les está prohibido:</w:t>
      </w:r>
      <w:bookmarkEnd w:id="18"/>
    </w:p>
    <w:p w:rsidRPr="00CB149C" w:rsidR="00883C23" w:rsidP="00D044F7" w:rsidRDefault="00883C23" w14:paraId="332F2537" w14:textId="7777777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hAnsi="Arial" w:eastAsia="Calibri" w:cs="Arial"/>
          <w:bCs/>
          <w:color w:val="000000"/>
          <w:sz w:val="16"/>
          <w:szCs w:val="16"/>
        </w:rPr>
        <w:t>»</w:t>
      </w:r>
      <w:r w:rsidRPr="00CB149C">
        <w:rPr>
          <w:rFonts w:ascii="Arial" w:hAnsi="Arial" w:cs="Arial"/>
          <w:sz w:val="16"/>
          <w:szCs w:val="16"/>
          <w:lang w:val="es-MX"/>
        </w:rPr>
        <w:t xml:space="preserve"> […]</w:t>
      </w:r>
    </w:p>
    <w:p w:rsidRPr="00CB149C" w:rsidR="00883C23" w:rsidP="00D044F7" w:rsidRDefault="00883C23" w14:paraId="32B37231" w14:textId="7777777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hAnsi="Arial" w:eastAsia="Calibri" w:cs="Arial"/>
          <w:bCs/>
          <w:color w:val="000000"/>
          <w:sz w:val="16"/>
          <w:szCs w:val="16"/>
        </w:rPr>
        <w:t>»</w:t>
      </w:r>
      <w:r w:rsidRPr="00CB149C">
        <w:rPr>
          <w:rStyle w:val="baj"/>
          <w:rFonts w:ascii="Arial" w:hAnsi="Arial" w:cs="Arial"/>
          <w:sz w:val="16"/>
          <w:szCs w:val="16"/>
          <w:lang w:val="es-MX"/>
        </w:rPr>
        <w:t xml:space="preserve"> Parágrafo.</w:t>
      </w:r>
      <w:r w:rsidRPr="00CB149C">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B149C">
        <w:rPr>
          <w:rFonts w:ascii="Arial" w:hAnsi="Arial" w:eastAsia="Calibri" w:cs="Arial"/>
          <w:bCs/>
          <w:color w:val="000000"/>
          <w:sz w:val="16"/>
          <w:szCs w:val="16"/>
        </w:rPr>
        <w:t>»</w:t>
      </w:r>
      <w:r w:rsidRPr="00CB149C">
        <w:rPr>
          <w:rFonts w:ascii="Arial" w:hAnsi="Arial" w:cs="Arial"/>
          <w:sz w:val="16"/>
          <w:szCs w:val="16"/>
          <w:lang w:val="es-MX"/>
        </w:rPr>
        <w:t>.</w:t>
      </w:r>
    </w:p>
  </w:footnote>
  <w:footnote w:id="10">
    <w:p w:rsidRPr="00CB149C" w:rsidR="00883C23" w:rsidP="00D044F7" w:rsidRDefault="00883C23" w14:paraId="29309905" w14:textId="77777777">
      <w:pPr>
        <w:spacing w:after="0" w:line="240" w:lineRule="auto"/>
        <w:ind w:left="100" w:right="244"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1">
    <w:p w:rsidRPr="00CB149C" w:rsidR="00883C23" w:rsidP="00D044F7" w:rsidRDefault="00883C23" w14:paraId="486B18C7" w14:textId="7777777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name="_Hlk74272731" w:id="24"/>
      <w:r w:rsidRPr="00CB149C">
        <w:rPr>
          <w:rFonts w:ascii="Arial" w:hAnsi="Arial" w:cs="Arial"/>
          <w:sz w:val="16"/>
          <w:szCs w:val="16"/>
        </w:rPr>
        <w:t>«</w:t>
      </w:r>
      <w:bookmarkEnd w:id="24"/>
      <w:r w:rsidRPr="00CB149C">
        <w:rPr>
          <w:rFonts w:ascii="Arial" w:hAnsi="Arial" w:cs="Arial"/>
          <w:sz w:val="16"/>
          <w:szCs w:val="16"/>
          <w:lang w:val="es-ES"/>
        </w:rPr>
        <w:t xml:space="preserve">[25] </w:t>
      </w:r>
      <w:r w:rsidRPr="00CB149C">
        <w:rPr>
          <w:rFonts w:ascii="Arial" w:hAnsi="Arial" w:cs="Arial"/>
          <w:sz w:val="16"/>
          <w:szCs w:val="16"/>
        </w:rPr>
        <w:t>Cfr. Consejo de Estado. Sección Tercera. Sentencia de 3 de diciembre de 2007. Radicados: 24.715, 25.206, 25.409, 24.524, 27.834, 25.410, 26.105, 28.244, 31.447 -acumulados-</w:t>
      </w:r>
      <w:bookmarkStart w:name="_Hlk74271358" w:id="25"/>
      <w:r w:rsidRPr="00CB149C">
        <w:rPr>
          <w:rFonts w:ascii="Arial" w:hAnsi="Arial" w:cs="Arial"/>
          <w:sz w:val="16"/>
          <w:szCs w:val="16"/>
        </w:rPr>
        <w:t>»</w:t>
      </w:r>
      <w:bookmarkEnd w:id="25"/>
      <w:r w:rsidRPr="00CB149C">
        <w:rPr>
          <w:rFonts w:ascii="Arial" w:hAnsi="Arial" w:cs="Arial"/>
          <w:sz w:val="16"/>
          <w:szCs w:val="16"/>
        </w:rPr>
        <w:t>.</w:t>
      </w:r>
    </w:p>
  </w:footnote>
  <w:footnote w:id="12">
    <w:p w:rsidRPr="00CB149C" w:rsidR="00883C23" w:rsidP="00D044F7" w:rsidRDefault="00883C23" w14:paraId="4FA25A77" w14:textId="7777777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name="_Hlk74294506" w:id="27"/>
      <w:r w:rsidRPr="00CB149C">
        <w:rPr>
          <w:rFonts w:ascii="Arial" w:hAnsi="Arial" w:cs="Arial"/>
          <w:sz w:val="16"/>
          <w:szCs w:val="16"/>
        </w:rPr>
        <w:t>«</w:t>
      </w:r>
      <w:r w:rsidRPr="00CB149C">
        <w:rPr>
          <w:rFonts w:ascii="Arial" w:hAnsi="Arial" w:cs="Arial"/>
          <w:sz w:val="16"/>
          <w:szCs w:val="16"/>
          <w:lang w:val="es-ES"/>
        </w:rPr>
        <w:t xml:space="preserve">[26] </w:t>
      </w:r>
      <w:bookmarkEnd w:id="27"/>
      <w:r w:rsidRPr="00CB149C">
        <w:rPr>
          <w:rFonts w:ascii="Arial" w:hAnsi="Arial" w:cs="Arial"/>
          <w:sz w:val="16"/>
          <w:szCs w:val="16"/>
        </w:rPr>
        <w:t>Al respecto ver el concepto 1712 de 2 de febrero de 2006. Consejo de Estado Sala de Consulta y Servicio Civil».</w:t>
      </w:r>
    </w:p>
  </w:footnote>
  <w:footnote w:id="13">
    <w:p w:rsidRPr="00CB149C" w:rsidR="00883C23" w:rsidP="00D044F7" w:rsidRDefault="00883C23" w14:paraId="22756EB5"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w:t>
      </w:r>
    </w:p>
  </w:footnote>
  <w:footnote w:id="14">
    <w:p w:rsidRPr="00CB149C" w:rsidR="00883C23" w:rsidP="00D044F7" w:rsidRDefault="00883C23" w14:paraId="0E24E9AD" w14:textId="7777777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sz w:val="16"/>
          <w:szCs w:val="16"/>
          <w:lang w:val="es-ES"/>
        </w:rPr>
        <w:t xml:space="preserve">Artículo 2. </w:t>
      </w:r>
    </w:p>
  </w:footnote>
  <w:footnote w:id="15">
    <w:p w:rsidRPr="00CB149C" w:rsidR="00883C23" w:rsidP="00D044F7" w:rsidRDefault="00883C23" w14:paraId="3925561C" w14:textId="7777777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i/>
          <w:sz w:val="16"/>
          <w:szCs w:val="16"/>
          <w:lang w:val="es-ES"/>
        </w:rPr>
        <w:t>Ídem</w:t>
      </w:r>
      <w:r w:rsidRPr="00CB149C">
        <w:rPr>
          <w:rFonts w:ascii="Arial" w:hAnsi="Arial" w:cs="Arial"/>
          <w:sz w:val="16"/>
          <w:szCs w:val="16"/>
          <w:lang w:val="es-ES"/>
        </w:rPr>
        <w:t>.</w:t>
      </w:r>
    </w:p>
  </w:footnote>
  <w:footnote w:id="16">
    <w:p w:rsidRPr="00CB149C" w:rsidR="00883C23" w:rsidP="00D044F7" w:rsidRDefault="00883C23" w14:paraId="686535DA" w14:textId="7777777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bookmarkStart w:name="_Hlk74297130" w:id="32"/>
      <w:r w:rsidRPr="00CB149C">
        <w:rPr>
          <w:rFonts w:ascii="Arial" w:hAnsi="Arial" w:cs="Arial"/>
          <w:sz w:val="16"/>
          <w:szCs w:val="16"/>
          <w:lang w:val="es-ES"/>
        </w:rPr>
        <w:t>«</w:t>
      </w:r>
      <w:bookmarkEnd w:id="32"/>
      <w:r w:rsidRPr="00CB149C">
        <w:rPr>
          <w:rFonts w:ascii="Arial" w:hAnsi="Arial" w:cs="Arial"/>
          <w:sz w:val="16"/>
          <w:szCs w:val="16"/>
          <w:lang w:val="es-ES"/>
        </w:rPr>
        <w:t xml:space="preserve">[…] A este respecto, cabe recordar que el artículo 860 del Código de Comercio regula la licitación en el derecho privado». </w:t>
      </w:r>
    </w:p>
  </w:footnote>
  <w:footnote w:id="17">
    <w:p w:rsidRPr="00CB149C" w:rsidR="00883C23" w:rsidP="00D044F7" w:rsidRDefault="00883C23" w14:paraId="0DCFE98E" w14:textId="77777777">
      <w:pPr>
        <w:shd w:val="clear" w:color="auto" w:fill="FFFFFF"/>
        <w:spacing w:after="0" w:line="240" w:lineRule="auto"/>
        <w:ind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r w:rsidRPr="00CB149C">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CB149C">
        <w:rPr>
          <w:rFonts w:ascii="Arial" w:hAnsi="Arial" w:cs="Arial"/>
          <w:sz w:val="16"/>
          <w:szCs w:val="16"/>
          <w:lang w:val="es-ES"/>
        </w:rPr>
        <w:t>Namén</w:t>
      </w:r>
      <w:proofErr w:type="spellEnd"/>
      <w:r w:rsidRPr="00CB149C">
        <w:rPr>
          <w:rFonts w:ascii="Arial" w:hAnsi="Arial" w:cs="Arial"/>
          <w:sz w:val="16"/>
          <w:szCs w:val="16"/>
          <w:lang w:val="es-ES"/>
        </w:rPr>
        <w:t xml:space="preserve"> Vargas.</w:t>
      </w:r>
    </w:p>
  </w:footnote>
  <w:footnote w:id="18">
    <w:p w:rsidRPr="00CB149C" w:rsidR="00883C23" w:rsidP="00D044F7" w:rsidRDefault="00883C23" w14:paraId="7C3F9BA3"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08 de mayo de 2018. </w:t>
      </w:r>
      <w:proofErr w:type="spellStart"/>
      <w:r w:rsidRPr="00CB149C">
        <w:rPr>
          <w:rFonts w:ascii="Arial" w:hAnsi="Arial" w:cs="Arial"/>
          <w:sz w:val="16"/>
          <w:szCs w:val="16"/>
        </w:rPr>
        <w:t>Exp</w:t>
      </w:r>
      <w:proofErr w:type="spellEnd"/>
      <w:r w:rsidRPr="00CB149C">
        <w:rPr>
          <w:rFonts w:ascii="Arial" w:hAnsi="Arial" w:cs="Arial"/>
          <w:sz w:val="16"/>
          <w:szCs w:val="16"/>
        </w:rPr>
        <w:t xml:space="preserve">. 2.382. C.P.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w:t>
      </w:r>
    </w:p>
  </w:footnote>
  <w:footnote w:id="19">
    <w:p w:rsidRPr="00CB149C" w:rsidR="00883C23" w:rsidP="00D044F7" w:rsidRDefault="00883C23" w14:paraId="2F42BF1E" w14:textId="7777777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CB149C">
        <w:rPr>
          <w:rFonts w:ascii="Arial" w:hAnsi="Arial" w:cs="Arial"/>
          <w:sz w:val="16"/>
          <w:szCs w:val="16"/>
        </w:rPr>
        <w:t>N°</w:t>
      </w:r>
      <w:proofErr w:type="spellEnd"/>
      <w:r w:rsidRPr="00CB149C">
        <w:rPr>
          <w:rFonts w:ascii="Arial" w:hAnsi="Arial" w:cs="Arial"/>
          <w:sz w:val="16"/>
          <w:szCs w:val="16"/>
        </w:rPr>
        <w:t xml:space="preserve"> 216/05 Senado, </w:t>
      </w:r>
      <w:proofErr w:type="spellStart"/>
      <w:r w:rsidRPr="00CB149C">
        <w:rPr>
          <w:rFonts w:ascii="Arial" w:hAnsi="Arial" w:cs="Arial"/>
          <w:sz w:val="16"/>
          <w:szCs w:val="16"/>
        </w:rPr>
        <w:t>N°</w:t>
      </w:r>
      <w:proofErr w:type="spellEnd"/>
      <w:r w:rsidRPr="00CB149C">
        <w:rPr>
          <w:rFonts w:ascii="Arial" w:hAnsi="Arial" w:cs="Arial"/>
          <w:sz w:val="16"/>
          <w:szCs w:val="16"/>
        </w:rPr>
        <w:t xml:space="preserve"> 235-Cámara que dio lugar a la Ley de Garantías Electorales.</w:t>
      </w:r>
    </w:p>
  </w:footnote>
  <w:footnote w:id="20">
    <w:p w:rsidRPr="00CB149C" w:rsidR="00883C23" w:rsidP="00D044F7" w:rsidRDefault="00883C23" w14:paraId="2EAAA1F7" w14:textId="7777777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rsidRPr="00CB149C" w:rsidR="00883C23" w:rsidP="00D044F7" w:rsidRDefault="00883C23" w14:paraId="63143FD1" w14:textId="7777777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name="_Hlk75633115" w:id="50"/>
      <w:r w:rsidRPr="00CB149C">
        <w:rPr>
          <w:rFonts w:ascii="Arial" w:hAnsi="Arial" w:cs="Arial"/>
          <w:sz w:val="16"/>
          <w:szCs w:val="16"/>
        </w:rPr>
        <w:t xml:space="preserve">Consejo de Estado. Sala de Consulta y Servicio Civil. Concepto </w:t>
      </w:r>
      <w:bookmarkEnd w:id="50"/>
      <w:r w:rsidRPr="00CB149C">
        <w:rPr>
          <w:rFonts w:ascii="Arial" w:hAnsi="Arial" w:cs="Arial"/>
          <w:sz w:val="16"/>
          <w:szCs w:val="16"/>
        </w:rPr>
        <w:t>de 6 de abril de 2006. Radicación Número: 11001-03-06-000-2006-00038-00(1738). Consejero Ponente: Enrique José Arboleda Perdomo:</w:t>
      </w:r>
      <w:r w:rsidRPr="00CB149C">
        <w:rPr>
          <w:rFonts w:ascii="Arial" w:hAnsi="Arial" w:eastAsia="Times New Roman" w:cs="Arial"/>
          <w:bCs/>
          <w:sz w:val="16"/>
          <w:szCs w:val="16"/>
          <w:lang w:eastAsia="x-none"/>
        </w:rPr>
        <w:t xml:space="preserve"> «</w:t>
      </w:r>
      <w:r w:rsidRPr="00CB149C">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B149C">
        <w:rPr>
          <w:rFonts w:ascii="Arial" w:hAnsi="Arial" w:eastAsia="Times New Roman" w:cs="Arial"/>
          <w:bCs/>
          <w:sz w:val="16"/>
          <w:szCs w:val="16"/>
          <w:lang w:eastAsia="x-none"/>
        </w:rPr>
        <w:t>».</w:t>
      </w:r>
    </w:p>
  </w:footnote>
  <w:footnote w:id="22">
    <w:p w:rsidRPr="00CB149C" w:rsidR="00883C23" w:rsidP="00D044F7" w:rsidRDefault="00883C23" w14:paraId="1AE132E2" w14:textId="7777777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3">
    <w:p w:rsidRPr="00CB149C" w:rsidR="00883C23" w:rsidP="00D044F7" w:rsidRDefault="00883C23" w14:paraId="4C69C88A" w14:textId="7777777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01B6D" w:rsidRDefault="00DB1FBD" w14:paraId="5ACE2A80" w14:textId="77777777">
    <w:pPr>
      <w:pStyle w:val="Encabezado"/>
    </w:pPr>
    <w:r>
      <w:rPr>
        <w:noProof/>
        <w:lang w:val="es-CO" w:eastAsia="es-CO"/>
      </w:rPr>
      <w:drawing>
        <wp:anchor distT="0" distB="0" distL="114300" distR="114300" simplePos="0" relativeHeight="251659264" behindDoc="1" locked="0" layoutInCell="1" allowOverlap="1" wp14:anchorId="3ED6FD1E" wp14:editId="58B93EB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1B6D" w:rsidP="00301B6D" w:rsidRDefault="00301B6D" w14:paraId="32414D43" w14:textId="77777777">
    <w:pPr>
      <w:pStyle w:val="Encabezado"/>
      <w:spacing w:after="0"/>
    </w:pPr>
  </w:p>
  <w:p w:rsidR="00301B6D" w:rsidRDefault="00301B6D" w14:paraId="0E3DD83D"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hint="default" w:eastAsia="Calibri"/>
        <w:color w:val="000000" w:themeColor="text1"/>
      </w:rPr>
    </w:lvl>
    <w:lvl w:ilvl="2">
      <w:start w:val="1"/>
      <w:numFmt w:val="decimal"/>
      <w:isLgl/>
      <w:lvlText w:val="%1.%2.%3."/>
      <w:lvlJc w:val="left"/>
      <w:pPr>
        <w:ind w:left="1080" w:hanging="720"/>
      </w:pPr>
      <w:rPr>
        <w:rFonts w:hint="default" w:eastAsia="Calibri"/>
        <w:color w:val="000000" w:themeColor="text1"/>
      </w:rPr>
    </w:lvl>
    <w:lvl w:ilvl="3">
      <w:start w:val="1"/>
      <w:numFmt w:val="decimal"/>
      <w:isLgl/>
      <w:lvlText w:val="%1.%2.%3.%4."/>
      <w:lvlJc w:val="left"/>
      <w:pPr>
        <w:ind w:left="1440" w:hanging="1080"/>
      </w:pPr>
      <w:rPr>
        <w:rFonts w:hint="default" w:eastAsia="Calibri"/>
        <w:color w:val="000000" w:themeColor="text1"/>
      </w:rPr>
    </w:lvl>
    <w:lvl w:ilvl="4">
      <w:start w:val="1"/>
      <w:numFmt w:val="decimal"/>
      <w:isLgl/>
      <w:lvlText w:val="%1.%2.%3.%4.%5."/>
      <w:lvlJc w:val="left"/>
      <w:pPr>
        <w:ind w:left="1440" w:hanging="1080"/>
      </w:pPr>
      <w:rPr>
        <w:rFonts w:hint="default" w:eastAsia="Calibri"/>
        <w:color w:val="000000" w:themeColor="text1"/>
      </w:rPr>
    </w:lvl>
    <w:lvl w:ilvl="5">
      <w:start w:val="1"/>
      <w:numFmt w:val="decimal"/>
      <w:isLgl/>
      <w:lvlText w:val="%1.%2.%3.%4.%5.%6."/>
      <w:lvlJc w:val="left"/>
      <w:pPr>
        <w:ind w:left="1800" w:hanging="1440"/>
      </w:pPr>
      <w:rPr>
        <w:rFonts w:hint="default" w:eastAsia="Calibri"/>
        <w:color w:val="000000" w:themeColor="text1"/>
      </w:rPr>
    </w:lvl>
    <w:lvl w:ilvl="6">
      <w:start w:val="1"/>
      <w:numFmt w:val="decimal"/>
      <w:isLgl/>
      <w:lvlText w:val="%1.%2.%3.%4.%5.%6.%7."/>
      <w:lvlJc w:val="left"/>
      <w:pPr>
        <w:ind w:left="1800" w:hanging="1440"/>
      </w:pPr>
      <w:rPr>
        <w:rFonts w:hint="default" w:eastAsia="Calibri"/>
        <w:color w:val="000000" w:themeColor="text1"/>
      </w:rPr>
    </w:lvl>
    <w:lvl w:ilvl="7">
      <w:start w:val="1"/>
      <w:numFmt w:val="decimal"/>
      <w:isLgl/>
      <w:lvlText w:val="%1.%2.%3.%4.%5.%6.%7.%8."/>
      <w:lvlJc w:val="left"/>
      <w:pPr>
        <w:ind w:left="2160" w:hanging="1800"/>
      </w:pPr>
      <w:rPr>
        <w:rFonts w:hint="default" w:eastAsia="Calibri"/>
        <w:color w:val="000000" w:themeColor="text1"/>
      </w:rPr>
    </w:lvl>
    <w:lvl w:ilvl="8">
      <w:start w:val="1"/>
      <w:numFmt w:val="decimal"/>
      <w:isLgl/>
      <w:lvlText w:val="%1.%2.%3.%4.%5.%6.%7.%8.%9."/>
      <w:lvlJc w:val="left"/>
      <w:pPr>
        <w:ind w:left="2160" w:hanging="1800"/>
      </w:pPr>
      <w:rPr>
        <w:rFonts w:hint="default" w:eastAsia="Calibri"/>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cs="Times New Roman"/>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cs="Times New Roman"/>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cs="Times New Roman"/>
      </w:rPr>
    </w:lvl>
    <w:lvl w:ilvl="8" w:tplc="477E1BD4">
      <w:start w:val="1"/>
      <w:numFmt w:val="bullet"/>
      <w:lvlText w:val=""/>
      <w:lvlJc w:val="left"/>
      <w:pPr>
        <w:ind w:left="6480" w:hanging="360"/>
      </w:pPr>
      <w:rPr>
        <w:rFonts w:hint="default" w:ascii="Wingdings" w:hAnsi="Wingdings"/>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rPr>
    </w:lvl>
    <w:lvl w:ilvl="8" w:tplc="477E1BD4">
      <w:start w:val="1"/>
      <w:numFmt w:val="bullet"/>
      <w:lvlText w:val=""/>
      <w:lvlJc w:val="left"/>
      <w:pPr>
        <w:ind w:left="6480" w:hanging="360"/>
      </w:pPr>
      <w:rPr>
        <w:rFonts w:hint="default" w:ascii="Wingdings" w:hAnsi="Wingdings"/>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51409506">
    <w:abstractNumId w:val="11"/>
  </w:num>
  <w:num w:numId="2" w16cid:durableId="1484590021">
    <w:abstractNumId w:val="9"/>
  </w:num>
  <w:num w:numId="3" w16cid:durableId="1144010932">
    <w:abstractNumId w:val="15"/>
  </w:num>
  <w:num w:numId="4" w16cid:durableId="576936095">
    <w:abstractNumId w:val="21"/>
  </w:num>
  <w:num w:numId="5" w16cid:durableId="902568487">
    <w:abstractNumId w:val="23"/>
  </w:num>
  <w:num w:numId="6" w16cid:durableId="16525601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9990512">
    <w:abstractNumId w:val="6"/>
  </w:num>
  <w:num w:numId="8" w16cid:durableId="189226811">
    <w:abstractNumId w:val="24"/>
  </w:num>
  <w:num w:numId="9" w16cid:durableId="1477793863">
    <w:abstractNumId w:val="6"/>
    <w:lvlOverride w:ilvl="0">
      <w:startOverride w:val="1"/>
    </w:lvlOverride>
  </w:num>
  <w:num w:numId="10" w16cid:durableId="918321796">
    <w:abstractNumId w:val="25"/>
  </w:num>
  <w:num w:numId="11" w16cid:durableId="1643539791">
    <w:abstractNumId w:val="7"/>
  </w:num>
  <w:num w:numId="12" w16cid:durableId="283846886">
    <w:abstractNumId w:val="2"/>
  </w:num>
  <w:num w:numId="13" w16cid:durableId="441068791">
    <w:abstractNumId w:val="4"/>
  </w:num>
  <w:num w:numId="14" w16cid:durableId="1124999383">
    <w:abstractNumId w:val="20"/>
  </w:num>
  <w:num w:numId="15" w16cid:durableId="535389355">
    <w:abstractNumId w:val="13"/>
  </w:num>
  <w:num w:numId="16" w16cid:durableId="1522431659">
    <w:abstractNumId w:val="10"/>
  </w:num>
  <w:num w:numId="17" w16cid:durableId="1783308339">
    <w:abstractNumId w:val="14"/>
  </w:num>
  <w:num w:numId="18" w16cid:durableId="601455226">
    <w:abstractNumId w:val="16"/>
  </w:num>
  <w:num w:numId="19" w16cid:durableId="1201474767">
    <w:abstractNumId w:val="5"/>
  </w:num>
  <w:num w:numId="20" w16cid:durableId="1555431494">
    <w:abstractNumId w:val="27"/>
  </w:num>
  <w:num w:numId="21" w16cid:durableId="1456213259">
    <w:abstractNumId w:val="22"/>
  </w:num>
  <w:num w:numId="22" w16cid:durableId="1296182533">
    <w:abstractNumId w:val="18"/>
  </w:num>
  <w:num w:numId="23" w16cid:durableId="850487920">
    <w:abstractNumId w:val="17"/>
  </w:num>
  <w:num w:numId="24" w16cid:durableId="419524536">
    <w:abstractNumId w:val="8"/>
  </w:num>
  <w:num w:numId="25" w16cid:durableId="1165365165">
    <w:abstractNumId w:val="19"/>
  </w:num>
  <w:num w:numId="26" w16cid:durableId="1427772138">
    <w:abstractNumId w:val="1"/>
  </w:num>
  <w:num w:numId="27" w16cid:durableId="755371160">
    <w:abstractNumId w:val="12"/>
  </w:num>
  <w:num w:numId="28" w16cid:durableId="613292341">
    <w:abstractNumId w:val="26"/>
  </w:num>
  <w:num w:numId="29" w16cid:durableId="166293087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7"/>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23"/>
    <w:rsid w:val="00001824"/>
    <w:rsid w:val="00004152"/>
    <w:rsid w:val="000073BE"/>
    <w:rsid w:val="00007534"/>
    <w:rsid w:val="00007A76"/>
    <w:rsid w:val="00022FCB"/>
    <w:rsid w:val="000370B6"/>
    <w:rsid w:val="00061344"/>
    <w:rsid w:val="00080F8E"/>
    <w:rsid w:val="000B0FF6"/>
    <w:rsid w:val="000C1493"/>
    <w:rsid w:val="000D38A1"/>
    <w:rsid w:val="000F341C"/>
    <w:rsid w:val="00112409"/>
    <w:rsid w:val="001247E7"/>
    <w:rsid w:val="00141038"/>
    <w:rsid w:val="001446BB"/>
    <w:rsid w:val="0014538A"/>
    <w:rsid w:val="00153F85"/>
    <w:rsid w:val="0016346E"/>
    <w:rsid w:val="0016368B"/>
    <w:rsid w:val="00174706"/>
    <w:rsid w:val="00176B7A"/>
    <w:rsid w:val="00183806"/>
    <w:rsid w:val="00185051"/>
    <w:rsid w:val="00186060"/>
    <w:rsid w:val="001A0BBF"/>
    <w:rsid w:val="001A5A49"/>
    <w:rsid w:val="001B769B"/>
    <w:rsid w:val="001D21F3"/>
    <w:rsid w:val="001D4F3D"/>
    <w:rsid w:val="001D6442"/>
    <w:rsid w:val="001E4C5E"/>
    <w:rsid w:val="001E65D0"/>
    <w:rsid w:val="00211598"/>
    <w:rsid w:val="002237A9"/>
    <w:rsid w:val="00236548"/>
    <w:rsid w:val="00237FAC"/>
    <w:rsid w:val="00244B1C"/>
    <w:rsid w:val="00252A70"/>
    <w:rsid w:val="00264194"/>
    <w:rsid w:val="00270618"/>
    <w:rsid w:val="00281B48"/>
    <w:rsid w:val="00285917"/>
    <w:rsid w:val="00290CB5"/>
    <w:rsid w:val="002972EC"/>
    <w:rsid w:val="002B2DA9"/>
    <w:rsid w:val="002B3B3A"/>
    <w:rsid w:val="002C0430"/>
    <w:rsid w:val="002D2ECE"/>
    <w:rsid w:val="002E2D40"/>
    <w:rsid w:val="002E6D93"/>
    <w:rsid w:val="002F060E"/>
    <w:rsid w:val="00300BA8"/>
    <w:rsid w:val="00301B6D"/>
    <w:rsid w:val="0034289F"/>
    <w:rsid w:val="0036644F"/>
    <w:rsid w:val="00385DE6"/>
    <w:rsid w:val="00393563"/>
    <w:rsid w:val="00395AEA"/>
    <w:rsid w:val="003B045C"/>
    <w:rsid w:val="003C2318"/>
    <w:rsid w:val="004065B8"/>
    <w:rsid w:val="004162B2"/>
    <w:rsid w:val="00425FC0"/>
    <w:rsid w:val="004474EA"/>
    <w:rsid w:val="0045061C"/>
    <w:rsid w:val="00451F1F"/>
    <w:rsid w:val="00452837"/>
    <w:rsid w:val="00462FFD"/>
    <w:rsid w:val="004705F0"/>
    <w:rsid w:val="004721DD"/>
    <w:rsid w:val="00480975"/>
    <w:rsid w:val="00486B76"/>
    <w:rsid w:val="00486D3B"/>
    <w:rsid w:val="00487CB4"/>
    <w:rsid w:val="004916F0"/>
    <w:rsid w:val="00497B71"/>
    <w:rsid w:val="004A36F9"/>
    <w:rsid w:val="004B2675"/>
    <w:rsid w:val="004B4CA2"/>
    <w:rsid w:val="004D41B6"/>
    <w:rsid w:val="004F2E72"/>
    <w:rsid w:val="004F432F"/>
    <w:rsid w:val="004F4B17"/>
    <w:rsid w:val="004F5C70"/>
    <w:rsid w:val="00515FAF"/>
    <w:rsid w:val="00580A57"/>
    <w:rsid w:val="00583170"/>
    <w:rsid w:val="00583B9F"/>
    <w:rsid w:val="005A66C6"/>
    <w:rsid w:val="005D5767"/>
    <w:rsid w:val="005E415D"/>
    <w:rsid w:val="005F2B73"/>
    <w:rsid w:val="005F4339"/>
    <w:rsid w:val="006014D3"/>
    <w:rsid w:val="006112E9"/>
    <w:rsid w:val="006117E7"/>
    <w:rsid w:val="00620D99"/>
    <w:rsid w:val="00622CEC"/>
    <w:rsid w:val="00642C80"/>
    <w:rsid w:val="00643B0C"/>
    <w:rsid w:val="00646CF5"/>
    <w:rsid w:val="00647E66"/>
    <w:rsid w:val="00653CB1"/>
    <w:rsid w:val="00667C06"/>
    <w:rsid w:val="00672E63"/>
    <w:rsid w:val="00673D55"/>
    <w:rsid w:val="00674123"/>
    <w:rsid w:val="00674B81"/>
    <w:rsid w:val="006836E8"/>
    <w:rsid w:val="00693825"/>
    <w:rsid w:val="006A3BFD"/>
    <w:rsid w:val="006B0314"/>
    <w:rsid w:val="006C1B75"/>
    <w:rsid w:val="006C314F"/>
    <w:rsid w:val="006C4CAF"/>
    <w:rsid w:val="006D5220"/>
    <w:rsid w:val="006D7E12"/>
    <w:rsid w:val="006F0121"/>
    <w:rsid w:val="0071069B"/>
    <w:rsid w:val="00712005"/>
    <w:rsid w:val="00726841"/>
    <w:rsid w:val="00741DEC"/>
    <w:rsid w:val="007861C7"/>
    <w:rsid w:val="00787213"/>
    <w:rsid w:val="007A0699"/>
    <w:rsid w:val="007A6243"/>
    <w:rsid w:val="007B1ADA"/>
    <w:rsid w:val="007C0727"/>
    <w:rsid w:val="007C6B2E"/>
    <w:rsid w:val="007C773C"/>
    <w:rsid w:val="007D666E"/>
    <w:rsid w:val="007D6B81"/>
    <w:rsid w:val="007D7A6D"/>
    <w:rsid w:val="00800252"/>
    <w:rsid w:val="0080531D"/>
    <w:rsid w:val="00805DD4"/>
    <w:rsid w:val="00820B42"/>
    <w:rsid w:val="008231E4"/>
    <w:rsid w:val="0082747B"/>
    <w:rsid w:val="00847981"/>
    <w:rsid w:val="00852D96"/>
    <w:rsid w:val="00867934"/>
    <w:rsid w:val="00883C23"/>
    <w:rsid w:val="00886A33"/>
    <w:rsid w:val="008870AC"/>
    <w:rsid w:val="008A2454"/>
    <w:rsid w:val="008B41AF"/>
    <w:rsid w:val="008C4600"/>
    <w:rsid w:val="008D6556"/>
    <w:rsid w:val="008E0383"/>
    <w:rsid w:val="008E3661"/>
    <w:rsid w:val="00906730"/>
    <w:rsid w:val="00911176"/>
    <w:rsid w:val="00924A75"/>
    <w:rsid w:val="00950E3B"/>
    <w:rsid w:val="00951C48"/>
    <w:rsid w:val="0095308E"/>
    <w:rsid w:val="009533DD"/>
    <w:rsid w:val="0096619D"/>
    <w:rsid w:val="009976C6"/>
    <w:rsid w:val="009A4214"/>
    <w:rsid w:val="009B5870"/>
    <w:rsid w:val="009C0AE1"/>
    <w:rsid w:val="009C337D"/>
    <w:rsid w:val="009C4C67"/>
    <w:rsid w:val="009E08A9"/>
    <w:rsid w:val="009E6D0A"/>
    <w:rsid w:val="009F27D5"/>
    <w:rsid w:val="009F32D2"/>
    <w:rsid w:val="009F6248"/>
    <w:rsid w:val="00A02B1D"/>
    <w:rsid w:val="00A04F8D"/>
    <w:rsid w:val="00A116E0"/>
    <w:rsid w:val="00A25431"/>
    <w:rsid w:val="00A300C6"/>
    <w:rsid w:val="00A351B9"/>
    <w:rsid w:val="00A37760"/>
    <w:rsid w:val="00A4774B"/>
    <w:rsid w:val="00A55537"/>
    <w:rsid w:val="00A564F4"/>
    <w:rsid w:val="00A74BE2"/>
    <w:rsid w:val="00A86F7F"/>
    <w:rsid w:val="00AB0C32"/>
    <w:rsid w:val="00AB2D55"/>
    <w:rsid w:val="00AC7ED9"/>
    <w:rsid w:val="00AD3184"/>
    <w:rsid w:val="00B05B75"/>
    <w:rsid w:val="00B154E3"/>
    <w:rsid w:val="00B2624D"/>
    <w:rsid w:val="00B31385"/>
    <w:rsid w:val="00B52C9B"/>
    <w:rsid w:val="00B55E94"/>
    <w:rsid w:val="00B64ACB"/>
    <w:rsid w:val="00B8505B"/>
    <w:rsid w:val="00B918D9"/>
    <w:rsid w:val="00B95EB6"/>
    <w:rsid w:val="00BA170A"/>
    <w:rsid w:val="00BB2660"/>
    <w:rsid w:val="00BB3467"/>
    <w:rsid w:val="00BB7272"/>
    <w:rsid w:val="00BB7896"/>
    <w:rsid w:val="00BC5E75"/>
    <w:rsid w:val="00BE1101"/>
    <w:rsid w:val="00BE51F4"/>
    <w:rsid w:val="00BF32CB"/>
    <w:rsid w:val="00BF36EC"/>
    <w:rsid w:val="00C054F3"/>
    <w:rsid w:val="00C0768B"/>
    <w:rsid w:val="00C23407"/>
    <w:rsid w:val="00C30423"/>
    <w:rsid w:val="00C5025B"/>
    <w:rsid w:val="00C51555"/>
    <w:rsid w:val="00C51624"/>
    <w:rsid w:val="00C52368"/>
    <w:rsid w:val="00C53096"/>
    <w:rsid w:val="00C62EB0"/>
    <w:rsid w:val="00C6478C"/>
    <w:rsid w:val="00C83CBC"/>
    <w:rsid w:val="00C91855"/>
    <w:rsid w:val="00C94147"/>
    <w:rsid w:val="00C9763D"/>
    <w:rsid w:val="00C97B5F"/>
    <w:rsid w:val="00CA4235"/>
    <w:rsid w:val="00CB034D"/>
    <w:rsid w:val="00CB149C"/>
    <w:rsid w:val="00CC128D"/>
    <w:rsid w:val="00CD64EF"/>
    <w:rsid w:val="00D044F7"/>
    <w:rsid w:val="00D15AE1"/>
    <w:rsid w:val="00D16915"/>
    <w:rsid w:val="00D406B8"/>
    <w:rsid w:val="00D64882"/>
    <w:rsid w:val="00D77C56"/>
    <w:rsid w:val="00D80C84"/>
    <w:rsid w:val="00D90D8A"/>
    <w:rsid w:val="00DB1FBD"/>
    <w:rsid w:val="00DD003E"/>
    <w:rsid w:val="00DD3340"/>
    <w:rsid w:val="00DE371F"/>
    <w:rsid w:val="00DF33AC"/>
    <w:rsid w:val="00DF5A9D"/>
    <w:rsid w:val="00E0484E"/>
    <w:rsid w:val="00E11379"/>
    <w:rsid w:val="00E31F4D"/>
    <w:rsid w:val="00E32EEB"/>
    <w:rsid w:val="00E5512D"/>
    <w:rsid w:val="00E61E06"/>
    <w:rsid w:val="00E6401D"/>
    <w:rsid w:val="00E714C0"/>
    <w:rsid w:val="00E71F3C"/>
    <w:rsid w:val="00E802CA"/>
    <w:rsid w:val="00E81AA7"/>
    <w:rsid w:val="00E8294A"/>
    <w:rsid w:val="00ED09A2"/>
    <w:rsid w:val="00ED68CA"/>
    <w:rsid w:val="00EE6DF5"/>
    <w:rsid w:val="00EF0791"/>
    <w:rsid w:val="00EF6644"/>
    <w:rsid w:val="00F04513"/>
    <w:rsid w:val="00F0595A"/>
    <w:rsid w:val="00F05D7E"/>
    <w:rsid w:val="00F2080B"/>
    <w:rsid w:val="00F3081E"/>
    <w:rsid w:val="00F464FE"/>
    <w:rsid w:val="00F51383"/>
    <w:rsid w:val="00F768FE"/>
    <w:rsid w:val="00F820CB"/>
    <w:rsid w:val="00F82416"/>
    <w:rsid w:val="00F833EF"/>
    <w:rsid w:val="00FA518A"/>
    <w:rsid w:val="00FB2766"/>
    <w:rsid w:val="00FB4701"/>
    <w:rsid w:val="00FC1379"/>
    <w:rsid w:val="00FE5DD8"/>
    <w:rsid w:val="00FF2BA2"/>
    <w:rsid w:val="00FF661D"/>
    <w:rsid w:val="3637651D"/>
    <w:rsid w:val="4048B3F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2FDA"/>
  <w15:docId w15:val="{62CC449F-4273-43BB-8634-C33D8BF2DA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qFormat/>
    <w:rsid w:val="00883C23"/>
    <w:pPr>
      <w:keepNext/>
      <w:numPr>
        <w:numId w:val="17"/>
      </w:numPr>
      <w:spacing w:before="240" w:after="60" w:line="240" w:lineRule="auto"/>
      <w:outlineLvl w:val="0"/>
    </w:pPr>
    <w:rPr>
      <w:rFonts w:ascii="Arial" w:hAnsi="Arial" w:eastAsia="Times New Roman" w:cs="Arial"/>
      <w:b/>
      <w:bCs/>
      <w:kern w:val="32"/>
      <w:sz w:val="32"/>
      <w:szCs w:val="32"/>
      <w:lang w:val="es-ES" w:eastAsia="es-ES"/>
    </w:rPr>
  </w:style>
  <w:style w:type="paragraph" w:styleId="Ttulo2">
    <w:name w:val="heading 2"/>
    <w:basedOn w:val="Normal"/>
    <w:next w:val="Normal"/>
    <w:link w:val="Ttulo2Car"/>
    <w:qFormat/>
    <w:rsid w:val="00883C23"/>
    <w:pPr>
      <w:keepNext/>
      <w:numPr>
        <w:ilvl w:val="1"/>
        <w:numId w:val="17"/>
      </w:numPr>
      <w:spacing w:before="240" w:after="60" w:line="240" w:lineRule="auto"/>
      <w:outlineLvl w:val="1"/>
    </w:pPr>
    <w:rPr>
      <w:rFonts w:ascii="Arial" w:hAnsi="Arial" w:eastAsia="Times New Roman" w:cs="Arial"/>
      <w:b/>
      <w:bCs/>
      <w:i/>
      <w:iCs/>
      <w:sz w:val="28"/>
      <w:szCs w:val="28"/>
      <w:lang w:val="es-ES" w:eastAsia="es-ES"/>
    </w:rPr>
  </w:style>
  <w:style w:type="paragraph" w:styleId="Ttulo3">
    <w:name w:val="heading 3"/>
    <w:basedOn w:val="Normal"/>
    <w:next w:val="Normal"/>
    <w:link w:val="Ttulo3Car"/>
    <w:qFormat/>
    <w:rsid w:val="00883C23"/>
    <w:pPr>
      <w:keepNext/>
      <w:numPr>
        <w:ilvl w:val="2"/>
        <w:numId w:val="17"/>
      </w:numPr>
      <w:spacing w:before="240" w:after="60" w:line="240" w:lineRule="auto"/>
      <w:outlineLvl w:val="2"/>
    </w:pPr>
    <w:rPr>
      <w:rFonts w:ascii="Arial" w:hAnsi="Arial" w:eastAsia="Times New Roman" w:cs="Arial"/>
      <w:b/>
      <w:bCs/>
      <w:sz w:val="26"/>
      <w:szCs w:val="26"/>
      <w:lang w:val="es-ES" w:eastAsia="es-ES"/>
    </w:rPr>
  </w:style>
  <w:style w:type="paragraph" w:styleId="Ttulo4">
    <w:name w:val="heading 4"/>
    <w:basedOn w:val="Normal"/>
    <w:next w:val="Normal"/>
    <w:link w:val="Ttulo4Car"/>
    <w:qFormat/>
    <w:rsid w:val="00883C23"/>
    <w:pPr>
      <w:keepNext/>
      <w:numPr>
        <w:ilvl w:val="3"/>
        <w:numId w:val="17"/>
      </w:numPr>
      <w:spacing w:before="240" w:after="60" w:line="240" w:lineRule="auto"/>
      <w:outlineLvl w:val="3"/>
    </w:pPr>
    <w:rPr>
      <w:rFonts w:ascii="Times New Roman" w:hAnsi="Times New Roman" w:eastAsia="Times New Roman" w:cs="Times New Roman"/>
      <w:b/>
      <w:bCs/>
      <w:sz w:val="28"/>
      <w:szCs w:val="28"/>
      <w:lang w:val="es-ES" w:eastAsia="es-ES"/>
    </w:rPr>
  </w:style>
  <w:style w:type="paragraph" w:styleId="Ttulo5">
    <w:name w:val="heading 5"/>
    <w:basedOn w:val="Normal"/>
    <w:next w:val="Normal"/>
    <w:link w:val="Ttulo5Car"/>
    <w:qFormat/>
    <w:rsid w:val="00883C23"/>
    <w:pPr>
      <w:numPr>
        <w:ilvl w:val="4"/>
        <w:numId w:val="17"/>
      </w:numPr>
      <w:spacing w:before="240" w:after="60" w:line="240" w:lineRule="auto"/>
      <w:outlineLvl w:val="4"/>
    </w:pPr>
    <w:rPr>
      <w:rFonts w:ascii="Times New Roman" w:hAnsi="Times New Roman" w:eastAsia="Times New Roman" w:cs="Times New Roman"/>
      <w:b/>
      <w:bCs/>
      <w:i/>
      <w:iCs/>
      <w:sz w:val="26"/>
      <w:szCs w:val="26"/>
      <w:lang w:val="es-ES" w:eastAsia="es-ES"/>
    </w:rPr>
  </w:style>
  <w:style w:type="paragraph" w:styleId="Ttulo6">
    <w:name w:val="heading 6"/>
    <w:basedOn w:val="Normal"/>
    <w:next w:val="Normal"/>
    <w:link w:val="Ttulo6Car"/>
    <w:qFormat/>
    <w:rsid w:val="00883C23"/>
    <w:pPr>
      <w:numPr>
        <w:ilvl w:val="5"/>
        <w:numId w:val="17"/>
      </w:numPr>
      <w:spacing w:before="240" w:after="60" w:line="240" w:lineRule="auto"/>
      <w:outlineLvl w:val="5"/>
    </w:pPr>
    <w:rPr>
      <w:rFonts w:ascii="Times New Roman" w:hAnsi="Times New Roman" w:eastAsia="Times New Roman" w:cs="Times New Roman"/>
      <w:b/>
      <w:bCs/>
      <w:lang w:val="es-ES" w:eastAsia="es-ES"/>
    </w:rPr>
  </w:style>
  <w:style w:type="paragraph" w:styleId="Ttulo7">
    <w:name w:val="heading 7"/>
    <w:basedOn w:val="Normal"/>
    <w:next w:val="Normal"/>
    <w:link w:val="Ttulo7Car"/>
    <w:qFormat/>
    <w:rsid w:val="00883C23"/>
    <w:pPr>
      <w:numPr>
        <w:ilvl w:val="6"/>
        <w:numId w:val="17"/>
      </w:numPr>
      <w:spacing w:before="240" w:after="60" w:line="240" w:lineRule="auto"/>
      <w:outlineLvl w:val="6"/>
    </w:pPr>
    <w:rPr>
      <w:rFonts w:ascii="Times New Roman" w:hAnsi="Times New Roman" w:eastAsia="Times New Roman" w:cs="Times New Roman"/>
      <w:sz w:val="24"/>
      <w:szCs w:val="24"/>
      <w:lang w:val="es-ES" w:eastAsia="es-ES"/>
    </w:rPr>
  </w:style>
  <w:style w:type="paragraph" w:styleId="Ttulo8">
    <w:name w:val="heading 8"/>
    <w:basedOn w:val="Normal"/>
    <w:next w:val="Normal"/>
    <w:link w:val="Ttulo8Car"/>
    <w:qFormat/>
    <w:rsid w:val="00883C23"/>
    <w:pPr>
      <w:numPr>
        <w:ilvl w:val="7"/>
        <w:numId w:val="17"/>
      </w:numPr>
      <w:spacing w:before="240" w:after="60" w:line="240" w:lineRule="auto"/>
      <w:outlineLvl w:val="7"/>
    </w:pPr>
    <w:rPr>
      <w:rFonts w:ascii="Times New Roman" w:hAnsi="Times New Roman" w:eastAsia="Times New Roman" w:cs="Times New Roman"/>
      <w:i/>
      <w:iCs/>
      <w:sz w:val="24"/>
      <w:szCs w:val="24"/>
      <w:lang w:val="es-ES" w:eastAsia="es-ES"/>
    </w:rPr>
  </w:style>
  <w:style w:type="paragraph" w:styleId="Ttulo9">
    <w:name w:val="heading 9"/>
    <w:basedOn w:val="Normal"/>
    <w:next w:val="Normal"/>
    <w:link w:val="Ttulo9Car"/>
    <w:qFormat/>
    <w:rsid w:val="00883C23"/>
    <w:pPr>
      <w:numPr>
        <w:ilvl w:val="8"/>
        <w:numId w:val="17"/>
      </w:numPr>
      <w:spacing w:before="240" w:after="60" w:line="240" w:lineRule="auto"/>
      <w:outlineLvl w:val="8"/>
    </w:pPr>
    <w:rPr>
      <w:rFonts w:ascii="Arial" w:hAnsi="Arial" w:eastAsia="Times New Roman" w:cs="Arial"/>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883C23"/>
    <w:rPr>
      <w:rFonts w:ascii="Arial" w:hAnsi="Arial" w:eastAsia="Times New Roman" w:cs="Arial"/>
      <w:b/>
      <w:bCs/>
      <w:kern w:val="32"/>
      <w:sz w:val="32"/>
      <w:szCs w:val="32"/>
      <w:lang w:val="es-ES" w:eastAsia="es-ES"/>
    </w:rPr>
  </w:style>
  <w:style w:type="character" w:styleId="Ttulo2Car" w:customStyle="1">
    <w:name w:val="Título 2 Car"/>
    <w:basedOn w:val="Fuentedeprrafopredeter"/>
    <w:link w:val="Ttulo2"/>
    <w:rsid w:val="00883C23"/>
    <w:rPr>
      <w:rFonts w:ascii="Arial" w:hAnsi="Arial" w:eastAsia="Times New Roman" w:cs="Arial"/>
      <w:b/>
      <w:bCs/>
      <w:i/>
      <w:iCs/>
      <w:sz w:val="28"/>
      <w:szCs w:val="28"/>
      <w:lang w:val="es-ES" w:eastAsia="es-ES"/>
    </w:rPr>
  </w:style>
  <w:style w:type="character" w:styleId="Ttulo3Car" w:customStyle="1">
    <w:name w:val="Título 3 Car"/>
    <w:basedOn w:val="Fuentedeprrafopredeter"/>
    <w:link w:val="Ttulo3"/>
    <w:rsid w:val="00883C23"/>
    <w:rPr>
      <w:rFonts w:ascii="Arial" w:hAnsi="Arial" w:eastAsia="Times New Roman" w:cs="Arial"/>
      <w:b/>
      <w:bCs/>
      <w:sz w:val="26"/>
      <w:szCs w:val="26"/>
      <w:lang w:val="es-ES" w:eastAsia="es-ES"/>
    </w:rPr>
  </w:style>
  <w:style w:type="character" w:styleId="Ttulo4Car" w:customStyle="1">
    <w:name w:val="Título 4 Car"/>
    <w:basedOn w:val="Fuentedeprrafopredeter"/>
    <w:link w:val="Ttulo4"/>
    <w:rsid w:val="00883C23"/>
    <w:rPr>
      <w:rFonts w:ascii="Times New Roman" w:hAnsi="Times New Roman" w:eastAsia="Times New Roman" w:cs="Times New Roman"/>
      <w:b/>
      <w:bCs/>
      <w:sz w:val="28"/>
      <w:szCs w:val="28"/>
      <w:lang w:val="es-ES" w:eastAsia="es-ES"/>
    </w:rPr>
  </w:style>
  <w:style w:type="character" w:styleId="Ttulo5Car" w:customStyle="1">
    <w:name w:val="Título 5 Car"/>
    <w:basedOn w:val="Fuentedeprrafopredeter"/>
    <w:link w:val="Ttulo5"/>
    <w:rsid w:val="00883C23"/>
    <w:rPr>
      <w:rFonts w:ascii="Times New Roman" w:hAnsi="Times New Roman" w:eastAsia="Times New Roman" w:cs="Times New Roman"/>
      <w:b/>
      <w:bCs/>
      <w:i/>
      <w:iCs/>
      <w:sz w:val="26"/>
      <w:szCs w:val="26"/>
      <w:lang w:val="es-ES" w:eastAsia="es-ES"/>
    </w:rPr>
  </w:style>
  <w:style w:type="character" w:styleId="Ttulo6Car" w:customStyle="1">
    <w:name w:val="Título 6 Car"/>
    <w:basedOn w:val="Fuentedeprrafopredeter"/>
    <w:link w:val="Ttulo6"/>
    <w:rsid w:val="00883C23"/>
    <w:rPr>
      <w:rFonts w:ascii="Times New Roman" w:hAnsi="Times New Roman" w:eastAsia="Times New Roman" w:cs="Times New Roman"/>
      <w:b/>
      <w:bCs/>
      <w:lang w:val="es-ES" w:eastAsia="es-ES"/>
    </w:rPr>
  </w:style>
  <w:style w:type="character" w:styleId="Ttulo7Car" w:customStyle="1">
    <w:name w:val="Título 7 Car"/>
    <w:basedOn w:val="Fuentedeprrafopredeter"/>
    <w:link w:val="Ttulo7"/>
    <w:rsid w:val="00883C23"/>
    <w:rPr>
      <w:rFonts w:ascii="Times New Roman" w:hAnsi="Times New Roman" w:eastAsia="Times New Roman" w:cs="Times New Roman"/>
      <w:sz w:val="24"/>
      <w:szCs w:val="24"/>
      <w:lang w:val="es-ES" w:eastAsia="es-ES"/>
    </w:rPr>
  </w:style>
  <w:style w:type="character" w:styleId="Ttulo8Car" w:customStyle="1">
    <w:name w:val="Título 8 Car"/>
    <w:basedOn w:val="Fuentedeprrafopredeter"/>
    <w:link w:val="Ttulo8"/>
    <w:rsid w:val="00883C23"/>
    <w:rPr>
      <w:rFonts w:ascii="Times New Roman" w:hAnsi="Times New Roman" w:eastAsia="Times New Roman" w:cs="Times New Roman"/>
      <w:i/>
      <w:iCs/>
      <w:sz w:val="24"/>
      <w:szCs w:val="24"/>
      <w:lang w:val="es-ES" w:eastAsia="es-ES"/>
    </w:rPr>
  </w:style>
  <w:style w:type="character" w:styleId="Ttulo9Car" w:customStyle="1">
    <w:name w:val="Título 9 Car"/>
    <w:basedOn w:val="Fuentedeprrafopredeter"/>
    <w:link w:val="Ttulo9"/>
    <w:rsid w:val="00883C23"/>
    <w:rPr>
      <w:rFonts w:ascii="Arial" w:hAnsi="Arial" w:eastAsia="Times New Roman" w:cs="Arial"/>
      <w:lang w:val="es-ES" w:eastAsia="es-ES"/>
    </w:rPr>
  </w:style>
  <w:style w:type="numbering" w:styleId="Sinlista1" w:customStyle="1">
    <w:name w:val="Sin lista1"/>
    <w:next w:val="Sinlista"/>
    <w:uiPriority w:val="99"/>
    <w:semiHidden/>
    <w:unhideWhenUsed/>
    <w:rsid w:val="00883C23"/>
  </w:style>
  <w:style w:type="paragraph" w:styleId="Piedepgina">
    <w:name w:val="footer"/>
    <w:basedOn w:val="Normal"/>
    <w:link w:val="PiedepginaCar"/>
    <w:uiPriority w:val="99"/>
    <w:unhideWhenUsed/>
    <w:rsid w:val="00883C23"/>
    <w:pPr>
      <w:tabs>
        <w:tab w:val="center" w:pos="4419"/>
        <w:tab w:val="right" w:pos="8838"/>
      </w:tabs>
      <w:spacing w:after="200" w:line="276" w:lineRule="auto"/>
      <w:jc w:val="both"/>
    </w:pPr>
    <w:rPr>
      <w:sz w:val="24"/>
      <w:lang w:val="es-MX"/>
    </w:rPr>
  </w:style>
  <w:style w:type="character" w:styleId="PiedepginaCar" w:customStyle="1">
    <w:name w:val="Pie de página Car"/>
    <w:basedOn w:val="Fuentedeprrafopredeter"/>
    <w:link w:val="Piedepgina"/>
    <w:uiPriority w:val="99"/>
    <w:rsid w:val="00883C23"/>
    <w:rPr>
      <w:sz w:val="24"/>
      <w:lang w:val="es-MX"/>
    </w:rPr>
  </w:style>
  <w:style w:type="paragraph" w:styleId="Textodeglobo">
    <w:name w:val="Balloon Text"/>
    <w:basedOn w:val="Normal"/>
    <w:link w:val="TextodegloboCar"/>
    <w:uiPriority w:val="99"/>
    <w:semiHidden/>
    <w:unhideWhenUsed/>
    <w:rsid w:val="00883C23"/>
    <w:pPr>
      <w:spacing w:after="200" w:line="276" w:lineRule="auto"/>
      <w:jc w:val="both"/>
    </w:pPr>
    <w:rPr>
      <w:rFonts w:ascii="Tahoma" w:hAnsi="Tahoma" w:cs="Tahoma"/>
      <w:sz w:val="16"/>
      <w:szCs w:val="16"/>
      <w:lang w:val="es-MX"/>
    </w:rPr>
  </w:style>
  <w:style w:type="character" w:styleId="TextodegloboCar" w:customStyle="1">
    <w:name w:val="Texto de globo Car"/>
    <w:basedOn w:val="Fuentedeprrafopredeter"/>
    <w:link w:val="Textodeglobo"/>
    <w:uiPriority w:val="99"/>
    <w:semiHidden/>
    <w:rsid w:val="00883C23"/>
    <w:rPr>
      <w:rFonts w:ascii="Tahoma" w:hAnsi="Tahoma" w:cs="Tahoma"/>
      <w:sz w:val="16"/>
      <w:szCs w:val="16"/>
      <w:lang w:val="es-MX"/>
    </w:rPr>
  </w:style>
  <w:style w:type="paragraph" w:styleId="Encabezado">
    <w:name w:val="header"/>
    <w:basedOn w:val="Normal"/>
    <w:link w:val="EncabezadoCar"/>
    <w:uiPriority w:val="99"/>
    <w:unhideWhenUsed/>
    <w:rsid w:val="00883C23"/>
    <w:pPr>
      <w:tabs>
        <w:tab w:val="center" w:pos="4252"/>
        <w:tab w:val="right" w:pos="8504"/>
      </w:tabs>
      <w:spacing w:after="200" w:line="276" w:lineRule="auto"/>
      <w:jc w:val="both"/>
    </w:pPr>
    <w:rPr>
      <w:sz w:val="24"/>
      <w:lang w:val="es-MX"/>
    </w:rPr>
  </w:style>
  <w:style w:type="character" w:styleId="EncabezadoCar" w:customStyle="1">
    <w:name w:val="Encabezado Car"/>
    <w:basedOn w:val="Fuentedeprrafopredeter"/>
    <w:link w:val="Encabezado"/>
    <w:uiPriority w:val="99"/>
    <w:rsid w:val="00883C23"/>
    <w:rPr>
      <w:sz w:val="24"/>
      <w:lang w:val="es-MX"/>
    </w:rPr>
  </w:style>
  <w:style w:type="table" w:styleId="Tablaconcuadrcula">
    <w:name w:val="Table Grid"/>
    <w:basedOn w:val="Tablanormal"/>
    <w:uiPriority w:val="39"/>
    <w:rsid w:val="00883C2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83C23"/>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883C23"/>
    <w:rPr>
      <w:sz w:val="16"/>
      <w:szCs w:val="16"/>
    </w:rPr>
  </w:style>
  <w:style w:type="paragraph" w:styleId="Textocomentario">
    <w:name w:val="annotation text"/>
    <w:basedOn w:val="Normal"/>
    <w:link w:val="TextocomentarioCar"/>
    <w:uiPriority w:val="99"/>
    <w:unhideWhenUsed/>
    <w:rsid w:val="00883C23"/>
    <w:pPr>
      <w:spacing w:after="200" w:line="276" w:lineRule="auto"/>
      <w:jc w:val="both"/>
    </w:pPr>
    <w:rPr>
      <w:sz w:val="20"/>
      <w:szCs w:val="20"/>
      <w:lang w:val="es-MX"/>
    </w:rPr>
  </w:style>
  <w:style w:type="character" w:styleId="TextocomentarioCar" w:customStyle="1">
    <w:name w:val="Texto comentario Car"/>
    <w:basedOn w:val="Fuentedeprrafopredeter"/>
    <w:link w:val="Textocomentario"/>
    <w:uiPriority w:val="99"/>
    <w:rsid w:val="00883C23"/>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83C23"/>
    <w:rPr>
      <w:b/>
      <w:bCs/>
    </w:rPr>
  </w:style>
  <w:style w:type="character" w:styleId="AsuntodelcomentarioCar" w:customStyle="1">
    <w:name w:val="Asunto del comentario Car"/>
    <w:basedOn w:val="TextocomentarioCar"/>
    <w:link w:val="Asuntodelcomentario"/>
    <w:uiPriority w:val="99"/>
    <w:semiHidden/>
    <w:rsid w:val="00883C23"/>
    <w:rPr>
      <w:b/>
      <w:bCs/>
      <w:sz w:val="20"/>
      <w:szCs w:val="20"/>
      <w:lang w:val="es-MX"/>
    </w:rPr>
  </w:style>
  <w:style w:type="character" w:styleId="Hipervnculo1" w:customStyle="1">
    <w:name w:val="Hipervínculo1"/>
    <w:basedOn w:val="Fuentedeprrafopredeter"/>
    <w:uiPriority w:val="99"/>
    <w:unhideWhenUsed/>
    <w:rsid w:val="00883C23"/>
    <w:rPr>
      <w:color w:val="F2F2F2"/>
      <w:u w:val="single"/>
    </w:rPr>
  </w:style>
  <w:style w:type="paragraph" w:styleId="NormalWeb">
    <w:name w:val="Normal (Web)"/>
    <w:basedOn w:val="Normal"/>
    <w:link w:val="NormalWebCar"/>
    <w:uiPriority w:val="99"/>
    <w:unhideWhenUsed/>
    <w:rsid w:val="00883C23"/>
    <w:pPr>
      <w:spacing w:before="100" w:beforeAutospacing="1" w:after="100" w:afterAutospacing="1" w:line="276" w:lineRule="auto"/>
      <w:jc w:val="both"/>
    </w:pPr>
    <w:rPr>
      <w:rFonts w:ascii="Times New Roman" w:hAnsi="Times New Roman" w:eastAsia="Times New Roman" w:cs="Times New Roman"/>
      <w:sz w:val="24"/>
      <w:szCs w:val="24"/>
      <w:lang w:eastAsia="es-CO"/>
    </w:rPr>
  </w:style>
  <w:style w:type="paragraph" w:styleId="Sinespaciado">
    <w:name w:val="No Spacing"/>
    <w:aliases w:val="No Indent"/>
    <w:uiPriority w:val="3"/>
    <w:qFormat/>
    <w:rsid w:val="00883C23"/>
    <w:pPr>
      <w:spacing w:after="0" w:line="240" w:lineRule="auto"/>
      <w:jc w:val="both"/>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83C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83C23"/>
    <w:pPr>
      <w:spacing w:after="200" w:line="276" w:lineRule="auto"/>
      <w:jc w:val="both"/>
    </w:pPr>
    <w:rPr>
      <w:sz w:val="20"/>
      <w:szCs w:val="20"/>
      <w:lang w:val="es-MX"/>
    </w:rPr>
  </w:style>
  <w:style w:type="character" w:styleId="TextonotapieCar1" w:customStyle="1">
    <w:name w:val="Texto nota pie Car1"/>
    <w:basedOn w:val="Fuentedeprrafopredeter"/>
    <w:uiPriority w:val="99"/>
    <w:semiHidden/>
    <w:rsid w:val="00883C23"/>
    <w:rPr>
      <w:sz w:val="20"/>
      <w:szCs w:val="20"/>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3C23"/>
    <w:rPr>
      <w:sz w:val="24"/>
      <w:lang w:val="es-MX"/>
    </w:rPr>
  </w:style>
  <w:style w:type="paragraph" w:styleId="Capitulo1" w:customStyle="1">
    <w:name w:val="Capitulo 1"/>
    <w:basedOn w:val="Normal"/>
    <w:uiPriority w:val="99"/>
    <w:qFormat/>
    <w:rsid w:val="00883C23"/>
    <w:pPr>
      <w:keepNext/>
      <w:spacing w:before="120" w:after="200" w:line="276" w:lineRule="auto"/>
      <w:ind w:left="720" w:hanging="360"/>
      <w:jc w:val="both"/>
      <w:outlineLvl w:val="1"/>
    </w:pPr>
    <w:rPr>
      <w:rFonts w:ascii="Arial" w:hAnsi="Arial" w:eastAsia="Times New Roman"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883C23"/>
    <w:rPr>
      <w:vertAlign w:val="superscript"/>
    </w:rPr>
  </w:style>
  <w:style w:type="paragraph" w:styleId="pa22" w:customStyle="1">
    <w:name w:val="pa22"/>
    <w:basedOn w:val="Normal"/>
    <w:rsid w:val="00883C23"/>
    <w:pPr>
      <w:spacing w:before="100" w:beforeAutospacing="1" w:after="100" w:afterAutospacing="1" w:line="276" w:lineRule="auto"/>
      <w:jc w:val="both"/>
    </w:pPr>
    <w:rPr>
      <w:rFonts w:ascii="Times New Roman" w:hAnsi="Times New Roman" w:eastAsia="Times New Roman" w:cs="Times New Roman"/>
      <w:sz w:val="24"/>
      <w:szCs w:val="24"/>
      <w:lang w:val="es-ES" w:eastAsia="es-ES"/>
    </w:rPr>
  </w:style>
  <w:style w:type="character" w:styleId="Textoennegrita">
    <w:name w:val="Strong"/>
    <w:basedOn w:val="Fuentedeprrafopredeter"/>
    <w:uiPriority w:val="22"/>
    <w:qFormat/>
    <w:rsid w:val="00883C23"/>
    <w:rPr>
      <w:b/>
      <w:bCs/>
    </w:rPr>
  </w:style>
  <w:style w:type="character" w:styleId="nfasis">
    <w:name w:val="Emphasis"/>
    <w:basedOn w:val="Fuentedeprrafopredeter"/>
    <w:uiPriority w:val="20"/>
    <w:qFormat/>
    <w:rsid w:val="00883C23"/>
    <w:rPr>
      <w:i/>
      <w:iCs/>
    </w:rPr>
  </w:style>
  <w:style w:type="character" w:styleId="Mencinsinresolver1" w:customStyle="1">
    <w:name w:val="Mención sin resolver1"/>
    <w:basedOn w:val="Fuentedeprrafopredeter"/>
    <w:uiPriority w:val="99"/>
    <w:semiHidden/>
    <w:unhideWhenUsed/>
    <w:rsid w:val="00883C23"/>
    <w:rPr>
      <w:color w:val="605E5C"/>
      <w:shd w:val="clear" w:color="auto" w:fill="E1DFDD"/>
    </w:rPr>
  </w:style>
  <w:style w:type="paragraph" w:styleId="Capitulo3" w:customStyle="1">
    <w:name w:val="Capitulo 3"/>
    <w:basedOn w:val="Normal"/>
    <w:qFormat/>
    <w:rsid w:val="00883C23"/>
    <w:pPr>
      <w:keepNext/>
      <w:numPr>
        <w:numId w:val="7"/>
      </w:numPr>
      <w:spacing w:before="120" w:after="200" w:line="276" w:lineRule="auto"/>
      <w:jc w:val="both"/>
      <w:outlineLvl w:val="1"/>
    </w:pPr>
    <w:rPr>
      <w:rFonts w:ascii="Arial" w:hAnsi="Arial" w:eastAsia="Times New Roman" w:cs="Arial"/>
      <w:b/>
      <w:color w:val="000000"/>
      <w:sz w:val="20"/>
      <w:szCs w:val="20"/>
      <w:lang w:eastAsia="es-CO"/>
    </w:rPr>
  </w:style>
  <w:style w:type="paragraph" w:styleId="InviasNormal" w:customStyle="1">
    <w:name w:val="Invias Normal"/>
    <w:basedOn w:val="Normal"/>
    <w:link w:val="InviasNormalCar"/>
    <w:qFormat/>
    <w:rsid w:val="00883C23"/>
    <w:pPr>
      <w:tabs>
        <w:tab w:val="left" w:pos="-142"/>
      </w:tabs>
      <w:autoSpaceDE w:val="0"/>
      <w:autoSpaceDN w:val="0"/>
      <w:adjustRightInd w:val="0"/>
      <w:spacing w:before="120" w:after="240" w:line="276" w:lineRule="auto"/>
      <w:jc w:val="both"/>
    </w:pPr>
    <w:rPr>
      <w:rFonts w:ascii="Arial Narrow" w:hAnsi="Arial Narrow" w:eastAsia="Times New Roman" w:cs="Times New Roman"/>
      <w:color w:val="3C3C3C"/>
      <w:sz w:val="24"/>
      <w:szCs w:val="24"/>
      <w:lang w:val="x-none" w:eastAsia="es-ES"/>
    </w:rPr>
  </w:style>
  <w:style w:type="character" w:styleId="InviasNormalCar" w:customStyle="1">
    <w:name w:val="Invias Normal Car"/>
    <w:link w:val="InviasNormal"/>
    <w:locked/>
    <w:rsid w:val="00883C23"/>
    <w:rPr>
      <w:rFonts w:ascii="Arial Narrow" w:hAnsi="Arial Narrow" w:eastAsia="Times New Roman" w:cs="Times New Roman"/>
      <w:color w:val="3C3C3C"/>
      <w:sz w:val="24"/>
      <w:szCs w:val="24"/>
      <w:lang w:val="x-none" w:eastAsia="es-ES"/>
    </w:rPr>
  </w:style>
  <w:style w:type="paragraph" w:styleId="Entidad-Capitulo" w:customStyle="1">
    <w:name w:val="Entidad-Capitulo"/>
    <w:next w:val="Normal"/>
    <w:autoRedefine/>
    <w:uiPriority w:val="99"/>
    <w:qFormat/>
    <w:rsid w:val="00883C23"/>
    <w:pPr>
      <w:keepNext/>
      <w:spacing w:before="240" w:after="0" w:line="240" w:lineRule="auto"/>
      <w:jc w:val="center"/>
      <w:outlineLvl w:val="0"/>
    </w:pPr>
    <w:rPr>
      <w:rFonts w:ascii="Arial" w:hAnsi="Arial" w:eastAsia="Times New Roman" w:cs="Arial"/>
      <w:b/>
      <w:smallCaps/>
      <w:sz w:val="20"/>
      <w:szCs w:val="20"/>
      <w:lang w:eastAsia="es-ES"/>
    </w:rPr>
  </w:style>
  <w:style w:type="paragraph" w:styleId="Revisin">
    <w:name w:val="Revision"/>
    <w:hidden/>
    <w:uiPriority w:val="99"/>
    <w:semiHidden/>
    <w:rsid w:val="00883C23"/>
    <w:pPr>
      <w:spacing w:after="0" w:line="240" w:lineRule="auto"/>
      <w:jc w:val="both"/>
    </w:pPr>
    <w:rPr>
      <w:sz w:val="24"/>
      <w:lang w:val="es-MX"/>
    </w:rPr>
  </w:style>
  <w:style w:type="paragraph" w:styleId="Appelnotedebasde" w:customStyle="1">
    <w:name w:val="Appel note de bas de..."/>
    <w:basedOn w:val="Normal"/>
    <w:link w:val="Refdenotaalpie"/>
    <w:uiPriority w:val="99"/>
    <w:rsid w:val="00883C23"/>
    <w:pPr>
      <w:spacing w:line="240" w:lineRule="exact"/>
      <w:jc w:val="both"/>
    </w:pPr>
    <w:rPr>
      <w:vertAlign w:val="superscript"/>
    </w:rPr>
  </w:style>
  <w:style w:type="character" w:styleId="NormalWebCar" w:customStyle="1">
    <w:name w:val="Normal (Web) Car"/>
    <w:link w:val="NormalWeb"/>
    <w:uiPriority w:val="99"/>
    <w:locked/>
    <w:rsid w:val="00883C23"/>
    <w:rPr>
      <w:rFonts w:ascii="Times New Roman" w:hAnsi="Times New Roman" w:eastAsia="Times New Roman" w:cs="Times New Roman"/>
      <w:sz w:val="24"/>
      <w:szCs w:val="24"/>
      <w:lang w:eastAsia="es-CO"/>
    </w:rPr>
  </w:style>
  <w:style w:type="character" w:styleId="normaltextrun" w:customStyle="1">
    <w:name w:val="normaltextrun"/>
    <w:basedOn w:val="Fuentedeprrafopredeter"/>
    <w:rsid w:val="00883C23"/>
  </w:style>
  <w:style w:type="paragraph" w:styleId="Textoindependiente">
    <w:name w:val="Body Text"/>
    <w:basedOn w:val="Normal"/>
    <w:link w:val="TextoindependienteCar"/>
    <w:uiPriority w:val="1"/>
    <w:qFormat/>
    <w:rsid w:val="00883C23"/>
    <w:pPr>
      <w:widowControl w:val="0"/>
      <w:autoSpaceDE w:val="0"/>
      <w:autoSpaceDN w:val="0"/>
      <w:spacing w:after="200" w:line="276" w:lineRule="auto"/>
      <w:jc w:val="both"/>
    </w:pPr>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883C23"/>
    <w:rPr>
      <w:rFonts w:ascii="Arial" w:hAnsi="Arial" w:eastAsia="Arial" w:cs="Arial"/>
      <w:lang w:val="es-ES" w:eastAsia="es-ES" w:bidi="es-ES"/>
    </w:rPr>
  </w:style>
  <w:style w:type="paragraph" w:styleId="Textonotaalfinal">
    <w:name w:val="endnote text"/>
    <w:basedOn w:val="Normal"/>
    <w:link w:val="TextonotaalfinalCar"/>
    <w:uiPriority w:val="99"/>
    <w:semiHidden/>
    <w:unhideWhenUsed/>
    <w:rsid w:val="00883C23"/>
    <w:pPr>
      <w:spacing w:after="200" w:line="276" w:lineRule="auto"/>
      <w:jc w:val="both"/>
    </w:pPr>
    <w:rPr>
      <w:sz w:val="20"/>
      <w:szCs w:val="20"/>
      <w:lang w:val="es-MX"/>
    </w:rPr>
  </w:style>
  <w:style w:type="character" w:styleId="TextonotaalfinalCar" w:customStyle="1">
    <w:name w:val="Texto nota al final Car"/>
    <w:basedOn w:val="Fuentedeprrafopredeter"/>
    <w:link w:val="Textonotaalfinal"/>
    <w:uiPriority w:val="99"/>
    <w:semiHidden/>
    <w:rsid w:val="00883C23"/>
    <w:rPr>
      <w:sz w:val="20"/>
      <w:szCs w:val="20"/>
      <w:lang w:val="es-MX"/>
    </w:rPr>
  </w:style>
  <w:style w:type="character" w:styleId="Refdenotaalfinal">
    <w:name w:val="endnote reference"/>
    <w:basedOn w:val="Fuentedeprrafopredeter"/>
    <w:uiPriority w:val="99"/>
    <w:semiHidden/>
    <w:unhideWhenUsed/>
    <w:rsid w:val="00883C23"/>
    <w:rPr>
      <w:vertAlign w:val="superscript"/>
    </w:rPr>
  </w:style>
  <w:style w:type="table" w:styleId="Tablaconcuadrcula1" w:customStyle="1">
    <w:name w:val="Tabla con cuadrícula1"/>
    <w:basedOn w:val="Tablanormal"/>
    <w:next w:val="Tablaconcuadrcula"/>
    <w:uiPriority w:val="39"/>
    <w:rsid w:val="00883C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883C23"/>
  </w:style>
  <w:style w:type="table" w:styleId="Tablaconcuadrcula2" w:customStyle="1">
    <w:name w:val="Tabla con cuadrícula2"/>
    <w:basedOn w:val="Tablanormal"/>
    <w:next w:val="Tablaconcuadrcula"/>
    <w:uiPriority w:val="39"/>
    <w:rsid w:val="00883C23"/>
    <w:pPr>
      <w:spacing w:before="120"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3" w:customStyle="1">
    <w:name w:val="Tabla con cuadrícula3"/>
    <w:basedOn w:val="Tablanormal"/>
    <w:next w:val="Tablaconcuadrcula"/>
    <w:uiPriority w:val="39"/>
    <w:rsid w:val="00883C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scripcin">
    <w:name w:val="caption"/>
    <w:basedOn w:val="Normal"/>
    <w:next w:val="Normal"/>
    <w:qFormat/>
    <w:rsid w:val="00883C23"/>
    <w:pPr>
      <w:overflowPunct w:val="0"/>
      <w:autoSpaceDE w:val="0"/>
      <w:autoSpaceDN w:val="0"/>
      <w:adjustRightInd w:val="0"/>
      <w:spacing w:after="0" w:line="240" w:lineRule="auto"/>
      <w:jc w:val="right"/>
      <w:textAlignment w:val="baseline"/>
    </w:pPr>
    <w:rPr>
      <w:rFonts w:ascii="Verdana" w:hAnsi="Verdana" w:eastAsia="Times New Roman" w:cs="Times New Roman"/>
      <w:b/>
      <w:sz w:val="28"/>
      <w:szCs w:val="20"/>
      <w:lang w:val="es-ES_tradnl" w:eastAsia="es-ES"/>
    </w:rPr>
  </w:style>
  <w:style w:type="paragraph" w:styleId="Default" w:customStyle="1">
    <w:name w:val="Default"/>
    <w:rsid w:val="00883C23"/>
    <w:pPr>
      <w:autoSpaceDE w:val="0"/>
      <w:autoSpaceDN w:val="0"/>
      <w:adjustRightInd w:val="0"/>
      <w:spacing w:after="0" w:line="240" w:lineRule="auto"/>
    </w:pPr>
    <w:rPr>
      <w:rFonts w:ascii="Arial" w:hAnsi="Arial" w:cs="Arial"/>
      <w:color w:val="000000"/>
      <w:sz w:val="24"/>
      <w:szCs w:val="24"/>
      <w:lang w:val="es-ES"/>
    </w:rPr>
  </w:style>
  <w:style w:type="paragraph" w:styleId="CM203" w:customStyle="1">
    <w:name w:val="CM203"/>
    <w:basedOn w:val="Normal"/>
    <w:next w:val="Normal"/>
    <w:uiPriority w:val="99"/>
    <w:rsid w:val="00883C23"/>
    <w:pPr>
      <w:widowControl w:val="0"/>
      <w:autoSpaceDE w:val="0"/>
      <w:autoSpaceDN w:val="0"/>
      <w:adjustRightInd w:val="0"/>
      <w:spacing w:after="0" w:line="240" w:lineRule="auto"/>
    </w:pPr>
    <w:rPr>
      <w:rFonts w:ascii="Times New Roman" w:hAnsi="Times New Roman" w:eastAsia="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883C23"/>
    <w:pPr>
      <w:spacing w:after="120" w:line="480" w:lineRule="auto"/>
      <w:jc w:val="both"/>
    </w:pPr>
    <w:rPr>
      <w:sz w:val="24"/>
      <w:lang w:val="es-MX"/>
    </w:rPr>
  </w:style>
  <w:style w:type="character" w:styleId="Textoindependiente2Car" w:customStyle="1">
    <w:name w:val="Texto independiente 2 Car"/>
    <w:basedOn w:val="Fuentedeprrafopredeter"/>
    <w:link w:val="Textoindependiente2"/>
    <w:uiPriority w:val="99"/>
    <w:semiHidden/>
    <w:rsid w:val="00883C23"/>
    <w:rPr>
      <w:sz w:val="24"/>
      <w:lang w:val="es-MX"/>
    </w:rPr>
  </w:style>
  <w:style w:type="character" w:styleId="apple-converted-space" w:customStyle="1">
    <w:name w:val="apple-converted-space"/>
    <w:basedOn w:val="Fuentedeprrafopredeter"/>
    <w:rsid w:val="00883C23"/>
  </w:style>
  <w:style w:type="character" w:styleId="Hipervnculo">
    <w:name w:val="Hyperlink"/>
    <w:basedOn w:val="Fuentedeprrafopredeter"/>
    <w:uiPriority w:val="99"/>
    <w:unhideWhenUsed/>
    <w:rsid w:val="00883C23"/>
    <w:rPr>
      <w:color w:val="0563C1" w:themeColor="hyperlink"/>
      <w:u w:val="single"/>
    </w:rPr>
  </w:style>
  <w:style w:type="paragraph" w:styleId="xgmail-cuerpodeltexto0" w:customStyle="1">
    <w:name w:val="x_gmail-cuerpodeltexto0"/>
    <w:basedOn w:val="Normal"/>
    <w:rsid w:val="001E4C5E"/>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xgmail-cuerpodeltextocursiva" w:customStyle="1">
    <w:name w:val="x_gmail-cuerpodeltextocursiva"/>
    <w:basedOn w:val="Fuentedeprrafopredeter"/>
    <w:rsid w:val="001E4C5E"/>
  </w:style>
  <w:style w:type="character" w:styleId="Mencinsinresolver">
    <w:name w:val="Unresolved Mention"/>
    <w:basedOn w:val="Fuentedeprrafopredeter"/>
    <w:uiPriority w:val="99"/>
    <w:semiHidden/>
    <w:unhideWhenUsed/>
    <w:rsid w:val="00951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9810">
      <w:bodyDiv w:val="1"/>
      <w:marLeft w:val="0"/>
      <w:marRight w:val="0"/>
      <w:marTop w:val="0"/>
      <w:marBottom w:val="0"/>
      <w:divBdr>
        <w:top w:val="none" w:sz="0" w:space="0" w:color="auto"/>
        <w:left w:val="none" w:sz="0" w:space="0" w:color="auto"/>
        <w:bottom w:val="none" w:sz="0" w:space="0" w:color="auto"/>
        <w:right w:val="none" w:sz="0" w:space="0" w:color="auto"/>
      </w:divBdr>
    </w:div>
    <w:div w:id="1898128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1aa882690f046a8"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EB744-4841-4EDA-8808-9DB2EB3518A0}"/>
</file>

<file path=customXml/itemProps2.xml><?xml version="1.0" encoding="utf-8"?>
<ds:datastoreItem xmlns:ds="http://schemas.openxmlformats.org/officeDocument/2006/customXml" ds:itemID="{0E16C6F4-DB0B-4FD0-9C3D-3041E73D90A1}">
  <ds:schemaRefs>
    <ds:schemaRef ds:uri="http://schemas.openxmlformats.org/officeDocument/2006/bibliography"/>
  </ds:schemaRefs>
</ds:datastoreItem>
</file>

<file path=customXml/itemProps3.xml><?xml version="1.0" encoding="utf-8"?>
<ds:datastoreItem xmlns:ds="http://schemas.openxmlformats.org/officeDocument/2006/customXml" ds:itemID="{C5230615-F0E1-4492-828C-DC45E881F982}">
  <ds:schemaRefs>
    <ds:schemaRef ds:uri="http://schemas.microsoft.com/sharepoint/v3/contenttype/forms"/>
  </ds:schemaRefs>
</ds:datastoreItem>
</file>

<file path=customXml/itemProps4.xml><?xml version="1.0" encoding="utf-8"?>
<ds:datastoreItem xmlns:ds="http://schemas.openxmlformats.org/officeDocument/2006/customXml" ds:itemID="{DA572D9C-B81E-40C2-9B5D-565AAEA853A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Nina María Padrón</cp:lastModifiedBy>
  <cp:revision>3</cp:revision>
  <dcterms:created xsi:type="dcterms:W3CDTF">2022-06-21T20:37:00Z</dcterms:created>
  <dcterms:modified xsi:type="dcterms:W3CDTF">2022-06-22T00:10:11Z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