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37D3F" w14:textId="77777777" w:rsidR="0080143F" w:rsidRPr="004715CB" w:rsidRDefault="0080143F" w:rsidP="0080143F">
      <w:pPr>
        <w:spacing w:after="0" w:line="240" w:lineRule="auto"/>
        <w:jc w:val="both"/>
        <w:rPr>
          <w:rFonts w:ascii="Century Gothic" w:eastAsia="Calibri" w:hAnsi="Century Gothic" w:cs="Arial"/>
          <w:b/>
          <w:szCs w:val="24"/>
          <w:lang w:val="es-ES_tradnl" w:eastAsia="es-ES_tradnl"/>
        </w:rPr>
      </w:pPr>
      <w:bookmarkStart w:id="0" w:name="_Hlk143780582"/>
      <w:r w:rsidRPr="004715CB">
        <w:rPr>
          <w:rFonts w:ascii="Century Gothic" w:eastAsia="Calibri" w:hAnsi="Century Gothic" w:cs="Arial"/>
          <w:b/>
          <w:szCs w:val="24"/>
          <w:lang w:val="es-ES_tradnl" w:eastAsia="es-ES_tradnl"/>
        </w:rPr>
        <w:t xml:space="preserve">PRECIOS UNITARIOS </w:t>
      </w:r>
      <w:bookmarkStart w:id="1" w:name="_Hlk39666823"/>
      <w:r w:rsidRPr="004715CB">
        <w:rPr>
          <w:rFonts w:ascii="Century Gothic" w:eastAsia="Calibri" w:hAnsi="Century Gothic" w:cs="Arial"/>
          <w:b/>
          <w:szCs w:val="24"/>
          <w:lang w:eastAsia="es-ES_tradnl"/>
        </w:rPr>
        <w:t>–</w:t>
      </w:r>
      <w:bookmarkEnd w:id="1"/>
      <w:r w:rsidRPr="004715CB">
        <w:rPr>
          <w:rFonts w:ascii="Century Gothic" w:eastAsia="Calibri" w:hAnsi="Century Gothic" w:cs="Arial"/>
          <w:b/>
          <w:szCs w:val="24"/>
          <w:lang w:val="es-ES_tradnl" w:eastAsia="es-ES_tradnl"/>
        </w:rPr>
        <w:t xml:space="preserve"> APU </w:t>
      </w:r>
      <w:r w:rsidRPr="004715CB">
        <w:rPr>
          <w:rFonts w:ascii="Century Gothic" w:eastAsia="Calibri" w:hAnsi="Century Gothic" w:cs="Arial"/>
          <w:b/>
          <w:szCs w:val="24"/>
          <w:lang w:eastAsia="es-ES_tradnl"/>
        </w:rPr>
        <w:t xml:space="preserve">– </w:t>
      </w:r>
      <w:r w:rsidRPr="004715CB">
        <w:rPr>
          <w:rFonts w:ascii="Century Gothic" w:eastAsia="Calibri" w:hAnsi="Century Gothic" w:cs="Arial"/>
          <w:b/>
          <w:szCs w:val="24"/>
          <w:lang w:val="es-ES_tradnl" w:eastAsia="es-ES_tradnl"/>
        </w:rPr>
        <w:t xml:space="preserve">AIU </w:t>
      </w:r>
      <w:r w:rsidRPr="004715CB">
        <w:rPr>
          <w:rFonts w:ascii="Century Gothic" w:eastAsia="Calibri" w:hAnsi="Century Gothic" w:cs="Arial"/>
          <w:b/>
          <w:szCs w:val="24"/>
          <w:lang w:eastAsia="es-ES_tradnl"/>
        </w:rPr>
        <w:t xml:space="preserve">– Diferencias </w:t>
      </w:r>
    </w:p>
    <w:p w14:paraId="5E58CC60" w14:textId="77777777" w:rsidR="0080143F" w:rsidRPr="004715CB" w:rsidRDefault="0080143F" w:rsidP="0080143F">
      <w:pPr>
        <w:spacing w:after="0" w:line="240" w:lineRule="auto"/>
        <w:jc w:val="both"/>
        <w:rPr>
          <w:rFonts w:ascii="Century Gothic" w:eastAsia="Calibri" w:hAnsi="Century Gothic" w:cs="Arial"/>
          <w:b/>
          <w:szCs w:val="24"/>
          <w:lang w:val="es-ES_tradnl" w:eastAsia="es-ES_tradnl"/>
        </w:rPr>
      </w:pPr>
    </w:p>
    <w:p w14:paraId="0FA56DB2" w14:textId="77777777" w:rsidR="0080143F" w:rsidRPr="004715CB" w:rsidRDefault="0080143F" w:rsidP="0080143F">
      <w:pPr>
        <w:spacing w:after="0" w:line="240" w:lineRule="auto"/>
        <w:jc w:val="both"/>
        <w:rPr>
          <w:rFonts w:ascii="Century Gothic" w:eastAsia="Calibri" w:hAnsi="Century Gothic" w:cs="Arial"/>
          <w:bCs/>
          <w:sz w:val="20"/>
          <w:szCs w:val="20"/>
          <w:lang w:val="es-ES_tradnl" w:eastAsia="es-ES_tradnl"/>
        </w:rPr>
      </w:pPr>
      <w:r w:rsidRPr="004715CB">
        <w:rPr>
          <w:rFonts w:ascii="Century Gothic" w:eastAsia="Calibri" w:hAnsi="Century Gothic" w:cs="Arial"/>
          <w:bCs/>
          <w:sz w:val="20"/>
          <w:szCs w:val="20"/>
          <w:lang w:val="es-ES_tradnl" w:eastAsia="es-ES_tradnl"/>
        </w:rPr>
        <w:t>[…]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ítems según su unidad de medida, los costos indirectos se suelen abreviar en las variables que integran el acrónimo AIU –Administración, Imprevistos y Utilidad–, que se calcula como un porcentaje aplicado a los costos indirectos. […]</w:t>
      </w:r>
    </w:p>
    <w:p w14:paraId="586E11F1" w14:textId="77777777" w:rsidR="0080143F" w:rsidRPr="004715CB" w:rsidRDefault="0080143F" w:rsidP="0080143F">
      <w:pPr>
        <w:spacing w:after="0" w:line="240" w:lineRule="auto"/>
        <w:jc w:val="both"/>
        <w:rPr>
          <w:rFonts w:ascii="Century Gothic" w:eastAsia="Calibri" w:hAnsi="Century Gothic" w:cs="Arial"/>
          <w:bCs/>
          <w:sz w:val="20"/>
          <w:szCs w:val="20"/>
          <w:lang w:val="es-ES_tradnl" w:eastAsia="es-ES_tradnl"/>
        </w:rPr>
      </w:pPr>
    </w:p>
    <w:p w14:paraId="11B320F2" w14:textId="77777777" w:rsidR="0080143F" w:rsidRPr="004715CB" w:rsidRDefault="0080143F" w:rsidP="0080143F">
      <w:pPr>
        <w:spacing w:after="0" w:line="240" w:lineRule="auto"/>
        <w:jc w:val="both"/>
        <w:rPr>
          <w:rFonts w:ascii="Century Gothic" w:eastAsia="Calibri" w:hAnsi="Century Gothic" w:cs="Arial"/>
          <w:bCs/>
          <w:sz w:val="20"/>
          <w:szCs w:val="20"/>
          <w:lang w:val="es-ES_tradnl" w:eastAsia="es-ES_tradnl"/>
        </w:rPr>
      </w:pPr>
      <w:r w:rsidRPr="004715CB">
        <w:rPr>
          <w:rFonts w:ascii="Century Gothic" w:eastAsia="Calibri" w:hAnsi="Century Gothic" w:cs="Arial"/>
          <w:bCs/>
          <w:sz w:val="20"/>
          <w:szCs w:val="20"/>
          <w:lang w:val="es-ES_tradnl" w:eastAsia="es-ES_tradnl"/>
        </w:rPr>
        <w:t>En consecuencia, tanto las entidades sometidas al Estatuto General de Contratación de la Administración Pública, como las excluidas de este –es decir, las que cuentan con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y que se armonice con la garantía de los principios de la función administrativa y de la gestión fiscal, dentro de los cuales se halla el principio de economía, postulado que exige la optimización de los recursos públicos.</w:t>
      </w:r>
    </w:p>
    <w:p w14:paraId="2003A7F4" w14:textId="77777777" w:rsidR="0080143F" w:rsidRPr="004715CB" w:rsidRDefault="0080143F" w:rsidP="0080143F">
      <w:pPr>
        <w:spacing w:after="0" w:line="240" w:lineRule="auto"/>
        <w:jc w:val="both"/>
        <w:rPr>
          <w:rFonts w:ascii="Century Gothic" w:eastAsia="Calibri" w:hAnsi="Century Gothic" w:cs="Arial"/>
          <w:b/>
          <w:szCs w:val="24"/>
          <w:lang w:val="es-ES_tradnl" w:eastAsia="es-ES_tradnl"/>
        </w:rPr>
      </w:pPr>
    </w:p>
    <w:p w14:paraId="474EEC6B" w14:textId="77777777" w:rsidR="0080143F" w:rsidRPr="004715CB" w:rsidRDefault="0080143F" w:rsidP="0080143F">
      <w:pPr>
        <w:spacing w:after="0" w:line="240" w:lineRule="auto"/>
        <w:jc w:val="both"/>
        <w:rPr>
          <w:rFonts w:ascii="Century Gothic" w:eastAsia="Calibri" w:hAnsi="Century Gothic" w:cs="Arial"/>
          <w:b/>
          <w:bCs/>
          <w:szCs w:val="24"/>
          <w:lang w:val="es-ES_tradnl" w:eastAsia="es-ES_tradnl"/>
        </w:rPr>
      </w:pPr>
      <w:r w:rsidRPr="004715CB">
        <w:rPr>
          <w:rFonts w:ascii="Century Gothic" w:eastAsia="Calibri" w:hAnsi="Century Gothic" w:cs="Arial"/>
          <w:b/>
          <w:bCs/>
          <w:szCs w:val="24"/>
          <w:lang w:val="es-ES_tradnl" w:eastAsia="es-ES_tradnl"/>
        </w:rPr>
        <w:t xml:space="preserve">AIU </w:t>
      </w:r>
      <w:r w:rsidRPr="004715CB">
        <w:rPr>
          <w:rFonts w:ascii="Century Gothic" w:eastAsia="Calibri" w:hAnsi="Century Gothic" w:cs="Arial"/>
          <w:b/>
          <w:szCs w:val="24"/>
          <w:lang w:eastAsia="es-ES_tradnl"/>
        </w:rPr>
        <w:t>–</w:t>
      </w:r>
      <w:r w:rsidRPr="004715CB">
        <w:rPr>
          <w:rFonts w:ascii="Century Gothic" w:eastAsia="Calibri" w:hAnsi="Century Gothic" w:cs="Arial"/>
          <w:b/>
          <w:bCs/>
          <w:szCs w:val="24"/>
          <w:lang w:val="es-ES_tradnl" w:eastAsia="es-ES_tradnl"/>
        </w:rPr>
        <w:t xml:space="preserve"> Costos indirectos </w:t>
      </w:r>
      <w:r w:rsidRPr="004715CB">
        <w:rPr>
          <w:rFonts w:ascii="Century Gothic" w:eastAsia="Calibri" w:hAnsi="Century Gothic" w:cs="Arial"/>
          <w:b/>
          <w:szCs w:val="24"/>
          <w:lang w:eastAsia="es-ES_tradnl"/>
        </w:rPr>
        <w:t xml:space="preserve">– Finalidad – Ejecución del contrato </w:t>
      </w:r>
    </w:p>
    <w:p w14:paraId="39D0A83A" w14:textId="77777777" w:rsidR="0080143F" w:rsidRPr="004715CB" w:rsidRDefault="0080143F" w:rsidP="0080143F">
      <w:pPr>
        <w:spacing w:after="0" w:line="240" w:lineRule="auto"/>
        <w:jc w:val="both"/>
        <w:rPr>
          <w:rFonts w:ascii="Century Gothic" w:eastAsia="Calibri" w:hAnsi="Century Gothic" w:cs="Arial"/>
          <w:b/>
          <w:bCs/>
          <w:szCs w:val="24"/>
          <w:lang w:val="es-ES_tradnl" w:eastAsia="es-ES_tradnl"/>
        </w:rPr>
      </w:pPr>
    </w:p>
    <w:p w14:paraId="14D28D5E" w14:textId="77777777" w:rsidR="0080143F" w:rsidRPr="004715CB" w:rsidRDefault="0080143F" w:rsidP="0080143F">
      <w:pPr>
        <w:spacing w:after="0" w:line="240" w:lineRule="auto"/>
        <w:jc w:val="both"/>
        <w:rPr>
          <w:rFonts w:ascii="Century Gothic" w:eastAsia="Calibri" w:hAnsi="Century Gothic" w:cs="Arial"/>
          <w:bCs/>
          <w:i/>
          <w:iCs/>
          <w:sz w:val="20"/>
          <w:szCs w:val="20"/>
          <w:lang w:val="es-ES_tradnl" w:eastAsia="es-ES_tradnl"/>
        </w:rPr>
      </w:pPr>
      <w:r w:rsidRPr="004715CB">
        <w:rPr>
          <w:rFonts w:ascii="Century Gothic" w:eastAsia="Calibri" w:hAnsi="Century Gothic" w:cs="Arial"/>
          <w:bCs/>
          <w:sz w:val="20"/>
          <w:szCs w:val="20"/>
          <w:lang w:val="es-ES_tradnl" w:eastAsia="es-ES_tradnl"/>
        </w:rPr>
        <w:t xml:space="preserve">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áleas normales que se presenten en la ejecución del contrato, de manera que aunque el contratista incurra en: mayores costos de los ítems incluidos en la </w:t>
      </w:r>
      <w:r w:rsidRPr="004715CB">
        <w:rPr>
          <w:rFonts w:ascii="Century Gothic" w:eastAsia="Calibri" w:hAnsi="Century Gothic" w:cs="Arial"/>
          <w:bCs/>
          <w:i/>
          <w:iCs/>
          <w:sz w:val="20"/>
          <w:szCs w:val="20"/>
          <w:lang w:val="es-ES_tradnl" w:eastAsia="es-ES_tradnl"/>
        </w:rPr>
        <w:t>Administración</w:t>
      </w:r>
      <w:r w:rsidRPr="004715CB">
        <w:rPr>
          <w:rFonts w:ascii="Century Gothic" w:eastAsia="Calibri" w:hAnsi="Century Gothic" w:cs="Arial"/>
          <w:bCs/>
          <w:sz w:val="20"/>
          <w:szCs w:val="20"/>
          <w:lang w:val="es-ES_tradnl" w:eastAsia="es-ES_tradnl"/>
        </w:rPr>
        <w:t xml:space="preserve">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específico asociado a la </w:t>
      </w:r>
      <w:r w:rsidRPr="004715CB">
        <w:rPr>
          <w:rFonts w:ascii="Century Gothic" w:eastAsia="Calibri" w:hAnsi="Century Gothic" w:cs="Arial"/>
          <w:bCs/>
          <w:i/>
          <w:iCs/>
          <w:sz w:val="20"/>
          <w:szCs w:val="20"/>
          <w:lang w:val="es-ES_tradnl" w:eastAsia="es-ES_tradnl"/>
        </w:rPr>
        <w:t xml:space="preserve">Administración. </w:t>
      </w:r>
    </w:p>
    <w:p w14:paraId="6C860FE2" w14:textId="77777777" w:rsidR="0080143F" w:rsidRPr="004715CB" w:rsidRDefault="0080143F" w:rsidP="0080143F">
      <w:pPr>
        <w:spacing w:after="0" w:line="240" w:lineRule="auto"/>
        <w:jc w:val="both"/>
        <w:rPr>
          <w:rFonts w:ascii="Century Gothic" w:eastAsia="Calibri" w:hAnsi="Century Gothic" w:cs="Arial"/>
          <w:b/>
          <w:szCs w:val="24"/>
          <w:lang w:val="es-ES" w:eastAsia="es-ES_tradnl"/>
        </w:rPr>
      </w:pPr>
    </w:p>
    <w:p w14:paraId="6E1C4EE7" w14:textId="77777777" w:rsidR="0080143F" w:rsidRPr="004715CB" w:rsidRDefault="0080143F" w:rsidP="0080143F">
      <w:pPr>
        <w:spacing w:after="0" w:line="240" w:lineRule="auto"/>
        <w:jc w:val="both"/>
        <w:rPr>
          <w:rFonts w:ascii="Century Gothic" w:eastAsia="Calibri" w:hAnsi="Century Gothic" w:cs="Arial"/>
          <w:b/>
          <w:szCs w:val="24"/>
          <w:lang w:val="es-ES" w:eastAsia="es-ES_tradnl"/>
        </w:rPr>
      </w:pPr>
      <w:r w:rsidRPr="004715CB">
        <w:rPr>
          <w:rFonts w:ascii="Century Gothic" w:eastAsia="Calibri" w:hAnsi="Century Gothic" w:cs="Arial"/>
          <w:b/>
          <w:szCs w:val="24"/>
          <w:lang w:val="es-ES" w:eastAsia="es-ES_tradnl"/>
        </w:rPr>
        <w:t xml:space="preserve">AUI </w:t>
      </w:r>
      <w:r w:rsidRPr="004715CB">
        <w:rPr>
          <w:rFonts w:ascii="Century Gothic" w:eastAsia="Calibri" w:hAnsi="Century Gothic" w:cs="Arial"/>
          <w:b/>
          <w:szCs w:val="24"/>
          <w:lang w:eastAsia="es-ES_tradnl"/>
        </w:rPr>
        <w:t>– Componentes</w:t>
      </w:r>
    </w:p>
    <w:p w14:paraId="4F0BF338" w14:textId="77777777" w:rsidR="0080143F" w:rsidRPr="004715CB" w:rsidRDefault="0080143F" w:rsidP="0080143F">
      <w:pPr>
        <w:spacing w:after="0" w:line="276" w:lineRule="auto"/>
        <w:rPr>
          <w:rFonts w:ascii="Century Gothic" w:eastAsia="Calibri" w:hAnsi="Century Gothic" w:cs="Arial"/>
          <w:b/>
          <w:szCs w:val="24"/>
          <w:lang w:val="es-ES_tradnl" w:eastAsia="es-ES_tradnl"/>
        </w:rPr>
      </w:pPr>
    </w:p>
    <w:p w14:paraId="187E9C90"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r w:rsidRPr="004715CB">
        <w:rPr>
          <w:rFonts w:ascii="Century Gothic" w:eastAsia="Calibri" w:hAnsi="Century Gothic" w:cs="Arial"/>
          <w:bCs/>
          <w:sz w:val="20"/>
          <w:szCs w:val="20"/>
          <w:lang w:val="es-ES_tradnl" w:eastAsia="es-ES_tradnl"/>
        </w:rPr>
        <w:lastRenderedPageBreak/>
        <w:t>Según la Sala de Consulta del Consejo de Estado, el componente del AIU propuesto para el contrato, corresponde a: i) los costos de administración o costos indirectos para la operación del contrato, tales como los gastos de disponibilidad de la organización del contratista, esto es: A; ii) los imprevistos, que es el porcentaje destinado a cubrir los gastos con los que no se contaba y que se presenten durante la ejecución del contrato, esto es, el álea normal del contrato: I; iii) la utilidad o el beneficio económico que pretende percibir el contratista por la ejecución del contrato, esto es: U.</w:t>
      </w:r>
    </w:p>
    <w:p w14:paraId="4D403798"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585D2F19"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242E73B6"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6A401EE5"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2257B754"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773D69EA"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6ACAA791"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2AB3FE63"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76EDEC7A"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36101C3D"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6F300944"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5DADBBE3"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476A0569"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45EC5FDB"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0CEE43CC"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730D27DE"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7A0DF426"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66C96C1F"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0A3B172D"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2559ECB7"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39FE231D"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429FBFA0"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2F8B10F2"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35013A47"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3A6032E5"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24A7BE35"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67F40050"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67DA7313"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68431FAD"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49E620AE"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0BCF7077"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7A687921" w14:textId="77777777" w:rsidR="0080143F" w:rsidRDefault="0080143F" w:rsidP="0080143F">
      <w:pPr>
        <w:spacing w:after="0" w:line="276" w:lineRule="auto"/>
        <w:jc w:val="both"/>
        <w:rPr>
          <w:rFonts w:ascii="Century Gothic" w:eastAsia="Calibri" w:hAnsi="Century Gothic" w:cs="Arial"/>
          <w:bCs/>
          <w:sz w:val="20"/>
          <w:szCs w:val="20"/>
          <w:lang w:val="es-ES_tradnl" w:eastAsia="es-ES_tradnl"/>
        </w:rPr>
      </w:pPr>
    </w:p>
    <w:p w14:paraId="1BBC38C3" w14:textId="77777777" w:rsidR="0080143F" w:rsidRPr="004715CB" w:rsidRDefault="0080143F" w:rsidP="0080143F">
      <w:pPr>
        <w:spacing w:after="0" w:line="276" w:lineRule="auto"/>
        <w:jc w:val="both"/>
        <w:rPr>
          <w:rFonts w:ascii="Century Gothic" w:eastAsia="Calibri" w:hAnsi="Century Gothic" w:cs="Arial"/>
          <w:bCs/>
          <w:sz w:val="20"/>
          <w:szCs w:val="20"/>
          <w:lang w:val="es-ES_tradnl" w:eastAsia="es-ES_tradnl"/>
        </w:rPr>
      </w:pPr>
    </w:p>
    <w:p w14:paraId="4C490565" w14:textId="77777777" w:rsidR="0080143F" w:rsidRPr="004715CB" w:rsidRDefault="0080143F" w:rsidP="0080143F">
      <w:pPr>
        <w:rPr>
          <w:rFonts w:ascii="Century Gothic" w:eastAsia="Times New Roman" w:hAnsi="Century Gothic" w:cs="Arial"/>
          <w:b/>
          <w:bCs/>
          <w:lang w:val="es-ES_tradnl" w:eastAsia="es-CO"/>
        </w:rPr>
      </w:pPr>
    </w:p>
    <w:p w14:paraId="3FE2184B" w14:textId="67E62730" w:rsidR="00E245AB" w:rsidRPr="00322A85" w:rsidRDefault="00E245AB" w:rsidP="00E245AB">
      <w:pPr>
        <w:spacing w:after="0"/>
        <w:rPr>
          <w:rFonts w:ascii="Century Gothic" w:hAnsi="Century Gothic"/>
        </w:rPr>
      </w:pPr>
      <w:r w:rsidRPr="00322A85">
        <w:rPr>
          <w:rFonts w:ascii="Century Gothic" w:hAnsi="Century Gothic"/>
        </w:rPr>
        <w:lastRenderedPageBreak/>
        <w:t xml:space="preserve">Bogotá D.C., </w:t>
      </w:r>
      <w:r w:rsidR="004263C1">
        <w:rPr>
          <w:rFonts w:ascii="Century Gothic" w:hAnsi="Century Gothic"/>
        </w:rPr>
        <w:t>27 de septiembre de 2023</w:t>
      </w:r>
      <w:r w:rsidR="00891928" w:rsidRPr="00322A85">
        <w:rPr>
          <w:rFonts w:ascii="Century Gothic" w:hAnsi="Century Gothic"/>
        </w:rPr>
        <w:tab/>
      </w:r>
    </w:p>
    <w:p w14:paraId="5FCADBF9" w14:textId="77777777" w:rsidR="00E245AB" w:rsidRPr="00322A85" w:rsidRDefault="00E245AB" w:rsidP="00E245AB">
      <w:pPr>
        <w:spacing w:after="0"/>
        <w:rPr>
          <w:rFonts w:ascii="Century Gothic" w:hAnsi="Century Gothic"/>
        </w:rPr>
      </w:pPr>
    </w:p>
    <w:p w14:paraId="0465BA6D" w14:textId="77777777" w:rsidR="00E245AB" w:rsidRPr="00322A85" w:rsidRDefault="00E245AB" w:rsidP="00E245AB">
      <w:pPr>
        <w:spacing w:after="0"/>
        <w:rPr>
          <w:rFonts w:ascii="Century Gothic" w:hAnsi="Century Gothic"/>
        </w:rPr>
      </w:pPr>
    </w:p>
    <w:p w14:paraId="56ED77D0" w14:textId="13B2EF17" w:rsidR="00E72023" w:rsidRPr="004715CB" w:rsidRDefault="009B1466" w:rsidP="00E72023">
      <w:pPr>
        <w:spacing w:after="0" w:line="276" w:lineRule="auto"/>
        <w:jc w:val="both"/>
        <w:rPr>
          <w:rFonts w:ascii="Century Gothic" w:eastAsia="Calibri" w:hAnsi="Century Gothic" w:cs="Arial"/>
          <w:color w:val="000000"/>
        </w:rPr>
      </w:pPr>
      <w:r>
        <w:rPr>
          <w:noProof/>
        </w:rPr>
        <w:drawing>
          <wp:anchor distT="0" distB="0" distL="114300" distR="114300" simplePos="0" relativeHeight="251658240" behindDoc="0" locked="0" layoutInCell="1" allowOverlap="1" wp14:anchorId="642AE51B" wp14:editId="528AFDB3">
            <wp:simplePos x="0" y="0"/>
            <wp:positionH relativeFrom="margin">
              <wp:align>right</wp:align>
            </wp:positionH>
            <wp:positionV relativeFrom="paragraph">
              <wp:posOffset>5080</wp:posOffset>
            </wp:positionV>
            <wp:extent cx="2533650" cy="704850"/>
            <wp:effectExtent l="0" t="0" r="0" b="0"/>
            <wp:wrapThrough wrapText="bothSides">
              <wp:wrapPolygon edited="0">
                <wp:start x="0" y="0"/>
                <wp:lineTo x="0" y="21016"/>
                <wp:lineTo x="21438" y="21016"/>
                <wp:lineTo x="21438" y="0"/>
                <wp:lineTo x="0" y="0"/>
              </wp:wrapPolygon>
            </wp:wrapThrough>
            <wp:docPr id="20228467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846734"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533650" cy="704850"/>
                    </a:xfrm>
                    <a:prstGeom prst="rect">
                      <a:avLst/>
                    </a:prstGeom>
                  </pic:spPr>
                </pic:pic>
              </a:graphicData>
            </a:graphic>
            <wp14:sizeRelH relativeFrom="page">
              <wp14:pctWidth>0</wp14:pctWidth>
            </wp14:sizeRelH>
            <wp14:sizeRelV relativeFrom="page">
              <wp14:pctHeight>0</wp14:pctHeight>
            </wp14:sizeRelV>
          </wp:anchor>
        </w:drawing>
      </w:r>
      <w:r w:rsidR="00E72023" w:rsidRPr="004715CB">
        <w:rPr>
          <w:rFonts w:ascii="Century Gothic" w:eastAsia="Calibri" w:hAnsi="Century Gothic" w:cs="Arial"/>
          <w:color w:val="000000"/>
        </w:rPr>
        <w:t>Señora</w:t>
      </w:r>
    </w:p>
    <w:p w14:paraId="6F1A4FD6" w14:textId="10BA2438" w:rsidR="00E72023" w:rsidRPr="004715CB" w:rsidRDefault="00E72023" w:rsidP="00E72023">
      <w:pPr>
        <w:spacing w:after="0" w:line="276" w:lineRule="auto"/>
        <w:jc w:val="both"/>
        <w:rPr>
          <w:rFonts w:ascii="Century Gothic" w:eastAsia="Calibri" w:hAnsi="Century Gothic" w:cs="Arial"/>
          <w:b/>
          <w:bCs/>
          <w:color w:val="000000"/>
        </w:rPr>
      </w:pPr>
      <w:r w:rsidRPr="004715CB">
        <w:rPr>
          <w:rFonts w:ascii="Century Gothic" w:eastAsia="Calibri" w:hAnsi="Century Gothic" w:cs="Arial"/>
          <w:b/>
          <w:bCs/>
          <w:color w:val="000000"/>
        </w:rPr>
        <w:t xml:space="preserve">Ana María Carreño </w:t>
      </w:r>
      <w:r w:rsidR="005A1407" w:rsidRPr="004715CB">
        <w:rPr>
          <w:rFonts w:ascii="Century Gothic" w:eastAsia="Calibri" w:hAnsi="Century Gothic" w:cs="Arial"/>
          <w:b/>
          <w:bCs/>
          <w:color w:val="000000"/>
        </w:rPr>
        <w:t>Rodríguez</w:t>
      </w:r>
      <w:r w:rsidRPr="004715CB">
        <w:rPr>
          <w:rFonts w:ascii="Century Gothic" w:eastAsia="Calibri" w:hAnsi="Century Gothic" w:cs="Arial"/>
          <w:b/>
          <w:bCs/>
          <w:color w:val="000000"/>
        </w:rPr>
        <w:t xml:space="preserve"> </w:t>
      </w:r>
    </w:p>
    <w:p w14:paraId="5F75A672" w14:textId="4DCC9EAC" w:rsidR="00E72023" w:rsidRPr="004715CB" w:rsidRDefault="00E72023" w:rsidP="00E72023">
      <w:pPr>
        <w:spacing w:after="0" w:line="276" w:lineRule="auto"/>
        <w:jc w:val="both"/>
        <w:rPr>
          <w:rFonts w:ascii="Century Gothic" w:eastAsia="Calibri" w:hAnsi="Century Gothic" w:cs="Arial"/>
          <w:color w:val="000000"/>
        </w:rPr>
      </w:pPr>
      <w:r w:rsidRPr="004715CB">
        <w:rPr>
          <w:rFonts w:ascii="Century Gothic" w:eastAsia="Calibri" w:hAnsi="Century Gothic" w:cs="Arial"/>
          <w:color w:val="000000"/>
        </w:rPr>
        <w:t>Ciudad</w:t>
      </w:r>
    </w:p>
    <w:p w14:paraId="3F7F5E39" w14:textId="77777777" w:rsidR="00E72023" w:rsidRPr="004715CB" w:rsidRDefault="00E72023" w:rsidP="00E72023">
      <w:pPr>
        <w:tabs>
          <w:tab w:val="center" w:pos="4394"/>
        </w:tabs>
        <w:spacing w:after="0" w:line="276" w:lineRule="auto"/>
        <w:jc w:val="both"/>
        <w:rPr>
          <w:rFonts w:ascii="Century Gothic" w:eastAsia="Calibri" w:hAnsi="Century Gothic" w:cs="Arial"/>
          <w:b/>
          <w:bCs/>
          <w:color w:val="000000"/>
        </w:rPr>
      </w:pPr>
      <w:r w:rsidRPr="004715CB">
        <w:rPr>
          <w:rFonts w:ascii="Century Gothic" w:eastAsia="Calibri" w:hAnsi="Century Gothic" w:cs="Arial"/>
          <w:b/>
          <w:color w:val="000000"/>
        </w:rPr>
        <w:t xml:space="preserve"> </w:t>
      </w:r>
    </w:p>
    <w:p w14:paraId="144E7F62" w14:textId="77777777" w:rsidR="00E72023" w:rsidRPr="004715CB" w:rsidRDefault="00E72023" w:rsidP="00E72023">
      <w:pPr>
        <w:spacing w:after="0" w:line="276" w:lineRule="auto"/>
        <w:rPr>
          <w:rFonts w:ascii="Century Gothic" w:eastAsia="Calibri" w:hAnsi="Century Gothic" w:cs="Arial"/>
          <w:b/>
          <w:bCs/>
          <w:color w:val="000000"/>
        </w:rPr>
      </w:pPr>
    </w:p>
    <w:p w14:paraId="2279A1CE" w14:textId="175EA98D" w:rsidR="00E72023" w:rsidRPr="004715CB" w:rsidRDefault="00E72023" w:rsidP="00E72023">
      <w:pPr>
        <w:spacing w:after="0" w:line="276" w:lineRule="auto"/>
        <w:rPr>
          <w:rFonts w:ascii="Century Gothic" w:eastAsia="Calibri" w:hAnsi="Century Gothic" w:cs="Arial"/>
          <w:b/>
          <w:bCs/>
          <w:color w:val="000000"/>
          <w:lang w:val="pt-BR"/>
        </w:rPr>
      </w:pPr>
      <w:r w:rsidRPr="004715CB">
        <w:rPr>
          <w:rFonts w:ascii="Century Gothic" w:eastAsia="Calibri" w:hAnsi="Century Gothic" w:cs="Arial"/>
          <w:b/>
          <w:bCs/>
          <w:color w:val="000000"/>
        </w:rPr>
        <w:t xml:space="preserve">                                            </w:t>
      </w:r>
      <w:r w:rsidRPr="004715CB">
        <w:rPr>
          <w:rFonts w:ascii="Century Gothic" w:eastAsia="Calibri" w:hAnsi="Century Gothic" w:cs="Arial"/>
          <w:b/>
          <w:bCs/>
          <w:color w:val="000000"/>
          <w:lang w:val="pt-BR"/>
        </w:rPr>
        <w:t xml:space="preserve">Concepto C </w:t>
      </w:r>
      <w:r w:rsidRPr="004715CB">
        <w:rPr>
          <w:rFonts w:ascii="Arial" w:eastAsia="Calibri" w:hAnsi="Arial" w:cs="Arial"/>
          <w:b/>
          <w:bCs/>
          <w:color w:val="000000"/>
          <w:lang w:val="pt-BR"/>
        </w:rPr>
        <w:t>‒</w:t>
      </w:r>
      <w:r w:rsidR="00BE6C6B">
        <w:rPr>
          <w:rFonts w:ascii="Arial" w:eastAsia="Calibri" w:hAnsi="Arial" w:cs="Arial"/>
          <w:b/>
          <w:bCs/>
          <w:color w:val="000000"/>
          <w:lang w:val="pt-BR"/>
        </w:rPr>
        <w:t xml:space="preserve"> </w:t>
      </w:r>
      <w:r w:rsidRPr="004715CB">
        <w:rPr>
          <w:rFonts w:ascii="Century Gothic" w:eastAsia="Calibri" w:hAnsi="Century Gothic" w:cs="Arial"/>
          <w:b/>
          <w:bCs/>
          <w:color w:val="000000"/>
          <w:lang w:val="pt-BR"/>
        </w:rPr>
        <w:t>401 de 2023</w:t>
      </w:r>
    </w:p>
    <w:p w14:paraId="2F410F17" w14:textId="77777777" w:rsidR="00E72023" w:rsidRPr="004715CB" w:rsidRDefault="00E72023" w:rsidP="00E72023">
      <w:pPr>
        <w:spacing w:after="0" w:line="240" w:lineRule="auto"/>
        <w:rPr>
          <w:rFonts w:ascii="Century Gothic" w:eastAsia="Calibri" w:hAnsi="Century Gothic" w:cs="Arial"/>
          <w:b/>
          <w:bCs/>
          <w:color w:val="000000"/>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72023" w:rsidRPr="004715CB" w14:paraId="5FBE38A5" w14:textId="77777777" w:rsidTr="006D2389">
        <w:trPr>
          <w:trHeight w:val="884"/>
        </w:trPr>
        <w:tc>
          <w:tcPr>
            <w:tcW w:w="2689" w:type="dxa"/>
          </w:tcPr>
          <w:p w14:paraId="6DECA21F" w14:textId="77777777" w:rsidR="00E72023" w:rsidRPr="004715CB" w:rsidRDefault="00E72023" w:rsidP="006D2389">
            <w:pPr>
              <w:jc w:val="both"/>
              <w:rPr>
                <w:rFonts w:ascii="Century Gothic" w:eastAsia="Calibri" w:hAnsi="Century Gothic" w:cs="Arial"/>
                <w:b/>
                <w:color w:val="000000"/>
                <w:szCs w:val="24"/>
                <w:lang w:val="es-ES_tradnl" w:eastAsia="es-ES_tradnl"/>
              </w:rPr>
            </w:pPr>
            <w:r w:rsidRPr="004715CB">
              <w:rPr>
                <w:rFonts w:ascii="Century Gothic" w:eastAsia="Calibri" w:hAnsi="Century Gothic" w:cs="Arial"/>
                <w:b/>
                <w:color w:val="000000"/>
                <w:szCs w:val="24"/>
                <w:lang w:val="es-ES_tradnl" w:eastAsia="es-ES_tradnl"/>
              </w:rPr>
              <w:t xml:space="preserve">Temas:                   </w:t>
            </w:r>
          </w:p>
        </w:tc>
        <w:tc>
          <w:tcPr>
            <w:tcW w:w="6237" w:type="dxa"/>
          </w:tcPr>
          <w:p w14:paraId="2A146504" w14:textId="77777777" w:rsidR="00E72023" w:rsidRPr="004715CB" w:rsidRDefault="00E72023" w:rsidP="006D2389">
            <w:pPr>
              <w:jc w:val="both"/>
              <w:rPr>
                <w:rFonts w:ascii="Century Gothic" w:eastAsia="Calibri" w:hAnsi="Century Gothic" w:cs="Arial"/>
                <w:b/>
                <w:color w:val="000000"/>
                <w:lang w:val="es-ES"/>
              </w:rPr>
            </w:pPr>
            <w:r w:rsidRPr="004715CB">
              <w:rPr>
                <w:rFonts w:ascii="Century Gothic" w:eastAsia="Calibri" w:hAnsi="Century Gothic" w:cs="Arial"/>
                <w:color w:val="000000"/>
                <w:lang w:val="es-ES_tradnl"/>
              </w:rPr>
              <w:t>PRECIOS UNITARIOS –AIU – Configuración / AIU – Costos indirectos – Finalidad – Ejecución del contrato /</w:t>
            </w:r>
            <w:r w:rsidRPr="004715CB">
              <w:rPr>
                <w:rFonts w:ascii="Century Gothic" w:eastAsia="Calibri" w:hAnsi="Century Gothic" w:cs="Arial"/>
                <w:b/>
                <w:szCs w:val="24"/>
                <w:lang w:val="es-ES" w:eastAsia="es-ES_tradnl"/>
              </w:rPr>
              <w:t xml:space="preserve"> </w:t>
            </w:r>
            <w:r w:rsidRPr="004715CB">
              <w:rPr>
                <w:rFonts w:ascii="Century Gothic" w:eastAsia="Calibri" w:hAnsi="Century Gothic" w:cs="Arial"/>
                <w:bCs/>
                <w:color w:val="000000"/>
                <w:lang w:val="es-ES"/>
              </w:rPr>
              <w:t xml:space="preserve">AIU </w:t>
            </w:r>
            <w:r w:rsidRPr="004715CB">
              <w:rPr>
                <w:rFonts w:ascii="Century Gothic" w:eastAsia="Calibri" w:hAnsi="Century Gothic" w:cs="Arial"/>
                <w:bCs/>
                <w:color w:val="000000"/>
              </w:rPr>
              <w:t>– Componentes</w:t>
            </w:r>
          </w:p>
          <w:p w14:paraId="6B7417B4" w14:textId="77777777" w:rsidR="00E72023" w:rsidRPr="004715CB" w:rsidRDefault="00E72023" w:rsidP="006D2389">
            <w:pPr>
              <w:jc w:val="both"/>
              <w:rPr>
                <w:rFonts w:ascii="Century Gothic" w:eastAsia="Calibri" w:hAnsi="Century Gothic" w:cs="Arial"/>
                <w:color w:val="000000"/>
                <w:lang w:val="es-ES_tradnl"/>
              </w:rPr>
            </w:pPr>
          </w:p>
        </w:tc>
      </w:tr>
      <w:tr w:rsidR="00E72023" w:rsidRPr="004715CB" w14:paraId="4E9F9AB8" w14:textId="77777777" w:rsidTr="006D2389">
        <w:tc>
          <w:tcPr>
            <w:tcW w:w="2689" w:type="dxa"/>
          </w:tcPr>
          <w:p w14:paraId="1F8FED48" w14:textId="77777777" w:rsidR="00E72023" w:rsidRPr="004715CB" w:rsidRDefault="00E72023" w:rsidP="006D2389">
            <w:pPr>
              <w:jc w:val="both"/>
              <w:rPr>
                <w:rFonts w:ascii="Century Gothic" w:eastAsia="Calibri" w:hAnsi="Century Gothic" w:cs="Arial"/>
                <w:b/>
                <w:color w:val="000000"/>
                <w:szCs w:val="24"/>
                <w:lang w:val="es-ES_tradnl" w:eastAsia="es-ES_tradnl"/>
              </w:rPr>
            </w:pPr>
            <w:r w:rsidRPr="004715CB">
              <w:rPr>
                <w:rFonts w:ascii="Century Gothic" w:eastAsia="Calibri" w:hAnsi="Century Gothic" w:cs="Arial"/>
                <w:b/>
                <w:color w:val="000000"/>
                <w:szCs w:val="24"/>
                <w:lang w:val="es-ES_tradnl" w:eastAsia="es-ES_tradnl"/>
              </w:rPr>
              <w:t xml:space="preserve">Radicación:               </w:t>
            </w:r>
          </w:p>
        </w:tc>
        <w:tc>
          <w:tcPr>
            <w:tcW w:w="6237" w:type="dxa"/>
          </w:tcPr>
          <w:p w14:paraId="6F8EA6BD" w14:textId="77777777" w:rsidR="00E72023" w:rsidRPr="004715CB" w:rsidRDefault="00E72023" w:rsidP="006D2389">
            <w:pPr>
              <w:jc w:val="both"/>
              <w:rPr>
                <w:rFonts w:ascii="Century Gothic" w:eastAsia="Calibri" w:hAnsi="Century Gothic" w:cs="Arial"/>
                <w:bCs/>
                <w:color w:val="000000"/>
                <w:szCs w:val="24"/>
                <w:lang w:val="es-ES_tradnl" w:eastAsia="es-ES_tradnl"/>
              </w:rPr>
            </w:pPr>
            <w:r w:rsidRPr="004715CB">
              <w:rPr>
                <w:rFonts w:ascii="Century Gothic" w:eastAsia="Calibri" w:hAnsi="Century Gothic" w:cs="Arial"/>
                <w:bCs/>
                <w:color w:val="000000"/>
                <w:szCs w:val="24"/>
                <w:lang w:val="es-ES_tradnl" w:eastAsia="es-ES_tradnl"/>
              </w:rPr>
              <w:t>Respuesta a consulta P20230817014312</w:t>
            </w:r>
          </w:p>
        </w:tc>
      </w:tr>
    </w:tbl>
    <w:p w14:paraId="5BFF5AA3" w14:textId="77777777" w:rsidR="00E72023" w:rsidRPr="004715CB" w:rsidRDefault="00E72023" w:rsidP="00E72023">
      <w:pPr>
        <w:spacing w:after="0" w:line="274" w:lineRule="auto"/>
        <w:jc w:val="both"/>
        <w:rPr>
          <w:rFonts w:ascii="Century Gothic" w:eastAsia="Calibri" w:hAnsi="Century Gothic" w:cs="Arial"/>
          <w:color w:val="000000"/>
          <w:lang w:val="es-ES_tradnl"/>
        </w:rPr>
      </w:pPr>
    </w:p>
    <w:p w14:paraId="6E44F83A" w14:textId="77777777" w:rsidR="00E72023" w:rsidRPr="004715CB" w:rsidRDefault="00E72023" w:rsidP="00E72023">
      <w:pPr>
        <w:spacing w:after="0" w:line="274" w:lineRule="auto"/>
        <w:jc w:val="both"/>
        <w:rPr>
          <w:rFonts w:ascii="Century Gothic" w:eastAsia="Calibri" w:hAnsi="Century Gothic" w:cs="Arial"/>
          <w:color w:val="000000"/>
          <w:lang w:val="es-ES_tradnl"/>
        </w:rPr>
      </w:pPr>
    </w:p>
    <w:p w14:paraId="66F3C12E" w14:textId="77777777" w:rsidR="00E72023" w:rsidRPr="004715CB" w:rsidRDefault="00E72023" w:rsidP="00E72023">
      <w:pPr>
        <w:spacing w:after="0" w:line="274" w:lineRule="auto"/>
        <w:jc w:val="both"/>
        <w:rPr>
          <w:rFonts w:ascii="Century Gothic" w:eastAsia="Calibri" w:hAnsi="Century Gothic" w:cs="Arial"/>
          <w:color w:val="000000"/>
          <w:lang w:val="es-ES_tradnl"/>
        </w:rPr>
      </w:pPr>
      <w:r w:rsidRPr="004715CB">
        <w:rPr>
          <w:rFonts w:ascii="Century Gothic" w:eastAsia="Calibri" w:hAnsi="Century Gothic" w:cs="Arial"/>
          <w:color w:val="000000"/>
          <w:lang w:val="es-ES_tradnl"/>
        </w:rPr>
        <w:t xml:space="preserve">Estimada señora Carreño: </w:t>
      </w:r>
    </w:p>
    <w:p w14:paraId="3046E225" w14:textId="77777777" w:rsidR="00E72023" w:rsidRPr="004715CB" w:rsidRDefault="00E72023" w:rsidP="00E72023">
      <w:pPr>
        <w:spacing w:after="0" w:line="274" w:lineRule="auto"/>
        <w:jc w:val="both"/>
        <w:rPr>
          <w:rFonts w:ascii="Century Gothic" w:eastAsia="Calibri" w:hAnsi="Century Gothic" w:cs="Arial"/>
          <w:color w:val="000000"/>
          <w:lang w:val="es-ES_tradnl"/>
        </w:rPr>
      </w:pPr>
    </w:p>
    <w:p w14:paraId="2A5E7684" w14:textId="77777777" w:rsidR="00E72023" w:rsidRPr="004715CB" w:rsidRDefault="00E72023" w:rsidP="00E72023">
      <w:pPr>
        <w:spacing w:after="0" w:line="274" w:lineRule="auto"/>
        <w:jc w:val="both"/>
        <w:rPr>
          <w:rFonts w:ascii="Century Gothic" w:eastAsia="Calibri" w:hAnsi="Century Gothic" w:cs="Arial"/>
          <w:color w:val="000000"/>
          <w:lang w:val="es-ES_tradnl"/>
        </w:rPr>
      </w:pPr>
      <w:r w:rsidRPr="004715CB">
        <w:rPr>
          <w:rFonts w:ascii="Century Gothic" w:eastAsia="Calibri" w:hAnsi="Century Gothic" w:cs="Arial"/>
          <w:color w:val="000000"/>
          <w:lang w:val="es-ES_tradnl"/>
        </w:rPr>
        <w:t>En ejercicio de la competencia otorgada por el numeral 8 del artículo 11 y el numeral 5 del artículo 3 del Decreto Ley 4170 de 2011,</w:t>
      </w:r>
      <w:r w:rsidRPr="004715CB">
        <w:rPr>
          <w:rFonts w:ascii="Century Gothic" w:eastAsia="Arial MT" w:hAnsi="Century Gothic" w:cs="Arial"/>
          <w:lang w:val="es-ES"/>
        </w:rPr>
        <w:t xml:space="preserve"> </w:t>
      </w:r>
      <w:r w:rsidRPr="004715CB">
        <w:rPr>
          <w:rFonts w:ascii="Century Gothic" w:eastAsia="Calibri" w:hAnsi="Century Gothic" w:cs="Arial"/>
          <w:color w:val="000000"/>
          <w:lang w:val="es-ES_tradnl"/>
        </w:rPr>
        <w:t>la Agencia Nacional de Contratación Pública – Colombia Compra Eficiente, responde su consulta del 16 de agosto de 2023.</w:t>
      </w:r>
    </w:p>
    <w:p w14:paraId="04F56DF7" w14:textId="77777777" w:rsidR="00E72023" w:rsidRPr="004715CB" w:rsidRDefault="00E72023" w:rsidP="00E72023">
      <w:pPr>
        <w:spacing w:after="0" w:line="276" w:lineRule="auto"/>
        <w:jc w:val="both"/>
        <w:rPr>
          <w:rFonts w:ascii="Century Gothic" w:eastAsia="Calibri" w:hAnsi="Century Gothic" w:cs="Arial"/>
          <w:b/>
          <w:color w:val="000000"/>
          <w:lang w:val="es-ES_tradnl"/>
        </w:rPr>
      </w:pPr>
    </w:p>
    <w:p w14:paraId="56883F32" w14:textId="77777777" w:rsidR="00E72023" w:rsidRPr="004715CB" w:rsidRDefault="00E72023" w:rsidP="00E72023">
      <w:pPr>
        <w:numPr>
          <w:ilvl w:val="0"/>
          <w:numId w:val="16"/>
        </w:numPr>
        <w:tabs>
          <w:tab w:val="left" w:pos="0"/>
          <w:tab w:val="left" w:pos="142"/>
          <w:tab w:val="left" w:pos="284"/>
        </w:tabs>
        <w:spacing w:after="0" w:line="276" w:lineRule="auto"/>
        <w:ind w:hanging="6601"/>
        <w:contextualSpacing/>
        <w:jc w:val="both"/>
        <w:rPr>
          <w:rFonts w:ascii="Century Gothic" w:eastAsia="Calibri" w:hAnsi="Century Gothic" w:cs="Arial"/>
          <w:b/>
          <w:color w:val="000000"/>
          <w:lang w:val="es-ES_tradnl"/>
        </w:rPr>
      </w:pPr>
      <w:r w:rsidRPr="004715CB">
        <w:rPr>
          <w:rFonts w:ascii="Century Gothic" w:eastAsia="Calibri" w:hAnsi="Century Gothic" w:cs="Arial"/>
          <w:b/>
          <w:color w:val="000000"/>
          <w:lang w:val="es-ES_tradnl"/>
        </w:rPr>
        <w:t xml:space="preserve">Problema planteado </w:t>
      </w:r>
    </w:p>
    <w:p w14:paraId="43ED5048" w14:textId="77777777" w:rsidR="00E72023" w:rsidRPr="004715CB" w:rsidRDefault="00E72023" w:rsidP="00E72023">
      <w:pPr>
        <w:tabs>
          <w:tab w:val="left" w:pos="0"/>
          <w:tab w:val="left" w:pos="142"/>
          <w:tab w:val="left" w:pos="284"/>
        </w:tabs>
        <w:spacing w:after="0" w:line="276" w:lineRule="auto"/>
        <w:contextualSpacing/>
        <w:jc w:val="both"/>
        <w:rPr>
          <w:rFonts w:ascii="Century Gothic" w:eastAsia="Calibri" w:hAnsi="Century Gothic" w:cs="Arial"/>
          <w:b/>
          <w:color w:val="000000"/>
          <w:lang w:val="es-ES_tradnl"/>
        </w:rPr>
      </w:pPr>
    </w:p>
    <w:p w14:paraId="022DC250" w14:textId="77777777" w:rsidR="00E72023" w:rsidRPr="004715CB" w:rsidRDefault="00E72023" w:rsidP="00E72023">
      <w:pPr>
        <w:tabs>
          <w:tab w:val="left" w:pos="0"/>
          <w:tab w:val="left" w:pos="142"/>
          <w:tab w:val="left" w:pos="284"/>
        </w:tabs>
        <w:spacing w:after="0" w:line="276" w:lineRule="auto"/>
        <w:contextualSpacing/>
        <w:jc w:val="both"/>
        <w:rPr>
          <w:rFonts w:ascii="Century Gothic" w:eastAsia="Calibri" w:hAnsi="Century Gothic" w:cs="Arial"/>
          <w:bCs/>
          <w:color w:val="000000"/>
          <w:lang w:val="es-ES_tradnl"/>
        </w:rPr>
      </w:pPr>
      <w:r w:rsidRPr="004715CB">
        <w:rPr>
          <w:rFonts w:ascii="Century Gothic" w:eastAsia="Calibri" w:hAnsi="Century Gothic" w:cs="Arial"/>
          <w:bCs/>
          <w:color w:val="000000"/>
          <w:lang w:val="es-ES_tradnl"/>
        </w:rPr>
        <w:t>Usted formula la siguiente consulta:</w:t>
      </w:r>
    </w:p>
    <w:p w14:paraId="3084169C" w14:textId="77777777" w:rsidR="00E72023" w:rsidRPr="004715CB" w:rsidRDefault="00E72023" w:rsidP="00E72023">
      <w:pPr>
        <w:tabs>
          <w:tab w:val="left" w:pos="426"/>
        </w:tabs>
        <w:spacing w:after="0" w:line="276" w:lineRule="auto"/>
        <w:jc w:val="both"/>
        <w:rPr>
          <w:rFonts w:ascii="Century Gothic" w:eastAsia="Calibri" w:hAnsi="Century Gothic" w:cs="Arial"/>
          <w:b/>
          <w:color w:val="000000"/>
          <w:lang w:val="es-ES_tradnl"/>
        </w:rPr>
      </w:pPr>
    </w:p>
    <w:p w14:paraId="56642435" w14:textId="5A471F2F" w:rsidR="00E72023" w:rsidRPr="004715CB" w:rsidRDefault="00BE6C6B" w:rsidP="00E72023">
      <w:pPr>
        <w:spacing w:after="0" w:line="276" w:lineRule="auto"/>
        <w:ind w:firstLine="708"/>
        <w:jc w:val="both"/>
        <w:rPr>
          <w:rFonts w:ascii="Century Gothic" w:eastAsia="Calibri" w:hAnsi="Century Gothic" w:cs="Arial"/>
          <w:bCs/>
        </w:rPr>
      </w:pPr>
      <w:r>
        <w:rPr>
          <w:rFonts w:ascii="Century Gothic" w:eastAsia="Calibri" w:hAnsi="Century Gothic" w:cs="Arial"/>
          <w:bCs/>
          <w:lang w:val="es-ES_tradnl"/>
        </w:rPr>
        <w:t>“</w:t>
      </w:r>
      <w:r w:rsidR="00E72023" w:rsidRPr="004715CB">
        <w:rPr>
          <w:rFonts w:ascii="Century Gothic" w:eastAsia="Calibri" w:hAnsi="Century Gothic" w:cs="Arial"/>
          <w:bCs/>
        </w:rPr>
        <w:t>En los contratos estatales de suministro, por ejemplo, suministro de mercados, que se rigen por Ley 80 de 1993 y también los que se rigen por derecho privado, ¿existe por ley o por jurisprudencia un límite para el porcentaje de utilidad del contratista y de ser así cuál. Es obligatorio que en estos casos la utilidad no supere el 5%</w:t>
      </w:r>
      <w:r>
        <w:rPr>
          <w:rFonts w:ascii="Century Gothic" w:eastAsia="Calibri" w:hAnsi="Century Gothic" w:cs="Arial"/>
          <w:bCs/>
        </w:rPr>
        <w:t>”</w:t>
      </w:r>
      <w:r w:rsidR="00E72023" w:rsidRPr="004715CB">
        <w:rPr>
          <w:rFonts w:ascii="Century Gothic" w:eastAsia="Calibri" w:hAnsi="Century Gothic" w:cs="Arial"/>
          <w:bCs/>
        </w:rPr>
        <w:t>.</w:t>
      </w:r>
    </w:p>
    <w:p w14:paraId="5ACDE550" w14:textId="77777777" w:rsidR="00E72023" w:rsidRPr="004715CB" w:rsidRDefault="00E72023" w:rsidP="00E72023">
      <w:pPr>
        <w:spacing w:after="0" w:line="276" w:lineRule="auto"/>
        <w:jc w:val="both"/>
        <w:rPr>
          <w:rFonts w:ascii="Century Gothic" w:eastAsia="Calibri" w:hAnsi="Century Gothic" w:cs="Arial"/>
          <w:bCs/>
        </w:rPr>
      </w:pPr>
    </w:p>
    <w:p w14:paraId="27E302A9" w14:textId="77777777" w:rsidR="00E72023" w:rsidRPr="004715CB" w:rsidRDefault="00E72023" w:rsidP="00E72023">
      <w:pPr>
        <w:numPr>
          <w:ilvl w:val="0"/>
          <w:numId w:val="16"/>
        </w:numPr>
        <w:tabs>
          <w:tab w:val="left" w:pos="0"/>
          <w:tab w:val="left" w:pos="284"/>
        </w:tabs>
        <w:spacing w:after="0" w:line="240" w:lineRule="auto"/>
        <w:ind w:hanging="6601"/>
        <w:contextualSpacing/>
        <w:jc w:val="both"/>
        <w:rPr>
          <w:rFonts w:ascii="Century Gothic" w:eastAsia="Calibri" w:hAnsi="Century Gothic" w:cs="Arial"/>
          <w:b/>
          <w:color w:val="000000"/>
          <w:lang w:val="es-ES_tradnl"/>
        </w:rPr>
      </w:pPr>
      <w:r w:rsidRPr="004715CB">
        <w:rPr>
          <w:rFonts w:ascii="Century Gothic" w:eastAsia="Calibri" w:hAnsi="Century Gothic" w:cs="Arial"/>
          <w:b/>
          <w:color w:val="000000"/>
          <w:lang w:val="es-ES_tradnl"/>
        </w:rPr>
        <w:t>Consideraciones</w:t>
      </w:r>
    </w:p>
    <w:p w14:paraId="4AE9C3A4" w14:textId="77777777" w:rsidR="00E72023" w:rsidRPr="004715CB" w:rsidRDefault="00E72023" w:rsidP="00E72023">
      <w:pPr>
        <w:spacing w:after="0" w:line="276" w:lineRule="auto"/>
        <w:jc w:val="both"/>
        <w:rPr>
          <w:rFonts w:ascii="Century Gothic" w:eastAsia="Calibri" w:hAnsi="Century Gothic" w:cs="Arial"/>
          <w:color w:val="000000"/>
        </w:rPr>
      </w:pPr>
    </w:p>
    <w:p w14:paraId="050357E7" w14:textId="77777777" w:rsidR="00E72023" w:rsidRPr="004715CB" w:rsidRDefault="00E72023" w:rsidP="00E72023">
      <w:pPr>
        <w:spacing w:after="0" w:line="276" w:lineRule="auto"/>
        <w:jc w:val="both"/>
        <w:rPr>
          <w:rFonts w:ascii="Century Gothic" w:eastAsia="Calibri" w:hAnsi="Century Gothic" w:cs="Arial"/>
          <w:b/>
          <w:bCs/>
          <w:lang w:val="es-ES"/>
        </w:rPr>
      </w:pPr>
      <w:r w:rsidRPr="004715CB">
        <w:rPr>
          <w:rFonts w:ascii="Century Gothic" w:eastAsia="Calibri" w:hAnsi="Century Gothic" w:cs="Arial"/>
          <w:bCs/>
        </w:rPr>
        <w:t>Para resolver la pregunta planteada se estudiarán los siguientes temas: i)</w:t>
      </w:r>
      <w:r w:rsidRPr="004715CB">
        <w:rPr>
          <w:rFonts w:ascii="Century Gothic" w:eastAsia="Calibri" w:hAnsi="Century Gothic" w:cs="Arial"/>
          <w:bCs/>
          <w:color w:val="000000"/>
          <w:sz w:val="20"/>
          <w:szCs w:val="20"/>
          <w:lang w:val="es-ES_tradnl"/>
        </w:rPr>
        <w:t xml:space="preserve"> </w:t>
      </w:r>
      <w:r w:rsidRPr="004715CB">
        <w:rPr>
          <w:rFonts w:ascii="Century Gothic" w:eastAsia="Calibri" w:hAnsi="Century Gothic" w:cs="Arial"/>
          <w:bCs/>
          <w:lang w:val="es-ES_tradnl"/>
        </w:rPr>
        <w:t xml:space="preserve">autonomía de las entidades estatales para incluir el AIU –Administración, Imprevistos </w:t>
      </w:r>
      <w:r w:rsidRPr="004715CB">
        <w:rPr>
          <w:rFonts w:ascii="Century Gothic" w:eastAsia="Calibri" w:hAnsi="Century Gothic" w:cs="Arial"/>
          <w:bCs/>
          <w:lang w:val="es-ES_tradnl"/>
        </w:rPr>
        <w:lastRenderedPageBreak/>
        <w:t>y Utilidad–, como metodología para calcular el precio en los contratos y</w:t>
      </w:r>
      <w:r w:rsidRPr="004715CB">
        <w:rPr>
          <w:rFonts w:ascii="Century Gothic" w:eastAsia="Calibri" w:hAnsi="Century Gothic" w:cs="Arial"/>
          <w:bCs/>
        </w:rPr>
        <w:t xml:space="preserve"> ii) </w:t>
      </w:r>
      <w:r w:rsidRPr="004715CB">
        <w:rPr>
          <w:rFonts w:ascii="Century Gothic" w:eastAsia="Calibri" w:hAnsi="Century Gothic" w:cs="Arial"/>
          <w:bCs/>
          <w:lang w:val="es-ES_tradnl"/>
        </w:rPr>
        <w:t>gestión contractual de los componentes del AIU.</w:t>
      </w:r>
    </w:p>
    <w:p w14:paraId="6C4FECEA" w14:textId="77777777" w:rsidR="00E72023" w:rsidRPr="004715CB" w:rsidRDefault="00E72023" w:rsidP="00E72023">
      <w:pPr>
        <w:spacing w:before="120" w:after="0" w:line="276" w:lineRule="auto"/>
        <w:ind w:firstLine="709"/>
        <w:jc w:val="both"/>
        <w:rPr>
          <w:rFonts w:ascii="Century Gothic" w:eastAsia="Times New Roman" w:hAnsi="Century Gothic" w:cs="Arial"/>
          <w:szCs w:val="24"/>
          <w:lang w:val="es-MX" w:eastAsia="es-ES_tradnl"/>
        </w:rPr>
      </w:pPr>
      <w:r w:rsidRPr="004715CB">
        <w:rPr>
          <w:rFonts w:ascii="Century Gothic" w:eastAsia="Times New Roman" w:hAnsi="Century Gothic" w:cs="Arial"/>
          <w:bCs/>
          <w:szCs w:val="24"/>
          <w:lang w:val="es-ES_tradnl" w:eastAsia="es-ES_tradnl"/>
        </w:rPr>
        <w:t>La Agencia Nacional de Contratación Pública – Colombia Compra Eficiente se ha pronunciado en varias ocasiones sobre el AIU en los contratos estatales; entre ellas, en respuesta a las consultas con radicado No. 4201714000005136 del 14 de noviembre de 2017; 4201714000006401 del 23 de noviembre de 2017; 4201813000004155 del 9 de mayo de 2018; 4201814000008069 del 27 de septiembre de 2018; 4201814000007383 del 18 de octubre de 2018; 4201814000008069 del 13 de noviembre de 2018; 4201912000004214 del 26 de junio de 2019; 4201912000006455</w:t>
      </w:r>
      <w:r w:rsidRPr="004715CB">
        <w:rPr>
          <w:rFonts w:ascii="Century Gothic" w:eastAsia="Times New Roman" w:hAnsi="Century Gothic" w:cs="Arial"/>
          <w:szCs w:val="24"/>
          <w:lang w:val="es-ES_tradnl" w:eastAsia="es-ES_tradnl"/>
        </w:rPr>
        <w:t xml:space="preserve"> y 4201912000006463 del 19 de septiembre de 2019; 4201912000007375 del 28 de octubre de 2019; </w:t>
      </w:r>
      <w:r w:rsidRPr="004715CB">
        <w:rPr>
          <w:rFonts w:ascii="Century Gothic" w:eastAsia="Times New Roman" w:hAnsi="Century Gothic" w:cs="Arial"/>
          <w:szCs w:val="24"/>
          <w:lang w:val="es-MX" w:eastAsia="es-ES_tradnl"/>
        </w:rPr>
        <w:t>4201912000007092 del 29 de noviembre de 2019;</w:t>
      </w:r>
      <w:r w:rsidRPr="004715CB">
        <w:rPr>
          <w:rFonts w:ascii="Century Gothic" w:eastAsia="Times New Roman" w:hAnsi="Century Gothic" w:cs="Arial"/>
          <w:szCs w:val="24"/>
          <w:lang w:val="es-ES_tradnl" w:eastAsia="es-ES_tradnl"/>
        </w:rPr>
        <w:t xml:space="preserve"> 4202012000000093, C–037 del 28 de enero de 2020, 4202012000000664 del 30 de enero de 2020, C-191 del 16 de marzo de 2020, C-211 del 8 de abril de 2020, C-714 del 9 de diciembre de 2020, </w:t>
      </w:r>
      <w:r w:rsidRPr="004715CB">
        <w:rPr>
          <w:rFonts w:ascii="Century Gothic" w:eastAsia="Calibri" w:hAnsi="Century Gothic" w:cs="Arial"/>
          <w:lang w:val="es-MX"/>
        </w:rPr>
        <w:t xml:space="preserve">C-059 del 10 de marzo de 2021, C-613 del 6 de octubre de 2022, </w:t>
      </w:r>
      <w:r w:rsidRPr="004715CB">
        <w:rPr>
          <w:rFonts w:ascii="Century Gothic" w:eastAsia="Times New Roman" w:hAnsi="Century Gothic" w:cs="Arial"/>
          <w:szCs w:val="24"/>
          <w:lang w:val="es-MX" w:eastAsia="es-ES_tradnl"/>
        </w:rPr>
        <w:t>C-716 de 15 de noviembre de 2022</w:t>
      </w:r>
      <w:r w:rsidRPr="004715CB">
        <w:rPr>
          <w:rFonts w:ascii="Century Gothic" w:eastAsia="Times New Roman" w:hAnsi="Century Gothic" w:cs="Arial"/>
          <w:szCs w:val="24"/>
          <w:lang w:val="es-ES_tradnl" w:eastAsia="es-ES_tradnl"/>
        </w:rPr>
        <w:t xml:space="preserve">, C-802 de 23 de noviembre de 2022, C- 854 del 9 de diciembre de 2022, C-914 del 27 de diciembre de 2022 y C </w:t>
      </w:r>
      <w:r w:rsidRPr="004715CB">
        <w:rPr>
          <w:rFonts w:ascii="Arial" w:eastAsia="Times New Roman" w:hAnsi="Arial" w:cs="Arial"/>
          <w:szCs w:val="24"/>
          <w:lang w:val="es-ES_tradnl" w:eastAsia="es-ES_tradnl"/>
        </w:rPr>
        <w:t>‒</w:t>
      </w:r>
      <w:r w:rsidRPr="004715CB">
        <w:rPr>
          <w:rFonts w:ascii="Century Gothic" w:eastAsia="Times New Roman" w:hAnsi="Century Gothic" w:cs="Arial"/>
          <w:szCs w:val="24"/>
          <w:lang w:val="es-ES_tradnl" w:eastAsia="es-ES_tradnl"/>
        </w:rPr>
        <w:t>361 de septiembre de 2023. En estos conceptos la Agencia se ha pronunciado sobre la autonomía de las partes para para fijar el precio y la forma de pago en los contratos estatales y ha precisado que el AIU –Administración, Imprevistos y Utilidad– no está definido normativamente, sino que es una figura empleada en la práctica de los negocios</w:t>
      </w:r>
      <w:r w:rsidRPr="004715CB">
        <w:rPr>
          <w:rFonts w:ascii="Century Gothic" w:eastAsia="Times New Roman" w:hAnsi="Century Gothic" w:cs="Arial"/>
          <w:szCs w:val="24"/>
          <w:vertAlign w:val="superscript"/>
          <w:lang w:val="es-MX" w:eastAsia="es-ES_tradnl"/>
        </w:rPr>
        <w:footnoteReference w:id="2"/>
      </w:r>
      <w:r w:rsidRPr="004715CB">
        <w:rPr>
          <w:rFonts w:ascii="Century Gothic" w:eastAsia="Times New Roman" w:hAnsi="Century Gothic" w:cs="Arial"/>
          <w:szCs w:val="24"/>
          <w:lang w:val="es-MX" w:eastAsia="es-ES_tradnl"/>
        </w:rPr>
        <w:t xml:space="preserve">. </w:t>
      </w:r>
    </w:p>
    <w:p w14:paraId="5140CF75" w14:textId="77777777" w:rsidR="00E72023" w:rsidRPr="004715CB" w:rsidRDefault="00E72023" w:rsidP="00E72023">
      <w:pPr>
        <w:spacing w:before="120" w:after="0" w:line="276" w:lineRule="auto"/>
        <w:ind w:firstLine="709"/>
        <w:jc w:val="both"/>
        <w:rPr>
          <w:rFonts w:ascii="Century Gothic" w:eastAsia="Times New Roman" w:hAnsi="Century Gothic" w:cs="Arial"/>
          <w:bCs/>
          <w:szCs w:val="24"/>
          <w:lang w:val="es-ES_tradnl" w:eastAsia="es-ES_tradnl"/>
        </w:rPr>
      </w:pPr>
      <w:r w:rsidRPr="004715CB">
        <w:rPr>
          <w:rFonts w:ascii="Century Gothic" w:eastAsia="Times New Roman" w:hAnsi="Century Gothic" w:cs="Arial"/>
          <w:szCs w:val="24"/>
          <w:lang w:val="es-MX" w:eastAsia="es-ES_tradnl"/>
        </w:rPr>
        <w:t>La tesis desarrollada en estos conceptos se reitera a continuación:</w:t>
      </w:r>
    </w:p>
    <w:p w14:paraId="3E639E7C" w14:textId="77777777" w:rsidR="00E72023" w:rsidRPr="004715CB" w:rsidRDefault="00E72023" w:rsidP="00E72023">
      <w:pPr>
        <w:spacing w:after="0" w:line="276" w:lineRule="auto"/>
        <w:rPr>
          <w:rFonts w:ascii="Century Gothic" w:eastAsia="Times New Roman" w:hAnsi="Century Gothic" w:cs="Arial"/>
          <w:b/>
          <w:bCs/>
          <w:szCs w:val="24"/>
          <w:lang w:val="es-MX" w:eastAsia="es-ES_tradnl"/>
        </w:rPr>
      </w:pPr>
    </w:p>
    <w:p w14:paraId="0EC3D2DE" w14:textId="77777777" w:rsidR="00E72023" w:rsidRPr="004715CB" w:rsidRDefault="00E72023" w:rsidP="00E72023">
      <w:pPr>
        <w:spacing w:after="0" w:line="276" w:lineRule="auto"/>
        <w:jc w:val="both"/>
        <w:rPr>
          <w:rFonts w:ascii="Century Gothic" w:eastAsia="Times New Roman" w:hAnsi="Century Gothic" w:cs="Arial"/>
          <w:b/>
          <w:bCs/>
          <w:szCs w:val="24"/>
          <w:lang w:val="es-MX" w:eastAsia="es-ES_tradnl"/>
        </w:rPr>
      </w:pPr>
      <w:r w:rsidRPr="004715CB">
        <w:rPr>
          <w:rFonts w:ascii="Century Gothic" w:eastAsia="Times New Roman" w:hAnsi="Century Gothic" w:cs="Arial"/>
          <w:b/>
          <w:bCs/>
          <w:szCs w:val="24"/>
          <w:lang w:val="es-MX" w:eastAsia="es-ES_tradnl"/>
        </w:rPr>
        <w:t xml:space="preserve">2.1. </w:t>
      </w:r>
      <w:bookmarkStart w:id="2" w:name="_Hlk93995318"/>
      <w:r w:rsidRPr="004715CB">
        <w:rPr>
          <w:rFonts w:ascii="Century Gothic" w:eastAsia="Times New Roman" w:hAnsi="Century Gothic" w:cs="Arial"/>
          <w:b/>
          <w:bCs/>
          <w:szCs w:val="24"/>
          <w:lang w:val="es-ES_tradnl" w:eastAsia="es-ES_tradnl"/>
        </w:rPr>
        <w:t>Autonomía para incluir el AIU –Administración, Imprevistos y Utilidad–, como metodología para calcular el precio en los contratos estatales</w:t>
      </w:r>
      <w:r w:rsidRPr="004715CB">
        <w:rPr>
          <w:rFonts w:ascii="Century Gothic" w:eastAsia="Times New Roman" w:hAnsi="Century Gothic" w:cs="Arial"/>
          <w:b/>
          <w:bCs/>
          <w:szCs w:val="24"/>
          <w:lang w:val="es-MX" w:eastAsia="es-ES_tradnl"/>
        </w:rPr>
        <w:t xml:space="preserve"> </w:t>
      </w:r>
      <w:bookmarkEnd w:id="2"/>
    </w:p>
    <w:p w14:paraId="097D3DA2" w14:textId="77777777" w:rsidR="00E72023" w:rsidRPr="004715CB" w:rsidRDefault="00E72023" w:rsidP="00E72023">
      <w:pPr>
        <w:spacing w:after="0" w:line="276" w:lineRule="auto"/>
        <w:rPr>
          <w:rFonts w:ascii="Century Gothic" w:eastAsia="Calibri" w:hAnsi="Century Gothic" w:cs="Arial"/>
          <w:b/>
          <w:color w:val="000000"/>
          <w:lang w:val="es-ES"/>
        </w:rPr>
      </w:pPr>
    </w:p>
    <w:p w14:paraId="24B21F0F" w14:textId="77777777" w:rsidR="00E72023" w:rsidRPr="004715CB" w:rsidRDefault="00E72023" w:rsidP="00E72023">
      <w:pPr>
        <w:spacing w:after="0" w:line="276" w:lineRule="auto"/>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Como es sabido, uno de los elementos más comunes en los contratos estatales es el precio,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605E468F"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lastRenderedPageBreak/>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4715CB">
        <w:rPr>
          <w:rFonts w:ascii="Century Gothic" w:eastAsia="Calibri" w:hAnsi="Century Gothic" w:cs="Arial"/>
          <w:bCs/>
          <w:szCs w:val="24"/>
          <w:vertAlign w:val="superscript"/>
          <w:lang w:val="es-ES_tradnl" w:eastAsia="es-ES_tradnl"/>
        </w:rPr>
        <w:footnoteReference w:id="3"/>
      </w:r>
      <w:r w:rsidRPr="004715CB">
        <w:rPr>
          <w:rFonts w:ascii="Century Gothic" w:eastAsia="Calibri" w:hAnsi="Century Gothic" w:cs="Arial"/>
          <w:bCs/>
          <w:szCs w:val="24"/>
          <w:lang w:val="es-ES_tradnl" w:eastAsia="es-ES_tradnl"/>
        </w:rPr>
        <w:t>. 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por la realización integral del objeto del contrato, sin discriminar unidades–, y iii) la administración delegada de recursos –en la que se distinguen los costos de inversión de los honorarios del administrador–.</w:t>
      </w:r>
    </w:p>
    <w:p w14:paraId="1BC5BA10"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Pues bien, en los contratos cuyo precio se estructura a partir del sistema de precios unitarios, ha hecho parte de la práctica de los negocios que el contratante le solicite al potencial contratista que separe en su propuesta los costos directos –</w:t>
      </w:r>
      <w:r w:rsidRPr="004715CB">
        <w:rPr>
          <w:rFonts w:ascii="Century Gothic" w:eastAsia="Calibri" w:hAnsi="Century Gothic" w:cs="Arial"/>
          <w:bCs/>
          <w:szCs w:val="24"/>
          <w:lang w:val="es-ES_tradnl" w:eastAsia="es-ES_tradnl"/>
        </w:rPr>
        <w:lastRenderedPageBreak/>
        <w:t xml:space="preserve">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4715CB">
        <w:rPr>
          <w:rFonts w:ascii="Century Gothic" w:eastAsia="Calibri" w:hAnsi="Century Gothic" w:cs="Arial"/>
          <w:bCs/>
          <w:i/>
          <w:iCs/>
          <w:szCs w:val="24"/>
          <w:lang w:val="es-ES_tradnl" w:eastAsia="es-ES_tradnl"/>
        </w:rPr>
        <w:t>ítems</w:t>
      </w:r>
      <w:r w:rsidRPr="004715CB">
        <w:rPr>
          <w:rFonts w:ascii="Century Gothic" w:eastAsia="Calibri" w:hAnsi="Century Gothic" w:cs="Arial"/>
          <w:bCs/>
          <w:szCs w:val="24"/>
          <w:lang w:val="es-ES_tradnl" w:eastAsia="es-ES_tradnl"/>
        </w:rPr>
        <w:t xml:space="preserve"> según su unidad de medida, los costos indirectos se suelen abreviar en las variables que integran el acrónimo AIU –Administración, Imprevistos y Utilidad–, que se calcula como un porcentaje aplicado a los costos indirectos. </w:t>
      </w:r>
    </w:p>
    <w:p w14:paraId="0B7FB0B0"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eastAsia="es-ES_tradnl"/>
        </w:rPr>
      </w:pPr>
      <w:r w:rsidRPr="004715CB">
        <w:rPr>
          <w:rFonts w:ascii="Century Gothic" w:eastAsia="Calibri" w:hAnsi="Century Gothic" w:cs="Arial"/>
          <w:bCs/>
          <w:szCs w:val="24"/>
          <w:lang w:val="es-ES_tradnl" w:eastAsia="es-ES_tradnl"/>
        </w:rPr>
        <w:t>En relación con los precios unitarios ha señalado la jurisprudencia que “</w:t>
      </w:r>
      <w:r w:rsidRPr="004715CB">
        <w:rPr>
          <w:rFonts w:ascii="Century Gothic" w:eastAsia="Calibri" w:hAnsi="Century Gothic" w:cs="Arial"/>
          <w:bCs/>
          <w:szCs w:val="24"/>
          <w:lang w:eastAsia="es-ES_tradnl"/>
        </w:rPr>
        <w:t>en la conformación de dichos precios unitarios, se tienen en cuenta todos los gastos que se requieren para realizar la unidad de medida respectiva –el metro lineal, el metro cúbico, el metro cuadrado, etc.-. Y lo que comúnmente se denomina análisis de precios unitarios, corresponde a la descomposición de los mismos para determinar los costos que los conforman: la maquinaria que se utilizará, calculando el valor por el tiempo que se requiera; la mano de obra, teniendo en cuenta el costo hora-hombre, y cuántas personas se requieren para la ejecución de esa unidad de medida; la cantidad de los materiales necesarios, etc.</w:t>
      </w:r>
      <w:r w:rsidRPr="004715CB">
        <w:rPr>
          <w:rFonts w:ascii="Century Gothic" w:eastAsia="Calibri" w:hAnsi="Century Gothic" w:cs="Arial"/>
          <w:bCs/>
          <w:szCs w:val="24"/>
          <w:lang w:val="es-ES_tradnl" w:eastAsia="es-ES_tradnl"/>
        </w:rPr>
        <w:t>”</w:t>
      </w:r>
      <w:r w:rsidRPr="004715CB">
        <w:rPr>
          <w:rFonts w:ascii="Century Gothic" w:eastAsia="Calibri" w:hAnsi="Century Gothic" w:cs="Arial"/>
          <w:bCs/>
          <w:szCs w:val="24"/>
          <w:vertAlign w:val="superscript"/>
          <w:lang w:val="es-ES_tradnl" w:eastAsia="es-ES_tradnl"/>
        </w:rPr>
        <w:footnoteReference w:id="4"/>
      </w:r>
      <w:r w:rsidRPr="004715CB">
        <w:rPr>
          <w:rFonts w:ascii="Century Gothic" w:eastAsia="Calibri" w:hAnsi="Century Gothic" w:cs="Arial"/>
          <w:bCs/>
          <w:szCs w:val="24"/>
          <w:lang w:eastAsia="es-ES_tradnl"/>
        </w:rPr>
        <w:t>. En concordancia, la doctrina explica que en la estructuración de los precios unitarios se tendrán en cuenta todos los costos directos necesarios para la ejecución del objeto contractual que se multiplicará por al AIU, lo que determina el valor unitario:</w:t>
      </w:r>
    </w:p>
    <w:p w14:paraId="3CA9FE3E" w14:textId="77777777" w:rsidR="00E72023" w:rsidRPr="004715CB" w:rsidRDefault="00E72023" w:rsidP="00E72023">
      <w:pPr>
        <w:spacing w:after="0" w:line="276" w:lineRule="auto"/>
        <w:ind w:firstLine="709"/>
        <w:jc w:val="both"/>
        <w:rPr>
          <w:rFonts w:ascii="Century Gothic" w:eastAsia="Calibri" w:hAnsi="Century Gothic" w:cs="Arial"/>
          <w:bCs/>
          <w:szCs w:val="24"/>
          <w:lang w:eastAsia="es-ES_tradnl"/>
        </w:rPr>
      </w:pPr>
    </w:p>
    <w:p w14:paraId="608B741A"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r w:rsidRPr="004715CB">
        <w:rPr>
          <w:rFonts w:ascii="Century Gothic" w:eastAsia="Calibri" w:hAnsi="Century Gothic" w:cs="Arial"/>
          <w:sz w:val="21"/>
          <w:szCs w:val="21"/>
          <w:lang w:val="es-ES_tradnl" w:eastAsia="es-ES_tradnl"/>
        </w:rPr>
        <w:t>“Cada uno de los valores unitarios resultan de un análisis de los componentes requeridos para su elaboración, estudio que se denomina comúnmente “análisis de precios unitarios”. Así, se examinará, por ejemplo, que para la construcción de un metro cuadrado de muro se requieren 50 ladrillos, que tienen un valor de $50.000; 15 kilos de cemento, que tienen un valor de $5.000; 30 kilos de arena, que tienen un valor de $500; 5 litros de agua, que tienen un valor de 100, y la mano de obra que tiene un valor de $5.000. La sumatoria de cada uno de estos insumos básicos arroja el costo directo que debe cancelar el contratista para la construcción de un metro de muro.</w:t>
      </w:r>
    </w:p>
    <w:p w14:paraId="60F1F2A5"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p>
    <w:p w14:paraId="3CF67EAE"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r w:rsidRPr="004715CB">
        <w:rPr>
          <w:rFonts w:ascii="Century Gothic" w:eastAsia="Calibri" w:hAnsi="Century Gothic" w:cs="Arial"/>
          <w:sz w:val="21"/>
          <w:szCs w:val="21"/>
          <w:lang w:val="es-ES_tradnl" w:eastAsia="es-ES_tradnl"/>
        </w:rPr>
        <w:t xml:space="preserve">El costo directo se multiplica por el AIU, es decir, por los gastos de administración, que incluye los gastos de personal que dirige la obra; los </w:t>
      </w:r>
      <w:r w:rsidRPr="004715CB">
        <w:rPr>
          <w:rFonts w:ascii="Century Gothic" w:eastAsia="Calibri" w:hAnsi="Century Gothic" w:cs="Arial"/>
          <w:sz w:val="21"/>
          <w:szCs w:val="21"/>
          <w:lang w:val="es-ES_tradnl" w:eastAsia="es-ES_tradnl"/>
        </w:rPr>
        <w:lastRenderedPageBreak/>
        <w:t>gastos de imprevistos, que pretende cubrir imprevistos y la utilidad. El resultado de la multiplicación anterior determina el valor unitario que deberá cancelar la entidad estatal. Dentro del valor unitario, entonces, están incorporados la totalidad de los gastos en los que incurre el contratista y la utilidad que espera recibir”</w:t>
      </w:r>
      <w:r w:rsidRPr="004715CB">
        <w:rPr>
          <w:rFonts w:ascii="Century Gothic" w:eastAsia="Calibri" w:hAnsi="Century Gothic" w:cs="Arial"/>
          <w:sz w:val="21"/>
          <w:szCs w:val="21"/>
          <w:vertAlign w:val="superscript"/>
          <w:lang w:val="es-ES_tradnl" w:eastAsia="es-ES_tradnl"/>
        </w:rPr>
        <w:footnoteReference w:id="5"/>
      </w:r>
      <w:r w:rsidRPr="004715CB">
        <w:rPr>
          <w:rFonts w:ascii="Century Gothic" w:eastAsia="Calibri" w:hAnsi="Century Gothic" w:cs="Arial"/>
          <w:sz w:val="21"/>
          <w:szCs w:val="21"/>
          <w:lang w:val="es-ES_tradnl" w:eastAsia="es-ES_tradnl"/>
        </w:rPr>
        <w:t xml:space="preserve">. </w:t>
      </w:r>
    </w:p>
    <w:p w14:paraId="5766B1C6"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Cs w:val="24"/>
          <w:lang w:val="es-ES_tradnl" w:eastAsia="es-ES_tradnl"/>
        </w:rPr>
      </w:pPr>
    </w:p>
    <w:p w14:paraId="19BEED98" w14:textId="77777777" w:rsidR="00E72023" w:rsidRPr="004715CB" w:rsidRDefault="00E72023" w:rsidP="00E72023">
      <w:pPr>
        <w:spacing w:after="0" w:line="276" w:lineRule="auto"/>
        <w:ind w:firstLine="709"/>
        <w:jc w:val="both"/>
        <w:rPr>
          <w:rFonts w:ascii="Century Gothic" w:eastAsia="Calibri" w:hAnsi="Century Gothic" w:cs="Arial"/>
          <w:szCs w:val="24"/>
          <w:lang w:val="es-ES_tradnl" w:eastAsia="es-ES_tradnl"/>
        </w:rPr>
      </w:pPr>
      <w:r w:rsidRPr="004715CB">
        <w:rPr>
          <w:rFonts w:ascii="Century Gothic" w:eastAsia="Calibri" w:hAnsi="Century Gothic" w:cs="Arial"/>
          <w:szCs w:val="24"/>
          <w:lang w:val="es-ES_tradnl" w:eastAsia="es-ES_tradnl"/>
        </w:rPr>
        <w:t xml:space="preserve">Por su parte, de acuerdo con la Sección Tercera del Consejo de Estado, el AIU, concepto de común utilización en los contratos de tracto sucesivo –entre ellos, los contratos de obra– no cuenta con una definición normativa, pero hay elementos que permiten precisar su alcance, así: </w:t>
      </w:r>
    </w:p>
    <w:p w14:paraId="4CADB2F0" w14:textId="77777777" w:rsidR="00E72023" w:rsidRPr="004715CB" w:rsidRDefault="00E72023" w:rsidP="00E72023">
      <w:pPr>
        <w:spacing w:after="0" w:line="276" w:lineRule="auto"/>
        <w:ind w:firstLine="709"/>
        <w:jc w:val="both"/>
        <w:rPr>
          <w:rFonts w:ascii="Century Gothic" w:eastAsia="Calibri" w:hAnsi="Century Gothic" w:cs="Arial"/>
          <w:szCs w:val="24"/>
          <w:lang w:val="es-ES_tradnl" w:eastAsia="es-ES_tradnl"/>
        </w:rPr>
      </w:pPr>
    </w:p>
    <w:p w14:paraId="3EB68F68"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r w:rsidRPr="004715CB">
        <w:rPr>
          <w:rFonts w:ascii="Century Gothic" w:eastAsia="Calibri" w:hAnsi="Century Gothic" w:cs="Arial"/>
          <w:sz w:val="21"/>
          <w:szCs w:val="21"/>
          <w:lang w:val="es-ES_tradnl" w:eastAsia="es-ES_tradnl"/>
        </w:rPr>
        <w:t xml:space="preserve">“[…] el AIU propuesto para el contrato, corresponde a: </w:t>
      </w:r>
    </w:p>
    <w:p w14:paraId="7CA86A09"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p>
    <w:p w14:paraId="63F8D2A1"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r w:rsidRPr="004715CB">
        <w:rPr>
          <w:rFonts w:ascii="Century Gothic" w:eastAsia="Calibri" w:hAnsi="Century Gothic" w:cs="Arial"/>
          <w:sz w:val="21"/>
          <w:szCs w:val="21"/>
          <w:lang w:val="es-ES_tradnl" w:eastAsia="es-ES_tradnl"/>
        </w:rPr>
        <w:t xml:space="preserve">i) los costos de administración o costos indirectos para la operación del contrato, tales como los gastos de disponibilidad de la organización del contratista, esto es: A; </w:t>
      </w:r>
    </w:p>
    <w:p w14:paraId="5BB551F6"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p>
    <w:p w14:paraId="561644A6"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r w:rsidRPr="004715CB">
        <w:rPr>
          <w:rFonts w:ascii="Century Gothic" w:eastAsia="Calibri" w:hAnsi="Century Gothic" w:cs="Arial"/>
          <w:sz w:val="21"/>
          <w:szCs w:val="21"/>
          <w:lang w:val="es-ES_tradnl" w:eastAsia="es-ES_tradnl"/>
        </w:rPr>
        <w:t xml:space="preserve">ii) los imprevistos, que es el porcentaje destinado a cubrir los gastos con los que no se contaba y que se presenten durante la ejecución del contrato, esto es, el álea normal del contrato: I; </w:t>
      </w:r>
    </w:p>
    <w:p w14:paraId="2F547EEE"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p>
    <w:p w14:paraId="57963625"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r w:rsidRPr="004715CB">
        <w:rPr>
          <w:rFonts w:ascii="Century Gothic" w:eastAsia="Calibri" w:hAnsi="Century Gothic" w:cs="Arial"/>
          <w:sz w:val="21"/>
          <w:szCs w:val="21"/>
          <w:lang w:val="es-ES_tradnl" w:eastAsia="es-ES_tradnl"/>
        </w:rPr>
        <w:t xml:space="preserve">iii) la utilidad o el beneficio económico que pretende percibir el contratista por la ejecución del contrato, esto es: U. </w:t>
      </w:r>
    </w:p>
    <w:p w14:paraId="38A8006F"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p>
    <w:p w14:paraId="202577BF"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 w:val="21"/>
          <w:szCs w:val="21"/>
          <w:lang w:val="es-ES_tradnl" w:eastAsia="es-ES_tradnl"/>
        </w:rPr>
      </w:pPr>
      <w:r w:rsidRPr="004715CB">
        <w:rPr>
          <w:rFonts w:ascii="Century Gothic" w:eastAsia="Calibri" w:hAnsi="Century Gothic" w:cs="Arial"/>
          <w:sz w:val="21"/>
          <w:szCs w:val="21"/>
          <w:lang w:val="es-ES_tradnl" w:eastAsia="es-ES_tradnl"/>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4715CB">
        <w:rPr>
          <w:rFonts w:ascii="Century Gothic" w:eastAsia="Calibri" w:hAnsi="Century Gothic" w:cs="Arial"/>
          <w:sz w:val="21"/>
          <w:szCs w:val="21"/>
          <w:vertAlign w:val="superscript"/>
          <w:lang w:val="es-ES_tradnl" w:eastAsia="es-ES_tradnl"/>
        </w:rPr>
        <w:footnoteReference w:id="6"/>
      </w:r>
      <w:r w:rsidRPr="004715CB">
        <w:rPr>
          <w:rFonts w:ascii="Century Gothic" w:eastAsia="Calibri" w:hAnsi="Century Gothic" w:cs="Arial"/>
          <w:sz w:val="21"/>
          <w:szCs w:val="21"/>
          <w:lang w:val="es-ES_tradnl" w:eastAsia="es-ES_tradnl"/>
        </w:rPr>
        <w:t>.</w:t>
      </w:r>
    </w:p>
    <w:p w14:paraId="586F908F" w14:textId="77777777" w:rsidR="00E72023" w:rsidRPr="004715CB" w:rsidRDefault="00E72023" w:rsidP="00E72023">
      <w:pPr>
        <w:tabs>
          <w:tab w:val="left" w:pos="709"/>
        </w:tabs>
        <w:spacing w:after="0" w:line="240" w:lineRule="auto"/>
        <w:ind w:left="709" w:right="760"/>
        <w:jc w:val="both"/>
        <w:rPr>
          <w:rFonts w:ascii="Century Gothic" w:eastAsia="Calibri" w:hAnsi="Century Gothic" w:cs="Arial"/>
          <w:szCs w:val="24"/>
          <w:lang w:val="es-ES_tradnl" w:eastAsia="es-ES_tradnl"/>
        </w:rPr>
      </w:pPr>
    </w:p>
    <w:p w14:paraId="4B09A44D" w14:textId="77777777" w:rsidR="00E72023" w:rsidRPr="004715CB" w:rsidRDefault="00E72023" w:rsidP="00E72023">
      <w:pPr>
        <w:spacing w:before="120" w:after="0" w:line="276" w:lineRule="auto"/>
        <w:ind w:firstLine="709"/>
        <w:jc w:val="both"/>
        <w:rPr>
          <w:rFonts w:ascii="Century Gothic" w:eastAsia="Calibri" w:hAnsi="Century Gothic" w:cs="Arial"/>
          <w:szCs w:val="24"/>
          <w:lang w:val="es-ES_tradnl" w:eastAsia="es-ES_tradnl"/>
        </w:rPr>
      </w:pPr>
      <w:r w:rsidRPr="004715CB">
        <w:rPr>
          <w:rFonts w:ascii="Century Gothic" w:eastAsia="Calibri" w:hAnsi="Century Gothic" w:cs="Arial"/>
          <w:szCs w:val="24"/>
          <w:lang w:val="es-ES_tradnl" w:eastAsia="es-ES_tradnl"/>
        </w:rPr>
        <w:t>A su turno, la Sala de Consulta y Servicio Civil del Consejo de Estado sostuvo en concepto del 5 de septiembre de 2018</w:t>
      </w:r>
      <w:r w:rsidRPr="004715CB">
        <w:rPr>
          <w:rFonts w:ascii="Century Gothic" w:eastAsia="Calibri" w:hAnsi="Century Gothic" w:cs="Arial"/>
          <w:szCs w:val="24"/>
          <w:vertAlign w:val="superscript"/>
          <w:lang w:val="es-ES_tradnl" w:eastAsia="es-ES_tradnl"/>
        </w:rPr>
        <w:footnoteReference w:id="7"/>
      </w:r>
      <w:r w:rsidRPr="004715CB">
        <w:rPr>
          <w:rFonts w:ascii="Century Gothic" w:eastAsia="Calibri" w:hAnsi="Century Gothic" w:cs="Arial"/>
          <w:szCs w:val="24"/>
          <w:lang w:val="es-ES_tradnl" w:eastAsia="es-ES_tradnl"/>
        </w:rPr>
        <w:t xml:space="preserve"> que “el concepto del A.I.U. comprende la Administración (costos indirectos) imprevistos y utilidades, y en algunos contratos </w:t>
      </w:r>
      <w:r w:rsidRPr="004715CB">
        <w:rPr>
          <w:rFonts w:ascii="Century Gothic" w:eastAsia="Calibri" w:hAnsi="Century Gothic" w:cs="Arial"/>
          <w:szCs w:val="24"/>
          <w:lang w:val="es-ES_tradnl" w:eastAsia="es-ES_tradnl"/>
        </w:rPr>
        <w:lastRenderedPageBreak/>
        <w:t>este valor aparece cuantificado en forma independiente al valor de la obra y como un porcentaje de la misma</w:t>
      </w:r>
      <w:r w:rsidRPr="004715CB">
        <w:rPr>
          <w:rFonts w:ascii="Century Gothic" w:eastAsia="Calibri" w:hAnsi="Century Gothic" w:cs="Arial"/>
          <w:szCs w:val="24"/>
          <w:vertAlign w:val="superscript"/>
          <w:lang w:val="es-ES_tradnl" w:eastAsia="es-ES_tradnl"/>
        </w:rPr>
        <w:footnoteReference w:id="8"/>
      </w:r>
      <w:r w:rsidRPr="004715CB">
        <w:rPr>
          <w:rFonts w:ascii="Century Gothic" w:eastAsia="Calibri" w:hAnsi="Century Gothic" w:cs="Arial"/>
          <w:szCs w:val="24"/>
          <w:lang w:val="es-ES_tradnl" w:eastAsia="es-ES_tradnl"/>
        </w:rPr>
        <w:t>, sin perjuicio que en otros contratos este valor no aparezca discriminado y se incorpore en el valor de los precios unitarios”</w:t>
      </w:r>
      <w:r w:rsidRPr="004715CB">
        <w:rPr>
          <w:rFonts w:ascii="Century Gothic" w:eastAsia="Calibri" w:hAnsi="Century Gothic" w:cs="Arial"/>
          <w:szCs w:val="24"/>
          <w:vertAlign w:val="superscript"/>
          <w:lang w:val="es-ES_tradnl" w:eastAsia="es-ES_tradnl"/>
        </w:rPr>
        <w:footnoteReference w:id="9"/>
      </w:r>
      <w:r w:rsidRPr="004715CB">
        <w:rPr>
          <w:rFonts w:ascii="Century Gothic" w:eastAsia="Calibri" w:hAnsi="Century Gothic" w:cs="Arial"/>
          <w:szCs w:val="24"/>
          <w:lang w:val="es-ES_tradnl" w:eastAsia="es-ES_tradnl"/>
        </w:rPr>
        <w:t xml:space="preserve">. </w:t>
      </w:r>
    </w:p>
    <w:p w14:paraId="4BF0FC75"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Así pues, ni el sistema de precios unitarios –como metodología de estipulación del valor contractual–, ni el concepto de AIU, ni mucho menos la forma de calcularlo –es decir, su porcentaje–, son aspectos regulados en el conjunto de las disposiciones legales y reglamentarias que integran la normativa contractual del Estado. “La justificación de esta manera de cotizar el precio procede, incluso, de la formación universitaria que reciben los ingenieros, a quienes les enseñan esta metodología para elaborar las ofertas. En fin, lo que se quiere indicar con estos comentarios es que la necesidad de presentar una propuesta desglosando en forma intensa su precio no procede de la ley, ni del reglamento, sino de la costumbre, […]”</w:t>
      </w:r>
      <w:r w:rsidRPr="004715CB">
        <w:rPr>
          <w:rFonts w:ascii="Century Gothic" w:eastAsia="Calibri" w:hAnsi="Century Gothic" w:cs="Arial"/>
          <w:bCs/>
          <w:szCs w:val="24"/>
          <w:vertAlign w:val="superscript"/>
          <w:lang w:val="es-ES_tradnl" w:eastAsia="es-ES_tradnl"/>
        </w:rPr>
        <w:footnoteReference w:id="10"/>
      </w:r>
      <w:r w:rsidRPr="004715CB">
        <w:rPr>
          <w:rFonts w:ascii="Century Gothic" w:eastAsia="Calibri" w:hAnsi="Century Gothic" w:cs="Arial"/>
          <w:bCs/>
          <w:szCs w:val="24"/>
          <w:lang w:val="es-ES_tradnl" w:eastAsia="es-ES_tradnl"/>
        </w:rPr>
        <w:t xml:space="preserve">. De otro lado, quien define el valor de cada </w:t>
      </w:r>
      <w:r w:rsidRPr="004715CB">
        <w:rPr>
          <w:rFonts w:ascii="Century Gothic" w:eastAsia="Calibri" w:hAnsi="Century Gothic" w:cs="Arial"/>
          <w:bCs/>
          <w:i/>
          <w:iCs/>
          <w:szCs w:val="24"/>
          <w:lang w:val="es-ES_tradnl" w:eastAsia="es-ES_tradnl"/>
        </w:rPr>
        <w:t>letra</w:t>
      </w:r>
      <w:r w:rsidRPr="004715CB">
        <w:rPr>
          <w:rFonts w:ascii="Century Gothic" w:eastAsia="Calibri" w:hAnsi="Century Gothic" w:cs="Arial"/>
          <w:bCs/>
          <w:szCs w:val="24"/>
          <w:lang w:val="es-ES_tradnl" w:eastAsia="es-ES_tradnl"/>
        </w:rPr>
        <w:t xml:space="preserve"> –AIU– es el proponente, pues goza de libertad empresarial para hacerlo en la elaboración de su oferta</w:t>
      </w:r>
      <w:r w:rsidRPr="004715CB">
        <w:rPr>
          <w:rFonts w:ascii="Century Gothic" w:eastAsia="Calibri" w:hAnsi="Century Gothic" w:cs="Arial"/>
          <w:bCs/>
          <w:szCs w:val="24"/>
          <w:vertAlign w:val="superscript"/>
          <w:lang w:val="es-ES_tradnl" w:eastAsia="es-ES_tradnl"/>
        </w:rPr>
        <w:footnoteReference w:id="11"/>
      </w:r>
      <w:r w:rsidRPr="004715CB">
        <w:rPr>
          <w:rFonts w:ascii="Century Gothic" w:eastAsia="Calibri" w:hAnsi="Century Gothic" w:cs="Arial"/>
          <w:bCs/>
          <w:szCs w:val="24"/>
          <w:lang w:val="es-ES_tradnl" w:eastAsia="es-ES_tradnl"/>
        </w:rPr>
        <w:t>.</w:t>
      </w:r>
    </w:p>
    <w:p w14:paraId="7711F037"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 xml:space="preserve">En consecuencia,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En tal perspectiva, cuentan con discrecionalidad para establecer en el pliego de condiciones o en su documento equivalente, así como en el contrato, el sistema de precios unitarios y la figura del AIU; modelo que, como se indicó, es más </w:t>
      </w:r>
      <w:r w:rsidRPr="004715CB">
        <w:rPr>
          <w:rFonts w:ascii="Century Gothic" w:eastAsia="Calibri" w:hAnsi="Century Gothic" w:cs="Arial"/>
          <w:bCs/>
          <w:szCs w:val="24"/>
          <w:lang w:val="es-ES_tradnl" w:eastAsia="es-ES_tradnl"/>
        </w:rPr>
        <w:lastRenderedPageBreak/>
        <w:t>pertinente para los contratos de tracto sucesivo, como el de obra. Por ende, la decisión de incluir el AIU, al igual que la metodología de delimitación de sus variables –ítems y porcentajes– debe obedecer a un juicioso análisis de oportunidad y conveniencia, que consulte las reglas de la experiencia, así como los aspectos particulares de cada negocio. Lo anterior en armonía con la garantía de los principios de la función administrativa y de la gestión fiscal, dentro de los cuales se halla el principio de economía, postulado que exige la optimización de los recursos públicos.</w:t>
      </w:r>
    </w:p>
    <w:p w14:paraId="06395469" w14:textId="77777777" w:rsidR="00E72023" w:rsidRPr="004715CB" w:rsidRDefault="00E72023" w:rsidP="00E72023">
      <w:pPr>
        <w:spacing w:after="0" w:line="276" w:lineRule="auto"/>
        <w:ind w:firstLine="709"/>
        <w:jc w:val="both"/>
        <w:rPr>
          <w:rFonts w:ascii="Century Gothic" w:eastAsia="Calibri" w:hAnsi="Century Gothic" w:cs="Arial"/>
          <w:bCs/>
          <w:szCs w:val="24"/>
          <w:lang w:val="es-ES_tradnl" w:eastAsia="es-ES_tradnl"/>
        </w:rPr>
      </w:pPr>
    </w:p>
    <w:p w14:paraId="6067FF4F" w14:textId="77777777" w:rsidR="00E72023" w:rsidRPr="004715CB" w:rsidRDefault="00E72023" w:rsidP="00E72023">
      <w:pPr>
        <w:spacing w:after="0" w:line="276" w:lineRule="auto"/>
        <w:jc w:val="both"/>
        <w:rPr>
          <w:rFonts w:ascii="Century Gothic" w:eastAsia="Calibri" w:hAnsi="Century Gothic" w:cs="Arial"/>
          <w:b/>
          <w:lang w:val="es-ES_tradnl"/>
        </w:rPr>
      </w:pPr>
      <w:r w:rsidRPr="004715CB">
        <w:rPr>
          <w:rFonts w:ascii="Century Gothic" w:eastAsia="Calibri" w:hAnsi="Century Gothic" w:cs="Arial"/>
          <w:b/>
        </w:rPr>
        <w:t xml:space="preserve">2.2. </w:t>
      </w:r>
      <w:r w:rsidRPr="004715CB">
        <w:rPr>
          <w:rFonts w:ascii="Century Gothic" w:eastAsia="Calibri" w:hAnsi="Century Gothic" w:cs="Arial"/>
          <w:b/>
          <w:lang w:val="es-ES_tradnl"/>
        </w:rPr>
        <w:t>Gestión contractual de los componentes del AIU</w:t>
      </w:r>
    </w:p>
    <w:p w14:paraId="10BA5843" w14:textId="77777777" w:rsidR="00E72023" w:rsidRPr="004715CB" w:rsidRDefault="00E72023" w:rsidP="00E72023">
      <w:pPr>
        <w:spacing w:after="0" w:line="276" w:lineRule="auto"/>
        <w:jc w:val="both"/>
        <w:rPr>
          <w:rFonts w:ascii="Century Gothic" w:eastAsia="Calibri" w:hAnsi="Century Gothic" w:cs="Arial"/>
          <w:b/>
          <w:szCs w:val="24"/>
          <w:lang w:val="es-ES_tradnl" w:eastAsia="es-ES_tradnl"/>
        </w:rPr>
      </w:pPr>
    </w:p>
    <w:p w14:paraId="57D8BEA8" w14:textId="77777777" w:rsidR="00E72023" w:rsidRPr="004715CB" w:rsidRDefault="00E72023" w:rsidP="00E72023">
      <w:pPr>
        <w:spacing w:after="0" w:line="276" w:lineRule="auto"/>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Partiendo de las consideraciones anteriores,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EGCAP.</w:t>
      </w:r>
    </w:p>
    <w:p w14:paraId="31171557" w14:textId="77777777" w:rsidR="00E72023" w:rsidRPr="004715CB" w:rsidRDefault="00E72023" w:rsidP="00E72023">
      <w:pPr>
        <w:spacing w:before="120" w:after="0" w:line="276" w:lineRule="auto"/>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ab/>
        <w:t xml:space="preserve">Ahora bien, nada obstaría para que las partes le dieran otros efectos particulares a la forma en que pagan el precio estructurado con AIU. Por ejemplo, podrían incluir cláusulas o reglas bajo las cuales se estableciera que el valor de alguno o de todos los componentes de la Administración o los Imprevistos solo se pagan si el contratista demuestra que incurrió en algunos costos específicos. Así, podrían pactar que algunos de los ítems o costos que conforman los </w:t>
      </w:r>
      <w:r w:rsidRPr="004715CB">
        <w:rPr>
          <w:rFonts w:ascii="Century Gothic" w:eastAsia="Calibri" w:hAnsi="Century Gothic" w:cs="Arial"/>
          <w:bCs/>
          <w:i/>
          <w:iCs/>
          <w:szCs w:val="24"/>
          <w:lang w:val="es-ES_tradnl" w:eastAsia="es-ES_tradnl"/>
        </w:rPr>
        <w:t>Imprevistos</w:t>
      </w:r>
      <w:r w:rsidRPr="004715CB">
        <w:rPr>
          <w:rFonts w:ascii="Century Gothic" w:eastAsia="Calibri" w:hAnsi="Century Gothic" w:cs="Arial"/>
          <w:bCs/>
          <w:szCs w:val="24"/>
          <w:lang w:val="es-ES_tradnl" w:eastAsia="es-ES_tradnl"/>
        </w:rPr>
        <w:t xml:space="preserve"> solo se paguen si el contratista acredita que incurrió en ellos y bajo el monto que este logre demostrar.</w:t>
      </w:r>
    </w:p>
    <w:p w14:paraId="5D9A6A11" w14:textId="77777777" w:rsidR="00E72023" w:rsidRPr="004715CB" w:rsidRDefault="00E72023" w:rsidP="00E72023">
      <w:pPr>
        <w:spacing w:before="120" w:after="0" w:line="276" w:lineRule="auto"/>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ab/>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aleas normales que se presenten en la ejecución del contrato, de manera que, aunque el contratista incurra en: mayores costos de los ítems incluidos en el AIU al presentar su oferta, o que estos disminuyan, aparezcan algunos nuevos o desaparezcan algunos de ellos, el valor se mantenga invariable. De este modo, las partes optan por darle estabilidad al negocio, asumiendo cada una de ellas lo que </w:t>
      </w:r>
      <w:r w:rsidRPr="004715CB">
        <w:rPr>
          <w:rFonts w:ascii="Century Gothic" w:eastAsia="Calibri" w:hAnsi="Century Gothic" w:cs="Arial"/>
          <w:bCs/>
          <w:szCs w:val="24"/>
          <w:lang w:val="es-ES_tradnl" w:eastAsia="es-ES_tradnl"/>
        </w:rPr>
        <w:lastRenderedPageBreak/>
        <w:t xml:space="preserve">le favorezca o desfavorezca, lo que evita, además, incurrir en costos de transacción relacionados con la necesidad de acreditar y verificar cada costo específico asociado a alguno de los componentes del AIU, como los </w:t>
      </w:r>
      <w:r w:rsidRPr="004715CB">
        <w:rPr>
          <w:rFonts w:ascii="Century Gothic" w:eastAsia="Calibri" w:hAnsi="Century Gothic" w:cs="Arial"/>
          <w:bCs/>
          <w:i/>
          <w:iCs/>
          <w:szCs w:val="24"/>
          <w:lang w:val="es-ES_tradnl" w:eastAsia="es-ES_tradnl"/>
        </w:rPr>
        <w:t xml:space="preserve">Imprevistos, </w:t>
      </w:r>
      <w:r w:rsidRPr="004715CB">
        <w:rPr>
          <w:rFonts w:ascii="Century Gothic" w:eastAsia="Calibri" w:hAnsi="Century Gothic" w:cs="Arial"/>
          <w:bCs/>
          <w:szCs w:val="24"/>
          <w:lang w:val="es-ES_tradnl" w:eastAsia="es-ES_tradnl"/>
        </w:rPr>
        <w:t>por ejemplo, lo que generaría más gastos tanto para la entidad como para el contratista.</w:t>
      </w:r>
    </w:p>
    <w:p w14:paraId="07E4089D" w14:textId="77777777" w:rsidR="00E72023" w:rsidRPr="004715CB" w:rsidRDefault="00E72023" w:rsidP="00E72023">
      <w:pPr>
        <w:spacing w:before="120" w:after="0" w:line="276" w:lineRule="auto"/>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ab/>
        <w:t xml:space="preserve">En este sentido, cuando las entidades estatales incluyen esta forma de desglosar el precio, en los últimos términos indicados, al realizar el estudio de mercado elaboran un presupuesto estimado del valor de la ejecución del contrato. Dicho presupuesto estimado incluye los costos genéricos </w:t>
      </w:r>
      <w:r w:rsidRPr="004715CB">
        <w:rPr>
          <w:rFonts w:ascii="Century Gothic" w:eastAsia="Calibri" w:hAnsi="Century Gothic" w:cs="Arial"/>
          <w:bCs/>
          <w:i/>
          <w:iCs/>
          <w:szCs w:val="24"/>
          <w:lang w:val="es-ES_tradnl" w:eastAsia="es-ES_tradnl"/>
        </w:rPr>
        <w:t xml:space="preserve">indirectos </w:t>
      </w:r>
      <w:r w:rsidRPr="004715CB">
        <w:rPr>
          <w:rFonts w:ascii="Century Gothic" w:eastAsia="Calibri" w:hAnsi="Century Gothic" w:cs="Arial"/>
          <w:bCs/>
          <w:szCs w:val="24"/>
          <w:lang w:val="es-ES_tradnl" w:eastAsia="es-ES_tradnl"/>
        </w:rPr>
        <w:t xml:space="preserve">en que incurren los contratistas, entre ellos, los de los </w:t>
      </w:r>
      <w:r w:rsidRPr="004715CB">
        <w:rPr>
          <w:rFonts w:ascii="Century Gothic" w:eastAsia="Calibri" w:hAnsi="Century Gothic" w:cs="Arial"/>
          <w:bCs/>
          <w:i/>
          <w:iCs/>
          <w:szCs w:val="24"/>
          <w:lang w:val="es-ES_tradnl" w:eastAsia="es-ES_tradnl"/>
        </w:rPr>
        <w:t>Imprevistos</w:t>
      </w:r>
      <w:r w:rsidRPr="004715CB">
        <w:rPr>
          <w:rFonts w:ascii="Century Gothic" w:eastAsia="Calibri" w:hAnsi="Century Gothic" w:cs="Arial"/>
          <w:bCs/>
          <w:szCs w:val="24"/>
          <w:lang w:val="es-ES_tradnl" w:eastAsia="es-ES_tradnl"/>
        </w:rPr>
        <w:t>, para efectos de definir el porcentaje con el que calculan el presupuesto, pese a que el monto de este componente varía ostensiblemente de un proponente a otro, pues el valor real de cada uno de los componentes del AIU depende de circunstancias particulares de los proponentes</w:t>
      </w:r>
      <w:r w:rsidRPr="004715CB">
        <w:rPr>
          <w:rFonts w:ascii="Century Gothic" w:eastAsia="Calibri" w:hAnsi="Century Gothic" w:cs="Arial"/>
          <w:bCs/>
          <w:szCs w:val="24"/>
          <w:vertAlign w:val="superscript"/>
          <w:lang w:val="es-ES_tradnl" w:eastAsia="es-ES_tradnl"/>
        </w:rPr>
        <w:footnoteReference w:id="12"/>
      </w:r>
      <w:r w:rsidRPr="004715CB">
        <w:rPr>
          <w:rFonts w:ascii="Century Gothic" w:eastAsia="Calibri" w:hAnsi="Century Gothic" w:cs="Arial"/>
          <w:bCs/>
          <w:szCs w:val="24"/>
          <w:lang w:val="es-ES_tradnl" w:eastAsia="es-ES_tradnl"/>
        </w:rPr>
        <w:t xml:space="preserve">. </w:t>
      </w:r>
    </w:p>
    <w:p w14:paraId="522B1ADE"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a la entidad estatal, pues su contraparte no le podrá exigir un monto superior, bajo el argumento de que incurrió en costos adicionales asociados a alguno de los componentes del AIU</w:t>
      </w:r>
      <w:r w:rsidRPr="004715CB">
        <w:rPr>
          <w:rFonts w:ascii="Century Gothic" w:eastAsia="Calibri" w:hAnsi="Century Gothic" w:cs="Arial"/>
          <w:bCs/>
          <w:szCs w:val="24"/>
          <w:vertAlign w:val="superscript"/>
          <w:lang w:val="es-ES_tradnl" w:eastAsia="es-ES_tradnl"/>
        </w:rPr>
        <w:footnoteReference w:id="13"/>
      </w:r>
      <w:r w:rsidRPr="004715CB">
        <w:rPr>
          <w:rFonts w:ascii="Century Gothic" w:eastAsia="Calibri" w:hAnsi="Century Gothic" w:cs="Arial"/>
          <w:bCs/>
          <w:szCs w:val="24"/>
          <w:lang w:val="es-ES_tradnl" w:eastAsia="es-ES_tradnl"/>
        </w:rPr>
        <w:t xml:space="preserve">. </w:t>
      </w:r>
    </w:p>
    <w:p w14:paraId="5AB29A74"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lastRenderedPageBreak/>
        <w:t xml:space="preserve">Así las cosas, las entidades cuentan con discrecionalidad para establecer en el pliego de condiciones o en su documento equivalente, así como en el contrato, el sistema de precios unitarios y la figura del AIU. De este modo, teniendo en cuenta el concepto de AIU, ni la forma de calcularlo son aspectos que cuenten con una regulación normativa en materia contractual del Estado, la determinación de los componentes del AIU dependerá del análisis particular que realice la entidad en relación con el presupuesto estimado del valor de la ejecución del contrato que, a su vez, sirve de guía para que los proponentes formulen sus ofertas. </w:t>
      </w:r>
    </w:p>
    <w:p w14:paraId="10DC2BE3"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En conclusión, y para dar respuesta al objeto concreto de la consulta, cabe aclarar que el precio de todo contrato estatal, incluido el contrato de obra, es la contraprestación a que tiene derecho el contratista por ejecutar las prestaciones a que está obligado de manera oportuna y satisfactoria y, la forma de pago del mismo se regirá por lo pactado en el contrato, según y como se haya estructurado desde la etapa de planeación precontractual, previo análisis del sector y del mercado. Así, por lo general, cuando se pacta el pago del precio por el sistema de precios unitarios, se verifica las prestaciones ejecutadas, según las cantidades realizadas por el contratista y se procede al pago del precio equivalente, conforme a las tarifas unitarias definidas en el contrato, las cuales, por lo general,  incorporan el factor AIU predefinido en la oferta como un porcentaje del precio a título de costos indirectos, sin que sea necesario u obligatorio que se justifique la causación efectiva de cada uno de éstos costos del contratista. Todo lo anterior, sin perjuicio de que en el contrato se pacte alguna regla en especial al respecto, toda vez que, es un asunto sometido a la autonomía de las partes, cuya oportunidad y conveniencia se deberá justificar desde la etapa precontractual y depende del análisis que se realice en cada caso.</w:t>
      </w:r>
    </w:p>
    <w:p w14:paraId="698C4B79" w14:textId="77777777" w:rsidR="00E72023" w:rsidRPr="004715CB" w:rsidRDefault="00E72023" w:rsidP="00E72023">
      <w:pPr>
        <w:spacing w:after="0" w:line="276" w:lineRule="auto"/>
        <w:ind w:firstLine="709"/>
        <w:jc w:val="both"/>
        <w:rPr>
          <w:rFonts w:ascii="Century Gothic" w:eastAsia="Calibri" w:hAnsi="Century Gothic" w:cs="Arial"/>
          <w:szCs w:val="24"/>
          <w:lang w:val="es-ES_tradnl" w:eastAsia="es-ES_tradnl"/>
        </w:rPr>
      </w:pPr>
    </w:p>
    <w:p w14:paraId="46386102" w14:textId="77777777" w:rsidR="00E72023" w:rsidRPr="004715CB" w:rsidRDefault="00E72023" w:rsidP="00E72023">
      <w:pPr>
        <w:tabs>
          <w:tab w:val="left" w:pos="0"/>
        </w:tabs>
        <w:spacing w:after="0" w:line="276" w:lineRule="auto"/>
        <w:jc w:val="both"/>
        <w:rPr>
          <w:rFonts w:ascii="Century Gothic" w:eastAsia="Calibri" w:hAnsi="Century Gothic" w:cs="Arial"/>
          <w:b/>
          <w:color w:val="000000"/>
          <w:lang w:val="es-ES_tradnl"/>
        </w:rPr>
      </w:pPr>
      <w:r w:rsidRPr="004715CB">
        <w:rPr>
          <w:rFonts w:ascii="Century Gothic" w:eastAsia="Calibri" w:hAnsi="Century Gothic" w:cs="Arial"/>
          <w:b/>
          <w:color w:val="000000"/>
          <w:lang w:val="es-ES_tradnl"/>
        </w:rPr>
        <w:t>3. Respuesta</w:t>
      </w:r>
    </w:p>
    <w:p w14:paraId="7BEE73D2" w14:textId="77777777" w:rsidR="00E72023" w:rsidRPr="004715CB" w:rsidRDefault="00E72023" w:rsidP="00E72023">
      <w:pPr>
        <w:tabs>
          <w:tab w:val="left" w:pos="0"/>
        </w:tabs>
        <w:spacing w:after="0" w:line="276" w:lineRule="auto"/>
        <w:jc w:val="both"/>
        <w:rPr>
          <w:rFonts w:ascii="Century Gothic" w:eastAsia="Calibri" w:hAnsi="Century Gothic" w:cs="Arial"/>
          <w:b/>
          <w:color w:val="000000"/>
          <w:lang w:val="es-ES_tradnl"/>
        </w:rPr>
      </w:pPr>
    </w:p>
    <w:p w14:paraId="05DE474A" w14:textId="77777777" w:rsidR="00E72023" w:rsidRPr="004715CB" w:rsidRDefault="00E72023" w:rsidP="00E72023">
      <w:pPr>
        <w:spacing w:after="0" w:line="276" w:lineRule="auto"/>
        <w:ind w:left="709"/>
        <w:jc w:val="both"/>
        <w:rPr>
          <w:rFonts w:ascii="Century Gothic" w:eastAsia="Calibri" w:hAnsi="Century Gothic" w:cs="Arial"/>
          <w:bCs/>
        </w:rPr>
      </w:pPr>
      <w:r w:rsidRPr="004715CB">
        <w:rPr>
          <w:rFonts w:ascii="Century Gothic" w:eastAsia="Calibri" w:hAnsi="Century Gothic" w:cs="Arial"/>
          <w:bCs/>
        </w:rPr>
        <w:t>“En los contratos estatales de suministro, por ejemplo, suministro de mercados, que se rigen por Ley 80 de 1993 y también los que se rigen por derecho privado, ¿existe por ley o por jurisprudencia un límite para el porcentaje de utilidad del contratista y de ser así cuál. Es obligatorio que en estos casos la utilidad no supere el 5%”.</w:t>
      </w:r>
    </w:p>
    <w:p w14:paraId="3B618912" w14:textId="77777777" w:rsidR="00E72023" w:rsidRPr="004715CB" w:rsidRDefault="00E72023" w:rsidP="00E72023">
      <w:pPr>
        <w:autoSpaceDE w:val="0"/>
        <w:autoSpaceDN w:val="0"/>
        <w:adjustRightInd w:val="0"/>
        <w:spacing w:after="0" w:line="276" w:lineRule="auto"/>
        <w:ind w:right="709"/>
        <w:jc w:val="both"/>
        <w:rPr>
          <w:rFonts w:ascii="Century Gothic" w:eastAsia="Calibri" w:hAnsi="Century Gothic" w:cs="Arial"/>
          <w:sz w:val="21"/>
          <w:szCs w:val="21"/>
        </w:rPr>
      </w:pPr>
    </w:p>
    <w:p w14:paraId="27D4514E" w14:textId="36A5FFD2"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Pr>
          <w:rFonts w:ascii="Century Gothic" w:eastAsia="Calibri" w:hAnsi="Century Gothic" w:cs="Arial"/>
          <w:bCs/>
          <w:szCs w:val="24"/>
          <w:lang w:eastAsia="es-ES_tradnl"/>
        </w:rPr>
        <w:t>L</w:t>
      </w:r>
      <w:r w:rsidRPr="004715CB">
        <w:rPr>
          <w:rFonts w:ascii="Century Gothic" w:eastAsia="Calibri" w:hAnsi="Century Gothic" w:cs="Arial"/>
          <w:bCs/>
          <w:szCs w:val="24"/>
          <w:lang w:val="es-ES_tradnl" w:eastAsia="es-ES_tradnl"/>
        </w:rPr>
        <w:t xml:space="preserve">os contratos a Precios Unitarios están divididos en: 1) un componente de Costo directo (que se refiere a todos aquellos que están relacionados directamente con el objeto del contrato y 2) otro que corresponde a los costos Indirectos, esto es </w:t>
      </w:r>
      <w:r w:rsidRPr="004715CB">
        <w:rPr>
          <w:rFonts w:ascii="Century Gothic" w:eastAsia="Calibri" w:hAnsi="Century Gothic" w:cs="Arial"/>
          <w:bCs/>
          <w:szCs w:val="24"/>
          <w:lang w:val="es-ES_tradnl" w:eastAsia="es-ES_tradnl"/>
        </w:rPr>
        <w:lastRenderedPageBreak/>
        <w:t xml:space="preserve">el AIU, este concepto, generalmente se establece como un porcentaje del costo directo de la obra. </w:t>
      </w:r>
    </w:p>
    <w:p w14:paraId="173FE80B"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Los costos directos, son determinados a partir de los Análisis de Precios Unitarios (APU), que se hacen sobre cada ítem que hace parte del presupuesto, así como las cantidades que se demandan en cada proyecto y su unidad de medida, su valor total será la sumatoria de cada uno de estos ítems.</w:t>
      </w:r>
    </w:p>
    <w:p w14:paraId="09B5A526" w14:textId="241D3A00"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El porcentaje de AIU puede variar según la naturaleza del proyecto, su complejidad y otros factores relevantes, la Administración en general, por ejemplo</w:t>
      </w:r>
      <w:r w:rsidR="008B2A5A">
        <w:rPr>
          <w:rFonts w:ascii="Century Gothic" w:eastAsia="Calibri" w:hAnsi="Century Gothic" w:cs="Arial"/>
          <w:bCs/>
          <w:szCs w:val="24"/>
          <w:lang w:val="es-ES_tradnl" w:eastAsia="es-ES_tradnl"/>
        </w:rPr>
        <w:t>,</w:t>
      </w:r>
      <w:r w:rsidRPr="004715CB">
        <w:rPr>
          <w:rFonts w:ascii="Century Gothic" w:eastAsia="Calibri" w:hAnsi="Century Gothic" w:cs="Arial"/>
          <w:bCs/>
          <w:szCs w:val="24"/>
          <w:lang w:val="es-ES_tradnl" w:eastAsia="es-ES_tradnl"/>
        </w:rPr>
        <w:t xml:space="preserve"> la cantidad del </w:t>
      </w:r>
      <w:r w:rsidR="00676E7B">
        <w:rPr>
          <w:rFonts w:ascii="Century Gothic" w:eastAsia="Calibri" w:hAnsi="Century Gothic" w:cs="Arial"/>
          <w:bCs/>
          <w:szCs w:val="24"/>
          <w:lang w:val="es-ES_tradnl" w:eastAsia="es-ES_tradnl"/>
        </w:rPr>
        <w:t>r</w:t>
      </w:r>
      <w:r w:rsidRPr="004715CB">
        <w:rPr>
          <w:rFonts w:ascii="Century Gothic" w:eastAsia="Calibri" w:hAnsi="Century Gothic" w:cs="Arial"/>
          <w:bCs/>
          <w:szCs w:val="24"/>
          <w:lang w:val="es-ES_tradnl" w:eastAsia="es-ES_tradnl"/>
        </w:rPr>
        <w:t xml:space="preserve">ecurso humano, instalaciones, impuestos, gastos generales, aspectos que podrían considerarse como imprevistos y las ganancias del Contratista (Utilidad), entre otros. </w:t>
      </w:r>
    </w:p>
    <w:p w14:paraId="7F67EE84" w14:textId="107C7126"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En este sentido, no habría un límite específico establecido por ley para que cada oferente o proponente determine la utilidad en los contratos, igualmente es importante considerar la definición de Utilidad, para entender que esta, es una consideración particular del contratista o proveedor</w:t>
      </w:r>
    </w:p>
    <w:p w14:paraId="513644E6" w14:textId="77777777"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 xml:space="preserve">La utilidad contable, hace referencia al “beneficio o ganancia” que una empresa obtiene después de restar todos los gastos y costos de sus ingresos totales durante un período de tiempo específico, generalmente un año fiscal. También se conoce como utilidad neta o resultado neto. </w:t>
      </w:r>
    </w:p>
    <w:p w14:paraId="29FE0AA4" w14:textId="10F276A2" w:rsidR="00E72023" w:rsidRPr="004715CB" w:rsidRDefault="00E72023" w:rsidP="00E72023">
      <w:pPr>
        <w:spacing w:before="120" w:after="0" w:line="276" w:lineRule="auto"/>
        <w:ind w:firstLine="709"/>
        <w:jc w:val="both"/>
        <w:rPr>
          <w:rFonts w:ascii="Century Gothic" w:eastAsia="Calibri" w:hAnsi="Century Gothic" w:cs="Arial"/>
          <w:bCs/>
          <w:szCs w:val="24"/>
          <w:lang w:val="es-ES_tradnl" w:eastAsia="es-ES_tradnl"/>
        </w:rPr>
      </w:pPr>
      <w:r w:rsidRPr="004715CB">
        <w:rPr>
          <w:rFonts w:ascii="Century Gothic" w:eastAsia="Calibri" w:hAnsi="Century Gothic" w:cs="Arial"/>
          <w:bCs/>
          <w:szCs w:val="24"/>
          <w:lang w:val="es-ES_tradnl" w:eastAsia="es-ES_tradnl"/>
        </w:rPr>
        <w:t xml:space="preserve">En este sentido, el cálculo del AIU, obedece exclusivamente a un análisis detallado que </w:t>
      </w:r>
      <w:r w:rsidR="00F45C62">
        <w:rPr>
          <w:rFonts w:ascii="Century Gothic" w:eastAsia="Calibri" w:hAnsi="Century Gothic" w:cs="Arial"/>
          <w:bCs/>
          <w:szCs w:val="24"/>
          <w:lang w:val="es-ES_tradnl" w:eastAsia="es-ES_tradnl"/>
        </w:rPr>
        <w:t xml:space="preserve">hacen las Entidades Estatales de acuerdo con </w:t>
      </w:r>
      <w:r w:rsidR="00B61999">
        <w:rPr>
          <w:rFonts w:ascii="Century Gothic" w:eastAsia="Calibri" w:hAnsi="Century Gothic" w:cs="Arial"/>
          <w:bCs/>
          <w:szCs w:val="24"/>
          <w:lang w:val="es-ES_tradnl" w:eastAsia="es-ES_tradnl"/>
        </w:rPr>
        <w:t>el resultado del análisis del sector</w:t>
      </w:r>
      <w:r w:rsidRPr="004715CB">
        <w:rPr>
          <w:rFonts w:ascii="Century Gothic" w:eastAsia="Calibri" w:hAnsi="Century Gothic" w:cs="Arial"/>
          <w:bCs/>
          <w:szCs w:val="24"/>
          <w:lang w:val="es-ES_tradnl" w:eastAsia="es-ES_tradnl"/>
        </w:rPr>
        <w:t>, de acuerdo con las condiciones particulares del proyecto o negocio, así como basados en la experiencia que tienen y en términos de administración pública, adicionalmente en los principios de economía y transparencia.</w:t>
      </w:r>
    </w:p>
    <w:p w14:paraId="11EAFC50" w14:textId="77777777" w:rsidR="00E72023" w:rsidRPr="004715CB" w:rsidRDefault="00E72023" w:rsidP="00E72023">
      <w:pPr>
        <w:spacing w:after="0" w:line="276" w:lineRule="auto"/>
        <w:jc w:val="both"/>
        <w:rPr>
          <w:rFonts w:ascii="Century Gothic" w:eastAsia="Calibri" w:hAnsi="Century Gothic" w:cs="Arial"/>
          <w:lang w:val="es-MX"/>
        </w:rPr>
      </w:pPr>
    </w:p>
    <w:p w14:paraId="7EDE4E84" w14:textId="77777777" w:rsidR="00E72023" w:rsidRPr="004715CB" w:rsidRDefault="00E72023" w:rsidP="00E72023">
      <w:pPr>
        <w:widowControl w:val="0"/>
        <w:autoSpaceDE w:val="0"/>
        <w:autoSpaceDN w:val="0"/>
        <w:spacing w:line="276" w:lineRule="auto"/>
        <w:jc w:val="both"/>
        <w:rPr>
          <w:rFonts w:ascii="Century Gothic" w:eastAsia="Calibri" w:hAnsi="Century Gothic" w:cs="Arial"/>
          <w:lang w:val="es-ES_tradnl" w:bidi="es-ES"/>
        </w:rPr>
      </w:pPr>
      <w:r w:rsidRPr="004715CB">
        <w:rPr>
          <w:rFonts w:ascii="Century Gothic" w:eastAsia="Calibri" w:hAnsi="Century Gothic" w:cs="Arial"/>
          <w:color w:val="000000"/>
          <w:lang w:val="es-ES_tradnl"/>
        </w:rPr>
        <w:t>Este concepto tiene el alcance previsto en el artículo 28 del Código de Procedimiento Administrativo y de lo Contencioso Administrativo.</w:t>
      </w:r>
    </w:p>
    <w:p w14:paraId="31772CC5" w14:textId="77777777" w:rsidR="00E72023" w:rsidRPr="004715CB" w:rsidRDefault="00E72023" w:rsidP="00E72023">
      <w:pPr>
        <w:spacing w:before="120" w:line="276" w:lineRule="auto"/>
        <w:jc w:val="both"/>
        <w:rPr>
          <w:rFonts w:ascii="Century Gothic" w:eastAsia="Calibri" w:hAnsi="Century Gothic" w:cs="Arial"/>
          <w:color w:val="000000"/>
          <w:lang w:val="es-ES_tradnl"/>
        </w:rPr>
      </w:pPr>
    </w:p>
    <w:p w14:paraId="43FD3D22" w14:textId="77777777" w:rsidR="00E72023" w:rsidRPr="004715CB" w:rsidRDefault="00E72023" w:rsidP="00E72023">
      <w:pPr>
        <w:spacing w:after="0" w:line="276" w:lineRule="auto"/>
        <w:jc w:val="both"/>
        <w:rPr>
          <w:rFonts w:ascii="Century Gothic" w:eastAsia="Times New Roman" w:hAnsi="Century Gothic" w:cs="Arial"/>
          <w:color w:val="000000"/>
          <w:lang w:val="es-ES_tradnl" w:eastAsia="es-CO"/>
        </w:rPr>
      </w:pPr>
      <w:r w:rsidRPr="004715CB">
        <w:rPr>
          <w:rFonts w:ascii="Century Gothic" w:eastAsia="Times New Roman" w:hAnsi="Century Gothic" w:cs="Arial"/>
          <w:color w:val="000000"/>
          <w:lang w:val="es-ES_tradnl" w:eastAsia="es-CO"/>
        </w:rPr>
        <w:t>Atentamente,</w:t>
      </w:r>
    </w:p>
    <w:p w14:paraId="651F2AB3" w14:textId="77777777" w:rsidR="00E72023" w:rsidRPr="004715CB" w:rsidRDefault="00E72023" w:rsidP="00E72023">
      <w:pPr>
        <w:spacing w:after="0" w:line="276" w:lineRule="auto"/>
        <w:jc w:val="both"/>
        <w:rPr>
          <w:rFonts w:ascii="Century Gothic" w:eastAsia="Times New Roman" w:hAnsi="Century Gothic" w:cs="Arial"/>
          <w:color w:val="000000"/>
          <w:lang w:val="es-ES_tradnl" w:eastAsia="es-CO"/>
        </w:rPr>
      </w:pPr>
    </w:p>
    <w:p w14:paraId="77B5FDB3" w14:textId="004DF4C2" w:rsidR="00E72023" w:rsidRPr="004715CB" w:rsidRDefault="009B1466" w:rsidP="00E72023">
      <w:pPr>
        <w:spacing w:after="0" w:line="276" w:lineRule="auto"/>
        <w:jc w:val="center"/>
        <w:rPr>
          <w:rFonts w:ascii="Century Gothic" w:eastAsia="Times New Roman" w:hAnsi="Century Gothic" w:cs="Arial"/>
          <w:color w:val="000000"/>
          <w:lang w:val="es-ES_tradnl" w:eastAsia="es-CO"/>
        </w:rPr>
      </w:pPr>
      <w:r>
        <w:rPr>
          <w:rFonts w:ascii="Century Gothic" w:eastAsia="Times New Roman" w:hAnsi="Century Gothic" w:cs="Arial"/>
          <w:noProof/>
          <w:color w:val="000000"/>
          <w:lang w:val="es-ES_tradnl" w:eastAsia="es-CO"/>
        </w:rPr>
        <w:lastRenderedPageBreak/>
        <w:drawing>
          <wp:inline distT="0" distB="0" distL="0" distR="0" wp14:anchorId="49B36E99" wp14:editId="7EF3933A">
            <wp:extent cx="2800350" cy="1074455"/>
            <wp:effectExtent l="0" t="0" r="0" b="0"/>
            <wp:docPr id="17516444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44442" name="Imagen 1"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807035" cy="1077020"/>
                    </a:xfrm>
                    <a:prstGeom prst="rect">
                      <a:avLst/>
                    </a:prstGeom>
                  </pic:spPr>
                </pic:pic>
              </a:graphicData>
            </a:graphic>
          </wp:inline>
        </w:drawing>
      </w:r>
    </w:p>
    <w:p w14:paraId="1BD2B2B7" w14:textId="77777777" w:rsidR="00E72023" w:rsidRPr="004715CB" w:rsidRDefault="00E72023" w:rsidP="00E72023">
      <w:pPr>
        <w:spacing w:after="0" w:line="276" w:lineRule="auto"/>
        <w:jc w:val="center"/>
        <w:rPr>
          <w:rFonts w:ascii="Century Gothic" w:eastAsia="Times New Roman" w:hAnsi="Century Gothic" w:cs="Arial"/>
          <w:color w:val="000000"/>
          <w:lang w:val="es-ES_tradnl" w:eastAsia="es-CO"/>
        </w:rPr>
      </w:pPr>
    </w:p>
    <w:p w14:paraId="7D1EE587" w14:textId="77777777" w:rsidR="00E72023" w:rsidRPr="004715CB" w:rsidRDefault="00E72023" w:rsidP="00E72023">
      <w:pPr>
        <w:spacing w:after="0" w:line="240" w:lineRule="auto"/>
        <w:rPr>
          <w:rFonts w:ascii="Century Gothic" w:eastAsia="Times New Roman" w:hAnsi="Century Gothic"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815"/>
      </w:tblGrid>
      <w:tr w:rsidR="00E72023" w:rsidRPr="004541A8" w14:paraId="3E9B2E4A" w14:textId="77777777" w:rsidTr="1A458578">
        <w:trPr>
          <w:trHeight w:val="160"/>
        </w:trPr>
        <w:tc>
          <w:tcPr>
            <w:tcW w:w="855" w:type="dxa"/>
            <w:vAlign w:val="center"/>
            <w:hideMark/>
          </w:tcPr>
          <w:p w14:paraId="25585E16" w14:textId="77777777" w:rsidR="00E72023" w:rsidRPr="004541A8" w:rsidRDefault="00E72023" w:rsidP="006D238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Elaboró:</w:t>
            </w:r>
          </w:p>
        </w:tc>
        <w:tc>
          <w:tcPr>
            <w:tcW w:w="4815" w:type="dxa"/>
            <w:tcBorders>
              <w:top w:val="nil"/>
              <w:left w:val="nil"/>
              <w:bottom w:val="dotted" w:sz="4" w:space="0" w:color="7F7F7F" w:themeColor="text1" w:themeTint="80"/>
              <w:right w:val="nil"/>
            </w:tcBorders>
            <w:vAlign w:val="center"/>
            <w:hideMark/>
          </w:tcPr>
          <w:p w14:paraId="4A1E3727" w14:textId="77777777" w:rsidR="00E72023" w:rsidRPr="004541A8" w:rsidRDefault="00E72023" w:rsidP="006D238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Mariana Triana Ortiz</w:t>
            </w:r>
          </w:p>
          <w:p w14:paraId="04369FC0" w14:textId="77777777" w:rsidR="00E72023" w:rsidRPr="004541A8" w:rsidRDefault="00E72023" w:rsidP="006D238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Contratista de la Subdirección de Gestión Contractual</w:t>
            </w:r>
          </w:p>
        </w:tc>
      </w:tr>
      <w:tr w:rsidR="00E72023" w:rsidRPr="004541A8" w14:paraId="75AF556A" w14:textId="77777777" w:rsidTr="1A458578">
        <w:trPr>
          <w:trHeight w:val="70"/>
        </w:trPr>
        <w:tc>
          <w:tcPr>
            <w:tcW w:w="855" w:type="dxa"/>
            <w:vAlign w:val="center"/>
            <w:hideMark/>
          </w:tcPr>
          <w:p w14:paraId="624BA6CC" w14:textId="77777777" w:rsidR="00E72023" w:rsidRPr="004541A8" w:rsidRDefault="00E72023" w:rsidP="006D238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Revisó:</w:t>
            </w:r>
          </w:p>
        </w:tc>
        <w:tc>
          <w:tcPr>
            <w:tcW w:w="4815" w:type="dxa"/>
            <w:tcBorders>
              <w:top w:val="dotted" w:sz="4" w:space="0" w:color="7F7F7F" w:themeColor="text1" w:themeTint="80"/>
              <w:left w:val="nil"/>
              <w:bottom w:val="dotted" w:sz="4" w:space="0" w:color="7F7F7F" w:themeColor="text1" w:themeTint="80"/>
              <w:right w:val="nil"/>
            </w:tcBorders>
            <w:vAlign w:val="center"/>
            <w:hideMark/>
          </w:tcPr>
          <w:p w14:paraId="0B4AB8C1" w14:textId="77777777" w:rsidR="00E72023" w:rsidRPr="004541A8" w:rsidRDefault="00E72023" w:rsidP="006D2389">
            <w:pPr>
              <w:spacing w:line="276" w:lineRule="auto"/>
              <w:jc w:val="both"/>
              <w:rPr>
                <w:rFonts w:ascii="Century Gothic" w:hAnsi="Century Gothic" w:cs="Arial"/>
                <w:sz w:val="16"/>
                <w:szCs w:val="16"/>
                <w:lang w:val="es-ES" w:eastAsia="es-ES"/>
              </w:rPr>
            </w:pPr>
            <w:r>
              <w:rPr>
                <w:rFonts w:ascii="Century Gothic" w:hAnsi="Century Gothic" w:cs="Arial"/>
                <w:sz w:val="16"/>
                <w:szCs w:val="16"/>
                <w:lang w:val="es-ES" w:eastAsia="es-ES"/>
              </w:rPr>
              <w:t>Martha Alicia Romero Vargas</w:t>
            </w:r>
          </w:p>
          <w:p w14:paraId="4C9E7305" w14:textId="77777777" w:rsidR="00E72023" w:rsidRPr="004541A8" w:rsidRDefault="00E72023" w:rsidP="006D2389">
            <w:pPr>
              <w:rPr>
                <w:rFonts w:ascii="Century Gothic" w:hAnsi="Century Gothic" w:cs="Arial"/>
                <w:color w:val="000000"/>
                <w:sz w:val="16"/>
                <w:szCs w:val="16"/>
                <w:lang w:val="es-ES" w:eastAsia="es-ES"/>
              </w:rPr>
            </w:pPr>
            <w:r w:rsidRPr="004541A8">
              <w:rPr>
                <w:rFonts w:ascii="Century Gothic" w:hAnsi="Century Gothic" w:cs="Arial"/>
                <w:color w:val="000000"/>
                <w:sz w:val="16"/>
                <w:szCs w:val="16"/>
                <w:shd w:val="clear" w:color="auto" w:fill="FFFFFF"/>
              </w:rPr>
              <w:t>Gestor T1-15 de la </w:t>
            </w:r>
            <w:r w:rsidRPr="004541A8">
              <w:rPr>
                <w:rFonts w:ascii="Century Gothic" w:hAnsi="Century Gothic" w:cs="Arial"/>
                <w:color w:val="000000"/>
                <w:sz w:val="16"/>
                <w:szCs w:val="16"/>
                <w:lang w:val="es-ES" w:eastAsia="es-ES"/>
              </w:rPr>
              <w:t>Subdirección de Gestión Contractual</w:t>
            </w:r>
          </w:p>
        </w:tc>
      </w:tr>
      <w:tr w:rsidR="00E72023" w:rsidRPr="004541A8" w14:paraId="0B279EA8" w14:textId="77777777" w:rsidTr="1A458578">
        <w:trPr>
          <w:trHeight w:val="300"/>
        </w:trPr>
        <w:tc>
          <w:tcPr>
            <w:tcW w:w="855" w:type="dxa"/>
            <w:vAlign w:val="center"/>
            <w:hideMark/>
          </w:tcPr>
          <w:p w14:paraId="626CB21A" w14:textId="77777777" w:rsidR="00E72023" w:rsidRPr="004541A8" w:rsidRDefault="00E72023" w:rsidP="006D238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Aprobó:</w:t>
            </w:r>
          </w:p>
        </w:tc>
        <w:tc>
          <w:tcPr>
            <w:tcW w:w="4815" w:type="dxa"/>
            <w:tcBorders>
              <w:top w:val="dotted" w:sz="4" w:space="0" w:color="7F7F7F" w:themeColor="text1" w:themeTint="80"/>
              <w:left w:val="nil"/>
              <w:bottom w:val="dotted" w:sz="4" w:space="0" w:color="7F7F7F" w:themeColor="text1" w:themeTint="80"/>
              <w:right w:val="nil"/>
            </w:tcBorders>
            <w:vAlign w:val="center"/>
            <w:hideMark/>
          </w:tcPr>
          <w:p w14:paraId="7EF96D2D" w14:textId="77777777" w:rsidR="00E72023" w:rsidRPr="004541A8" w:rsidRDefault="00E72023" w:rsidP="006D238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Nohelia del Carmen Zawady Palacio</w:t>
            </w:r>
          </w:p>
          <w:p w14:paraId="41DE6077" w14:textId="77777777" w:rsidR="00E72023" w:rsidRPr="004541A8" w:rsidRDefault="00E72023" w:rsidP="006D2389">
            <w:pPr>
              <w:spacing w:line="276" w:lineRule="auto"/>
              <w:jc w:val="both"/>
              <w:rPr>
                <w:rFonts w:ascii="Century Gothic" w:hAnsi="Century Gothic" w:cs="Arial"/>
                <w:sz w:val="16"/>
                <w:szCs w:val="16"/>
                <w:lang w:val="es-ES_tradnl" w:eastAsia="es-ES"/>
              </w:rPr>
            </w:pPr>
            <w:r w:rsidRPr="004541A8">
              <w:rPr>
                <w:rFonts w:ascii="Century Gothic" w:hAnsi="Century Gothic" w:cs="Arial"/>
                <w:sz w:val="16"/>
                <w:szCs w:val="16"/>
                <w:lang w:val="es-ES_tradnl" w:eastAsia="es-ES"/>
              </w:rPr>
              <w:t xml:space="preserve">Subdirectora de Gestión Contractual </w:t>
            </w:r>
            <w:r w:rsidRPr="004541A8">
              <w:rPr>
                <w:rFonts w:ascii="Century Gothic" w:hAnsi="Century Gothic" w:cs="Arial"/>
                <w:sz w:val="16"/>
                <w:szCs w:val="16"/>
                <w:lang w:eastAsia="es-ES"/>
              </w:rPr>
              <w:t>ANCP – CCE</w:t>
            </w:r>
          </w:p>
        </w:tc>
      </w:tr>
      <w:bookmarkEnd w:id="0"/>
    </w:tbl>
    <w:p w14:paraId="0F293BF4" w14:textId="7BBFAB11" w:rsidR="00127233" w:rsidRPr="00322A85" w:rsidRDefault="00127233" w:rsidP="00665D70">
      <w:pPr>
        <w:spacing w:after="0"/>
        <w:jc w:val="both"/>
        <w:rPr>
          <w:rFonts w:ascii="Century Gothic" w:hAnsi="Century Gothic"/>
        </w:rPr>
      </w:pPr>
    </w:p>
    <w:sectPr w:rsidR="00127233" w:rsidRPr="00322A85"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FB5A9" w14:textId="77777777" w:rsidR="00AB2621" w:rsidRDefault="00AB2621" w:rsidP="004A1847">
      <w:pPr>
        <w:spacing w:after="0" w:line="240" w:lineRule="auto"/>
      </w:pPr>
      <w:r>
        <w:separator/>
      </w:r>
    </w:p>
  </w:endnote>
  <w:endnote w:type="continuationSeparator" w:id="0">
    <w:p w14:paraId="42339531" w14:textId="77777777" w:rsidR="00AB2621" w:rsidRDefault="00AB2621" w:rsidP="004A1847">
      <w:pPr>
        <w:spacing w:after="0" w:line="240" w:lineRule="auto"/>
      </w:pPr>
      <w:r>
        <w:continuationSeparator/>
      </w:r>
    </w:p>
  </w:endnote>
  <w:endnote w:type="continuationNotice" w:id="1">
    <w:p w14:paraId="292007D3" w14:textId="77777777" w:rsidR="00AB2621" w:rsidRDefault="00AB26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Picture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03865" w14:textId="77777777" w:rsidR="00AB2621" w:rsidRDefault="00AB2621" w:rsidP="004A1847">
      <w:pPr>
        <w:spacing w:after="0" w:line="240" w:lineRule="auto"/>
      </w:pPr>
      <w:r>
        <w:separator/>
      </w:r>
    </w:p>
  </w:footnote>
  <w:footnote w:type="continuationSeparator" w:id="0">
    <w:p w14:paraId="56B759E8" w14:textId="77777777" w:rsidR="00AB2621" w:rsidRDefault="00AB2621" w:rsidP="004A1847">
      <w:pPr>
        <w:spacing w:after="0" w:line="240" w:lineRule="auto"/>
      </w:pPr>
      <w:r>
        <w:continuationSeparator/>
      </w:r>
    </w:p>
  </w:footnote>
  <w:footnote w:type="continuationNotice" w:id="1">
    <w:p w14:paraId="6781522A" w14:textId="77777777" w:rsidR="00AB2621" w:rsidRDefault="00AB2621">
      <w:pPr>
        <w:spacing w:after="0" w:line="240" w:lineRule="auto"/>
      </w:pPr>
    </w:p>
  </w:footnote>
  <w:footnote w:id="2">
    <w:p w14:paraId="67904120" w14:textId="77777777" w:rsidR="00E72023" w:rsidRPr="008A218F" w:rsidRDefault="00E72023" w:rsidP="00E72023">
      <w:pPr>
        <w:pStyle w:val="Textonotapie"/>
        <w:ind w:firstLine="709"/>
        <w:jc w:val="both"/>
        <w:rPr>
          <w:rFonts w:ascii="Arial" w:eastAsia="Times New Roman" w:hAnsi="Arial" w:cs="Arial"/>
          <w:sz w:val="18"/>
          <w:szCs w:val="18"/>
          <w:lang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4715CB">
        <w:rPr>
          <w:rFonts w:ascii="Century Gothic" w:eastAsia="Times New Roman" w:hAnsi="Century Gothic" w:cs="Arial"/>
          <w:sz w:val="18"/>
          <w:szCs w:val="18"/>
          <w:lang w:eastAsia="es-ES_tradnl"/>
        </w:rPr>
        <w:t xml:space="preserve">Estos conceptos pueden ser consultados en la Relatoría de esta Agencia en el siguiente Link: </w:t>
      </w:r>
      <w:hyperlink r:id="rId1" w:history="1">
        <w:r w:rsidRPr="004715CB">
          <w:rPr>
            <w:rStyle w:val="Hipervnculo1"/>
            <w:rFonts w:ascii="Century Gothic" w:hAnsi="Century Gothic"/>
            <w:color w:val="auto"/>
            <w:sz w:val="18"/>
            <w:szCs w:val="18"/>
          </w:rPr>
          <w:t>https://relatoria.colombiacompra.gov.co/busqueda/conceptos</w:t>
        </w:r>
      </w:hyperlink>
    </w:p>
    <w:p w14:paraId="241F5725" w14:textId="77777777" w:rsidR="00E72023" w:rsidRPr="00F3607E" w:rsidRDefault="00E72023" w:rsidP="00E72023">
      <w:pPr>
        <w:pStyle w:val="Textonotapie"/>
        <w:ind w:firstLine="709"/>
        <w:jc w:val="both"/>
        <w:rPr>
          <w:rFonts w:ascii="Arial" w:hAnsi="Arial" w:cs="Arial"/>
          <w:sz w:val="18"/>
          <w:szCs w:val="18"/>
          <w:lang w:val="es-CO"/>
        </w:rPr>
      </w:pPr>
    </w:p>
  </w:footnote>
  <w:footnote w:id="3">
    <w:p w14:paraId="615EFD35" w14:textId="77777777" w:rsidR="00E72023" w:rsidRPr="004715CB" w:rsidRDefault="00E72023" w:rsidP="00E72023">
      <w:pPr>
        <w:pStyle w:val="Textonotapie"/>
        <w:spacing w:after="120"/>
        <w:ind w:firstLine="709"/>
        <w:jc w:val="both"/>
        <w:rPr>
          <w:rFonts w:ascii="Century Gothic" w:eastAsia="Calibri" w:hAnsi="Century Gothic" w:cs="Arial"/>
          <w:sz w:val="18"/>
          <w:szCs w:val="18"/>
          <w:lang w:val="es-ES_tradnl" w:eastAsia="es-ES_tradnl"/>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4715CB">
        <w:rPr>
          <w:rFonts w:ascii="Century Gothic" w:eastAsia="Calibri" w:hAnsi="Century Gothic" w:cs="Arial"/>
          <w:sz w:val="18"/>
          <w:szCs w:val="18"/>
          <w:lang w:val="es-ES_tradnl" w:eastAsia="es-ES_tradnl"/>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1424C122" w14:textId="77777777" w:rsidR="00E72023" w:rsidRPr="004715CB" w:rsidRDefault="00E72023" w:rsidP="00E72023">
      <w:pPr>
        <w:pStyle w:val="Textonotapie"/>
        <w:ind w:firstLine="709"/>
        <w:jc w:val="both"/>
        <w:rPr>
          <w:rFonts w:ascii="Century Gothic" w:hAnsi="Century Gothic" w:cs="Arial"/>
          <w:sz w:val="18"/>
          <w:szCs w:val="18"/>
          <w:lang w:val="es-ES"/>
        </w:rPr>
      </w:pPr>
      <w:r w:rsidRPr="004715CB">
        <w:rPr>
          <w:rFonts w:ascii="Century Gothic" w:eastAsia="Calibri" w:hAnsi="Century Gothic" w:cs="Arial"/>
          <w:sz w:val="18"/>
          <w:szCs w:val="18"/>
          <w:lang w:val="es-ES_tradnl" w:eastAsia="es-ES_tradnl"/>
        </w:rPr>
        <w:t>“Sin embargo, en otros negocios, como la obra pública, la concesión y la consultoría, el Estado está acostumbrado a que se desglosen intensamente los costos, exigiendo no sólo el precio total sino una distinción entre los costos directos y los costos indirectos.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ítems que componen el contrato–. Los costos indirectos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4">
    <w:p w14:paraId="6111F7E3" w14:textId="77777777" w:rsidR="00E72023" w:rsidRPr="004715CB" w:rsidRDefault="00E72023" w:rsidP="00E72023">
      <w:pPr>
        <w:pStyle w:val="Textonotapie"/>
        <w:ind w:firstLine="708"/>
        <w:jc w:val="both"/>
        <w:rPr>
          <w:rFonts w:ascii="Century Gothic" w:hAnsi="Century Gothic" w:cs="Arial"/>
          <w:sz w:val="18"/>
          <w:szCs w:val="18"/>
        </w:rPr>
      </w:pPr>
      <w:r w:rsidRPr="004715CB">
        <w:rPr>
          <w:rStyle w:val="Refdenotaalpie"/>
          <w:rFonts w:ascii="Century Gothic" w:hAnsi="Century Gothic" w:cs="Arial"/>
          <w:sz w:val="18"/>
          <w:szCs w:val="18"/>
        </w:rPr>
        <w:footnoteRef/>
      </w:r>
      <w:r w:rsidRPr="004715CB">
        <w:rPr>
          <w:rFonts w:ascii="Century Gothic" w:hAnsi="Century Gothic" w:cs="Arial"/>
          <w:sz w:val="18"/>
          <w:szCs w:val="18"/>
        </w:rPr>
        <w:t xml:space="preserve"> </w:t>
      </w:r>
      <w:r w:rsidRPr="004715CB">
        <w:rPr>
          <w:rFonts w:ascii="Century Gothic" w:eastAsia="Calibri" w:hAnsi="Century Gothic" w:cs="Arial"/>
          <w:sz w:val="18"/>
          <w:szCs w:val="18"/>
          <w:lang w:val="es-ES_tradnl" w:eastAsia="es-ES_tradnl"/>
        </w:rPr>
        <w:t>CONSEJO DE ESTADO. Sección Tercera. Subsección B. Sentencia del 29 de febrero de 2012. Exp. 16371, C.P. Danilo Rojas Betancourth.</w:t>
      </w:r>
    </w:p>
    <w:p w14:paraId="095FA4B2" w14:textId="77777777" w:rsidR="00E72023" w:rsidRPr="004715CB" w:rsidRDefault="00E72023" w:rsidP="00E72023">
      <w:pPr>
        <w:pStyle w:val="Textonotapie"/>
        <w:rPr>
          <w:rFonts w:ascii="Century Gothic" w:hAnsi="Century Gothic" w:cs="Arial"/>
          <w:sz w:val="18"/>
          <w:szCs w:val="18"/>
          <w:lang w:val="es-CO"/>
        </w:rPr>
      </w:pPr>
    </w:p>
  </w:footnote>
  <w:footnote w:id="5">
    <w:p w14:paraId="353E035A" w14:textId="77777777" w:rsidR="00E72023" w:rsidRPr="00F3607E" w:rsidRDefault="00E72023" w:rsidP="00E72023">
      <w:pPr>
        <w:pStyle w:val="Textonotapie"/>
        <w:ind w:firstLine="709"/>
        <w:jc w:val="both"/>
        <w:rPr>
          <w:rFonts w:ascii="Arial" w:hAnsi="Arial" w:cs="Arial"/>
          <w:sz w:val="18"/>
          <w:szCs w:val="18"/>
          <w:lang w:val="es-CO"/>
        </w:rPr>
      </w:pPr>
      <w:r w:rsidRPr="004715CB">
        <w:rPr>
          <w:rStyle w:val="Refdenotaalpie"/>
          <w:rFonts w:ascii="Century Gothic" w:hAnsi="Century Gothic" w:cs="Arial"/>
          <w:sz w:val="18"/>
          <w:szCs w:val="18"/>
        </w:rPr>
        <w:footnoteRef/>
      </w:r>
      <w:r w:rsidRPr="004715CB">
        <w:rPr>
          <w:rFonts w:ascii="Century Gothic" w:hAnsi="Century Gothic" w:cs="Arial"/>
          <w:sz w:val="18"/>
          <w:szCs w:val="18"/>
        </w:rPr>
        <w:t xml:space="preserve"> </w:t>
      </w:r>
      <w:r w:rsidRPr="004715CB">
        <w:rPr>
          <w:rFonts w:ascii="Century Gothic" w:eastAsia="Calibri" w:hAnsi="Century Gothic" w:cs="Arial"/>
          <w:sz w:val="18"/>
          <w:szCs w:val="18"/>
          <w:lang w:val="es-ES_tradnl" w:eastAsia="es-ES_tradnl"/>
        </w:rPr>
        <w:t>PINO RICCI, Jorge. El régimen jurídico de los contratos estatales. Universidad Externado de Colombia. Bogotá, 2005. pp. 416.</w:t>
      </w:r>
    </w:p>
  </w:footnote>
  <w:footnote w:id="6">
    <w:p w14:paraId="27136080" w14:textId="77777777" w:rsidR="00E72023" w:rsidRPr="004715CB" w:rsidRDefault="00E72023" w:rsidP="00E72023">
      <w:pPr>
        <w:pStyle w:val="Textonotapie"/>
        <w:ind w:firstLine="708"/>
        <w:jc w:val="both"/>
        <w:rPr>
          <w:rFonts w:ascii="Century Gothic" w:hAnsi="Century Gothic" w:cs="Arial"/>
          <w:sz w:val="18"/>
          <w:szCs w:val="18"/>
        </w:rPr>
      </w:pPr>
      <w:r w:rsidRPr="00F3607E">
        <w:rPr>
          <w:rStyle w:val="Refdenotaalpie"/>
          <w:rFonts w:ascii="Arial" w:hAnsi="Arial" w:cs="Arial"/>
          <w:sz w:val="18"/>
          <w:szCs w:val="18"/>
        </w:rPr>
        <w:footnoteRef/>
      </w:r>
      <w:r w:rsidRPr="00F3607E">
        <w:rPr>
          <w:rFonts w:ascii="Arial" w:hAnsi="Arial" w:cs="Arial"/>
          <w:sz w:val="18"/>
          <w:szCs w:val="18"/>
        </w:rPr>
        <w:t xml:space="preserve"> </w:t>
      </w:r>
      <w:r w:rsidRPr="004715CB">
        <w:rPr>
          <w:rFonts w:ascii="Century Gothic" w:eastAsia="Calibri" w:hAnsi="Century Gothic" w:cs="Arial"/>
          <w:sz w:val="18"/>
          <w:szCs w:val="18"/>
          <w:lang w:val="es-ES_tradnl" w:eastAsia="es-ES_tradnl"/>
        </w:rPr>
        <w:t>CONSEJO DE ESTADO. Sección Tercera. Subsección B. Sentencia del 14 de octubre de 2011. Exp. 20811, C.P. Ruth Stella Correa Palacio.</w:t>
      </w:r>
    </w:p>
    <w:p w14:paraId="2D69C8F2" w14:textId="77777777" w:rsidR="00E72023" w:rsidRPr="004715CB" w:rsidRDefault="00E72023" w:rsidP="00E72023">
      <w:pPr>
        <w:pStyle w:val="Textonotapie"/>
        <w:jc w:val="both"/>
        <w:rPr>
          <w:rFonts w:ascii="Century Gothic" w:hAnsi="Century Gothic" w:cs="Arial"/>
          <w:sz w:val="18"/>
          <w:szCs w:val="18"/>
          <w:lang w:val="es-ES"/>
        </w:rPr>
      </w:pPr>
    </w:p>
  </w:footnote>
  <w:footnote w:id="7">
    <w:p w14:paraId="4E4EB977" w14:textId="77777777" w:rsidR="00E72023" w:rsidRPr="004715CB" w:rsidRDefault="00E72023" w:rsidP="00E72023">
      <w:pPr>
        <w:pStyle w:val="Textonotapie"/>
        <w:ind w:firstLine="708"/>
        <w:jc w:val="both"/>
        <w:rPr>
          <w:rFonts w:ascii="Century Gothic" w:hAnsi="Century Gothic" w:cs="Arial"/>
          <w:sz w:val="18"/>
          <w:szCs w:val="18"/>
        </w:rPr>
      </w:pPr>
      <w:r w:rsidRPr="004715CB">
        <w:rPr>
          <w:rStyle w:val="Refdenotaalpie"/>
          <w:rFonts w:ascii="Century Gothic" w:hAnsi="Century Gothic" w:cs="Arial"/>
          <w:sz w:val="18"/>
          <w:szCs w:val="18"/>
        </w:rPr>
        <w:footnoteRef/>
      </w:r>
      <w:r w:rsidRPr="004715CB">
        <w:rPr>
          <w:rFonts w:ascii="Century Gothic" w:hAnsi="Century Gothic" w:cs="Arial"/>
          <w:sz w:val="18"/>
          <w:szCs w:val="18"/>
        </w:rPr>
        <w:t xml:space="preserve"> </w:t>
      </w:r>
      <w:r w:rsidRPr="004715CB">
        <w:rPr>
          <w:rFonts w:ascii="Century Gothic" w:eastAsia="Calibri" w:hAnsi="Century Gothic" w:cs="Arial"/>
          <w:sz w:val="18"/>
          <w:szCs w:val="18"/>
          <w:lang w:val="es-ES_tradnl" w:eastAsia="es-ES_tradnl"/>
        </w:rPr>
        <w:t>CONSEJO DE ESTADO. Sala de Consulta y Servicio Civil. Concepto del 5 de septiembre de 2018, radicado No. 11001-03-06-000-2018-00124-00 C.P. Édgar González López.</w:t>
      </w:r>
    </w:p>
    <w:p w14:paraId="3D2DE3FF" w14:textId="77777777" w:rsidR="00E72023" w:rsidRPr="00F3607E" w:rsidRDefault="00E72023" w:rsidP="00E72023">
      <w:pPr>
        <w:pStyle w:val="Textonotapie"/>
        <w:jc w:val="both"/>
        <w:rPr>
          <w:rFonts w:ascii="Arial" w:hAnsi="Arial" w:cs="Arial"/>
          <w:sz w:val="18"/>
          <w:szCs w:val="18"/>
          <w:lang w:val="es-ES"/>
        </w:rPr>
      </w:pPr>
    </w:p>
  </w:footnote>
  <w:footnote w:id="8">
    <w:p w14:paraId="24907858" w14:textId="77777777" w:rsidR="00E72023" w:rsidRPr="004715CB" w:rsidRDefault="00E72023" w:rsidP="00E72023">
      <w:pPr>
        <w:pStyle w:val="Textonotapie"/>
        <w:ind w:firstLine="708"/>
        <w:jc w:val="both"/>
        <w:rPr>
          <w:rFonts w:ascii="Century Gothic" w:eastAsia="Calibri" w:hAnsi="Century Gothic" w:cs="Arial"/>
          <w:sz w:val="18"/>
          <w:szCs w:val="18"/>
          <w:lang w:val="es-ES_tradnl" w:eastAsia="es-ES_tradnl"/>
        </w:rPr>
      </w:pPr>
      <w:r w:rsidRPr="004715CB">
        <w:rPr>
          <w:rFonts w:ascii="Century Gothic" w:eastAsia="Calibri" w:hAnsi="Century Gothic"/>
          <w:lang w:val="es-ES_tradnl" w:eastAsia="es-ES_tradnl"/>
        </w:rPr>
        <w:footnoteRef/>
      </w:r>
      <w:r w:rsidRPr="004715CB">
        <w:rPr>
          <w:rFonts w:ascii="Century Gothic" w:eastAsia="Calibri" w:hAnsi="Century Gothic" w:cs="Arial"/>
          <w:sz w:val="18"/>
          <w:szCs w:val="18"/>
          <w:lang w:val="es-ES_tradnl" w:eastAsia="es-ES_tradnl"/>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55657F1D" w14:textId="77777777" w:rsidR="00E72023" w:rsidRPr="004715CB" w:rsidRDefault="00E72023" w:rsidP="00E72023">
      <w:pPr>
        <w:pStyle w:val="Textonotapie"/>
        <w:ind w:firstLine="708"/>
        <w:jc w:val="both"/>
        <w:rPr>
          <w:rFonts w:ascii="Century Gothic" w:eastAsia="Calibri" w:hAnsi="Century Gothic" w:cs="Arial"/>
          <w:sz w:val="18"/>
          <w:szCs w:val="18"/>
          <w:lang w:val="es-ES_tradnl" w:eastAsia="es-ES_tradnl"/>
        </w:rPr>
      </w:pPr>
    </w:p>
  </w:footnote>
  <w:footnote w:id="9">
    <w:p w14:paraId="31CA6FC0" w14:textId="77777777" w:rsidR="00E72023" w:rsidRPr="004715CB" w:rsidRDefault="00E72023" w:rsidP="00E72023">
      <w:pPr>
        <w:pStyle w:val="Textonotapie"/>
        <w:ind w:firstLine="708"/>
        <w:jc w:val="both"/>
        <w:rPr>
          <w:rFonts w:ascii="Century Gothic" w:hAnsi="Century Gothic" w:cs="Arial"/>
          <w:sz w:val="18"/>
          <w:szCs w:val="18"/>
        </w:rPr>
      </w:pPr>
      <w:r w:rsidRPr="004715CB">
        <w:rPr>
          <w:rFonts w:ascii="Century Gothic" w:eastAsia="Calibri" w:hAnsi="Century Gothic"/>
          <w:lang w:val="es-ES_tradnl" w:eastAsia="es-ES_tradnl"/>
        </w:rPr>
        <w:footnoteRef/>
      </w:r>
      <w:r w:rsidRPr="004715CB">
        <w:rPr>
          <w:rFonts w:ascii="Century Gothic" w:eastAsia="Calibri" w:hAnsi="Century Gothic" w:cs="Arial"/>
          <w:sz w:val="18"/>
          <w:szCs w:val="18"/>
          <w:lang w:val="es-ES_tradnl" w:eastAsia="es-ES_tradnl"/>
        </w:rPr>
        <w:t xml:space="preserve"> “…la utilidad es el beneficio económico que pretende percibir el contratista por la ejecución del contrato y por costos de administración se han tenido como tales los que constituyen costos indirectos para la operación del</w:t>
      </w:r>
      <w:r w:rsidRPr="00F3607E">
        <w:rPr>
          <w:rFonts w:ascii="Arial" w:eastAsia="Calibri" w:hAnsi="Arial" w:cs="Arial"/>
          <w:sz w:val="18"/>
          <w:szCs w:val="18"/>
          <w:lang w:val="es-ES_tradnl" w:eastAsia="es-ES_tradnl"/>
        </w:rPr>
        <w:t xml:space="preserve"> </w:t>
      </w:r>
      <w:r w:rsidRPr="004715CB">
        <w:rPr>
          <w:rFonts w:ascii="Century Gothic" w:eastAsia="Calibri" w:hAnsi="Century Gothic" w:cs="Arial"/>
          <w:sz w:val="18"/>
          <w:szCs w:val="18"/>
          <w:lang w:val="es-ES_tradnl" w:eastAsia="es-ES_tradnl"/>
        </w:rPr>
        <w:t>contrato, tales como los gastos de disponibilidad de la organización del contratista; el porcentaje para imprevistos, como su nombre lo indica, está destinado a cubrir los gastos con los que no se contaba y que se presenten durante la ejecución del contrato” (Consejo de Estado. Sección Tercera. Consejero Ponente: Ramiro Saavedra Becerra. Sentencia del 28 de agosto de 2003. Radicado: 17.554).</w:t>
      </w:r>
      <w:r w:rsidRPr="004715CB">
        <w:rPr>
          <w:rFonts w:ascii="Century Gothic" w:hAnsi="Century Gothic" w:cs="Arial"/>
          <w:sz w:val="18"/>
          <w:szCs w:val="18"/>
        </w:rPr>
        <w:t xml:space="preserve"> </w:t>
      </w:r>
    </w:p>
    <w:p w14:paraId="3E2DE806" w14:textId="77777777" w:rsidR="00E72023" w:rsidRPr="004715CB" w:rsidRDefault="00E72023" w:rsidP="00E72023">
      <w:pPr>
        <w:pStyle w:val="Textonotapie"/>
        <w:ind w:firstLine="708"/>
        <w:jc w:val="both"/>
        <w:rPr>
          <w:rFonts w:ascii="Century Gothic" w:hAnsi="Century Gothic" w:cs="Arial"/>
          <w:sz w:val="18"/>
          <w:szCs w:val="18"/>
          <w:lang w:val="es-CO"/>
        </w:rPr>
      </w:pPr>
    </w:p>
  </w:footnote>
  <w:footnote w:id="10">
    <w:p w14:paraId="022B0EC4" w14:textId="77777777" w:rsidR="00E72023" w:rsidRPr="004715CB" w:rsidRDefault="00E72023" w:rsidP="00E72023">
      <w:pPr>
        <w:pStyle w:val="Textonotapie"/>
        <w:ind w:firstLine="709"/>
        <w:jc w:val="both"/>
        <w:rPr>
          <w:rFonts w:ascii="Century Gothic" w:eastAsia="Calibri" w:hAnsi="Century Gothic" w:cs="Arial"/>
          <w:sz w:val="18"/>
          <w:szCs w:val="18"/>
          <w:lang w:val="es-ES_tradnl" w:eastAsia="es-ES_tradnl"/>
        </w:rPr>
      </w:pPr>
      <w:r w:rsidRPr="004715CB">
        <w:rPr>
          <w:rStyle w:val="Refdenotaalpie"/>
          <w:rFonts w:ascii="Century Gothic" w:hAnsi="Century Gothic" w:cs="Arial"/>
          <w:sz w:val="18"/>
          <w:szCs w:val="18"/>
        </w:rPr>
        <w:footnoteRef/>
      </w:r>
      <w:r w:rsidRPr="004715CB">
        <w:rPr>
          <w:rFonts w:ascii="Century Gothic" w:hAnsi="Century Gothic" w:cs="Arial"/>
          <w:sz w:val="18"/>
          <w:szCs w:val="18"/>
        </w:rPr>
        <w:t xml:space="preserve"> </w:t>
      </w:r>
      <w:r w:rsidRPr="004715CB">
        <w:rPr>
          <w:rFonts w:ascii="Century Gothic" w:eastAsia="Calibri" w:hAnsi="Century Gothic" w:cs="Arial"/>
          <w:sz w:val="18"/>
          <w:szCs w:val="18"/>
          <w:lang w:val="es-ES_tradnl" w:eastAsia="es-ES_tradnl"/>
        </w:rPr>
        <w:t>MARÍN, Op. Cit., pp. 64-65.</w:t>
      </w:r>
    </w:p>
    <w:p w14:paraId="48E22DD9" w14:textId="77777777" w:rsidR="00E72023" w:rsidRPr="004715CB" w:rsidRDefault="00E72023" w:rsidP="00E72023">
      <w:pPr>
        <w:pStyle w:val="Textonotapie"/>
        <w:ind w:firstLine="709"/>
        <w:jc w:val="both"/>
        <w:rPr>
          <w:rFonts w:ascii="Century Gothic" w:hAnsi="Century Gothic" w:cs="Arial"/>
          <w:sz w:val="18"/>
          <w:szCs w:val="18"/>
          <w:lang w:val="es-ES"/>
        </w:rPr>
      </w:pPr>
    </w:p>
  </w:footnote>
  <w:footnote w:id="11">
    <w:p w14:paraId="2805C3F7" w14:textId="77777777" w:rsidR="00E72023" w:rsidRPr="00F3607E" w:rsidRDefault="00E72023" w:rsidP="00E72023">
      <w:pPr>
        <w:pStyle w:val="Textonotapie"/>
        <w:ind w:firstLine="709"/>
        <w:jc w:val="both"/>
        <w:rPr>
          <w:rFonts w:ascii="Arial" w:hAnsi="Arial" w:cs="Arial"/>
          <w:sz w:val="18"/>
          <w:szCs w:val="18"/>
          <w:lang w:val="es-ES"/>
        </w:rPr>
      </w:pPr>
      <w:r w:rsidRPr="004715CB">
        <w:rPr>
          <w:rStyle w:val="Refdenotaalpie"/>
          <w:rFonts w:ascii="Century Gothic" w:hAnsi="Century Gothic" w:cs="Arial"/>
          <w:sz w:val="18"/>
          <w:szCs w:val="18"/>
        </w:rPr>
        <w:footnoteRef/>
      </w:r>
      <w:r w:rsidRPr="004715CB">
        <w:rPr>
          <w:rFonts w:ascii="Century Gothic" w:hAnsi="Century Gothic" w:cs="Arial"/>
          <w:sz w:val="18"/>
          <w:szCs w:val="18"/>
        </w:rPr>
        <w:t xml:space="preserve"> </w:t>
      </w:r>
      <w:r w:rsidRPr="004715CB">
        <w:rPr>
          <w:rFonts w:ascii="Century Gothic" w:eastAsia="Calibri" w:hAnsi="Century Gothic" w:cs="Arial"/>
          <w:sz w:val="18"/>
          <w:szCs w:val="18"/>
          <w:lang w:val="es-ES_tradnl" w:eastAsia="es-ES_tradnl"/>
        </w:rPr>
        <w:t>Ibíd., p. 66.</w:t>
      </w:r>
    </w:p>
  </w:footnote>
  <w:footnote w:id="12">
    <w:p w14:paraId="003B94F4" w14:textId="77777777" w:rsidR="00E72023" w:rsidRPr="004715CB" w:rsidRDefault="00E72023" w:rsidP="00E72023">
      <w:pPr>
        <w:pStyle w:val="Textonotapie"/>
        <w:ind w:firstLine="708"/>
        <w:jc w:val="both"/>
        <w:rPr>
          <w:rFonts w:ascii="Century Gothic" w:hAnsi="Century Gothic" w:cs="Arial"/>
          <w:bCs/>
          <w:sz w:val="18"/>
          <w:szCs w:val="18"/>
          <w:lang w:val="es-ES_tradnl"/>
        </w:rPr>
      </w:pPr>
      <w:r w:rsidRPr="004715CB">
        <w:rPr>
          <w:rStyle w:val="Refdenotaalpie"/>
          <w:rFonts w:ascii="Century Gothic" w:hAnsi="Century Gothic" w:cs="Arial"/>
          <w:sz w:val="18"/>
          <w:szCs w:val="18"/>
        </w:rPr>
        <w:footnoteRef/>
      </w:r>
      <w:r w:rsidRPr="004715CB">
        <w:rPr>
          <w:rFonts w:ascii="Century Gothic" w:hAnsi="Century Gothic" w:cs="Arial"/>
          <w:sz w:val="18"/>
          <w:szCs w:val="18"/>
        </w:rPr>
        <w:t xml:space="preserve"> </w:t>
      </w:r>
      <w:r w:rsidRPr="004715CB">
        <w:rPr>
          <w:rFonts w:ascii="Century Gothic" w:eastAsia="Calibri" w:hAnsi="Century Gothic" w:cs="Arial"/>
          <w:sz w:val="18"/>
          <w:szCs w:val="18"/>
          <w:lang w:val="es-ES_tradnl" w:eastAsia="es-ES_tradnl"/>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(Ibíd, p. 76).</w:t>
      </w:r>
    </w:p>
    <w:p w14:paraId="08CE0D4A" w14:textId="77777777" w:rsidR="00E72023" w:rsidRPr="004715CB" w:rsidRDefault="00E72023" w:rsidP="00E72023">
      <w:pPr>
        <w:pStyle w:val="Textonotapie"/>
        <w:ind w:firstLine="708"/>
        <w:jc w:val="both"/>
        <w:rPr>
          <w:rFonts w:ascii="Century Gothic" w:hAnsi="Century Gothic" w:cs="Arial"/>
          <w:sz w:val="18"/>
          <w:szCs w:val="18"/>
          <w:lang w:val="es-CO"/>
        </w:rPr>
      </w:pPr>
    </w:p>
  </w:footnote>
  <w:footnote w:id="13">
    <w:p w14:paraId="63E08FA5" w14:textId="77777777" w:rsidR="00E72023" w:rsidRPr="004715CB" w:rsidRDefault="00E72023" w:rsidP="00E72023">
      <w:pPr>
        <w:pStyle w:val="Textonotapie"/>
        <w:ind w:firstLine="708"/>
        <w:jc w:val="both"/>
        <w:rPr>
          <w:rFonts w:ascii="Century Gothic" w:hAnsi="Century Gothic" w:cs="Arial"/>
          <w:sz w:val="18"/>
          <w:szCs w:val="18"/>
        </w:rPr>
      </w:pPr>
      <w:r w:rsidRPr="004715CB">
        <w:rPr>
          <w:rStyle w:val="Refdenotaalpie"/>
          <w:rFonts w:ascii="Century Gothic" w:hAnsi="Century Gothic" w:cs="Arial"/>
          <w:sz w:val="18"/>
          <w:szCs w:val="18"/>
        </w:rPr>
        <w:footnoteRef/>
      </w:r>
      <w:r w:rsidRPr="004715CB">
        <w:rPr>
          <w:rFonts w:ascii="Century Gothic" w:hAnsi="Century Gothic" w:cs="Arial"/>
          <w:sz w:val="18"/>
          <w:szCs w:val="18"/>
        </w:rPr>
        <w:t xml:space="preserve"> </w:t>
      </w:r>
      <w:r w:rsidRPr="004715CB">
        <w:rPr>
          <w:rFonts w:ascii="Century Gothic" w:eastAsia="Calibri" w:hAnsi="Century Gothic" w:cs="Arial"/>
          <w:sz w:val="18"/>
          <w:szCs w:val="18"/>
          <w:lang w:val="es-ES_tradnl" w:eastAsia="es-ES_tradnl"/>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p w14:paraId="38F3AB43" w14:textId="77777777" w:rsidR="00E72023" w:rsidRPr="00F3607E" w:rsidRDefault="00E72023" w:rsidP="00E72023">
      <w:pPr>
        <w:pStyle w:val="Textonotapie"/>
        <w:ind w:firstLine="708"/>
        <w:jc w:val="both"/>
        <w:rPr>
          <w:rFonts w:ascii="Arial" w:hAnsi="Arial"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Picture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Picture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77353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6486"/>
    <w:rsid w:val="00125105"/>
    <w:rsid w:val="00127233"/>
    <w:rsid w:val="001C4859"/>
    <w:rsid w:val="001E4177"/>
    <w:rsid w:val="001F7DC6"/>
    <w:rsid w:val="002421BB"/>
    <w:rsid w:val="002707A2"/>
    <w:rsid w:val="002951A0"/>
    <w:rsid w:val="002962BC"/>
    <w:rsid w:val="002A093D"/>
    <w:rsid w:val="002A0DD0"/>
    <w:rsid w:val="002A49AC"/>
    <w:rsid w:val="002A64FD"/>
    <w:rsid w:val="002C7A84"/>
    <w:rsid w:val="002E4FD9"/>
    <w:rsid w:val="00322A85"/>
    <w:rsid w:val="003448F4"/>
    <w:rsid w:val="00374F5E"/>
    <w:rsid w:val="00377E3E"/>
    <w:rsid w:val="003A779E"/>
    <w:rsid w:val="003D0F4D"/>
    <w:rsid w:val="003D5B0D"/>
    <w:rsid w:val="003E0499"/>
    <w:rsid w:val="003F3941"/>
    <w:rsid w:val="00406575"/>
    <w:rsid w:val="004263C1"/>
    <w:rsid w:val="0042722E"/>
    <w:rsid w:val="004A1847"/>
    <w:rsid w:val="004A305D"/>
    <w:rsid w:val="004F21C4"/>
    <w:rsid w:val="004F685F"/>
    <w:rsid w:val="005566E8"/>
    <w:rsid w:val="00574867"/>
    <w:rsid w:val="00591460"/>
    <w:rsid w:val="00597691"/>
    <w:rsid w:val="005A1407"/>
    <w:rsid w:val="005A2340"/>
    <w:rsid w:val="005C3777"/>
    <w:rsid w:val="005C5CDC"/>
    <w:rsid w:val="005D476C"/>
    <w:rsid w:val="006219F8"/>
    <w:rsid w:val="00665D70"/>
    <w:rsid w:val="00676E7B"/>
    <w:rsid w:val="0068765C"/>
    <w:rsid w:val="006900D9"/>
    <w:rsid w:val="00706C16"/>
    <w:rsid w:val="00722F61"/>
    <w:rsid w:val="00756841"/>
    <w:rsid w:val="007649AB"/>
    <w:rsid w:val="00771D0C"/>
    <w:rsid w:val="007833AC"/>
    <w:rsid w:val="007B268C"/>
    <w:rsid w:val="007B7171"/>
    <w:rsid w:val="007C3DC2"/>
    <w:rsid w:val="007E5497"/>
    <w:rsid w:val="0080143F"/>
    <w:rsid w:val="00806F5F"/>
    <w:rsid w:val="00820278"/>
    <w:rsid w:val="008843B6"/>
    <w:rsid w:val="00891928"/>
    <w:rsid w:val="008A446D"/>
    <w:rsid w:val="008B2A5A"/>
    <w:rsid w:val="008D180B"/>
    <w:rsid w:val="008F0EA7"/>
    <w:rsid w:val="00923EEF"/>
    <w:rsid w:val="009419F9"/>
    <w:rsid w:val="00961B09"/>
    <w:rsid w:val="00965334"/>
    <w:rsid w:val="0097093E"/>
    <w:rsid w:val="009B1466"/>
    <w:rsid w:val="009C71FA"/>
    <w:rsid w:val="009C72E7"/>
    <w:rsid w:val="009F3A13"/>
    <w:rsid w:val="00A122D3"/>
    <w:rsid w:val="00A17F13"/>
    <w:rsid w:val="00A20739"/>
    <w:rsid w:val="00A33C78"/>
    <w:rsid w:val="00AB02C6"/>
    <w:rsid w:val="00AB0ADB"/>
    <w:rsid w:val="00AB2621"/>
    <w:rsid w:val="00B61999"/>
    <w:rsid w:val="00B72CD3"/>
    <w:rsid w:val="00B72FFF"/>
    <w:rsid w:val="00BC3D36"/>
    <w:rsid w:val="00BD7F72"/>
    <w:rsid w:val="00BE6C6B"/>
    <w:rsid w:val="00C04FB3"/>
    <w:rsid w:val="00C330EB"/>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50AFE"/>
    <w:rsid w:val="00E72023"/>
    <w:rsid w:val="00E771DC"/>
    <w:rsid w:val="00E8772A"/>
    <w:rsid w:val="00E90F6B"/>
    <w:rsid w:val="00E92C27"/>
    <w:rsid w:val="00E97D30"/>
    <w:rsid w:val="00EA0E3D"/>
    <w:rsid w:val="00EE1AA8"/>
    <w:rsid w:val="00EF0274"/>
    <w:rsid w:val="00F31EDC"/>
    <w:rsid w:val="00F45C62"/>
    <w:rsid w:val="00F462B3"/>
    <w:rsid w:val="00F5664F"/>
    <w:rsid w:val="00F666C4"/>
    <w:rsid w:val="00F76AFC"/>
    <w:rsid w:val="00FB5DD1"/>
    <w:rsid w:val="00FC2B5D"/>
    <w:rsid w:val="00FF1449"/>
    <w:rsid w:val="1A45857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Hipervnculo1">
    <w:name w:val="Hipervínculo1"/>
    <w:basedOn w:val="Fuentedeprrafopredeter"/>
    <w:uiPriority w:val="99"/>
    <w:unhideWhenUsed/>
    <w:rsid w:val="00E72023"/>
    <w:rPr>
      <w:color w:val="F2F2F2"/>
      <w:u w:val="single"/>
    </w:rPr>
  </w:style>
  <w:style w:type="paragraph" w:customStyle="1" w:styleId="Appelnotedebasde">
    <w:name w:val="Appel note de bas de..."/>
    <w:basedOn w:val="Normal"/>
    <w:link w:val="Refdenotaalpie"/>
    <w:rsid w:val="00E7202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D25F6-C244-41F1-A4DA-E8D118C68C2A}">
  <ds:schemaRefs>
    <ds:schemaRef ds:uri="http://schemas.openxmlformats.org/officeDocument/2006/bibliography"/>
  </ds:schemaRefs>
</ds:datastoreItem>
</file>

<file path=customXml/itemProps2.xml><?xml version="1.0" encoding="utf-8"?>
<ds:datastoreItem xmlns:ds="http://schemas.openxmlformats.org/officeDocument/2006/customXml" ds:itemID="{CE5C0095-2E84-407E-B46F-ACCCB13B1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3751</Words>
  <Characters>20631</Characters>
  <Application>Microsoft Office Word</Application>
  <DocSecurity>0</DocSecurity>
  <Lines>171</Lines>
  <Paragraphs>48</Paragraphs>
  <ScaleCrop>false</ScaleCrop>
  <Company/>
  <LinksUpToDate>false</LinksUpToDate>
  <CharactersWithSpaces>24334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3</cp:revision>
  <cp:lastPrinted>2023-01-10T21:18:00Z</cp:lastPrinted>
  <dcterms:created xsi:type="dcterms:W3CDTF">2023-10-11T21:01:00Z</dcterms:created>
  <dcterms:modified xsi:type="dcterms:W3CDTF">2023-10-11T21:13:00Z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