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173C" w14:textId="77777777" w:rsidR="00DA0A6C" w:rsidRPr="00AC1284" w:rsidRDefault="00DA0A6C" w:rsidP="00DA0A6C">
      <w:pPr>
        <w:spacing w:after="0" w:line="240" w:lineRule="auto"/>
        <w:jc w:val="both"/>
        <w:rPr>
          <w:rFonts w:ascii="Verdana" w:eastAsia="Calibri" w:hAnsi="Verdana" w:cs="Arial"/>
          <w:b/>
          <w:bCs/>
          <w:lang w:val="es-MX"/>
        </w:rPr>
      </w:pPr>
      <w:bookmarkStart w:id="0" w:name="_Hlk143780582"/>
      <w:r w:rsidRPr="00AC1284">
        <w:rPr>
          <w:rFonts w:ascii="Verdana" w:eastAsia="Calibri" w:hAnsi="Verdana" w:cs="Arial"/>
          <w:b/>
          <w:bCs/>
          <w:lang w:val="es-MX"/>
        </w:rPr>
        <w:t xml:space="preserve">LEY DE EMPRENDIMIENTO – Ley 2069 de 2020 – Finalidad </w:t>
      </w:r>
    </w:p>
    <w:p w14:paraId="0F7D2C1F" w14:textId="77777777" w:rsidR="00DA0A6C" w:rsidRPr="00AC1284" w:rsidRDefault="00DA0A6C" w:rsidP="00DA0A6C">
      <w:pPr>
        <w:spacing w:after="0" w:line="240" w:lineRule="auto"/>
        <w:jc w:val="both"/>
        <w:rPr>
          <w:rFonts w:ascii="Verdana" w:eastAsia="Calibri" w:hAnsi="Verdana" w:cs="Arial"/>
          <w:b/>
          <w:bCs/>
          <w:sz w:val="20"/>
          <w:szCs w:val="20"/>
          <w:lang w:val="es-MX"/>
        </w:rPr>
      </w:pPr>
    </w:p>
    <w:p w14:paraId="50125423" w14:textId="26D87A1A" w:rsidR="00DA0A6C" w:rsidRPr="00AC1284" w:rsidRDefault="00DA0A6C" w:rsidP="00DA0A6C">
      <w:pPr>
        <w:spacing w:after="0" w:line="240" w:lineRule="auto"/>
        <w:jc w:val="both"/>
        <w:rPr>
          <w:rFonts w:ascii="Verdana" w:eastAsia="Calibri" w:hAnsi="Verdana" w:cs="Arial"/>
          <w:sz w:val="20"/>
          <w:szCs w:val="20"/>
          <w:lang w:val="es-MX"/>
        </w:rPr>
      </w:pPr>
      <w:r w:rsidRPr="00AC1284">
        <w:rPr>
          <w:rFonts w:ascii="Verdana" w:eastAsia="Calibri" w:hAnsi="Verdana" w:cs="Arial"/>
          <w:sz w:val="20"/>
          <w:szCs w:val="20"/>
          <w:lang w:val="es-MX"/>
        </w:rPr>
        <w:t xml:space="preserve">El 31 de diciembre de 2020 se promulgó la Ley 2069, </w:t>
      </w:r>
      <w:r w:rsidR="00AC1284">
        <w:rPr>
          <w:rFonts w:ascii="Verdana" w:eastAsia="Calibri" w:hAnsi="Verdana" w:cs="Arial"/>
          <w:sz w:val="20"/>
          <w:szCs w:val="20"/>
          <w:lang w:val="es-MX"/>
        </w:rPr>
        <w:t>“</w:t>
      </w:r>
      <w:r w:rsidRPr="00AC1284">
        <w:rPr>
          <w:rFonts w:ascii="Verdana" w:eastAsia="Calibri" w:hAnsi="Verdana" w:cs="Arial"/>
          <w:sz w:val="20"/>
          <w:szCs w:val="20"/>
          <w:lang w:val="es-MX"/>
        </w:rPr>
        <w:t>Por medio de la cual se impulsa el emprendimiento en Colombia</w:t>
      </w:r>
      <w:r w:rsidR="00F4486C">
        <w:rPr>
          <w:rFonts w:ascii="Verdana" w:eastAsia="Calibri" w:hAnsi="Verdana" w:cs="Arial"/>
          <w:sz w:val="20"/>
          <w:szCs w:val="20"/>
          <w:lang w:val="es-MX"/>
        </w:rPr>
        <w:t>”</w:t>
      </w:r>
      <w:r w:rsidRPr="00AC1284">
        <w:rPr>
          <w:rFonts w:ascii="Verdana" w:eastAsia="Calibri" w:hAnsi="Verdana" w:cs="Arial"/>
          <w:sz w:val="20"/>
          <w:szCs w:val="20"/>
          <w:lang w:val="es-MX"/>
        </w:rPr>
        <w:t xml:space="preserve">. De acuerdo con el artículo 84, </w:t>
      </w:r>
      <w:r w:rsidR="00F4486C">
        <w:rPr>
          <w:rFonts w:ascii="Verdana" w:eastAsia="Calibri" w:hAnsi="Verdana" w:cs="Arial"/>
          <w:sz w:val="20"/>
          <w:szCs w:val="20"/>
          <w:lang w:val="es-MX"/>
        </w:rPr>
        <w:t>“</w:t>
      </w:r>
      <w:r w:rsidRPr="00AC1284">
        <w:rPr>
          <w:rFonts w:ascii="Verdana" w:eastAsia="Calibri" w:hAnsi="Verdana" w:cs="Arial"/>
          <w:sz w:val="20"/>
          <w:szCs w:val="20"/>
          <w:lang w:val="es-MX"/>
        </w:rPr>
        <w:t>La presente Ley rige a partir del momento de su promulgación […]</w:t>
      </w:r>
      <w:r w:rsidR="00AC1284">
        <w:rPr>
          <w:rFonts w:ascii="Verdana" w:eastAsia="Calibri" w:hAnsi="Verdana" w:cs="Arial"/>
          <w:sz w:val="20"/>
          <w:szCs w:val="20"/>
          <w:lang w:val="es-MX"/>
        </w:rPr>
        <w:t>”</w:t>
      </w:r>
      <w:r w:rsidRPr="00AC1284">
        <w:rPr>
          <w:rFonts w:ascii="Verdana" w:eastAsia="Calibri" w:hAnsi="Verdana" w:cs="Arial"/>
          <w:sz w:val="20"/>
          <w:szCs w:val="20"/>
          <w:lang w:val="es-MX"/>
        </w:rPr>
        <w:t xml:space="preserve">,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w:t>
      </w:r>
      <w:r w:rsidR="00F4486C">
        <w:rPr>
          <w:rFonts w:ascii="Verdana" w:eastAsia="Calibri" w:hAnsi="Verdana" w:cs="Arial"/>
          <w:sz w:val="20"/>
          <w:szCs w:val="20"/>
          <w:lang w:val="es-MX"/>
        </w:rPr>
        <w:t>“</w:t>
      </w:r>
      <w:r w:rsidRPr="00AC1284">
        <w:rPr>
          <w:rFonts w:ascii="Verdana" w:eastAsia="Calibri" w:hAnsi="Verdana" w:cs="Arial"/>
          <w:sz w:val="20"/>
          <w:szCs w:val="20"/>
          <w:lang w:val="es-MX"/>
        </w:rPr>
        <w:t xml:space="preserve">tiene por objeto establecer un marco regulatorio que propicie el emprendimiento y el crecimiento, consolidación y sostenibilidad de las empresas, con el fin de aumentar el bienestar social y generar equidad». Esto, a partir de </w:t>
      </w:r>
      <w:r w:rsidR="00F4486C">
        <w:rPr>
          <w:rFonts w:ascii="Verdana" w:eastAsia="Calibri" w:hAnsi="Verdana" w:cs="Arial"/>
          <w:sz w:val="20"/>
          <w:szCs w:val="20"/>
          <w:lang w:val="es-MX"/>
        </w:rPr>
        <w:t>“</w:t>
      </w:r>
      <w:r w:rsidRPr="00AC1284">
        <w:rPr>
          <w:rFonts w:ascii="Verdana" w:eastAsia="Calibri" w:hAnsi="Verdana" w:cs="Arial"/>
          <w:sz w:val="20"/>
          <w:szCs w:val="20"/>
          <w:lang w:val="es-MX"/>
        </w:rPr>
        <w:t>[…] un enfoque regionalizado de acuerdo a las realidades socioeconómicas de cada región</w:t>
      </w:r>
      <w:r w:rsidR="00F4486C">
        <w:rPr>
          <w:rFonts w:ascii="Verdana" w:eastAsia="Calibri" w:hAnsi="Verdana" w:cs="Arial"/>
          <w:sz w:val="20"/>
          <w:szCs w:val="20"/>
          <w:lang w:val="es-MX"/>
        </w:rPr>
        <w:t>”</w:t>
      </w:r>
      <w:r w:rsidRPr="00AC1284">
        <w:rPr>
          <w:rFonts w:ascii="Verdana" w:eastAsia="Calibri" w:hAnsi="Verdana" w:cs="Arial"/>
          <w:sz w:val="20"/>
          <w:szCs w:val="20"/>
          <w:lang w:val="es-MX"/>
        </w:rPr>
        <w:t>.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6A32A95D" w14:textId="77777777" w:rsidR="00DA0A6C" w:rsidRPr="00AC1284" w:rsidRDefault="00DA0A6C" w:rsidP="00DA0A6C">
      <w:pPr>
        <w:spacing w:after="0" w:line="240" w:lineRule="auto"/>
        <w:jc w:val="both"/>
        <w:rPr>
          <w:rFonts w:ascii="Verdana" w:eastAsia="Calibri" w:hAnsi="Verdana" w:cs="Arial"/>
          <w:b/>
          <w:bCs/>
          <w:sz w:val="20"/>
          <w:szCs w:val="20"/>
          <w:lang w:val="es-MX"/>
        </w:rPr>
      </w:pPr>
    </w:p>
    <w:p w14:paraId="34984F25" w14:textId="77777777" w:rsidR="00DA0A6C" w:rsidRPr="00AC1284" w:rsidRDefault="00DA0A6C" w:rsidP="00DA0A6C">
      <w:pPr>
        <w:spacing w:after="0" w:line="240" w:lineRule="auto"/>
        <w:jc w:val="both"/>
        <w:rPr>
          <w:rFonts w:ascii="Verdana" w:eastAsia="Calibri" w:hAnsi="Verdana" w:cs="Arial"/>
          <w:b/>
          <w:bCs/>
          <w:lang w:val="es-MX"/>
        </w:rPr>
      </w:pPr>
      <w:r w:rsidRPr="00AC1284">
        <w:rPr>
          <w:rFonts w:ascii="Verdana" w:eastAsia="Calibri" w:hAnsi="Verdana" w:cs="Arial"/>
          <w:b/>
          <w:bCs/>
          <w:lang w:val="es-MX"/>
        </w:rPr>
        <w:t>LEY DE EMPRENDIMIENTO – Ley 2069 de 2020 – Artículo 32 – Criterios diferenciales – Emprendimientos de mujeres – Empresas de mujeres – Necesidad de reglamentación – Decreto 1860 de 2021</w:t>
      </w:r>
    </w:p>
    <w:p w14:paraId="522109AB" w14:textId="77777777" w:rsidR="00DA0A6C" w:rsidRPr="00AC1284" w:rsidRDefault="00DA0A6C" w:rsidP="00DA0A6C">
      <w:pPr>
        <w:spacing w:after="0" w:line="240" w:lineRule="auto"/>
        <w:jc w:val="both"/>
        <w:rPr>
          <w:rFonts w:ascii="Verdana" w:eastAsia="Calibri" w:hAnsi="Verdana" w:cs="Arial"/>
          <w:b/>
          <w:bCs/>
          <w:sz w:val="20"/>
          <w:szCs w:val="20"/>
          <w:lang w:val="es-MX"/>
        </w:rPr>
      </w:pPr>
    </w:p>
    <w:p w14:paraId="587CCD0C" w14:textId="5B0ADC3F" w:rsidR="00DA0A6C" w:rsidRPr="00AC1284" w:rsidRDefault="00DA0A6C" w:rsidP="00DA0A6C">
      <w:pPr>
        <w:spacing w:after="0" w:line="240" w:lineRule="auto"/>
        <w:jc w:val="both"/>
        <w:rPr>
          <w:rFonts w:ascii="Verdana" w:eastAsia="Calibri" w:hAnsi="Verdana" w:cs="Arial"/>
          <w:sz w:val="20"/>
          <w:szCs w:val="20"/>
          <w:lang w:val="es-MX"/>
        </w:rPr>
      </w:pPr>
      <w:r w:rsidRPr="00AC1284">
        <w:rPr>
          <w:rFonts w:ascii="Verdana" w:eastAsia="Calibri" w:hAnsi="Verdana" w:cs="Arial"/>
          <w:sz w:val="20"/>
          <w:szCs w:val="20"/>
          <w:lang w:val="es-MX"/>
        </w:rPr>
        <w:t xml:space="preserve">[…] el artículo 32 de la Ley 2069 de 2020 –al igual que el artículo 31– también se refiere a la necesidad del desarrollo normativo posterior. Al respecto, el parágrafo dispone que </w:t>
      </w:r>
      <w:r w:rsidR="000C1C0E">
        <w:rPr>
          <w:rFonts w:ascii="Verdana" w:eastAsia="Calibri" w:hAnsi="Verdana" w:cs="Arial"/>
          <w:sz w:val="20"/>
          <w:szCs w:val="20"/>
          <w:lang w:val="es-MX"/>
        </w:rPr>
        <w:t>“</w:t>
      </w:r>
      <w:r w:rsidRPr="00AC1284">
        <w:rPr>
          <w:rFonts w:ascii="Verdana" w:eastAsia="Calibri" w:hAnsi="Verdana" w:cs="Arial"/>
          <w:sz w:val="20"/>
          <w:szCs w:val="20"/>
          <w:lang w:val="es-MX"/>
        </w:rPr>
        <w:t xml:space="preserve">La definición de </w:t>
      </w:r>
      <w:r w:rsidR="00D07FE4">
        <w:rPr>
          <w:rFonts w:ascii="Verdana" w:eastAsia="Calibri" w:hAnsi="Verdana" w:cs="Arial"/>
          <w:sz w:val="20"/>
          <w:szCs w:val="20"/>
          <w:lang w:val="es-MX"/>
        </w:rPr>
        <w:t>E</w:t>
      </w:r>
      <w:r w:rsidRPr="00AC1284">
        <w:rPr>
          <w:rFonts w:ascii="Verdana" w:eastAsia="Calibri" w:hAnsi="Verdana" w:cs="Arial"/>
          <w:sz w:val="20"/>
          <w:szCs w:val="20"/>
          <w:lang w:val="es-MX"/>
        </w:rPr>
        <w:t xml:space="preserve">mprendimientos y </w:t>
      </w:r>
      <w:r w:rsidR="00D07FE4">
        <w:rPr>
          <w:rFonts w:ascii="Verdana" w:eastAsia="Calibri" w:hAnsi="Verdana" w:cs="Arial"/>
          <w:sz w:val="20"/>
          <w:szCs w:val="20"/>
          <w:lang w:val="es-MX"/>
        </w:rPr>
        <w:t>E</w:t>
      </w:r>
      <w:r w:rsidRPr="00AC1284">
        <w:rPr>
          <w:rFonts w:ascii="Verdana" w:eastAsia="Calibri" w:hAnsi="Verdana" w:cs="Arial"/>
          <w:sz w:val="20"/>
          <w:szCs w:val="20"/>
          <w:lang w:val="es-MX"/>
        </w:rPr>
        <w:t xml:space="preserve">mpresas de </w:t>
      </w:r>
      <w:r w:rsidR="00D07FE4">
        <w:rPr>
          <w:rFonts w:ascii="Verdana" w:eastAsia="Calibri" w:hAnsi="Verdana" w:cs="Arial"/>
          <w:sz w:val="20"/>
          <w:szCs w:val="20"/>
          <w:lang w:val="es-MX"/>
        </w:rPr>
        <w:t>M</w:t>
      </w:r>
      <w:r w:rsidRPr="00AC1284">
        <w:rPr>
          <w:rFonts w:ascii="Verdana" w:eastAsia="Calibri" w:hAnsi="Verdana" w:cs="Arial"/>
          <w:sz w:val="20"/>
          <w:szCs w:val="20"/>
          <w:lang w:val="es-MX"/>
        </w:rPr>
        <w:t>ujeres se reglamentará por el gobierno nacional</w:t>
      </w:r>
      <w:r w:rsidR="000C1C0E">
        <w:rPr>
          <w:rFonts w:ascii="Verdana" w:eastAsia="Calibri" w:hAnsi="Verdana" w:cs="Arial"/>
          <w:sz w:val="20"/>
          <w:szCs w:val="20"/>
          <w:lang w:val="es-MX"/>
        </w:rPr>
        <w:t>”</w:t>
      </w:r>
      <w:r w:rsidRPr="00AC1284">
        <w:rPr>
          <w:rFonts w:ascii="Verdana" w:eastAsia="Calibri" w:hAnsi="Verdana" w:cs="Arial"/>
          <w:sz w:val="20"/>
          <w:szCs w:val="20"/>
          <w:lang w:val="es-MX"/>
        </w:rPr>
        <w:t xml:space="preserve">.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En este contexto, el pasado 24 de diciembre, el gobierno nacional expidió el Decreto 1860 de 2021 </w:t>
      </w:r>
      <w:r w:rsidR="00A14F02">
        <w:rPr>
          <w:rFonts w:ascii="Verdana" w:eastAsia="Calibri" w:hAnsi="Verdana" w:cs="Arial"/>
          <w:sz w:val="20"/>
          <w:szCs w:val="20"/>
          <w:lang w:val="es-MX"/>
        </w:rPr>
        <w:t>“</w:t>
      </w:r>
      <w:r w:rsidRPr="00AC1284">
        <w:rPr>
          <w:rFonts w:ascii="Verdana" w:eastAsia="Calibri" w:hAnsi="Verdana" w:cs="Arial"/>
          <w:sz w:val="20"/>
          <w:szCs w:val="20"/>
          <w:lang w:val="es-MX"/>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A14F02">
        <w:rPr>
          <w:rFonts w:ascii="Verdana" w:eastAsia="Calibri" w:hAnsi="Verdana" w:cs="Arial"/>
          <w:sz w:val="20"/>
          <w:szCs w:val="20"/>
          <w:lang w:val="es-MX"/>
        </w:rPr>
        <w:t>”</w:t>
      </w:r>
      <w:r w:rsidRPr="00AC1284">
        <w:rPr>
          <w:rFonts w:ascii="Verdana" w:eastAsia="Calibri" w:hAnsi="Verdana" w:cs="Arial"/>
          <w:sz w:val="20"/>
          <w:szCs w:val="20"/>
          <w:lang w:val="es-MX"/>
        </w:rPr>
        <w:t xml:space="preserve">.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w:t>
      </w:r>
      <w:r w:rsidRPr="00AC1284">
        <w:rPr>
          <w:rFonts w:ascii="Verdana" w:eastAsia="Calibri" w:hAnsi="Verdana" w:cs="Arial"/>
          <w:sz w:val="20"/>
          <w:szCs w:val="20"/>
          <w:lang w:val="es-MX"/>
        </w:rPr>
        <w:lastRenderedPageBreak/>
        <w:t xml:space="preserve">normas adicionadas consagra la definición de </w:t>
      </w:r>
      <w:r w:rsidR="00A14F02">
        <w:rPr>
          <w:rFonts w:ascii="Verdana" w:eastAsia="Calibri" w:hAnsi="Verdana" w:cs="Arial"/>
          <w:sz w:val="20"/>
          <w:szCs w:val="20"/>
          <w:lang w:val="es-MX"/>
        </w:rPr>
        <w:t>E</w:t>
      </w:r>
      <w:r w:rsidRPr="00AC1284">
        <w:rPr>
          <w:rFonts w:ascii="Verdana" w:eastAsia="Calibri" w:hAnsi="Verdana" w:cs="Arial"/>
          <w:sz w:val="20"/>
          <w:szCs w:val="20"/>
          <w:lang w:val="es-MX"/>
        </w:rPr>
        <w:t xml:space="preserve">mprendimientos y </w:t>
      </w:r>
      <w:r w:rsidR="00A14F02">
        <w:rPr>
          <w:rFonts w:ascii="Verdana" w:eastAsia="Calibri" w:hAnsi="Verdana" w:cs="Arial"/>
          <w:sz w:val="20"/>
          <w:szCs w:val="20"/>
          <w:lang w:val="es-MX"/>
        </w:rPr>
        <w:t>E</w:t>
      </w:r>
      <w:r w:rsidRPr="00AC1284">
        <w:rPr>
          <w:rFonts w:ascii="Verdana" w:eastAsia="Calibri" w:hAnsi="Verdana" w:cs="Arial"/>
          <w:sz w:val="20"/>
          <w:szCs w:val="20"/>
          <w:lang w:val="es-MX"/>
        </w:rPr>
        <w:t xml:space="preserve">mpresas de </w:t>
      </w:r>
      <w:r w:rsidR="00A14F02">
        <w:rPr>
          <w:rFonts w:ascii="Verdana" w:eastAsia="Calibri" w:hAnsi="Verdana" w:cs="Arial"/>
          <w:sz w:val="20"/>
          <w:szCs w:val="20"/>
          <w:lang w:val="es-MX"/>
        </w:rPr>
        <w:t>M</w:t>
      </w:r>
      <w:r w:rsidRPr="00AC1284">
        <w:rPr>
          <w:rFonts w:ascii="Verdana" w:eastAsia="Calibri" w:hAnsi="Verdana" w:cs="Arial"/>
          <w:sz w:val="20"/>
          <w:szCs w:val="20"/>
          <w:lang w:val="es-MX"/>
        </w:rPr>
        <w:t xml:space="preserve">ujeres, mientras que la segunda establece los criterios diferenciales y regula su aplicación. </w:t>
      </w:r>
    </w:p>
    <w:p w14:paraId="46D31CBA" w14:textId="77777777" w:rsidR="00DA0A6C" w:rsidRPr="00AC1284" w:rsidRDefault="00DA0A6C" w:rsidP="00DA0A6C">
      <w:pPr>
        <w:spacing w:after="0" w:line="240" w:lineRule="auto"/>
        <w:jc w:val="both"/>
        <w:rPr>
          <w:rFonts w:ascii="Verdana" w:eastAsia="Calibri" w:hAnsi="Verdana" w:cs="Arial"/>
          <w:b/>
          <w:bCs/>
          <w:sz w:val="20"/>
          <w:szCs w:val="20"/>
          <w:lang w:val="es-MX"/>
        </w:rPr>
      </w:pPr>
    </w:p>
    <w:p w14:paraId="2C01DD78" w14:textId="77777777" w:rsidR="00DA0A6C" w:rsidRPr="00AC1284" w:rsidRDefault="00DA0A6C" w:rsidP="00DA0A6C">
      <w:pPr>
        <w:spacing w:after="0" w:line="240" w:lineRule="auto"/>
        <w:jc w:val="both"/>
        <w:rPr>
          <w:rFonts w:ascii="Verdana" w:eastAsia="Calibri" w:hAnsi="Verdana" w:cs="Arial"/>
          <w:b/>
          <w:bCs/>
          <w:lang w:val="es-MX"/>
        </w:rPr>
      </w:pPr>
      <w:r w:rsidRPr="00AC1284">
        <w:rPr>
          <w:rFonts w:ascii="Verdana" w:eastAsia="Calibri" w:hAnsi="Verdana" w:cs="Arial"/>
          <w:b/>
          <w:bCs/>
          <w:lang w:val="es-MX"/>
        </w:rPr>
        <w:t>DECRETO 1860 DE 2021 – Emprendimientos y empresas de mujeres – Definición – Artículo 2.2.1.2.4.2.14 – Numeral 3 – Persona natural</w:t>
      </w:r>
    </w:p>
    <w:p w14:paraId="5E9A0C86" w14:textId="77777777" w:rsidR="00DA0A6C" w:rsidRPr="00AC1284" w:rsidRDefault="00DA0A6C" w:rsidP="00DA0A6C">
      <w:pPr>
        <w:spacing w:after="0" w:line="240" w:lineRule="auto"/>
        <w:jc w:val="both"/>
        <w:rPr>
          <w:rFonts w:ascii="Verdana" w:eastAsia="Calibri" w:hAnsi="Verdana" w:cs="Arial"/>
          <w:b/>
          <w:bCs/>
          <w:sz w:val="20"/>
          <w:szCs w:val="20"/>
          <w:lang w:val="es-MX"/>
        </w:rPr>
      </w:pPr>
    </w:p>
    <w:p w14:paraId="08534137" w14:textId="77777777" w:rsidR="00AC1284" w:rsidRPr="00AC1284" w:rsidRDefault="00DA0A6C" w:rsidP="00AC1284">
      <w:pPr>
        <w:spacing w:after="0" w:line="240" w:lineRule="auto"/>
        <w:jc w:val="both"/>
        <w:rPr>
          <w:rFonts w:ascii="Verdana" w:eastAsia="Calibri" w:hAnsi="Verdana" w:cs="Arial"/>
          <w:sz w:val="20"/>
          <w:szCs w:val="20"/>
          <w:lang w:val="es-MX"/>
        </w:rPr>
      </w:pPr>
      <w:r w:rsidRPr="00AC1284">
        <w:rPr>
          <w:rFonts w:ascii="Verdana" w:eastAsia="Calibri" w:hAnsi="Verdana" w:cs="Arial"/>
          <w:sz w:val="20"/>
          <w:szCs w:val="20"/>
          <w:lang w:val="es-MX"/>
        </w:rPr>
        <w:t xml:space="preserve">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0F72F24E" w14:textId="77777777" w:rsidR="00AC1284" w:rsidRPr="00AC1284" w:rsidRDefault="00AC1284" w:rsidP="00AC1284">
      <w:pPr>
        <w:spacing w:after="0" w:line="240" w:lineRule="auto"/>
        <w:jc w:val="both"/>
        <w:rPr>
          <w:rFonts w:ascii="Verdana" w:eastAsia="Calibri" w:hAnsi="Verdana" w:cs="Arial"/>
          <w:sz w:val="20"/>
          <w:szCs w:val="20"/>
          <w:lang w:val="es-MX"/>
        </w:rPr>
      </w:pPr>
    </w:p>
    <w:p w14:paraId="4C34AB4E" w14:textId="7CF99FC3" w:rsidR="00DA0A6C" w:rsidRPr="00AC1284" w:rsidRDefault="00DA0A6C" w:rsidP="00AC1284">
      <w:pPr>
        <w:spacing w:after="0" w:line="240" w:lineRule="auto"/>
        <w:jc w:val="both"/>
        <w:rPr>
          <w:rFonts w:ascii="Verdana" w:eastAsia="Calibri" w:hAnsi="Verdana" w:cs="Arial"/>
          <w:sz w:val="20"/>
          <w:szCs w:val="20"/>
          <w:lang w:val="es-MX"/>
        </w:rPr>
      </w:pPr>
      <w:r w:rsidRPr="00AC1284">
        <w:rPr>
          <w:rFonts w:ascii="Verdana" w:eastAsia="Calibri" w:hAnsi="Verdana" w:cs="Arial"/>
          <w:sz w:val="20"/>
          <w:szCs w:val="20"/>
          <w:lang w:val="es-MX"/>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 artículo 2.2.1.2.4.2.14. del Decreto 1082 de 2015 – deja por fuera a aquellas mujeres que no hayan ejercido actividades comerciales a través de un establecimiento de comercio y/o que no cumplan con el requerimiento del tiempo mínimo de un año de ejercicio de las actividades.  </w:t>
      </w:r>
    </w:p>
    <w:p w14:paraId="1EA6AA99" w14:textId="77777777" w:rsidR="00AC1284" w:rsidRPr="00AC1284" w:rsidRDefault="00AC1284" w:rsidP="00AC1284">
      <w:pPr>
        <w:spacing w:after="0" w:line="240" w:lineRule="auto"/>
        <w:jc w:val="both"/>
        <w:rPr>
          <w:rFonts w:ascii="Verdana" w:eastAsia="Calibri" w:hAnsi="Verdana" w:cs="Arial"/>
          <w:sz w:val="20"/>
          <w:szCs w:val="20"/>
          <w:lang w:val="es-MX"/>
        </w:rPr>
      </w:pPr>
    </w:p>
    <w:p w14:paraId="1B9CBF22" w14:textId="77777777" w:rsidR="00DA0A6C" w:rsidRPr="00AC1284" w:rsidRDefault="00DA0A6C" w:rsidP="00DA0A6C">
      <w:pPr>
        <w:spacing w:line="240" w:lineRule="auto"/>
        <w:jc w:val="both"/>
        <w:rPr>
          <w:rFonts w:ascii="Verdana" w:eastAsia="Calibri" w:hAnsi="Verdana" w:cs="Arial"/>
          <w:b/>
          <w:bCs/>
          <w:lang w:val="es-ES"/>
        </w:rPr>
      </w:pPr>
      <w:r w:rsidRPr="00AC1284">
        <w:rPr>
          <w:rFonts w:ascii="Verdana" w:eastAsia="Calibri" w:hAnsi="Verdana" w:cs="Arial"/>
          <w:b/>
          <w:bCs/>
          <w:lang w:val="es-ES"/>
        </w:rPr>
        <w:t>EMPRENDIMIENTOS Y EMPRESAS DE MUJERES – Definición – Artículo 2.2.1.2.4.2.14 – Numeral 3 – Persona natural – Registro mercantil</w:t>
      </w:r>
    </w:p>
    <w:p w14:paraId="675D2F20" w14:textId="58B3A799" w:rsidR="00DA0A6C" w:rsidRPr="00AC1284" w:rsidRDefault="00DA0A6C" w:rsidP="00DA0A6C">
      <w:pPr>
        <w:spacing w:after="0" w:line="240" w:lineRule="auto"/>
        <w:jc w:val="both"/>
        <w:rPr>
          <w:rFonts w:ascii="Verdana" w:eastAsia="Calibri" w:hAnsi="Verdana" w:cs="Arial"/>
          <w:sz w:val="20"/>
          <w:szCs w:val="20"/>
          <w:lang w:val="es-MX"/>
        </w:rPr>
      </w:pPr>
      <w:r w:rsidRPr="00AC1284">
        <w:rPr>
          <w:rFonts w:ascii="Verdana" w:eastAsia="Calibri" w:hAnsi="Verdana" w:cs="Arial"/>
          <w:sz w:val="20"/>
          <w:szCs w:val="20"/>
          <w:lang w:val="es-MX"/>
        </w:rPr>
        <w:t xml:space="preserve">De esta manera, se concluye que el numeral tercero del artículo 2.2.1.2.4.2.14 del Decreto 1082 de 2015 –adicionado por el artículo 3 del Decreto del Decreto 1860 de 2022– para definir los </w:t>
      </w:r>
      <w:r w:rsidR="006A271A">
        <w:rPr>
          <w:rFonts w:ascii="Verdana" w:eastAsia="Calibri" w:hAnsi="Verdana" w:cs="Arial"/>
          <w:sz w:val="20"/>
          <w:szCs w:val="20"/>
          <w:lang w:val="es-MX"/>
        </w:rPr>
        <w:t>E</w:t>
      </w:r>
      <w:r w:rsidRPr="00AC1284">
        <w:rPr>
          <w:rFonts w:ascii="Verdana" w:eastAsia="Calibri" w:hAnsi="Verdana" w:cs="Arial"/>
          <w:sz w:val="20"/>
          <w:szCs w:val="20"/>
          <w:lang w:val="es-MX"/>
        </w:rPr>
        <w:t xml:space="preserve">mprendimientos y </w:t>
      </w:r>
      <w:r w:rsidR="006A271A">
        <w:rPr>
          <w:rFonts w:ascii="Verdana" w:eastAsia="Calibri" w:hAnsi="Verdana" w:cs="Arial"/>
          <w:sz w:val="20"/>
          <w:szCs w:val="20"/>
          <w:lang w:val="es-MX"/>
        </w:rPr>
        <w:t>E</w:t>
      </w:r>
      <w:r w:rsidRPr="00AC1284">
        <w:rPr>
          <w:rFonts w:ascii="Verdana" w:eastAsia="Calibri" w:hAnsi="Verdana" w:cs="Arial"/>
          <w:sz w:val="20"/>
          <w:szCs w:val="20"/>
          <w:lang w:val="es-MX"/>
        </w:rPr>
        <w:t xml:space="preserve">mpresas de </w:t>
      </w:r>
      <w:r w:rsidR="006A271A">
        <w:rPr>
          <w:rFonts w:ascii="Verdana" w:eastAsia="Calibri" w:hAnsi="Verdana" w:cs="Arial"/>
          <w:sz w:val="20"/>
          <w:szCs w:val="20"/>
          <w:lang w:val="es-MX"/>
        </w:rPr>
        <w:t>M</w:t>
      </w:r>
      <w:r w:rsidRPr="00AC1284">
        <w:rPr>
          <w:rFonts w:ascii="Verdana" w:eastAsia="Calibri" w:hAnsi="Verdana" w:cs="Arial"/>
          <w:sz w:val="20"/>
          <w:szCs w:val="20"/>
          <w:lang w:val="es-MX"/>
        </w:rPr>
        <w:t>ujeres, en el caso de las personas naturales, parte del ejercicio de una actividad comercial y, de acuerdo con el análisis normativo realizado, esta se desarrolla a través de un establecimiento de comercio, el cual debe estar matriculado en el registro mercantil.  Así las cosas, es necesario que la persona natural que realiza actividades de comercio a través de un establecimiento acredite dicho registro de acuerdo con lo dispuesto por la ley comercial.</w:t>
      </w:r>
    </w:p>
    <w:p w14:paraId="7CE5CC2B" w14:textId="77777777" w:rsidR="00DA0A6C" w:rsidRPr="00AC1284" w:rsidRDefault="00DA0A6C" w:rsidP="00DA0A6C">
      <w:pPr>
        <w:spacing w:after="0" w:line="240" w:lineRule="auto"/>
        <w:jc w:val="both"/>
        <w:rPr>
          <w:rFonts w:ascii="Verdana" w:eastAsia="Calibri" w:hAnsi="Verdana" w:cs="Arial"/>
          <w:sz w:val="20"/>
          <w:szCs w:val="20"/>
          <w:lang w:val="es-MX"/>
        </w:rPr>
      </w:pPr>
    </w:p>
    <w:p w14:paraId="16D67CE4" w14:textId="77777777" w:rsidR="00DA0A6C" w:rsidRPr="00AC1284" w:rsidRDefault="00DA0A6C" w:rsidP="00DA0A6C">
      <w:pPr>
        <w:spacing w:after="0" w:line="240" w:lineRule="auto"/>
        <w:jc w:val="both"/>
        <w:rPr>
          <w:rFonts w:ascii="Verdana" w:eastAsia="Calibri" w:hAnsi="Verdana" w:cs="Arial"/>
          <w:sz w:val="20"/>
          <w:szCs w:val="20"/>
          <w:lang w:val="es-MX"/>
        </w:rPr>
      </w:pPr>
      <w:r w:rsidRPr="00AC1284">
        <w:rPr>
          <w:rFonts w:ascii="Verdana" w:eastAsia="Calibri" w:hAnsi="Verdana" w:cs="Arial"/>
          <w:sz w:val="20"/>
          <w:szCs w:val="20"/>
          <w:lang w:val="es-MX"/>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w:t>
      </w:r>
      <w:r w:rsidRPr="00AC1284">
        <w:rPr>
          <w:rFonts w:ascii="Verdana" w:eastAsia="Calibri" w:hAnsi="Verdana" w:cs="Arial"/>
          <w:sz w:val="20"/>
          <w:szCs w:val="20"/>
          <w:lang w:val="es-MX"/>
        </w:rPr>
        <w:lastRenderedPageBreak/>
        <w:t xml:space="preserve">Por tanto, deberá presentar dicho documento en caso de pretender beneficiarse de los requisitos habilitantes diferenciales u obtener el puntaje adicional. En este sentido, para efectos del artículo 2.2.1.2.4.2.14 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adjuntando copia de la cédula de ciudadanía, cédula de extranjería o pasaporte y copia del registro mercantil. </w:t>
      </w:r>
    </w:p>
    <w:p w14:paraId="3D8206A1" w14:textId="77777777" w:rsidR="00DA0A6C" w:rsidRPr="00E724E9" w:rsidRDefault="00DA0A6C" w:rsidP="00DA0A6C">
      <w:pPr>
        <w:spacing w:after="0"/>
        <w:jc w:val="both"/>
        <w:rPr>
          <w:rFonts w:ascii="Arial" w:eastAsia="Calibri" w:hAnsi="Arial" w:cs="Arial"/>
          <w:sz w:val="20"/>
          <w:szCs w:val="20"/>
          <w:lang w:val="es-MX"/>
        </w:rPr>
      </w:pPr>
    </w:p>
    <w:p w14:paraId="70222025" w14:textId="77777777" w:rsidR="00DF59A7" w:rsidRPr="00DA0A6C" w:rsidRDefault="00DF59A7" w:rsidP="00E245AB">
      <w:pPr>
        <w:spacing w:after="0"/>
        <w:rPr>
          <w:rFonts w:ascii="Verdana" w:hAnsi="Verdana"/>
          <w:lang w:val="es-MX"/>
        </w:rPr>
      </w:pPr>
    </w:p>
    <w:p w14:paraId="4CFDB58D" w14:textId="77777777" w:rsidR="00DF59A7" w:rsidRDefault="00DF59A7" w:rsidP="00E245AB">
      <w:pPr>
        <w:spacing w:after="0"/>
        <w:rPr>
          <w:rFonts w:ascii="Verdana" w:hAnsi="Verdana"/>
        </w:rPr>
      </w:pPr>
    </w:p>
    <w:p w14:paraId="4F9A16AE" w14:textId="77777777" w:rsidR="00DF59A7" w:rsidRDefault="00DF59A7" w:rsidP="00E245AB">
      <w:pPr>
        <w:spacing w:after="0"/>
        <w:rPr>
          <w:rFonts w:ascii="Verdana" w:hAnsi="Verdana"/>
        </w:rPr>
      </w:pPr>
    </w:p>
    <w:p w14:paraId="6DA26BFC" w14:textId="77777777" w:rsidR="00DF59A7" w:rsidRDefault="00DF59A7" w:rsidP="00E245AB">
      <w:pPr>
        <w:spacing w:after="0"/>
        <w:rPr>
          <w:rFonts w:ascii="Verdana" w:hAnsi="Verdana"/>
        </w:rPr>
      </w:pPr>
    </w:p>
    <w:p w14:paraId="6FDE0024" w14:textId="77777777" w:rsidR="00937191" w:rsidRDefault="00937191" w:rsidP="00E245AB">
      <w:pPr>
        <w:spacing w:after="0"/>
        <w:rPr>
          <w:rFonts w:ascii="Verdana" w:hAnsi="Verdana"/>
        </w:rPr>
      </w:pPr>
    </w:p>
    <w:p w14:paraId="66F2AE40" w14:textId="77777777" w:rsidR="00937191" w:rsidRDefault="00937191" w:rsidP="00E245AB">
      <w:pPr>
        <w:spacing w:after="0"/>
        <w:rPr>
          <w:rFonts w:ascii="Verdana" w:hAnsi="Verdana"/>
        </w:rPr>
      </w:pPr>
    </w:p>
    <w:p w14:paraId="18F803C7" w14:textId="77777777" w:rsidR="00937191" w:rsidRDefault="00937191" w:rsidP="00E245AB">
      <w:pPr>
        <w:spacing w:after="0"/>
        <w:rPr>
          <w:rFonts w:ascii="Verdana" w:hAnsi="Verdana"/>
        </w:rPr>
      </w:pPr>
    </w:p>
    <w:p w14:paraId="3EFDB8B1" w14:textId="77777777" w:rsidR="00937191" w:rsidRDefault="00937191" w:rsidP="00E245AB">
      <w:pPr>
        <w:spacing w:after="0"/>
        <w:rPr>
          <w:rFonts w:ascii="Verdana" w:hAnsi="Verdana"/>
        </w:rPr>
      </w:pPr>
    </w:p>
    <w:p w14:paraId="5CA82607" w14:textId="77777777" w:rsidR="00937191" w:rsidRDefault="00937191" w:rsidP="00E245AB">
      <w:pPr>
        <w:spacing w:after="0"/>
        <w:rPr>
          <w:rFonts w:ascii="Verdana" w:hAnsi="Verdana"/>
        </w:rPr>
      </w:pPr>
    </w:p>
    <w:p w14:paraId="3F3D0FCE" w14:textId="77777777" w:rsidR="00937191" w:rsidRDefault="00937191" w:rsidP="00E245AB">
      <w:pPr>
        <w:spacing w:after="0"/>
        <w:rPr>
          <w:rFonts w:ascii="Verdana" w:hAnsi="Verdana"/>
        </w:rPr>
      </w:pPr>
    </w:p>
    <w:p w14:paraId="6442532C" w14:textId="77777777" w:rsidR="00937191" w:rsidRDefault="00937191" w:rsidP="00E245AB">
      <w:pPr>
        <w:spacing w:after="0"/>
        <w:rPr>
          <w:rFonts w:ascii="Verdana" w:hAnsi="Verdana"/>
        </w:rPr>
      </w:pPr>
    </w:p>
    <w:p w14:paraId="72A14E33" w14:textId="77777777" w:rsidR="00937191" w:rsidRDefault="00937191" w:rsidP="00E245AB">
      <w:pPr>
        <w:spacing w:after="0"/>
        <w:rPr>
          <w:rFonts w:ascii="Verdana" w:hAnsi="Verdana"/>
        </w:rPr>
      </w:pPr>
    </w:p>
    <w:p w14:paraId="472658C1" w14:textId="77777777" w:rsidR="00937191" w:rsidRDefault="00937191" w:rsidP="00E245AB">
      <w:pPr>
        <w:spacing w:after="0"/>
        <w:rPr>
          <w:rFonts w:ascii="Verdana" w:hAnsi="Verdana"/>
        </w:rPr>
      </w:pPr>
    </w:p>
    <w:p w14:paraId="023E9957" w14:textId="77777777" w:rsidR="00937191" w:rsidRDefault="00937191" w:rsidP="00E245AB">
      <w:pPr>
        <w:spacing w:after="0"/>
        <w:rPr>
          <w:rFonts w:ascii="Verdana" w:hAnsi="Verdana"/>
        </w:rPr>
      </w:pPr>
    </w:p>
    <w:p w14:paraId="66E61D8D" w14:textId="77777777" w:rsidR="00937191" w:rsidRDefault="00937191" w:rsidP="00E245AB">
      <w:pPr>
        <w:spacing w:after="0"/>
        <w:rPr>
          <w:rFonts w:ascii="Verdana" w:hAnsi="Verdana"/>
        </w:rPr>
      </w:pPr>
    </w:p>
    <w:p w14:paraId="5576CC30" w14:textId="77777777" w:rsidR="00937191" w:rsidRDefault="00937191" w:rsidP="00E245AB">
      <w:pPr>
        <w:spacing w:after="0"/>
        <w:rPr>
          <w:rFonts w:ascii="Verdana" w:hAnsi="Verdana"/>
        </w:rPr>
      </w:pPr>
    </w:p>
    <w:p w14:paraId="6DD820FB" w14:textId="77777777" w:rsidR="00937191" w:rsidRDefault="00937191" w:rsidP="00E245AB">
      <w:pPr>
        <w:spacing w:after="0"/>
        <w:rPr>
          <w:rFonts w:ascii="Verdana" w:hAnsi="Verdana"/>
        </w:rPr>
      </w:pPr>
    </w:p>
    <w:p w14:paraId="2AC53741" w14:textId="77777777" w:rsidR="00937191" w:rsidRDefault="00937191" w:rsidP="00E245AB">
      <w:pPr>
        <w:spacing w:after="0"/>
        <w:rPr>
          <w:rFonts w:ascii="Verdana" w:hAnsi="Verdana"/>
        </w:rPr>
      </w:pPr>
    </w:p>
    <w:p w14:paraId="7F7BD3FF" w14:textId="77777777" w:rsidR="00937191" w:rsidRDefault="00937191" w:rsidP="00E245AB">
      <w:pPr>
        <w:spacing w:after="0"/>
        <w:rPr>
          <w:rFonts w:ascii="Verdana" w:hAnsi="Verdana"/>
        </w:rPr>
      </w:pPr>
    </w:p>
    <w:p w14:paraId="06CB52DB" w14:textId="77777777" w:rsidR="00937191" w:rsidRDefault="00937191" w:rsidP="00E245AB">
      <w:pPr>
        <w:spacing w:after="0"/>
        <w:rPr>
          <w:rFonts w:ascii="Verdana" w:hAnsi="Verdana"/>
        </w:rPr>
      </w:pPr>
    </w:p>
    <w:p w14:paraId="5C7CF2B0" w14:textId="77777777" w:rsidR="00937191" w:rsidRDefault="00937191" w:rsidP="00E245AB">
      <w:pPr>
        <w:spacing w:after="0"/>
        <w:rPr>
          <w:rFonts w:ascii="Verdana" w:hAnsi="Verdana"/>
        </w:rPr>
      </w:pPr>
    </w:p>
    <w:p w14:paraId="3956106B" w14:textId="77777777" w:rsidR="00937191" w:rsidRDefault="00937191" w:rsidP="00E245AB">
      <w:pPr>
        <w:spacing w:after="0"/>
        <w:rPr>
          <w:rFonts w:ascii="Verdana" w:hAnsi="Verdana"/>
        </w:rPr>
      </w:pPr>
    </w:p>
    <w:p w14:paraId="3A8C7933" w14:textId="77777777" w:rsidR="00937191" w:rsidRDefault="00937191" w:rsidP="00E245AB">
      <w:pPr>
        <w:spacing w:after="0"/>
        <w:rPr>
          <w:rFonts w:ascii="Verdana" w:hAnsi="Verdana"/>
        </w:rPr>
      </w:pPr>
    </w:p>
    <w:p w14:paraId="6D9C3474" w14:textId="77777777" w:rsidR="00937191" w:rsidRDefault="00937191" w:rsidP="00E245AB">
      <w:pPr>
        <w:spacing w:after="0"/>
        <w:rPr>
          <w:rFonts w:ascii="Verdana" w:hAnsi="Verdana"/>
        </w:rPr>
      </w:pPr>
    </w:p>
    <w:p w14:paraId="2165C195" w14:textId="77777777" w:rsidR="00937191" w:rsidRDefault="00937191" w:rsidP="00E245AB">
      <w:pPr>
        <w:spacing w:after="0"/>
        <w:rPr>
          <w:rFonts w:ascii="Verdana" w:hAnsi="Verdana"/>
        </w:rPr>
      </w:pPr>
    </w:p>
    <w:p w14:paraId="055C910A" w14:textId="77777777" w:rsidR="00937191" w:rsidRDefault="00937191" w:rsidP="00E245AB">
      <w:pPr>
        <w:spacing w:after="0"/>
        <w:rPr>
          <w:rFonts w:ascii="Verdana" w:hAnsi="Verdana"/>
        </w:rPr>
      </w:pPr>
    </w:p>
    <w:p w14:paraId="467DC43B" w14:textId="77777777" w:rsidR="00937191" w:rsidRDefault="00937191" w:rsidP="00E245AB">
      <w:pPr>
        <w:spacing w:after="0"/>
        <w:rPr>
          <w:rFonts w:ascii="Verdana" w:hAnsi="Verdana"/>
        </w:rPr>
      </w:pPr>
    </w:p>
    <w:p w14:paraId="1A7A8B8B" w14:textId="77777777" w:rsidR="00937191" w:rsidRDefault="00937191" w:rsidP="00E245AB">
      <w:pPr>
        <w:spacing w:after="0"/>
        <w:rPr>
          <w:rFonts w:ascii="Verdana" w:hAnsi="Verdana"/>
        </w:rPr>
      </w:pPr>
    </w:p>
    <w:p w14:paraId="67B93635" w14:textId="77777777" w:rsidR="00937191" w:rsidRDefault="00937191" w:rsidP="00E245AB">
      <w:pPr>
        <w:spacing w:after="0"/>
        <w:rPr>
          <w:rFonts w:ascii="Verdana" w:hAnsi="Verdana"/>
        </w:rPr>
      </w:pPr>
    </w:p>
    <w:p w14:paraId="3A8609EA" w14:textId="77777777" w:rsidR="00937191" w:rsidRDefault="00937191" w:rsidP="00E245AB">
      <w:pPr>
        <w:spacing w:after="0"/>
        <w:rPr>
          <w:rFonts w:ascii="Verdana" w:hAnsi="Verdana"/>
        </w:rPr>
      </w:pPr>
    </w:p>
    <w:p w14:paraId="340E494B" w14:textId="77777777" w:rsidR="00937191" w:rsidRDefault="00937191" w:rsidP="00E245AB">
      <w:pPr>
        <w:spacing w:after="0"/>
        <w:rPr>
          <w:rFonts w:ascii="Verdana" w:hAnsi="Verdana"/>
        </w:rPr>
      </w:pPr>
    </w:p>
    <w:p w14:paraId="3FE2184B" w14:textId="6564F89C" w:rsidR="00E245AB" w:rsidRDefault="00E245AB" w:rsidP="00E245AB">
      <w:pPr>
        <w:spacing w:after="0"/>
        <w:rPr>
          <w:rFonts w:ascii="Verdana" w:hAnsi="Verdana"/>
        </w:rPr>
      </w:pPr>
      <w:r w:rsidRPr="003C73CF">
        <w:rPr>
          <w:rFonts w:ascii="Verdana" w:hAnsi="Verdana"/>
        </w:rPr>
        <w:lastRenderedPageBreak/>
        <w:t xml:space="preserve">Bogotá D.C., </w:t>
      </w:r>
      <w:r w:rsidR="005F05AD">
        <w:rPr>
          <w:rFonts w:ascii="Verdana" w:hAnsi="Verdana"/>
        </w:rPr>
        <w:t>04 de septiembre del 2024</w:t>
      </w:r>
    </w:p>
    <w:p w14:paraId="01C54A41" w14:textId="77777777" w:rsidR="00C77DF3" w:rsidRDefault="00C77DF3" w:rsidP="00E245AB">
      <w:pPr>
        <w:spacing w:after="0"/>
        <w:rPr>
          <w:rFonts w:ascii="Verdana" w:hAnsi="Verdana"/>
        </w:rPr>
      </w:pPr>
    </w:p>
    <w:p w14:paraId="066163BC" w14:textId="30B9F25D" w:rsidR="00C77DF3" w:rsidRPr="003C73CF" w:rsidRDefault="007123B8" w:rsidP="00C77DF3">
      <w:pPr>
        <w:spacing w:after="0"/>
        <w:jc w:val="right"/>
        <w:rPr>
          <w:rFonts w:ascii="Verdana" w:hAnsi="Verdana"/>
        </w:rPr>
      </w:pPr>
      <w:r w:rsidRPr="007123B8">
        <w:rPr>
          <w:rFonts w:ascii="Verdana" w:hAnsi="Verdana"/>
        </w:rPr>
        <w:drawing>
          <wp:inline distT="0" distB="0" distL="0" distR="0" wp14:anchorId="68939427" wp14:editId="4D4D80C8">
            <wp:extent cx="2638425" cy="942975"/>
            <wp:effectExtent l="0" t="0" r="9525" b="9525"/>
            <wp:docPr id="43164916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49169" name="Imagen 1" descr="Texto&#10;&#10;Descripción generada automáticamente"/>
                    <pic:cNvPicPr/>
                  </pic:nvPicPr>
                  <pic:blipFill>
                    <a:blip r:embed="rId10"/>
                    <a:stretch>
                      <a:fillRect/>
                    </a:stretch>
                  </pic:blipFill>
                  <pic:spPr>
                    <a:xfrm>
                      <a:off x="0" y="0"/>
                      <a:ext cx="2638425" cy="942975"/>
                    </a:xfrm>
                    <a:prstGeom prst="rect">
                      <a:avLst/>
                    </a:prstGeom>
                  </pic:spPr>
                </pic:pic>
              </a:graphicData>
            </a:graphic>
          </wp:inline>
        </w:drawing>
      </w:r>
    </w:p>
    <w:bookmarkEnd w:id="0"/>
    <w:p w14:paraId="263C4D54" w14:textId="30FB918B" w:rsidR="003568B9" w:rsidRPr="003C73CF" w:rsidRDefault="003568B9" w:rsidP="003568B9">
      <w:pPr>
        <w:spacing w:after="0" w:line="240" w:lineRule="auto"/>
        <w:jc w:val="both"/>
        <w:rPr>
          <w:rFonts w:ascii="Verdana" w:eastAsia="Calibri" w:hAnsi="Verdana" w:cs="Arial"/>
          <w:lang w:val="es-ES" w:eastAsia="es-ES"/>
        </w:rPr>
      </w:pPr>
      <w:r w:rsidRPr="003C73CF">
        <w:rPr>
          <w:rFonts w:ascii="Verdana" w:eastAsia="Calibri" w:hAnsi="Verdana" w:cs="Arial"/>
          <w:lang w:val="es-ES" w:eastAsia="es-ES"/>
        </w:rPr>
        <w:t>Señora</w:t>
      </w:r>
    </w:p>
    <w:p w14:paraId="726F5C17" w14:textId="7C08E108" w:rsidR="003568B9" w:rsidRPr="003C73CF" w:rsidRDefault="0022187D" w:rsidP="003568B9">
      <w:pPr>
        <w:spacing w:after="0" w:line="240" w:lineRule="auto"/>
        <w:rPr>
          <w:rFonts w:ascii="Verdana" w:eastAsia="Calibri" w:hAnsi="Verdana" w:cs="Arial"/>
          <w:b/>
          <w:lang w:val="es-ES" w:eastAsia="es-ES"/>
        </w:rPr>
      </w:pPr>
      <w:r w:rsidRPr="0C90DEA2">
        <w:rPr>
          <w:rFonts w:ascii="Verdana" w:eastAsia="Calibri" w:hAnsi="Verdana" w:cs="Arial"/>
          <w:b/>
          <w:lang w:val="es-ES" w:eastAsia="es-ES"/>
        </w:rPr>
        <w:t xml:space="preserve">Ingrid Paola </w:t>
      </w:r>
      <w:r w:rsidR="00BF5545" w:rsidRPr="0C90DEA2">
        <w:rPr>
          <w:rFonts w:ascii="Verdana" w:eastAsia="Calibri" w:hAnsi="Verdana" w:cs="Arial"/>
          <w:b/>
          <w:lang w:val="es-ES" w:eastAsia="es-ES"/>
        </w:rPr>
        <w:t>Opayome Acevedo</w:t>
      </w:r>
    </w:p>
    <w:p w14:paraId="2A01F15B" w14:textId="32EE378C" w:rsidR="0022187D" w:rsidRPr="003C73CF" w:rsidRDefault="00D30BBC" w:rsidP="003568B9">
      <w:pPr>
        <w:spacing w:after="0" w:line="240" w:lineRule="auto"/>
        <w:rPr>
          <w:rFonts w:ascii="Verdana" w:hAnsi="Verdana"/>
        </w:rPr>
      </w:pPr>
      <w:hyperlink r:id="rId11" w:history="1">
        <w:r w:rsidR="0022187D" w:rsidRPr="003C73CF">
          <w:rPr>
            <w:rStyle w:val="Hipervnculo"/>
            <w:rFonts w:ascii="Verdana" w:hAnsi="Verdana"/>
          </w:rPr>
          <w:t>ipo_80@hotmail.com</w:t>
        </w:r>
      </w:hyperlink>
    </w:p>
    <w:p w14:paraId="134C3DC1" w14:textId="5E818616" w:rsidR="003568B9" w:rsidRPr="003C73CF" w:rsidRDefault="00D30E37" w:rsidP="003568B9">
      <w:pPr>
        <w:spacing w:after="0" w:line="240" w:lineRule="auto"/>
        <w:rPr>
          <w:rFonts w:ascii="Verdana" w:eastAsia="Calibri" w:hAnsi="Verdana" w:cs="Arial"/>
          <w:b/>
          <w:bCs/>
          <w:lang w:val="es-ES" w:eastAsia="es-ES"/>
        </w:rPr>
      </w:pPr>
      <w:r w:rsidRPr="003C73CF">
        <w:rPr>
          <w:rFonts w:ascii="Verdana" w:eastAsia="Calibri" w:hAnsi="Verdana" w:cs="Arial"/>
          <w:lang w:val="es-ES" w:eastAsia="es-ES"/>
        </w:rPr>
        <w:t>Bogotá D.C.</w:t>
      </w:r>
    </w:p>
    <w:p w14:paraId="4B516017" w14:textId="77777777" w:rsidR="003568B9" w:rsidRPr="003C73CF" w:rsidRDefault="003568B9" w:rsidP="003568B9">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568B9" w:rsidRPr="003C73CF" w14:paraId="32C9FCCC" w14:textId="77777777" w:rsidTr="00D4299E">
        <w:trPr>
          <w:trHeight w:val="580"/>
        </w:trPr>
        <w:tc>
          <w:tcPr>
            <w:tcW w:w="2689" w:type="dxa"/>
          </w:tcPr>
          <w:p w14:paraId="0BE01E09" w14:textId="77777777" w:rsidR="003568B9" w:rsidRPr="003C73CF" w:rsidRDefault="003568B9" w:rsidP="00D30BBC">
            <w:pPr>
              <w:jc w:val="both"/>
              <w:rPr>
                <w:rFonts w:ascii="Verdana" w:eastAsia="Calibri" w:hAnsi="Verdana" w:cs="Arial"/>
                <w:b/>
                <w:bCs/>
                <w:highlight w:val="cyan"/>
                <w:lang w:val="es-ES_tradnl" w:eastAsia="es-ES_tradnl"/>
              </w:rPr>
            </w:pPr>
          </w:p>
        </w:tc>
        <w:tc>
          <w:tcPr>
            <w:tcW w:w="6100" w:type="dxa"/>
          </w:tcPr>
          <w:p w14:paraId="2FED0448" w14:textId="3A87AD14" w:rsidR="003568B9" w:rsidRPr="003C73CF" w:rsidRDefault="003568B9" w:rsidP="00D30BBC">
            <w:pPr>
              <w:jc w:val="both"/>
              <w:rPr>
                <w:rFonts w:ascii="Verdana" w:eastAsia="Calibri" w:hAnsi="Verdana" w:cs="Arial"/>
                <w:b/>
                <w:bCs/>
                <w:lang w:val="es-ES" w:eastAsia="es-ES"/>
              </w:rPr>
            </w:pPr>
            <w:r w:rsidRPr="003C73CF">
              <w:rPr>
                <w:rFonts w:ascii="Verdana" w:eastAsia="Calibri" w:hAnsi="Verdana" w:cs="Arial"/>
                <w:b/>
                <w:bCs/>
                <w:lang w:val="es-ES" w:eastAsia="es-ES"/>
              </w:rPr>
              <w:t xml:space="preserve">Concepto </w:t>
            </w:r>
            <w:r w:rsidRPr="003C73CF">
              <w:rPr>
                <w:rFonts w:ascii="Verdana" w:eastAsia="Calibri" w:hAnsi="Verdana" w:cs="Arial"/>
                <w:b/>
                <w:bCs/>
                <w:lang w:eastAsia="es-ES"/>
              </w:rPr>
              <w:t>C-</w:t>
            </w:r>
            <w:r w:rsidR="004B20B4" w:rsidRPr="003C73CF">
              <w:rPr>
                <w:rFonts w:ascii="Verdana" w:eastAsia="Calibri" w:hAnsi="Verdana" w:cs="Arial"/>
                <w:b/>
                <w:bCs/>
                <w:lang w:eastAsia="es-ES"/>
              </w:rPr>
              <w:t>401</w:t>
            </w:r>
            <w:r w:rsidRPr="003C73CF">
              <w:rPr>
                <w:rFonts w:ascii="Verdana" w:eastAsia="Calibri" w:hAnsi="Verdana" w:cs="Arial"/>
                <w:b/>
                <w:bCs/>
                <w:lang w:eastAsia="es-ES"/>
              </w:rPr>
              <w:t xml:space="preserve"> </w:t>
            </w:r>
            <w:r w:rsidRPr="003C73CF">
              <w:rPr>
                <w:rFonts w:ascii="Verdana" w:eastAsia="Calibri" w:hAnsi="Verdana" w:cs="Arial"/>
                <w:b/>
                <w:bCs/>
                <w:lang w:val="es-ES" w:eastAsia="es-ES"/>
              </w:rPr>
              <w:t>de 2024</w:t>
            </w:r>
          </w:p>
        </w:tc>
      </w:tr>
      <w:tr w:rsidR="003568B9" w:rsidRPr="003C73CF" w14:paraId="68481C02" w14:textId="77777777" w:rsidTr="00D30BBC">
        <w:trPr>
          <w:trHeight w:val="884"/>
        </w:trPr>
        <w:tc>
          <w:tcPr>
            <w:tcW w:w="2689" w:type="dxa"/>
            <w:shd w:val="clear" w:color="auto" w:fill="auto"/>
          </w:tcPr>
          <w:p w14:paraId="09F3F242" w14:textId="77777777" w:rsidR="003568B9" w:rsidRPr="003C73CF" w:rsidRDefault="003568B9" w:rsidP="00D30BBC">
            <w:pPr>
              <w:jc w:val="both"/>
              <w:rPr>
                <w:rFonts w:ascii="Verdana" w:eastAsia="Calibri" w:hAnsi="Verdana" w:cs="Arial"/>
                <w:highlight w:val="cyan"/>
                <w:lang w:val="es-ES_tradnl" w:eastAsia="es-ES_tradnl"/>
              </w:rPr>
            </w:pPr>
            <w:r w:rsidRPr="003C73CF">
              <w:rPr>
                <w:rFonts w:ascii="Verdana" w:eastAsia="Calibri" w:hAnsi="Verdana" w:cs="Arial"/>
                <w:b/>
                <w:lang w:val="es-ES_tradnl" w:eastAsia="es-ES_tradnl"/>
              </w:rPr>
              <w:t>Temas:</w:t>
            </w:r>
            <w:r w:rsidRPr="003C73CF">
              <w:rPr>
                <w:rFonts w:ascii="Verdana" w:eastAsia="Calibri" w:hAnsi="Verdana" w:cs="Arial"/>
                <w:lang w:val="es-ES_tradnl" w:eastAsia="es-ES_tradnl"/>
              </w:rPr>
              <w:t xml:space="preserve">                   </w:t>
            </w:r>
          </w:p>
        </w:tc>
        <w:tc>
          <w:tcPr>
            <w:tcW w:w="6100" w:type="dxa"/>
          </w:tcPr>
          <w:p w14:paraId="12174EE2" w14:textId="46FA2B6E" w:rsidR="003568B9" w:rsidRPr="003C73CF" w:rsidRDefault="00C96FEC" w:rsidP="00D30BBC">
            <w:pPr>
              <w:spacing w:line="276" w:lineRule="auto"/>
              <w:jc w:val="both"/>
              <w:rPr>
                <w:rFonts w:ascii="Verdana" w:eastAsia="Calibri" w:hAnsi="Verdana" w:cs="Arial"/>
                <w:lang w:val="es-ES" w:eastAsia="es-ES"/>
              </w:rPr>
            </w:pPr>
            <w:r w:rsidRPr="003C73CF">
              <w:rPr>
                <w:rFonts w:ascii="Verdana" w:eastAsia="Calibri" w:hAnsi="Verdana" w:cs="Arial"/>
                <w:lang w:val="es-ES" w:eastAsia="es-ES"/>
              </w:rPr>
              <w:t xml:space="preserve">LEY DE EMPRENDIMIENTO – Ley 2069 de 2020– Finalidad / LEY DE EMPRENDIMIENTO – Ley 2069 de 2020 – Artículo 32 – Criterios diferenciales – Emprendimientos de </w:t>
            </w:r>
            <w:r w:rsidR="004B1E6D" w:rsidRPr="003C73CF">
              <w:rPr>
                <w:rFonts w:ascii="Verdana" w:eastAsia="Calibri" w:hAnsi="Verdana" w:cs="Arial"/>
                <w:lang w:val="es-ES" w:eastAsia="es-ES"/>
              </w:rPr>
              <w:t>M</w:t>
            </w:r>
            <w:r w:rsidRPr="003C73CF">
              <w:rPr>
                <w:rFonts w:ascii="Verdana" w:eastAsia="Calibri" w:hAnsi="Verdana" w:cs="Arial"/>
                <w:lang w:val="es-ES" w:eastAsia="es-ES"/>
              </w:rPr>
              <w:t>ujeres – Empresas de mujeres –Decreto 1860 de 2021 / DECRETO 1860 DE 2021 – Emprendimientos y empresas de mujeres – Definición – Artículo 2.2.1.2.4.2.14 – Numeral 3 – Persona natural / EMPRENDIMIENTOS Y EMPRESAS DE MUJERES – Definición – Artículo 2.2.1.2.4.2.14 – Numeral 3 – Persona natural – Registro mercantil</w:t>
            </w:r>
          </w:p>
          <w:p w14:paraId="44D631FA" w14:textId="28FCEC9C" w:rsidR="00C96FEC" w:rsidRPr="003C73CF" w:rsidRDefault="00C96FEC" w:rsidP="00D30BBC">
            <w:pPr>
              <w:spacing w:line="276" w:lineRule="auto"/>
              <w:jc w:val="both"/>
              <w:rPr>
                <w:rFonts w:ascii="Verdana" w:eastAsia="Calibri" w:hAnsi="Verdana" w:cs="Arial"/>
                <w:highlight w:val="cyan"/>
                <w:lang w:val="es-ES" w:eastAsia="es-ES"/>
              </w:rPr>
            </w:pPr>
          </w:p>
        </w:tc>
      </w:tr>
      <w:tr w:rsidR="003568B9" w:rsidRPr="003C73CF" w14:paraId="4C7DF371" w14:textId="77777777" w:rsidTr="00D30BBC">
        <w:tc>
          <w:tcPr>
            <w:tcW w:w="2689" w:type="dxa"/>
          </w:tcPr>
          <w:p w14:paraId="316770EA" w14:textId="77777777" w:rsidR="003568B9" w:rsidRPr="003C73CF" w:rsidRDefault="003568B9" w:rsidP="00D30BBC">
            <w:pPr>
              <w:jc w:val="both"/>
              <w:rPr>
                <w:rFonts w:ascii="Verdana" w:eastAsia="Calibri" w:hAnsi="Verdana" w:cs="Arial"/>
                <w:b/>
                <w:lang w:val="es-ES_tradnl" w:eastAsia="es-ES_tradnl"/>
              </w:rPr>
            </w:pPr>
            <w:r w:rsidRPr="003C73CF">
              <w:rPr>
                <w:rFonts w:ascii="Verdana" w:eastAsia="Calibri" w:hAnsi="Verdana" w:cs="Arial"/>
                <w:b/>
                <w:lang w:val="es-ES_tradnl" w:eastAsia="es-ES_tradnl"/>
              </w:rPr>
              <w:t>Radicación:</w:t>
            </w:r>
            <w:r w:rsidRPr="003C73CF">
              <w:rPr>
                <w:rFonts w:ascii="Verdana" w:eastAsia="Calibri" w:hAnsi="Verdana" w:cs="Arial"/>
                <w:lang w:val="es-ES_tradnl" w:eastAsia="es-ES_tradnl"/>
              </w:rPr>
              <w:t xml:space="preserve">               </w:t>
            </w:r>
          </w:p>
        </w:tc>
        <w:tc>
          <w:tcPr>
            <w:tcW w:w="6100" w:type="dxa"/>
          </w:tcPr>
          <w:p w14:paraId="686381F8" w14:textId="6A4212AE" w:rsidR="003568B9" w:rsidRPr="003C73CF" w:rsidRDefault="003568B9" w:rsidP="00D30BBC">
            <w:pPr>
              <w:jc w:val="both"/>
              <w:rPr>
                <w:rFonts w:ascii="Verdana" w:eastAsia="Calibri" w:hAnsi="Verdana" w:cs="Arial"/>
                <w:lang w:val="es-ES_tradnl" w:eastAsia="es-ES_tradnl"/>
              </w:rPr>
            </w:pPr>
            <w:r w:rsidRPr="003C73CF">
              <w:rPr>
                <w:rFonts w:ascii="Verdana" w:eastAsia="Calibri" w:hAnsi="Verdana" w:cs="Arial"/>
                <w:lang w:val="es-ES_tradnl" w:eastAsia="es-ES_tradnl"/>
              </w:rPr>
              <w:t xml:space="preserve">Respuesta a consulta con radicado No. </w:t>
            </w:r>
            <w:r w:rsidR="003331EB" w:rsidRPr="003C73CF">
              <w:rPr>
                <w:rFonts w:ascii="Verdana" w:eastAsia="Calibri" w:hAnsi="Verdana" w:cs="Arial"/>
                <w:lang w:eastAsia="es-ES_tradnl"/>
              </w:rPr>
              <w:t>P20240728007727</w:t>
            </w:r>
          </w:p>
        </w:tc>
      </w:tr>
    </w:tbl>
    <w:p w14:paraId="16F1028E" w14:textId="77777777" w:rsidR="003568B9" w:rsidRPr="003C73CF" w:rsidRDefault="003568B9" w:rsidP="003568B9">
      <w:pPr>
        <w:spacing w:after="0" w:line="240" w:lineRule="auto"/>
        <w:jc w:val="both"/>
        <w:rPr>
          <w:rFonts w:ascii="Verdana" w:eastAsia="Calibri" w:hAnsi="Verdana" w:cs="Arial"/>
          <w:highlight w:val="cyan"/>
          <w:lang w:val="es-ES_tradnl" w:eastAsia="es-ES_tradnl"/>
        </w:rPr>
      </w:pPr>
    </w:p>
    <w:p w14:paraId="36FBC685" w14:textId="77777777" w:rsidR="003568B9" w:rsidRPr="003C73CF" w:rsidRDefault="003568B9" w:rsidP="003568B9">
      <w:pPr>
        <w:spacing w:after="0" w:line="240" w:lineRule="auto"/>
        <w:jc w:val="both"/>
        <w:rPr>
          <w:rFonts w:ascii="Verdana" w:eastAsia="Calibri" w:hAnsi="Verdana" w:cs="Arial"/>
          <w:lang w:val="es-ES_tradnl" w:eastAsia="es-ES_tradnl"/>
        </w:rPr>
      </w:pPr>
    </w:p>
    <w:p w14:paraId="73FBBA59" w14:textId="509D3E70" w:rsidR="003568B9" w:rsidRPr="003C73CF" w:rsidRDefault="003568B9" w:rsidP="003568B9">
      <w:pPr>
        <w:spacing w:after="0" w:line="276" w:lineRule="auto"/>
        <w:jc w:val="both"/>
        <w:rPr>
          <w:rFonts w:ascii="Verdana" w:eastAsia="Calibri" w:hAnsi="Verdana" w:cs="Arial"/>
          <w:lang w:val="es-ES" w:eastAsia="es-ES"/>
        </w:rPr>
      </w:pPr>
      <w:r w:rsidRPr="003C73CF">
        <w:rPr>
          <w:rFonts w:ascii="Verdana" w:eastAsia="Calibri" w:hAnsi="Verdana" w:cs="Arial"/>
          <w:lang w:val="es-ES" w:eastAsia="es-ES"/>
        </w:rPr>
        <w:t>Estimad</w:t>
      </w:r>
      <w:r w:rsidR="00887C3E" w:rsidRPr="003C73CF">
        <w:rPr>
          <w:rFonts w:ascii="Verdana" w:eastAsia="Calibri" w:hAnsi="Verdana" w:cs="Arial"/>
          <w:lang w:val="es-ES" w:eastAsia="es-ES"/>
        </w:rPr>
        <w:t>a</w:t>
      </w:r>
      <w:r w:rsidRPr="003C73CF">
        <w:rPr>
          <w:rFonts w:ascii="Verdana" w:eastAsia="Calibri" w:hAnsi="Verdana" w:cs="Arial"/>
          <w:lang w:val="es-ES" w:eastAsia="es-ES"/>
        </w:rPr>
        <w:t xml:space="preserve"> señora </w:t>
      </w:r>
      <w:r w:rsidR="00887C3E" w:rsidRPr="003C73CF">
        <w:rPr>
          <w:rFonts w:ascii="Verdana" w:eastAsia="Calibri" w:hAnsi="Verdana" w:cs="Arial"/>
          <w:lang w:val="es-ES" w:eastAsia="es-ES"/>
        </w:rPr>
        <w:t>Opayome</w:t>
      </w:r>
      <w:r w:rsidRPr="003C73CF">
        <w:rPr>
          <w:rFonts w:ascii="Verdana" w:eastAsia="Calibri" w:hAnsi="Verdana" w:cs="Arial"/>
          <w:lang w:val="es-ES" w:eastAsia="es-ES"/>
        </w:rPr>
        <w:t xml:space="preserve">: </w:t>
      </w:r>
    </w:p>
    <w:p w14:paraId="1B28E6F7" w14:textId="77777777" w:rsidR="003568B9" w:rsidRPr="003C73CF" w:rsidRDefault="003568B9" w:rsidP="003568B9">
      <w:pPr>
        <w:tabs>
          <w:tab w:val="left" w:pos="3768"/>
        </w:tabs>
        <w:spacing w:after="0" w:line="276" w:lineRule="auto"/>
        <w:jc w:val="both"/>
        <w:rPr>
          <w:rFonts w:ascii="Verdana" w:eastAsia="Calibri" w:hAnsi="Verdana" w:cs="Arial"/>
          <w:lang w:val="es-ES" w:eastAsia="es-ES"/>
        </w:rPr>
      </w:pPr>
      <w:r w:rsidRPr="003C73CF">
        <w:rPr>
          <w:rFonts w:ascii="Verdana" w:eastAsia="Calibri" w:hAnsi="Verdana" w:cs="Arial"/>
          <w:lang w:val="es-ES" w:eastAsia="es-ES"/>
        </w:rPr>
        <w:tab/>
      </w:r>
    </w:p>
    <w:p w14:paraId="0B314450" w14:textId="61FE0F13" w:rsidR="003568B9" w:rsidRPr="003C73CF" w:rsidRDefault="003568B9" w:rsidP="003568B9">
      <w:pPr>
        <w:spacing w:after="0" w:line="276" w:lineRule="auto"/>
        <w:jc w:val="both"/>
        <w:rPr>
          <w:rFonts w:ascii="Verdana" w:eastAsia="Calibri" w:hAnsi="Verdana" w:cs="Arial"/>
          <w:lang w:val="es-ES" w:eastAsia="es-ES"/>
        </w:rPr>
      </w:pPr>
      <w:r w:rsidRPr="003C73CF">
        <w:rPr>
          <w:rFonts w:ascii="Verdana" w:eastAsia="Calibri" w:hAnsi="Verdana" w:cs="Arial"/>
          <w:lang w:val="es-ES" w:eastAsia="es-ES"/>
        </w:rPr>
        <w:t>En ejercicio de la competencia otorgada por los artículos 3, numeral 5º, y 11, numeral 8º, del Decreto Ley 4170 de 2011,</w:t>
      </w:r>
      <w:r w:rsidRPr="003C73CF">
        <w:rPr>
          <w:rFonts w:ascii="Verdana" w:eastAsia="Arial MT" w:hAnsi="Verdana" w:cs="Arial MT"/>
          <w:lang w:val="es-ES" w:eastAsia="es-ES"/>
        </w:rPr>
        <w:t xml:space="preserve"> </w:t>
      </w:r>
      <w:r w:rsidRPr="003C73CF">
        <w:rPr>
          <w:rFonts w:ascii="Verdana" w:hAnsi="Verdana" w:cs="Arial"/>
        </w:rPr>
        <w:t xml:space="preserve">así como lo establecido en el artículo 4 de la Resolución 1707 de 2018 expedida por esta Entidad, </w:t>
      </w:r>
      <w:r w:rsidRPr="003C73CF">
        <w:rPr>
          <w:rFonts w:ascii="Verdana" w:eastAsia="Calibri" w:hAnsi="Verdana" w:cs="Arial"/>
          <w:lang w:val="es-ES" w:eastAsia="es-ES"/>
        </w:rPr>
        <w:t xml:space="preserve">la Agencia Nacional de Contratación Pública – Colombia Compra Eficiente– responde su solicitud de consulta de fecha </w:t>
      </w:r>
      <w:r w:rsidR="00FE5FBA" w:rsidRPr="003C73CF">
        <w:rPr>
          <w:rFonts w:ascii="Verdana" w:eastAsia="Calibri" w:hAnsi="Verdana" w:cs="Arial"/>
          <w:lang w:val="es-ES" w:eastAsia="es-ES"/>
        </w:rPr>
        <w:t>28 de julio del 2024</w:t>
      </w:r>
      <w:r w:rsidRPr="003C73CF">
        <w:rPr>
          <w:rFonts w:ascii="Verdana" w:eastAsia="Calibri" w:hAnsi="Verdana" w:cs="Arial"/>
          <w:lang w:val="es-ES" w:eastAsia="es-ES"/>
        </w:rPr>
        <w:t xml:space="preserve">, en la cual manifiesta lo siguiente: </w:t>
      </w:r>
    </w:p>
    <w:p w14:paraId="0F293BF4" w14:textId="46E812B0" w:rsidR="00127233" w:rsidRPr="003C73CF" w:rsidRDefault="00127233" w:rsidP="00665D70">
      <w:pPr>
        <w:spacing w:after="0"/>
        <w:jc w:val="both"/>
        <w:rPr>
          <w:rFonts w:ascii="Verdana" w:hAnsi="Verdana"/>
          <w:lang w:val="es-ES"/>
        </w:rPr>
      </w:pPr>
    </w:p>
    <w:p w14:paraId="4C0E2AA7" w14:textId="7401FC37" w:rsidR="00FD22FF" w:rsidRPr="003C73CF" w:rsidRDefault="00FD22FF" w:rsidP="001C6359">
      <w:pPr>
        <w:spacing w:after="0" w:line="240" w:lineRule="auto"/>
        <w:ind w:left="709" w:right="709"/>
        <w:jc w:val="both"/>
        <w:rPr>
          <w:rFonts w:ascii="Verdana" w:eastAsia="Century Gothic" w:hAnsi="Verdana" w:cs="Century Gothic"/>
          <w:sz w:val="20"/>
          <w:szCs w:val="20"/>
          <w:lang w:val="es-ES"/>
        </w:rPr>
      </w:pPr>
      <w:bookmarkStart w:id="1" w:name="_Hlk95313578"/>
      <w:r w:rsidRPr="003C73CF">
        <w:rPr>
          <w:rFonts w:ascii="Verdana" w:eastAsia="Century Gothic" w:hAnsi="Verdana" w:cs="Century Gothic"/>
          <w:sz w:val="20"/>
          <w:szCs w:val="20"/>
          <w:lang w:val="es-ES"/>
        </w:rPr>
        <w:lastRenderedPageBreak/>
        <w:t xml:space="preserve">“[…] </w:t>
      </w:r>
      <w:r w:rsidR="00EE4586" w:rsidRPr="003C73CF">
        <w:rPr>
          <w:rFonts w:ascii="Verdana" w:eastAsia="Century Gothic" w:hAnsi="Verdana" w:cs="Century Gothic"/>
          <w:sz w:val="20"/>
          <w:szCs w:val="20"/>
          <w:lang w:val="es-ES"/>
        </w:rPr>
        <w:t>¿</w:t>
      </w:r>
      <w:r w:rsidR="00E12FA0" w:rsidRPr="003C73CF">
        <w:rPr>
          <w:rFonts w:ascii="Verdana" w:eastAsia="Century Gothic" w:hAnsi="Verdana" w:cs="Century Gothic"/>
          <w:sz w:val="20"/>
          <w:szCs w:val="20"/>
          <w:lang w:val="es-ES"/>
        </w:rPr>
        <w:t xml:space="preserve">en procesos de contratos de obra las mujeres personas naturales con registro mercantil mayor a un año son aptas para el puntaje </w:t>
      </w:r>
      <w:r w:rsidR="007C6B6C" w:rsidRPr="003C73CF">
        <w:rPr>
          <w:rFonts w:ascii="Verdana" w:eastAsia="Century Gothic" w:hAnsi="Verdana" w:cs="Century Gothic"/>
          <w:sz w:val="20"/>
          <w:szCs w:val="20"/>
          <w:lang w:val="es-ES"/>
        </w:rPr>
        <w:t>de trata el Artículo 2.2.1.2.4.2.15?</w:t>
      </w:r>
      <w:r w:rsidR="00284410" w:rsidRPr="003C73CF">
        <w:rPr>
          <w:rFonts w:ascii="Verdana" w:eastAsia="Century Gothic" w:hAnsi="Verdana" w:cs="Century Gothic"/>
          <w:sz w:val="20"/>
          <w:szCs w:val="20"/>
          <w:lang w:val="es-ES"/>
        </w:rPr>
        <w:t xml:space="preserve"> …. en algunos procesos de las entidades han decidido no dar puntaje</w:t>
      </w:r>
      <w:r w:rsidR="001F6B2A" w:rsidRPr="003C73CF">
        <w:rPr>
          <w:rFonts w:ascii="Verdana" w:eastAsia="Century Gothic" w:hAnsi="Verdana" w:cs="Century Gothic"/>
          <w:sz w:val="20"/>
          <w:szCs w:val="20"/>
          <w:lang w:val="es-ES"/>
        </w:rPr>
        <w:t xml:space="preserve"> </w:t>
      </w:r>
      <w:r w:rsidR="00284410" w:rsidRPr="003C73CF">
        <w:rPr>
          <w:rFonts w:ascii="Verdana" w:eastAsia="Century Gothic" w:hAnsi="Verdana" w:cs="Century Gothic"/>
          <w:sz w:val="20"/>
          <w:szCs w:val="20"/>
          <w:lang w:val="es-ES"/>
        </w:rPr>
        <w:t xml:space="preserve">a las mujeres con matrícula mercantil sin establecimiento de comercio aduciendo que no se enmarcan en el concepto EMPRENDIMINENTO Y EMPRESA MUJERES por lo que no son aptas para el puntaje de criterios diferenciales. </w:t>
      </w:r>
      <w:r w:rsidR="001F6B2A" w:rsidRPr="003C73CF">
        <w:rPr>
          <w:rFonts w:ascii="Verdana" w:eastAsia="Century Gothic" w:hAnsi="Verdana" w:cs="Century Gothic"/>
          <w:sz w:val="20"/>
          <w:szCs w:val="20"/>
          <w:lang w:val="es-ES"/>
        </w:rPr>
        <w:t>Si en teoría estas entidades tienen razón no habría una clara desigualdad entre personas jurídicas y personas naturales, mujeres, ¿con registro mercantil?</w:t>
      </w:r>
      <w:r w:rsidR="00284410" w:rsidRPr="003C73CF">
        <w:rPr>
          <w:rFonts w:ascii="Verdana" w:eastAsia="Century Gothic" w:hAnsi="Verdana" w:cs="Century Gothic"/>
          <w:sz w:val="20"/>
          <w:szCs w:val="20"/>
          <w:lang w:val="es-ES"/>
        </w:rPr>
        <w:t>, muchas de las personas</w:t>
      </w:r>
      <w:r w:rsidR="007761F0" w:rsidRPr="003C73CF">
        <w:rPr>
          <w:rFonts w:ascii="Verdana" w:eastAsia="Century Gothic" w:hAnsi="Verdana" w:cs="Century Gothic"/>
          <w:sz w:val="20"/>
          <w:szCs w:val="20"/>
          <w:lang w:val="es-ES"/>
        </w:rPr>
        <w:t xml:space="preserve"> </w:t>
      </w:r>
      <w:r w:rsidR="00284410" w:rsidRPr="003C73CF">
        <w:rPr>
          <w:rFonts w:ascii="Verdana" w:eastAsia="Century Gothic" w:hAnsi="Verdana" w:cs="Century Gothic"/>
          <w:sz w:val="20"/>
          <w:szCs w:val="20"/>
          <w:lang w:val="es-ES"/>
        </w:rPr>
        <w:t>jurídicas que se presentan a los procesos del estado no matriculan un</w:t>
      </w:r>
      <w:r w:rsidR="007761F0" w:rsidRPr="003C73CF">
        <w:rPr>
          <w:rFonts w:ascii="Verdana" w:eastAsia="Century Gothic" w:hAnsi="Verdana" w:cs="Century Gothic"/>
          <w:sz w:val="20"/>
          <w:szCs w:val="20"/>
          <w:lang w:val="es-ES"/>
        </w:rPr>
        <w:t xml:space="preserve"> </w:t>
      </w:r>
      <w:r w:rsidR="00284410" w:rsidRPr="003C73CF">
        <w:rPr>
          <w:rFonts w:ascii="Verdana" w:eastAsia="Century Gothic" w:hAnsi="Verdana" w:cs="Century Gothic"/>
          <w:sz w:val="20"/>
          <w:szCs w:val="20"/>
          <w:lang w:val="es-ES"/>
        </w:rPr>
        <w:t xml:space="preserve">establecimiento de comercio </w:t>
      </w:r>
      <w:r w:rsidR="007761F0" w:rsidRPr="003C73CF">
        <w:rPr>
          <w:rFonts w:ascii="Verdana" w:eastAsia="Century Gothic" w:hAnsi="Verdana" w:cs="Century Gothic"/>
          <w:sz w:val="20"/>
          <w:szCs w:val="20"/>
          <w:lang w:val="es-ES"/>
        </w:rPr>
        <w:t>¿las</w:t>
      </w:r>
      <w:r w:rsidR="00284410" w:rsidRPr="003C73CF">
        <w:rPr>
          <w:rFonts w:ascii="Verdana" w:eastAsia="Century Gothic" w:hAnsi="Verdana" w:cs="Century Gothic"/>
          <w:sz w:val="20"/>
          <w:szCs w:val="20"/>
          <w:lang w:val="es-ES"/>
        </w:rPr>
        <w:t xml:space="preserve"> mujeres personas naturales con registro</w:t>
      </w:r>
      <w:r w:rsidR="007761F0" w:rsidRPr="003C73CF">
        <w:rPr>
          <w:rFonts w:ascii="Verdana" w:eastAsia="Century Gothic" w:hAnsi="Verdana" w:cs="Century Gothic"/>
          <w:sz w:val="20"/>
          <w:szCs w:val="20"/>
          <w:lang w:val="es-ES"/>
        </w:rPr>
        <w:t xml:space="preserve"> mercantil, que</w:t>
      </w:r>
      <w:r w:rsidR="00284410" w:rsidRPr="003C73CF">
        <w:rPr>
          <w:rFonts w:ascii="Verdana" w:eastAsia="Century Gothic" w:hAnsi="Verdana" w:cs="Century Gothic"/>
          <w:sz w:val="20"/>
          <w:szCs w:val="20"/>
          <w:lang w:val="es-ES"/>
        </w:rPr>
        <w:t xml:space="preserve"> ofrecen un servicio como son las obras civiles, deben matricular un</w:t>
      </w:r>
      <w:r w:rsidR="007761F0" w:rsidRPr="003C73CF">
        <w:rPr>
          <w:rFonts w:ascii="Verdana" w:eastAsia="Century Gothic" w:hAnsi="Verdana" w:cs="Century Gothic"/>
          <w:sz w:val="20"/>
          <w:szCs w:val="20"/>
          <w:lang w:val="es-ES"/>
        </w:rPr>
        <w:t xml:space="preserve"> </w:t>
      </w:r>
      <w:r w:rsidR="00284410" w:rsidRPr="003C73CF">
        <w:rPr>
          <w:rFonts w:ascii="Verdana" w:eastAsia="Century Gothic" w:hAnsi="Verdana" w:cs="Century Gothic"/>
          <w:sz w:val="20"/>
          <w:szCs w:val="20"/>
          <w:lang w:val="es-ES"/>
        </w:rPr>
        <w:t>establecimiento aun cuando este no exista?</w:t>
      </w:r>
      <w:r w:rsidRPr="003C73CF">
        <w:rPr>
          <w:rStyle w:val="normaltextrun"/>
          <w:rFonts w:ascii="Verdana" w:hAnsi="Verdana" w:cs="Arial"/>
          <w:sz w:val="20"/>
          <w:szCs w:val="20"/>
          <w:shd w:val="clear" w:color="auto" w:fill="FFFFFF"/>
          <w:lang w:val="es-ES"/>
        </w:rPr>
        <w:t xml:space="preserve"> […]</w:t>
      </w:r>
      <w:r w:rsidRPr="003C73CF">
        <w:rPr>
          <w:rFonts w:ascii="Verdana" w:eastAsia="Century Gothic" w:hAnsi="Verdana" w:cs="Century Gothic"/>
          <w:sz w:val="20"/>
          <w:szCs w:val="20"/>
          <w:lang w:val="es-ES"/>
        </w:rPr>
        <w:t>”</w:t>
      </w:r>
      <w:bookmarkEnd w:id="1"/>
      <w:r w:rsidRPr="003C73CF">
        <w:rPr>
          <w:rFonts w:ascii="Verdana" w:eastAsia="Century Gothic" w:hAnsi="Verdana" w:cs="Century Gothic"/>
          <w:sz w:val="20"/>
          <w:szCs w:val="20"/>
          <w:lang w:val="es-ES"/>
        </w:rPr>
        <w:t>.</w:t>
      </w:r>
    </w:p>
    <w:p w14:paraId="70AB75E4" w14:textId="77777777" w:rsidR="00FD22FF" w:rsidRPr="003C73CF" w:rsidRDefault="00FD22FF" w:rsidP="00665D70">
      <w:pPr>
        <w:spacing w:after="0"/>
        <w:jc w:val="both"/>
        <w:rPr>
          <w:rFonts w:ascii="Verdana" w:hAnsi="Verdana"/>
          <w:lang w:val="es-ES"/>
        </w:rPr>
      </w:pPr>
    </w:p>
    <w:p w14:paraId="7ED68313" w14:textId="77777777" w:rsidR="00230F62" w:rsidRPr="003C73CF" w:rsidRDefault="00230F62" w:rsidP="00230F62">
      <w:pPr>
        <w:spacing w:after="120" w:line="276" w:lineRule="auto"/>
        <w:ind w:firstLine="709"/>
        <w:jc w:val="both"/>
        <w:rPr>
          <w:rFonts w:ascii="Verdana" w:eastAsia="Calibri" w:hAnsi="Verdana" w:cs="Arial"/>
          <w:color w:val="000000"/>
          <w:lang w:val="es-ES_tradnl" w:eastAsia="es-ES_tradnl"/>
        </w:rPr>
      </w:pPr>
      <w:r w:rsidRPr="003C73C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66F774D" w14:textId="6F70F408" w:rsidR="00230F62" w:rsidRPr="003C73CF" w:rsidRDefault="00230F62" w:rsidP="00230F62">
      <w:pPr>
        <w:spacing w:after="0" w:line="276" w:lineRule="auto"/>
        <w:ind w:firstLine="709"/>
        <w:jc w:val="both"/>
        <w:rPr>
          <w:rFonts w:ascii="Verdana" w:eastAsia="Calibri" w:hAnsi="Verdana" w:cs="Arial"/>
          <w:color w:val="000000"/>
          <w:lang w:val="es-ES" w:eastAsia="es-ES"/>
        </w:rPr>
      </w:pPr>
      <w:r w:rsidRPr="003C73CF">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151075" w:rsidRPr="003C73CF">
        <w:rPr>
          <w:rFonts w:ascii="Verdana" w:eastAsia="Calibri" w:hAnsi="Verdana" w:cs="Arial"/>
          <w:color w:val="000000"/>
          <w:lang w:val="es-ES" w:eastAsia="es-ES"/>
        </w:rPr>
        <w:t>el problema jurídico</w:t>
      </w:r>
      <w:r w:rsidR="00B0782C" w:rsidRPr="003C73CF">
        <w:rPr>
          <w:rFonts w:ascii="Verdana" w:eastAsia="Calibri" w:hAnsi="Verdana" w:cs="Arial"/>
          <w:color w:val="000000"/>
          <w:lang w:val="es-ES" w:eastAsia="es-ES"/>
        </w:rPr>
        <w:t xml:space="preserve"> de su consulta. </w:t>
      </w:r>
      <w:r w:rsidRPr="003C73CF">
        <w:rPr>
          <w:rFonts w:ascii="Verdana" w:eastAsia="Calibri" w:hAnsi="Verdana" w:cs="Arial"/>
          <w:color w:val="000000"/>
          <w:lang w:val="es-ES" w:eastAsia="es-ES"/>
        </w:rPr>
        <w:t xml:space="preserve"> </w:t>
      </w:r>
    </w:p>
    <w:p w14:paraId="7D408123" w14:textId="77777777" w:rsidR="00230F62" w:rsidRPr="003C73CF" w:rsidRDefault="00230F62" w:rsidP="00230F62">
      <w:pPr>
        <w:spacing w:after="0"/>
        <w:jc w:val="both"/>
        <w:rPr>
          <w:rFonts w:ascii="Verdana" w:hAnsi="Verdana"/>
          <w:lang w:val="es-ES"/>
        </w:rPr>
      </w:pPr>
    </w:p>
    <w:p w14:paraId="13396877" w14:textId="77777777" w:rsidR="008930FB" w:rsidRPr="003C73CF" w:rsidRDefault="008930FB" w:rsidP="008930F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C73CF">
        <w:rPr>
          <w:rFonts w:ascii="Verdana" w:eastAsia="Century Gothic" w:hAnsi="Verdana" w:cs="Century Gothic"/>
          <w:b/>
          <w:bCs/>
        </w:rPr>
        <w:t>Problema planteado:</w:t>
      </w:r>
    </w:p>
    <w:p w14:paraId="1C69616B" w14:textId="77777777" w:rsidR="008930FB" w:rsidRPr="003C73CF" w:rsidRDefault="008930FB" w:rsidP="008930FB">
      <w:pPr>
        <w:tabs>
          <w:tab w:val="left" w:pos="426"/>
        </w:tabs>
        <w:spacing w:after="0" w:line="276" w:lineRule="auto"/>
        <w:jc w:val="both"/>
        <w:rPr>
          <w:rFonts w:ascii="Verdana" w:eastAsia="Century Gothic" w:hAnsi="Verdana" w:cs="Century Gothic"/>
          <w:lang w:val="es-ES"/>
        </w:rPr>
      </w:pPr>
    </w:p>
    <w:p w14:paraId="11CB0497" w14:textId="6DC7E29A" w:rsidR="008930FB" w:rsidRPr="003C73CF" w:rsidRDefault="008930FB" w:rsidP="008930FB">
      <w:pPr>
        <w:spacing w:after="0" w:line="276" w:lineRule="auto"/>
        <w:jc w:val="both"/>
        <w:rPr>
          <w:rFonts w:ascii="Verdana" w:eastAsia="Calibri" w:hAnsi="Verdana" w:cs="Arial"/>
          <w:lang w:val="es-ES" w:eastAsia="es-ES"/>
        </w:rPr>
      </w:pPr>
      <w:r w:rsidRPr="003C73CF">
        <w:rPr>
          <w:rFonts w:ascii="Verdana" w:eastAsia="Century Gothic" w:hAnsi="Verdana" w:cs="Century Gothic"/>
        </w:rPr>
        <w:t xml:space="preserve">De acuerdo con el contenido de su solicitud, esta Agencia resolverá </w:t>
      </w:r>
      <w:r w:rsidR="00093CD3" w:rsidRPr="003C73CF">
        <w:rPr>
          <w:rFonts w:ascii="Verdana" w:eastAsia="Century Gothic" w:hAnsi="Verdana" w:cs="Century Gothic"/>
        </w:rPr>
        <w:t>el siguiente problema jurídico</w:t>
      </w:r>
      <w:r w:rsidRPr="003C73CF">
        <w:rPr>
          <w:rFonts w:ascii="Verdana" w:eastAsia="Century Gothic" w:hAnsi="Verdana" w:cs="Century Gothic"/>
        </w:rPr>
        <w:t xml:space="preserve">: </w:t>
      </w:r>
      <w:r w:rsidR="005D050C" w:rsidRPr="003C73CF">
        <w:rPr>
          <w:rFonts w:ascii="Verdana" w:eastAsia="Century Gothic" w:hAnsi="Verdana" w:cs="Century Gothic"/>
        </w:rPr>
        <w:t>¿</w:t>
      </w:r>
      <w:r w:rsidR="00CB2757" w:rsidRPr="00CB2757">
        <w:rPr>
          <w:rFonts w:ascii="Verdana" w:eastAsia="Century Gothic" w:hAnsi="Verdana" w:cs="Century Gothic"/>
        </w:rPr>
        <w:t xml:space="preserve">Se requiere </w:t>
      </w:r>
      <w:r w:rsidR="007777ED">
        <w:rPr>
          <w:rFonts w:ascii="Verdana" w:eastAsia="Century Gothic" w:hAnsi="Verdana" w:cs="Century Gothic"/>
        </w:rPr>
        <w:t xml:space="preserve">tener </w:t>
      </w:r>
      <w:r w:rsidR="00CB2757" w:rsidRPr="00CB2757">
        <w:rPr>
          <w:rFonts w:ascii="Verdana" w:eastAsia="Century Gothic" w:hAnsi="Verdana" w:cs="Century Gothic"/>
        </w:rPr>
        <w:t>establecimiento de comercio</w:t>
      </w:r>
      <w:r w:rsidR="0051501F" w:rsidRPr="003C73CF">
        <w:rPr>
          <w:rFonts w:ascii="Verdana" w:eastAsia="Century Gothic" w:hAnsi="Verdana" w:cs="Century Gothic"/>
        </w:rPr>
        <w:t xml:space="preserve"> para </w:t>
      </w:r>
      <w:r w:rsidR="00151075" w:rsidRPr="003C73CF">
        <w:rPr>
          <w:rFonts w:ascii="Verdana" w:eastAsia="Century Gothic" w:hAnsi="Verdana" w:cs="Century Gothic"/>
        </w:rPr>
        <w:t xml:space="preserve">que una persona </w:t>
      </w:r>
      <w:r w:rsidR="00CB2757" w:rsidRPr="00CB2757">
        <w:rPr>
          <w:rFonts w:ascii="Verdana" w:eastAsia="Century Gothic" w:hAnsi="Verdana" w:cs="Century Gothic"/>
        </w:rPr>
        <w:t>natural</w:t>
      </w:r>
      <w:r w:rsidR="00151075" w:rsidRPr="003C73CF">
        <w:rPr>
          <w:rFonts w:ascii="Verdana" w:eastAsia="Century Gothic" w:hAnsi="Verdana" w:cs="Century Gothic"/>
        </w:rPr>
        <w:t xml:space="preserve"> pueda </w:t>
      </w:r>
      <w:r w:rsidR="00CB2757" w:rsidRPr="00CB2757">
        <w:rPr>
          <w:rFonts w:ascii="Verdana" w:eastAsia="Century Gothic" w:hAnsi="Verdana" w:cs="Century Gothic"/>
        </w:rPr>
        <w:t xml:space="preserve">acreditar la calidad de </w:t>
      </w:r>
      <w:r w:rsidR="00151075" w:rsidRPr="003C73CF">
        <w:rPr>
          <w:rFonts w:ascii="Verdana" w:eastAsia="Century Gothic" w:hAnsi="Verdana" w:cs="Century Gothic"/>
        </w:rPr>
        <w:t xml:space="preserve">Emprendimiento </w:t>
      </w:r>
      <w:r w:rsidR="00CB2757" w:rsidRPr="00CB2757">
        <w:rPr>
          <w:rFonts w:ascii="Verdana" w:eastAsia="Century Gothic" w:hAnsi="Verdana" w:cs="Century Gothic"/>
        </w:rPr>
        <w:t>o</w:t>
      </w:r>
      <w:r w:rsidR="00151075" w:rsidRPr="003C73CF">
        <w:rPr>
          <w:rFonts w:ascii="Verdana" w:eastAsia="Century Gothic" w:hAnsi="Verdana" w:cs="Century Gothic"/>
        </w:rPr>
        <w:t xml:space="preserve"> Empresa de Mujeres</w:t>
      </w:r>
      <w:r w:rsidR="00B43287" w:rsidRPr="003C73CF">
        <w:rPr>
          <w:rFonts w:ascii="Verdana" w:eastAsia="Century Gothic" w:hAnsi="Verdana" w:cs="Century Gothic"/>
        </w:rPr>
        <w:t xml:space="preserve"> </w:t>
      </w:r>
      <w:r w:rsidR="00CB2757" w:rsidRPr="00CB2757">
        <w:rPr>
          <w:rFonts w:ascii="Verdana" w:eastAsia="Century Gothic" w:hAnsi="Verdana" w:cs="Century Gothic"/>
        </w:rPr>
        <w:t xml:space="preserve">conforme al numeral 3 del </w:t>
      </w:r>
      <w:r w:rsidR="00317FF6" w:rsidRPr="00CB2757">
        <w:rPr>
          <w:rFonts w:ascii="Verdana" w:eastAsia="Century Gothic" w:hAnsi="Verdana" w:cs="Century Gothic"/>
        </w:rPr>
        <w:t>2.2.1.2.4.2.</w:t>
      </w:r>
      <w:r w:rsidR="00CB2757" w:rsidRPr="00CB2757">
        <w:rPr>
          <w:rFonts w:ascii="Verdana" w:eastAsia="Century Gothic" w:hAnsi="Verdana" w:cs="Century Gothic"/>
        </w:rPr>
        <w:t>14.?</w:t>
      </w:r>
    </w:p>
    <w:p w14:paraId="7EF7ADE1" w14:textId="77777777" w:rsidR="00230F62" w:rsidRPr="003C73CF" w:rsidRDefault="00230F62" w:rsidP="00665D70">
      <w:pPr>
        <w:spacing w:after="0"/>
        <w:jc w:val="both"/>
        <w:rPr>
          <w:rFonts w:ascii="Verdana" w:hAnsi="Verdana"/>
          <w:lang w:val="es-ES"/>
        </w:rPr>
      </w:pPr>
    </w:p>
    <w:p w14:paraId="33416BC8" w14:textId="77777777" w:rsidR="00972E9B" w:rsidRPr="003C73CF" w:rsidRDefault="00972E9B" w:rsidP="00972E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73CF">
        <w:rPr>
          <w:rFonts w:ascii="Verdana" w:eastAsia="Century Gothic" w:hAnsi="Verdana" w:cs="Century Gothic"/>
          <w:b/>
          <w:bCs/>
        </w:rPr>
        <w:t>Respuesta:</w:t>
      </w:r>
    </w:p>
    <w:p w14:paraId="6FD0A940" w14:textId="77777777" w:rsidR="00972E9B" w:rsidRPr="003C73CF" w:rsidRDefault="00972E9B" w:rsidP="00972E9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72E9B" w:rsidRPr="003C73CF" w14:paraId="5F62C5CA" w14:textId="77777777" w:rsidTr="00D30BBC">
        <w:tc>
          <w:tcPr>
            <w:tcW w:w="8828" w:type="dxa"/>
            <w:shd w:val="clear" w:color="auto" w:fill="auto"/>
          </w:tcPr>
          <w:p w14:paraId="64CE74C6" w14:textId="4EEC56D0" w:rsidR="008970BB" w:rsidRPr="003C73CF" w:rsidRDefault="007777ED" w:rsidP="00AA4745">
            <w:pPr>
              <w:spacing w:after="120" w:line="276" w:lineRule="auto"/>
              <w:jc w:val="both"/>
              <w:rPr>
                <w:rFonts w:ascii="Verdana" w:eastAsia="Calibri" w:hAnsi="Verdana" w:cs="Arial"/>
                <w:lang w:val="es-MX"/>
              </w:rPr>
            </w:pPr>
            <w:r>
              <w:rPr>
                <w:rFonts w:ascii="Verdana" w:eastAsia="Calibri" w:hAnsi="Verdana" w:cs="Arial"/>
                <w:lang w:val="es-MX"/>
              </w:rPr>
              <w:t xml:space="preserve">De conformidad con el numeral 3 del artículo </w:t>
            </w:r>
            <w:r w:rsidRPr="004939D3">
              <w:rPr>
                <w:rFonts w:ascii="Verdana" w:eastAsia="Century Gothic" w:hAnsi="Verdana" w:cs="Century Gothic"/>
              </w:rPr>
              <w:t>2.2.1.2.4.2.14</w:t>
            </w:r>
            <w:r>
              <w:rPr>
                <w:rFonts w:ascii="Verdana" w:eastAsia="Century Gothic" w:hAnsi="Verdana" w:cs="Century Gothic"/>
              </w:rPr>
              <w:t xml:space="preserve"> </w:t>
            </w:r>
            <w:r w:rsidRPr="004939D3">
              <w:rPr>
                <w:rFonts w:ascii="Verdana" w:eastAsia="Calibri" w:hAnsi="Verdana" w:cs="Arial"/>
                <w:lang w:val="es-MX"/>
              </w:rPr>
              <w:t>del Decreto 1082 de 2015</w:t>
            </w:r>
            <w:r w:rsidR="002456A8">
              <w:rPr>
                <w:rFonts w:ascii="Verdana" w:eastAsia="Calibri" w:hAnsi="Verdana" w:cs="Arial"/>
                <w:lang w:val="es-MX"/>
              </w:rPr>
              <w:t xml:space="preserve">, </w:t>
            </w:r>
            <w:r w:rsidR="004E09E9" w:rsidRPr="004939D3">
              <w:rPr>
                <w:rFonts w:ascii="Verdana" w:eastAsia="Century Gothic" w:hAnsi="Verdana" w:cs="Century Gothic"/>
              </w:rPr>
              <w:t xml:space="preserve">para que una </w:t>
            </w:r>
            <w:r w:rsidR="002456A8">
              <w:rPr>
                <w:rFonts w:ascii="Verdana" w:eastAsia="Century Gothic" w:hAnsi="Verdana" w:cs="Century Gothic"/>
              </w:rPr>
              <w:t>m</w:t>
            </w:r>
            <w:r w:rsidR="00DC123A">
              <w:rPr>
                <w:rFonts w:ascii="Verdana" w:eastAsia="Century Gothic" w:hAnsi="Verdana" w:cs="Century Gothic"/>
              </w:rPr>
              <w:t xml:space="preserve">ujer </w:t>
            </w:r>
            <w:r w:rsidR="005C3C44">
              <w:rPr>
                <w:rFonts w:ascii="Verdana" w:eastAsia="Century Gothic" w:hAnsi="Verdana" w:cs="Century Gothic"/>
              </w:rPr>
              <w:t xml:space="preserve">como </w:t>
            </w:r>
            <w:r w:rsidR="004E09E9" w:rsidRPr="004939D3">
              <w:rPr>
                <w:rFonts w:ascii="Verdana" w:eastAsia="Century Gothic" w:hAnsi="Verdana" w:cs="Century Gothic"/>
              </w:rPr>
              <w:t>persona natural pueda acreditar la calidad de Emprendimiento o Empresa de Mujeres</w:t>
            </w:r>
            <w:r w:rsidR="004939D3">
              <w:rPr>
                <w:rFonts w:ascii="Verdana" w:eastAsia="Century Gothic" w:hAnsi="Verdana" w:cs="Century Gothic"/>
              </w:rPr>
              <w:t xml:space="preserve">, </w:t>
            </w:r>
            <w:r w:rsidR="00D72409">
              <w:rPr>
                <w:rFonts w:ascii="Verdana" w:eastAsia="Century Gothic" w:hAnsi="Verdana" w:cs="Century Gothic"/>
              </w:rPr>
              <w:t>copia de la cédula de ciudadanía,</w:t>
            </w:r>
            <w:r w:rsidR="00074BCF">
              <w:rPr>
                <w:rFonts w:ascii="Verdana" w:eastAsia="Century Gothic" w:hAnsi="Verdana" w:cs="Century Gothic"/>
              </w:rPr>
              <w:t xml:space="preserve"> cedula de extranjería o pasaporte, así como copia del registro mercantil</w:t>
            </w:r>
            <w:r w:rsidR="007A0AFB">
              <w:rPr>
                <w:rFonts w:ascii="Verdana" w:eastAsia="Century Gothic" w:hAnsi="Verdana" w:cs="Century Gothic"/>
              </w:rPr>
              <w:t xml:space="preserve">, sin que resulte obligatorio </w:t>
            </w:r>
            <w:r w:rsidR="00A02920">
              <w:rPr>
                <w:rFonts w:ascii="Verdana" w:eastAsia="Century Gothic" w:hAnsi="Verdana" w:cs="Century Gothic"/>
              </w:rPr>
              <w:t xml:space="preserve">tener </w:t>
            </w:r>
            <w:r w:rsidR="00947C38">
              <w:rPr>
                <w:rFonts w:ascii="Verdana" w:eastAsia="Century Gothic" w:hAnsi="Verdana" w:cs="Century Gothic"/>
              </w:rPr>
              <w:t>un establecimiento de comercio para acreditar la referida calidad</w:t>
            </w:r>
            <w:r w:rsidR="00074BCF">
              <w:rPr>
                <w:rFonts w:ascii="Verdana" w:eastAsia="Century Gothic" w:hAnsi="Verdana" w:cs="Century Gothic"/>
              </w:rPr>
              <w:t xml:space="preserve">. </w:t>
            </w:r>
            <w:r w:rsidR="00321711">
              <w:rPr>
                <w:rFonts w:ascii="Verdana" w:eastAsia="Century Gothic" w:hAnsi="Verdana" w:cs="Century Gothic"/>
              </w:rPr>
              <w:t>Frente a</w:t>
            </w:r>
            <w:r w:rsidR="009A6559">
              <w:rPr>
                <w:rFonts w:ascii="Verdana" w:eastAsia="Century Gothic" w:hAnsi="Verdana" w:cs="Century Gothic"/>
              </w:rPr>
              <w:t xml:space="preserve">l registro mercantil </w:t>
            </w:r>
            <w:r w:rsidR="00A71905">
              <w:rPr>
                <w:rFonts w:ascii="Verdana" w:eastAsia="Century Gothic" w:hAnsi="Verdana" w:cs="Century Gothic"/>
              </w:rPr>
              <w:t xml:space="preserve">resulta </w:t>
            </w:r>
            <w:r w:rsidR="00394558">
              <w:rPr>
                <w:rFonts w:ascii="Verdana" w:eastAsia="Century Gothic" w:hAnsi="Verdana" w:cs="Century Gothic"/>
              </w:rPr>
              <w:t xml:space="preserve">necesario </w:t>
            </w:r>
            <w:r w:rsidR="00A71905">
              <w:rPr>
                <w:rFonts w:ascii="Verdana" w:eastAsia="Century Gothic" w:hAnsi="Verdana" w:cs="Century Gothic"/>
              </w:rPr>
              <w:t>precisar que</w:t>
            </w:r>
            <w:r w:rsidR="002D62BE">
              <w:rPr>
                <w:rFonts w:ascii="Verdana" w:eastAsia="Century Gothic" w:hAnsi="Verdana" w:cs="Century Gothic"/>
              </w:rPr>
              <w:t xml:space="preserve"> </w:t>
            </w:r>
            <w:r w:rsidR="006224CC">
              <w:rPr>
                <w:rFonts w:ascii="Verdana" w:eastAsia="Century Gothic" w:hAnsi="Verdana" w:cs="Century Gothic"/>
              </w:rPr>
              <w:t xml:space="preserve">conforme a lo dispuesto en el artículo 26 y </w:t>
            </w:r>
            <w:r w:rsidR="00042FA0">
              <w:rPr>
                <w:rFonts w:ascii="Verdana" w:eastAsia="Century Gothic" w:hAnsi="Verdana" w:cs="Century Gothic"/>
              </w:rPr>
              <w:t>ss.</w:t>
            </w:r>
            <w:r w:rsidR="006224CC">
              <w:rPr>
                <w:rFonts w:ascii="Verdana" w:eastAsia="Century Gothic" w:hAnsi="Verdana" w:cs="Century Gothic"/>
              </w:rPr>
              <w:t xml:space="preserve"> del Código de Comercio</w:t>
            </w:r>
            <w:r w:rsidR="002D62BE">
              <w:rPr>
                <w:rFonts w:ascii="Verdana" w:eastAsia="Century Gothic" w:hAnsi="Verdana" w:cs="Century Gothic"/>
              </w:rPr>
              <w:t xml:space="preserve">, el registro mercantil </w:t>
            </w:r>
            <w:r w:rsidR="009A6559">
              <w:rPr>
                <w:rFonts w:ascii="Verdana" w:eastAsia="Century Gothic" w:hAnsi="Verdana" w:cs="Century Gothic"/>
              </w:rPr>
              <w:t>se inscriben los</w:t>
            </w:r>
            <w:r w:rsidR="00AF6CA6">
              <w:rPr>
                <w:rFonts w:ascii="Verdana" w:eastAsia="Century Gothic" w:hAnsi="Verdana" w:cs="Century Gothic"/>
              </w:rPr>
              <w:t xml:space="preserve"> comerciantes y los establecimientos de comercio</w:t>
            </w:r>
            <w:r w:rsidR="00643D2B">
              <w:rPr>
                <w:rFonts w:ascii="Verdana" w:eastAsia="Century Gothic" w:hAnsi="Verdana" w:cs="Century Gothic"/>
              </w:rPr>
              <w:t>, lo</w:t>
            </w:r>
            <w:r w:rsidR="009A6559">
              <w:rPr>
                <w:rFonts w:ascii="Verdana" w:eastAsia="Century Gothic" w:hAnsi="Verdana" w:cs="Century Gothic"/>
              </w:rPr>
              <w:t xml:space="preserve"> que</w:t>
            </w:r>
            <w:r w:rsidR="00643D2B">
              <w:rPr>
                <w:rFonts w:ascii="Verdana" w:eastAsia="Century Gothic" w:hAnsi="Verdana" w:cs="Century Gothic"/>
              </w:rPr>
              <w:t xml:space="preserve"> significa que </w:t>
            </w:r>
            <w:r w:rsidR="009A6559">
              <w:rPr>
                <w:rFonts w:ascii="Verdana" w:eastAsia="Century Gothic" w:hAnsi="Verdana" w:cs="Century Gothic"/>
              </w:rPr>
              <w:t xml:space="preserve">para inscribirse en este registro no resulta obligatorio </w:t>
            </w:r>
            <w:r w:rsidR="00643D2B">
              <w:rPr>
                <w:rFonts w:ascii="Verdana" w:eastAsia="Century Gothic" w:hAnsi="Verdana" w:cs="Century Gothic"/>
              </w:rPr>
              <w:t xml:space="preserve">tener establecimiento de comercio </w:t>
            </w:r>
            <w:r w:rsidR="009A6559">
              <w:rPr>
                <w:rFonts w:ascii="Verdana" w:eastAsia="Century Gothic" w:hAnsi="Verdana" w:cs="Century Gothic"/>
              </w:rPr>
              <w:t>si se tiene la calidad de comerciante.</w:t>
            </w:r>
            <w:r w:rsidR="00643D2B">
              <w:rPr>
                <w:rFonts w:ascii="Verdana" w:eastAsia="Century Gothic" w:hAnsi="Verdana" w:cs="Century Gothic"/>
              </w:rPr>
              <w:t xml:space="preserve"> </w:t>
            </w:r>
          </w:p>
        </w:tc>
      </w:tr>
    </w:tbl>
    <w:p w14:paraId="6B4ACBDE" w14:textId="77777777" w:rsidR="00972E9B" w:rsidRPr="003C73CF" w:rsidRDefault="00972E9B" w:rsidP="00972E9B">
      <w:pPr>
        <w:tabs>
          <w:tab w:val="left" w:pos="142"/>
          <w:tab w:val="left" w:pos="284"/>
        </w:tabs>
        <w:spacing w:after="0" w:line="276" w:lineRule="auto"/>
        <w:jc w:val="both"/>
        <w:rPr>
          <w:rFonts w:ascii="Verdana" w:eastAsia="Century Gothic" w:hAnsi="Verdana" w:cs="Century Gothic"/>
          <w:b/>
          <w:bCs/>
          <w:lang w:val="es-ES"/>
        </w:rPr>
      </w:pPr>
    </w:p>
    <w:p w14:paraId="2F7BFCA9" w14:textId="77777777" w:rsidR="00972E9B" w:rsidRPr="003C73CF" w:rsidRDefault="00972E9B" w:rsidP="00972E9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73CF">
        <w:rPr>
          <w:rFonts w:ascii="Verdana" w:eastAsia="Century Gothic" w:hAnsi="Verdana" w:cs="Century Gothic"/>
          <w:b/>
          <w:bCs/>
        </w:rPr>
        <w:t>Razones de la respuesta:</w:t>
      </w:r>
    </w:p>
    <w:p w14:paraId="4298A05C" w14:textId="77777777" w:rsidR="00972E9B" w:rsidRPr="003C73CF" w:rsidRDefault="00972E9B" w:rsidP="00972E9B">
      <w:pPr>
        <w:spacing w:after="0" w:line="276" w:lineRule="auto"/>
        <w:jc w:val="both"/>
        <w:rPr>
          <w:rFonts w:ascii="Verdana" w:eastAsia="Calibri" w:hAnsi="Verdana" w:cs="Arial"/>
          <w:color w:val="7030A0"/>
          <w:lang w:val="es-ES"/>
        </w:rPr>
      </w:pPr>
    </w:p>
    <w:p w14:paraId="50F3C7B6" w14:textId="744CAF67" w:rsidR="00972E9B" w:rsidRPr="003C73CF" w:rsidRDefault="00972E9B" w:rsidP="00972E9B">
      <w:pPr>
        <w:spacing w:after="0"/>
        <w:jc w:val="both"/>
        <w:rPr>
          <w:rFonts w:ascii="Verdana" w:eastAsia="Calibri" w:hAnsi="Verdana" w:cs="Arial"/>
          <w:lang w:val="es-ES"/>
        </w:rPr>
      </w:pPr>
      <w:r w:rsidRPr="003C73CF">
        <w:rPr>
          <w:rFonts w:ascii="Verdana" w:eastAsia="Calibri" w:hAnsi="Verdana" w:cs="Arial"/>
          <w:lang w:val="es-ES"/>
        </w:rPr>
        <w:t>Lo anterior se sustenta en las siguientes consideraciones:</w:t>
      </w:r>
    </w:p>
    <w:p w14:paraId="5A8D644C" w14:textId="77777777" w:rsidR="00D50A42" w:rsidRPr="003C73CF" w:rsidRDefault="00D50A42" w:rsidP="00972E9B">
      <w:pPr>
        <w:spacing w:after="0"/>
        <w:jc w:val="both"/>
        <w:rPr>
          <w:rFonts w:ascii="Verdana" w:eastAsia="Calibri" w:hAnsi="Verdana" w:cs="Arial"/>
          <w:lang w:val="es-ES"/>
        </w:rPr>
      </w:pPr>
    </w:p>
    <w:p w14:paraId="6D876592" w14:textId="77777777" w:rsidR="00A25814" w:rsidRPr="003C73CF" w:rsidRDefault="009070B2" w:rsidP="00302E10">
      <w:pPr>
        <w:spacing w:after="120" w:line="276" w:lineRule="auto"/>
        <w:jc w:val="both"/>
        <w:rPr>
          <w:rFonts w:ascii="Verdana" w:eastAsia="Calibri" w:hAnsi="Verdana" w:cs="Arial"/>
          <w:lang w:val="es-MX"/>
        </w:rPr>
      </w:pPr>
      <w:r w:rsidRPr="003C73CF">
        <w:rPr>
          <w:rFonts w:ascii="Verdana" w:eastAsia="Calibri" w:hAnsi="Verdana" w:cs="Arial"/>
          <w:bCs/>
        </w:rPr>
        <w:t xml:space="preserve">El 31 de diciembre de 2020 se promulgó la Ley 2069, </w:t>
      </w:r>
      <w:r w:rsidR="00C3364B" w:rsidRPr="003C73CF">
        <w:rPr>
          <w:rFonts w:ascii="Verdana" w:eastAsia="Calibri" w:hAnsi="Verdana" w:cs="Arial"/>
          <w:bCs/>
        </w:rPr>
        <w:t>“</w:t>
      </w:r>
      <w:r w:rsidRPr="003C73CF">
        <w:rPr>
          <w:rFonts w:ascii="Verdana" w:eastAsia="Calibri" w:hAnsi="Verdana" w:cs="Arial"/>
          <w:bCs/>
        </w:rPr>
        <w:t>Por medio de la cual se impulsa el emprendimiento en Colombia</w:t>
      </w:r>
      <w:r w:rsidR="00C3364B" w:rsidRPr="003C73CF">
        <w:rPr>
          <w:rFonts w:ascii="Verdana" w:eastAsia="Calibri" w:hAnsi="Verdana" w:cs="Arial"/>
          <w:bCs/>
        </w:rPr>
        <w:t>”</w:t>
      </w:r>
      <w:r w:rsidRPr="003C73CF">
        <w:rPr>
          <w:rFonts w:ascii="Verdana" w:eastAsia="Calibri" w:hAnsi="Verdana" w:cs="Arial"/>
          <w:bCs/>
        </w:rPr>
        <w:t xml:space="preserve">. De acuerdo con el artículo 84, </w:t>
      </w:r>
      <w:r w:rsidR="00C3364B" w:rsidRPr="003C73CF">
        <w:rPr>
          <w:rFonts w:ascii="Verdana" w:eastAsia="Calibri" w:hAnsi="Verdana" w:cs="Arial"/>
          <w:bCs/>
        </w:rPr>
        <w:t>“</w:t>
      </w:r>
      <w:r w:rsidRPr="003C73CF">
        <w:rPr>
          <w:rFonts w:ascii="Verdana" w:eastAsia="Calibri" w:hAnsi="Verdana" w:cs="Arial"/>
          <w:bCs/>
        </w:rPr>
        <w:t>La presente Ley rige a partir del momento de su promulgación […]</w:t>
      </w:r>
      <w:r w:rsidR="00C3364B" w:rsidRPr="003C73CF">
        <w:rPr>
          <w:rFonts w:ascii="Verdana" w:eastAsia="Calibri" w:hAnsi="Verdana" w:cs="Arial"/>
          <w:bCs/>
        </w:rPr>
        <w:t>”</w:t>
      </w:r>
      <w:r w:rsidRPr="003C73CF">
        <w:rPr>
          <w:rFonts w:ascii="Verdana" w:eastAsia="Calibri" w:hAnsi="Verdana" w:cs="Arial"/>
          <w:bCs/>
        </w:rPr>
        <w:t>,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55A56DBD" w14:textId="77777777" w:rsidR="001B682C" w:rsidRPr="003C73CF" w:rsidRDefault="00A25814" w:rsidP="00302E10">
      <w:pPr>
        <w:spacing w:after="120" w:line="276" w:lineRule="auto"/>
        <w:ind w:firstLine="709"/>
        <w:jc w:val="both"/>
        <w:rPr>
          <w:rFonts w:ascii="Verdana" w:eastAsia="Calibri" w:hAnsi="Verdana" w:cs="Arial"/>
          <w:lang w:val="es-MX"/>
        </w:rPr>
      </w:pPr>
      <w:r w:rsidRPr="003C73CF">
        <w:rPr>
          <w:rFonts w:ascii="Verdana" w:eastAsia="Calibri" w:hAnsi="Verdana" w:cs="Arial"/>
          <w:lang w:val="es-MX"/>
        </w:rPr>
        <w:t xml:space="preserve">En cuanto a su contenido, es importante señalar </w:t>
      </w:r>
      <w:r w:rsidR="001E4E0B" w:rsidRPr="003C73CF">
        <w:rPr>
          <w:rFonts w:ascii="Verdana" w:eastAsia="Calibri" w:hAnsi="Verdana" w:cs="Arial"/>
          <w:lang w:val="es-MX"/>
        </w:rPr>
        <w:t xml:space="preserve">que la Ley 2069 tiene normas que modifican </w:t>
      </w:r>
      <w:r w:rsidR="00BE3E76" w:rsidRPr="003C73CF">
        <w:rPr>
          <w:rFonts w:ascii="Verdana" w:eastAsia="Calibri" w:hAnsi="Verdana" w:cs="Arial"/>
          <w:lang w:val="es-MX"/>
        </w:rPr>
        <w:t xml:space="preserve">algunos aspectos de la contratación estatal para promover el emprendimiento. Concretamente, aquellas se encuentran en el Capítulo 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w:t>
      </w:r>
      <w:r w:rsidR="00BE3E76" w:rsidRPr="003C73CF">
        <w:rPr>
          <w:rFonts w:ascii="Verdana" w:eastAsia="Calibri" w:hAnsi="Verdana" w:cs="Arial"/>
          <w:lang w:val="es-MX"/>
        </w:rPr>
        <w:lastRenderedPageBreak/>
        <w:t xml:space="preserve">compras públicas, v) promoción del desarrollo en la contratación pública, vi) un nuevo régimen de factores de desempate y vi) un llamado a las entidades estatales para que promuevan compras públicas en el marco de la tecnología y la </w:t>
      </w:r>
      <w:r w:rsidR="000102C2" w:rsidRPr="003C73CF">
        <w:rPr>
          <w:rFonts w:ascii="Verdana" w:eastAsia="Calibri" w:hAnsi="Verdana" w:cs="Arial"/>
          <w:lang w:val="es-MX"/>
        </w:rPr>
        <w:t>innovación</w:t>
      </w:r>
      <w:r w:rsidR="000102C2" w:rsidRPr="003C73CF">
        <w:rPr>
          <w:color w:val="000000" w:themeColor="text1"/>
          <w:vertAlign w:val="superscript"/>
          <w:lang w:val="es-ES_tradnl"/>
        </w:rPr>
        <w:footnoteReference w:id="2"/>
      </w:r>
      <w:r w:rsidR="000102C2" w:rsidRPr="003C73CF">
        <w:rPr>
          <w:rFonts w:ascii="Verdana" w:eastAsia="Calibri" w:hAnsi="Verdana" w:cs="Arial"/>
          <w:color w:val="000000" w:themeColor="text1"/>
          <w:lang w:val="es-ES_tradnl"/>
        </w:rPr>
        <w:t>.</w:t>
      </w:r>
    </w:p>
    <w:p w14:paraId="03C3BAF4" w14:textId="11AA6D33" w:rsidR="001B682C" w:rsidRPr="003C73CF" w:rsidRDefault="001B682C"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Dentro del referido capítulo se encuentra</w:t>
      </w:r>
      <w:r w:rsidR="00805F08" w:rsidRPr="003C73CF">
        <w:rPr>
          <w:rFonts w:ascii="Verdana" w:eastAsia="Calibri" w:hAnsi="Verdana" w:cs="Arial"/>
          <w:lang w:val="es-MX"/>
        </w:rPr>
        <w:t xml:space="preserve"> el artículo </w:t>
      </w:r>
      <w:r w:rsidR="007C21B8" w:rsidRPr="003C73CF">
        <w:rPr>
          <w:rFonts w:ascii="Verdana" w:eastAsia="Calibri" w:hAnsi="Verdana" w:cs="Arial"/>
          <w:lang w:val="es-MX"/>
        </w:rPr>
        <w:t xml:space="preserve">32 de la Ley 2069 de </w:t>
      </w:r>
      <w:r w:rsidR="00504599" w:rsidRPr="003C73CF">
        <w:rPr>
          <w:rFonts w:ascii="Verdana" w:eastAsia="Calibri" w:hAnsi="Verdana" w:cs="Arial"/>
          <w:lang w:val="es-MX"/>
        </w:rPr>
        <w:t>2020 regula</w:t>
      </w:r>
      <w:r w:rsidR="007C21B8" w:rsidRPr="003C73CF">
        <w:rPr>
          <w:rFonts w:ascii="Verdana" w:eastAsia="Calibri" w:hAnsi="Verdana" w:cs="Arial"/>
          <w:lang w:val="es-MX"/>
        </w:rPr>
        <w:t xml:space="preserve"> criterios diferenciales para los Emprendimientos y Empresas de Mujeres en el sistema de compras y contratación pública.</w:t>
      </w:r>
      <w:r w:rsidR="002F1C7C" w:rsidRPr="003C73CF">
        <w:rPr>
          <w:rFonts w:ascii="Verdana" w:eastAsia="Calibri" w:hAnsi="Verdana" w:cs="Arial"/>
          <w:lang w:val="es-MX"/>
        </w:rPr>
        <w:t xml:space="preserve"> 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w:t>
      </w:r>
      <w:r w:rsidR="00057B8F" w:rsidRPr="003C73CF">
        <w:rPr>
          <w:rFonts w:ascii="Verdana" w:eastAsia="Calibri" w:hAnsi="Verdana" w:cs="Arial"/>
          <w:lang w:val="es-MX"/>
        </w:rPr>
        <w:t>E</w:t>
      </w:r>
      <w:r w:rsidR="002F1C7C" w:rsidRPr="003C73CF">
        <w:rPr>
          <w:rFonts w:ascii="Verdana" w:eastAsia="Calibri" w:hAnsi="Verdana" w:cs="Arial"/>
          <w:lang w:val="es-MX"/>
        </w:rPr>
        <w:t xml:space="preserve">ntidades </w:t>
      </w:r>
      <w:r w:rsidR="00057B8F" w:rsidRPr="003C73CF">
        <w:rPr>
          <w:rFonts w:ascii="Verdana" w:eastAsia="Calibri" w:hAnsi="Verdana" w:cs="Arial"/>
          <w:lang w:val="es-MX"/>
        </w:rPr>
        <w:t>E</w:t>
      </w:r>
      <w:r w:rsidR="002F1C7C" w:rsidRPr="003C73CF">
        <w:rPr>
          <w:rFonts w:ascii="Verdana" w:eastAsia="Calibri" w:hAnsi="Verdana" w:cs="Arial"/>
          <w:lang w:val="es-MX"/>
        </w:rPr>
        <w:t xml:space="preserve">statales excluidas de la Ley 80 de 1993.     </w:t>
      </w:r>
    </w:p>
    <w:p w14:paraId="32999C49" w14:textId="77777777" w:rsidR="00A21284" w:rsidRPr="003C73CF" w:rsidRDefault="00FE11C0"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No obstante, el artículo 32 de la Ley 2069 de 2020 –al igual que el artículo 31–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establecidos en el artículo 32 de la Ley 2069 de 2020.</w:t>
      </w:r>
    </w:p>
    <w:p w14:paraId="60660DCC" w14:textId="77777777" w:rsidR="007F1457" w:rsidRPr="003C73CF" w:rsidRDefault="00A21284"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Con fundamento en lo anterior,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p>
    <w:p w14:paraId="09788335" w14:textId="28D3A8DB" w:rsidR="007F1457" w:rsidRPr="003C73CF" w:rsidRDefault="007F1457"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lastRenderedPageBreak/>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w:t>
      </w:r>
      <w:r w:rsidR="005C053D" w:rsidRPr="003C73CF">
        <w:rPr>
          <w:rFonts w:ascii="Verdana" w:eastAsia="Calibri" w:hAnsi="Verdana" w:cs="Arial"/>
          <w:lang w:val="es-MX"/>
        </w:rPr>
        <w:t>E</w:t>
      </w:r>
      <w:r w:rsidRPr="003C73CF">
        <w:rPr>
          <w:rFonts w:ascii="Verdana" w:eastAsia="Calibri" w:hAnsi="Verdana" w:cs="Arial"/>
          <w:lang w:val="es-MX"/>
        </w:rPr>
        <w:t xml:space="preserve">mprendimientos y </w:t>
      </w:r>
      <w:r w:rsidR="005C053D" w:rsidRPr="003C73CF">
        <w:rPr>
          <w:rFonts w:ascii="Verdana" w:eastAsia="Calibri" w:hAnsi="Verdana" w:cs="Arial"/>
          <w:lang w:val="es-MX"/>
        </w:rPr>
        <w:t>E</w:t>
      </w:r>
      <w:r w:rsidRPr="003C73CF">
        <w:rPr>
          <w:rFonts w:ascii="Verdana" w:eastAsia="Calibri" w:hAnsi="Verdana" w:cs="Arial"/>
          <w:lang w:val="es-MX"/>
        </w:rPr>
        <w:t xml:space="preserve">mpresas de </w:t>
      </w:r>
      <w:r w:rsidR="005C053D" w:rsidRPr="003C73CF">
        <w:rPr>
          <w:rFonts w:ascii="Verdana" w:eastAsia="Calibri" w:hAnsi="Verdana" w:cs="Arial"/>
          <w:lang w:val="es-MX"/>
        </w:rPr>
        <w:t>M</w:t>
      </w:r>
      <w:r w:rsidRPr="003C73CF">
        <w:rPr>
          <w:rFonts w:ascii="Verdana" w:eastAsia="Calibri" w:hAnsi="Verdana" w:cs="Arial"/>
          <w:lang w:val="es-MX"/>
        </w:rPr>
        <w:t>ujeres, mientras que la segunda establece los criterios diferenciales y regula su aplicación.</w:t>
      </w:r>
    </w:p>
    <w:p w14:paraId="18B41FD4" w14:textId="77777777" w:rsidR="006D50BD" w:rsidRPr="003C73CF" w:rsidRDefault="00755E35"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Conforme se viene explicando, el artículo 32 de la Ley 2069 de 2021 establece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en favor de los </w:t>
      </w:r>
      <w:r w:rsidR="00185F07" w:rsidRPr="003C73CF">
        <w:rPr>
          <w:rFonts w:ascii="Verdana" w:eastAsia="Calibri" w:hAnsi="Verdana" w:cs="Arial"/>
          <w:lang w:val="es-MX"/>
        </w:rPr>
        <w:t>E</w:t>
      </w:r>
      <w:r w:rsidRPr="003C73CF">
        <w:rPr>
          <w:rFonts w:ascii="Verdana" w:eastAsia="Calibri" w:hAnsi="Verdana" w:cs="Arial"/>
          <w:lang w:val="es-MX"/>
        </w:rPr>
        <w:t xml:space="preserve">mprendimientos y </w:t>
      </w:r>
      <w:r w:rsidR="00185F07" w:rsidRPr="003C73CF">
        <w:rPr>
          <w:rFonts w:ascii="Verdana" w:eastAsia="Calibri" w:hAnsi="Verdana" w:cs="Arial"/>
          <w:lang w:val="es-MX"/>
        </w:rPr>
        <w:t>E</w:t>
      </w:r>
      <w:r w:rsidRPr="003C73CF">
        <w:rPr>
          <w:rFonts w:ascii="Verdana" w:eastAsia="Calibri" w:hAnsi="Verdana" w:cs="Arial"/>
          <w:lang w:val="es-MX"/>
        </w:rPr>
        <w:t xml:space="preserve">mpresas de </w:t>
      </w:r>
      <w:r w:rsidR="00185F07" w:rsidRPr="003C73CF">
        <w:rPr>
          <w:rFonts w:ascii="Verdana" w:eastAsia="Calibri" w:hAnsi="Verdana" w:cs="Arial"/>
          <w:lang w:val="es-MX"/>
        </w:rPr>
        <w:t>M</w:t>
      </w:r>
      <w:r w:rsidRPr="003C73CF">
        <w:rPr>
          <w:rFonts w:ascii="Verdana" w:eastAsia="Calibri" w:hAnsi="Verdana" w:cs="Arial"/>
          <w:lang w:val="es-MX"/>
        </w:rPr>
        <w:t>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25EC8AEA" w14:textId="4586DA54" w:rsidR="006D50BD" w:rsidRPr="003C73CF" w:rsidRDefault="006D50BD"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w:t>
      </w:r>
      <w:r w:rsidR="00BD545A" w:rsidRPr="003C73CF">
        <w:rPr>
          <w:rFonts w:ascii="Verdana" w:eastAsia="Calibri" w:hAnsi="Verdana" w:cs="Arial"/>
          <w:lang w:val="es-MX"/>
        </w:rPr>
        <w:t>E</w:t>
      </w:r>
      <w:r w:rsidRPr="003C73CF">
        <w:rPr>
          <w:rFonts w:ascii="Verdana" w:eastAsia="Calibri" w:hAnsi="Verdana" w:cs="Arial"/>
          <w:lang w:val="es-MX"/>
        </w:rPr>
        <w:t xml:space="preserve">mprendimientos y </w:t>
      </w:r>
      <w:r w:rsidR="00BD545A" w:rsidRPr="003C73CF">
        <w:rPr>
          <w:rFonts w:ascii="Verdana" w:eastAsia="Calibri" w:hAnsi="Verdana" w:cs="Arial"/>
          <w:lang w:val="es-MX"/>
        </w:rPr>
        <w:t>E</w:t>
      </w:r>
      <w:r w:rsidRPr="003C73CF">
        <w:rPr>
          <w:rFonts w:ascii="Verdana" w:eastAsia="Calibri" w:hAnsi="Verdana" w:cs="Arial"/>
          <w:lang w:val="es-MX"/>
        </w:rPr>
        <w:t xml:space="preserve">mpresas de </w:t>
      </w:r>
      <w:r w:rsidR="00BD545A" w:rsidRPr="003C73CF">
        <w:rPr>
          <w:rFonts w:ascii="Verdana" w:eastAsia="Calibri" w:hAnsi="Verdana" w:cs="Arial"/>
          <w:lang w:val="es-MX"/>
        </w:rPr>
        <w:t>M</w:t>
      </w:r>
      <w:r w:rsidRPr="003C73CF">
        <w:rPr>
          <w:rFonts w:ascii="Verdana" w:eastAsia="Calibri" w:hAnsi="Verdana" w:cs="Arial"/>
          <w:lang w:val="es-MX"/>
        </w:rPr>
        <w:t xml:space="preserve">ujeres, a las que les aplican los criterios diferenciales. Para estos efectos, cada uno de los cuatro numerales de la norma establecen unas condiciones alternativas que definen los </w:t>
      </w:r>
      <w:r w:rsidR="00AA3A30" w:rsidRPr="003C73CF">
        <w:rPr>
          <w:rFonts w:ascii="Verdana" w:eastAsia="Calibri" w:hAnsi="Verdana" w:cs="Arial"/>
          <w:lang w:val="es-MX"/>
        </w:rPr>
        <w:t>E</w:t>
      </w:r>
      <w:r w:rsidRPr="003C73CF">
        <w:rPr>
          <w:rFonts w:ascii="Verdana" w:eastAsia="Calibri" w:hAnsi="Verdana" w:cs="Arial"/>
          <w:lang w:val="es-MX"/>
        </w:rPr>
        <w:t xml:space="preserve">mprendimientos y </w:t>
      </w:r>
      <w:r w:rsidR="00AA3A30" w:rsidRPr="003C73CF">
        <w:rPr>
          <w:rFonts w:ascii="Verdana" w:eastAsia="Calibri" w:hAnsi="Verdana" w:cs="Arial"/>
          <w:lang w:val="es-MX"/>
        </w:rPr>
        <w:t>E</w:t>
      </w:r>
      <w:r w:rsidRPr="003C73CF">
        <w:rPr>
          <w:rFonts w:ascii="Verdana" w:eastAsia="Calibri" w:hAnsi="Verdana" w:cs="Arial"/>
          <w:lang w:val="es-MX"/>
        </w:rPr>
        <w:t xml:space="preserve">mpresas de mujeres, </w:t>
      </w:r>
      <w:r w:rsidR="003F1F71" w:rsidRPr="003C73CF">
        <w:rPr>
          <w:rFonts w:ascii="Verdana" w:eastAsia="Calibri" w:hAnsi="Verdana" w:cs="Arial"/>
          <w:lang w:val="es-MX"/>
        </w:rPr>
        <w:t>para</w:t>
      </w:r>
      <w:r w:rsidRPr="003C73CF">
        <w:rPr>
          <w:rFonts w:ascii="Verdana" w:eastAsia="Calibri" w:hAnsi="Verdana" w:cs="Arial"/>
          <w:lang w:val="es-MX"/>
        </w:rPr>
        <w:t xml:space="preserve"> aplicar los criterios diferenciales y tienen como elemento común que las condiciones deben haber tenido por lo menos un (1) año de duración anterior al proceso de selección.</w:t>
      </w:r>
    </w:p>
    <w:p w14:paraId="1DF81D84" w14:textId="14779CFF" w:rsidR="00C602D1" w:rsidRPr="003C73CF" w:rsidRDefault="00C602D1"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De esta manera, los criterios diferenciales y la asignación de puntajes adicionales en procesos de selección de contratistas del Estado, creados en favor de </w:t>
      </w:r>
      <w:r w:rsidR="008C023E" w:rsidRPr="003C73CF">
        <w:rPr>
          <w:rFonts w:ascii="Verdana" w:eastAsia="Calibri" w:hAnsi="Verdana" w:cs="Arial"/>
          <w:lang w:val="es-MX"/>
        </w:rPr>
        <w:t>los E</w:t>
      </w:r>
      <w:r w:rsidRPr="003C73CF">
        <w:rPr>
          <w:rFonts w:ascii="Verdana" w:eastAsia="Calibri" w:hAnsi="Verdana" w:cs="Arial"/>
          <w:lang w:val="es-MX"/>
        </w:rPr>
        <w:t xml:space="preserve">mprendimientos y </w:t>
      </w:r>
      <w:r w:rsidR="008C023E" w:rsidRPr="003C73CF">
        <w:rPr>
          <w:rFonts w:ascii="Verdana" w:eastAsia="Calibri" w:hAnsi="Verdana" w:cs="Arial"/>
          <w:lang w:val="es-MX"/>
        </w:rPr>
        <w:t>E</w:t>
      </w:r>
      <w:r w:rsidRPr="003C73CF">
        <w:rPr>
          <w:rFonts w:ascii="Verdana" w:eastAsia="Calibri" w:hAnsi="Verdana" w:cs="Arial"/>
          <w:lang w:val="es-MX"/>
        </w:rPr>
        <w:t xml:space="preserve">mpresas de </w:t>
      </w:r>
      <w:r w:rsidR="008C023E" w:rsidRPr="003C73CF">
        <w:rPr>
          <w:rFonts w:ascii="Verdana" w:eastAsia="Calibri" w:hAnsi="Verdana" w:cs="Arial"/>
          <w:lang w:val="es-MX"/>
        </w:rPr>
        <w:t>M</w:t>
      </w:r>
      <w:r w:rsidRPr="003C73CF">
        <w:rPr>
          <w:rFonts w:ascii="Verdana" w:eastAsia="Calibri" w:hAnsi="Verdana" w:cs="Arial"/>
          <w:lang w:val="es-MX"/>
        </w:rPr>
        <w:t xml:space="preserve">ujeres; incluidos en el artículo 32 de la Ley 2069 de 2020 y reglamentados mediante el Decreto 1860 de 2021, únicamente, se aplicarán a los proponentes que acrediten alguna de las condiciones señaladas en el artículo 2.2.1.2.4.2.14 del Decreto 1082 de 2015 que define el concepto aludido en la ley. Respecto a la definición consagrada en la disposición objeto de estudio debe señalarse que, cada uno de los supuestos de hecho de los cuatro numerales de la norma exigen que se hayan cumplido, </w:t>
      </w:r>
      <w:r w:rsidRPr="003C73CF">
        <w:rPr>
          <w:rFonts w:ascii="Verdana" w:eastAsia="Calibri" w:hAnsi="Verdana" w:cs="Arial"/>
          <w:lang w:val="es-MX"/>
        </w:rPr>
        <w:lastRenderedPageBreak/>
        <w:t>por lo menos, durante el año anterior a la fecha de cierre del proceso de selección.</w:t>
      </w:r>
    </w:p>
    <w:p w14:paraId="212E5791" w14:textId="6972CFDC" w:rsidR="00167129" w:rsidRPr="003C73CF" w:rsidRDefault="00167129"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Teniendo en cuenta el objeto de la presente consulta, resulta relevante el análisis del numeral tercero del artículo antes citado, según el cual tratándose de personas naturales debe cumplirse con las siguientes condiciones para ser consideradas </w:t>
      </w:r>
      <w:r w:rsidR="005778D3" w:rsidRPr="003C73CF">
        <w:rPr>
          <w:rFonts w:ascii="Verdana" w:eastAsia="Calibri" w:hAnsi="Verdana" w:cs="Arial"/>
          <w:lang w:val="es-MX"/>
        </w:rPr>
        <w:t>como E</w:t>
      </w:r>
      <w:r w:rsidRPr="003C73CF">
        <w:rPr>
          <w:rFonts w:ascii="Verdana" w:eastAsia="Calibri" w:hAnsi="Verdana" w:cs="Arial"/>
          <w:lang w:val="es-MX"/>
        </w:rPr>
        <w:t xml:space="preserve">mprendimientos y </w:t>
      </w:r>
      <w:r w:rsidR="005778D3" w:rsidRPr="003C73CF">
        <w:rPr>
          <w:rFonts w:ascii="Verdana" w:eastAsia="Calibri" w:hAnsi="Verdana" w:cs="Arial"/>
          <w:lang w:val="es-MX"/>
        </w:rPr>
        <w:t>E</w:t>
      </w:r>
      <w:r w:rsidRPr="003C73CF">
        <w:rPr>
          <w:rFonts w:ascii="Verdana" w:eastAsia="Calibri" w:hAnsi="Verdana" w:cs="Arial"/>
          <w:lang w:val="es-MX"/>
        </w:rPr>
        <w:t xml:space="preserve">mpresas de </w:t>
      </w:r>
      <w:r w:rsidR="005778D3" w:rsidRPr="003C73CF">
        <w:rPr>
          <w:rFonts w:ascii="Verdana" w:eastAsia="Calibri" w:hAnsi="Verdana" w:cs="Arial"/>
          <w:lang w:val="es-MX"/>
        </w:rPr>
        <w:t>M</w:t>
      </w:r>
      <w:r w:rsidRPr="003C73CF">
        <w:rPr>
          <w:rFonts w:ascii="Verdana" w:eastAsia="Calibri" w:hAnsi="Verdana" w:cs="Arial"/>
          <w:lang w:val="es-MX"/>
        </w:rPr>
        <w:t>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w:t>
      </w:r>
    </w:p>
    <w:p w14:paraId="48DD50D8" w14:textId="6E9B7EC0" w:rsidR="001D711B" w:rsidRPr="003C73CF" w:rsidRDefault="001D711B"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Lo anterior quiere decir que, no basta con que la persona natural sea mujer para ser considerada como un </w:t>
      </w:r>
      <w:r w:rsidR="00D772D0" w:rsidRPr="003C73CF">
        <w:rPr>
          <w:rFonts w:ascii="Verdana" w:eastAsia="Calibri" w:hAnsi="Verdana" w:cs="Arial"/>
          <w:lang w:val="es-MX"/>
        </w:rPr>
        <w:t>E</w:t>
      </w:r>
      <w:r w:rsidRPr="003C73CF">
        <w:rPr>
          <w:rFonts w:ascii="Verdana" w:eastAsia="Calibri" w:hAnsi="Verdana" w:cs="Arial"/>
          <w:lang w:val="es-MX"/>
        </w:rPr>
        <w:t xml:space="preserve">mprendimiento o </w:t>
      </w:r>
      <w:r w:rsidR="00D772D0" w:rsidRPr="003C73CF">
        <w:rPr>
          <w:rFonts w:ascii="Verdana" w:eastAsia="Calibri" w:hAnsi="Verdana" w:cs="Arial"/>
          <w:lang w:val="es-MX"/>
        </w:rPr>
        <w:t>E</w:t>
      </w:r>
      <w:r w:rsidRPr="003C73CF">
        <w:rPr>
          <w:rFonts w:ascii="Verdana" w:eastAsia="Calibri" w:hAnsi="Verdana" w:cs="Arial"/>
          <w:lang w:val="es-MX"/>
        </w:rPr>
        <w:t xml:space="preserve">mpresa de </w:t>
      </w:r>
      <w:r w:rsidR="00D772D0" w:rsidRPr="003C73CF">
        <w:rPr>
          <w:rFonts w:ascii="Verdana" w:eastAsia="Calibri" w:hAnsi="Verdana" w:cs="Arial"/>
          <w:lang w:val="es-MX"/>
        </w:rPr>
        <w:t>M</w:t>
      </w:r>
      <w:r w:rsidRPr="003C73CF">
        <w:rPr>
          <w:rFonts w:ascii="Verdana" w:eastAsia="Calibri" w:hAnsi="Verdana" w:cs="Arial"/>
          <w:lang w:val="es-MX"/>
        </w:rPr>
        <w:t xml:space="preserve">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 artículo 2.2.1.2.4.2.14. del Decreto 1082 de 2015 – deja por fuera a aquellas mujeres que no hayan ejercido actividades comerciales a través de un establecimiento de comercio y/o que no cumplan con el requerimiento del tiempo mínimo de un año de ejercicio de las actividades.  </w:t>
      </w:r>
    </w:p>
    <w:p w14:paraId="7D42E1B0" w14:textId="2F227086" w:rsidR="00402FA2" w:rsidRPr="003C73CF" w:rsidRDefault="00402FA2"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Dado que una de las condiciones para ser considerada como Emprendimiento y/o Empresa de Mujeres está relacionada con que la persona natural haya ejercido actividades comerciales a través de establecimiento de comercio, para efectos de la consulta, es indispensable referirse a qué se entiende por actividad comercial y el desarrollo de esta a través de un establecimiento de comercio.</w:t>
      </w:r>
    </w:p>
    <w:p w14:paraId="7E5C9B66" w14:textId="77777777" w:rsidR="005F6779" w:rsidRPr="003C73CF" w:rsidRDefault="00F152E1"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w:t>
      </w:r>
      <w:r w:rsidRPr="003C73CF">
        <w:rPr>
          <w:rFonts w:ascii="Verdana" w:eastAsia="Calibri" w:hAnsi="Verdana" w:cs="Arial"/>
          <w:lang w:val="es-MX"/>
        </w:rPr>
        <w:lastRenderedPageBreak/>
        <w:t xml:space="preserve">artículo 20 del Código de Comercio agrupa unas distintas actividades bajo la categoría de “acto de comercio”, sin que dicha enumeración sea taxativa en nuestro sistema jurídico.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w:t>
      </w:r>
      <w:r w:rsidR="005A3159" w:rsidRPr="003C73CF">
        <w:rPr>
          <w:rFonts w:ascii="Verdana" w:eastAsia="Calibri" w:hAnsi="Verdana" w:cs="Arial"/>
          <w:lang w:val="es-MX"/>
        </w:rPr>
        <w:t>comercialidad.</w:t>
      </w:r>
    </w:p>
    <w:p w14:paraId="793B8639" w14:textId="77777777" w:rsidR="00A6259B" w:rsidRPr="003C73CF" w:rsidRDefault="005F6779"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Respecto del requisito del establecimiento de comercio, debe señalarse que la actividad comercial se realiza a través de establecimientos de comercio sujetos al registro mercantil. En efecto, de conformidad con el artículo 25 del Código de Comercio, </w:t>
      </w:r>
      <w:r w:rsidR="005A7F32" w:rsidRPr="003C73CF">
        <w:rPr>
          <w:rFonts w:ascii="Verdana" w:eastAsia="Calibri" w:hAnsi="Verdana" w:cs="Arial"/>
          <w:lang w:val="es-MX"/>
        </w:rPr>
        <w:t>“</w:t>
      </w:r>
      <w:r w:rsidRPr="003C73CF">
        <w:rPr>
          <w:rFonts w:ascii="Verdana" w:eastAsia="Calibri" w:hAnsi="Verdana" w:cs="Arial"/>
          <w:lang w:val="es-MX"/>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sidR="005A7F32" w:rsidRPr="003C73CF">
        <w:rPr>
          <w:rFonts w:ascii="Verdana" w:eastAsia="Calibri" w:hAnsi="Verdana" w:cs="Arial"/>
          <w:lang w:val="es-MX"/>
        </w:rPr>
        <w:t xml:space="preserve">” </w:t>
      </w:r>
      <w:r w:rsidRPr="003C73CF">
        <w:rPr>
          <w:rFonts w:ascii="Verdana" w:eastAsia="Calibri" w:hAnsi="Verdana" w:cs="Arial"/>
          <w:lang w:val="es-MX"/>
        </w:rPr>
        <w:t xml:space="preserve">(Énfasis fuera de texto). 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w:t>
      </w:r>
      <w:r w:rsidR="00CF2518" w:rsidRPr="003C73CF">
        <w:rPr>
          <w:rFonts w:ascii="Verdana" w:eastAsia="Calibri" w:hAnsi="Verdana" w:cs="Arial"/>
          <w:lang w:val="es-MX"/>
        </w:rPr>
        <w:t>mercado.</w:t>
      </w:r>
    </w:p>
    <w:p w14:paraId="6F838344" w14:textId="77777777" w:rsidR="004705E5" w:rsidRPr="003C73CF" w:rsidRDefault="00A6259B"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ES_tradnl"/>
        </w:rPr>
        <w:t xml:space="preserve">Ahora bien, frente al requisito del registro mercantil, el artículo 26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ibidem señalan que cuando un empresario abre su establecimiento de comercio debe cumplir con el deber profesional de matricularlo en el registro mercantil dentro del mes siguiente a su apertura y la información de dicha matricula debe </w:t>
      </w:r>
      <w:r w:rsidRPr="003C73CF">
        <w:rPr>
          <w:rFonts w:ascii="Verdana" w:eastAsia="Calibri" w:hAnsi="Verdana" w:cs="Arial"/>
          <w:lang w:val="es-ES_tradnl"/>
        </w:rPr>
        <w:lastRenderedPageBreak/>
        <w:t>actualizarse periódicamente mediante la renovación anual dentro de los tres (3) primeros meses de cada año.</w:t>
      </w:r>
    </w:p>
    <w:p w14:paraId="2206D7E7" w14:textId="32BC1E54" w:rsidR="00A93925" w:rsidRPr="00302E10" w:rsidRDefault="00A93925" w:rsidP="00302E10">
      <w:pPr>
        <w:spacing w:after="120" w:line="276" w:lineRule="auto"/>
        <w:ind w:firstLine="708"/>
        <w:jc w:val="both"/>
        <w:rPr>
          <w:rFonts w:ascii="Verdana" w:eastAsia="Calibri" w:hAnsi="Verdana" w:cs="Arial"/>
          <w:lang w:val="es-MX"/>
        </w:rPr>
      </w:pPr>
      <w:r w:rsidRPr="00302E10">
        <w:rPr>
          <w:rFonts w:ascii="Verdana" w:eastAsia="Calibri" w:hAnsi="Verdana" w:cs="Arial"/>
          <w:lang w:val="es-MX"/>
        </w:rPr>
        <w:t>Del expuesto, se evidencia que e</w:t>
      </w:r>
      <w:r w:rsidR="00341F46" w:rsidRPr="00302E10">
        <w:rPr>
          <w:rFonts w:ascii="Verdana" w:eastAsia="Calibri" w:hAnsi="Verdana" w:cs="Arial"/>
          <w:lang w:val="es-MX"/>
        </w:rPr>
        <w:t xml:space="preserve">l registro mercantil permite a todos los empresarios ejercer cualquier actividad comercial y acreditar públicamente su calidad de comerciante. </w:t>
      </w:r>
      <w:r w:rsidR="0018752C" w:rsidRPr="00302E10">
        <w:rPr>
          <w:rFonts w:ascii="Verdana" w:eastAsia="Calibri" w:hAnsi="Verdana" w:cs="Arial"/>
          <w:lang w:val="es-MX"/>
        </w:rPr>
        <w:t>Bajo este contexto, el registro mercantil pueden realizarlo tanto los comerciantes como los establecimientos de comercio</w:t>
      </w:r>
      <w:r w:rsidR="002649D3" w:rsidRPr="00302E10">
        <w:rPr>
          <w:rFonts w:ascii="Verdana" w:eastAsia="Calibri" w:hAnsi="Verdana" w:cs="Arial"/>
          <w:lang w:val="es-MX"/>
        </w:rPr>
        <w:t xml:space="preserve">, entendiendo a estos últimos como un conjunto de bienes organizados por el empresario para realizar los fines de la empresa. </w:t>
      </w:r>
    </w:p>
    <w:p w14:paraId="1855FA3B" w14:textId="790F0283" w:rsidR="004705E5" w:rsidRPr="003C73CF" w:rsidRDefault="004705E5"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De esta manera, se concluye que el numeral tercero del artículo 2.2.1.2.4.2.14 del Decreto 1082 de 2015 –adicionado por el artículo 3 del Decreto del Decreto 1860 de 2022– para definir los </w:t>
      </w:r>
      <w:r w:rsidR="00AB3013" w:rsidRPr="003C73CF">
        <w:rPr>
          <w:rFonts w:ascii="Verdana" w:eastAsia="Calibri" w:hAnsi="Verdana" w:cs="Arial"/>
          <w:lang w:val="es-MX"/>
        </w:rPr>
        <w:t>E</w:t>
      </w:r>
      <w:r w:rsidRPr="003C73CF">
        <w:rPr>
          <w:rFonts w:ascii="Verdana" w:eastAsia="Calibri" w:hAnsi="Verdana" w:cs="Arial"/>
          <w:lang w:val="es-MX"/>
        </w:rPr>
        <w:t xml:space="preserve">mprendimientos y </w:t>
      </w:r>
      <w:r w:rsidR="00AB3013" w:rsidRPr="003C73CF">
        <w:rPr>
          <w:rFonts w:ascii="Verdana" w:eastAsia="Calibri" w:hAnsi="Verdana" w:cs="Arial"/>
          <w:lang w:val="es-MX"/>
        </w:rPr>
        <w:t>E</w:t>
      </w:r>
      <w:r w:rsidRPr="003C73CF">
        <w:rPr>
          <w:rFonts w:ascii="Verdana" w:eastAsia="Calibri" w:hAnsi="Verdana" w:cs="Arial"/>
          <w:lang w:val="es-MX"/>
        </w:rPr>
        <w:t xml:space="preserve">mpresas de </w:t>
      </w:r>
      <w:r w:rsidR="00AB3013" w:rsidRPr="003C73CF">
        <w:rPr>
          <w:rFonts w:ascii="Verdana" w:eastAsia="Calibri" w:hAnsi="Verdana" w:cs="Arial"/>
          <w:lang w:val="es-MX"/>
        </w:rPr>
        <w:t>M</w:t>
      </w:r>
      <w:r w:rsidRPr="003C73CF">
        <w:rPr>
          <w:rFonts w:ascii="Verdana" w:eastAsia="Calibri" w:hAnsi="Verdana" w:cs="Arial"/>
          <w:lang w:val="es-MX"/>
        </w:rPr>
        <w:t xml:space="preserve">ujeres, en el caso de las personas naturales, parte del ejercicio de una actividad comercial y, de acuerdo con el análisis normativo realizado, </w:t>
      </w:r>
      <w:r w:rsidR="003D3BA2" w:rsidRPr="00302E10">
        <w:rPr>
          <w:rFonts w:ascii="Verdana" w:eastAsia="Calibri" w:hAnsi="Verdana" w:cs="Arial"/>
          <w:lang w:val="es-MX"/>
        </w:rPr>
        <w:t xml:space="preserve">se evidencia que </w:t>
      </w:r>
      <w:r w:rsidR="009B58AE" w:rsidRPr="00302E10">
        <w:rPr>
          <w:rFonts w:ascii="Verdana" w:eastAsia="Calibri" w:hAnsi="Verdana" w:cs="Arial"/>
          <w:lang w:val="es-MX"/>
        </w:rPr>
        <w:t>para acreditar</w:t>
      </w:r>
      <w:r w:rsidRPr="00302E10">
        <w:rPr>
          <w:rFonts w:ascii="Verdana" w:eastAsia="Calibri" w:hAnsi="Verdana" w:cs="Arial"/>
          <w:lang w:val="es-MX"/>
        </w:rPr>
        <w:t xml:space="preserve"> a </w:t>
      </w:r>
      <w:r w:rsidR="009B58AE" w:rsidRPr="00302E10">
        <w:rPr>
          <w:rFonts w:ascii="Verdana" w:eastAsia="Calibri" w:hAnsi="Verdana" w:cs="Arial"/>
          <w:lang w:val="es-MX"/>
        </w:rPr>
        <w:t>condición prevista</w:t>
      </w:r>
      <w:r w:rsidRPr="003C73CF">
        <w:rPr>
          <w:rFonts w:ascii="Verdana" w:eastAsia="Calibri" w:hAnsi="Verdana" w:cs="Arial"/>
          <w:lang w:val="es-MX"/>
        </w:rPr>
        <w:t xml:space="preserve"> en </w:t>
      </w:r>
      <w:r w:rsidR="009B58AE" w:rsidRPr="00302E10">
        <w:rPr>
          <w:rFonts w:ascii="Verdana" w:eastAsia="Calibri" w:hAnsi="Verdana" w:cs="Arial"/>
          <w:lang w:val="es-MX"/>
        </w:rPr>
        <w:t>la norma</w:t>
      </w:r>
      <w:r w:rsidRPr="003C73CF">
        <w:rPr>
          <w:rFonts w:ascii="Verdana" w:eastAsia="Calibri" w:hAnsi="Verdana" w:cs="Arial"/>
          <w:lang w:val="es-MX"/>
        </w:rPr>
        <w:t xml:space="preserve"> es necesario que la persona natural que realiza actividades de comercio acredite dicho registro de acuerdo con lo dispuesto por la ley comercial.</w:t>
      </w:r>
    </w:p>
    <w:p w14:paraId="30F23365" w14:textId="19D76027" w:rsidR="00FA1A68" w:rsidRPr="003C73CF" w:rsidRDefault="00FA1A68"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En este punto, es pertinente aclarar que el registro mercantil</w:t>
      </w:r>
      <w:r w:rsidR="00525F67" w:rsidRPr="00302E10">
        <w:rPr>
          <w:rFonts w:ascii="Verdana" w:eastAsia="Calibri" w:hAnsi="Verdana" w:cs="Arial"/>
          <w:lang w:val="es-MX"/>
        </w:rPr>
        <w:t xml:space="preserve">, </w:t>
      </w:r>
      <w:r w:rsidR="00F4116D" w:rsidRPr="00302E10">
        <w:rPr>
          <w:rFonts w:ascii="Verdana" w:eastAsia="Calibri" w:hAnsi="Verdana" w:cs="Arial"/>
          <w:lang w:val="es-MX"/>
        </w:rPr>
        <w:t>más no el establecimiento de comercio</w:t>
      </w:r>
      <w:r w:rsidR="00525F67" w:rsidRPr="00302E10">
        <w:rPr>
          <w:rFonts w:ascii="Verdana" w:eastAsia="Calibri" w:hAnsi="Verdana" w:cs="Arial"/>
          <w:lang w:val="es-MX"/>
        </w:rPr>
        <w:t>,</w:t>
      </w:r>
      <w:r w:rsidR="00F4116D" w:rsidRPr="00302E10">
        <w:rPr>
          <w:rFonts w:ascii="Verdana" w:eastAsia="Calibri" w:hAnsi="Verdana" w:cs="Arial"/>
          <w:lang w:val="es-MX"/>
        </w:rPr>
        <w:t xml:space="preserve"> </w:t>
      </w:r>
      <w:r w:rsidRPr="00302E10">
        <w:rPr>
          <w:rFonts w:ascii="Verdana" w:eastAsia="Calibri" w:hAnsi="Verdana" w:cs="Arial"/>
          <w:lang w:val="es-MX"/>
        </w:rPr>
        <w:t xml:space="preserve">es </w:t>
      </w:r>
      <w:r w:rsidR="00072F6D" w:rsidRPr="00302E10">
        <w:rPr>
          <w:rFonts w:ascii="Verdana" w:eastAsia="Calibri" w:hAnsi="Verdana" w:cs="Arial"/>
          <w:lang w:val="es-MX"/>
        </w:rPr>
        <w:t>el requisito</w:t>
      </w:r>
      <w:r w:rsidRPr="003C73CF">
        <w:rPr>
          <w:rFonts w:ascii="Verdana" w:eastAsia="Calibri" w:hAnsi="Verdana" w:cs="Arial"/>
          <w:lang w:val="es-MX"/>
        </w:rPr>
        <w:t xml:space="preserve"> requerido para ser acreedor de los criterios diferenciales consagrados a favor de los </w:t>
      </w:r>
      <w:r w:rsidR="00805D48" w:rsidRPr="003C73CF">
        <w:rPr>
          <w:rFonts w:ascii="Verdana" w:eastAsia="Calibri" w:hAnsi="Verdana" w:cs="Arial"/>
          <w:lang w:val="es-MX"/>
        </w:rPr>
        <w:t>E</w:t>
      </w:r>
      <w:r w:rsidRPr="003C73CF">
        <w:rPr>
          <w:rFonts w:ascii="Verdana" w:eastAsia="Calibri" w:hAnsi="Verdana" w:cs="Arial"/>
          <w:lang w:val="es-MX"/>
        </w:rPr>
        <w:t xml:space="preserve">mprendimientos y </w:t>
      </w:r>
      <w:r w:rsidR="00805D48" w:rsidRPr="003C73CF">
        <w:rPr>
          <w:rFonts w:ascii="Verdana" w:eastAsia="Calibri" w:hAnsi="Verdana" w:cs="Arial"/>
          <w:lang w:val="es-MX"/>
        </w:rPr>
        <w:t>E</w:t>
      </w:r>
      <w:r w:rsidRPr="003C73CF">
        <w:rPr>
          <w:rFonts w:ascii="Verdana" w:eastAsia="Calibri" w:hAnsi="Verdana" w:cs="Arial"/>
          <w:lang w:val="es-MX"/>
        </w:rPr>
        <w:t xml:space="preserve">mpresas de </w:t>
      </w:r>
      <w:r w:rsidR="00805D48" w:rsidRPr="003C73CF">
        <w:rPr>
          <w:rFonts w:ascii="Verdana" w:eastAsia="Calibri" w:hAnsi="Verdana" w:cs="Arial"/>
          <w:lang w:val="es-MX"/>
        </w:rPr>
        <w:t>M</w:t>
      </w:r>
      <w:r w:rsidRPr="003C73CF">
        <w:rPr>
          <w:rFonts w:ascii="Verdana" w:eastAsia="Calibri" w:hAnsi="Verdana" w:cs="Arial"/>
          <w:lang w:val="es-MX"/>
        </w:rPr>
        <w:t xml:space="preserve">ujeres en el artículo 32 de la Ley 2069 de 2020 y el Decreto 1860 de 2021, como acciones afirmativas para promover la participación de este segmento empresarial en el sistema de </w:t>
      </w:r>
      <w:r w:rsidR="00637D83" w:rsidRPr="003C73CF">
        <w:rPr>
          <w:rFonts w:ascii="Verdana" w:eastAsia="Calibri" w:hAnsi="Verdana" w:cs="Arial"/>
          <w:lang w:val="es-MX"/>
        </w:rPr>
        <w:t>c</w:t>
      </w:r>
      <w:r w:rsidRPr="003C73CF">
        <w:rPr>
          <w:rFonts w:ascii="Verdana" w:eastAsia="Calibri" w:hAnsi="Verdana" w:cs="Arial"/>
          <w:lang w:val="es-MX"/>
        </w:rPr>
        <w:t xml:space="preserve">ompras públicas y contratación estatal. Por tanto, deberá presentar dicho documento en caso de pretender beneficiarse de los requisitos habilitantes diferenciales u obtener el puntaje adicional. En este sentido, para efectos del artículo 2.2.1.2.4.2.14 del Decreto 1082 de 2015, la acreditación de la condición de </w:t>
      </w:r>
      <w:r w:rsidR="00637D83" w:rsidRPr="003C73CF">
        <w:rPr>
          <w:rFonts w:ascii="Verdana" w:eastAsia="Calibri" w:hAnsi="Verdana" w:cs="Arial"/>
          <w:lang w:val="es-MX"/>
        </w:rPr>
        <w:t>M</w:t>
      </w:r>
      <w:r w:rsidRPr="003C73CF">
        <w:rPr>
          <w:rFonts w:ascii="Verdana" w:eastAsia="Calibri" w:hAnsi="Verdana" w:cs="Arial"/>
          <w:lang w:val="es-MX"/>
        </w:rPr>
        <w:t>ujer y del ejercicio de actividades comerciales a través de establecimiento de comercio de la persona natural, solo será válida mediante la presentación de los documentos establecidos en el numeral 3 de la norma señalada, esto es, adjuntando copia de la cédula de ciudadanía, cédula de extranjería o pasaporte y copia del registro mercantil.</w:t>
      </w:r>
    </w:p>
    <w:p w14:paraId="1FF44256" w14:textId="77777777" w:rsidR="00820D60" w:rsidRPr="003C73CF" w:rsidRDefault="005D0D80"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De lo anterior debe advertirse que el texto de la norma bajo estudio no establece alguna hipótesis en virtud de la cual fuera posible encuadrar dentro de la definición de </w:t>
      </w:r>
      <w:r w:rsidR="005C5E56" w:rsidRPr="003C73CF">
        <w:rPr>
          <w:rFonts w:ascii="Verdana" w:eastAsia="Calibri" w:hAnsi="Verdana" w:cs="Arial"/>
          <w:lang w:val="es-MX"/>
        </w:rPr>
        <w:t>E</w:t>
      </w:r>
      <w:r w:rsidRPr="003C73CF">
        <w:rPr>
          <w:rFonts w:ascii="Verdana" w:eastAsia="Calibri" w:hAnsi="Verdana" w:cs="Arial"/>
          <w:lang w:val="es-MX"/>
        </w:rPr>
        <w:t xml:space="preserve">mprendimientos o </w:t>
      </w:r>
      <w:r w:rsidR="005C5E56" w:rsidRPr="003C73CF">
        <w:rPr>
          <w:rFonts w:ascii="Verdana" w:eastAsia="Calibri" w:hAnsi="Verdana" w:cs="Arial"/>
          <w:lang w:val="es-MX"/>
        </w:rPr>
        <w:t>E</w:t>
      </w:r>
      <w:r w:rsidRPr="003C73CF">
        <w:rPr>
          <w:rFonts w:ascii="Verdana" w:eastAsia="Calibri" w:hAnsi="Verdana" w:cs="Arial"/>
          <w:lang w:val="es-MX"/>
        </w:rPr>
        <w:t xml:space="preserve">mpresas de </w:t>
      </w:r>
      <w:r w:rsidR="005C5E56" w:rsidRPr="003C73CF">
        <w:rPr>
          <w:rFonts w:ascii="Verdana" w:eastAsia="Calibri" w:hAnsi="Verdana" w:cs="Arial"/>
          <w:lang w:val="es-MX"/>
        </w:rPr>
        <w:t>M</w:t>
      </w:r>
      <w:r w:rsidRPr="003C73CF">
        <w:rPr>
          <w:rFonts w:ascii="Verdana" w:eastAsia="Calibri" w:hAnsi="Verdana" w:cs="Arial"/>
          <w:lang w:val="es-MX"/>
        </w:rPr>
        <w:t xml:space="preserve">ujeres a personas naturales que no hayan desarrollado actividades a través de establecimiento de comercio con un término menor a un (1) año En ese sentido, las personas naturales que </w:t>
      </w:r>
      <w:r w:rsidRPr="003C73CF">
        <w:rPr>
          <w:rFonts w:ascii="Verdana" w:eastAsia="Calibri" w:hAnsi="Verdana" w:cs="Arial"/>
          <w:lang w:val="es-MX"/>
        </w:rPr>
        <w:lastRenderedPageBreak/>
        <w:t xml:space="preserve">no cuenten con registro mercantil, mediante el cual se acredita que han ejercido actividades comerciales a través de un establecimiento de comercio, aun cuando acrediten su condición de mujer mediante copia de la cedula de ciudadanía, cedula de extranjería o el pasaporte, no cumplirían con los requisitos establecidos en la definición de </w:t>
      </w:r>
      <w:r w:rsidR="00022D5D" w:rsidRPr="003C73CF">
        <w:rPr>
          <w:rFonts w:ascii="Verdana" w:eastAsia="Calibri" w:hAnsi="Verdana" w:cs="Arial"/>
          <w:lang w:val="es-MX"/>
        </w:rPr>
        <w:t>E</w:t>
      </w:r>
      <w:r w:rsidRPr="003C73CF">
        <w:rPr>
          <w:rFonts w:ascii="Verdana" w:eastAsia="Calibri" w:hAnsi="Verdana" w:cs="Arial"/>
          <w:lang w:val="es-MX"/>
        </w:rPr>
        <w:t xml:space="preserve">mprendimientos y </w:t>
      </w:r>
      <w:r w:rsidR="00022D5D" w:rsidRPr="003C73CF">
        <w:rPr>
          <w:rFonts w:ascii="Verdana" w:eastAsia="Calibri" w:hAnsi="Verdana" w:cs="Arial"/>
          <w:lang w:val="es-MX"/>
        </w:rPr>
        <w:t>E</w:t>
      </w:r>
      <w:r w:rsidRPr="003C73CF">
        <w:rPr>
          <w:rFonts w:ascii="Verdana" w:eastAsia="Calibri" w:hAnsi="Verdana" w:cs="Arial"/>
          <w:lang w:val="es-MX"/>
        </w:rPr>
        <w:t xml:space="preserve">mpresas de </w:t>
      </w:r>
      <w:r w:rsidR="00022D5D" w:rsidRPr="003C73CF">
        <w:rPr>
          <w:rFonts w:ascii="Verdana" w:eastAsia="Calibri" w:hAnsi="Verdana" w:cs="Arial"/>
          <w:lang w:val="es-MX"/>
        </w:rPr>
        <w:t>M</w:t>
      </w:r>
      <w:r w:rsidRPr="003C73CF">
        <w:rPr>
          <w:rFonts w:ascii="Verdana" w:eastAsia="Calibri" w:hAnsi="Verdana" w:cs="Arial"/>
          <w:lang w:val="es-MX"/>
        </w:rPr>
        <w:t>ujeres que consagra el Decreto 1860 de 2021 para efectos de la aplicación de los criterios diferenciales establecidos por el artículo 32 de la Ley 2069 de 2020, reglamentados por el artículo 2.2.1.2.4.2.15 del Decreto 1082 de 2015.</w:t>
      </w:r>
    </w:p>
    <w:p w14:paraId="455AF5D0" w14:textId="58437DF1" w:rsidR="00820D60" w:rsidRPr="003C73CF" w:rsidRDefault="00820D60" w:rsidP="00302E10">
      <w:pPr>
        <w:spacing w:after="120" w:line="276" w:lineRule="auto"/>
        <w:ind w:firstLine="708"/>
        <w:jc w:val="both"/>
        <w:rPr>
          <w:rFonts w:ascii="Verdana" w:eastAsia="Calibri" w:hAnsi="Verdana" w:cs="Arial"/>
          <w:lang w:val="es-MX"/>
        </w:rPr>
      </w:pPr>
      <w:r w:rsidRPr="003C73CF">
        <w:rPr>
          <w:rFonts w:ascii="Verdana" w:eastAsia="Calibri" w:hAnsi="Verdana" w:cs="Arial"/>
          <w:lang w:val="es-MX"/>
        </w:rPr>
        <w:t xml:space="preserve">Debe agregarse que el artículo 2.2.1.2.4.2.15 del Decreto 1082 de 2015, adicionado por el Decreto 1860 de 2021, complementa la regulación de criterios diferenciales estableciendo unos requisitos habilitantes diferenciales para incentivar </w:t>
      </w:r>
      <w:r w:rsidR="00BD4ECD" w:rsidRPr="003C73CF">
        <w:rPr>
          <w:rFonts w:ascii="Verdana" w:eastAsia="Calibri" w:hAnsi="Verdana" w:cs="Arial"/>
          <w:lang w:val="es-MX"/>
        </w:rPr>
        <w:t>los E</w:t>
      </w:r>
      <w:r w:rsidRPr="003C73CF">
        <w:rPr>
          <w:rFonts w:ascii="Verdana" w:eastAsia="Calibri" w:hAnsi="Verdana" w:cs="Arial"/>
          <w:lang w:val="es-MX"/>
        </w:rPr>
        <w:t xml:space="preserve">mprendimientos y </w:t>
      </w:r>
      <w:r w:rsidR="00BD4ECD" w:rsidRPr="003C73CF">
        <w:rPr>
          <w:rFonts w:ascii="Verdana" w:eastAsia="Calibri" w:hAnsi="Verdana" w:cs="Arial"/>
          <w:lang w:val="es-MX"/>
        </w:rPr>
        <w:t>E</w:t>
      </w:r>
      <w:r w:rsidRPr="003C73CF">
        <w:rPr>
          <w:rFonts w:ascii="Verdana" w:eastAsia="Calibri" w:hAnsi="Verdana" w:cs="Arial"/>
          <w:lang w:val="es-MX"/>
        </w:rPr>
        <w:t xml:space="preserve">mpresas de </w:t>
      </w:r>
      <w:r w:rsidR="00BD4ECD" w:rsidRPr="003C73CF">
        <w:rPr>
          <w:rFonts w:ascii="Verdana" w:eastAsia="Calibri" w:hAnsi="Verdana" w:cs="Arial"/>
          <w:lang w:val="es-MX"/>
        </w:rPr>
        <w:t>M</w:t>
      </w:r>
      <w:r w:rsidRPr="003C73CF">
        <w:rPr>
          <w:rFonts w:ascii="Verdana" w:eastAsia="Calibri" w:hAnsi="Verdana" w:cs="Arial"/>
          <w:lang w:val="es-MX"/>
        </w:rPr>
        <w:t xml:space="preserve">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4A71ADA0" w14:textId="6E53EEEC" w:rsidR="00820D60" w:rsidRPr="003C73CF" w:rsidRDefault="00820D60" w:rsidP="00302E10">
      <w:pPr>
        <w:spacing w:after="0" w:line="276" w:lineRule="auto"/>
        <w:ind w:firstLine="708"/>
        <w:jc w:val="both"/>
        <w:rPr>
          <w:rFonts w:ascii="Verdana" w:eastAsia="Calibri" w:hAnsi="Verdana" w:cs="Arial"/>
          <w:lang w:val="es-MX"/>
        </w:rPr>
      </w:pPr>
      <w:r w:rsidRPr="003C73CF">
        <w:rPr>
          <w:rFonts w:ascii="Verdana" w:eastAsia="Calibri" w:hAnsi="Verdana" w:cs="Arial"/>
          <w:lang w:val="es-MX"/>
        </w:rPr>
        <w:t>De acuerdo con lo anterior,</w:t>
      </w:r>
      <w:r w:rsidR="00CA5FD0" w:rsidRPr="003C73CF">
        <w:rPr>
          <w:rFonts w:ascii="Verdana" w:eastAsia="Calibri" w:hAnsi="Verdana" w:cs="Arial"/>
          <w:lang w:val="es-MX"/>
        </w:rPr>
        <w:t xml:space="preserve"> los </w:t>
      </w:r>
      <w:r w:rsidRPr="003C73CF">
        <w:rPr>
          <w:rFonts w:ascii="Verdana" w:eastAsia="Calibri" w:hAnsi="Verdana" w:cs="Arial"/>
          <w:lang w:val="es-MX"/>
        </w:rPr>
        <w:t xml:space="preserve">proponentes que no cumplan con alguno de los criterios definitorios de </w:t>
      </w:r>
      <w:r w:rsidR="007E2037" w:rsidRPr="003C73CF">
        <w:rPr>
          <w:rFonts w:ascii="Verdana" w:eastAsia="Calibri" w:hAnsi="Verdana" w:cs="Arial"/>
          <w:lang w:val="es-MX"/>
        </w:rPr>
        <w:t>E</w:t>
      </w:r>
      <w:r w:rsidRPr="003C73CF">
        <w:rPr>
          <w:rFonts w:ascii="Verdana" w:eastAsia="Calibri" w:hAnsi="Verdana" w:cs="Arial"/>
          <w:lang w:val="es-MX"/>
        </w:rPr>
        <w:t xml:space="preserve">mprendimientos y </w:t>
      </w:r>
      <w:r w:rsidR="007E2037" w:rsidRPr="003C73CF">
        <w:rPr>
          <w:rFonts w:ascii="Verdana" w:eastAsia="Calibri" w:hAnsi="Verdana" w:cs="Arial"/>
          <w:lang w:val="es-MX"/>
        </w:rPr>
        <w:t>E</w:t>
      </w:r>
      <w:r w:rsidRPr="003C73CF">
        <w:rPr>
          <w:rFonts w:ascii="Verdana" w:eastAsia="Calibri" w:hAnsi="Verdana" w:cs="Arial"/>
          <w:lang w:val="es-MX"/>
        </w:rPr>
        <w:t xml:space="preserve">mpresas de </w:t>
      </w:r>
      <w:r w:rsidR="007E2037" w:rsidRPr="003C73CF">
        <w:rPr>
          <w:rFonts w:ascii="Verdana" w:eastAsia="Calibri" w:hAnsi="Verdana" w:cs="Arial"/>
          <w:lang w:val="es-MX"/>
        </w:rPr>
        <w:t>M</w:t>
      </w:r>
      <w:r w:rsidRPr="003C73CF">
        <w:rPr>
          <w:rFonts w:ascii="Verdana" w:eastAsia="Calibri" w:hAnsi="Verdana" w:cs="Arial"/>
          <w:lang w:val="es-MX"/>
        </w:rPr>
        <w:t>ujeres establecidos en el artículo 2.2.1.2.4.2.14 están excluidos del ámbito de aplicación de los criterios diferenciales, reglamentados por el artículo 2.2.1.2.4.2.15 del Decreto 1082 de 2015, en desarrollo de lo dispuesto en el artículo 32 de la Ley 2069 de 2020.</w:t>
      </w:r>
    </w:p>
    <w:p w14:paraId="75260C74" w14:textId="77777777" w:rsidR="004D20EE" w:rsidRPr="003C73CF" w:rsidRDefault="004D20EE" w:rsidP="00C055F1">
      <w:pPr>
        <w:spacing w:after="0" w:line="276" w:lineRule="auto"/>
        <w:jc w:val="both"/>
        <w:rPr>
          <w:rFonts w:ascii="Verdana" w:eastAsia="Calibri" w:hAnsi="Verdana" w:cs="Arial"/>
          <w:lang w:val="es-MX"/>
        </w:rPr>
      </w:pPr>
    </w:p>
    <w:p w14:paraId="77B98C72" w14:textId="77777777" w:rsidR="004D20EE" w:rsidRPr="003C73CF" w:rsidRDefault="004D20EE" w:rsidP="004D20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73CF">
        <w:rPr>
          <w:rFonts w:ascii="Verdana" w:eastAsia="Century Gothic" w:hAnsi="Verdana" w:cs="Century Gothic"/>
          <w:b/>
          <w:bCs/>
        </w:rPr>
        <w:t>Referencias normativas, jurisprudenciales y otras fuentes:</w:t>
      </w:r>
    </w:p>
    <w:p w14:paraId="244DEBC6" w14:textId="77777777" w:rsidR="004D20EE" w:rsidRPr="003C73CF" w:rsidRDefault="004D20EE" w:rsidP="004D20E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D20EE" w:rsidRPr="003C73CF" w14:paraId="1B35B164" w14:textId="77777777" w:rsidTr="00D30BBC">
        <w:trPr>
          <w:trHeight w:val="870"/>
        </w:trPr>
        <w:tc>
          <w:tcPr>
            <w:tcW w:w="8647" w:type="dxa"/>
          </w:tcPr>
          <w:p w14:paraId="5C5AD63B" w14:textId="2FC41497" w:rsidR="004D20EE" w:rsidRPr="003C73CF" w:rsidRDefault="004D20EE" w:rsidP="004D20EE">
            <w:pPr>
              <w:pStyle w:val="Prrafodelista"/>
              <w:widowControl w:val="0"/>
              <w:numPr>
                <w:ilvl w:val="0"/>
                <w:numId w:val="19"/>
              </w:numPr>
              <w:tabs>
                <w:tab w:val="left" w:pos="8419"/>
              </w:tabs>
              <w:autoSpaceDE w:val="0"/>
              <w:autoSpaceDN w:val="0"/>
              <w:spacing w:after="160" w:line="276" w:lineRule="auto"/>
              <w:contextualSpacing w:val="0"/>
              <w:jc w:val="both"/>
              <w:rPr>
                <w:rFonts w:ascii="Verdana" w:hAnsi="Verdana" w:cs="Arial"/>
              </w:rPr>
            </w:pPr>
            <w:r w:rsidRPr="003C73CF">
              <w:rPr>
                <w:rFonts w:ascii="Verdana" w:hAnsi="Verdana" w:cs="Arial"/>
              </w:rPr>
              <w:t>Decreto 1082 de 2015, Artículo</w:t>
            </w:r>
            <w:r w:rsidR="00AB2D2B" w:rsidRPr="003C73CF">
              <w:rPr>
                <w:rFonts w:ascii="Verdana" w:hAnsi="Verdana" w:cs="Arial"/>
              </w:rPr>
              <w:t xml:space="preserve">s </w:t>
            </w:r>
            <w:r w:rsidRPr="003C73CF">
              <w:rPr>
                <w:rFonts w:ascii="Verdana" w:eastAsia="Calibri" w:hAnsi="Verdana" w:cs="Arial"/>
                <w:lang w:val="es-ES_tradnl" w:eastAsia="es-ES_tradnl"/>
              </w:rPr>
              <w:t>2.2.1.2.4.2.14</w:t>
            </w:r>
            <w:r w:rsidR="00AB2D2B" w:rsidRPr="003C73CF">
              <w:rPr>
                <w:rFonts w:ascii="Verdana" w:eastAsia="Calibri" w:hAnsi="Verdana" w:cs="Arial"/>
                <w:lang w:val="es-ES_tradnl" w:eastAsia="es-ES_tradnl"/>
              </w:rPr>
              <w:t xml:space="preserve"> y </w:t>
            </w:r>
            <w:r w:rsidR="00AB2D2B" w:rsidRPr="003C73CF">
              <w:rPr>
                <w:rFonts w:ascii="Verdana" w:eastAsia="Calibri" w:hAnsi="Verdana" w:cs="Arial"/>
                <w:lang w:val="es-MX"/>
              </w:rPr>
              <w:t>2.2.1.2.4.2.15</w:t>
            </w:r>
          </w:p>
          <w:p w14:paraId="23D98454" w14:textId="77777777" w:rsidR="004D20EE" w:rsidRPr="003C73CF" w:rsidRDefault="004D20EE" w:rsidP="004D20EE">
            <w:pPr>
              <w:pStyle w:val="Prrafodelista"/>
              <w:widowControl w:val="0"/>
              <w:numPr>
                <w:ilvl w:val="0"/>
                <w:numId w:val="19"/>
              </w:numPr>
              <w:tabs>
                <w:tab w:val="left" w:pos="8419"/>
              </w:tabs>
              <w:autoSpaceDE w:val="0"/>
              <w:autoSpaceDN w:val="0"/>
              <w:spacing w:after="160" w:line="276" w:lineRule="auto"/>
              <w:contextualSpacing w:val="0"/>
              <w:jc w:val="both"/>
              <w:rPr>
                <w:rFonts w:ascii="Verdana" w:hAnsi="Verdana" w:cs="Arial"/>
              </w:rPr>
            </w:pPr>
            <w:r w:rsidRPr="003C73CF">
              <w:rPr>
                <w:rFonts w:ascii="Verdana" w:hAnsi="Verdana" w:cs="Arial"/>
              </w:rPr>
              <w:t>Ley 2069 de 2020, Artículo 32</w:t>
            </w:r>
          </w:p>
          <w:p w14:paraId="5C49C2CB" w14:textId="45997423" w:rsidR="002F4C2F" w:rsidRPr="003C73CF" w:rsidRDefault="002F4C2F" w:rsidP="004D20EE">
            <w:pPr>
              <w:pStyle w:val="Prrafodelista"/>
              <w:widowControl w:val="0"/>
              <w:numPr>
                <w:ilvl w:val="0"/>
                <w:numId w:val="19"/>
              </w:numPr>
              <w:tabs>
                <w:tab w:val="left" w:pos="8419"/>
              </w:tabs>
              <w:autoSpaceDE w:val="0"/>
              <w:autoSpaceDN w:val="0"/>
              <w:spacing w:after="160" w:line="276" w:lineRule="auto"/>
              <w:contextualSpacing w:val="0"/>
              <w:jc w:val="both"/>
              <w:rPr>
                <w:rFonts w:ascii="Verdana" w:hAnsi="Verdana" w:cs="Arial"/>
              </w:rPr>
            </w:pPr>
            <w:r w:rsidRPr="003C73CF">
              <w:rPr>
                <w:rFonts w:ascii="Verdana" w:eastAsia="Calibri" w:hAnsi="Verdana" w:cs="Arial"/>
                <w:lang w:val="es-ES_tradnl"/>
              </w:rPr>
              <w:t>Código de Comercio</w:t>
            </w:r>
            <w:r>
              <w:rPr>
                <w:rFonts w:ascii="Verdana" w:eastAsia="Calibri" w:hAnsi="Verdana" w:cs="Arial"/>
                <w:lang w:val="es-ES_tradnl"/>
              </w:rPr>
              <w:t>, A</w:t>
            </w:r>
            <w:r w:rsidRPr="003C73CF">
              <w:rPr>
                <w:rFonts w:ascii="Verdana" w:eastAsia="Calibri" w:hAnsi="Verdana" w:cs="Arial"/>
                <w:lang w:val="es-ES_tradnl"/>
              </w:rPr>
              <w:t xml:space="preserve">rtículo 26 </w:t>
            </w:r>
            <w:r>
              <w:rPr>
                <w:rFonts w:ascii="Verdana" w:eastAsia="Calibri" w:hAnsi="Verdana" w:cs="Arial"/>
                <w:lang w:val="es-ES_tradnl"/>
              </w:rPr>
              <w:t xml:space="preserve">y ss. Artículo </w:t>
            </w:r>
            <w:r w:rsidR="00270AD5">
              <w:rPr>
                <w:rFonts w:ascii="Verdana" w:eastAsia="Calibri" w:hAnsi="Verdana" w:cs="Arial"/>
                <w:lang w:val="es-ES_tradnl"/>
              </w:rPr>
              <w:t xml:space="preserve">515 y ss. </w:t>
            </w:r>
          </w:p>
          <w:p w14:paraId="05D120F3" w14:textId="77777777" w:rsidR="004D20EE" w:rsidRPr="003C73CF" w:rsidRDefault="004D20EE" w:rsidP="004D20EE">
            <w:pPr>
              <w:pStyle w:val="Prrafodelista"/>
              <w:widowControl w:val="0"/>
              <w:numPr>
                <w:ilvl w:val="0"/>
                <w:numId w:val="19"/>
              </w:numPr>
              <w:tabs>
                <w:tab w:val="left" w:pos="8419"/>
              </w:tabs>
              <w:autoSpaceDE w:val="0"/>
              <w:autoSpaceDN w:val="0"/>
              <w:spacing w:after="160" w:line="276" w:lineRule="auto"/>
              <w:contextualSpacing w:val="0"/>
              <w:jc w:val="both"/>
              <w:rPr>
                <w:rFonts w:ascii="Verdana" w:hAnsi="Verdana" w:cs="Arial"/>
              </w:rPr>
            </w:pPr>
            <w:r w:rsidRPr="003C73CF">
              <w:rPr>
                <w:rFonts w:ascii="Verdana" w:hAnsi="Verdana" w:cs="Arial"/>
              </w:rPr>
              <w:t xml:space="preserve">Jurisprudencia del Consejo de Estado. Disponible en: </w:t>
            </w:r>
            <w:hyperlink r:id="rId12" w:history="1">
              <w:r w:rsidRPr="003C73CF">
                <w:rPr>
                  <w:rStyle w:val="Hipervnculo"/>
                  <w:rFonts w:ascii="Verdana" w:hAnsi="Verdana" w:cs="Arial"/>
                </w:rPr>
                <w:t>https://relatoria.colombiacompra.gov.co/providencias-consejo-de-estado/</w:t>
              </w:r>
            </w:hyperlink>
            <w:r w:rsidRPr="003C73CF">
              <w:rPr>
                <w:rFonts w:ascii="Verdana" w:hAnsi="Verdana" w:cs="Arial"/>
              </w:rPr>
              <w:t xml:space="preserve"> </w:t>
            </w:r>
          </w:p>
          <w:p w14:paraId="42E9B79C" w14:textId="77777777" w:rsidR="004D20EE" w:rsidRPr="003C73CF" w:rsidRDefault="004D20EE" w:rsidP="004D20EE">
            <w:pPr>
              <w:pStyle w:val="Prrafodelista"/>
              <w:widowControl w:val="0"/>
              <w:numPr>
                <w:ilvl w:val="0"/>
                <w:numId w:val="19"/>
              </w:numPr>
              <w:tabs>
                <w:tab w:val="left" w:pos="8419"/>
              </w:tabs>
              <w:autoSpaceDE w:val="0"/>
              <w:autoSpaceDN w:val="0"/>
              <w:spacing w:after="160" w:line="276" w:lineRule="auto"/>
              <w:contextualSpacing w:val="0"/>
              <w:jc w:val="both"/>
              <w:rPr>
                <w:rFonts w:ascii="Verdana" w:hAnsi="Verdana" w:cs="Arial"/>
              </w:rPr>
            </w:pPr>
            <w:r w:rsidRPr="003C73CF">
              <w:rPr>
                <w:rFonts w:ascii="Verdana" w:hAnsi="Verdana" w:cs="Arial"/>
              </w:rPr>
              <w:lastRenderedPageBreak/>
              <w:t>Guías y manuales expedidos por la ANCP-CCE. Disponible en</w:t>
            </w:r>
            <w:r w:rsidRPr="003C73CF">
              <w:rPr>
                <w:rFonts w:ascii="Verdana" w:hAnsi="Verdana" w:cs="Arial"/>
                <w:color w:val="7030A0"/>
              </w:rPr>
              <w:t>:</w:t>
            </w:r>
            <w:r w:rsidRPr="003C73CF">
              <w:rPr>
                <w:rFonts w:ascii="Verdana" w:hAnsi="Verdana"/>
                <w:color w:val="7030A0"/>
              </w:rPr>
              <w:t xml:space="preserve"> </w:t>
            </w:r>
            <w:hyperlink r:id="rId13" w:history="1">
              <w:r w:rsidRPr="003C73CF">
                <w:rPr>
                  <w:rStyle w:val="Hipervnculo"/>
                  <w:rFonts w:ascii="Verdana" w:hAnsi="Verdana" w:cs="Arial"/>
                </w:rPr>
                <w:t>https://www.colombiacompra.gov.co/manuales-guias-y-pliegos-tipo/manuales-y-guias</w:t>
              </w:r>
            </w:hyperlink>
            <w:r w:rsidRPr="003C73CF">
              <w:rPr>
                <w:rFonts w:ascii="Verdana" w:hAnsi="Verdana" w:cs="Arial"/>
              </w:rPr>
              <w:t xml:space="preserve"> </w:t>
            </w:r>
          </w:p>
        </w:tc>
      </w:tr>
    </w:tbl>
    <w:p w14:paraId="75E31B5F" w14:textId="77777777" w:rsidR="004D20EE" w:rsidRPr="003C73CF" w:rsidRDefault="004D20EE" w:rsidP="004D20EE">
      <w:pPr>
        <w:widowControl w:val="0"/>
        <w:autoSpaceDE w:val="0"/>
        <w:autoSpaceDN w:val="0"/>
        <w:spacing w:after="0" w:line="276" w:lineRule="auto"/>
        <w:jc w:val="both"/>
        <w:rPr>
          <w:rFonts w:ascii="Verdana" w:hAnsi="Verdana" w:cs="Arial"/>
        </w:rPr>
      </w:pPr>
    </w:p>
    <w:p w14:paraId="249E07BF" w14:textId="77777777" w:rsidR="004D20EE" w:rsidRPr="003C73CF" w:rsidRDefault="004D20EE" w:rsidP="004D20E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73CF">
        <w:rPr>
          <w:rFonts w:ascii="Verdana" w:eastAsia="Century Gothic" w:hAnsi="Verdana" w:cs="Century Gothic"/>
          <w:b/>
          <w:bCs/>
        </w:rPr>
        <w:t>Doctrina de la Agencia Nacional de Contratación Pública:</w:t>
      </w:r>
    </w:p>
    <w:p w14:paraId="5D9BE428" w14:textId="77777777" w:rsidR="004D20EE" w:rsidRPr="003C73CF" w:rsidRDefault="004D20EE" w:rsidP="004D20EE">
      <w:pPr>
        <w:widowControl w:val="0"/>
        <w:autoSpaceDE w:val="0"/>
        <w:autoSpaceDN w:val="0"/>
        <w:spacing w:after="0" w:line="276" w:lineRule="auto"/>
        <w:jc w:val="both"/>
        <w:rPr>
          <w:rFonts w:ascii="Verdana" w:hAnsi="Verdana" w:cs="Arial"/>
        </w:rPr>
      </w:pPr>
    </w:p>
    <w:p w14:paraId="408CAE18" w14:textId="2BB425B0" w:rsidR="004D20EE" w:rsidRPr="003C73CF" w:rsidRDefault="004D20EE" w:rsidP="004D20EE">
      <w:pPr>
        <w:widowControl w:val="0"/>
        <w:autoSpaceDE w:val="0"/>
        <w:autoSpaceDN w:val="0"/>
        <w:spacing w:after="0" w:line="276" w:lineRule="auto"/>
        <w:jc w:val="both"/>
        <w:rPr>
          <w:rStyle w:val="normaltextrun"/>
          <w:rFonts w:ascii="Verdana" w:hAnsi="Verdana" w:cs="Arial"/>
          <w:shd w:val="clear" w:color="auto" w:fill="FFFFFF"/>
          <w:lang w:val="es-ES"/>
        </w:rPr>
      </w:pPr>
      <w:r w:rsidRPr="003C73CF">
        <w:rPr>
          <w:rStyle w:val="normaltextrun"/>
          <w:rFonts w:ascii="Verdana" w:hAnsi="Verdana" w:cs="Arial"/>
          <w:shd w:val="clear" w:color="auto" w:fill="FFFFFF"/>
          <w:lang w:val="es-ES"/>
        </w:rPr>
        <w:t xml:space="preserve">Sobre el contenido de la Ley de Emprendimiento, especialmente, a lo dispuesto en el artículo 32 de dicha ley, alusivo a los criterios diferenciales para emprendimientos y empresas de mujeres, esta Subdirección se ha pronunciado en los conceptos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w:t>
      </w:r>
      <w:r w:rsidR="00B41C1E" w:rsidRPr="003C73CF">
        <w:rPr>
          <w:rStyle w:val="normaltextrun"/>
          <w:rFonts w:ascii="Verdana" w:hAnsi="Verdana" w:cs="Arial"/>
          <w:shd w:val="clear" w:color="auto" w:fill="FFFFFF"/>
          <w:lang w:val="es-ES"/>
        </w:rPr>
        <w:t xml:space="preserve">C-752 del 21 de diciembre del 2022, </w:t>
      </w:r>
      <w:r w:rsidRPr="003C73CF">
        <w:rPr>
          <w:rStyle w:val="normaltextrun"/>
          <w:rFonts w:ascii="Verdana" w:hAnsi="Verdana" w:cs="Arial"/>
          <w:shd w:val="clear" w:color="auto" w:fill="FFFFFF"/>
          <w:lang w:val="es-ES"/>
        </w:rPr>
        <w:t xml:space="preserve">C-048 del 12 de abril del 2023, C- 029 del 11 de mayo del 2023, C-070 del 24 de abril del 2023, C-282 del 17 de julio del 2023, C-309 del 28 de julio del 2023, C-297 del 03 de octubre del 2023, C-001 del 25 de enero del 2024, C-030 del 09 de abril del 2024, y C-154 del 23 de agosto del 2024. </w:t>
      </w:r>
    </w:p>
    <w:p w14:paraId="6FFFA735" w14:textId="77777777" w:rsidR="004D20EE" w:rsidRPr="003C73CF" w:rsidRDefault="004D20EE" w:rsidP="004D20EE">
      <w:pPr>
        <w:widowControl w:val="0"/>
        <w:autoSpaceDE w:val="0"/>
        <w:autoSpaceDN w:val="0"/>
        <w:spacing w:after="0" w:line="276" w:lineRule="auto"/>
        <w:jc w:val="both"/>
        <w:rPr>
          <w:rStyle w:val="normaltextrun"/>
          <w:rFonts w:ascii="Verdana" w:hAnsi="Verdana" w:cs="Arial"/>
          <w:shd w:val="clear" w:color="auto" w:fill="FFFFFF"/>
          <w:lang w:val="es-ES"/>
        </w:rPr>
      </w:pPr>
    </w:p>
    <w:p w14:paraId="3DBE89F3" w14:textId="77777777" w:rsidR="004D20EE" w:rsidRPr="003C73CF" w:rsidRDefault="004D20EE" w:rsidP="004D20EE">
      <w:pPr>
        <w:widowControl w:val="0"/>
        <w:autoSpaceDE w:val="0"/>
        <w:autoSpaceDN w:val="0"/>
        <w:spacing w:after="0" w:line="276" w:lineRule="auto"/>
        <w:jc w:val="both"/>
        <w:rPr>
          <w:rFonts w:ascii="Verdana" w:hAnsi="Verdana" w:cs="Arial"/>
          <w:shd w:val="clear" w:color="auto" w:fill="FFFFFF"/>
          <w:lang w:val="es-ES"/>
        </w:rPr>
      </w:pPr>
      <w:r w:rsidRPr="003C73CF">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3C73CF">
          <w:rPr>
            <w:rStyle w:val="Hipervnculo"/>
            <w:rFonts w:ascii="Verdana" w:hAnsi="Verdana" w:cs="Arial"/>
            <w:shd w:val="clear" w:color="auto" w:fill="FFFFFF"/>
          </w:rPr>
          <w:t>https://relatoria.colombiacompra.gov.co/</w:t>
        </w:r>
      </w:hyperlink>
      <w:r w:rsidRPr="003C73CF">
        <w:rPr>
          <w:rFonts w:ascii="Verdana" w:hAnsi="Verdana" w:cs="Arial"/>
          <w:shd w:val="clear" w:color="auto" w:fill="FFFFFF"/>
        </w:rPr>
        <w:t xml:space="preserve"> . </w:t>
      </w:r>
    </w:p>
    <w:p w14:paraId="51BF061E" w14:textId="77777777" w:rsidR="004D20EE" w:rsidRPr="003C73CF" w:rsidRDefault="004D20EE" w:rsidP="004D20EE">
      <w:pPr>
        <w:widowControl w:val="0"/>
        <w:autoSpaceDE w:val="0"/>
        <w:autoSpaceDN w:val="0"/>
        <w:spacing w:after="0" w:line="276" w:lineRule="auto"/>
        <w:jc w:val="both"/>
        <w:rPr>
          <w:rFonts w:ascii="Verdana" w:hAnsi="Verdana" w:cs="Arial"/>
          <w:shd w:val="clear" w:color="auto" w:fill="FFFFFF"/>
        </w:rPr>
      </w:pPr>
    </w:p>
    <w:p w14:paraId="285A9ABF" w14:textId="77777777" w:rsidR="004D20EE" w:rsidRPr="003C73CF" w:rsidRDefault="004D20EE" w:rsidP="004D20EE">
      <w:pPr>
        <w:widowControl w:val="0"/>
        <w:autoSpaceDE w:val="0"/>
        <w:autoSpaceDN w:val="0"/>
        <w:spacing w:after="0" w:line="276" w:lineRule="auto"/>
        <w:jc w:val="both"/>
        <w:rPr>
          <w:rFonts w:ascii="Verdana" w:hAnsi="Verdana" w:cs="Arial"/>
          <w:shd w:val="clear" w:color="auto" w:fill="FFFFFF"/>
        </w:rPr>
      </w:pPr>
      <w:r w:rsidRPr="003C73CF">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3C73CF">
          <w:rPr>
            <w:rStyle w:val="Hipervnculo"/>
            <w:rFonts w:ascii="Verdana" w:hAnsi="Verdana" w:cs="Arial"/>
            <w:shd w:val="clear" w:color="auto" w:fill="FFFFFF"/>
          </w:rPr>
          <w:t>https://www.colombiacompra.gov.co/sites/cce_public/files/files_2020/boletin_de_realtoria_iii.pdf</w:t>
        </w:r>
      </w:hyperlink>
      <w:r w:rsidRPr="003C73CF">
        <w:rPr>
          <w:rFonts w:ascii="Verdana" w:hAnsi="Verdana" w:cs="Arial"/>
          <w:shd w:val="clear" w:color="auto" w:fill="FFFFFF"/>
        </w:rPr>
        <w:t> "</w:t>
      </w:r>
    </w:p>
    <w:p w14:paraId="36EF4FCE" w14:textId="77777777" w:rsidR="004D20EE" w:rsidRPr="003C73CF" w:rsidRDefault="004D20EE" w:rsidP="004D20EE">
      <w:pPr>
        <w:spacing w:after="0" w:line="240" w:lineRule="auto"/>
        <w:jc w:val="both"/>
        <w:rPr>
          <w:rStyle w:val="normaltextrun"/>
          <w:rFonts w:ascii="Verdana" w:hAnsi="Verdana" w:cs="Arial"/>
          <w:color w:val="000000" w:themeColor="text1"/>
          <w:shd w:val="clear" w:color="auto" w:fill="FFFFFF"/>
          <w:lang w:val="es-ES"/>
        </w:rPr>
      </w:pPr>
    </w:p>
    <w:p w14:paraId="15D55114" w14:textId="77777777" w:rsidR="004D20EE" w:rsidRPr="003C73CF" w:rsidRDefault="004D20EE" w:rsidP="00FB2D44">
      <w:pPr>
        <w:spacing w:after="0" w:line="276" w:lineRule="auto"/>
        <w:jc w:val="both"/>
        <w:rPr>
          <w:rFonts w:ascii="Verdana" w:hAnsi="Verdana"/>
        </w:rPr>
      </w:pPr>
      <w:r w:rsidRPr="003C73CF">
        <w:rPr>
          <w:rFonts w:ascii="Verdana" w:hAnsi="Verdana"/>
        </w:rPr>
        <w:t xml:space="preserve">Por último, lo invitamos a seguirnos en las redes sociales en las cuales se difunde información institucional: </w:t>
      </w:r>
    </w:p>
    <w:p w14:paraId="33942B6E" w14:textId="77777777" w:rsidR="004D20EE" w:rsidRPr="003C73CF" w:rsidRDefault="004D20EE" w:rsidP="004D20EE">
      <w:pPr>
        <w:spacing w:after="0" w:line="240" w:lineRule="auto"/>
        <w:jc w:val="both"/>
        <w:rPr>
          <w:rFonts w:ascii="Verdana" w:hAnsi="Verdana"/>
        </w:rPr>
      </w:pPr>
    </w:p>
    <w:p w14:paraId="5652F985" w14:textId="77777777" w:rsidR="004D20EE" w:rsidRPr="003C73CF" w:rsidRDefault="004D20EE" w:rsidP="004D20EE">
      <w:pPr>
        <w:spacing w:after="0" w:line="240" w:lineRule="auto"/>
        <w:jc w:val="both"/>
        <w:rPr>
          <w:rFonts w:ascii="Verdana" w:hAnsi="Verdana"/>
        </w:rPr>
      </w:pPr>
      <w:r w:rsidRPr="003C73CF">
        <w:rPr>
          <w:rFonts w:ascii="Verdana" w:hAnsi="Verdana"/>
        </w:rPr>
        <w:t xml:space="preserve">Twitter: </w:t>
      </w:r>
      <w:r w:rsidRPr="003C73CF">
        <w:rPr>
          <w:rStyle w:val="Hipervnculo"/>
          <w:rFonts w:ascii="Verdana" w:hAnsi="Verdana"/>
          <w:color w:val="4472C4" w:themeColor="accent1"/>
        </w:rPr>
        <w:t>@colombiacompra</w:t>
      </w:r>
      <w:r w:rsidRPr="003C73CF">
        <w:rPr>
          <w:rFonts w:ascii="Verdana" w:hAnsi="Verdana"/>
          <w:color w:val="4472C4" w:themeColor="accent1"/>
        </w:rPr>
        <w:t xml:space="preserve"> </w:t>
      </w:r>
    </w:p>
    <w:p w14:paraId="483B45FF" w14:textId="77777777" w:rsidR="004D20EE" w:rsidRPr="003C73CF" w:rsidRDefault="004D20EE" w:rsidP="004D20EE">
      <w:pPr>
        <w:spacing w:after="0" w:line="240" w:lineRule="auto"/>
        <w:jc w:val="both"/>
        <w:rPr>
          <w:rFonts w:ascii="Verdana" w:hAnsi="Verdana"/>
        </w:rPr>
      </w:pPr>
      <w:r w:rsidRPr="003C73CF">
        <w:rPr>
          <w:rFonts w:ascii="Verdana" w:hAnsi="Verdana"/>
        </w:rPr>
        <w:t xml:space="preserve">Facebook: </w:t>
      </w:r>
      <w:r w:rsidRPr="003C73CF">
        <w:rPr>
          <w:rStyle w:val="Hipervnculo"/>
          <w:rFonts w:ascii="Verdana" w:hAnsi="Verdana"/>
          <w:color w:val="4472C4" w:themeColor="accent1"/>
        </w:rPr>
        <w:t>ColombiaCompraEficiente</w:t>
      </w:r>
    </w:p>
    <w:p w14:paraId="24F929F2" w14:textId="77777777" w:rsidR="004D20EE" w:rsidRPr="003C73CF" w:rsidRDefault="004D20EE" w:rsidP="004D20EE">
      <w:pPr>
        <w:spacing w:after="0" w:line="240" w:lineRule="auto"/>
        <w:jc w:val="both"/>
        <w:rPr>
          <w:rFonts w:ascii="Verdana" w:hAnsi="Verdana"/>
        </w:rPr>
      </w:pPr>
      <w:r w:rsidRPr="003C73CF">
        <w:rPr>
          <w:rFonts w:ascii="Verdana" w:hAnsi="Verdana"/>
        </w:rPr>
        <w:lastRenderedPageBreak/>
        <w:t xml:space="preserve">LinkedIn: </w:t>
      </w:r>
      <w:r w:rsidRPr="003C73CF">
        <w:rPr>
          <w:rStyle w:val="Hipervnculo"/>
          <w:rFonts w:ascii="Verdana" w:hAnsi="Verdana"/>
          <w:color w:val="4472C4" w:themeColor="accent1"/>
        </w:rPr>
        <w:t>Agencia Nacional de Contratación Pública - Colombia Compra Eficiente</w:t>
      </w:r>
      <w:r w:rsidRPr="003C73CF">
        <w:rPr>
          <w:rFonts w:ascii="Verdana" w:hAnsi="Verdana"/>
          <w:color w:val="4472C4" w:themeColor="accent1"/>
        </w:rPr>
        <w:t xml:space="preserve"> </w:t>
      </w:r>
      <w:r w:rsidRPr="003C73CF">
        <w:rPr>
          <w:rFonts w:ascii="Verdana" w:hAnsi="Verdana"/>
        </w:rPr>
        <w:t xml:space="preserve">Instagram: </w:t>
      </w:r>
      <w:r w:rsidRPr="003C73CF">
        <w:rPr>
          <w:rStyle w:val="Hipervnculo"/>
          <w:rFonts w:ascii="Verdana" w:hAnsi="Verdana"/>
          <w:color w:val="4472C4" w:themeColor="accent1"/>
        </w:rPr>
        <w:t>@colombiacompraeficiente_cce</w:t>
      </w:r>
    </w:p>
    <w:p w14:paraId="05CAE862" w14:textId="77777777" w:rsidR="004D20EE" w:rsidRPr="003C73CF" w:rsidRDefault="004D20EE" w:rsidP="004D20EE">
      <w:pPr>
        <w:widowControl w:val="0"/>
        <w:autoSpaceDE w:val="0"/>
        <w:autoSpaceDN w:val="0"/>
        <w:spacing w:after="0" w:line="276" w:lineRule="auto"/>
        <w:jc w:val="both"/>
        <w:rPr>
          <w:rFonts w:ascii="Verdana" w:hAnsi="Verdana" w:cs="Arial"/>
        </w:rPr>
      </w:pPr>
    </w:p>
    <w:p w14:paraId="5441A54F" w14:textId="77777777" w:rsidR="004D20EE" w:rsidRPr="003C73CF" w:rsidRDefault="004D20EE" w:rsidP="004D20EE">
      <w:pPr>
        <w:widowControl w:val="0"/>
        <w:autoSpaceDE w:val="0"/>
        <w:autoSpaceDN w:val="0"/>
        <w:spacing w:after="0" w:line="276" w:lineRule="auto"/>
        <w:jc w:val="both"/>
        <w:rPr>
          <w:rFonts w:ascii="Verdana" w:hAnsi="Verdana" w:cs="Arial"/>
          <w:lang w:val="es-ES_tradnl"/>
        </w:rPr>
      </w:pPr>
      <w:r w:rsidRPr="003C73CF">
        <w:rPr>
          <w:rFonts w:ascii="Verdana" w:hAnsi="Verdana" w:cs="Arial"/>
        </w:rPr>
        <w:t xml:space="preserve">Este concepto tiene el alcance previsto en el artículo 28 del Código de Procedimiento Administrativo y de lo Contencioso Administrativo </w:t>
      </w:r>
      <w:r w:rsidRPr="003C73CF">
        <w:rPr>
          <w:rFonts w:ascii="Verdana" w:hAnsi="Verdana" w:cs="Arial"/>
          <w:lang w:val="es-ES_tradnl"/>
        </w:rPr>
        <w:t>y las expresiones aquí utilizadas con mayúscula inicial deben ser entendidas con el significado que les otorga el artículo 2.2.1.1.1.3.1. del Decreto 1082 de 2015.</w:t>
      </w:r>
    </w:p>
    <w:p w14:paraId="756F99E5" w14:textId="77777777" w:rsidR="004D20EE" w:rsidRPr="003C73CF" w:rsidRDefault="004D20EE" w:rsidP="004D20EE">
      <w:pPr>
        <w:widowControl w:val="0"/>
        <w:autoSpaceDE w:val="0"/>
        <w:autoSpaceDN w:val="0"/>
        <w:spacing w:after="0" w:line="276" w:lineRule="auto"/>
        <w:jc w:val="both"/>
        <w:rPr>
          <w:rFonts w:ascii="Verdana" w:hAnsi="Verdana" w:cs="Arial"/>
        </w:rPr>
      </w:pPr>
    </w:p>
    <w:p w14:paraId="556FC9FF" w14:textId="77777777" w:rsidR="004D20EE" w:rsidRPr="003C73CF" w:rsidRDefault="004D20EE" w:rsidP="004D20EE">
      <w:pPr>
        <w:spacing w:after="0" w:line="240" w:lineRule="auto"/>
        <w:rPr>
          <w:rFonts w:ascii="Verdana" w:hAnsi="Verdana" w:cs="Arial"/>
          <w:lang w:eastAsia="es-CO"/>
        </w:rPr>
      </w:pPr>
      <w:r w:rsidRPr="003C73CF">
        <w:rPr>
          <w:rFonts w:ascii="Verdana" w:eastAsia="Times New Roman" w:hAnsi="Verdana" w:cs="Arial"/>
          <w:lang w:eastAsia="es-CO"/>
        </w:rPr>
        <w:t>Atentamente,</w:t>
      </w:r>
      <w:r w:rsidRPr="003C73CF">
        <w:rPr>
          <w:rFonts w:ascii="Verdana" w:hAnsi="Verdana" w:cs="Arial"/>
          <w:lang w:eastAsia="es-CO"/>
        </w:rPr>
        <w:t xml:space="preserve"> </w:t>
      </w:r>
    </w:p>
    <w:p w14:paraId="3CA51361" w14:textId="6CBECD4F" w:rsidR="004D20EE" w:rsidRPr="003C73CF" w:rsidRDefault="00D42B89" w:rsidP="004D20EE">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6ED73DFE" wp14:editId="5272217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D20EE" w:rsidRPr="003C73CF" w14:paraId="31675EF8" w14:textId="77777777" w:rsidTr="00D30BBC">
        <w:trPr>
          <w:trHeight w:val="315"/>
        </w:trPr>
        <w:tc>
          <w:tcPr>
            <w:tcW w:w="893" w:type="dxa"/>
            <w:vAlign w:val="center"/>
            <w:hideMark/>
          </w:tcPr>
          <w:p w14:paraId="23E53E9E" w14:textId="77777777" w:rsidR="004D20EE" w:rsidRPr="003C73CF" w:rsidRDefault="004D20EE" w:rsidP="00D30BBC">
            <w:pPr>
              <w:contextualSpacing/>
              <w:rPr>
                <w:rFonts w:ascii="Verdana" w:hAnsi="Verdana" w:cs="Arial"/>
                <w:sz w:val="16"/>
                <w:szCs w:val="16"/>
                <w:lang w:val="es-ES" w:eastAsia="es-ES"/>
              </w:rPr>
            </w:pPr>
            <w:r w:rsidRPr="003C73C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9FE6BA" w14:textId="77777777" w:rsidR="004D20EE" w:rsidRPr="003C73CF" w:rsidRDefault="004D20EE" w:rsidP="00D30BBC">
            <w:pPr>
              <w:contextualSpacing/>
              <w:rPr>
                <w:rFonts w:ascii="Verdana" w:eastAsia="Arial" w:hAnsi="Verdana" w:cs="Arial"/>
                <w:sz w:val="16"/>
                <w:szCs w:val="16"/>
              </w:rPr>
            </w:pPr>
            <w:r w:rsidRPr="003C73CF">
              <w:rPr>
                <w:rFonts w:ascii="Verdana" w:eastAsia="Arial" w:hAnsi="Verdana" w:cs="Arial"/>
                <w:sz w:val="16"/>
                <w:szCs w:val="16"/>
              </w:rPr>
              <w:t>Ana María Ortiz Ballesteros</w:t>
            </w:r>
          </w:p>
          <w:p w14:paraId="0D63314F" w14:textId="77777777" w:rsidR="004D20EE" w:rsidRPr="003C73CF" w:rsidRDefault="004D20EE" w:rsidP="00D30BBC">
            <w:pPr>
              <w:contextualSpacing/>
              <w:rPr>
                <w:rFonts w:ascii="Verdana" w:eastAsia="Arial" w:hAnsi="Verdana" w:cs="Arial"/>
                <w:sz w:val="16"/>
                <w:szCs w:val="16"/>
              </w:rPr>
            </w:pPr>
            <w:r w:rsidRPr="003C73CF">
              <w:rPr>
                <w:rStyle w:val="normaltextrun"/>
                <w:rFonts w:ascii="Verdana" w:eastAsia="Arial" w:hAnsi="Verdana" w:cs="Arial"/>
                <w:sz w:val="16"/>
                <w:szCs w:val="16"/>
              </w:rPr>
              <w:t>C</w:t>
            </w:r>
            <w:r w:rsidRPr="003C73CF">
              <w:rPr>
                <w:rStyle w:val="normaltextrun"/>
                <w:rFonts w:ascii="Verdana" w:hAnsi="Verdana"/>
                <w:sz w:val="16"/>
                <w:szCs w:val="16"/>
              </w:rPr>
              <w:t>ontratista</w:t>
            </w:r>
            <w:r w:rsidRPr="003C73CF">
              <w:rPr>
                <w:rStyle w:val="normaltextrun"/>
                <w:rFonts w:ascii="Verdana" w:eastAsia="Arial" w:hAnsi="Verdana" w:cs="Arial"/>
                <w:sz w:val="16"/>
                <w:szCs w:val="16"/>
              </w:rPr>
              <w:t xml:space="preserve"> de la Subdirección de Gestión Contractual</w:t>
            </w:r>
          </w:p>
        </w:tc>
      </w:tr>
      <w:tr w:rsidR="004D20EE" w:rsidRPr="003C73CF" w14:paraId="6F3D13CF" w14:textId="77777777" w:rsidTr="00D30BBC">
        <w:trPr>
          <w:trHeight w:val="330"/>
        </w:trPr>
        <w:tc>
          <w:tcPr>
            <w:tcW w:w="893" w:type="dxa"/>
            <w:vAlign w:val="center"/>
            <w:hideMark/>
          </w:tcPr>
          <w:p w14:paraId="65B31D91" w14:textId="77777777" w:rsidR="004D20EE" w:rsidRPr="003C73CF" w:rsidRDefault="004D20EE" w:rsidP="00D30BBC">
            <w:pPr>
              <w:contextualSpacing/>
              <w:rPr>
                <w:rFonts w:ascii="Verdana" w:hAnsi="Verdana" w:cs="Arial"/>
                <w:sz w:val="16"/>
                <w:szCs w:val="16"/>
                <w:lang w:val="es-ES" w:eastAsia="es-ES"/>
              </w:rPr>
            </w:pPr>
            <w:r w:rsidRPr="003C73C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EB59F8" w14:textId="77777777" w:rsidR="00E72DD5" w:rsidRPr="003C73CF" w:rsidRDefault="00E72DD5" w:rsidP="00E72DD5">
            <w:pPr>
              <w:pStyle w:val="paragraph"/>
              <w:spacing w:after="0"/>
              <w:contextualSpacing/>
              <w:textAlignment w:val="baseline"/>
              <w:rPr>
                <w:rStyle w:val="normaltextrun"/>
                <w:rFonts w:ascii="Verdana" w:hAnsi="Verdana" w:cs="Arial"/>
                <w:sz w:val="16"/>
                <w:szCs w:val="16"/>
                <w:lang w:val="es-ES"/>
              </w:rPr>
            </w:pPr>
            <w:r w:rsidRPr="003C73CF">
              <w:rPr>
                <w:rStyle w:val="normaltextrun"/>
                <w:rFonts w:ascii="Verdana" w:hAnsi="Verdana" w:cs="Arial"/>
                <w:sz w:val="16"/>
                <w:szCs w:val="16"/>
                <w:lang w:val="es-ES"/>
              </w:rPr>
              <w:t>Alejandro Sarmiento Cantillo</w:t>
            </w:r>
          </w:p>
          <w:p w14:paraId="5664AC91" w14:textId="01E73319" w:rsidR="004D20EE" w:rsidRPr="003C73CF" w:rsidRDefault="00E72DD5" w:rsidP="00E72DD5">
            <w:pPr>
              <w:pStyle w:val="paragraph"/>
              <w:spacing w:before="0" w:beforeAutospacing="0" w:after="0" w:afterAutospacing="0"/>
              <w:contextualSpacing/>
              <w:textAlignment w:val="baseline"/>
              <w:rPr>
                <w:rFonts w:ascii="Verdana" w:hAnsi="Verdana" w:cs="Segoe UI"/>
                <w:sz w:val="16"/>
                <w:szCs w:val="16"/>
                <w:highlight w:val="cyan"/>
              </w:rPr>
            </w:pPr>
            <w:r w:rsidRPr="003C73CF">
              <w:rPr>
                <w:rStyle w:val="normaltextrun"/>
                <w:rFonts w:ascii="Verdana" w:hAnsi="Verdana" w:cs="Arial"/>
                <w:sz w:val="16"/>
                <w:szCs w:val="16"/>
                <w:lang w:val="es-ES"/>
              </w:rPr>
              <w:t>Gestor T1-15 de la Subdirección de Gestión Contractual</w:t>
            </w:r>
          </w:p>
        </w:tc>
      </w:tr>
      <w:tr w:rsidR="004D20EE" w:rsidRPr="003C73CF" w14:paraId="3585BE7B" w14:textId="77777777" w:rsidTr="00D30BBC">
        <w:trPr>
          <w:trHeight w:val="300"/>
        </w:trPr>
        <w:tc>
          <w:tcPr>
            <w:tcW w:w="893" w:type="dxa"/>
            <w:vAlign w:val="center"/>
          </w:tcPr>
          <w:p w14:paraId="152DE3F0" w14:textId="77777777" w:rsidR="004D20EE" w:rsidRPr="003C73CF" w:rsidRDefault="004D20EE" w:rsidP="00D30BBC">
            <w:pPr>
              <w:contextualSpacing/>
              <w:rPr>
                <w:rFonts w:ascii="Verdana" w:hAnsi="Verdana" w:cs="Arial"/>
                <w:sz w:val="16"/>
                <w:szCs w:val="16"/>
                <w:lang w:val="es-ES" w:eastAsia="es-ES"/>
              </w:rPr>
            </w:pPr>
            <w:r w:rsidRPr="003C73C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C8E2BDB" w14:textId="77777777" w:rsidR="004D20EE" w:rsidRPr="003C73CF" w:rsidRDefault="004D20EE" w:rsidP="00D30BBC">
            <w:pPr>
              <w:contextualSpacing/>
              <w:rPr>
                <w:rFonts w:ascii="Verdana" w:eastAsia="Calibri" w:hAnsi="Verdana" w:cs="Arial"/>
                <w:sz w:val="16"/>
                <w:szCs w:val="16"/>
                <w:lang w:val="pt-BR" w:eastAsia="es-ES"/>
              </w:rPr>
            </w:pPr>
            <w:r w:rsidRPr="003C73CF">
              <w:rPr>
                <w:rFonts w:ascii="Verdana" w:eastAsia="Calibri" w:hAnsi="Verdana" w:cs="Arial"/>
                <w:sz w:val="16"/>
                <w:szCs w:val="16"/>
                <w:lang w:val="pt-BR" w:eastAsia="es-ES"/>
              </w:rPr>
              <w:t>Carolina Quintero Gacharná</w:t>
            </w:r>
          </w:p>
          <w:p w14:paraId="153536D8" w14:textId="77777777" w:rsidR="004D20EE" w:rsidRPr="003C73CF" w:rsidRDefault="004D20EE" w:rsidP="00D30BBC">
            <w:pPr>
              <w:contextualSpacing/>
              <w:rPr>
                <w:rFonts w:ascii="Verdana" w:eastAsia="Calibri" w:hAnsi="Verdana" w:cs="Arial"/>
                <w:sz w:val="16"/>
                <w:szCs w:val="16"/>
                <w:lang w:val="pt-BR" w:eastAsia="es-ES"/>
              </w:rPr>
            </w:pPr>
            <w:r w:rsidRPr="003C73CF">
              <w:rPr>
                <w:rFonts w:ascii="Verdana" w:eastAsia="Calibri" w:hAnsi="Verdana" w:cs="Arial"/>
                <w:sz w:val="16"/>
                <w:szCs w:val="16"/>
                <w:lang w:eastAsia="es-ES"/>
              </w:rPr>
              <w:t>Subdirectora</w:t>
            </w:r>
            <w:r w:rsidRPr="003C73CF">
              <w:rPr>
                <w:rFonts w:ascii="Verdana" w:eastAsia="Calibri" w:hAnsi="Verdana" w:cs="Arial"/>
                <w:sz w:val="16"/>
                <w:szCs w:val="16"/>
                <w:lang w:val="pt-BR" w:eastAsia="es-ES"/>
              </w:rPr>
              <w:t xml:space="preserve"> de Gestión Contractual ANCP – CCE</w:t>
            </w:r>
          </w:p>
        </w:tc>
      </w:tr>
    </w:tbl>
    <w:p w14:paraId="66E94F7F" w14:textId="77777777" w:rsidR="004D20EE" w:rsidRPr="003C73CF" w:rsidRDefault="004D20EE" w:rsidP="004D20EE">
      <w:pPr>
        <w:spacing w:after="0" w:line="240" w:lineRule="auto"/>
        <w:rPr>
          <w:rFonts w:ascii="Verdana" w:eastAsia="Times New Roman" w:hAnsi="Verdana" w:cs="Arial"/>
          <w:sz w:val="16"/>
          <w:szCs w:val="16"/>
          <w:lang w:eastAsia="es-ES"/>
        </w:rPr>
      </w:pPr>
    </w:p>
    <w:p w14:paraId="1F9B9AAC" w14:textId="77777777" w:rsidR="004D20EE" w:rsidRPr="003C73CF" w:rsidRDefault="004D20EE" w:rsidP="004D20EE">
      <w:pPr>
        <w:spacing w:after="0"/>
        <w:jc w:val="both"/>
        <w:rPr>
          <w:rFonts w:ascii="Verdana" w:hAnsi="Verdana"/>
          <w:lang w:val="es-ES"/>
        </w:rPr>
      </w:pPr>
    </w:p>
    <w:p w14:paraId="57766C50" w14:textId="77777777" w:rsidR="004D20EE" w:rsidRPr="004D20EE" w:rsidRDefault="004D20EE" w:rsidP="004D20EE">
      <w:pPr>
        <w:pStyle w:val="Prrafodelista"/>
        <w:spacing w:after="0" w:line="276" w:lineRule="auto"/>
        <w:jc w:val="both"/>
        <w:rPr>
          <w:rFonts w:ascii="Verdana" w:eastAsia="Calibri" w:hAnsi="Verdana" w:cs="Arial"/>
        </w:rPr>
      </w:pPr>
    </w:p>
    <w:sectPr w:rsidR="004D20EE" w:rsidRPr="004D20E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ED19B" w14:textId="77777777" w:rsidR="00E8333C" w:rsidRDefault="00E8333C" w:rsidP="004A1847">
      <w:pPr>
        <w:spacing w:after="0" w:line="240" w:lineRule="auto"/>
      </w:pPr>
      <w:r>
        <w:separator/>
      </w:r>
    </w:p>
  </w:endnote>
  <w:endnote w:type="continuationSeparator" w:id="0">
    <w:p w14:paraId="1F991BA1" w14:textId="77777777" w:rsidR="00E8333C" w:rsidRDefault="00E8333C" w:rsidP="004A1847">
      <w:pPr>
        <w:spacing w:after="0" w:line="240" w:lineRule="auto"/>
      </w:pPr>
      <w:r>
        <w:continuationSeparator/>
      </w:r>
    </w:p>
  </w:endnote>
  <w:endnote w:type="continuationNotice" w:id="1">
    <w:p w14:paraId="6E28F6F5" w14:textId="77777777" w:rsidR="00E8333C" w:rsidRDefault="00E833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C690B" w14:textId="77777777" w:rsidR="00E8333C" w:rsidRDefault="00E8333C" w:rsidP="004A1847">
      <w:pPr>
        <w:spacing w:after="0" w:line="240" w:lineRule="auto"/>
      </w:pPr>
      <w:r>
        <w:separator/>
      </w:r>
    </w:p>
  </w:footnote>
  <w:footnote w:type="continuationSeparator" w:id="0">
    <w:p w14:paraId="69FA9EC9" w14:textId="77777777" w:rsidR="00E8333C" w:rsidRDefault="00E8333C" w:rsidP="004A1847">
      <w:pPr>
        <w:spacing w:after="0" w:line="240" w:lineRule="auto"/>
      </w:pPr>
      <w:r>
        <w:continuationSeparator/>
      </w:r>
    </w:p>
  </w:footnote>
  <w:footnote w:type="continuationNotice" w:id="1">
    <w:p w14:paraId="79A9C838" w14:textId="77777777" w:rsidR="00E8333C" w:rsidRDefault="00E8333C">
      <w:pPr>
        <w:spacing w:after="0" w:line="240" w:lineRule="auto"/>
      </w:pPr>
    </w:p>
  </w:footnote>
  <w:footnote w:id="2">
    <w:p w14:paraId="49CE0C6E" w14:textId="77777777" w:rsidR="000102C2" w:rsidRPr="00F01552" w:rsidRDefault="000102C2" w:rsidP="000102C2">
      <w:pPr>
        <w:pStyle w:val="Textonotapie"/>
        <w:ind w:firstLine="708"/>
        <w:jc w:val="both"/>
        <w:rPr>
          <w:rFonts w:ascii="Arial" w:hAnsi="Arial" w:cs="Arial"/>
          <w:sz w:val="18"/>
          <w:szCs w:val="18"/>
        </w:rPr>
      </w:pPr>
      <w:r w:rsidRPr="00F01552">
        <w:rPr>
          <w:rStyle w:val="Refdenotaalpie"/>
          <w:rFonts w:ascii="Arial" w:hAnsi="Arial" w:cs="Arial"/>
          <w:sz w:val="18"/>
          <w:szCs w:val="18"/>
        </w:rPr>
        <w:footnoteRef/>
      </w:r>
      <w:r w:rsidRPr="00F01552">
        <w:rPr>
          <w:rFonts w:ascii="Arial" w:hAnsi="Arial" w:cs="Arial"/>
          <w:sz w:val="18"/>
          <w:szCs w:val="18"/>
        </w:rPr>
        <w:t xml:space="preserve"> </w:t>
      </w:r>
      <w:bookmarkStart w:id="2" w:name="_Hlk63862868"/>
      <w:r w:rsidRPr="00F01552">
        <w:rPr>
          <w:rFonts w:ascii="Arial" w:hAnsi="Arial" w:cs="Arial"/>
          <w:sz w:val="18"/>
          <w:szCs w:val="18"/>
        </w:rPr>
        <w:t>CONGRESO DE LA REPÚBLICA. Gaceta No. 670 del 11 de agosto de 2020. Exposición de motivos del Proyecto de Ley No. 122 de 2020 Cámara. p. 13.</w:t>
      </w:r>
      <w:bookmarkEnd w:id="2"/>
    </w:p>
    <w:p w14:paraId="00BFA391" w14:textId="77777777" w:rsidR="000102C2" w:rsidRPr="00F01552" w:rsidRDefault="000102C2" w:rsidP="000102C2">
      <w:pPr>
        <w:pStyle w:val="Textonotapie"/>
        <w:ind w:firstLine="708"/>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3E784B19">
          <wp:simplePos x="0" y="0"/>
          <wp:positionH relativeFrom="margin">
            <wp:align>center</wp:align>
          </wp:positionH>
          <wp:positionV relativeFrom="paragraph">
            <wp:posOffset>-231140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3800DCC1" w14:textId="77777777" w:rsidR="00135513" w:rsidRDefault="00135513" w:rsidP="004A305D">
    <w:pPr>
      <w:spacing w:after="0"/>
      <w:rPr>
        <w:rFonts w:ascii="Verdana" w:hAnsi="Verdana"/>
        <w:b/>
        <w:bCs/>
      </w:rPr>
    </w:pPr>
  </w:p>
  <w:p w14:paraId="6B0B16F1" w14:textId="77777777" w:rsidR="00135513" w:rsidRDefault="00135513"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2A396D"/>
    <w:multiLevelType w:val="hybridMultilevel"/>
    <w:tmpl w:val="B78633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6D818A5"/>
    <w:multiLevelType w:val="hybridMultilevel"/>
    <w:tmpl w:val="36687B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863592379">
    <w:abstractNumId w:val="11"/>
  </w:num>
  <w:num w:numId="18" w16cid:durableId="1108625056">
    <w:abstractNumId w:val="3"/>
  </w:num>
  <w:num w:numId="19"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7B5"/>
    <w:rsid w:val="000102C2"/>
    <w:rsid w:val="00013715"/>
    <w:rsid w:val="000225AB"/>
    <w:rsid w:val="00022D5D"/>
    <w:rsid w:val="00042FA0"/>
    <w:rsid w:val="0004735A"/>
    <w:rsid w:val="00057B8F"/>
    <w:rsid w:val="00061B2A"/>
    <w:rsid w:val="00072F6D"/>
    <w:rsid w:val="00074BCF"/>
    <w:rsid w:val="00082362"/>
    <w:rsid w:val="00084F63"/>
    <w:rsid w:val="00092A24"/>
    <w:rsid w:val="00093CD3"/>
    <w:rsid w:val="000A683E"/>
    <w:rsid w:val="000B19B9"/>
    <w:rsid w:val="000C1C0E"/>
    <w:rsid w:val="000D0334"/>
    <w:rsid w:val="000F6486"/>
    <w:rsid w:val="00102DCB"/>
    <w:rsid w:val="00112CC7"/>
    <w:rsid w:val="0012027F"/>
    <w:rsid w:val="00125105"/>
    <w:rsid w:val="00127233"/>
    <w:rsid w:val="00134A58"/>
    <w:rsid w:val="00135513"/>
    <w:rsid w:val="00151075"/>
    <w:rsid w:val="00167129"/>
    <w:rsid w:val="00185F07"/>
    <w:rsid w:val="0018752C"/>
    <w:rsid w:val="00197AB0"/>
    <w:rsid w:val="001B682C"/>
    <w:rsid w:val="001C6359"/>
    <w:rsid w:val="001D711B"/>
    <w:rsid w:val="001E4177"/>
    <w:rsid w:val="001E4E0B"/>
    <w:rsid w:val="001F6B2A"/>
    <w:rsid w:val="001F7DC6"/>
    <w:rsid w:val="002027A1"/>
    <w:rsid w:val="0022187D"/>
    <w:rsid w:val="0022577B"/>
    <w:rsid w:val="00230F62"/>
    <w:rsid w:val="002421BB"/>
    <w:rsid w:val="002456A8"/>
    <w:rsid w:val="0024603E"/>
    <w:rsid w:val="0025796E"/>
    <w:rsid w:val="00261779"/>
    <w:rsid w:val="002649D3"/>
    <w:rsid w:val="002707A2"/>
    <w:rsid w:val="00270AD5"/>
    <w:rsid w:val="002719A4"/>
    <w:rsid w:val="00284410"/>
    <w:rsid w:val="0028525B"/>
    <w:rsid w:val="002951A0"/>
    <w:rsid w:val="002962BC"/>
    <w:rsid w:val="002A093D"/>
    <w:rsid w:val="002A0DD0"/>
    <w:rsid w:val="002A3C28"/>
    <w:rsid w:val="002A49AC"/>
    <w:rsid w:val="002A58B7"/>
    <w:rsid w:val="002A64FD"/>
    <w:rsid w:val="002B5EA5"/>
    <w:rsid w:val="002C1F06"/>
    <w:rsid w:val="002C207E"/>
    <w:rsid w:val="002C7A84"/>
    <w:rsid w:val="002D62BE"/>
    <w:rsid w:val="002E4FD9"/>
    <w:rsid w:val="002F1C7C"/>
    <w:rsid w:val="002F4C2F"/>
    <w:rsid w:val="00302E10"/>
    <w:rsid w:val="0030692B"/>
    <w:rsid w:val="00317FF6"/>
    <w:rsid w:val="00321711"/>
    <w:rsid w:val="00322A85"/>
    <w:rsid w:val="00324168"/>
    <w:rsid w:val="00332CB2"/>
    <w:rsid w:val="003331EB"/>
    <w:rsid w:val="00341F46"/>
    <w:rsid w:val="003448F4"/>
    <w:rsid w:val="003568B9"/>
    <w:rsid w:val="00374220"/>
    <w:rsid w:val="00374F5E"/>
    <w:rsid w:val="00377E3E"/>
    <w:rsid w:val="00383EC3"/>
    <w:rsid w:val="00394558"/>
    <w:rsid w:val="003A26D1"/>
    <w:rsid w:val="003A4ECD"/>
    <w:rsid w:val="003A779E"/>
    <w:rsid w:val="003C73CF"/>
    <w:rsid w:val="003D0F4D"/>
    <w:rsid w:val="003D3BA2"/>
    <w:rsid w:val="003D5B0D"/>
    <w:rsid w:val="003E0499"/>
    <w:rsid w:val="003E0679"/>
    <w:rsid w:val="003F1F71"/>
    <w:rsid w:val="003F3941"/>
    <w:rsid w:val="00402FA2"/>
    <w:rsid w:val="00406575"/>
    <w:rsid w:val="0042722E"/>
    <w:rsid w:val="0044528D"/>
    <w:rsid w:val="004705E5"/>
    <w:rsid w:val="004752BE"/>
    <w:rsid w:val="00481FC3"/>
    <w:rsid w:val="00482A43"/>
    <w:rsid w:val="0049012B"/>
    <w:rsid w:val="004939D3"/>
    <w:rsid w:val="004A1847"/>
    <w:rsid w:val="004A305D"/>
    <w:rsid w:val="004B1E6D"/>
    <w:rsid w:val="004B20B4"/>
    <w:rsid w:val="004B71FC"/>
    <w:rsid w:val="004C35D7"/>
    <w:rsid w:val="004D20EE"/>
    <w:rsid w:val="004E09E9"/>
    <w:rsid w:val="004E32B7"/>
    <w:rsid w:val="004F21C4"/>
    <w:rsid w:val="004F240F"/>
    <w:rsid w:val="004F685F"/>
    <w:rsid w:val="005025A7"/>
    <w:rsid w:val="00503664"/>
    <w:rsid w:val="00504599"/>
    <w:rsid w:val="0051501F"/>
    <w:rsid w:val="00525F67"/>
    <w:rsid w:val="005566E8"/>
    <w:rsid w:val="00570D5A"/>
    <w:rsid w:val="00574867"/>
    <w:rsid w:val="005778D3"/>
    <w:rsid w:val="00591460"/>
    <w:rsid w:val="00592628"/>
    <w:rsid w:val="005A2A56"/>
    <w:rsid w:val="005A3159"/>
    <w:rsid w:val="005A7F32"/>
    <w:rsid w:val="005B0B56"/>
    <w:rsid w:val="005C053D"/>
    <w:rsid w:val="005C3777"/>
    <w:rsid w:val="005C3C44"/>
    <w:rsid w:val="005C5CDC"/>
    <w:rsid w:val="005C5E56"/>
    <w:rsid w:val="005D050C"/>
    <w:rsid w:val="005D0D80"/>
    <w:rsid w:val="005D476C"/>
    <w:rsid w:val="005D7829"/>
    <w:rsid w:val="005F05AD"/>
    <w:rsid w:val="005F6779"/>
    <w:rsid w:val="00601E02"/>
    <w:rsid w:val="00610812"/>
    <w:rsid w:val="006219F8"/>
    <w:rsid w:val="006224CC"/>
    <w:rsid w:val="00637857"/>
    <w:rsid w:val="00637D83"/>
    <w:rsid w:val="00641475"/>
    <w:rsid w:val="00641AC3"/>
    <w:rsid w:val="00643D2B"/>
    <w:rsid w:val="00650FF7"/>
    <w:rsid w:val="00665D70"/>
    <w:rsid w:val="00671DAC"/>
    <w:rsid w:val="00684486"/>
    <w:rsid w:val="006900D9"/>
    <w:rsid w:val="006A271A"/>
    <w:rsid w:val="006D12F8"/>
    <w:rsid w:val="006D50BD"/>
    <w:rsid w:val="006E74AB"/>
    <w:rsid w:val="0070624B"/>
    <w:rsid w:val="00706C16"/>
    <w:rsid w:val="00710FC9"/>
    <w:rsid w:val="007123B8"/>
    <w:rsid w:val="00717667"/>
    <w:rsid w:val="007231A3"/>
    <w:rsid w:val="00755E35"/>
    <w:rsid w:val="00756841"/>
    <w:rsid w:val="007649AB"/>
    <w:rsid w:val="00771D0C"/>
    <w:rsid w:val="007761F0"/>
    <w:rsid w:val="007777ED"/>
    <w:rsid w:val="007833AC"/>
    <w:rsid w:val="0079788B"/>
    <w:rsid w:val="007A0AFB"/>
    <w:rsid w:val="007B268C"/>
    <w:rsid w:val="007B7171"/>
    <w:rsid w:val="007C0C0F"/>
    <w:rsid w:val="007C105B"/>
    <w:rsid w:val="007C21B8"/>
    <w:rsid w:val="007C38B6"/>
    <w:rsid w:val="007C3DC2"/>
    <w:rsid w:val="007C6B6C"/>
    <w:rsid w:val="007E2037"/>
    <w:rsid w:val="007E5497"/>
    <w:rsid w:val="007F1457"/>
    <w:rsid w:val="007F562C"/>
    <w:rsid w:val="00805D48"/>
    <w:rsid w:val="00805F08"/>
    <w:rsid w:val="00806F5F"/>
    <w:rsid w:val="00817D63"/>
    <w:rsid w:val="00820278"/>
    <w:rsid w:val="00820D60"/>
    <w:rsid w:val="0084420F"/>
    <w:rsid w:val="0086661F"/>
    <w:rsid w:val="00873ED7"/>
    <w:rsid w:val="008843B6"/>
    <w:rsid w:val="00887C3E"/>
    <w:rsid w:val="00891928"/>
    <w:rsid w:val="008930FB"/>
    <w:rsid w:val="008970BB"/>
    <w:rsid w:val="008A446D"/>
    <w:rsid w:val="008B0AAE"/>
    <w:rsid w:val="008C023E"/>
    <w:rsid w:val="008C5CE6"/>
    <w:rsid w:val="008D180B"/>
    <w:rsid w:val="008F0EA7"/>
    <w:rsid w:val="009023D6"/>
    <w:rsid w:val="00906CDF"/>
    <w:rsid w:val="009070B2"/>
    <w:rsid w:val="00907AFD"/>
    <w:rsid w:val="00911B33"/>
    <w:rsid w:val="00923EEF"/>
    <w:rsid w:val="009328E8"/>
    <w:rsid w:val="00937191"/>
    <w:rsid w:val="009419F9"/>
    <w:rsid w:val="00947C38"/>
    <w:rsid w:val="00955426"/>
    <w:rsid w:val="0095685E"/>
    <w:rsid w:val="00956CFF"/>
    <w:rsid w:val="00961B09"/>
    <w:rsid w:val="00965334"/>
    <w:rsid w:val="0097093E"/>
    <w:rsid w:val="00972E9B"/>
    <w:rsid w:val="00991C76"/>
    <w:rsid w:val="00992155"/>
    <w:rsid w:val="009A0DFA"/>
    <w:rsid w:val="009A6559"/>
    <w:rsid w:val="009B267C"/>
    <w:rsid w:val="009B2D26"/>
    <w:rsid w:val="009B4B03"/>
    <w:rsid w:val="009B58AE"/>
    <w:rsid w:val="009C71FA"/>
    <w:rsid w:val="009C72E7"/>
    <w:rsid w:val="009D3058"/>
    <w:rsid w:val="009E0533"/>
    <w:rsid w:val="009E660E"/>
    <w:rsid w:val="009F3A13"/>
    <w:rsid w:val="009F7868"/>
    <w:rsid w:val="00A02920"/>
    <w:rsid w:val="00A122D3"/>
    <w:rsid w:val="00A14F02"/>
    <w:rsid w:val="00A17F13"/>
    <w:rsid w:val="00A20739"/>
    <w:rsid w:val="00A21284"/>
    <w:rsid w:val="00A23922"/>
    <w:rsid w:val="00A239C7"/>
    <w:rsid w:val="00A25814"/>
    <w:rsid w:val="00A26F45"/>
    <w:rsid w:val="00A331A6"/>
    <w:rsid w:val="00A33C78"/>
    <w:rsid w:val="00A377B8"/>
    <w:rsid w:val="00A6259B"/>
    <w:rsid w:val="00A71905"/>
    <w:rsid w:val="00A87AA9"/>
    <w:rsid w:val="00A93925"/>
    <w:rsid w:val="00A95A1D"/>
    <w:rsid w:val="00AA3A30"/>
    <w:rsid w:val="00AA4745"/>
    <w:rsid w:val="00AB0ADB"/>
    <w:rsid w:val="00AB2D2B"/>
    <w:rsid w:val="00AB3013"/>
    <w:rsid w:val="00AC1284"/>
    <w:rsid w:val="00AF2800"/>
    <w:rsid w:val="00AF6CA6"/>
    <w:rsid w:val="00B01B1A"/>
    <w:rsid w:val="00B0782C"/>
    <w:rsid w:val="00B13C4F"/>
    <w:rsid w:val="00B15B7C"/>
    <w:rsid w:val="00B269D2"/>
    <w:rsid w:val="00B4197F"/>
    <w:rsid w:val="00B41C1E"/>
    <w:rsid w:val="00B42107"/>
    <w:rsid w:val="00B43287"/>
    <w:rsid w:val="00B63348"/>
    <w:rsid w:val="00B63451"/>
    <w:rsid w:val="00B72CD3"/>
    <w:rsid w:val="00B72FFF"/>
    <w:rsid w:val="00B80739"/>
    <w:rsid w:val="00B80BF2"/>
    <w:rsid w:val="00BC3D36"/>
    <w:rsid w:val="00BD4ECD"/>
    <w:rsid w:val="00BD545A"/>
    <w:rsid w:val="00BD72BE"/>
    <w:rsid w:val="00BD7F72"/>
    <w:rsid w:val="00BE3E76"/>
    <w:rsid w:val="00BF5545"/>
    <w:rsid w:val="00C04FB3"/>
    <w:rsid w:val="00C055F1"/>
    <w:rsid w:val="00C11F4E"/>
    <w:rsid w:val="00C130E4"/>
    <w:rsid w:val="00C330EB"/>
    <w:rsid w:val="00C3364B"/>
    <w:rsid w:val="00C3696E"/>
    <w:rsid w:val="00C36DE1"/>
    <w:rsid w:val="00C437FA"/>
    <w:rsid w:val="00C602D1"/>
    <w:rsid w:val="00C754BE"/>
    <w:rsid w:val="00C76B1C"/>
    <w:rsid w:val="00C77DF3"/>
    <w:rsid w:val="00C83E41"/>
    <w:rsid w:val="00C96FEC"/>
    <w:rsid w:val="00C97E65"/>
    <w:rsid w:val="00CA5FD0"/>
    <w:rsid w:val="00CB2757"/>
    <w:rsid w:val="00CB6357"/>
    <w:rsid w:val="00CC1B26"/>
    <w:rsid w:val="00CC25E3"/>
    <w:rsid w:val="00CD69E7"/>
    <w:rsid w:val="00CF2518"/>
    <w:rsid w:val="00D01467"/>
    <w:rsid w:val="00D07FE4"/>
    <w:rsid w:val="00D13DE5"/>
    <w:rsid w:val="00D30BBC"/>
    <w:rsid w:val="00D30E37"/>
    <w:rsid w:val="00D423A2"/>
    <w:rsid w:val="00D4299E"/>
    <w:rsid w:val="00D42B89"/>
    <w:rsid w:val="00D50A42"/>
    <w:rsid w:val="00D520D8"/>
    <w:rsid w:val="00D57F00"/>
    <w:rsid w:val="00D63AC2"/>
    <w:rsid w:val="00D72409"/>
    <w:rsid w:val="00D7383B"/>
    <w:rsid w:val="00D772D0"/>
    <w:rsid w:val="00DA0A6C"/>
    <w:rsid w:val="00DA231B"/>
    <w:rsid w:val="00DA23A0"/>
    <w:rsid w:val="00DC123A"/>
    <w:rsid w:val="00DC39FC"/>
    <w:rsid w:val="00DF5254"/>
    <w:rsid w:val="00DF59A7"/>
    <w:rsid w:val="00E10562"/>
    <w:rsid w:val="00E12FA0"/>
    <w:rsid w:val="00E132BA"/>
    <w:rsid w:val="00E16408"/>
    <w:rsid w:val="00E20894"/>
    <w:rsid w:val="00E245AB"/>
    <w:rsid w:val="00E2764C"/>
    <w:rsid w:val="00E27F2E"/>
    <w:rsid w:val="00E37979"/>
    <w:rsid w:val="00E413EA"/>
    <w:rsid w:val="00E50AFE"/>
    <w:rsid w:val="00E729E7"/>
    <w:rsid w:val="00E72DD5"/>
    <w:rsid w:val="00E75C92"/>
    <w:rsid w:val="00E771DC"/>
    <w:rsid w:val="00E8333C"/>
    <w:rsid w:val="00E8772A"/>
    <w:rsid w:val="00E90F6B"/>
    <w:rsid w:val="00E92C27"/>
    <w:rsid w:val="00EA0E3D"/>
    <w:rsid w:val="00EC38A7"/>
    <w:rsid w:val="00ED0258"/>
    <w:rsid w:val="00EE1AA8"/>
    <w:rsid w:val="00EE4586"/>
    <w:rsid w:val="00F01552"/>
    <w:rsid w:val="00F152E1"/>
    <w:rsid w:val="00F31EDC"/>
    <w:rsid w:val="00F35D31"/>
    <w:rsid w:val="00F4116D"/>
    <w:rsid w:val="00F4486C"/>
    <w:rsid w:val="00F462B3"/>
    <w:rsid w:val="00F556C7"/>
    <w:rsid w:val="00F5664F"/>
    <w:rsid w:val="00F666C4"/>
    <w:rsid w:val="00F76AFC"/>
    <w:rsid w:val="00F76F49"/>
    <w:rsid w:val="00F937DF"/>
    <w:rsid w:val="00FA1A68"/>
    <w:rsid w:val="00FA47C0"/>
    <w:rsid w:val="00FB2D44"/>
    <w:rsid w:val="00FB5DD1"/>
    <w:rsid w:val="00FC2B5D"/>
    <w:rsid w:val="00FD22FF"/>
    <w:rsid w:val="00FD52B4"/>
    <w:rsid w:val="00FD6EFA"/>
    <w:rsid w:val="00FE11C0"/>
    <w:rsid w:val="00FE5FBA"/>
    <w:rsid w:val="00FF1449"/>
    <w:rsid w:val="0C90DEA2"/>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1CC41C7-A5C9-40E4-8044-567701D7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930FB"/>
    <w:rPr>
      <w:rFonts w:ascii="Geomanist Light" w:hAnsi="Geomanist Light"/>
      <w:lang w:val="es-ES"/>
    </w:rPr>
  </w:style>
  <w:style w:type="paragraph" w:customStyle="1" w:styleId="Appelnotedebasde">
    <w:name w:val="Appel note de bas de..."/>
    <w:basedOn w:val="Normal"/>
    <w:link w:val="Refdenotaalpie"/>
    <w:uiPriority w:val="99"/>
    <w:rsid w:val="0070624B"/>
    <w:pPr>
      <w:spacing w:line="240" w:lineRule="exact"/>
    </w:pPr>
    <w:rPr>
      <w:vertAlign w:val="superscript"/>
    </w:rPr>
  </w:style>
  <w:style w:type="character" w:customStyle="1" w:styleId="Hipervnculo1">
    <w:name w:val="Hipervínculo1"/>
    <w:basedOn w:val="Fuentedeprrafopredeter"/>
    <w:uiPriority w:val="99"/>
    <w:unhideWhenUsed/>
    <w:rsid w:val="00A25814"/>
    <w:rPr>
      <w:color w:val="F2F2F2"/>
      <w:u w:val="single"/>
    </w:rPr>
  </w:style>
  <w:style w:type="character" w:styleId="Refdecomentario">
    <w:name w:val="annotation reference"/>
    <w:basedOn w:val="Fuentedeprrafopredeter"/>
    <w:uiPriority w:val="99"/>
    <w:semiHidden/>
    <w:unhideWhenUsed/>
    <w:rsid w:val="005A2A56"/>
    <w:rPr>
      <w:sz w:val="16"/>
      <w:szCs w:val="16"/>
    </w:rPr>
  </w:style>
  <w:style w:type="paragraph" w:styleId="Textocomentario">
    <w:name w:val="annotation text"/>
    <w:basedOn w:val="Normal"/>
    <w:link w:val="TextocomentarioCar"/>
    <w:uiPriority w:val="99"/>
    <w:unhideWhenUsed/>
    <w:rsid w:val="005A2A56"/>
    <w:pPr>
      <w:spacing w:line="240" w:lineRule="auto"/>
    </w:pPr>
    <w:rPr>
      <w:sz w:val="20"/>
      <w:szCs w:val="20"/>
    </w:rPr>
  </w:style>
  <w:style w:type="character" w:customStyle="1" w:styleId="TextocomentarioCar">
    <w:name w:val="Texto comentario Car"/>
    <w:basedOn w:val="Fuentedeprrafopredeter"/>
    <w:link w:val="Textocomentario"/>
    <w:uiPriority w:val="99"/>
    <w:rsid w:val="005A2A56"/>
    <w:rPr>
      <w:sz w:val="20"/>
      <w:szCs w:val="20"/>
    </w:rPr>
  </w:style>
  <w:style w:type="paragraph" w:styleId="Asuntodelcomentario">
    <w:name w:val="annotation subject"/>
    <w:basedOn w:val="Textocomentario"/>
    <w:next w:val="Textocomentario"/>
    <w:link w:val="AsuntodelcomentarioCar"/>
    <w:uiPriority w:val="99"/>
    <w:semiHidden/>
    <w:unhideWhenUsed/>
    <w:rsid w:val="005A2A56"/>
    <w:rPr>
      <w:b/>
      <w:bCs/>
    </w:rPr>
  </w:style>
  <w:style w:type="character" w:customStyle="1" w:styleId="AsuntodelcomentarioCar">
    <w:name w:val="Asunto del comentario Car"/>
    <w:basedOn w:val="TextocomentarioCar"/>
    <w:link w:val="Asuntodelcomentario"/>
    <w:uiPriority w:val="99"/>
    <w:semiHidden/>
    <w:rsid w:val="005A2A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61312774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po_80@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D6CF119-A2DD-497D-AFD9-591E0344D37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4917</Words>
  <Characters>27045</Characters>
  <Application>Microsoft Office Word</Application>
  <DocSecurity>0</DocSecurity>
  <Lines>225</Lines>
  <Paragraphs>63</Paragraphs>
  <ScaleCrop>false</ScaleCrop>
  <Company/>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89</cp:revision>
  <cp:lastPrinted>2023-01-10T18:18:00Z</cp:lastPrinted>
  <dcterms:created xsi:type="dcterms:W3CDTF">2024-09-04T22:06:00Z</dcterms:created>
  <dcterms:modified xsi:type="dcterms:W3CDTF">2024-09-04T22:25:00Z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