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2E957B" w14:textId="768D39FC" w:rsidR="0034177C" w:rsidRPr="00FE75D2" w:rsidRDefault="009F59C2" w:rsidP="00D66CC3">
      <w:pPr>
        <w:jc w:val="right"/>
        <w:rPr>
          <w:rFonts w:ascii="Arial" w:hAnsi="Arial" w:cs="Arial"/>
          <w:b/>
          <w:color w:val="000000" w:themeColor="text1"/>
          <w:sz w:val="16"/>
          <w:szCs w:val="16"/>
          <w:lang w:eastAsia="es-ES"/>
        </w:rPr>
      </w:pPr>
      <w:bookmarkStart w:id="0" w:name="_Hlk28946138"/>
      <w:bookmarkStart w:id="1" w:name="_Hlk29548183"/>
      <w:r w:rsidRPr="00FE75D2">
        <w:rPr>
          <w:rFonts w:ascii="Arial" w:hAnsi="Arial" w:cs="Arial"/>
          <w:b/>
          <w:color w:val="000000" w:themeColor="text1"/>
          <w:sz w:val="21"/>
          <w:szCs w:val="21"/>
          <w:lang w:eastAsia="es-ES"/>
        </w:rPr>
        <w:tab/>
      </w:r>
      <w:r w:rsidR="0034177C" w:rsidRPr="00FE75D2">
        <w:rPr>
          <w:rFonts w:ascii="Arial" w:hAnsi="Arial" w:cs="Arial"/>
          <w:b/>
          <w:color w:val="000000" w:themeColor="text1"/>
          <w:sz w:val="16"/>
          <w:szCs w:val="16"/>
          <w:lang w:eastAsia="es-ES"/>
        </w:rPr>
        <w:t>CCE-DES-FM-17</w:t>
      </w:r>
    </w:p>
    <w:p w14:paraId="33FF83A2" w14:textId="77777777" w:rsidR="0034177C" w:rsidRPr="00FE75D2" w:rsidRDefault="0034177C" w:rsidP="00D66CC3">
      <w:pPr>
        <w:jc w:val="both"/>
        <w:rPr>
          <w:rFonts w:ascii="Arial" w:eastAsia="Calibri" w:hAnsi="Arial" w:cs="Arial"/>
          <w:b/>
          <w:color w:val="000000" w:themeColor="text1"/>
          <w:sz w:val="16"/>
          <w:szCs w:val="16"/>
        </w:rPr>
      </w:pPr>
    </w:p>
    <w:p w14:paraId="21600101" w14:textId="77777777" w:rsidR="008B632C" w:rsidRPr="00682416" w:rsidRDefault="008B632C" w:rsidP="008B632C">
      <w:pPr>
        <w:pStyle w:val="Sinespaciado"/>
        <w:jc w:val="both"/>
        <w:rPr>
          <w:rFonts w:ascii="Arial" w:hAnsi="Arial" w:cs="Arial"/>
          <w:b/>
          <w:bCs/>
          <w:sz w:val="22"/>
        </w:rPr>
      </w:pPr>
      <w:r>
        <w:rPr>
          <w:rFonts w:ascii="Arial" w:hAnsi="Arial" w:cs="Arial"/>
          <w:b/>
          <w:bCs/>
          <w:sz w:val="22"/>
        </w:rPr>
        <w:t>INHABILIDADES – Definición – Finalidad – Limitación capacidad</w:t>
      </w:r>
    </w:p>
    <w:p w14:paraId="7B135721" w14:textId="77777777" w:rsidR="008B632C" w:rsidRPr="00670B9D" w:rsidRDefault="008B632C" w:rsidP="008B632C">
      <w:pPr>
        <w:pStyle w:val="Sinespaciado"/>
        <w:jc w:val="both"/>
        <w:rPr>
          <w:rFonts w:ascii="Arial" w:hAnsi="Arial" w:cs="Arial"/>
          <w:sz w:val="20"/>
          <w:szCs w:val="20"/>
        </w:rPr>
      </w:pPr>
    </w:p>
    <w:p w14:paraId="2085960A" w14:textId="0806F4A7" w:rsidR="005F01C8" w:rsidRPr="005F01C8" w:rsidRDefault="005F01C8" w:rsidP="001E03D2">
      <w:pPr>
        <w:pStyle w:val="Sinespaciado"/>
        <w:spacing w:after="120"/>
        <w:jc w:val="both"/>
        <w:rPr>
          <w:rFonts w:ascii="Arial" w:hAnsi="Arial" w:cs="Arial"/>
          <w:sz w:val="20"/>
          <w:szCs w:val="20"/>
        </w:rPr>
      </w:pPr>
      <w:r w:rsidRPr="005F01C8">
        <w:rPr>
          <w:rFonts w:ascii="Arial" w:hAnsi="Arial" w:cs="Arial"/>
          <w:sz w:val="20"/>
          <w:szCs w:val="20"/>
        </w:rPr>
        <w:t xml:space="preserve">Las inhabilidades son circunstancias establecidas por la Constitución o la ley que impiden que personas naturales o jurídicas sean elegidas o designadas en un cargo público o celebren contratos con el Estado, con el objetivo de garantizar la idoneidad, imparcialidad, probidad, transparencia y moralidad de la función pública, garantizando el interés general.  </w:t>
      </w:r>
    </w:p>
    <w:p w14:paraId="099354DB" w14:textId="1E61E719" w:rsidR="005F01C8" w:rsidRPr="00FE1508" w:rsidRDefault="005F01C8" w:rsidP="004F1DC5">
      <w:pPr>
        <w:pStyle w:val="Sinespaciado"/>
        <w:jc w:val="both"/>
        <w:rPr>
          <w:rFonts w:ascii="Arial" w:hAnsi="Arial" w:cs="Arial"/>
          <w:sz w:val="20"/>
          <w:szCs w:val="20"/>
        </w:rPr>
      </w:pPr>
      <w:r w:rsidRPr="005F01C8">
        <w:rPr>
          <w:rFonts w:ascii="Arial" w:hAnsi="Arial" w:cs="Arial"/>
          <w:sz w:val="20"/>
          <w:szCs w:val="20"/>
        </w:rPr>
        <w:t>El régimen de inhabilidades para contratar con el Estado es un conjunto de restricciones establecidas por el constituyente o por el legislador que afectan directamente la capacidad de las personas para establecer relaciones contractuales con el Estado, que pueden resultar de condenas, sanciones o situaciones previamente establecidas por el ordenamiento jurídico. En esta medida, la Corte Constitucional explica que «las inhabilidades representan una limitación a la capacidad para contratar con las entidades del Estado y obedecen a la falta de aptitud o a la carencia de una cualidad, calidad o requisito en el sujeto incapacitado quien por esta razón no podrá hacer parte de una relación contractual</w:t>
      </w:r>
      <w:r>
        <w:rPr>
          <w:rFonts w:ascii="Verdana" w:hAnsi="Verdana" w:cs="Arial"/>
          <w:sz w:val="20"/>
          <w:szCs w:val="20"/>
        </w:rPr>
        <w:t>»</w:t>
      </w:r>
      <w:r>
        <w:rPr>
          <w:rFonts w:ascii="Arial" w:hAnsi="Arial" w:cs="Arial"/>
          <w:sz w:val="20"/>
          <w:szCs w:val="20"/>
        </w:rPr>
        <w:t>.</w:t>
      </w:r>
    </w:p>
    <w:p w14:paraId="15182D11" w14:textId="77777777" w:rsidR="008B632C" w:rsidRPr="00670B9D" w:rsidRDefault="008B632C" w:rsidP="004F1DC5">
      <w:pPr>
        <w:pStyle w:val="Sinespaciado"/>
        <w:jc w:val="both"/>
        <w:rPr>
          <w:rFonts w:ascii="Arial" w:hAnsi="Arial" w:cs="Arial"/>
          <w:sz w:val="20"/>
          <w:szCs w:val="20"/>
        </w:rPr>
      </w:pPr>
    </w:p>
    <w:p w14:paraId="5B859727" w14:textId="77777777" w:rsidR="008B632C" w:rsidRPr="00422DDB" w:rsidRDefault="008B632C" w:rsidP="004F1DC5">
      <w:pPr>
        <w:pStyle w:val="Sinespaciado"/>
        <w:jc w:val="both"/>
        <w:rPr>
          <w:rFonts w:ascii="Arial" w:hAnsi="Arial" w:cs="Arial"/>
          <w:sz w:val="21"/>
          <w:szCs w:val="21"/>
        </w:rPr>
      </w:pPr>
      <w:r>
        <w:rPr>
          <w:rFonts w:ascii="Arial" w:hAnsi="Arial" w:cs="Arial"/>
          <w:b/>
          <w:bCs/>
          <w:sz w:val="22"/>
        </w:rPr>
        <w:t>INHABILIDADES – Clasificación – Sanción – Proceso sancionatorio – Requisito – Condiciones personales</w:t>
      </w:r>
    </w:p>
    <w:p w14:paraId="2F0492ED" w14:textId="77777777" w:rsidR="008B632C" w:rsidRPr="00670B9D" w:rsidRDefault="008B632C" w:rsidP="004F1DC5">
      <w:pPr>
        <w:ind w:right="709"/>
        <w:rPr>
          <w:rFonts w:ascii="Arial" w:eastAsia="Times New Roman" w:hAnsi="Arial" w:cs="Arial"/>
          <w:sz w:val="20"/>
          <w:szCs w:val="20"/>
          <w:shd w:val="clear" w:color="auto" w:fill="FFFFFF"/>
          <w:lang w:val="es-CO" w:eastAsia="es-ES_tradnl"/>
        </w:rPr>
      </w:pPr>
    </w:p>
    <w:p w14:paraId="4EE970DE" w14:textId="7A215621" w:rsidR="005F01C8" w:rsidRPr="005F01C8" w:rsidRDefault="005F01C8" w:rsidP="004F1DC5">
      <w:pPr>
        <w:spacing w:after="120"/>
        <w:jc w:val="both"/>
        <w:rPr>
          <w:rFonts w:ascii="Arial" w:hAnsi="Arial" w:cs="Arial"/>
          <w:sz w:val="20"/>
          <w:szCs w:val="20"/>
        </w:rPr>
      </w:pPr>
      <w:r w:rsidRPr="005F01C8">
        <w:rPr>
          <w:rFonts w:ascii="Arial" w:hAnsi="Arial" w:cs="Arial"/>
          <w:sz w:val="20"/>
          <w:szCs w:val="20"/>
        </w:rPr>
        <w:t xml:space="preserve">Conviene también distinguir las fuentes de las inhabilidades, las cuales han sido clasificadas en dos (2) grupos: i) inhabilidades-sanción y </w:t>
      </w:r>
      <w:proofErr w:type="spellStart"/>
      <w:r w:rsidRPr="005F01C8">
        <w:rPr>
          <w:rFonts w:ascii="Arial" w:hAnsi="Arial" w:cs="Arial"/>
          <w:sz w:val="20"/>
          <w:szCs w:val="20"/>
        </w:rPr>
        <w:t>ii</w:t>
      </w:r>
      <w:proofErr w:type="spellEnd"/>
      <w:r w:rsidRPr="005F01C8">
        <w:rPr>
          <w:rFonts w:ascii="Arial" w:hAnsi="Arial" w:cs="Arial"/>
          <w:sz w:val="20"/>
          <w:szCs w:val="20"/>
        </w:rPr>
        <w:t xml:space="preserve">) inhabilidades-requisito. En el primer grupo se encuentran las inhabilidades que surgen como consecuencia de un proceso sancionatorio, en los ámbitos penal, disciplinario, contravencional o de pérdida de investidura. En el segundo grupo están aquellas que no devienen de un proceso sancionatorio, sino de condiciones propias de la persona y garantizan la moralidad, la imparcialidad, la eficacia y la transparencia. </w:t>
      </w:r>
    </w:p>
    <w:p w14:paraId="6C9BC9FD" w14:textId="002A8447" w:rsidR="005F01C8" w:rsidRPr="005F01C8" w:rsidRDefault="005F01C8" w:rsidP="004F1DC5">
      <w:pPr>
        <w:spacing w:after="120"/>
        <w:jc w:val="both"/>
        <w:rPr>
          <w:rFonts w:ascii="Arial" w:hAnsi="Arial" w:cs="Arial"/>
          <w:sz w:val="20"/>
          <w:szCs w:val="20"/>
        </w:rPr>
      </w:pPr>
      <w:r>
        <w:rPr>
          <w:rFonts w:ascii="Arial" w:hAnsi="Arial" w:cs="Arial"/>
          <w:sz w:val="20"/>
          <w:szCs w:val="20"/>
        </w:rPr>
        <w:t>[…]</w:t>
      </w:r>
    </w:p>
    <w:p w14:paraId="1F3E0CB7" w14:textId="6BF234FC" w:rsidR="008B632C" w:rsidRDefault="005F01C8" w:rsidP="004F1DC5">
      <w:pPr>
        <w:jc w:val="both"/>
        <w:rPr>
          <w:rFonts w:ascii="Arial" w:hAnsi="Arial" w:cs="Arial"/>
          <w:sz w:val="20"/>
          <w:szCs w:val="20"/>
        </w:rPr>
      </w:pPr>
      <w:r w:rsidRPr="005F01C8">
        <w:rPr>
          <w:rFonts w:ascii="Arial" w:hAnsi="Arial" w:cs="Arial"/>
          <w:sz w:val="20"/>
          <w:szCs w:val="20"/>
        </w:rPr>
        <w:t>En ambos eventos, la inhabilidad tiene como fuente una situación o un hecho propio del proponente –una conducta o una condición– ajena a la oferta. La inhabilidad surge, entre otros, por su grado de parentesco o afinidad, por su condición de servidor público o por una declaratoria de responsabilidad penal, disciplinaria o sancionatoria contractual sobre él.</w:t>
      </w:r>
    </w:p>
    <w:p w14:paraId="45E79FA8" w14:textId="77777777" w:rsidR="005F01C8" w:rsidRPr="005F01C8" w:rsidRDefault="005F01C8" w:rsidP="004F1DC5">
      <w:pPr>
        <w:jc w:val="both"/>
        <w:rPr>
          <w:rFonts w:ascii="Arial" w:eastAsia="Calibri" w:hAnsi="Arial" w:cs="Arial"/>
          <w:sz w:val="20"/>
          <w:szCs w:val="20"/>
        </w:rPr>
      </w:pPr>
    </w:p>
    <w:p w14:paraId="2A7A7836" w14:textId="77777777" w:rsidR="008B632C" w:rsidRPr="00C60ED8" w:rsidRDefault="008B632C" w:rsidP="004F1DC5">
      <w:pPr>
        <w:jc w:val="both"/>
        <w:rPr>
          <w:rFonts w:ascii="Arial" w:eastAsia="Calibri" w:hAnsi="Arial" w:cs="Arial"/>
          <w:b/>
          <w:bCs/>
          <w:sz w:val="22"/>
          <w:lang w:val="es-ES_tradnl"/>
        </w:rPr>
      </w:pPr>
      <w:r>
        <w:rPr>
          <w:rFonts w:ascii="Arial" w:eastAsia="Calibri" w:hAnsi="Arial" w:cs="Arial"/>
          <w:b/>
          <w:bCs/>
          <w:sz w:val="22"/>
          <w:lang w:val="es-ES_tradnl"/>
        </w:rPr>
        <w:t>INHABILIDADES – Taxatividad – Principio de legalidad – Interpretación restrictiva</w:t>
      </w:r>
    </w:p>
    <w:p w14:paraId="37627E25" w14:textId="77777777" w:rsidR="008B632C" w:rsidRPr="00670B9D" w:rsidRDefault="008B632C" w:rsidP="004F1DC5">
      <w:pPr>
        <w:jc w:val="both"/>
        <w:rPr>
          <w:rFonts w:ascii="Arial" w:eastAsia="Calibri" w:hAnsi="Arial" w:cs="Arial"/>
          <w:sz w:val="20"/>
          <w:szCs w:val="20"/>
          <w:lang w:val="es-ES_tradnl"/>
        </w:rPr>
      </w:pPr>
    </w:p>
    <w:p w14:paraId="7EB46F8F" w14:textId="179074E1" w:rsidR="008B632C" w:rsidRDefault="005F01C8" w:rsidP="004F1DC5">
      <w:pPr>
        <w:jc w:val="both"/>
        <w:rPr>
          <w:rFonts w:ascii="Arial" w:eastAsia="Calibri" w:hAnsi="Arial" w:cs="Arial"/>
          <w:sz w:val="20"/>
          <w:szCs w:val="20"/>
          <w:lang w:val="es-ES_tradnl"/>
        </w:rPr>
      </w:pPr>
      <w:r w:rsidRPr="005F01C8">
        <w:rPr>
          <w:rFonts w:ascii="Arial" w:eastAsia="Calibri" w:hAnsi="Arial" w:cs="Arial"/>
          <w:sz w:val="20"/>
          <w:szCs w:val="20"/>
          <w:lang w:val="es-ES_tradnl"/>
        </w:rPr>
        <w:t xml:space="preserve">Ahora bien, las inhabilidades e incompatibilidades al ser restricciones o límites especiales a la capacidad para presentar ofertas y celebrar contratos estatales, solo pueden tipificarse en la ley –o sea, deben satisfacer el principio de legalidad– y su interpretación debe ser </w:t>
      </w:r>
      <w:r w:rsidRPr="005F01C8">
        <w:rPr>
          <w:rFonts w:ascii="Arial" w:eastAsia="Calibri" w:hAnsi="Arial" w:cs="Arial"/>
          <w:i/>
          <w:iCs/>
          <w:sz w:val="20"/>
          <w:szCs w:val="20"/>
          <w:lang w:val="es-ES_tradnl"/>
        </w:rPr>
        <w:t>restrictiva</w:t>
      </w:r>
      <w:r w:rsidRPr="005F01C8">
        <w:rPr>
          <w:rFonts w:ascii="Arial" w:eastAsia="Calibri" w:hAnsi="Arial" w:cs="Arial"/>
          <w:sz w:val="20"/>
          <w:szCs w:val="20"/>
          <w:lang w:val="es-ES_tradnl"/>
        </w:rPr>
        <w:t>, pues si se admitiera una interpretación amplia, extensiva o finalista de las mismas, tales enunciados normativos contemplarían múltiples supuestos indeterminados, según el parecer o el sentido común de los operadores jurídicos, poniendo en riesgo principios como la igualdad, el debido proceso, la libre concurrencia y el ejercicio de la profesión u oficio. Tal ha sido la postura de la jurisprudencia, tanto de la Corte Constitucional como de la Sección Tercera del Consejo de Estado.</w:t>
      </w:r>
    </w:p>
    <w:p w14:paraId="32879CA0" w14:textId="77777777" w:rsidR="005F01C8" w:rsidRPr="008B632C" w:rsidRDefault="005F01C8" w:rsidP="00D66CC3">
      <w:pPr>
        <w:jc w:val="both"/>
        <w:rPr>
          <w:rFonts w:ascii="Arial" w:eastAsia="Calibri" w:hAnsi="Arial" w:cs="Arial"/>
          <w:sz w:val="20"/>
          <w:szCs w:val="20"/>
          <w:lang w:val="es-ES_tradnl"/>
        </w:rPr>
      </w:pPr>
    </w:p>
    <w:p w14:paraId="44799429" w14:textId="42002912" w:rsidR="00F73586" w:rsidRDefault="00582C39" w:rsidP="70C63DD2">
      <w:pPr>
        <w:jc w:val="both"/>
        <w:rPr>
          <w:rFonts w:ascii="Arial" w:eastAsia="Calibri" w:hAnsi="Arial" w:cs="Arial"/>
          <w:b/>
          <w:bCs/>
          <w:sz w:val="22"/>
          <w:lang w:val="es-ES"/>
        </w:rPr>
      </w:pPr>
      <w:r w:rsidRPr="70C63DD2">
        <w:rPr>
          <w:rFonts w:ascii="Arial" w:eastAsia="Calibri" w:hAnsi="Arial" w:cs="Arial"/>
          <w:b/>
          <w:bCs/>
          <w:sz w:val="22"/>
          <w:lang w:val="es-ES"/>
        </w:rPr>
        <w:t xml:space="preserve">INHABILIDADES – </w:t>
      </w:r>
      <w:r w:rsidR="00F73586" w:rsidRPr="70C63DD2">
        <w:rPr>
          <w:rFonts w:ascii="Arial" w:eastAsia="Calibri" w:hAnsi="Arial" w:cs="Arial"/>
          <w:b/>
          <w:bCs/>
          <w:sz w:val="22"/>
          <w:lang w:val="es-ES"/>
        </w:rPr>
        <w:t xml:space="preserve">Interpretación restrictiva – Sociedad de personas jurídicas – </w:t>
      </w:r>
      <w:r w:rsidR="0761366D" w:rsidRPr="70C63DD2">
        <w:rPr>
          <w:rFonts w:ascii="Arial" w:eastAsia="Calibri" w:hAnsi="Arial" w:cs="Arial"/>
          <w:b/>
          <w:bCs/>
          <w:sz w:val="22"/>
          <w:lang w:val="es-ES"/>
        </w:rPr>
        <w:t>A</w:t>
      </w:r>
      <w:r w:rsidR="00F73586" w:rsidRPr="70C63DD2">
        <w:rPr>
          <w:rFonts w:ascii="Arial" w:eastAsia="Calibri" w:hAnsi="Arial" w:cs="Arial"/>
          <w:b/>
          <w:bCs/>
          <w:sz w:val="22"/>
          <w:lang w:val="es-ES"/>
        </w:rPr>
        <w:t xml:space="preserve">plicabilidad </w:t>
      </w:r>
      <w:r w:rsidR="1E9525AA" w:rsidRPr="70C63DD2">
        <w:rPr>
          <w:rFonts w:ascii="Arial" w:eastAsia="Calibri" w:hAnsi="Arial" w:cs="Arial"/>
          <w:b/>
          <w:bCs/>
          <w:sz w:val="22"/>
          <w:lang w:val="es-ES"/>
        </w:rPr>
        <w:t>–</w:t>
      </w:r>
      <w:r w:rsidR="00F73586" w:rsidRPr="70C63DD2">
        <w:rPr>
          <w:rFonts w:ascii="Arial" w:eastAsia="Calibri" w:hAnsi="Arial" w:cs="Arial"/>
          <w:b/>
          <w:bCs/>
          <w:sz w:val="22"/>
          <w:lang w:val="es-ES"/>
        </w:rPr>
        <w:t xml:space="preserve"> </w:t>
      </w:r>
      <w:r w:rsidR="0989DAAD" w:rsidRPr="70C63DD2">
        <w:rPr>
          <w:rFonts w:ascii="Arial" w:eastAsia="Calibri" w:hAnsi="Arial" w:cs="Arial"/>
          <w:b/>
          <w:bCs/>
          <w:sz w:val="22"/>
          <w:lang w:val="es-ES"/>
        </w:rPr>
        <w:t>A</w:t>
      </w:r>
      <w:r w:rsidR="00F73586" w:rsidRPr="70C63DD2">
        <w:rPr>
          <w:rFonts w:ascii="Arial" w:eastAsia="Calibri" w:hAnsi="Arial" w:cs="Arial"/>
          <w:b/>
          <w:bCs/>
          <w:sz w:val="22"/>
          <w:lang w:val="es-ES"/>
        </w:rPr>
        <w:t>rtículo 8 numeral 1 literal h)</w:t>
      </w:r>
    </w:p>
    <w:p w14:paraId="33D2DF9A" w14:textId="77777777" w:rsidR="00F73586" w:rsidRDefault="00F73586" w:rsidP="00582C39">
      <w:pPr>
        <w:jc w:val="both"/>
        <w:rPr>
          <w:rFonts w:ascii="Arial" w:eastAsia="Calibri" w:hAnsi="Arial" w:cs="Arial"/>
          <w:b/>
          <w:bCs/>
          <w:sz w:val="22"/>
          <w:lang w:val="es-ES_tradnl"/>
        </w:rPr>
      </w:pPr>
    </w:p>
    <w:p w14:paraId="31643811" w14:textId="1DA012E4" w:rsidR="00E00F87" w:rsidRDefault="00747CD4" w:rsidP="001E03D2">
      <w:pPr>
        <w:spacing w:after="120"/>
        <w:jc w:val="both"/>
        <w:rPr>
          <w:rFonts w:ascii="Arial" w:eastAsia="Calibri" w:hAnsi="Arial" w:cs="Arial"/>
          <w:sz w:val="20"/>
          <w:szCs w:val="20"/>
          <w:lang w:val="es-ES_tradnl"/>
        </w:rPr>
      </w:pPr>
      <w:r>
        <w:rPr>
          <w:rFonts w:ascii="Arial" w:eastAsia="Calibri" w:hAnsi="Arial" w:cs="Arial"/>
          <w:sz w:val="20"/>
          <w:szCs w:val="20"/>
          <w:lang w:val="es-ES_tradnl"/>
        </w:rPr>
        <w:t>E</w:t>
      </w:r>
      <w:r w:rsidR="00F73586" w:rsidRPr="00F73586">
        <w:rPr>
          <w:rFonts w:ascii="Arial" w:eastAsia="Calibri" w:hAnsi="Arial" w:cs="Arial"/>
          <w:sz w:val="20"/>
          <w:szCs w:val="20"/>
          <w:lang w:val="es-ES_tradnl"/>
        </w:rPr>
        <w:t xml:space="preserve">l supuesto de hecho descrito en el literal h) solamente cobija a aquellas sociedades en las cuales el representante legal o alguno de sus socios tienen un parentesco con el representante legal o alguno de los socios de una sociedad «que formalmente haya presentado propuesta». Para usar una máxima </w:t>
      </w:r>
      <w:r w:rsidR="00F73586" w:rsidRPr="00F73586">
        <w:rPr>
          <w:rFonts w:ascii="Arial" w:eastAsia="Calibri" w:hAnsi="Arial" w:cs="Arial"/>
          <w:sz w:val="20"/>
          <w:szCs w:val="20"/>
          <w:lang w:val="es-ES_tradnl"/>
        </w:rPr>
        <w:lastRenderedPageBreak/>
        <w:t xml:space="preserve">latina </w:t>
      </w:r>
      <w:proofErr w:type="spellStart"/>
      <w:r w:rsidR="00F73586" w:rsidRPr="005F01C8">
        <w:rPr>
          <w:rFonts w:ascii="Arial" w:eastAsia="Calibri" w:hAnsi="Arial" w:cs="Arial"/>
          <w:i/>
          <w:iCs/>
          <w:sz w:val="20"/>
          <w:szCs w:val="20"/>
          <w:lang w:val="es-ES_tradnl"/>
        </w:rPr>
        <w:t>Expressio</w:t>
      </w:r>
      <w:proofErr w:type="spellEnd"/>
      <w:r w:rsidR="00F73586" w:rsidRPr="005F01C8">
        <w:rPr>
          <w:rFonts w:ascii="Arial" w:eastAsia="Calibri" w:hAnsi="Arial" w:cs="Arial"/>
          <w:i/>
          <w:iCs/>
          <w:sz w:val="20"/>
          <w:szCs w:val="20"/>
          <w:lang w:val="es-ES_tradnl"/>
        </w:rPr>
        <w:t xml:space="preserve"> </w:t>
      </w:r>
      <w:proofErr w:type="spellStart"/>
      <w:r w:rsidR="00F73586" w:rsidRPr="005F01C8">
        <w:rPr>
          <w:rFonts w:ascii="Arial" w:eastAsia="Calibri" w:hAnsi="Arial" w:cs="Arial"/>
          <w:i/>
          <w:iCs/>
          <w:sz w:val="20"/>
          <w:szCs w:val="20"/>
          <w:lang w:val="es-ES_tradnl"/>
        </w:rPr>
        <w:t>unius</w:t>
      </w:r>
      <w:proofErr w:type="spellEnd"/>
      <w:r w:rsidR="00F73586" w:rsidRPr="005F01C8">
        <w:rPr>
          <w:rFonts w:ascii="Arial" w:eastAsia="Calibri" w:hAnsi="Arial" w:cs="Arial"/>
          <w:i/>
          <w:iCs/>
          <w:sz w:val="20"/>
          <w:szCs w:val="20"/>
          <w:lang w:val="es-ES_tradnl"/>
        </w:rPr>
        <w:t xml:space="preserve"> </w:t>
      </w:r>
      <w:proofErr w:type="spellStart"/>
      <w:r w:rsidR="00F73586" w:rsidRPr="005F01C8">
        <w:rPr>
          <w:rFonts w:ascii="Arial" w:eastAsia="Calibri" w:hAnsi="Arial" w:cs="Arial"/>
          <w:i/>
          <w:iCs/>
          <w:sz w:val="20"/>
          <w:szCs w:val="20"/>
          <w:lang w:val="es-ES_tradnl"/>
        </w:rPr>
        <w:t>est</w:t>
      </w:r>
      <w:proofErr w:type="spellEnd"/>
      <w:r w:rsidR="00F73586" w:rsidRPr="005F01C8">
        <w:rPr>
          <w:rFonts w:ascii="Arial" w:eastAsia="Calibri" w:hAnsi="Arial" w:cs="Arial"/>
          <w:i/>
          <w:iCs/>
          <w:sz w:val="20"/>
          <w:szCs w:val="20"/>
          <w:lang w:val="es-ES_tradnl"/>
        </w:rPr>
        <w:t xml:space="preserve"> </w:t>
      </w:r>
      <w:proofErr w:type="spellStart"/>
      <w:r w:rsidR="00F73586" w:rsidRPr="005F01C8">
        <w:rPr>
          <w:rFonts w:ascii="Arial" w:eastAsia="Calibri" w:hAnsi="Arial" w:cs="Arial"/>
          <w:i/>
          <w:iCs/>
          <w:sz w:val="20"/>
          <w:szCs w:val="20"/>
          <w:lang w:val="es-ES_tradnl"/>
        </w:rPr>
        <w:t>exclusio</w:t>
      </w:r>
      <w:proofErr w:type="spellEnd"/>
      <w:r w:rsidR="00F73586" w:rsidRPr="005F01C8">
        <w:rPr>
          <w:rFonts w:ascii="Arial" w:eastAsia="Calibri" w:hAnsi="Arial" w:cs="Arial"/>
          <w:i/>
          <w:iCs/>
          <w:sz w:val="20"/>
          <w:szCs w:val="20"/>
          <w:lang w:val="es-ES_tradnl"/>
        </w:rPr>
        <w:t xml:space="preserve"> </w:t>
      </w:r>
      <w:proofErr w:type="spellStart"/>
      <w:r w:rsidR="00F73586" w:rsidRPr="005F01C8">
        <w:rPr>
          <w:rFonts w:ascii="Arial" w:eastAsia="Calibri" w:hAnsi="Arial" w:cs="Arial"/>
          <w:i/>
          <w:iCs/>
          <w:sz w:val="20"/>
          <w:szCs w:val="20"/>
          <w:lang w:val="es-ES_tradnl"/>
        </w:rPr>
        <w:t>alterius</w:t>
      </w:r>
      <w:proofErr w:type="spellEnd"/>
      <w:r w:rsidR="00F73586" w:rsidRPr="00F73586">
        <w:rPr>
          <w:rFonts w:ascii="Arial" w:eastAsia="Calibri" w:hAnsi="Arial" w:cs="Arial"/>
          <w:sz w:val="20"/>
          <w:szCs w:val="20"/>
          <w:lang w:val="es-ES_tradnl"/>
        </w:rPr>
        <w:t xml:space="preserve">, y cualquier escenario que no se encuadre perfectamente allí se encuentra excluido del supuesto de hecho. </w:t>
      </w:r>
    </w:p>
    <w:p w14:paraId="46166E05" w14:textId="236E5AA6" w:rsidR="00E00F87" w:rsidRDefault="002172CF" w:rsidP="001E03D2">
      <w:pPr>
        <w:spacing w:after="120"/>
        <w:jc w:val="both"/>
        <w:rPr>
          <w:rFonts w:ascii="Arial" w:eastAsia="Calibri" w:hAnsi="Arial" w:cs="Arial"/>
          <w:sz w:val="20"/>
          <w:szCs w:val="20"/>
          <w:lang w:val="es-ES_tradnl"/>
        </w:rPr>
      </w:pPr>
      <w:r>
        <w:rPr>
          <w:rFonts w:ascii="Arial" w:eastAsia="Calibri" w:hAnsi="Arial" w:cs="Arial"/>
          <w:sz w:val="20"/>
          <w:szCs w:val="20"/>
          <w:lang w:val="es-ES_tradnl"/>
        </w:rPr>
        <w:t>Por ello, e</w:t>
      </w:r>
      <w:r w:rsidR="00F73586" w:rsidRPr="00F73586">
        <w:rPr>
          <w:rFonts w:ascii="Arial" w:eastAsia="Calibri" w:hAnsi="Arial" w:cs="Arial"/>
          <w:sz w:val="20"/>
          <w:szCs w:val="20"/>
          <w:lang w:val="es-ES_tradnl"/>
        </w:rPr>
        <w:t xml:space="preserve">sta inhabilidad solamente </w:t>
      </w:r>
      <w:r w:rsidR="005301D8">
        <w:rPr>
          <w:rFonts w:ascii="Arial" w:eastAsia="Calibri" w:hAnsi="Arial" w:cs="Arial"/>
          <w:sz w:val="20"/>
          <w:szCs w:val="20"/>
          <w:lang w:val="es-ES_tradnl"/>
        </w:rPr>
        <w:t>aplica</w:t>
      </w:r>
      <w:r w:rsidR="00F73586" w:rsidRPr="00F73586">
        <w:rPr>
          <w:rFonts w:ascii="Arial" w:eastAsia="Calibri" w:hAnsi="Arial" w:cs="Arial"/>
          <w:sz w:val="20"/>
          <w:szCs w:val="20"/>
          <w:lang w:val="es-ES_tradnl"/>
        </w:rPr>
        <w:t xml:space="preserve"> </w:t>
      </w:r>
      <w:r w:rsidR="00F73586">
        <w:rPr>
          <w:rFonts w:ascii="Arial" w:eastAsia="Calibri" w:hAnsi="Arial" w:cs="Arial"/>
          <w:sz w:val="20"/>
          <w:szCs w:val="20"/>
          <w:lang w:val="es-ES_tradnl"/>
        </w:rPr>
        <w:t xml:space="preserve">a </w:t>
      </w:r>
      <w:r w:rsidR="00F73586" w:rsidRPr="00F73586">
        <w:rPr>
          <w:rFonts w:ascii="Arial" w:eastAsia="Calibri" w:hAnsi="Arial" w:cs="Arial"/>
          <w:sz w:val="20"/>
          <w:szCs w:val="20"/>
          <w:lang w:val="es-ES_tradnl"/>
        </w:rPr>
        <w:t>aquellas sociedades conformadas o representadas por personas naturales</w:t>
      </w:r>
      <w:r w:rsidR="00E00F87">
        <w:rPr>
          <w:rFonts w:ascii="Arial" w:eastAsia="Calibri" w:hAnsi="Arial" w:cs="Arial"/>
          <w:sz w:val="20"/>
          <w:szCs w:val="20"/>
          <w:lang w:val="es-ES_tradnl"/>
        </w:rPr>
        <w:t>,</w:t>
      </w:r>
      <w:r w:rsidR="00F73586" w:rsidRPr="00F73586">
        <w:rPr>
          <w:rFonts w:ascii="Arial" w:eastAsia="Calibri" w:hAnsi="Arial" w:cs="Arial"/>
          <w:sz w:val="20"/>
          <w:szCs w:val="20"/>
          <w:lang w:val="es-ES_tradnl"/>
        </w:rPr>
        <w:t xml:space="preserve"> pues los grados de parentesco solamente se predican de este tipo de personas. Luego, ante la presencia de una sociedad cuyos socios son personas jurídicas se torna imposible la aplicación de esta precisa inhabilidad. En palabras más sencillas, el artículo 8 numeral 1</w:t>
      </w:r>
      <w:r w:rsidR="00E00F87">
        <w:rPr>
          <w:rFonts w:ascii="Arial" w:eastAsia="Calibri" w:hAnsi="Arial" w:cs="Arial"/>
          <w:sz w:val="20"/>
          <w:szCs w:val="20"/>
          <w:lang w:val="es-ES_tradnl"/>
        </w:rPr>
        <w:t>,</w:t>
      </w:r>
      <w:r w:rsidR="00F73586" w:rsidRPr="00F73586">
        <w:rPr>
          <w:rFonts w:ascii="Arial" w:eastAsia="Calibri" w:hAnsi="Arial" w:cs="Arial"/>
          <w:sz w:val="20"/>
          <w:szCs w:val="20"/>
          <w:lang w:val="es-ES_tradnl"/>
        </w:rPr>
        <w:t xml:space="preserve"> literal h)</w:t>
      </w:r>
      <w:r w:rsidR="00E00F87">
        <w:rPr>
          <w:rFonts w:ascii="Arial" w:eastAsia="Calibri" w:hAnsi="Arial" w:cs="Arial"/>
          <w:sz w:val="20"/>
          <w:szCs w:val="20"/>
          <w:lang w:val="es-ES_tradnl"/>
        </w:rPr>
        <w:t>,</w:t>
      </w:r>
      <w:r w:rsidR="00F73586" w:rsidRPr="00F73586">
        <w:rPr>
          <w:rFonts w:ascii="Arial" w:eastAsia="Calibri" w:hAnsi="Arial" w:cs="Arial"/>
          <w:sz w:val="20"/>
          <w:szCs w:val="20"/>
          <w:lang w:val="es-ES_tradnl"/>
        </w:rPr>
        <w:t xml:space="preserve"> no es aplicable a sociedades que estén conformadas exclusivamente por personas jurídicas. </w:t>
      </w:r>
    </w:p>
    <w:p w14:paraId="75EC058C" w14:textId="6CC7BFD0" w:rsidR="00F73586" w:rsidRPr="00747CD4" w:rsidRDefault="00F73586" w:rsidP="001E03D2">
      <w:pPr>
        <w:jc w:val="both"/>
        <w:rPr>
          <w:rFonts w:ascii="Arial" w:eastAsia="Calibri" w:hAnsi="Arial" w:cs="Arial"/>
          <w:sz w:val="20"/>
          <w:szCs w:val="20"/>
          <w:lang w:val="es-ES_tradnl"/>
        </w:rPr>
      </w:pPr>
      <w:r w:rsidRPr="00F73586">
        <w:rPr>
          <w:rFonts w:ascii="Arial" w:eastAsia="Calibri" w:hAnsi="Arial" w:cs="Arial"/>
          <w:sz w:val="20"/>
          <w:szCs w:val="20"/>
          <w:lang w:val="es-ES_tradnl"/>
        </w:rPr>
        <w:t xml:space="preserve">Dicho ello, se debe aclarar que la inhabilidad analizada no se extiende a las sociedades que están conformadas por personas jurídicas, aun cuando estas tengan como socio a una persona natural que se encuentra en alguno de los grados de parentesco prescritos en el literal h).  </w:t>
      </w:r>
    </w:p>
    <w:p w14:paraId="11D59D22" w14:textId="20BD1EF7" w:rsidR="00F73586" w:rsidRPr="005E1595" w:rsidRDefault="00F73586" w:rsidP="001E03D2">
      <w:pPr>
        <w:spacing w:line="276" w:lineRule="auto"/>
        <w:jc w:val="both"/>
        <w:rPr>
          <w:rFonts w:ascii="Arial" w:hAnsi="Arial" w:cs="Arial"/>
          <w:color w:val="000000" w:themeColor="text1"/>
          <w:sz w:val="20"/>
          <w:szCs w:val="20"/>
          <w:lang w:val="es-ES_tradnl"/>
        </w:rPr>
      </w:pPr>
    </w:p>
    <w:p w14:paraId="1259BA82" w14:textId="77777777" w:rsidR="00747CD4" w:rsidRPr="005E1595" w:rsidRDefault="00747CD4" w:rsidP="001E03D2">
      <w:pPr>
        <w:spacing w:line="276" w:lineRule="auto"/>
        <w:jc w:val="both"/>
        <w:rPr>
          <w:rFonts w:ascii="Arial" w:hAnsi="Arial" w:cs="Arial"/>
          <w:color w:val="000000" w:themeColor="text1"/>
          <w:sz w:val="20"/>
          <w:szCs w:val="20"/>
          <w:lang w:val="es-ES_tradnl"/>
        </w:rPr>
      </w:pPr>
    </w:p>
    <w:p w14:paraId="1B516402" w14:textId="50926F03" w:rsidR="00DD782C" w:rsidRPr="006C15D5" w:rsidRDefault="00DD782C" w:rsidP="001E03D2">
      <w:pPr>
        <w:rPr>
          <w:rFonts w:ascii="Arial" w:hAnsi="Arial" w:cs="Arial"/>
          <w:b/>
          <w:color w:val="000000" w:themeColor="text1"/>
          <w:sz w:val="22"/>
        </w:rPr>
      </w:pPr>
      <w:r w:rsidRPr="006C15D5">
        <w:rPr>
          <w:rFonts w:ascii="Arial" w:hAnsi="Arial" w:cs="Arial"/>
          <w:color w:val="000000" w:themeColor="text1"/>
          <w:sz w:val="22"/>
        </w:rPr>
        <w:t xml:space="preserve">Bogotá D.C., </w:t>
      </w:r>
      <w:r w:rsidR="004D60B8">
        <w:rPr>
          <w:rFonts w:ascii="Arial" w:hAnsi="Arial" w:cs="Arial"/>
          <w:b/>
          <w:color w:val="000000" w:themeColor="text1"/>
          <w:sz w:val="22"/>
        </w:rPr>
        <w:t>26/06/2020 Hora 12:52:29s</w:t>
      </w:r>
    </w:p>
    <w:p w14:paraId="04B6C77A" w14:textId="23A3C99A" w:rsidR="00DD782C" w:rsidRPr="006C15D5" w:rsidRDefault="00DD782C" w:rsidP="00DD782C">
      <w:pPr>
        <w:jc w:val="right"/>
        <w:rPr>
          <w:rFonts w:ascii="Arial" w:hAnsi="Arial" w:cs="Arial"/>
          <w:b/>
          <w:color w:val="000000" w:themeColor="text1"/>
          <w:sz w:val="22"/>
        </w:rPr>
      </w:pPr>
      <w:proofErr w:type="spellStart"/>
      <w:r w:rsidRPr="006C15D5">
        <w:rPr>
          <w:rFonts w:ascii="Arial" w:hAnsi="Arial" w:cs="Arial"/>
          <w:b/>
          <w:color w:val="000000" w:themeColor="text1"/>
          <w:sz w:val="22"/>
        </w:rPr>
        <w:t>N°</w:t>
      </w:r>
      <w:proofErr w:type="spellEnd"/>
      <w:r w:rsidRPr="006C15D5">
        <w:rPr>
          <w:rFonts w:ascii="Arial" w:hAnsi="Arial" w:cs="Arial"/>
          <w:b/>
          <w:color w:val="000000" w:themeColor="text1"/>
          <w:sz w:val="22"/>
        </w:rPr>
        <w:t xml:space="preserve"> Radicado: </w:t>
      </w:r>
      <w:r w:rsidR="004D60B8">
        <w:rPr>
          <w:rFonts w:ascii="Arial" w:hAnsi="Arial" w:cs="Arial"/>
          <w:b/>
          <w:color w:val="000000" w:themeColor="text1"/>
          <w:sz w:val="22"/>
        </w:rPr>
        <w:t>2202013000005477</w:t>
      </w:r>
    </w:p>
    <w:p w14:paraId="730F4C7D" w14:textId="77777777" w:rsidR="00DD782C" w:rsidRPr="006C15D5" w:rsidRDefault="00DD782C" w:rsidP="00DD782C">
      <w:pPr>
        <w:rPr>
          <w:rFonts w:ascii="Arial" w:eastAsia="Calibri" w:hAnsi="Arial" w:cs="Arial"/>
          <w:color w:val="000000" w:themeColor="text1"/>
          <w:sz w:val="22"/>
        </w:rPr>
      </w:pPr>
    </w:p>
    <w:p w14:paraId="69990749" w14:textId="2BD63262" w:rsidR="00D1044A" w:rsidRPr="00FE75D2" w:rsidRDefault="00D1044A" w:rsidP="00D1044A">
      <w:pPr>
        <w:rPr>
          <w:rFonts w:ascii="Arial" w:eastAsia="Calibri" w:hAnsi="Arial" w:cs="Arial"/>
          <w:color w:val="000000" w:themeColor="text1"/>
          <w:sz w:val="22"/>
          <w:szCs w:val="20"/>
          <w:lang w:val="es-ES_tradnl"/>
        </w:rPr>
      </w:pPr>
      <w:r w:rsidRPr="00FE75D2">
        <w:rPr>
          <w:rFonts w:ascii="Arial" w:eastAsia="Calibri" w:hAnsi="Arial" w:cs="Arial"/>
          <w:color w:val="000000" w:themeColor="text1"/>
          <w:sz w:val="22"/>
          <w:szCs w:val="20"/>
          <w:lang w:val="es-ES_tradnl"/>
        </w:rPr>
        <w:t>Señor</w:t>
      </w:r>
    </w:p>
    <w:p w14:paraId="2EB97DBF" w14:textId="382FF200" w:rsidR="00D1044A" w:rsidRPr="00FE75D2" w:rsidRDefault="00DD782C" w:rsidP="00D1044A">
      <w:pPr>
        <w:rPr>
          <w:rFonts w:ascii="Arial" w:eastAsia="Calibri" w:hAnsi="Arial" w:cs="Arial"/>
          <w:b/>
          <w:color w:val="000000" w:themeColor="text1"/>
          <w:sz w:val="22"/>
          <w:szCs w:val="20"/>
          <w:lang w:val="es-ES_tradnl"/>
        </w:rPr>
      </w:pPr>
      <w:r>
        <w:rPr>
          <w:rFonts w:ascii="Arial" w:eastAsia="Calibri" w:hAnsi="Arial" w:cs="Arial"/>
          <w:b/>
          <w:color w:val="000000" w:themeColor="text1"/>
          <w:sz w:val="22"/>
          <w:szCs w:val="20"/>
          <w:lang w:val="es-ES_tradnl"/>
        </w:rPr>
        <w:t xml:space="preserve">Andrés Felipe Escobar </w:t>
      </w:r>
    </w:p>
    <w:p w14:paraId="1D19D664" w14:textId="77777777" w:rsidR="00D1044A" w:rsidRPr="00FE75D2" w:rsidRDefault="00D1044A" w:rsidP="00D1044A">
      <w:pPr>
        <w:rPr>
          <w:rFonts w:ascii="Arial" w:eastAsia="Calibri" w:hAnsi="Arial" w:cs="Arial"/>
          <w:b/>
          <w:color w:val="000000" w:themeColor="text1"/>
          <w:sz w:val="22"/>
          <w:szCs w:val="20"/>
          <w:lang w:val="es-ES_tradnl"/>
        </w:rPr>
      </w:pPr>
      <w:r w:rsidRPr="00FE75D2">
        <w:rPr>
          <w:rFonts w:ascii="Arial" w:eastAsia="Calibri" w:hAnsi="Arial" w:cs="Arial"/>
          <w:color w:val="000000" w:themeColor="text1"/>
          <w:sz w:val="22"/>
          <w:szCs w:val="20"/>
          <w:lang w:val="es-ES_tradnl"/>
        </w:rPr>
        <w:t>Ciudad</w:t>
      </w:r>
    </w:p>
    <w:p w14:paraId="0342712E" w14:textId="77777777" w:rsidR="00D1044A" w:rsidRPr="00FE75D2" w:rsidRDefault="00D1044A" w:rsidP="00D1044A">
      <w:pPr>
        <w:jc w:val="center"/>
        <w:rPr>
          <w:rFonts w:ascii="Arial" w:eastAsia="Calibri" w:hAnsi="Arial" w:cs="Arial"/>
          <w:b/>
          <w:color w:val="000000" w:themeColor="text1"/>
          <w:sz w:val="22"/>
          <w:lang w:val="es-ES_tradnl"/>
        </w:rPr>
      </w:pPr>
    </w:p>
    <w:p w14:paraId="26FCA3B1" w14:textId="3C86A1C0" w:rsidR="00D1044A" w:rsidRPr="00FE75D2" w:rsidRDefault="00D1044A" w:rsidP="00D1044A">
      <w:pPr>
        <w:jc w:val="center"/>
        <w:rPr>
          <w:rFonts w:ascii="Arial" w:eastAsia="Calibri" w:hAnsi="Arial" w:cs="Arial"/>
          <w:b/>
          <w:color w:val="000000" w:themeColor="text1"/>
          <w:sz w:val="22"/>
          <w:lang w:val="es-ES_tradnl"/>
        </w:rPr>
      </w:pPr>
      <w:r w:rsidRPr="00FE75D2">
        <w:rPr>
          <w:rFonts w:ascii="Arial" w:eastAsia="Calibri" w:hAnsi="Arial" w:cs="Arial"/>
          <w:b/>
          <w:color w:val="000000" w:themeColor="text1"/>
          <w:sz w:val="22"/>
          <w:lang w:val="es-ES_tradnl"/>
        </w:rPr>
        <w:t xml:space="preserve">Concepto C ─ </w:t>
      </w:r>
      <w:r w:rsidR="00CF4298">
        <w:rPr>
          <w:rFonts w:ascii="Arial" w:eastAsia="Calibri" w:hAnsi="Arial" w:cs="Arial"/>
          <w:b/>
          <w:color w:val="000000" w:themeColor="text1"/>
          <w:sz w:val="22"/>
          <w:lang w:val="es-ES_tradnl"/>
        </w:rPr>
        <w:t>402</w:t>
      </w:r>
      <w:r w:rsidRPr="00FE75D2">
        <w:rPr>
          <w:rFonts w:ascii="Arial" w:eastAsia="Calibri" w:hAnsi="Arial" w:cs="Arial"/>
          <w:b/>
          <w:color w:val="000000" w:themeColor="text1"/>
          <w:sz w:val="22"/>
          <w:lang w:val="es-ES_tradnl"/>
        </w:rPr>
        <w:t xml:space="preserve"> de 2020</w:t>
      </w:r>
    </w:p>
    <w:p w14:paraId="452076B3" w14:textId="77777777" w:rsidR="00D1044A" w:rsidRPr="00FE75D2" w:rsidRDefault="00D1044A" w:rsidP="00D1044A">
      <w:pPr>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FE75D2" w:rsidRPr="00FE75D2" w14:paraId="27E96D21" w14:textId="77777777" w:rsidTr="005C1DA3">
        <w:tc>
          <w:tcPr>
            <w:tcW w:w="2689" w:type="dxa"/>
            <w:hideMark/>
          </w:tcPr>
          <w:p w14:paraId="097680C1" w14:textId="77777777" w:rsidR="00D1044A" w:rsidRPr="00FE75D2" w:rsidRDefault="00D1044A" w:rsidP="005C1DA3">
            <w:pPr>
              <w:rPr>
                <w:rFonts w:ascii="Arial" w:eastAsia="Calibri" w:hAnsi="Arial" w:cs="Arial"/>
                <w:color w:val="000000" w:themeColor="text1"/>
                <w:sz w:val="22"/>
                <w:lang w:val="es-ES_tradnl"/>
              </w:rPr>
            </w:pPr>
            <w:r w:rsidRPr="00FE75D2">
              <w:rPr>
                <w:rFonts w:ascii="Arial" w:eastAsia="Calibri" w:hAnsi="Arial" w:cs="Arial"/>
                <w:b/>
                <w:color w:val="000000" w:themeColor="text1"/>
                <w:sz w:val="22"/>
                <w:lang w:val="es-ES_tradnl"/>
              </w:rPr>
              <w:t>Temas:</w:t>
            </w:r>
            <w:r w:rsidRPr="00FE75D2">
              <w:rPr>
                <w:rFonts w:ascii="Arial" w:eastAsia="Calibri" w:hAnsi="Arial" w:cs="Arial"/>
                <w:color w:val="000000" w:themeColor="text1"/>
                <w:sz w:val="22"/>
                <w:lang w:val="es-ES_tradnl"/>
              </w:rPr>
              <w:t xml:space="preserve">           </w:t>
            </w:r>
          </w:p>
          <w:p w14:paraId="223629C8" w14:textId="77777777" w:rsidR="00D1044A" w:rsidRPr="00FE75D2" w:rsidRDefault="00D1044A" w:rsidP="005C1DA3">
            <w:pPr>
              <w:rPr>
                <w:rFonts w:ascii="Arial" w:eastAsia="Calibri" w:hAnsi="Arial" w:cs="Arial"/>
                <w:color w:val="000000" w:themeColor="text1"/>
                <w:sz w:val="22"/>
                <w:lang w:val="es-ES_tradnl"/>
              </w:rPr>
            </w:pPr>
            <w:r w:rsidRPr="00FE75D2">
              <w:rPr>
                <w:rFonts w:ascii="Arial" w:eastAsia="Calibri" w:hAnsi="Arial" w:cs="Arial"/>
                <w:color w:val="000000" w:themeColor="text1"/>
                <w:sz w:val="22"/>
                <w:lang w:val="es-ES_tradnl"/>
              </w:rPr>
              <w:t xml:space="preserve">                           </w:t>
            </w:r>
          </w:p>
        </w:tc>
        <w:tc>
          <w:tcPr>
            <w:tcW w:w="6237" w:type="dxa"/>
            <w:hideMark/>
          </w:tcPr>
          <w:p w14:paraId="2ECF37D5" w14:textId="038FCABC" w:rsidR="008C3804" w:rsidRDefault="008C3804" w:rsidP="008C3804">
            <w:pPr>
              <w:jc w:val="both"/>
              <w:rPr>
                <w:rFonts w:ascii="Arial" w:hAnsi="Arial" w:cs="Arial"/>
                <w:color w:val="000000" w:themeColor="text1"/>
                <w:sz w:val="22"/>
                <w:lang w:val="es-ES_tradnl"/>
              </w:rPr>
            </w:pPr>
            <w:r w:rsidRPr="008C3804">
              <w:rPr>
                <w:rFonts w:ascii="Arial" w:hAnsi="Arial" w:cs="Arial"/>
                <w:color w:val="000000" w:themeColor="text1"/>
                <w:sz w:val="22"/>
                <w:lang w:val="es-ES_tradnl"/>
              </w:rPr>
              <w:t>INHABILIDADES – Definición – Finalidad – Limitación capacidad</w:t>
            </w:r>
            <w:r>
              <w:rPr>
                <w:rFonts w:ascii="Arial" w:hAnsi="Arial" w:cs="Arial"/>
                <w:color w:val="000000" w:themeColor="text1"/>
                <w:sz w:val="22"/>
                <w:lang w:val="es-ES_tradnl"/>
              </w:rPr>
              <w:t xml:space="preserve"> / </w:t>
            </w:r>
            <w:r w:rsidRPr="008C3804">
              <w:rPr>
                <w:rFonts w:ascii="Arial" w:hAnsi="Arial" w:cs="Arial"/>
                <w:color w:val="000000" w:themeColor="text1"/>
                <w:sz w:val="22"/>
                <w:lang w:val="es-ES_tradnl"/>
              </w:rPr>
              <w:t>INHABILIDADES – Clasificación – Sanción – Proceso sancionatorio – Requisito – Condiciones personales</w:t>
            </w:r>
            <w:r>
              <w:rPr>
                <w:rFonts w:ascii="Arial" w:hAnsi="Arial" w:cs="Arial"/>
                <w:color w:val="000000" w:themeColor="text1"/>
                <w:sz w:val="22"/>
                <w:lang w:val="es-ES_tradnl"/>
              </w:rPr>
              <w:t xml:space="preserve"> / </w:t>
            </w:r>
            <w:r w:rsidRPr="008C3804">
              <w:rPr>
                <w:rFonts w:ascii="Arial" w:hAnsi="Arial" w:cs="Arial"/>
                <w:color w:val="000000" w:themeColor="text1"/>
                <w:sz w:val="22"/>
                <w:lang w:val="es-ES_tradnl"/>
              </w:rPr>
              <w:t>INHABILIDADES – Taxatividad – Principio de legalidad – Interpretación restrictiva</w:t>
            </w:r>
            <w:r>
              <w:rPr>
                <w:rFonts w:ascii="Arial" w:hAnsi="Arial" w:cs="Arial"/>
                <w:color w:val="000000" w:themeColor="text1"/>
                <w:sz w:val="22"/>
                <w:lang w:val="es-ES_tradnl"/>
              </w:rPr>
              <w:t xml:space="preserve"> / </w:t>
            </w:r>
            <w:r w:rsidRPr="008C3804">
              <w:rPr>
                <w:rFonts w:ascii="Arial" w:hAnsi="Arial" w:cs="Arial"/>
                <w:color w:val="000000" w:themeColor="text1"/>
                <w:sz w:val="22"/>
                <w:lang w:val="es-ES_tradnl"/>
              </w:rPr>
              <w:t>INHABILIDADES – Interpretación restrictiva – Sociedad de personas jurídicas – No aplicabilidad del artículo 8 numeral 1 literal h)</w:t>
            </w:r>
            <w:r>
              <w:rPr>
                <w:rFonts w:ascii="Arial" w:hAnsi="Arial" w:cs="Arial"/>
                <w:color w:val="000000" w:themeColor="text1"/>
                <w:sz w:val="22"/>
                <w:lang w:val="es-ES_tradnl"/>
              </w:rPr>
              <w:t xml:space="preserve"> </w:t>
            </w:r>
          </w:p>
          <w:p w14:paraId="3E613F9A" w14:textId="77777777" w:rsidR="00F54259" w:rsidRPr="008C3804" w:rsidRDefault="00F54259" w:rsidP="008C3804">
            <w:pPr>
              <w:jc w:val="both"/>
              <w:rPr>
                <w:rFonts w:ascii="Arial" w:hAnsi="Arial" w:cs="Arial"/>
                <w:color w:val="000000" w:themeColor="text1"/>
                <w:sz w:val="22"/>
                <w:lang w:val="es-ES_tradnl"/>
              </w:rPr>
            </w:pPr>
          </w:p>
          <w:p w14:paraId="41B71690" w14:textId="66C8576F" w:rsidR="00D1044A" w:rsidRPr="00FE75D2" w:rsidRDefault="00D1044A" w:rsidP="007E0383">
            <w:pPr>
              <w:jc w:val="both"/>
              <w:rPr>
                <w:rFonts w:ascii="Arial" w:eastAsia="Calibri" w:hAnsi="Arial" w:cs="Arial"/>
                <w:color w:val="000000" w:themeColor="text1"/>
                <w:sz w:val="22"/>
                <w:lang w:val="es-ES_tradnl"/>
              </w:rPr>
            </w:pPr>
          </w:p>
        </w:tc>
      </w:tr>
      <w:tr w:rsidR="00DE5B33" w:rsidRPr="00FE75D2" w14:paraId="1D3FE300" w14:textId="77777777" w:rsidTr="009B2EE5">
        <w:trPr>
          <w:trHeight w:val="578"/>
        </w:trPr>
        <w:tc>
          <w:tcPr>
            <w:tcW w:w="2689" w:type="dxa"/>
          </w:tcPr>
          <w:p w14:paraId="410C4429" w14:textId="77777777" w:rsidR="00D1044A" w:rsidRPr="00FE75D2" w:rsidRDefault="00D1044A" w:rsidP="005C1DA3">
            <w:pPr>
              <w:rPr>
                <w:rFonts w:ascii="Arial" w:eastAsia="Calibri" w:hAnsi="Arial" w:cs="Arial"/>
                <w:b/>
                <w:color w:val="000000" w:themeColor="text1"/>
                <w:sz w:val="22"/>
                <w:lang w:val="es-ES_tradnl"/>
              </w:rPr>
            </w:pPr>
            <w:r w:rsidRPr="00FE75D2">
              <w:rPr>
                <w:rFonts w:ascii="Arial" w:eastAsia="Calibri" w:hAnsi="Arial" w:cs="Arial"/>
                <w:b/>
                <w:color w:val="000000" w:themeColor="text1"/>
                <w:sz w:val="22"/>
                <w:lang w:val="es-ES_tradnl"/>
              </w:rPr>
              <w:t>Radicación:</w:t>
            </w:r>
            <w:r w:rsidRPr="00FE75D2">
              <w:rPr>
                <w:rFonts w:ascii="Arial" w:eastAsia="Calibri" w:hAnsi="Arial" w:cs="Arial"/>
                <w:color w:val="000000" w:themeColor="text1"/>
                <w:sz w:val="22"/>
                <w:lang w:val="es-ES_tradnl"/>
              </w:rPr>
              <w:t xml:space="preserve">                              </w:t>
            </w:r>
          </w:p>
        </w:tc>
        <w:tc>
          <w:tcPr>
            <w:tcW w:w="6237" w:type="dxa"/>
          </w:tcPr>
          <w:p w14:paraId="0E9FA314" w14:textId="3FF75648" w:rsidR="00D1044A" w:rsidRPr="00FE75D2" w:rsidRDefault="00D1044A" w:rsidP="005C1DA3">
            <w:pPr>
              <w:jc w:val="both"/>
              <w:rPr>
                <w:rFonts w:ascii="Arial" w:eastAsia="Calibri" w:hAnsi="Arial" w:cs="Arial"/>
                <w:color w:val="000000" w:themeColor="text1"/>
                <w:sz w:val="22"/>
                <w:lang w:val="es-ES_tradnl"/>
              </w:rPr>
            </w:pPr>
            <w:r w:rsidRPr="00FE75D2">
              <w:rPr>
                <w:rFonts w:ascii="Arial" w:eastAsia="Calibri" w:hAnsi="Arial" w:cs="Arial"/>
                <w:color w:val="000000" w:themeColor="text1"/>
                <w:sz w:val="22"/>
                <w:lang w:val="es-ES_tradnl"/>
              </w:rPr>
              <w:t>Respuesta a consulta # 420201</w:t>
            </w:r>
            <w:r w:rsidR="009B2EE5" w:rsidRPr="00FE75D2">
              <w:rPr>
                <w:rFonts w:ascii="Arial" w:eastAsia="Calibri" w:hAnsi="Arial" w:cs="Arial"/>
                <w:color w:val="000000" w:themeColor="text1"/>
                <w:sz w:val="22"/>
                <w:lang w:val="es-ES_tradnl"/>
              </w:rPr>
              <w:t>3</w:t>
            </w:r>
            <w:r w:rsidRPr="00FE75D2">
              <w:rPr>
                <w:rFonts w:ascii="Arial" w:eastAsia="Calibri" w:hAnsi="Arial" w:cs="Arial"/>
                <w:color w:val="000000" w:themeColor="text1"/>
                <w:sz w:val="22"/>
                <w:lang w:val="es-ES_tradnl"/>
              </w:rPr>
              <w:t>00000</w:t>
            </w:r>
            <w:r w:rsidR="00CF4298">
              <w:rPr>
                <w:rFonts w:ascii="Arial" w:eastAsia="Calibri" w:hAnsi="Arial" w:cs="Arial"/>
                <w:color w:val="000000" w:themeColor="text1"/>
                <w:sz w:val="22"/>
                <w:lang w:val="es-ES_tradnl"/>
              </w:rPr>
              <w:t>4491</w:t>
            </w:r>
          </w:p>
        </w:tc>
      </w:tr>
    </w:tbl>
    <w:p w14:paraId="52951EE5" w14:textId="77777777" w:rsidR="00D1044A" w:rsidRPr="00FE75D2" w:rsidRDefault="00D1044A" w:rsidP="00D1044A">
      <w:pPr>
        <w:jc w:val="both"/>
        <w:rPr>
          <w:rFonts w:ascii="Arial" w:eastAsia="Calibri" w:hAnsi="Arial" w:cs="Arial"/>
          <w:color w:val="000000" w:themeColor="text1"/>
          <w:sz w:val="22"/>
          <w:lang w:val="es-ES_tradnl"/>
        </w:rPr>
      </w:pPr>
    </w:p>
    <w:p w14:paraId="3DCF0A10" w14:textId="3EF074A5" w:rsidR="00D1044A" w:rsidRPr="00FE75D2" w:rsidRDefault="00D1044A" w:rsidP="00D1044A">
      <w:pPr>
        <w:rPr>
          <w:rFonts w:ascii="Arial" w:eastAsia="Calibri" w:hAnsi="Arial" w:cs="Arial"/>
          <w:color w:val="000000" w:themeColor="text1"/>
          <w:sz w:val="22"/>
          <w:lang w:val="es-ES_tradnl"/>
        </w:rPr>
      </w:pPr>
      <w:r w:rsidRPr="00FE75D2">
        <w:rPr>
          <w:rFonts w:ascii="Arial" w:eastAsia="Calibri" w:hAnsi="Arial" w:cs="Arial"/>
          <w:color w:val="000000" w:themeColor="text1"/>
          <w:sz w:val="22"/>
          <w:lang w:val="es-ES_tradnl"/>
        </w:rPr>
        <w:t>Estimad</w:t>
      </w:r>
      <w:r w:rsidR="009B2EE5" w:rsidRPr="00FE75D2">
        <w:rPr>
          <w:rFonts w:ascii="Arial" w:eastAsia="Calibri" w:hAnsi="Arial" w:cs="Arial"/>
          <w:color w:val="000000" w:themeColor="text1"/>
          <w:sz w:val="22"/>
          <w:lang w:val="es-ES_tradnl"/>
        </w:rPr>
        <w:t>o</w:t>
      </w:r>
      <w:r w:rsidRPr="00FE75D2">
        <w:rPr>
          <w:rFonts w:ascii="Arial" w:eastAsia="Calibri" w:hAnsi="Arial" w:cs="Arial"/>
          <w:color w:val="000000" w:themeColor="text1"/>
          <w:sz w:val="22"/>
          <w:lang w:val="es-ES_tradnl"/>
        </w:rPr>
        <w:t xml:space="preserve"> señor </w:t>
      </w:r>
      <w:r w:rsidR="00261BAA">
        <w:rPr>
          <w:rFonts w:ascii="Arial" w:eastAsia="Calibri" w:hAnsi="Arial" w:cs="Arial"/>
          <w:color w:val="000000" w:themeColor="text1"/>
          <w:sz w:val="22"/>
          <w:lang w:val="es-ES_tradnl"/>
        </w:rPr>
        <w:t>Escobar</w:t>
      </w:r>
      <w:r w:rsidRPr="00FE75D2">
        <w:rPr>
          <w:rFonts w:ascii="Arial" w:eastAsia="Calibri" w:hAnsi="Arial" w:cs="Arial"/>
          <w:color w:val="000000" w:themeColor="text1"/>
          <w:sz w:val="22"/>
          <w:lang w:val="es-ES_tradnl"/>
        </w:rPr>
        <w:t>,</w:t>
      </w:r>
    </w:p>
    <w:p w14:paraId="4AC1DD9B" w14:textId="77777777" w:rsidR="00D1044A" w:rsidRPr="00FE75D2" w:rsidRDefault="00D1044A" w:rsidP="00D1044A">
      <w:pPr>
        <w:rPr>
          <w:rFonts w:ascii="Arial" w:eastAsia="Calibri" w:hAnsi="Arial" w:cs="Arial"/>
          <w:color w:val="000000" w:themeColor="text1"/>
          <w:sz w:val="22"/>
          <w:lang w:val="es-ES_tradnl"/>
        </w:rPr>
      </w:pPr>
    </w:p>
    <w:p w14:paraId="0A5F5C54" w14:textId="3347C2B5" w:rsidR="00D1044A" w:rsidRPr="00FE75D2" w:rsidRDefault="00D1044A" w:rsidP="00D1044A">
      <w:pPr>
        <w:spacing w:line="276" w:lineRule="auto"/>
        <w:ind w:right="49"/>
        <w:jc w:val="both"/>
        <w:rPr>
          <w:rFonts w:ascii="Arial" w:eastAsia="Calibri" w:hAnsi="Arial" w:cs="Arial"/>
          <w:color w:val="000000" w:themeColor="text1"/>
          <w:sz w:val="22"/>
          <w:lang w:val="es-ES_tradnl"/>
        </w:rPr>
      </w:pPr>
      <w:r w:rsidRPr="00FE75D2">
        <w:rPr>
          <w:rFonts w:ascii="Arial" w:eastAsia="Calibri" w:hAnsi="Arial" w:cs="Arial"/>
          <w:color w:val="000000" w:themeColor="text1"/>
          <w:sz w:val="22"/>
          <w:lang w:val="es-ES_tradnl"/>
        </w:rPr>
        <w:t>La Agencia Nacional de Contratación Pública ―</w:t>
      </w:r>
      <w:r w:rsidR="00D16FA8" w:rsidRPr="00FE75D2">
        <w:rPr>
          <w:rFonts w:ascii="Arial" w:eastAsia="Calibri" w:hAnsi="Arial" w:cs="Arial"/>
          <w:color w:val="000000" w:themeColor="text1"/>
          <w:sz w:val="22"/>
          <w:lang w:val="es-ES_tradnl"/>
        </w:rPr>
        <w:t xml:space="preserve"> </w:t>
      </w:r>
      <w:r w:rsidRPr="00FE75D2">
        <w:rPr>
          <w:rFonts w:ascii="Arial" w:eastAsia="Calibri" w:hAnsi="Arial" w:cs="Arial"/>
          <w:color w:val="000000" w:themeColor="text1"/>
          <w:sz w:val="22"/>
          <w:lang w:val="es-ES_tradnl"/>
        </w:rPr>
        <w:t>Colombia Compra Eficiente</w:t>
      </w:r>
      <w:r w:rsidR="00A20399">
        <w:rPr>
          <w:rFonts w:ascii="Arial" w:eastAsia="Calibri" w:hAnsi="Arial" w:cs="Arial"/>
          <w:color w:val="000000" w:themeColor="text1"/>
          <w:sz w:val="22"/>
          <w:lang w:val="es-ES_tradnl"/>
        </w:rPr>
        <w:t>,</w:t>
      </w:r>
      <w:r w:rsidRPr="00FE75D2">
        <w:rPr>
          <w:rFonts w:ascii="Arial" w:eastAsia="Calibri" w:hAnsi="Arial" w:cs="Arial"/>
          <w:color w:val="000000" w:themeColor="text1"/>
          <w:sz w:val="22"/>
          <w:lang w:val="es-ES_tradnl"/>
        </w:rPr>
        <w:t xml:space="preserve"> en ejercicio de la competencia otorgada por el numeral 8 del artículo 11 y el numeral 5 del artículo 3 del Decreto Ley 4170 de 2011</w:t>
      </w:r>
      <w:r w:rsidR="009B2EE5" w:rsidRPr="00FE75D2">
        <w:rPr>
          <w:rFonts w:ascii="Arial" w:eastAsia="Calibri" w:hAnsi="Arial" w:cs="Arial"/>
          <w:color w:val="000000" w:themeColor="text1"/>
          <w:sz w:val="22"/>
          <w:lang w:val="es-ES_tradnl"/>
        </w:rPr>
        <w:t>, responde a su consulta</w:t>
      </w:r>
      <w:r w:rsidR="00A20399">
        <w:rPr>
          <w:rFonts w:ascii="Arial" w:eastAsia="Calibri" w:hAnsi="Arial" w:cs="Arial"/>
          <w:color w:val="000000" w:themeColor="text1"/>
          <w:sz w:val="22"/>
          <w:lang w:val="es-ES_tradnl"/>
        </w:rPr>
        <w:t>,</w:t>
      </w:r>
      <w:r w:rsidR="009B2EE5" w:rsidRPr="00FE75D2">
        <w:rPr>
          <w:rFonts w:ascii="Arial" w:eastAsia="Calibri" w:hAnsi="Arial" w:cs="Arial"/>
          <w:color w:val="000000" w:themeColor="text1"/>
          <w:sz w:val="22"/>
          <w:lang w:val="es-ES_tradnl"/>
        </w:rPr>
        <w:t xml:space="preserve"> remitida el </w:t>
      </w:r>
      <w:r w:rsidR="001A0258">
        <w:rPr>
          <w:rFonts w:ascii="Arial" w:eastAsia="Calibri" w:hAnsi="Arial" w:cs="Arial"/>
          <w:color w:val="000000" w:themeColor="text1"/>
          <w:sz w:val="22"/>
          <w:lang w:val="es-ES_tradnl"/>
        </w:rPr>
        <w:t>3</w:t>
      </w:r>
      <w:r w:rsidR="002821D6" w:rsidRPr="00FE75D2">
        <w:rPr>
          <w:rFonts w:ascii="Arial" w:eastAsia="Calibri" w:hAnsi="Arial" w:cs="Arial"/>
          <w:color w:val="000000" w:themeColor="text1"/>
          <w:sz w:val="22"/>
          <w:lang w:val="es-ES_tradnl"/>
        </w:rPr>
        <w:t xml:space="preserve"> </w:t>
      </w:r>
      <w:r w:rsidR="009B2EE5" w:rsidRPr="00FE75D2">
        <w:rPr>
          <w:rFonts w:ascii="Arial" w:eastAsia="Calibri" w:hAnsi="Arial" w:cs="Arial"/>
          <w:color w:val="000000" w:themeColor="text1"/>
          <w:sz w:val="22"/>
          <w:lang w:val="es-ES_tradnl"/>
        </w:rPr>
        <w:t xml:space="preserve">de </w:t>
      </w:r>
      <w:r w:rsidR="002821D6">
        <w:rPr>
          <w:rFonts w:ascii="Arial" w:eastAsia="Calibri" w:hAnsi="Arial" w:cs="Arial"/>
          <w:color w:val="000000" w:themeColor="text1"/>
          <w:sz w:val="22"/>
          <w:lang w:val="es-ES_tradnl"/>
        </w:rPr>
        <w:t>junio</w:t>
      </w:r>
      <w:r w:rsidR="002821D6" w:rsidRPr="00FE75D2">
        <w:rPr>
          <w:rFonts w:ascii="Arial" w:eastAsia="Calibri" w:hAnsi="Arial" w:cs="Arial"/>
          <w:color w:val="000000" w:themeColor="text1"/>
          <w:sz w:val="22"/>
          <w:lang w:val="es-ES_tradnl"/>
        </w:rPr>
        <w:t xml:space="preserve"> </w:t>
      </w:r>
      <w:r w:rsidR="009B2EE5" w:rsidRPr="00FE75D2">
        <w:rPr>
          <w:rFonts w:ascii="Arial" w:eastAsia="Calibri" w:hAnsi="Arial" w:cs="Arial"/>
          <w:color w:val="000000" w:themeColor="text1"/>
          <w:sz w:val="22"/>
          <w:lang w:val="es-ES_tradnl"/>
        </w:rPr>
        <w:t>de 2020.</w:t>
      </w:r>
    </w:p>
    <w:p w14:paraId="3F99F54D" w14:textId="77777777" w:rsidR="006C1C9E" w:rsidRPr="00FE75D2" w:rsidRDefault="006C1C9E" w:rsidP="00F23E3A">
      <w:pPr>
        <w:spacing w:line="276" w:lineRule="auto"/>
        <w:jc w:val="both"/>
        <w:rPr>
          <w:rFonts w:ascii="Arial" w:eastAsia="Calibri" w:hAnsi="Arial" w:cs="Arial"/>
          <w:color w:val="000000" w:themeColor="text1"/>
          <w:sz w:val="22"/>
          <w:lang w:val="es-ES_tradnl"/>
        </w:rPr>
      </w:pPr>
    </w:p>
    <w:p w14:paraId="737E2623" w14:textId="77777777" w:rsidR="00A37FB6" w:rsidRPr="00FE75D2" w:rsidRDefault="00A37FB6" w:rsidP="00F23E3A">
      <w:pPr>
        <w:pStyle w:val="Prrafodelista"/>
        <w:numPr>
          <w:ilvl w:val="0"/>
          <w:numId w:val="6"/>
        </w:numPr>
        <w:tabs>
          <w:tab w:val="left" w:pos="284"/>
        </w:tabs>
        <w:spacing w:line="276" w:lineRule="auto"/>
        <w:ind w:left="0" w:firstLine="0"/>
        <w:jc w:val="both"/>
        <w:rPr>
          <w:rFonts w:ascii="Arial" w:eastAsia="Calibri" w:hAnsi="Arial" w:cs="Arial"/>
          <w:b/>
          <w:color w:val="000000" w:themeColor="text1"/>
          <w:sz w:val="22"/>
        </w:rPr>
      </w:pPr>
      <w:r w:rsidRPr="00FE75D2">
        <w:rPr>
          <w:rFonts w:ascii="Arial" w:eastAsia="Calibri" w:hAnsi="Arial" w:cs="Arial"/>
          <w:b/>
          <w:color w:val="000000" w:themeColor="text1"/>
          <w:sz w:val="22"/>
        </w:rPr>
        <w:t xml:space="preserve">Problemas planteados </w:t>
      </w:r>
    </w:p>
    <w:p w14:paraId="498A026D" w14:textId="77777777" w:rsidR="00A37FB6" w:rsidRPr="00FE75D2" w:rsidRDefault="00A37FB6" w:rsidP="00F23E3A">
      <w:pPr>
        <w:tabs>
          <w:tab w:val="left" w:pos="426"/>
        </w:tabs>
        <w:spacing w:line="276" w:lineRule="auto"/>
        <w:jc w:val="both"/>
        <w:rPr>
          <w:rFonts w:ascii="Arial" w:eastAsia="Calibri" w:hAnsi="Arial" w:cs="Arial"/>
          <w:b/>
          <w:color w:val="000000" w:themeColor="text1"/>
          <w:sz w:val="22"/>
        </w:rPr>
      </w:pPr>
    </w:p>
    <w:p w14:paraId="4EAB474A" w14:textId="5CD0E842" w:rsidR="003D53A2" w:rsidRDefault="003D53A2" w:rsidP="00F23E3A">
      <w:pPr>
        <w:tabs>
          <w:tab w:val="left" w:pos="426"/>
        </w:tabs>
        <w:spacing w:line="276" w:lineRule="auto"/>
        <w:jc w:val="both"/>
        <w:rPr>
          <w:rFonts w:ascii="Arial" w:eastAsia="Calibri" w:hAnsi="Arial" w:cs="Arial"/>
          <w:color w:val="000000" w:themeColor="text1"/>
          <w:sz w:val="22"/>
        </w:rPr>
      </w:pPr>
      <w:r>
        <w:rPr>
          <w:rFonts w:ascii="Arial" w:eastAsia="Calibri" w:hAnsi="Arial" w:cs="Arial"/>
          <w:color w:val="000000" w:themeColor="text1"/>
          <w:sz w:val="22"/>
        </w:rPr>
        <w:t>En relación con</w:t>
      </w:r>
      <w:r w:rsidR="00A37FB6" w:rsidRPr="00FE75D2">
        <w:rPr>
          <w:rFonts w:ascii="Arial" w:eastAsia="Calibri" w:hAnsi="Arial" w:cs="Arial"/>
          <w:color w:val="000000" w:themeColor="text1"/>
          <w:sz w:val="22"/>
        </w:rPr>
        <w:t xml:space="preserve"> </w:t>
      </w:r>
      <w:r w:rsidR="00261BAA">
        <w:rPr>
          <w:rFonts w:ascii="Arial" w:eastAsia="Calibri" w:hAnsi="Arial" w:cs="Arial"/>
          <w:color w:val="000000" w:themeColor="text1"/>
          <w:sz w:val="22"/>
        </w:rPr>
        <w:t xml:space="preserve">la inhabilidad contenida en el literal h del numeral 1 del artículo 8 de la Ley 80 de 1993 para «las sociedades distintas de las anónimas abiertas, en las cuales el representante legal o cualquiera de sus socios tenga parentesco en segundo grado de </w:t>
      </w:r>
      <w:proofErr w:type="spellStart"/>
      <w:r w:rsidR="00261BAA">
        <w:rPr>
          <w:rFonts w:ascii="Arial" w:eastAsia="Calibri" w:hAnsi="Arial" w:cs="Arial"/>
          <w:color w:val="000000" w:themeColor="text1"/>
          <w:sz w:val="22"/>
        </w:rPr>
        <w:t>consaguinindad</w:t>
      </w:r>
      <w:proofErr w:type="spellEnd"/>
      <w:r w:rsidR="00261BAA">
        <w:rPr>
          <w:rFonts w:ascii="Arial" w:eastAsia="Calibri" w:hAnsi="Arial" w:cs="Arial"/>
          <w:color w:val="000000" w:themeColor="text1"/>
          <w:sz w:val="22"/>
        </w:rPr>
        <w:t xml:space="preserve"> o segundo de afinidad con el representante legal o con cualquiera de los </w:t>
      </w:r>
      <w:r w:rsidR="00261BAA">
        <w:rPr>
          <w:rFonts w:ascii="Arial" w:eastAsia="Calibri" w:hAnsi="Arial" w:cs="Arial"/>
          <w:color w:val="000000" w:themeColor="text1"/>
          <w:sz w:val="22"/>
        </w:rPr>
        <w:lastRenderedPageBreak/>
        <w:t>socios de una sociedad que formalmente haya presentado propuesta, para una misma licitación»</w:t>
      </w:r>
      <w:r>
        <w:rPr>
          <w:rFonts w:ascii="Arial" w:eastAsia="Calibri" w:hAnsi="Arial" w:cs="Arial"/>
          <w:color w:val="000000" w:themeColor="text1"/>
          <w:sz w:val="22"/>
        </w:rPr>
        <w:t>.</w:t>
      </w:r>
      <w:r w:rsidR="00261BAA">
        <w:rPr>
          <w:rFonts w:ascii="Arial" w:eastAsia="Calibri" w:hAnsi="Arial" w:cs="Arial"/>
          <w:color w:val="000000" w:themeColor="text1"/>
          <w:sz w:val="22"/>
        </w:rPr>
        <w:t xml:space="preserve"> </w:t>
      </w:r>
      <w:r>
        <w:rPr>
          <w:rFonts w:ascii="Arial" w:eastAsia="Calibri" w:hAnsi="Arial" w:cs="Arial"/>
          <w:color w:val="000000" w:themeColor="text1"/>
          <w:sz w:val="22"/>
        </w:rPr>
        <w:t>Usted realiza la siguiente pregunta:</w:t>
      </w:r>
    </w:p>
    <w:p w14:paraId="320CF21F" w14:textId="77777777" w:rsidR="003D53A2" w:rsidRDefault="003D53A2" w:rsidP="00F23E3A">
      <w:pPr>
        <w:tabs>
          <w:tab w:val="left" w:pos="426"/>
        </w:tabs>
        <w:spacing w:line="276" w:lineRule="auto"/>
        <w:jc w:val="both"/>
        <w:rPr>
          <w:rFonts w:ascii="Arial" w:eastAsia="Calibri" w:hAnsi="Arial" w:cs="Arial"/>
          <w:color w:val="000000" w:themeColor="text1"/>
          <w:sz w:val="22"/>
        </w:rPr>
      </w:pPr>
    </w:p>
    <w:p w14:paraId="4A4BC4C3" w14:textId="2BEA457B" w:rsidR="00261BAA" w:rsidRDefault="003D53A2" w:rsidP="00F23E3A">
      <w:pPr>
        <w:tabs>
          <w:tab w:val="left" w:pos="426"/>
        </w:tabs>
        <w:spacing w:line="276" w:lineRule="auto"/>
        <w:jc w:val="both"/>
        <w:rPr>
          <w:rFonts w:ascii="Arial" w:eastAsia="Calibri" w:hAnsi="Arial" w:cs="Arial"/>
          <w:color w:val="000000" w:themeColor="text1"/>
          <w:sz w:val="22"/>
        </w:rPr>
      </w:pPr>
      <w:r>
        <w:rPr>
          <w:rFonts w:ascii="Arial" w:eastAsia="Calibri" w:hAnsi="Arial" w:cs="Arial"/>
          <w:color w:val="000000" w:themeColor="text1"/>
          <w:sz w:val="22"/>
        </w:rPr>
        <w:t>¿S</w:t>
      </w:r>
      <w:r w:rsidR="00261BAA">
        <w:rPr>
          <w:rFonts w:ascii="Arial" w:eastAsia="Calibri" w:hAnsi="Arial" w:cs="Arial"/>
          <w:color w:val="000000" w:themeColor="text1"/>
          <w:sz w:val="22"/>
        </w:rPr>
        <w:t>e extiende</w:t>
      </w:r>
      <w:r>
        <w:rPr>
          <w:rFonts w:ascii="Arial" w:eastAsia="Calibri" w:hAnsi="Arial" w:cs="Arial"/>
          <w:color w:val="000000" w:themeColor="text1"/>
          <w:sz w:val="22"/>
        </w:rPr>
        <w:t xml:space="preserve"> la inhabilidad del artículo 8</w:t>
      </w:r>
      <w:r w:rsidR="00471E8E">
        <w:rPr>
          <w:rFonts w:ascii="Arial" w:eastAsia="Calibri" w:hAnsi="Arial" w:cs="Arial"/>
          <w:color w:val="000000" w:themeColor="text1"/>
          <w:sz w:val="22"/>
        </w:rPr>
        <w:t>,</w:t>
      </w:r>
      <w:r>
        <w:rPr>
          <w:rFonts w:ascii="Arial" w:eastAsia="Calibri" w:hAnsi="Arial" w:cs="Arial"/>
          <w:color w:val="000000" w:themeColor="text1"/>
          <w:sz w:val="22"/>
        </w:rPr>
        <w:t xml:space="preserve"> numeral 1</w:t>
      </w:r>
      <w:r w:rsidR="00471E8E">
        <w:rPr>
          <w:rFonts w:ascii="Arial" w:eastAsia="Calibri" w:hAnsi="Arial" w:cs="Arial"/>
          <w:color w:val="000000" w:themeColor="text1"/>
          <w:sz w:val="22"/>
        </w:rPr>
        <w:t>,</w:t>
      </w:r>
      <w:r>
        <w:rPr>
          <w:rFonts w:ascii="Arial" w:eastAsia="Calibri" w:hAnsi="Arial" w:cs="Arial"/>
          <w:color w:val="000000" w:themeColor="text1"/>
          <w:sz w:val="22"/>
        </w:rPr>
        <w:t xml:space="preserve"> literal h</w:t>
      </w:r>
      <w:r w:rsidR="00471E8E">
        <w:rPr>
          <w:rFonts w:ascii="Arial" w:eastAsia="Calibri" w:hAnsi="Arial" w:cs="Arial"/>
          <w:color w:val="000000" w:themeColor="text1"/>
          <w:sz w:val="22"/>
        </w:rPr>
        <w:t>,</w:t>
      </w:r>
      <w:r w:rsidR="00261BAA">
        <w:rPr>
          <w:rFonts w:ascii="Arial" w:eastAsia="Calibri" w:hAnsi="Arial" w:cs="Arial"/>
          <w:color w:val="000000" w:themeColor="text1"/>
          <w:sz w:val="22"/>
        </w:rPr>
        <w:t xml:space="preserve"> a las sociedades cuyos socios son personas jurídicas en las cuales tiene participación una persona con parentesco en segundo grado de </w:t>
      </w:r>
      <w:proofErr w:type="spellStart"/>
      <w:r w:rsidR="00261BAA">
        <w:rPr>
          <w:rFonts w:ascii="Arial" w:eastAsia="Calibri" w:hAnsi="Arial" w:cs="Arial"/>
          <w:color w:val="000000" w:themeColor="text1"/>
          <w:sz w:val="22"/>
        </w:rPr>
        <w:t>consaguinidad</w:t>
      </w:r>
      <w:proofErr w:type="spellEnd"/>
      <w:r w:rsidR="00261BAA">
        <w:rPr>
          <w:rFonts w:ascii="Arial" w:eastAsia="Calibri" w:hAnsi="Arial" w:cs="Arial"/>
          <w:color w:val="000000" w:themeColor="text1"/>
          <w:sz w:val="22"/>
        </w:rPr>
        <w:t xml:space="preserve"> o segundo de afinidad con el representante legal o cualquiera de los socios de una sociedad que haya presentado propuesta?</w:t>
      </w:r>
    </w:p>
    <w:p w14:paraId="6A982790" w14:textId="77777777" w:rsidR="00A37FB6" w:rsidRPr="00FE75D2" w:rsidRDefault="00A37FB6" w:rsidP="00F23E3A">
      <w:pPr>
        <w:tabs>
          <w:tab w:val="left" w:pos="426"/>
        </w:tabs>
        <w:spacing w:line="276" w:lineRule="auto"/>
        <w:jc w:val="both"/>
        <w:rPr>
          <w:rFonts w:ascii="Arial" w:eastAsia="Calibri" w:hAnsi="Arial" w:cs="Arial"/>
          <w:color w:val="000000" w:themeColor="text1"/>
          <w:sz w:val="22"/>
        </w:rPr>
      </w:pPr>
    </w:p>
    <w:p w14:paraId="6A32A1B1" w14:textId="77777777" w:rsidR="00A37FB6" w:rsidRPr="00FE75D2" w:rsidRDefault="00A37FB6" w:rsidP="00F23E3A">
      <w:pPr>
        <w:pStyle w:val="Prrafodelista"/>
        <w:numPr>
          <w:ilvl w:val="0"/>
          <w:numId w:val="6"/>
        </w:numPr>
        <w:tabs>
          <w:tab w:val="left" w:pos="426"/>
        </w:tabs>
        <w:spacing w:line="276" w:lineRule="auto"/>
        <w:ind w:left="284" w:hanging="284"/>
        <w:jc w:val="both"/>
        <w:rPr>
          <w:rFonts w:ascii="Arial" w:eastAsia="Calibri" w:hAnsi="Arial" w:cs="Arial"/>
          <w:b/>
          <w:color w:val="000000" w:themeColor="text1"/>
          <w:sz w:val="22"/>
        </w:rPr>
      </w:pPr>
      <w:r w:rsidRPr="00FE75D2">
        <w:rPr>
          <w:rFonts w:ascii="Arial" w:eastAsia="Calibri" w:hAnsi="Arial" w:cs="Arial"/>
          <w:b/>
          <w:color w:val="000000" w:themeColor="text1"/>
          <w:sz w:val="22"/>
        </w:rPr>
        <w:t>Consideraciones</w:t>
      </w:r>
    </w:p>
    <w:bookmarkEnd w:id="0"/>
    <w:bookmarkEnd w:id="1"/>
    <w:p w14:paraId="5D8BAB86" w14:textId="75FB41C1" w:rsidR="00D94962" w:rsidRDefault="00D94962" w:rsidP="00F23E3A">
      <w:pPr>
        <w:spacing w:line="276" w:lineRule="auto"/>
        <w:jc w:val="both"/>
        <w:rPr>
          <w:rFonts w:ascii="Arial" w:hAnsi="Arial" w:cs="Arial"/>
          <w:color w:val="000000" w:themeColor="text1"/>
          <w:sz w:val="22"/>
          <w:lang w:val="es-ES_tradnl"/>
        </w:rPr>
      </w:pPr>
    </w:p>
    <w:p w14:paraId="431675E9" w14:textId="6CABD3CB" w:rsidR="003D53A2" w:rsidRPr="003D53A2" w:rsidRDefault="003D53A2" w:rsidP="00F23E3A">
      <w:pPr>
        <w:spacing w:line="276" w:lineRule="auto"/>
        <w:jc w:val="both"/>
        <w:rPr>
          <w:rFonts w:ascii="Arial" w:eastAsia="Calibri" w:hAnsi="Arial" w:cs="Arial"/>
          <w:sz w:val="22"/>
        </w:rPr>
      </w:pPr>
      <w:r w:rsidRPr="00422DDB">
        <w:rPr>
          <w:rFonts w:ascii="Arial" w:hAnsi="Arial" w:cs="Arial"/>
          <w:sz w:val="22"/>
        </w:rPr>
        <w:t xml:space="preserve">La Agencia Nacional de Contratación Pública ― Colombia Compra Eficiente </w:t>
      </w:r>
      <w:r w:rsidRPr="00422DDB">
        <w:rPr>
          <w:rFonts w:ascii="Arial" w:eastAsia="Calibri" w:hAnsi="Arial" w:cs="Arial"/>
          <w:sz w:val="22"/>
        </w:rPr>
        <w:t>en los conceptos con radicados números 4201912000003592 del 28 de agosto de 2019, 4201913000005649 del 17 septiembre de 2019, 4201912000006692 del 12 de noviembre de 2019, 4201913000006917 del 21 de noviembre de 2019, C ─ 001 de 2020, C ─ 007 de 2020, C ─ 011 de 2020, C ─ 085 de 2020, C ─ 090 de 2020, C ─ 125 de 2020</w:t>
      </w:r>
      <w:r>
        <w:rPr>
          <w:rFonts w:ascii="Arial" w:eastAsia="Calibri" w:hAnsi="Arial" w:cs="Arial"/>
          <w:sz w:val="22"/>
        </w:rPr>
        <w:t>,</w:t>
      </w:r>
      <w:r w:rsidRPr="00422DDB">
        <w:rPr>
          <w:rFonts w:ascii="Arial" w:eastAsia="Calibri" w:hAnsi="Arial" w:cs="Arial"/>
          <w:sz w:val="22"/>
        </w:rPr>
        <w:t xml:space="preserve"> C ─ 157 de 2020,</w:t>
      </w:r>
      <w:r>
        <w:rPr>
          <w:rFonts w:ascii="Arial" w:eastAsia="Calibri" w:hAnsi="Arial" w:cs="Arial"/>
          <w:sz w:val="22"/>
        </w:rPr>
        <w:t xml:space="preserve"> C ─ 239 de 2020, C ─ 246 de 2020 y C-273 de 2020</w:t>
      </w:r>
      <w:r w:rsidRPr="00422DDB">
        <w:rPr>
          <w:rFonts w:ascii="Arial" w:eastAsia="Calibri" w:hAnsi="Arial" w:cs="Arial"/>
          <w:sz w:val="22"/>
        </w:rPr>
        <w:t xml:space="preserve"> estudió la naturaleza jurídica del régimen de inhabilidades e incompatibilidades para contratar con el Estado, como límite a la capacidad contractual</w:t>
      </w:r>
      <w:r w:rsidR="003106F2">
        <w:rPr>
          <w:rFonts w:ascii="Arial" w:eastAsia="Calibri" w:hAnsi="Arial" w:cs="Arial"/>
          <w:sz w:val="22"/>
        </w:rPr>
        <w:t xml:space="preserve">, así como </w:t>
      </w:r>
      <w:r w:rsidRPr="00422DDB">
        <w:rPr>
          <w:rFonts w:ascii="Arial" w:eastAsia="Calibri" w:hAnsi="Arial" w:cs="Arial"/>
          <w:sz w:val="22"/>
        </w:rPr>
        <w:t>l</w:t>
      </w:r>
      <w:r w:rsidR="003106F2">
        <w:rPr>
          <w:rFonts w:ascii="Arial" w:eastAsia="Calibri" w:hAnsi="Arial" w:cs="Arial"/>
          <w:sz w:val="22"/>
        </w:rPr>
        <w:t>os criterios de</w:t>
      </w:r>
      <w:r w:rsidRPr="00422DDB">
        <w:rPr>
          <w:rFonts w:ascii="Arial" w:eastAsia="Calibri" w:hAnsi="Arial" w:cs="Arial"/>
          <w:sz w:val="22"/>
        </w:rPr>
        <w:t xml:space="preserve"> </w:t>
      </w:r>
      <w:r>
        <w:rPr>
          <w:rFonts w:ascii="Arial" w:eastAsia="Calibri" w:hAnsi="Arial" w:cs="Arial"/>
          <w:sz w:val="22"/>
        </w:rPr>
        <w:t>interpretación</w:t>
      </w:r>
      <w:r w:rsidRPr="00422DDB">
        <w:rPr>
          <w:rFonts w:ascii="Arial" w:eastAsia="Calibri" w:hAnsi="Arial" w:cs="Arial"/>
          <w:sz w:val="22"/>
        </w:rPr>
        <w:t xml:space="preserve"> </w:t>
      </w:r>
      <w:r>
        <w:rPr>
          <w:rFonts w:ascii="Arial" w:eastAsia="Calibri" w:hAnsi="Arial" w:cs="Arial"/>
          <w:sz w:val="22"/>
        </w:rPr>
        <w:t>d</w:t>
      </w:r>
      <w:r w:rsidRPr="00422DDB">
        <w:rPr>
          <w:rFonts w:ascii="Arial" w:eastAsia="Calibri" w:hAnsi="Arial" w:cs="Arial"/>
          <w:sz w:val="22"/>
        </w:rPr>
        <w:t xml:space="preserve">el régimen de inhabilidades e incompatibilidades. La tesis desarrollada en estos conceptos se expone y reitera a continuación. </w:t>
      </w:r>
    </w:p>
    <w:p w14:paraId="1D1908CB" w14:textId="77777777" w:rsidR="003D53A2" w:rsidRPr="00FE75D2" w:rsidRDefault="003D53A2" w:rsidP="00F23E3A">
      <w:pPr>
        <w:spacing w:line="276" w:lineRule="auto"/>
        <w:jc w:val="both"/>
        <w:rPr>
          <w:rFonts w:ascii="Arial" w:hAnsi="Arial" w:cs="Arial"/>
          <w:color w:val="000000" w:themeColor="text1"/>
          <w:sz w:val="22"/>
          <w:lang w:val="es-ES_tradnl"/>
        </w:rPr>
      </w:pPr>
    </w:p>
    <w:p w14:paraId="75D01BF7" w14:textId="77777777" w:rsidR="003D53A2" w:rsidRPr="00422DDB" w:rsidRDefault="003D53A2" w:rsidP="003D53A2">
      <w:pPr>
        <w:pStyle w:val="Sinespaciado"/>
        <w:widowControl w:val="0"/>
        <w:autoSpaceDE w:val="0"/>
        <w:autoSpaceDN w:val="0"/>
        <w:spacing w:line="276" w:lineRule="auto"/>
        <w:jc w:val="both"/>
        <w:rPr>
          <w:rFonts w:ascii="Arial" w:hAnsi="Arial" w:cs="Arial"/>
          <w:b/>
          <w:sz w:val="22"/>
        </w:rPr>
      </w:pPr>
      <w:r>
        <w:rPr>
          <w:rFonts w:ascii="Arial" w:hAnsi="Arial" w:cs="Arial"/>
          <w:b/>
          <w:sz w:val="22"/>
        </w:rPr>
        <w:t xml:space="preserve">2.1. </w:t>
      </w:r>
      <w:r w:rsidRPr="00422DDB">
        <w:rPr>
          <w:rFonts w:ascii="Arial" w:hAnsi="Arial" w:cs="Arial"/>
          <w:b/>
          <w:sz w:val="22"/>
        </w:rPr>
        <w:t xml:space="preserve">Régimen de inhabilidades e incompatibilidades para contratar con el Estado </w:t>
      </w:r>
    </w:p>
    <w:p w14:paraId="4BCDC7FE" w14:textId="77777777" w:rsidR="003D53A2" w:rsidRPr="00422DDB" w:rsidRDefault="003D53A2" w:rsidP="003D53A2">
      <w:pPr>
        <w:pStyle w:val="Sinespaciado"/>
        <w:spacing w:line="276" w:lineRule="auto"/>
        <w:jc w:val="both"/>
        <w:rPr>
          <w:rFonts w:ascii="Arial" w:hAnsi="Arial" w:cs="Arial"/>
          <w:sz w:val="22"/>
        </w:rPr>
      </w:pPr>
    </w:p>
    <w:p w14:paraId="307E3F74" w14:textId="77777777" w:rsidR="003D53A2" w:rsidRPr="00422DDB" w:rsidRDefault="003D53A2" w:rsidP="003D53A2">
      <w:pPr>
        <w:pStyle w:val="Sinespaciado"/>
        <w:spacing w:after="120" w:line="276" w:lineRule="auto"/>
        <w:jc w:val="both"/>
        <w:rPr>
          <w:rFonts w:ascii="Arial" w:hAnsi="Arial" w:cs="Arial"/>
          <w:sz w:val="22"/>
        </w:rPr>
      </w:pPr>
      <w:r w:rsidRPr="00422DDB">
        <w:rPr>
          <w:rFonts w:ascii="Arial" w:hAnsi="Arial" w:cs="Arial"/>
          <w:sz w:val="22"/>
        </w:rPr>
        <w:t xml:space="preserve">Las inhabilidades son circunstancias establecidas por la Constitución o la </w:t>
      </w:r>
      <w:r>
        <w:rPr>
          <w:rFonts w:ascii="Arial" w:hAnsi="Arial" w:cs="Arial"/>
          <w:sz w:val="22"/>
        </w:rPr>
        <w:t>l</w:t>
      </w:r>
      <w:r w:rsidRPr="00422DDB">
        <w:rPr>
          <w:rFonts w:ascii="Arial" w:hAnsi="Arial" w:cs="Arial"/>
          <w:sz w:val="22"/>
        </w:rPr>
        <w:t>ey que impiden que personas naturales o jurídicas sean elegidas o designadas en un cargo público o celebr</w:t>
      </w:r>
      <w:r>
        <w:rPr>
          <w:rFonts w:ascii="Arial" w:hAnsi="Arial" w:cs="Arial"/>
          <w:sz w:val="22"/>
        </w:rPr>
        <w:t>en</w:t>
      </w:r>
      <w:r w:rsidRPr="00422DDB">
        <w:rPr>
          <w:rFonts w:ascii="Arial" w:hAnsi="Arial" w:cs="Arial"/>
          <w:sz w:val="22"/>
        </w:rPr>
        <w:t xml:space="preserve"> contratos con el Estado, con el objetivo de garantizar la idoneidad, imparcialidad, probidad, transparencia y moralidad de la función pública,</w:t>
      </w:r>
      <w:r>
        <w:rPr>
          <w:rFonts w:ascii="Arial" w:hAnsi="Arial" w:cs="Arial"/>
          <w:sz w:val="22"/>
        </w:rPr>
        <w:t xml:space="preserve"> </w:t>
      </w:r>
      <w:r w:rsidRPr="00422DDB">
        <w:rPr>
          <w:rFonts w:ascii="Arial" w:hAnsi="Arial" w:cs="Arial"/>
          <w:sz w:val="22"/>
        </w:rPr>
        <w:t>garantiza</w:t>
      </w:r>
      <w:r>
        <w:rPr>
          <w:rFonts w:ascii="Arial" w:hAnsi="Arial" w:cs="Arial"/>
          <w:sz w:val="22"/>
        </w:rPr>
        <w:t>ndo</w:t>
      </w:r>
      <w:r w:rsidRPr="00422DDB">
        <w:rPr>
          <w:rFonts w:ascii="Arial" w:hAnsi="Arial" w:cs="Arial"/>
          <w:sz w:val="22"/>
        </w:rPr>
        <w:t xml:space="preserve"> el interés general.  </w:t>
      </w:r>
    </w:p>
    <w:p w14:paraId="7655195B" w14:textId="2CC68D01" w:rsidR="003D53A2" w:rsidRPr="00422DDB" w:rsidRDefault="003D53A2" w:rsidP="003D53A2">
      <w:pPr>
        <w:pStyle w:val="Sinespaciado"/>
        <w:spacing w:before="120" w:after="120" w:line="276" w:lineRule="auto"/>
        <w:ind w:firstLine="708"/>
        <w:jc w:val="both"/>
        <w:rPr>
          <w:rFonts w:ascii="Arial" w:hAnsi="Arial" w:cs="Arial"/>
          <w:sz w:val="22"/>
        </w:rPr>
      </w:pPr>
      <w:r w:rsidRPr="00422DDB">
        <w:rPr>
          <w:rFonts w:ascii="Arial" w:hAnsi="Arial" w:cs="Arial"/>
          <w:sz w:val="22"/>
        </w:rPr>
        <w:t xml:space="preserve">El régimen de inhabilidades para contratar con el Estado es un conjunto de restricciones establecidas por el constituyente o por el legislador que afectan directamente la capacidad de las personas para establecer </w:t>
      </w:r>
      <w:r>
        <w:rPr>
          <w:rFonts w:ascii="Arial" w:hAnsi="Arial" w:cs="Arial"/>
          <w:sz w:val="22"/>
        </w:rPr>
        <w:t>relaciones contractuales</w:t>
      </w:r>
      <w:r w:rsidRPr="00422DDB">
        <w:rPr>
          <w:rFonts w:ascii="Arial" w:hAnsi="Arial" w:cs="Arial"/>
          <w:sz w:val="22"/>
        </w:rPr>
        <w:t xml:space="preserve"> con el Estado, que pueden resultar de condenas, sanciones o situaciones previamente establecidas por el ordenamiento jurídico. </w:t>
      </w:r>
      <w:r>
        <w:rPr>
          <w:rFonts w:ascii="Arial" w:hAnsi="Arial" w:cs="Arial"/>
          <w:sz w:val="22"/>
        </w:rPr>
        <w:t>En esta medida, l</w:t>
      </w:r>
      <w:r w:rsidRPr="00422DDB">
        <w:rPr>
          <w:rFonts w:ascii="Arial" w:hAnsi="Arial" w:cs="Arial"/>
          <w:sz w:val="22"/>
        </w:rPr>
        <w:t xml:space="preserve">a Corte Constitucional </w:t>
      </w:r>
      <w:r>
        <w:rPr>
          <w:rFonts w:ascii="Arial" w:hAnsi="Arial" w:cs="Arial"/>
          <w:sz w:val="22"/>
        </w:rPr>
        <w:t>explica</w:t>
      </w:r>
      <w:r w:rsidRPr="00422DDB">
        <w:rPr>
          <w:rFonts w:ascii="Arial" w:hAnsi="Arial" w:cs="Arial"/>
          <w:sz w:val="22"/>
        </w:rPr>
        <w:t xml:space="preserve"> que «las inhabilidades representan una limitación a la capacidad para contratar con las entidades del Estado y obedecen a la falta de aptitud o a la carencia de una cualidad, calidad o requisito en el sujeto incapacitado quien por esta razón no podrá hacer parte de una relación contractual»</w:t>
      </w:r>
      <w:r w:rsidRPr="00422DDB">
        <w:rPr>
          <w:rFonts w:ascii="Arial" w:hAnsi="Arial" w:cs="Arial"/>
          <w:sz w:val="22"/>
          <w:vertAlign w:val="superscript"/>
        </w:rPr>
        <w:footnoteReference w:id="1"/>
      </w:r>
      <w:r w:rsidRPr="00422DDB">
        <w:rPr>
          <w:rFonts w:ascii="Arial" w:hAnsi="Arial" w:cs="Arial"/>
          <w:sz w:val="22"/>
        </w:rPr>
        <w:t xml:space="preserve">. </w:t>
      </w:r>
    </w:p>
    <w:p w14:paraId="39BABE8E" w14:textId="35FB2EF0" w:rsidR="003D53A2" w:rsidRPr="00422DDB" w:rsidRDefault="003D53A2" w:rsidP="003D53A2">
      <w:pPr>
        <w:pStyle w:val="Sinespaciado"/>
        <w:spacing w:before="120" w:line="276" w:lineRule="auto"/>
        <w:ind w:firstLine="709"/>
        <w:jc w:val="both"/>
        <w:rPr>
          <w:rFonts w:ascii="Arial" w:hAnsi="Arial" w:cs="Arial"/>
          <w:sz w:val="22"/>
        </w:rPr>
      </w:pPr>
      <w:r w:rsidRPr="00422DDB">
        <w:rPr>
          <w:rFonts w:ascii="Arial" w:hAnsi="Arial" w:cs="Arial"/>
          <w:sz w:val="22"/>
        </w:rPr>
        <w:t>La</w:t>
      </w:r>
      <w:r w:rsidR="004B0D4F">
        <w:rPr>
          <w:rFonts w:ascii="Arial" w:hAnsi="Arial" w:cs="Arial"/>
          <w:sz w:val="22"/>
        </w:rPr>
        <w:t>s</w:t>
      </w:r>
      <w:r w:rsidRPr="00422DDB">
        <w:rPr>
          <w:rFonts w:ascii="Arial" w:hAnsi="Arial" w:cs="Arial"/>
          <w:sz w:val="22"/>
        </w:rPr>
        <w:t xml:space="preserve"> limitaciones que afectan la capacidad jurídica para contratar </w:t>
      </w:r>
      <w:r>
        <w:rPr>
          <w:rFonts w:ascii="Arial" w:hAnsi="Arial" w:cs="Arial"/>
          <w:sz w:val="22"/>
        </w:rPr>
        <w:t>desarrolla</w:t>
      </w:r>
      <w:r w:rsidR="004B0D4F">
        <w:rPr>
          <w:rFonts w:ascii="Arial" w:hAnsi="Arial" w:cs="Arial"/>
          <w:sz w:val="22"/>
        </w:rPr>
        <w:t>n</w:t>
      </w:r>
      <w:r w:rsidRPr="00422DDB">
        <w:rPr>
          <w:rFonts w:ascii="Arial" w:hAnsi="Arial" w:cs="Arial"/>
          <w:sz w:val="22"/>
        </w:rPr>
        <w:t xml:space="preserve"> los principios de la función administrativa consagrados en el artículo 209 de la Constitución </w:t>
      </w:r>
      <w:r w:rsidRPr="00422DDB">
        <w:rPr>
          <w:rFonts w:ascii="Arial" w:hAnsi="Arial" w:cs="Arial"/>
          <w:sz w:val="22"/>
        </w:rPr>
        <w:lastRenderedPageBreak/>
        <w:t xml:space="preserve">Política, con especial énfasis </w:t>
      </w:r>
      <w:r>
        <w:rPr>
          <w:rFonts w:ascii="Arial" w:hAnsi="Arial" w:cs="Arial"/>
          <w:sz w:val="22"/>
        </w:rPr>
        <w:t>la</w:t>
      </w:r>
      <w:r w:rsidRPr="00422DDB">
        <w:rPr>
          <w:rFonts w:ascii="Arial" w:hAnsi="Arial" w:cs="Arial"/>
          <w:sz w:val="22"/>
        </w:rPr>
        <w:t xml:space="preserve"> moralidad</w:t>
      </w:r>
      <w:r w:rsidR="001C13AE">
        <w:rPr>
          <w:rFonts w:ascii="Arial" w:hAnsi="Arial" w:cs="Arial"/>
          <w:sz w:val="22"/>
        </w:rPr>
        <w:t xml:space="preserve"> administrativa</w:t>
      </w:r>
      <w:r w:rsidRPr="00422DDB">
        <w:rPr>
          <w:rFonts w:ascii="Arial" w:hAnsi="Arial" w:cs="Arial"/>
          <w:sz w:val="22"/>
        </w:rPr>
        <w:t xml:space="preserve">. Así lo </w:t>
      </w:r>
      <w:r w:rsidR="004B0D4F">
        <w:rPr>
          <w:rFonts w:ascii="Arial" w:hAnsi="Arial" w:cs="Arial"/>
          <w:sz w:val="22"/>
        </w:rPr>
        <w:t>ha entendido</w:t>
      </w:r>
      <w:r w:rsidRPr="00422DDB">
        <w:rPr>
          <w:rFonts w:ascii="Arial" w:hAnsi="Arial" w:cs="Arial"/>
          <w:sz w:val="22"/>
        </w:rPr>
        <w:t xml:space="preserve"> el Consejo de Estado</w:t>
      </w:r>
      <w:r w:rsidR="004B0D4F">
        <w:rPr>
          <w:rFonts w:ascii="Arial" w:hAnsi="Arial" w:cs="Arial"/>
          <w:sz w:val="22"/>
        </w:rPr>
        <w:t>, quien se ha pronunciado al respecto en los siguientes términos</w:t>
      </w:r>
      <w:r w:rsidRPr="00422DDB">
        <w:rPr>
          <w:rFonts w:ascii="Arial" w:hAnsi="Arial" w:cs="Arial"/>
          <w:sz w:val="22"/>
        </w:rPr>
        <w:t xml:space="preserve">: </w:t>
      </w:r>
    </w:p>
    <w:p w14:paraId="4C2D2939" w14:textId="77777777" w:rsidR="003D53A2" w:rsidRPr="00422DDB" w:rsidRDefault="003D53A2" w:rsidP="003D53A2">
      <w:pPr>
        <w:pStyle w:val="Sinespaciado"/>
        <w:spacing w:line="276" w:lineRule="auto"/>
        <w:jc w:val="both"/>
        <w:rPr>
          <w:rFonts w:ascii="Arial" w:hAnsi="Arial" w:cs="Arial"/>
          <w:sz w:val="22"/>
        </w:rPr>
      </w:pPr>
    </w:p>
    <w:p w14:paraId="7B934F2A" w14:textId="77777777" w:rsidR="003D53A2" w:rsidRPr="00422DDB" w:rsidRDefault="003D53A2" w:rsidP="003D53A2">
      <w:pPr>
        <w:pStyle w:val="NormalWeb"/>
        <w:shd w:val="clear" w:color="auto" w:fill="FFFFFF"/>
        <w:spacing w:before="0" w:beforeAutospacing="0" w:after="120" w:afterAutospacing="0"/>
        <w:ind w:left="709" w:right="709"/>
        <w:jc w:val="both"/>
        <w:rPr>
          <w:rFonts w:ascii="Arial" w:eastAsiaTheme="minorHAnsi" w:hAnsi="Arial" w:cs="Arial"/>
          <w:sz w:val="21"/>
          <w:szCs w:val="21"/>
          <w:lang w:val="es-ES" w:eastAsia="en-US"/>
        </w:rPr>
      </w:pPr>
      <w:r w:rsidRPr="00422DDB">
        <w:rPr>
          <w:rFonts w:ascii="Arial" w:eastAsiaTheme="minorHAnsi" w:hAnsi="Arial" w:cs="Arial"/>
          <w:sz w:val="21"/>
          <w:szCs w:val="21"/>
          <w:lang w:val="es-ES" w:eastAsia="en-US"/>
        </w:rPr>
        <w:t>De manera primordial en esta reflexión debe advertirse que la consagración legal de las incompatibilidades e inhabilidades en materia contractual, no es sino desarrollo del Principio de Moralidad que la Constitución Política consagra como uno de los rectores de la Función Administrativa, instituido en el artículo 209 de la Carta, toda vez que este Principio –en su carácter jurídico, ordenador y orientador del derecho– constituye la Finalidad, el Deber Ser, la Razón de Primer Orden en la cual se inspira, justifica y legitima la existencia de las normas que definen y regulan las inhabilidades e incompatibilidades.</w:t>
      </w:r>
    </w:p>
    <w:p w14:paraId="5D50E7D5" w14:textId="77777777" w:rsidR="003D53A2" w:rsidRPr="00422DDB" w:rsidRDefault="003D53A2" w:rsidP="003D53A2">
      <w:pPr>
        <w:pStyle w:val="NormalWeb"/>
        <w:shd w:val="clear" w:color="auto" w:fill="FFFFFF"/>
        <w:spacing w:before="0" w:beforeAutospacing="0" w:after="0" w:afterAutospacing="0"/>
        <w:ind w:left="709" w:right="709"/>
        <w:jc w:val="both"/>
        <w:rPr>
          <w:rFonts w:ascii="Arial" w:eastAsiaTheme="minorHAnsi" w:hAnsi="Arial" w:cs="Arial"/>
          <w:sz w:val="21"/>
          <w:szCs w:val="21"/>
          <w:lang w:val="es-ES" w:eastAsia="en-US"/>
        </w:rPr>
      </w:pPr>
      <w:r w:rsidRPr="00422DDB">
        <w:rPr>
          <w:rFonts w:ascii="Arial" w:eastAsiaTheme="minorHAnsi" w:hAnsi="Arial" w:cs="Arial"/>
          <w:sz w:val="21"/>
          <w:szCs w:val="21"/>
          <w:lang w:val="es-ES" w:eastAsia="en-US"/>
        </w:rPr>
        <w:t>Adicionalmente, toda vez que la Jurisprudencia Constitucional se ha referido a la protección del Interés General como causa que legitima la estructuración legal de las incompatibilidades e inhabilidades, se puede precisar que la regulación de sus causales para contratar con el Estado debe orientarse por el Principio de Moralidad que obviamente –como es propio de todos los Principios de la Función Administrativa– se despliega ordenado con base en la protección prevalente del interés general y, por ello, se entiende que la potestad de configuración legislativa en materia de incompatibilidades e inhabilidades para contratar con el Estado puede concretarse a través de una regla de carácter excluyente para determinados potenciales contratistas, la cual se impone entonces por razón de ese fin de interés general como regla legal prevalente, esto es que puede ser impuesta sobre el derecho individual a contratar con el Estado</w:t>
      </w:r>
      <w:r w:rsidRPr="00422DDB">
        <w:rPr>
          <w:rStyle w:val="Refdenotaalpie"/>
          <w:rFonts w:ascii="Arial" w:eastAsiaTheme="minorHAnsi" w:hAnsi="Arial" w:cs="Arial"/>
          <w:sz w:val="21"/>
          <w:szCs w:val="21"/>
          <w:lang w:val="es-ES" w:eastAsia="en-US"/>
        </w:rPr>
        <w:footnoteReference w:id="2"/>
      </w:r>
      <w:r w:rsidRPr="00422DDB">
        <w:rPr>
          <w:rFonts w:ascii="Arial" w:eastAsiaTheme="minorHAnsi" w:hAnsi="Arial" w:cs="Arial"/>
          <w:sz w:val="21"/>
          <w:szCs w:val="21"/>
          <w:lang w:val="es-ES" w:eastAsia="en-US"/>
        </w:rPr>
        <w:t xml:space="preserve">. </w:t>
      </w:r>
    </w:p>
    <w:p w14:paraId="03DAADAD" w14:textId="77777777" w:rsidR="003D53A2" w:rsidRPr="00422DDB" w:rsidRDefault="003D53A2" w:rsidP="003D53A2">
      <w:pPr>
        <w:pStyle w:val="Sinespaciado"/>
        <w:spacing w:line="276" w:lineRule="auto"/>
        <w:jc w:val="both"/>
        <w:rPr>
          <w:rFonts w:ascii="Arial" w:hAnsi="Arial" w:cs="Arial"/>
          <w:sz w:val="22"/>
        </w:rPr>
      </w:pPr>
    </w:p>
    <w:p w14:paraId="77456A69" w14:textId="4F79E9E4" w:rsidR="003D53A2" w:rsidRPr="00422DDB" w:rsidRDefault="004B0D4F" w:rsidP="003D53A2">
      <w:pPr>
        <w:pStyle w:val="Sinespaciado"/>
        <w:spacing w:line="276" w:lineRule="auto"/>
        <w:ind w:firstLine="709"/>
        <w:jc w:val="both"/>
        <w:rPr>
          <w:rFonts w:ascii="Arial" w:hAnsi="Arial" w:cs="Arial"/>
          <w:sz w:val="22"/>
        </w:rPr>
      </w:pPr>
      <w:r>
        <w:rPr>
          <w:rFonts w:ascii="Arial" w:hAnsi="Arial" w:cs="Arial"/>
          <w:sz w:val="22"/>
        </w:rPr>
        <w:t>Se puede afirmar que</w:t>
      </w:r>
      <w:r w:rsidR="003D53A2" w:rsidRPr="00422DDB">
        <w:rPr>
          <w:rFonts w:ascii="Arial" w:hAnsi="Arial" w:cs="Arial"/>
          <w:sz w:val="22"/>
        </w:rPr>
        <w:t xml:space="preserve"> las inhabilidades son medios que garantiza</w:t>
      </w:r>
      <w:r w:rsidR="003D53A2">
        <w:rPr>
          <w:rFonts w:ascii="Arial" w:hAnsi="Arial" w:cs="Arial"/>
          <w:sz w:val="22"/>
        </w:rPr>
        <w:t>n</w:t>
      </w:r>
      <w:r w:rsidR="003D53A2" w:rsidRPr="00422DDB">
        <w:rPr>
          <w:rFonts w:ascii="Arial" w:hAnsi="Arial" w:cs="Arial"/>
          <w:sz w:val="22"/>
        </w:rPr>
        <w:t xml:space="preserve"> la transparencia y eficiencia en la actividad contractual del Estado</w:t>
      </w:r>
      <w:r w:rsidR="003D53A2">
        <w:rPr>
          <w:rFonts w:ascii="Arial" w:hAnsi="Arial" w:cs="Arial"/>
          <w:sz w:val="22"/>
        </w:rPr>
        <w:t xml:space="preserve">, </w:t>
      </w:r>
      <w:r w:rsidR="003D53A2" w:rsidRPr="00422DDB">
        <w:rPr>
          <w:rFonts w:ascii="Arial" w:hAnsi="Arial" w:cs="Arial"/>
          <w:sz w:val="22"/>
        </w:rPr>
        <w:t>impon</w:t>
      </w:r>
      <w:r w:rsidR="003D53A2">
        <w:rPr>
          <w:rFonts w:ascii="Arial" w:hAnsi="Arial" w:cs="Arial"/>
          <w:sz w:val="22"/>
        </w:rPr>
        <w:t>iendo</w:t>
      </w:r>
      <w:r w:rsidR="003D53A2" w:rsidRPr="00422DDB">
        <w:rPr>
          <w:rFonts w:ascii="Arial" w:hAnsi="Arial" w:cs="Arial"/>
          <w:sz w:val="22"/>
        </w:rPr>
        <w:t xml:space="preserve"> restricciones en la personalidad jurídica, la igualdad, la libre empresa y, particularmente, </w:t>
      </w:r>
      <w:r w:rsidR="003D53A2">
        <w:rPr>
          <w:rFonts w:ascii="Arial" w:hAnsi="Arial" w:cs="Arial"/>
          <w:sz w:val="22"/>
        </w:rPr>
        <w:t>en e</w:t>
      </w:r>
      <w:r w:rsidR="003D53A2" w:rsidRPr="003B7A26">
        <w:rPr>
          <w:rFonts w:ascii="Arial" w:hAnsi="Arial" w:cs="Arial"/>
          <w:sz w:val="22"/>
        </w:rPr>
        <w:t>l derecho a participar en procesos de selección y celebrar contratos con el Estado</w:t>
      </w:r>
      <w:r w:rsidR="003D53A2" w:rsidRPr="00422DDB">
        <w:rPr>
          <w:rFonts w:ascii="Arial" w:hAnsi="Arial" w:cs="Arial"/>
          <w:sz w:val="22"/>
        </w:rPr>
        <w:t xml:space="preserve">. La Corte Constitucional ha reconocido que estas limitaciones deben estar justificadas en la salvaguarda del interés general y que su lectura e interpretación </w:t>
      </w:r>
      <w:r w:rsidR="003D53A2">
        <w:rPr>
          <w:rFonts w:ascii="Arial" w:hAnsi="Arial" w:cs="Arial"/>
          <w:sz w:val="22"/>
        </w:rPr>
        <w:t>es</w:t>
      </w:r>
      <w:r w:rsidR="003D53A2" w:rsidRPr="00422DDB">
        <w:rPr>
          <w:rFonts w:ascii="Arial" w:hAnsi="Arial" w:cs="Arial"/>
          <w:sz w:val="22"/>
        </w:rPr>
        <w:t xml:space="preserve"> taxativa y restrictiva: </w:t>
      </w:r>
    </w:p>
    <w:p w14:paraId="3D10308F" w14:textId="77777777" w:rsidR="003D53A2" w:rsidRPr="00422DDB" w:rsidRDefault="003D53A2" w:rsidP="003D53A2">
      <w:pPr>
        <w:rPr>
          <w:rFonts w:ascii="Arial" w:eastAsia="Times New Roman" w:hAnsi="Arial" w:cs="Arial"/>
          <w:sz w:val="22"/>
          <w:shd w:val="clear" w:color="auto" w:fill="FFFFFF"/>
          <w:lang w:val="es-CO" w:eastAsia="es-ES_tradnl"/>
        </w:rPr>
      </w:pPr>
    </w:p>
    <w:p w14:paraId="3123C5E0" w14:textId="77777777" w:rsidR="003D53A2" w:rsidRPr="00422DDB" w:rsidRDefault="003D53A2" w:rsidP="003D53A2">
      <w:pPr>
        <w:spacing w:after="120"/>
        <w:ind w:left="709" w:right="709"/>
        <w:jc w:val="both"/>
        <w:rPr>
          <w:rFonts w:ascii="Arial" w:hAnsi="Arial" w:cs="Arial"/>
          <w:sz w:val="21"/>
          <w:szCs w:val="21"/>
        </w:rPr>
      </w:pPr>
      <w:r w:rsidRPr="00422DDB">
        <w:rPr>
          <w:rFonts w:ascii="Arial" w:hAnsi="Arial" w:cs="Arial"/>
          <w:sz w:val="21"/>
          <w:szCs w:val="21"/>
        </w:rPr>
        <w:t xml:space="preserve">Todo régimen de inhabilidades e incompatibilidades de suyo excluye a ciertas categorías de personas del proceso de contratación, generando incapacidades especiales, impedimentos y prohibiciones de variada naturaleza, que en cierta medida afectan el derecho a la personalidad jurídica traducido, a su turno, en el principio general de capacidad legal [CC arts. 1502 y 1503; ley 80 de 1993, art. 6]. De ordinario, como ocurre en la contratación estatal, la inobservancia del régimen de inhabilidades e </w:t>
      </w:r>
      <w:proofErr w:type="gramStart"/>
      <w:r w:rsidRPr="00422DDB">
        <w:rPr>
          <w:rFonts w:ascii="Arial" w:hAnsi="Arial" w:cs="Arial"/>
          <w:sz w:val="21"/>
          <w:szCs w:val="21"/>
        </w:rPr>
        <w:t>incompatibilidades,</w:t>
      </w:r>
      <w:proofErr w:type="gramEnd"/>
      <w:r w:rsidRPr="00422DDB">
        <w:rPr>
          <w:rFonts w:ascii="Arial" w:hAnsi="Arial" w:cs="Arial"/>
          <w:sz w:val="21"/>
          <w:szCs w:val="21"/>
        </w:rPr>
        <w:t xml:space="preserve"> se erige en causal de nulidad del contrato celebrado en esas condiciones (ley 80 de 1993, art. 44).</w:t>
      </w:r>
    </w:p>
    <w:p w14:paraId="446AF9BE" w14:textId="77777777" w:rsidR="003D53A2" w:rsidRPr="00422DDB" w:rsidRDefault="003D53A2" w:rsidP="003D53A2">
      <w:pPr>
        <w:ind w:left="709" w:right="709"/>
        <w:jc w:val="both"/>
        <w:rPr>
          <w:rFonts w:ascii="Arial" w:hAnsi="Arial" w:cs="Arial"/>
          <w:sz w:val="21"/>
          <w:szCs w:val="21"/>
        </w:rPr>
      </w:pPr>
      <w:r w:rsidRPr="00422DDB">
        <w:rPr>
          <w:rFonts w:ascii="Arial" w:hAnsi="Arial" w:cs="Arial"/>
          <w:sz w:val="21"/>
          <w:szCs w:val="21"/>
        </w:rPr>
        <w:t xml:space="preserve">El carácter reconocidamente taxativo y restrictivo de este régimen y el de las correlativas nulidades, obedece a la necesidad de salvaguardar el interés general ínsito en la contratación pública de manera que implique el menor sacrificio </w:t>
      </w:r>
      <w:r w:rsidRPr="00422DDB">
        <w:rPr>
          <w:rFonts w:ascii="Arial" w:hAnsi="Arial" w:cs="Arial"/>
          <w:sz w:val="21"/>
          <w:szCs w:val="21"/>
        </w:rPr>
        <w:lastRenderedPageBreak/>
        <w:t>posible al derecho de igualdad y de reconocimiento de la personalidad jurídica de quienes aspiran a contratar con el Estado. Es evidente que si la restricción legal [incompatibilidad o inhabilidad] no se sustenta en ninguna necesidad de protección del interés general o ésta es irrazonable o desproporcionada, en esa misma medida pierde justificación constitucional como medio legítimo para restringir, en ese caso, el derecho a la igualdad y el reconocimiento de la personalidad jurídica de las personas que resultan rechazadas del ámbito contractual del Estado</w:t>
      </w:r>
      <w:r w:rsidRPr="00422DDB">
        <w:rPr>
          <w:rStyle w:val="Refdenotaalpie"/>
          <w:rFonts w:ascii="Arial" w:hAnsi="Arial" w:cs="Arial"/>
          <w:sz w:val="21"/>
          <w:szCs w:val="21"/>
        </w:rPr>
        <w:footnoteReference w:id="3"/>
      </w:r>
      <w:r w:rsidRPr="00422DDB">
        <w:rPr>
          <w:rFonts w:ascii="Arial" w:hAnsi="Arial" w:cs="Arial"/>
          <w:sz w:val="21"/>
          <w:szCs w:val="21"/>
        </w:rPr>
        <w:t>.</w:t>
      </w:r>
    </w:p>
    <w:p w14:paraId="56FBBFEB" w14:textId="77777777" w:rsidR="003D53A2" w:rsidRPr="00422DDB" w:rsidRDefault="003D53A2" w:rsidP="003D53A2">
      <w:pPr>
        <w:spacing w:line="276" w:lineRule="auto"/>
        <w:ind w:left="709" w:right="709"/>
        <w:rPr>
          <w:rFonts w:ascii="Arial" w:eastAsia="Times New Roman" w:hAnsi="Arial" w:cs="Arial"/>
          <w:sz w:val="22"/>
          <w:shd w:val="clear" w:color="auto" w:fill="FFFFFF"/>
          <w:lang w:val="es-CO" w:eastAsia="es-ES_tradnl"/>
        </w:rPr>
      </w:pPr>
    </w:p>
    <w:p w14:paraId="12FE88AB" w14:textId="581C251F" w:rsidR="003D53A2" w:rsidRPr="00422DDB" w:rsidRDefault="003D53A2" w:rsidP="003D53A2">
      <w:pPr>
        <w:spacing w:line="276" w:lineRule="auto"/>
        <w:ind w:firstLine="709"/>
        <w:jc w:val="both"/>
        <w:rPr>
          <w:rFonts w:ascii="Arial" w:hAnsi="Arial" w:cs="Arial"/>
          <w:sz w:val="22"/>
        </w:rPr>
      </w:pPr>
      <w:r>
        <w:rPr>
          <w:rFonts w:ascii="Arial" w:hAnsi="Arial" w:cs="Arial"/>
          <w:sz w:val="22"/>
        </w:rPr>
        <w:t>Además</w:t>
      </w:r>
      <w:r w:rsidRPr="00422DDB">
        <w:rPr>
          <w:rFonts w:ascii="Arial" w:hAnsi="Arial" w:cs="Arial"/>
          <w:sz w:val="22"/>
        </w:rPr>
        <w:t xml:space="preserve">, la Corte Constitucional </w:t>
      </w:r>
      <w:r w:rsidR="004B0D4F">
        <w:rPr>
          <w:rFonts w:ascii="Arial" w:hAnsi="Arial" w:cs="Arial"/>
          <w:sz w:val="22"/>
        </w:rPr>
        <w:t>ha explicado</w:t>
      </w:r>
      <w:r w:rsidRPr="00422DDB">
        <w:rPr>
          <w:rFonts w:ascii="Arial" w:hAnsi="Arial" w:cs="Arial"/>
          <w:sz w:val="22"/>
        </w:rPr>
        <w:t xml:space="preserve"> que</w:t>
      </w:r>
      <w:r>
        <w:rPr>
          <w:rFonts w:ascii="Arial" w:hAnsi="Arial" w:cs="Arial"/>
          <w:sz w:val="22"/>
        </w:rPr>
        <w:t xml:space="preserve"> el legislador tiene</w:t>
      </w:r>
      <w:r w:rsidRPr="00422DDB">
        <w:rPr>
          <w:rFonts w:ascii="Arial" w:hAnsi="Arial" w:cs="Arial"/>
          <w:sz w:val="22"/>
        </w:rPr>
        <w:t xml:space="preserve"> la competencia para determinar qué hechos o situaciones generan inhabilidad para contratar, pues este régimen es un aspecto propio del Estatuto General de Contratación </w:t>
      </w:r>
      <w:r w:rsidR="008B51E3">
        <w:rPr>
          <w:rFonts w:ascii="Arial" w:hAnsi="Arial" w:cs="Arial"/>
          <w:sz w:val="22"/>
        </w:rPr>
        <w:t xml:space="preserve">de la Administración </w:t>
      </w:r>
      <w:r w:rsidRPr="00422DDB">
        <w:rPr>
          <w:rFonts w:ascii="Arial" w:hAnsi="Arial" w:cs="Arial"/>
          <w:sz w:val="22"/>
        </w:rPr>
        <w:t xml:space="preserve">Pública, cuya expedición compete al Congreso de la República </w:t>
      </w:r>
      <w:r w:rsidR="004B0D4F">
        <w:rPr>
          <w:rFonts w:ascii="Arial" w:hAnsi="Arial" w:cs="Arial"/>
          <w:sz w:val="22"/>
        </w:rPr>
        <w:t>de conformidad con</w:t>
      </w:r>
      <w:r w:rsidRPr="00422DDB">
        <w:rPr>
          <w:rFonts w:ascii="Arial" w:hAnsi="Arial" w:cs="Arial"/>
          <w:sz w:val="22"/>
        </w:rPr>
        <w:t xml:space="preserve"> el artículo 150 de la Constitución Política, y que en esta materia rige el principio de legalidad:</w:t>
      </w:r>
    </w:p>
    <w:p w14:paraId="49CDC9FC" w14:textId="77777777" w:rsidR="003D53A2" w:rsidRPr="00422DDB" w:rsidRDefault="003D53A2" w:rsidP="003D53A2">
      <w:pPr>
        <w:pStyle w:val="Sinespaciado"/>
        <w:tabs>
          <w:tab w:val="left" w:pos="1532"/>
        </w:tabs>
        <w:spacing w:line="276" w:lineRule="auto"/>
        <w:jc w:val="both"/>
        <w:rPr>
          <w:rFonts w:ascii="Arial" w:hAnsi="Arial" w:cs="Arial"/>
          <w:sz w:val="22"/>
        </w:rPr>
      </w:pPr>
    </w:p>
    <w:p w14:paraId="76CA956C" w14:textId="77777777" w:rsidR="003D53A2" w:rsidRPr="00422DDB" w:rsidRDefault="003D53A2" w:rsidP="003D53A2">
      <w:pPr>
        <w:spacing w:after="120"/>
        <w:ind w:left="709" w:right="709"/>
        <w:jc w:val="both"/>
        <w:rPr>
          <w:rFonts w:ascii="Arial" w:hAnsi="Arial" w:cs="Arial"/>
          <w:sz w:val="21"/>
          <w:szCs w:val="21"/>
        </w:rPr>
      </w:pPr>
      <w:r w:rsidRPr="00422DDB">
        <w:rPr>
          <w:rFonts w:ascii="Arial" w:hAnsi="Arial" w:cs="Arial"/>
          <w:sz w:val="21"/>
          <w:szCs w:val="21"/>
        </w:rPr>
        <w:t xml:space="preserve">Las limitaciones y restricciones que se contienen en el citado estatuto, predicables de la relación Estado-particulares y que afectan los diversos momentos de formación, celebración y ejecución de los contratos estatales, se refieren a una faceta de la actividad del Estado y en la que se contempla, en los términos de la ley, una especial modalidad de participación o colaboración de los particulares en su papel de contratistas. La ley demandada recae sobre una materia que pertenece al dominio de la esfera estatal y pública, dentro de la cual no rige el principio pro </w:t>
      </w:r>
      <w:proofErr w:type="spellStart"/>
      <w:r w:rsidRPr="00422DDB">
        <w:rPr>
          <w:rFonts w:ascii="Arial" w:hAnsi="Arial" w:cs="Arial"/>
          <w:sz w:val="21"/>
          <w:szCs w:val="21"/>
        </w:rPr>
        <w:t>libertate</w:t>
      </w:r>
      <w:proofErr w:type="spellEnd"/>
      <w:r w:rsidRPr="00422DDB">
        <w:rPr>
          <w:rFonts w:ascii="Arial" w:hAnsi="Arial" w:cs="Arial"/>
          <w:sz w:val="21"/>
          <w:szCs w:val="21"/>
        </w:rPr>
        <w:t xml:space="preserve">, sino el de legalidad, el que ordena que la función pública debe someterse estrictamente a lo que disponga la Constitución y la ley (CP art. 6). </w:t>
      </w:r>
    </w:p>
    <w:p w14:paraId="54D33802" w14:textId="77777777" w:rsidR="003D53A2" w:rsidRPr="00422DDB" w:rsidRDefault="003D53A2" w:rsidP="003D53A2">
      <w:pPr>
        <w:spacing w:after="120"/>
        <w:ind w:left="709" w:right="709"/>
        <w:jc w:val="both"/>
        <w:rPr>
          <w:rFonts w:ascii="Arial" w:hAnsi="Arial" w:cs="Arial"/>
          <w:sz w:val="21"/>
          <w:szCs w:val="21"/>
        </w:rPr>
      </w:pPr>
      <w:r w:rsidRPr="00422DDB">
        <w:rPr>
          <w:rFonts w:ascii="Arial" w:hAnsi="Arial" w:cs="Arial"/>
          <w:sz w:val="21"/>
          <w:szCs w:val="21"/>
        </w:rPr>
        <w:t xml:space="preserve">[…] </w:t>
      </w:r>
    </w:p>
    <w:p w14:paraId="46189498" w14:textId="77777777" w:rsidR="003D53A2" w:rsidRPr="00422DDB" w:rsidRDefault="003D53A2" w:rsidP="003D53A2">
      <w:pPr>
        <w:ind w:left="709" w:right="709"/>
        <w:jc w:val="both"/>
        <w:rPr>
          <w:rFonts w:ascii="Arial" w:hAnsi="Arial" w:cs="Arial"/>
          <w:sz w:val="21"/>
          <w:szCs w:val="21"/>
        </w:rPr>
      </w:pPr>
      <w:r w:rsidRPr="00422DDB">
        <w:rPr>
          <w:rFonts w:ascii="Arial" w:hAnsi="Arial" w:cs="Arial"/>
          <w:sz w:val="21"/>
          <w:szCs w:val="21"/>
        </w:rPr>
        <w:t xml:space="preserve">Se comprende con facilidad que el régimen de inhabilidades e </w:t>
      </w:r>
      <w:proofErr w:type="gramStart"/>
      <w:r w:rsidRPr="00422DDB">
        <w:rPr>
          <w:rFonts w:ascii="Arial" w:hAnsi="Arial" w:cs="Arial"/>
          <w:sz w:val="21"/>
          <w:szCs w:val="21"/>
        </w:rPr>
        <w:t>incompatibilidades,</w:t>
      </w:r>
      <w:proofErr w:type="gramEnd"/>
      <w:r w:rsidRPr="00422DDB">
        <w:rPr>
          <w:rFonts w:ascii="Arial" w:hAnsi="Arial" w:cs="Arial"/>
          <w:sz w:val="21"/>
          <w:szCs w:val="21"/>
        </w:rPr>
        <w:t xml:space="preserve"> corresponde a una materia de normal y obligada inclusión en un estatuto contractual. El legislador, a quien se ha confiado expedir el indicado estatuto, tiene, pues, competencia para establecerlo (CP art. 150)</w:t>
      </w:r>
      <w:r w:rsidRPr="00422DDB">
        <w:rPr>
          <w:rStyle w:val="Refdenotaalpie"/>
          <w:rFonts w:ascii="Arial" w:hAnsi="Arial" w:cs="Arial"/>
          <w:sz w:val="21"/>
          <w:szCs w:val="21"/>
        </w:rPr>
        <w:footnoteReference w:id="4"/>
      </w:r>
      <w:r w:rsidRPr="00422DDB">
        <w:rPr>
          <w:rFonts w:ascii="Arial" w:hAnsi="Arial" w:cs="Arial"/>
          <w:sz w:val="21"/>
          <w:szCs w:val="21"/>
        </w:rPr>
        <w:t>.</w:t>
      </w:r>
    </w:p>
    <w:p w14:paraId="38096C54" w14:textId="77777777" w:rsidR="003D53A2" w:rsidRPr="00422DDB" w:rsidRDefault="003D53A2" w:rsidP="003D53A2">
      <w:pPr>
        <w:ind w:left="709" w:right="709"/>
        <w:rPr>
          <w:rFonts w:ascii="Arial" w:eastAsia="Times New Roman" w:hAnsi="Arial" w:cs="Arial"/>
          <w:sz w:val="22"/>
          <w:shd w:val="clear" w:color="auto" w:fill="FFFFFF"/>
          <w:lang w:val="es-CO" w:eastAsia="es-ES_tradnl"/>
        </w:rPr>
      </w:pPr>
    </w:p>
    <w:p w14:paraId="5C8D9593" w14:textId="77777777" w:rsidR="003D53A2" w:rsidRPr="00422DDB" w:rsidRDefault="003D53A2" w:rsidP="003D53A2">
      <w:pPr>
        <w:spacing w:after="120" w:line="276" w:lineRule="auto"/>
        <w:ind w:firstLine="709"/>
        <w:jc w:val="both"/>
        <w:rPr>
          <w:rFonts w:ascii="Arial" w:hAnsi="Arial" w:cs="Arial"/>
          <w:sz w:val="22"/>
        </w:rPr>
      </w:pPr>
      <w:r w:rsidRPr="00422DDB">
        <w:rPr>
          <w:rFonts w:ascii="Arial" w:hAnsi="Arial" w:cs="Arial"/>
          <w:sz w:val="22"/>
        </w:rPr>
        <w:t xml:space="preserve">Conviene también </w:t>
      </w:r>
      <w:r>
        <w:rPr>
          <w:rFonts w:ascii="Arial" w:hAnsi="Arial" w:cs="Arial"/>
          <w:sz w:val="22"/>
        </w:rPr>
        <w:t>distinguir</w:t>
      </w:r>
      <w:r w:rsidRPr="00422DDB">
        <w:rPr>
          <w:rFonts w:ascii="Arial" w:hAnsi="Arial" w:cs="Arial"/>
          <w:sz w:val="22"/>
        </w:rPr>
        <w:t xml:space="preserve"> la</w:t>
      </w:r>
      <w:r>
        <w:rPr>
          <w:rFonts w:ascii="Arial" w:hAnsi="Arial" w:cs="Arial"/>
          <w:sz w:val="22"/>
        </w:rPr>
        <w:t>s</w:t>
      </w:r>
      <w:r w:rsidRPr="00422DDB">
        <w:rPr>
          <w:rFonts w:ascii="Arial" w:hAnsi="Arial" w:cs="Arial"/>
          <w:sz w:val="22"/>
        </w:rPr>
        <w:t xml:space="preserve"> fuente</w:t>
      </w:r>
      <w:r>
        <w:rPr>
          <w:rFonts w:ascii="Arial" w:hAnsi="Arial" w:cs="Arial"/>
          <w:sz w:val="22"/>
        </w:rPr>
        <w:t>s</w:t>
      </w:r>
      <w:r w:rsidRPr="00422DDB">
        <w:rPr>
          <w:rFonts w:ascii="Arial" w:hAnsi="Arial" w:cs="Arial"/>
          <w:sz w:val="22"/>
        </w:rPr>
        <w:t xml:space="preserve"> de las inhabilidades, las cuales han sido clasificadas en dos</w:t>
      </w:r>
      <w:r>
        <w:rPr>
          <w:rFonts w:ascii="Arial" w:hAnsi="Arial" w:cs="Arial"/>
          <w:sz w:val="22"/>
        </w:rPr>
        <w:t xml:space="preserve"> (2)</w:t>
      </w:r>
      <w:r w:rsidRPr="00422DDB">
        <w:rPr>
          <w:rFonts w:ascii="Arial" w:hAnsi="Arial" w:cs="Arial"/>
          <w:sz w:val="22"/>
        </w:rPr>
        <w:t xml:space="preserve"> grupos: i) inhabilidades-sanción y </w:t>
      </w:r>
      <w:proofErr w:type="spellStart"/>
      <w:r w:rsidRPr="00422DDB">
        <w:rPr>
          <w:rFonts w:ascii="Arial" w:hAnsi="Arial" w:cs="Arial"/>
          <w:sz w:val="22"/>
        </w:rPr>
        <w:t>ii</w:t>
      </w:r>
      <w:proofErr w:type="spellEnd"/>
      <w:r w:rsidRPr="00422DDB">
        <w:rPr>
          <w:rFonts w:ascii="Arial" w:hAnsi="Arial" w:cs="Arial"/>
          <w:sz w:val="22"/>
        </w:rPr>
        <w:t>) inhabilidades-requisito. En el primer grupo se encuentran las inhabilidades que surgen como consecuencia de un proceso sancionatorio, en los ámbitos penal, disciplinario, contravencional o de pérdida de investidura. En el segundo grupo están aquellas que no devienen de un proceso sancionatorio</w:t>
      </w:r>
      <w:r>
        <w:rPr>
          <w:rFonts w:ascii="Arial" w:hAnsi="Arial" w:cs="Arial"/>
          <w:sz w:val="22"/>
        </w:rPr>
        <w:t>,</w:t>
      </w:r>
      <w:r w:rsidRPr="00422DDB">
        <w:rPr>
          <w:rFonts w:ascii="Arial" w:hAnsi="Arial" w:cs="Arial"/>
          <w:sz w:val="22"/>
        </w:rPr>
        <w:t xml:space="preserve"> sino de condiciones propias de la persona y garantiza</w:t>
      </w:r>
      <w:r>
        <w:rPr>
          <w:rFonts w:ascii="Arial" w:hAnsi="Arial" w:cs="Arial"/>
          <w:sz w:val="22"/>
        </w:rPr>
        <w:t>n</w:t>
      </w:r>
      <w:r w:rsidRPr="00422DDB">
        <w:rPr>
          <w:rFonts w:ascii="Arial" w:hAnsi="Arial" w:cs="Arial"/>
          <w:sz w:val="22"/>
        </w:rPr>
        <w:t xml:space="preserve"> la moralidad, la imparcialidad, la eficacia y la transparencia</w:t>
      </w:r>
      <w:r w:rsidRPr="00422DDB">
        <w:rPr>
          <w:rStyle w:val="Refdenotaalpie"/>
          <w:rFonts w:ascii="Arial" w:hAnsi="Arial" w:cs="Arial"/>
          <w:sz w:val="22"/>
        </w:rPr>
        <w:footnoteReference w:id="5"/>
      </w:r>
      <w:r w:rsidRPr="00422DDB">
        <w:rPr>
          <w:rFonts w:ascii="Arial" w:hAnsi="Arial" w:cs="Arial"/>
          <w:sz w:val="22"/>
        </w:rPr>
        <w:t xml:space="preserve">. </w:t>
      </w:r>
    </w:p>
    <w:p w14:paraId="3EB0180C" w14:textId="77777777" w:rsidR="003D53A2" w:rsidRPr="00422DDB" w:rsidRDefault="003D53A2" w:rsidP="003D53A2">
      <w:pPr>
        <w:spacing w:before="120" w:after="120" w:line="276" w:lineRule="auto"/>
        <w:ind w:firstLine="708"/>
        <w:jc w:val="both"/>
        <w:rPr>
          <w:rFonts w:ascii="Arial" w:hAnsi="Arial" w:cs="Arial"/>
          <w:sz w:val="22"/>
        </w:rPr>
      </w:pPr>
      <w:r w:rsidRPr="00422DDB">
        <w:rPr>
          <w:rFonts w:ascii="Arial" w:hAnsi="Arial" w:cs="Arial"/>
          <w:sz w:val="22"/>
        </w:rPr>
        <w:lastRenderedPageBreak/>
        <w:t>A manera de ejemplo, en materia contractual, los literales c), d) y j) del numeral 1 del artículo 8 de la Ley 80 de 1993</w:t>
      </w:r>
      <w:r w:rsidRPr="00422DDB">
        <w:rPr>
          <w:rFonts w:ascii="Arial" w:hAnsi="Arial" w:cs="Arial"/>
          <w:sz w:val="22"/>
          <w:vertAlign w:val="superscript"/>
        </w:rPr>
        <w:footnoteReference w:id="6"/>
      </w:r>
      <w:r w:rsidRPr="00422DDB">
        <w:rPr>
          <w:rFonts w:ascii="Arial" w:hAnsi="Arial" w:cs="Arial"/>
          <w:sz w:val="22"/>
        </w:rPr>
        <w:t xml:space="preserve"> establecen inhabilidades-sanción, porque la prohibición para </w:t>
      </w:r>
      <w:r w:rsidRPr="00422DDB">
        <w:rPr>
          <w:rFonts w:ascii="Arial" w:hAnsi="Arial" w:cs="Arial"/>
          <w:sz w:val="22"/>
        </w:rPr>
        <w:lastRenderedPageBreak/>
        <w:t>contratar con el Estado en esos eventos es una consecuencia de una declaratoria de responsabilidad que surge luego de un proceso sancionatorio –administrativo, disciplinario o penal–; mientras que las inhabilidades de los literales f), g) y h) del literal 1 de la norma citada establecen inhabilidades</w:t>
      </w:r>
      <w:r>
        <w:rPr>
          <w:rFonts w:ascii="Arial" w:hAnsi="Arial" w:cs="Arial"/>
          <w:sz w:val="22"/>
        </w:rPr>
        <w:t>–</w:t>
      </w:r>
      <w:r w:rsidRPr="00422DDB">
        <w:rPr>
          <w:rFonts w:ascii="Arial" w:hAnsi="Arial" w:cs="Arial"/>
          <w:sz w:val="22"/>
        </w:rPr>
        <w:t xml:space="preserve">requisito, pues no se configuran por la comisión previa de una falta o un delito que dio lugar a una declaratoria por parte de la Administración o el juez, sino de aspectos propios de la persona, derivados, por ejemplo, del parentesco o la afinidad o de la condición de servidor público. </w:t>
      </w:r>
    </w:p>
    <w:p w14:paraId="04975091" w14:textId="77777777" w:rsidR="003D53A2" w:rsidRPr="00422DDB" w:rsidRDefault="003D53A2" w:rsidP="003D53A2">
      <w:pPr>
        <w:spacing w:before="120" w:line="276" w:lineRule="auto"/>
        <w:ind w:firstLine="709"/>
        <w:jc w:val="both"/>
        <w:rPr>
          <w:rFonts w:ascii="Arial" w:hAnsi="Arial" w:cs="Arial"/>
          <w:sz w:val="22"/>
        </w:rPr>
      </w:pPr>
      <w:bookmarkStart w:id="2" w:name="_Hlk40976328"/>
      <w:r w:rsidRPr="00422DDB">
        <w:rPr>
          <w:rFonts w:ascii="Arial" w:hAnsi="Arial" w:cs="Arial"/>
          <w:sz w:val="22"/>
        </w:rPr>
        <w:t xml:space="preserve">En ambos eventos, la inhabilidad tiene como fuente una situación o un hecho propio del proponente –una conducta o una condición– </w:t>
      </w:r>
      <w:r>
        <w:rPr>
          <w:rFonts w:ascii="Arial" w:hAnsi="Arial" w:cs="Arial"/>
          <w:sz w:val="22"/>
        </w:rPr>
        <w:t>ajena a la</w:t>
      </w:r>
      <w:r w:rsidRPr="00422DDB">
        <w:rPr>
          <w:rFonts w:ascii="Arial" w:hAnsi="Arial" w:cs="Arial"/>
          <w:sz w:val="22"/>
        </w:rPr>
        <w:t xml:space="preserve"> oferta. La inhabilidad surge, entre otros, por su grado de parentesco o afinidad, por su condición de servidor público o </w:t>
      </w:r>
      <w:r>
        <w:rPr>
          <w:rFonts w:ascii="Arial" w:hAnsi="Arial" w:cs="Arial"/>
          <w:sz w:val="22"/>
        </w:rPr>
        <w:t>por</w:t>
      </w:r>
      <w:r w:rsidRPr="00422DDB">
        <w:rPr>
          <w:rFonts w:ascii="Arial" w:hAnsi="Arial" w:cs="Arial"/>
          <w:sz w:val="22"/>
        </w:rPr>
        <w:t xml:space="preserve"> una declaratoria de responsabilidad penal, disciplinaria o sancionatoria contractual</w:t>
      </w:r>
      <w:r>
        <w:rPr>
          <w:rFonts w:ascii="Arial" w:hAnsi="Arial" w:cs="Arial"/>
          <w:sz w:val="22"/>
        </w:rPr>
        <w:t xml:space="preserve"> sobre él</w:t>
      </w:r>
      <w:r w:rsidRPr="00422DDB">
        <w:rPr>
          <w:rFonts w:ascii="Arial" w:hAnsi="Arial" w:cs="Arial"/>
          <w:sz w:val="22"/>
        </w:rPr>
        <w:t xml:space="preserve">. </w:t>
      </w:r>
    </w:p>
    <w:bookmarkEnd w:id="2"/>
    <w:p w14:paraId="3BFA73BD" w14:textId="77777777" w:rsidR="003D53A2" w:rsidRPr="00422DDB" w:rsidRDefault="003D53A2" w:rsidP="003D53A2">
      <w:pPr>
        <w:spacing w:line="276" w:lineRule="auto"/>
        <w:jc w:val="both"/>
        <w:rPr>
          <w:rFonts w:ascii="Arial" w:hAnsi="Arial" w:cs="Arial"/>
          <w:sz w:val="22"/>
        </w:rPr>
      </w:pPr>
    </w:p>
    <w:p w14:paraId="1236E1D2" w14:textId="2E3DEB82" w:rsidR="003D53A2" w:rsidRPr="00422DDB" w:rsidRDefault="003D53A2" w:rsidP="003D53A2">
      <w:pPr>
        <w:tabs>
          <w:tab w:val="left" w:pos="426"/>
        </w:tabs>
        <w:spacing w:line="276" w:lineRule="auto"/>
        <w:jc w:val="both"/>
        <w:rPr>
          <w:rFonts w:ascii="Arial" w:eastAsia="Calibri" w:hAnsi="Arial" w:cs="Arial"/>
          <w:b/>
          <w:sz w:val="22"/>
          <w:lang w:val="es-ES_tradnl"/>
        </w:rPr>
      </w:pPr>
      <w:r w:rsidRPr="00422DDB">
        <w:rPr>
          <w:rFonts w:ascii="Arial" w:eastAsia="Calibri" w:hAnsi="Arial" w:cs="Arial"/>
          <w:b/>
          <w:sz w:val="22"/>
          <w:lang w:val="es-ES_tradnl"/>
        </w:rPr>
        <w:t xml:space="preserve">2.2. Régimen de inhabilidades e incompatibilidades en la contratación estatal: un límite a la capacidad contractual. La interpretación restrictiva como criterio hermenéutico de los enunciados normativos </w:t>
      </w:r>
    </w:p>
    <w:p w14:paraId="5E81E5B1" w14:textId="77777777" w:rsidR="003D53A2" w:rsidRPr="00422DDB" w:rsidRDefault="003D53A2" w:rsidP="00EC16CA">
      <w:pPr>
        <w:spacing w:line="276" w:lineRule="auto"/>
        <w:jc w:val="both"/>
        <w:rPr>
          <w:rFonts w:ascii="Arial" w:eastAsia="Calibri" w:hAnsi="Arial" w:cs="Arial"/>
          <w:sz w:val="22"/>
          <w:lang w:val="es-ES_tradnl"/>
        </w:rPr>
      </w:pPr>
    </w:p>
    <w:p w14:paraId="2EE30F1E" w14:textId="00E16601" w:rsidR="003D53A2" w:rsidRPr="00422DDB" w:rsidRDefault="003D53A2" w:rsidP="00EC16CA">
      <w:pPr>
        <w:spacing w:line="276" w:lineRule="auto"/>
        <w:jc w:val="both"/>
        <w:rPr>
          <w:rFonts w:ascii="Arial" w:eastAsia="Calibri" w:hAnsi="Arial" w:cs="Arial"/>
          <w:sz w:val="22"/>
          <w:lang w:val="es-ES_tradnl"/>
        </w:rPr>
      </w:pPr>
      <w:r w:rsidRPr="00422DDB">
        <w:rPr>
          <w:rFonts w:ascii="Arial" w:eastAsia="Calibri" w:hAnsi="Arial" w:cs="Arial"/>
          <w:sz w:val="22"/>
          <w:lang w:val="es-ES_tradnl"/>
        </w:rPr>
        <w:t xml:space="preserve">El régimen de inhabilidades e incompatibilidades en la contratación pública responde a la tendencia, vigente desde hace varias décadas en nuestro país, pero que se ha reforzado en </w:t>
      </w:r>
      <w:r w:rsidRPr="00422DDB">
        <w:rPr>
          <w:rFonts w:ascii="Arial" w:eastAsia="Calibri" w:hAnsi="Arial" w:cs="Arial"/>
          <w:sz w:val="22"/>
          <w:lang w:val="es-ES_tradnl"/>
        </w:rPr>
        <w:lastRenderedPageBreak/>
        <w:t>los últimos años, de asegurar que la actividad de provisión de los bienes y servicios por parte de las entidades estatales se efectúe cumpliendo con los principios de la función administrativa y de la gestión fiscal, especialmente con probidad y transparencia. Si bien no todas las causales de inhabilidad y de incompatibilidad son consecuencia de una medida de reproche ni de una sanción previa, como ya se explicó, es indiscutible que en los años más recientes los lamentables hechos de corrupción han generado, como respuesta del legislador, un incremento de las restricciones a la capacidad contractual, dirigidas a prevenir este tipo de situaciones o a sancionar tales conductas.</w:t>
      </w:r>
    </w:p>
    <w:p w14:paraId="57C7B495" w14:textId="0AE1CE72" w:rsidR="003D53A2" w:rsidRPr="00422DDB" w:rsidRDefault="003D53A2" w:rsidP="003D53A2">
      <w:pPr>
        <w:spacing w:before="120" w:after="120" w:line="276" w:lineRule="auto"/>
        <w:ind w:firstLine="709"/>
        <w:jc w:val="both"/>
        <w:rPr>
          <w:rFonts w:ascii="Arial" w:eastAsia="Calibri" w:hAnsi="Arial" w:cs="Arial"/>
          <w:sz w:val="22"/>
          <w:lang w:val="es-ES_tradnl"/>
        </w:rPr>
      </w:pPr>
      <w:r w:rsidRPr="00422DDB">
        <w:rPr>
          <w:rFonts w:ascii="Arial" w:eastAsia="Calibri" w:hAnsi="Arial" w:cs="Arial"/>
          <w:sz w:val="22"/>
          <w:lang w:val="es-ES_tradnl"/>
        </w:rPr>
        <w:t xml:space="preserve">Ahora bien, las inhabilidades e incompatibilidades al ser restricciones o límites especiales a la capacidad para presentar ofertas y celebrar contratos estatales, solo pueden tipificarse en la ley –o sea, deben satisfacer el principio de legalidad– y su interpretación debe ser </w:t>
      </w:r>
      <w:r w:rsidRPr="00422DDB">
        <w:rPr>
          <w:rFonts w:ascii="Arial" w:eastAsia="Calibri" w:hAnsi="Arial" w:cs="Arial"/>
          <w:i/>
          <w:iCs/>
          <w:sz w:val="22"/>
          <w:lang w:val="es-ES_tradnl"/>
        </w:rPr>
        <w:t>restrictiva</w:t>
      </w:r>
      <w:r w:rsidRPr="00422DDB">
        <w:rPr>
          <w:rFonts w:ascii="Arial" w:eastAsia="Calibri" w:hAnsi="Arial" w:cs="Arial"/>
          <w:sz w:val="22"/>
          <w:vertAlign w:val="superscript"/>
          <w:lang w:val="es-ES_tradnl"/>
        </w:rPr>
        <w:footnoteReference w:id="7"/>
      </w:r>
      <w:r w:rsidRPr="00422DDB">
        <w:rPr>
          <w:rFonts w:ascii="Arial" w:eastAsia="Calibri" w:hAnsi="Arial" w:cs="Arial"/>
          <w:sz w:val="22"/>
          <w:lang w:val="es-ES_tradnl"/>
        </w:rPr>
        <w:t xml:space="preserve">, pues si se admitiera una interpretación amplia, extensiva o finalista de las mismas, tales enunciados normativos </w:t>
      </w:r>
      <w:r>
        <w:rPr>
          <w:rFonts w:ascii="Arial" w:eastAsia="Calibri" w:hAnsi="Arial" w:cs="Arial"/>
          <w:sz w:val="22"/>
          <w:lang w:val="es-ES_tradnl"/>
        </w:rPr>
        <w:t>contemplarían</w:t>
      </w:r>
      <w:r w:rsidRPr="00422DDB">
        <w:rPr>
          <w:rFonts w:ascii="Arial" w:eastAsia="Calibri" w:hAnsi="Arial" w:cs="Arial"/>
          <w:sz w:val="22"/>
          <w:lang w:val="es-ES_tradnl"/>
        </w:rPr>
        <w:t xml:space="preserve"> múltiples supuestos indeterminados, según el parecer o el sentido común de los operadores jurídicos, poniendo en riesgo principios como la igualdad, el debido proceso, la libre concurrencia y el ejercicio de la profesión u oficio. Tal ha sido la postura de la jurisprudencia, tanto de la Corte Constitucional como de la Sección Tercera del Consejo de Estado. </w:t>
      </w:r>
    </w:p>
    <w:p w14:paraId="2367AB4C" w14:textId="77777777" w:rsidR="003D53A2" w:rsidRPr="00422DDB" w:rsidRDefault="003D53A2" w:rsidP="003D53A2">
      <w:pPr>
        <w:spacing w:line="276" w:lineRule="auto"/>
        <w:ind w:firstLine="709"/>
        <w:jc w:val="both"/>
        <w:rPr>
          <w:rFonts w:ascii="Arial" w:eastAsia="Calibri" w:hAnsi="Arial" w:cs="Arial"/>
          <w:sz w:val="22"/>
          <w:lang w:val="es-ES_tradnl"/>
        </w:rPr>
      </w:pPr>
      <w:r w:rsidRPr="00422DDB">
        <w:rPr>
          <w:rFonts w:ascii="Arial" w:eastAsia="Calibri" w:hAnsi="Arial" w:cs="Arial"/>
          <w:sz w:val="22"/>
          <w:lang w:val="es-ES_tradnl"/>
        </w:rPr>
        <w:t>En efecto, el máximo tribunal constitucional ha indicado que, al tratar de precisar el sentido de este tipo de normas, «[…] el intérprete de las disposiciones legislativas en la materia ha de ceñirse en la mayor medida posible al tenor literal y gramatical de los enunciados normativos, sin que pueda acudir prima facie a criterios interpretativos tales como la analogía, la interpretación extensiva para ampliar el alcance de las causales legalmente fijadas»</w:t>
      </w:r>
      <w:r w:rsidRPr="00422DDB">
        <w:rPr>
          <w:rFonts w:ascii="Arial" w:eastAsia="Calibri" w:hAnsi="Arial" w:cs="Arial"/>
          <w:sz w:val="22"/>
          <w:vertAlign w:val="superscript"/>
          <w:lang w:val="es-ES_tradnl"/>
        </w:rPr>
        <w:footnoteReference w:id="8"/>
      </w:r>
      <w:r w:rsidRPr="00422DDB">
        <w:rPr>
          <w:rFonts w:ascii="Arial" w:eastAsia="Calibri" w:hAnsi="Arial" w:cs="Arial"/>
          <w:sz w:val="22"/>
          <w:lang w:val="es-ES_tradnl"/>
        </w:rPr>
        <w:t>. Por su parte, el Consejo de Estado ha acogido también este criterio, considerando –como expresa la Sala de Consulta y Servicio Civil–, que «La interpretación restrictiva de las normas que establecen inhabilidades constituye una aplicación del principio del Estado de Derecho previsto en el artículo 6º de la Constitución, según el cual “Los particulares sólo son responsables ante las autoridades por infringir la Constitución y las leyes” lo que se traduce en que pueden hacer todo aquello que no les esté expresamente prohibido»</w:t>
      </w:r>
      <w:r w:rsidRPr="00422DDB">
        <w:rPr>
          <w:rFonts w:ascii="Arial" w:eastAsia="Calibri" w:hAnsi="Arial" w:cs="Arial"/>
          <w:sz w:val="22"/>
          <w:vertAlign w:val="superscript"/>
          <w:lang w:val="es-ES_tradnl"/>
        </w:rPr>
        <w:footnoteReference w:id="9"/>
      </w:r>
      <w:r w:rsidRPr="00422DDB">
        <w:rPr>
          <w:rFonts w:ascii="Arial" w:eastAsia="Calibri" w:hAnsi="Arial" w:cs="Arial"/>
          <w:sz w:val="22"/>
          <w:lang w:val="es-ES_tradnl"/>
        </w:rPr>
        <w:t>. En tal sentido, la Sección Tercera ha señalado que:</w:t>
      </w:r>
    </w:p>
    <w:p w14:paraId="5B233D0D" w14:textId="77777777" w:rsidR="003D53A2" w:rsidRPr="00422DDB" w:rsidRDefault="003D53A2" w:rsidP="003D53A2">
      <w:pPr>
        <w:spacing w:line="276" w:lineRule="auto"/>
        <w:ind w:firstLine="709"/>
        <w:jc w:val="both"/>
        <w:rPr>
          <w:rFonts w:ascii="Arial" w:eastAsia="Calibri" w:hAnsi="Arial" w:cs="Arial"/>
          <w:sz w:val="22"/>
          <w:lang w:val="es-ES_tradnl"/>
        </w:rPr>
      </w:pPr>
    </w:p>
    <w:p w14:paraId="71EA0FA2" w14:textId="77777777" w:rsidR="003D53A2" w:rsidRDefault="003D53A2" w:rsidP="003D53A2">
      <w:pPr>
        <w:ind w:left="709" w:right="709"/>
        <w:jc w:val="both"/>
        <w:rPr>
          <w:rFonts w:ascii="Arial" w:hAnsi="Arial" w:cs="Arial"/>
          <w:sz w:val="21"/>
          <w:szCs w:val="21"/>
          <w:lang w:val="es-ES_tradnl"/>
        </w:rPr>
      </w:pPr>
      <w:r w:rsidRPr="00422DDB">
        <w:rPr>
          <w:rFonts w:ascii="Arial" w:hAnsi="Arial" w:cs="Arial"/>
          <w:sz w:val="21"/>
          <w:szCs w:val="21"/>
          <w:lang w:val="es-ES_tradnl"/>
        </w:rPr>
        <w:t xml:space="preserve">[…] de conformidad con la jurisprudencia uniforme y reiterada de esta Corporación, la aplicación de las normas que contemplan inhabilidades e incompatibilidades, como en general de todas aquellas que comportan prohibiciones o limitaciones, deben responder a una interpretación restrictiva que </w:t>
      </w:r>
      <w:r w:rsidRPr="00422DDB">
        <w:rPr>
          <w:rFonts w:ascii="Arial" w:hAnsi="Arial" w:cs="Arial"/>
          <w:sz w:val="21"/>
          <w:szCs w:val="21"/>
          <w:lang w:val="es-ES_tradnl"/>
        </w:rPr>
        <w:lastRenderedPageBreak/>
        <w:t>no permite su extensión, por vía de la figura de la analogía, a supuestos no contemplados por el ordenamiento</w:t>
      </w:r>
      <w:r w:rsidRPr="00422DDB">
        <w:rPr>
          <w:rFonts w:ascii="Arial" w:hAnsi="Arial" w:cs="Arial"/>
          <w:sz w:val="21"/>
          <w:szCs w:val="21"/>
          <w:vertAlign w:val="superscript"/>
          <w:lang w:val="es-ES_tradnl"/>
        </w:rPr>
        <w:footnoteReference w:id="10"/>
      </w:r>
      <w:r w:rsidRPr="00422DDB">
        <w:rPr>
          <w:rFonts w:ascii="Arial" w:hAnsi="Arial" w:cs="Arial"/>
          <w:sz w:val="21"/>
          <w:szCs w:val="21"/>
          <w:lang w:val="es-ES_tradnl"/>
        </w:rPr>
        <w:t>.</w:t>
      </w:r>
    </w:p>
    <w:p w14:paraId="3B66B9FB" w14:textId="77777777" w:rsidR="003D53A2" w:rsidRPr="00422DDB" w:rsidRDefault="003D53A2" w:rsidP="003D53A2">
      <w:pPr>
        <w:ind w:left="709" w:right="709"/>
        <w:jc w:val="both"/>
        <w:rPr>
          <w:rFonts w:ascii="Arial" w:eastAsia="Calibri" w:hAnsi="Arial" w:cs="Arial"/>
          <w:sz w:val="22"/>
          <w:lang w:val="es-ES_tradnl"/>
        </w:rPr>
      </w:pPr>
    </w:p>
    <w:p w14:paraId="6EF99D09" w14:textId="77777777" w:rsidR="003D53A2" w:rsidRDefault="003D53A2" w:rsidP="003D53A2">
      <w:pPr>
        <w:ind w:firstLine="709"/>
        <w:jc w:val="both"/>
        <w:rPr>
          <w:rFonts w:ascii="Arial" w:eastAsia="Calibri" w:hAnsi="Arial" w:cs="Arial"/>
          <w:sz w:val="22"/>
          <w:lang w:val="es-ES_tradnl"/>
        </w:rPr>
      </w:pPr>
      <w:r w:rsidRPr="00422DDB">
        <w:rPr>
          <w:rFonts w:ascii="Arial" w:eastAsia="Calibri" w:hAnsi="Arial" w:cs="Arial"/>
          <w:sz w:val="22"/>
          <w:lang w:val="es-ES_tradnl"/>
        </w:rPr>
        <w:t>También ha dicho que:</w:t>
      </w:r>
    </w:p>
    <w:p w14:paraId="790A4DB7" w14:textId="77777777" w:rsidR="003D53A2" w:rsidRPr="00422DDB" w:rsidRDefault="003D53A2" w:rsidP="003D53A2">
      <w:pPr>
        <w:ind w:firstLine="709"/>
        <w:jc w:val="both"/>
        <w:rPr>
          <w:rFonts w:ascii="Arial" w:eastAsia="Calibri" w:hAnsi="Arial" w:cs="Arial"/>
          <w:sz w:val="22"/>
          <w:lang w:val="es-ES_tradnl"/>
        </w:rPr>
      </w:pPr>
    </w:p>
    <w:p w14:paraId="1B54519B" w14:textId="77777777" w:rsidR="003D53A2" w:rsidRPr="00422DDB" w:rsidRDefault="003D53A2" w:rsidP="003D53A2">
      <w:pPr>
        <w:ind w:left="709" w:right="709"/>
        <w:jc w:val="both"/>
        <w:rPr>
          <w:rFonts w:ascii="Arial" w:hAnsi="Arial" w:cs="Arial"/>
          <w:sz w:val="21"/>
          <w:szCs w:val="21"/>
          <w:lang w:val="es-ES_tradnl"/>
        </w:rPr>
      </w:pPr>
      <w:r w:rsidRPr="00422DDB">
        <w:rPr>
          <w:rFonts w:ascii="Arial" w:hAnsi="Arial" w:cs="Arial"/>
          <w:sz w:val="21"/>
          <w:szCs w:val="21"/>
          <w:lang w:val="es-ES_tradnl"/>
        </w:rPr>
        <w:t xml:space="preserve">[…] la aplicación de estos preceptos exige una interpretación restrictiva, dado que según el principio hermenéutico </w:t>
      </w:r>
      <w:r w:rsidRPr="00422DDB">
        <w:rPr>
          <w:rFonts w:ascii="Arial" w:hAnsi="Arial" w:cs="Arial"/>
          <w:i/>
          <w:iCs/>
          <w:sz w:val="21"/>
          <w:szCs w:val="21"/>
          <w:lang w:val="es-ES_tradnl"/>
        </w:rPr>
        <w:t xml:space="preserve">pro </w:t>
      </w:r>
      <w:proofErr w:type="spellStart"/>
      <w:r w:rsidRPr="00422DDB">
        <w:rPr>
          <w:rFonts w:ascii="Arial" w:hAnsi="Arial" w:cs="Arial"/>
          <w:i/>
          <w:iCs/>
          <w:sz w:val="21"/>
          <w:szCs w:val="21"/>
          <w:lang w:val="es-ES_tradnl"/>
        </w:rPr>
        <w:t>libertate</w:t>
      </w:r>
      <w:proofErr w:type="spellEnd"/>
      <w:r w:rsidRPr="00422DDB">
        <w:rPr>
          <w:rFonts w:ascii="Arial" w:hAnsi="Arial" w:cs="Arial"/>
          <w:sz w:val="21"/>
          <w:szCs w:val="21"/>
          <w:lang w:val="es-ES_tradnl"/>
        </w:rPr>
        <w:t>, entre varias interpretaciones posibles de una norma que regula una inhabilidad, debe preferirse aquella que menos limita el derecho de las personas; en otros términos, se encuentra prohibida constitucionalmente la interpretación extensiva de las causales de inhabilidad, toda vez que las palabras de la ley son la frontera que no se puede traspasar en el ejercicio hermenéutico de las mismas, pues de hacerlo se vulnerarían los derechos fundamentales al debido proceso (art. 29 CN) y a la igualdad (art. 13 Ibid.); […]</w:t>
      </w:r>
      <w:r w:rsidRPr="00422DDB">
        <w:rPr>
          <w:rFonts w:ascii="Arial" w:hAnsi="Arial" w:cs="Arial"/>
          <w:sz w:val="21"/>
          <w:szCs w:val="21"/>
          <w:vertAlign w:val="superscript"/>
          <w:lang w:val="es-ES_tradnl"/>
        </w:rPr>
        <w:footnoteReference w:id="11"/>
      </w:r>
      <w:r w:rsidRPr="00422DDB">
        <w:rPr>
          <w:rFonts w:ascii="Arial" w:hAnsi="Arial" w:cs="Arial"/>
          <w:sz w:val="21"/>
          <w:szCs w:val="21"/>
          <w:lang w:val="es-ES_tradnl"/>
        </w:rPr>
        <w:t>.</w:t>
      </w:r>
    </w:p>
    <w:p w14:paraId="0CCB5EFC" w14:textId="77777777" w:rsidR="003D53A2" w:rsidRPr="00422DDB" w:rsidRDefault="003D53A2" w:rsidP="003D53A2">
      <w:pPr>
        <w:ind w:left="709" w:right="709"/>
        <w:jc w:val="both"/>
        <w:rPr>
          <w:rFonts w:ascii="Arial" w:eastAsia="Calibri" w:hAnsi="Arial" w:cs="Arial"/>
          <w:sz w:val="22"/>
          <w:lang w:val="es-ES_tradnl"/>
        </w:rPr>
      </w:pPr>
    </w:p>
    <w:p w14:paraId="4C38EB51" w14:textId="70409B10" w:rsidR="00B75B2B" w:rsidRDefault="003D53A2" w:rsidP="003D53A2">
      <w:pPr>
        <w:spacing w:line="276" w:lineRule="auto"/>
        <w:jc w:val="both"/>
        <w:rPr>
          <w:rFonts w:ascii="Arial" w:eastAsia="Calibri" w:hAnsi="Arial" w:cs="Arial"/>
          <w:sz w:val="22"/>
          <w:lang w:val="es-ES_tradnl"/>
        </w:rPr>
      </w:pPr>
      <w:r w:rsidRPr="00422DDB">
        <w:rPr>
          <w:rFonts w:ascii="Arial" w:eastAsia="Calibri" w:hAnsi="Arial" w:cs="Arial"/>
          <w:sz w:val="22"/>
          <w:lang w:val="es-ES_tradnl"/>
        </w:rPr>
        <w:t xml:space="preserve">Como se aprecia, el principio </w:t>
      </w:r>
      <w:r w:rsidRPr="00422DDB">
        <w:rPr>
          <w:rFonts w:ascii="Arial" w:eastAsia="Calibri" w:hAnsi="Arial" w:cs="Arial"/>
          <w:i/>
          <w:iCs/>
          <w:sz w:val="22"/>
          <w:lang w:val="es-ES_tradnl"/>
        </w:rPr>
        <w:t xml:space="preserve">pro </w:t>
      </w:r>
      <w:proofErr w:type="spellStart"/>
      <w:r w:rsidRPr="00422DDB">
        <w:rPr>
          <w:rFonts w:ascii="Arial" w:eastAsia="Calibri" w:hAnsi="Arial" w:cs="Arial"/>
          <w:i/>
          <w:iCs/>
          <w:sz w:val="22"/>
          <w:lang w:val="es-ES_tradnl"/>
        </w:rPr>
        <w:t>libertate</w:t>
      </w:r>
      <w:proofErr w:type="spellEnd"/>
      <w:r w:rsidRPr="00422DDB">
        <w:rPr>
          <w:rFonts w:ascii="Arial" w:eastAsia="Calibri" w:hAnsi="Arial" w:cs="Arial"/>
          <w:sz w:val="22"/>
          <w:lang w:val="es-ES_tradnl"/>
        </w:rPr>
        <w:t xml:space="preserve"> dirig</w:t>
      </w:r>
      <w:r>
        <w:rPr>
          <w:rFonts w:ascii="Arial" w:eastAsia="Calibri" w:hAnsi="Arial" w:cs="Arial"/>
          <w:sz w:val="22"/>
          <w:lang w:val="es-ES_tradnl"/>
        </w:rPr>
        <w:t>e</w:t>
      </w:r>
      <w:r w:rsidRPr="00422DDB">
        <w:rPr>
          <w:rFonts w:ascii="Arial" w:eastAsia="Calibri" w:hAnsi="Arial" w:cs="Arial"/>
          <w:sz w:val="22"/>
          <w:lang w:val="es-ES_tradnl"/>
        </w:rPr>
        <w:t xml:space="preserve"> la interpretación de las disposiciones que consagran restricciones de derechos, como sucede con las causales de inhabilidad e incompatibilidad en la contratación estatal.</w:t>
      </w:r>
    </w:p>
    <w:p w14:paraId="7989AB92" w14:textId="3187FC7F" w:rsidR="00680487" w:rsidRDefault="00680487" w:rsidP="003D53A2">
      <w:pPr>
        <w:spacing w:line="276" w:lineRule="auto"/>
        <w:jc w:val="both"/>
        <w:rPr>
          <w:rFonts w:ascii="Arial" w:eastAsia="Calibri" w:hAnsi="Arial" w:cs="Arial"/>
          <w:sz w:val="22"/>
          <w:lang w:val="es-ES_tradnl"/>
        </w:rPr>
      </w:pPr>
    </w:p>
    <w:p w14:paraId="7722CF9C" w14:textId="07A5FC57" w:rsidR="00680487" w:rsidRDefault="00680487" w:rsidP="00E53545">
      <w:pPr>
        <w:spacing w:line="276" w:lineRule="auto"/>
        <w:jc w:val="both"/>
        <w:rPr>
          <w:rFonts w:ascii="Arial" w:eastAsia="Calibri" w:hAnsi="Arial" w:cs="Arial"/>
          <w:b/>
          <w:bCs/>
          <w:sz w:val="22"/>
          <w:lang w:val="es-ES_tradnl"/>
        </w:rPr>
      </w:pPr>
      <w:r>
        <w:rPr>
          <w:rFonts w:ascii="Arial" w:eastAsia="Calibri" w:hAnsi="Arial" w:cs="Arial"/>
          <w:b/>
          <w:bCs/>
          <w:sz w:val="22"/>
          <w:lang w:val="es-ES_tradnl"/>
        </w:rPr>
        <w:t xml:space="preserve">2.3. </w:t>
      </w:r>
      <w:r w:rsidR="006B4288">
        <w:rPr>
          <w:rFonts w:ascii="Arial" w:eastAsia="Calibri" w:hAnsi="Arial" w:cs="Arial"/>
          <w:b/>
          <w:bCs/>
          <w:sz w:val="22"/>
          <w:lang w:val="es-ES_tradnl"/>
        </w:rPr>
        <w:t>La inhabilidad del literal h del numeral 1 del artículo 8 de 1993 y su interpretación restrictiva</w:t>
      </w:r>
    </w:p>
    <w:p w14:paraId="24B3C2DB" w14:textId="77777777" w:rsidR="00BE244C" w:rsidRDefault="00BE244C" w:rsidP="005F01C8">
      <w:pPr>
        <w:spacing w:line="276" w:lineRule="auto"/>
        <w:jc w:val="both"/>
        <w:rPr>
          <w:rFonts w:ascii="Arial" w:eastAsia="Calibri" w:hAnsi="Arial" w:cs="Arial"/>
          <w:sz w:val="22"/>
          <w:lang w:val="es-ES_tradnl"/>
        </w:rPr>
      </w:pPr>
    </w:p>
    <w:p w14:paraId="7E261FD6" w14:textId="7204295D" w:rsidR="006B4288" w:rsidRDefault="00680487" w:rsidP="005F01C8">
      <w:pPr>
        <w:spacing w:after="120" w:line="276" w:lineRule="auto"/>
        <w:jc w:val="both"/>
        <w:rPr>
          <w:rFonts w:ascii="Arial" w:eastAsia="Calibri" w:hAnsi="Arial" w:cs="Arial"/>
          <w:sz w:val="22"/>
          <w:lang w:val="es-ES_tradnl"/>
        </w:rPr>
      </w:pPr>
      <w:r>
        <w:rPr>
          <w:rFonts w:ascii="Arial" w:eastAsia="Calibri" w:hAnsi="Arial" w:cs="Arial"/>
          <w:sz w:val="22"/>
          <w:lang w:val="es-ES_tradnl"/>
        </w:rPr>
        <w:t xml:space="preserve">El literal </w:t>
      </w:r>
      <w:r w:rsidR="006B4288">
        <w:rPr>
          <w:rFonts w:ascii="Arial" w:eastAsia="Calibri" w:hAnsi="Arial" w:cs="Arial"/>
          <w:sz w:val="22"/>
          <w:lang w:val="es-ES_tradnl"/>
        </w:rPr>
        <w:t>h</w:t>
      </w:r>
      <w:r>
        <w:rPr>
          <w:rFonts w:ascii="Arial" w:eastAsia="Calibri" w:hAnsi="Arial" w:cs="Arial"/>
          <w:sz w:val="22"/>
          <w:lang w:val="es-ES_tradnl"/>
        </w:rPr>
        <w:t xml:space="preserve">) del numeral 1 del artículo 8 de la Ley 80 de 1993 </w:t>
      </w:r>
      <w:r w:rsidR="006B4288">
        <w:rPr>
          <w:rFonts w:ascii="Arial" w:eastAsia="Calibri" w:hAnsi="Arial" w:cs="Arial"/>
          <w:sz w:val="22"/>
          <w:lang w:val="es-ES_tradnl"/>
        </w:rPr>
        <w:t xml:space="preserve">establece </w:t>
      </w:r>
      <w:r w:rsidR="00582C39">
        <w:rPr>
          <w:rFonts w:ascii="Arial" w:eastAsia="Calibri" w:hAnsi="Arial" w:cs="Arial"/>
          <w:sz w:val="22"/>
          <w:lang w:val="es-ES_tradnl"/>
        </w:rPr>
        <w:t>una</w:t>
      </w:r>
      <w:r w:rsidR="006B4288">
        <w:rPr>
          <w:rFonts w:ascii="Arial" w:eastAsia="Calibri" w:hAnsi="Arial" w:cs="Arial"/>
          <w:sz w:val="22"/>
          <w:lang w:val="es-ES_tradnl"/>
        </w:rPr>
        <w:t xml:space="preserve"> inhabilidad para participar</w:t>
      </w:r>
      <w:r>
        <w:rPr>
          <w:rFonts w:ascii="Arial" w:eastAsia="Calibri" w:hAnsi="Arial" w:cs="Arial"/>
          <w:sz w:val="22"/>
          <w:lang w:val="es-ES_tradnl"/>
        </w:rPr>
        <w:t xml:space="preserve"> en procesos de contratación o suscribir contratos con entidades estatales</w:t>
      </w:r>
      <w:r w:rsidR="006B4288">
        <w:rPr>
          <w:rFonts w:ascii="Arial" w:eastAsia="Calibri" w:hAnsi="Arial" w:cs="Arial"/>
          <w:sz w:val="22"/>
          <w:lang w:val="es-ES_tradnl"/>
        </w:rPr>
        <w:t xml:space="preserve"> para las</w:t>
      </w:r>
      <w:r>
        <w:rPr>
          <w:rFonts w:ascii="Arial" w:eastAsia="Calibri" w:hAnsi="Arial" w:cs="Arial"/>
          <w:sz w:val="22"/>
          <w:lang w:val="es-ES_tradnl"/>
        </w:rPr>
        <w:t xml:space="preserve"> </w:t>
      </w:r>
      <w:r w:rsidR="006B4288">
        <w:rPr>
          <w:rFonts w:ascii="Arial" w:eastAsia="Calibri" w:hAnsi="Arial" w:cs="Arial"/>
          <w:sz w:val="22"/>
          <w:lang w:val="es-ES_tradnl"/>
        </w:rPr>
        <w:t>«</w:t>
      </w:r>
      <w:r w:rsidR="006B4288" w:rsidRPr="006B4288">
        <w:rPr>
          <w:rFonts w:ascii="Arial" w:eastAsia="Calibri" w:hAnsi="Arial" w:cs="Arial"/>
          <w:sz w:val="22"/>
          <w:lang w:val="es-ES_tradnl"/>
        </w:rPr>
        <w:t>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w:t>
      </w:r>
      <w:r w:rsidR="006B4288">
        <w:rPr>
          <w:rFonts w:ascii="Arial" w:eastAsia="Calibri" w:hAnsi="Arial" w:cs="Arial"/>
          <w:sz w:val="22"/>
          <w:lang w:val="es-ES_tradnl"/>
        </w:rPr>
        <w:t>».</w:t>
      </w:r>
    </w:p>
    <w:p w14:paraId="112BBE6D" w14:textId="21A9D00F" w:rsidR="00BD16E3" w:rsidRDefault="00BD16E3" w:rsidP="00664724">
      <w:pPr>
        <w:spacing w:line="276" w:lineRule="auto"/>
        <w:jc w:val="both"/>
        <w:rPr>
          <w:rFonts w:ascii="Arial" w:eastAsia="Calibri" w:hAnsi="Arial" w:cs="Arial"/>
          <w:sz w:val="22"/>
          <w:lang w:val="es-ES_tradnl"/>
        </w:rPr>
      </w:pPr>
      <w:r>
        <w:rPr>
          <w:rFonts w:ascii="Arial" w:eastAsia="Calibri" w:hAnsi="Arial" w:cs="Arial"/>
          <w:sz w:val="22"/>
          <w:lang w:val="es-ES_tradnl"/>
        </w:rPr>
        <w:tab/>
        <w:t xml:space="preserve">La Corte Constitucional analizó la constitucionalidad de esta disposición </w:t>
      </w:r>
      <w:r w:rsidR="00664724">
        <w:rPr>
          <w:rFonts w:ascii="Arial" w:eastAsia="Calibri" w:hAnsi="Arial" w:cs="Arial"/>
          <w:sz w:val="22"/>
          <w:lang w:val="es-ES_tradnl"/>
        </w:rPr>
        <w:t xml:space="preserve">y </w:t>
      </w:r>
      <w:r>
        <w:rPr>
          <w:rFonts w:ascii="Arial" w:eastAsia="Calibri" w:hAnsi="Arial" w:cs="Arial"/>
          <w:sz w:val="22"/>
          <w:lang w:val="es-ES_tradnl"/>
        </w:rPr>
        <w:t>tuvo la oportunidad de explicar su contenido</w:t>
      </w:r>
      <w:r w:rsidR="00664724">
        <w:rPr>
          <w:rFonts w:ascii="Arial" w:eastAsia="Calibri" w:hAnsi="Arial" w:cs="Arial"/>
          <w:sz w:val="22"/>
          <w:lang w:val="es-ES_tradnl"/>
        </w:rPr>
        <w:t>, así como</w:t>
      </w:r>
      <w:r>
        <w:rPr>
          <w:rFonts w:ascii="Arial" w:eastAsia="Calibri" w:hAnsi="Arial" w:cs="Arial"/>
          <w:sz w:val="22"/>
          <w:lang w:val="es-ES_tradnl"/>
        </w:rPr>
        <w:t xml:space="preserve"> el raciocinio del legislador en los siguientes términos:</w:t>
      </w:r>
    </w:p>
    <w:p w14:paraId="36C2F617" w14:textId="61E5B021" w:rsidR="00BD16E3" w:rsidRDefault="00BD16E3" w:rsidP="00E53545">
      <w:pPr>
        <w:jc w:val="both"/>
        <w:rPr>
          <w:rFonts w:ascii="Arial" w:eastAsia="Calibri" w:hAnsi="Arial" w:cs="Arial"/>
          <w:sz w:val="22"/>
          <w:lang w:val="es-ES_tradnl"/>
        </w:rPr>
      </w:pPr>
      <w:r>
        <w:rPr>
          <w:rFonts w:ascii="Arial" w:eastAsia="Calibri" w:hAnsi="Arial" w:cs="Arial"/>
          <w:sz w:val="22"/>
          <w:lang w:val="es-ES_tradnl"/>
        </w:rPr>
        <w:tab/>
      </w:r>
    </w:p>
    <w:p w14:paraId="54993859" w14:textId="1A7A4265" w:rsidR="00BD16E3" w:rsidRPr="00BD16E3" w:rsidRDefault="00BD16E3" w:rsidP="00E53545">
      <w:pPr>
        <w:ind w:left="708" w:right="758"/>
        <w:jc w:val="both"/>
        <w:rPr>
          <w:rFonts w:ascii="Arial" w:eastAsia="Calibri" w:hAnsi="Arial" w:cs="Arial"/>
          <w:sz w:val="21"/>
          <w:szCs w:val="21"/>
          <w:lang w:val="es-ES_tradnl"/>
        </w:rPr>
      </w:pPr>
      <w:r w:rsidRPr="00BD16E3">
        <w:rPr>
          <w:rFonts w:ascii="Arial" w:eastAsia="Calibri" w:hAnsi="Arial" w:cs="Arial"/>
          <w:sz w:val="21"/>
          <w:szCs w:val="21"/>
          <w:lang w:val="es-ES_tradnl"/>
        </w:rPr>
        <w:t xml:space="preserve">La presencia de familiares en una misma licitación o </w:t>
      </w:r>
      <w:proofErr w:type="gramStart"/>
      <w:r w:rsidRPr="00BD16E3">
        <w:rPr>
          <w:rFonts w:ascii="Arial" w:eastAsia="Calibri" w:hAnsi="Arial" w:cs="Arial"/>
          <w:sz w:val="21"/>
          <w:szCs w:val="21"/>
          <w:lang w:val="es-ES_tradnl"/>
        </w:rPr>
        <w:t>concurso,</w:t>
      </w:r>
      <w:proofErr w:type="gramEnd"/>
      <w:r w:rsidRPr="00BD16E3">
        <w:rPr>
          <w:rFonts w:ascii="Arial" w:eastAsia="Calibri" w:hAnsi="Arial" w:cs="Arial"/>
          <w:sz w:val="21"/>
          <w:szCs w:val="21"/>
          <w:lang w:val="es-ES_tradnl"/>
        </w:rPr>
        <w:t xml:space="preserve"> puede seriamente hacer fracasar sus objetivos básicos. </w:t>
      </w:r>
      <w:r w:rsidR="00664724">
        <w:rPr>
          <w:rFonts w:ascii="Arial" w:eastAsia="Calibri" w:hAnsi="Arial" w:cs="Arial"/>
          <w:sz w:val="21"/>
          <w:szCs w:val="21"/>
          <w:lang w:val="es-ES_tradnl"/>
        </w:rPr>
        <w:t xml:space="preserve">[…] </w:t>
      </w:r>
      <w:r w:rsidRPr="00BD16E3">
        <w:rPr>
          <w:rFonts w:ascii="Arial" w:eastAsia="Calibri" w:hAnsi="Arial" w:cs="Arial"/>
          <w:sz w:val="21"/>
          <w:szCs w:val="21"/>
          <w:lang w:val="es-ES_tradnl"/>
        </w:rPr>
        <w:t xml:space="preserve">La puja entre los licitantes requiere que el sigilo y la autonomía de cada uno de ellos se mantengan. La participación de parientes en una misma licitación o </w:t>
      </w:r>
      <w:proofErr w:type="gramStart"/>
      <w:r w:rsidRPr="00BD16E3">
        <w:rPr>
          <w:rFonts w:ascii="Arial" w:eastAsia="Calibri" w:hAnsi="Arial" w:cs="Arial"/>
          <w:sz w:val="21"/>
          <w:szCs w:val="21"/>
          <w:lang w:val="es-ES_tradnl"/>
        </w:rPr>
        <w:t>concurso,</w:t>
      </w:r>
      <w:proofErr w:type="gramEnd"/>
      <w:r w:rsidRPr="00BD16E3">
        <w:rPr>
          <w:rFonts w:ascii="Arial" w:eastAsia="Calibri" w:hAnsi="Arial" w:cs="Arial"/>
          <w:sz w:val="21"/>
          <w:szCs w:val="21"/>
          <w:lang w:val="es-ES_tradnl"/>
        </w:rPr>
        <w:t xml:space="preserve"> quebranta este supremo presupuesto negocial, en detrimento de la lealtad y sana emulación entre los oferentes, lo que a su turno genera desigualdad y propicia la inmoralidad, la cual bien puede desembocar en colusión y pérdida económica para el Estado que no </w:t>
      </w:r>
      <w:r w:rsidRPr="00BD16E3">
        <w:rPr>
          <w:rFonts w:ascii="Arial" w:eastAsia="Calibri" w:hAnsi="Arial" w:cs="Arial"/>
          <w:sz w:val="21"/>
          <w:szCs w:val="21"/>
          <w:lang w:val="es-ES_tradnl"/>
        </w:rPr>
        <w:lastRenderedPageBreak/>
        <w:t>sabrá si objetivamente está en un momento dado seleccionando la mejor propuesta</w:t>
      </w:r>
      <w:r w:rsidR="00664724">
        <w:rPr>
          <w:rFonts w:ascii="Arial" w:eastAsia="Calibri" w:hAnsi="Arial" w:cs="Arial"/>
          <w:sz w:val="21"/>
          <w:szCs w:val="21"/>
          <w:lang w:val="es-ES_tradnl"/>
        </w:rPr>
        <w:t>. […]</w:t>
      </w:r>
    </w:p>
    <w:p w14:paraId="40D82894" w14:textId="47C4CE81" w:rsidR="00BD16E3" w:rsidRPr="00664724" w:rsidRDefault="00664724" w:rsidP="00E53545">
      <w:pPr>
        <w:ind w:left="708" w:right="758"/>
        <w:jc w:val="both"/>
        <w:rPr>
          <w:rFonts w:ascii="Arial" w:eastAsia="Calibri" w:hAnsi="Arial" w:cs="Arial"/>
          <w:sz w:val="21"/>
          <w:szCs w:val="21"/>
          <w:lang w:val="es-ES_tradnl"/>
        </w:rPr>
      </w:pPr>
      <w:r>
        <w:rPr>
          <w:rFonts w:ascii="Arial" w:eastAsia="Calibri" w:hAnsi="Arial" w:cs="Arial"/>
          <w:sz w:val="21"/>
          <w:szCs w:val="21"/>
          <w:lang w:val="es-ES_tradnl"/>
        </w:rPr>
        <w:t>[…]</w:t>
      </w:r>
    </w:p>
    <w:p w14:paraId="7BD6FCD8" w14:textId="33F54C64" w:rsidR="00664724" w:rsidRDefault="00664724" w:rsidP="00E53545">
      <w:pPr>
        <w:ind w:left="709" w:right="760"/>
        <w:jc w:val="both"/>
        <w:rPr>
          <w:rFonts w:ascii="Arial" w:eastAsia="Calibri" w:hAnsi="Arial" w:cs="Arial"/>
          <w:sz w:val="21"/>
          <w:szCs w:val="21"/>
          <w:lang w:val="es-ES_tradnl"/>
        </w:rPr>
      </w:pPr>
      <w:r w:rsidRPr="00664724">
        <w:rPr>
          <w:rFonts w:ascii="Arial" w:eastAsia="Calibri" w:hAnsi="Arial" w:cs="Arial"/>
          <w:sz w:val="21"/>
          <w:szCs w:val="21"/>
          <w:lang w:val="es-ES_tradnl"/>
        </w:rPr>
        <w:t xml:space="preserve">La limitación legal - en este evento la inhabilidad-nulidad -, contiene una orden de abstención (prohibición), que recae sobre la persona o sociedad cerrada que en los términos de la ley tenga nexos con otra que previamente hubiere formalizado una propuesta en la misma licitación o concurso. La causa de la </w:t>
      </w:r>
      <w:proofErr w:type="gramStart"/>
      <w:r w:rsidRPr="00664724">
        <w:rPr>
          <w:rFonts w:ascii="Arial" w:eastAsia="Calibri" w:hAnsi="Arial" w:cs="Arial"/>
          <w:sz w:val="21"/>
          <w:szCs w:val="21"/>
          <w:lang w:val="es-ES_tradnl"/>
        </w:rPr>
        <w:t>prohibición,</w:t>
      </w:r>
      <w:proofErr w:type="gramEnd"/>
      <w:r w:rsidRPr="00664724">
        <w:rPr>
          <w:rFonts w:ascii="Arial" w:eastAsia="Calibri" w:hAnsi="Arial" w:cs="Arial"/>
          <w:sz w:val="21"/>
          <w:szCs w:val="21"/>
          <w:lang w:val="es-ES_tradnl"/>
        </w:rPr>
        <w:t xml:space="preserve"> se reitera, es la protección del interés general. La consecuencia que se deriva de incumplir el mandato legal, sin perjuicio de la que emana del Código Penal, es la de viciar con nulidad absoluta el vínculo contractual así conformado</w:t>
      </w:r>
      <w:r>
        <w:rPr>
          <w:rStyle w:val="Refdenotaalpie"/>
          <w:rFonts w:ascii="Arial" w:eastAsia="Calibri" w:hAnsi="Arial" w:cs="Arial"/>
          <w:sz w:val="21"/>
          <w:szCs w:val="21"/>
          <w:lang w:val="es-ES_tradnl"/>
        </w:rPr>
        <w:footnoteReference w:id="12"/>
      </w:r>
      <w:r w:rsidRPr="00664724">
        <w:rPr>
          <w:rFonts w:ascii="Arial" w:eastAsia="Calibri" w:hAnsi="Arial" w:cs="Arial"/>
          <w:sz w:val="21"/>
          <w:szCs w:val="21"/>
          <w:lang w:val="es-ES_tradnl"/>
        </w:rPr>
        <w:t>.</w:t>
      </w:r>
    </w:p>
    <w:p w14:paraId="648074A3" w14:textId="77777777" w:rsidR="00664724" w:rsidRPr="00664724" w:rsidRDefault="00664724" w:rsidP="00E53545">
      <w:pPr>
        <w:ind w:left="709" w:right="760"/>
        <w:jc w:val="both"/>
        <w:rPr>
          <w:rFonts w:ascii="Arial" w:eastAsia="Calibri" w:hAnsi="Arial" w:cs="Arial"/>
          <w:sz w:val="21"/>
          <w:szCs w:val="21"/>
          <w:lang w:val="es-ES_tradnl"/>
        </w:rPr>
      </w:pPr>
    </w:p>
    <w:p w14:paraId="3C7B8726" w14:textId="4AC8F439" w:rsidR="00BD16E3" w:rsidRDefault="00446BE0" w:rsidP="00E53545">
      <w:pPr>
        <w:spacing w:line="276" w:lineRule="auto"/>
        <w:jc w:val="both"/>
        <w:rPr>
          <w:rFonts w:ascii="Arial" w:eastAsia="Calibri" w:hAnsi="Arial" w:cs="Arial"/>
          <w:sz w:val="22"/>
          <w:lang w:val="es-ES_tradnl"/>
        </w:rPr>
      </w:pPr>
      <w:r>
        <w:rPr>
          <w:rFonts w:ascii="Arial" w:eastAsia="Calibri" w:hAnsi="Arial" w:cs="Arial"/>
          <w:sz w:val="22"/>
          <w:lang w:val="es-ES_tradnl"/>
        </w:rPr>
        <w:tab/>
        <w:t>Esta inhabilidad, entonces, toma como base ciertas relaciones de consanguinidad o afinidad para limitar la capacidad de ciertos sujetos de derecho con el objetivo de preservar ciertos principios constitucionales y el interés general.</w:t>
      </w:r>
      <w:r w:rsidR="00582C39">
        <w:rPr>
          <w:rFonts w:ascii="Arial" w:eastAsia="Calibri" w:hAnsi="Arial" w:cs="Arial"/>
          <w:sz w:val="22"/>
          <w:lang w:val="es-ES_tradnl"/>
        </w:rPr>
        <w:t xml:space="preserve"> </w:t>
      </w:r>
      <w:r>
        <w:rPr>
          <w:rFonts w:ascii="Arial" w:eastAsia="Calibri" w:hAnsi="Arial" w:cs="Arial"/>
          <w:sz w:val="22"/>
          <w:lang w:val="es-ES_tradnl"/>
        </w:rPr>
        <w:t>No obstante, e</w:t>
      </w:r>
      <w:r w:rsidR="006B4288">
        <w:rPr>
          <w:rFonts w:ascii="Arial" w:eastAsia="Calibri" w:hAnsi="Arial" w:cs="Arial"/>
          <w:sz w:val="22"/>
          <w:lang w:val="es-ES_tradnl"/>
        </w:rPr>
        <w:t xml:space="preserve">sta inhabilidad, como todas las demás contenidas en el ordenamiento jurídico, debe ser interpretada, según se explicó, de manera restrictiva y no es posible hacer interpretaciones analógicas o finalistas con el objetivo de cobijar situaciones fáctico-jurídicos que no encuadran dentro del supuesto </w:t>
      </w:r>
      <w:r w:rsidR="00BD16E3">
        <w:rPr>
          <w:rFonts w:ascii="Arial" w:eastAsia="Calibri" w:hAnsi="Arial" w:cs="Arial"/>
          <w:sz w:val="22"/>
          <w:lang w:val="es-ES_tradnl"/>
        </w:rPr>
        <w:t>descrito</w:t>
      </w:r>
      <w:r>
        <w:rPr>
          <w:rFonts w:ascii="Arial" w:eastAsia="Calibri" w:hAnsi="Arial" w:cs="Arial"/>
          <w:sz w:val="22"/>
          <w:lang w:val="es-ES_tradnl"/>
        </w:rPr>
        <w:t xml:space="preserve"> en la norma</w:t>
      </w:r>
      <w:r w:rsidR="006B4288">
        <w:rPr>
          <w:rFonts w:ascii="Arial" w:eastAsia="Calibri" w:hAnsi="Arial" w:cs="Arial"/>
          <w:sz w:val="22"/>
          <w:lang w:val="es-ES_tradnl"/>
        </w:rPr>
        <w:t>.</w:t>
      </w:r>
    </w:p>
    <w:p w14:paraId="10EBCF0A" w14:textId="1A817743" w:rsidR="003E211C" w:rsidRDefault="00446BE0" w:rsidP="003E211C">
      <w:pPr>
        <w:spacing w:before="120" w:after="120" w:line="276" w:lineRule="auto"/>
        <w:ind w:firstLine="708"/>
        <w:jc w:val="both"/>
        <w:rPr>
          <w:rFonts w:ascii="Arial" w:eastAsia="Calibri" w:hAnsi="Arial" w:cs="Arial"/>
          <w:sz w:val="22"/>
          <w:lang w:val="es-ES_tradnl"/>
        </w:rPr>
      </w:pPr>
      <w:r>
        <w:rPr>
          <w:rFonts w:ascii="Arial" w:eastAsia="Calibri" w:hAnsi="Arial" w:cs="Arial"/>
          <w:sz w:val="22"/>
          <w:lang w:val="es-ES_tradnl"/>
        </w:rPr>
        <w:t xml:space="preserve">Lo primero que debe resaltarse </w:t>
      </w:r>
      <w:r w:rsidR="005301D8">
        <w:rPr>
          <w:rFonts w:ascii="Arial" w:eastAsia="Calibri" w:hAnsi="Arial" w:cs="Arial"/>
          <w:sz w:val="22"/>
          <w:lang w:val="es-ES_tradnl"/>
        </w:rPr>
        <w:t>son</w:t>
      </w:r>
      <w:r>
        <w:rPr>
          <w:rFonts w:ascii="Arial" w:eastAsia="Calibri" w:hAnsi="Arial" w:cs="Arial"/>
          <w:sz w:val="22"/>
          <w:lang w:val="es-ES_tradnl"/>
        </w:rPr>
        <w:t xml:space="preserve"> los sujetos de derecho </w:t>
      </w:r>
      <w:r w:rsidR="005301D8">
        <w:rPr>
          <w:rFonts w:ascii="Arial" w:eastAsia="Calibri" w:hAnsi="Arial" w:cs="Arial"/>
          <w:sz w:val="22"/>
          <w:lang w:val="es-ES_tradnl"/>
        </w:rPr>
        <w:t>contemplados</w:t>
      </w:r>
      <w:r>
        <w:rPr>
          <w:rFonts w:ascii="Arial" w:eastAsia="Calibri" w:hAnsi="Arial" w:cs="Arial"/>
          <w:sz w:val="22"/>
          <w:lang w:val="es-ES_tradnl"/>
        </w:rPr>
        <w:t xml:space="preserve"> por esta inhabilidad, esto es, «las sociedades distintas de las anónimas abiertas».</w:t>
      </w:r>
      <w:r w:rsidR="003E211C">
        <w:rPr>
          <w:rFonts w:ascii="Arial" w:eastAsia="Calibri" w:hAnsi="Arial" w:cs="Arial"/>
          <w:sz w:val="22"/>
          <w:lang w:val="es-ES_tradnl"/>
        </w:rPr>
        <w:t xml:space="preserve"> </w:t>
      </w:r>
      <w:r w:rsidR="00582C39">
        <w:rPr>
          <w:rFonts w:ascii="Arial" w:eastAsia="Calibri" w:hAnsi="Arial" w:cs="Arial"/>
          <w:sz w:val="22"/>
          <w:lang w:val="es-ES_tradnl"/>
        </w:rPr>
        <w:t>E</w:t>
      </w:r>
      <w:r w:rsidR="003E211C">
        <w:rPr>
          <w:rFonts w:ascii="Arial" w:eastAsia="Calibri" w:hAnsi="Arial" w:cs="Arial"/>
          <w:sz w:val="22"/>
          <w:lang w:val="es-ES_tradnl"/>
        </w:rPr>
        <w:t xml:space="preserve">n virtud de la interpretación restrictiva, solamente </w:t>
      </w:r>
      <w:r w:rsidR="00582C39">
        <w:rPr>
          <w:rFonts w:ascii="Arial" w:eastAsia="Calibri" w:hAnsi="Arial" w:cs="Arial"/>
          <w:sz w:val="22"/>
          <w:lang w:val="es-ES_tradnl"/>
        </w:rPr>
        <w:t xml:space="preserve">se encuentran </w:t>
      </w:r>
      <w:r w:rsidR="00365B43">
        <w:rPr>
          <w:rFonts w:ascii="Arial" w:eastAsia="Calibri" w:hAnsi="Arial" w:cs="Arial"/>
          <w:sz w:val="22"/>
          <w:lang w:val="es-ES_tradnl"/>
        </w:rPr>
        <w:t xml:space="preserve">incluidas </w:t>
      </w:r>
      <w:r w:rsidR="00582C39">
        <w:rPr>
          <w:rFonts w:ascii="Arial" w:eastAsia="Calibri" w:hAnsi="Arial" w:cs="Arial"/>
          <w:sz w:val="22"/>
          <w:lang w:val="es-ES_tradnl"/>
        </w:rPr>
        <w:t>las</w:t>
      </w:r>
      <w:r w:rsidR="003E211C">
        <w:rPr>
          <w:rFonts w:ascii="Arial" w:eastAsia="Calibri" w:hAnsi="Arial" w:cs="Arial"/>
          <w:sz w:val="22"/>
          <w:lang w:val="es-ES_tradnl"/>
        </w:rPr>
        <w:t xml:space="preserve"> sociedades</w:t>
      </w:r>
      <w:r w:rsidR="005E504D">
        <w:rPr>
          <w:rFonts w:ascii="Arial" w:eastAsia="Calibri" w:hAnsi="Arial" w:cs="Arial"/>
          <w:sz w:val="22"/>
          <w:lang w:val="es-ES_tradnl"/>
        </w:rPr>
        <w:t>, luego</w:t>
      </w:r>
      <w:r w:rsidR="00365B43">
        <w:rPr>
          <w:rFonts w:ascii="Arial" w:eastAsia="Calibri" w:hAnsi="Arial" w:cs="Arial"/>
          <w:sz w:val="22"/>
          <w:lang w:val="es-ES_tradnl"/>
        </w:rPr>
        <w:t>,</w:t>
      </w:r>
      <w:r w:rsidR="005E504D">
        <w:rPr>
          <w:rFonts w:ascii="Arial" w:eastAsia="Calibri" w:hAnsi="Arial" w:cs="Arial"/>
          <w:sz w:val="22"/>
          <w:lang w:val="es-ES_tradnl"/>
        </w:rPr>
        <w:t xml:space="preserve"> ni personas naturales ni otro tipo de personas jurídicas se </w:t>
      </w:r>
      <w:r w:rsidR="00582C39">
        <w:rPr>
          <w:rFonts w:ascii="Arial" w:eastAsia="Calibri" w:hAnsi="Arial" w:cs="Arial"/>
          <w:sz w:val="22"/>
          <w:lang w:val="es-ES_tradnl"/>
        </w:rPr>
        <w:t>encuadran en este literal</w:t>
      </w:r>
      <w:r w:rsidR="00365B43">
        <w:rPr>
          <w:rFonts w:ascii="Arial" w:eastAsia="Calibri" w:hAnsi="Arial" w:cs="Arial"/>
          <w:sz w:val="22"/>
          <w:lang w:val="es-ES_tradnl"/>
        </w:rPr>
        <w:t>;</w:t>
      </w:r>
      <w:r w:rsidR="00582C39">
        <w:rPr>
          <w:rFonts w:ascii="Arial" w:eastAsia="Calibri" w:hAnsi="Arial" w:cs="Arial"/>
          <w:sz w:val="22"/>
          <w:lang w:val="es-ES_tradnl"/>
        </w:rPr>
        <w:t xml:space="preserve"> además se hace</w:t>
      </w:r>
      <w:r w:rsidR="003E211C">
        <w:rPr>
          <w:rFonts w:ascii="Arial" w:eastAsia="Calibri" w:hAnsi="Arial" w:cs="Arial"/>
          <w:sz w:val="22"/>
          <w:lang w:val="es-ES_tradnl"/>
        </w:rPr>
        <w:t xml:space="preserve"> expresa exclusión de las</w:t>
      </w:r>
      <w:r w:rsidR="00582C39">
        <w:rPr>
          <w:rFonts w:ascii="Arial" w:eastAsia="Calibri" w:hAnsi="Arial" w:cs="Arial"/>
          <w:sz w:val="22"/>
          <w:lang w:val="es-ES_tradnl"/>
        </w:rPr>
        <w:t xml:space="preserve"> sociedades</w:t>
      </w:r>
      <w:r w:rsidR="003E211C">
        <w:rPr>
          <w:rFonts w:ascii="Arial" w:eastAsia="Calibri" w:hAnsi="Arial" w:cs="Arial"/>
          <w:sz w:val="22"/>
          <w:lang w:val="es-ES_tradnl"/>
        </w:rPr>
        <w:t xml:space="preserve"> anónimas abiertas. </w:t>
      </w:r>
      <w:r w:rsidR="00582C39">
        <w:rPr>
          <w:rFonts w:ascii="Arial" w:eastAsia="Calibri" w:hAnsi="Arial" w:cs="Arial"/>
          <w:sz w:val="22"/>
          <w:lang w:val="es-ES_tradnl"/>
        </w:rPr>
        <w:t>Esta</w:t>
      </w:r>
      <w:r w:rsidR="003E211C">
        <w:rPr>
          <w:rFonts w:ascii="Arial" w:eastAsia="Calibri" w:hAnsi="Arial" w:cs="Arial"/>
          <w:sz w:val="22"/>
          <w:lang w:val="es-ES_tradnl"/>
        </w:rPr>
        <w:t xml:space="preserve"> exclusión </w:t>
      </w:r>
      <w:r w:rsidR="00582C39">
        <w:rPr>
          <w:rFonts w:ascii="Arial" w:eastAsia="Calibri" w:hAnsi="Arial" w:cs="Arial"/>
          <w:sz w:val="22"/>
          <w:lang w:val="es-ES_tradnl"/>
        </w:rPr>
        <w:t>para</w:t>
      </w:r>
      <w:r w:rsidR="003E211C">
        <w:rPr>
          <w:rFonts w:ascii="Arial" w:eastAsia="Calibri" w:hAnsi="Arial" w:cs="Arial"/>
          <w:sz w:val="22"/>
          <w:lang w:val="es-ES_tradnl"/>
        </w:rPr>
        <w:t xml:space="preserve"> algunas disposiciones del régimen de inhabilidades, lo ha dicho la Corte Constitucional en el análisis de una inhabilidad distinta, se relaciona con la imposibilidad de controlar «las condiciones personales de quienes adquieren las respectivas acciones»</w:t>
      </w:r>
      <w:r w:rsidR="003E211C">
        <w:rPr>
          <w:rStyle w:val="Refdenotaalpie"/>
          <w:rFonts w:ascii="Arial" w:eastAsia="Calibri" w:hAnsi="Arial" w:cs="Arial"/>
          <w:sz w:val="22"/>
          <w:lang w:val="es-ES_tradnl"/>
        </w:rPr>
        <w:footnoteReference w:id="13"/>
      </w:r>
      <w:r w:rsidR="003E211C">
        <w:rPr>
          <w:rFonts w:ascii="Arial" w:eastAsia="Calibri" w:hAnsi="Arial" w:cs="Arial"/>
          <w:sz w:val="22"/>
          <w:lang w:val="es-ES_tradnl"/>
        </w:rPr>
        <w:t xml:space="preserve">. </w:t>
      </w:r>
    </w:p>
    <w:p w14:paraId="16665F3C" w14:textId="0359B4EF" w:rsidR="00301123" w:rsidRDefault="003E211C" w:rsidP="00F73586">
      <w:pPr>
        <w:spacing w:before="120" w:after="120" w:line="276" w:lineRule="auto"/>
        <w:ind w:firstLine="708"/>
        <w:jc w:val="both"/>
        <w:rPr>
          <w:rFonts w:ascii="Arial" w:eastAsia="Calibri" w:hAnsi="Arial" w:cs="Arial"/>
          <w:sz w:val="22"/>
          <w:lang w:val="es-ES_tradnl"/>
        </w:rPr>
      </w:pPr>
      <w:r>
        <w:rPr>
          <w:rFonts w:ascii="Arial" w:eastAsia="Calibri" w:hAnsi="Arial" w:cs="Arial"/>
          <w:sz w:val="22"/>
          <w:lang w:val="es-ES_tradnl"/>
        </w:rPr>
        <w:t>De otra parte, es importante reseñar que el supuesto de hecho descrito</w:t>
      </w:r>
      <w:r w:rsidR="00125C07">
        <w:rPr>
          <w:rFonts w:ascii="Arial" w:eastAsia="Calibri" w:hAnsi="Arial" w:cs="Arial"/>
          <w:sz w:val="22"/>
          <w:lang w:val="es-ES_tradnl"/>
        </w:rPr>
        <w:t xml:space="preserve"> en el literal h) solamente </w:t>
      </w:r>
      <w:r w:rsidR="00597799">
        <w:rPr>
          <w:rFonts w:ascii="Arial" w:eastAsia="Calibri" w:hAnsi="Arial" w:cs="Arial"/>
          <w:sz w:val="22"/>
          <w:lang w:val="es-ES_tradnl"/>
        </w:rPr>
        <w:t xml:space="preserve">incluye </w:t>
      </w:r>
      <w:r w:rsidR="00125C07">
        <w:rPr>
          <w:rFonts w:ascii="Arial" w:eastAsia="Calibri" w:hAnsi="Arial" w:cs="Arial"/>
          <w:sz w:val="22"/>
          <w:lang w:val="es-ES_tradnl"/>
        </w:rPr>
        <w:t xml:space="preserve">a aquellas sociedades en las cuales </w:t>
      </w:r>
      <w:r w:rsidR="005E504D">
        <w:rPr>
          <w:rFonts w:ascii="Arial" w:eastAsia="Calibri" w:hAnsi="Arial" w:cs="Arial"/>
          <w:sz w:val="22"/>
          <w:lang w:val="es-ES_tradnl"/>
        </w:rPr>
        <w:t xml:space="preserve">el representante legal o alguno de sus socios </w:t>
      </w:r>
      <w:r w:rsidR="00301123">
        <w:rPr>
          <w:rFonts w:ascii="Arial" w:eastAsia="Calibri" w:hAnsi="Arial" w:cs="Arial"/>
          <w:sz w:val="22"/>
          <w:lang w:val="es-ES_tradnl"/>
        </w:rPr>
        <w:t>tienen</w:t>
      </w:r>
      <w:r w:rsidR="005E504D">
        <w:rPr>
          <w:rFonts w:ascii="Arial" w:eastAsia="Calibri" w:hAnsi="Arial" w:cs="Arial"/>
          <w:sz w:val="22"/>
          <w:lang w:val="es-ES_tradnl"/>
        </w:rPr>
        <w:t xml:space="preserve"> un parentesco con el representante legal o alguno de los socios de una sociedad «que formalmente haya presentado propuesta»</w:t>
      </w:r>
      <w:r w:rsidR="0008444E">
        <w:rPr>
          <w:rFonts w:ascii="Arial" w:eastAsia="Calibri" w:hAnsi="Arial" w:cs="Arial"/>
          <w:sz w:val="22"/>
          <w:lang w:val="es-ES_tradnl"/>
        </w:rPr>
        <w:t xml:space="preserve">. </w:t>
      </w:r>
      <w:r w:rsidR="00301123">
        <w:rPr>
          <w:rFonts w:ascii="Arial" w:eastAsia="Calibri" w:hAnsi="Arial" w:cs="Arial"/>
          <w:sz w:val="22"/>
          <w:lang w:val="es-ES_tradnl"/>
        </w:rPr>
        <w:t>Para usar una máxima latina</w:t>
      </w:r>
      <w:r w:rsidR="00D165A9">
        <w:rPr>
          <w:rFonts w:ascii="Arial" w:eastAsia="Calibri" w:hAnsi="Arial" w:cs="Arial"/>
          <w:sz w:val="22"/>
          <w:lang w:val="es-ES_tradnl"/>
        </w:rPr>
        <w:t>:</w:t>
      </w:r>
      <w:r w:rsidR="00301123">
        <w:rPr>
          <w:rFonts w:ascii="Arial" w:eastAsia="Calibri" w:hAnsi="Arial" w:cs="Arial"/>
          <w:sz w:val="22"/>
          <w:lang w:val="es-ES_tradnl"/>
        </w:rPr>
        <w:t xml:space="preserve"> </w:t>
      </w:r>
      <w:proofErr w:type="spellStart"/>
      <w:r w:rsidR="00301123">
        <w:rPr>
          <w:rFonts w:ascii="Arial" w:eastAsia="Calibri" w:hAnsi="Arial" w:cs="Arial"/>
          <w:i/>
          <w:iCs/>
          <w:sz w:val="22"/>
          <w:lang w:val="es-ES_tradnl"/>
        </w:rPr>
        <w:t>Expressio</w:t>
      </w:r>
      <w:proofErr w:type="spellEnd"/>
      <w:r w:rsidR="00301123">
        <w:rPr>
          <w:rFonts w:ascii="Arial" w:eastAsia="Calibri" w:hAnsi="Arial" w:cs="Arial"/>
          <w:i/>
          <w:iCs/>
          <w:sz w:val="22"/>
          <w:lang w:val="es-ES_tradnl"/>
        </w:rPr>
        <w:t xml:space="preserve"> </w:t>
      </w:r>
      <w:proofErr w:type="spellStart"/>
      <w:r w:rsidR="00301123">
        <w:rPr>
          <w:rFonts w:ascii="Arial" w:eastAsia="Calibri" w:hAnsi="Arial" w:cs="Arial"/>
          <w:i/>
          <w:iCs/>
          <w:sz w:val="22"/>
          <w:lang w:val="es-ES_tradnl"/>
        </w:rPr>
        <w:t>unius</w:t>
      </w:r>
      <w:proofErr w:type="spellEnd"/>
      <w:r w:rsidR="00301123">
        <w:rPr>
          <w:rFonts w:ascii="Arial" w:eastAsia="Calibri" w:hAnsi="Arial" w:cs="Arial"/>
          <w:i/>
          <w:iCs/>
          <w:sz w:val="22"/>
          <w:lang w:val="es-ES_tradnl"/>
        </w:rPr>
        <w:t xml:space="preserve"> </w:t>
      </w:r>
      <w:proofErr w:type="spellStart"/>
      <w:r w:rsidR="00301123">
        <w:rPr>
          <w:rFonts w:ascii="Arial" w:eastAsia="Calibri" w:hAnsi="Arial" w:cs="Arial"/>
          <w:i/>
          <w:iCs/>
          <w:sz w:val="22"/>
          <w:lang w:val="es-ES_tradnl"/>
        </w:rPr>
        <w:t>est</w:t>
      </w:r>
      <w:proofErr w:type="spellEnd"/>
      <w:r w:rsidR="00301123">
        <w:rPr>
          <w:rFonts w:ascii="Arial" w:eastAsia="Calibri" w:hAnsi="Arial" w:cs="Arial"/>
          <w:i/>
          <w:iCs/>
          <w:sz w:val="22"/>
          <w:lang w:val="es-ES_tradnl"/>
        </w:rPr>
        <w:t xml:space="preserve"> </w:t>
      </w:r>
      <w:proofErr w:type="spellStart"/>
      <w:r w:rsidR="00301123">
        <w:rPr>
          <w:rFonts w:ascii="Arial" w:eastAsia="Calibri" w:hAnsi="Arial" w:cs="Arial"/>
          <w:i/>
          <w:iCs/>
          <w:sz w:val="22"/>
          <w:lang w:val="es-ES_tradnl"/>
        </w:rPr>
        <w:t>exclusio</w:t>
      </w:r>
      <w:proofErr w:type="spellEnd"/>
      <w:r w:rsidR="00301123">
        <w:rPr>
          <w:rFonts w:ascii="Arial" w:eastAsia="Calibri" w:hAnsi="Arial" w:cs="Arial"/>
          <w:i/>
          <w:iCs/>
          <w:sz w:val="22"/>
          <w:lang w:val="es-ES_tradnl"/>
        </w:rPr>
        <w:t xml:space="preserve"> </w:t>
      </w:r>
      <w:proofErr w:type="spellStart"/>
      <w:r w:rsidR="00301123">
        <w:rPr>
          <w:rFonts w:ascii="Arial" w:eastAsia="Calibri" w:hAnsi="Arial" w:cs="Arial"/>
          <w:i/>
          <w:iCs/>
          <w:sz w:val="22"/>
          <w:lang w:val="es-ES_tradnl"/>
        </w:rPr>
        <w:t>alterius</w:t>
      </w:r>
      <w:proofErr w:type="spellEnd"/>
      <w:r w:rsidR="00301123">
        <w:rPr>
          <w:rFonts w:ascii="Arial" w:eastAsia="Calibri" w:hAnsi="Arial" w:cs="Arial"/>
          <w:i/>
          <w:iCs/>
          <w:sz w:val="22"/>
          <w:lang w:val="es-ES_tradnl"/>
        </w:rPr>
        <w:t xml:space="preserve">, </w:t>
      </w:r>
      <w:r w:rsidR="00D165A9">
        <w:rPr>
          <w:rFonts w:ascii="Arial" w:eastAsia="Calibri" w:hAnsi="Arial" w:cs="Arial"/>
          <w:sz w:val="22"/>
          <w:lang w:val="es-ES_tradnl"/>
        </w:rPr>
        <w:t xml:space="preserve">es decir, </w:t>
      </w:r>
      <w:r w:rsidR="00301123">
        <w:rPr>
          <w:rFonts w:ascii="Arial" w:eastAsia="Calibri" w:hAnsi="Arial" w:cs="Arial"/>
          <w:sz w:val="22"/>
          <w:lang w:val="es-ES_tradnl"/>
        </w:rPr>
        <w:t xml:space="preserve">cualquier escenario que no </w:t>
      </w:r>
      <w:r w:rsidR="005962A5">
        <w:rPr>
          <w:rFonts w:ascii="Arial" w:eastAsia="Calibri" w:hAnsi="Arial" w:cs="Arial"/>
          <w:sz w:val="22"/>
          <w:lang w:val="es-ES_tradnl"/>
        </w:rPr>
        <w:t>se encuadre</w:t>
      </w:r>
      <w:r w:rsidR="00301123">
        <w:rPr>
          <w:rFonts w:ascii="Arial" w:eastAsia="Calibri" w:hAnsi="Arial" w:cs="Arial"/>
          <w:sz w:val="22"/>
          <w:lang w:val="es-ES_tradnl"/>
        </w:rPr>
        <w:t xml:space="preserve"> perfectamente allí se encuentra exclui</w:t>
      </w:r>
      <w:r w:rsidR="005962A5">
        <w:rPr>
          <w:rFonts w:ascii="Arial" w:eastAsia="Calibri" w:hAnsi="Arial" w:cs="Arial"/>
          <w:sz w:val="22"/>
          <w:lang w:val="es-ES_tradnl"/>
        </w:rPr>
        <w:t>do del supuesto de hecho</w:t>
      </w:r>
      <w:r w:rsidR="00301123">
        <w:rPr>
          <w:rFonts w:ascii="Arial" w:eastAsia="Calibri" w:hAnsi="Arial" w:cs="Arial"/>
          <w:sz w:val="22"/>
          <w:lang w:val="es-ES_tradnl"/>
        </w:rPr>
        <w:t xml:space="preserve">. </w:t>
      </w:r>
    </w:p>
    <w:p w14:paraId="34A2C009" w14:textId="1797AD54" w:rsidR="00301123" w:rsidRDefault="00582C39" w:rsidP="00301123">
      <w:pPr>
        <w:spacing w:before="120" w:after="120" w:line="276" w:lineRule="auto"/>
        <w:ind w:firstLine="708"/>
        <w:jc w:val="both"/>
        <w:rPr>
          <w:rFonts w:ascii="Arial" w:eastAsia="Calibri" w:hAnsi="Arial" w:cs="Arial"/>
          <w:sz w:val="22"/>
          <w:lang w:val="es-ES_tradnl"/>
        </w:rPr>
      </w:pPr>
      <w:r>
        <w:rPr>
          <w:rFonts w:ascii="Arial" w:eastAsia="Calibri" w:hAnsi="Arial" w:cs="Arial"/>
          <w:sz w:val="22"/>
          <w:lang w:val="es-ES_tradnl"/>
        </w:rPr>
        <w:t>Por ello, esta</w:t>
      </w:r>
      <w:r w:rsidR="00301123">
        <w:rPr>
          <w:rFonts w:ascii="Arial" w:eastAsia="Calibri" w:hAnsi="Arial" w:cs="Arial"/>
          <w:sz w:val="22"/>
          <w:lang w:val="es-ES_tradnl"/>
        </w:rPr>
        <w:t xml:space="preserve"> inhabilidad solamente </w:t>
      </w:r>
      <w:r w:rsidR="005301D8">
        <w:rPr>
          <w:rFonts w:ascii="Arial" w:eastAsia="Calibri" w:hAnsi="Arial" w:cs="Arial"/>
          <w:sz w:val="22"/>
          <w:lang w:val="es-ES_tradnl"/>
        </w:rPr>
        <w:t xml:space="preserve">aplica </w:t>
      </w:r>
      <w:r w:rsidR="00F73586">
        <w:rPr>
          <w:rFonts w:ascii="Arial" w:eastAsia="Calibri" w:hAnsi="Arial" w:cs="Arial"/>
          <w:sz w:val="22"/>
          <w:lang w:val="es-ES_tradnl"/>
        </w:rPr>
        <w:t xml:space="preserve">a </w:t>
      </w:r>
      <w:r w:rsidR="005962A5">
        <w:rPr>
          <w:rFonts w:ascii="Arial" w:eastAsia="Calibri" w:hAnsi="Arial" w:cs="Arial"/>
          <w:sz w:val="22"/>
          <w:lang w:val="es-ES_tradnl"/>
        </w:rPr>
        <w:t>aquellas</w:t>
      </w:r>
      <w:r w:rsidR="00301123">
        <w:rPr>
          <w:rFonts w:ascii="Arial" w:eastAsia="Calibri" w:hAnsi="Arial" w:cs="Arial"/>
          <w:sz w:val="22"/>
          <w:lang w:val="es-ES_tradnl"/>
        </w:rPr>
        <w:t xml:space="preserve"> sociedades conformadas</w:t>
      </w:r>
      <w:r w:rsidR="005962A5">
        <w:rPr>
          <w:rFonts w:ascii="Arial" w:eastAsia="Calibri" w:hAnsi="Arial" w:cs="Arial"/>
          <w:sz w:val="22"/>
          <w:lang w:val="es-ES_tradnl"/>
        </w:rPr>
        <w:t xml:space="preserve"> o representadas</w:t>
      </w:r>
      <w:r w:rsidR="00301123">
        <w:rPr>
          <w:rFonts w:ascii="Arial" w:eastAsia="Calibri" w:hAnsi="Arial" w:cs="Arial"/>
          <w:sz w:val="22"/>
          <w:lang w:val="es-ES_tradnl"/>
        </w:rPr>
        <w:t xml:space="preserve"> por personas naturales</w:t>
      </w:r>
      <w:r w:rsidR="00A649C6">
        <w:rPr>
          <w:rFonts w:ascii="Arial" w:eastAsia="Calibri" w:hAnsi="Arial" w:cs="Arial"/>
          <w:sz w:val="22"/>
          <w:lang w:val="es-ES_tradnl"/>
        </w:rPr>
        <w:t>,</w:t>
      </w:r>
      <w:r w:rsidR="005D4921">
        <w:rPr>
          <w:rFonts w:ascii="Arial" w:eastAsia="Calibri" w:hAnsi="Arial" w:cs="Arial"/>
          <w:sz w:val="22"/>
          <w:lang w:val="es-ES_tradnl"/>
        </w:rPr>
        <w:t xml:space="preserve"> pues</w:t>
      </w:r>
      <w:r w:rsidR="00301123">
        <w:rPr>
          <w:rFonts w:ascii="Arial" w:eastAsia="Calibri" w:hAnsi="Arial" w:cs="Arial"/>
          <w:sz w:val="22"/>
          <w:lang w:val="es-ES_tradnl"/>
        </w:rPr>
        <w:t xml:space="preserve"> </w:t>
      </w:r>
      <w:r w:rsidR="005D4921">
        <w:rPr>
          <w:rFonts w:ascii="Arial" w:eastAsia="Calibri" w:hAnsi="Arial" w:cs="Arial"/>
          <w:sz w:val="22"/>
          <w:lang w:val="es-ES_tradnl"/>
        </w:rPr>
        <w:t>l</w:t>
      </w:r>
      <w:r w:rsidR="00EA29EA">
        <w:rPr>
          <w:rFonts w:ascii="Arial" w:eastAsia="Calibri" w:hAnsi="Arial" w:cs="Arial"/>
          <w:sz w:val="22"/>
          <w:lang w:val="es-ES_tradnl"/>
        </w:rPr>
        <w:t xml:space="preserve">os grados de parentesco solamente </w:t>
      </w:r>
      <w:r w:rsidR="005962A5">
        <w:rPr>
          <w:rFonts w:ascii="Arial" w:eastAsia="Calibri" w:hAnsi="Arial" w:cs="Arial"/>
          <w:sz w:val="22"/>
          <w:lang w:val="es-ES_tradnl"/>
        </w:rPr>
        <w:t>se</w:t>
      </w:r>
      <w:r w:rsidR="00EA29EA">
        <w:rPr>
          <w:rFonts w:ascii="Arial" w:eastAsia="Calibri" w:hAnsi="Arial" w:cs="Arial"/>
          <w:sz w:val="22"/>
          <w:lang w:val="es-ES_tradnl"/>
        </w:rPr>
        <w:t xml:space="preserve"> predica</w:t>
      </w:r>
      <w:r w:rsidR="005962A5">
        <w:rPr>
          <w:rFonts w:ascii="Arial" w:eastAsia="Calibri" w:hAnsi="Arial" w:cs="Arial"/>
          <w:sz w:val="22"/>
          <w:lang w:val="es-ES_tradnl"/>
        </w:rPr>
        <w:t>n</w:t>
      </w:r>
      <w:r w:rsidR="00EA29EA">
        <w:rPr>
          <w:rFonts w:ascii="Arial" w:eastAsia="Calibri" w:hAnsi="Arial" w:cs="Arial"/>
          <w:sz w:val="22"/>
          <w:lang w:val="es-ES_tradnl"/>
        </w:rPr>
        <w:t xml:space="preserve"> de </w:t>
      </w:r>
      <w:r w:rsidR="00CC6E68">
        <w:rPr>
          <w:rFonts w:ascii="Arial" w:eastAsia="Calibri" w:hAnsi="Arial" w:cs="Arial"/>
          <w:sz w:val="22"/>
          <w:lang w:val="es-ES_tradnl"/>
        </w:rPr>
        <w:t>este tipo de personas</w:t>
      </w:r>
      <w:r w:rsidR="005D4921">
        <w:rPr>
          <w:rStyle w:val="Refdenotaalpie"/>
          <w:rFonts w:ascii="Arial" w:eastAsia="Calibri" w:hAnsi="Arial" w:cs="Arial"/>
          <w:sz w:val="22"/>
          <w:lang w:val="es-ES_tradnl"/>
        </w:rPr>
        <w:footnoteReference w:id="14"/>
      </w:r>
      <w:r w:rsidR="00F977C7">
        <w:rPr>
          <w:rFonts w:ascii="Arial" w:eastAsia="Calibri" w:hAnsi="Arial" w:cs="Arial"/>
          <w:sz w:val="22"/>
          <w:lang w:val="es-ES_tradnl"/>
        </w:rPr>
        <w:t>.</w:t>
      </w:r>
      <w:r w:rsidR="00EA29EA">
        <w:rPr>
          <w:rFonts w:ascii="Arial" w:eastAsia="Calibri" w:hAnsi="Arial" w:cs="Arial"/>
          <w:sz w:val="22"/>
          <w:lang w:val="es-ES_tradnl"/>
        </w:rPr>
        <w:t xml:space="preserve"> </w:t>
      </w:r>
      <w:r w:rsidR="00F977C7">
        <w:rPr>
          <w:rFonts w:ascii="Arial" w:eastAsia="Calibri" w:hAnsi="Arial" w:cs="Arial"/>
          <w:sz w:val="22"/>
          <w:lang w:val="es-ES_tradnl"/>
        </w:rPr>
        <w:t>L</w:t>
      </w:r>
      <w:r w:rsidR="00EA29EA">
        <w:rPr>
          <w:rFonts w:ascii="Arial" w:eastAsia="Calibri" w:hAnsi="Arial" w:cs="Arial"/>
          <w:sz w:val="22"/>
          <w:lang w:val="es-ES_tradnl"/>
        </w:rPr>
        <w:t xml:space="preserve">uego, ante la presencia de una sociedad cuyos socios </w:t>
      </w:r>
      <w:r w:rsidR="00EA29EA">
        <w:rPr>
          <w:rFonts w:ascii="Arial" w:eastAsia="Calibri" w:hAnsi="Arial" w:cs="Arial"/>
          <w:sz w:val="22"/>
          <w:lang w:val="es-ES_tradnl"/>
        </w:rPr>
        <w:lastRenderedPageBreak/>
        <w:t>son personas jurídicas</w:t>
      </w:r>
      <w:r w:rsidR="00A649C6">
        <w:rPr>
          <w:rFonts w:ascii="Arial" w:eastAsia="Calibri" w:hAnsi="Arial" w:cs="Arial"/>
          <w:sz w:val="22"/>
          <w:lang w:val="es-ES_tradnl"/>
        </w:rPr>
        <w:t>,</w:t>
      </w:r>
      <w:r w:rsidR="00EA29EA">
        <w:rPr>
          <w:rFonts w:ascii="Arial" w:eastAsia="Calibri" w:hAnsi="Arial" w:cs="Arial"/>
          <w:sz w:val="22"/>
          <w:lang w:val="es-ES_tradnl"/>
        </w:rPr>
        <w:t xml:space="preserve"> se torna imposible la aplicación de esta </w:t>
      </w:r>
      <w:r w:rsidR="005962A5">
        <w:rPr>
          <w:rFonts w:ascii="Arial" w:eastAsia="Calibri" w:hAnsi="Arial" w:cs="Arial"/>
          <w:sz w:val="22"/>
          <w:lang w:val="es-ES_tradnl"/>
        </w:rPr>
        <w:t xml:space="preserve">precisa </w:t>
      </w:r>
      <w:r w:rsidR="00EA29EA">
        <w:rPr>
          <w:rFonts w:ascii="Arial" w:eastAsia="Calibri" w:hAnsi="Arial" w:cs="Arial"/>
          <w:sz w:val="22"/>
          <w:lang w:val="es-ES_tradnl"/>
        </w:rPr>
        <w:t xml:space="preserve">inhabilidad. </w:t>
      </w:r>
      <w:r w:rsidR="00C609AA">
        <w:rPr>
          <w:rFonts w:ascii="Arial" w:eastAsia="Calibri" w:hAnsi="Arial" w:cs="Arial"/>
          <w:sz w:val="22"/>
          <w:lang w:val="es-ES_tradnl"/>
        </w:rPr>
        <w:t>En palabras más sencillas</w:t>
      </w:r>
      <w:r w:rsidR="005962A5">
        <w:rPr>
          <w:rFonts w:ascii="Arial" w:eastAsia="Calibri" w:hAnsi="Arial" w:cs="Arial"/>
          <w:sz w:val="22"/>
          <w:lang w:val="es-ES_tradnl"/>
        </w:rPr>
        <w:t xml:space="preserve">, el artículo 8 numeral 1 literal h) no es aplicable a sociedades que estén conformadas exclusivamente por personas jurídicas. </w:t>
      </w:r>
    </w:p>
    <w:p w14:paraId="44F9B268" w14:textId="2FDCEB31" w:rsidR="005D4921" w:rsidRDefault="005962A5" w:rsidP="005D4921">
      <w:pPr>
        <w:spacing w:before="120" w:after="120" w:line="276" w:lineRule="auto"/>
        <w:ind w:firstLine="708"/>
        <w:jc w:val="both"/>
        <w:rPr>
          <w:rFonts w:ascii="Arial" w:eastAsia="Calibri" w:hAnsi="Arial" w:cs="Arial"/>
          <w:sz w:val="22"/>
          <w:lang w:val="es-ES_tradnl"/>
        </w:rPr>
      </w:pPr>
      <w:r>
        <w:rPr>
          <w:rFonts w:ascii="Arial" w:eastAsia="Calibri" w:hAnsi="Arial" w:cs="Arial"/>
          <w:sz w:val="22"/>
          <w:lang w:val="es-ES_tradnl"/>
        </w:rPr>
        <w:t>Dicho ello, se debe aclarar que la inhabilidad</w:t>
      </w:r>
      <w:r w:rsidR="005D4921">
        <w:rPr>
          <w:rFonts w:ascii="Arial" w:eastAsia="Calibri" w:hAnsi="Arial" w:cs="Arial"/>
          <w:sz w:val="22"/>
          <w:lang w:val="es-ES_tradnl"/>
        </w:rPr>
        <w:t xml:space="preserve"> analizada</w:t>
      </w:r>
      <w:r>
        <w:rPr>
          <w:rFonts w:ascii="Arial" w:eastAsia="Calibri" w:hAnsi="Arial" w:cs="Arial"/>
          <w:sz w:val="22"/>
          <w:lang w:val="es-ES_tradnl"/>
        </w:rPr>
        <w:t xml:space="preserve"> no se extiende a las sociedades que están conformadas por personas jurídicas</w:t>
      </w:r>
      <w:r w:rsidR="005C1DA3">
        <w:rPr>
          <w:rFonts w:ascii="Arial" w:eastAsia="Calibri" w:hAnsi="Arial" w:cs="Arial"/>
          <w:sz w:val="22"/>
          <w:lang w:val="es-ES_tradnl"/>
        </w:rPr>
        <w:t>,</w:t>
      </w:r>
      <w:r>
        <w:rPr>
          <w:rFonts w:ascii="Arial" w:eastAsia="Calibri" w:hAnsi="Arial" w:cs="Arial"/>
          <w:sz w:val="22"/>
          <w:lang w:val="es-ES_tradnl"/>
        </w:rPr>
        <w:t xml:space="preserve"> </w:t>
      </w:r>
      <w:r w:rsidR="005C1DA3">
        <w:rPr>
          <w:rFonts w:ascii="Arial" w:eastAsia="Calibri" w:hAnsi="Arial" w:cs="Arial"/>
          <w:sz w:val="22"/>
          <w:lang w:val="es-ES_tradnl"/>
        </w:rPr>
        <w:t>aun cuando estas</w:t>
      </w:r>
      <w:r>
        <w:rPr>
          <w:rFonts w:ascii="Arial" w:eastAsia="Calibri" w:hAnsi="Arial" w:cs="Arial"/>
          <w:sz w:val="22"/>
          <w:lang w:val="es-ES_tradnl"/>
        </w:rPr>
        <w:t xml:space="preserve"> </w:t>
      </w:r>
      <w:r w:rsidR="00CC6E68">
        <w:rPr>
          <w:rFonts w:ascii="Arial" w:eastAsia="Calibri" w:hAnsi="Arial" w:cs="Arial"/>
          <w:sz w:val="22"/>
          <w:lang w:val="es-ES_tradnl"/>
        </w:rPr>
        <w:t>tengan</w:t>
      </w:r>
      <w:r>
        <w:rPr>
          <w:rFonts w:ascii="Arial" w:eastAsia="Calibri" w:hAnsi="Arial" w:cs="Arial"/>
          <w:sz w:val="22"/>
          <w:lang w:val="es-ES_tradnl"/>
        </w:rPr>
        <w:t xml:space="preserve"> como socio a una persona natural que se encuentra en alguno de los grados de parentesco prescritos</w:t>
      </w:r>
      <w:r w:rsidR="00582C39">
        <w:rPr>
          <w:rFonts w:ascii="Arial" w:eastAsia="Calibri" w:hAnsi="Arial" w:cs="Arial"/>
          <w:sz w:val="22"/>
          <w:lang w:val="es-ES_tradnl"/>
        </w:rPr>
        <w:t xml:space="preserve"> en el literal h)</w:t>
      </w:r>
      <w:r>
        <w:rPr>
          <w:rFonts w:ascii="Arial" w:eastAsia="Calibri" w:hAnsi="Arial" w:cs="Arial"/>
          <w:sz w:val="22"/>
          <w:lang w:val="es-ES_tradnl"/>
        </w:rPr>
        <w:t xml:space="preserve">. </w:t>
      </w:r>
    </w:p>
    <w:p w14:paraId="30C2F6F2" w14:textId="7FE658BB" w:rsidR="005D4921" w:rsidRDefault="00CC6E68" w:rsidP="005D4921">
      <w:pPr>
        <w:spacing w:before="120" w:after="120" w:line="276" w:lineRule="auto"/>
        <w:ind w:firstLine="708"/>
        <w:jc w:val="both"/>
        <w:rPr>
          <w:rFonts w:ascii="Arial" w:eastAsia="Calibri" w:hAnsi="Arial" w:cs="Arial"/>
          <w:sz w:val="22"/>
          <w:lang w:val="es-ES_tradnl"/>
        </w:rPr>
      </w:pPr>
      <w:r>
        <w:rPr>
          <w:rFonts w:ascii="Arial" w:eastAsia="Calibri" w:hAnsi="Arial" w:cs="Arial"/>
          <w:sz w:val="22"/>
          <w:lang w:val="es-ES_tradnl"/>
        </w:rPr>
        <w:t>Debe</w:t>
      </w:r>
      <w:r w:rsidR="005D4921">
        <w:rPr>
          <w:rFonts w:ascii="Arial" w:eastAsia="Calibri" w:hAnsi="Arial" w:cs="Arial"/>
          <w:sz w:val="22"/>
          <w:lang w:val="es-ES_tradnl"/>
        </w:rPr>
        <w:t xml:space="preserve"> ponerse de presente que si se hiciera una interpretación teleológica y extensiva de la norma </w:t>
      </w:r>
      <w:r>
        <w:rPr>
          <w:rFonts w:ascii="Arial" w:eastAsia="Calibri" w:hAnsi="Arial" w:cs="Arial"/>
          <w:sz w:val="22"/>
          <w:lang w:val="es-ES_tradnl"/>
        </w:rPr>
        <w:t xml:space="preserve">en comento </w:t>
      </w:r>
      <w:r w:rsidR="005D4921">
        <w:rPr>
          <w:rFonts w:ascii="Arial" w:eastAsia="Calibri" w:hAnsi="Arial" w:cs="Arial"/>
          <w:sz w:val="22"/>
          <w:lang w:val="es-ES_tradnl"/>
        </w:rPr>
        <w:t xml:space="preserve">se podría </w:t>
      </w:r>
      <w:r w:rsidR="00C609AA">
        <w:rPr>
          <w:rFonts w:ascii="Arial" w:eastAsia="Calibri" w:hAnsi="Arial" w:cs="Arial"/>
          <w:sz w:val="22"/>
          <w:lang w:val="es-ES_tradnl"/>
        </w:rPr>
        <w:t>llegar a pensar</w:t>
      </w:r>
      <w:r w:rsidR="005D4921">
        <w:rPr>
          <w:rFonts w:ascii="Arial" w:eastAsia="Calibri" w:hAnsi="Arial" w:cs="Arial"/>
          <w:sz w:val="22"/>
          <w:lang w:val="es-ES_tradnl"/>
        </w:rPr>
        <w:t xml:space="preserve"> que la inhabilidad debería extenderse a sociedades en el supuesto de hecho </w:t>
      </w:r>
      <w:r>
        <w:rPr>
          <w:rFonts w:ascii="Arial" w:eastAsia="Calibri" w:hAnsi="Arial" w:cs="Arial"/>
          <w:sz w:val="22"/>
          <w:lang w:val="es-ES_tradnl"/>
        </w:rPr>
        <w:t>descrito</w:t>
      </w:r>
      <w:r w:rsidR="005D4921">
        <w:rPr>
          <w:rFonts w:ascii="Arial" w:eastAsia="Calibri" w:hAnsi="Arial" w:cs="Arial"/>
          <w:sz w:val="22"/>
          <w:lang w:val="es-ES_tradnl"/>
        </w:rPr>
        <w:t xml:space="preserve">, </w:t>
      </w:r>
      <w:r>
        <w:rPr>
          <w:rFonts w:ascii="Arial" w:eastAsia="Calibri" w:hAnsi="Arial" w:cs="Arial"/>
          <w:sz w:val="22"/>
          <w:lang w:val="es-ES_tradnl"/>
        </w:rPr>
        <w:t>ya que</w:t>
      </w:r>
      <w:r w:rsidR="005D4921">
        <w:rPr>
          <w:rFonts w:ascii="Arial" w:eastAsia="Calibri" w:hAnsi="Arial" w:cs="Arial"/>
          <w:sz w:val="22"/>
          <w:lang w:val="es-ES_tradnl"/>
        </w:rPr>
        <w:t xml:space="preserve"> de esa manera se garantizaría que no haya «la presencia de familiares en una misma licitación» que puede «seriamente hacer fracasar sus objetivos básicos»</w:t>
      </w:r>
      <w:r w:rsidR="005D4921">
        <w:rPr>
          <w:rStyle w:val="Refdenotaalpie"/>
          <w:rFonts w:ascii="Arial" w:eastAsia="Calibri" w:hAnsi="Arial" w:cs="Arial"/>
          <w:sz w:val="22"/>
          <w:lang w:val="es-ES_tradnl"/>
        </w:rPr>
        <w:footnoteReference w:id="15"/>
      </w:r>
      <w:r w:rsidR="005D4921">
        <w:rPr>
          <w:rFonts w:ascii="Arial" w:eastAsia="Calibri" w:hAnsi="Arial" w:cs="Arial"/>
          <w:sz w:val="22"/>
          <w:lang w:val="es-ES_tradnl"/>
        </w:rPr>
        <w:t xml:space="preserve">. Pese a ello, esta </w:t>
      </w:r>
      <w:r w:rsidR="00F73586">
        <w:rPr>
          <w:rFonts w:ascii="Arial" w:eastAsia="Calibri" w:hAnsi="Arial" w:cs="Arial"/>
          <w:sz w:val="22"/>
          <w:lang w:val="es-ES_tradnl"/>
        </w:rPr>
        <w:t>interpretación</w:t>
      </w:r>
      <w:r w:rsidR="005D4921">
        <w:rPr>
          <w:rFonts w:ascii="Arial" w:eastAsia="Calibri" w:hAnsi="Arial" w:cs="Arial"/>
          <w:sz w:val="22"/>
          <w:lang w:val="es-ES_tradnl"/>
        </w:rPr>
        <w:t xml:space="preserve"> analógica y extensiva </w:t>
      </w:r>
      <w:r w:rsidR="00C609AA">
        <w:rPr>
          <w:rFonts w:ascii="Arial" w:eastAsia="Calibri" w:hAnsi="Arial" w:cs="Arial"/>
          <w:sz w:val="22"/>
          <w:lang w:val="es-ES_tradnl"/>
        </w:rPr>
        <w:t xml:space="preserve">se opone a la necesidad de hacer una interpretación restrictiva de </w:t>
      </w:r>
      <w:r w:rsidR="005C1DA3">
        <w:rPr>
          <w:rFonts w:ascii="Arial" w:eastAsia="Calibri" w:hAnsi="Arial" w:cs="Arial"/>
          <w:sz w:val="22"/>
          <w:lang w:val="es-ES_tradnl"/>
        </w:rPr>
        <w:t>todas las</w:t>
      </w:r>
      <w:r w:rsidR="00C609AA">
        <w:rPr>
          <w:rFonts w:ascii="Arial" w:eastAsia="Calibri" w:hAnsi="Arial" w:cs="Arial"/>
          <w:sz w:val="22"/>
          <w:lang w:val="es-ES_tradnl"/>
        </w:rPr>
        <w:t xml:space="preserve"> inhabilidad</w:t>
      </w:r>
      <w:r w:rsidR="005C1DA3">
        <w:rPr>
          <w:rFonts w:ascii="Arial" w:eastAsia="Calibri" w:hAnsi="Arial" w:cs="Arial"/>
          <w:sz w:val="22"/>
          <w:lang w:val="es-ES_tradnl"/>
        </w:rPr>
        <w:t>es</w:t>
      </w:r>
      <w:r w:rsidR="00F73586">
        <w:rPr>
          <w:rFonts w:ascii="Arial" w:eastAsia="Calibri" w:hAnsi="Arial" w:cs="Arial"/>
          <w:sz w:val="22"/>
          <w:lang w:val="es-ES_tradnl"/>
        </w:rPr>
        <w:t xml:space="preserve"> y por lo mismo debe descartarse</w:t>
      </w:r>
      <w:r w:rsidR="00C609AA">
        <w:rPr>
          <w:rFonts w:ascii="Arial" w:eastAsia="Calibri" w:hAnsi="Arial" w:cs="Arial"/>
          <w:sz w:val="22"/>
          <w:lang w:val="es-ES_tradnl"/>
        </w:rPr>
        <w:t xml:space="preserve">. </w:t>
      </w:r>
    </w:p>
    <w:p w14:paraId="321B7D62" w14:textId="3265961B" w:rsidR="005C1DA3" w:rsidRDefault="00C609AA" w:rsidP="00CC6E68">
      <w:pPr>
        <w:spacing w:before="120" w:after="120" w:line="276" w:lineRule="auto"/>
        <w:ind w:firstLine="708"/>
        <w:jc w:val="both"/>
        <w:rPr>
          <w:rFonts w:ascii="Arial" w:eastAsia="Calibri" w:hAnsi="Arial" w:cs="Arial"/>
          <w:sz w:val="22"/>
          <w:lang w:val="es-ES_tradnl"/>
        </w:rPr>
      </w:pPr>
      <w:r>
        <w:rPr>
          <w:rFonts w:ascii="Arial" w:eastAsia="Calibri" w:hAnsi="Arial" w:cs="Arial"/>
          <w:sz w:val="22"/>
          <w:lang w:val="es-ES_tradnl"/>
        </w:rPr>
        <w:t xml:space="preserve">Adicionalmente, debe llamarse la atención sobre el hecho de que el literal </w:t>
      </w:r>
      <w:r w:rsidR="00CC6E68">
        <w:rPr>
          <w:rFonts w:ascii="Arial" w:eastAsia="Calibri" w:hAnsi="Arial" w:cs="Arial"/>
          <w:sz w:val="22"/>
          <w:lang w:val="es-ES_tradnl"/>
        </w:rPr>
        <w:t>h)</w:t>
      </w:r>
      <w:r>
        <w:rPr>
          <w:rFonts w:ascii="Arial" w:eastAsia="Calibri" w:hAnsi="Arial" w:cs="Arial"/>
          <w:sz w:val="22"/>
          <w:lang w:val="es-ES_tradnl"/>
        </w:rPr>
        <w:t xml:space="preserve"> no hace mención alguna a personas naturales socios del grupo empresarial, matriz o subordinadas.</w:t>
      </w:r>
      <w:r w:rsidR="005C1DA3">
        <w:rPr>
          <w:rFonts w:ascii="Arial" w:eastAsia="Calibri" w:hAnsi="Arial" w:cs="Arial"/>
          <w:sz w:val="22"/>
          <w:lang w:val="es-ES_tradnl"/>
        </w:rPr>
        <w:t xml:space="preserve"> Esto contrasta</w:t>
      </w:r>
      <w:r w:rsidR="00CC6E68">
        <w:rPr>
          <w:rFonts w:ascii="Arial" w:eastAsia="Calibri" w:hAnsi="Arial" w:cs="Arial"/>
          <w:sz w:val="22"/>
          <w:lang w:val="es-ES_tradnl"/>
        </w:rPr>
        <w:t>, a manera de ejemplo,</w:t>
      </w:r>
      <w:r w:rsidR="005C1DA3">
        <w:rPr>
          <w:rFonts w:ascii="Arial" w:eastAsia="Calibri" w:hAnsi="Arial" w:cs="Arial"/>
          <w:sz w:val="22"/>
          <w:lang w:val="es-ES_tradnl"/>
        </w:rPr>
        <w:t xml:space="preserve"> con la</w:t>
      </w:r>
      <w:r w:rsidR="00CC6E68">
        <w:rPr>
          <w:rFonts w:ascii="Arial" w:eastAsia="Calibri" w:hAnsi="Arial" w:cs="Arial"/>
          <w:sz w:val="22"/>
          <w:lang w:val="es-ES_tradnl"/>
        </w:rPr>
        <w:t xml:space="preserve"> inhabilidad</w:t>
      </w:r>
      <w:r w:rsidR="005C1DA3">
        <w:rPr>
          <w:rFonts w:ascii="Arial" w:eastAsia="Calibri" w:hAnsi="Arial" w:cs="Arial"/>
          <w:sz w:val="22"/>
          <w:lang w:val="es-ES_tradnl"/>
        </w:rPr>
        <w:t xml:space="preserve"> contemplada por el literal j) del mismo numeral 1 del artículo 8 de la Ley 80 de 1993</w:t>
      </w:r>
      <w:r w:rsidR="00CC6E68">
        <w:rPr>
          <w:rFonts w:ascii="Arial" w:eastAsia="Calibri" w:hAnsi="Arial" w:cs="Arial"/>
          <w:sz w:val="22"/>
          <w:lang w:val="es-ES_tradnl"/>
        </w:rPr>
        <w:t>,</w:t>
      </w:r>
      <w:r w:rsidR="00F977C7">
        <w:rPr>
          <w:rFonts w:ascii="Arial" w:eastAsia="Calibri" w:hAnsi="Arial" w:cs="Arial"/>
          <w:sz w:val="22"/>
          <w:lang w:val="es-ES_tradnl"/>
        </w:rPr>
        <w:t xml:space="preserve"> introducido por la Ley 2014 de 2019,</w:t>
      </w:r>
      <w:r w:rsidR="00CC6E68">
        <w:rPr>
          <w:rFonts w:ascii="Arial" w:eastAsia="Calibri" w:hAnsi="Arial" w:cs="Arial"/>
          <w:sz w:val="22"/>
          <w:lang w:val="es-ES_tradnl"/>
        </w:rPr>
        <w:t xml:space="preserve"> en el cual con toda claridad se preceptúo: «la inhabilidad se extenderá a las sociedades de las que hagan parte dichas personas en calidad de administradores, representantes legales, miembros de junta directiva o de socios controlantes, a sus matrices y a sus subordinadas, a los grupos empresariales a los que estas pertenezcan […]». Si el legislador hubiese querido hacer extensiva la inhabilidad del literal h) al grupo empresarial, socios de socios, etc., hubiese establecido una disposición como la del literal j), cosa que no sucedió. </w:t>
      </w:r>
    </w:p>
    <w:p w14:paraId="3DDD86A7" w14:textId="7FEAAC8D" w:rsidR="00F977C7" w:rsidRDefault="00F977C7" w:rsidP="00F977C7">
      <w:pPr>
        <w:spacing w:before="120" w:after="120" w:line="276" w:lineRule="auto"/>
        <w:jc w:val="both"/>
        <w:rPr>
          <w:rFonts w:ascii="Arial" w:eastAsia="Calibri" w:hAnsi="Arial" w:cs="Arial"/>
          <w:sz w:val="22"/>
          <w:lang w:val="es-ES_tradnl"/>
        </w:rPr>
      </w:pPr>
      <w:r>
        <w:rPr>
          <w:rFonts w:ascii="Arial" w:eastAsia="Calibri" w:hAnsi="Arial" w:cs="Arial"/>
          <w:sz w:val="22"/>
          <w:lang w:val="es-ES_tradnl"/>
        </w:rPr>
        <w:tab/>
        <w:t>Para cerrar este argumento es importante reconocer que para el momento de expedición de la Ley 80 de 1993 aún no se había expedido la norma vigente en materia de grupos empresariales, la Ley 222 de 1995. No obstante, para 1993 sí se encontraban vigentes los artículos 260 y siguientes</w:t>
      </w:r>
      <w:r w:rsidR="00557640">
        <w:rPr>
          <w:rFonts w:ascii="Arial" w:eastAsia="Calibri" w:hAnsi="Arial" w:cs="Arial"/>
          <w:sz w:val="22"/>
          <w:lang w:val="es-ES_tradnl"/>
        </w:rPr>
        <w:t xml:space="preserve"> del Código de Comercio</w:t>
      </w:r>
      <w:r>
        <w:rPr>
          <w:rFonts w:ascii="Arial" w:eastAsia="Calibri" w:hAnsi="Arial" w:cs="Arial"/>
          <w:sz w:val="22"/>
          <w:lang w:val="es-ES_tradnl"/>
        </w:rPr>
        <w:t xml:space="preserve"> sobre subordinación</w:t>
      </w:r>
      <w:r w:rsidR="00F73586">
        <w:rPr>
          <w:rFonts w:ascii="Arial" w:eastAsia="Calibri" w:hAnsi="Arial" w:cs="Arial"/>
          <w:sz w:val="22"/>
          <w:lang w:val="es-ES_tradnl"/>
        </w:rPr>
        <w:t>,</w:t>
      </w:r>
      <w:r w:rsidR="00557640">
        <w:rPr>
          <w:rFonts w:ascii="Arial" w:eastAsia="Calibri" w:hAnsi="Arial" w:cs="Arial"/>
          <w:sz w:val="22"/>
          <w:lang w:val="es-ES_tradnl"/>
        </w:rPr>
        <w:t xml:space="preserve"> a los cuales </w:t>
      </w:r>
      <w:r w:rsidR="00F73586">
        <w:rPr>
          <w:rFonts w:ascii="Arial" w:eastAsia="Calibri" w:hAnsi="Arial" w:cs="Arial"/>
          <w:sz w:val="22"/>
          <w:lang w:val="es-ES_tradnl"/>
        </w:rPr>
        <w:t>hubiese podido acudir</w:t>
      </w:r>
      <w:r w:rsidR="00557640">
        <w:rPr>
          <w:rFonts w:ascii="Arial" w:eastAsia="Calibri" w:hAnsi="Arial" w:cs="Arial"/>
          <w:sz w:val="22"/>
          <w:lang w:val="es-ES_tradnl"/>
        </w:rPr>
        <w:t xml:space="preserve"> el legislador si su intención hubiese sido limitar la capacidad de las sociedades con capital de personas jurídicas cuyos socios</w:t>
      </w:r>
      <w:r w:rsidR="00F73586">
        <w:rPr>
          <w:rFonts w:ascii="Arial" w:eastAsia="Calibri" w:hAnsi="Arial" w:cs="Arial"/>
          <w:sz w:val="22"/>
          <w:lang w:val="es-ES_tradnl"/>
        </w:rPr>
        <w:t>, personas naturales,</w:t>
      </w:r>
      <w:r w:rsidR="00557640">
        <w:rPr>
          <w:rFonts w:ascii="Arial" w:eastAsia="Calibri" w:hAnsi="Arial" w:cs="Arial"/>
          <w:sz w:val="22"/>
          <w:lang w:val="es-ES_tradnl"/>
        </w:rPr>
        <w:t xml:space="preserve"> </w:t>
      </w:r>
      <w:r w:rsidR="00F73586">
        <w:rPr>
          <w:rFonts w:ascii="Arial" w:eastAsia="Calibri" w:hAnsi="Arial" w:cs="Arial"/>
          <w:sz w:val="22"/>
          <w:lang w:val="es-ES_tradnl"/>
        </w:rPr>
        <w:t xml:space="preserve">se </w:t>
      </w:r>
      <w:proofErr w:type="gramStart"/>
      <w:r w:rsidR="00F73586">
        <w:rPr>
          <w:rFonts w:ascii="Arial" w:eastAsia="Calibri" w:hAnsi="Arial" w:cs="Arial"/>
          <w:sz w:val="22"/>
          <w:lang w:val="es-ES_tradnl"/>
        </w:rPr>
        <w:t>encontraran</w:t>
      </w:r>
      <w:proofErr w:type="gramEnd"/>
      <w:r w:rsidR="00F73586">
        <w:rPr>
          <w:rFonts w:ascii="Arial" w:eastAsia="Calibri" w:hAnsi="Arial" w:cs="Arial"/>
          <w:sz w:val="22"/>
          <w:lang w:val="es-ES_tradnl"/>
        </w:rPr>
        <w:t xml:space="preserve"> en el supuesto de hecho del literal h). </w:t>
      </w:r>
      <w:r w:rsidR="00557640">
        <w:rPr>
          <w:rFonts w:ascii="Arial" w:eastAsia="Calibri" w:hAnsi="Arial" w:cs="Arial"/>
          <w:sz w:val="22"/>
          <w:lang w:val="es-ES_tradnl"/>
        </w:rPr>
        <w:t xml:space="preserve"> </w:t>
      </w:r>
    </w:p>
    <w:p w14:paraId="3A7907A3" w14:textId="237EE35B" w:rsidR="00F73586" w:rsidRDefault="005A5651" w:rsidP="00D7482C">
      <w:pPr>
        <w:spacing w:before="120" w:after="120" w:line="276" w:lineRule="auto"/>
        <w:ind w:firstLine="708"/>
        <w:jc w:val="both"/>
        <w:rPr>
          <w:rFonts w:ascii="Arial" w:eastAsia="Calibri" w:hAnsi="Arial" w:cs="Arial"/>
          <w:sz w:val="22"/>
          <w:lang w:val="es-ES_tradnl"/>
        </w:rPr>
      </w:pPr>
      <w:r>
        <w:rPr>
          <w:rFonts w:ascii="Arial" w:eastAsia="Calibri" w:hAnsi="Arial" w:cs="Arial"/>
          <w:sz w:val="22"/>
          <w:lang w:val="es-ES_tradnl"/>
        </w:rPr>
        <w:t>Además,</w:t>
      </w:r>
      <w:r w:rsidR="005C1DA3">
        <w:rPr>
          <w:rFonts w:ascii="Arial" w:eastAsia="Calibri" w:hAnsi="Arial" w:cs="Arial"/>
          <w:sz w:val="22"/>
          <w:lang w:val="es-ES_tradnl"/>
        </w:rPr>
        <w:t xml:space="preserve"> debe ponerse de presente que el inciso segundo del artículo 98 del Código de Comercio expresamente indica que</w:t>
      </w:r>
      <w:r w:rsidR="00C609AA">
        <w:rPr>
          <w:rFonts w:ascii="Arial" w:eastAsia="Calibri" w:hAnsi="Arial" w:cs="Arial"/>
          <w:sz w:val="22"/>
          <w:lang w:val="es-ES_tradnl"/>
        </w:rPr>
        <w:t xml:space="preserve"> </w:t>
      </w:r>
      <w:r w:rsidR="005C1DA3">
        <w:rPr>
          <w:rFonts w:ascii="Arial" w:eastAsia="Calibri" w:hAnsi="Arial" w:cs="Arial"/>
          <w:sz w:val="22"/>
          <w:lang w:val="es-ES_tradnl"/>
        </w:rPr>
        <w:t>la «</w:t>
      </w:r>
      <w:r w:rsidR="005C1DA3" w:rsidRPr="005C1DA3">
        <w:rPr>
          <w:rFonts w:ascii="Arial" w:eastAsia="Calibri" w:hAnsi="Arial" w:cs="Arial"/>
          <w:sz w:val="22"/>
          <w:lang w:val="es-ES_tradnl"/>
        </w:rPr>
        <w:t>sociedad, una vez constituida legalmente, forma una persona jurídica distinta de los socios individualmente considerados</w:t>
      </w:r>
      <w:r w:rsidR="005C1DA3">
        <w:rPr>
          <w:rFonts w:ascii="Arial" w:eastAsia="Calibri" w:hAnsi="Arial" w:cs="Arial"/>
          <w:sz w:val="22"/>
          <w:lang w:val="es-ES_tradnl"/>
        </w:rPr>
        <w:t>»</w:t>
      </w:r>
      <w:r w:rsidR="00557640">
        <w:rPr>
          <w:rFonts w:ascii="Arial" w:eastAsia="Calibri" w:hAnsi="Arial" w:cs="Arial"/>
          <w:sz w:val="22"/>
          <w:lang w:val="es-ES_tradnl"/>
        </w:rPr>
        <w:t>. Adicionalmente, según lo ha reseñado la Superintendencia de Sociedades para los grupos económicos «</w:t>
      </w:r>
      <w:r w:rsidR="00557640" w:rsidRPr="00557640">
        <w:rPr>
          <w:rFonts w:ascii="Arial" w:eastAsia="Calibri" w:hAnsi="Arial" w:cs="Arial"/>
          <w:sz w:val="22"/>
          <w:lang w:val="es-ES_tradnl"/>
        </w:rPr>
        <w:t>Los sujetos vinculados en situación de control o grupo empresarial en</w:t>
      </w:r>
      <w:r w:rsidR="00557640">
        <w:rPr>
          <w:rFonts w:ascii="Arial" w:eastAsia="Calibri" w:hAnsi="Arial" w:cs="Arial"/>
          <w:sz w:val="22"/>
          <w:lang w:val="es-ES_tradnl"/>
        </w:rPr>
        <w:t xml:space="preserve"> </w:t>
      </w:r>
      <w:r w:rsidR="00557640" w:rsidRPr="00557640">
        <w:rPr>
          <w:rFonts w:ascii="Arial" w:eastAsia="Calibri" w:hAnsi="Arial" w:cs="Arial"/>
          <w:sz w:val="22"/>
          <w:lang w:val="es-ES_tradnl"/>
        </w:rPr>
        <w:t xml:space="preserve">los términos de la Ley 222 </w:t>
      </w:r>
      <w:r w:rsidR="00557640" w:rsidRPr="00557640">
        <w:rPr>
          <w:rFonts w:ascii="Arial" w:eastAsia="Calibri" w:hAnsi="Arial" w:cs="Arial"/>
          <w:sz w:val="22"/>
          <w:lang w:val="es-ES_tradnl"/>
        </w:rPr>
        <w:lastRenderedPageBreak/>
        <w:t>de 1995 conservan su individualidad; es decir, mantienen sus atributos y obligaciones propias</w:t>
      </w:r>
      <w:r w:rsidR="00557640">
        <w:rPr>
          <w:rFonts w:ascii="Arial" w:eastAsia="Calibri" w:hAnsi="Arial" w:cs="Arial"/>
          <w:sz w:val="22"/>
          <w:lang w:val="es-ES_tradnl"/>
        </w:rPr>
        <w:t>»</w:t>
      </w:r>
      <w:r w:rsidR="00557640">
        <w:rPr>
          <w:rStyle w:val="Refdenotaalpie"/>
          <w:rFonts w:ascii="Arial" w:eastAsia="Calibri" w:hAnsi="Arial" w:cs="Arial"/>
          <w:sz w:val="22"/>
          <w:lang w:val="es-ES_tradnl"/>
        </w:rPr>
        <w:footnoteReference w:id="16"/>
      </w:r>
      <w:r w:rsidR="00557640">
        <w:rPr>
          <w:rFonts w:ascii="Arial" w:eastAsia="Calibri" w:hAnsi="Arial" w:cs="Arial"/>
          <w:sz w:val="22"/>
          <w:lang w:val="es-ES_tradnl"/>
        </w:rPr>
        <w:t>.</w:t>
      </w:r>
      <w:r w:rsidR="00D7482C">
        <w:rPr>
          <w:rFonts w:ascii="Arial" w:eastAsia="Calibri" w:hAnsi="Arial" w:cs="Arial"/>
          <w:sz w:val="22"/>
          <w:lang w:val="es-ES_tradnl"/>
        </w:rPr>
        <w:t xml:space="preserve"> P</w:t>
      </w:r>
      <w:r w:rsidR="00CC6E68">
        <w:rPr>
          <w:rFonts w:ascii="Arial" w:eastAsia="Calibri" w:hAnsi="Arial" w:cs="Arial"/>
          <w:sz w:val="22"/>
          <w:lang w:val="es-ES_tradnl"/>
        </w:rPr>
        <w:t>or lo mismo, ni desde una perspectiva pura de derecho administrativo, ni desde una perspectiva de derecho privado</w:t>
      </w:r>
      <w:r w:rsidR="00D7482C">
        <w:rPr>
          <w:rFonts w:ascii="Arial" w:eastAsia="Calibri" w:hAnsi="Arial" w:cs="Arial"/>
          <w:sz w:val="22"/>
          <w:lang w:val="es-ES_tradnl"/>
        </w:rPr>
        <w:t>,</w:t>
      </w:r>
      <w:r w:rsidR="00CC6E68">
        <w:rPr>
          <w:rFonts w:ascii="Arial" w:eastAsia="Calibri" w:hAnsi="Arial" w:cs="Arial"/>
          <w:sz w:val="22"/>
          <w:lang w:val="es-ES_tradnl"/>
        </w:rPr>
        <w:t xml:space="preserve"> puede extenderse la inhabilidad del literal h) </w:t>
      </w:r>
      <w:r w:rsidR="00F977C7">
        <w:rPr>
          <w:rFonts w:ascii="Arial" w:eastAsia="Calibri" w:hAnsi="Arial" w:cs="Arial"/>
          <w:sz w:val="22"/>
          <w:lang w:val="es-ES_tradnl"/>
        </w:rPr>
        <w:t xml:space="preserve">de una sociedad </w:t>
      </w:r>
      <w:r w:rsidR="00F73586">
        <w:rPr>
          <w:rFonts w:ascii="Arial" w:eastAsia="Calibri" w:hAnsi="Arial" w:cs="Arial"/>
          <w:sz w:val="22"/>
          <w:lang w:val="es-ES_tradnl"/>
        </w:rPr>
        <w:t xml:space="preserve">a sus subordinadas o a otras sociedades en las cuales tenga algún grado de participación. </w:t>
      </w:r>
    </w:p>
    <w:p w14:paraId="78E5312F" w14:textId="77777777" w:rsidR="003D53A2" w:rsidRPr="00FE75D2" w:rsidRDefault="003D53A2" w:rsidP="003D53A2">
      <w:pPr>
        <w:spacing w:line="276" w:lineRule="auto"/>
        <w:jc w:val="both"/>
        <w:rPr>
          <w:rFonts w:ascii="Arial" w:eastAsia="Calibri" w:hAnsi="Arial" w:cs="Arial"/>
          <w:color w:val="000000" w:themeColor="text1"/>
          <w:sz w:val="22"/>
          <w:lang w:val="es-ES_tradnl"/>
        </w:rPr>
      </w:pPr>
    </w:p>
    <w:p w14:paraId="1369FD7E" w14:textId="17DA9CB6" w:rsidR="00A37FB6" w:rsidRPr="00E53545" w:rsidRDefault="00A37FB6" w:rsidP="00E53545">
      <w:pPr>
        <w:pStyle w:val="Prrafodelista"/>
        <w:numPr>
          <w:ilvl w:val="0"/>
          <w:numId w:val="6"/>
        </w:numPr>
        <w:tabs>
          <w:tab w:val="left" w:pos="284"/>
        </w:tabs>
        <w:spacing w:line="276" w:lineRule="auto"/>
        <w:ind w:left="0" w:hanging="142"/>
        <w:jc w:val="both"/>
        <w:rPr>
          <w:rFonts w:ascii="Arial" w:eastAsia="Calibri" w:hAnsi="Arial" w:cs="Arial"/>
          <w:color w:val="000000" w:themeColor="text1"/>
          <w:sz w:val="22"/>
        </w:rPr>
      </w:pPr>
      <w:r w:rsidRPr="00FE75D2">
        <w:rPr>
          <w:rFonts w:ascii="Arial" w:eastAsia="Calibri" w:hAnsi="Arial" w:cs="Arial"/>
          <w:b/>
          <w:color w:val="000000" w:themeColor="text1"/>
          <w:sz w:val="22"/>
        </w:rPr>
        <w:t>Respuestas</w:t>
      </w:r>
    </w:p>
    <w:p w14:paraId="38BAA1B3" w14:textId="77777777" w:rsidR="00E53545" w:rsidRPr="00E53545" w:rsidRDefault="00E53545" w:rsidP="00E53545">
      <w:pPr>
        <w:tabs>
          <w:tab w:val="left" w:pos="284"/>
        </w:tabs>
        <w:spacing w:line="276" w:lineRule="auto"/>
        <w:jc w:val="both"/>
        <w:rPr>
          <w:rFonts w:ascii="Arial" w:eastAsia="Calibri" w:hAnsi="Arial" w:cs="Arial"/>
          <w:color w:val="000000" w:themeColor="text1"/>
          <w:sz w:val="22"/>
        </w:rPr>
      </w:pPr>
    </w:p>
    <w:p w14:paraId="04F786C8" w14:textId="60FB9763" w:rsidR="002014A1" w:rsidRDefault="002014A1" w:rsidP="00E53545">
      <w:pPr>
        <w:ind w:left="709" w:right="709"/>
        <w:jc w:val="both"/>
        <w:rPr>
          <w:rFonts w:ascii="Arial" w:eastAsia="Calibri" w:hAnsi="Arial" w:cs="Arial"/>
          <w:color w:val="000000" w:themeColor="text1"/>
          <w:sz w:val="21"/>
          <w:szCs w:val="21"/>
        </w:rPr>
      </w:pPr>
      <w:r w:rsidRPr="002014A1">
        <w:rPr>
          <w:rFonts w:ascii="Arial" w:eastAsia="Calibri" w:hAnsi="Arial" w:cs="Arial"/>
          <w:color w:val="000000" w:themeColor="text1"/>
          <w:sz w:val="21"/>
          <w:szCs w:val="21"/>
        </w:rPr>
        <w:t xml:space="preserve">¿Se extiende la inhabilidad del artículo 8 numeral 1 literal h a las sociedades cuyos socios son personas jurídicas en las cuales tiene participación una persona con parentesco en segundo grado de </w:t>
      </w:r>
      <w:proofErr w:type="spellStart"/>
      <w:r w:rsidRPr="002014A1">
        <w:rPr>
          <w:rFonts w:ascii="Arial" w:eastAsia="Calibri" w:hAnsi="Arial" w:cs="Arial"/>
          <w:color w:val="000000" w:themeColor="text1"/>
          <w:sz w:val="21"/>
          <w:szCs w:val="21"/>
        </w:rPr>
        <w:t>consaguinidad</w:t>
      </w:r>
      <w:proofErr w:type="spellEnd"/>
      <w:r w:rsidRPr="002014A1">
        <w:rPr>
          <w:rFonts w:ascii="Arial" w:eastAsia="Calibri" w:hAnsi="Arial" w:cs="Arial"/>
          <w:color w:val="000000" w:themeColor="text1"/>
          <w:sz w:val="21"/>
          <w:szCs w:val="21"/>
        </w:rPr>
        <w:t xml:space="preserve"> o segundo de afinidad con el representante legal o cualquiera de los socios de una sociedad que haya presentado propuesta?</w:t>
      </w:r>
      <w:r w:rsidR="007E0383" w:rsidRPr="002014A1">
        <w:rPr>
          <w:rFonts w:ascii="Arial" w:eastAsia="Calibri" w:hAnsi="Arial" w:cs="Arial"/>
          <w:color w:val="000000" w:themeColor="text1"/>
          <w:sz w:val="21"/>
          <w:szCs w:val="21"/>
        </w:rPr>
        <w:t xml:space="preserve">  </w:t>
      </w:r>
    </w:p>
    <w:p w14:paraId="2EEB9B4A" w14:textId="77777777" w:rsidR="007F6DBB" w:rsidRPr="00E53545" w:rsidRDefault="007F6DBB" w:rsidP="00E53545">
      <w:pPr>
        <w:ind w:left="709" w:right="709"/>
        <w:jc w:val="both"/>
        <w:rPr>
          <w:rFonts w:ascii="Arial" w:eastAsia="Calibri" w:hAnsi="Arial" w:cs="Arial"/>
          <w:color w:val="000000" w:themeColor="text1"/>
          <w:sz w:val="21"/>
          <w:szCs w:val="21"/>
        </w:rPr>
      </w:pPr>
    </w:p>
    <w:p w14:paraId="21DD9E81" w14:textId="4A457D8C" w:rsidR="00747CD4" w:rsidRDefault="00747CD4" w:rsidP="00747CD4">
      <w:pPr>
        <w:spacing w:before="120" w:after="120" w:line="276" w:lineRule="auto"/>
        <w:jc w:val="both"/>
        <w:rPr>
          <w:rFonts w:ascii="Arial" w:eastAsia="Calibri" w:hAnsi="Arial" w:cs="Arial"/>
          <w:sz w:val="22"/>
          <w:lang w:val="es-ES_tradnl"/>
        </w:rPr>
      </w:pPr>
      <w:r>
        <w:rPr>
          <w:rFonts w:ascii="Arial" w:eastAsia="Calibri" w:hAnsi="Arial" w:cs="Arial"/>
          <w:sz w:val="22"/>
          <w:lang w:val="es-ES_tradnl"/>
        </w:rPr>
        <w:t xml:space="preserve">El supuesto de hecho descrito en el literal h) solamente </w:t>
      </w:r>
      <w:r w:rsidR="00D82824">
        <w:rPr>
          <w:rFonts w:ascii="Arial" w:eastAsia="Calibri" w:hAnsi="Arial" w:cs="Arial"/>
          <w:sz w:val="22"/>
          <w:lang w:val="es-ES_tradnl"/>
        </w:rPr>
        <w:t xml:space="preserve">cubre </w:t>
      </w:r>
      <w:r>
        <w:rPr>
          <w:rFonts w:ascii="Arial" w:eastAsia="Calibri" w:hAnsi="Arial" w:cs="Arial"/>
          <w:sz w:val="22"/>
          <w:lang w:val="es-ES_tradnl"/>
        </w:rPr>
        <w:t>a aquellas sociedades en las cuales el representante legal o alguno de sus socios tienen un parentesco con el representante legal o alguno de los socios de una sociedad «que formalmente haya presentado propuesta». Para usar una máxima latina</w:t>
      </w:r>
      <w:r w:rsidR="00D82824">
        <w:rPr>
          <w:rFonts w:ascii="Arial" w:eastAsia="Calibri" w:hAnsi="Arial" w:cs="Arial"/>
          <w:sz w:val="22"/>
          <w:lang w:val="es-ES_tradnl"/>
        </w:rPr>
        <w:t>:</w:t>
      </w:r>
      <w:r>
        <w:rPr>
          <w:rFonts w:ascii="Arial" w:eastAsia="Calibri" w:hAnsi="Arial" w:cs="Arial"/>
          <w:sz w:val="22"/>
          <w:lang w:val="es-ES_tradnl"/>
        </w:rPr>
        <w:t xml:space="preserve"> </w:t>
      </w:r>
      <w:proofErr w:type="spellStart"/>
      <w:r>
        <w:rPr>
          <w:rFonts w:ascii="Arial" w:eastAsia="Calibri" w:hAnsi="Arial" w:cs="Arial"/>
          <w:i/>
          <w:iCs/>
          <w:sz w:val="22"/>
          <w:lang w:val="es-ES_tradnl"/>
        </w:rPr>
        <w:t>Expressio</w:t>
      </w:r>
      <w:proofErr w:type="spellEnd"/>
      <w:r>
        <w:rPr>
          <w:rFonts w:ascii="Arial" w:eastAsia="Calibri" w:hAnsi="Arial" w:cs="Arial"/>
          <w:i/>
          <w:iCs/>
          <w:sz w:val="22"/>
          <w:lang w:val="es-ES_tradnl"/>
        </w:rPr>
        <w:t xml:space="preserve"> </w:t>
      </w:r>
      <w:proofErr w:type="spellStart"/>
      <w:r>
        <w:rPr>
          <w:rFonts w:ascii="Arial" w:eastAsia="Calibri" w:hAnsi="Arial" w:cs="Arial"/>
          <w:i/>
          <w:iCs/>
          <w:sz w:val="22"/>
          <w:lang w:val="es-ES_tradnl"/>
        </w:rPr>
        <w:t>unius</w:t>
      </w:r>
      <w:proofErr w:type="spellEnd"/>
      <w:r>
        <w:rPr>
          <w:rFonts w:ascii="Arial" w:eastAsia="Calibri" w:hAnsi="Arial" w:cs="Arial"/>
          <w:i/>
          <w:iCs/>
          <w:sz w:val="22"/>
          <w:lang w:val="es-ES_tradnl"/>
        </w:rPr>
        <w:t xml:space="preserve"> </w:t>
      </w:r>
      <w:proofErr w:type="spellStart"/>
      <w:r>
        <w:rPr>
          <w:rFonts w:ascii="Arial" w:eastAsia="Calibri" w:hAnsi="Arial" w:cs="Arial"/>
          <w:i/>
          <w:iCs/>
          <w:sz w:val="22"/>
          <w:lang w:val="es-ES_tradnl"/>
        </w:rPr>
        <w:t>est</w:t>
      </w:r>
      <w:proofErr w:type="spellEnd"/>
      <w:r>
        <w:rPr>
          <w:rFonts w:ascii="Arial" w:eastAsia="Calibri" w:hAnsi="Arial" w:cs="Arial"/>
          <w:i/>
          <w:iCs/>
          <w:sz w:val="22"/>
          <w:lang w:val="es-ES_tradnl"/>
        </w:rPr>
        <w:t xml:space="preserve"> </w:t>
      </w:r>
      <w:proofErr w:type="spellStart"/>
      <w:r>
        <w:rPr>
          <w:rFonts w:ascii="Arial" w:eastAsia="Calibri" w:hAnsi="Arial" w:cs="Arial"/>
          <w:i/>
          <w:iCs/>
          <w:sz w:val="22"/>
          <w:lang w:val="es-ES_tradnl"/>
        </w:rPr>
        <w:t>exclusio</w:t>
      </w:r>
      <w:proofErr w:type="spellEnd"/>
      <w:r>
        <w:rPr>
          <w:rFonts w:ascii="Arial" w:eastAsia="Calibri" w:hAnsi="Arial" w:cs="Arial"/>
          <w:i/>
          <w:iCs/>
          <w:sz w:val="22"/>
          <w:lang w:val="es-ES_tradnl"/>
        </w:rPr>
        <w:t xml:space="preserve"> </w:t>
      </w:r>
      <w:proofErr w:type="spellStart"/>
      <w:r>
        <w:rPr>
          <w:rFonts w:ascii="Arial" w:eastAsia="Calibri" w:hAnsi="Arial" w:cs="Arial"/>
          <w:i/>
          <w:iCs/>
          <w:sz w:val="22"/>
          <w:lang w:val="es-ES_tradnl"/>
        </w:rPr>
        <w:t>alterius</w:t>
      </w:r>
      <w:proofErr w:type="spellEnd"/>
      <w:r>
        <w:rPr>
          <w:rFonts w:ascii="Arial" w:eastAsia="Calibri" w:hAnsi="Arial" w:cs="Arial"/>
          <w:i/>
          <w:iCs/>
          <w:sz w:val="22"/>
          <w:lang w:val="es-ES_tradnl"/>
        </w:rPr>
        <w:t xml:space="preserve">, </w:t>
      </w:r>
      <w:r w:rsidR="00D82824">
        <w:rPr>
          <w:rFonts w:ascii="Arial" w:eastAsia="Calibri" w:hAnsi="Arial" w:cs="Arial"/>
          <w:sz w:val="22"/>
          <w:lang w:val="es-ES_tradnl"/>
        </w:rPr>
        <w:t xml:space="preserve">es decir que </w:t>
      </w:r>
      <w:r>
        <w:rPr>
          <w:rFonts w:ascii="Arial" w:eastAsia="Calibri" w:hAnsi="Arial" w:cs="Arial"/>
          <w:sz w:val="22"/>
          <w:lang w:val="es-ES_tradnl"/>
        </w:rPr>
        <w:t xml:space="preserve">cualquier escenario que no se encuadre perfectamente allí se encuentra excluido del supuesto de hecho. </w:t>
      </w:r>
    </w:p>
    <w:p w14:paraId="06DA3602" w14:textId="67604ED7" w:rsidR="00F977C7" w:rsidRDefault="002172CF" w:rsidP="00F977C7">
      <w:pPr>
        <w:spacing w:before="120" w:after="120" w:line="276" w:lineRule="auto"/>
        <w:ind w:firstLine="708"/>
        <w:jc w:val="both"/>
        <w:rPr>
          <w:rFonts w:ascii="Arial" w:eastAsia="Calibri" w:hAnsi="Arial" w:cs="Arial"/>
          <w:sz w:val="22"/>
          <w:lang w:val="es-ES_tradnl"/>
        </w:rPr>
      </w:pPr>
      <w:r>
        <w:rPr>
          <w:rFonts w:ascii="Arial" w:eastAsia="Calibri" w:hAnsi="Arial" w:cs="Arial"/>
          <w:sz w:val="22"/>
          <w:lang w:val="es-ES_tradnl"/>
        </w:rPr>
        <w:t>Por ello, e</w:t>
      </w:r>
      <w:r w:rsidR="00F977C7">
        <w:rPr>
          <w:rFonts w:ascii="Arial" w:eastAsia="Calibri" w:hAnsi="Arial" w:cs="Arial"/>
          <w:sz w:val="22"/>
          <w:lang w:val="es-ES_tradnl"/>
        </w:rPr>
        <w:t xml:space="preserve">sta inhabilidad solamente </w:t>
      </w:r>
      <w:r w:rsidR="00747CD4">
        <w:rPr>
          <w:rFonts w:ascii="Arial" w:eastAsia="Calibri" w:hAnsi="Arial" w:cs="Arial"/>
          <w:sz w:val="22"/>
          <w:lang w:val="es-ES_tradnl"/>
        </w:rPr>
        <w:t>aplica a</w:t>
      </w:r>
      <w:r w:rsidR="00F977C7">
        <w:rPr>
          <w:rFonts w:ascii="Arial" w:eastAsia="Calibri" w:hAnsi="Arial" w:cs="Arial"/>
          <w:sz w:val="22"/>
          <w:lang w:val="es-ES_tradnl"/>
        </w:rPr>
        <w:t xml:space="preserve"> aquellas sociedades conformadas o representadas por personas naturales</w:t>
      </w:r>
      <w:r w:rsidR="00D82824">
        <w:rPr>
          <w:rFonts w:ascii="Arial" w:eastAsia="Calibri" w:hAnsi="Arial" w:cs="Arial"/>
          <w:sz w:val="22"/>
          <w:lang w:val="es-ES_tradnl"/>
        </w:rPr>
        <w:t>,</w:t>
      </w:r>
      <w:r w:rsidR="00F977C7">
        <w:rPr>
          <w:rFonts w:ascii="Arial" w:eastAsia="Calibri" w:hAnsi="Arial" w:cs="Arial"/>
          <w:sz w:val="22"/>
          <w:lang w:val="es-ES_tradnl"/>
        </w:rPr>
        <w:t xml:space="preserve"> pues los grados de parentesco solamente se predican de este tipo de personas</w:t>
      </w:r>
      <w:r w:rsidR="00F977C7">
        <w:rPr>
          <w:rStyle w:val="Refdenotaalpie"/>
          <w:rFonts w:ascii="Arial" w:eastAsia="Calibri" w:hAnsi="Arial" w:cs="Arial"/>
          <w:sz w:val="22"/>
          <w:lang w:val="es-ES_tradnl"/>
        </w:rPr>
        <w:footnoteReference w:id="17"/>
      </w:r>
      <w:r w:rsidR="00F977C7">
        <w:rPr>
          <w:rFonts w:ascii="Arial" w:eastAsia="Calibri" w:hAnsi="Arial" w:cs="Arial"/>
          <w:sz w:val="22"/>
          <w:lang w:val="es-ES_tradnl"/>
        </w:rPr>
        <w:t>. Luego, ante la presencia de una sociedad cuyos socios son personas jurídicas se torna imposible la aplicación de esta precisa inhabilidad. En palabras más sencillas, el artículo 8</w:t>
      </w:r>
      <w:r w:rsidR="00D82824">
        <w:rPr>
          <w:rFonts w:ascii="Arial" w:eastAsia="Calibri" w:hAnsi="Arial" w:cs="Arial"/>
          <w:sz w:val="22"/>
          <w:lang w:val="es-ES_tradnl"/>
        </w:rPr>
        <w:t>,</w:t>
      </w:r>
      <w:r w:rsidR="00F977C7">
        <w:rPr>
          <w:rFonts w:ascii="Arial" w:eastAsia="Calibri" w:hAnsi="Arial" w:cs="Arial"/>
          <w:sz w:val="22"/>
          <w:lang w:val="es-ES_tradnl"/>
        </w:rPr>
        <w:t xml:space="preserve"> numeral 1</w:t>
      </w:r>
      <w:r w:rsidR="00D82824">
        <w:rPr>
          <w:rFonts w:ascii="Arial" w:eastAsia="Calibri" w:hAnsi="Arial" w:cs="Arial"/>
          <w:sz w:val="22"/>
          <w:lang w:val="es-ES_tradnl"/>
        </w:rPr>
        <w:t>,</w:t>
      </w:r>
      <w:r w:rsidR="00F977C7">
        <w:rPr>
          <w:rFonts w:ascii="Arial" w:eastAsia="Calibri" w:hAnsi="Arial" w:cs="Arial"/>
          <w:sz w:val="22"/>
          <w:lang w:val="es-ES_tradnl"/>
        </w:rPr>
        <w:t xml:space="preserve"> literal h)</w:t>
      </w:r>
      <w:r w:rsidR="00D82824">
        <w:rPr>
          <w:rFonts w:ascii="Arial" w:eastAsia="Calibri" w:hAnsi="Arial" w:cs="Arial"/>
          <w:sz w:val="22"/>
          <w:lang w:val="es-ES_tradnl"/>
        </w:rPr>
        <w:t>,</w:t>
      </w:r>
      <w:r w:rsidR="00F977C7">
        <w:rPr>
          <w:rFonts w:ascii="Arial" w:eastAsia="Calibri" w:hAnsi="Arial" w:cs="Arial"/>
          <w:sz w:val="22"/>
          <w:lang w:val="es-ES_tradnl"/>
        </w:rPr>
        <w:t xml:space="preserve"> no es aplicable a sociedades que estén conformadas exclusivamente por personas jurídicas. </w:t>
      </w:r>
    </w:p>
    <w:p w14:paraId="6F004B6F" w14:textId="77777777" w:rsidR="00582C39" w:rsidRDefault="00582C39" w:rsidP="00582C39">
      <w:pPr>
        <w:spacing w:before="120" w:after="120" w:line="276" w:lineRule="auto"/>
        <w:ind w:firstLine="708"/>
        <w:jc w:val="both"/>
        <w:rPr>
          <w:rFonts w:ascii="Arial" w:eastAsia="Calibri" w:hAnsi="Arial" w:cs="Arial"/>
          <w:sz w:val="22"/>
          <w:lang w:val="es-ES_tradnl"/>
        </w:rPr>
      </w:pPr>
      <w:r>
        <w:rPr>
          <w:rFonts w:ascii="Arial" w:eastAsia="Calibri" w:hAnsi="Arial" w:cs="Arial"/>
          <w:sz w:val="22"/>
          <w:lang w:val="es-ES_tradnl"/>
        </w:rPr>
        <w:t xml:space="preserve">Dicho ello, se debe aclarar que la inhabilidad analizada no se extiende a las sociedades que están conformadas por personas jurídicas, aun cuando estas tengan como socio a una persona natural que se encuentra en alguno de los grados de parentesco prescritos en el literal h). </w:t>
      </w:r>
    </w:p>
    <w:p w14:paraId="6C739E8F" w14:textId="5D0F6A35" w:rsidR="007F6DBB" w:rsidRDefault="00960E69" w:rsidP="005F01C8">
      <w:pPr>
        <w:spacing w:before="120" w:after="120" w:line="276" w:lineRule="auto"/>
        <w:ind w:firstLine="708"/>
        <w:jc w:val="both"/>
        <w:rPr>
          <w:rFonts w:ascii="Arial" w:eastAsia="Calibri" w:hAnsi="Arial" w:cs="Arial"/>
          <w:sz w:val="22"/>
          <w:lang w:val="es-ES_tradnl"/>
        </w:rPr>
      </w:pPr>
      <w:r>
        <w:rPr>
          <w:rFonts w:ascii="Arial" w:eastAsia="Calibri" w:hAnsi="Arial" w:cs="Arial"/>
          <w:sz w:val="22"/>
          <w:lang w:val="es-ES_tradnl"/>
        </w:rPr>
        <w:t>Además,</w:t>
      </w:r>
      <w:r w:rsidR="00F73586">
        <w:rPr>
          <w:rFonts w:ascii="Arial" w:eastAsia="Calibri" w:hAnsi="Arial" w:cs="Arial"/>
          <w:sz w:val="22"/>
          <w:lang w:val="es-ES_tradnl"/>
        </w:rPr>
        <w:t xml:space="preserve"> debe ponerse de presente que el inciso segundo del artículo 98 del Código de Comercio expresamente indica que la «</w:t>
      </w:r>
      <w:r w:rsidR="00F73586" w:rsidRPr="005C1DA3">
        <w:rPr>
          <w:rFonts w:ascii="Arial" w:eastAsia="Calibri" w:hAnsi="Arial" w:cs="Arial"/>
          <w:sz w:val="22"/>
          <w:lang w:val="es-ES_tradnl"/>
        </w:rPr>
        <w:t>sociedad, una vez constituida legalmente, forma una persona jurídica distinta de los socios individualmente considerados</w:t>
      </w:r>
      <w:r w:rsidR="00F73586">
        <w:rPr>
          <w:rFonts w:ascii="Arial" w:eastAsia="Calibri" w:hAnsi="Arial" w:cs="Arial"/>
          <w:sz w:val="22"/>
          <w:lang w:val="es-ES_tradnl"/>
        </w:rPr>
        <w:t xml:space="preserve">». Adicionalmente, </w:t>
      </w:r>
      <w:r w:rsidR="00F73586">
        <w:rPr>
          <w:rFonts w:ascii="Arial" w:eastAsia="Calibri" w:hAnsi="Arial" w:cs="Arial"/>
          <w:sz w:val="22"/>
          <w:lang w:val="es-ES_tradnl"/>
        </w:rPr>
        <w:lastRenderedPageBreak/>
        <w:t>según lo ha reseñado la Superintendencia de Sociedades para los grupos económicos «</w:t>
      </w:r>
      <w:r w:rsidR="00F73586" w:rsidRPr="00557640">
        <w:rPr>
          <w:rFonts w:ascii="Arial" w:eastAsia="Calibri" w:hAnsi="Arial" w:cs="Arial"/>
          <w:sz w:val="22"/>
          <w:lang w:val="es-ES_tradnl"/>
        </w:rPr>
        <w:t>Los sujetos vinculados en situación de control o grupo empresarial en</w:t>
      </w:r>
      <w:r w:rsidR="00F73586">
        <w:rPr>
          <w:rFonts w:ascii="Arial" w:eastAsia="Calibri" w:hAnsi="Arial" w:cs="Arial"/>
          <w:sz w:val="22"/>
          <w:lang w:val="es-ES_tradnl"/>
        </w:rPr>
        <w:t xml:space="preserve"> </w:t>
      </w:r>
      <w:r w:rsidR="00F73586" w:rsidRPr="00557640">
        <w:rPr>
          <w:rFonts w:ascii="Arial" w:eastAsia="Calibri" w:hAnsi="Arial" w:cs="Arial"/>
          <w:sz w:val="22"/>
          <w:lang w:val="es-ES_tradnl"/>
        </w:rPr>
        <w:t>los términos de la Ley 222 de 1995 conservan su individualidad; es decir, mantienen sus atributos y obligaciones propias</w:t>
      </w:r>
      <w:r w:rsidR="00F73586">
        <w:rPr>
          <w:rFonts w:ascii="Arial" w:eastAsia="Calibri" w:hAnsi="Arial" w:cs="Arial"/>
          <w:sz w:val="22"/>
          <w:lang w:val="es-ES_tradnl"/>
        </w:rPr>
        <w:t>»</w:t>
      </w:r>
      <w:r w:rsidR="00F73586">
        <w:rPr>
          <w:rStyle w:val="Refdenotaalpie"/>
          <w:rFonts w:ascii="Arial" w:eastAsia="Calibri" w:hAnsi="Arial" w:cs="Arial"/>
          <w:sz w:val="22"/>
          <w:lang w:val="es-ES_tradnl"/>
        </w:rPr>
        <w:footnoteReference w:id="18"/>
      </w:r>
      <w:r w:rsidR="00F73586">
        <w:rPr>
          <w:rFonts w:ascii="Arial" w:eastAsia="Calibri" w:hAnsi="Arial" w:cs="Arial"/>
          <w:sz w:val="22"/>
          <w:lang w:val="es-ES_tradnl"/>
        </w:rPr>
        <w:t>. Por lo mismo, ni desde una perspectiva pura de derecho administrativo, ni desde una perspectiva de derecho privado, puede extenderse la inhabilidad del literal h)</w:t>
      </w:r>
      <w:r w:rsidR="00256641">
        <w:rPr>
          <w:rFonts w:ascii="Arial" w:eastAsia="Calibri" w:hAnsi="Arial" w:cs="Arial"/>
          <w:sz w:val="22"/>
          <w:lang w:val="es-ES_tradnl"/>
        </w:rPr>
        <w:t>,</w:t>
      </w:r>
      <w:r w:rsidR="00F73586">
        <w:rPr>
          <w:rFonts w:ascii="Arial" w:eastAsia="Calibri" w:hAnsi="Arial" w:cs="Arial"/>
          <w:sz w:val="22"/>
          <w:lang w:val="es-ES_tradnl"/>
        </w:rPr>
        <w:t xml:space="preserve"> de una sociedad a sus subordinadas o a otras sociedades en las cuales tenga algún grado de participación. </w:t>
      </w:r>
    </w:p>
    <w:p w14:paraId="5A227784" w14:textId="2A96CE3C" w:rsidR="00E53545" w:rsidRDefault="00A37FB6" w:rsidP="00F23E3A">
      <w:pPr>
        <w:spacing w:line="276" w:lineRule="auto"/>
        <w:jc w:val="both"/>
        <w:rPr>
          <w:rFonts w:ascii="Arial" w:eastAsia="Calibri" w:hAnsi="Arial" w:cs="Arial"/>
          <w:color w:val="000000" w:themeColor="text1"/>
          <w:sz w:val="22"/>
        </w:rPr>
      </w:pPr>
      <w:r w:rsidRPr="00FE75D2">
        <w:rPr>
          <w:rFonts w:ascii="Arial" w:eastAsia="Calibri" w:hAnsi="Arial" w:cs="Arial"/>
          <w:color w:val="000000" w:themeColor="text1"/>
          <w:sz w:val="22"/>
        </w:rPr>
        <w:t>Este concepto tiene el alcance previsto en el artículo 28 del Código de Procedimiento Administrativo y de lo Contencioso Administrativo.</w:t>
      </w:r>
    </w:p>
    <w:p w14:paraId="7672980E" w14:textId="77777777" w:rsidR="007F6DBB" w:rsidRDefault="007F6DBB" w:rsidP="00F23E3A">
      <w:pPr>
        <w:spacing w:line="276" w:lineRule="auto"/>
        <w:jc w:val="both"/>
        <w:rPr>
          <w:rFonts w:ascii="Arial" w:eastAsia="Calibri" w:hAnsi="Arial" w:cs="Arial"/>
          <w:color w:val="000000" w:themeColor="text1"/>
          <w:sz w:val="22"/>
        </w:rPr>
      </w:pPr>
    </w:p>
    <w:p w14:paraId="0F8C901F" w14:textId="0A758957" w:rsidR="00A37FB6" w:rsidRPr="00FE75D2" w:rsidRDefault="00A37FB6" w:rsidP="00F23E3A">
      <w:pPr>
        <w:spacing w:line="276" w:lineRule="auto"/>
        <w:jc w:val="both"/>
        <w:rPr>
          <w:rFonts w:ascii="Arial" w:eastAsia="Calibri" w:hAnsi="Arial" w:cs="Arial"/>
          <w:color w:val="000000" w:themeColor="text1"/>
          <w:sz w:val="22"/>
        </w:rPr>
      </w:pPr>
      <w:r w:rsidRPr="00FE75D2">
        <w:rPr>
          <w:noProof/>
          <w:color w:val="000000" w:themeColor="text1"/>
          <w:lang w:val="en-US"/>
        </w:rPr>
        <mc:AlternateContent>
          <mc:Choice Requires="wps">
            <w:drawing>
              <wp:anchor distT="0" distB="0" distL="114300" distR="114300" simplePos="0" relativeHeight="251658240" behindDoc="0" locked="0" layoutInCell="1" allowOverlap="1" wp14:anchorId="2171F34F" wp14:editId="2B8FE3D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31D5D0DD">
              <v:line id="Conector recto 1"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1F3FB06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">
                <w10:wrap anchorx="page"/>
              </v:line>
            </w:pict>
          </mc:Fallback>
        </mc:AlternateContent>
      </w:r>
    </w:p>
    <w:p w14:paraId="1E81A930" w14:textId="77777777" w:rsidR="00A37FB6" w:rsidRPr="00FE75D2" w:rsidRDefault="00A37FB6" w:rsidP="00F23E3A">
      <w:pPr>
        <w:spacing w:line="276" w:lineRule="auto"/>
        <w:rPr>
          <w:rFonts w:ascii="Arial" w:eastAsia="Times New Roman" w:hAnsi="Arial" w:cs="Arial"/>
          <w:color w:val="000000" w:themeColor="text1"/>
          <w:sz w:val="22"/>
          <w:lang w:eastAsia="es-CO"/>
        </w:rPr>
      </w:pPr>
      <w:r w:rsidRPr="00FE75D2">
        <w:rPr>
          <w:rFonts w:ascii="Arial" w:eastAsia="Times New Roman" w:hAnsi="Arial" w:cs="Arial"/>
          <w:color w:val="000000" w:themeColor="text1"/>
          <w:sz w:val="22"/>
          <w:lang w:eastAsia="es-CO"/>
        </w:rPr>
        <w:t>Atentamente,</w:t>
      </w:r>
    </w:p>
    <w:p w14:paraId="57DD1EBD" w14:textId="49DBFA67" w:rsidR="00746E08" w:rsidRDefault="002314A5" w:rsidP="00F23E3A">
      <w:pPr>
        <w:spacing w:line="276" w:lineRule="auto"/>
        <w:jc w:val="center"/>
        <w:rPr>
          <w:rFonts w:ascii="Arial" w:eastAsia="Times New Roman" w:hAnsi="Arial" w:cs="Arial"/>
          <w:color w:val="000000" w:themeColor="text1"/>
          <w:sz w:val="18"/>
          <w:szCs w:val="20"/>
          <w:lang w:eastAsia="es-CO"/>
        </w:rPr>
      </w:pPr>
      <w:r>
        <w:rPr>
          <w:noProof/>
        </w:rPr>
        <w:drawing>
          <wp:inline distT="0" distB="0" distL="0" distR="0" wp14:anchorId="0319FC09" wp14:editId="1E9525AA">
            <wp:extent cx="2773144" cy="988695"/>
            <wp:effectExtent l="0" t="0" r="0" b="0"/>
            <wp:docPr id="123811437"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pic:cNvPicPr/>
                  </pic:nvPicPr>
                  <pic:blipFill>
                    <a:blip r:embed="rId11">
                      <a:extLst>
                        <a:ext uri="{28A0092B-C50C-407E-A947-70E740481C1C}">
                          <a14:useLocalDpi xmlns:a14="http://schemas.microsoft.com/office/drawing/2010/main" val="0"/>
                        </a:ext>
                      </a:extLst>
                    </a:blip>
                    <a:stretch>
                      <a:fillRect/>
                    </a:stretch>
                  </pic:blipFill>
                  <pic:spPr>
                    <a:xfrm>
                      <a:off x="0" y="0"/>
                      <a:ext cx="2773144" cy="988695"/>
                    </a:xfrm>
                    <a:prstGeom prst="rect">
                      <a:avLst/>
                    </a:prstGeom>
                  </pic:spPr>
                </pic:pic>
              </a:graphicData>
            </a:graphic>
          </wp:inline>
        </w:drawing>
      </w:r>
    </w:p>
    <w:p w14:paraId="17222B12" w14:textId="77777777" w:rsidR="001E03D2" w:rsidRPr="00FE75D2" w:rsidRDefault="001E03D2" w:rsidP="00F23E3A">
      <w:pPr>
        <w:spacing w:line="276" w:lineRule="auto"/>
        <w:jc w:val="center"/>
        <w:rPr>
          <w:rFonts w:ascii="Arial" w:eastAsia="Times New Roman"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E91B3B" w:rsidRPr="001B1976" w14:paraId="444FEAE7" w14:textId="77777777" w:rsidTr="005C1DA3">
        <w:trPr>
          <w:trHeight w:val="315"/>
        </w:trPr>
        <w:tc>
          <w:tcPr>
            <w:tcW w:w="812" w:type="dxa"/>
            <w:vAlign w:val="center"/>
            <w:hideMark/>
          </w:tcPr>
          <w:p w14:paraId="206FC64C" w14:textId="77777777" w:rsidR="00E91B3B" w:rsidRPr="001B1976" w:rsidRDefault="00E91B3B" w:rsidP="005C1DA3">
            <w:pPr>
              <w:rPr>
                <w:rFonts w:ascii="Arial" w:eastAsia="Times New Roman" w:hAnsi="Arial" w:cs="Arial"/>
                <w:color w:val="000000" w:themeColor="text1"/>
                <w:sz w:val="16"/>
                <w:szCs w:val="16"/>
                <w:lang w:eastAsia="es-ES"/>
              </w:rPr>
            </w:pPr>
            <w:r w:rsidRPr="001B1976">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7B17187D" w14:textId="77777777" w:rsidR="00E91B3B" w:rsidRPr="001B1976" w:rsidRDefault="00E91B3B" w:rsidP="005C1DA3">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Sebastián Barreto Cifuentes</w:t>
            </w:r>
          </w:p>
          <w:p w14:paraId="40136D2B" w14:textId="77777777" w:rsidR="00E91B3B" w:rsidRPr="001B1976" w:rsidRDefault="00E91B3B" w:rsidP="005C1DA3">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Contratista Dirección y Subdirección de Gestión Contractual</w:t>
            </w:r>
          </w:p>
        </w:tc>
      </w:tr>
      <w:tr w:rsidR="00E91B3B" w:rsidRPr="001B1976" w14:paraId="1E41A6C5" w14:textId="77777777" w:rsidTr="005C1DA3">
        <w:trPr>
          <w:trHeight w:val="330"/>
        </w:trPr>
        <w:tc>
          <w:tcPr>
            <w:tcW w:w="812" w:type="dxa"/>
            <w:vAlign w:val="center"/>
            <w:hideMark/>
          </w:tcPr>
          <w:p w14:paraId="48F3896B" w14:textId="77777777" w:rsidR="00E91B3B" w:rsidRPr="001B1976" w:rsidRDefault="00E91B3B" w:rsidP="005C1DA3">
            <w:pPr>
              <w:rPr>
                <w:rFonts w:ascii="Arial" w:eastAsia="Times New Roman" w:hAnsi="Arial" w:cs="Arial"/>
                <w:color w:val="000000" w:themeColor="text1"/>
                <w:sz w:val="16"/>
                <w:szCs w:val="16"/>
                <w:lang w:eastAsia="es-ES"/>
              </w:rPr>
            </w:pPr>
            <w:r w:rsidRPr="001B1976">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1EB9E1F" w14:textId="336A5077" w:rsidR="00E91B3B" w:rsidRPr="001B1976" w:rsidRDefault="00B86E53" w:rsidP="005C1DA3">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Cristian Andrés Díaz Díez</w:t>
            </w:r>
          </w:p>
          <w:p w14:paraId="071DD359" w14:textId="109DBD93" w:rsidR="00E91B3B" w:rsidRPr="001B1976" w:rsidRDefault="00B86E53" w:rsidP="005C1DA3">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 xml:space="preserve">Contratista, </w:t>
            </w:r>
            <w:r w:rsidR="00E91B3B" w:rsidRPr="001B1976">
              <w:rPr>
                <w:rFonts w:ascii="Arial" w:eastAsia="Times New Roman" w:hAnsi="Arial" w:cs="Arial"/>
                <w:color w:val="000000" w:themeColor="text1"/>
                <w:sz w:val="16"/>
                <w:szCs w:val="16"/>
                <w:lang w:eastAsia="es-ES"/>
              </w:rPr>
              <w:t>Subdirec</w:t>
            </w:r>
            <w:r>
              <w:rPr>
                <w:rFonts w:ascii="Arial" w:eastAsia="Times New Roman" w:hAnsi="Arial" w:cs="Arial"/>
                <w:color w:val="000000" w:themeColor="text1"/>
                <w:sz w:val="16"/>
                <w:szCs w:val="16"/>
                <w:lang w:eastAsia="es-ES"/>
              </w:rPr>
              <w:t>ción</w:t>
            </w:r>
            <w:r w:rsidR="00E91B3B" w:rsidRPr="001B1976">
              <w:rPr>
                <w:rFonts w:ascii="Arial" w:eastAsia="Times New Roman" w:hAnsi="Arial" w:cs="Arial"/>
                <w:color w:val="000000" w:themeColor="text1"/>
                <w:sz w:val="16"/>
                <w:szCs w:val="16"/>
                <w:lang w:eastAsia="es-ES"/>
              </w:rPr>
              <w:t xml:space="preserve"> de Gestión Contractual</w:t>
            </w:r>
          </w:p>
        </w:tc>
      </w:tr>
      <w:tr w:rsidR="00E91B3B" w:rsidRPr="001B1976" w14:paraId="33483540" w14:textId="77777777" w:rsidTr="005C1DA3">
        <w:trPr>
          <w:trHeight w:val="300"/>
        </w:trPr>
        <w:tc>
          <w:tcPr>
            <w:tcW w:w="812" w:type="dxa"/>
            <w:vAlign w:val="center"/>
            <w:hideMark/>
          </w:tcPr>
          <w:p w14:paraId="57A79833" w14:textId="77777777" w:rsidR="00E91B3B" w:rsidRPr="001B1976" w:rsidRDefault="00E91B3B" w:rsidP="005C1DA3">
            <w:pPr>
              <w:rPr>
                <w:rFonts w:ascii="Arial" w:eastAsia="Times New Roman" w:hAnsi="Arial" w:cs="Arial"/>
                <w:color w:val="000000" w:themeColor="text1"/>
                <w:sz w:val="16"/>
                <w:szCs w:val="16"/>
                <w:lang w:eastAsia="es-ES"/>
              </w:rPr>
            </w:pPr>
            <w:r w:rsidRPr="001B1976">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386C50D" w14:textId="77777777" w:rsidR="00E91B3B" w:rsidRPr="001B1976" w:rsidRDefault="00E91B3B" w:rsidP="005C1DA3">
            <w:pPr>
              <w:rPr>
                <w:rFonts w:ascii="Arial" w:eastAsia="Times New Roman" w:hAnsi="Arial" w:cs="Arial"/>
                <w:color w:val="000000" w:themeColor="text1"/>
                <w:sz w:val="16"/>
                <w:szCs w:val="16"/>
                <w:lang w:eastAsia="es-ES"/>
              </w:rPr>
            </w:pPr>
            <w:r w:rsidRPr="001B1976">
              <w:rPr>
                <w:rFonts w:ascii="Arial" w:eastAsia="Times New Roman" w:hAnsi="Arial" w:cs="Arial"/>
                <w:color w:val="000000" w:themeColor="text1"/>
                <w:sz w:val="16"/>
                <w:szCs w:val="16"/>
                <w:lang w:eastAsia="es-ES"/>
              </w:rPr>
              <w:t>Fabián Gonzalo Marín Cortés</w:t>
            </w:r>
          </w:p>
          <w:p w14:paraId="74426C78" w14:textId="77777777" w:rsidR="00E91B3B" w:rsidRPr="001B1976" w:rsidRDefault="00E91B3B" w:rsidP="005C1DA3">
            <w:pPr>
              <w:rPr>
                <w:rFonts w:ascii="Arial" w:eastAsia="Times New Roman" w:hAnsi="Arial" w:cs="Arial"/>
                <w:color w:val="000000" w:themeColor="text1"/>
                <w:sz w:val="16"/>
                <w:szCs w:val="16"/>
                <w:lang w:eastAsia="es-ES"/>
              </w:rPr>
            </w:pPr>
            <w:r w:rsidRPr="001B1976">
              <w:rPr>
                <w:rFonts w:ascii="Arial" w:eastAsia="Times New Roman" w:hAnsi="Arial" w:cs="Arial"/>
                <w:color w:val="000000" w:themeColor="text1"/>
                <w:sz w:val="16"/>
                <w:szCs w:val="16"/>
                <w:lang w:eastAsia="es-ES"/>
              </w:rPr>
              <w:t>Subdirector de Gestión Contractual</w:t>
            </w:r>
          </w:p>
        </w:tc>
      </w:tr>
    </w:tbl>
    <w:p w14:paraId="35B56F46" w14:textId="77777777" w:rsidR="00746E08" w:rsidRPr="00FE75D2" w:rsidRDefault="00746E08" w:rsidP="00F23E3A">
      <w:pPr>
        <w:spacing w:line="276" w:lineRule="auto"/>
        <w:rPr>
          <w:rFonts w:ascii="Arial" w:eastAsia="Times New Roman" w:hAnsi="Arial" w:cs="Arial"/>
          <w:color w:val="000000" w:themeColor="text1"/>
          <w:sz w:val="16"/>
          <w:szCs w:val="16"/>
          <w:lang w:eastAsia="es-ES"/>
        </w:rPr>
      </w:pPr>
    </w:p>
    <w:sectPr w:rsidR="00746E08" w:rsidRPr="00FE75D2" w:rsidSect="00BC56A0">
      <w:headerReference w:type="default" r:id="rId12"/>
      <w:footerReference w:type="default" r:id="rId13"/>
      <w:pgSz w:w="12240" w:h="15840"/>
      <w:pgMar w:top="1985" w:right="1644" w:bottom="1361" w:left="1644"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399D452" w14:textId="77777777" w:rsidR="00A654B3" w:rsidRDefault="00A654B3">
      <w:r>
        <w:separator/>
      </w:r>
    </w:p>
  </w:endnote>
  <w:endnote w:type="continuationSeparator" w:id="0">
    <w:p w14:paraId="5A073F3F" w14:textId="77777777" w:rsidR="00A654B3" w:rsidRDefault="00A654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5C1DA3" w:rsidRDefault="005C1DA3" w:rsidP="00322937">
    <w:pPr>
      <w:pStyle w:val="Sinespaciado"/>
      <w:jc w:val="right"/>
      <w:rPr>
        <w:rFonts w:ascii="Arial" w:hAnsi="Arial" w:cs="Arial"/>
        <w:sz w:val="18"/>
        <w:szCs w:val="18"/>
      </w:rPr>
    </w:pPr>
  </w:p>
  <w:p w14:paraId="7A3785F3" w14:textId="3A1D3F49" w:rsidR="005C1DA3" w:rsidRPr="008217B7" w:rsidRDefault="005C1DA3"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2314A5">
      <w:rPr>
        <w:rFonts w:ascii="Arial" w:hAnsi="Arial" w:cs="Arial"/>
        <w:b/>
        <w:bCs/>
        <w:noProof/>
        <w:color w:val="7F7F7F" w:themeColor="text1" w:themeTint="80"/>
        <w:sz w:val="16"/>
        <w:szCs w:val="16"/>
      </w:rPr>
      <w:t>13</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2314A5">
      <w:rPr>
        <w:rFonts w:ascii="Arial" w:hAnsi="Arial" w:cs="Arial"/>
        <w:b/>
        <w:bCs/>
        <w:noProof/>
        <w:color w:val="7F7F7F" w:themeColor="text1" w:themeTint="80"/>
        <w:sz w:val="16"/>
        <w:szCs w:val="16"/>
      </w:rPr>
      <w:t>13</w:t>
    </w:r>
    <w:r w:rsidRPr="00084B97">
      <w:rPr>
        <w:rFonts w:ascii="Arial" w:hAnsi="Arial" w:cs="Arial"/>
        <w:b/>
        <w:bCs/>
        <w:color w:val="7F7F7F" w:themeColor="text1" w:themeTint="80"/>
        <w:sz w:val="16"/>
        <w:szCs w:val="16"/>
      </w:rPr>
      <w:fldChar w:fldCharType="end"/>
    </w:r>
  </w:p>
  <w:p w14:paraId="48FC6A04" w14:textId="5FD1A7C9" w:rsidR="005C1DA3" w:rsidRDefault="70C63DD2" w:rsidP="00322937">
    <w:pPr>
      <w:pStyle w:val="Piedepgina"/>
      <w:jc w:val="center"/>
      <w:rPr>
        <w:lang w:val="es-ES"/>
      </w:rPr>
    </w:pPr>
    <w:r>
      <w:rPr>
        <w:noProof/>
      </w:rPr>
      <w:drawing>
        <wp:inline distT="0" distB="0" distL="0" distR="0" wp14:anchorId="608B196D" wp14:editId="36D2F9B4">
          <wp:extent cx="3700130" cy="519139"/>
          <wp:effectExtent l="0" t="0" r="0" b="0"/>
          <wp:docPr id="189204014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5C1DA3" w:rsidRDefault="005C1DA3" w:rsidP="007B0854">
    <w:pPr>
      <w:pStyle w:val="Piedepgina"/>
      <w:jc w:val="center"/>
      <w:rPr>
        <w:lang w:val="es-ES"/>
      </w:rPr>
    </w:pPr>
  </w:p>
  <w:p w14:paraId="6C0EFC49" w14:textId="77777777" w:rsidR="005C1DA3" w:rsidRPr="007B0854" w:rsidRDefault="005C1DA3"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7C1765" w14:textId="77777777" w:rsidR="00A654B3" w:rsidRDefault="00A654B3">
      <w:r>
        <w:separator/>
      </w:r>
    </w:p>
  </w:footnote>
  <w:footnote w:type="continuationSeparator" w:id="0">
    <w:p w14:paraId="72153386" w14:textId="77777777" w:rsidR="00A654B3" w:rsidRDefault="00A654B3">
      <w:r>
        <w:continuationSeparator/>
      </w:r>
    </w:p>
  </w:footnote>
  <w:footnote w:id="1">
    <w:p w14:paraId="4BE36391" w14:textId="77777777" w:rsidR="005C1DA3" w:rsidRPr="004519BF" w:rsidRDefault="005C1DA3" w:rsidP="005F01C8">
      <w:pPr>
        <w:pStyle w:val="Textonotapie"/>
        <w:ind w:firstLine="709"/>
        <w:jc w:val="both"/>
        <w:rPr>
          <w:rFonts w:ascii="Arial" w:hAnsi="Arial" w:cs="Arial"/>
          <w:sz w:val="19"/>
          <w:szCs w:val="19"/>
        </w:rPr>
      </w:pPr>
      <w:r w:rsidRPr="004519BF">
        <w:rPr>
          <w:rStyle w:val="Refdenotaalpie"/>
          <w:rFonts w:ascii="Arial" w:hAnsi="Arial" w:cs="Arial"/>
          <w:sz w:val="19"/>
          <w:szCs w:val="19"/>
        </w:rPr>
        <w:footnoteRef/>
      </w:r>
      <w:r w:rsidRPr="004519BF">
        <w:rPr>
          <w:rFonts w:ascii="Arial" w:hAnsi="Arial" w:cs="Arial"/>
          <w:sz w:val="19"/>
          <w:szCs w:val="19"/>
        </w:rPr>
        <w:t xml:space="preserve"> CORTE CONSTITUCIONAL. Sentencia C-1016 de 2012. M.P. Jorge Iván Palacio. </w:t>
      </w:r>
    </w:p>
    <w:p w14:paraId="6D6F94F4" w14:textId="77777777" w:rsidR="005C1DA3" w:rsidRPr="004519BF" w:rsidRDefault="005C1DA3" w:rsidP="005F01C8">
      <w:pPr>
        <w:pStyle w:val="Textonotapie"/>
        <w:ind w:firstLine="709"/>
        <w:jc w:val="both"/>
        <w:rPr>
          <w:rFonts w:ascii="Arial" w:hAnsi="Arial" w:cs="Arial"/>
          <w:sz w:val="19"/>
          <w:szCs w:val="19"/>
        </w:rPr>
      </w:pPr>
    </w:p>
  </w:footnote>
  <w:footnote w:id="2">
    <w:p w14:paraId="0E8DA9BE" w14:textId="6E3E5F86" w:rsidR="005C1DA3" w:rsidRPr="004519BF" w:rsidRDefault="005C1DA3" w:rsidP="005F01C8">
      <w:pPr>
        <w:pStyle w:val="Textonotapie"/>
        <w:ind w:firstLine="709"/>
        <w:jc w:val="both"/>
        <w:rPr>
          <w:rFonts w:ascii="Arial" w:hAnsi="Arial" w:cs="Arial"/>
          <w:sz w:val="19"/>
          <w:szCs w:val="19"/>
        </w:rPr>
      </w:pPr>
      <w:r w:rsidRPr="004519BF">
        <w:rPr>
          <w:rStyle w:val="Refdenotaalpie"/>
          <w:rFonts w:ascii="Arial" w:hAnsi="Arial" w:cs="Arial"/>
          <w:sz w:val="19"/>
          <w:szCs w:val="19"/>
        </w:rPr>
        <w:footnoteRef/>
      </w:r>
      <w:r w:rsidRPr="004519BF">
        <w:rPr>
          <w:rFonts w:ascii="Arial" w:hAnsi="Arial" w:cs="Arial"/>
          <w:sz w:val="19"/>
          <w:szCs w:val="19"/>
        </w:rPr>
        <w:t xml:space="preserve"> CONSEJO DE ESTADO. Sección Tercera. Subsección A. Sentencia del 13 de noviembre de 2013. Rad. 25.646. C.P. Mauricio Fajardo Gómez.  </w:t>
      </w:r>
    </w:p>
  </w:footnote>
  <w:footnote w:id="3">
    <w:p w14:paraId="6BB58ECD" w14:textId="77777777" w:rsidR="005C1DA3" w:rsidRPr="004519BF" w:rsidRDefault="005C1DA3" w:rsidP="005F01C8">
      <w:pPr>
        <w:pStyle w:val="Textonotapie"/>
        <w:ind w:firstLine="709"/>
        <w:jc w:val="both"/>
        <w:rPr>
          <w:rFonts w:ascii="Arial" w:hAnsi="Arial" w:cs="Arial"/>
          <w:sz w:val="19"/>
          <w:szCs w:val="19"/>
        </w:rPr>
      </w:pPr>
      <w:r w:rsidRPr="004519BF">
        <w:rPr>
          <w:rFonts w:ascii="Arial" w:hAnsi="Arial" w:cs="Arial"/>
          <w:sz w:val="19"/>
          <w:szCs w:val="19"/>
          <w:vertAlign w:val="superscript"/>
        </w:rPr>
        <w:footnoteRef/>
      </w:r>
      <w:r w:rsidRPr="004519BF">
        <w:rPr>
          <w:rFonts w:ascii="Arial" w:hAnsi="Arial" w:cs="Arial"/>
          <w:sz w:val="19"/>
          <w:szCs w:val="19"/>
        </w:rPr>
        <w:t xml:space="preserve"> CORTE CONSTITUCIONAL. Sentencia C-415 de 1994. M.P. Eduardo Cifuentes Muñoz. </w:t>
      </w:r>
    </w:p>
    <w:p w14:paraId="2F3431D4" w14:textId="77777777" w:rsidR="005C1DA3" w:rsidRPr="004519BF" w:rsidRDefault="005C1DA3" w:rsidP="005F01C8">
      <w:pPr>
        <w:pStyle w:val="Textonotapie"/>
        <w:ind w:firstLine="709"/>
        <w:jc w:val="both"/>
        <w:rPr>
          <w:rFonts w:ascii="Arial" w:hAnsi="Arial" w:cs="Arial"/>
          <w:sz w:val="19"/>
          <w:szCs w:val="19"/>
        </w:rPr>
      </w:pPr>
    </w:p>
  </w:footnote>
  <w:footnote w:id="4">
    <w:p w14:paraId="402F8B8B" w14:textId="15B8D133" w:rsidR="005C1DA3" w:rsidRPr="004519BF" w:rsidRDefault="005C1DA3" w:rsidP="005F01C8">
      <w:pPr>
        <w:pStyle w:val="Textonotapie"/>
        <w:ind w:firstLine="709"/>
        <w:jc w:val="both"/>
        <w:rPr>
          <w:rFonts w:ascii="Arial" w:hAnsi="Arial" w:cs="Arial"/>
          <w:sz w:val="19"/>
          <w:szCs w:val="19"/>
        </w:rPr>
      </w:pPr>
      <w:r w:rsidRPr="004519BF">
        <w:rPr>
          <w:rStyle w:val="Refdenotaalpie"/>
          <w:rFonts w:ascii="Arial" w:hAnsi="Arial" w:cs="Arial"/>
          <w:sz w:val="19"/>
          <w:szCs w:val="19"/>
        </w:rPr>
        <w:footnoteRef/>
      </w:r>
      <w:r w:rsidRPr="004519BF">
        <w:rPr>
          <w:rFonts w:ascii="Arial" w:hAnsi="Arial" w:cs="Arial"/>
          <w:sz w:val="19"/>
          <w:szCs w:val="19"/>
        </w:rPr>
        <w:t xml:space="preserve"> </w:t>
      </w:r>
      <w:proofErr w:type="spellStart"/>
      <w:r w:rsidRPr="004519BF">
        <w:rPr>
          <w:rFonts w:ascii="Arial" w:hAnsi="Arial" w:cs="Arial"/>
          <w:sz w:val="19"/>
          <w:szCs w:val="19"/>
        </w:rPr>
        <w:t>Ibídem</w:t>
      </w:r>
      <w:proofErr w:type="spellEnd"/>
      <w:r w:rsidRPr="004519BF">
        <w:rPr>
          <w:rFonts w:ascii="Arial" w:hAnsi="Arial" w:cs="Arial"/>
          <w:sz w:val="19"/>
          <w:szCs w:val="19"/>
        </w:rPr>
        <w:t xml:space="preserve">. </w:t>
      </w:r>
    </w:p>
  </w:footnote>
  <w:footnote w:id="5">
    <w:p w14:paraId="2884EEAB" w14:textId="268AB13E" w:rsidR="005C1DA3" w:rsidRPr="004519BF" w:rsidRDefault="005C1DA3" w:rsidP="005F01C8">
      <w:pPr>
        <w:pStyle w:val="Textonotapie"/>
        <w:ind w:firstLine="709"/>
        <w:jc w:val="both"/>
        <w:rPr>
          <w:rFonts w:ascii="Arial" w:hAnsi="Arial" w:cs="Arial"/>
          <w:sz w:val="19"/>
          <w:szCs w:val="19"/>
        </w:rPr>
      </w:pPr>
      <w:r w:rsidRPr="004519BF">
        <w:rPr>
          <w:rStyle w:val="Refdenotaalpie"/>
          <w:rFonts w:ascii="Arial" w:hAnsi="Arial" w:cs="Arial"/>
          <w:sz w:val="19"/>
          <w:szCs w:val="19"/>
        </w:rPr>
        <w:footnoteRef/>
      </w:r>
      <w:r w:rsidRPr="004519BF">
        <w:rPr>
          <w:rFonts w:ascii="Arial" w:hAnsi="Arial" w:cs="Arial"/>
          <w:sz w:val="19"/>
          <w:szCs w:val="19"/>
        </w:rPr>
        <w:t xml:space="preserve"> CORTE CONSTITUCIONAL. Sentencia C-780 de 2001. M.P. Jaime Córdoba Triviño. </w:t>
      </w:r>
    </w:p>
  </w:footnote>
  <w:footnote w:id="6">
    <w:p w14:paraId="0EC4CE19" w14:textId="77777777" w:rsidR="005C1DA3" w:rsidRPr="004519BF" w:rsidRDefault="005C1DA3" w:rsidP="005F01C8">
      <w:pPr>
        <w:pStyle w:val="NormalWeb"/>
        <w:spacing w:before="0" w:beforeAutospacing="0" w:after="0" w:afterAutospacing="0"/>
        <w:ind w:firstLine="709"/>
        <w:jc w:val="both"/>
        <w:rPr>
          <w:rFonts w:ascii="Arial" w:eastAsiaTheme="minorHAnsi" w:hAnsi="Arial" w:cs="Arial"/>
          <w:sz w:val="19"/>
          <w:szCs w:val="19"/>
          <w:lang w:val="es-ES" w:eastAsia="en-US"/>
        </w:rPr>
      </w:pPr>
      <w:r w:rsidRPr="004519BF">
        <w:rPr>
          <w:rStyle w:val="Refdenotaalpie"/>
          <w:rFonts w:ascii="Arial" w:hAnsi="Arial" w:cs="Arial"/>
          <w:sz w:val="19"/>
          <w:szCs w:val="19"/>
        </w:rPr>
        <w:footnoteRef/>
      </w:r>
      <w:r w:rsidRPr="004519BF">
        <w:rPr>
          <w:rFonts w:ascii="Arial" w:hAnsi="Arial" w:cs="Arial"/>
          <w:sz w:val="19"/>
          <w:szCs w:val="19"/>
        </w:rPr>
        <w:t xml:space="preserve"> </w:t>
      </w:r>
      <w:r w:rsidRPr="004519BF">
        <w:rPr>
          <w:rFonts w:ascii="Arial" w:eastAsiaTheme="minorHAnsi" w:hAnsi="Arial" w:cs="Arial"/>
          <w:sz w:val="19"/>
          <w:szCs w:val="19"/>
          <w:lang w:val="es-ES" w:eastAsia="en-US"/>
        </w:rPr>
        <w:t>Ley 80 de 1993: «Artículo 8: 1o. Son inhábiles para participar en licitaciones o concursos y para celebrar contratos con las entidades estatales: </w:t>
      </w:r>
    </w:p>
    <w:p w14:paraId="2F233C7F" w14:textId="77777777" w:rsidR="005C1DA3" w:rsidRPr="004519BF" w:rsidRDefault="005C1DA3" w:rsidP="005F01C8">
      <w:pPr>
        <w:pStyle w:val="NormalWeb"/>
        <w:spacing w:before="0" w:beforeAutospacing="0" w:after="0" w:afterAutospacing="0"/>
        <w:ind w:firstLine="709"/>
        <w:jc w:val="both"/>
        <w:rPr>
          <w:rFonts w:ascii="Arial" w:eastAsiaTheme="minorHAnsi" w:hAnsi="Arial" w:cs="Arial"/>
          <w:sz w:val="19"/>
          <w:szCs w:val="19"/>
          <w:lang w:val="es-ES" w:eastAsia="en-US"/>
        </w:rPr>
      </w:pPr>
      <w:r w:rsidRPr="004519BF">
        <w:rPr>
          <w:rFonts w:ascii="Arial" w:eastAsiaTheme="minorHAnsi" w:hAnsi="Arial" w:cs="Arial"/>
          <w:sz w:val="19"/>
          <w:szCs w:val="19"/>
          <w:lang w:val="es-ES" w:eastAsia="en-US"/>
        </w:rPr>
        <w:t>  </w:t>
      </w:r>
      <w:r w:rsidRPr="004519BF">
        <w:rPr>
          <w:rFonts w:ascii="Arial" w:eastAsiaTheme="minorHAnsi" w:hAnsi="Arial" w:cs="Arial"/>
          <w:sz w:val="19"/>
          <w:szCs w:val="19"/>
          <w:lang w:val="es-ES" w:eastAsia="en-US"/>
        </w:rPr>
        <w:tab/>
      </w:r>
      <w:proofErr w:type="gramStart"/>
      <w:r w:rsidRPr="004519BF">
        <w:rPr>
          <w:rFonts w:ascii="Arial" w:eastAsiaTheme="minorHAnsi" w:hAnsi="Arial" w:cs="Arial"/>
          <w:sz w:val="19"/>
          <w:szCs w:val="19"/>
          <w:lang w:val="es-ES" w:eastAsia="en-US"/>
        </w:rPr>
        <w:t>»a</w:t>
      </w:r>
      <w:proofErr w:type="gramEnd"/>
      <w:r w:rsidRPr="004519BF">
        <w:rPr>
          <w:rFonts w:ascii="Arial" w:eastAsiaTheme="minorHAnsi" w:hAnsi="Arial" w:cs="Arial"/>
          <w:sz w:val="19"/>
          <w:szCs w:val="19"/>
          <w:lang w:val="es-ES" w:eastAsia="en-US"/>
        </w:rPr>
        <w:t>) Las personas que se hallen inhabilitadas para contratar por la Constitución y las leyes. </w:t>
      </w:r>
    </w:p>
    <w:p w14:paraId="75D49C71" w14:textId="77777777" w:rsidR="005C1DA3" w:rsidRPr="004519BF" w:rsidRDefault="005C1DA3" w:rsidP="005F01C8">
      <w:pPr>
        <w:pStyle w:val="NormalWeb"/>
        <w:spacing w:before="0" w:beforeAutospacing="0" w:after="0" w:afterAutospacing="0"/>
        <w:ind w:firstLine="709"/>
        <w:jc w:val="both"/>
        <w:rPr>
          <w:rFonts w:ascii="Arial" w:eastAsiaTheme="minorHAnsi" w:hAnsi="Arial" w:cs="Arial"/>
          <w:sz w:val="19"/>
          <w:szCs w:val="19"/>
          <w:lang w:val="es-ES" w:eastAsia="en-US"/>
        </w:rPr>
      </w:pPr>
      <w:r w:rsidRPr="004519BF">
        <w:rPr>
          <w:rFonts w:ascii="Arial" w:eastAsiaTheme="minorHAnsi" w:hAnsi="Arial" w:cs="Arial"/>
          <w:sz w:val="19"/>
          <w:szCs w:val="19"/>
          <w:lang w:val="es-ES" w:eastAsia="en-US"/>
        </w:rPr>
        <w:t>  </w:t>
      </w:r>
      <w:r w:rsidRPr="004519BF">
        <w:rPr>
          <w:rFonts w:ascii="Arial" w:eastAsiaTheme="minorHAnsi" w:hAnsi="Arial" w:cs="Arial"/>
          <w:sz w:val="19"/>
          <w:szCs w:val="19"/>
          <w:lang w:val="es-ES" w:eastAsia="en-US"/>
        </w:rPr>
        <w:tab/>
      </w:r>
      <w:proofErr w:type="gramStart"/>
      <w:r w:rsidRPr="004519BF">
        <w:rPr>
          <w:rFonts w:ascii="Arial" w:eastAsiaTheme="minorHAnsi" w:hAnsi="Arial" w:cs="Arial"/>
          <w:sz w:val="19"/>
          <w:szCs w:val="19"/>
          <w:lang w:val="es-ES" w:eastAsia="en-US"/>
        </w:rPr>
        <w:t>»b</w:t>
      </w:r>
      <w:proofErr w:type="gramEnd"/>
      <w:r w:rsidRPr="004519BF">
        <w:rPr>
          <w:rFonts w:ascii="Arial" w:eastAsiaTheme="minorHAnsi" w:hAnsi="Arial" w:cs="Arial"/>
          <w:sz w:val="19"/>
          <w:szCs w:val="19"/>
          <w:lang w:val="es-ES" w:eastAsia="en-US"/>
        </w:rPr>
        <w:t>) Quienes participaron en las licitaciones o concursos o celebraron los contratos de que trata el literal anterior estando inhabilitados. </w:t>
      </w:r>
    </w:p>
    <w:p w14:paraId="78827FC0" w14:textId="77777777" w:rsidR="005C1DA3" w:rsidRPr="004519BF" w:rsidRDefault="005C1DA3" w:rsidP="005F01C8">
      <w:pPr>
        <w:pStyle w:val="NormalWeb"/>
        <w:spacing w:before="0" w:beforeAutospacing="0" w:after="0" w:afterAutospacing="0"/>
        <w:ind w:firstLine="709"/>
        <w:jc w:val="both"/>
        <w:rPr>
          <w:rFonts w:ascii="Arial" w:eastAsiaTheme="minorHAnsi" w:hAnsi="Arial" w:cs="Arial"/>
          <w:sz w:val="19"/>
          <w:szCs w:val="19"/>
          <w:lang w:val="es-ES" w:eastAsia="en-US"/>
        </w:rPr>
      </w:pPr>
      <w:r w:rsidRPr="004519BF">
        <w:rPr>
          <w:rFonts w:ascii="Arial" w:eastAsiaTheme="minorHAnsi" w:hAnsi="Arial" w:cs="Arial"/>
          <w:sz w:val="19"/>
          <w:szCs w:val="19"/>
          <w:lang w:val="es-ES" w:eastAsia="en-US"/>
        </w:rPr>
        <w:t>  </w:t>
      </w:r>
      <w:r w:rsidRPr="004519BF">
        <w:rPr>
          <w:rFonts w:ascii="Arial" w:eastAsiaTheme="minorHAnsi" w:hAnsi="Arial" w:cs="Arial"/>
          <w:sz w:val="19"/>
          <w:szCs w:val="19"/>
          <w:lang w:val="es-ES" w:eastAsia="en-US"/>
        </w:rPr>
        <w:tab/>
        <w:t>»c) Quienes dieron lugar a la declaratoria de caducidad. </w:t>
      </w:r>
    </w:p>
    <w:p w14:paraId="416BEDBF" w14:textId="77777777" w:rsidR="005C1DA3" w:rsidRPr="004519BF" w:rsidRDefault="005C1DA3" w:rsidP="005F01C8">
      <w:pPr>
        <w:pStyle w:val="NormalWeb"/>
        <w:spacing w:before="0" w:beforeAutospacing="0" w:after="0" w:afterAutospacing="0"/>
        <w:ind w:firstLine="709"/>
        <w:jc w:val="both"/>
        <w:rPr>
          <w:rFonts w:ascii="Arial" w:eastAsiaTheme="minorHAnsi" w:hAnsi="Arial" w:cs="Arial"/>
          <w:sz w:val="19"/>
          <w:szCs w:val="19"/>
          <w:lang w:val="es-ES" w:eastAsia="en-US"/>
        </w:rPr>
      </w:pPr>
      <w:r w:rsidRPr="004519BF">
        <w:rPr>
          <w:rFonts w:ascii="Arial" w:eastAsiaTheme="minorHAnsi" w:hAnsi="Arial" w:cs="Arial"/>
          <w:sz w:val="19"/>
          <w:szCs w:val="19"/>
          <w:lang w:val="es-ES" w:eastAsia="en-US"/>
        </w:rPr>
        <w:t>  </w:t>
      </w:r>
      <w:r w:rsidRPr="004519BF">
        <w:rPr>
          <w:rFonts w:ascii="Arial" w:eastAsiaTheme="minorHAnsi" w:hAnsi="Arial" w:cs="Arial"/>
          <w:sz w:val="19"/>
          <w:szCs w:val="19"/>
          <w:lang w:val="es-ES" w:eastAsia="en-US"/>
        </w:rPr>
        <w:tab/>
      </w:r>
      <w:proofErr w:type="gramStart"/>
      <w:r w:rsidRPr="004519BF">
        <w:rPr>
          <w:rFonts w:ascii="Arial" w:eastAsiaTheme="minorHAnsi" w:hAnsi="Arial" w:cs="Arial"/>
          <w:sz w:val="19"/>
          <w:szCs w:val="19"/>
          <w:lang w:val="es-ES" w:eastAsia="en-US"/>
        </w:rPr>
        <w:t>»d</w:t>
      </w:r>
      <w:proofErr w:type="gramEnd"/>
      <w:r w:rsidRPr="004519BF">
        <w:rPr>
          <w:rFonts w:ascii="Arial" w:eastAsiaTheme="minorHAnsi" w:hAnsi="Arial" w:cs="Arial"/>
          <w:sz w:val="19"/>
          <w:szCs w:val="19"/>
          <w:lang w:val="es-ES" w:eastAsia="en-US"/>
        </w:rPr>
        <w:t>) Quienes en sentencia judicial hayan sido condenados a la pena accesoria de interdicción de derechos y funciones públicas y quienes hayan sido sancionados disciplinariamente con destitución. </w:t>
      </w:r>
    </w:p>
    <w:p w14:paraId="648CA21C" w14:textId="77777777" w:rsidR="005C1DA3" w:rsidRPr="004519BF" w:rsidRDefault="005C1DA3" w:rsidP="005F01C8">
      <w:pPr>
        <w:pStyle w:val="NormalWeb"/>
        <w:spacing w:before="0" w:beforeAutospacing="0" w:after="0" w:afterAutospacing="0"/>
        <w:ind w:firstLine="709"/>
        <w:jc w:val="both"/>
        <w:rPr>
          <w:rFonts w:ascii="Arial" w:eastAsiaTheme="minorHAnsi" w:hAnsi="Arial" w:cs="Arial"/>
          <w:sz w:val="19"/>
          <w:szCs w:val="19"/>
          <w:lang w:val="es-ES" w:eastAsia="en-US"/>
        </w:rPr>
      </w:pPr>
      <w:r w:rsidRPr="004519BF">
        <w:rPr>
          <w:rFonts w:ascii="Arial" w:eastAsiaTheme="minorHAnsi" w:hAnsi="Arial" w:cs="Arial"/>
          <w:sz w:val="19"/>
          <w:szCs w:val="19"/>
          <w:lang w:val="es-ES" w:eastAsia="en-US"/>
        </w:rPr>
        <w:t>  </w:t>
      </w:r>
      <w:r w:rsidRPr="004519BF">
        <w:rPr>
          <w:rFonts w:ascii="Arial" w:eastAsiaTheme="minorHAnsi" w:hAnsi="Arial" w:cs="Arial"/>
          <w:sz w:val="19"/>
          <w:szCs w:val="19"/>
          <w:lang w:val="es-ES" w:eastAsia="en-US"/>
        </w:rPr>
        <w:tab/>
      </w:r>
      <w:proofErr w:type="gramStart"/>
      <w:r w:rsidRPr="004519BF">
        <w:rPr>
          <w:rFonts w:ascii="Arial" w:eastAsiaTheme="minorHAnsi" w:hAnsi="Arial" w:cs="Arial"/>
          <w:sz w:val="19"/>
          <w:szCs w:val="19"/>
          <w:lang w:val="es-ES" w:eastAsia="en-US"/>
        </w:rPr>
        <w:t>»e</w:t>
      </w:r>
      <w:proofErr w:type="gramEnd"/>
      <w:r w:rsidRPr="004519BF">
        <w:rPr>
          <w:rFonts w:ascii="Arial" w:eastAsiaTheme="minorHAnsi" w:hAnsi="Arial" w:cs="Arial"/>
          <w:sz w:val="19"/>
          <w:szCs w:val="19"/>
          <w:lang w:val="es-ES" w:eastAsia="en-US"/>
        </w:rPr>
        <w:t>) Quienes sin justa causa se abstengan de suscribir el contrato estatal adjudicado. </w:t>
      </w:r>
    </w:p>
    <w:p w14:paraId="0233F154" w14:textId="77777777" w:rsidR="005C1DA3" w:rsidRPr="004519BF" w:rsidRDefault="005C1DA3" w:rsidP="005F01C8">
      <w:pPr>
        <w:pStyle w:val="NormalWeb"/>
        <w:spacing w:before="0" w:beforeAutospacing="0" w:after="0" w:afterAutospacing="0"/>
        <w:ind w:firstLine="709"/>
        <w:jc w:val="both"/>
        <w:rPr>
          <w:rFonts w:ascii="Arial" w:eastAsiaTheme="minorHAnsi" w:hAnsi="Arial" w:cs="Arial"/>
          <w:sz w:val="19"/>
          <w:szCs w:val="19"/>
          <w:lang w:val="es-ES" w:eastAsia="en-US"/>
        </w:rPr>
      </w:pPr>
      <w:r w:rsidRPr="004519BF">
        <w:rPr>
          <w:rFonts w:ascii="Arial" w:eastAsiaTheme="minorHAnsi" w:hAnsi="Arial" w:cs="Arial"/>
          <w:sz w:val="19"/>
          <w:szCs w:val="19"/>
          <w:lang w:val="es-ES" w:eastAsia="en-US"/>
        </w:rPr>
        <w:t>  </w:t>
      </w:r>
      <w:r w:rsidRPr="004519BF">
        <w:rPr>
          <w:rFonts w:ascii="Arial" w:eastAsiaTheme="minorHAnsi" w:hAnsi="Arial" w:cs="Arial"/>
          <w:sz w:val="19"/>
          <w:szCs w:val="19"/>
          <w:lang w:val="es-ES" w:eastAsia="en-US"/>
        </w:rPr>
        <w:tab/>
      </w:r>
      <w:proofErr w:type="gramStart"/>
      <w:r w:rsidRPr="004519BF">
        <w:rPr>
          <w:rFonts w:ascii="Arial" w:eastAsiaTheme="minorHAnsi" w:hAnsi="Arial" w:cs="Arial"/>
          <w:sz w:val="19"/>
          <w:szCs w:val="19"/>
          <w:lang w:val="es-ES" w:eastAsia="en-US"/>
        </w:rPr>
        <w:t>»f</w:t>
      </w:r>
      <w:proofErr w:type="gramEnd"/>
      <w:r w:rsidRPr="004519BF">
        <w:rPr>
          <w:rFonts w:ascii="Arial" w:eastAsiaTheme="minorHAnsi" w:hAnsi="Arial" w:cs="Arial"/>
          <w:sz w:val="19"/>
          <w:szCs w:val="19"/>
          <w:lang w:val="es-ES" w:eastAsia="en-US"/>
        </w:rPr>
        <w:t>) Los servidores públicos. </w:t>
      </w:r>
    </w:p>
    <w:p w14:paraId="1DBDDF3C" w14:textId="77777777" w:rsidR="005C1DA3" w:rsidRPr="004519BF" w:rsidRDefault="005C1DA3" w:rsidP="005F01C8">
      <w:pPr>
        <w:pStyle w:val="NormalWeb"/>
        <w:spacing w:before="0" w:beforeAutospacing="0" w:after="0" w:afterAutospacing="0"/>
        <w:ind w:firstLine="709"/>
        <w:jc w:val="both"/>
        <w:rPr>
          <w:rFonts w:ascii="Arial" w:eastAsiaTheme="minorHAnsi" w:hAnsi="Arial" w:cs="Arial"/>
          <w:sz w:val="19"/>
          <w:szCs w:val="19"/>
          <w:lang w:val="es-ES" w:eastAsia="en-US"/>
        </w:rPr>
      </w:pPr>
      <w:r w:rsidRPr="004519BF">
        <w:rPr>
          <w:rFonts w:ascii="Arial" w:eastAsiaTheme="minorHAnsi" w:hAnsi="Arial" w:cs="Arial"/>
          <w:sz w:val="19"/>
          <w:szCs w:val="19"/>
          <w:lang w:val="es-ES" w:eastAsia="en-US"/>
        </w:rPr>
        <w:t>  </w:t>
      </w:r>
      <w:r w:rsidRPr="004519BF">
        <w:rPr>
          <w:rFonts w:ascii="Arial" w:eastAsiaTheme="minorHAnsi" w:hAnsi="Arial" w:cs="Arial"/>
          <w:sz w:val="19"/>
          <w:szCs w:val="19"/>
          <w:lang w:val="es-ES" w:eastAsia="en-US"/>
        </w:rPr>
        <w:tab/>
      </w:r>
      <w:proofErr w:type="gramStart"/>
      <w:r w:rsidRPr="004519BF">
        <w:rPr>
          <w:rFonts w:ascii="Arial" w:eastAsiaTheme="minorHAnsi" w:hAnsi="Arial" w:cs="Arial"/>
          <w:sz w:val="19"/>
          <w:szCs w:val="19"/>
          <w:lang w:val="es-ES" w:eastAsia="en-US"/>
        </w:rPr>
        <w:t>»g</w:t>
      </w:r>
      <w:proofErr w:type="gramEnd"/>
      <w:r w:rsidRPr="004519BF">
        <w:rPr>
          <w:rFonts w:ascii="Arial" w:eastAsiaTheme="minorHAnsi" w:hAnsi="Arial" w:cs="Arial"/>
          <w:sz w:val="19"/>
          <w:szCs w:val="19"/>
          <w:lang w:val="es-ES" w:eastAsia="en-US"/>
        </w:rPr>
        <w:t>) Quienes sean cónyuges o compañeros permanentes y quienes se encuentren dentro del segundo grado de consanguinidad o segundo de afinidad con cualquier otra persona que formalmente haya presentado propuesta para una misma licitación o concurso. </w:t>
      </w:r>
    </w:p>
    <w:p w14:paraId="1829D1B9" w14:textId="77777777" w:rsidR="005C1DA3" w:rsidRPr="004519BF" w:rsidRDefault="005C1DA3" w:rsidP="005F01C8">
      <w:pPr>
        <w:pStyle w:val="NormalWeb"/>
        <w:spacing w:before="0" w:beforeAutospacing="0" w:after="0" w:afterAutospacing="0"/>
        <w:ind w:firstLine="709"/>
        <w:jc w:val="both"/>
        <w:rPr>
          <w:rFonts w:ascii="Arial" w:eastAsiaTheme="minorHAnsi" w:hAnsi="Arial" w:cs="Arial"/>
          <w:sz w:val="19"/>
          <w:szCs w:val="19"/>
          <w:lang w:val="es-ES" w:eastAsia="en-US"/>
        </w:rPr>
      </w:pPr>
      <w:r w:rsidRPr="004519BF">
        <w:rPr>
          <w:rFonts w:ascii="Arial" w:eastAsiaTheme="minorHAnsi" w:hAnsi="Arial" w:cs="Arial"/>
          <w:sz w:val="19"/>
          <w:szCs w:val="19"/>
          <w:lang w:val="es-ES" w:eastAsia="en-US"/>
        </w:rPr>
        <w:t>»h)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 o concurso. </w:t>
      </w:r>
    </w:p>
    <w:p w14:paraId="175F7748" w14:textId="77777777" w:rsidR="005C1DA3" w:rsidRPr="004519BF" w:rsidRDefault="005C1DA3" w:rsidP="005F01C8">
      <w:pPr>
        <w:pStyle w:val="NormalWeb"/>
        <w:spacing w:before="0" w:beforeAutospacing="0" w:after="0" w:afterAutospacing="0"/>
        <w:ind w:firstLine="709"/>
        <w:jc w:val="both"/>
        <w:rPr>
          <w:rFonts w:ascii="Arial" w:eastAsiaTheme="minorHAnsi" w:hAnsi="Arial" w:cs="Arial"/>
          <w:sz w:val="19"/>
          <w:szCs w:val="19"/>
          <w:lang w:val="es-ES" w:eastAsia="en-US"/>
        </w:rPr>
      </w:pPr>
      <w:r w:rsidRPr="004519BF">
        <w:rPr>
          <w:rFonts w:ascii="Arial" w:eastAsiaTheme="minorHAnsi" w:hAnsi="Arial" w:cs="Arial"/>
          <w:sz w:val="19"/>
          <w:szCs w:val="19"/>
          <w:lang w:val="es-ES" w:eastAsia="en-US"/>
        </w:rPr>
        <w:t>  </w:t>
      </w:r>
      <w:r w:rsidRPr="004519BF">
        <w:rPr>
          <w:rFonts w:ascii="Arial" w:eastAsiaTheme="minorHAnsi" w:hAnsi="Arial" w:cs="Arial"/>
          <w:sz w:val="19"/>
          <w:szCs w:val="19"/>
          <w:lang w:val="es-ES" w:eastAsia="en-US"/>
        </w:rPr>
        <w:tab/>
      </w:r>
      <w:proofErr w:type="gramStart"/>
      <w:r w:rsidRPr="004519BF">
        <w:rPr>
          <w:rFonts w:ascii="Arial" w:eastAsiaTheme="minorHAnsi" w:hAnsi="Arial" w:cs="Arial"/>
          <w:sz w:val="19"/>
          <w:szCs w:val="19"/>
          <w:lang w:val="es-ES" w:eastAsia="en-US"/>
        </w:rPr>
        <w:t>»i</w:t>
      </w:r>
      <w:proofErr w:type="gramEnd"/>
      <w:r w:rsidRPr="004519BF">
        <w:rPr>
          <w:rFonts w:ascii="Arial" w:eastAsiaTheme="minorHAnsi" w:hAnsi="Arial" w:cs="Arial"/>
          <w:sz w:val="19"/>
          <w:szCs w:val="19"/>
          <w:lang w:val="es-ES" w:eastAsia="en-US"/>
        </w:rPr>
        <w:t>) Los socios de sociedades de personas a las cuales se haya declarado la caducidad, así como las sociedades de personas de las que aquellos formen parte con posterioridad a dicha declaratoria. </w:t>
      </w:r>
    </w:p>
    <w:p w14:paraId="446FCD2A" w14:textId="77777777" w:rsidR="005C1DA3" w:rsidRPr="004519BF" w:rsidRDefault="005C1DA3" w:rsidP="005F01C8">
      <w:pPr>
        <w:pStyle w:val="NormalWeb"/>
        <w:spacing w:before="0" w:beforeAutospacing="0" w:after="0" w:afterAutospacing="0"/>
        <w:ind w:firstLine="709"/>
        <w:jc w:val="both"/>
        <w:rPr>
          <w:rFonts w:ascii="Arial" w:eastAsiaTheme="minorHAnsi" w:hAnsi="Arial" w:cs="Arial"/>
          <w:sz w:val="19"/>
          <w:szCs w:val="19"/>
          <w:lang w:val="es-ES" w:eastAsia="en-US"/>
        </w:rPr>
      </w:pPr>
      <w:r w:rsidRPr="004519BF">
        <w:rPr>
          <w:rFonts w:ascii="Arial" w:eastAsiaTheme="minorHAnsi" w:hAnsi="Arial" w:cs="Arial"/>
          <w:sz w:val="19"/>
          <w:szCs w:val="19"/>
          <w:lang w:val="es-ES" w:eastAsia="en-US"/>
        </w:rPr>
        <w:t>  </w:t>
      </w:r>
      <w:r w:rsidRPr="004519BF">
        <w:rPr>
          <w:rFonts w:ascii="Arial" w:eastAsiaTheme="minorHAnsi" w:hAnsi="Arial" w:cs="Arial"/>
          <w:sz w:val="19"/>
          <w:szCs w:val="19"/>
          <w:lang w:val="es-ES" w:eastAsia="en-US"/>
        </w:rPr>
        <w:tab/>
        <w:t>»Las inhabilidades a que se refieren los literales c), d) e i) se extenderán por un término de cinco (5) años contado a partir de la fecha de ejecutoria del acto que declaró la caducidad, o de la sentencia que impuso la pena, o del acto que dispuso la destitución; las previstas en los literales b) y e), se extenderán por un término de cinco (5) años contado a partir de la fecha de ocurrencia del hecho de la participación en la licitación o concurso, o de la de celebración del contrato, o de la de expiración del plazo para su firma. </w:t>
      </w:r>
    </w:p>
    <w:p w14:paraId="101E8D17" w14:textId="77777777" w:rsidR="005C1DA3" w:rsidRPr="004519BF" w:rsidRDefault="005C1DA3" w:rsidP="005F01C8">
      <w:pPr>
        <w:pStyle w:val="NormalWeb"/>
        <w:spacing w:before="0" w:beforeAutospacing="0" w:after="0" w:afterAutospacing="0"/>
        <w:ind w:firstLine="709"/>
        <w:jc w:val="both"/>
        <w:rPr>
          <w:rFonts w:ascii="Arial" w:eastAsiaTheme="minorHAnsi" w:hAnsi="Arial" w:cs="Arial"/>
          <w:sz w:val="19"/>
          <w:szCs w:val="19"/>
          <w:lang w:val="es-ES" w:eastAsia="en-US"/>
        </w:rPr>
      </w:pPr>
      <w:r w:rsidRPr="004519BF">
        <w:rPr>
          <w:rFonts w:ascii="Arial" w:eastAsiaTheme="minorHAnsi" w:hAnsi="Arial" w:cs="Arial"/>
          <w:sz w:val="19"/>
          <w:szCs w:val="19"/>
          <w:lang w:val="es-ES" w:eastAsia="en-US"/>
        </w:rPr>
        <w:t>  </w:t>
      </w:r>
      <w:r w:rsidRPr="004519BF">
        <w:rPr>
          <w:rFonts w:ascii="Arial" w:eastAsiaTheme="minorHAnsi" w:hAnsi="Arial" w:cs="Arial"/>
          <w:sz w:val="19"/>
          <w:szCs w:val="19"/>
          <w:lang w:val="es-ES" w:eastAsia="en-US"/>
        </w:rPr>
        <w:tab/>
        <w:t>»j) Las personas naturales que hayan sido declaradas responsables judicialmente por la comisión de delitos contra la Administración pública, o de cualquiera de los delitos o faltas contempladas por la Ley 1474 de 2011 y sus normas modificatorias o de cualquiera de las conductas delictivas contempladas por las convenciones o tratados de lucha contra la corrupción suscritos y ratificados por Colombia, así como las personas jurídicas que hayan sido declaradas responsables administrativamente por la conducta de soborno transnacional.  </w:t>
      </w:r>
    </w:p>
    <w:p w14:paraId="7F17741B" w14:textId="77777777" w:rsidR="005C1DA3" w:rsidRPr="004519BF" w:rsidRDefault="005C1DA3" w:rsidP="005F01C8">
      <w:pPr>
        <w:pStyle w:val="NormalWeb"/>
        <w:spacing w:before="0" w:beforeAutospacing="0" w:after="0" w:afterAutospacing="0"/>
        <w:ind w:firstLine="709"/>
        <w:jc w:val="both"/>
        <w:rPr>
          <w:rFonts w:ascii="Arial" w:eastAsiaTheme="minorHAnsi" w:hAnsi="Arial" w:cs="Arial"/>
          <w:sz w:val="19"/>
          <w:szCs w:val="19"/>
          <w:lang w:val="es-ES" w:eastAsia="en-US"/>
        </w:rPr>
      </w:pPr>
      <w:r w:rsidRPr="004519BF">
        <w:rPr>
          <w:rFonts w:ascii="Arial" w:eastAsiaTheme="minorHAnsi" w:hAnsi="Arial" w:cs="Arial"/>
          <w:sz w:val="19"/>
          <w:szCs w:val="19"/>
          <w:lang w:val="es-ES" w:eastAsia="en-US"/>
        </w:rPr>
        <w:t> </w:t>
      </w:r>
      <w:r w:rsidRPr="004519BF">
        <w:rPr>
          <w:rFonts w:ascii="Arial" w:eastAsiaTheme="minorHAnsi" w:hAnsi="Arial" w:cs="Arial"/>
          <w:sz w:val="19"/>
          <w:szCs w:val="19"/>
          <w:lang w:val="es-ES" w:eastAsia="en-US"/>
        </w:rPr>
        <w:tab/>
      </w:r>
      <w:proofErr w:type="gramStart"/>
      <w:r w:rsidRPr="004519BF">
        <w:rPr>
          <w:rFonts w:ascii="Arial" w:eastAsiaTheme="minorHAnsi" w:hAnsi="Arial" w:cs="Arial"/>
          <w:sz w:val="19"/>
          <w:szCs w:val="19"/>
          <w:lang w:val="es-ES" w:eastAsia="en-US"/>
        </w:rPr>
        <w:t>»Esta</w:t>
      </w:r>
      <w:proofErr w:type="gramEnd"/>
      <w:r w:rsidRPr="004519BF">
        <w:rPr>
          <w:rFonts w:ascii="Arial" w:eastAsiaTheme="minorHAnsi" w:hAnsi="Arial" w:cs="Arial"/>
          <w:sz w:val="19"/>
          <w:szCs w:val="19"/>
          <w:lang w:val="es-ES" w:eastAsia="en-US"/>
        </w:rPr>
        <w:t xml:space="preserve"> inhabilidad procederá preventivamente aún en los casos en los que esté pendiente la decisión sobre la impugnación de la sentencia condenatoria. Asimismo, la inhabilidad se extenderá a las sociedades de las que hagan parte dichas personas en calidad de administradores, represen</w:t>
      </w:r>
      <w:r w:rsidRPr="004519BF">
        <w:rPr>
          <w:rFonts w:ascii="Arial" w:eastAsiaTheme="minorHAnsi" w:hAnsi="Arial" w:cs="Arial"/>
          <w:sz w:val="19"/>
          <w:szCs w:val="19"/>
          <w:lang w:val="es-ES" w:eastAsia="en-US"/>
        </w:rPr>
        <w:softHyphen/>
        <w:t>tantes legales, miembros de junta directiva o de socios controlantes, a sus matrices y a sus subordinadas, a los grupos empresariales a los que estas pertenezcan cuando la conducta delictiva haya sido parte de una política del grupo y a las sucursales de sociedades extranjeras, con ex</w:t>
      </w:r>
      <w:r w:rsidRPr="004519BF">
        <w:rPr>
          <w:rFonts w:ascii="Arial" w:eastAsiaTheme="minorHAnsi" w:hAnsi="Arial" w:cs="Arial"/>
          <w:sz w:val="19"/>
          <w:szCs w:val="19"/>
          <w:lang w:val="es-ES" w:eastAsia="en-US"/>
        </w:rPr>
        <w:softHyphen/>
        <w:t>cepción de las sociedades anónimas abiertas. También se considerarán inhabilitadas para contratar, las personas jurídicas sobre las cuales se haya ordenado la suspensión de la perso</w:t>
      </w:r>
      <w:r w:rsidRPr="004519BF">
        <w:rPr>
          <w:rFonts w:ascii="Arial" w:eastAsiaTheme="minorHAnsi" w:hAnsi="Arial" w:cs="Arial"/>
          <w:sz w:val="19"/>
          <w:szCs w:val="19"/>
          <w:lang w:val="es-ES" w:eastAsia="en-US"/>
        </w:rPr>
        <w:softHyphen/>
        <w:t>nería jurídica en los términos de ley, o cuyos representantes legales, ad</w:t>
      </w:r>
      <w:r w:rsidRPr="004519BF">
        <w:rPr>
          <w:rFonts w:ascii="Arial" w:eastAsiaTheme="minorHAnsi" w:hAnsi="Arial" w:cs="Arial"/>
          <w:sz w:val="19"/>
          <w:szCs w:val="19"/>
          <w:lang w:val="es-ES" w:eastAsia="en-US"/>
        </w:rPr>
        <w:softHyphen/>
        <w:t>ministradores de hecho o de derecho, miembros de junta directiva o sus socios controlantes, sus matrices, subordinadas y/o las sucursales de sociedades extranjeras, hayan sido beneficiados con la aplicación de un principio de oportunidad por cualquier delito contra la Administración pública o el patrimonio del Estado.  La inhabilidad prevista en este literal se extenderá de forma perma</w:t>
      </w:r>
      <w:r w:rsidRPr="004519BF">
        <w:rPr>
          <w:rFonts w:ascii="Arial" w:eastAsiaTheme="minorHAnsi" w:hAnsi="Arial" w:cs="Arial"/>
          <w:sz w:val="19"/>
          <w:szCs w:val="19"/>
          <w:lang w:val="es-ES" w:eastAsia="en-US"/>
        </w:rPr>
        <w:softHyphen/>
        <w:t>nente a las sociedades de las que hagan parte dichas personas en las calidades presentadas en los incisos anteriores, y se aplicará de igual forma a las personas naturales que hayan sido declaradas responsables judicialmente por la comisión de delitos mencionados en este literal. </w:t>
      </w:r>
    </w:p>
    <w:p w14:paraId="41CE3E53" w14:textId="77777777" w:rsidR="005C1DA3" w:rsidRPr="004519BF" w:rsidRDefault="005C1DA3" w:rsidP="005F01C8">
      <w:pPr>
        <w:pStyle w:val="NormalWeb"/>
        <w:spacing w:before="0" w:beforeAutospacing="0" w:after="0" w:afterAutospacing="0"/>
        <w:ind w:firstLine="709"/>
        <w:jc w:val="both"/>
        <w:rPr>
          <w:rFonts w:ascii="Arial" w:eastAsiaTheme="minorHAnsi" w:hAnsi="Arial" w:cs="Arial"/>
          <w:sz w:val="19"/>
          <w:szCs w:val="19"/>
          <w:lang w:val="es-ES" w:eastAsia="en-US"/>
        </w:rPr>
      </w:pPr>
      <w:r w:rsidRPr="004519BF">
        <w:rPr>
          <w:rFonts w:ascii="Arial" w:eastAsiaTheme="minorHAnsi" w:hAnsi="Arial" w:cs="Arial"/>
          <w:sz w:val="19"/>
          <w:szCs w:val="19"/>
          <w:lang w:val="es-ES" w:eastAsia="en-US"/>
        </w:rPr>
        <w:t>[…]</w:t>
      </w:r>
    </w:p>
    <w:p w14:paraId="2039BC36" w14:textId="77777777" w:rsidR="005C1DA3" w:rsidRPr="004519BF" w:rsidRDefault="005C1DA3" w:rsidP="005F01C8">
      <w:pPr>
        <w:pStyle w:val="NormalWeb"/>
        <w:spacing w:before="0" w:beforeAutospacing="0" w:after="0" w:afterAutospacing="0"/>
        <w:ind w:firstLine="709"/>
        <w:jc w:val="both"/>
        <w:rPr>
          <w:rFonts w:ascii="Arial" w:eastAsiaTheme="minorHAnsi" w:hAnsi="Arial" w:cs="Arial"/>
          <w:sz w:val="19"/>
          <w:szCs w:val="19"/>
          <w:lang w:val="es-ES" w:eastAsia="en-US"/>
        </w:rPr>
      </w:pPr>
      <w:proofErr w:type="gramStart"/>
      <w:r w:rsidRPr="004519BF">
        <w:rPr>
          <w:rFonts w:ascii="Arial" w:eastAsiaTheme="minorHAnsi" w:hAnsi="Arial" w:cs="Arial"/>
          <w:sz w:val="19"/>
          <w:szCs w:val="19"/>
          <w:lang w:val="es-ES" w:eastAsia="en-US"/>
        </w:rPr>
        <w:t>»2o.</w:t>
      </w:r>
      <w:proofErr w:type="gramEnd"/>
      <w:r w:rsidRPr="004519BF">
        <w:rPr>
          <w:rFonts w:ascii="Arial" w:eastAsiaTheme="minorHAnsi" w:hAnsi="Arial" w:cs="Arial"/>
          <w:sz w:val="19"/>
          <w:szCs w:val="19"/>
          <w:lang w:val="es-ES" w:eastAsia="en-US"/>
        </w:rPr>
        <w:t xml:space="preserve"> Tampoco podrán participar en licitaciones o concursos ni celebrar contratos estatales con la entidad respectiva: </w:t>
      </w:r>
    </w:p>
    <w:p w14:paraId="61F63716" w14:textId="77777777" w:rsidR="005C1DA3" w:rsidRPr="004519BF" w:rsidRDefault="005C1DA3" w:rsidP="005F01C8">
      <w:pPr>
        <w:pStyle w:val="NormalWeb"/>
        <w:spacing w:before="0" w:beforeAutospacing="0" w:after="0" w:afterAutospacing="0"/>
        <w:ind w:firstLine="709"/>
        <w:jc w:val="both"/>
        <w:rPr>
          <w:rFonts w:ascii="Arial" w:eastAsiaTheme="minorHAnsi" w:hAnsi="Arial" w:cs="Arial"/>
          <w:sz w:val="19"/>
          <w:szCs w:val="19"/>
          <w:lang w:val="es-ES" w:eastAsia="en-US"/>
        </w:rPr>
      </w:pPr>
      <w:r w:rsidRPr="004519BF">
        <w:rPr>
          <w:rFonts w:ascii="Arial" w:eastAsiaTheme="minorHAnsi" w:hAnsi="Arial" w:cs="Arial"/>
          <w:sz w:val="19"/>
          <w:szCs w:val="19"/>
          <w:lang w:val="es-ES" w:eastAsia="en-US"/>
        </w:rPr>
        <w:t>  </w:t>
      </w:r>
      <w:r w:rsidRPr="004519BF">
        <w:rPr>
          <w:rFonts w:ascii="Arial" w:eastAsiaTheme="minorHAnsi" w:hAnsi="Arial" w:cs="Arial"/>
          <w:sz w:val="19"/>
          <w:szCs w:val="19"/>
          <w:lang w:val="es-ES" w:eastAsia="en-US"/>
        </w:rPr>
        <w:tab/>
      </w:r>
      <w:proofErr w:type="gramStart"/>
      <w:r w:rsidRPr="004519BF">
        <w:rPr>
          <w:rFonts w:ascii="Arial" w:eastAsiaTheme="minorHAnsi" w:hAnsi="Arial" w:cs="Arial"/>
          <w:sz w:val="19"/>
          <w:szCs w:val="19"/>
          <w:lang w:val="es-ES" w:eastAsia="en-US"/>
        </w:rPr>
        <w:t>»a</w:t>
      </w:r>
      <w:proofErr w:type="gramEnd"/>
      <w:r w:rsidRPr="004519BF">
        <w:rPr>
          <w:rFonts w:ascii="Arial" w:eastAsiaTheme="minorHAnsi" w:hAnsi="Arial" w:cs="Arial"/>
          <w:sz w:val="19"/>
          <w:szCs w:val="19"/>
          <w:lang w:val="es-ES" w:eastAsia="en-US"/>
        </w:rPr>
        <w:t>) Quienes fueron miembros de la junta o consejo directivo o servidores públicos de la entidad contratante. Esta incompatibilidad solo comprende a quienes desempeñaron funciones en los niveles directivo, asesor o ejecutivo y se extiende por el término de un (1) año, contado a partir de la fecha del retiro. </w:t>
      </w:r>
    </w:p>
    <w:p w14:paraId="3DAC2E2B" w14:textId="77777777" w:rsidR="005C1DA3" w:rsidRPr="004519BF" w:rsidRDefault="005C1DA3" w:rsidP="005F01C8">
      <w:pPr>
        <w:pStyle w:val="NormalWeb"/>
        <w:spacing w:before="0" w:beforeAutospacing="0" w:after="0" w:afterAutospacing="0"/>
        <w:ind w:firstLine="709"/>
        <w:jc w:val="both"/>
        <w:rPr>
          <w:rFonts w:ascii="Arial" w:eastAsiaTheme="minorHAnsi" w:hAnsi="Arial" w:cs="Arial"/>
          <w:sz w:val="19"/>
          <w:szCs w:val="19"/>
          <w:lang w:val="es-ES" w:eastAsia="en-US"/>
        </w:rPr>
      </w:pPr>
      <w:r w:rsidRPr="004519BF">
        <w:rPr>
          <w:rFonts w:ascii="Arial" w:eastAsiaTheme="minorHAnsi" w:hAnsi="Arial" w:cs="Arial"/>
          <w:sz w:val="19"/>
          <w:szCs w:val="19"/>
          <w:lang w:val="es-ES" w:eastAsia="en-US"/>
        </w:rPr>
        <w:t>  </w:t>
      </w:r>
      <w:r w:rsidRPr="004519BF">
        <w:rPr>
          <w:rFonts w:ascii="Arial" w:eastAsiaTheme="minorHAnsi" w:hAnsi="Arial" w:cs="Arial"/>
          <w:sz w:val="19"/>
          <w:szCs w:val="19"/>
          <w:lang w:val="es-ES" w:eastAsia="en-US"/>
        </w:rPr>
        <w:tab/>
      </w:r>
      <w:proofErr w:type="gramStart"/>
      <w:r w:rsidRPr="004519BF">
        <w:rPr>
          <w:rFonts w:ascii="Arial" w:eastAsiaTheme="minorHAnsi" w:hAnsi="Arial" w:cs="Arial"/>
          <w:sz w:val="19"/>
          <w:szCs w:val="19"/>
          <w:lang w:val="es-ES" w:eastAsia="en-US"/>
        </w:rPr>
        <w:t>»b</w:t>
      </w:r>
      <w:proofErr w:type="gramEnd"/>
      <w:r w:rsidRPr="004519BF">
        <w:rPr>
          <w:rFonts w:ascii="Arial" w:eastAsiaTheme="minorHAnsi" w:hAnsi="Arial" w:cs="Arial"/>
          <w:sz w:val="19"/>
          <w:szCs w:val="19"/>
          <w:lang w:val="es-ES" w:eastAsia="en-US"/>
        </w:rPr>
        <w:t>) 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 </w:t>
      </w:r>
    </w:p>
    <w:p w14:paraId="11740609" w14:textId="77777777" w:rsidR="005C1DA3" w:rsidRPr="004519BF" w:rsidRDefault="005C1DA3" w:rsidP="005F01C8">
      <w:pPr>
        <w:pStyle w:val="NormalWeb"/>
        <w:spacing w:before="0" w:beforeAutospacing="0" w:after="0" w:afterAutospacing="0"/>
        <w:ind w:firstLine="709"/>
        <w:jc w:val="both"/>
        <w:rPr>
          <w:rFonts w:ascii="Arial" w:eastAsiaTheme="minorHAnsi" w:hAnsi="Arial" w:cs="Arial"/>
          <w:sz w:val="19"/>
          <w:szCs w:val="19"/>
          <w:lang w:val="es-ES" w:eastAsia="en-US"/>
        </w:rPr>
      </w:pPr>
      <w:r w:rsidRPr="004519BF">
        <w:rPr>
          <w:rFonts w:ascii="Arial" w:eastAsiaTheme="minorHAnsi" w:hAnsi="Arial" w:cs="Arial"/>
          <w:sz w:val="19"/>
          <w:szCs w:val="19"/>
          <w:lang w:val="es-ES" w:eastAsia="en-US"/>
        </w:rPr>
        <w:t>  </w:t>
      </w:r>
      <w:r w:rsidRPr="004519BF">
        <w:rPr>
          <w:rFonts w:ascii="Arial" w:eastAsiaTheme="minorHAnsi" w:hAnsi="Arial" w:cs="Arial"/>
          <w:sz w:val="19"/>
          <w:szCs w:val="19"/>
          <w:lang w:val="es-ES" w:eastAsia="en-US"/>
        </w:rPr>
        <w:tab/>
        <w:t>»c) El cónyuge, compañero o compañera permanente del servidor público en los niveles directivo, asesor, ejecutivo, o de un miembro de la junta o consejo directivo, o de quien ejerza funciones de control interno o de control fiscal. </w:t>
      </w:r>
    </w:p>
    <w:p w14:paraId="2B1835A7" w14:textId="77777777" w:rsidR="005C1DA3" w:rsidRPr="004519BF" w:rsidRDefault="005C1DA3" w:rsidP="005F01C8">
      <w:pPr>
        <w:pStyle w:val="NormalWeb"/>
        <w:spacing w:before="0" w:beforeAutospacing="0" w:after="0" w:afterAutospacing="0"/>
        <w:ind w:firstLine="709"/>
        <w:jc w:val="both"/>
        <w:rPr>
          <w:rFonts w:ascii="Arial" w:eastAsiaTheme="minorHAnsi" w:hAnsi="Arial" w:cs="Arial"/>
          <w:sz w:val="19"/>
          <w:szCs w:val="19"/>
          <w:lang w:val="es-ES" w:eastAsia="en-US"/>
        </w:rPr>
      </w:pPr>
      <w:r w:rsidRPr="004519BF">
        <w:rPr>
          <w:rFonts w:ascii="Arial" w:eastAsiaTheme="minorHAnsi" w:hAnsi="Arial" w:cs="Arial"/>
          <w:sz w:val="19"/>
          <w:szCs w:val="19"/>
          <w:lang w:val="es-ES" w:eastAsia="en-US"/>
        </w:rPr>
        <w:t>  </w:t>
      </w:r>
      <w:r w:rsidRPr="004519BF">
        <w:rPr>
          <w:rFonts w:ascii="Arial" w:eastAsiaTheme="minorHAnsi" w:hAnsi="Arial" w:cs="Arial"/>
          <w:sz w:val="19"/>
          <w:szCs w:val="19"/>
          <w:lang w:val="es-ES" w:eastAsia="en-US"/>
        </w:rPr>
        <w:tab/>
        <w:t>»d)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w:t>
      </w:r>
    </w:p>
    <w:p w14:paraId="5ACF0BDA" w14:textId="77777777" w:rsidR="005C1DA3" w:rsidRPr="004519BF" w:rsidRDefault="005C1DA3" w:rsidP="005F01C8">
      <w:pPr>
        <w:pStyle w:val="NormalWeb"/>
        <w:spacing w:before="0" w:beforeAutospacing="0" w:after="0" w:afterAutospacing="0"/>
        <w:ind w:firstLine="709"/>
        <w:jc w:val="both"/>
        <w:rPr>
          <w:rFonts w:ascii="Arial" w:eastAsiaTheme="minorHAnsi" w:hAnsi="Arial" w:cs="Arial"/>
          <w:sz w:val="19"/>
          <w:szCs w:val="19"/>
          <w:lang w:val="es-ES" w:eastAsia="en-US"/>
        </w:rPr>
      </w:pPr>
      <w:r w:rsidRPr="004519BF">
        <w:rPr>
          <w:rFonts w:ascii="Arial" w:eastAsiaTheme="minorHAnsi" w:hAnsi="Arial" w:cs="Arial"/>
          <w:sz w:val="19"/>
          <w:szCs w:val="19"/>
          <w:lang w:val="es-ES" w:eastAsia="en-US"/>
        </w:rPr>
        <w:t>  </w:t>
      </w:r>
      <w:r w:rsidRPr="004519BF">
        <w:rPr>
          <w:rFonts w:ascii="Arial" w:eastAsiaTheme="minorHAnsi" w:hAnsi="Arial" w:cs="Arial"/>
          <w:sz w:val="19"/>
          <w:szCs w:val="19"/>
          <w:lang w:val="es-ES" w:eastAsia="en-US"/>
        </w:rPr>
        <w:tab/>
      </w:r>
      <w:proofErr w:type="gramStart"/>
      <w:r w:rsidRPr="004519BF">
        <w:rPr>
          <w:rFonts w:ascii="Arial" w:eastAsiaTheme="minorHAnsi" w:hAnsi="Arial" w:cs="Arial"/>
          <w:sz w:val="19"/>
          <w:szCs w:val="19"/>
          <w:lang w:val="es-ES" w:eastAsia="en-US"/>
        </w:rPr>
        <w:t>»e</w:t>
      </w:r>
      <w:proofErr w:type="gramEnd"/>
      <w:r w:rsidRPr="004519BF">
        <w:rPr>
          <w:rFonts w:ascii="Arial" w:eastAsiaTheme="minorHAnsi" w:hAnsi="Arial" w:cs="Arial"/>
          <w:sz w:val="19"/>
          <w:szCs w:val="19"/>
          <w:lang w:val="es-ES" w:eastAsia="en-US"/>
        </w:rPr>
        <w:t>) Los miembros de las juntas o consejos directivos. Esta incompatibilidad sólo se predica respecto de la entidad a la cual prestan sus servicios y de las del sector administrativo al que la misma esté adscrita o vinculada. </w:t>
      </w:r>
    </w:p>
    <w:p w14:paraId="1AB34B8C" w14:textId="4E2426D8" w:rsidR="005C1DA3" w:rsidRPr="004519BF" w:rsidRDefault="005C1DA3" w:rsidP="005F01C8">
      <w:pPr>
        <w:pStyle w:val="NormalWeb"/>
        <w:spacing w:before="0" w:beforeAutospacing="0" w:after="0" w:afterAutospacing="0"/>
        <w:ind w:firstLine="709"/>
        <w:jc w:val="both"/>
        <w:rPr>
          <w:rFonts w:ascii="Arial" w:eastAsiaTheme="minorHAnsi" w:hAnsi="Arial" w:cs="Arial"/>
          <w:sz w:val="19"/>
          <w:szCs w:val="19"/>
          <w:lang w:val="es-ES" w:eastAsia="en-US"/>
        </w:rPr>
      </w:pPr>
      <w:proofErr w:type="gramStart"/>
      <w:r w:rsidRPr="004519BF">
        <w:rPr>
          <w:rFonts w:ascii="Arial" w:eastAsiaTheme="minorHAnsi" w:hAnsi="Arial" w:cs="Arial"/>
          <w:sz w:val="19"/>
          <w:szCs w:val="19"/>
          <w:lang w:val="es-ES" w:eastAsia="en-US"/>
        </w:rPr>
        <w:t>»f</w:t>
      </w:r>
      <w:proofErr w:type="gramEnd"/>
      <w:r w:rsidRPr="004519BF">
        <w:rPr>
          <w:rFonts w:ascii="Arial" w:eastAsiaTheme="minorHAnsi" w:hAnsi="Arial" w:cs="Arial"/>
          <w:sz w:val="19"/>
          <w:szCs w:val="19"/>
          <w:lang w:val="es-ES" w:eastAsia="en-US"/>
        </w:rPr>
        <w:t xml:space="preserve">) Directa o indirectamente las personas que hayan ejercido cargos en el nivel directivo en entidades del Estado y las sociedades en las cuales estos hagan parte o estén vinculados a cualquier título, durante los dos (2) años siguientes al retiro del ejercicio del cargo público, cuando el objeto que desarrollen tenga relación con el sector al cual prestaron sus servicios. Esta incompatibilidad también operará para las personas que se encuentren dentro del primer grado de consanguinidad, primero de afinidad, o primero civil del </w:t>
      </w:r>
      <w:proofErr w:type="gramStart"/>
      <w:r w:rsidRPr="004519BF">
        <w:rPr>
          <w:rFonts w:ascii="Arial" w:eastAsiaTheme="minorHAnsi" w:hAnsi="Arial" w:cs="Arial"/>
          <w:sz w:val="19"/>
          <w:szCs w:val="19"/>
          <w:lang w:val="es-ES" w:eastAsia="en-US"/>
        </w:rPr>
        <w:t>ex empleado</w:t>
      </w:r>
      <w:proofErr w:type="gramEnd"/>
      <w:r w:rsidRPr="004519BF">
        <w:rPr>
          <w:rFonts w:ascii="Arial" w:eastAsiaTheme="minorHAnsi" w:hAnsi="Arial" w:cs="Arial"/>
          <w:sz w:val="19"/>
          <w:szCs w:val="19"/>
          <w:lang w:val="es-ES" w:eastAsia="en-US"/>
        </w:rPr>
        <w:t xml:space="preserve"> público». (…). </w:t>
      </w:r>
    </w:p>
  </w:footnote>
  <w:footnote w:id="7">
    <w:p w14:paraId="54BB7FD0" w14:textId="2AE89EAA" w:rsidR="005C1DA3" w:rsidRPr="004519BF" w:rsidRDefault="005C1DA3" w:rsidP="00256641">
      <w:pPr>
        <w:pStyle w:val="Textonotapie"/>
        <w:ind w:firstLine="709"/>
        <w:jc w:val="both"/>
        <w:rPr>
          <w:rFonts w:ascii="Arial" w:hAnsi="Arial" w:cs="Arial"/>
          <w:sz w:val="19"/>
          <w:szCs w:val="19"/>
          <w:lang w:val="es-ES"/>
        </w:rPr>
      </w:pPr>
      <w:r w:rsidRPr="004519BF">
        <w:rPr>
          <w:rStyle w:val="Refdenotaalpie"/>
          <w:rFonts w:ascii="Arial" w:hAnsi="Arial" w:cs="Arial"/>
          <w:sz w:val="19"/>
          <w:szCs w:val="19"/>
        </w:rPr>
        <w:footnoteRef/>
      </w:r>
      <w:r w:rsidRPr="004519BF">
        <w:rPr>
          <w:rFonts w:ascii="Arial" w:hAnsi="Arial" w:cs="Arial"/>
          <w:sz w:val="19"/>
          <w:szCs w:val="19"/>
        </w:rPr>
        <w:t xml:space="preserve"> DÁVILA VINUEZA, Luis Guillermo. </w:t>
      </w:r>
      <w:r w:rsidRPr="004519BF">
        <w:rPr>
          <w:rFonts w:ascii="Arial" w:hAnsi="Arial" w:cs="Arial"/>
          <w:sz w:val="19"/>
          <w:szCs w:val="19"/>
          <w:lang w:val="es-ES"/>
        </w:rPr>
        <w:t xml:space="preserve">Régimen Jurídico De La Contratación Estatal. Recuperado de https://xperta.legis.co, Capítulo VI Inhabilidades e Incompatibilidades, Sección 2 Interpretación Restrictiva. </w:t>
      </w:r>
    </w:p>
  </w:footnote>
  <w:footnote w:id="8">
    <w:p w14:paraId="3811063F" w14:textId="47A92249" w:rsidR="005C1DA3" w:rsidRPr="004519BF" w:rsidRDefault="005C1DA3">
      <w:pPr>
        <w:pStyle w:val="Textonotapie"/>
        <w:ind w:firstLine="709"/>
        <w:jc w:val="both"/>
        <w:rPr>
          <w:rFonts w:ascii="Arial" w:hAnsi="Arial" w:cs="Arial"/>
          <w:sz w:val="19"/>
          <w:szCs w:val="19"/>
          <w:lang w:val="es-ES"/>
        </w:rPr>
      </w:pPr>
      <w:r w:rsidRPr="004519BF">
        <w:rPr>
          <w:rStyle w:val="Refdenotaalpie"/>
          <w:rFonts w:ascii="Arial" w:hAnsi="Arial" w:cs="Arial"/>
          <w:sz w:val="19"/>
          <w:szCs w:val="19"/>
        </w:rPr>
        <w:footnoteRef/>
      </w:r>
      <w:r w:rsidRPr="004519BF">
        <w:rPr>
          <w:rFonts w:ascii="Arial" w:hAnsi="Arial" w:cs="Arial"/>
          <w:sz w:val="19"/>
          <w:szCs w:val="19"/>
        </w:rPr>
        <w:t xml:space="preserve"> </w:t>
      </w:r>
      <w:r w:rsidRPr="004519BF">
        <w:rPr>
          <w:rFonts w:ascii="Arial" w:hAnsi="Arial" w:cs="Arial"/>
          <w:sz w:val="19"/>
          <w:szCs w:val="19"/>
          <w:lang w:val="es-ES"/>
        </w:rPr>
        <w:t xml:space="preserve">CORTE CONSTITUCIONAL. Sentencia T-1039 de 2006. M.P. Humberto Sierra Porto. La Corte Constitucional ha mantenido este criterio en las sentencias: C-903 de 2008. M.P. Jaime Araujo Rentería; C-101 de 2018. M.P. Gloria Stella Ortiz Delgado; entre otras. </w:t>
      </w:r>
    </w:p>
  </w:footnote>
  <w:footnote w:id="9">
    <w:p w14:paraId="4FE16212" w14:textId="128D0944" w:rsidR="005C1DA3" w:rsidRPr="004519BF" w:rsidRDefault="005C1DA3">
      <w:pPr>
        <w:pStyle w:val="Textonotapie"/>
        <w:ind w:firstLine="709"/>
        <w:jc w:val="both"/>
        <w:rPr>
          <w:rFonts w:ascii="Arial" w:hAnsi="Arial" w:cs="Arial"/>
          <w:sz w:val="19"/>
          <w:szCs w:val="19"/>
          <w:lang w:val="es-ES"/>
        </w:rPr>
      </w:pPr>
      <w:r w:rsidRPr="004519BF">
        <w:rPr>
          <w:rStyle w:val="Refdenotaalpie"/>
          <w:rFonts w:ascii="Arial" w:hAnsi="Arial" w:cs="Arial"/>
          <w:sz w:val="19"/>
          <w:szCs w:val="19"/>
        </w:rPr>
        <w:footnoteRef/>
      </w:r>
      <w:r w:rsidRPr="004519BF">
        <w:rPr>
          <w:rFonts w:ascii="Arial" w:hAnsi="Arial" w:cs="Arial"/>
          <w:sz w:val="19"/>
          <w:szCs w:val="19"/>
        </w:rPr>
        <w:t xml:space="preserve"> </w:t>
      </w:r>
      <w:r w:rsidRPr="004519BF">
        <w:rPr>
          <w:rFonts w:ascii="Arial" w:hAnsi="Arial" w:cs="Arial"/>
          <w:sz w:val="19"/>
          <w:szCs w:val="19"/>
          <w:lang w:val="es-ES"/>
        </w:rPr>
        <w:t xml:space="preserve">CONSEJO DE ESTADO. Sala de Consulta y Servicio Civil. Concepto del 30 de abril de 2015. </w:t>
      </w:r>
      <w:proofErr w:type="spellStart"/>
      <w:r w:rsidRPr="004519BF">
        <w:rPr>
          <w:rFonts w:ascii="Arial" w:hAnsi="Arial" w:cs="Arial"/>
          <w:sz w:val="19"/>
          <w:szCs w:val="19"/>
          <w:lang w:val="es-ES"/>
        </w:rPr>
        <w:t>Exp</w:t>
      </w:r>
      <w:proofErr w:type="spellEnd"/>
      <w:r w:rsidRPr="004519BF">
        <w:rPr>
          <w:rFonts w:ascii="Arial" w:hAnsi="Arial" w:cs="Arial"/>
          <w:sz w:val="19"/>
          <w:szCs w:val="19"/>
          <w:lang w:val="es-ES"/>
        </w:rPr>
        <w:t xml:space="preserve">. 2251. Consejero Ponente: Álvaro </w:t>
      </w:r>
      <w:proofErr w:type="spellStart"/>
      <w:r w:rsidRPr="004519BF">
        <w:rPr>
          <w:rFonts w:ascii="Arial" w:hAnsi="Arial" w:cs="Arial"/>
          <w:sz w:val="19"/>
          <w:szCs w:val="19"/>
          <w:lang w:val="es-ES"/>
        </w:rPr>
        <w:t>Namén</w:t>
      </w:r>
      <w:proofErr w:type="spellEnd"/>
      <w:r w:rsidRPr="004519BF">
        <w:rPr>
          <w:rFonts w:ascii="Arial" w:hAnsi="Arial" w:cs="Arial"/>
          <w:sz w:val="19"/>
          <w:szCs w:val="19"/>
          <w:lang w:val="es-ES"/>
        </w:rPr>
        <w:t xml:space="preserve"> Vargas.</w:t>
      </w:r>
    </w:p>
  </w:footnote>
  <w:footnote w:id="10">
    <w:p w14:paraId="7D5FCEAF" w14:textId="5BF3094E" w:rsidR="005C1DA3" w:rsidRPr="004519BF" w:rsidRDefault="005C1DA3">
      <w:pPr>
        <w:pStyle w:val="Textonotapie"/>
        <w:ind w:firstLine="709"/>
        <w:jc w:val="both"/>
        <w:rPr>
          <w:rFonts w:ascii="Arial" w:hAnsi="Arial" w:cs="Arial"/>
          <w:sz w:val="19"/>
          <w:szCs w:val="19"/>
        </w:rPr>
      </w:pPr>
      <w:r w:rsidRPr="004519BF">
        <w:rPr>
          <w:rStyle w:val="Refdenotaalpie"/>
          <w:rFonts w:ascii="Arial" w:hAnsi="Arial" w:cs="Arial"/>
          <w:sz w:val="19"/>
          <w:szCs w:val="19"/>
        </w:rPr>
        <w:footnoteRef/>
      </w:r>
      <w:r w:rsidRPr="004519BF">
        <w:rPr>
          <w:rFonts w:ascii="Arial" w:hAnsi="Arial" w:cs="Arial"/>
          <w:sz w:val="19"/>
          <w:szCs w:val="19"/>
        </w:rPr>
        <w:t xml:space="preserve"> CONSEJO DE ESTADO. Sección Tercera. Subsección A. Sentencia del 24 de junio de 2015. Rad. 40.635. Consejero Ponente: Hernán Andrade Rincón (E).</w:t>
      </w:r>
    </w:p>
  </w:footnote>
  <w:footnote w:id="11">
    <w:p w14:paraId="28F28E3F" w14:textId="6B28AD4B" w:rsidR="005C1DA3" w:rsidRPr="004519BF" w:rsidRDefault="005C1DA3">
      <w:pPr>
        <w:pStyle w:val="Textonotapie"/>
        <w:ind w:firstLine="709"/>
        <w:jc w:val="both"/>
        <w:rPr>
          <w:rFonts w:ascii="Arial" w:hAnsi="Arial" w:cs="Arial"/>
          <w:sz w:val="19"/>
          <w:szCs w:val="19"/>
        </w:rPr>
      </w:pPr>
      <w:r w:rsidRPr="004519BF">
        <w:rPr>
          <w:rStyle w:val="Refdenotaalpie"/>
          <w:rFonts w:ascii="Arial" w:hAnsi="Arial" w:cs="Arial"/>
          <w:sz w:val="19"/>
          <w:szCs w:val="19"/>
        </w:rPr>
        <w:footnoteRef/>
      </w:r>
      <w:r w:rsidRPr="004519BF">
        <w:rPr>
          <w:rFonts w:ascii="Arial" w:hAnsi="Arial" w:cs="Arial"/>
          <w:sz w:val="19"/>
          <w:szCs w:val="19"/>
        </w:rPr>
        <w:t xml:space="preserve"> CONSEJO DE ESTADO. Sección Tercera. Subsección C. Sentencia del 22 de mayo de 2013. Rad. 24.057. Consejera Ponente: Olga </w:t>
      </w:r>
      <w:proofErr w:type="spellStart"/>
      <w:r w:rsidRPr="004519BF">
        <w:rPr>
          <w:rFonts w:ascii="Arial" w:hAnsi="Arial" w:cs="Arial"/>
          <w:sz w:val="19"/>
          <w:szCs w:val="19"/>
        </w:rPr>
        <w:t>Melida</w:t>
      </w:r>
      <w:proofErr w:type="spellEnd"/>
      <w:r w:rsidRPr="004519BF">
        <w:rPr>
          <w:rFonts w:ascii="Arial" w:hAnsi="Arial" w:cs="Arial"/>
          <w:sz w:val="19"/>
          <w:szCs w:val="19"/>
        </w:rPr>
        <w:t xml:space="preserve"> Valle De </w:t>
      </w:r>
      <w:proofErr w:type="spellStart"/>
      <w:r w:rsidRPr="004519BF">
        <w:rPr>
          <w:rFonts w:ascii="Arial" w:hAnsi="Arial" w:cs="Arial"/>
          <w:sz w:val="19"/>
          <w:szCs w:val="19"/>
        </w:rPr>
        <w:t>De</w:t>
      </w:r>
      <w:proofErr w:type="spellEnd"/>
      <w:r w:rsidRPr="004519BF">
        <w:rPr>
          <w:rFonts w:ascii="Arial" w:hAnsi="Arial" w:cs="Arial"/>
          <w:sz w:val="19"/>
          <w:szCs w:val="19"/>
        </w:rPr>
        <w:t xml:space="preserve"> La Hoz.</w:t>
      </w:r>
    </w:p>
  </w:footnote>
  <w:footnote w:id="12">
    <w:p w14:paraId="26B78068" w14:textId="268C1839" w:rsidR="005C1DA3" w:rsidRPr="005F01C8" w:rsidRDefault="005C1DA3" w:rsidP="005F01C8">
      <w:pPr>
        <w:pStyle w:val="Textonotapie"/>
        <w:ind w:firstLine="709"/>
        <w:jc w:val="both"/>
        <w:rPr>
          <w:rFonts w:ascii="Arial" w:hAnsi="Arial" w:cs="Arial"/>
          <w:sz w:val="19"/>
          <w:szCs w:val="19"/>
          <w:lang w:val="es-ES"/>
        </w:rPr>
      </w:pPr>
      <w:r w:rsidRPr="005F01C8">
        <w:rPr>
          <w:rStyle w:val="Refdenotaalpie"/>
          <w:rFonts w:ascii="Arial" w:hAnsi="Arial" w:cs="Arial"/>
          <w:sz w:val="19"/>
          <w:szCs w:val="19"/>
        </w:rPr>
        <w:footnoteRef/>
      </w:r>
      <w:r w:rsidRPr="005F01C8">
        <w:rPr>
          <w:rFonts w:ascii="Arial" w:hAnsi="Arial" w:cs="Arial"/>
          <w:sz w:val="19"/>
          <w:szCs w:val="19"/>
        </w:rPr>
        <w:t xml:space="preserve"> </w:t>
      </w:r>
      <w:r w:rsidRPr="004519BF">
        <w:rPr>
          <w:rFonts w:ascii="Arial" w:hAnsi="Arial" w:cs="Arial"/>
          <w:sz w:val="19"/>
          <w:szCs w:val="19"/>
        </w:rPr>
        <w:t>CORTE CONSTITUCIONAL. Sentencia C-</w:t>
      </w:r>
      <w:r w:rsidRPr="00DD318A">
        <w:rPr>
          <w:rFonts w:ascii="Arial" w:hAnsi="Arial" w:cs="Arial"/>
          <w:sz w:val="19"/>
          <w:szCs w:val="19"/>
        </w:rPr>
        <w:t xml:space="preserve">415 de 1994. M.P. Eduardo Cifuentes Muñoz. </w:t>
      </w:r>
    </w:p>
  </w:footnote>
  <w:footnote w:id="13">
    <w:p w14:paraId="3EFEDFDC" w14:textId="0E7E69CD" w:rsidR="005C1DA3" w:rsidRPr="00DD318A" w:rsidRDefault="005C1DA3" w:rsidP="005F01C8">
      <w:pPr>
        <w:pStyle w:val="Textonotapie"/>
        <w:ind w:firstLine="709"/>
        <w:jc w:val="both"/>
        <w:rPr>
          <w:rFonts w:ascii="Arial" w:hAnsi="Arial" w:cs="Arial"/>
          <w:sz w:val="19"/>
          <w:szCs w:val="19"/>
        </w:rPr>
      </w:pPr>
      <w:r w:rsidRPr="004519BF">
        <w:rPr>
          <w:rStyle w:val="Refdenotaalpie"/>
          <w:rFonts w:ascii="Arial" w:hAnsi="Arial" w:cs="Arial"/>
          <w:sz w:val="19"/>
          <w:szCs w:val="19"/>
        </w:rPr>
        <w:footnoteRef/>
      </w:r>
      <w:r w:rsidR="00DD318A">
        <w:rPr>
          <w:rFonts w:ascii="Arial" w:hAnsi="Arial" w:cs="Arial"/>
          <w:sz w:val="19"/>
          <w:szCs w:val="19"/>
        </w:rPr>
        <w:t xml:space="preserve"> </w:t>
      </w:r>
      <w:r w:rsidRPr="004519BF">
        <w:rPr>
          <w:rFonts w:ascii="Arial" w:hAnsi="Arial" w:cs="Arial"/>
          <w:sz w:val="19"/>
          <w:szCs w:val="19"/>
        </w:rPr>
        <w:t>CORTE CONSTITUCIONAL</w:t>
      </w:r>
      <w:r w:rsidRPr="00DD318A">
        <w:rPr>
          <w:rFonts w:ascii="Arial" w:hAnsi="Arial" w:cs="Arial"/>
          <w:sz w:val="19"/>
          <w:szCs w:val="19"/>
        </w:rPr>
        <w:t xml:space="preserve">. Sentencia C-353 de 2009. M.P. JORGE IVÁN PALACIO </w:t>
      </w:r>
      <w:proofErr w:type="spellStart"/>
      <w:r w:rsidRPr="00DD318A">
        <w:rPr>
          <w:rFonts w:ascii="Arial" w:hAnsi="Arial" w:cs="Arial"/>
          <w:sz w:val="19"/>
          <w:szCs w:val="19"/>
        </w:rPr>
        <w:t>PALACIO</w:t>
      </w:r>
      <w:proofErr w:type="spellEnd"/>
      <w:r w:rsidRPr="00DD318A">
        <w:rPr>
          <w:rFonts w:ascii="Arial" w:hAnsi="Arial" w:cs="Arial"/>
          <w:sz w:val="19"/>
          <w:szCs w:val="19"/>
        </w:rPr>
        <w:t>.</w:t>
      </w:r>
    </w:p>
  </w:footnote>
  <w:footnote w:id="14">
    <w:p w14:paraId="71C16EB5" w14:textId="0FE9105D" w:rsidR="005C1DA3" w:rsidRPr="00A649C6" w:rsidRDefault="005C1DA3" w:rsidP="00DD318A">
      <w:pPr>
        <w:pStyle w:val="Textonotapie"/>
        <w:ind w:firstLine="709"/>
        <w:jc w:val="both"/>
        <w:rPr>
          <w:rFonts w:ascii="Arial" w:hAnsi="Arial" w:cs="Arial"/>
          <w:sz w:val="19"/>
          <w:szCs w:val="19"/>
        </w:rPr>
      </w:pPr>
      <w:r w:rsidRPr="004519BF">
        <w:rPr>
          <w:rStyle w:val="Refdenotaalpie"/>
          <w:rFonts w:ascii="Arial" w:hAnsi="Arial" w:cs="Arial"/>
          <w:sz w:val="19"/>
          <w:szCs w:val="19"/>
        </w:rPr>
        <w:footnoteRef/>
      </w:r>
      <w:r w:rsidRPr="004519BF">
        <w:rPr>
          <w:rFonts w:ascii="Arial" w:hAnsi="Arial" w:cs="Arial"/>
          <w:sz w:val="19"/>
          <w:szCs w:val="19"/>
        </w:rPr>
        <w:t xml:space="preserve"> Código Civil: «Artículo 3</w:t>
      </w:r>
      <w:r w:rsidRPr="00DD318A">
        <w:rPr>
          <w:rFonts w:ascii="Arial" w:hAnsi="Arial" w:cs="Arial"/>
          <w:sz w:val="19"/>
          <w:szCs w:val="19"/>
        </w:rPr>
        <w:t xml:space="preserve">5. </w:t>
      </w:r>
      <w:r w:rsidRPr="00597799">
        <w:rPr>
          <w:rFonts w:ascii="Arial" w:hAnsi="Arial" w:cs="Arial"/>
          <w:sz w:val="19"/>
          <w:szCs w:val="19"/>
        </w:rPr>
        <w:t>Parentesco de consanguinidad es la relación o conexión que existe entre las personas que descienden de un mismo tronco o raíz, o que están unidas por los vínculos de la sangre</w:t>
      </w:r>
      <w:r w:rsidRPr="00A649C6">
        <w:rPr>
          <w:rFonts w:ascii="Arial" w:hAnsi="Arial" w:cs="Arial"/>
          <w:sz w:val="19"/>
          <w:szCs w:val="19"/>
        </w:rPr>
        <w:t>».</w:t>
      </w:r>
    </w:p>
  </w:footnote>
  <w:footnote w:id="15">
    <w:p w14:paraId="7D329504" w14:textId="7F6C6C85" w:rsidR="005C1DA3" w:rsidRPr="00DD318A" w:rsidRDefault="005C1DA3" w:rsidP="005F01C8">
      <w:pPr>
        <w:pStyle w:val="Textonotapie"/>
        <w:ind w:firstLine="709"/>
        <w:jc w:val="both"/>
        <w:rPr>
          <w:rFonts w:ascii="Arial" w:hAnsi="Arial" w:cs="Arial"/>
          <w:sz w:val="19"/>
          <w:szCs w:val="19"/>
          <w:lang w:val="es-ES"/>
        </w:rPr>
      </w:pPr>
      <w:r w:rsidRPr="004519BF">
        <w:rPr>
          <w:rStyle w:val="Refdenotaalpie"/>
          <w:rFonts w:ascii="Arial" w:hAnsi="Arial" w:cs="Arial"/>
          <w:sz w:val="19"/>
          <w:szCs w:val="19"/>
        </w:rPr>
        <w:footnoteRef/>
      </w:r>
      <w:r w:rsidRPr="004519BF">
        <w:rPr>
          <w:rFonts w:ascii="Arial" w:hAnsi="Arial" w:cs="Arial"/>
          <w:sz w:val="19"/>
          <w:szCs w:val="19"/>
        </w:rPr>
        <w:t xml:space="preserve"> CORTE CONSTITUCIONAL. Sentencia C-415 de 1994. M.P. Eduardo Cifuentes Muñoz.</w:t>
      </w:r>
    </w:p>
  </w:footnote>
  <w:footnote w:id="16">
    <w:p w14:paraId="6480F880" w14:textId="22CC0C00" w:rsidR="00557640" w:rsidRPr="005F01C8" w:rsidRDefault="00557640" w:rsidP="005F01C8">
      <w:pPr>
        <w:pStyle w:val="Textonotapie"/>
        <w:ind w:firstLine="709"/>
        <w:jc w:val="both"/>
        <w:rPr>
          <w:rFonts w:ascii="Arial" w:hAnsi="Arial" w:cs="Arial"/>
          <w:sz w:val="19"/>
          <w:szCs w:val="19"/>
        </w:rPr>
      </w:pPr>
      <w:r w:rsidRPr="005F01C8">
        <w:rPr>
          <w:rStyle w:val="Refdenotaalpie"/>
          <w:rFonts w:ascii="Arial" w:hAnsi="Arial" w:cs="Arial"/>
          <w:sz w:val="19"/>
          <w:szCs w:val="19"/>
        </w:rPr>
        <w:footnoteRef/>
      </w:r>
      <w:r w:rsidRPr="005F01C8">
        <w:rPr>
          <w:rFonts w:ascii="Arial" w:hAnsi="Arial" w:cs="Arial"/>
          <w:sz w:val="19"/>
          <w:szCs w:val="19"/>
        </w:rPr>
        <w:t xml:space="preserve"> Superintendencia de Sociedades. Guía Práctica Régimen de Matrices y Subordinadas. Disponible en: https://www.supersociedades.gov.co/delegatura_ivc/CartillasyGuias/Guia_Practica_RegimenMatricesySubordinadas.pdf recuperado el 9 de junio de 2020. </w:t>
      </w:r>
    </w:p>
  </w:footnote>
  <w:footnote w:id="17">
    <w:p w14:paraId="23B20F09" w14:textId="77777777" w:rsidR="00F977C7" w:rsidRPr="004519BF" w:rsidRDefault="00F977C7" w:rsidP="00A649C6">
      <w:pPr>
        <w:pStyle w:val="Textonotapie"/>
        <w:ind w:firstLine="709"/>
        <w:jc w:val="both"/>
        <w:rPr>
          <w:rFonts w:ascii="Arial" w:hAnsi="Arial" w:cs="Arial"/>
          <w:sz w:val="19"/>
          <w:szCs w:val="19"/>
        </w:rPr>
      </w:pPr>
      <w:r w:rsidRPr="00A649C6">
        <w:rPr>
          <w:rStyle w:val="Refdenotaalpie"/>
          <w:rFonts w:ascii="Arial" w:hAnsi="Arial" w:cs="Arial"/>
          <w:sz w:val="19"/>
          <w:szCs w:val="19"/>
        </w:rPr>
        <w:footnoteRef/>
      </w:r>
      <w:r w:rsidRPr="00A649C6">
        <w:rPr>
          <w:rFonts w:ascii="Arial" w:hAnsi="Arial" w:cs="Arial"/>
          <w:sz w:val="19"/>
          <w:szCs w:val="19"/>
        </w:rPr>
        <w:t xml:space="preserve"> Código Civil: «Artículo 35. </w:t>
      </w:r>
      <w:r w:rsidRPr="00445E12">
        <w:rPr>
          <w:rFonts w:ascii="Arial" w:hAnsi="Arial" w:cs="Arial"/>
          <w:sz w:val="19"/>
          <w:szCs w:val="19"/>
        </w:rPr>
        <w:t>Parentesco de consanguinidad es la relación o conexión que existe entre las personas que descienden de un mismo tronco o raíz, o que están unidas por los vín</w:t>
      </w:r>
      <w:r w:rsidRPr="004519BF">
        <w:rPr>
          <w:rFonts w:ascii="Arial" w:hAnsi="Arial" w:cs="Arial"/>
          <w:sz w:val="19"/>
          <w:szCs w:val="19"/>
        </w:rPr>
        <w:t>culos de la sangre».</w:t>
      </w:r>
    </w:p>
  </w:footnote>
  <w:footnote w:id="18">
    <w:p w14:paraId="78D74CA2" w14:textId="77777777" w:rsidR="00F73586" w:rsidRPr="005F01C8" w:rsidRDefault="00F73586" w:rsidP="005F01C8">
      <w:pPr>
        <w:pStyle w:val="Textonotapie"/>
        <w:ind w:firstLine="709"/>
        <w:jc w:val="both"/>
        <w:rPr>
          <w:rFonts w:ascii="Arial" w:hAnsi="Arial" w:cs="Arial"/>
          <w:sz w:val="19"/>
          <w:szCs w:val="19"/>
        </w:rPr>
      </w:pPr>
      <w:r w:rsidRPr="005F01C8">
        <w:rPr>
          <w:rStyle w:val="Refdenotaalpie"/>
          <w:rFonts w:ascii="Arial" w:hAnsi="Arial" w:cs="Arial"/>
          <w:sz w:val="19"/>
          <w:szCs w:val="19"/>
        </w:rPr>
        <w:footnoteRef/>
      </w:r>
      <w:r w:rsidRPr="005F01C8">
        <w:rPr>
          <w:rFonts w:ascii="Arial" w:hAnsi="Arial" w:cs="Arial"/>
          <w:sz w:val="19"/>
          <w:szCs w:val="19"/>
        </w:rPr>
        <w:t xml:space="preserve"> Superintendencia de Sociedades. Guía Práctica Régimen de Matrices y Subordinadas. Disponible en: https://www.supersociedades.gov.co/delegatura_ivc/CartillasyGuias/Guia_Practica_RegimenMatricesySubordinadas.pdf recuperado el 9 de junio de 2020.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5C1DA3" w:rsidRDefault="005C1DA3">
    <w:pPr>
      <w:pStyle w:val="Encabezado"/>
    </w:pPr>
    <w:r>
      <w:rPr>
        <w:noProof/>
        <w:lang w:val="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B6EE74E4"/>
    <w:lvl w:ilvl="0">
      <w:start w:val="1"/>
      <w:numFmt w:val="decimal"/>
      <w:lvlText w:val="%1."/>
      <w:lvlJc w:val="left"/>
      <w:pPr>
        <w:ind w:left="6601" w:hanging="360"/>
      </w:pPr>
      <w:rPr>
        <w:b/>
        <w:bCs w:val="0"/>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6AF8"/>
    <w:rsid w:val="00027C8A"/>
    <w:rsid w:val="00052E6D"/>
    <w:rsid w:val="00062363"/>
    <w:rsid w:val="00070501"/>
    <w:rsid w:val="00083BF8"/>
    <w:rsid w:val="0008444E"/>
    <w:rsid w:val="00084AA0"/>
    <w:rsid w:val="00084B97"/>
    <w:rsid w:val="00084D5B"/>
    <w:rsid w:val="00085147"/>
    <w:rsid w:val="000921C6"/>
    <w:rsid w:val="000942EB"/>
    <w:rsid w:val="00096EE0"/>
    <w:rsid w:val="000B103F"/>
    <w:rsid w:val="000B6F0F"/>
    <w:rsid w:val="000B71E4"/>
    <w:rsid w:val="000C0D40"/>
    <w:rsid w:val="000E3936"/>
    <w:rsid w:val="000F14E8"/>
    <w:rsid w:val="00103915"/>
    <w:rsid w:val="00122B23"/>
    <w:rsid w:val="00125C07"/>
    <w:rsid w:val="00134461"/>
    <w:rsid w:val="00137FFA"/>
    <w:rsid w:val="00150BAE"/>
    <w:rsid w:val="00155152"/>
    <w:rsid w:val="00157A04"/>
    <w:rsid w:val="001659D9"/>
    <w:rsid w:val="001704FF"/>
    <w:rsid w:val="00170956"/>
    <w:rsid w:val="00172581"/>
    <w:rsid w:val="00172D04"/>
    <w:rsid w:val="00181317"/>
    <w:rsid w:val="001857B1"/>
    <w:rsid w:val="001858BE"/>
    <w:rsid w:val="00191592"/>
    <w:rsid w:val="001A0258"/>
    <w:rsid w:val="001A7081"/>
    <w:rsid w:val="001B0444"/>
    <w:rsid w:val="001C13AE"/>
    <w:rsid w:val="001E03D2"/>
    <w:rsid w:val="001E60CB"/>
    <w:rsid w:val="001F34D4"/>
    <w:rsid w:val="001F7D57"/>
    <w:rsid w:val="002014A1"/>
    <w:rsid w:val="0020632A"/>
    <w:rsid w:val="002110EB"/>
    <w:rsid w:val="00211338"/>
    <w:rsid w:val="002172CF"/>
    <w:rsid w:val="002233B1"/>
    <w:rsid w:val="002314A5"/>
    <w:rsid w:val="00234B84"/>
    <w:rsid w:val="00256641"/>
    <w:rsid w:val="00260F08"/>
    <w:rsid w:val="00261BAA"/>
    <w:rsid w:val="002821D6"/>
    <w:rsid w:val="002A11F2"/>
    <w:rsid w:val="002C4C0C"/>
    <w:rsid w:val="002C6274"/>
    <w:rsid w:val="002C7F9C"/>
    <w:rsid w:val="002D6C6B"/>
    <w:rsid w:val="002F1A14"/>
    <w:rsid w:val="002F454C"/>
    <w:rsid w:val="00301123"/>
    <w:rsid w:val="00301184"/>
    <w:rsid w:val="003033BA"/>
    <w:rsid w:val="003074AE"/>
    <w:rsid w:val="003106F2"/>
    <w:rsid w:val="00322937"/>
    <w:rsid w:val="00325E6F"/>
    <w:rsid w:val="00336972"/>
    <w:rsid w:val="00337B47"/>
    <w:rsid w:val="0034177C"/>
    <w:rsid w:val="0034677C"/>
    <w:rsid w:val="0034680A"/>
    <w:rsid w:val="00353DD5"/>
    <w:rsid w:val="00365B43"/>
    <w:rsid w:val="00386456"/>
    <w:rsid w:val="00396FE0"/>
    <w:rsid w:val="003A0878"/>
    <w:rsid w:val="003A2753"/>
    <w:rsid w:val="003A581E"/>
    <w:rsid w:val="003A7231"/>
    <w:rsid w:val="003C63A9"/>
    <w:rsid w:val="003D000D"/>
    <w:rsid w:val="003D2E2C"/>
    <w:rsid w:val="003D53A2"/>
    <w:rsid w:val="003D5B6A"/>
    <w:rsid w:val="003E211C"/>
    <w:rsid w:val="003F49B8"/>
    <w:rsid w:val="004042CB"/>
    <w:rsid w:val="00412C63"/>
    <w:rsid w:val="00423F9F"/>
    <w:rsid w:val="00427331"/>
    <w:rsid w:val="00440622"/>
    <w:rsid w:val="004422D6"/>
    <w:rsid w:val="00445E12"/>
    <w:rsid w:val="00446BE0"/>
    <w:rsid w:val="004519BF"/>
    <w:rsid w:val="004569DB"/>
    <w:rsid w:val="004644A2"/>
    <w:rsid w:val="00471E8E"/>
    <w:rsid w:val="00473979"/>
    <w:rsid w:val="0048136F"/>
    <w:rsid w:val="0049094E"/>
    <w:rsid w:val="0049241A"/>
    <w:rsid w:val="004A34D2"/>
    <w:rsid w:val="004B0D4F"/>
    <w:rsid w:val="004D60B8"/>
    <w:rsid w:val="004E0E0D"/>
    <w:rsid w:val="004E5EAC"/>
    <w:rsid w:val="004F1DC5"/>
    <w:rsid w:val="00503206"/>
    <w:rsid w:val="005078D7"/>
    <w:rsid w:val="0051074C"/>
    <w:rsid w:val="00513AF2"/>
    <w:rsid w:val="005178B0"/>
    <w:rsid w:val="005301D8"/>
    <w:rsid w:val="0054413A"/>
    <w:rsid w:val="005564CA"/>
    <w:rsid w:val="00557640"/>
    <w:rsid w:val="0056182B"/>
    <w:rsid w:val="005756AA"/>
    <w:rsid w:val="00576CEB"/>
    <w:rsid w:val="005816CA"/>
    <w:rsid w:val="00582C39"/>
    <w:rsid w:val="005962A5"/>
    <w:rsid w:val="00596405"/>
    <w:rsid w:val="00597799"/>
    <w:rsid w:val="005A5651"/>
    <w:rsid w:val="005C0573"/>
    <w:rsid w:val="005C1DA3"/>
    <w:rsid w:val="005D0F03"/>
    <w:rsid w:val="005D3341"/>
    <w:rsid w:val="005D365E"/>
    <w:rsid w:val="005D4921"/>
    <w:rsid w:val="005D51FA"/>
    <w:rsid w:val="005D791B"/>
    <w:rsid w:val="005E1595"/>
    <w:rsid w:val="005E301B"/>
    <w:rsid w:val="005E3666"/>
    <w:rsid w:val="005E504D"/>
    <w:rsid w:val="005F01C8"/>
    <w:rsid w:val="005F2818"/>
    <w:rsid w:val="006010F7"/>
    <w:rsid w:val="006119B2"/>
    <w:rsid w:val="00611B77"/>
    <w:rsid w:val="00614817"/>
    <w:rsid w:val="00617FF2"/>
    <w:rsid w:val="00633DBF"/>
    <w:rsid w:val="006344B7"/>
    <w:rsid w:val="00640AEF"/>
    <w:rsid w:val="006426BC"/>
    <w:rsid w:val="00644C0A"/>
    <w:rsid w:val="00655371"/>
    <w:rsid w:val="00660B1A"/>
    <w:rsid w:val="006636B5"/>
    <w:rsid w:val="00664724"/>
    <w:rsid w:val="00665AA7"/>
    <w:rsid w:val="0067348A"/>
    <w:rsid w:val="00680487"/>
    <w:rsid w:val="006911AD"/>
    <w:rsid w:val="006967F3"/>
    <w:rsid w:val="00697665"/>
    <w:rsid w:val="006A7CB5"/>
    <w:rsid w:val="006A7FD0"/>
    <w:rsid w:val="006B4288"/>
    <w:rsid w:val="006B60C8"/>
    <w:rsid w:val="006C1C9E"/>
    <w:rsid w:val="006D10B1"/>
    <w:rsid w:val="006D687F"/>
    <w:rsid w:val="006D7687"/>
    <w:rsid w:val="006E0572"/>
    <w:rsid w:val="006F2A69"/>
    <w:rsid w:val="00705631"/>
    <w:rsid w:val="00715EAA"/>
    <w:rsid w:val="0072288F"/>
    <w:rsid w:val="00742DD2"/>
    <w:rsid w:val="00746E08"/>
    <w:rsid w:val="00747C96"/>
    <w:rsid w:val="00747CD4"/>
    <w:rsid w:val="0075094E"/>
    <w:rsid w:val="00751504"/>
    <w:rsid w:val="007522E8"/>
    <w:rsid w:val="0075647A"/>
    <w:rsid w:val="007634AD"/>
    <w:rsid w:val="0078122E"/>
    <w:rsid w:val="00790122"/>
    <w:rsid w:val="00795647"/>
    <w:rsid w:val="007A4609"/>
    <w:rsid w:val="007A5F3E"/>
    <w:rsid w:val="007B0854"/>
    <w:rsid w:val="007B6F1D"/>
    <w:rsid w:val="007D7BD9"/>
    <w:rsid w:val="007E0383"/>
    <w:rsid w:val="007F4562"/>
    <w:rsid w:val="007F6B46"/>
    <w:rsid w:val="007F6DBB"/>
    <w:rsid w:val="007F72CB"/>
    <w:rsid w:val="00811CB5"/>
    <w:rsid w:val="0081537B"/>
    <w:rsid w:val="008217B7"/>
    <w:rsid w:val="0083119B"/>
    <w:rsid w:val="00836EAB"/>
    <w:rsid w:val="00837BF7"/>
    <w:rsid w:val="0085092D"/>
    <w:rsid w:val="00850F79"/>
    <w:rsid w:val="00854CFC"/>
    <w:rsid w:val="00870F20"/>
    <w:rsid w:val="00871FD2"/>
    <w:rsid w:val="00894BAF"/>
    <w:rsid w:val="0089774F"/>
    <w:rsid w:val="008A55BC"/>
    <w:rsid w:val="008A7A3B"/>
    <w:rsid w:val="008B51E3"/>
    <w:rsid w:val="008B5B04"/>
    <w:rsid w:val="008B632C"/>
    <w:rsid w:val="008C3804"/>
    <w:rsid w:val="008C6F27"/>
    <w:rsid w:val="008D6DE0"/>
    <w:rsid w:val="008D7CF7"/>
    <w:rsid w:val="008E1C15"/>
    <w:rsid w:val="008F538E"/>
    <w:rsid w:val="008F6999"/>
    <w:rsid w:val="009047C5"/>
    <w:rsid w:val="009058E3"/>
    <w:rsid w:val="00923BCA"/>
    <w:rsid w:val="009256D5"/>
    <w:rsid w:val="0094362D"/>
    <w:rsid w:val="0095385A"/>
    <w:rsid w:val="00953E0F"/>
    <w:rsid w:val="00960D5C"/>
    <w:rsid w:val="00960E69"/>
    <w:rsid w:val="00962E23"/>
    <w:rsid w:val="0096318D"/>
    <w:rsid w:val="00975908"/>
    <w:rsid w:val="00985EFB"/>
    <w:rsid w:val="00994B9B"/>
    <w:rsid w:val="0099575F"/>
    <w:rsid w:val="00996662"/>
    <w:rsid w:val="009A7824"/>
    <w:rsid w:val="009B2EE5"/>
    <w:rsid w:val="009D0BBF"/>
    <w:rsid w:val="009E1BE1"/>
    <w:rsid w:val="009F0BB6"/>
    <w:rsid w:val="009F59C2"/>
    <w:rsid w:val="009F5D34"/>
    <w:rsid w:val="00A114A5"/>
    <w:rsid w:val="00A114CB"/>
    <w:rsid w:val="00A20399"/>
    <w:rsid w:val="00A24560"/>
    <w:rsid w:val="00A278BD"/>
    <w:rsid w:val="00A34004"/>
    <w:rsid w:val="00A34538"/>
    <w:rsid w:val="00A346CD"/>
    <w:rsid w:val="00A37FB6"/>
    <w:rsid w:val="00A543B9"/>
    <w:rsid w:val="00A649C6"/>
    <w:rsid w:val="00A654B3"/>
    <w:rsid w:val="00A754E3"/>
    <w:rsid w:val="00A910CB"/>
    <w:rsid w:val="00A97D21"/>
    <w:rsid w:val="00AA08E7"/>
    <w:rsid w:val="00AA442B"/>
    <w:rsid w:val="00AA669D"/>
    <w:rsid w:val="00AC7720"/>
    <w:rsid w:val="00AE6036"/>
    <w:rsid w:val="00AE70B1"/>
    <w:rsid w:val="00AF6DAE"/>
    <w:rsid w:val="00B030B1"/>
    <w:rsid w:val="00B05A55"/>
    <w:rsid w:val="00B073F3"/>
    <w:rsid w:val="00B13EC0"/>
    <w:rsid w:val="00B22024"/>
    <w:rsid w:val="00B22E22"/>
    <w:rsid w:val="00B23041"/>
    <w:rsid w:val="00B25ADA"/>
    <w:rsid w:val="00B460E5"/>
    <w:rsid w:val="00B525CB"/>
    <w:rsid w:val="00B6189A"/>
    <w:rsid w:val="00B63872"/>
    <w:rsid w:val="00B63CB2"/>
    <w:rsid w:val="00B64EDB"/>
    <w:rsid w:val="00B65F77"/>
    <w:rsid w:val="00B7315F"/>
    <w:rsid w:val="00B745FD"/>
    <w:rsid w:val="00B75A9B"/>
    <w:rsid w:val="00B75B2B"/>
    <w:rsid w:val="00B86E53"/>
    <w:rsid w:val="00B91B8E"/>
    <w:rsid w:val="00B92156"/>
    <w:rsid w:val="00BA1266"/>
    <w:rsid w:val="00BC56A0"/>
    <w:rsid w:val="00BD16E3"/>
    <w:rsid w:val="00BD2DDD"/>
    <w:rsid w:val="00BD3394"/>
    <w:rsid w:val="00BD3D51"/>
    <w:rsid w:val="00BD78FE"/>
    <w:rsid w:val="00BD7ABD"/>
    <w:rsid w:val="00BE194E"/>
    <w:rsid w:val="00BE244C"/>
    <w:rsid w:val="00BE33E3"/>
    <w:rsid w:val="00BE5842"/>
    <w:rsid w:val="00BF4D87"/>
    <w:rsid w:val="00C16250"/>
    <w:rsid w:val="00C40E3E"/>
    <w:rsid w:val="00C60414"/>
    <w:rsid w:val="00C609AA"/>
    <w:rsid w:val="00C61D16"/>
    <w:rsid w:val="00C634EA"/>
    <w:rsid w:val="00C653AC"/>
    <w:rsid w:val="00C707CB"/>
    <w:rsid w:val="00C91FB2"/>
    <w:rsid w:val="00C93443"/>
    <w:rsid w:val="00CA3543"/>
    <w:rsid w:val="00CC00CD"/>
    <w:rsid w:val="00CC6E68"/>
    <w:rsid w:val="00CD078A"/>
    <w:rsid w:val="00CF4298"/>
    <w:rsid w:val="00CF70E8"/>
    <w:rsid w:val="00D01760"/>
    <w:rsid w:val="00D1044A"/>
    <w:rsid w:val="00D165A9"/>
    <w:rsid w:val="00D16E39"/>
    <w:rsid w:val="00D16FA8"/>
    <w:rsid w:val="00D20AD0"/>
    <w:rsid w:val="00D223B6"/>
    <w:rsid w:val="00D26A74"/>
    <w:rsid w:val="00D361BF"/>
    <w:rsid w:val="00D4557E"/>
    <w:rsid w:val="00D60327"/>
    <w:rsid w:val="00D622AF"/>
    <w:rsid w:val="00D66CC3"/>
    <w:rsid w:val="00D72E9D"/>
    <w:rsid w:val="00D746FD"/>
    <w:rsid w:val="00D7482C"/>
    <w:rsid w:val="00D82824"/>
    <w:rsid w:val="00D82CE5"/>
    <w:rsid w:val="00D91951"/>
    <w:rsid w:val="00D94962"/>
    <w:rsid w:val="00DA5AB1"/>
    <w:rsid w:val="00DB04D4"/>
    <w:rsid w:val="00DB6633"/>
    <w:rsid w:val="00DC06A6"/>
    <w:rsid w:val="00DC62E5"/>
    <w:rsid w:val="00DC6DF2"/>
    <w:rsid w:val="00DD318A"/>
    <w:rsid w:val="00DD6ABE"/>
    <w:rsid w:val="00DD735D"/>
    <w:rsid w:val="00DD782C"/>
    <w:rsid w:val="00DE3119"/>
    <w:rsid w:val="00DE5B33"/>
    <w:rsid w:val="00DE6E0C"/>
    <w:rsid w:val="00DE74A8"/>
    <w:rsid w:val="00DF236B"/>
    <w:rsid w:val="00E00F87"/>
    <w:rsid w:val="00E04179"/>
    <w:rsid w:val="00E10A7E"/>
    <w:rsid w:val="00E11C35"/>
    <w:rsid w:val="00E13AB8"/>
    <w:rsid w:val="00E22816"/>
    <w:rsid w:val="00E25CB3"/>
    <w:rsid w:val="00E33B62"/>
    <w:rsid w:val="00E4143A"/>
    <w:rsid w:val="00E53545"/>
    <w:rsid w:val="00E6039E"/>
    <w:rsid w:val="00E605C4"/>
    <w:rsid w:val="00E61AEE"/>
    <w:rsid w:val="00E91B3B"/>
    <w:rsid w:val="00EA0B3F"/>
    <w:rsid w:val="00EA29EA"/>
    <w:rsid w:val="00EC16CA"/>
    <w:rsid w:val="00EC6C6C"/>
    <w:rsid w:val="00ED069A"/>
    <w:rsid w:val="00EE59B5"/>
    <w:rsid w:val="00F132C2"/>
    <w:rsid w:val="00F16A2E"/>
    <w:rsid w:val="00F23E3A"/>
    <w:rsid w:val="00F31A6E"/>
    <w:rsid w:val="00F352DE"/>
    <w:rsid w:val="00F431BE"/>
    <w:rsid w:val="00F5291B"/>
    <w:rsid w:val="00F54259"/>
    <w:rsid w:val="00F603CC"/>
    <w:rsid w:val="00F61F88"/>
    <w:rsid w:val="00F72043"/>
    <w:rsid w:val="00F73586"/>
    <w:rsid w:val="00F84899"/>
    <w:rsid w:val="00F859F0"/>
    <w:rsid w:val="00F977C7"/>
    <w:rsid w:val="00FA039C"/>
    <w:rsid w:val="00FA19FB"/>
    <w:rsid w:val="00FB1417"/>
    <w:rsid w:val="00FB7FA5"/>
    <w:rsid w:val="00FC0512"/>
    <w:rsid w:val="00FC1D2E"/>
    <w:rsid w:val="00FC53F2"/>
    <w:rsid w:val="00FE141E"/>
    <w:rsid w:val="00FE180D"/>
    <w:rsid w:val="00FE36B6"/>
    <w:rsid w:val="00FE42ED"/>
    <w:rsid w:val="00FE5201"/>
    <w:rsid w:val="00FE75D2"/>
    <w:rsid w:val="00FF0706"/>
    <w:rsid w:val="0761366D"/>
    <w:rsid w:val="0989DAAD"/>
    <w:rsid w:val="1E9525AA"/>
    <w:rsid w:val="70C63DD2"/>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F,R"/>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F72043"/>
  </w:style>
  <w:style w:type="character" w:customStyle="1" w:styleId="iaj">
    <w:name w:val="i_aj"/>
    <w:basedOn w:val="Fuentedeprrafopredeter"/>
    <w:rsid w:val="00F72043"/>
  </w:style>
  <w:style w:type="paragraph" w:customStyle="1" w:styleId="Default">
    <w:name w:val="Default"/>
    <w:rsid w:val="00996662"/>
    <w:pPr>
      <w:autoSpaceDE w:val="0"/>
      <w:autoSpaceDN w:val="0"/>
      <w:adjustRightInd w:val="0"/>
      <w:spacing w:after="0" w:line="240" w:lineRule="auto"/>
    </w:pPr>
    <w:rPr>
      <w:rFonts w:ascii="Arial" w:hAnsi="Arial" w:cs="Arial"/>
      <w:color w:val="000000"/>
      <w:sz w:val="24"/>
      <w:szCs w:val="24"/>
    </w:rPr>
  </w:style>
  <w:style w:type="paragraph" w:customStyle="1" w:styleId="margender0punto5">
    <w:name w:val="margen_der_0punto5"/>
    <w:basedOn w:val="Normal"/>
    <w:rsid w:val="00680487"/>
    <w:pPr>
      <w:spacing w:before="100" w:beforeAutospacing="1" w:after="100" w:afterAutospacing="1"/>
    </w:pPr>
    <w:rPr>
      <w:rFonts w:ascii="Times New Roman" w:eastAsia="Times New Roman" w:hAnsi="Times New Roman" w:cs="Times New Roman"/>
      <w:szCs w:val="24"/>
      <w:lang w:val="es-CO" w:eastAsia="es-CO"/>
    </w:rPr>
  </w:style>
  <w:style w:type="character" w:customStyle="1" w:styleId="letra14pt">
    <w:name w:val="letra14pt"/>
    <w:basedOn w:val="Fuentedeprrafopredeter"/>
    <w:rsid w:val="00680487"/>
  </w:style>
  <w:style w:type="character" w:customStyle="1" w:styleId="Mencinsinresolver1">
    <w:name w:val="Mención sin resolver1"/>
    <w:basedOn w:val="Fuentedeprrafopredeter"/>
    <w:uiPriority w:val="99"/>
    <w:semiHidden/>
    <w:unhideWhenUsed/>
    <w:rsid w:val="008B63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358631">
      <w:bodyDiv w:val="1"/>
      <w:marLeft w:val="0"/>
      <w:marRight w:val="0"/>
      <w:marTop w:val="0"/>
      <w:marBottom w:val="0"/>
      <w:divBdr>
        <w:top w:val="none" w:sz="0" w:space="0" w:color="auto"/>
        <w:left w:val="none" w:sz="0" w:space="0" w:color="auto"/>
        <w:bottom w:val="none" w:sz="0" w:space="0" w:color="auto"/>
        <w:right w:val="none" w:sz="0" w:space="0" w:color="auto"/>
      </w:divBdr>
    </w:div>
    <w:div w:id="24065476">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82260876">
      <w:bodyDiv w:val="1"/>
      <w:marLeft w:val="0"/>
      <w:marRight w:val="0"/>
      <w:marTop w:val="0"/>
      <w:marBottom w:val="0"/>
      <w:divBdr>
        <w:top w:val="none" w:sz="0" w:space="0" w:color="auto"/>
        <w:left w:val="none" w:sz="0" w:space="0" w:color="auto"/>
        <w:bottom w:val="none" w:sz="0" w:space="0" w:color="auto"/>
        <w:right w:val="none" w:sz="0" w:space="0" w:color="auto"/>
      </w:divBdr>
    </w:div>
    <w:div w:id="102039720">
      <w:bodyDiv w:val="1"/>
      <w:marLeft w:val="0"/>
      <w:marRight w:val="0"/>
      <w:marTop w:val="0"/>
      <w:marBottom w:val="0"/>
      <w:divBdr>
        <w:top w:val="none" w:sz="0" w:space="0" w:color="auto"/>
        <w:left w:val="none" w:sz="0" w:space="0" w:color="auto"/>
        <w:bottom w:val="none" w:sz="0" w:space="0" w:color="auto"/>
        <w:right w:val="none" w:sz="0" w:space="0" w:color="auto"/>
      </w:divBdr>
    </w:div>
    <w:div w:id="154954944">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22788881">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13727908">
      <w:bodyDiv w:val="1"/>
      <w:marLeft w:val="0"/>
      <w:marRight w:val="0"/>
      <w:marTop w:val="0"/>
      <w:marBottom w:val="0"/>
      <w:divBdr>
        <w:top w:val="none" w:sz="0" w:space="0" w:color="auto"/>
        <w:left w:val="none" w:sz="0" w:space="0" w:color="auto"/>
        <w:bottom w:val="none" w:sz="0" w:space="0" w:color="auto"/>
        <w:right w:val="none" w:sz="0" w:space="0" w:color="auto"/>
      </w:divBdr>
    </w:div>
    <w:div w:id="514265592">
      <w:bodyDiv w:val="1"/>
      <w:marLeft w:val="0"/>
      <w:marRight w:val="0"/>
      <w:marTop w:val="0"/>
      <w:marBottom w:val="0"/>
      <w:divBdr>
        <w:top w:val="none" w:sz="0" w:space="0" w:color="auto"/>
        <w:left w:val="none" w:sz="0" w:space="0" w:color="auto"/>
        <w:bottom w:val="none" w:sz="0" w:space="0" w:color="auto"/>
        <w:right w:val="none" w:sz="0" w:space="0" w:color="auto"/>
      </w:divBdr>
    </w:div>
    <w:div w:id="537471264">
      <w:bodyDiv w:val="1"/>
      <w:marLeft w:val="0"/>
      <w:marRight w:val="0"/>
      <w:marTop w:val="0"/>
      <w:marBottom w:val="0"/>
      <w:divBdr>
        <w:top w:val="none" w:sz="0" w:space="0" w:color="auto"/>
        <w:left w:val="none" w:sz="0" w:space="0" w:color="auto"/>
        <w:bottom w:val="none" w:sz="0" w:space="0" w:color="auto"/>
        <w:right w:val="none" w:sz="0" w:space="0" w:color="auto"/>
      </w:divBdr>
      <w:divsChild>
        <w:div w:id="407306331">
          <w:marLeft w:val="0"/>
          <w:marRight w:val="0"/>
          <w:marTop w:val="0"/>
          <w:marBottom w:val="0"/>
          <w:divBdr>
            <w:top w:val="none" w:sz="0" w:space="0" w:color="auto"/>
            <w:left w:val="none" w:sz="0" w:space="0" w:color="auto"/>
            <w:bottom w:val="none" w:sz="0" w:space="0" w:color="auto"/>
            <w:right w:val="none" w:sz="0" w:space="0" w:color="auto"/>
          </w:divBdr>
          <w:divsChild>
            <w:div w:id="243733940">
              <w:marLeft w:val="0"/>
              <w:marRight w:val="0"/>
              <w:marTop w:val="0"/>
              <w:marBottom w:val="0"/>
              <w:divBdr>
                <w:top w:val="none" w:sz="0" w:space="0" w:color="auto"/>
                <w:left w:val="none" w:sz="0" w:space="0" w:color="auto"/>
                <w:bottom w:val="none" w:sz="0" w:space="0" w:color="auto"/>
                <w:right w:val="none" w:sz="0" w:space="0" w:color="auto"/>
              </w:divBdr>
              <w:divsChild>
                <w:div w:id="1808205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7921652">
      <w:bodyDiv w:val="1"/>
      <w:marLeft w:val="0"/>
      <w:marRight w:val="0"/>
      <w:marTop w:val="0"/>
      <w:marBottom w:val="0"/>
      <w:divBdr>
        <w:top w:val="none" w:sz="0" w:space="0" w:color="auto"/>
        <w:left w:val="none" w:sz="0" w:space="0" w:color="auto"/>
        <w:bottom w:val="none" w:sz="0" w:space="0" w:color="auto"/>
        <w:right w:val="none" w:sz="0" w:space="0" w:color="auto"/>
      </w:divBdr>
    </w:div>
    <w:div w:id="815027480">
      <w:bodyDiv w:val="1"/>
      <w:marLeft w:val="0"/>
      <w:marRight w:val="0"/>
      <w:marTop w:val="0"/>
      <w:marBottom w:val="0"/>
      <w:divBdr>
        <w:top w:val="none" w:sz="0" w:space="0" w:color="auto"/>
        <w:left w:val="none" w:sz="0" w:space="0" w:color="auto"/>
        <w:bottom w:val="none" w:sz="0" w:space="0" w:color="auto"/>
        <w:right w:val="none" w:sz="0" w:space="0" w:color="auto"/>
      </w:divBdr>
    </w:div>
    <w:div w:id="893737599">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05087839">
      <w:bodyDiv w:val="1"/>
      <w:marLeft w:val="0"/>
      <w:marRight w:val="0"/>
      <w:marTop w:val="0"/>
      <w:marBottom w:val="0"/>
      <w:divBdr>
        <w:top w:val="none" w:sz="0" w:space="0" w:color="auto"/>
        <w:left w:val="none" w:sz="0" w:space="0" w:color="auto"/>
        <w:bottom w:val="none" w:sz="0" w:space="0" w:color="auto"/>
        <w:right w:val="none" w:sz="0" w:space="0" w:color="auto"/>
      </w:divBdr>
    </w:div>
    <w:div w:id="1366255358">
      <w:bodyDiv w:val="1"/>
      <w:marLeft w:val="0"/>
      <w:marRight w:val="0"/>
      <w:marTop w:val="0"/>
      <w:marBottom w:val="0"/>
      <w:divBdr>
        <w:top w:val="none" w:sz="0" w:space="0" w:color="auto"/>
        <w:left w:val="none" w:sz="0" w:space="0" w:color="auto"/>
        <w:bottom w:val="none" w:sz="0" w:space="0" w:color="auto"/>
        <w:right w:val="none" w:sz="0" w:space="0" w:color="auto"/>
      </w:divBdr>
    </w:div>
    <w:div w:id="1627001688">
      <w:bodyDiv w:val="1"/>
      <w:marLeft w:val="0"/>
      <w:marRight w:val="0"/>
      <w:marTop w:val="0"/>
      <w:marBottom w:val="0"/>
      <w:divBdr>
        <w:top w:val="none" w:sz="0" w:space="0" w:color="auto"/>
        <w:left w:val="none" w:sz="0" w:space="0" w:color="auto"/>
        <w:bottom w:val="none" w:sz="0" w:space="0" w:color="auto"/>
        <w:right w:val="none" w:sz="0" w:space="0" w:color="auto"/>
      </w:divBdr>
    </w:div>
    <w:div w:id="1831480020">
      <w:bodyDiv w:val="1"/>
      <w:marLeft w:val="0"/>
      <w:marRight w:val="0"/>
      <w:marTop w:val="0"/>
      <w:marBottom w:val="0"/>
      <w:divBdr>
        <w:top w:val="none" w:sz="0" w:space="0" w:color="auto"/>
        <w:left w:val="none" w:sz="0" w:space="0" w:color="auto"/>
        <w:bottom w:val="none" w:sz="0" w:space="0" w:color="auto"/>
        <w:right w:val="none" w:sz="0" w:space="0" w:color="auto"/>
      </w:divBdr>
    </w:div>
    <w:div w:id="1964656153">
      <w:bodyDiv w:val="1"/>
      <w:marLeft w:val="0"/>
      <w:marRight w:val="0"/>
      <w:marTop w:val="0"/>
      <w:marBottom w:val="0"/>
      <w:divBdr>
        <w:top w:val="none" w:sz="0" w:space="0" w:color="auto"/>
        <w:left w:val="none" w:sz="0" w:space="0" w:color="auto"/>
        <w:bottom w:val="none" w:sz="0" w:space="0" w:color="auto"/>
        <w:right w:val="none" w:sz="0" w:space="0" w:color="auto"/>
      </w:divBdr>
    </w:div>
    <w:div w:id="2116901590">
      <w:bodyDiv w:val="1"/>
      <w:marLeft w:val="0"/>
      <w:marRight w:val="0"/>
      <w:marTop w:val="0"/>
      <w:marBottom w:val="0"/>
      <w:divBdr>
        <w:top w:val="none" w:sz="0" w:space="0" w:color="auto"/>
        <w:left w:val="none" w:sz="0" w:space="0" w:color="auto"/>
        <w:bottom w:val="none" w:sz="0" w:space="0" w:color="auto"/>
        <w:right w:val="none" w:sz="0" w:space="0" w:color="auto"/>
      </w:divBdr>
    </w:div>
    <w:div w:id="2131895469">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1BB0EA-8AEA-4847-A1AB-1C1C3549D2B8}">
  <ds:schemaRefs>
    <ds:schemaRef ds:uri="http://schemas.openxmlformats.org/officeDocument/2006/bibliography"/>
  </ds:schemaRefs>
</ds:datastoreItem>
</file>

<file path=customXml/itemProps2.xml><?xml version="1.0" encoding="utf-8"?>
<ds:datastoreItem xmlns:ds="http://schemas.openxmlformats.org/officeDocument/2006/customXml" ds:itemID="{8B655760-4F8F-46AA-94C3-A2CC0F8B2198}">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A96F5A05-F546-42BC-AE25-3D2E9DFB5D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13</Pages>
  <Words>4537</Words>
  <Characters>24959</Characters>
  <Application>Microsoft Office Word</Application>
  <DocSecurity>0</DocSecurity>
  <Lines>207</Lines>
  <Paragraphs>58</Paragraphs>
  <ScaleCrop>false</ScaleCrop>
  <Company/>
  <LinksUpToDate>false</LinksUpToDate>
  <CharactersWithSpaces>29438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11</cp:revision>
  <cp:lastPrinted>2020-01-30T15:05:00Z</cp:lastPrinted>
  <dcterms:created xsi:type="dcterms:W3CDTF">2020-06-26T17:08:00Z</dcterms:created>
  <dcterms:modified xsi:type="dcterms:W3CDTF">2020-08-06T19:20:00Z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